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397D" w:rsidR="00C26457" w:rsidP="00B86A0E" w:rsidRDefault="00C26457" w14:paraId="6C78267E" w14:textId="0DB494D8">
      <w:pPr>
        <w:pStyle w:val="Geenafstand"/>
        <w:rPr>
          <w:rFonts w:ascii="Verdana" w:hAnsi="Verdana"/>
          <w:b/>
          <w:bCs/>
          <w:sz w:val="18"/>
          <w:szCs w:val="18"/>
        </w:rPr>
      </w:pPr>
      <w:bookmarkStart w:name="_Hlk142492183" w:id="0"/>
      <w:bookmarkStart w:name="_Hlk148345146" w:id="1"/>
      <w:r w:rsidRPr="000E397D">
        <w:rPr>
          <w:rFonts w:ascii="Verdana" w:hAnsi="Verdana"/>
          <w:b/>
          <w:bCs/>
          <w:sz w:val="18"/>
          <w:szCs w:val="18"/>
        </w:rPr>
        <w:t>MEMORIE VAN TOELICHTING</w:t>
      </w:r>
    </w:p>
    <w:p w:rsidRPr="00FF46E3" w:rsidR="00C26457" w:rsidP="00CB230D" w:rsidRDefault="00C26457" w14:paraId="5869AF00" w14:textId="7755AEDC">
      <w:pPr>
        <w:pStyle w:val="Geenafstand"/>
        <w:rPr>
          <w:rFonts w:ascii="Verdana" w:hAnsi="Verdana"/>
          <w:b/>
          <w:bCs/>
          <w:sz w:val="18"/>
          <w:szCs w:val="18"/>
        </w:rPr>
      </w:pPr>
    </w:p>
    <w:p w:rsidRPr="00FF46E3" w:rsidR="00A6575B" w:rsidP="00CB230D" w:rsidRDefault="00A6575B" w14:paraId="622C6DA4" w14:textId="5D772583">
      <w:pPr>
        <w:pStyle w:val="Geenafstand"/>
        <w:rPr>
          <w:rFonts w:ascii="Verdana" w:hAnsi="Verdana"/>
          <w:b/>
          <w:bCs/>
          <w:sz w:val="18"/>
          <w:szCs w:val="18"/>
        </w:rPr>
      </w:pPr>
      <w:r w:rsidRPr="00FF46E3">
        <w:rPr>
          <w:rFonts w:ascii="Verdana" w:hAnsi="Verdana"/>
          <w:b/>
          <w:bCs/>
          <w:sz w:val="18"/>
          <w:szCs w:val="18"/>
        </w:rPr>
        <w:t xml:space="preserve">ALGEMEEN DEEL </w:t>
      </w:r>
    </w:p>
    <w:p w:rsidRPr="00FF46E3" w:rsidR="00A6575B" w:rsidP="00CB230D" w:rsidRDefault="00A6575B" w14:paraId="3EE6F2E0" w14:textId="77777777">
      <w:pPr>
        <w:pStyle w:val="Geenafstand"/>
        <w:rPr>
          <w:rFonts w:ascii="Verdana" w:hAnsi="Verdana"/>
          <w:b/>
          <w:bCs/>
          <w:sz w:val="18"/>
          <w:szCs w:val="18"/>
        </w:rPr>
      </w:pPr>
    </w:p>
    <w:p w:rsidRPr="00FF46E3" w:rsidR="009C2250" w:rsidP="00CB230D" w:rsidRDefault="009C2250" w14:paraId="74AFC483" w14:textId="5ABC4B33">
      <w:pPr>
        <w:pStyle w:val="Geenafstand"/>
        <w:rPr>
          <w:rFonts w:ascii="Verdana" w:hAnsi="Verdana"/>
          <w:b/>
          <w:bCs/>
          <w:sz w:val="18"/>
          <w:szCs w:val="18"/>
        </w:rPr>
      </w:pPr>
      <w:r w:rsidRPr="00FF46E3">
        <w:rPr>
          <w:rFonts w:ascii="Verdana" w:hAnsi="Verdana"/>
          <w:b/>
          <w:bCs/>
          <w:sz w:val="18"/>
          <w:szCs w:val="18"/>
        </w:rPr>
        <w:t>INHOUDSOPGAVE</w:t>
      </w:r>
    </w:p>
    <w:bookmarkEnd w:displacedByCustomXml="next" w:id="1"/>
    <w:bookmarkStart w:name="_Hlk174623729" w:displacedByCustomXml="next" w:id="2"/>
    <w:sdt>
      <w:sdtPr>
        <w:rPr>
          <w:rFonts w:ascii="Verdana" w:hAnsi="Verdana"/>
          <w:b/>
          <w:bCs/>
          <w:sz w:val="18"/>
          <w:szCs w:val="18"/>
        </w:rPr>
        <w:id w:val="-2109882090"/>
        <w:docPartObj>
          <w:docPartGallery w:val="Table of Contents"/>
          <w:docPartUnique/>
        </w:docPartObj>
      </w:sdtPr>
      <w:sdtEndPr/>
      <w:sdtContent>
        <w:p w:rsidRPr="00FF46E3" w:rsidR="00D405DE" w:rsidP="00CB230D" w:rsidRDefault="00D405DE" w14:paraId="41BF9C02" w14:textId="00374112">
          <w:pPr>
            <w:pStyle w:val="Geenafstand"/>
            <w:rPr>
              <w:rFonts w:ascii="Verdana" w:hAnsi="Verdana"/>
              <w:b/>
              <w:bCs/>
              <w:sz w:val="18"/>
              <w:szCs w:val="18"/>
            </w:rPr>
          </w:pPr>
        </w:p>
        <w:bookmarkStart w:name="_Hlk181175907" w:id="3"/>
        <w:p w:rsidR="00B13299" w:rsidRDefault="00956112" w14:paraId="320511F8" w14:textId="3734F16B">
          <w:pPr>
            <w:pStyle w:val="Inhopg1"/>
            <w:rPr>
              <w:rFonts w:asciiTheme="minorHAnsi" w:hAnsiTheme="minorHAnsi" w:eastAsiaTheme="minorEastAsia"/>
              <w:b w:val="0"/>
              <w:noProof/>
              <w:kern w:val="2"/>
              <w:sz w:val="24"/>
              <w:szCs w:val="24"/>
              <w:lang w:eastAsia="nl-NL"/>
              <w14:ligatures w14:val="standardContextual"/>
            </w:rPr>
          </w:pPr>
          <w:r w:rsidRPr="00FF46E3">
            <w:rPr>
              <w:szCs w:val="18"/>
            </w:rPr>
            <w:fldChar w:fldCharType="begin"/>
          </w:r>
          <w:r w:rsidRPr="00FF46E3">
            <w:rPr>
              <w:szCs w:val="18"/>
            </w:rPr>
            <w:instrText xml:space="preserve"> TOC \o "1-4" \h \z \u </w:instrText>
          </w:r>
          <w:r w:rsidRPr="00FF46E3">
            <w:rPr>
              <w:szCs w:val="18"/>
            </w:rPr>
            <w:fldChar w:fldCharType="separate"/>
          </w:r>
          <w:hyperlink w:history="1" w:anchor="_Toc198721052">
            <w:r w:rsidRPr="0063290F" w:rsidR="00B13299">
              <w:rPr>
                <w:rStyle w:val="Hyperlink"/>
                <w:noProof/>
              </w:rPr>
              <w:t>1. Inleiding</w:t>
            </w:r>
            <w:r w:rsidR="00B13299">
              <w:rPr>
                <w:noProof/>
                <w:webHidden/>
              </w:rPr>
              <w:tab/>
            </w:r>
            <w:r w:rsidR="00B13299">
              <w:rPr>
                <w:noProof/>
                <w:webHidden/>
              </w:rPr>
              <w:fldChar w:fldCharType="begin"/>
            </w:r>
            <w:r w:rsidR="00B13299">
              <w:rPr>
                <w:noProof/>
                <w:webHidden/>
              </w:rPr>
              <w:instrText xml:space="preserve"> PAGEREF _Toc198721052 \h </w:instrText>
            </w:r>
            <w:r w:rsidR="00B13299">
              <w:rPr>
                <w:noProof/>
                <w:webHidden/>
              </w:rPr>
            </w:r>
            <w:r w:rsidR="00B13299">
              <w:rPr>
                <w:noProof/>
                <w:webHidden/>
              </w:rPr>
              <w:fldChar w:fldCharType="separate"/>
            </w:r>
            <w:r w:rsidR="00B13299">
              <w:rPr>
                <w:noProof/>
                <w:webHidden/>
              </w:rPr>
              <w:t>4</w:t>
            </w:r>
            <w:r w:rsidR="00B13299">
              <w:rPr>
                <w:noProof/>
                <w:webHidden/>
              </w:rPr>
              <w:fldChar w:fldCharType="end"/>
            </w:r>
          </w:hyperlink>
        </w:p>
        <w:p w:rsidR="00B13299" w:rsidRDefault="006B23A3" w14:paraId="078F161D" w14:textId="5DCE244F">
          <w:pPr>
            <w:pStyle w:val="Inhopg1"/>
            <w:rPr>
              <w:rFonts w:asciiTheme="minorHAnsi" w:hAnsiTheme="minorHAnsi" w:eastAsiaTheme="minorEastAsia"/>
              <w:b w:val="0"/>
              <w:noProof/>
              <w:kern w:val="2"/>
              <w:sz w:val="24"/>
              <w:szCs w:val="24"/>
              <w:lang w:eastAsia="nl-NL"/>
              <w14:ligatures w14:val="standardContextual"/>
            </w:rPr>
          </w:pPr>
          <w:hyperlink w:history="1" w:anchor="_Toc198721053">
            <w:r w:rsidRPr="0063290F" w:rsidR="00B13299">
              <w:rPr>
                <w:rStyle w:val="Hyperlink"/>
                <w:noProof/>
              </w:rPr>
              <w:t>2. De NIS2-richtlijn</w:t>
            </w:r>
            <w:r w:rsidR="00B13299">
              <w:rPr>
                <w:noProof/>
                <w:webHidden/>
              </w:rPr>
              <w:tab/>
            </w:r>
            <w:r w:rsidR="00B13299">
              <w:rPr>
                <w:noProof/>
                <w:webHidden/>
              </w:rPr>
              <w:fldChar w:fldCharType="begin"/>
            </w:r>
            <w:r w:rsidR="00B13299">
              <w:rPr>
                <w:noProof/>
                <w:webHidden/>
              </w:rPr>
              <w:instrText xml:space="preserve"> PAGEREF _Toc198721053 \h </w:instrText>
            </w:r>
            <w:r w:rsidR="00B13299">
              <w:rPr>
                <w:noProof/>
                <w:webHidden/>
              </w:rPr>
            </w:r>
            <w:r w:rsidR="00B13299">
              <w:rPr>
                <w:noProof/>
                <w:webHidden/>
              </w:rPr>
              <w:fldChar w:fldCharType="separate"/>
            </w:r>
            <w:r w:rsidR="00B13299">
              <w:rPr>
                <w:noProof/>
                <w:webHidden/>
              </w:rPr>
              <w:t>4</w:t>
            </w:r>
            <w:r w:rsidR="00B13299">
              <w:rPr>
                <w:noProof/>
                <w:webHidden/>
              </w:rPr>
              <w:fldChar w:fldCharType="end"/>
            </w:r>
          </w:hyperlink>
        </w:p>
        <w:p w:rsidR="00B13299" w:rsidRDefault="006B23A3" w14:paraId="175000CC" w14:textId="61958BED">
          <w:pPr>
            <w:pStyle w:val="Inhopg2"/>
            <w:rPr>
              <w:rFonts w:asciiTheme="minorHAnsi" w:hAnsiTheme="minorHAnsi" w:eastAsiaTheme="minorEastAsia"/>
              <w:noProof/>
              <w:kern w:val="2"/>
              <w:sz w:val="24"/>
              <w:szCs w:val="24"/>
              <w:lang w:eastAsia="nl-NL"/>
              <w14:ligatures w14:val="standardContextual"/>
            </w:rPr>
          </w:pPr>
          <w:hyperlink w:history="1" w:anchor="_Toc198721054">
            <w:r w:rsidRPr="0063290F" w:rsidR="00B13299">
              <w:rPr>
                <w:rStyle w:val="Hyperlink"/>
                <w:noProof/>
              </w:rPr>
              <w:t>2.1 Kern van de richtlijn</w:t>
            </w:r>
            <w:r w:rsidR="00B13299">
              <w:rPr>
                <w:noProof/>
                <w:webHidden/>
              </w:rPr>
              <w:tab/>
            </w:r>
            <w:r w:rsidR="00B13299">
              <w:rPr>
                <w:noProof/>
                <w:webHidden/>
              </w:rPr>
              <w:fldChar w:fldCharType="begin"/>
            </w:r>
            <w:r w:rsidR="00B13299">
              <w:rPr>
                <w:noProof/>
                <w:webHidden/>
              </w:rPr>
              <w:instrText xml:space="preserve"> PAGEREF _Toc198721054 \h </w:instrText>
            </w:r>
            <w:r w:rsidR="00B13299">
              <w:rPr>
                <w:noProof/>
                <w:webHidden/>
              </w:rPr>
            </w:r>
            <w:r w:rsidR="00B13299">
              <w:rPr>
                <w:noProof/>
                <w:webHidden/>
              </w:rPr>
              <w:fldChar w:fldCharType="separate"/>
            </w:r>
            <w:r w:rsidR="00B13299">
              <w:rPr>
                <w:noProof/>
                <w:webHidden/>
              </w:rPr>
              <w:t>4</w:t>
            </w:r>
            <w:r w:rsidR="00B13299">
              <w:rPr>
                <w:noProof/>
                <w:webHidden/>
              </w:rPr>
              <w:fldChar w:fldCharType="end"/>
            </w:r>
          </w:hyperlink>
        </w:p>
        <w:p w:rsidR="00B13299" w:rsidRDefault="006B23A3" w14:paraId="733B56AA" w14:textId="7539BFB6">
          <w:pPr>
            <w:pStyle w:val="Inhopg2"/>
            <w:rPr>
              <w:rFonts w:asciiTheme="minorHAnsi" w:hAnsiTheme="minorHAnsi" w:eastAsiaTheme="minorEastAsia"/>
              <w:noProof/>
              <w:kern w:val="2"/>
              <w:sz w:val="24"/>
              <w:szCs w:val="24"/>
              <w:lang w:eastAsia="nl-NL"/>
              <w14:ligatures w14:val="standardContextual"/>
            </w:rPr>
          </w:pPr>
          <w:hyperlink w:history="1" w:anchor="_Toc198721055">
            <w:r w:rsidRPr="0063290F" w:rsidR="00B13299">
              <w:rPr>
                <w:rStyle w:val="Hyperlink"/>
                <w:noProof/>
              </w:rPr>
              <w:t>2.2 Belangrijkste onderdelen van de richtlijn</w:t>
            </w:r>
            <w:r w:rsidR="00B13299">
              <w:rPr>
                <w:noProof/>
                <w:webHidden/>
              </w:rPr>
              <w:tab/>
            </w:r>
            <w:r w:rsidR="00B13299">
              <w:rPr>
                <w:noProof/>
                <w:webHidden/>
              </w:rPr>
              <w:fldChar w:fldCharType="begin"/>
            </w:r>
            <w:r w:rsidR="00B13299">
              <w:rPr>
                <w:noProof/>
                <w:webHidden/>
              </w:rPr>
              <w:instrText xml:space="preserve"> PAGEREF _Toc198721055 \h </w:instrText>
            </w:r>
            <w:r w:rsidR="00B13299">
              <w:rPr>
                <w:noProof/>
                <w:webHidden/>
              </w:rPr>
            </w:r>
            <w:r w:rsidR="00B13299">
              <w:rPr>
                <w:noProof/>
                <w:webHidden/>
              </w:rPr>
              <w:fldChar w:fldCharType="separate"/>
            </w:r>
            <w:r w:rsidR="00B13299">
              <w:rPr>
                <w:noProof/>
                <w:webHidden/>
              </w:rPr>
              <w:t>5</w:t>
            </w:r>
            <w:r w:rsidR="00B13299">
              <w:rPr>
                <w:noProof/>
                <w:webHidden/>
              </w:rPr>
              <w:fldChar w:fldCharType="end"/>
            </w:r>
          </w:hyperlink>
        </w:p>
        <w:p w:rsidR="00B13299" w:rsidRDefault="006B23A3" w14:paraId="4678BFAD" w14:textId="523E2706">
          <w:pPr>
            <w:pStyle w:val="Inhopg2"/>
            <w:rPr>
              <w:rFonts w:asciiTheme="minorHAnsi" w:hAnsiTheme="minorHAnsi" w:eastAsiaTheme="minorEastAsia"/>
              <w:noProof/>
              <w:kern w:val="2"/>
              <w:sz w:val="24"/>
              <w:szCs w:val="24"/>
              <w:lang w:eastAsia="nl-NL"/>
              <w14:ligatures w14:val="standardContextual"/>
            </w:rPr>
          </w:pPr>
          <w:hyperlink w:history="1" w:anchor="_Toc198721056">
            <w:r w:rsidRPr="0063290F" w:rsidR="00B13299">
              <w:rPr>
                <w:rStyle w:val="Hyperlink"/>
                <w:noProof/>
              </w:rPr>
              <w:t>2.3 Verhouding tot de CER-richtlijn en de Wwke</w:t>
            </w:r>
            <w:r w:rsidR="00B13299">
              <w:rPr>
                <w:noProof/>
                <w:webHidden/>
              </w:rPr>
              <w:tab/>
            </w:r>
            <w:r w:rsidR="00B13299">
              <w:rPr>
                <w:noProof/>
                <w:webHidden/>
              </w:rPr>
              <w:fldChar w:fldCharType="begin"/>
            </w:r>
            <w:r w:rsidR="00B13299">
              <w:rPr>
                <w:noProof/>
                <w:webHidden/>
              </w:rPr>
              <w:instrText xml:space="preserve"> PAGEREF _Toc198721056 \h </w:instrText>
            </w:r>
            <w:r w:rsidR="00B13299">
              <w:rPr>
                <w:noProof/>
                <w:webHidden/>
              </w:rPr>
            </w:r>
            <w:r w:rsidR="00B13299">
              <w:rPr>
                <w:noProof/>
                <w:webHidden/>
              </w:rPr>
              <w:fldChar w:fldCharType="separate"/>
            </w:r>
            <w:r w:rsidR="00B13299">
              <w:rPr>
                <w:noProof/>
                <w:webHidden/>
              </w:rPr>
              <w:t>7</w:t>
            </w:r>
            <w:r w:rsidR="00B13299">
              <w:rPr>
                <w:noProof/>
                <w:webHidden/>
              </w:rPr>
              <w:fldChar w:fldCharType="end"/>
            </w:r>
          </w:hyperlink>
        </w:p>
        <w:p w:rsidR="00B13299" w:rsidRDefault="006B23A3" w14:paraId="215E3CDF" w14:textId="40357A4E">
          <w:pPr>
            <w:pStyle w:val="Inhopg2"/>
            <w:rPr>
              <w:rFonts w:asciiTheme="minorHAnsi" w:hAnsiTheme="minorHAnsi" w:eastAsiaTheme="minorEastAsia"/>
              <w:noProof/>
              <w:kern w:val="2"/>
              <w:sz w:val="24"/>
              <w:szCs w:val="24"/>
              <w:lang w:eastAsia="nl-NL"/>
              <w14:ligatures w14:val="standardContextual"/>
            </w:rPr>
          </w:pPr>
          <w:hyperlink w:history="1" w:anchor="_Toc198721057">
            <w:r w:rsidRPr="0063290F" w:rsidR="00B13299">
              <w:rPr>
                <w:rStyle w:val="Hyperlink"/>
                <w:noProof/>
              </w:rPr>
              <w:t>2.4 Verhouding tot de DORA</w:t>
            </w:r>
            <w:r w:rsidR="00B13299">
              <w:rPr>
                <w:noProof/>
                <w:webHidden/>
              </w:rPr>
              <w:tab/>
            </w:r>
            <w:r w:rsidR="00B13299">
              <w:rPr>
                <w:noProof/>
                <w:webHidden/>
              </w:rPr>
              <w:fldChar w:fldCharType="begin"/>
            </w:r>
            <w:r w:rsidR="00B13299">
              <w:rPr>
                <w:noProof/>
                <w:webHidden/>
              </w:rPr>
              <w:instrText xml:space="preserve"> PAGEREF _Toc198721057 \h </w:instrText>
            </w:r>
            <w:r w:rsidR="00B13299">
              <w:rPr>
                <w:noProof/>
                <w:webHidden/>
              </w:rPr>
            </w:r>
            <w:r w:rsidR="00B13299">
              <w:rPr>
                <w:noProof/>
                <w:webHidden/>
              </w:rPr>
              <w:fldChar w:fldCharType="separate"/>
            </w:r>
            <w:r w:rsidR="00B13299">
              <w:rPr>
                <w:noProof/>
                <w:webHidden/>
              </w:rPr>
              <w:t>8</w:t>
            </w:r>
            <w:r w:rsidR="00B13299">
              <w:rPr>
                <w:noProof/>
                <w:webHidden/>
              </w:rPr>
              <w:fldChar w:fldCharType="end"/>
            </w:r>
          </w:hyperlink>
        </w:p>
        <w:p w:rsidR="00B13299" w:rsidRDefault="006B23A3" w14:paraId="3751F581" w14:textId="3B9B4BA7">
          <w:pPr>
            <w:pStyle w:val="Inhopg2"/>
            <w:rPr>
              <w:rFonts w:asciiTheme="minorHAnsi" w:hAnsiTheme="minorHAnsi" w:eastAsiaTheme="minorEastAsia"/>
              <w:noProof/>
              <w:kern w:val="2"/>
              <w:sz w:val="24"/>
              <w:szCs w:val="24"/>
              <w:lang w:eastAsia="nl-NL"/>
              <w14:ligatures w14:val="standardContextual"/>
            </w:rPr>
          </w:pPr>
          <w:hyperlink w:history="1" w:anchor="_Toc198721058">
            <w:r w:rsidRPr="0063290F" w:rsidR="00B13299">
              <w:rPr>
                <w:rStyle w:val="Hyperlink"/>
                <w:noProof/>
              </w:rPr>
              <w:t>2.5 Verhouding tot de eIDAS-verordening</w:t>
            </w:r>
            <w:r w:rsidR="00B13299">
              <w:rPr>
                <w:noProof/>
                <w:webHidden/>
              </w:rPr>
              <w:tab/>
            </w:r>
            <w:r w:rsidR="00B13299">
              <w:rPr>
                <w:noProof/>
                <w:webHidden/>
              </w:rPr>
              <w:fldChar w:fldCharType="begin"/>
            </w:r>
            <w:r w:rsidR="00B13299">
              <w:rPr>
                <w:noProof/>
                <w:webHidden/>
              </w:rPr>
              <w:instrText xml:space="preserve"> PAGEREF _Toc198721058 \h </w:instrText>
            </w:r>
            <w:r w:rsidR="00B13299">
              <w:rPr>
                <w:noProof/>
                <w:webHidden/>
              </w:rPr>
            </w:r>
            <w:r w:rsidR="00B13299">
              <w:rPr>
                <w:noProof/>
                <w:webHidden/>
              </w:rPr>
              <w:fldChar w:fldCharType="separate"/>
            </w:r>
            <w:r w:rsidR="00B13299">
              <w:rPr>
                <w:noProof/>
                <w:webHidden/>
              </w:rPr>
              <w:t>9</w:t>
            </w:r>
            <w:r w:rsidR="00B13299">
              <w:rPr>
                <w:noProof/>
                <w:webHidden/>
              </w:rPr>
              <w:fldChar w:fldCharType="end"/>
            </w:r>
          </w:hyperlink>
        </w:p>
        <w:p w:rsidR="00B13299" w:rsidRDefault="006B23A3" w14:paraId="5E441C12" w14:textId="0980C361">
          <w:pPr>
            <w:pStyle w:val="Inhopg1"/>
            <w:rPr>
              <w:rFonts w:asciiTheme="minorHAnsi" w:hAnsiTheme="minorHAnsi" w:eastAsiaTheme="minorEastAsia"/>
              <w:b w:val="0"/>
              <w:noProof/>
              <w:kern w:val="2"/>
              <w:sz w:val="24"/>
              <w:szCs w:val="24"/>
              <w:lang w:eastAsia="nl-NL"/>
              <w14:ligatures w14:val="standardContextual"/>
            </w:rPr>
          </w:pPr>
          <w:hyperlink w:history="1" w:anchor="_Toc198721059">
            <w:r w:rsidRPr="0063290F" w:rsidR="00B13299">
              <w:rPr>
                <w:rStyle w:val="Hyperlink"/>
                <w:noProof/>
              </w:rPr>
              <w:t>3. Nationale context</w:t>
            </w:r>
            <w:r w:rsidR="00B13299">
              <w:rPr>
                <w:noProof/>
                <w:webHidden/>
              </w:rPr>
              <w:tab/>
            </w:r>
            <w:r w:rsidR="00B13299">
              <w:rPr>
                <w:noProof/>
                <w:webHidden/>
              </w:rPr>
              <w:fldChar w:fldCharType="begin"/>
            </w:r>
            <w:r w:rsidR="00B13299">
              <w:rPr>
                <w:noProof/>
                <w:webHidden/>
              </w:rPr>
              <w:instrText xml:space="preserve"> PAGEREF _Toc198721059 \h </w:instrText>
            </w:r>
            <w:r w:rsidR="00B13299">
              <w:rPr>
                <w:noProof/>
                <w:webHidden/>
              </w:rPr>
            </w:r>
            <w:r w:rsidR="00B13299">
              <w:rPr>
                <w:noProof/>
                <w:webHidden/>
              </w:rPr>
              <w:fldChar w:fldCharType="separate"/>
            </w:r>
            <w:r w:rsidR="00B13299">
              <w:rPr>
                <w:noProof/>
                <w:webHidden/>
              </w:rPr>
              <w:t>9</w:t>
            </w:r>
            <w:r w:rsidR="00B13299">
              <w:rPr>
                <w:noProof/>
                <w:webHidden/>
              </w:rPr>
              <w:fldChar w:fldCharType="end"/>
            </w:r>
          </w:hyperlink>
        </w:p>
        <w:p w:rsidR="00B13299" w:rsidRDefault="006B23A3" w14:paraId="75F5BFF1" w14:textId="2C860FFD">
          <w:pPr>
            <w:pStyle w:val="Inhopg1"/>
            <w:rPr>
              <w:rFonts w:asciiTheme="minorHAnsi" w:hAnsiTheme="minorHAnsi" w:eastAsiaTheme="minorEastAsia"/>
              <w:b w:val="0"/>
              <w:noProof/>
              <w:kern w:val="2"/>
              <w:sz w:val="24"/>
              <w:szCs w:val="24"/>
              <w:lang w:eastAsia="nl-NL"/>
              <w14:ligatures w14:val="standardContextual"/>
            </w:rPr>
          </w:pPr>
          <w:hyperlink w:history="1" w:anchor="_Toc198721060">
            <w:r w:rsidRPr="0063290F" w:rsidR="00B13299">
              <w:rPr>
                <w:rStyle w:val="Hyperlink"/>
                <w:noProof/>
              </w:rPr>
              <w:t>4. Gemaakte implementatiekeuzes op hoofdlijnen</w:t>
            </w:r>
            <w:r w:rsidR="00B13299">
              <w:rPr>
                <w:noProof/>
                <w:webHidden/>
              </w:rPr>
              <w:tab/>
            </w:r>
            <w:r w:rsidR="00B13299">
              <w:rPr>
                <w:noProof/>
                <w:webHidden/>
              </w:rPr>
              <w:fldChar w:fldCharType="begin"/>
            </w:r>
            <w:r w:rsidR="00B13299">
              <w:rPr>
                <w:noProof/>
                <w:webHidden/>
              </w:rPr>
              <w:instrText xml:space="preserve"> PAGEREF _Toc198721060 \h </w:instrText>
            </w:r>
            <w:r w:rsidR="00B13299">
              <w:rPr>
                <w:noProof/>
                <w:webHidden/>
              </w:rPr>
            </w:r>
            <w:r w:rsidR="00B13299">
              <w:rPr>
                <w:noProof/>
                <w:webHidden/>
              </w:rPr>
              <w:fldChar w:fldCharType="separate"/>
            </w:r>
            <w:r w:rsidR="00B13299">
              <w:rPr>
                <w:noProof/>
                <w:webHidden/>
              </w:rPr>
              <w:t>10</w:t>
            </w:r>
            <w:r w:rsidR="00B13299">
              <w:rPr>
                <w:noProof/>
                <w:webHidden/>
              </w:rPr>
              <w:fldChar w:fldCharType="end"/>
            </w:r>
          </w:hyperlink>
        </w:p>
        <w:p w:rsidR="00B13299" w:rsidRDefault="006B23A3" w14:paraId="6FD185D8" w14:textId="0C89C9A8">
          <w:pPr>
            <w:pStyle w:val="Inhopg1"/>
            <w:rPr>
              <w:rFonts w:asciiTheme="minorHAnsi" w:hAnsiTheme="minorHAnsi" w:eastAsiaTheme="minorEastAsia"/>
              <w:b w:val="0"/>
              <w:noProof/>
              <w:kern w:val="2"/>
              <w:sz w:val="24"/>
              <w:szCs w:val="24"/>
              <w:lang w:eastAsia="nl-NL"/>
              <w14:ligatures w14:val="standardContextual"/>
            </w:rPr>
          </w:pPr>
          <w:hyperlink w:history="1" w:anchor="_Toc198721061">
            <w:r w:rsidRPr="0063290F" w:rsidR="00B13299">
              <w:rPr>
                <w:rStyle w:val="Hyperlink"/>
                <w:noProof/>
              </w:rPr>
              <w:t>5. Hoofdlijnen van de Cbw</w:t>
            </w:r>
            <w:r w:rsidR="00B13299">
              <w:rPr>
                <w:noProof/>
                <w:webHidden/>
              </w:rPr>
              <w:tab/>
            </w:r>
            <w:r w:rsidR="00B13299">
              <w:rPr>
                <w:noProof/>
                <w:webHidden/>
              </w:rPr>
              <w:fldChar w:fldCharType="begin"/>
            </w:r>
            <w:r w:rsidR="00B13299">
              <w:rPr>
                <w:noProof/>
                <w:webHidden/>
              </w:rPr>
              <w:instrText xml:space="preserve"> PAGEREF _Toc198721061 \h </w:instrText>
            </w:r>
            <w:r w:rsidR="00B13299">
              <w:rPr>
                <w:noProof/>
                <w:webHidden/>
              </w:rPr>
            </w:r>
            <w:r w:rsidR="00B13299">
              <w:rPr>
                <w:noProof/>
                <w:webHidden/>
              </w:rPr>
              <w:fldChar w:fldCharType="separate"/>
            </w:r>
            <w:r w:rsidR="00B13299">
              <w:rPr>
                <w:noProof/>
                <w:webHidden/>
              </w:rPr>
              <w:t>11</w:t>
            </w:r>
            <w:r w:rsidR="00B13299">
              <w:rPr>
                <w:noProof/>
                <w:webHidden/>
              </w:rPr>
              <w:fldChar w:fldCharType="end"/>
            </w:r>
          </w:hyperlink>
        </w:p>
        <w:p w:rsidR="00B13299" w:rsidRDefault="006B23A3" w14:paraId="5408B511" w14:textId="13F2E50D">
          <w:pPr>
            <w:pStyle w:val="Inhopg2"/>
            <w:rPr>
              <w:rFonts w:asciiTheme="minorHAnsi" w:hAnsiTheme="minorHAnsi" w:eastAsiaTheme="minorEastAsia"/>
              <w:noProof/>
              <w:kern w:val="2"/>
              <w:sz w:val="24"/>
              <w:szCs w:val="24"/>
              <w:lang w:eastAsia="nl-NL"/>
              <w14:ligatures w14:val="standardContextual"/>
            </w:rPr>
          </w:pPr>
          <w:hyperlink w:history="1" w:anchor="_Toc198721062">
            <w:r w:rsidRPr="0063290F" w:rsidR="00B13299">
              <w:rPr>
                <w:rStyle w:val="Hyperlink"/>
                <w:noProof/>
              </w:rPr>
              <w:t>5.1 Essentiële entiteiten en belangrijke entiteiten</w:t>
            </w:r>
            <w:r w:rsidR="00B13299">
              <w:rPr>
                <w:noProof/>
                <w:webHidden/>
              </w:rPr>
              <w:tab/>
            </w:r>
            <w:r w:rsidR="00B13299">
              <w:rPr>
                <w:noProof/>
                <w:webHidden/>
              </w:rPr>
              <w:fldChar w:fldCharType="begin"/>
            </w:r>
            <w:r w:rsidR="00B13299">
              <w:rPr>
                <w:noProof/>
                <w:webHidden/>
              </w:rPr>
              <w:instrText xml:space="preserve"> PAGEREF _Toc198721062 \h </w:instrText>
            </w:r>
            <w:r w:rsidR="00B13299">
              <w:rPr>
                <w:noProof/>
                <w:webHidden/>
              </w:rPr>
            </w:r>
            <w:r w:rsidR="00B13299">
              <w:rPr>
                <w:noProof/>
                <w:webHidden/>
              </w:rPr>
              <w:fldChar w:fldCharType="separate"/>
            </w:r>
            <w:r w:rsidR="00B13299">
              <w:rPr>
                <w:noProof/>
                <w:webHidden/>
              </w:rPr>
              <w:t>12</w:t>
            </w:r>
            <w:r w:rsidR="00B13299">
              <w:rPr>
                <w:noProof/>
                <w:webHidden/>
              </w:rPr>
              <w:fldChar w:fldCharType="end"/>
            </w:r>
          </w:hyperlink>
        </w:p>
        <w:p w:rsidR="00B13299" w:rsidRDefault="006B23A3" w14:paraId="6D1721EB" w14:textId="6F547569">
          <w:pPr>
            <w:pStyle w:val="Inhopg3"/>
            <w:rPr>
              <w:rFonts w:asciiTheme="minorHAnsi" w:hAnsiTheme="minorHAnsi" w:eastAsiaTheme="minorEastAsia"/>
              <w:noProof/>
              <w:kern w:val="2"/>
              <w:sz w:val="24"/>
              <w:szCs w:val="24"/>
              <w:lang w:eastAsia="nl-NL"/>
              <w14:ligatures w14:val="standardContextual"/>
            </w:rPr>
          </w:pPr>
          <w:hyperlink w:history="1" w:anchor="_Toc198721063">
            <w:r w:rsidRPr="0063290F" w:rsidR="00B13299">
              <w:rPr>
                <w:rStyle w:val="Hyperlink"/>
                <w:noProof/>
              </w:rPr>
              <w:t>5.1.1 Essentiële entiteiten en belangrijke entiteiten</w:t>
            </w:r>
            <w:r w:rsidR="00B13299">
              <w:rPr>
                <w:noProof/>
                <w:webHidden/>
              </w:rPr>
              <w:tab/>
            </w:r>
            <w:r w:rsidR="00B13299">
              <w:rPr>
                <w:noProof/>
                <w:webHidden/>
              </w:rPr>
              <w:fldChar w:fldCharType="begin"/>
            </w:r>
            <w:r w:rsidR="00B13299">
              <w:rPr>
                <w:noProof/>
                <w:webHidden/>
              </w:rPr>
              <w:instrText xml:space="preserve"> PAGEREF _Toc198721063 \h </w:instrText>
            </w:r>
            <w:r w:rsidR="00B13299">
              <w:rPr>
                <w:noProof/>
                <w:webHidden/>
              </w:rPr>
            </w:r>
            <w:r w:rsidR="00B13299">
              <w:rPr>
                <w:noProof/>
                <w:webHidden/>
              </w:rPr>
              <w:fldChar w:fldCharType="separate"/>
            </w:r>
            <w:r w:rsidR="00B13299">
              <w:rPr>
                <w:noProof/>
                <w:webHidden/>
              </w:rPr>
              <w:t>12</w:t>
            </w:r>
            <w:r w:rsidR="00B13299">
              <w:rPr>
                <w:noProof/>
                <w:webHidden/>
              </w:rPr>
              <w:fldChar w:fldCharType="end"/>
            </w:r>
          </w:hyperlink>
        </w:p>
        <w:p w:rsidR="00B13299" w:rsidRDefault="006B23A3" w14:paraId="2B7D1EEC" w14:textId="235BD5F7">
          <w:pPr>
            <w:pStyle w:val="Inhopg3"/>
            <w:rPr>
              <w:rFonts w:asciiTheme="minorHAnsi" w:hAnsiTheme="minorHAnsi" w:eastAsiaTheme="minorEastAsia"/>
              <w:noProof/>
              <w:kern w:val="2"/>
              <w:sz w:val="24"/>
              <w:szCs w:val="24"/>
              <w:lang w:eastAsia="nl-NL"/>
              <w14:ligatures w14:val="standardContextual"/>
            </w:rPr>
          </w:pPr>
          <w:hyperlink w:history="1" w:anchor="_Toc198721064">
            <w:r w:rsidRPr="0063290F" w:rsidR="00B13299">
              <w:rPr>
                <w:rStyle w:val="Hyperlink"/>
                <w:noProof/>
              </w:rPr>
              <w:t>5.1.2 Overheidsinstanties</w:t>
            </w:r>
            <w:r w:rsidR="00B13299">
              <w:rPr>
                <w:noProof/>
                <w:webHidden/>
              </w:rPr>
              <w:tab/>
            </w:r>
            <w:r w:rsidR="00B13299">
              <w:rPr>
                <w:noProof/>
                <w:webHidden/>
              </w:rPr>
              <w:fldChar w:fldCharType="begin"/>
            </w:r>
            <w:r w:rsidR="00B13299">
              <w:rPr>
                <w:noProof/>
                <w:webHidden/>
              </w:rPr>
              <w:instrText xml:space="preserve"> PAGEREF _Toc198721064 \h </w:instrText>
            </w:r>
            <w:r w:rsidR="00B13299">
              <w:rPr>
                <w:noProof/>
                <w:webHidden/>
              </w:rPr>
            </w:r>
            <w:r w:rsidR="00B13299">
              <w:rPr>
                <w:noProof/>
                <w:webHidden/>
              </w:rPr>
              <w:fldChar w:fldCharType="separate"/>
            </w:r>
            <w:r w:rsidR="00B13299">
              <w:rPr>
                <w:noProof/>
                <w:webHidden/>
              </w:rPr>
              <w:t>13</w:t>
            </w:r>
            <w:r w:rsidR="00B13299">
              <w:rPr>
                <w:noProof/>
                <w:webHidden/>
              </w:rPr>
              <w:fldChar w:fldCharType="end"/>
            </w:r>
          </w:hyperlink>
        </w:p>
        <w:p w:rsidR="00B13299" w:rsidRDefault="006B23A3" w14:paraId="7A180299" w14:textId="7BFA112E">
          <w:pPr>
            <w:pStyle w:val="Inhopg3"/>
            <w:rPr>
              <w:rFonts w:asciiTheme="minorHAnsi" w:hAnsiTheme="minorHAnsi" w:eastAsiaTheme="minorEastAsia"/>
              <w:noProof/>
              <w:kern w:val="2"/>
              <w:sz w:val="24"/>
              <w:szCs w:val="24"/>
              <w:lang w:eastAsia="nl-NL"/>
              <w14:ligatures w14:val="standardContextual"/>
            </w:rPr>
          </w:pPr>
          <w:hyperlink w:history="1" w:anchor="_Toc198721065">
            <w:r w:rsidRPr="0063290F" w:rsidR="00B13299">
              <w:rPr>
                <w:rStyle w:val="Hyperlink"/>
                <w:noProof/>
              </w:rPr>
              <w:t>5.1.3 Onderwijsinstellingen</w:t>
            </w:r>
            <w:r w:rsidR="00B13299">
              <w:rPr>
                <w:noProof/>
                <w:webHidden/>
              </w:rPr>
              <w:tab/>
            </w:r>
            <w:r w:rsidR="00B13299">
              <w:rPr>
                <w:noProof/>
                <w:webHidden/>
              </w:rPr>
              <w:fldChar w:fldCharType="begin"/>
            </w:r>
            <w:r w:rsidR="00B13299">
              <w:rPr>
                <w:noProof/>
                <w:webHidden/>
              </w:rPr>
              <w:instrText xml:space="preserve"> PAGEREF _Toc198721065 \h </w:instrText>
            </w:r>
            <w:r w:rsidR="00B13299">
              <w:rPr>
                <w:noProof/>
                <w:webHidden/>
              </w:rPr>
            </w:r>
            <w:r w:rsidR="00B13299">
              <w:rPr>
                <w:noProof/>
                <w:webHidden/>
              </w:rPr>
              <w:fldChar w:fldCharType="separate"/>
            </w:r>
            <w:r w:rsidR="00B13299">
              <w:rPr>
                <w:noProof/>
                <w:webHidden/>
              </w:rPr>
              <w:t>17</w:t>
            </w:r>
            <w:r w:rsidR="00B13299">
              <w:rPr>
                <w:noProof/>
                <w:webHidden/>
              </w:rPr>
              <w:fldChar w:fldCharType="end"/>
            </w:r>
          </w:hyperlink>
        </w:p>
        <w:p w:rsidR="00B13299" w:rsidRDefault="006B23A3" w14:paraId="062890A3" w14:textId="73789AFB">
          <w:pPr>
            <w:pStyle w:val="Inhopg2"/>
            <w:rPr>
              <w:rFonts w:asciiTheme="minorHAnsi" w:hAnsiTheme="minorHAnsi" w:eastAsiaTheme="minorEastAsia"/>
              <w:noProof/>
              <w:kern w:val="2"/>
              <w:sz w:val="24"/>
              <w:szCs w:val="24"/>
              <w:lang w:eastAsia="nl-NL"/>
              <w14:ligatures w14:val="standardContextual"/>
            </w:rPr>
          </w:pPr>
          <w:hyperlink w:history="1" w:anchor="_Toc198721066">
            <w:r w:rsidRPr="0063290F" w:rsidR="00B13299">
              <w:rPr>
                <w:rStyle w:val="Hyperlink"/>
                <w:noProof/>
              </w:rPr>
              <w:t>5.2 Zorgplicht</w:t>
            </w:r>
            <w:r w:rsidR="00B13299">
              <w:rPr>
                <w:noProof/>
                <w:webHidden/>
              </w:rPr>
              <w:tab/>
            </w:r>
            <w:r w:rsidR="00B13299">
              <w:rPr>
                <w:noProof/>
                <w:webHidden/>
              </w:rPr>
              <w:fldChar w:fldCharType="begin"/>
            </w:r>
            <w:r w:rsidR="00B13299">
              <w:rPr>
                <w:noProof/>
                <w:webHidden/>
              </w:rPr>
              <w:instrText xml:space="preserve"> PAGEREF _Toc198721066 \h </w:instrText>
            </w:r>
            <w:r w:rsidR="00B13299">
              <w:rPr>
                <w:noProof/>
                <w:webHidden/>
              </w:rPr>
            </w:r>
            <w:r w:rsidR="00B13299">
              <w:rPr>
                <w:noProof/>
                <w:webHidden/>
              </w:rPr>
              <w:fldChar w:fldCharType="separate"/>
            </w:r>
            <w:r w:rsidR="00B13299">
              <w:rPr>
                <w:noProof/>
                <w:webHidden/>
              </w:rPr>
              <w:t>18</w:t>
            </w:r>
            <w:r w:rsidR="00B13299">
              <w:rPr>
                <w:noProof/>
                <w:webHidden/>
              </w:rPr>
              <w:fldChar w:fldCharType="end"/>
            </w:r>
          </w:hyperlink>
        </w:p>
        <w:p w:rsidR="00B13299" w:rsidRDefault="006B23A3" w14:paraId="5D4163CD" w14:textId="32A9B476">
          <w:pPr>
            <w:pStyle w:val="Inhopg3"/>
            <w:rPr>
              <w:rFonts w:asciiTheme="minorHAnsi" w:hAnsiTheme="minorHAnsi" w:eastAsiaTheme="minorEastAsia"/>
              <w:noProof/>
              <w:kern w:val="2"/>
              <w:sz w:val="24"/>
              <w:szCs w:val="24"/>
              <w:lang w:eastAsia="nl-NL"/>
              <w14:ligatures w14:val="standardContextual"/>
            </w:rPr>
          </w:pPr>
          <w:hyperlink w:history="1" w:anchor="_Toc198721067">
            <w:r w:rsidRPr="0063290F" w:rsidR="00B13299">
              <w:rPr>
                <w:rStyle w:val="Hyperlink"/>
                <w:noProof/>
              </w:rPr>
              <w:t>5.2.1 Inleiding</w:t>
            </w:r>
            <w:r w:rsidR="00B13299">
              <w:rPr>
                <w:noProof/>
                <w:webHidden/>
              </w:rPr>
              <w:tab/>
            </w:r>
            <w:r w:rsidR="00B13299">
              <w:rPr>
                <w:noProof/>
                <w:webHidden/>
              </w:rPr>
              <w:fldChar w:fldCharType="begin"/>
            </w:r>
            <w:r w:rsidR="00B13299">
              <w:rPr>
                <w:noProof/>
                <w:webHidden/>
              </w:rPr>
              <w:instrText xml:space="preserve"> PAGEREF _Toc198721067 \h </w:instrText>
            </w:r>
            <w:r w:rsidR="00B13299">
              <w:rPr>
                <w:noProof/>
                <w:webHidden/>
              </w:rPr>
            </w:r>
            <w:r w:rsidR="00B13299">
              <w:rPr>
                <w:noProof/>
                <w:webHidden/>
              </w:rPr>
              <w:fldChar w:fldCharType="separate"/>
            </w:r>
            <w:r w:rsidR="00B13299">
              <w:rPr>
                <w:noProof/>
                <w:webHidden/>
              </w:rPr>
              <w:t>18</w:t>
            </w:r>
            <w:r w:rsidR="00B13299">
              <w:rPr>
                <w:noProof/>
                <w:webHidden/>
              </w:rPr>
              <w:fldChar w:fldCharType="end"/>
            </w:r>
          </w:hyperlink>
        </w:p>
        <w:p w:rsidR="00B13299" w:rsidRDefault="006B23A3" w14:paraId="309E9E38" w14:textId="1079E64F">
          <w:pPr>
            <w:pStyle w:val="Inhopg3"/>
            <w:rPr>
              <w:rFonts w:asciiTheme="minorHAnsi" w:hAnsiTheme="minorHAnsi" w:eastAsiaTheme="minorEastAsia"/>
              <w:noProof/>
              <w:kern w:val="2"/>
              <w:sz w:val="24"/>
              <w:szCs w:val="24"/>
              <w:lang w:eastAsia="nl-NL"/>
              <w14:ligatures w14:val="standardContextual"/>
            </w:rPr>
          </w:pPr>
          <w:hyperlink w:history="1" w:anchor="_Toc198721068">
            <w:r w:rsidRPr="0063290F" w:rsidR="00B13299">
              <w:rPr>
                <w:rStyle w:val="Hyperlink"/>
                <w:noProof/>
              </w:rPr>
              <w:t>5.2.2 Beveiliging van netwerk- en informatiesystemen</w:t>
            </w:r>
            <w:r w:rsidR="00B13299">
              <w:rPr>
                <w:noProof/>
                <w:webHidden/>
              </w:rPr>
              <w:tab/>
            </w:r>
            <w:r w:rsidR="00B13299">
              <w:rPr>
                <w:noProof/>
                <w:webHidden/>
              </w:rPr>
              <w:fldChar w:fldCharType="begin"/>
            </w:r>
            <w:r w:rsidR="00B13299">
              <w:rPr>
                <w:noProof/>
                <w:webHidden/>
              </w:rPr>
              <w:instrText xml:space="preserve"> PAGEREF _Toc198721068 \h </w:instrText>
            </w:r>
            <w:r w:rsidR="00B13299">
              <w:rPr>
                <w:noProof/>
                <w:webHidden/>
              </w:rPr>
            </w:r>
            <w:r w:rsidR="00B13299">
              <w:rPr>
                <w:noProof/>
                <w:webHidden/>
              </w:rPr>
              <w:fldChar w:fldCharType="separate"/>
            </w:r>
            <w:r w:rsidR="00B13299">
              <w:rPr>
                <w:noProof/>
                <w:webHidden/>
              </w:rPr>
              <w:t>18</w:t>
            </w:r>
            <w:r w:rsidR="00B13299">
              <w:rPr>
                <w:noProof/>
                <w:webHidden/>
              </w:rPr>
              <w:fldChar w:fldCharType="end"/>
            </w:r>
          </w:hyperlink>
        </w:p>
        <w:p w:rsidR="00B13299" w:rsidRDefault="006B23A3" w14:paraId="50288FA7" w14:textId="5E6853CD">
          <w:pPr>
            <w:pStyle w:val="Inhopg3"/>
            <w:rPr>
              <w:rFonts w:asciiTheme="minorHAnsi" w:hAnsiTheme="minorHAnsi" w:eastAsiaTheme="minorEastAsia"/>
              <w:noProof/>
              <w:kern w:val="2"/>
              <w:sz w:val="24"/>
              <w:szCs w:val="24"/>
              <w:lang w:eastAsia="nl-NL"/>
              <w14:ligatures w14:val="standardContextual"/>
            </w:rPr>
          </w:pPr>
          <w:hyperlink w:history="1" w:anchor="_Toc198721069">
            <w:r w:rsidRPr="0063290F" w:rsidR="00B13299">
              <w:rPr>
                <w:rStyle w:val="Hyperlink"/>
                <w:noProof/>
              </w:rPr>
              <w:t>5.2.3 De maatregelen</w:t>
            </w:r>
            <w:r w:rsidR="00B13299">
              <w:rPr>
                <w:noProof/>
                <w:webHidden/>
              </w:rPr>
              <w:tab/>
            </w:r>
            <w:r w:rsidR="00B13299">
              <w:rPr>
                <w:noProof/>
                <w:webHidden/>
              </w:rPr>
              <w:fldChar w:fldCharType="begin"/>
            </w:r>
            <w:r w:rsidR="00B13299">
              <w:rPr>
                <w:noProof/>
                <w:webHidden/>
              </w:rPr>
              <w:instrText xml:space="preserve"> PAGEREF _Toc198721069 \h </w:instrText>
            </w:r>
            <w:r w:rsidR="00B13299">
              <w:rPr>
                <w:noProof/>
                <w:webHidden/>
              </w:rPr>
            </w:r>
            <w:r w:rsidR="00B13299">
              <w:rPr>
                <w:noProof/>
                <w:webHidden/>
              </w:rPr>
              <w:fldChar w:fldCharType="separate"/>
            </w:r>
            <w:r w:rsidR="00B13299">
              <w:rPr>
                <w:noProof/>
                <w:webHidden/>
              </w:rPr>
              <w:t>19</w:t>
            </w:r>
            <w:r w:rsidR="00B13299">
              <w:rPr>
                <w:noProof/>
                <w:webHidden/>
              </w:rPr>
              <w:fldChar w:fldCharType="end"/>
            </w:r>
          </w:hyperlink>
        </w:p>
        <w:p w:rsidR="00B13299" w:rsidRDefault="006B23A3" w14:paraId="3F1BD42F" w14:textId="4744DC9E">
          <w:pPr>
            <w:pStyle w:val="Inhopg2"/>
            <w:rPr>
              <w:rFonts w:asciiTheme="minorHAnsi" w:hAnsiTheme="minorHAnsi" w:eastAsiaTheme="minorEastAsia"/>
              <w:noProof/>
              <w:kern w:val="2"/>
              <w:sz w:val="24"/>
              <w:szCs w:val="24"/>
              <w:lang w:eastAsia="nl-NL"/>
              <w14:ligatures w14:val="standardContextual"/>
            </w:rPr>
          </w:pPr>
          <w:hyperlink w:history="1" w:anchor="_Toc198721070">
            <w:r w:rsidRPr="0063290F" w:rsidR="00B13299">
              <w:rPr>
                <w:rStyle w:val="Hyperlink"/>
                <w:noProof/>
              </w:rPr>
              <w:t>5.3 Governance</w:t>
            </w:r>
            <w:r w:rsidR="00B13299">
              <w:rPr>
                <w:noProof/>
                <w:webHidden/>
              </w:rPr>
              <w:tab/>
            </w:r>
            <w:r w:rsidR="00B13299">
              <w:rPr>
                <w:noProof/>
                <w:webHidden/>
              </w:rPr>
              <w:fldChar w:fldCharType="begin"/>
            </w:r>
            <w:r w:rsidR="00B13299">
              <w:rPr>
                <w:noProof/>
                <w:webHidden/>
              </w:rPr>
              <w:instrText xml:space="preserve"> PAGEREF _Toc198721070 \h </w:instrText>
            </w:r>
            <w:r w:rsidR="00B13299">
              <w:rPr>
                <w:noProof/>
                <w:webHidden/>
              </w:rPr>
            </w:r>
            <w:r w:rsidR="00B13299">
              <w:rPr>
                <w:noProof/>
                <w:webHidden/>
              </w:rPr>
              <w:fldChar w:fldCharType="separate"/>
            </w:r>
            <w:r w:rsidR="00B13299">
              <w:rPr>
                <w:noProof/>
                <w:webHidden/>
              </w:rPr>
              <w:t>20</w:t>
            </w:r>
            <w:r w:rsidR="00B13299">
              <w:rPr>
                <w:noProof/>
                <w:webHidden/>
              </w:rPr>
              <w:fldChar w:fldCharType="end"/>
            </w:r>
          </w:hyperlink>
        </w:p>
        <w:p w:rsidR="00B13299" w:rsidRDefault="006B23A3" w14:paraId="29A7D2BC" w14:textId="26FF2357">
          <w:pPr>
            <w:pStyle w:val="Inhopg3"/>
            <w:rPr>
              <w:rFonts w:asciiTheme="minorHAnsi" w:hAnsiTheme="minorHAnsi" w:eastAsiaTheme="minorEastAsia"/>
              <w:noProof/>
              <w:kern w:val="2"/>
              <w:sz w:val="24"/>
              <w:szCs w:val="24"/>
              <w:lang w:eastAsia="nl-NL"/>
              <w14:ligatures w14:val="standardContextual"/>
            </w:rPr>
          </w:pPr>
          <w:hyperlink w:history="1" w:anchor="_Toc198721071">
            <w:r w:rsidRPr="0063290F" w:rsidR="00B13299">
              <w:rPr>
                <w:rStyle w:val="Hyperlink"/>
                <w:noProof/>
              </w:rPr>
              <w:t>5.3.1 Inleiding</w:t>
            </w:r>
            <w:r w:rsidR="00B13299">
              <w:rPr>
                <w:noProof/>
                <w:webHidden/>
              </w:rPr>
              <w:tab/>
            </w:r>
            <w:r w:rsidR="00B13299">
              <w:rPr>
                <w:noProof/>
                <w:webHidden/>
              </w:rPr>
              <w:fldChar w:fldCharType="begin"/>
            </w:r>
            <w:r w:rsidR="00B13299">
              <w:rPr>
                <w:noProof/>
                <w:webHidden/>
              </w:rPr>
              <w:instrText xml:space="preserve"> PAGEREF _Toc198721071 \h </w:instrText>
            </w:r>
            <w:r w:rsidR="00B13299">
              <w:rPr>
                <w:noProof/>
                <w:webHidden/>
              </w:rPr>
            </w:r>
            <w:r w:rsidR="00B13299">
              <w:rPr>
                <w:noProof/>
                <w:webHidden/>
              </w:rPr>
              <w:fldChar w:fldCharType="separate"/>
            </w:r>
            <w:r w:rsidR="00B13299">
              <w:rPr>
                <w:noProof/>
                <w:webHidden/>
              </w:rPr>
              <w:t>20</w:t>
            </w:r>
            <w:r w:rsidR="00B13299">
              <w:rPr>
                <w:noProof/>
                <w:webHidden/>
              </w:rPr>
              <w:fldChar w:fldCharType="end"/>
            </w:r>
          </w:hyperlink>
        </w:p>
        <w:p w:rsidR="00B13299" w:rsidRDefault="006B23A3" w14:paraId="264C50F6" w14:textId="5CB8AA23">
          <w:pPr>
            <w:pStyle w:val="Inhopg3"/>
            <w:rPr>
              <w:rFonts w:asciiTheme="minorHAnsi" w:hAnsiTheme="minorHAnsi" w:eastAsiaTheme="minorEastAsia"/>
              <w:noProof/>
              <w:kern w:val="2"/>
              <w:sz w:val="24"/>
              <w:szCs w:val="24"/>
              <w:lang w:eastAsia="nl-NL"/>
              <w14:ligatures w14:val="standardContextual"/>
            </w:rPr>
          </w:pPr>
          <w:hyperlink w:history="1" w:anchor="_Toc198721072">
            <w:r w:rsidRPr="0063290F" w:rsidR="00B13299">
              <w:rPr>
                <w:rStyle w:val="Hyperlink"/>
                <w:noProof/>
              </w:rPr>
              <w:t>5.3.2 Training</w:t>
            </w:r>
            <w:r w:rsidR="00B13299">
              <w:rPr>
                <w:noProof/>
                <w:webHidden/>
              </w:rPr>
              <w:tab/>
            </w:r>
            <w:r w:rsidR="00B13299">
              <w:rPr>
                <w:noProof/>
                <w:webHidden/>
              </w:rPr>
              <w:fldChar w:fldCharType="begin"/>
            </w:r>
            <w:r w:rsidR="00B13299">
              <w:rPr>
                <w:noProof/>
                <w:webHidden/>
              </w:rPr>
              <w:instrText xml:space="preserve"> PAGEREF _Toc198721072 \h </w:instrText>
            </w:r>
            <w:r w:rsidR="00B13299">
              <w:rPr>
                <w:noProof/>
                <w:webHidden/>
              </w:rPr>
            </w:r>
            <w:r w:rsidR="00B13299">
              <w:rPr>
                <w:noProof/>
                <w:webHidden/>
              </w:rPr>
              <w:fldChar w:fldCharType="separate"/>
            </w:r>
            <w:r w:rsidR="00B13299">
              <w:rPr>
                <w:noProof/>
                <w:webHidden/>
              </w:rPr>
              <w:t>21</w:t>
            </w:r>
            <w:r w:rsidR="00B13299">
              <w:rPr>
                <w:noProof/>
                <w:webHidden/>
              </w:rPr>
              <w:fldChar w:fldCharType="end"/>
            </w:r>
          </w:hyperlink>
        </w:p>
        <w:p w:rsidR="00B13299" w:rsidRDefault="006B23A3" w14:paraId="58CABEF7" w14:textId="03B3A62A">
          <w:pPr>
            <w:pStyle w:val="Inhopg3"/>
            <w:rPr>
              <w:rFonts w:asciiTheme="minorHAnsi" w:hAnsiTheme="minorHAnsi" w:eastAsiaTheme="minorEastAsia"/>
              <w:noProof/>
              <w:kern w:val="2"/>
              <w:sz w:val="24"/>
              <w:szCs w:val="24"/>
              <w:lang w:eastAsia="nl-NL"/>
              <w14:ligatures w14:val="standardContextual"/>
            </w:rPr>
          </w:pPr>
          <w:hyperlink w:history="1" w:anchor="_Toc198721073">
            <w:r w:rsidRPr="0063290F" w:rsidR="00B13299">
              <w:rPr>
                <w:rStyle w:val="Hyperlink"/>
                <w:noProof/>
              </w:rPr>
              <w:t>5.3.3 Normadressaat</w:t>
            </w:r>
            <w:r w:rsidR="00B13299">
              <w:rPr>
                <w:noProof/>
                <w:webHidden/>
              </w:rPr>
              <w:tab/>
            </w:r>
            <w:r w:rsidR="00B13299">
              <w:rPr>
                <w:noProof/>
                <w:webHidden/>
              </w:rPr>
              <w:fldChar w:fldCharType="begin"/>
            </w:r>
            <w:r w:rsidR="00B13299">
              <w:rPr>
                <w:noProof/>
                <w:webHidden/>
              </w:rPr>
              <w:instrText xml:space="preserve"> PAGEREF _Toc198721073 \h </w:instrText>
            </w:r>
            <w:r w:rsidR="00B13299">
              <w:rPr>
                <w:noProof/>
                <w:webHidden/>
              </w:rPr>
            </w:r>
            <w:r w:rsidR="00B13299">
              <w:rPr>
                <w:noProof/>
                <w:webHidden/>
              </w:rPr>
              <w:fldChar w:fldCharType="separate"/>
            </w:r>
            <w:r w:rsidR="00B13299">
              <w:rPr>
                <w:noProof/>
                <w:webHidden/>
              </w:rPr>
              <w:t>21</w:t>
            </w:r>
            <w:r w:rsidR="00B13299">
              <w:rPr>
                <w:noProof/>
                <w:webHidden/>
              </w:rPr>
              <w:fldChar w:fldCharType="end"/>
            </w:r>
          </w:hyperlink>
        </w:p>
        <w:p w:rsidR="00B13299" w:rsidRDefault="006B23A3" w14:paraId="750CDC26" w14:textId="0A02745B">
          <w:pPr>
            <w:pStyle w:val="Inhopg4"/>
            <w:rPr>
              <w:rFonts w:asciiTheme="minorHAnsi" w:hAnsiTheme="minorHAnsi" w:eastAsiaTheme="minorEastAsia"/>
              <w:noProof/>
              <w:kern w:val="2"/>
              <w:sz w:val="24"/>
              <w:szCs w:val="24"/>
              <w:lang w:eastAsia="nl-NL"/>
              <w14:ligatures w14:val="standardContextual"/>
            </w:rPr>
          </w:pPr>
          <w:hyperlink w:history="1" w:anchor="_Toc198721074">
            <w:r w:rsidRPr="0063290F" w:rsidR="00B13299">
              <w:rPr>
                <w:rStyle w:val="Hyperlink"/>
                <w:noProof/>
              </w:rPr>
              <w:t>5.3.3.1 Bestuur van essentiële entiteiten en belangrijke entiteiten, niet zijnde overheidsinstanties</w:t>
            </w:r>
            <w:r w:rsidR="00B13299">
              <w:rPr>
                <w:noProof/>
                <w:webHidden/>
              </w:rPr>
              <w:tab/>
            </w:r>
            <w:r w:rsidR="00B13299">
              <w:rPr>
                <w:noProof/>
                <w:webHidden/>
              </w:rPr>
              <w:fldChar w:fldCharType="begin"/>
            </w:r>
            <w:r w:rsidR="00B13299">
              <w:rPr>
                <w:noProof/>
                <w:webHidden/>
              </w:rPr>
              <w:instrText xml:space="preserve"> PAGEREF _Toc198721074 \h </w:instrText>
            </w:r>
            <w:r w:rsidR="00B13299">
              <w:rPr>
                <w:noProof/>
                <w:webHidden/>
              </w:rPr>
            </w:r>
            <w:r w:rsidR="00B13299">
              <w:rPr>
                <w:noProof/>
                <w:webHidden/>
              </w:rPr>
              <w:fldChar w:fldCharType="separate"/>
            </w:r>
            <w:r w:rsidR="00B13299">
              <w:rPr>
                <w:noProof/>
                <w:webHidden/>
              </w:rPr>
              <w:t>21</w:t>
            </w:r>
            <w:r w:rsidR="00B13299">
              <w:rPr>
                <w:noProof/>
                <w:webHidden/>
              </w:rPr>
              <w:fldChar w:fldCharType="end"/>
            </w:r>
          </w:hyperlink>
        </w:p>
        <w:p w:rsidR="00B13299" w:rsidRDefault="006B23A3" w14:paraId="09669685" w14:textId="69AF85B0">
          <w:pPr>
            <w:pStyle w:val="Inhopg4"/>
            <w:rPr>
              <w:rFonts w:asciiTheme="minorHAnsi" w:hAnsiTheme="minorHAnsi" w:eastAsiaTheme="minorEastAsia"/>
              <w:noProof/>
              <w:kern w:val="2"/>
              <w:sz w:val="24"/>
              <w:szCs w:val="24"/>
              <w:lang w:eastAsia="nl-NL"/>
              <w14:ligatures w14:val="standardContextual"/>
            </w:rPr>
          </w:pPr>
          <w:hyperlink w:history="1" w:anchor="_Toc198721075">
            <w:r w:rsidRPr="0063290F" w:rsidR="00B13299">
              <w:rPr>
                <w:rStyle w:val="Hyperlink"/>
                <w:noProof/>
              </w:rPr>
              <w:t>5.3.3.2 Bestuur van overheidsinstanties</w:t>
            </w:r>
            <w:r w:rsidR="00B13299">
              <w:rPr>
                <w:noProof/>
                <w:webHidden/>
              </w:rPr>
              <w:tab/>
            </w:r>
            <w:r w:rsidR="00B13299">
              <w:rPr>
                <w:noProof/>
                <w:webHidden/>
              </w:rPr>
              <w:fldChar w:fldCharType="begin"/>
            </w:r>
            <w:r w:rsidR="00B13299">
              <w:rPr>
                <w:noProof/>
                <w:webHidden/>
              </w:rPr>
              <w:instrText xml:space="preserve"> PAGEREF _Toc198721075 \h </w:instrText>
            </w:r>
            <w:r w:rsidR="00B13299">
              <w:rPr>
                <w:noProof/>
                <w:webHidden/>
              </w:rPr>
            </w:r>
            <w:r w:rsidR="00B13299">
              <w:rPr>
                <w:noProof/>
                <w:webHidden/>
              </w:rPr>
              <w:fldChar w:fldCharType="separate"/>
            </w:r>
            <w:r w:rsidR="00B13299">
              <w:rPr>
                <w:noProof/>
                <w:webHidden/>
              </w:rPr>
              <w:t>22</w:t>
            </w:r>
            <w:r w:rsidR="00B13299">
              <w:rPr>
                <w:noProof/>
                <w:webHidden/>
              </w:rPr>
              <w:fldChar w:fldCharType="end"/>
            </w:r>
          </w:hyperlink>
        </w:p>
        <w:p w:rsidR="00B13299" w:rsidRDefault="006B23A3" w14:paraId="3FA91168" w14:textId="294A3057">
          <w:pPr>
            <w:pStyle w:val="Inhopg2"/>
            <w:rPr>
              <w:rFonts w:asciiTheme="minorHAnsi" w:hAnsiTheme="minorHAnsi" w:eastAsiaTheme="minorEastAsia"/>
              <w:noProof/>
              <w:kern w:val="2"/>
              <w:sz w:val="24"/>
              <w:szCs w:val="24"/>
              <w:lang w:eastAsia="nl-NL"/>
              <w14:ligatures w14:val="standardContextual"/>
            </w:rPr>
          </w:pPr>
          <w:hyperlink w:history="1" w:anchor="_Toc198721076">
            <w:r w:rsidRPr="0063290F" w:rsidR="00B13299">
              <w:rPr>
                <w:rStyle w:val="Hyperlink"/>
                <w:noProof/>
              </w:rPr>
              <w:t>5.4 Meldplicht</w:t>
            </w:r>
            <w:r w:rsidR="00B13299">
              <w:rPr>
                <w:noProof/>
                <w:webHidden/>
              </w:rPr>
              <w:tab/>
            </w:r>
            <w:r w:rsidR="00B13299">
              <w:rPr>
                <w:noProof/>
                <w:webHidden/>
              </w:rPr>
              <w:fldChar w:fldCharType="begin"/>
            </w:r>
            <w:r w:rsidR="00B13299">
              <w:rPr>
                <w:noProof/>
                <w:webHidden/>
              </w:rPr>
              <w:instrText xml:space="preserve"> PAGEREF _Toc198721076 \h </w:instrText>
            </w:r>
            <w:r w:rsidR="00B13299">
              <w:rPr>
                <w:noProof/>
                <w:webHidden/>
              </w:rPr>
            </w:r>
            <w:r w:rsidR="00B13299">
              <w:rPr>
                <w:noProof/>
                <w:webHidden/>
              </w:rPr>
              <w:fldChar w:fldCharType="separate"/>
            </w:r>
            <w:r w:rsidR="00B13299">
              <w:rPr>
                <w:noProof/>
                <w:webHidden/>
              </w:rPr>
              <w:t>23</w:t>
            </w:r>
            <w:r w:rsidR="00B13299">
              <w:rPr>
                <w:noProof/>
                <w:webHidden/>
              </w:rPr>
              <w:fldChar w:fldCharType="end"/>
            </w:r>
          </w:hyperlink>
        </w:p>
        <w:p w:rsidR="00B13299" w:rsidRDefault="006B23A3" w14:paraId="540D993F" w14:textId="3920C95A">
          <w:pPr>
            <w:pStyle w:val="Inhopg2"/>
            <w:rPr>
              <w:rFonts w:asciiTheme="minorHAnsi" w:hAnsiTheme="minorHAnsi" w:eastAsiaTheme="minorEastAsia"/>
              <w:noProof/>
              <w:kern w:val="2"/>
              <w:sz w:val="24"/>
              <w:szCs w:val="24"/>
              <w:lang w:eastAsia="nl-NL"/>
              <w14:ligatures w14:val="standardContextual"/>
            </w:rPr>
          </w:pPr>
          <w:hyperlink w:history="1" w:anchor="_Toc198721077">
            <w:r w:rsidRPr="0063290F" w:rsidR="00B13299">
              <w:rPr>
                <w:rStyle w:val="Hyperlink"/>
                <w:noProof/>
              </w:rPr>
              <w:t>5.5 CSIRT</w:t>
            </w:r>
            <w:r w:rsidR="00B13299">
              <w:rPr>
                <w:noProof/>
                <w:webHidden/>
              </w:rPr>
              <w:tab/>
            </w:r>
            <w:r w:rsidR="00B13299">
              <w:rPr>
                <w:noProof/>
                <w:webHidden/>
              </w:rPr>
              <w:fldChar w:fldCharType="begin"/>
            </w:r>
            <w:r w:rsidR="00B13299">
              <w:rPr>
                <w:noProof/>
                <w:webHidden/>
              </w:rPr>
              <w:instrText xml:space="preserve"> PAGEREF _Toc198721077 \h </w:instrText>
            </w:r>
            <w:r w:rsidR="00B13299">
              <w:rPr>
                <w:noProof/>
                <w:webHidden/>
              </w:rPr>
            </w:r>
            <w:r w:rsidR="00B13299">
              <w:rPr>
                <w:noProof/>
                <w:webHidden/>
              </w:rPr>
              <w:fldChar w:fldCharType="separate"/>
            </w:r>
            <w:r w:rsidR="00B13299">
              <w:rPr>
                <w:noProof/>
                <w:webHidden/>
              </w:rPr>
              <w:t>26</w:t>
            </w:r>
            <w:r w:rsidR="00B13299">
              <w:rPr>
                <w:noProof/>
                <w:webHidden/>
              </w:rPr>
              <w:fldChar w:fldCharType="end"/>
            </w:r>
          </w:hyperlink>
        </w:p>
        <w:p w:rsidR="00B13299" w:rsidRDefault="006B23A3" w14:paraId="28BCF741" w14:textId="28E5393B">
          <w:pPr>
            <w:pStyle w:val="Inhopg3"/>
            <w:rPr>
              <w:rFonts w:asciiTheme="minorHAnsi" w:hAnsiTheme="minorHAnsi" w:eastAsiaTheme="minorEastAsia"/>
              <w:noProof/>
              <w:kern w:val="2"/>
              <w:sz w:val="24"/>
              <w:szCs w:val="24"/>
              <w:lang w:eastAsia="nl-NL"/>
              <w14:ligatures w14:val="standardContextual"/>
            </w:rPr>
          </w:pPr>
          <w:hyperlink w:history="1" w:anchor="_Toc198721078">
            <w:r w:rsidRPr="0063290F" w:rsidR="00B13299">
              <w:rPr>
                <w:rStyle w:val="Hyperlink"/>
                <w:noProof/>
              </w:rPr>
              <w:t>5.5.1 Aanwijzing CSIRT’s</w:t>
            </w:r>
            <w:r w:rsidR="00B13299">
              <w:rPr>
                <w:noProof/>
                <w:webHidden/>
              </w:rPr>
              <w:tab/>
            </w:r>
            <w:r w:rsidR="00B13299">
              <w:rPr>
                <w:noProof/>
                <w:webHidden/>
              </w:rPr>
              <w:fldChar w:fldCharType="begin"/>
            </w:r>
            <w:r w:rsidR="00B13299">
              <w:rPr>
                <w:noProof/>
                <w:webHidden/>
              </w:rPr>
              <w:instrText xml:space="preserve"> PAGEREF _Toc198721078 \h </w:instrText>
            </w:r>
            <w:r w:rsidR="00B13299">
              <w:rPr>
                <w:noProof/>
                <w:webHidden/>
              </w:rPr>
            </w:r>
            <w:r w:rsidR="00B13299">
              <w:rPr>
                <w:noProof/>
                <w:webHidden/>
              </w:rPr>
              <w:fldChar w:fldCharType="separate"/>
            </w:r>
            <w:r w:rsidR="00B13299">
              <w:rPr>
                <w:noProof/>
                <w:webHidden/>
              </w:rPr>
              <w:t>26</w:t>
            </w:r>
            <w:r w:rsidR="00B13299">
              <w:rPr>
                <w:noProof/>
                <w:webHidden/>
              </w:rPr>
              <w:fldChar w:fldCharType="end"/>
            </w:r>
          </w:hyperlink>
        </w:p>
        <w:p w:rsidR="00B13299" w:rsidRDefault="006B23A3" w14:paraId="74664BA2" w14:textId="410E46E9">
          <w:pPr>
            <w:pStyle w:val="Inhopg3"/>
            <w:rPr>
              <w:rFonts w:asciiTheme="minorHAnsi" w:hAnsiTheme="minorHAnsi" w:eastAsiaTheme="minorEastAsia"/>
              <w:noProof/>
              <w:kern w:val="2"/>
              <w:sz w:val="24"/>
              <w:szCs w:val="24"/>
              <w:lang w:eastAsia="nl-NL"/>
              <w14:ligatures w14:val="standardContextual"/>
            </w:rPr>
          </w:pPr>
          <w:hyperlink w:history="1" w:anchor="_Toc198721079">
            <w:r w:rsidRPr="0063290F" w:rsidR="00B13299">
              <w:rPr>
                <w:rStyle w:val="Hyperlink"/>
                <w:noProof/>
              </w:rPr>
              <w:t>5.5.2 Verwerking van gegevens door het CSIRT</w:t>
            </w:r>
            <w:r w:rsidR="00B13299">
              <w:rPr>
                <w:noProof/>
                <w:webHidden/>
              </w:rPr>
              <w:tab/>
            </w:r>
            <w:r w:rsidR="00B13299">
              <w:rPr>
                <w:noProof/>
                <w:webHidden/>
              </w:rPr>
              <w:fldChar w:fldCharType="begin"/>
            </w:r>
            <w:r w:rsidR="00B13299">
              <w:rPr>
                <w:noProof/>
                <w:webHidden/>
              </w:rPr>
              <w:instrText xml:space="preserve"> PAGEREF _Toc198721079 \h </w:instrText>
            </w:r>
            <w:r w:rsidR="00B13299">
              <w:rPr>
                <w:noProof/>
                <w:webHidden/>
              </w:rPr>
            </w:r>
            <w:r w:rsidR="00B13299">
              <w:rPr>
                <w:noProof/>
                <w:webHidden/>
              </w:rPr>
              <w:fldChar w:fldCharType="separate"/>
            </w:r>
            <w:r w:rsidR="00B13299">
              <w:rPr>
                <w:noProof/>
                <w:webHidden/>
              </w:rPr>
              <w:t>26</w:t>
            </w:r>
            <w:r w:rsidR="00B13299">
              <w:rPr>
                <w:noProof/>
                <w:webHidden/>
              </w:rPr>
              <w:fldChar w:fldCharType="end"/>
            </w:r>
          </w:hyperlink>
        </w:p>
        <w:p w:rsidR="00B13299" w:rsidRDefault="006B23A3" w14:paraId="13706996" w14:textId="544AA185">
          <w:pPr>
            <w:pStyle w:val="Inhopg3"/>
            <w:rPr>
              <w:rFonts w:asciiTheme="minorHAnsi" w:hAnsiTheme="minorHAnsi" w:eastAsiaTheme="minorEastAsia"/>
              <w:noProof/>
              <w:kern w:val="2"/>
              <w:sz w:val="24"/>
              <w:szCs w:val="24"/>
              <w:lang w:eastAsia="nl-NL"/>
              <w14:ligatures w14:val="standardContextual"/>
            </w:rPr>
          </w:pPr>
          <w:hyperlink w:history="1" w:anchor="_Toc198721080">
            <w:r w:rsidRPr="0063290F" w:rsidR="00B13299">
              <w:rPr>
                <w:rStyle w:val="Hyperlink"/>
                <w:noProof/>
              </w:rPr>
              <w:t>5.5.3 Rol NCSC</w:t>
            </w:r>
            <w:r w:rsidR="00B13299">
              <w:rPr>
                <w:noProof/>
                <w:webHidden/>
              </w:rPr>
              <w:tab/>
            </w:r>
            <w:r w:rsidR="00B13299">
              <w:rPr>
                <w:noProof/>
                <w:webHidden/>
              </w:rPr>
              <w:fldChar w:fldCharType="begin"/>
            </w:r>
            <w:r w:rsidR="00B13299">
              <w:rPr>
                <w:noProof/>
                <w:webHidden/>
              </w:rPr>
              <w:instrText xml:space="preserve"> PAGEREF _Toc198721080 \h </w:instrText>
            </w:r>
            <w:r w:rsidR="00B13299">
              <w:rPr>
                <w:noProof/>
                <w:webHidden/>
              </w:rPr>
            </w:r>
            <w:r w:rsidR="00B13299">
              <w:rPr>
                <w:noProof/>
                <w:webHidden/>
              </w:rPr>
              <w:fldChar w:fldCharType="separate"/>
            </w:r>
            <w:r w:rsidR="00B13299">
              <w:rPr>
                <w:noProof/>
                <w:webHidden/>
              </w:rPr>
              <w:t>27</w:t>
            </w:r>
            <w:r w:rsidR="00B13299">
              <w:rPr>
                <w:noProof/>
                <w:webHidden/>
              </w:rPr>
              <w:fldChar w:fldCharType="end"/>
            </w:r>
          </w:hyperlink>
        </w:p>
        <w:p w:rsidR="00B13299" w:rsidRDefault="006B23A3" w14:paraId="5A8F49FA" w14:textId="395716BB">
          <w:pPr>
            <w:pStyle w:val="Inhopg3"/>
            <w:rPr>
              <w:rFonts w:asciiTheme="minorHAnsi" w:hAnsiTheme="minorHAnsi" w:eastAsiaTheme="minorEastAsia"/>
              <w:noProof/>
              <w:kern w:val="2"/>
              <w:sz w:val="24"/>
              <w:szCs w:val="24"/>
              <w:lang w:eastAsia="nl-NL"/>
              <w14:ligatures w14:val="standardContextual"/>
            </w:rPr>
          </w:pPr>
          <w:hyperlink w:history="1" w:anchor="_Toc198721081">
            <w:r w:rsidRPr="0063290F" w:rsidR="00B13299">
              <w:rPr>
                <w:rStyle w:val="Hyperlink"/>
                <w:noProof/>
              </w:rPr>
              <w:t>5.5.4 Samenwerking tussen CSIRT’s</w:t>
            </w:r>
            <w:r w:rsidR="00B13299">
              <w:rPr>
                <w:noProof/>
                <w:webHidden/>
              </w:rPr>
              <w:tab/>
            </w:r>
            <w:r w:rsidR="00B13299">
              <w:rPr>
                <w:noProof/>
                <w:webHidden/>
              </w:rPr>
              <w:fldChar w:fldCharType="begin"/>
            </w:r>
            <w:r w:rsidR="00B13299">
              <w:rPr>
                <w:noProof/>
                <w:webHidden/>
              </w:rPr>
              <w:instrText xml:space="preserve"> PAGEREF _Toc198721081 \h </w:instrText>
            </w:r>
            <w:r w:rsidR="00B13299">
              <w:rPr>
                <w:noProof/>
                <w:webHidden/>
              </w:rPr>
            </w:r>
            <w:r w:rsidR="00B13299">
              <w:rPr>
                <w:noProof/>
                <w:webHidden/>
              </w:rPr>
              <w:fldChar w:fldCharType="separate"/>
            </w:r>
            <w:r w:rsidR="00B13299">
              <w:rPr>
                <w:noProof/>
                <w:webHidden/>
              </w:rPr>
              <w:t>27</w:t>
            </w:r>
            <w:r w:rsidR="00B13299">
              <w:rPr>
                <w:noProof/>
                <w:webHidden/>
              </w:rPr>
              <w:fldChar w:fldCharType="end"/>
            </w:r>
          </w:hyperlink>
        </w:p>
        <w:p w:rsidR="00B13299" w:rsidRDefault="006B23A3" w14:paraId="4615D549" w14:textId="2236F179">
          <w:pPr>
            <w:pStyle w:val="Inhopg2"/>
            <w:rPr>
              <w:rFonts w:asciiTheme="minorHAnsi" w:hAnsiTheme="minorHAnsi" w:eastAsiaTheme="minorEastAsia"/>
              <w:noProof/>
              <w:kern w:val="2"/>
              <w:sz w:val="24"/>
              <w:szCs w:val="24"/>
              <w:lang w:eastAsia="nl-NL"/>
              <w14:ligatures w14:val="standardContextual"/>
            </w:rPr>
          </w:pPr>
          <w:hyperlink w:history="1" w:anchor="_Toc198721082">
            <w:r w:rsidRPr="0063290F" w:rsidR="00B13299">
              <w:rPr>
                <w:rStyle w:val="Hyperlink"/>
                <w:noProof/>
              </w:rPr>
              <w:t>5.6 Handhaving</w:t>
            </w:r>
            <w:r w:rsidR="00B13299">
              <w:rPr>
                <w:noProof/>
                <w:webHidden/>
              </w:rPr>
              <w:tab/>
            </w:r>
            <w:r w:rsidR="00B13299">
              <w:rPr>
                <w:noProof/>
                <w:webHidden/>
              </w:rPr>
              <w:fldChar w:fldCharType="begin"/>
            </w:r>
            <w:r w:rsidR="00B13299">
              <w:rPr>
                <w:noProof/>
                <w:webHidden/>
              </w:rPr>
              <w:instrText xml:space="preserve"> PAGEREF _Toc198721082 \h </w:instrText>
            </w:r>
            <w:r w:rsidR="00B13299">
              <w:rPr>
                <w:noProof/>
                <w:webHidden/>
              </w:rPr>
            </w:r>
            <w:r w:rsidR="00B13299">
              <w:rPr>
                <w:noProof/>
                <w:webHidden/>
              </w:rPr>
              <w:fldChar w:fldCharType="separate"/>
            </w:r>
            <w:r w:rsidR="00B13299">
              <w:rPr>
                <w:noProof/>
                <w:webHidden/>
              </w:rPr>
              <w:t>28</w:t>
            </w:r>
            <w:r w:rsidR="00B13299">
              <w:rPr>
                <w:noProof/>
                <w:webHidden/>
              </w:rPr>
              <w:fldChar w:fldCharType="end"/>
            </w:r>
          </w:hyperlink>
        </w:p>
        <w:p w:rsidR="00B13299" w:rsidRDefault="006B23A3" w14:paraId="4EA426B6" w14:textId="4A26AAB2">
          <w:pPr>
            <w:pStyle w:val="Inhopg3"/>
            <w:rPr>
              <w:rFonts w:asciiTheme="minorHAnsi" w:hAnsiTheme="minorHAnsi" w:eastAsiaTheme="minorEastAsia"/>
              <w:noProof/>
              <w:kern w:val="2"/>
              <w:sz w:val="24"/>
              <w:szCs w:val="24"/>
              <w:lang w:eastAsia="nl-NL"/>
              <w14:ligatures w14:val="standardContextual"/>
            </w:rPr>
          </w:pPr>
          <w:hyperlink w:history="1" w:anchor="_Toc198721083">
            <w:r w:rsidRPr="0063290F" w:rsidR="00B13299">
              <w:rPr>
                <w:rStyle w:val="Hyperlink"/>
                <w:noProof/>
              </w:rPr>
              <w:t>5.6.1 Handhaving van verplichtingen uit Cbw, uitvoeringshandelingen en gedelegeerde handelingen</w:t>
            </w:r>
            <w:r w:rsidR="00B13299">
              <w:rPr>
                <w:noProof/>
                <w:webHidden/>
              </w:rPr>
              <w:tab/>
            </w:r>
            <w:r w:rsidR="00B13299">
              <w:rPr>
                <w:noProof/>
                <w:webHidden/>
              </w:rPr>
              <w:fldChar w:fldCharType="begin"/>
            </w:r>
            <w:r w:rsidR="00B13299">
              <w:rPr>
                <w:noProof/>
                <w:webHidden/>
              </w:rPr>
              <w:instrText xml:space="preserve"> PAGEREF _Toc198721083 \h </w:instrText>
            </w:r>
            <w:r w:rsidR="00B13299">
              <w:rPr>
                <w:noProof/>
                <w:webHidden/>
              </w:rPr>
            </w:r>
            <w:r w:rsidR="00B13299">
              <w:rPr>
                <w:noProof/>
                <w:webHidden/>
              </w:rPr>
              <w:fldChar w:fldCharType="separate"/>
            </w:r>
            <w:r w:rsidR="00B13299">
              <w:rPr>
                <w:noProof/>
                <w:webHidden/>
              </w:rPr>
              <w:t>28</w:t>
            </w:r>
            <w:r w:rsidR="00B13299">
              <w:rPr>
                <w:noProof/>
                <w:webHidden/>
              </w:rPr>
              <w:fldChar w:fldCharType="end"/>
            </w:r>
          </w:hyperlink>
        </w:p>
        <w:p w:rsidR="00B13299" w:rsidRDefault="006B23A3" w14:paraId="0A6E021E" w14:textId="5BB2AA63">
          <w:pPr>
            <w:pStyle w:val="Inhopg3"/>
            <w:rPr>
              <w:rFonts w:asciiTheme="minorHAnsi" w:hAnsiTheme="minorHAnsi" w:eastAsiaTheme="minorEastAsia"/>
              <w:noProof/>
              <w:kern w:val="2"/>
              <w:sz w:val="24"/>
              <w:szCs w:val="24"/>
              <w:lang w:eastAsia="nl-NL"/>
              <w14:ligatures w14:val="standardContextual"/>
            </w:rPr>
          </w:pPr>
          <w:hyperlink w:history="1" w:anchor="_Toc198721084">
            <w:r w:rsidRPr="0063290F" w:rsidR="00B13299">
              <w:rPr>
                <w:rStyle w:val="Hyperlink"/>
                <w:noProof/>
              </w:rPr>
              <w:t>5.6.2 Bestuursrechtelijke handhaving</w:t>
            </w:r>
            <w:r w:rsidR="00B13299">
              <w:rPr>
                <w:noProof/>
                <w:webHidden/>
              </w:rPr>
              <w:tab/>
            </w:r>
            <w:r w:rsidR="00B13299">
              <w:rPr>
                <w:noProof/>
                <w:webHidden/>
              </w:rPr>
              <w:fldChar w:fldCharType="begin"/>
            </w:r>
            <w:r w:rsidR="00B13299">
              <w:rPr>
                <w:noProof/>
                <w:webHidden/>
              </w:rPr>
              <w:instrText xml:space="preserve"> PAGEREF _Toc198721084 \h </w:instrText>
            </w:r>
            <w:r w:rsidR="00B13299">
              <w:rPr>
                <w:noProof/>
                <w:webHidden/>
              </w:rPr>
            </w:r>
            <w:r w:rsidR="00B13299">
              <w:rPr>
                <w:noProof/>
                <w:webHidden/>
              </w:rPr>
              <w:fldChar w:fldCharType="separate"/>
            </w:r>
            <w:r w:rsidR="00B13299">
              <w:rPr>
                <w:noProof/>
                <w:webHidden/>
              </w:rPr>
              <w:t>29</w:t>
            </w:r>
            <w:r w:rsidR="00B13299">
              <w:rPr>
                <w:noProof/>
                <w:webHidden/>
              </w:rPr>
              <w:fldChar w:fldCharType="end"/>
            </w:r>
          </w:hyperlink>
        </w:p>
        <w:p w:rsidR="00B13299" w:rsidRDefault="006B23A3" w14:paraId="3953DEE3" w14:textId="75F930E6">
          <w:pPr>
            <w:pStyle w:val="Inhopg3"/>
            <w:rPr>
              <w:rFonts w:asciiTheme="minorHAnsi" w:hAnsiTheme="minorHAnsi" w:eastAsiaTheme="minorEastAsia"/>
              <w:noProof/>
              <w:kern w:val="2"/>
              <w:sz w:val="24"/>
              <w:szCs w:val="24"/>
              <w:lang w:eastAsia="nl-NL"/>
              <w14:ligatures w14:val="standardContextual"/>
            </w:rPr>
          </w:pPr>
          <w:hyperlink w:history="1" w:anchor="_Toc198721085">
            <w:r w:rsidRPr="0063290F" w:rsidR="00B13299">
              <w:rPr>
                <w:rStyle w:val="Hyperlink"/>
                <w:noProof/>
              </w:rPr>
              <w:t>5.6.3 Differentiatie in het toezicht</w:t>
            </w:r>
            <w:r w:rsidR="00B13299">
              <w:rPr>
                <w:noProof/>
                <w:webHidden/>
              </w:rPr>
              <w:tab/>
            </w:r>
            <w:r w:rsidR="00B13299">
              <w:rPr>
                <w:noProof/>
                <w:webHidden/>
              </w:rPr>
              <w:fldChar w:fldCharType="begin"/>
            </w:r>
            <w:r w:rsidR="00B13299">
              <w:rPr>
                <w:noProof/>
                <w:webHidden/>
              </w:rPr>
              <w:instrText xml:space="preserve"> PAGEREF _Toc198721085 \h </w:instrText>
            </w:r>
            <w:r w:rsidR="00B13299">
              <w:rPr>
                <w:noProof/>
                <w:webHidden/>
              </w:rPr>
            </w:r>
            <w:r w:rsidR="00B13299">
              <w:rPr>
                <w:noProof/>
                <w:webHidden/>
              </w:rPr>
              <w:fldChar w:fldCharType="separate"/>
            </w:r>
            <w:r w:rsidR="00B13299">
              <w:rPr>
                <w:noProof/>
                <w:webHidden/>
              </w:rPr>
              <w:t>29</w:t>
            </w:r>
            <w:r w:rsidR="00B13299">
              <w:rPr>
                <w:noProof/>
                <w:webHidden/>
              </w:rPr>
              <w:fldChar w:fldCharType="end"/>
            </w:r>
          </w:hyperlink>
        </w:p>
        <w:p w:rsidR="00B13299" w:rsidRDefault="006B23A3" w14:paraId="619A87D3" w14:textId="37C2F83D">
          <w:pPr>
            <w:pStyle w:val="Inhopg3"/>
            <w:rPr>
              <w:rFonts w:asciiTheme="minorHAnsi" w:hAnsiTheme="minorHAnsi" w:eastAsiaTheme="minorEastAsia"/>
              <w:noProof/>
              <w:kern w:val="2"/>
              <w:sz w:val="24"/>
              <w:szCs w:val="24"/>
              <w:lang w:eastAsia="nl-NL"/>
              <w14:ligatures w14:val="standardContextual"/>
            </w:rPr>
          </w:pPr>
          <w:hyperlink w:history="1" w:anchor="_Toc198721086">
            <w:r w:rsidRPr="0063290F" w:rsidR="00B13299">
              <w:rPr>
                <w:rStyle w:val="Hyperlink"/>
                <w:noProof/>
              </w:rPr>
              <w:t>5.6.4 Handhavingsinstrumentarium</w:t>
            </w:r>
            <w:r w:rsidR="00B13299">
              <w:rPr>
                <w:noProof/>
                <w:webHidden/>
              </w:rPr>
              <w:tab/>
            </w:r>
            <w:r w:rsidR="00B13299">
              <w:rPr>
                <w:noProof/>
                <w:webHidden/>
              </w:rPr>
              <w:fldChar w:fldCharType="begin"/>
            </w:r>
            <w:r w:rsidR="00B13299">
              <w:rPr>
                <w:noProof/>
                <w:webHidden/>
              </w:rPr>
              <w:instrText xml:space="preserve"> PAGEREF _Toc198721086 \h </w:instrText>
            </w:r>
            <w:r w:rsidR="00B13299">
              <w:rPr>
                <w:noProof/>
                <w:webHidden/>
              </w:rPr>
            </w:r>
            <w:r w:rsidR="00B13299">
              <w:rPr>
                <w:noProof/>
                <w:webHidden/>
              </w:rPr>
              <w:fldChar w:fldCharType="separate"/>
            </w:r>
            <w:r w:rsidR="00B13299">
              <w:rPr>
                <w:noProof/>
                <w:webHidden/>
              </w:rPr>
              <w:t>31</w:t>
            </w:r>
            <w:r w:rsidR="00B13299">
              <w:rPr>
                <w:noProof/>
                <w:webHidden/>
              </w:rPr>
              <w:fldChar w:fldCharType="end"/>
            </w:r>
          </w:hyperlink>
        </w:p>
        <w:p w:rsidR="00B13299" w:rsidRDefault="006B23A3" w14:paraId="00598FEF" w14:textId="25600ABF">
          <w:pPr>
            <w:pStyle w:val="Inhopg3"/>
            <w:rPr>
              <w:rFonts w:asciiTheme="minorHAnsi" w:hAnsiTheme="minorHAnsi" w:eastAsiaTheme="minorEastAsia"/>
              <w:noProof/>
              <w:kern w:val="2"/>
              <w:sz w:val="24"/>
              <w:szCs w:val="24"/>
              <w:lang w:eastAsia="nl-NL"/>
              <w14:ligatures w14:val="standardContextual"/>
            </w:rPr>
          </w:pPr>
          <w:hyperlink w:history="1" w:anchor="_Toc198721087">
            <w:r w:rsidRPr="0063290F" w:rsidR="00B13299">
              <w:rPr>
                <w:rStyle w:val="Hyperlink"/>
                <w:noProof/>
              </w:rPr>
              <w:t>5.6.5 Bepalen einddatum, verzoek tot schorsing certificering of vergunning en verzoek tot schorsing leden van het bestuur</w:t>
            </w:r>
            <w:r w:rsidR="00B13299">
              <w:rPr>
                <w:noProof/>
                <w:webHidden/>
              </w:rPr>
              <w:tab/>
            </w:r>
            <w:r w:rsidR="00B13299">
              <w:rPr>
                <w:noProof/>
                <w:webHidden/>
              </w:rPr>
              <w:fldChar w:fldCharType="begin"/>
            </w:r>
            <w:r w:rsidR="00B13299">
              <w:rPr>
                <w:noProof/>
                <w:webHidden/>
              </w:rPr>
              <w:instrText xml:space="preserve"> PAGEREF _Toc198721087 \h </w:instrText>
            </w:r>
            <w:r w:rsidR="00B13299">
              <w:rPr>
                <w:noProof/>
                <w:webHidden/>
              </w:rPr>
            </w:r>
            <w:r w:rsidR="00B13299">
              <w:rPr>
                <w:noProof/>
                <w:webHidden/>
              </w:rPr>
              <w:fldChar w:fldCharType="separate"/>
            </w:r>
            <w:r w:rsidR="00B13299">
              <w:rPr>
                <w:noProof/>
                <w:webHidden/>
              </w:rPr>
              <w:t>31</w:t>
            </w:r>
            <w:r w:rsidR="00B13299">
              <w:rPr>
                <w:noProof/>
                <w:webHidden/>
              </w:rPr>
              <w:fldChar w:fldCharType="end"/>
            </w:r>
          </w:hyperlink>
        </w:p>
        <w:p w:rsidR="00B13299" w:rsidRDefault="006B23A3" w14:paraId="06F374FB" w14:textId="004DEBA3">
          <w:pPr>
            <w:pStyle w:val="Inhopg4"/>
            <w:rPr>
              <w:rFonts w:asciiTheme="minorHAnsi" w:hAnsiTheme="minorHAnsi" w:eastAsiaTheme="minorEastAsia"/>
              <w:noProof/>
              <w:kern w:val="2"/>
              <w:sz w:val="24"/>
              <w:szCs w:val="24"/>
              <w:lang w:eastAsia="nl-NL"/>
              <w14:ligatures w14:val="standardContextual"/>
            </w:rPr>
          </w:pPr>
          <w:hyperlink w:history="1" w:anchor="_Toc198721088">
            <w:r w:rsidRPr="0063290F" w:rsidR="00B13299">
              <w:rPr>
                <w:rStyle w:val="Hyperlink"/>
                <w:noProof/>
              </w:rPr>
              <w:t>5.6.5.1 Implementatie van artikel 32, vijfde lid, NIS2-richtlijn</w:t>
            </w:r>
            <w:r w:rsidR="00B13299">
              <w:rPr>
                <w:noProof/>
                <w:webHidden/>
              </w:rPr>
              <w:tab/>
            </w:r>
            <w:r w:rsidR="00B13299">
              <w:rPr>
                <w:noProof/>
                <w:webHidden/>
              </w:rPr>
              <w:fldChar w:fldCharType="begin"/>
            </w:r>
            <w:r w:rsidR="00B13299">
              <w:rPr>
                <w:noProof/>
                <w:webHidden/>
              </w:rPr>
              <w:instrText xml:space="preserve"> PAGEREF _Toc198721088 \h </w:instrText>
            </w:r>
            <w:r w:rsidR="00B13299">
              <w:rPr>
                <w:noProof/>
                <w:webHidden/>
              </w:rPr>
            </w:r>
            <w:r w:rsidR="00B13299">
              <w:rPr>
                <w:noProof/>
                <w:webHidden/>
              </w:rPr>
              <w:fldChar w:fldCharType="separate"/>
            </w:r>
            <w:r w:rsidR="00B13299">
              <w:rPr>
                <w:noProof/>
                <w:webHidden/>
              </w:rPr>
              <w:t>32</w:t>
            </w:r>
            <w:r w:rsidR="00B13299">
              <w:rPr>
                <w:noProof/>
                <w:webHidden/>
              </w:rPr>
              <w:fldChar w:fldCharType="end"/>
            </w:r>
          </w:hyperlink>
        </w:p>
        <w:p w:rsidR="00B13299" w:rsidRDefault="006B23A3" w14:paraId="44DB7AA8" w14:textId="66E84A45">
          <w:pPr>
            <w:pStyle w:val="Inhopg4"/>
            <w:rPr>
              <w:rFonts w:asciiTheme="minorHAnsi" w:hAnsiTheme="minorHAnsi" w:eastAsiaTheme="minorEastAsia"/>
              <w:noProof/>
              <w:kern w:val="2"/>
              <w:sz w:val="24"/>
              <w:szCs w:val="24"/>
              <w:lang w:eastAsia="nl-NL"/>
              <w14:ligatures w14:val="standardContextual"/>
            </w:rPr>
          </w:pPr>
          <w:hyperlink w:history="1" w:anchor="_Toc198721089">
            <w:r w:rsidRPr="0063290F" w:rsidR="00B13299">
              <w:rPr>
                <w:rStyle w:val="Hyperlink"/>
                <w:noProof/>
              </w:rPr>
              <w:t>5.6.5.2 Bepaling einddatum door toezichthoudende instantie</w:t>
            </w:r>
            <w:r w:rsidR="00B13299">
              <w:rPr>
                <w:noProof/>
                <w:webHidden/>
              </w:rPr>
              <w:tab/>
            </w:r>
            <w:r w:rsidR="00B13299">
              <w:rPr>
                <w:noProof/>
                <w:webHidden/>
              </w:rPr>
              <w:fldChar w:fldCharType="begin"/>
            </w:r>
            <w:r w:rsidR="00B13299">
              <w:rPr>
                <w:noProof/>
                <w:webHidden/>
              </w:rPr>
              <w:instrText xml:space="preserve"> PAGEREF _Toc198721089 \h </w:instrText>
            </w:r>
            <w:r w:rsidR="00B13299">
              <w:rPr>
                <w:noProof/>
                <w:webHidden/>
              </w:rPr>
            </w:r>
            <w:r w:rsidR="00B13299">
              <w:rPr>
                <w:noProof/>
                <w:webHidden/>
              </w:rPr>
              <w:fldChar w:fldCharType="separate"/>
            </w:r>
            <w:r w:rsidR="00B13299">
              <w:rPr>
                <w:noProof/>
                <w:webHidden/>
              </w:rPr>
              <w:t>32</w:t>
            </w:r>
            <w:r w:rsidR="00B13299">
              <w:rPr>
                <w:noProof/>
                <w:webHidden/>
              </w:rPr>
              <w:fldChar w:fldCharType="end"/>
            </w:r>
          </w:hyperlink>
        </w:p>
        <w:p w:rsidR="00B13299" w:rsidRDefault="006B23A3" w14:paraId="32FD4D19" w14:textId="28EA2F63">
          <w:pPr>
            <w:pStyle w:val="Inhopg4"/>
            <w:rPr>
              <w:rFonts w:asciiTheme="minorHAnsi" w:hAnsiTheme="minorHAnsi" w:eastAsiaTheme="minorEastAsia"/>
              <w:noProof/>
              <w:kern w:val="2"/>
              <w:sz w:val="24"/>
              <w:szCs w:val="24"/>
              <w:lang w:eastAsia="nl-NL"/>
              <w14:ligatures w14:val="standardContextual"/>
            </w:rPr>
          </w:pPr>
          <w:hyperlink w:history="1" w:anchor="_Toc198721090">
            <w:r w:rsidRPr="0063290F" w:rsidR="00B13299">
              <w:rPr>
                <w:rStyle w:val="Hyperlink"/>
                <w:noProof/>
              </w:rPr>
              <w:t>5.6.5.3 Verzoek tot schorsing certificering of vergunning en verzoek tot schorsing leden van het bestuur</w:t>
            </w:r>
            <w:r w:rsidR="00B13299">
              <w:rPr>
                <w:noProof/>
                <w:webHidden/>
              </w:rPr>
              <w:tab/>
            </w:r>
            <w:r w:rsidR="00B13299">
              <w:rPr>
                <w:noProof/>
                <w:webHidden/>
              </w:rPr>
              <w:fldChar w:fldCharType="begin"/>
            </w:r>
            <w:r w:rsidR="00B13299">
              <w:rPr>
                <w:noProof/>
                <w:webHidden/>
              </w:rPr>
              <w:instrText xml:space="preserve"> PAGEREF _Toc198721090 \h </w:instrText>
            </w:r>
            <w:r w:rsidR="00B13299">
              <w:rPr>
                <w:noProof/>
                <w:webHidden/>
              </w:rPr>
            </w:r>
            <w:r w:rsidR="00B13299">
              <w:rPr>
                <w:noProof/>
                <w:webHidden/>
              </w:rPr>
              <w:fldChar w:fldCharType="separate"/>
            </w:r>
            <w:r w:rsidR="00B13299">
              <w:rPr>
                <w:noProof/>
                <w:webHidden/>
              </w:rPr>
              <w:t>33</w:t>
            </w:r>
            <w:r w:rsidR="00B13299">
              <w:rPr>
                <w:noProof/>
                <w:webHidden/>
              </w:rPr>
              <w:fldChar w:fldCharType="end"/>
            </w:r>
          </w:hyperlink>
        </w:p>
        <w:p w:rsidR="00B13299" w:rsidRDefault="006B23A3" w14:paraId="3A838CFA" w14:textId="055F0C2A">
          <w:pPr>
            <w:pStyle w:val="Inhopg3"/>
            <w:rPr>
              <w:rFonts w:asciiTheme="minorHAnsi" w:hAnsiTheme="minorHAnsi" w:eastAsiaTheme="minorEastAsia"/>
              <w:noProof/>
              <w:kern w:val="2"/>
              <w:sz w:val="24"/>
              <w:szCs w:val="24"/>
              <w:lang w:eastAsia="nl-NL"/>
              <w14:ligatures w14:val="standardContextual"/>
            </w:rPr>
          </w:pPr>
          <w:hyperlink w:history="1" w:anchor="_Toc198721091">
            <w:r w:rsidRPr="0063290F" w:rsidR="00B13299">
              <w:rPr>
                <w:rStyle w:val="Hyperlink"/>
                <w:noProof/>
              </w:rPr>
              <w:t>5.6.6 Bestuurlijke boete</w:t>
            </w:r>
            <w:r w:rsidR="00B13299">
              <w:rPr>
                <w:noProof/>
                <w:webHidden/>
              </w:rPr>
              <w:tab/>
            </w:r>
            <w:r w:rsidR="00B13299">
              <w:rPr>
                <w:noProof/>
                <w:webHidden/>
              </w:rPr>
              <w:fldChar w:fldCharType="begin"/>
            </w:r>
            <w:r w:rsidR="00B13299">
              <w:rPr>
                <w:noProof/>
                <w:webHidden/>
              </w:rPr>
              <w:instrText xml:space="preserve"> PAGEREF _Toc198721091 \h </w:instrText>
            </w:r>
            <w:r w:rsidR="00B13299">
              <w:rPr>
                <w:noProof/>
                <w:webHidden/>
              </w:rPr>
            </w:r>
            <w:r w:rsidR="00B13299">
              <w:rPr>
                <w:noProof/>
                <w:webHidden/>
              </w:rPr>
              <w:fldChar w:fldCharType="separate"/>
            </w:r>
            <w:r w:rsidR="00B13299">
              <w:rPr>
                <w:noProof/>
                <w:webHidden/>
              </w:rPr>
              <w:t>34</w:t>
            </w:r>
            <w:r w:rsidR="00B13299">
              <w:rPr>
                <w:noProof/>
                <w:webHidden/>
              </w:rPr>
              <w:fldChar w:fldCharType="end"/>
            </w:r>
          </w:hyperlink>
        </w:p>
        <w:p w:rsidR="00B13299" w:rsidRDefault="006B23A3" w14:paraId="63C424F1" w14:textId="439B8D2C">
          <w:pPr>
            <w:pStyle w:val="Inhopg3"/>
            <w:rPr>
              <w:rFonts w:asciiTheme="minorHAnsi" w:hAnsiTheme="minorHAnsi" w:eastAsiaTheme="minorEastAsia"/>
              <w:noProof/>
              <w:kern w:val="2"/>
              <w:sz w:val="24"/>
              <w:szCs w:val="24"/>
              <w:lang w:eastAsia="nl-NL"/>
              <w14:ligatures w14:val="standardContextual"/>
            </w:rPr>
          </w:pPr>
          <w:hyperlink w:history="1" w:anchor="_Toc198721092">
            <w:r w:rsidRPr="0063290F" w:rsidR="00B13299">
              <w:rPr>
                <w:rStyle w:val="Hyperlink"/>
                <w:noProof/>
              </w:rPr>
              <w:t>5.6.7 Overtrederschap</w:t>
            </w:r>
            <w:r w:rsidR="00B13299">
              <w:rPr>
                <w:noProof/>
                <w:webHidden/>
              </w:rPr>
              <w:tab/>
            </w:r>
            <w:r w:rsidR="00B13299">
              <w:rPr>
                <w:noProof/>
                <w:webHidden/>
              </w:rPr>
              <w:fldChar w:fldCharType="begin"/>
            </w:r>
            <w:r w:rsidR="00B13299">
              <w:rPr>
                <w:noProof/>
                <w:webHidden/>
              </w:rPr>
              <w:instrText xml:space="preserve"> PAGEREF _Toc198721092 \h </w:instrText>
            </w:r>
            <w:r w:rsidR="00B13299">
              <w:rPr>
                <w:noProof/>
                <w:webHidden/>
              </w:rPr>
            </w:r>
            <w:r w:rsidR="00B13299">
              <w:rPr>
                <w:noProof/>
                <w:webHidden/>
              </w:rPr>
              <w:fldChar w:fldCharType="separate"/>
            </w:r>
            <w:r w:rsidR="00B13299">
              <w:rPr>
                <w:noProof/>
                <w:webHidden/>
              </w:rPr>
              <w:t>36</w:t>
            </w:r>
            <w:r w:rsidR="00B13299">
              <w:rPr>
                <w:noProof/>
                <w:webHidden/>
              </w:rPr>
              <w:fldChar w:fldCharType="end"/>
            </w:r>
          </w:hyperlink>
        </w:p>
        <w:p w:rsidR="00B13299" w:rsidRDefault="006B23A3" w14:paraId="76CA0E62" w14:textId="219F27EE">
          <w:pPr>
            <w:pStyle w:val="Inhopg3"/>
            <w:rPr>
              <w:rFonts w:asciiTheme="minorHAnsi" w:hAnsiTheme="minorHAnsi" w:eastAsiaTheme="minorEastAsia"/>
              <w:noProof/>
              <w:kern w:val="2"/>
              <w:sz w:val="24"/>
              <w:szCs w:val="24"/>
              <w:lang w:eastAsia="nl-NL"/>
              <w14:ligatures w14:val="standardContextual"/>
            </w:rPr>
          </w:pPr>
          <w:hyperlink w:history="1" w:anchor="_Toc198721093">
            <w:r w:rsidRPr="0063290F" w:rsidR="00B13299">
              <w:rPr>
                <w:rStyle w:val="Hyperlink"/>
                <w:noProof/>
              </w:rPr>
              <w:t>5.6.8 Samenwerking toezichthoudende instanties</w:t>
            </w:r>
            <w:r w:rsidR="00B13299">
              <w:rPr>
                <w:noProof/>
                <w:webHidden/>
              </w:rPr>
              <w:tab/>
            </w:r>
            <w:r w:rsidR="00B13299">
              <w:rPr>
                <w:noProof/>
                <w:webHidden/>
              </w:rPr>
              <w:fldChar w:fldCharType="begin"/>
            </w:r>
            <w:r w:rsidR="00B13299">
              <w:rPr>
                <w:noProof/>
                <w:webHidden/>
              </w:rPr>
              <w:instrText xml:space="preserve"> PAGEREF _Toc198721093 \h </w:instrText>
            </w:r>
            <w:r w:rsidR="00B13299">
              <w:rPr>
                <w:noProof/>
                <w:webHidden/>
              </w:rPr>
            </w:r>
            <w:r w:rsidR="00B13299">
              <w:rPr>
                <w:noProof/>
                <w:webHidden/>
              </w:rPr>
              <w:fldChar w:fldCharType="separate"/>
            </w:r>
            <w:r w:rsidR="00B13299">
              <w:rPr>
                <w:noProof/>
                <w:webHidden/>
              </w:rPr>
              <w:t>37</w:t>
            </w:r>
            <w:r w:rsidR="00B13299">
              <w:rPr>
                <w:noProof/>
                <w:webHidden/>
              </w:rPr>
              <w:fldChar w:fldCharType="end"/>
            </w:r>
          </w:hyperlink>
        </w:p>
        <w:p w:rsidR="00B13299" w:rsidRDefault="006B23A3" w14:paraId="4096C7D4" w14:textId="62B80E29">
          <w:pPr>
            <w:pStyle w:val="Inhopg2"/>
            <w:rPr>
              <w:rFonts w:asciiTheme="minorHAnsi" w:hAnsiTheme="minorHAnsi" w:eastAsiaTheme="minorEastAsia"/>
              <w:noProof/>
              <w:kern w:val="2"/>
              <w:sz w:val="24"/>
              <w:szCs w:val="24"/>
              <w:lang w:eastAsia="nl-NL"/>
              <w14:ligatures w14:val="standardContextual"/>
            </w:rPr>
          </w:pPr>
          <w:hyperlink w:history="1" w:anchor="_Toc198721094">
            <w:r w:rsidRPr="0063290F" w:rsidR="00B13299">
              <w:rPr>
                <w:rStyle w:val="Hyperlink"/>
                <w:noProof/>
              </w:rPr>
              <w:t>5.7 Registratie</w:t>
            </w:r>
            <w:r w:rsidR="00B13299">
              <w:rPr>
                <w:noProof/>
                <w:webHidden/>
              </w:rPr>
              <w:tab/>
            </w:r>
            <w:r w:rsidR="00B13299">
              <w:rPr>
                <w:noProof/>
                <w:webHidden/>
              </w:rPr>
              <w:fldChar w:fldCharType="begin"/>
            </w:r>
            <w:r w:rsidR="00B13299">
              <w:rPr>
                <w:noProof/>
                <w:webHidden/>
              </w:rPr>
              <w:instrText xml:space="preserve"> PAGEREF _Toc198721094 \h </w:instrText>
            </w:r>
            <w:r w:rsidR="00B13299">
              <w:rPr>
                <w:noProof/>
                <w:webHidden/>
              </w:rPr>
            </w:r>
            <w:r w:rsidR="00B13299">
              <w:rPr>
                <w:noProof/>
                <w:webHidden/>
              </w:rPr>
              <w:fldChar w:fldCharType="separate"/>
            </w:r>
            <w:r w:rsidR="00B13299">
              <w:rPr>
                <w:noProof/>
                <w:webHidden/>
              </w:rPr>
              <w:t>38</w:t>
            </w:r>
            <w:r w:rsidR="00B13299">
              <w:rPr>
                <w:noProof/>
                <w:webHidden/>
              </w:rPr>
              <w:fldChar w:fldCharType="end"/>
            </w:r>
          </w:hyperlink>
        </w:p>
        <w:p w:rsidR="00B13299" w:rsidRDefault="006B23A3" w14:paraId="737CDE2A" w14:textId="37421A8D">
          <w:pPr>
            <w:pStyle w:val="Inhopg2"/>
            <w:rPr>
              <w:rFonts w:asciiTheme="minorHAnsi" w:hAnsiTheme="minorHAnsi" w:eastAsiaTheme="minorEastAsia"/>
              <w:noProof/>
              <w:kern w:val="2"/>
              <w:sz w:val="24"/>
              <w:szCs w:val="24"/>
              <w:lang w:eastAsia="nl-NL"/>
              <w14:ligatures w14:val="standardContextual"/>
            </w:rPr>
          </w:pPr>
          <w:hyperlink w:history="1" w:anchor="_Toc198721095">
            <w:r w:rsidRPr="0063290F" w:rsidR="00B13299">
              <w:rPr>
                <w:rStyle w:val="Hyperlink"/>
                <w:noProof/>
              </w:rPr>
              <w:t>5.8 Toepassing in Caribisch deel van het Koninkrijk</w:t>
            </w:r>
            <w:r w:rsidR="00B13299">
              <w:rPr>
                <w:noProof/>
                <w:webHidden/>
              </w:rPr>
              <w:tab/>
            </w:r>
            <w:r w:rsidR="00B13299">
              <w:rPr>
                <w:noProof/>
                <w:webHidden/>
              </w:rPr>
              <w:fldChar w:fldCharType="begin"/>
            </w:r>
            <w:r w:rsidR="00B13299">
              <w:rPr>
                <w:noProof/>
                <w:webHidden/>
              </w:rPr>
              <w:instrText xml:space="preserve"> PAGEREF _Toc198721095 \h </w:instrText>
            </w:r>
            <w:r w:rsidR="00B13299">
              <w:rPr>
                <w:noProof/>
                <w:webHidden/>
              </w:rPr>
            </w:r>
            <w:r w:rsidR="00B13299">
              <w:rPr>
                <w:noProof/>
                <w:webHidden/>
              </w:rPr>
              <w:fldChar w:fldCharType="separate"/>
            </w:r>
            <w:r w:rsidR="00B13299">
              <w:rPr>
                <w:noProof/>
                <w:webHidden/>
              </w:rPr>
              <w:t>38</w:t>
            </w:r>
            <w:r w:rsidR="00B13299">
              <w:rPr>
                <w:noProof/>
                <w:webHidden/>
              </w:rPr>
              <w:fldChar w:fldCharType="end"/>
            </w:r>
          </w:hyperlink>
        </w:p>
        <w:p w:rsidR="00B13299" w:rsidRDefault="006B23A3" w14:paraId="1863DC68" w14:textId="0BE35BC4">
          <w:pPr>
            <w:pStyle w:val="Inhopg2"/>
            <w:rPr>
              <w:rFonts w:asciiTheme="minorHAnsi" w:hAnsiTheme="minorHAnsi" w:eastAsiaTheme="minorEastAsia"/>
              <w:noProof/>
              <w:kern w:val="2"/>
              <w:sz w:val="24"/>
              <w:szCs w:val="24"/>
              <w:lang w:eastAsia="nl-NL"/>
              <w14:ligatures w14:val="standardContextual"/>
            </w:rPr>
          </w:pPr>
          <w:hyperlink w:history="1" w:anchor="_Toc198721096">
            <w:r w:rsidRPr="0063290F" w:rsidR="00B13299">
              <w:rPr>
                <w:rStyle w:val="Hyperlink"/>
                <w:noProof/>
              </w:rPr>
              <w:t>5.9 Rechtsbescherming en vereisten aan besluiten</w:t>
            </w:r>
            <w:r w:rsidR="00B13299">
              <w:rPr>
                <w:noProof/>
                <w:webHidden/>
              </w:rPr>
              <w:tab/>
            </w:r>
            <w:r w:rsidR="00B13299">
              <w:rPr>
                <w:noProof/>
                <w:webHidden/>
              </w:rPr>
              <w:fldChar w:fldCharType="begin"/>
            </w:r>
            <w:r w:rsidR="00B13299">
              <w:rPr>
                <w:noProof/>
                <w:webHidden/>
              </w:rPr>
              <w:instrText xml:space="preserve"> PAGEREF _Toc198721096 \h </w:instrText>
            </w:r>
            <w:r w:rsidR="00B13299">
              <w:rPr>
                <w:noProof/>
                <w:webHidden/>
              </w:rPr>
            </w:r>
            <w:r w:rsidR="00B13299">
              <w:rPr>
                <w:noProof/>
                <w:webHidden/>
              </w:rPr>
              <w:fldChar w:fldCharType="separate"/>
            </w:r>
            <w:r w:rsidR="00B13299">
              <w:rPr>
                <w:noProof/>
                <w:webHidden/>
              </w:rPr>
              <w:t>39</w:t>
            </w:r>
            <w:r w:rsidR="00B13299">
              <w:rPr>
                <w:noProof/>
                <w:webHidden/>
              </w:rPr>
              <w:fldChar w:fldCharType="end"/>
            </w:r>
          </w:hyperlink>
        </w:p>
        <w:p w:rsidR="00B13299" w:rsidRDefault="006B23A3" w14:paraId="4A0B5207" w14:textId="206D7109">
          <w:pPr>
            <w:pStyle w:val="Inhopg1"/>
            <w:rPr>
              <w:rFonts w:asciiTheme="minorHAnsi" w:hAnsiTheme="minorHAnsi" w:eastAsiaTheme="minorEastAsia"/>
              <w:b w:val="0"/>
              <w:noProof/>
              <w:kern w:val="2"/>
              <w:sz w:val="24"/>
              <w:szCs w:val="24"/>
              <w:lang w:eastAsia="nl-NL"/>
              <w14:ligatures w14:val="standardContextual"/>
            </w:rPr>
          </w:pPr>
          <w:hyperlink w:history="1" w:anchor="_Toc198721097">
            <w:r w:rsidRPr="0063290F" w:rsidR="00B13299">
              <w:rPr>
                <w:rStyle w:val="Hyperlink"/>
                <w:noProof/>
              </w:rPr>
              <w:t>6. Verhouding tot hoger recht</w:t>
            </w:r>
            <w:r w:rsidR="00B13299">
              <w:rPr>
                <w:noProof/>
                <w:webHidden/>
              </w:rPr>
              <w:tab/>
            </w:r>
            <w:r w:rsidR="00B13299">
              <w:rPr>
                <w:noProof/>
                <w:webHidden/>
              </w:rPr>
              <w:fldChar w:fldCharType="begin"/>
            </w:r>
            <w:r w:rsidR="00B13299">
              <w:rPr>
                <w:noProof/>
                <w:webHidden/>
              </w:rPr>
              <w:instrText xml:space="preserve"> PAGEREF _Toc198721097 \h </w:instrText>
            </w:r>
            <w:r w:rsidR="00B13299">
              <w:rPr>
                <w:noProof/>
                <w:webHidden/>
              </w:rPr>
            </w:r>
            <w:r w:rsidR="00B13299">
              <w:rPr>
                <w:noProof/>
                <w:webHidden/>
              </w:rPr>
              <w:fldChar w:fldCharType="separate"/>
            </w:r>
            <w:r w:rsidR="00B13299">
              <w:rPr>
                <w:noProof/>
                <w:webHidden/>
              </w:rPr>
              <w:t>40</w:t>
            </w:r>
            <w:r w:rsidR="00B13299">
              <w:rPr>
                <w:noProof/>
                <w:webHidden/>
              </w:rPr>
              <w:fldChar w:fldCharType="end"/>
            </w:r>
          </w:hyperlink>
        </w:p>
        <w:p w:rsidR="00B13299" w:rsidRDefault="006B23A3" w14:paraId="2F56C4FD" w14:textId="564E2888">
          <w:pPr>
            <w:pStyle w:val="Inhopg2"/>
            <w:rPr>
              <w:rFonts w:asciiTheme="minorHAnsi" w:hAnsiTheme="minorHAnsi" w:eastAsiaTheme="minorEastAsia"/>
              <w:noProof/>
              <w:kern w:val="2"/>
              <w:sz w:val="24"/>
              <w:szCs w:val="24"/>
              <w:lang w:eastAsia="nl-NL"/>
              <w14:ligatures w14:val="standardContextual"/>
            </w:rPr>
          </w:pPr>
          <w:hyperlink w:history="1" w:anchor="_Toc198721098">
            <w:r w:rsidRPr="0063290F" w:rsidR="00B13299">
              <w:rPr>
                <w:rStyle w:val="Hyperlink"/>
                <w:noProof/>
              </w:rPr>
              <w:t>6.1 Inleiding</w:t>
            </w:r>
            <w:r w:rsidR="00B13299">
              <w:rPr>
                <w:noProof/>
                <w:webHidden/>
              </w:rPr>
              <w:tab/>
            </w:r>
            <w:r w:rsidR="00B13299">
              <w:rPr>
                <w:noProof/>
                <w:webHidden/>
              </w:rPr>
              <w:fldChar w:fldCharType="begin"/>
            </w:r>
            <w:r w:rsidR="00B13299">
              <w:rPr>
                <w:noProof/>
                <w:webHidden/>
              </w:rPr>
              <w:instrText xml:space="preserve"> PAGEREF _Toc198721098 \h </w:instrText>
            </w:r>
            <w:r w:rsidR="00B13299">
              <w:rPr>
                <w:noProof/>
                <w:webHidden/>
              </w:rPr>
            </w:r>
            <w:r w:rsidR="00B13299">
              <w:rPr>
                <w:noProof/>
                <w:webHidden/>
              </w:rPr>
              <w:fldChar w:fldCharType="separate"/>
            </w:r>
            <w:r w:rsidR="00B13299">
              <w:rPr>
                <w:noProof/>
                <w:webHidden/>
              </w:rPr>
              <w:t>40</w:t>
            </w:r>
            <w:r w:rsidR="00B13299">
              <w:rPr>
                <w:noProof/>
                <w:webHidden/>
              </w:rPr>
              <w:fldChar w:fldCharType="end"/>
            </w:r>
          </w:hyperlink>
        </w:p>
        <w:p w:rsidR="00B13299" w:rsidRDefault="006B23A3" w14:paraId="2ECFEDB6" w14:textId="60895FBE">
          <w:pPr>
            <w:pStyle w:val="Inhopg2"/>
            <w:rPr>
              <w:rFonts w:asciiTheme="minorHAnsi" w:hAnsiTheme="minorHAnsi" w:eastAsiaTheme="minorEastAsia"/>
              <w:noProof/>
              <w:kern w:val="2"/>
              <w:sz w:val="24"/>
              <w:szCs w:val="24"/>
              <w:lang w:eastAsia="nl-NL"/>
              <w14:ligatures w14:val="standardContextual"/>
            </w:rPr>
          </w:pPr>
          <w:hyperlink w:history="1" w:anchor="_Toc198721099">
            <w:r w:rsidRPr="0063290F" w:rsidR="00B13299">
              <w:rPr>
                <w:rStyle w:val="Hyperlink"/>
                <w:noProof/>
              </w:rPr>
              <w:t>6.2 Gegevensverwerkingen</w:t>
            </w:r>
            <w:r w:rsidR="00B13299">
              <w:rPr>
                <w:noProof/>
                <w:webHidden/>
              </w:rPr>
              <w:tab/>
            </w:r>
            <w:r w:rsidR="00B13299">
              <w:rPr>
                <w:noProof/>
                <w:webHidden/>
              </w:rPr>
              <w:fldChar w:fldCharType="begin"/>
            </w:r>
            <w:r w:rsidR="00B13299">
              <w:rPr>
                <w:noProof/>
                <w:webHidden/>
              </w:rPr>
              <w:instrText xml:space="preserve"> PAGEREF _Toc198721099 \h </w:instrText>
            </w:r>
            <w:r w:rsidR="00B13299">
              <w:rPr>
                <w:noProof/>
                <w:webHidden/>
              </w:rPr>
            </w:r>
            <w:r w:rsidR="00B13299">
              <w:rPr>
                <w:noProof/>
                <w:webHidden/>
              </w:rPr>
              <w:fldChar w:fldCharType="separate"/>
            </w:r>
            <w:r w:rsidR="00B13299">
              <w:rPr>
                <w:noProof/>
                <w:webHidden/>
              </w:rPr>
              <w:t>40</w:t>
            </w:r>
            <w:r w:rsidR="00B13299">
              <w:rPr>
                <w:noProof/>
                <w:webHidden/>
              </w:rPr>
              <w:fldChar w:fldCharType="end"/>
            </w:r>
          </w:hyperlink>
        </w:p>
        <w:p w:rsidR="00B13299" w:rsidRDefault="006B23A3" w14:paraId="79DF23C0" w14:textId="31983C4E">
          <w:pPr>
            <w:pStyle w:val="Inhopg2"/>
            <w:rPr>
              <w:rFonts w:asciiTheme="minorHAnsi" w:hAnsiTheme="minorHAnsi" w:eastAsiaTheme="minorEastAsia"/>
              <w:noProof/>
              <w:kern w:val="2"/>
              <w:sz w:val="24"/>
              <w:szCs w:val="24"/>
              <w:lang w:eastAsia="nl-NL"/>
              <w14:ligatures w14:val="standardContextual"/>
            </w:rPr>
          </w:pPr>
          <w:hyperlink w:history="1" w:anchor="_Toc198721100">
            <w:r w:rsidRPr="0063290F" w:rsidR="00B13299">
              <w:rPr>
                <w:rStyle w:val="Hyperlink"/>
                <w:noProof/>
              </w:rPr>
              <w:t>6.3 EVRM</w:t>
            </w:r>
            <w:r w:rsidR="00B13299">
              <w:rPr>
                <w:noProof/>
                <w:webHidden/>
              </w:rPr>
              <w:tab/>
            </w:r>
            <w:r w:rsidR="00B13299">
              <w:rPr>
                <w:noProof/>
                <w:webHidden/>
              </w:rPr>
              <w:fldChar w:fldCharType="begin"/>
            </w:r>
            <w:r w:rsidR="00B13299">
              <w:rPr>
                <w:noProof/>
                <w:webHidden/>
              </w:rPr>
              <w:instrText xml:space="preserve"> PAGEREF _Toc198721100 \h </w:instrText>
            </w:r>
            <w:r w:rsidR="00B13299">
              <w:rPr>
                <w:noProof/>
                <w:webHidden/>
              </w:rPr>
            </w:r>
            <w:r w:rsidR="00B13299">
              <w:rPr>
                <w:noProof/>
                <w:webHidden/>
              </w:rPr>
              <w:fldChar w:fldCharType="separate"/>
            </w:r>
            <w:r w:rsidR="00B13299">
              <w:rPr>
                <w:noProof/>
                <w:webHidden/>
              </w:rPr>
              <w:t>41</w:t>
            </w:r>
            <w:r w:rsidR="00B13299">
              <w:rPr>
                <w:noProof/>
                <w:webHidden/>
              </w:rPr>
              <w:fldChar w:fldCharType="end"/>
            </w:r>
          </w:hyperlink>
        </w:p>
        <w:p w:rsidR="00B13299" w:rsidRDefault="006B23A3" w14:paraId="006B6547" w14:textId="1DD795AE">
          <w:pPr>
            <w:pStyle w:val="Inhopg3"/>
            <w:rPr>
              <w:rFonts w:asciiTheme="minorHAnsi" w:hAnsiTheme="minorHAnsi" w:eastAsiaTheme="minorEastAsia"/>
              <w:noProof/>
              <w:kern w:val="2"/>
              <w:sz w:val="24"/>
              <w:szCs w:val="24"/>
              <w:lang w:eastAsia="nl-NL"/>
              <w14:ligatures w14:val="standardContextual"/>
            </w:rPr>
          </w:pPr>
          <w:hyperlink w:history="1" w:anchor="_Toc198721101">
            <w:r w:rsidRPr="0063290F" w:rsidR="00B13299">
              <w:rPr>
                <w:rStyle w:val="Hyperlink"/>
                <w:noProof/>
              </w:rPr>
              <w:t>6.3.1 Inmenging door openbaar gezag in recht op respect voor de persoonlijke levenssfeer</w:t>
            </w:r>
            <w:r w:rsidR="00B13299">
              <w:rPr>
                <w:noProof/>
                <w:webHidden/>
              </w:rPr>
              <w:tab/>
            </w:r>
            <w:r w:rsidR="00B13299">
              <w:rPr>
                <w:noProof/>
                <w:webHidden/>
              </w:rPr>
              <w:fldChar w:fldCharType="begin"/>
            </w:r>
            <w:r w:rsidR="00B13299">
              <w:rPr>
                <w:noProof/>
                <w:webHidden/>
              </w:rPr>
              <w:instrText xml:space="preserve"> PAGEREF _Toc198721101 \h </w:instrText>
            </w:r>
            <w:r w:rsidR="00B13299">
              <w:rPr>
                <w:noProof/>
                <w:webHidden/>
              </w:rPr>
            </w:r>
            <w:r w:rsidR="00B13299">
              <w:rPr>
                <w:noProof/>
                <w:webHidden/>
              </w:rPr>
              <w:fldChar w:fldCharType="separate"/>
            </w:r>
            <w:r w:rsidR="00B13299">
              <w:rPr>
                <w:noProof/>
                <w:webHidden/>
              </w:rPr>
              <w:t>41</w:t>
            </w:r>
            <w:r w:rsidR="00B13299">
              <w:rPr>
                <w:noProof/>
                <w:webHidden/>
              </w:rPr>
              <w:fldChar w:fldCharType="end"/>
            </w:r>
          </w:hyperlink>
        </w:p>
        <w:p w:rsidR="00B13299" w:rsidRDefault="006B23A3" w14:paraId="33191741" w14:textId="061D299B">
          <w:pPr>
            <w:pStyle w:val="Inhopg3"/>
            <w:rPr>
              <w:rFonts w:asciiTheme="minorHAnsi" w:hAnsiTheme="minorHAnsi" w:eastAsiaTheme="minorEastAsia"/>
              <w:noProof/>
              <w:kern w:val="2"/>
              <w:sz w:val="24"/>
              <w:szCs w:val="24"/>
              <w:lang w:eastAsia="nl-NL"/>
              <w14:ligatures w14:val="standardContextual"/>
            </w:rPr>
          </w:pPr>
          <w:hyperlink w:history="1" w:anchor="_Toc198721102">
            <w:r w:rsidRPr="0063290F" w:rsidR="00B13299">
              <w:rPr>
                <w:rStyle w:val="Hyperlink"/>
                <w:noProof/>
              </w:rPr>
              <w:t>6.3.2 Beperkende maatregel voorzien bij wet</w:t>
            </w:r>
            <w:r w:rsidR="00B13299">
              <w:rPr>
                <w:noProof/>
                <w:webHidden/>
              </w:rPr>
              <w:tab/>
            </w:r>
            <w:r w:rsidR="00B13299">
              <w:rPr>
                <w:noProof/>
                <w:webHidden/>
              </w:rPr>
              <w:fldChar w:fldCharType="begin"/>
            </w:r>
            <w:r w:rsidR="00B13299">
              <w:rPr>
                <w:noProof/>
                <w:webHidden/>
              </w:rPr>
              <w:instrText xml:space="preserve"> PAGEREF _Toc198721102 \h </w:instrText>
            </w:r>
            <w:r w:rsidR="00B13299">
              <w:rPr>
                <w:noProof/>
                <w:webHidden/>
              </w:rPr>
            </w:r>
            <w:r w:rsidR="00B13299">
              <w:rPr>
                <w:noProof/>
                <w:webHidden/>
              </w:rPr>
              <w:fldChar w:fldCharType="separate"/>
            </w:r>
            <w:r w:rsidR="00B13299">
              <w:rPr>
                <w:noProof/>
                <w:webHidden/>
              </w:rPr>
              <w:t>41</w:t>
            </w:r>
            <w:r w:rsidR="00B13299">
              <w:rPr>
                <w:noProof/>
                <w:webHidden/>
              </w:rPr>
              <w:fldChar w:fldCharType="end"/>
            </w:r>
          </w:hyperlink>
        </w:p>
        <w:p w:rsidR="00B13299" w:rsidRDefault="006B23A3" w14:paraId="649DF6DF" w14:textId="1D350352">
          <w:pPr>
            <w:pStyle w:val="Inhopg3"/>
            <w:rPr>
              <w:rFonts w:asciiTheme="minorHAnsi" w:hAnsiTheme="minorHAnsi" w:eastAsiaTheme="minorEastAsia"/>
              <w:noProof/>
              <w:kern w:val="2"/>
              <w:sz w:val="24"/>
              <w:szCs w:val="24"/>
              <w:lang w:eastAsia="nl-NL"/>
              <w14:ligatures w14:val="standardContextual"/>
            </w:rPr>
          </w:pPr>
          <w:hyperlink w:history="1" w:anchor="_Toc198721103">
            <w:r w:rsidRPr="0063290F" w:rsidR="00B13299">
              <w:rPr>
                <w:rStyle w:val="Hyperlink"/>
                <w:noProof/>
              </w:rPr>
              <w:t>6.3.3 Beperking moet legitiem doel dienen en noodzakelijk zijn</w:t>
            </w:r>
            <w:r w:rsidR="00B13299">
              <w:rPr>
                <w:noProof/>
                <w:webHidden/>
              </w:rPr>
              <w:tab/>
            </w:r>
            <w:r w:rsidR="00B13299">
              <w:rPr>
                <w:noProof/>
                <w:webHidden/>
              </w:rPr>
              <w:fldChar w:fldCharType="begin"/>
            </w:r>
            <w:r w:rsidR="00B13299">
              <w:rPr>
                <w:noProof/>
                <w:webHidden/>
              </w:rPr>
              <w:instrText xml:space="preserve"> PAGEREF _Toc198721103 \h </w:instrText>
            </w:r>
            <w:r w:rsidR="00B13299">
              <w:rPr>
                <w:noProof/>
                <w:webHidden/>
              </w:rPr>
            </w:r>
            <w:r w:rsidR="00B13299">
              <w:rPr>
                <w:noProof/>
                <w:webHidden/>
              </w:rPr>
              <w:fldChar w:fldCharType="separate"/>
            </w:r>
            <w:r w:rsidR="00B13299">
              <w:rPr>
                <w:noProof/>
                <w:webHidden/>
              </w:rPr>
              <w:t>42</w:t>
            </w:r>
            <w:r w:rsidR="00B13299">
              <w:rPr>
                <w:noProof/>
                <w:webHidden/>
              </w:rPr>
              <w:fldChar w:fldCharType="end"/>
            </w:r>
          </w:hyperlink>
        </w:p>
        <w:p w:rsidR="00B13299" w:rsidRDefault="006B23A3" w14:paraId="1B14C1B0" w14:textId="797B49A1">
          <w:pPr>
            <w:pStyle w:val="Inhopg4"/>
            <w:rPr>
              <w:rFonts w:asciiTheme="minorHAnsi" w:hAnsiTheme="minorHAnsi" w:eastAsiaTheme="minorEastAsia"/>
              <w:noProof/>
              <w:kern w:val="2"/>
              <w:sz w:val="24"/>
              <w:szCs w:val="24"/>
              <w:lang w:eastAsia="nl-NL"/>
              <w14:ligatures w14:val="standardContextual"/>
            </w:rPr>
          </w:pPr>
          <w:hyperlink w:history="1" w:anchor="_Toc198721104">
            <w:r w:rsidRPr="0063290F" w:rsidR="00B13299">
              <w:rPr>
                <w:rStyle w:val="Hyperlink"/>
                <w:noProof/>
              </w:rPr>
              <w:t>6.3.3.1 Dringende maatschappelijke behoefte</w:t>
            </w:r>
            <w:r w:rsidR="00B13299">
              <w:rPr>
                <w:noProof/>
                <w:webHidden/>
              </w:rPr>
              <w:tab/>
            </w:r>
            <w:r w:rsidR="00B13299">
              <w:rPr>
                <w:noProof/>
                <w:webHidden/>
              </w:rPr>
              <w:fldChar w:fldCharType="begin"/>
            </w:r>
            <w:r w:rsidR="00B13299">
              <w:rPr>
                <w:noProof/>
                <w:webHidden/>
              </w:rPr>
              <w:instrText xml:space="preserve"> PAGEREF _Toc198721104 \h </w:instrText>
            </w:r>
            <w:r w:rsidR="00B13299">
              <w:rPr>
                <w:noProof/>
                <w:webHidden/>
              </w:rPr>
            </w:r>
            <w:r w:rsidR="00B13299">
              <w:rPr>
                <w:noProof/>
                <w:webHidden/>
              </w:rPr>
              <w:fldChar w:fldCharType="separate"/>
            </w:r>
            <w:r w:rsidR="00B13299">
              <w:rPr>
                <w:noProof/>
                <w:webHidden/>
              </w:rPr>
              <w:t>42</w:t>
            </w:r>
            <w:r w:rsidR="00B13299">
              <w:rPr>
                <w:noProof/>
                <w:webHidden/>
              </w:rPr>
              <w:fldChar w:fldCharType="end"/>
            </w:r>
          </w:hyperlink>
        </w:p>
        <w:p w:rsidR="00B13299" w:rsidRDefault="006B23A3" w14:paraId="065731B1" w14:textId="3C04A176">
          <w:pPr>
            <w:pStyle w:val="Inhopg4"/>
            <w:rPr>
              <w:rFonts w:asciiTheme="minorHAnsi" w:hAnsiTheme="minorHAnsi" w:eastAsiaTheme="minorEastAsia"/>
              <w:noProof/>
              <w:kern w:val="2"/>
              <w:sz w:val="24"/>
              <w:szCs w:val="24"/>
              <w:lang w:eastAsia="nl-NL"/>
              <w14:ligatures w14:val="standardContextual"/>
            </w:rPr>
          </w:pPr>
          <w:hyperlink w:history="1" w:anchor="_Toc198721105">
            <w:r w:rsidRPr="0063290F" w:rsidR="00B13299">
              <w:rPr>
                <w:rStyle w:val="Hyperlink"/>
                <w:noProof/>
              </w:rPr>
              <w:t>6.3.3.2 Proportionaliteit</w:t>
            </w:r>
            <w:r w:rsidR="00B13299">
              <w:rPr>
                <w:noProof/>
                <w:webHidden/>
              </w:rPr>
              <w:tab/>
            </w:r>
            <w:r w:rsidR="00B13299">
              <w:rPr>
                <w:noProof/>
                <w:webHidden/>
              </w:rPr>
              <w:fldChar w:fldCharType="begin"/>
            </w:r>
            <w:r w:rsidR="00B13299">
              <w:rPr>
                <w:noProof/>
                <w:webHidden/>
              </w:rPr>
              <w:instrText xml:space="preserve"> PAGEREF _Toc198721105 \h </w:instrText>
            </w:r>
            <w:r w:rsidR="00B13299">
              <w:rPr>
                <w:noProof/>
                <w:webHidden/>
              </w:rPr>
            </w:r>
            <w:r w:rsidR="00B13299">
              <w:rPr>
                <w:noProof/>
                <w:webHidden/>
              </w:rPr>
              <w:fldChar w:fldCharType="separate"/>
            </w:r>
            <w:r w:rsidR="00B13299">
              <w:rPr>
                <w:noProof/>
                <w:webHidden/>
              </w:rPr>
              <w:t>43</w:t>
            </w:r>
            <w:r w:rsidR="00B13299">
              <w:rPr>
                <w:noProof/>
                <w:webHidden/>
              </w:rPr>
              <w:fldChar w:fldCharType="end"/>
            </w:r>
          </w:hyperlink>
        </w:p>
        <w:p w:rsidR="00B13299" w:rsidRDefault="006B23A3" w14:paraId="5A1A01FB" w14:textId="2E808AB6">
          <w:pPr>
            <w:pStyle w:val="Inhopg4"/>
            <w:rPr>
              <w:rFonts w:asciiTheme="minorHAnsi" w:hAnsiTheme="minorHAnsi" w:eastAsiaTheme="minorEastAsia"/>
              <w:noProof/>
              <w:kern w:val="2"/>
              <w:sz w:val="24"/>
              <w:szCs w:val="24"/>
              <w:lang w:eastAsia="nl-NL"/>
              <w14:ligatures w14:val="standardContextual"/>
            </w:rPr>
          </w:pPr>
          <w:hyperlink w:history="1" w:anchor="_Toc198721106">
            <w:r w:rsidRPr="0063290F" w:rsidR="00B13299">
              <w:rPr>
                <w:rStyle w:val="Hyperlink"/>
                <w:noProof/>
              </w:rPr>
              <w:t>6.3.3.3 Subsidiariteit</w:t>
            </w:r>
            <w:r w:rsidR="00B13299">
              <w:rPr>
                <w:noProof/>
                <w:webHidden/>
              </w:rPr>
              <w:tab/>
            </w:r>
            <w:r w:rsidR="00B13299">
              <w:rPr>
                <w:noProof/>
                <w:webHidden/>
              </w:rPr>
              <w:fldChar w:fldCharType="begin"/>
            </w:r>
            <w:r w:rsidR="00B13299">
              <w:rPr>
                <w:noProof/>
                <w:webHidden/>
              </w:rPr>
              <w:instrText xml:space="preserve"> PAGEREF _Toc198721106 \h </w:instrText>
            </w:r>
            <w:r w:rsidR="00B13299">
              <w:rPr>
                <w:noProof/>
                <w:webHidden/>
              </w:rPr>
            </w:r>
            <w:r w:rsidR="00B13299">
              <w:rPr>
                <w:noProof/>
                <w:webHidden/>
              </w:rPr>
              <w:fldChar w:fldCharType="separate"/>
            </w:r>
            <w:r w:rsidR="00B13299">
              <w:rPr>
                <w:noProof/>
                <w:webHidden/>
              </w:rPr>
              <w:t>45</w:t>
            </w:r>
            <w:r w:rsidR="00B13299">
              <w:rPr>
                <w:noProof/>
                <w:webHidden/>
              </w:rPr>
              <w:fldChar w:fldCharType="end"/>
            </w:r>
          </w:hyperlink>
        </w:p>
        <w:p w:rsidR="00B13299" w:rsidRDefault="006B23A3" w14:paraId="32CADA3E" w14:textId="1EDBBAC7">
          <w:pPr>
            <w:pStyle w:val="Inhopg3"/>
            <w:rPr>
              <w:rFonts w:asciiTheme="minorHAnsi" w:hAnsiTheme="minorHAnsi" w:eastAsiaTheme="minorEastAsia"/>
              <w:noProof/>
              <w:kern w:val="2"/>
              <w:sz w:val="24"/>
              <w:szCs w:val="24"/>
              <w:lang w:eastAsia="nl-NL"/>
              <w14:ligatures w14:val="standardContextual"/>
            </w:rPr>
          </w:pPr>
          <w:hyperlink w:history="1" w:anchor="_Toc198721107">
            <w:r w:rsidRPr="0063290F" w:rsidR="00B13299">
              <w:rPr>
                <w:rStyle w:val="Hyperlink"/>
                <w:rFonts w:cs="Arial"/>
                <w:iCs/>
                <w:noProof/>
              </w:rPr>
              <w:t>6</w:t>
            </w:r>
            <w:r w:rsidRPr="0063290F" w:rsidR="00B13299">
              <w:rPr>
                <w:rStyle w:val="Hyperlink"/>
                <w:noProof/>
              </w:rPr>
              <w:t>.3.4 Conclusie</w:t>
            </w:r>
            <w:r w:rsidR="00B13299">
              <w:rPr>
                <w:noProof/>
                <w:webHidden/>
              </w:rPr>
              <w:tab/>
            </w:r>
            <w:r w:rsidR="00B13299">
              <w:rPr>
                <w:noProof/>
                <w:webHidden/>
              </w:rPr>
              <w:fldChar w:fldCharType="begin"/>
            </w:r>
            <w:r w:rsidR="00B13299">
              <w:rPr>
                <w:noProof/>
                <w:webHidden/>
              </w:rPr>
              <w:instrText xml:space="preserve"> PAGEREF _Toc198721107 \h </w:instrText>
            </w:r>
            <w:r w:rsidR="00B13299">
              <w:rPr>
                <w:noProof/>
                <w:webHidden/>
              </w:rPr>
            </w:r>
            <w:r w:rsidR="00B13299">
              <w:rPr>
                <w:noProof/>
                <w:webHidden/>
              </w:rPr>
              <w:fldChar w:fldCharType="separate"/>
            </w:r>
            <w:r w:rsidR="00B13299">
              <w:rPr>
                <w:noProof/>
                <w:webHidden/>
              </w:rPr>
              <w:t>46</w:t>
            </w:r>
            <w:r w:rsidR="00B13299">
              <w:rPr>
                <w:noProof/>
                <w:webHidden/>
              </w:rPr>
              <w:fldChar w:fldCharType="end"/>
            </w:r>
          </w:hyperlink>
        </w:p>
        <w:p w:rsidR="00B13299" w:rsidRDefault="006B23A3" w14:paraId="2B23511E" w14:textId="5C7B7467">
          <w:pPr>
            <w:pStyle w:val="Inhopg2"/>
            <w:rPr>
              <w:rFonts w:asciiTheme="minorHAnsi" w:hAnsiTheme="minorHAnsi" w:eastAsiaTheme="minorEastAsia"/>
              <w:noProof/>
              <w:kern w:val="2"/>
              <w:sz w:val="24"/>
              <w:szCs w:val="24"/>
              <w:lang w:eastAsia="nl-NL"/>
              <w14:ligatures w14:val="standardContextual"/>
            </w:rPr>
          </w:pPr>
          <w:hyperlink w:history="1" w:anchor="_Toc198721108">
            <w:r w:rsidRPr="0063290F" w:rsidR="00B13299">
              <w:rPr>
                <w:rStyle w:val="Hyperlink"/>
                <w:noProof/>
              </w:rPr>
              <w:t>6.4 Avg</w:t>
            </w:r>
            <w:r w:rsidR="00B13299">
              <w:rPr>
                <w:noProof/>
                <w:webHidden/>
              </w:rPr>
              <w:tab/>
            </w:r>
            <w:r w:rsidR="00B13299">
              <w:rPr>
                <w:noProof/>
                <w:webHidden/>
              </w:rPr>
              <w:fldChar w:fldCharType="begin"/>
            </w:r>
            <w:r w:rsidR="00B13299">
              <w:rPr>
                <w:noProof/>
                <w:webHidden/>
              </w:rPr>
              <w:instrText xml:space="preserve"> PAGEREF _Toc198721108 \h </w:instrText>
            </w:r>
            <w:r w:rsidR="00B13299">
              <w:rPr>
                <w:noProof/>
                <w:webHidden/>
              </w:rPr>
            </w:r>
            <w:r w:rsidR="00B13299">
              <w:rPr>
                <w:noProof/>
                <w:webHidden/>
              </w:rPr>
              <w:fldChar w:fldCharType="separate"/>
            </w:r>
            <w:r w:rsidR="00B13299">
              <w:rPr>
                <w:noProof/>
                <w:webHidden/>
              </w:rPr>
              <w:t>46</w:t>
            </w:r>
            <w:r w:rsidR="00B13299">
              <w:rPr>
                <w:noProof/>
                <w:webHidden/>
              </w:rPr>
              <w:fldChar w:fldCharType="end"/>
            </w:r>
          </w:hyperlink>
        </w:p>
        <w:p w:rsidR="00B13299" w:rsidRDefault="006B23A3" w14:paraId="04EBC884" w14:textId="6039C1BD">
          <w:pPr>
            <w:pStyle w:val="Inhopg3"/>
            <w:rPr>
              <w:rFonts w:asciiTheme="minorHAnsi" w:hAnsiTheme="minorHAnsi" w:eastAsiaTheme="minorEastAsia"/>
              <w:noProof/>
              <w:kern w:val="2"/>
              <w:sz w:val="24"/>
              <w:szCs w:val="24"/>
              <w:lang w:eastAsia="nl-NL"/>
              <w14:ligatures w14:val="standardContextual"/>
            </w:rPr>
          </w:pPr>
          <w:hyperlink w:history="1" w:anchor="_Toc198721109">
            <w:r w:rsidRPr="0063290F" w:rsidR="00B13299">
              <w:rPr>
                <w:rStyle w:val="Hyperlink"/>
                <w:noProof/>
              </w:rPr>
              <w:t>6.4.1 Rechtmatigheid, behoorlijkheid en transparantie</w:t>
            </w:r>
            <w:r w:rsidR="00B13299">
              <w:rPr>
                <w:noProof/>
                <w:webHidden/>
              </w:rPr>
              <w:tab/>
            </w:r>
            <w:r w:rsidR="00B13299">
              <w:rPr>
                <w:noProof/>
                <w:webHidden/>
              </w:rPr>
              <w:fldChar w:fldCharType="begin"/>
            </w:r>
            <w:r w:rsidR="00B13299">
              <w:rPr>
                <w:noProof/>
                <w:webHidden/>
              </w:rPr>
              <w:instrText xml:space="preserve"> PAGEREF _Toc198721109 \h </w:instrText>
            </w:r>
            <w:r w:rsidR="00B13299">
              <w:rPr>
                <w:noProof/>
                <w:webHidden/>
              </w:rPr>
            </w:r>
            <w:r w:rsidR="00B13299">
              <w:rPr>
                <w:noProof/>
                <w:webHidden/>
              </w:rPr>
              <w:fldChar w:fldCharType="separate"/>
            </w:r>
            <w:r w:rsidR="00B13299">
              <w:rPr>
                <w:noProof/>
                <w:webHidden/>
              </w:rPr>
              <w:t>46</w:t>
            </w:r>
            <w:r w:rsidR="00B13299">
              <w:rPr>
                <w:noProof/>
                <w:webHidden/>
              </w:rPr>
              <w:fldChar w:fldCharType="end"/>
            </w:r>
          </w:hyperlink>
        </w:p>
        <w:p w:rsidR="00B13299" w:rsidRDefault="006B23A3" w14:paraId="6478108C" w14:textId="6CBAE791">
          <w:pPr>
            <w:pStyle w:val="Inhopg3"/>
            <w:rPr>
              <w:rFonts w:asciiTheme="minorHAnsi" w:hAnsiTheme="minorHAnsi" w:eastAsiaTheme="minorEastAsia"/>
              <w:noProof/>
              <w:kern w:val="2"/>
              <w:sz w:val="24"/>
              <w:szCs w:val="24"/>
              <w:lang w:eastAsia="nl-NL"/>
              <w14:ligatures w14:val="standardContextual"/>
            </w:rPr>
          </w:pPr>
          <w:hyperlink w:history="1" w:anchor="_Toc198721110">
            <w:r w:rsidRPr="0063290F" w:rsidR="00B13299">
              <w:rPr>
                <w:rStyle w:val="Hyperlink"/>
                <w:noProof/>
              </w:rPr>
              <w:t>6.4.2 Doelbinding</w:t>
            </w:r>
            <w:r w:rsidR="00B13299">
              <w:rPr>
                <w:noProof/>
                <w:webHidden/>
              </w:rPr>
              <w:tab/>
            </w:r>
            <w:r w:rsidR="00B13299">
              <w:rPr>
                <w:noProof/>
                <w:webHidden/>
              </w:rPr>
              <w:fldChar w:fldCharType="begin"/>
            </w:r>
            <w:r w:rsidR="00B13299">
              <w:rPr>
                <w:noProof/>
                <w:webHidden/>
              </w:rPr>
              <w:instrText xml:space="preserve"> PAGEREF _Toc198721110 \h </w:instrText>
            </w:r>
            <w:r w:rsidR="00B13299">
              <w:rPr>
                <w:noProof/>
                <w:webHidden/>
              </w:rPr>
            </w:r>
            <w:r w:rsidR="00B13299">
              <w:rPr>
                <w:noProof/>
                <w:webHidden/>
              </w:rPr>
              <w:fldChar w:fldCharType="separate"/>
            </w:r>
            <w:r w:rsidR="00B13299">
              <w:rPr>
                <w:noProof/>
                <w:webHidden/>
              </w:rPr>
              <w:t>47</w:t>
            </w:r>
            <w:r w:rsidR="00B13299">
              <w:rPr>
                <w:noProof/>
                <w:webHidden/>
              </w:rPr>
              <w:fldChar w:fldCharType="end"/>
            </w:r>
          </w:hyperlink>
        </w:p>
        <w:p w:rsidR="00B13299" w:rsidRDefault="006B23A3" w14:paraId="6D1FA538" w14:textId="3A50F46A">
          <w:pPr>
            <w:pStyle w:val="Inhopg3"/>
            <w:rPr>
              <w:rFonts w:asciiTheme="minorHAnsi" w:hAnsiTheme="minorHAnsi" w:eastAsiaTheme="minorEastAsia"/>
              <w:noProof/>
              <w:kern w:val="2"/>
              <w:sz w:val="24"/>
              <w:szCs w:val="24"/>
              <w:lang w:eastAsia="nl-NL"/>
              <w14:ligatures w14:val="standardContextual"/>
            </w:rPr>
          </w:pPr>
          <w:hyperlink w:history="1" w:anchor="_Toc198721111">
            <w:r w:rsidRPr="0063290F" w:rsidR="00B13299">
              <w:rPr>
                <w:rStyle w:val="Hyperlink"/>
                <w:noProof/>
              </w:rPr>
              <w:t>6.4.3 Minimale gegevensverwerking</w:t>
            </w:r>
            <w:r w:rsidR="00B13299">
              <w:rPr>
                <w:noProof/>
                <w:webHidden/>
              </w:rPr>
              <w:tab/>
            </w:r>
            <w:r w:rsidR="00B13299">
              <w:rPr>
                <w:noProof/>
                <w:webHidden/>
              </w:rPr>
              <w:fldChar w:fldCharType="begin"/>
            </w:r>
            <w:r w:rsidR="00B13299">
              <w:rPr>
                <w:noProof/>
                <w:webHidden/>
              </w:rPr>
              <w:instrText xml:space="preserve"> PAGEREF _Toc198721111 \h </w:instrText>
            </w:r>
            <w:r w:rsidR="00B13299">
              <w:rPr>
                <w:noProof/>
                <w:webHidden/>
              </w:rPr>
            </w:r>
            <w:r w:rsidR="00B13299">
              <w:rPr>
                <w:noProof/>
                <w:webHidden/>
              </w:rPr>
              <w:fldChar w:fldCharType="separate"/>
            </w:r>
            <w:r w:rsidR="00B13299">
              <w:rPr>
                <w:noProof/>
                <w:webHidden/>
              </w:rPr>
              <w:t>47</w:t>
            </w:r>
            <w:r w:rsidR="00B13299">
              <w:rPr>
                <w:noProof/>
                <w:webHidden/>
              </w:rPr>
              <w:fldChar w:fldCharType="end"/>
            </w:r>
          </w:hyperlink>
        </w:p>
        <w:p w:rsidR="00B13299" w:rsidRDefault="006B23A3" w14:paraId="721257CB" w14:textId="69316326">
          <w:pPr>
            <w:pStyle w:val="Inhopg3"/>
            <w:rPr>
              <w:rFonts w:asciiTheme="minorHAnsi" w:hAnsiTheme="minorHAnsi" w:eastAsiaTheme="minorEastAsia"/>
              <w:noProof/>
              <w:kern w:val="2"/>
              <w:sz w:val="24"/>
              <w:szCs w:val="24"/>
              <w:lang w:eastAsia="nl-NL"/>
              <w14:ligatures w14:val="standardContextual"/>
            </w:rPr>
          </w:pPr>
          <w:hyperlink w:history="1" w:anchor="_Toc198721112">
            <w:r w:rsidRPr="0063290F" w:rsidR="00B13299">
              <w:rPr>
                <w:rStyle w:val="Hyperlink"/>
                <w:noProof/>
              </w:rPr>
              <w:t>6.4.4 Juistheid</w:t>
            </w:r>
            <w:r w:rsidR="00B13299">
              <w:rPr>
                <w:noProof/>
                <w:webHidden/>
              </w:rPr>
              <w:tab/>
            </w:r>
            <w:r w:rsidR="00B13299">
              <w:rPr>
                <w:noProof/>
                <w:webHidden/>
              </w:rPr>
              <w:fldChar w:fldCharType="begin"/>
            </w:r>
            <w:r w:rsidR="00B13299">
              <w:rPr>
                <w:noProof/>
                <w:webHidden/>
              </w:rPr>
              <w:instrText xml:space="preserve"> PAGEREF _Toc198721112 \h </w:instrText>
            </w:r>
            <w:r w:rsidR="00B13299">
              <w:rPr>
                <w:noProof/>
                <w:webHidden/>
              </w:rPr>
            </w:r>
            <w:r w:rsidR="00B13299">
              <w:rPr>
                <w:noProof/>
                <w:webHidden/>
              </w:rPr>
              <w:fldChar w:fldCharType="separate"/>
            </w:r>
            <w:r w:rsidR="00B13299">
              <w:rPr>
                <w:noProof/>
                <w:webHidden/>
              </w:rPr>
              <w:t>47</w:t>
            </w:r>
            <w:r w:rsidR="00B13299">
              <w:rPr>
                <w:noProof/>
                <w:webHidden/>
              </w:rPr>
              <w:fldChar w:fldCharType="end"/>
            </w:r>
          </w:hyperlink>
        </w:p>
        <w:p w:rsidR="00B13299" w:rsidRDefault="006B23A3" w14:paraId="44BEE9BA" w14:textId="6571956B">
          <w:pPr>
            <w:pStyle w:val="Inhopg3"/>
            <w:rPr>
              <w:rFonts w:asciiTheme="minorHAnsi" w:hAnsiTheme="minorHAnsi" w:eastAsiaTheme="minorEastAsia"/>
              <w:noProof/>
              <w:kern w:val="2"/>
              <w:sz w:val="24"/>
              <w:szCs w:val="24"/>
              <w:lang w:eastAsia="nl-NL"/>
              <w14:ligatures w14:val="standardContextual"/>
            </w:rPr>
          </w:pPr>
          <w:hyperlink w:history="1" w:anchor="_Toc198721113">
            <w:r w:rsidRPr="0063290F" w:rsidR="00B13299">
              <w:rPr>
                <w:rStyle w:val="Hyperlink"/>
                <w:noProof/>
              </w:rPr>
              <w:t>6.4.5 Opslagbeperking</w:t>
            </w:r>
            <w:r w:rsidR="00B13299">
              <w:rPr>
                <w:noProof/>
                <w:webHidden/>
              </w:rPr>
              <w:tab/>
            </w:r>
            <w:r w:rsidR="00B13299">
              <w:rPr>
                <w:noProof/>
                <w:webHidden/>
              </w:rPr>
              <w:fldChar w:fldCharType="begin"/>
            </w:r>
            <w:r w:rsidR="00B13299">
              <w:rPr>
                <w:noProof/>
                <w:webHidden/>
              </w:rPr>
              <w:instrText xml:space="preserve"> PAGEREF _Toc198721113 \h </w:instrText>
            </w:r>
            <w:r w:rsidR="00B13299">
              <w:rPr>
                <w:noProof/>
                <w:webHidden/>
              </w:rPr>
            </w:r>
            <w:r w:rsidR="00B13299">
              <w:rPr>
                <w:noProof/>
                <w:webHidden/>
              </w:rPr>
              <w:fldChar w:fldCharType="separate"/>
            </w:r>
            <w:r w:rsidR="00B13299">
              <w:rPr>
                <w:noProof/>
                <w:webHidden/>
              </w:rPr>
              <w:t>47</w:t>
            </w:r>
            <w:r w:rsidR="00B13299">
              <w:rPr>
                <w:noProof/>
                <w:webHidden/>
              </w:rPr>
              <w:fldChar w:fldCharType="end"/>
            </w:r>
          </w:hyperlink>
        </w:p>
        <w:p w:rsidR="00B13299" w:rsidRDefault="006B23A3" w14:paraId="6B195C75" w14:textId="24B85BAA">
          <w:pPr>
            <w:pStyle w:val="Inhopg3"/>
            <w:rPr>
              <w:rFonts w:asciiTheme="minorHAnsi" w:hAnsiTheme="minorHAnsi" w:eastAsiaTheme="minorEastAsia"/>
              <w:noProof/>
              <w:kern w:val="2"/>
              <w:sz w:val="24"/>
              <w:szCs w:val="24"/>
              <w:lang w:eastAsia="nl-NL"/>
              <w14:ligatures w14:val="standardContextual"/>
            </w:rPr>
          </w:pPr>
          <w:hyperlink w:history="1" w:anchor="_Toc198721114">
            <w:r w:rsidRPr="0063290F" w:rsidR="00B13299">
              <w:rPr>
                <w:rStyle w:val="Hyperlink"/>
                <w:noProof/>
              </w:rPr>
              <w:t>6.4.6 Integriteit en vertrouwelijkheid</w:t>
            </w:r>
            <w:r w:rsidR="00B13299">
              <w:rPr>
                <w:noProof/>
                <w:webHidden/>
              </w:rPr>
              <w:tab/>
            </w:r>
            <w:r w:rsidR="00B13299">
              <w:rPr>
                <w:noProof/>
                <w:webHidden/>
              </w:rPr>
              <w:fldChar w:fldCharType="begin"/>
            </w:r>
            <w:r w:rsidR="00B13299">
              <w:rPr>
                <w:noProof/>
                <w:webHidden/>
              </w:rPr>
              <w:instrText xml:space="preserve"> PAGEREF _Toc198721114 \h </w:instrText>
            </w:r>
            <w:r w:rsidR="00B13299">
              <w:rPr>
                <w:noProof/>
                <w:webHidden/>
              </w:rPr>
            </w:r>
            <w:r w:rsidR="00B13299">
              <w:rPr>
                <w:noProof/>
                <w:webHidden/>
              </w:rPr>
              <w:fldChar w:fldCharType="separate"/>
            </w:r>
            <w:r w:rsidR="00B13299">
              <w:rPr>
                <w:noProof/>
                <w:webHidden/>
              </w:rPr>
              <w:t>47</w:t>
            </w:r>
            <w:r w:rsidR="00B13299">
              <w:rPr>
                <w:noProof/>
                <w:webHidden/>
              </w:rPr>
              <w:fldChar w:fldCharType="end"/>
            </w:r>
          </w:hyperlink>
        </w:p>
        <w:p w:rsidR="00B13299" w:rsidRDefault="006B23A3" w14:paraId="46FCF72E" w14:textId="59EBBB35">
          <w:pPr>
            <w:pStyle w:val="Inhopg3"/>
            <w:rPr>
              <w:rFonts w:asciiTheme="minorHAnsi" w:hAnsiTheme="minorHAnsi" w:eastAsiaTheme="minorEastAsia"/>
              <w:noProof/>
              <w:kern w:val="2"/>
              <w:sz w:val="24"/>
              <w:szCs w:val="24"/>
              <w:lang w:eastAsia="nl-NL"/>
              <w14:ligatures w14:val="standardContextual"/>
            </w:rPr>
          </w:pPr>
          <w:hyperlink w:history="1" w:anchor="_Toc198721115">
            <w:r w:rsidRPr="0063290F" w:rsidR="00B13299">
              <w:rPr>
                <w:rStyle w:val="Hyperlink"/>
                <w:noProof/>
              </w:rPr>
              <w:t>6.4.7 Verantwoordingsplicht</w:t>
            </w:r>
            <w:r w:rsidR="00B13299">
              <w:rPr>
                <w:noProof/>
                <w:webHidden/>
              </w:rPr>
              <w:tab/>
            </w:r>
            <w:r w:rsidR="00B13299">
              <w:rPr>
                <w:noProof/>
                <w:webHidden/>
              </w:rPr>
              <w:fldChar w:fldCharType="begin"/>
            </w:r>
            <w:r w:rsidR="00B13299">
              <w:rPr>
                <w:noProof/>
                <w:webHidden/>
              </w:rPr>
              <w:instrText xml:space="preserve"> PAGEREF _Toc198721115 \h </w:instrText>
            </w:r>
            <w:r w:rsidR="00B13299">
              <w:rPr>
                <w:noProof/>
                <w:webHidden/>
              </w:rPr>
            </w:r>
            <w:r w:rsidR="00B13299">
              <w:rPr>
                <w:noProof/>
                <w:webHidden/>
              </w:rPr>
              <w:fldChar w:fldCharType="separate"/>
            </w:r>
            <w:r w:rsidR="00B13299">
              <w:rPr>
                <w:noProof/>
                <w:webHidden/>
              </w:rPr>
              <w:t>48</w:t>
            </w:r>
            <w:r w:rsidR="00B13299">
              <w:rPr>
                <w:noProof/>
                <w:webHidden/>
              </w:rPr>
              <w:fldChar w:fldCharType="end"/>
            </w:r>
          </w:hyperlink>
        </w:p>
        <w:p w:rsidR="00B13299" w:rsidRDefault="006B23A3" w14:paraId="71A37128" w14:textId="54D0DAAA">
          <w:pPr>
            <w:pStyle w:val="Inhopg2"/>
            <w:rPr>
              <w:rFonts w:asciiTheme="minorHAnsi" w:hAnsiTheme="minorHAnsi" w:eastAsiaTheme="minorEastAsia"/>
              <w:noProof/>
              <w:kern w:val="2"/>
              <w:sz w:val="24"/>
              <w:szCs w:val="24"/>
              <w:lang w:eastAsia="nl-NL"/>
              <w14:ligatures w14:val="standardContextual"/>
            </w:rPr>
          </w:pPr>
          <w:hyperlink w:history="1" w:anchor="_Toc198721116">
            <w:r w:rsidRPr="0063290F" w:rsidR="00B13299">
              <w:rPr>
                <w:rStyle w:val="Hyperlink"/>
                <w:noProof/>
              </w:rPr>
              <w:t>6.5 Verwerking bijzondere categorieën van persoonsgegevens</w:t>
            </w:r>
            <w:r w:rsidR="00B13299">
              <w:rPr>
                <w:noProof/>
                <w:webHidden/>
              </w:rPr>
              <w:tab/>
            </w:r>
            <w:r w:rsidR="00B13299">
              <w:rPr>
                <w:noProof/>
                <w:webHidden/>
              </w:rPr>
              <w:fldChar w:fldCharType="begin"/>
            </w:r>
            <w:r w:rsidR="00B13299">
              <w:rPr>
                <w:noProof/>
                <w:webHidden/>
              </w:rPr>
              <w:instrText xml:space="preserve"> PAGEREF _Toc198721116 \h </w:instrText>
            </w:r>
            <w:r w:rsidR="00B13299">
              <w:rPr>
                <w:noProof/>
                <w:webHidden/>
              </w:rPr>
            </w:r>
            <w:r w:rsidR="00B13299">
              <w:rPr>
                <w:noProof/>
                <w:webHidden/>
              </w:rPr>
              <w:fldChar w:fldCharType="separate"/>
            </w:r>
            <w:r w:rsidR="00B13299">
              <w:rPr>
                <w:noProof/>
                <w:webHidden/>
              </w:rPr>
              <w:t>48</w:t>
            </w:r>
            <w:r w:rsidR="00B13299">
              <w:rPr>
                <w:noProof/>
                <w:webHidden/>
              </w:rPr>
              <w:fldChar w:fldCharType="end"/>
            </w:r>
          </w:hyperlink>
        </w:p>
        <w:p w:rsidR="00B13299" w:rsidRDefault="006B23A3" w14:paraId="2638F662" w14:textId="1F7916BB">
          <w:pPr>
            <w:pStyle w:val="Inhopg1"/>
            <w:rPr>
              <w:rFonts w:asciiTheme="minorHAnsi" w:hAnsiTheme="minorHAnsi" w:eastAsiaTheme="minorEastAsia"/>
              <w:b w:val="0"/>
              <w:noProof/>
              <w:kern w:val="2"/>
              <w:sz w:val="24"/>
              <w:szCs w:val="24"/>
              <w:lang w:eastAsia="nl-NL"/>
              <w14:ligatures w14:val="standardContextual"/>
            </w:rPr>
          </w:pPr>
          <w:hyperlink w:history="1" w:anchor="_Toc198721117">
            <w:r w:rsidRPr="0063290F" w:rsidR="00B13299">
              <w:rPr>
                <w:rStyle w:val="Hyperlink"/>
                <w:noProof/>
              </w:rPr>
              <w:t>7. Verhouding tot nationale regelgeving</w:t>
            </w:r>
            <w:r w:rsidR="00B13299">
              <w:rPr>
                <w:noProof/>
                <w:webHidden/>
              </w:rPr>
              <w:tab/>
            </w:r>
            <w:r w:rsidR="00B13299">
              <w:rPr>
                <w:noProof/>
                <w:webHidden/>
              </w:rPr>
              <w:fldChar w:fldCharType="begin"/>
            </w:r>
            <w:r w:rsidR="00B13299">
              <w:rPr>
                <w:noProof/>
                <w:webHidden/>
              </w:rPr>
              <w:instrText xml:space="preserve"> PAGEREF _Toc198721117 \h </w:instrText>
            </w:r>
            <w:r w:rsidR="00B13299">
              <w:rPr>
                <w:noProof/>
                <w:webHidden/>
              </w:rPr>
            </w:r>
            <w:r w:rsidR="00B13299">
              <w:rPr>
                <w:noProof/>
                <w:webHidden/>
              </w:rPr>
              <w:fldChar w:fldCharType="separate"/>
            </w:r>
            <w:r w:rsidR="00B13299">
              <w:rPr>
                <w:noProof/>
                <w:webHidden/>
              </w:rPr>
              <w:t>49</w:t>
            </w:r>
            <w:r w:rsidR="00B13299">
              <w:rPr>
                <w:noProof/>
                <w:webHidden/>
              </w:rPr>
              <w:fldChar w:fldCharType="end"/>
            </w:r>
          </w:hyperlink>
        </w:p>
        <w:p w:rsidR="00B13299" w:rsidRDefault="006B23A3" w14:paraId="7250C1F9" w14:textId="37504C4E">
          <w:pPr>
            <w:pStyle w:val="Inhopg2"/>
            <w:rPr>
              <w:rFonts w:asciiTheme="minorHAnsi" w:hAnsiTheme="minorHAnsi" w:eastAsiaTheme="minorEastAsia"/>
              <w:noProof/>
              <w:kern w:val="2"/>
              <w:sz w:val="24"/>
              <w:szCs w:val="24"/>
              <w:lang w:eastAsia="nl-NL"/>
              <w14:ligatures w14:val="standardContextual"/>
            </w:rPr>
          </w:pPr>
          <w:hyperlink w:history="1" w:anchor="_Toc198721118">
            <w:r w:rsidRPr="0063290F" w:rsidR="00B13299">
              <w:rPr>
                <w:rStyle w:val="Hyperlink"/>
                <w:noProof/>
              </w:rPr>
              <w:t>7.1 Inleiding</w:t>
            </w:r>
            <w:r w:rsidR="00B13299">
              <w:rPr>
                <w:noProof/>
                <w:webHidden/>
              </w:rPr>
              <w:tab/>
            </w:r>
            <w:r w:rsidR="00B13299">
              <w:rPr>
                <w:noProof/>
                <w:webHidden/>
              </w:rPr>
              <w:fldChar w:fldCharType="begin"/>
            </w:r>
            <w:r w:rsidR="00B13299">
              <w:rPr>
                <w:noProof/>
                <w:webHidden/>
              </w:rPr>
              <w:instrText xml:space="preserve"> PAGEREF _Toc198721118 \h </w:instrText>
            </w:r>
            <w:r w:rsidR="00B13299">
              <w:rPr>
                <w:noProof/>
                <w:webHidden/>
              </w:rPr>
            </w:r>
            <w:r w:rsidR="00B13299">
              <w:rPr>
                <w:noProof/>
                <w:webHidden/>
              </w:rPr>
              <w:fldChar w:fldCharType="separate"/>
            </w:r>
            <w:r w:rsidR="00B13299">
              <w:rPr>
                <w:noProof/>
                <w:webHidden/>
              </w:rPr>
              <w:t>49</w:t>
            </w:r>
            <w:r w:rsidR="00B13299">
              <w:rPr>
                <w:noProof/>
                <w:webHidden/>
              </w:rPr>
              <w:fldChar w:fldCharType="end"/>
            </w:r>
          </w:hyperlink>
        </w:p>
        <w:p w:rsidR="00B13299" w:rsidRDefault="006B23A3" w14:paraId="1F2E6C63" w14:textId="22D2F715">
          <w:pPr>
            <w:pStyle w:val="Inhopg2"/>
            <w:rPr>
              <w:rFonts w:asciiTheme="minorHAnsi" w:hAnsiTheme="minorHAnsi" w:eastAsiaTheme="minorEastAsia"/>
              <w:noProof/>
              <w:kern w:val="2"/>
              <w:sz w:val="24"/>
              <w:szCs w:val="24"/>
              <w:lang w:eastAsia="nl-NL"/>
              <w14:ligatures w14:val="standardContextual"/>
            </w:rPr>
          </w:pPr>
          <w:hyperlink w:history="1" w:anchor="_Toc198721119">
            <w:r w:rsidRPr="0063290F" w:rsidR="00B13299">
              <w:rPr>
                <w:rStyle w:val="Hyperlink"/>
                <w:noProof/>
              </w:rPr>
              <w:t>7.2 Ministerie van Binnenlandse Zaken en Koninkrijksrelaties</w:t>
            </w:r>
            <w:r w:rsidR="00B13299">
              <w:rPr>
                <w:noProof/>
                <w:webHidden/>
              </w:rPr>
              <w:tab/>
            </w:r>
            <w:r w:rsidR="00B13299">
              <w:rPr>
                <w:noProof/>
                <w:webHidden/>
              </w:rPr>
              <w:fldChar w:fldCharType="begin"/>
            </w:r>
            <w:r w:rsidR="00B13299">
              <w:rPr>
                <w:noProof/>
                <w:webHidden/>
              </w:rPr>
              <w:instrText xml:space="preserve"> PAGEREF _Toc198721119 \h </w:instrText>
            </w:r>
            <w:r w:rsidR="00B13299">
              <w:rPr>
                <w:noProof/>
                <w:webHidden/>
              </w:rPr>
            </w:r>
            <w:r w:rsidR="00B13299">
              <w:rPr>
                <w:noProof/>
                <w:webHidden/>
              </w:rPr>
              <w:fldChar w:fldCharType="separate"/>
            </w:r>
            <w:r w:rsidR="00B13299">
              <w:rPr>
                <w:noProof/>
                <w:webHidden/>
              </w:rPr>
              <w:t>49</w:t>
            </w:r>
            <w:r w:rsidR="00B13299">
              <w:rPr>
                <w:noProof/>
                <w:webHidden/>
              </w:rPr>
              <w:fldChar w:fldCharType="end"/>
            </w:r>
          </w:hyperlink>
        </w:p>
        <w:p w:rsidR="00B13299" w:rsidRDefault="006B23A3" w14:paraId="5300E06A" w14:textId="15B0C38D">
          <w:pPr>
            <w:pStyle w:val="Inhopg2"/>
            <w:rPr>
              <w:rFonts w:asciiTheme="minorHAnsi" w:hAnsiTheme="minorHAnsi" w:eastAsiaTheme="minorEastAsia"/>
              <w:noProof/>
              <w:kern w:val="2"/>
              <w:sz w:val="24"/>
              <w:szCs w:val="24"/>
              <w:lang w:eastAsia="nl-NL"/>
              <w14:ligatures w14:val="standardContextual"/>
            </w:rPr>
          </w:pPr>
          <w:hyperlink w:history="1" w:anchor="_Toc198721120">
            <w:r w:rsidRPr="0063290F" w:rsidR="00B13299">
              <w:rPr>
                <w:rStyle w:val="Hyperlink"/>
                <w:noProof/>
              </w:rPr>
              <w:t>7.3 Ministerie van Economische Zaken</w:t>
            </w:r>
            <w:r w:rsidR="00B13299">
              <w:rPr>
                <w:noProof/>
                <w:webHidden/>
              </w:rPr>
              <w:tab/>
            </w:r>
            <w:r w:rsidR="00B13299">
              <w:rPr>
                <w:noProof/>
                <w:webHidden/>
              </w:rPr>
              <w:fldChar w:fldCharType="begin"/>
            </w:r>
            <w:r w:rsidR="00B13299">
              <w:rPr>
                <w:noProof/>
                <w:webHidden/>
              </w:rPr>
              <w:instrText xml:space="preserve"> PAGEREF _Toc198721120 \h </w:instrText>
            </w:r>
            <w:r w:rsidR="00B13299">
              <w:rPr>
                <w:noProof/>
                <w:webHidden/>
              </w:rPr>
            </w:r>
            <w:r w:rsidR="00B13299">
              <w:rPr>
                <w:noProof/>
                <w:webHidden/>
              </w:rPr>
              <w:fldChar w:fldCharType="separate"/>
            </w:r>
            <w:r w:rsidR="00B13299">
              <w:rPr>
                <w:noProof/>
                <w:webHidden/>
              </w:rPr>
              <w:t>50</w:t>
            </w:r>
            <w:r w:rsidR="00B13299">
              <w:rPr>
                <w:noProof/>
                <w:webHidden/>
              </w:rPr>
              <w:fldChar w:fldCharType="end"/>
            </w:r>
          </w:hyperlink>
        </w:p>
        <w:p w:rsidR="00B13299" w:rsidRDefault="006B23A3" w14:paraId="63AE232A" w14:textId="3C5A4063">
          <w:pPr>
            <w:pStyle w:val="Inhopg2"/>
            <w:rPr>
              <w:rFonts w:asciiTheme="minorHAnsi" w:hAnsiTheme="minorHAnsi" w:eastAsiaTheme="minorEastAsia"/>
              <w:noProof/>
              <w:kern w:val="2"/>
              <w:sz w:val="24"/>
              <w:szCs w:val="24"/>
              <w:lang w:eastAsia="nl-NL"/>
              <w14:ligatures w14:val="standardContextual"/>
            </w:rPr>
          </w:pPr>
          <w:hyperlink w:history="1" w:anchor="_Toc198721121">
            <w:r w:rsidRPr="0063290F" w:rsidR="00B13299">
              <w:rPr>
                <w:rStyle w:val="Hyperlink"/>
                <w:noProof/>
              </w:rPr>
              <w:t>7.4 Ministerie van Financiën</w:t>
            </w:r>
            <w:r w:rsidR="00B13299">
              <w:rPr>
                <w:noProof/>
                <w:webHidden/>
              </w:rPr>
              <w:tab/>
            </w:r>
            <w:r w:rsidR="00B13299">
              <w:rPr>
                <w:noProof/>
                <w:webHidden/>
              </w:rPr>
              <w:fldChar w:fldCharType="begin"/>
            </w:r>
            <w:r w:rsidR="00B13299">
              <w:rPr>
                <w:noProof/>
                <w:webHidden/>
              </w:rPr>
              <w:instrText xml:space="preserve"> PAGEREF _Toc198721121 \h </w:instrText>
            </w:r>
            <w:r w:rsidR="00B13299">
              <w:rPr>
                <w:noProof/>
                <w:webHidden/>
              </w:rPr>
            </w:r>
            <w:r w:rsidR="00B13299">
              <w:rPr>
                <w:noProof/>
                <w:webHidden/>
              </w:rPr>
              <w:fldChar w:fldCharType="separate"/>
            </w:r>
            <w:r w:rsidR="00B13299">
              <w:rPr>
                <w:noProof/>
                <w:webHidden/>
              </w:rPr>
              <w:t>51</w:t>
            </w:r>
            <w:r w:rsidR="00B13299">
              <w:rPr>
                <w:noProof/>
                <w:webHidden/>
              </w:rPr>
              <w:fldChar w:fldCharType="end"/>
            </w:r>
          </w:hyperlink>
        </w:p>
        <w:p w:rsidR="00B13299" w:rsidRDefault="006B23A3" w14:paraId="2A87E83D" w14:textId="696807C1">
          <w:pPr>
            <w:pStyle w:val="Inhopg2"/>
            <w:rPr>
              <w:rFonts w:asciiTheme="minorHAnsi" w:hAnsiTheme="minorHAnsi" w:eastAsiaTheme="minorEastAsia"/>
              <w:noProof/>
              <w:kern w:val="2"/>
              <w:sz w:val="24"/>
              <w:szCs w:val="24"/>
              <w:lang w:eastAsia="nl-NL"/>
              <w14:ligatures w14:val="standardContextual"/>
            </w:rPr>
          </w:pPr>
          <w:hyperlink w:history="1" w:anchor="_Toc198721122">
            <w:r w:rsidRPr="0063290F" w:rsidR="00B13299">
              <w:rPr>
                <w:rStyle w:val="Hyperlink"/>
                <w:noProof/>
              </w:rPr>
              <w:t>7.5 Ministerie van Infrastructuur en Waterstaat</w:t>
            </w:r>
            <w:r w:rsidR="00B13299">
              <w:rPr>
                <w:noProof/>
                <w:webHidden/>
              </w:rPr>
              <w:tab/>
            </w:r>
            <w:r w:rsidR="00B13299">
              <w:rPr>
                <w:noProof/>
                <w:webHidden/>
              </w:rPr>
              <w:fldChar w:fldCharType="begin"/>
            </w:r>
            <w:r w:rsidR="00B13299">
              <w:rPr>
                <w:noProof/>
                <w:webHidden/>
              </w:rPr>
              <w:instrText xml:space="preserve"> PAGEREF _Toc198721122 \h </w:instrText>
            </w:r>
            <w:r w:rsidR="00B13299">
              <w:rPr>
                <w:noProof/>
                <w:webHidden/>
              </w:rPr>
            </w:r>
            <w:r w:rsidR="00B13299">
              <w:rPr>
                <w:noProof/>
                <w:webHidden/>
              </w:rPr>
              <w:fldChar w:fldCharType="separate"/>
            </w:r>
            <w:r w:rsidR="00B13299">
              <w:rPr>
                <w:noProof/>
                <w:webHidden/>
              </w:rPr>
              <w:t>51</w:t>
            </w:r>
            <w:r w:rsidR="00B13299">
              <w:rPr>
                <w:noProof/>
                <w:webHidden/>
              </w:rPr>
              <w:fldChar w:fldCharType="end"/>
            </w:r>
          </w:hyperlink>
        </w:p>
        <w:p w:rsidR="00B13299" w:rsidRDefault="006B23A3" w14:paraId="3AE527CE" w14:textId="3042F713">
          <w:pPr>
            <w:pStyle w:val="Inhopg2"/>
            <w:rPr>
              <w:rFonts w:asciiTheme="minorHAnsi" w:hAnsiTheme="minorHAnsi" w:eastAsiaTheme="minorEastAsia"/>
              <w:noProof/>
              <w:kern w:val="2"/>
              <w:sz w:val="24"/>
              <w:szCs w:val="24"/>
              <w:lang w:eastAsia="nl-NL"/>
              <w14:ligatures w14:val="standardContextual"/>
            </w:rPr>
          </w:pPr>
          <w:hyperlink w:history="1" w:anchor="_Toc198721123">
            <w:r w:rsidRPr="0063290F" w:rsidR="00B13299">
              <w:rPr>
                <w:rStyle w:val="Hyperlink"/>
                <w:noProof/>
              </w:rPr>
              <w:t>7.6 Ministerie van Klimaat en Groene Groei</w:t>
            </w:r>
            <w:r w:rsidR="00B13299">
              <w:rPr>
                <w:noProof/>
                <w:webHidden/>
              </w:rPr>
              <w:tab/>
            </w:r>
            <w:r w:rsidR="00B13299">
              <w:rPr>
                <w:noProof/>
                <w:webHidden/>
              </w:rPr>
              <w:fldChar w:fldCharType="begin"/>
            </w:r>
            <w:r w:rsidR="00B13299">
              <w:rPr>
                <w:noProof/>
                <w:webHidden/>
              </w:rPr>
              <w:instrText xml:space="preserve"> PAGEREF _Toc198721123 \h </w:instrText>
            </w:r>
            <w:r w:rsidR="00B13299">
              <w:rPr>
                <w:noProof/>
                <w:webHidden/>
              </w:rPr>
            </w:r>
            <w:r w:rsidR="00B13299">
              <w:rPr>
                <w:noProof/>
                <w:webHidden/>
              </w:rPr>
              <w:fldChar w:fldCharType="separate"/>
            </w:r>
            <w:r w:rsidR="00B13299">
              <w:rPr>
                <w:noProof/>
                <w:webHidden/>
              </w:rPr>
              <w:t>52</w:t>
            </w:r>
            <w:r w:rsidR="00B13299">
              <w:rPr>
                <w:noProof/>
                <w:webHidden/>
              </w:rPr>
              <w:fldChar w:fldCharType="end"/>
            </w:r>
          </w:hyperlink>
        </w:p>
        <w:p w:rsidR="00B13299" w:rsidRDefault="006B23A3" w14:paraId="0434D3CB" w14:textId="4EBD190B">
          <w:pPr>
            <w:pStyle w:val="Inhopg2"/>
            <w:rPr>
              <w:rFonts w:asciiTheme="minorHAnsi" w:hAnsiTheme="minorHAnsi" w:eastAsiaTheme="minorEastAsia"/>
              <w:noProof/>
              <w:kern w:val="2"/>
              <w:sz w:val="24"/>
              <w:szCs w:val="24"/>
              <w:lang w:eastAsia="nl-NL"/>
              <w14:ligatures w14:val="standardContextual"/>
            </w:rPr>
          </w:pPr>
          <w:hyperlink w:history="1" w:anchor="_Toc198721124">
            <w:r w:rsidRPr="0063290F" w:rsidR="00B13299">
              <w:rPr>
                <w:rStyle w:val="Hyperlink"/>
                <w:noProof/>
              </w:rPr>
              <w:t>7.7 Ministerie van Landbouw, Visserij, Voedselzekerheid en Natuur</w:t>
            </w:r>
            <w:r w:rsidR="00B13299">
              <w:rPr>
                <w:noProof/>
                <w:webHidden/>
              </w:rPr>
              <w:tab/>
            </w:r>
            <w:r w:rsidR="00B13299">
              <w:rPr>
                <w:noProof/>
                <w:webHidden/>
              </w:rPr>
              <w:fldChar w:fldCharType="begin"/>
            </w:r>
            <w:r w:rsidR="00B13299">
              <w:rPr>
                <w:noProof/>
                <w:webHidden/>
              </w:rPr>
              <w:instrText xml:space="preserve"> PAGEREF _Toc198721124 \h </w:instrText>
            </w:r>
            <w:r w:rsidR="00B13299">
              <w:rPr>
                <w:noProof/>
                <w:webHidden/>
              </w:rPr>
            </w:r>
            <w:r w:rsidR="00B13299">
              <w:rPr>
                <w:noProof/>
                <w:webHidden/>
              </w:rPr>
              <w:fldChar w:fldCharType="separate"/>
            </w:r>
            <w:r w:rsidR="00B13299">
              <w:rPr>
                <w:noProof/>
                <w:webHidden/>
              </w:rPr>
              <w:t>54</w:t>
            </w:r>
            <w:r w:rsidR="00B13299">
              <w:rPr>
                <w:noProof/>
                <w:webHidden/>
              </w:rPr>
              <w:fldChar w:fldCharType="end"/>
            </w:r>
          </w:hyperlink>
        </w:p>
        <w:p w:rsidR="00B13299" w:rsidRDefault="006B23A3" w14:paraId="79ADD0EF" w14:textId="39432DDB">
          <w:pPr>
            <w:pStyle w:val="Inhopg2"/>
            <w:rPr>
              <w:rFonts w:asciiTheme="minorHAnsi" w:hAnsiTheme="minorHAnsi" w:eastAsiaTheme="minorEastAsia"/>
              <w:noProof/>
              <w:kern w:val="2"/>
              <w:sz w:val="24"/>
              <w:szCs w:val="24"/>
              <w:lang w:eastAsia="nl-NL"/>
              <w14:ligatures w14:val="standardContextual"/>
            </w:rPr>
          </w:pPr>
          <w:hyperlink w:history="1" w:anchor="_Toc198721125">
            <w:r w:rsidRPr="0063290F" w:rsidR="00B13299">
              <w:rPr>
                <w:rStyle w:val="Hyperlink"/>
                <w:noProof/>
              </w:rPr>
              <w:t>7.8 Ministerie van Onderwijs, Cultuur en Wetenschap</w:t>
            </w:r>
            <w:r w:rsidR="00B13299">
              <w:rPr>
                <w:noProof/>
                <w:webHidden/>
              </w:rPr>
              <w:tab/>
            </w:r>
            <w:r w:rsidR="00B13299">
              <w:rPr>
                <w:noProof/>
                <w:webHidden/>
              </w:rPr>
              <w:fldChar w:fldCharType="begin"/>
            </w:r>
            <w:r w:rsidR="00B13299">
              <w:rPr>
                <w:noProof/>
                <w:webHidden/>
              </w:rPr>
              <w:instrText xml:space="preserve"> PAGEREF _Toc198721125 \h </w:instrText>
            </w:r>
            <w:r w:rsidR="00B13299">
              <w:rPr>
                <w:noProof/>
                <w:webHidden/>
              </w:rPr>
            </w:r>
            <w:r w:rsidR="00B13299">
              <w:rPr>
                <w:noProof/>
                <w:webHidden/>
              </w:rPr>
              <w:fldChar w:fldCharType="separate"/>
            </w:r>
            <w:r w:rsidR="00B13299">
              <w:rPr>
                <w:noProof/>
                <w:webHidden/>
              </w:rPr>
              <w:t>54</w:t>
            </w:r>
            <w:r w:rsidR="00B13299">
              <w:rPr>
                <w:noProof/>
                <w:webHidden/>
              </w:rPr>
              <w:fldChar w:fldCharType="end"/>
            </w:r>
          </w:hyperlink>
        </w:p>
        <w:p w:rsidR="00B13299" w:rsidRDefault="006B23A3" w14:paraId="1C3557E3" w14:textId="2B3D4CAD">
          <w:pPr>
            <w:pStyle w:val="Inhopg2"/>
            <w:rPr>
              <w:rFonts w:asciiTheme="minorHAnsi" w:hAnsiTheme="minorHAnsi" w:eastAsiaTheme="minorEastAsia"/>
              <w:noProof/>
              <w:kern w:val="2"/>
              <w:sz w:val="24"/>
              <w:szCs w:val="24"/>
              <w:lang w:eastAsia="nl-NL"/>
              <w14:ligatures w14:val="standardContextual"/>
            </w:rPr>
          </w:pPr>
          <w:hyperlink w:history="1" w:anchor="_Toc198721126">
            <w:r w:rsidRPr="0063290F" w:rsidR="00B13299">
              <w:rPr>
                <w:rStyle w:val="Hyperlink"/>
                <w:noProof/>
              </w:rPr>
              <w:t>7.9 Ministerie van Sociale Zaken en Werkgelegenheid</w:t>
            </w:r>
            <w:r w:rsidR="00B13299">
              <w:rPr>
                <w:noProof/>
                <w:webHidden/>
              </w:rPr>
              <w:tab/>
            </w:r>
            <w:r w:rsidR="00B13299">
              <w:rPr>
                <w:noProof/>
                <w:webHidden/>
              </w:rPr>
              <w:fldChar w:fldCharType="begin"/>
            </w:r>
            <w:r w:rsidR="00B13299">
              <w:rPr>
                <w:noProof/>
                <w:webHidden/>
              </w:rPr>
              <w:instrText xml:space="preserve"> PAGEREF _Toc198721126 \h </w:instrText>
            </w:r>
            <w:r w:rsidR="00B13299">
              <w:rPr>
                <w:noProof/>
                <w:webHidden/>
              </w:rPr>
            </w:r>
            <w:r w:rsidR="00B13299">
              <w:rPr>
                <w:noProof/>
                <w:webHidden/>
              </w:rPr>
              <w:fldChar w:fldCharType="separate"/>
            </w:r>
            <w:r w:rsidR="00B13299">
              <w:rPr>
                <w:noProof/>
                <w:webHidden/>
              </w:rPr>
              <w:t>54</w:t>
            </w:r>
            <w:r w:rsidR="00B13299">
              <w:rPr>
                <w:noProof/>
                <w:webHidden/>
              </w:rPr>
              <w:fldChar w:fldCharType="end"/>
            </w:r>
          </w:hyperlink>
        </w:p>
        <w:p w:rsidR="00B13299" w:rsidRDefault="006B23A3" w14:paraId="45796B11" w14:textId="323F9898">
          <w:pPr>
            <w:pStyle w:val="Inhopg2"/>
            <w:rPr>
              <w:rFonts w:asciiTheme="minorHAnsi" w:hAnsiTheme="minorHAnsi" w:eastAsiaTheme="minorEastAsia"/>
              <w:noProof/>
              <w:kern w:val="2"/>
              <w:sz w:val="24"/>
              <w:szCs w:val="24"/>
              <w:lang w:eastAsia="nl-NL"/>
              <w14:ligatures w14:val="standardContextual"/>
            </w:rPr>
          </w:pPr>
          <w:hyperlink w:history="1" w:anchor="_Toc198721127">
            <w:r w:rsidRPr="0063290F" w:rsidR="00B13299">
              <w:rPr>
                <w:rStyle w:val="Hyperlink"/>
                <w:noProof/>
              </w:rPr>
              <w:t>7.10 Ministerie van Volksgezondheid, Welzijn en Sport</w:t>
            </w:r>
            <w:r w:rsidR="00B13299">
              <w:rPr>
                <w:noProof/>
                <w:webHidden/>
              </w:rPr>
              <w:tab/>
            </w:r>
            <w:r w:rsidR="00B13299">
              <w:rPr>
                <w:noProof/>
                <w:webHidden/>
              </w:rPr>
              <w:fldChar w:fldCharType="begin"/>
            </w:r>
            <w:r w:rsidR="00B13299">
              <w:rPr>
                <w:noProof/>
                <w:webHidden/>
              </w:rPr>
              <w:instrText xml:space="preserve"> PAGEREF _Toc198721127 \h </w:instrText>
            </w:r>
            <w:r w:rsidR="00B13299">
              <w:rPr>
                <w:noProof/>
                <w:webHidden/>
              </w:rPr>
            </w:r>
            <w:r w:rsidR="00B13299">
              <w:rPr>
                <w:noProof/>
                <w:webHidden/>
              </w:rPr>
              <w:fldChar w:fldCharType="separate"/>
            </w:r>
            <w:r w:rsidR="00B13299">
              <w:rPr>
                <w:noProof/>
                <w:webHidden/>
              </w:rPr>
              <w:t>55</w:t>
            </w:r>
            <w:r w:rsidR="00B13299">
              <w:rPr>
                <w:noProof/>
                <w:webHidden/>
              </w:rPr>
              <w:fldChar w:fldCharType="end"/>
            </w:r>
          </w:hyperlink>
        </w:p>
        <w:p w:rsidR="00B13299" w:rsidRDefault="006B23A3" w14:paraId="5E0D4F94" w14:textId="1B932D54">
          <w:pPr>
            <w:pStyle w:val="Inhopg1"/>
            <w:rPr>
              <w:rFonts w:asciiTheme="minorHAnsi" w:hAnsiTheme="minorHAnsi" w:eastAsiaTheme="minorEastAsia"/>
              <w:b w:val="0"/>
              <w:noProof/>
              <w:kern w:val="2"/>
              <w:sz w:val="24"/>
              <w:szCs w:val="24"/>
              <w:lang w:eastAsia="nl-NL"/>
              <w14:ligatures w14:val="standardContextual"/>
            </w:rPr>
          </w:pPr>
          <w:hyperlink w:history="1" w:anchor="_Toc198721128">
            <w:r w:rsidRPr="0063290F" w:rsidR="00B13299">
              <w:rPr>
                <w:rStyle w:val="Hyperlink"/>
                <w:noProof/>
              </w:rPr>
              <w:t>8. Gevolgen</w:t>
            </w:r>
            <w:r w:rsidR="00B13299">
              <w:rPr>
                <w:noProof/>
                <w:webHidden/>
              </w:rPr>
              <w:tab/>
            </w:r>
            <w:r w:rsidR="00B13299">
              <w:rPr>
                <w:noProof/>
                <w:webHidden/>
              </w:rPr>
              <w:fldChar w:fldCharType="begin"/>
            </w:r>
            <w:r w:rsidR="00B13299">
              <w:rPr>
                <w:noProof/>
                <w:webHidden/>
              </w:rPr>
              <w:instrText xml:space="preserve"> PAGEREF _Toc198721128 \h </w:instrText>
            </w:r>
            <w:r w:rsidR="00B13299">
              <w:rPr>
                <w:noProof/>
                <w:webHidden/>
              </w:rPr>
            </w:r>
            <w:r w:rsidR="00B13299">
              <w:rPr>
                <w:noProof/>
                <w:webHidden/>
              </w:rPr>
              <w:fldChar w:fldCharType="separate"/>
            </w:r>
            <w:r w:rsidR="00B13299">
              <w:rPr>
                <w:noProof/>
                <w:webHidden/>
              </w:rPr>
              <w:t>56</w:t>
            </w:r>
            <w:r w:rsidR="00B13299">
              <w:rPr>
                <w:noProof/>
                <w:webHidden/>
              </w:rPr>
              <w:fldChar w:fldCharType="end"/>
            </w:r>
          </w:hyperlink>
        </w:p>
        <w:p w:rsidR="00B13299" w:rsidRDefault="006B23A3" w14:paraId="3FB2C9E4" w14:textId="45EDB2C5">
          <w:pPr>
            <w:pStyle w:val="Inhopg2"/>
            <w:rPr>
              <w:rFonts w:asciiTheme="minorHAnsi" w:hAnsiTheme="minorHAnsi" w:eastAsiaTheme="minorEastAsia"/>
              <w:noProof/>
              <w:kern w:val="2"/>
              <w:sz w:val="24"/>
              <w:szCs w:val="24"/>
              <w:lang w:eastAsia="nl-NL"/>
              <w14:ligatures w14:val="standardContextual"/>
            </w:rPr>
          </w:pPr>
          <w:hyperlink w:history="1" w:anchor="_Toc198721129">
            <w:r w:rsidRPr="0063290F" w:rsidR="00B13299">
              <w:rPr>
                <w:rStyle w:val="Hyperlink"/>
                <w:noProof/>
              </w:rPr>
              <w:t>8.1 Gevolgen voor burgers en bedrijven</w:t>
            </w:r>
            <w:r w:rsidR="00B13299">
              <w:rPr>
                <w:noProof/>
                <w:webHidden/>
              </w:rPr>
              <w:tab/>
            </w:r>
            <w:r w:rsidR="00B13299">
              <w:rPr>
                <w:noProof/>
                <w:webHidden/>
              </w:rPr>
              <w:fldChar w:fldCharType="begin"/>
            </w:r>
            <w:r w:rsidR="00B13299">
              <w:rPr>
                <w:noProof/>
                <w:webHidden/>
              </w:rPr>
              <w:instrText xml:space="preserve"> PAGEREF _Toc198721129 \h </w:instrText>
            </w:r>
            <w:r w:rsidR="00B13299">
              <w:rPr>
                <w:noProof/>
                <w:webHidden/>
              </w:rPr>
            </w:r>
            <w:r w:rsidR="00B13299">
              <w:rPr>
                <w:noProof/>
                <w:webHidden/>
              </w:rPr>
              <w:fldChar w:fldCharType="separate"/>
            </w:r>
            <w:r w:rsidR="00B13299">
              <w:rPr>
                <w:noProof/>
                <w:webHidden/>
              </w:rPr>
              <w:t>56</w:t>
            </w:r>
            <w:r w:rsidR="00B13299">
              <w:rPr>
                <w:noProof/>
                <w:webHidden/>
              </w:rPr>
              <w:fldChar w:fldCharType="end"/>
            </w:r>
          </w:hyperlink>
        </w:p>
        <w:p w:rsidR="00B13299" w:rsidRDefault="006B23A3" w14:paraId="48F80399" w14:textId="4E2A5245">
          <w:pPr>
            <w:pStyle w:val="Inhopg3"/>
            <w:rPr>
              <w:rFonts w:asciiTheme="minorHAnsi" w:hAnsiTheme="minorHAnsi" w:eastAsiaTheme="minorEastAsia"/>
              <w:noProof/>
              <w:kern w:val="2"/>
              <w:sz w:val="24"/>
              <w:szCs w:val="24"/>
              <w:lang w:eastAsia="nl-NL"/>
              <w14:ligatures w14:val="standardContextual"/>
            </w:rPr>
          </w:pPr>
          <w:hyperlink w:history="1" w:anchor="_Toc198721130">
            <w:r w:rsidRPr="0063290F" w:rsidR="00B13299">
              <w:rPr>
                <w:rStyle w:val="Hyperlink"/>
                <w:noProof/>
              </w:rPr>
              <w:t>8.1.1 Inleiding</w:t>
            </w:r>
            <w:r w:rsidR="00B13299">
              <w:rPr>
                <w:noProof/>
                <w:webHidden/>
              </w:rPr>
              <w:tab/>
            </w:r>
            <w:r w:rsidR="00B13299">
              <w:rPr>
                <w:noProof/>
                <w:webHidden/>
              </w:rPr>
              <w:fldChar w:fldCharType="begin"/>
            </w:r>
            <w:r w:rsidR="00B13299">
              <w:rPr>
                <w:noProof/>
                <w:webHidden/>
              </w:rPr>
              <w:instrText xml:space="preserve"> PAGEREF _Toc198721130 \h </w:instrText>
            </w:r>
            <w:r w:rsidR="00B13299">
              <w:rPr>
                <w:noProof/>
                <w:webHidden/>
              </w:rPr>
            </w:r>
            <w:r w:rsidR="00B13299">
              <w:rPr>
                <w:noProof/>
                <w:webHidden/>
              </w:rPr>
              <w:fldChar w:fldCharType="separate"/>
            </w:r>
            <w:r w:rsidR="00B13299">
              <w:rPr>
                <w:noProof/>
                <w:webHidden/>
              </w:rPr>
              <w:t>56</w:t>
            </w:r>
            <w:r w:rsidR="00B13299">
              <w:rPr>
                <w:noProof/>
                <w:webHidden/>
              </w:rPr>
              <w:fldChar w:fldCharType="end"/>
            </w:r>
          </w:hyperlink>
        </w:p>
        <w:p w:rsidR="00B13299" w:rsidRDefault="006B23A3" w14:paraId="6DAEE144" w14:textId="7251F5A6">
          <w:pPr>
            <w:pStyle w:val="Inhopg3"/>
            <w:rPr>
              <w:rFonts w:asciiTheme="minorHAnsi" w:hAnsiTheme="minorHAnsi" w:eastAsiaTheme="minorEastAsia"/>
              <w:noProof/>
              <w:kern w:val="2"/>
              <w:sz w:val="24"/>
              <w:szCs w:val="24"/>
              <w:lang w:eastAsia="nl-NL"/>
              <w14:ligatures w14:val="standardContextual"/>
            </w:rPr>
          </w:pPr>
          <w:hyperlink w:history="1" w:anchor="_Toc198721131">
            <w:r w:rsidRPr="0063290F" w:rsidR="00B13299">
              <w:rPr>
                <w:rStyle w:val="Hyperlink"/>
                <w:noProof/>
              </w:rPr>
              <w:t>8.1.2 Zorgplicht</w:t>
            </w:r>
            <w:r w:rsidR="00B13299">
              <w:rPr>
                <w:noProof/>
                <w:webHidden/>
              </w:rPr>
              <w:tab/>
            </w:r>
            <w:r w:rsidR="00B13299">
              <w:rPr>
                <w:noProof/>
                <w:webHidden/>
              </w:rPr>
              <w:fldChar w:fldCharType="begin"/>
            </w:r>
            <w:r w:rsidR="00B13299">
              <w:rPr>
                <w:noProof/>
                <w:webHidden/>
              </w:rPr>
              <w:instrText xml:space="preserve"> PAGEREF _Toc198721131 \h </w:instrText>
            </w:r>
            <w:r w:rsidR="00B13299">
              <w:rPr>
                <w:noProof/>
                <w:webHidden/>
              </w:rPr>
            </w:r>
            <w:r w:rsidR="00B13299">
              <w:rPr>
                <w:noProof/>
                <w:webHidden/>
              </w:rPr>
              <w:fldChar w:fldCharType="separate"/>
            </w:r>
            <w:r w:rsidR="00B13299">
              <w:rPr>
                <w:noProof/>
                <w:webHidden/>
              </w:rPr>
              <w:t>56</w:t>
            </w:r>
            <w:r w:rsidR="00B13299">
              <w:rPr>
                <w:noProof/>
                <w:webHidden/>
              </w:rPr>
              <w:fldChar w:fldCharType="end"/>
            </w:r>
          </w:hyperlink>
        </w:p>
        <w:p w:rsidR="00B13299" w:rsidRDefault="006B23A3" w14:paraId="6904E1FD" w14:textId="4178E402">
          <w:pPr>
            <w:pStyle w:val="Inhopg3"/>
            <w:rPr>
              <w:rFonts w:asciiTheme="minorHAnsi" w:hAnsiTheme="minorHAnsi" w:eastAsiaTheme="minorEastAsia"/>
              <w:noProof/>
              <w:kern w:val="2"/>
              <w:sz w:val="24"/>
              <w:szCs w:val="24"/>
              <w:lang w:eastAsia="nl-NL"/>
              <w14:ligatures w14:val="standardContextual"/>
            </w:rPr>
          </w:pPr>
          <w:hyperlink w:history="1" w:anchor="_Toc198721132">
            <w:r w:rsidRPr="0063290F" w:rsidR="00B13299">
              <w:rPr>
                <w:rStyle w:val="Hyperlink"/>
                <w:noProof/>
              </w:rPr>
              <w:t>8.1.3 Governance</w:t>
            </w:r>
            <w:r w:rsidR="00B13299">
              <w:rPr>
                <w:noProof/>
                <w:webHidden/>
              </w:rPr>
              <w:tab/>
            </w:r>
            <w:r w:rsidR="00B13299">
              <w:rPr>
                <w:noProof/>
                <w:webHidden/>
              </w:rPr>
              <w:fldChar w:fldCharType="begin"/>
            </w:r>
            <w:r w:rsidR="00B13299">
              <w:rPr>
                <w:noProof/>
                <w:webHidden/>
              </w:rPr>
              <w:instrText xml:space="preserve"> PAGEREF _Toc198721132 \h </w:instrText>
            </w:r>
            <w:r w:rsidR="00B13299">
              <w:rPr>
                <w:noProof/>
                <w:webHidden/>
              </w:rPr>
            </w:r>
            <w:r w:rsidR="00B13299">
              <w:rPr>
                <w:noProof/>
                <w:webHidden/>
              </w:rPr>
              <w:fldChar w:fldCharType="separate"/>
            </w:r>
            <w:r w:rsidR="00B13299">
              <w:rPr>
                <w:noProof/>
                <w:webHidden/>
              </w:rPr>
              <w:t>57</w:t>
            </w:r>
            <w:r w:rsidR="00B13299">
              <w:rPr>
                <w:noProof/>
                <w:webHidden/>
              </w:rPr>
              <w:fldChar w:fldCharType="end"/>
            </w:r>
          </w:hyperlink>
        </w:p>
        <w:p w:rsidR="00B13299" w:rsidRDefault="006B23A3" w14:paraId="7B5EA383" w14:textId="7BBDDF0F">
          <w:pPr>
            <w:pStyle w:val="Inhopg3"/>
            <w:rPr>
              <w:rFonts w:asciiTheme="minorHAnsi" w:hAnsiTheme="minorHAnsi" w:eastAsiaTheme="minorEastAsia"/>
              <w:noProof/>
              <w:kern w:val="2"/>
              <w:sz w:val="24"/>
              <w:szCs w:val="24"/>
              <w:lang w:eastAsia="nl-NL"/>
              <w14:ligatures w14:val="standardContextual"/>
            </w:rPr>
          </w:pPr>
          <w:hyperlink w:history="1" w:anchor="_Toc198721133">
            <w:r w:rsidRPr="0063290F" w:rsidR="00B13299">
              <w:rPr>
                <w:rStyle w:val="Hyperlink"/>
                <w:noProof/>
              </w:rPr>
              <w:t>8.1.4 Meldplicht</w:t>
            </w:r>
            <w:r w:rsidR="00B13299">
              <w:rPr>
                <w:noProof/>
                <w:webHidden/>
              </w:rPr>
              <w:tab/>
            </w:r>
            <w:r w:rsidR="00B13299">
              <w:rPr>
                <w:noProof/>
                <w:webHidden/>
              </w:rPr>
              <w:fldChar w:fldCharType="begin"/>
            </w:r>
            <w:r w:rsidR="00B13299">
              <w:rPr>
                <w:noProof/>
                <w:webHidden/>
              </w:rPr>
              <w:instrText xml:space="preserve"> PAGEREF _Toc198721133 \h </w:instrText>
            </w:r>
            <w:r w:rsidR="00B13299">
              <w:rPr>
                <w:noProof/>
                <w:webHidden/>
              </w:rPr>
            </w:r>
            <w:r w:rsidR="00B13299">
              <w:rPr>
                <w:noProof/>
                <w:webHidden/>
              </w:rPr>
              <w:fldChar w:fldCharType="separate"/>
            </w:r>
            <w:r w:rsidR="00B13299">
              <w:rPr>
                <w:noProof/>
                <w:webHidden/>
              </w:rPr>
              <w:t>57</w:t>
            </w:r>
            <w:r w:rsidR="00B13299">
              <w:rPr>
                <w:noProof/>
                <w:webHidden/>
              </w:rPr>
              <w:fldChar w:fldCharType="end"/>
            </w:r>
          </w:hyperlink>
        </w:p>
        <w:p w:rsidR="00B13299" w:rsidRDefault="006B23A3" w14:paraId="78B3DB69" w14:textId="29C14666">
          <w:pPr>
            <w:pStyle w:val="Inhopg3"/>
            <w:rPr>
              <w:rFonts w:asciiTheme="minorHAnsi" w:hAnsiTheme="minorHAnsi" w:eastAsiaTheme="minorEastAsia"/>
              <w:noProof/>
              <w:kern w:val="2"/>
              <w:sz w:val="24"/>
              <w:szCs w:val="24"/>
              <w:lang w:eastAsia="nl-NL"/>
              <w14:ligatures w14:val="standardContextual"/>
            </w:rPr>
          </w:pPr>
          <w:hyperlink w:history="1" w:anchor="_Toc198721134">
            <w:r w:rsidRPr="0063290F" w:rsidR="00B13299">
              <w:rPr>
                <w:rStyle w:val="Hyperlink"/>
                <w:noProof/>
              </w:rPr>
              <w:t>8.1.5 Registratieplicht</w:t>
            </w:r>
            <w:r w:rsidR="00B13299">
              <w:rPr>
                <w:noProof/>
                <w:webHidden/>
              </w:rPr>
              <w:tab/>
            </w:r>
            <w:r w:rsidR="00B13299">
              <w:rPr>
                <w:noProof/>
                <w:webHidden/>
              </w:rPr>
              <w:fldChar w:fldCharType="begin"/>
            </w:r>
            <w:r w:rsidR="00B13299">
              <w:rPr>
                <w:noProof/>
                <w:webHidden/>
              </w:rPr>
              <w:instrText xml:space="preserve"> PAGEREF _Toc198721134 \h </w:instrText>
            </w:r>
            <w:r w:rsidR="00B13299">
              <w:rPr>
                <w:noProof/>
                <w:webHidden/>
              </w:rPr>
            </w:r>
            <w:r w:rsidR="00B13299">
              <w:rPr>
                <w:noProof/>
                <w:webHidden/>
              </w:rPr>
              <w:fldChar w:fldCharType="separate"/>
            </w:r>
            <w:r w:rsidR="00B13299">
              <w:rPr>
                <w:noProof/>
                <w:webHidden/>
              </w:rPr>
              <w:t>58</w:t>
            </w:r>
            <w:r w:rsidR="00B13299">
              <w:rPr>
                <w:noProof/>
                <w:webHidden/>
              </w:rPr>
              <w:fldChar w:fldCharType="end"/>
            </w:r>
          </w:hyperlink>
        </w:p>
        <w:p w:rsidR="00B13299" w:rsidRDefault="006B23A3" w14:paraId="26F5510B" w14:textId="7DA6DD04">
          <w:pPr>
            <w:pStyle w:val="Inhopg3"/>
            <w:rPr>
              <w:rFonts w:asciiTheme="minorHAnsi" w:hAnsiTheme="minorHAnsi" w:eastAsiaTheme="minorEastAsia"/>
              <w:noProof/>
              <w:kern w:val="2"/>
              <w:sz w:val="24"/>
              <w:szCs w:val="24"/>
              <w:lang w:eastAsia="nl-NL"/>
              <w14:ligatures w14:val="standardContextual"/>
            </w:rPr>
          </w:pPr>
          <w:hyperlink w:history="1" w:anchor="_Toc198721135">
            <w:r w:rsidRPr="0063290F" w:rsidR="00B13299">
              <w:rPr>
                <w:rStyle w:val="Hyperlink"/>
                <w:noProof/>
              </w:rPr>
              <w:t>8.1.6 Overige verplichtingen</w:t>
            </w:r>
            <w:r w:rsidR="00B13299">
              <w:rPr>
                <w:noProof/>
                <w:webHidden/>
              </w:rPr>
              <w:tab/>
            </w:r>
            <w:r w:rsidR="00B13299">
              <w:rPr>
                <w:noProof/>
                <w:webHidden/>
              </w:rPr>
              <w:fldChar w:fldCharType="begin"/>
            </w:r>
            <w:r w:rsidR="00B13299">
              <w:rPr>
                <w:noProof/>
                <w:webHidden/>
              </w:rPr>
              <w:instrText xml:space="preserve"> PAGEREF _Toc198721135 \h </w:instrText>
            </w:r>
            <w:r w:rsidR="00B13299">
              <w:rPr>
                <w:noProof/>
                <w:webHidden/>
              </w:rPr>
            </w:r>
            <w:r w:rsidR="00B13299">
              <w:rPr>
                <w:noProof/>
                <w:webHidden/>
              </w:rPr>
              <w:fldChar w:fldCharType="separate"/>
            </w:r>
            <w:r w:rsidR="00B13299">
              <w:rPr>
                <w:noProof/>
                <w:webHidden/>
              </w:rPr>
              <w:t>58</w:t>
            </w:r>
            <w:r w:rsidR="00B13299">
              <w:rPr>
                <w:noProof/>
                <w:webHidden/>
              </w:rPr>
              <w:fldChar w:fldCharType="end"/>
            </w:r>
          </w:hyperlink>
        </w:p>
        <w:p w:rsidR="00B13299" w:rsidRDefault="006B23A3" w14:paraId="2C32DD40" w14:textId="29D99631">
          <w:pPr>
            <w:pStyle w:val="Inhopg3"/>
            <w:rPr>
              <w:rFonts w:asciiTheme="minorHAnsi" w:hAnsiTheme="minorHAnsi" w:eastAsiaTheme="minorEastAsia"/>
              <w:noProof/>
              <w:kern w:val="2"/>
              <w:sz w:val="24"/>
              <w:szCs w:val="24"/>
              <w:lang w:eastAsia="nl-NL"/>
              <w14:ligatures w14:val="standardContextual"/>
            </w:rPr>
          </w:pPr>
          <w:hyperlink w:history="1" w:anchor="_Toc198721136">
            <w:r w:rsidRPr="0063290F" w:rsidR="00B13299">
              <w:rPr>
                <w:rStyle w:val="Hyperlink"/>
                <w:noProof/>
              </w:rPr>
              <w:t>8.1.7 Toezichtlasten</w:t>
            </w:r>
            <w:r w:rsidR="00B13299">
              <w:rPr>
                <w:noProof/>
                <w:webHidden/>
              </w:rPr>
              <w:tab/>
            </w:r>
            <w:r w:rsidR="00B13299">
              <w:rPr>
                <w:noProof/>
                <w:webHidden/>
              </w:rPr>
              <w:fldChar w:fldCharType="begin"/>
            </w:r>
            <w:r w:rsidR="00B13299">
              <w:rPr>
                <w:noProof/>
                <w:webHidden/>
              </w:rPr>
              <w:instrText xml:space="preserve"> PAGEREF _Toc198721136 \h </w:instrText>
            </w:r>
            <w:r w:rsidR="00B13299">
              <w:rPr>
                <w:noProof/>
                <w:webHidden/>
              </w:rPr>
            </w:r>
            <w:r w:rsidR="00B13299">
              <w:rPr>
                <w:noProof/>
                <w:webHidden/>
              </w:rPr>
              <w:fldChar w:fldCharType="separate"/>
            </w:r>
            <w:r w:rsidR="00B13299">
              <w:rPr>
                <w:noProof/>
                <w:webHidden/>
              </w:rPr>
              <w:t>59</w:t>
            </w:r>
            <w:r w:rsidR="00B13299">
              <w:rPr>
                <w:noProof/>
                <w:webHidden/>
              </w:rPr>
              <w:fldChar w:fldCharType="end"/>
            </w:r>
          </w:hyperlink>
        </w:p>
        <w:p w:rsidR="00B13299" w:rsidRDefault="006B23A3" w14:paraId="365EBA51" w14:textId="5B292DF8">
          <w:pPr>
            <w:pStyle w:val="Inhopg3"/>
            <w:rPr>
              <w:rFonts w:asciiTheme="minorHAnsi" w:hAnsiTheme="minorHAnsi" w:eastAsiaTheme="minorEastAsia"/>
              <w:noProof/>
              <w:kern w:val="2"/>
              <w:sz w:val="24"/>
              <w:szCs w:val="24"/>
              <w:lang w:eastAsia="nl-NL"/>
              <w14:ligatures w14:val="standardContextual"/>
            </w:rPr>
          </w:pPr>
          <w:hyperlink w:history="1" w:anchor="_Toc198721137">
            <w:r w:rsidRPr="0063290F" w:rsidR="00B13299">
              <w:rPr>
                <w:rStyle w:val="Hyperlink"/>
                <w:noProof/>
              </w:rPr>
              <w:t>8.1.8 Eenmalige kennisnamekosten</w:t>
            </w:r>
            <w:r w:rsidR="00B13299">
              <w:rPr>
                <w:noProof/>
                <w:webHidden/>
              </w:rPr>
              <w:tab/>
            </w:r>
            <w:r w:rsidR="00B13299">
              <w:rPr>
                <w:noProof/>
                <w:webHidden/>
              </w:rPr>
              <w:fldChar w:fldCharType="begin"/>
            </w:r>
            <w:r w:rsidR="00B13299">
              <w:rPr>
                <w:noProof/>
                <w:webHidden/>
              </w:rPr>
              <w:instrText xml:space="preserve"> PAGEREF _Toc198721137 \h </w:instrText>
            </w:r>
            <w:r w:rsidR="00B13299">
              <w:rPr>
                <w:noProof/>
                <w:webHidden/>
              </w:rPr>
            </w:r>
            <w:r w:rsidR="00B13299">
              <w:rPr>
                <w:noProof/>
                <w:webHidden/>
              </w:rPr>
              <w:fldChar w:fldCharType="separate"/>
            </w:r>
            <w:r w:rsidR="00B13299">
              <w:rPr>
                <w:noProof/>
                <w:webHidden/>
              </w:rPr>
              <w:t>59</w:t>
            </w:r>
            <w:r w:rsidR="00B13299">
              <w:rPr>
                <w:noProof/>
                <w:webHidden/>
              </w:rPr>
              <w:fldChar w:fldCharType="end"/>
            </w:r>
          </w:hyperlink>
        </w:p>
        <w:p w:rsidR="00B13299" w:rsidRDefault="006B23A3" w14:paraId="6B1E75A3" w14:textId="0C1B3534">
          <w:pPr>
            <w:pStyle w:val="Inhopg2"/>
            <w:rPr>
              <w:rFonts w:asciiTheme="minorHAnsi" w:hAnsiTheme="minorHAnsi" w:eastAsiaTheme="minorEastAsia"/>
              <w:noProof/>
              <w:kern w:val="2"/>
              <w:sz w:val="24"/>
              <w:szCs w:val="24"/>
              <w:lang w:eastAsia="nl-NL"/>
              <w14:ligatures w14:val="standardContextual"/>
            </w:rPr>
          </w:pPr>
          <w:hyperlink w:history="1" w:anchor="_Toc198721138">
            <w:r w:rsidRPr="0063290F" w:rsidR="00B13299">
              <w:rPr>
                <w:rStyle w:val="Hyperlink"/>
                <w:noProof/>
              </w:rPr>
              <w:t>8.2 Financiële gevolgen voor de overheid</w:t>
            </w:r>
            <w:r w:rsidR="00B13299">
              <w:rPr>
                <w:noProof/>
                <w:webHidden/>
              </w:rPr>
              <w:tab/>
            </w:r>
            <w:r w:rsidR="00B13299">
              <w:rPr>
                <w:noProof/>
                <w:webHidden/>
              </w:rPr>
              <w:fldChar w:fldCharType="begin"/>
            </w:r>
            <w:r w:rsidR="00B13299">
              <w:rPr>
                <w:noProof/>
                <w:webHidden/>
              </w:rPr>
              <w:instrText xml:space="preserve"> PAGEREF _Toc198721138 \h </w:instrText>
            </w:r>
            <w:r w:rsidR="00B13299">
              <w:rPr>
                <w:noProof/>
                <w:webHidden/>
              </w:rPr>
            </w:r>
            <w:r w:rsidR="00B13299">
              <w:rPr>
                <w:noProof/>
                <w:webHidden/>
              </w:rPr>
              <w:fldChar w:fldCharType="separate"/>
            </w:r>
            <w:r w:rsidR="00B13299">
              <w:rPr>
                <w:noProof/>
                <w:webHidden/>
              </w:rPr>
              <w:t>60</w:t>
            </w:r>
            <w:r w:rsidR="00B13299">
              <w:rPr>
                <w:noProof/>
                <w:webHidden/>
              </w:rPr>
              <w:fldChar w:fldCharType="end"/>
            </w:r>
          </w:hyperlink>
        </w:p>
        <w:p w:rsidR="00B13299" w:rsidRDefault="006B23A3" w14:paraId="0A93E19C" w14:textId="36C74AFD">
          <w:pPr>
            <w:pStyle w:val="Inhopg1"/>
            <w:rPr>
              <w:rFonts w:asciiTheme="minorHAnsi" w:hAnsiTheme="minorHAnsi" w:eastAsiaTheme="minorEastAsia"/>
              <w:b w:val="0"/>
              <w:noProof/>
              <w:kern w:val="2"/>
              <w:sz w:val="24"/>
              <w:szCs w:val="24"/>
              <w:lang w:eastAsia="nl-NL"/>
              <w14:ligatures w14:val="standardContextual"/>
            </w:rPr>
          </w:pPr>
          <w:hyperlink w:history="1" w:anchor="_Toc198721139">
            <w:r w:rsidRPr="0063290F" w:rsidR="00B13299">
              <w:rPr>
                <w:rStyle w:val="Hyperlink"/>
                <w:noProof/>
              </w:rPr>
              <w:t>9. Adviezen, consultatie en uitvoerings- en handhaafbaarheidstoetsen</w:t>
            </w:r>
            <w:r w:rsidR="00B13299">
              <w:rPr>
                <w:noProof/>
                <w:webHidden/>
              </w:rPr>
              <w:tab/>
            </w:r>
            <w:r w:rsidR="00B13299">
              <w:rPr>
                <w:noProof/>
                <w:webHidden/>
              </w:rPr>
              <w:fldChar w:fldCharType="begin"/>
            </w:r>
            <w:r w:rsidR="00B13299">
              <w:rPr>
                <w:noProof/>
                <w:webHidden/>
              </w:rPr>
              <w:instrText xml:space="preserve"> PAGEREF _Toc198721139 \h </w:instrText>
            </w:r>
            <w:r w:rsidR="00B13299">
              <w:rPr>
                <w:noProof/>
                <w:webHidden/>
              </w:rPr>
            </w:r>
            <w:r w:rsidR="00B13299">
              <w:rPr>
                <w:noProof/>
                <w:webHidden/>
              </w:rPr>
              <w:fldChar w:fldCharType="separate"/>
            </w:r>
            <w:r w:rsidR="00B13299">
              <w:rPr>
                <w:noProof/>
                <w:webHidden/>
              </w:rPr>
              <w:t>61</w:t>
            </w:r>
            <w:r w:rsidR="00B13299">
              <w:rPr>
                <w:noProof/>
                <w:webHidden/>
              </w:rPr>
              <w:fldChar w:fldCharType="end"/>
            </w:r>
          </w:hyperlink>
        </w:p>
        <w:p w:rsidR="00B13299" w:rsidRDefault="006B23A3" w14:paraId="6642C6A8" w14:textId="78D19020">
          <w:pPr>
            <w:pStyle w:val="Inhopg2"/>
            <w:rPr>
              <w:rFonts w:asciiTheme="minorHAnsi" w:hAnsiTheme="minorHAnsi" w:eastAsiaTheme="minorEastAsia"/>
              <w:noProof/>
              <w:kern w:val="2"/>
              <w:sz w:val="24"/>
              <w:szCs w:val="24"/>
              <w:lang w:eastAsia="nl-NL"/>
              <w14:ligatures w14:val="standardContextual"/>
            </w:rPr>
          </w:pPr>
          <w:hyperlink w:history="1" w:anchor="_Toc198721140">
            <w:r w:rsidRPr="0063290F" w:rsidR="00B13299">
              <w:rPr>
                <w:rStyle w:val="Hyperlink"/>
                <w:noProof/>
              </w:rPr>
              <w:t>9.1 Inleiding</w:t>
            </w:r>
            <w:r w:rsidR="00B13299">
              <w:rPr>
                <w:noProof/>
                <w:webHidden/>
              </w:rPr>
              <w:tab/>
            </w:r>
            <w:r w:rsidR="00B13299">
              <w:rPr>
                <w:noProof/>
                <w:webHidden/>
              </w:rPr>
              <w:fldChar w:fldCharType="begin"/>
            </w:r>
            <w:r w:rsidR="00B13299">
              <w:rPr>
                <w:noProof/>
                <w:webHidden/>
              </w:rPr>
              <w:instrText xml:space="preserve"> PAGEREF _Toc198721140 \h </w:instrText>
            </w:r>
            <w:r w:rsidR="00B13299">
              <w:rPr>
                <w:noProof/>
                <w:webHidden/>
              </w:rPr>
            </w:r>
            <w:r w:rsidR="00B13299">
              <w:rPr>
                <w:noProof/>
                <w:webHidden/>
              </w:rPr>
              <w:fldChar w:fldCharType="separate"/>
            </w:r>
            <w:r w:rsidR="00B13299">
              <w:rPr>
                <w:noProof/>
                <w:webHidden/>
              </w:rPr>
              <w:t>61</w:t>
            </w:r>
            <w:r w:rsidR="00B13299">
              <w:rPr>
                <w:noProof/>
                <w:webHidden/>
              </w:rPr>
              <w:fldChar w:fldCharType="end"/>
            </w:r>
          </w:hyperlink>
        </w:p>
        <w:p w:rsidR="00B13299" w:rsidRDefault="006B23A3" w14:paraId="2ACC0295" w14:textId="5631A2B7">
          <w:pPr>
            <w:pStyle w:val="Inhopg2"/>
            <w:rPr>
              <w:rFonts w:asciiTheme="minorHAnsi" w:hAnsiTheme="minorHAnsi" w:eastAsiaTheme="minorEastAsia"/>
              <w:noProof/>
              <w:kern w:val="2"/>
              <w:sz w:val="24"/>
              <w:szCs w:val="24"/>
              <w:lang w:eastAsia="nl-NL"/>
              <w14:ligatures w14:val="standardContextual"/>
            </w:rPr>
          </w:pPr>
          <w:hyperlink w:history="1" w:anchor="_Toc198721141">
            <w:r w:rsidRPr="0063290F" w:rsidR="00B13299">
              <w:rPr>
                <w:rStyle w:val="Hyperlink"/>
                <w:noProof/>
              </w:rPr>
              <w:t>9.2 Advies AP</w:t>
            </w:r>
            <w:r w:rsidR="00B13299">
              <w:rPr>
                <w:noProof/>
                <w:webHidden/>
              </w:rPr>
              <w:tab/>
            </w:r>
            <w:r w:rsidR="00B13299">
              <w:rPr>
                <w:noProof/>
                <w:webHidden/>
              </w:rPr>
              <w:fldChar w:fldCharType="begin"/>
            </w:r>
            <w:r w:rsidR="00B13299">
              <w:rPr>
                <w:noProof/>
                <w:webHidden/>
              </w:rPr>
              <w:instrText xml:space="preserve"> PAGEREF _Toc198721141 \h </w:instrText>
            </w:r>
            <w:r w:rsidR="00B13299">
              <w:rPr>
                <w:noProof/>
                <w:webHidden/>
              </w:rPr>
            </w:r>
            <w:r w:rsidR="00B13299">
              <w:rPr>
                <w:noProof/>
                <w:webHidden/>
              </w:rPr>
              <w:fldChar w:fldCharType="separate"/>
            </w:r>
            <w:r w:rsidR="00B13299">
              <w:rPr>
                <w:noProof/>
                <w:webHidden/>
              </w:rPr>
              <w:t>61</w:t>
            </w:r>
            <w:r w:rsidR="00B13299">
              <w:rPr>
                <w:noProof/>
                <w:webHidden/>
              </w:rPr>
              <w:fldChar w:fldCharType="end"/>
            </w:r>
          </w:hyperlink>
        </w:p>
        <w:p w:rsidR="00B13299" w:rsidRDefault="006B23A3" w14:paraId="6F8BE904" w14:textId="4F49F4E3">
          <w:pPr>
            <w:pStyle w:val="Inhopg2"/>
            <w:rPr>
              <w:rFonts w:asciiTheme="minorHAnsi" w:hAnsiTheme="minorHAnsi" w:eastAsiaTheme="minorEastAsia"/>
              <w:noProof/>
              <w:kern w:val="2"/>
              <w:sz w:val="24"/>
              <w:szCs w:val="24"/>
              <w:lang w:eastAsia="nl-NL"/>
              <w14:ligatures w14:val="standardContextual"/>
            </w:rPr>
          </w:pPr>
          <w:hyperlink w:history="1" w:anchor="_Toc198721142">
            <w:r w:rsidRPr="0063290F" w:rsidR="00B13299">
              <w:rPr>
                <w:rStyle w:val="Hyperlink"/>
                <w:noProof/>
              </w:rPr>
              <w:t>9.3 Advies ATR</w:t>
            </w:r>
            <w:r w:rsidR="00B13299">
              <w:rPr>
                <w:noProof/>
                <w:webHidden/>
              </w:rPr>
              <w:tab/>
            </w:r>
            <w:r w:rsidR="00B13299">
              <w:rPr>
                <w:noProof/>
                <w:webHidden/>
              </w:rPr>
              <w:fldChar w:fldCharType="begin"/>
            </w:r>
            <w:r w:rsidR="00B13299">
              <w:rPr>
                <w:noProof/>
                <w:webHidden/>
              </w:rPr>
              <w:instrText xml:space="preserve"> PAGEREF _Toc198721142 \h </w:instrText>
            </w:r>
            <w:r w:rsidR="00B13299">
              <w:rPr>
                <w:noProof/>
                <w:webHidden/>
              </w:rPr>
            </w:r>
            <w:r w:rsidR="00B13299">
              <w:rPr>
                <w:noProof/>
                <w:webHidden/>
              </w:rPr>
              <w:fldChar w:fldCharType="separate"/>
            </w:r>
            <w:r w:rsidR="00B13299">
              <w:rPr>
                <w:noProof/>
                <w:webHidden/>
              </w:rPr>
              <w:t>62</w:t>
            </w:r>
            <w:r w:rsidR="00B13299">
              <w:rPr>
                <w:noProof/>
                <w:webHidden/>
              </w:rPr>
              <w:fldChar w:fldCharType="end"/>
            </w:r>
          </w:hyperlink>
        </w:p>
        <w:p w:rsidR="00B13299" w:rsidRDefault="006B23A3" w14:paraId="657724F4" w14:textId="1E9A0134">
          <w:pPr>
            <w:pStyle w:val="Inhopg2"/>
            <w:rPr>
              <w:rFonts w:asciiTheme="minorHAnsi" w:hAnsiTheme="minorHAnsi" w:eastAsiaTheme="minorEastAsia"/>
              <w:noProof/>
              <w:kern w:val="2"/>
              <w:sz w:val="24"/>
              <w:szCs w:val="24"/>
              <w:lang w:eastAsia="nl-NL"/>
              <w14:ligatures w14:val="standardContextual"/>
            </w:rPr>
          </w:pPr>
          <w:hyperlink w:history="1" w:anchor="_Toc198721143">
            <w:r w:rsidRPr="0063290F" w:rsidR="00B13299">
              <w:rPr>
                <w:rStyle w:val="Hyperlink"/>
                <w:noProof/>
              </w:rPr>
              <w:t>9.4 Samenloop</w:t>
            </w:r>
            <w:r w:rsidR="00B13299">
              <w:rPr>
                <w:noProof/>
                <w:webHidden/>
              </w:rPr>
              <w:tab/>
            </w:r>
            <w:r w:rsidR="00B13299">
              <w:rPr>
                <w:noProof/>
                <w:webHidden/>
              </w:rPr>
              <w:fldChar w:fldCharType="begin"/>
            </w:r>
            <w:r w:rsidR="00B13299">
              <w:rPr>
                <w:noProof/>
                <w:webHidden/>
              </w:rPr>
              <w:instrText xml:space="preserve"> PAGEREF _Toc198721143 \h </w:instrText>
            </w:r>
            <w:r w:rsidR="00B13299">
              <w:rPr>
                <w:noProof/>
                <w:webHidden/>
              </w:rPr>
            </w:r>
            <w:r w:rsidR="00B13299">
              <w:rPr>
                <w:noProof/>
                <w:webHidden/>
              </w:rPr>
              <w:fldChar w:fldCharType="separate"/>
            </w:r>
            <w:r w:rsidR="00B13299">
              <w:rPr>
                <w:noProof/>
                <w:webHidden/>
              </w:rPr>
              <w:t>63</w:t>
            </w:r>
            <w:r w:rsidR="00B13299">
              <w:rPr>
                <w:noProof/>
                <w:webHidden/>
              </w:rPr>
              <w:fldChar w:fldCharType="end"/>
            </w:r>
          </w:hyperlink>
        </w:p>
        <w:p w:rsidR="00B13299" w:rsidRDefault="006B23A3" w14:paraId="26D19110" w14:textId="5F991607">
          <w:pPr>
            <w:pStyle w:val="Inhopg2"/>
            <w:rPr>
              <w:rFonts w:asciiTheme="minorHAnsi" w:hAnsiTheme="minorHAnsi" w:eastAsiaTheme="minorEastAsia"/>
              <w:noProof/>
              <w:kern w:val="2"/>
              <w:sz w:val="24"/>
              <w:szCs w:val="24"/>
              <w:lang w:eastAsia="nl-NL"/>
              <w14:ligatures w14:val="standardContextual"/>
            </w:rPr>
          </w:pPr>
          <w:hyperlink w:history="1" w:anchor="_Toc198721144">
            <w:r w:rsidRPr="0063290F" w:rsidR="00B13299">
              <w:rPr>
                <w:rStyle w:val="Hyperlink"/>
                <w:noProof/>
              </w:rPr>
              <w:t>9.5 Toepassingsbereik</w:t>
            </w:r>
            <w:r w:rsidR="00B13299">
              <w:rPr>
                <w:noProof/>
                <w:webHidden/>
              </w:rPr>
              <w:tab/>
            </w:r>
            <w:r w:rsidR="00B13299">
              <w:rPr>
                <w:noProof/>
                <w:webHidden/>
              </w:rPr>
              <w:fldChar w:fldCharType="begin"/>
            </w:r>
            <w:r w:rsidR="00B13299">
              <w:rPr>
                <w:noProof/>
                <w:webHidden/>
              </w:rPr>
              <w:instrText xml:space="preserve"> PAGEREF _Toc198721144 \h </w:instrText>
            </w:r>
            <w:r w:rsidR="00B13299">
              <w:rPr>
                <w:noProof/>
                <w:webHidden/>
              </w:rPr>
            </w:r>
            <w:r w:rsidR="00B13299">
              <w:rPr>
                <w:noProof/>
                <w:webHidden/>
              </w:rPr>
              <w:fldChar w:fldCharType="separate"/>
            </w:r>
            <w:r w:rsidR="00B13299">
              <w:rPr>
                <w:noProof/>
                <w:webHidden/>
              </w:rPr>
              <w:t>63</w:t>
            </w:r>
            <w:r w:rsidR="00B13299">
              <w:rPr>
                <w:noProof/>
                <w:webHidden/>
              </w:rPr>
              <w:fldChar w:fldCharType="end"/>
            </w:r>
          </w:hyperlink>
        </w:p>
        <w:p w:rsidR="00B13299" w:rsidRDefault="006B23A3" w14:paraId="50B6E648" w14:textId="4E3E3C65">
          <w:pPr>
            <w:pStyle w:val="Inhopg2"/>
            <w:rPr>
              <w:rFonts w:asciiTheme="minorHAnsi" w:hAnsiTheme="minorHAnsi" w:eastAsiaTheme="minorEastAsia"/>
              <w:noProof/>
              <w:kern w:val="2"/>
              <w:sz w:val="24"/>
              <w:szCs w:val="24"/>
              <w:lang w:eastAsia="nl-NL"/>
              <w14:ligatures w14:val="standardContextual"/>
            </w:rPr>
          </w:pPr>
          <w:hyperlink w:history="1" w:anchor="_Toc198721145">
            <w:r w:rsidRPr="0063290F" w:rsidR="00B13299">
              <w:rPr>
                <w:rStyle w:val="Hyperlink"/>
                <w:noProof/>
              </w:rPr>
              <w:t>9.6 Digitale sector</w:t>
            </w:r>
            <w:r w:rsidR="00B13299">
              <w:rPr>
                <w:noProof/>
                <w:webHidden/>
              </w:rPr>
              <w:tab/>
            </w:r>
            <w:r w:rsidR="00B13299">
              <w:rPr>
                <w:noProof/>
                <w:webHidden/>
              </w:rPr>
              <w:fldChar w:fldCharType="begin"/>
            </w:r>
            <w:r w:rsidR="00B13299">
              <w:rPr>
                <w:noProof/>
                <w:webHidden/>
              </w:rPr>
              <w:instrText xml:space="preserve"> PAGEREF _Toc198721145 \h </w:instrText>
            </w:r>
            <w:r w:rsidR="00B13299">
              <w:rPr>
                <w:noProof/>
                <w:webHidden/>
              </w:rPr>
            </w:r>
            <w:r w:rsidR="00B13299">
              <w:rPr>
                <w:noProof/>
                <w:webHidden/>
              </w:rPr>
              <w:fldChar w:fldCharType="separate"/>
            </w:r>
            <w:r w:rsidR="00B13299">
              <w:rPr>
                <w:noProof/>
                <w:webHidden/>
              </w:rPr>
              <w:t>66</w:t>
            </w:r>
            <w:r w:rsidR="00B13299">
              <w:rPr>
                <w:noProof/>
                <w:webHidden/>
              </w:rPr>
              <w:fldChar w:fldCharType="end"/>
            </w:r>
          </w:hyperlink>
        </w:p>
        <w:p w:rsidR="00B13299" w:rsidRDefault="006B23A3" w14:paraId="13AD3F56" w14:textId="5FFDD5A1">
          <w:pPr>
            <w:pStyle w:val="Inhopg3"/>
            <w:rPr>
              <w:rFonts w:asciiTheme="minorHAnsi" w:hAnsiTheme="minorHAnsi" w:eastAsiaTheme="minorEastAsia"/>
              <w:noProof/>
              <w:kern w:val="2"/>
              <w:sz w:val="24"/>
              <w:szCs w:val="24"/>
              <w:lang w:eastAsia="nl-NL"/>
              <w14:ligatures w14:val="standardContextual"/>
            </w:rPr>
          </w:pPr>
          <w:hyperlink w:history="1" w:anchor="_Toc198721146">
            <w:r w:rsidRPr="0063290F" w:rsidR="00B13299">
              <w:rPr>
                <w:rStyle w:val="Hyperlink"/>
                <w:noProof/>
              </w:rPr>
              <w:t>9.6.1 Wijziging Telecommunicatiewet</w:t>
            </w:r>
            <w:r w:rsidR="00B13299">
              <w:rPr>
                <w:noProof/>
                <w:webHidden/>
              </w:rPr>
              <w:tab/>
            </w:r>
            <w:r w:rsidR="00B13299">
              <w:rPr>
                <w:noProof/>
                <w:webHidden/>
              </w:rPr>
              <w:fldChar w:fldCharType="begin"/>
            </w:r>
            <w:r w:rsidR="00B13299">
              <w:rPr>
                <w:noProof/>
                <w:webHidden/>
              </w:rPr>
              <w:instrText xml:space="preserve"> PAGEREF _Toc198721146 \h </w:instrText>
            </w:r>
            <w:r w:rsidR="00B13299">
              <w:rPr>
                <w:noProof/>
                <w:webHidden/>
              </w:rPr>
            </w:r>
            <w:r w:rsidR="00B13299">
              <w:rPr>
                <w:noProof/>
                <w:webHidden/>
              </w:rPr>
              <w:fldChar w:fldCharType="separate"/>
            </w:r>
            <w:r w:rsidR="00B13299">
              <w:rPr>
                <w:noProof/>
                <w:webHidden/>
              </w:rPr>
              <w:t>66</w:t>
            </w:r>
            <w:r w:rsidR="00B13299">
              <w:rPr>
                <w:noProof/>
                <w:webHidden/>
              </w:rPr>
              <w:fldChar w:fldCharType="end"/>
            </w:r>
          </w:hyperlink>
        </w:p>
        <w:p w:rsidR="00B13299" w:rsidRDefault="006B23A3" w14:paraId="78637E49" w14:textId="72C0A402">
          <w:pPr>
            <w:pStyle w:val="Inhopg3"/>
            <w:rPr>
              <w:rFonts w:asciiTheme="minorHAnsi" w:hAnsiTheme="minorHAnsi" w:eastAsiaTheme="minorEastAsia"/>
              <w:noProof/>
              <w:kern w:val="2"/>
              <w:sz w:val="24"/>
              <w:szCs w:val="24"/>
              <w:lang w:eastAsia="nl-NL"/>
              <w14:ligatures w14:val="standardContextual"/>
            </w:rPr>
          </w:pPr>
          <w:hyperlink w:history="1" w:anchor="_Toc198721147">
            <w:r w:rsidRPr="0063290F" w:rsidR="00B13299">
              <w:rPr>
                <w:rStyle w:val="Hyperlink"/>
                <w:noProof/>
              </w:rPr>
              <w:t>9.6.2 Database met domeinregistratiegegevens</w:t>
            </w:r>
            <w:r w:rsidR="00B13299">
              <w:rPr>
                <w:noProof/>
                <w:webHidden/>
              </w:rPr>
              <w:tab/>
            </w:r>
            <w:r w:rsidR="00B13299">
              <w:rPr>
                <w:noProof/>
                <w:webHidden/>
              </w:rPr>
              <w:fldChar w:fldCharType="begin"/>
            </w:r>
            <w:r w:rsidR="00B13299">
              <w:rPr>
                <w:noProof/>
                <w:webHidden/>
              </w:rPr>
              <w:instrText xml:space="preserve"> PAGEREF _Toc198721147 \h </w:instrText>
            </w:r>
            <w:r w:rsidR="00B13299">
              <w:rPr>
                <w:noProof/>
                <w:webHidden/>
              </w:rPr>
            </w:r>
            <w:r w:rsidR="00B13299">
              <w:rPr>
                <w:noProof/>
                <w:webHidden/>
              </w:rPr>
              <w:fldChar w:fldCharType="separate"/>
            </w:r>
            <w:r w:rsidR="00B13299">
              <w:rPr>
                <w:noProof/>
                <w:webHidden/>
              </w:rPr>
              <w:t>67</w:t>
            </w:r>
            <w:r w:rsidR="00B13299">
              <w:rPr>
                <w:noProof/>
                <w:webHidden/>
              </w:rPr>
              <w:fldChar w:fldCharType="end"/>
            </w:r>
          </w:hyperlink>
        </w:p>
        <w:p w:rsidR="00B13299" w:rsidRDefault="006B23A3" w14:paraId="1BF0B1A1" w14:textId="31A01F6B">
          <w:pPr>
            <w:pStyle w:val="Inhopg2"/>
            <w:rPr>
              <w:rFonts w:asciiTheme="minorHAnsi" w:hAnsiTheme="minorHAnsi" w:eastAsiaTheme="minorEastAsia"/>
              <w:noProof/>
              <w:kern w:val="2"/>
              <w:sz w:val="24"/>
              <w:szCs w:val="24"/>
              <w:lang w:eastAsia="nl-NL"/>
              <w14:ligatures w14:val="standardContextual"/>
            </w:rPr>
          </w:pPr>
          <w:hyperlink w:history="1" w:anchor="_Toc198721148">
            <w:r w:rsidRPr="0063290F" w:rsidR="00B13299">
              <w:rPr>
                <w:rStyle w:val="Hyperlink"/>
                <w:noProof/>
              </w:rPr>
              <w:t>9.7 Zorgplicht</w:t>
            </w:r>
            <w:r w:rsidR="00B13299">
              <w:rPr>
                <w:noProof/>
                <w:webHidden/>
              </w:rPr>
              <w:tab/>
            </w:r>
            <w:r w:rsidR="00B13299">
              <w:rPr>
                <w:noProof/>
                <w:webHidden/>
              </w:rPr>
              <w:fldChar w:fldCharType="begin"/>
            </w:r>
            <w:r w:rsidR="00B13299">
              <w:rPr>
                <w:noProof/>
                <w:webHidden/>
              </w:rPr>
              <w:instrText xml:space="preserve"> PAGEREF _Toc198721148 \h </w:instrText>
            </w:r>
            <w:r w:rsidR="00B13299">
              <w:rPr>
                <w:noProof/>
                <w:webHidden/>
              </w:rPr>
            </w:r>
            <w:r w:rsidR="00B13299">
              <w:rPr>
                <w:noProof/>
                <w:webHidden/>
              </w:rPr>
              <w:fldChar w:fldCharType="separate"/>
            </w:r>
            <w:r w:rsidR="00B13299">
              <w:rPr>
                <w:noProof/>
                <w:webHidden/>
              </w:rPr>
              <w:t>68</w:t>
            </w:r>
            <w:r w:rsidR="00B13299">
              <w:rPr>
                <w:noProof/>
                <w:webHidden/>
              </w:rPr>
              <w:fldChar w:fldCharType="end"/>
            </w:r>
          </w:hyperlink>
        </w:p>
        <w:p w:rsidR="00B13299" w:rsidRDefault="006B23A3" w14:paraId="7BDB31BF" w14:textId="1B5A22CB">
          <w:pPr>
            <w:pStyle w:val="Inhopg2"/>
            <w:rPr>
              <w:rFonts w:asciiTheme="minorHAnsi" w:hAnsiTheme="minorHAnsi" w:eastAsiaTheme="minorEastAsia"/>
              <w:noProof/>
              <w:kern w:val="2"/>
              <w:sz w:val="24"/>
              <w:szCs w:val="24"/>
              <w:lang w:eastAsia="nl-NL"/>
              <w14:ligatures w14:val="standardContextual"/>
            </w:rPr>
          </w:pPr>
          <w:hyperlink w:history="1" w:anchor="_Toc198721149">
            <w:r w:rsidRPr="0063290F" w:rsidR="00B13299">
              <w:rPr>
                <w:rStyle w:val="Hyperlink"/>
                <w:noProof/>
              </w:rPr>
              <w:t>9.8 Governance</w:t>
            </w:r>
            <w:r w:rsidR="00B13299">
              <w:rPr>
                <w:noProof/>
                <w:webHidden/>
              </w:rPr>
              <w:tab/>
            </w:r>
            <w:r w:rsidR="00B13299">
              <w:rPr>
                <w:noProof/>
                <w:webHidden/>
              </w:rPr>
              <w:fldChar w:fldCharType="begin"/>
            </w:r>
            <w:r w:rsidR="00B13299">
              <w:rPr>
                <w:noProof/>
                <w:webHidden/>
              </w:rPr>
              <w:instrText xml:space="preserve"> PAGEREF _Toc198721149 \h </w:instrText>
            </w:r>
            <w:r w:rsidR="00B13299">
              <w:rPr>
                <w:noProof/>
                <w:webHidden/>
              </w:rPr>
            </w:r>
            <w:r w:rsidR="00B13299">
              <w:rPr>
                <w:noProof/>
                <w:webHidden/>
              </w:rPr>
              <w:fldChar w:fldCharType="separate"/>
            </w:r>
            <w:r w:rsidR="00B13299">
              <w:rPr>
                <w:noProof/>
                <w:webHidden/>
              </w:rPr>
              <w:t>70</w:t>
            </w:r>
            <w:r w:rsidR="00B13299">
              <w:rPr>
                <w:noProof/>
                <w:webHidden/>
              </w:rPr>
              <w:fldChar w:fldCharType="end"/>
            </w:r>
          </w:hyperlink>
        </w:p>
        <w:p w:rsidR="00B13299" w:rsidRDefault="006B23A3" w14:paraId="2310586F" w14:textId="05EADED1">
          <w:pPr>
            <w:pStyle w:val="Inhopg2"/>
            <w:rPr>
              <w:rFonts w:asciiTheme="minorHAnsi" w:hAnsiTheme="minorHAnsi" w:eastAsiaTheme="minorEastAsia"/>
              <w:noProof/>
              <w:kern w:val="2"/>
              <w:sz w:val="24"/>
              <w:szCs w:val="24"/>
              <w:lang w:eastAsia="nl-NL"/>
              <w14:ligatures w14:val="standardContextual"/>
            </w:rPr>
          </w:pPr>
          <w:hyperlink w:history="1" w:anchor="_Toc198721150">
            <w:r w:rsidRPr="0063290F" w:rsidR="00B13299">
              <w:rPr>
                <w:rStyle w:val="Hyperlink"/>
                <w:noProof/>
              </w:rPr>
              <w:t>9.9 Meldplicht</w:t>
            </w:r>
            <w:r w:rsidR="00B13299">
              <w:rPr>
                <w:noProof/>
                <w:webHidden/>
              </w:rPr>
              <w:tab/>
            </w:r>
            <w:r w:rsidR="00B13299">
              <w:rPr>
                <w:noProof/>
                <w:webHidden/>
              </w:rPr>
              <w:fldChar w:fldCharType="begin"/>
            </w:r>
            <w:r w:rsidR="00B13299">
              <w:rPr>
                <w:noProof/>
                <w:webHidden/>
              </w:rPr>
              <w:instrText xml:space="preserve"> PAGEREF _Toc198721150 \h </w:instrText>
            </w:r>
            <w:r w:rsidR="00B13299">
              <w:rPr>
                <w:noProof/>
                <w:webHidden/>
              </w:rPr>
            </w:r>
            <w:r w:rsidR="00B13299">
              <w:rPr>
                <w:noProof/>
                <w:webHidden/>
              </w:rPr>
              <w:fldChar w:fldCharType="separate"/>
            </w:r>
            <w:r w:rsidR="00B13299">
              <w:rPr>
                <w:noProof/>
                <w:webHidden/>
              </w:rPr>
              <w:t>70</w:t>
            </w:r>
            <w:r w:rsidR="00B13299">
              <w:rPr>
                <w:noProof/>
                <w:webHidden/>
              </w:rPr>
              <w:fldChar w:fldCharType="end"/>
            </w:r>
          </w:hyperlink>
        </w:p>
        <w:p w:rsidR="00B13299" w:rsidRDefault="006B23A3" w14:paraId="451D7177" w14:textId="46D7D215">
          <w:pPr>
            <w:pStyle w:val="Inhopg2"/>
            <w:rPr>
              <w:rFonts w:asciiTheme="minorHAnsi" w:hAnsiTheme="minorHAnsi" w:eastAsiaTheme="minorEastAsia"/>
              <w:noProof/>
              <w:kern w:val="2"/>
              <w:sz w:val="24"/>
              <w:szCs w:val="24"/>
              <w:lang w:eastAsia="nl-NL"/>
              <w14:ligatures w14:val="standardContextual"/>
            </w:rPr>
          </w:pPr>
          <w:hyperlink w:history="1" w:anchor="_Toc198721151">
            <w:r w:rsidRPr="0063290F" w:rsidR="00B13299">
              <w:rPr>
                <w:rStyle w:val="Hyperlink"/>
                <w:noProof/>
              </w:rPr>
              <w:t>9.10 Gegevens</w:t>
            </w:r>
            <w:r w:rsidR="00B13299">
              <w:rPr>
                <w:noProof/>
                <w:webHidden/>
              </w:rPr>
              <w:tab/>
            </w:r>
            <w:r w:rsidR="00B13299">
              <w:rPr>
                <w:noProof/>
                <w:webHidden/>
              </w:rPr>
              <w:fldChar w:fldCharType="begin"/>
            </w:r>
            <w:r w:rsidR="00B13299">
              <w:rPr>
                <w:noProof/>
                <w:webHidden/>
              </w:rPr>
              <w:instrText xml:space="preserve"> PAGEREF _Toc198721151 \h </w:instrText>
            </w:r>
            <w:r w:rsidR="00B13299">
              <w:rPr>
                <w:noProof/>
                <w:webHidden/>
              </w:rPr>
            </w:r>
            <w:r w:rsidR="00B13299">
              <w:rPr>
                <w:noProof/>
                <w:webHidden/>
              </w:rPr>
              <w:fldChar w:fldCharType="separate"/>
            </w:r>
            <w:r w:rsidR="00B13299">
              <w:rPr>
                <w:noProof/>
                <w:webHidden/>
              </w:rPr>
              <w:t>71</w:t>
            </w:r>
            <w:r w:rsidR="00B13299">
              <w:rPr>
                <w:noProof/>
                <w:webHidden/>
              </w:rPr>
              <w:fldChar w:fldCharType="end"/>
            </w:r>
          </w:hyperlink>
        </w:p>
        <w:p w:rsidR="00B13299" w:rsidRDefault="006B23A3" w14:paraId="1596C597" w14:textId="777666B0">
          <w:pPr>
            <w:pStyle w:val="Inhopg2"/>
            <w:rPr>
              <w:rFonts w:asciiTheme="minorHAnsi" w:hAnsiTheme="minorHAnsi" w:eastAsiaTheme="minorEastAsia"/>
              <w:noProof/>
              <w:kern w:val="2"/>
              <w:sz w:val="24"/>
              <w:szCs w:val="24"/>
              <w:lang w:eastAsia="nl-NL"/>
              <w14:ligatures w14:val="standardContextual"/>
            </w:rPr>
          </w:pPr>
          <w:hyperlink w:history="1" w:anchor="_Toc198721152">
            <w:r w:rsidRPr="0063290F" w:rsidR="00B13299">
              <w:rPr>
                <w:rStyle w:val="Hyperlink"/>
                <w:noProof/>
              </w:rPr>
              <w:t>9.11 CSIRT</w:t>
            </w:r>
            <w:r w:rsidR="00B13299">
              <w:rPr>
                <w:noProof/>
                <w:webHidden/>
              </w:rPr>
              <w:tab/>
            </w:r>
            <w:r w:rsidR="00B13299">
              <w:rPr>
                <w:noProof/>
                <w:webHidden/>
              </w:rPr>
              <w:fldChar w:fldCharType="begin"/>
            </w:r>
            <w:r w:rsidR="00B13299">
              <w:rPr>
                <w:noProof/>
                <w:webHidden/>
              </w:rPr>
              <w:instrText xml:space="preserve"> PAGEREF _Toc198721152 \h </w:instrText>
            </w:r>
            <w:r w:rsidR="00B13299">
              <w:rPr>
                <w:noProof/>
                <w:webHidden/>
              </w:rPr>
            </w:r>
            <w:r w:rsidR="00B13299">
              <w:rPr>
                <w:noProof/>
                <w:webHidden/>
              </w:rPr>
              <w:fldChar w:fldCharType="separate"/>
            </w:r>
            <w:r w:rsidR="00B13299">
              <w:rPr>
                <w:noProof/>
                <w:webHidden/>
              </w:rPr>
              <w:t>72</w:t>
            </w:r>
            <w:r w:rsidR="00B13299">
              <w:rPr>
                <w:noProof/>
                <w:webHidden/>
              </w:rPr>
              <w:fldChar w:fldCharType="end"/>
            </w:r>
          </w:hyperlink>
        </w:p>
        <w:p w:rsidR="00B13299" w:rsidRDefault="006B23A3" w14:paraId="5426DFC9" w14:textId="66AEDCD0">
          <w:pPr>
            <w:pStyle w:val="Inhopg2"/>
            <w:rPr>
              <w:rFonts w:asciiTheme="minorHAnsi" w:hAnsiTheme="minorHAnsi" w:eastAsiaTheme="minorEastAsia"/>
              <w:noProof/>
              <w:kern w:val="2"/>
              <w:sz w:val="24"/>
              <w:szCs w:val="24"/>
              <w:lang w:eastAsia="nl-NL"/>
              <w14:ligatures w14:val="standardContextual"/>
            </w:rPr>
          </w:pPr>
          <w:hyperlink w:history="1" w:anchor="_Toc198721153">
            <w:r w:rsidRPr="0063290F" w:rsidR="00B13299">
              <w:rPr>
                <w:rStyle w:val="Hyperlink"/>
                <w:noProof/>
              </w:rPr>
              <w:t>9.12 Handhaving</w:t>
            </w:r>
            <w:r w:rsidR="00B13299">
              <w:rPr>
                <w:noProof/>
                <w:webHidden/>
              </w:rPr>
              <w:tab/>
            </w:r>
            <w:r w:rsidR="00B13299">
              <w:rPr>
                <w:noProof/>
                <w:webHidden/>
              </w:rPr>
              <w:fldChar w:fldCharType="begin"/>
            </w:r>
            <w:r w:rsidR="00B13299">
              <w:rPr>
                <w:noProof/>
                <w:webHidden/>
              </w:rPr>
              <w:instrText xml:space="preserve"> PAGEREF _Toc198721153 \h </w:instrText>
            </w:r>
            <w:r w:rsidR="00B13299">
              <w:rPr>
                <w:noProof/>
                <w:webHidden/>
              </w:rPr>
            </w:r>
            <w:r w:rsidR="00B13299">
              <w:rPr>
                <w:noProof/>
                <w:webHidden/>
              </w:rPr>
              <w:fldChar w:fldCharType="separate"/>
            </w:r>
            <w:r w:rsidR="00B13299">
              <w:rPr>
                <w:noProof/>
                <w:webHidden/>
              </w:rPr>
              <w:t>72</w:t>
            </w:r>
            <w:r w:rsidR="00B13299">
              <w:rPr>
                <w:noProof/>
                <w:webHidden/>
              </w:rPr>
              <w:fldChar w:fldCharType="end"/>
            </w:r>
          </w:hyperlink>
        </w:p>
        <w:p w:rsidR="00B13299" w:rsidRDefault="006B23A3" w14:paraId="7264091E" w14:textId="0BAD85C9">
          <w:pPr>
            <w:pStyle w:val="Inhopg2"/>
            <w:rPr>
              <w:rFonts w:asciiTheme="minorHAnsi" w:hAnsiTheme="minorHAnsi" w:eastAsiaTheme="minorEastAsia"/>
              <w:noProof/>
              <w:kern w:val="2"/>
              <w:sz w:val="24"/>
              <w:szCs w:val="24"/>
              <w:lang w:eastAsia="nl-NL"/>
              <w14:ligatures w14:val="standardContextual"/>
            </w:rPr>
          </w:pPr>
          <w:hyperlink w:history="1" w:anchor="_Toc198721154">
            <w:r w:rsidRPr="0063290F" w:rsidR="00B13299">
              <w:rPr>
                <w:rStyle w:val="Hyperlink"/>
                <w:noProof/>
              </w:rPr>
              <w:t>9.13 Overige opmerkingen</w:t>
            </w:r>
            <w:r w:rsidR="00B13299">
              <w:rPr>
                <w:noProof/>
                <w:webHidden/>
              </w:rPr>
              <w:tab/>
            </w:r>
            <w:r w:rsidR="00B13299">
              <w:rPr>
                <w:noProof/>
                <w:webHidden/>
              </w:rPr>
              <w:fldChar w:fldCharType="begin"/>
            </w:r>
            <w:r w:rsidR="00B13299">
              <w:rPr>
                <w:noProof/>
                <w:webHidden/>
              </w:rPr>
              <w:instrText xml:space="preserve"> PAGEREF _Toc198721154 \h </w:instrText>
            </w:r>
            <w:r w:rsidR="00B13299">
              <w:rPr>
                <w:noProof/>
                <w:webHidden/>
              </w:rPr>
            </w:r>
            <w:r w:rsidR="00B13299">
              <w:rPr>
                <w:noProof/>
                <w:webHidden/>
              </w:rPr>
              <w:fldChar w:fldCharType="separate"/>
            </w:r>
            <w:r w:rsidR="00B13299">
              <w:rPr>
                <w:noProof/>
                <w:webHidden/>
              </w:rPr>
              <w:t>74</w:t>
            </w:r>
            <w:r w:rsidR="00B13299">
              <w:rPr>
                <w:noProof/>
                <w:webHidden/>
              </w:rPr>
              <w:fldChar w:fldCharType="end"/>
            </w:r>
          </w:hyperlink>
        </w:p>
        <w:p w:rsidR="00B13299" w:rsidRDefault="006B23A3" w14:paraId="02BEC1B5" w14:textId="5C3C3DB3">
          <w:pPr>
            <w:pStyle w:val="Inhopg2"/>
            <w:rPr>
              <w:rFonts w:asciiTheme="minorHAnsi" w:hAnsiTheme="minorHAnsi" w:eastAsiaTheme="minorEastAsia"/>
              <w:noProof/>
              <w:kern w:val="2"/>
              <w:sz w:val="24"/>
              <w:szCs w:val="24"/>
              <w:lang w:eastAsia="nl-NL"/>
              <w14:ligatures w14:val="standardContextual"/>
            </w:rPr>
          </w:pPr>
          <w:hyperlink w:history="1" w:anchor="_Toc198721155">
            <w:r w:rsidRPr="0063290F" w:rsidR="00B13299">
              <w:rPr>
                <w:rStyle w:val="Hyperlink"/>
                <w:noProof/>
              </w:rPr>
              <w:t>9.14 Advies Raad voor de rechtspraak</w:t>
            </w:r>
            <w:r w:rsidR="00B13299">
              <w:rPr>
                <w:noProof/>
                <w:webHidden/>
              </w:rPr>
              <w:tab/>
            </w:r>
            <w:r w:rsidR="00B13299">
              <w:rPr>
                <w:noProof/>
                <w:webHidden/>
              </w:rPr>
              <w:fldChar w:fldCharType="begin"/>
            </w:r>
            <w:r w:rsidR="00B13299">
              <w:rPr>
                <w:noProof/>
                <w:webHidden/>
              </w:rPr>
              <w:instrText xml:space="preserve"> PAGEREF _Toc198721155 \h </w:instrText>
            </w:r>
            <w:r w:rsidR="00B13299">
              <w:rPr>
                <w:noProof/>
                <w:webHidden/>
              </w:rPr>
            </w:r>
            <w:r w:rsidR="00B13299">
              <w:rPr>
                <w:noProof/>
                <w:webHidden/>
              </w:rPr>
              <w:fldChar w:fldCharType="separate"/>
            </w:r>
            <w:r w:rsidR="00B13299">
              <w:rPr>
                <w:noProof/>
                <w:webHidden/>
              </w:rPr>
              <w:t>76</w:t>
            </w:r>
            <w:r w:rsidR="00B13299">
              <w:rPr>
                <w:noProof/>
                <w:webHidden/>
              </w:rPr>
              <w:fldChar w:fldCharType="end"/>
            </w:r>
          </w:hyperlink>
        </w:p>
        <w:p w:rsidR="00B13299" w:rsidRDefault="006B23A3" w14:paraId="6B19EF54" w14:textId="52148CAF">
          <w:pPr>
            <w:pStyle w:val="Inhopg2"/>
            <w:rPr>
              <w:rFonts w:asciiTheme="minorHAnsi" w:hAnsiTheme="minorHAnsi" w:eastAsiaTheme="minorEastAsia"/>
              <w:noProof/>
              <w:kern w:val="2"/>
              <w:sz w:val="24"/>
              <w:szCs w:val="24"/>
              <w:lang w:eastAsia="nl-NL"/>
              <w14:ligatures w14:val="standardContextual"/>
            </w:rPr>
          </w:pPr>
          <w:hyperlink w:history="1" w:anchor="_Toc198721156">
            <w:r w:rsidRPr="0063290F" w:rsidR="00B13299">
              <w:rPr>
                <w:rStyle w:val="Hyperlink"/>
                <w:noProof/>
              </w:rPr>
              <w:t>9.15 Uitvoerings- en handhaafbaarheidstoetsen</w:t>
            </w:r>
            <w:r w:rsidR="00B13299">
              <w:rPr>
                <w:noProof/>
                <w:webHidden/>
              </w:rPr>
              <w:tab/>
            </w:r>
            <w:r w:rsidR="00B13299">
              <w:rPr>
                <w:noProof/>
                <w:webHidden/>
              </w:rPr>
              <w:fldChar w:fldCharType="begin"/>
            </w:r>
            <w:r w:rsidR="00B13299">
              <w:rPr>
                <w:noProof/>
                <w:webHidden/>
              </w:rPr>
              <w:instrText xml:space="preserve"> PAGEREF _Toc198721156 \h </w:instrText>
            </w:r>
            <w:r w:rsidR="00B13299">
              <w:rPr>
                <w:noProof/>
                <w:webHidden/>
              </w:rPr>
            </w:r>
            <w:r w:rsidR="00B13299">
              <w:rPr>
                <w:noProof/>
                <w:webHidden/>
              </w:rPr>
              <w:fldChar w:fldCharType="separate"/>
            </w:r>
            <w:r w:rsidR="00B13299">
              <w:rPr>
                <w:noProof/>
                <w:webHidden/>
              </w:rPr>
              <w:t>77</w:t>
            </w:r>
            <w:r w:rsidR="00B13299">
              <w:rPr>
                <w:noProof/>
                <w:webHidden/>
              </w:rPr>
              <w:fldChar w:fldCharType="end"/>
            </w:r>
          </w:hyperlink>
        </w:p>
        <w:p w:rsidR="00B13299" w:rsidRDefault="006B23A3" w14:paraId="5CFF5AA9" w14:textId="6549CCA2">
          <w:pPr>
            <w:pStyle w:val="Inhopg1"/>
            <w:rPr>
              <w:rFonts w:asciiTheme="minorHAnsi" w:hAnsiTheme="minorHAnsi" w:eastAsiaTheme="minorEastAsia"/>
              <w:b w:val="0"/>
              <w:noProof/>
              <w:kern w:val="2"/>
              <w:sz w:val="24"/>
              <w:szCs w:val="24"/>
              <w:lang w:eastAsia="nl-NL"/>
              <w14:ligatures w14:val="standardContextual"/>
            </w:rPr>
          </w:pPr>
          <w:hyperlink w:history="1" w:anchor="_Toc198721157">
            <w:r w:rsidRPr="0063290F" w:rsidR="00B13299">
              <w:rPr>
                <w:rStyle w:val="Hyperlink"/>
                <w:noProof/>
              </w:rPr>
              <w:t>10. Overgangsrecht en inwerkingtreding</w:t>
            </w:r>
            <w:r w:rsidR="00B13299">
              <w:rPr>
                <w:noProof/>
                <w:webHidden/>
              </w:rPr>
              <w:tab/>
            </w:r>
            <w:r w:rsidR="00B13299">
              <w:rPr>
                <w:noProof/>
                <w:webHidden/>
              </w:rPr>
              <w:fldChar w:fldCharType="begin"/>
            </w:r>
            <w:r w:rsidR="00B13299">
              <w:rPr>
                <w:noProof/>
                <w:webHidden/>
              </w:rPr>
              <w:instrText xml:space="preserve"> PAGEREF _Toc198721157 \h </w:instrText>
            </w:r>
            <w:r w:rsidR="00B13299">
              <w:rPr>
                <w:noProof/>
                <w:webHidden/>
              </w:rPr>
            </w:r>
            <w:r w:rsidR="00B13299">
              <w:rPr>
                <w:noProof/>
                <w:webHidden/>
              </w:rPr>
              <w:fldChar w:fldCharType="separate"/>
            </w:r>
            <w:r w:rsidR="00B13299">
              <w:rPr>
                <w:noProof/>
                <w:webHidden/>
              </w:rPr>
              <w:t>79</w:t>
            </w:r>
            <w:r w:rsidR="00B13299">
              <w:rPr>
                <w:noProof/>
                <w:webHidden/>
              </w:rPr>
              <w:fldChar w:fldCharType="end"/>
            </w:r>
          </w:hyperlink>
        </w:p>
        <w:p w:rsidR="00B13299" w:rsidRDefault="006B23A3" w14:paraId="4B45DA96" w14:textId="610584E5">
          <w:pPr>
            <w:pStyle w:val="Inhopg1"/>
            <w:rPr>
              <w:rFonts w:asciiTheme="minorHAnsi" w:hAnsiTheme="minorHAnsi" w:eastAsiaTheme="minorEastAsia"/>
              <w:b w:val="0"/>
              <w:noProof/>
              <w:kern w:val="2"/>
              <w:sz w:val="24"/>
              <w:szCs w:val="24"/>
              <w:lang w:eastAsia="nl-NL"/>
              <w14:ligatures w14:val="standardContextual"/>
            </w:rPr>
          </w:pPr>
          <w:hyperlink w:history="1" w:anchor="_Toc198721158">
            <w:r w:rsidRPr="0063290F" w:rsidR="00B13299">
              <w:rPr>
                <w:rStyle w:val="Hyperlink"/>
                <w:noProof/>
              </w:rPr>
              <w:t>11. Transponeringstabel</w:t>
            </w:r>
            <w:r w:rsidR="00B13299">
              <w:rPr>
                <w:noProof/>
                <w:webHidden/>
              </w:rPr>
              <w:tab/>
            </w:r>
            <w:r w:rsidR="00B13299">
              <w:rPr>
                <w:noProof/>
                <w:webHidden/>
              </w:rPr>
              <w:fldChar w:fldCharType="begin"/>
            </w:r>
            <w:r w:rsidR="00B13299">
              <w:rPr>
                <w:noProof/>
                <w:webHidden/>
              </w:rPr>
              <w:instrText xml:space="preserve"> PAGEREF _Toc198721158 \h </w:instrText>
            </w:r>
            <w:r w:rsidR="00B13299">
              <w:rPr>
                <w:noProof/>
                <w:webHidden/>
              </w:rPr>
            </w:r>
            <w:r w:rsidR="00B13299">
              <w:rPr>
                <w:noProof/>
                <w:webHidden/>
              </w:rPr>
              <w:fldChar w:fldCharType="separate"/>
            </w:r>
            <w:r w:rsidR="00B13299">
              <w:rPr>
                <w:noProof/>
                <w:webHidden/>
              </w:rPr>
              <w:t>79</w:t>
            </w:r>
            <w:r w:rsidR="00B13299">
              <w:rPr>
                <w:noProof/>
                <w:webHidden/>
              </w:rPr>
              <w:fldChar w:fldCharType="end"/>
            </w:r>
          </w:hyperlink>
        </w:p>
        <w:p w:rsidRPr="00FF46E3" w:rsidR="00D405DE" w:rsidRDefault="00956112" w14:paraId="6ED0D915" w14:textId="51DF9A7C">
          <w:pPr>
            <w:rPr>
              <w:rFonts w:ascii="Verdana" w:hAnsi="Verdana"/>
              <w:sz w:val="18"/>
              <w:szCs w:val="18"/>
            </w:rPr>
          </w:pPr>
          <w:r w:rsidRPr="00FF46E3">
            <w:rPr>
              <w:rFonts w:ascii="Verdana" w:hAnsi="Verdana"/>
              <w:b/>
              <w:sz w:val="18"/>
              <w:szCs w:val="18"/>
            </w:rPr>
            <w:fldChar w:fldCharType="end"/>
          </w:r>
        </w:p>
      </w:sdtContent>
    </w:sdt>
    <w:bookmarkEnd w:displacedByCustomXml="prev" w:id="2"/>
    <w:bookmarkEnd w:id="3"/>
    <w:p w:rsidRPr="00FF46E3" w:rsidR="00222F8E" w:rsidP="002B200A" w:rsidRDefault="00222F8E" w14:paraId="09399B80" w14:textId="77777777">
      <w:pPr>
        <w:pStyle w:val="Geenafstand"/>
        <w:rPr>
          <w:rFonts w:ascii="Verdana" w:hAnsi="Verdana"/>
          <w:b/>
          <w:bCs/>
          <w:sz w:val="18"/>
          <w:szCs w:val="18"/>
        </w:rPr>
      </w:pPr>
    </w:p>
    <w:p w:rsidRPr="00FF46E3" w:rsidR="002B200A" w:rsidP="006200DD" w:rsidRDefault="002B200A" w14:paraId="6CDDEB11" w14:textId="2CB4889B">
      <w:pPr>
        <w:pStyle w:val="Geenafstand"/>
        <w:rPr>
          <w:rFonts w:ascii="Verdana" w:hAnsi="Verdana"/>
          <w:b/>
          <w:bCs/>
          <w:sz w:val="18"/>
          <w:szCs w:val="18"/>
        </w:rPr>
      </w:pPr>
    </w:p>
    <w:p w:rsidRPr="00FF46E3" w:rsidR="00774D36" w:rsidRDefault="00774D36" w14:paraId="65E21723" w14:textId="77777777">
      <w:pPr>
        <w:rPr>
          <w:rFonts w:ascii="Verdana" w:hAnsi="Verdana" w:eastAsiaTheme="majorEastAsia" w:cstheme="majorBidi"/>
          <w:b/>
          <w:sz w:val="18"/>
          <w:szCs w:val="18"/>
        </w:rPr>
      </w:pPr>
      <w:r w:rsidRPr="00FF46E3">
        <w:rPr>
          <w:rFonts w:ascii="Verdana" w:hAnsi="Verdana"/>
          <w:sz w:val="18"/>
          <w:szCs w:val="18"/>
        </w:rPr>
        <w:br w:type="page"/>
      </w:r>
    </w:p>
    <w:p w:rsidRPr="00FF46E3" w:rsidR="002434A3" w:rsidP="00493EC7" w:rsidRDefault="002434A3" w14:paraId="09C2A0BA" w14:textId="7735777F">
      <w:pPr>
        <w:pStyle w:val="Kop1"/>
      </w:pPr>
      <w:bookmarkStart w:name="_Toc198721052" w:id="4"/>
      <w:r w:rsidRPr="00FF46E3">
        <w:lastRenderedPageBreak/>
        <w:t>1.</w:t>
      </w:r>
      <w:r w:rsidRPr="00FF46E3" w:rsidR="00A6575B">
        <w:t xml:space="preserve"> </w:t>
      </w:r>
      <w:r w:rsidRPr="00FF46E3">
        <w:t>Inleiding</w:t>
      </w:r>
      <w:bookmarkEnd w:id="4"/>
    </w:p>
    <w:p w:rsidRPr="00FF46E3" w:rsidR="002434A3" w:rsidP="006200DD" w:rsidRDefault="002434A3" w14:paraId="62D4D395" w14:textId="7D283790">
      <w:pPr>
        <w:pStyle w:val="Geenafstand"/>
        <w:rPr>
          <w:rFonts w:ascii="Verdana" w:hAnsi="Verdana"/>
          <w:b/>
          <w:bCs/>
          <w:sz w:val="18"/>
          <w:szCs w:val="18"/>
        </w:rPr>
      </w:pPr>
    </w:p>
    <w:p w:rsidRPr="00FF46E3" w:rsidR="00224597" w:rsidP="006200DD" w:rsidRDefault="002434A3" w14:paraId="63D15729" w14:textId="75F73699">
      <w:pPr>
        <w:pStyle w:val="Geenafstand"/>
        <w:rPr>
          <w:rFonts w:ascii="Verdana" w:hAnsi="Verdana"/>
          <w:sz w:val="18"/>
          <w:szCs w:val="18"/>
        </w:rPr>
      </w:pPr>
      <w:bookmarkStart w:name="_Hlk148346504" w:id="5"/>
      <w:r w:rsidRPr="00FF46E3">
        <w:rPr>
          <w:rFonts w:ascii="Verdana" w:hAnsi="Verdana"/>
          <w:sz w:val="18"/>
          <w:szCs w:val="18"/>
        </w:rPr>
        <w:t xml:space="preserve">Dit wetsvoorstel </w:t>
      </w:r>
      <w:r w:rsidRPr="008E7785" w:rsidR="00795695">
        <w:rPr>
          <w:rFonts w:ascii="Verdana" w:hAnsi="Verdana"/>
          <w:sz w:val="18"/>
          <w:szCs w:val="18"/>
        </w:rPr>
        <w:t xml:space="preserve">voor de Cyberbeveiligingswet (hierna: </w:t>
      </w:r>
      <w:proofErr w:type="spellStart"/>
      <w:r w:rsidRPr="008E7785" w:rsidR="00795695">
        <w:rPr>
          <w:rFonts w:ascii="Verdana" w:hAnsi="Verdana"/>
          <w:sz w:val="18"/>
          <w:szCs w:val="18"/>
        </w:rPr>
        <w:t>Cbw</w:t>
      </w:r>
      <w:proofErr w:type="spellEnd"/>
      <w:r w:rsidRPr="008E7785" w:rsidR="00795695">
        <w:rPr>
          <w:rFonts w:ascii="Verdana" w:hAnsi="Verdana"/>
          <w:sz w:val="18"/>
          <w:szCs w:val="18"/>
        </w:rPr>
        <w:t xml:space="preserve">) </w:t>
      </w:r>
      <w:r w:rsidRPr="00FF46E3">
        <w:rPr>
          <w:rFonts w:ascii="Verdana" w:hAnsi="Verdana"/>
          <w:sz w:val="18"/>
          <w:szCs w:val="18"/>
        </w:rPr>
        <w:t xml:space="preserve">strekt tot de uitvoering van </w:t>
      </w:r>
      <w:bookmarkStart w:name="_Hlk148346150" w:id="6"/>
      <w:r w:rsidRPr="00FF46E3">
        <w:rPr>
          <w:rFonts w:ascii="Verdana" w:hAnsi="Verdana"/>
          <w:sz w:val="18"/>
          <w:szCs w:val="18"/>
        </w:rPr>
        <w:t xml:space="preserve">de </w:t>
      </w:r>
      <w:r w:rsidRPr="00FF46E3" w:rsidR="00CC405B">
        <w:rPr>
          <w:rFonts w:ascii="Verdana" w:hAnsi="Verdana"/>
          <w:sz w:val="18"/>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w:t>
      </w:r>
      <w:bookmarkEnd w:id="6"/>
      <w:r w:rsidRPr="00FF46E3">
        <w:rPr>
          <w:rFonts w:ascii="Verdana" w:hAnsi="Verdana"/>
          <w:sz w:val="18"/>
          <w:szCs w:val="18"/>
        </w:rPr>
        <w:t>.</w:t>
      </w:r>
      <w:r w:rsidRPr="00FF46E3" w:rsidR="00457092">
        <w:rPr>
          <w:rStyle w:val="Voetnootmarkering"/>
          <w:rFonts w:ascii="Verdana" w:hAnsi="Verdana"/>
          <w:sz w:val="18"/>
          <w:szCs w:val="18"/>
        </w:rPr>
        <w:footnoteReference w:id="2"/>
      </w:r>
      <w:r w:rsidRPr="00FF46E3">
        <w:rPr>
          <w:rFonts w:ascii="Verdana" w:hAnsi="Verdana"/>
          <w:sz w:val="18"/>
          <w:szCs w:val="18"/>
        </w:rPr>
        <w:t xml:space="preserve"> </w:t>
      </w:r>
      <w:r w:rsidRPr="00FF46E3" w:rsidR="005449AC">
        <w:rPr>
          <w:rFonts w:ascii="Verdana" w:hAnsi="Verdana"/>
          <w:sz w:val="18"/>
          <w:szCs w:val="18"/>
        </w:rPr>
        <w:t xml:space="preserve">Deze richtlijn wordt hierna aangeduid als de NIS2-richtlijn. </w:t>
      </w:r>
      <w:r w:rsidRPr="00FF46E3">
        <w:rPr>
          <w:rFonts w:ascii="Verdana" w:hAnsi="Verdana"/>
          <w:sz w:val="18"/>
          <w:szCs w:val="18"/>
        </w:rPr>
        <w:t xml:space="preserve">De lidstaten </w:t>
      </w:r>
      <w:r w:rsidRPr="00FF46E3" w:rsidR="00224597">
        <w:rPr>
          <w:rFonts w:ascii="Verdana" w:hAnsi="Verdana"/>
          <w:sz w:val="18"/>
          <w:szCs w:val="18"/>
        </w:rPr>
        <w:t xml:space="preserve">van de Europese Unie </w:t>
      </w:r>
      <w:r w:rsidRPr="00FF46E3" w:rsidR="00AD7301">
        <w:rPr>
          <w:rFonts w:ascii="Verdana" w:hAnsi="Verdana"/>
          <w:sz w:val="18"/>
          <w:szCs w:val="18"/>
        </w:rPr>
        <w:t xml:space="preserve">(hierna: lidstaten) </w:t>
      </w:r>
      <w:r w:rsidRPr="00FF46E3">
        <w:rPr>
          <w:rFonts w:ascii="Verdana" w:hAnsi="Verdana"/>
          <w:sz w:val="18"/>
          <w:szCs w:val="18"/>
        </w:rPr>
        <w:t xml:space="preserve">moeten uiterlijk op </w:t>
      </w:r>
      <w:r w:rsidRPr="00FF46E3" w:rsidR="004256D2">
        <w:rPr>
          <w:rFonts w:ascii="Verdana" w:hAnsi="Verdana"/>
          <w:sz w:val="18"/>
          <w:szCs w:val="18"/>
        </w:rPr>
        <w:t xml:space="preserve">17 oktober 2024 </w:t>
      </w:r>
      <w:r w:rsidRPr="00FF46E3">
        <w:rPr>
          <w:rFonts w:ascii="Verdana" w:hAnsi="Verdana"/>
          <w:sz w:val="18"/>
          <w:szCs w:val="18"/>
        </w:rPr>
        <w:t>aan de</w:t>
      </w:r>
      <w:r w:rsidRPr="00FF46E3" w:rsidR="009D463A">
        <w:rPr>
          <w:rFonts w:ascii="Verdana" w:hAnsi="Verdana"/>
          <w:sz w:val="18"/>
          <w:szCs w:val="18"/>
        </w:rPr>
        <w:t xml:space="preserve"> NIS2-</w:t>
      </w:r>
      <w:r w:rsidRPr="00FF46E3">
        <w:rPr>
          <w:rFonts w:ascii="Verdana" w:hAnsi="Verdana"/>
          <w:sz w:val="18"/>
          <w:szCs w:val="18"/>
        </w:rPr>
        <w:t>richtlijn voldoen door de</w:t>
      </w:r>
      <w:r w:rsidRPr="00FF46E3" w:rsidR="009D463A">
        <w:rPr>
          <w:rFonts w:ascii="Verdana" w:hAnsi="Verdana"/>
          <w:sz w:val="18"/>
          <w:szCs w:val="18"/>
        </w:rPr>
        <w:t>ze</w:t>
      </w:r>
      <w:r w:rsidRPr="00FF46E3">
        <w:rPr>
          <w:rFonts w:ascii="Verdana" w:hAnsi="Verdana"/>
          <w:sz w:val="18"/>
          <w:szCs w:val="18"/>
        </w:rPr>
        <w:t xml:space="preserve"> richtlijn waar nodig in hun </w:t>
      </w:r>
      <w:r w:rsidRPr="00FF46E3" w:rsidR="004154AA">
        <w:rPr>
          <w:rFonts w:ascii="Verdana" w:hAnsi="Verdana"/>
          <w:sz w:val="18"/>
          <w:szCs w:val="18"/>
        </w:rPr>
        <w:t xml:space="preserve">nationale </w:t>
      </w:r>
      <w:r w:rsidRPr="00FF46E3">
        <w:rPr>
          <w:rFonts w:ascii="Verdana" w:hAnsi="Verdana"/>
          <w:sz w:val="18"/>
          <w:szCs w:val="18"/>
        </w:rPr>
        <w:t xml:space="preserve">regelgeving om te zetten. </w:t>
      </w:r>
      <w:r w:rsidRPr="00FF46E3" w:rsidR="00804E5B">
        <w:rPr>
          <w:rFonts w:ascii="Verdana" w:hAnsi="Verdana"/>
          <w:sz w:val="18"/>
          <w:szCs w:val="18"/>
        </w:rPr>
        <w:t>A</w:t>
      </w:r>
      <w:r w:rsidRPr="00FF46E3">
        <w:rPr>
          <w:rFonts w:ascii="Verdana" w:hAnsi="Verdana"/>
          <w:sz w:val="18"/>
          <w:szCs w:val="18"/>
        </w:rPr>
        <w:t>an het eind van het algemeen deel van deze memorie van toelichting</w:t>
      </w:r>
      <w:r w:rsidRPr="00FF46E3" w:rsidR="00804E5B">
        <w:rPr>
          <w:rFonts w:ascii="Verdana" w:hAnsi="Verdana"/>
          <w:sz w:val="18"/>
          <w:szCs w:val="18"/>
        </w:rPr>
        <w:t xml:space="preserve"> is een transponeringstabel opgenomen</w:t>
      </w:r>
      <w:r w:rsidRPr="00FF46E3">
        <w:rPr>
          <w:rFonts w:ascii="Verdana" w:hAnsi="Verdana"/>
          <w:sz w:val="18"/>
          <w:szCs w:val="18"/>
        </w:rPr>
        <w:t xml:space="preserve">. </w:t>
      </w:r>
    </w:p>
    <w:bookmarkEnd w:id="5"/>
    <w:p w:rsidRPr="00FF46E3" w:rsidR="002434A3" w:rsidP="006200DD" w:rsidRDefault="002434A3" w14:paraId="366BC69F" w14:textId="5FAF881E">
      <w:pPr>
        <w:pStyle w:val="Geenafstand"/>
        <w:rPr>
          <w:rFonts w:ascii="Verdana" w:hAnsi="Verdana"/>
          <w:sz w:val="18"/>
          <w:szCs w:val="18"/>
        </w:rPr>
      </w:pPr>
    </w:p>
    <w:p w:rsidRPr="00FF46E3" w:rsidR="002434A3" w:rsidP="00493EC7" w:rsidRDefault="00A6575B" w14:paraId="6C05D63D" w14:textId="593633C1">
      <w:pPr>
        <w:pStyle w:val="Kop1"/>
      </w:pPr>
      <w:bookmarkStart w:name="_Toc198721053" w:id="7"/>
      <w:r w:rsidRPr="00FF46E3">
        <w:t xml:space="preserve">2. </w:t>
      </w:r>
      <w:r w:rsidRPr="00FF46E3" w:rsidR="002434A3">
        <w:t xml:space="preserve">De </w:t>
      </w:r>
      <w:r w:rsidRPr="00FF46E3" w:rsidR="00FB66DF">
        <w:t>NIS2-richtlijn</w:t>
      </w:r>
      <w:bookmarkEnd w:id="7"/>
    </w:p>
    <w:p w:rsidRPr="00FF46E3" w:rsidR="002434A3" w:rsidP="006200DD" w:rsidRDefault="002434A3" w14:paraId="3B143935" w14:textId="11E37276">
      <w:pPr>
        <w:pStyle w:val="Geenafstand"/>
        <w:rPr>
          <w:rFonts w:ascii="Verdana" w:hAnsi="Verdana"/>
          <w:b/>
          <w:bCs/>
          <w:sz w:val="18"/>
          <w:szCs w:val="18"/>
        </w:rPr>
      </w:pPr>
    </w:p>
    <w:p w:rsidRPr="00FF46E3" w:rsidR="00822AD7" w:rsidP="005458DB" w:rsidRDefault="00466CC8" w14:paraId="1BF162CB" w14:textId="2AB6CEC1">
      <w:pPr>
        <w:pStyle w:val="Kop2"/>
        <w:rPr>
          <w:szCs w:val="18"/>
        </w:rPr>
      </w:pPr>
      <w:bookmarkStart w:name="_Toc198721054" w:id="8"/>
      <w:r w:rsidRPr="00FF46E3">
        <w:rPr>
          <w:szCs w:val="18"/>
        </w:rPr>
        <w:t xml:space="preserve">2.1 </w:t>
      </w:r>
      <w:r w:rsidRPr="00FF46E3" w:rsidR="00822AD7">
        <w:rPr>
          <w:szCs w:val="18"/>
        </w:rPr>
        <w:t>Kern van de richtlijn</w:t>
      </w:r>
      <w:bookmarkEnd w:id="8"/>
    </w:p>
    <w:p w:rsidRPr="00FF46E3" w:rsidR="00FB7C7E" w:rsidP="008F5D45" w:rsidRDefault="00FB7C7E" w14:paraId="7C584228" w14:textId="77777777">
      <w:pPr>
        <w:pStyle w:val="Geenafstand"/>
        <w:rPr>
          <w:rFonts w:ascii="Verdana" w:hAnsi="Verdana"/>
          <w:sz w:val="18"/>
          <w:szCs w:val="18"/>
        </w:rPr>
      </w:pPr>
    </w:p>
    <w:p w:rsidRPr="00FF46E3" w:rsidR="00176746" w:rsidP="008F5D45" w:rsidRDefault="0035682C" w14:paraId="4D0CB17B" w14:textId="11A3800E">
      <w:pPr>
        <w:pStyle w:val="Geenafstand"/>
        <w:rPr>
          <w:rFonts w:ascii="Verdana" w:hAnsi="Verdana"/>
          <w:sz w:val="18"/>
          <w:szCs w:val="18"/>
        </w:rPr>
      </w:pPr>
      <w:r w:rsidRPr="00FF46E3">
        <w:rPr>
          <w:rFonts w:ascii="Verdana" w:hAnsi="Verdana"/>
          <w:sz w:val="18"/>
          <w:szCs w:val="18"/>
        </w:rPr>
        <w:t xml:space="preserve">De </w:t>
      </w:r>
      <w:r w:rsidRPr="00FF46E3" w:rsidR="00CC405B">
        <w:rPr>
          <w:rFonts w:ascii="Verdana" w:hAnsi="Verdana"/>
          <w:sz w:val="18"/>
          <w:szCs w:val="18"/>
        </w:rPr>
        <w:t>NIS2</w:t>
      </w:r>
      <w:r w:rsidRPr="00FF46E3">
        <w:rPr>
          <w:rFonts w:ascii="Verdana" w:hAnsi="Verdana"/>
          <w:sz w:val="18"/>
          <w:szCs w:val="18"/>
        </w:rPr>
        <w:t xml:space="preserve">-richtlijn </w:t>
      </w:r>
      <w:r w:rsidRPr="00FF46E3" w:rsidR="00804E5B">
        <w:rPr>
          <w:rFonts w:ascii="Verdana" w:hAnsi="Verdana"/>
          <w:sz w:val="18"/>
          <w:szCs w:val="18"/>
        </w:rPr>
        <w:t>is de opvolger van de zogeheten NI</w:t>
      </w:r>
      <w:r w:rsidRPr="00FF46E3" w:rsidR="006E305C">
        <w:rPr>
          <w:rFonts w:ascii="Verdana" w:hAnsi="Verdana"/>
          <w:sz w:val="18"/>
          <w:szCs w:val="18"/>
        </w:rPr>
        <w:t>S</w:t>
      </w:r>
      <w:r w:rsidRPr="00FF46E3" w:rsidR="00804E5B">
        <w:rPr>
          <w:rFonts w:ascii="Verdana" w:hAnsi="Verdana"/>
          <w:sz w:val="18"/>
          <w:szCs w:val="18"/>
        </w:rPr>
        <w:t>1-richtlijn</w:t>
      </w:r>
      <w:r w:rsidR="001B57F3">
        <w:rPr>
          <w:rFonts w:ascii="Verdana" w:hAnsi="Verdana"/>
          <w:sz w:val="18"/>
          <w:szCs w:val="18"/>
        </w:rPr>
        <w:t>, die in 2018 is geïmplementeerd in de Wet beveiliging netwerk- en informatiesystemen</w:t>
      </w:r>
      <w:r w:rsidR="00EC6E6E">
        <w:rPr>
          <w:rFonts w:ascii="Verdana" w:hAnsi="Verdana"/>
          <w:sz w:val="18"/>
          <w:szCs w:val="18"/>
        </w:rPr>
        <w:t xml:space="preserve"> (hierna: </w:t>
      </w:r>
      <w:proofErr w:type="spellStart"/>
      <w:r w:rsidR="00EC6E6E">
        <w:rPr>
          <w:rFonts w:ascii="Verdana" w:hAnsi="Verdana"/>
          <w:sz w:val="18"/>
          <w:szCs w:val="18"/>
        </w:rPr>
        <w:t>Wbni</w:t>
      </w:r>
      <w:proofErr w:type="spellEnd"/>
      <w:r w:rsidR="00EC6E6E">
        <w:rPr>
          <w:rFonts w:ascii="Verdana" w:hAnsi="Verdana"/>
          <w:sz w:val="18"/>
          <w:szCs w:val="18"/>
        </w:rPr>
        <w:t>)</w:t>
      </w:r>
      <w:r w:rsidRPr="00FF46E3" w:rsidR="00E62BB9">
        <w:rPr>
          <w:rFonts w:ascii="Verdana" w:hAnsi="Verdana"/>
          <w:sz w:val="18"/>
          <w:szCs w:val="18"/>
        </w:rPr>
        <w:t>.</w:t>
      </w:r>
      <w:r w:rsidRPr="00FF46E3" w:rsidR="00804E5B">
        <w:rPr>
          <w:rStyle w:val="Voetnootmarkering"/>
          <w:rFonts w:ascii="Verdana" w:hAnsi="Verdana"/>
          <w:sz w:val="18"/>
          <w:szCs w:val="18"/>
        </w:rPr>
        <w:footnoteReference w:id="3"/>
      </w:r>
      <w:r w:rsidRPr="00FF46E3" w:rsidR="00804E5B">
        <w:rPr>
          <w:rFonts w:ascii="Verdana" w:hAnsi="Verdana"/>
          <w:sz w:val="18"/>
          <w:szCs w:val="18"/>
        </w:rPr>
        <w:t xml:space="preserve"> </w:t>
      </w:r>
      <w:r w:rsidRPr="00FF46E3" w:rsidR="00BB513C">
        <w:rPr>
          <w:rFonts w:ascii="Verdana" w:hAnsi="Verdana"/>
          <w:sz w:val="18"/>
          <w:szCs w:val="18"/>
        </w:rPr>
        <w:t xml:space="preserve">Het doel van de </w:t>
      </w:r>
      <w:r w:rsidRPr="00FF46E3" w:rsidR="006E305C">
        <w:rPr>
          <w:rFonts w:ascii="Verdana" w:hAnsi="Verdana"/>
          <w:sz w:val="18"/>
          <w:szCs w:val="18"/>
        </w:rPr>
        <w:t>NIS1-</w:t>
      </w:r>
      <w:r w:rsidRPr="00FF46E3" w:rsidR="00BB513C">
        <w:rPr>
          <w:rFonts w:ascii="Verdana" w:hAnsi="Verdana"/>
          <w:sz w:val="18"/>
          <w:szCs w:val="18"/>
        </w:rPr>
        <w:t xml:space="preserve">richtlijn is om, ter ondersteuning van het functioneren van onze samenleving en economie, eenheid en samenhang te brengen in Europees beleid voor netwerk- en informatiebeveiliging, door de digitale paraatheid te vergroten en de gevolgen van cyberincidenten te verkleinen. </w:t>
      </w:r>
      <w:r w:rsidRPr="00FF46E3" w:rsidR="00176746">
        <w:rPr>
          <w:rFonts w:ascii="Verdana" w:hAnsi="Verdana"/>
          <w:sz w:val="18"/>
          <w:szCs w:val="18"/>
        </w:rPr>
        <w:t>De NIS1-richtlijn laat veel discretionaire ruimte over aan lidstaten bij de uitvoering van de richtlijn. Door die geboden ruimte zijn er tussen lidstaten aanzienlijke verschillen ten aanzien van de implementatie van de richtlijn in de lidstaten. Zo zijn er aanzienlijke verschillen op het gebied van de afbakening van het toepassingsgebied van de richtlijn. Dat verschil betekent concreet dat een aanbieder in de ene lidstaat wel onder de werking van de richtlijn valt, terwijl een nagenoeg identieke aanbieder (dezelfde sector, met een soortgelijke dienstverlening, werkzaam in een soortgelijke context) uit een andere lidstaat niet onder de werking van de richtlijn valt. Ook bestaan er aanzienlijke verschillen ten aanzien van de uitvoering van de verplichtingen op nationaal niveau, zoals het soort cyberbeveiligingseisen en de mate van gedetailleerdheid, en het toezicht op de naleving van de verplichtingen die uit de richtlijn volgen. Deze verschillen kunnen nadelige effecten hebben op de werking van de interne markt en kunnen sommige lidstaten meer kwetsbaar maken voor cyberdreigingen, met mogelijke overloopeffecten in de hele Europese Unie</w:t>
      </w:r>
      <w:r w:rsidRPr="00FF46E3" w:rsidR="00733ABA">
        <w:rPr>
          <w:rFonts w:ascii="Verdana" w:hAnsi="Verdana"/>
          <w:sz w:val="18"/>
          <w:szCs w:val="18"/>
        </w:rPr>
        <w:t xml:space="preserve"> (hierna: EU)</w:t>
      </w:r>
      <w:r w:rsidRPr="00FF46E3" w:rsidR="00176746">
        <w:rPr>
          <w:rFonts w:ascii="Verdana" w:hAnsi="Verdana"/>
          <w:sz w:val="18"/>
          <w:szCs w:val="18"/>
        </w:rPr>
        <w:t>. Daarom wordt de NIS1-richtlijn ingetrokken en vervangen door de NIS2-richtlijn</w:t>
      </w:r>
      <w:r w:rsidRPr="00FF46E3" w:rsidR="00BB513C">
        <w:rPr>
          <w:rFonts w:ascii="Verdana" w:hAnsi="Verdana"/>
          <w:sz w:val="18"/>
          <w:szCs w:val="18"/>
        </w:rPr>
        <w:t>. Daarmee</w:t>
      </w:r>
      <w:r w:rsidRPr="00FF46E3" w:rsidR="00EB641C">
        <w:rPr>
          <w:rFonts w:ascii="Verdana" w:hAnsi="Verdana"/>
          <w:sz w:val="18"/>
          <w:szCs w:val="18"/>
        </w:rPr>
        <w:t xml:space="preserve"> </w:t>
      </w:r>
      <w:r w:rsidRPr="00FF46E3" w:rsidR="00176746">
        <w:rPr>
          <w:rFonts w:ascii="Verdana" w:hAnsi="Verdana"/>
          <w:sz w:val="18"/>
          <w:szCs w:val="18"/>
        </w:rPr>
        <w:t xml:space="preserve">wordt beoogd om de hiervoor </w:t>
      </w:r>
      <w:r w:rsidRPr="00FF46E3" w:rsidR="00EB641C">
        <w:rPr>
          <w:rFonts w:ascii="Verdana" w:hAnsi="Verdana"/>
          <w:sz w:val="18"/>
          <w:szCs w:val="18"/>
        </w:rPr>
        <w:t>benoemde</w:t>
      </w:r>
      <w:r w:rsidRPr="00FF46E3" w:rsidR="00176746">
        <w:rPr>
          <w:rFonts w:ascii="Verdana" w:hAnsi="Verdana"/>
          <w:sz w:val="18"/>
          <w:szCs w:val="18"/>
        </w:rPr>
        <w:t xml:space="preserve"> verschillen weg te nemen.</w:t>
      </w:r>
      <w:r w:rsidRPr="00FF46E3" w:rsidR="00176746">
        <w:rPr>
          <w:rStyle w:val="Voetnootmarkering"/>
          <w:rFonts w:ascii="Verdana" w:hAnsi="Verdana"/>
          <w:sz w:val="18"/>
          <w:szCs w:val="18"/>
        </w:rPr>
        <w:footnoteReference w:id="4"/>
      </w:r>
    </w:p>
    <w:p w:rsidRPr="00FF46E3" w:rsidR="00D94BE9" w:rsidP="008F5D45" w:rsidRDefault="00D94BE9" w14:paraId="6B17BDBC" w14:textId="4B707D75">
      <w:pPr>
        <w:pStyle w:val="Geenafstand"/>
        <w:rPr>
          <w:rFonts w:ascii="Verdana" w:hAnsi="Verdana"/>
          <w:sz w:val="18"/>
          <w:szCs w:val="18"/>
        </w:rPr>
      </w:pPr>
    </w:p>
    <w:p w:rsidRPr="00FF46E3" w:rsidR="000448A7" w:rsidP="008F5D45" w:rsidRDefault="00E62BB9" w14:paraId="1B740904" w14:textId="464DF685">
      <w:pPr>
        <w:pStyle w:val="Geenafstand"/>
        <w:rPr>
          <w:rFonts w:ascii="Verdana" w:hAnsi="Verdana"/>
          <w:sz w:val="18"/>
          <w:szCs w:val="18"/>
        </w:rPr>
      </w:pPr>
      <w:r w:rsidRPr="00FF46E3">
        <w:rPr>
          <w:rFonts w:ascii="Verdana" w:hAnsi="Verdana"/>
          <w:sz w:val="18"/>
          <w:szCs w:val="18"/>
        </w:rPr>
        <w:t>De NIS2-richtlijn</w:t>
      </w:r>
      <w:r w:rsidRPr="00FF46E3" w:rsidR="00804E5B">
        <w:rPr>
          <w:rFonts w:ascii="Verdana" w:hAnsi="Verdana"/>
          <w:sz w:val="18"/>
          <w:szCs w:val="18"/>
        </w:rPr>
        <w:t xml:space="preserve"> </w:t>
      </w:r>
      <w:r w:rsidRPr="00FF46E3" w:rsidR="0047086A">
        <w:rPr>
          <w:rFonts w:ascii="Verdana" w:hAnsi="Verdana"/>
          <w:sz w:val="18"/>
          <w:szCs w:val="18"/>
        </w:rPr>
        <w:t xml:space="preserve">heeft tot doel om </w:t>
      </w:r>
      <w:r w:rsidRPr="00FF46E3" w:rsidR="00466CC8">
        <w:rPr>
          <w:rFonts w:ascii="Verdana" w:hAnsi="Verdana"/>
          <w:sz w:val="18"/>
          <w:szCs w:val="18"/>
        </w:rPr>
        <w:t xml:space="preserve">een hoog gemeenschappelijk niveau van cyberbeveiliging in de </w:t>
      </w:r>
      <w:r w:rsidRPr="00FF46E3" w:rsidR="00733ABA">
        <w:rPr>
          <w:rFonts w:ascii="Verdana" w:hAnsi="Verdana"/>
          <w:sz w:val="18"/>
          <w:szCs w:val="18"/>
        </w:rPr>
        <w:t>EU</w:t>
      </w:r>
      <w:r w:rsidRPr="00FF46E3" w:rsidR="00466CC8">
        <w:rPr>
          <w:rFonts w:ascii="Verdana" w:hAnsi="Verdana"/>
          <w:sz w:val="18"/>
          <w:szCs w:val="18"/>
        </w:rPr>
        <w:t xml:space="preserve"> </w:t>
      </w:r>
      <w:r w:rsidRPr="00FF46E3" w:rsidR="0047086A">
        <w:rPr>
          <w:rFonts w:ascii="Verdana" w:hAnsi="Verdana"/>
          <w:sz w:val="18"/>
          <w:szCs w:val="18"/>
        </w:rPr>
        <w:t xml:space="preserve">te bereiken, </w:t>
      </w:r>
      <w:r w:rsidRPr="00FF46E3" w:rsidR="002117D3">
        <w:rPr>
          <w:rFonts w:ascii="Verdana" w:hAnsi="Verdana"/>
          <w:sz w:val="18"/>
          <w:szCs w:val="18"/>
        </w:rPr>
        <w:t xml:space="preserve">teneinde </w:t>
      </w:r>
      <w:r w:rsidRPr="00FF46E3" w:rsidR="00466CC8">
        <w:rPr>
          <w:rFonts w:ascii="Verdana" w:hAnsi="Verdana"/>
          <w:sz w:val="18"/>
          <w:szCs w:val="18"/>
        </w:rPr>
        <w:t>de werking van de interne markt te verbeteren</w:t>
      </w:r>
      <w:r w:rsidRPr="00FF46E3" w:rsidR="00B24C66">
        <w:rPr>
          <w:rFonts w:ascii="Verdana" w:hAnsi="Verdana"/>
          <w:sz w:val="18"/>
          <w:szCs w:val="18"/>
        </w:rPr>
        <w:t xml:space="preserve">. </w:t>
      </w:r>
      <w:r w:rsidRPr="00FF46E3" w:rsidR="00466CC8">
        <w:rPr>
          <w:rFonts w:ascii="Verdana" w:hAnsi="Verdana"/>
          <w:sz w:val="18"/>
          <w:szCs w:val="18"/>
        </w:rPr>
        <w:t>De</w:t>
      </w:r>
      <w:r w:rsidRPr="00FF46E3">
        <w:rPr>
          <w:rFonts w:ascii="Verdana" w:hAnsi="Verdana"/>
          <w:sz w:val="18"/>
          <w:szCs w:val="18"/>
        </w:rPr>
        <w:t>ze</w:t>
      </w:r>
      <w:r w:rsidRPr="00FF46E3" w:rsidR="00466CC8">
        <w:rPr>
          <w:rFonts w:ascii="Verdana" w:hAnsi="Verdana"/>
          <w:sz w:val="18"/>
          <w:szCs w:val="18"/>
        </w:rPr>
        <w:t xml:space="preserve"> richtlijn </w:t>
      </w:r>
      <w:r w:rsidRPr="00FF46E3" w:rsidR="00917958">
        <w:rPr>
          <w:rFonts w:ascii="Verdana" w:hAnsi="Verdana"/>
          <w:sz w:val="18"/>
          <w:szCs w:val="18"/>
        </w:rPr>
        <w:t xml:space="preserve">beoogt </w:t>
      </w:r>
      <w:r w:rsidRPr="00FF46E3" w:rsidR="0047086A">
        <w:rPr>
          <w:rFonts w:ascii="Verdana" w:hAnsi="Verdana"/>
          <w:sz w:val="18"/>
          <w:szCs w:val="18"/>
        </w:rPr>
        <w:t xml:space="preserve">dit doel te bereiken door </w:t>
      </w:r>
      <w:r w:rsidRPr="00FF46E3" w:rsidR="00917958">
        <w:rPr>
          <w:rFonts w:ascii="Verdana" w:hAnsi="Verdana"/>
          <w:sz w:val="18"/>
          <w:szCs w:val="18"/>
        </w:rPr>
        <w:t>de ver</w:t>
      </w:r>
      <w:r w:rsidRPr="00FF46E3" w:rsidR="00466CC8">
        <w:rPr>
          <w:rFonts w:ascii="Verdana" w:hAnsi="Verdana"/>
          <w:sz w:val="18"/>
          <w:szCs w:val="18"/>
        </w:rPr>
        <w:t xml:space="preserve">schillen </w:t>
      </w:r>
      <w:r w:rsidRPr="00FF46E3" w:rsidR="00A65DC9">
        <w:rPr>
          <w:rFonts w:ascii="Verdana" w:hAnsi="Verdana"/>
          <w:sz w:val="18"/>
          <w:szCs w:val="18"/>
        </w:rPr>
        <w:t xml:space="preserve">weg te nemen die </w:t>
      </w:r>
      <w:r w:rsidRPr="00FF46E3" w:rsidR="00466CC8">
        <w:rPr>
          <w:rFonts w:ascii="Verdana" w:hAnsi="Verdana"/>
          <w:sz w:val="18"/>
          <w:szCs w:val="18"/>
        </w:rPr>
        <w:t xml:space="preserve">tussen lidstaten </w:t>
      </w:r>
      <w:r w:rsidRPr="00FF46E3" w:rsidR="00A65DC9">
        <w:rPr>
          <w:rFonts w:ascii="Verdana" w:hAnsi="Verdana"/>
          <w:sz w:val="18"/>
          <w:szCs w:val="18"/>
        </w:rPr>
        <w:t xml:space="preserve">bestaan op het gebied van </w:t>
      </w:r>
      <w:r w:rsidRPr="00FF46E3" w:rsidR="00466CC8">
        <w:rPr>
          <w:rFonts w:ascii="Verdana" w:hAnsi="Verdana"/>
          <w:sz w:val="18"/>
          <w:szCs w:val="18"/>
        </w:rPr>
        <w:t xml:space="preserve">de cyberbeveiligingseisen </w:t>
      </w:r>
      <w:r w:rsidRPr="00FF46E3" w:rsidR="00917958">
        <w:rPr>
          <w:rFonts w:ascii="Verdana" w:hAnsi="Verdana"/>
          <w:sz w:val="18"/>
          <w:szCs w:val="18"/>
        </w:rPr>
        <w:t>die worden gesteld aan</w:t>
      </w:r>
      <w:r w:rsidRPr="00FF46E3" w:rsidR="00466CC8">
        <w:rPr>
          <w:rFonts w:ascii="Verdana" w:hAnsi="Verdana"/>
          <w:sz w:val="18"/>
          <w:szCs w:val="18"/>
        </w:rPr>
        <w:t xml:space="preserve"> entiteiten die economisch belangrijke activiteiten </w:t>
      </w:r>
      <w:r w:rsidRPr="00FF46E3" w:rsidR="00663E67">
        <w:rPr>
          <w:rFonts w:ascii="Verdana" w:hAnsi="Verdana"/>
          <w:sz w:val="18"/>
          <w:szCs w:val="18"/>
        </w:rPr>
        <w:t xml:space="preserve">of diensten </w:t>
      </w:r>
      <w:r w:rsidRPr="00FF46E3" w:rsidR="00466CC8">
        <w:rPr>
          <w:rFonts w:ascii="Verdana" w:hAnsi="Verdana"/>
          <w:sz w:val="18"/>
          <w:szCs w:val="18"/>
        </w:rPr>
        <w:t xml:space="preserve">verrichten. </w:t>
      </w:r>
      <w:r w:rsidRPr="00FF46E3" w:rsidR="00241574">
        <w:rPr>
          <w:rFonts w:ascii="Verdana" w:hAnsi="Verdana"/>
          <w:sz w:val="18"/>
          <w:szCs w:val="18"/>
        </w:rPr>
        <w:t xml:space="preserve">De richtlijn </w:t>
      </w:r>
      <w:r w:rsidRPr="00FF46E3" w:rsidR="0047086A">
        <w:rPr>
          <w:rFonts w:ascii="Verdana" w:hAnsi="Verdana"/>
          <w:sz w:val="18"/>
          <w:szCs w:val="18"/>
        </w:rPr>
        <w:t xml:space="preserve">tracht </w:t>
      </w:r>
      <w:r w:rsidRPr="00FF46E3">
        <w:rPr>
          <w:rFonts w:ascii="Verdana" w:hAnsi="Verdana"/>
          <w:sz w:val="18"/>
          <w:szCs w:val="18"/>
        </w:rPr>
        <w:t>dit doel te bereiken</w:t>
      </w:r>
      <w:r w:rsidRPr="00FF46E3" w:rsidR="00C07461">
        <w:rPr>
          <w:rFonts w:ascii="Verdana" w:hAnsi="Verdana"/>
          <w:sz w:val="18"/>
          <w:szCs w:val="18"/>
        </w:rPr>
        <w:t xml:space="preserve"> door onder meer regels vast te stellen over </w:t>
      </w:r>
      <w:r w:rsidRPr="00FF46E3" w:rsidR="0047086A">
        <w:rPr>
          <w:rFonts w:ascii="Verdana" w:hAnsi="Verdana"/>
          <w:sz w:val="18"/>
          <w:szCs w:val="18"/>
        </w:rPr>
        <w:t xml:space="preserve">entiteiten die van rechtswege, zonder tussenkomst van een lidstaat, onder het toepassingsbereik van de richtlijn komen te vallen, </w:t>
      </w:r>
      <w:r w:rsidRPr="00FF46E3" w:rsidR="00BC12BC">
        <w:rPr>
          <w:rFonts w:ascii="Verdana" w:hAnsi="Verdana"/>
          <w:sz w:val="18"/>
          <w:szCs w:val="18"/>
        </w:rPr>
        <w:t xml:space="preserve">en door te voorzien in doeltreffende voorzieningen ten aanzien van </w:t>
      </w:r>
      <w:r w:rsidRPr="00FF46E3" w:rsidR="0047086A">
        <w:rPr>
          <w:rFonts w:ascii="Verdana" w:hAnsi="Verdana"/>
          <w:sz w:val="18"/>
          <w:szCs w:val="18"/>
        </w:rPr>
        <w:t>de cyberbeveiligingseisen waar entiteiten aan moeten voldoen en het toezicht op de naleving van de verplichtingen die voortvloeien uit de richtlijn.</w:t>
      </w:r>
      <w:r w:rsidRPr="00FF46E3" w:rsidR="00241574">
        <w:rPr>
          <w:rStyle w:val="Voetnootmarkering"/>
          <w:rFonts w:ascii="Verdana" w:hAnsi="Verdana"/>
          <w:sz w:val="18"/>
          <w:szCs w:val="18"/>
        </w:rPr>
        <w:footnoteReference w:id="5"/>
      </w:r>
      <w:r w:rsidRPr="00FF46E3" w:rsidR="00241574">
        <w:rPr>
          <w:rFonts w:ascii="Verdana" w:hAnsi="Verdana"/>
          <w:sz w:val="18"/>
          <w:szCs w:val="18"/>
        </w:rPr>
        <w:t xml:space="preserve"> </w:t>
      </w:r>
      <w:bookmarkStart w:name="_Hlk152927162" w:id="9"/>
      <w:r w:rsidRPr="00FF46E3" w:rsidR="000448A7">
        <w:rPr>
          <w:rFonts w:ascii="Verdana" w:hAnsi="Verdana"/>
          <w:sz w:val="18"/>
          <w:szCs w:val="18"/>
        </w:rPr>
        <w:t>De NIS2-richtlijn gaat uit van minimumharmonisatie. De richtlijn belet de lidstaten daarom niet om bepalingen vast te stellen of te handhaven die een hoger cyberbeveiligingsniveau waarborgen, mits dergelijke bepalingen stroken met de in het Unierecht vastgelegde verplichtingen van de lidstaten.</w:t>
      </w:r>
      <w:r w:rsidRPr="00FF46E3" w:rsidR="000448A7">
        <w:rPr>
          <w:rStyle w:val="Voetnootmarkering"/>
          <w:rFonts w:ascii="Verdana" w:hAnsi="Verdana"/>
          <w:sz w:val="18"/>
          <w:szCs w:val="18"/>
        </w:rPr>
        <w:footnoteReference w:id="6"/>
      </w:r>
      <w:bookmarkEnd w:id="9"/>
    </w:p>
    <w:p w:rsidRPr="00FF46E3" w:rsidR="008F5D45" w:rsidP="008F5D45" w:rsidRDefault="008F5D45" w14:paraId="3107E73E" w14:textId="77777777">
      <w:pPr>
        <w:pStyle w:val="Geenafstand"/>
        <w:rPr>
          <w:rFonts w:ascii="Verdana" w:hAnsi="Verdana"/>
          <w:sz w:val="18"/>
          <w:szCs w:val="18"/>
        </w:rPr>
      </w:pPr>
    </w:p>
    <w:p w:rsidRPr="00FF46E3" w:rsidR="00AD7301" w:rsidP="008F62D3" w:rsidRDefault="00AD7301" w14:paraId="0D178193" w14:textId="7224DA34">
      <w:pPr>
        <w:pStyle w:val="Kop2"/>
        <w:rPr>
          <w:szCs w:val="18"/>
        </w:rPr>
      </w:pPr>
      <w:bookmarkStart w:name="_Toc198721055" w:id="10"/>
      <w:bookmarkStart w:name="_Hlk170463514" w:id="11"/>
      <w:r w:rsidRPr="00FF46E3">
        <w:rPr>
          <w:szCs w:val="18"/>
        </w:rPr>
        <w:lastRenderedPageBreak/>
        <w:t>2.</w:t>
      </w:r>
      <w:r w:rsidRPr="00FF46E3" w:rsidR="004A42B4">
        <w:rPr>
          <w:szCs w:val="18"/>
        </w:rPr>
        <w:t>2</w:t>
      </w:r>
      <w:r w:rsidRPr="00FF46E3">
        <w:rPr>
          <w:szCs w:val="18"/>
        </w:rPr>
        <w:t xml:space="preserve"> Belangrijkste onderdelen </w:t>
      </w:r>
      <w:r w:rsidRPr="00FF46E3" w:rsidR="00C07461">
        <w:rPr>
          <w:szCs w:val="18"/>
        </w:rPr>
        <w:t xml:space="preserve">van de </w:t>
      </w:r>
      <w:r w:rsidRPr="00FF46E3">
        <w:rPr>
          <w:szCs w:val="18"/>
        </w:rPr>
        <w:t>richtlijn</w:t>
      </w:r>
      <w:bookmarkEnd w:id="10"/>
    </w:p>
    <w:p w:rsidRPr="00FF46E3" w:rsidR="00F12221" w:rsidP="006200DD" w:rsidRDefault="00F12221" w14:paraId="491E6D2F" w14:textId="77777777">
      <w:pPr>
        <w:pStyle w:val="Geenafstand"/>
        <w:rPr>
          <w:rFonts w:ascii="Verdana" w:hAnsi="Verdana"/>
          <w:sz w:val="18"/>
          <w:szCs w:val="18"/>
        </w:rPr>
      </w:pPr>
    </w:p>
    <w:p w:rsidRPr="00FF46E3" w:rsidR="00DC3537" w:rsidP="006200DD" w:rsidRDefault="007E2741" w14:paraId="55BD8D54" w14:textId="2A76D29F">
      <w:pPr>
        <w:pStyle w:val="Geenafstand"/>
        <w:rPr>
          <w:rFonts w:ascii="Verdana" w:hAnsi="Verdana"/>
          <w:sz w:val="18"/>
          <w:szCs w:val="18"/>
        </w:rPr>
      </w:pPr>
      <w:r w:rsidRPr="00FF46E3">
        <w:rPr>
          <w:rFonts w:ascii="Verdana" w:hAnsi="Verdana"/>
          <w:sz w:val="18"/>
          <w:szCs w:val="18"/>
        </w:rPr>
        <w:t>Hierna wordt kort ingegaan op d</w:t>
      </w:r>
      <w:r w:rsidRPr="00FF46E3" w:rsidR="00641215">
        <w:rPr>
          <w:rFonts w:ascii="Verdana" w:hAnsi="Verdana"/>
          <w:sz w:val="18"/>
          <w:szCs w:val="18"/>
        </w:rPr>
        <w:t xml:space="preserve">e belangrijkste onderdelen van de </w:t>
      </w:r>
      <w:r w:rsidRPr="00FF46E3" w:rsidR="00FB66DF">
        <w:rPr>
          <w:rFonts w:ascii="Verdana" w:hAnsi="Verdana"/>
          <w:sz w:val="18"/>
          <w:szCs w:val="18"/>
        </w:rPr>
        <w:t>NIS2-richtlijn</w:t>
      </w:r>
      <w:r w:rsidRPr="00FF46E3" w:rsidR="00641215">
        <w:rPr>
          <w:rFonts w:ascii="Verdana" w:hAnsi="Verdana"/>
          <w:sz w:val="18"/>
          <w:szCs w:val="18"/>
        </w:rPr>
        <w:t xml:space="preserve">: </w:t>
      </w:r>
    </w:p>
    <w:p w:rsidRPr="00FF46E3" w:rsidR="00641215" w:rsidP="006200DD" w:rsidRDefault="00641215" w14:paraId="42D336E5" w14:textId="4DF5D4D4">
      <w:pPr>
        <w:pStyle w:val="Geenafstand"/>
        <w:rPr>
          <w:rFonts w:ascii="Verdana" w:hAnsi="Verdana"/>
          <w:sz w:val="18"/>
          <w:szCs w:val="18"/>
        </w:rPr>
      </w:pPr>
      <w:r w:rsidRPr="00FF46E3">
        <w:rPr>
          <w:rFonts w:ascii="Verdana" w:hAnsi="Verdana"/>
          <w:sz w:val="18"/>
          <w:szCs w:val="18"/>
        </w:rPr>
        <w:t xml:space="preserve">a. </w:t>
      </w:r>
      <w:r w:rsidRPr="00FF46E3" w:rsidR="0019011D">
        <w:rPr>
          <w:rFonts w:ascii="Verdana" w:hAnsi="Verdana"/>
          <w:sz w:val="18"/>
          <w:szCs w:val="18"/>
        </w:rPr>
        <w:t>reikwijdte</w:t>
      </w:r>
      <w:r w:rsidRPr="00FF46E3" w:rsidR="008C4B74">
        <w:rPr>
          <w:rFonts w:ascii="Verdana" w:hAnsi="Verdana"/>
          <w:sz w:val="18"/>
          <w:szCs w:val="18"/>
        </w:rPr>
        <w:t>;</w:t>
      </w:r>
      <w:r w:rsidRPr="00FF46E3">
        <w:rPr>
          <w:rFonts w:ascii="Verdana" w:hAnsi="Verdana"/>
          <w:sz w:val="18"/>
          <w:szCs w:val="18"/>
        </w:rPr>
        <w:t xml:space="preserve"> </w:t>
      </w:r>
    </w:p>
    <w:p w:rsidRPr="00FF46E3" w:rsidR="00641215" w:rsidP="006200DD" w:rsidRDefault="00641215" w14:paraId="3AC031F8" w14:textId="6AF2B6EF">
      <w:pPr>
        <w:pStyle w:val="Geenafstand"/>
        <w:rPr>
          <w:rFonts w:ascii="Verdana" w:hAnsi="Verdana"/>
          <w:sz w:val="18"/>
          <w:szCs w:val="18"/>
        </w:rPr>
      </w:pPr>
      <w:r w:rsidRPr="00FF46E3">
        <w:rPr>
          <w:rFonts w:ascii="Verdana" w:hAnsi="Verdana"/>
          <w:sz w:val="18"/>
          <w:szCs w:val="18"/>
        </w:rPr>
        <w:t xml:space="preserve">b. </w:t>
      </w:r>
      <w:r w:rsidRPr="00FF46E3" w:rsidR="0019011D">
        <w:rPr>
          <w:rFonts w:ascii="Verdana" w:hAnsi="Verdana"/>
          <w:sz w:val="18"/>
          <w:szCs w:val="18"/>
        </w:rPr>
        <w:t>t</w:t>
      </w:r>
      <w:r w:rsidRPr="00FF46E3" w:rsidR="00D0007E">
        <w:rPr>
          <w:rFonts w:ascii="Verdana" w:hAnsi="Verdana"/>
          <w:sz w:val="18"/>
          <w:szCs w:val="18"/>
        </w:rPr>
        <w:t xml:space="preserve">oepasselijkheid </w:t>
      </w:r>
      <w:r w:rsidRPr="00FF46E3" w:rsidR="0019011D">
        <w:rPr>
          <w:rFonts w:ascii="Verdana" w:hAnsi="Verdana"/>
          <w:sz w:val="18"/>
          <w:szCs w:val="18"/>
        </w:rPr>
        <w:t xml:space="preserve">richtlijn </w:t>
      </w:r>
      <w:r w:rsidRPr="00FF46E3" w:rsidR="00213644">
        <w:rPr>
          <w:rFonts w:ascii="Verdana" w:hAnsi="Verdana"/>
          <w:sz w:val="18"/>
          <w:szCs w:val="18"/>
        </w:rPr>
        <w:t>van rechtswege of na aanwijzing</w:t>
      </w:r>
      <w:r w:rsidRPr="00FF46E3" w:rsidR="00127866">
        <w:rPr>
          <w:rFonts w:ascii="Verdana" w:hAnsi="Verdana"/>
          <w:sz w:val="18"/>
          <w:szCs w:val="18"/>
        </w:rPr>
        <w:t>;</w:t>
      </w:r>
      <w:r w:rsidRPr="00FF46E3" w:rsidR="008C4B74">
        <w:rPr>
          <w:rFonts w:ascii="Verdana" w:hAnsi="Verdana"/>
          <w:sz w:val="18"/>
          <w:szCs w:val="18"/>
        </w:rPr>
        <w:t xml:space="preserve"> </w:t>
      </w:r>
    </w:p>
    <w:p w:rsidRPr="00FF46E3" w:rsidR="008C4B74" w:rsidP="006200DD" w:rsidRDefault="00641215" w14:paraId="57A31089" w14:textId="7C60DA91">
      <w:pPr>
        <w:pStyle w:val="Geenafstand"/>
        <w:rPr>
          <w:rFonts w:ascii="Verdana" w:hAnsi="Verdana"/>
          <w:sz w:val="18"/>
          <w:szCs w:val="18"/>
        </w:rPr>
      </w:pPr>
      <w:r w:rsidRPr="00FF46E3">
        <w:rPr>
          <w:rFonts w:ascii="Verdana" w:hAnsi="Verdana"/>
          <w:sz w:val="18"/>
          <w:szCs w:val="18"/>
        </w:rPr>
        <w:t xml:space="preserve">c. </w:t>
      </w:r>
      <w:r w:rsidRPr="00FF46E3" w:rsidR="00F47114">
        <w:rPr>
          <w:rFonts w:ascii="Verdana" w:hAnsi="Verdana"/>
          <w:sz w:val="18"/>
          <w:szCs w:val="18"/>
        </w:rPr>
        <w:t xml:space="preserve">onderscheid essentiële entiteiten en </w:t>
      </w:r>
      <w:r w:rsidRPr="00FF46E3" w:rsidR="00213644">
        <w:rPr>
          <w:rFonts w:ascii="Verdana" w:hAnsi="Verdana"/>
          <w:sz w:val="18"/>
          <w:szCs w:val="18"/>
        </w:rPr>
        <w:t>belangrijk</w:t>
      </w:r>
      <w:r w:rsidRPr="00FF46E3" w:rsidR="00F47114">
        <w:rPr>
          <w:rFonts w:ascii="Verdana" w:hAnsi="Verdana"/>
          <w:sz w:val="18"/>
          <w:szCs w:val="18"/>
        </w:rPr>
        <w:t>e entiteiten</w:t>
      </w:r>
      <w:r w:rsidRPr="00FF46E3" w:rsidR="008C4B74">
        <w:rPr>
          <w:rFonts w:ascii="Verdana" w:hAnsi="Verdana"/>
          <w:sz w:val="18"/>
          <w:szCs w:val="18"/>
        </w:rPr>
        <w:t>;</w:t>
      </w:r>
    </w:p>
    <w:p w:rsidR="00B46136" w:rsidP="00B46136" w:rsidRDefault="00B46136" w14:paraId="2FB1F1C2" w14:textId="3CA9D43D">
      <w:pPr>
        <w:pStyle w:val="Geenafstand"/>
        <w:rPr>
          <w:rFonts w:ascii="Verdana" w:hAnsi="Verdana"/>
          <w:sz w:val="18"/>
          <w:szCs w:val="18"/>
        </w:rPr>
      </w:pPr>
      <w:r w:rsidRPr="00FF46E3">
        <w:rPr>
          <w:rFonts w:ascii="Verdana" w:hAnsi="Verdana"/>
          <w:sz w:val="18"/>
          <w:szCs w:val="18"/>
        </w:rPr>
        <w:t>d. verplichtingen;</w:t>
      </w:r>
    </w:p>
    <w:p w:rsidRPr="00FF46E3" w:rsidR="00C87714" w:rsidP="00B46136" w:rsidRDefault="00C87714" w14:paraId="04EF1365" w14:textId="4F8EE9A8">
      <w:pPr>
        <w:pStyle w:val="Geenafstand"/>
        <w:rPr>
          <w:rFonts w:ascii="Verdana" w:hAnsi="Verdana"/>
          <w:sz w:val="18"/>
          <w:szCs w:val="18"/>
        </w:rPr>
      </w:pPr>
      <w:r>
        <w:rPr>
          <w:rFonts w:ascii="Verdana" w:hAnsi="Verdana"/>
          <w:sz w:val="18"/>
          <w:szCs w:val="18"/>
        </w:rPr>
        <w:t xml:space="preserve">e. </w:t>
      </w:r>
      <w:r w:rsidRPr="00C87714">
        <w:rPr>
          <w:rFonts w:ascii="Verdana" w:hAnsi="Verdana"/>
          <w:sz w:val="18"/>
          <w:szCs w:val="18"/>
        </w:rPr>
        <w:t>domeinnaamregistratiegegevens</w:t>
      </w:r>
      <w:r>
        <w:rPr>
          <w:rFonts w:ascii="Verdana" w:hAnsi="Verdana"/>
          <w:sz w:val="18"/>
          <w:szCs w:val="18"/>
        </w:rPr>
        <w:t>;</w:t>
      </w:r>
    </w:p>
    <w:p w:rsidRPr="00FF46E3" w:rsidR="00281D8E" w:rsidP="00281D8E" w:rsidRDefault="00C87714" w14:paraId="5BD7B251" w14:textId="0F6C4D41">
      <w:pPr>
        <w:pStyle w:val="Geenafstand"/>
        <w:rPr>
          <w:rFonts w:ascii="Verdana" w:hAnsi="Verdana"/>
          <w:sz w:val="18"/>
          <w:szCs w:val="18"/>
        </w:rPr>
      </w:pPr>
      <w:r>
        <w:rPr>
          <w:rFonts w:ascii="Verdana" w:hAnsi="Verdana"/>
          <w:sz w:val="18"/>
          <w:szCs w:val="18"/>
        </w:rPr>
        <w:t>f</w:t>
      </w:r>
      <w:r w:rsidRPr="00FF46E3" w:rsidR="00281D8E">
        <w:rPr>
          <w:rFonts w:ascii="Verdana" w:hAnsi="Verdana"/>
          <w:sz w:val="18"/>
          <w:szCs w:val="18"/>
        </w:rPr>
        <w:t xml:space="preserve">. toezicht en handhaving; </w:t>
      </w:r>
    </w:p>
    <w:p w:rsidRPr="00FF46E3" w:rsidR="00B46136" w:rsidP="00B46136" w:rsidRDefault="00C87714" w14:paraId="583D2CDB" w14:textId="48DC7DCC">
      <w:pPr>
        <w:pStyle w:val="Geenafstand"/>
        <w:rPr>
          <w:rFonts w:ascii="Verdana" w:hAnsi="Verdana"/>
          <w:sz w:val="18"/>
          <w:szCs w:val="18"/>
        </w:rPr>
      </w:pPr>
      <w:r>
        <w:rPr>
          <w:rFonts w:ascii="Verdana" w:hAnsi="Verdana"/>
          <w:sz w:val="18"/>
          <w:szCs w:val="18"/>
        </w:rPr>
        <w:t>g</w:t>
      </w:r>
      <w:r w:rsidRPr="00FF46E3" w:rsidR="00B46136">
        <w:rPr>
          <w:rFonts w:ascii="Verdana" w:hAnsi="Verdana"/>
          <w:sz w:val="18"/>
          <w:szCs w:val="18"/>
        </w:rPr>
        <w:t>. nationale cyberbeveiligingsstrategie;</w:t>
      </w:r>
    </w:p>
    <w:p w:rsidRPr="00FF46E3" w:rsidR="00281D8E" w:rsidP="00281D8E" w:rsidRDefault="00C87714" w14:paraId="6A49C2BD" w14:textId="4DD2C404">
      <w:pPr>
        <w:pStyle w:val="Geenafstand"/>
        <w:rPr>
          <w:rFonts w:ascii="Verdana" w:hAnsi="Verdana"/>
          <w:sz w:val="18"/>
          <w:szCs w:val="18"/>
        </w:rPr>
      </w:pPr>
      <w:r>
        <w:rPr>
          <w:rFonts w:ascii="Verdana" w:hAnsi="Verdana"/>
          <w:sz w:val="18"/>
          <w:szCs w:val="18"/>
        </w:rPr>
        <w:t>h</w:t>
      </w:r>
      <w:r w:rsidRPr="00FF46E3" w:rsidR="00281D8E">
        <w:rPr>
          <w:rFonts w:ascii="Verdana" w:hAnsi="Verdana"/>
          <w:sz w:val="18"/>
          <w:szCs w:val="18"/>
        </w:rPr>
        <w:t>. aanwijzing CSIRT, centra</w:t>
      </w:r>
      <w:r w:rsidRPr="00FF46E3" w:rsidR="00BC12BC">
        <w:rPr>
          <w:rFonts w:ascii="Verdana" w:hAnsi="Verdana"/>
          <w:sz w:val="18"/>
          <w:szCs w:val="18"/>
        </w:rPr>
        <w:t>a</w:t>
      </w:r>
      <w:r w:rsidRPr="00FF46E3" w:rsidR="00281D8E">
        <w:rPr>
          <w:rFonts w:ascii="Verdana" w:hAnsi="Verdana"/>
          <w:sz w:val="18"/>
          <w:szCs w:val="18"/>
        </w:rPr>
        <w:t xml:space="preserve">l contactpunt en bevoegde autoriteiten; </w:t>
      </w:r>
    </w:p>
    <w:p w:rsidRPr="00FF46E3" w:rsidR="00281D8E" w:rsidP="00281D8E" w:rsidRDefault="00C87714" w14:paraId="2AC0AC32" w14:textId="29B69D2E">
      <w:pPr>
        <w:pStyle w:val="Geenafstand"/>
        <w:rPr>
          <w:rFonts w:ascii="Verdana" w:hAnsi="Verdana"/>
          <w:sz w:val="18"/>
          <w:szCs w:val="18"/>
        </w:rPr>
      </w:pPr>
      <w:r>
        <w:rPr>
          <w:rFonts w:ascii="Verdana" w:hAnsi="Verdana"/>
          <w:sz w:val="18"/>
          <w:szCs w:val="18"/>
        </w:rPr>
        <w:t>i</w:t>
      </w:r>
      <w:r w:rsidRPr="00FF46E3" w:rsidR="00B46136">
        <w:rPr>
          <w:rFonts w:ascii="Verdana" w:hAnsi="Verdana"/>
          <w:sz w:val="18"/>
          <w:szCs w:val="18"/>
        </w:rPr>
        <w:t>.</w:t>
      </w:r>
      <w:r w:rsidRPr="00FF46E3" w:rsidR="00281D8E">
        <w:rPr>
          <w:rFonts w:ascii="Verdana" w:hAnsi="Verdana"/>
          <w:sz w:val="18"/>
          <w:szCs w:val="18"/>
        </w:rPr>
        <w:t xml:space="preserve"> samenwerking op nationaal, </w:t>
      </w:r>
      <w:r w:rsidRPr="00FF46E3" w:rsidR="00BC12BC">
        <w:rPr>
          <w:rFonts w:ascii="Verdana" w:hAnsi="Verdana"/>
          <w:sz w:val="18"/>
          <w:szCs w:val="18"/>
        </w:rPr>
        <w:t>EU-</w:t>
      </w:r>
      <w:r w:rsidRPr="00FF46E3" w:rsidR="00281D8E">
        <w:rPr>
          <w:rFonts w:ascii="Verdana" w:hAnsi="Verdana"/>
          <w:sz w:val="18"/>
          <w:szCs w:val="18"/>
        </w:rPr>
        <w:t xml:space="preserve"> en internationaal niveau.</w:t>
      </w:r>
    </w:p>
    <w:p w:rsidRPr="00FF46E3" w:rsidR="00707C6F" w:rsidP="006200DD" w:rsidRDefault="00707C6F" w14:paraId="321AEC6F" w14:textId="6009E850">
      <w:pPr>
        <w:pStyle w:val="Geenafstand"/>
        <w:rPr>
          <w:rFonts w:ascii="Verdana" w:hAnsi="Verdana"/>
          <w:sz w:val="18"/>
          <w:szCs w:val="18"/>
        </w:rPr>
      </w:pPr>
    </w:p>
    <w:p w:rsidRPr="00FF46E3" w:rsidR="008368EF" w:rsidP="006200DD" w:rsidRDefault="008368EF" w14:paraId="4743CEDE" w14:textId="544C46E3">
      <w:pPr>
        <w:pStyle w:val="Geenafstand"/>
        <w:rPr>
          <w:rFonts w:ascii="Verdana" w:hAnsi="Verdana"/>
          <w:i/>
          <w:iCs/>
          <w:sz w:val="18"/>
          <w:szCs w:val="18"/>
        </w:rPr>
      </w:pPr>
      <w:r w:rsidRPr="00FF46E3">
        <w:rPr>
          <w:rFonts w:ascii="Verdana" w:hAnsi="Verdana"/>
          <w:i/>
          <w:iCs/>
          <w:sz w:val="18"/>
          <w:szCs w:val="18"/>
        </w:rPr>
        <w:t xml:space="preserve">a. </w:t>
      </w:r>
      <w:r w:rsidRPr="00FF46E3" w:rsidR="0019011D">
        <w:rPr>
          <w:rFonts w:ascii="Verdana" w:hAnsi="Verdana"/>
          <w:i/>
          <w:iCs/>
          <w:sz w:val="18"/>
          <w:szCs w:val="18"/>
        </w:rPr>
        <w:t>reikwijdte</w:t>
      </w:r>
      <w:r w:rsidRPr="00FF46E3">
        <w:rPr>
          <w:rFonts w:ascii="Verdana" w:hAnsi="Verdana"/>
          <w:i/>
          <w:iCs/>
          <w:sz w:val="18"/>
          <w:szCs w:val="18"/>
        </w:rPr>
        <w:t xml:space="preserve"> </w:t>
      </w:r>
    </w:p>
    <w:p w:rsidRPr="00FF46E3" w:rsidR="003349B4" w:rsidP="006200DD" w:rsidRDefault="00834DEE" w14:paraId="6E52884D" w14:textId="10936E86">
      <w:pPr>
        <w:pStyle w:val="Default"/>
        <w:rPr>
          <w:rFonts w:ascii="Verdana" w:hAnsi="Verdana"/>
          <w:color w:val="auto"/>
          <w:sz w:val="18"/>
          <w:szCs w:val="18"/>
        </w:rPr>
      </w:pPr>
      <w:r w:rsidRPr="00FF46E3">
        <w:rPr>
          <w:rFonts w:ascii="Verdana" w:hAnsi="Verdana"/>
          <w:color w:val="auto"/>
          <w:sz w:val="18"/>
          <w:szCs w:val="18"/>
        </w:rPr>
        <w:t>De</w:t>
      </w:r>
      <w:r w:rsidRPr="00FF46E3" w:rsidR="008368EF">
        <w:rPr>
          <w:rFonts w:ascii="Verdana" w:hAnsi="Verdana"/>
          <w:color w:val="auto"/>
          <w:sz w:val="18"/>
          <w:szCs w:val="18"/>
        </w:rPr>
        <w:t xml:space="preserve"> </w:t>
      </w:r>
      <w:r w:rsidRPr="00FF46E3" w:rsidR="00FB66DF">
        <w:rPr>
          <w:rFonts w:ascii="Verdana" w:hAnsi="Verdana"/>
          <w:color w:val="auto"/>
          <w:sz w:val="18"/>
          <w:szCs w:val="18"/>
        </w:rPr>
        <w:t>NIS2-richtlijn</w:t>
      </w:r>
      <w:r w:rsidRPr="00FF46E3" w:rsidR="008368EF">
        <w:rPr>
          <w:rFonts w:ascii="Verdana" w:hAnsi="Verdana"/>
          <w:color w:val="auto"/>
          <w:sz w:val="18"/>
          <w:szCs w:val="18"/>
        </w:rPr>
        <w:t xml:space="preserve"> </w:t>
      </w:r>
      <w:r w:rsidRPr="00FF46E3">
        <w:rPr>
          <w:rFonts w:ascii="Verdana" w:hAnsi="Verdana"/>
          <w:color w:val="auto"/>
          <w:sz w:val="18"/>
          <w:szCs w:val="18"/>
        </w:rPr>
        <w:t>bevat uitbreidingen ten opzichte van de NI</w:t>
      </w:r>
      <w:r w:rsidRPr="00FF46E3" w:rsidR="000B5BC8">
        <w:rPr>
          <w:rFonts w:ascii="Verdana" w:hAnsi="Verdana"/>
          <w:color w:val="auto"/>
          <w:sz w:val="18"/>
          <w:szCs w:val="18"/>
        </w:rPr>
        <w:t>S</w:t>
      </w:r>
      <w:r w:rsidRPr="00FF46E3">
        <w:rPr>
          <w:rFonts w:ascii="Verdana" w:hAnsi="Verdana"/>
          <w:color w:val="auto"/>
          <w:sz w:val="18"/>
          <w:szCs w:val="18"/>
        </w:rPr>
        <w:t>1-richtlijn. Allereerst is</w:t>
      </w:r>
      <w:r w:rsidRPr="00FF46E3" w:rsidR="001171DF">
        <w:rPr>
          <w:rFonts w:ascii="Verdana" w:hAnsi="Verdana"/>
          <w:color w:val="auto"/>
          <w:sz w:val="18"/>
          <w:szCs w:val="18"/>
        </w:rPr>
        <w:t xml:space="preserve"> </w:t>
      </w:r>
      <w:r w:rsidRPr="00FF46E3" w:rsidR="008368EF">
        <w:rPr>
          <w:rFonts w:ascii="Verdana" w:hAnsi="Verdana"/>
          <w:color w:val="auto"/>
          <w:sz w:val="18"/>
          <w:szCs w:val="18"/>
        </w:rPr>
        <w:t>het aantal</w:t>
      </w:r>
      <w:r w:rsidRPr="00FF46E3" w:rsidR="00127866">
        <w:rPr>
          <w:rFonts w:ascii="Verdana" w:hAnsi="Verdana"/>
          <w:color w:val="auto"/>
          <w:sz w:val="18"/>
          <w:szCs w:val="18"/>
        </w:rPr>
        <w:t xml:space="preserve"> sectoren</w:t>
      </w:r>
      <w:r w:rsidRPr="00FF46E3" w:rsidR="00BC12BC">
        <w:rPr>
          <w:rFonts w:ascii="Verdana" w:hAnsi="Verdana"/>
          <w:color w:val="auto"/>
          <w:sz w:val="18"/>
          <w:szCs w:val="18"/>
        </w:rPr>
        <w:t xml:space="preserve"> dat onder het bereik van de </w:t>
      </w:r>
      <w:r w:rsidRPr="00FF46E3" w:rsidR="00A53877">
        <w:rPr>
          <w:rFonts w:ascii="Verdana" w:hAnsi="Verdana"/>
          <w:color w:val="auto"/>
          <w:sz w:val="18"/>
          <w:szCs w:val="18"/>
        </w:rPr>
        <w:t>r</w:t>
      </w:r>
      <w:r w:rsidRPr="00FF46E3" w:rsidR="00BC12BC">
        <w:rPr>
          <w:rFonts w:ascii="Verdana" w:hAnsi="Verdana"/>
          <w:color w:val="auto"/>
          <w:sz w:val="18"/>
          <w:szCs w:val="18"/>
        </w:rPr>
        <w:t>ichtlijn valt</w:t>
      </w:r>
      <w:r w:rsidRPr="00FF46E3">
        <w:rPr>
          <w:rFonts w:ascii="Verdana" w:hAnsi="Verdana"/>
          <w:color w:val="auto"/>
          <w:sz w:val="18"/>
          <w:szCs w:val="18"/>
        </w:rPr>
        <w:t xml:space="preserve"> uitgebreid naar onder meer de sectoren afvalwater, ruimtevaart, post- en koeriersdiensten, afvalstoffenbeheer, onderzoek</w:t>
      </w:r>
      <w:r w:rsidRPr="00FF46E3" w:rsidR="00370141">
        <w:rPr>
          <w:rFonts w:ascii="Verdana" w:hAnsi="Verdana"/>
          <w:color w:val="auto"/>
          <w:sz w:val="18"/>
          <w:szCs w:val="18"/>
        </w:rPr>
        <w:t xml:space="preserve"> met het oog op commerciële doeleinden</w:t>
      </w:r>
      <w:r w:rsidRPr="00FF46E3">
        <w:rPr>
          <w:rFonts w:ascii="Verdana" w:hAnsi="Verdana"/>
          <w:color w:val="auto"/>
          <w:sz w:val="18"/>
          <w:szCs w:val="18"/>
        </w:rPr>
        <w:t xml:space="preserve"> en productie</w:t>
      </w:r>
      <w:r w:rsidR="007C24AC">
        <w:rPr>
          <w:rFonts w:ascii="Verdana" w:hAnsi="Verdana"/>
          <w:color w:val="auto"/>
          <w:sz w:val="18"/>
          <w:szCs w:val="18"/>
        </w:rPr>
        <w:t>,</w:t>
      </w:r>
      <w:r w:rsidR="005360FF">
        <w:rPr>
          <w:rFonts w:ascii="Verdana" w:hAnsi="Verdana"/>
          <w:color w:val="auto"/>
          <w:sz w:val="18"/>
          <w:szCs w:val="18"/>
        </w:rPr>
        <w:t xml:space="preserve"> </w:t>
      </w:r>
      <w:r w:rsidRPr="00FF46E3">
        <w:rPr>
          <w:rFonts w:ascii="Verdana" w:hAnsi="Verdana"/>
          <w:color w:val="auto"/>
          <w:sz w:val="18"/>
          <w:szCs w:val="18"/>
        </w:rPr>
        <w:t xml:space="preserve">verwerking en distributie van levensmiddelen. Ook is </w:t>
      </w:r>
      <w:r w:rsidRPr="00FF46E3" w:rsidR="009207E0">
        <w:rPr>
          <w:rFonts w:ascii="Verdana" w:hAnsi="Verdana"/>
          <w:color w:val="auto"/>
          <w:sz w:val="18"/>
          <w:szCs w:val="18"/>
        </w:rPr>
        <w:t xml:space="preserve">het aantal </w:t>
      </w:r>
      <w:proofErr w:type="spellStart"/>
      <w:r w:rsidRPr="00FF46E3" w:rsidR="00681DB9">
        <w:rPr>
          <w:rFonts w:ascii="Verdana" w:hAnsi="Verdana"/>
          <w:color w:val="auto"/>
          <w:sz w:val="18"/>
          <w:szCs w:val="18"/>
        </w:rPr>
        <w:t>sub</w:t>
      </w:r>
      <w:r w:rsidRPr="00FF46E3" w:rsidR="009207E0">
        <w:rPr>
          <w:rFonts w:ascii="Verdana" w:hAnsi="Verdana"/>
          <w:color w:val="auto"/>
          <w:sz w:val="18"/>
          <w:szCs w:val="18"/>
        </w:rPr>
        <w:t>sectoren</w:t>
      </w:r>
      <w:proofErr w:type="spellEnd"/>
      <w:r w:rsidRPr="00FF46E3" w:rsidR="009207E0">
        <w:rPr>
          <w:rFonts w:ascii="Verdana" w:hAnsi="Verdana"/>
          <w:color w:val="auto"/>
          <w:sz w:val="18"/>
          <w:szCs w:val="18"/>
        </w:rPr>
        <w:t xml:space="preserve"> </w:t>
      </w:r>
      <w:r w:rsidRPr="00FF46E3" w:rsidR="001171DF">
        <w:rPr>
          <w:rFonts w:ascii="Verdana" w:hAnsi="Verdana"/>
          <w:color w:val="auto"/>
          <w:sz w:val="18"/>
          <w:szCs w:val="18"/>
        </w:rPr>
        <w:t>binnen de sectoren</w:t>
      </w:r>
      <w:r w:rsidRPr="00FF46E3">
        <w:rPr>
          <w:rFonts w:ascii="Verdana" w:hAnsi="Verdana"/>
          <w:color w:val="auto"/>
          <w:sz w:val="18"/>
          <w:szCs w:val="18"/>
        </w:rPr>
        <w:t>,</w:t>
      </w:r>
      <w:r w:rsidRPr="00FF46E3" w:rsidR="001171DF">
        <w:rPr>
          <w:rFonts w:ascii="Verdana" w:hAnsi="Verdana"/>
          <w:color w:val="auto"/>
          <w:sz w:val="18"/>
          <w:szCs w:val="18"/>
        </w:rPr>
        <w:t xml:space="preserve"> die in de NI</w:t>
      </w:r>
      <w:r w:rsidRPr="00FF46E3" w:rsidR="000B5BC8">
        <w:rPr>
          <w:rFonts w:ascii="Verdana" w:hAnsi="Verdana"/>
          <w:color w:val="auto"/>
          <w:sz w:val="18"/>
          <w:szCs w:val="18"/>
        </w:rPr>
        <w:t>S</w:t>
      </w:r>
      <w:r w:rsidRPr="00FF46E3" w:rsidR="001171DF">
        <w:rPr>
          <w:rFonts w:ascii="Verdana" w:hAnsi="Verdana"/>
          <w:color w:val="auto"/>
          <w:sz w:val="18"/>
          <w:szCs w:val="18"/>
        </w:rPr>
        <w:t>1-richtlijn worden genoemd</w:t>
      </w:r>
      <w:r w:rsidRPr="00FF46E3">
        <w:rPr>
          <w:rFonts w:ascii="Verdana" w:hAnsi="Verdana"/>
          <w:color w:val="auto"/>
          <w:sz w:val="18"/>
          <w:szCs w:val="18"/>
        </w:rPr>
        <w:t>, uitgebreid.</w:t>
      </w:r>
      <w:r w:rsidRPr="00FF46E3" w:rsidR="001171DF">
        <w:rPr>
          <w:rFonts w:ascii="Verdana" w:hAnsi="Verdana"/>
          <w:color w:val="auto"/>
          <w:sz w:val="18"/>
          <w:szCs w:val="18"/>
        </w:rPr>
        <w:t xml:space="preserve"> </w:t>
      </w:r>
      <w:r w:rsidRPr="00FF46E3">
        <w:rPr>
          <w:rFonts w:ascii="Verdana" w:hAnsi="Verdana"/>
          <w:color w:val="auto"/>
          <w:sz w:val="18"/>
          <w:szCs w:val="18"/>
        </w:rPr>
        <w:t xml:space="preserve">Zo is de sector energie uitgebreid met de </w:t>
      </w:r>
      <w:proofErr w:type="spellStart"/>
      <w:r w:rsidRPr="00FF46E3">
        <w:rPr>
          <w:rFonts w:ascii="Verdana" w:hAnsi="Verdana"/>
          <w:color w:val="auto"/>
          <w:sz w:val="18"/>
          <w:szCs w:val="18"/>
        </w:rPr>
        <w:t>subsectoren</w:t>
      </w:r>
      <w:proofErr w:type="spellEnd"/>
      <w:r w:rsidRPr="00FF46E3">
        <w:rPr>
          <w:rFonts w:ascii="Verdana" w:hAnsi="Verdana"/>
          <w:color w:val="auto"/>
          <w:sz w:val="18"/>
          <w:szCs w:val="18"/>
        </w:rPr>
        <w:t xml:space="preserve"> waterstof en stadsverwarming en -koeling. Tot slot is ook</w:t>
      </w:r>
      <w:r w:rsidRPr="00FF46E3" w:rsidR="009207E0">
        <w:rPr>
          <w:rFonts w:ascii="Verdana" w:hAnsi="Verdana"/>
          <w:color w:val="auto"/>
          <w:sz w:val="18"/>
          <w:szCs w:val="18"/>
        </w:rPr>
        <w:t xml:space="preserve"> het aantal </w:t>
      </w:r>
      <w:r w:rsidRPr="00FF46E3" w:rsidR="00127866">
        <w:rPr>
          <w:rFonts w:ascii="Verdana" w:hAnsi="Verdana"/>
          <w:color w:val="auto"/>
          <w:sz w:val="18"/>
          <w:szCs w:val="18"/>
        </w:rPr>
        <w:t>soorten entiteiten</w:t>
      </w:r>
      <w:r w:rsidRPr="00FF46E3">
        <w:rPr>
          <w:rFonts w:ascii="Verdana" w:hAnsi="Verdana"/>
          <w:color w:val="auto"/>
          <w:sz w:val="18"/>
          <w:szCs w:val="18"/>
        </w:rPr>
        <w:t>,</w:t>
      </w:r>
      <w:r w:rsidRPr="00FF46E3" w:rsidR="00127866">
        <w:rPr>
          <w:rFonts w:ascii="Verdana" w:hAnsi="Verdana"/>
          <w:color w:val="auto"/>
          <w:sz w:val="18"/>
          <w:szCs w:val="18"/>
        </w:rPr>
        <w:t xml:space="preserve"> binnen de sectoren die in de NI</w:t>
      </w:r>
      <w:r w:rsidRPr="00FF46E3" w:rsidR="009A6742">
        <w:rPr>
          <w:rFonts w:ascii="Verdana" w:hAnsi="Verdana"/>
          <w:color w:val="auto"/>
          <w:sz w:val="18"/>
          <w:szCs w:val="18"/>
        </w:rPr>
        <w:t>S</w:t>
      </w:r>
      <w:r w:rsidRPr="00FF46E3" w:rsidR="00127866">
        <w:rPr>
          <w:rFonts w:ascii="Verdana" w:hAnsi="Verdana"/>
          <w:color w:val="auto"/>
          <w:sz w:val="18"/>
          <w:szCs w:val="18"/>
        </w:rPr>
        <w:t>1-richtlijn worden genoemd</w:t>
      </w:r>
      <w:r w:rsidRPr="00FF46E3">
        <w:rPr>
          <w:rFonts w:ascii="Verdana" w:hAnsi="Verdana"/>
          <w:color w:val="auto"/>
          <w:sz w:val="18"/>
          <w:szCs w:val="18"/>
        </w:rPr>
        <w:t>, uitgebreid</w:t>
      </w:r>
      <w:r w:rsidRPr="00FF46E3" w:rsidR="00127866">
        <w:rPr>
          <w:rFonts w:ascii="Verdana" w:hAnsi="Verdana"/>
          <w:color w:val="auto"/>
          <w:sz w:val="18"/>
          <w:szCs w:val="18"/>
        </w:rPr>
        <w:t xml:space="preserve">. </w:t>
      </w:r>
      <w:r w:rsidRPr="00FF46E3" w:rsidR="0019011D">
        <w:rPr>
          <w:rFonts w:ascii="Verdana" w:hAnsi="Verdana"/>
          <w:color w:val="auto"/>
          <w:sz w:val="18"/>
          <w:szCs w:val="18"/>
        </w:rPr>
        <w:t xml:space="preserve">Deze uitbreidingen hebben tot gevolg dat er meer entiteiten onder het toepassingsbereik van de </w:t>
      </w:r>
      <w:r w:rsidRPr="00FF46E3" w:rsidR="00FB66DF">
        <w:rPr>
          <w:rFonts w:ascii="Verdana" w:hAnsi="Verdana"/>
          <w:color w:val="auto"/>
          <w:sz w:val="18"/>
          <w:szCs w:val="18"/>
        </w:rPr>
        <w:t>NIS2-richtlijn</w:t>
      </w:r>
      <w:r w:rsidRPr="00FF46E3" w:rsidR="0019011D">
        <w:rPr>
          <w:rFonts w:ascii="Verdana" w:hAnsi="Verdana"/>
          <w:color w:val="auto"/>
          <w:sz w:val="18"/>
          <w:szCs w:val="18"/>
        </w:rPr>
        <w:t xml:space="preserve"> komen te vallen </w:t>
      </w:r>
      <w:r w:rsidRPr="00FF46E3" w:rsidR="002117D3">
        <w:rPr>
          <w:rFonts w:ascii="Verdana" w:hAnsi="Verdana"/>
          <w:color w:val="auto"/>
          <w:sz w:val="18"/>
          <w:szCs w:val="18"/>
        </w:rPr>
        <w:t>in vergelijking met</w:t>
      </w:r>
      <w:r w:rsidRPr="00FF46E3" w:rsidR="0019011D">
        <w:rPr>
          <w:rFonts w:ascii="Verdana" w:hAnsi="Verdana"/>
          <w:color w:val="auto"/>
          <w:sz w:val="18"/>
          <w:szCs w:val="18"/>
        </w:rPr>
        <w:t xml:space="preserve"> de NI</w:t>
      </w:r>
      <w:r w:rsidRPr="00FF46E3" w:rsidR="00DE091C">
        <w:rPr>
          <w:rFonts w:ascii="Verdana" w:hAnsi="Verdana"/>
          <w:color w:val="auto"/>
          <w:sz w:val="18"/>
          <w:szCs w:val="18"/>
        </w:rPr>
        <w:t>S</w:t>
      </w:r>
      <w:r w:rsidRPr="00FF46E3" w:rsidR="0019011D">
        <w:rPr>
          <w:rFonts w:ascii="Verdana" w:hAnsi="Verdana"/>
          <w:color w:val="auto"/>
          <w:sz w:val="18"/>
          <w:szCs w:val="18"/>
        </w:rPr>
        <w:t>1-richtlijn.</w:t>
      </w:r>
      <w:r w:rsidRPr="00FF46E3" w:rsidR="00495FFD">
        <w:rPr>
          <w:rFonts w:ascii="Verdana" w:hAnsi="Verdana"/>
          <w:color w:val="auto"/>
          <w:sz w:val="18"/>
          <w:szCs w:val="18"/>
        </w:rPr>
        <w:t xml:space="preserve"> Deze uitbreidingen zijn nodig</w:t>
      </w:r>
      <w:r w:rsidRPr="00FF46E3" w:rsidR="00495FFD">
        <w:t xml:space="preserve"> </w:t>
      </w:r>
      <w:r w:rsidRPr="00FF46E3" w:rsidR="00495FFD">
        <w:rPr>
          <w:rFonts w:ascii="Verdana" w:hAnsi="Verdana"/>
          <w:color w:val="auto"/>
          <w:sz w:val="18"/>
          <w:szCs w:val="18"/>
        </w:rPr>
        <w:t>om de sectoren en diensten die van vitaal belang zijn voor belangrijke maatschappelijke en economische activiteiten in de interne markt, volledig te bestrijken.</w:t>
      </w:r>
      <w:r w:rsidRPr="00FF46E3" w:rsidR="00495FFD">
        <w:rPr>
          <w:rStyle w:val="Voetnootmarkering"/>
          <w:rFonts w:ascii="Verdana" w:hAnsi="Verdana"/>
          <w:color w:val="auto"/>
          <w:sz w:val="18"/>
          <w:szCs w:val="18"/>
        </w:rPr>
        <w:footnoteReference w:id="7"/>
      </w:r>
      <w:r w:rsidR="0095498E">
        <w:rPr>
          <w:rFonts w:ascii="Verdana" w:hAnsi="Verdana"/>
          <w:color w:val="auto"/>
          <w:sz w:val="18"/>
          <w:szCs w:val="18"/>
        </w:rPr>
        <w:t xml:space="preserve"> </w:t>
      </w:r>
    </w:p>
    <w:p w:rsidRPr="00FF46E3" w:rsidR="00192DF8" w:rsidP="006200DD" w:rsidRDefault="00192DF8" w14:paraId="3F7BDBC1" w14:textId="02A88C1D">
      <w:pPr>
        <w:pStyle w:val="Geenafstand"/>
        <w:rPr>
          <w:rFonts w:ascii="Verdana" w:hAnsi="Verdana"/>
          <w:sz w:val="18"/>
          <w:szCs w:val="18"/>
        </w:rPr>
      </w:pPr>
    </w:p>
    <w:p w:rsidRPr="00FF46E3" w:rsidR="008368EF" w:rsidP="006200DD" w:rsidRDefault="0033659F" w14:paraId="0A22A004" w14:textId="4C757DA1">
      <w:pPr>
        <w:pStyle w:val="Geenafstand"/>
        <w:rPr>
          <w:rFonts w:ascii="Verdana" w:hAnsi="Verdana"/>
          <w:i/>
          <w:iCs/>
          <w:sz w:val="18"/>
          <w:szCs w:val="18"/>
        </w:rPr>
      </w:pPr>
      <w:r w:rsidRPr="00FF46E3">
        <w:rPr>
          <w:rFonts w:ascii="Verdana" w:hAnsi="Verdana"/>
          <w:i/>
          <w:iCs/>
          <w:sz w:val="18"/>
          <w:szCs w:val="18"/>
        </w:rPr>
        <w:t>b.</w:t>
      </w:r>
      <w:r w:rsidRPr="00FF46E3" w:rsidR="00D0007E">
        <w:rPr>
          <w:rFonts w:ascii="Verdana" w:hAnsi="Verdana"/>
          <w:i/>
          <w:iCs/>
          <w:sz w:val="18"/>
          <w:szCs w:val="18"/>
        </w:rPr>
        <w:t xml:space="preserve"> toepasselijkheid </w:t>
      </w:r>
      <w:r w:rsidRPr="00FF46E3" w:rsidR="0019011D">
        <w:rPr>
          <w:rFonts w:ascii="Verdana" w:hAnsi="Verdana"/>
          <w:i/>
          <w:iCs/>
          <w:sz w:val="18"/>
          <w:szCs w:val="18"/>
        </w:rPr>
        <w:t>richtlijn van rechtswege of na aanwijzing</w:t>
      </w:r>
      <w:r w:rsidRPr="00FF46E3">
        <w:rPr>
          <w:rFonts w:ascii="Verdana" w:hAnsi="Verdana"/>
          <w:i/>
          <w:iCs/>
          <w:sz w:val="18"/>
          <w:szCs w:val="18"/>
        </w:rPr>
        <w:t xml:space="preserve"> </w:t>
      </w:r>
    </w:p>
    <w:p w:rsidRPr="00FF46E3" w:rsidR="006B606A" w:rsidP="006F4A51" w:rsidRDefault="008368EF" w14:paraId="7DC4B253" w14:textId="0303CCB2">
      <w:pPr>
        <w:pStyle w:val="Geenafstand"/>
        <w:rPr>
          <w:rFonts w:ascii="Verdana" w:hAnsi="Verdana"/>
          <w:sz w:val="18"/>
          <w:szCs w:val="18"/>
        </w:rPr>
      </w:pPr>
      <w:r w:rsidRPr="00FF46E3">
        <w:rPr>
          <w:rFonts w:ascii="Verdana" w:hAnsi="Verdana"/>
          <w:sz w:val="18"/>
          <w:szCs w:val="18"/>
        </w:rPr>
        <w:t>Op grond van de NI</w:t>
      </w:r>
      <w:r w:rsidRPr="00FF46E3" w:rsidR="006B606A">
        <w:rPr>
          <w:rFonts w:ascii="Verdana" w:hAnsi="Verdana"/>
          <w:sz w:val="18"/>
          <w:szCs w:val="18"/>
        </w:rPr>
        <w:t>S</w:t>
      </w:r>
      <w:r w:rsidRPr="00FF46E3">
        <w:rPr>
          <w:rFonts w:ascii="Verdana" w:hAnsi="Verdana"/>
          <w:sz w:val="18"/>
          <w:szCs w:val="18"/>
        </w:rPr>
        <w:t xml:space="preserve">1-richtlijn </w:t>
      </w:r>
      <w:r w:rsidRPr="00FF46E3" w:rsidR="00176746">
        <w:rPr>
          <w:rFonts w:ascii="Verdana" w:hAnsi="Verdana"/>
          <w:sz w:val="18"/>
          <w:szCs w:val="18"/>
        </w:rPr>
        <w:t xml:space="preserve">zijn </w:t>
      </w:r>
      <w:r w:rsidRPr="00FF46E3" w:rsidR="00E66DFD">
        <w:rPr>
          <w:rFonts w:ascii="Verdana" w:hAnsi="Verdana"/>
          <w:sz w:val="18"/>
          <w:szCs w:val="18"/>
        </w:rPr>
        <w:t xml:space="preserve">lidstaten </w:t>
      </w:r>
      <w:r w:rsidRPr="00FF46E3" w:rsidR="0068783C">
        <w:rPr>
          <w:rFonts w:ascii="Verdana" w:hAnsi="Verdana"/>
          <w:sz w:val="18"/>
          <w:szCs w:val="18"/>
        </w:rPr>
        <w:t xml:space="preserve">zelf </w:t>
      </w:r>
      <w:r w:rsidRPr="00FF46E3" w:rsidR="00E66DFD">
        <w:rPr>
          <w:rFonts w:ascii="Verdana" w:hAnsi="Verdana"/>
          <w:sz w:val="18"/>
          <w:szCs w:val="18"/>
        </w:rPr>
        <w:t>verantwoordelijk voor het identificeren van de entiteiten die vold</w:t>
      </w:r>
      <w:r w:rsidRPr="00FF46E3" w:rsidR="00BC12BC">
        <w:rPr>
          <w:rFonts w:ascii="Verdana" w:hAnsi="Verdana"/>
          <w:sz w:val="18"/>
          <w:szCs w:val="18"/>
        </w:rPr>
        <w:t>o</w:t>
      </w:r>
      <w:r w:rsidRPr="00FF46E3" w:rsidR="00E66DFD">
        <w:rPr>
          <w:rFonts w:ascii="Verdana" w:hAnsi="Verdana"/>
          <w:sz w:val="18"/>
          <w:szCs w:val="18"/>
        </w:rPr>
        <w:t>en aan de criteria om als aanbieders van essentiële</w:t>
      </w:r>
      <w:r w:rsidRPr="00FF46E3" w:rsidR="0068783C">
        <w:rPr>
          <w:rFonts w:ascii="Verdana" w:hAnsi="Verdana"/>
          <w:sz w:val="18"/>
          <w:szCs w:val="18"/>
        </w:rPr>
        <w:t xml:space="preserve"> diensten te worden aangemerkt en daarmee onder het toepassingsbereik van die richtlijn v</w:t>
      </w:r>
      <w:r w:rsidRPr="00FF46E3" w:rsidR="00BC12BC">
        <w:rPr>
          <w:rFonts w:ascii="Verdana" w:hAnsi="Verdana"/>
          <w:sz w:val="18"/>
          <w:szCs w:val="18"/>
        </w:rPr>
        <w:t>al</w:t>
      </w:r>
      <w:r w:rsidRPr="00FF46E3" w:rsidR="0068783C">
        <w:rPr>
          <w:rFonts w:ascii="Verdana" w:hAnsi="Verdana"/>
          <w:sz w:val="18"/>
          <w:szCs w:val="18"/>
        </w:rPr>
        <w:t xml:space="preserve">len. </w:t>
      </w:r>
      <w:r w:rsidRPr="00FF46E3" w:rsidR="005D0D5E">
        <w:rPr>
          <w:rFonts w:ascii="Verdana" w:hAnsi="Verdana"/>
          <w:sz w:val="18"/>
          <w:szCs w:val="18"/>
        </w:rPr>
        <w:t xml:space="preserve">Alleen digitale dienstverleners vallen van rechtswege onder de NIS1-richtlijn. </w:t>
      </w:r>
      <w:r w:rsidRPr="00FF46E3" w:rsidR="0068783C">
        <w:rPr>
          <w:rFonts w:ascii="Verdana" w:hAnsi="Verdana"/>
          <w:sz w:val="18"/>
          <w:szCs w:val="18"/>
        </w:rPr>
        <w:t xml:space="preserve">In de </w:t>
      </w:r>
      <w:r w:rsidRPr="00FF46E3" w:rsidR="00FB66DF">
        <w:rPr>
          <w:rFonts w:ascii="Verdana" w:hAnsi="Verdana"/>
          <w:sz w:val="18"/>
          <w:szCs w:val="18"/>
        </w:rPr>
        <w:t>NIS2-richtlijn</w:t>
      </w:r>
      <w:r w:rsidRPr="00FF46E3" w:rsidR="0068783C">
        <w:rPr>
          <w:rFonts w:ascii="Verdana" w:hAnsi="Verdana"/>
          <w:sz w:val="18"/>
          <w:szCs w:val="18"/>
        </w:rPr>
        <w:t xml:space="preserve"> </w:t>
      </w:r>
      <w:r w:rsidRPr="00FF46E3" w:rsidR="00911F22">
        <w:rPr>
          <w:rFonts w:ascii="Verdana" w:hAnsi="Verdana"/>
          <w:sz w:val="18"/>
          <w:szCs w:val="18"/>
        </w:rPr>
        <w:t>is</w:t>
      </w:r>
      <w:r w:rsidRPr="00FF46E3" w:rsidR="0068783C">
        <w:rPr>
          <w:rFonts w:ascii="Verdana" w:hAnsi="Verdana"/>
          <w:sz w:val="18"/>
          <w:szCs w:val="18"/>
        </w:rPr>
        <w:t xml:space="preserve"> de manier waar</w:t>
      </w:r>
      <w:r w:rsidRPr="00FF46E3" w:rsidR="00932947">
        <w:rPr>
          <w:rFonts w:ascii="Verdana" w:hAnsi="Verdana"/>
          <w:sz w:val="18"/>
          <w:szCs w:val="18"/>
        </w:rPr>
        <w:t>op</w:t>
      </w:r>
      <w:r w:rsidRPr="00FF46E3" w:rsidR="0068783C">
        <w:rPr>
          <w:rFonts w:ascii="Verdana" w:hAnsi="Verdana"/>
          <w:sz w:val="18"/>
          <w:szCs w:val="18"/>
        </w:rPr>
        <w:t xml:space="preserve"> wordt bepaald welke entiteiten binnen het toepassingsbereik van deze richtlijn vallen anders geregeld. </w:t>
      </w:r>
      <w:r w:rsidRPr="00FF46E3" w:rsidR="00A64C67">
        <w:rPr>
          <w:rFonts w:ascii="Verdana" w:hAnsi="Verdana"/>
          <w:sz w:val="18"/>
          <w:szCs w:val="18"/>
        </w:rPr>
        <w:t xml:space="preserve">Ten aanzien van een </w:t>
      </w:r>
      <w:r w:rsidRPr="00FF46E3" w:rsidR="008971BB">
        <w:rPr>
          <w:rFonts w:ascii="Verdana" w:hAnsi="Verdana"/>
          <w:sz w:val="18"/>
          <w:szCs w:val="18"/>
        </w:rPr>
        <w:t xml:space="preserve">groot </w:t>
      </w:r>
      <w:r w:rsidRPr="00FF46E3" w:rsidR="00A64C67">
        <w:rPr>
          <w:rFonts w:ascii="Verdana" w:hAnsi="Verdana"/>
          <w:sz w:val="18"/>
          <w:szCs w:val="18"/>
        </w:rPr>
        <w:t xml:space="preserve">deel van de entiteiten is </w:t>
      </w:r>
      <w:r w:rsidRPr="00FF46E3" w:rsidR="00253FAB">
        <w:rPr>
          <w:rFonts w:ascii="Verdana" w:hAnsi="Verdana"/>
          <w:sz w:val="18"/>
          <w:szCs w:val="18"/>
        </w:rPr>
        <w:t xml:space="preserve">in de NIS2-richtlijn </w:t>
      </w:r>
      <w:r w:rsidRPr="00FF46E3" w:rsidR="00A64C67">
        <w:rPr>
          <w:rFonts w:ascii="Verdana" w:hAnsi="Verdana"/>
          <w:sz w:val="18"/>
          <w:szCs w:val="18"/>
        </w:rPr>
        <w:t xml:space="preserve">bepaald dat </w:t>
      </w:r>
      <w:r w:rsidRPr="00FF46E3" w:rsidR="00253FAB">
        <w:rPr>
          <w:rFonts w:ascii="Verdana" w:hAnsi="Verdana"/>
          <w:sz w:val="18"/>
          <w:szCs w:val="18"/>
        </w:rPr>
        <w:t xml:space="preserve">zij </w:t>
      </w:r>
      <w:r w:rsidR="008D4D77">
        <w:rPr>
          <w:rFonts w:ascii="Verdana" w:hAnsi="Verdana"/>
          <w:sz w:val="18"/>
          <w:szCs w:val="18"/>
        </w:rPr>
        <w:t xml:space="preserve">van rechtswege </w:t>
      </w:r>
      <w:r w:rsidRPr="00FF46E3" w:rsidR="00911F22">
        <w:rPr>
          <w:rFonts w:ascii="Verdana" w:hAnsi="Verdana"/>
          <w:sz w:val="18"/>
          <w:szCs w:val="18"/>
        </w:rPr>
        <w:t xml:space="preserve">onder het toepassingsbereik van de </w:t>
      </w:r>
      <w:r w:rsidRPr="00FF46E3" w:rsidR="00FB66DF">
        <w:rPr>
          <w:rFonts w:ascii="Verdana" w:hAnsi="Verdana"/>
          <w:sz w:val="18"/>
          <w:szCs w:val="18"/>
        </w:rPr>
        <w:t>richtlijn</w:t>
      </w:r>
      <w:r w:rsidRPr="00FF46E3" w:rsidR="00911F22">
        <w:rPr>
          <w:rFonts w:ascii="Verdana" w:hAnsi="Verdana"/>
          <w:sz w:val="18"/>
          <w:szCs w:val="18"/>
        </w:rPr>
        <w:t xml:space="preserve"> vallen</w:t>
      </w:r>
      <w:r w:rsidRPr="00FF46E3" w:rsidR="00A64C67">
        <w:rPr>
          <w:rFonts w:ascii="Verdana" w:hAnsi="Verdana"/>
          <w:sz w:val="18"/>
          <w:szCs w:val="18"/>
        </w:rPr>
        <w:t xml:space="preserve"> </w:t>
      </w:r>
      <w:r w:rsidRPr="00FF46E3" w:rsidR="00651685">
        <w:rPr>
          <w:rFonts w:ascii="Verdana" w:hAnsi="Verdana"/>
          <w:sz w:val="18"/>
          <w:szCs w:val="18"/>
        </w:rPr>
        <w:t xml:space="preserve">indien </w:t>
      </w:r>
      <w:r w:rsidRPr="00FF46E3" w:rsidR="00A64C67">
        <w:rPr>
          <w:rFonts w:ascii="Verdana" w:hAnsi="Verdana"/>
          <w:sz w:val="18"/>
          <w:szCs w:val="18"/>
        </w:rPr>
        <w:t>zij voldoen aan bepaalde criteria</w:t>
      </w:r>
      <w:r w:rsidR="008D4D77">
        <w:rPr>
          <w:rFonts w:ascii="Verdana" w:hAnsi="Verdana"/>
          <w:sz w:val="18"/>
          <w:szCs w:val="18"/>
        </w:rPr>
        <w:t>, zoals omvang</w:t>
      </w:r>
      <w:r w:rsidRPr="00FF46E3" w:rsidR="00A64C67">
        <w:rPr>
          <w:rFonts w:ascii="Verdana" w:hAnsi="Verdana"/>
          <w:sz w:val="18"/>
          <w:szCs w:val="18"/>
        </w:rPr>
        <w:t xml:space="preserve">. </w:t>
      </w:r>
      <w:r w:rsidRPr="00FF46E3" w:rsidR="008971BB">
        <w:rPr>
          <w:rFonts w:ascii="Verdana" w:hAnsi="Verdana"/>
          <w:sz w:val="18"/>
          <w:szCs w:val="18"/>
        </w:rPr>
        <w:t>Ten aanzien van entiteiten</w:t>
      </w:r>
      <w:r w:rsidR="008D4D77">
        <w:rPr>
          <w:rFonts w:ascii="Verdana" w:hAnsi="Verdana"/>
          <w:sz w:val="18"/>
          <w:szCs w:val="18"/>
        </w:rPr>
        <w:t xml:space="preserve"> die niet van rechtswege onder het toepassingsbereik van de NIS2-richtlijn vallen,</w:t>
      </w:r>
      <w:r w:rsidRPr="00FF46E3" w:rsidR="008971BB">
        <w:rPr>
          <w:rFonts w:ascii="Verdana" w:hAnsi="Verdana"/>
          <w:sz w:val="18"/>
          <w:szCs w:val="18"/>
        </w:rPr>
        <w:t xml:space="preserve"> is bepaald dat zij </w:t>
      </w:r>
      <w:r w:rsidRPr="00FF46E3" w:rsidR="006B606A">
        <w:rPr>
          <w:rFonts w:ascii="Verdana" w:hAnsi="Verdana"/>
          <w:sz w:val="18"/>
          <w:szCs w:val="18"/>
        </w:rPr>
        <w:t>onder specifieke voorwaarden kunnen worden aangewezen</w:t>
      </w:r>
      <w:r w:rsidRPr="00FF46E3" w:rsidR="00253FAB">
        <w:rPr>
          <w:rFonts w:ascii="Verdana" w:hAnsi="Verdana"/>
          <w:sz w:val="18"/>
          <w:szCs w:val="18"/>
        </w:rPr>
        <w:t xml:space="preserve"> als essentiële entiteit of belangrijke</w:t>
      </w:r>
      <w:r w:rsidRPr="00FF46E3" w:rsidR="005447AC">
        <w:rPr>
          <w:rFonts w:ascii="Verdana" w:hAnsi="Verdana"/>
          <w:sz w:val="18"/>
          <w:szCs w:val="18"/>
        </w:rPr>
        <w:t xml:space="preserve"> entiteit</w:t>
      </w:r>
      <w:r w:rsidRPr="00FF46E3" w:rsidR="000951A3">
        <w:rPr>
          <w:rFonts w:ascii="Verdana" w:hAnsi="Verdana"/>
          <w:sz w:val="18"/>
          <w:szCs w:val="18"/>
        </w:rPr>
        <w:t>,</w:t>
      </w:r>
      <w:r w:rsidRPr="00FF46E3" w:rsidR="00253FAB">
        <w:rPr>
          <w:rFonts w:ascii="Verdana" w:hAnsi="Verdana"/>
          <w:sz w:val="18"/>
          <w:szCs w:val="18"/>
        </w:rPr>
        <w:t xml:space="preserve"> waardoor zij onder het toepassingsbereik van de richtlijn komen te vallen</w:t>
      </w:r>
      <w:r w:rsidRPr="00FF46E3" w:rsidR="006F4A51">
        <w:rPr>
          <w:rFonts w:ascii="Verdana" w:hAnsi="Verdana"/>
          <w:sz w:val="18"/>
          <w:szCs w:val="18"/>
        </w:rPr>
        <w:t xml:space="preserve">. </w:t>
      </w:r>
    </w:p>
    <w:p w:rsidRPr="00FF46E3" w:rsidR="0068783C" w:rsidP="006200DD" w:rsidRDefault="0068783C" w14:paraId="7977D6EF" w14:textId="2278E973">
      <w:pPr>
        <w:pStyle w:val="Geenafstand"/>
        <w:rPr>
          <w:rFonts w:ascii="Verdana" w:hAnsi="Verdana"/>
          <w:sz w:val="18"/>
          <w:szCs w:val="18"/>
        </w:rPr>
      </w:pPr>
    </w:p>
    <w:p w:rsidRPr="00FF46E3" w:rsidR="00F47114" w:rsidP="006200DD" w:rsidRDefault="00F47114" w14:paraId="5E2418FC" w14:textId="43D07D1D">
      <w:pPr>
        <w:pStyle w:val="Geenafstand"/>
        <w:rPr>
          <w:rFonts w:ascii="Verdana" w:hAnsi="Verdana"/>
          <w:i/>
          <w:iCs/>
          <w:sz w:val="18"/>
          <w:szCs w:val="18"/>
        </w:rPr>
      </w:pPr>
      <w:r w:rsidRPr="00FF46E3">
        <w:rPr>
          <w:rFonts w:ascii="Verdana" w:hAnsi="Verdana"/>
          <w:i/>
          <w:iCs/>
          <w:sz w:val="18"/>
          <w:szCs w:val="18"/>
        </w:rPr>
        <w:t>c. onderscheid essentiële entiteiten</w:t>
      </w:r>
      <w:r w:rsidR="008D4D77">
        <w:rPr>
          <w:rFonts w:ascii="Verdana" w:hAnsi="Verdana"/>
          <w:i/>
          <w:iCs/>
          <w:sz w:val="18"/>
          <w:szCs w:val="18"/>
        </w:rPr>
        <w:t>,</w:t>
      </w:r>
      <w:r w:rsidRPr="00FF46E3">
        <w:rPr>
          <w:rFonts w:ascii="Verdana" w:hAnsi="Verdana"/>
          <w:i/>
          <w:iCs/>
          <w:sz w:val="18"/>
          <w:szCs w:val="18"/>
        </w:rPr>
        <w:t xml:space="preserve"> belangrijke entiteiten</w:t>
      </w:r>
      <w:r w:rsidR="008D4D77">
        <w:rPr>
          <w:rFonts w:ascii="Verdana" w:hAnsi="Verdana"/>
          <w:i/>
          <w:iCs/>
          <w:sz w:val="18"/>
          <w:szCs w:val="18"/>
        </w:rPr>
        <w:t xml:space="preserve"> en entiteiten die domeinnaamregistratiediensten verlenen</w:t>
      </w:r>
    </w:p>
    <w:p w:rsidRPr="00FF46E3" w:rsidR="00542DE7" w:rsidP="006200DD" w:rsidRDefault="00F47114" w14:paraId="689A570C" w14:textId="00C3773B">
      <w:pPr>
        <w:pStyle w:val="Geenafstand"/>
        <w:rPr>
          <w:rFonts w:ascii="Verdana" w:hAnsi="Verdana"/>
          <w:sz w:val="18"/>
          <w:szCs w:val="18"/>
        </w:rPr>
      </w:pPr>
      <w:r w:rsidRPr="00FF46E3">
        <w:rPr>
          <w:rFonts w:ascii="Verdana" w:hAnsi="Verdana"/>
          <w:sz w:val="18"/>
          <w:szCs w:val="18"/>
        </w:rPr>
        <w:t>De NI</w:t>
      </w:r>
      <w:r w:rsidRPr="00FF46E3" w:rsidR="00C03B7C">
        <w:rPr>
          <w:rFonts w:ascii="Verdana" w:hAnsi="Verdana"/>
          <w:sz w:val="18"/>
          <w:szCs w:val="18"/>
        </w:rPr>
        <w:t>S</w:t>
      </w:r>
      <w:r w:rsidRPr="00FF46E3">
        <w:rPr>
          <w:rFonts w:ascii="Verdana" w:hAnsi="Verdana"/>
          <w:sz w:val="18"/>
          <w:szCs w:val="18"/>
        </w:rPr>
        <w:t>1-richtlijn maakt een onderscheid tussen aanbieders van essentiële diensten en digitale</w:t>
      </w:r>
      <w:r w:rsidRPr="00FF46E3" w:rsidR="004C464D">
        <w:rPr>
          <w:rFonts w:ascii="Verdana" w:hAnsi="Verdana"/>
          <w:sz w:val="18"/>
          <w:szCs w:val="18"/>
        </w:rPr>
        <w:t xml:space="preserve"> </w:t>
      </w:r>
      <w:r w:rsidRPr="00FF46E3">
        <w:rPr>
          <w:rFonts w:ascii="Verdana" w:hAnsi="Verdana"/>
          <w:sz w:val="18"/>
          <w:szCs w:val="18"/>
        </w:rPr>
        <w:t>dienstverleners.</w:t>
      </w:r>
      <w:r w:rsidRPr="00FF46E3" w:rsidR="001742EE">
        <w:rPr>
          <w:rFonts w:ascii="Verdana" w:hAnsi="Verdana"/>
          <w:sz w:val="18"/>
          <w:szCs w:val="18"/>
        </w:rPr>
        <w:t xml:space="preserve"> </w:t>
      </w:r>
      <w:r w:rsidRPr="00FF46E3">
        <w:rPr>
          <w:rFonts w:ascii="Verdana" w:hAnsi="Verdana"/>
          <w:sz w:val="18"/>
          <w:szCs w:val="18"/>
        </w:rPr>
        <w:t xml:space="preserve">Met de </w:t>
      </w:r>
      <w:r w:rsidRPr="00FF46E3" w:rsidR="00FB66DF">
        <w:rPr>
          <w:rFonts w:ascii="Verdana" w:hAnsi="Verdana"/>
          <w:sz w:val="18"/>
          <w:szCs w:val="18"/>
        </w:rPr>
        <w:t>NIS2-richtlijn</w:t>
      </w:r>
      <w:r w:rsidRPr="00FF46E3">
        <w:rPr>
          <w:rFonts w:ascii="Verdana" w:hAnsi="Verdana"/>
          <w:sz w:val="18"/>
          <w:szCs w:val="18"/>
        </w:rPr>
        <w:t xml:space="preserve"> </w:t>
      </w:r>
      <w:r w:rsidRPr="00FF46E3" w:rsidR="001742EE">
        <w:rPr>
          <w:rFonts w:ascii="Verdana" w:hAnsi="Verdana"/>
          <w:sz w:val="18"/>
          <w:szCs w:val="18"/>
        </w:rPr>
        <w:t xml:space="preserve">is </w:t>
      </w:r>
      <w:r w:rsidRPr="00FF46E3">
        <w:rPr>
          <w:rFonts w:ascii="Verdana" w:hAnsi="Verdana"/>
          <w:sz w:val="18"/>
          <w:szCs w:val="18"/>
        </w:rPr>
        <w:t xml:space="preserve">er een nieuw onderscheid, namelijk dat van essentiële entiteiten en belangrijke entiteiten. </w:t>
      </w:r>
      <w:r w:rsidRPr="00FF46E3" w:rsidR="00542DE7">
        <w:rPr>
          <w:rFonts w:ascii="Verdana" w:hAnsi="Verdana"/>
          <w:sz w:val="18"/>
          <w:szCs w:val="18"/>
        </w:rPr>
        <w:t xml:space="preserve">Dit onderscheid komt tot uiting in het </w:t>
      </w:r>
      <w:proofErr w:type="spellStart"/>
      <w:r w:rsidRPr="00FF46E3" w:rsidR="00542DE7">
        <w:rPr>
          <w:rFonts w:ascii="Verdana" w:hAnsi="Verdana"/>
          <w:sz w:val="18"/>
          <w:szCs w:val="18"/>
        </w:rPr>
        <w:t>toezichtsregime</w:t>
      </w:r>
      <w:proofErr w:type="spellEnd"/>
      <w:r w:rsidRPr="00FF46E3" w:rsidR="00542DE7">
        <w:rPr>
          <w:rFonts w:ascii="Verdana" w:hAnsi="Verdana"/>
          <w:sz w:val="18"/>
          <w:szCs w:val="18"/>
        </w:rPr>
        <w:t xml:space="preserve">, dat voor essentiële entiteiten uitgebreider is dan </w:t>
      </w:r>
      <w:r w:rsidRPr="00FF46E3" w:rsidR="00767F94">
        <w:rPr>
          <w:rFonts w:ascii="Verdana" w:hAnsi="Verdana"/>
          <w:sz w:val="18"/>
          <w:szCs w:val="18"/>
        </w:rPr>
        <w:t xml:space="preserve">het </w:t>
      </w:r>
      <w:proofErr w:type="spellStart"/>
      <w:r w:rsidRPr="00FF46E3" w:rsidR="00767F94">
        <w:rPr>
          <w:rFonts w:ascii="Verdana" w:hAnsi="Verdana"/>
          <w:sz w:val="18"/>
          <w:szCs w:val="18"/>
        </w:rPr>
        <w:t>toezichtsregime</w:t>
      </w:r>
      <w:proofErr w:type="spellEnd"/>
      <w:r w:rsidRPr="00FF46E3" w:rsidR="00767F94">
        <w:rPr>
          <w:rFonts w:ascii="Verdana" w:hAnsi="Verdana"/>
          <w:sz w:val="18"/>
          <w:szCs w:val="18"/>
        </w:rPr>
        <w:t xml:space="preserve"> op</w:t>
      </w:r>
      <w:r w:rsidRPr="00FF46E3" w:rsidR="00542DE7">
        <w:rPr>
          <w:rFonts w:ascii="Verdana" w:hAnsi="Verdana"/>
          <w:sz w:val="18"/>
          <w:szCs w:val="18"/>
        </w:rPr>
        <w:t xml:space="preserve"> belangrijke entiteiten. </w:t>
      </w:r>
      <w:r w:rsidRPr="00FF46E3" w:rsidR="00387591">
        <w:rPr>
          <w:rFonts w:ascii="Verdana" w:hAnsi="Verdana"/>
          <w:sz w:val="18"/>
          <w:szCs w:val="18"/>
        </w:rPr>
        <w:t xml:space="preserve">Er is </w:t>
      </w:r>
      <w:r w:rsidRPr="00FF46E3" w:rsidR="002A3988">
        <w:rPr>
          <w:rFonts w:ascii="Verdana" w:hAnsi="Verdana"/>
          <w:sz w:val="18"/>
          <w:szCs w:val="18"/>
        </w:rPr>
        <w:t xml:space="preserve">vanuit de richtlijn </w:t>
      </w:r>
      <w:r w:rsidRPr="00FF46E3" w:rsidR="00387591">
        <w:rPr>
          <w:rFonts w:ascii="Verdana" w:hAnsi="Verdana"/>
          <w:sz w:val="18"/>
          <w:szCs w:val="18"/>
        </w:rPr>
        <w:t xml:space="preserve">geen onderscheid in de verplichtingen die gelden voor </w:t>
      </w:r>
      <w:r w:rsidRPr="00FF46E3" w:rsidR="00767F94">
        <w:rPr>
          <w:rFonts w:ascii="Verdana" w:hAnsi="Verdana"/>
          <w:sz w:val="18"/>
          <w:szCs w:val="18"/>
        </w:rPr>
        <w:t xml:space="preserve">essentiële entiteiten en belangrijke entiteiten. </w:t>
      </w:r>
    </w:p>
    <w:p w:rsidRPr="00FF46E3" w:rsidR="008971BB" w:rsidP="006200DD" w:rsidRDefault="00C03B7C" w14:paraId="3BB4083A" w14:textId="6C9C10B8">
      <w:pPr>
        <w:pStyle w:val="Geenafstand"/>
        <w:rPr>
          <w:rFonts w:ascii="Verdana" w:hAnsi="Verdana"/>
          <w:sz w:val="18"/>
          <w:szCs w:val="18"/>
        </w:rPr>
      </w:pPr>
      <w:r w:rsidRPr="00FF46E3">
        <w:rPr>
          <w:rFonts w:ascii="Verdana" w:hAnsi="Verdana"/>
          <w:sz w:val="18"/>
          <w:szCs w:val="18"/>
        </w:rPr>
        <w:t>D</w:t>
      </w:r>
      <w:r w:rsidRPr="00FF46E3" w:rsidR="008971BB">
        <w:rPr>
          <w:rFonts w:ascii="Verdana" w:hAnsi="Verdana"/>
          <w:sz w:val="18"/>
          <w:szCs w:val="18"/>
        </w:rPr>
        <w:t xml:space="preserve">e </w:t>
      </w:r>
      <w:r w:rsidRPr="00FF46E3" w:rsidR="00FB66DF">
        <w:rPr>
          <w:rFonts w:ascii="Verdana" w:hAnsi="Verdana"/>
          <w:sz w:val="18"/>
          <w:szCs w:val="18"/>
        </w:rPr>
        <w:t>NIS2-richtlijn</w:t>
      </w:r>
      <w:r w:rsidRPr="00FF46E3" w:rsidR="008971BB">
        <w:rPr>
          <w:rFonts w:ascii="Verdana" w:hAnsi="Verdana"/>
          <w:sz w:val="18"/>
          <w:szCs w:val="18"/>
        </w:rPr>
        <w:t xml:space="preserve"> </w:t>
      </w:r>
      <w:r w:rsidRPr="00FF46E3">
        <w:rPr>
          <w:rFonts w:ascii="Verdana" w:hAnsi="Verdana"/>
          <w:sz w:val="18"/>
          <w:szCs w:val="18"/>
        </w:rPr>
        <w:t xml:space="preserve">kent tot slot </w:t>
      </w:r>
      <w:r w:rsidRPr="00FF46E3" w:rsidR="008971BB">
        <w:rPr>
          <w:rFonts w:ascii="Verdana" w:hAnsi="Verdana"/>
          <w:sz w:val="18"/>
          <w:szCs w:val="18"/>
        </w:rPr>
        <w:t xml:space="preserve">een derde categorie entiteiten, namelijk entiteiten die domeinnaamregistratiediensten verlenen. </w:t>
      </w:r>
      <w:r w:rsidRPr="00FF46E3" w:rsidR="00BC12BC">
        <w:rPr>
          <w:rFonts w:ascii="Verdana" w:hAnsi="Verdana"/>
          <w:sz w:val="18"/>
          <w:szCs w:val="18"/>
        </w:rPr>
        <w:t>O</w:t>
      </w:r>
      <w:r w:rsidRPr="00FF46E3" w:rsidR="008971BB">
        <w:rPr>
          <w:rFonts w:ascii="Verdana" w:hAnsi="Verdana"/>
          <w:sz w:val="18"/>
          <w:szCs w:val="18"/>
        </w:rPr>
        <w:t xml:space="preserve">p </w:t>
      </w:r>
      <w:r w:rsidRPr="00FF46E3" w:rsidR="006969B5">
        <w:rPr>
          <w:rFonts w:ascii="Verdana" w:hAnsi="Verdana"/>
          <w:sz w:val="18"/>
          <w:szCs w:val="18"/>
        </w:rPr>
        <w:t xml:space="preserve">deze entiteiten </w:t>
      </w:r>
      <w:r w:rsidRPr="00FF46E3" w:rsidR="00BC12BC">
        <w:rPr>
          <w:rFonts w:ascii="Verdana" w:hAnsi="Verdana"/>
          <w:sz w:val="18"/>
          <w:szCs w:val="18"/>
        </w:rPr>
        <w:t>is</w:t>
      </w:r>
      <w:r w:rsidRPr="00FF46E3" w:rsidR="007016FC">
        <w:rPr>
          <w:rFonts w:ascii="Verdana" w:hAnsi="Verdana"/>
          <w:sz w:val="18"/>
          <w:szCs w:val="18"/>
        </w:rPr>
        <w:t xml:space="preserve"> een aantal verplichtingen, waaronder</w:t>
      </w:r>
      <w:r w:rsidRPr="00FF46E3" w:rsidR="005D0D5E">
        <w:rPr>
          <w:rFonts w:ascii="Verdana" w:hAnsi="Verdana"/>
          <w:sz w:val="18"/>
          <w:szCs w:val="18"/>
        </w:rPr>
        <w:t xml:space="preserve"> </w:t>
      </w:r>
      <w:r w:rsidRPr="00FF46E3" w:rsidR="00EF6C55">
        <w:rPr>
          <w:rFonts w:ascii="Verdana" w:hAnsi="Verdana"/>
          <w:sz w:val="18"/>
          <w:szCs w:val="18"/>
        </w:rPr>
        <w:t>de zorgplicht en de meldplicht</w:t>
      </w:r>
      <w:r w:rsidRPr="00FF46E3" w:rsidR="007016FC">
        <w:rPr>
          <w:rFonts w:ascii="Verdana" w:hAnsi="Verdana"/>
          <w:sz w:val="18"/>
          <w:szCs w:val="18"/>
        </w:rPr>
        <w:t>,</w:t>
      </w:r>
      <w:r w:rsidRPr="00FF46E3" w:rsidR="00EF6C55">
        <w:rPr>
          <w:rFonts w:ascii="Verdana" w:hAnsi="Verdana"/>
          <w:sz w:val="18"/>
          <w:szCs w:val="18"/>
        </w:rPr>
        <w:t xml:space="preserve"> niet van toepassing</w:t>
      </w:r>
      <w:r w:rsidR="008D4D77">
        <w:rPr>
          <w:rFonts w:ascii="Verdana" w:hAnsi="Verdana"/>
          <w:sz w:val="18"/>
          <w:szCs w:val="18"/>
        </w:rPr>
        <w:t>, voor zover zij niet tevens een essentiële entiteit of belangrijke entiteit zijn</w:t>
      </w:r>
      <w:r w:rsidRPr="00FF46E3" w:rsidR="00BC12BC">
        <w:rPr>
          <w:rFonts w:ascii="Verdana" w:hAnsi="Verdana"/>
          <w:sz w:val="18"/>
          <w:szCs w:val="18"/>
        </w:rPr>
        <w:t xml:space="preserve">. </w:t>
      </w:r>
      <w:r w:rsidR="008D4D77">
        <w:rPr>
          <w:rFonts w:ascii="Verdana" w:hAnsi="Verdana"/>
          <w:sz w:val="18"/>
          <w:szCs w:val="18"/>
        </w:rPr>
        <w:t>In dat geval</w:t>
      </w:r>
      <w:r w:rsidRPr="00FF46E3" w:rsidR="006969B5">
        <w:rPr>
          <w:rFonts w:ascii="Verdana" w:hAnsi="Verdana"/>
          <w:sz w:val="18"/>
          <w:szCs w:val="18"/>
        </w:rPr>
        <w:t xml:space="preserve"> gelden voor hen</w:t>
      </w:r>
      <w:r w:rsidRPr="00FF46E3" w:rsidR="00BC12BC">
        <w:rPr>
          <w:rFonts w:ascii="Verdana" w:hAnsi="Verdana"/>
          <w:sz w:val="18"/>
          <w:szCs w:val="18"/>
        </w:rPr>
        <w:t xml:space="preserve"> </w:t>
      </w:r>
      <w:r w:rsidR="008D4D77">
        <w:rPr>
          <w:rFonts w:ascii="Verdana" w:hAnsi="Verdana"/>
          <w:sz w:val="18"/>
          <w:szCs w:val="18"/>
        </w:rPr>
        <w:t xml:space="preserve">uitsluitend </w:t>
      </w:r>
      <w:r w:rsidRPr="00FF46E3" w:rsidR="00BC12BC">
        <w:rPr>
          <w:rFonts w:ascii="Verdana" w:hAnsi="Verdana"/>
          <w:sz w:val="18"/>
          <w:szCs w:val="18"/>
        </w:rPr>
        <w:t xml:space="preserve">andere </w:t>
      </w:r>
      <w:r w:rsidRPr="00FF46E3" w:rsidR="00B36A3F">
        <w:rPr>
          <w:rFonts w:ascii="Verdana" w:hAnsi="Verdana"/>
          <w:sz w:val="18"/>
          <w:szCs w:val="18"/>
        </w:rPr>
        <w:t>specifieke verplichtingen</w:t>
      </w:r>
      <w:r w:rsidRPr="00FF46E3" w:rsidR="006969B5">
        <w:rPr>
          <w:rFonts w:ascii="Verdana" w:hAnsi="Verdana"/>
          <w:sz w:val="18"/>
          <w:szCs w:val="18"/>
        </w:rPr>
        <w:t xml:space="preserve">, zoals die over het verzamelen van domeinnaamregistratiegegevens in een </w:t>
      </w:r>
      <w:r w:rsidRPr="00790B00" w:rsidR="006969B5">
        <w:rPr>
          <w:rFonts w:ascii="Verdana" w:hAnsi="Verdana"/>
          <w:sz w:val="18"/>
          <w:szCs w:val="18"/>
        </w:rPr>
        <w:t>database</w:t>
      </w:r>
      <w:r w:rsidRPr="00790B00" w:rsidR="00EF6C55">
        <w:rPr>
          <w:rFonts w:ascii="Verdana" w:hAnsi="Verdana"/>
          <w:sz w:val="18"/>
          <w:szCs w:val="18"/>
        </w:rPr>
        <w:t>.</w:t>
      </w:r>
      <w:r w:rsidRPr="00FF46E3" w:rsidR="002A3988">
        <w:rPr>
          <w:rFonts w:ascii="Verdana" w:hAnsi="Verdana"/>
          <w:sz w:val="18"/>
          <w:szCs w:val="18"/>
        </w:rPr>
        <w:t xml:space="preserve"> </w:t>
      </w:r>
      <w:r w:rsidR="0054109D">
        <w:rPr>
          <w:rFonts w:ascii="Verdana" w:hAnsi="Verdana"/>
          <w:sz w:val="18"/>
          <w:szCs w:val="18"/>
        </w:rPr>
        <w:t xml:space="preserve">Voor deze entiteiten gelden </w:t>
      </w:r>
      <w:r w:rsidR="008D4D77">
        <w:rPr>
          <w:rFonts w:ascii="Verdana" w:hAnsi="Verdana"/>
          <w:sz w:val="18"/>
          <w:szCs w:val="18"/>
        </w:rPr>
        <w:t xml:space="preserve">deze </w:t>
      </w:r>
      <w:r w:rsidRPr="0054109D" w:rsidR="0054109D">
        <w:rPr>
          <w:rFonts w:ascii="Verdana" w:hAnsi="Verdana"/>
          <w:sz w:val="18"/>
          <w:szCs w:val="18"/>
        </w:rPr>
        <w:t>specifieke verplichtingen</w:t>
      </w:r>
      <w:r w:rsidR="0054109D">
        <w:rPr>
          <w:rFonts w:ascii="Verdana" w:hAnsi="Verdana"/>
          <w:sz w:val="18"/>
          <w:szCs w:val="18"/>
        </w:rPr>
        <w:t xml:space="preserve">, </w:t>
      </w:r>
      <w:r w:rsidRPr="0054109D" w:rsidR="0054109D">
        <w:rPr>
          <w:rFonts w:ascii="Verdana" w:hAnsi="Verdana"/>
          <w:sz w:val="18"/>
          <w:szCs w:val="18"/>
        </w:rPr>
        <w:t xml:space="preserve">vanwege hun belang voor de beveiliging, weerbaarheid en stabiliteit van het </w:t>
      </w:r>
      <w:r w:rsidRPr="00B378FD" w:rsidR="00B378FD">
        <w:rPr>
          <w:rFonts w:ascii="Verdana" w:hAnsi="Verdana"/>
          <w:sz w:val="18"/>
          <w:szCs w:val="18"/>
        </w:rPr>
        <w:t xml:space="preserve">domeinnaamsysteem </w:t>
      </w:r>
      <w:r w:rsidR="00B378FD">
        <w:rPr>
          <w:rFonts w:ascii="Verdana" w:hAnsi="Verdana"/>
          <w:sz w:val="18"/>
          <w:szCs w:val="18"/>
        </w:rPr>
        <w:t>(</w:t>
      </w:r>
      <w:r w:rsidR="00D513F7">
        <w:rPr>
          <w:rFonts w:ascii="Verdana" w:hAnsi="Verdana"/>
          <w:sz w:val="18"/>
          <w:szCs w:val="18"/>
        </w:rPr>
        <w:t xml:space="preserve">hierna: </w:t>
      </w:r>
      <w:r w:rsidRPr="0054109D" w:rsidR="0054109D">
        <w:rPr>
          <w:rFonts w:ascii="Verdana" w:hAnsi="Verdana"/>
          <w:sz w:val="18"/>
          <w:szCs w:val="18"/>
        </w:rPr>
        <w:t>DNS</w:t>
      </w:r>
      <w:r w:rsidR="00B378FD">
        <w:rPr>
          <w:rFonts w:ascii="Verdana" w:hAnsi="Verdana"/>
          <w:sz w:val="18"/>
          <w:szCs w:val="18"/>
        </w:rPr>
        <w:t>)</w:t>
      </w:r>
      <w:r w:rsidRPr="0054109D" w:rsidR="0054109D">
        <w:rPr>
          <w:rFonts w:ascii="Verdana" w:hAnsi="Verdana"/>
          <w:sz w:val="18"/>
          <w:szCs w:val="18"/>
        </w:rPr>
        <w:t>.</w:t>
      </w:r>
      <w:r w:rsidRPr="00FF46E3" w:rsidR="0054109D">
        <w:rPr>
          <w:rStyle w:val="Voetnootmarkering"/>
          <w:rFonts w:ascii="Verdana" w:hAnsi="Verdana"/>
          <w:sz w:val="18"/>
          <w:szCs w:val="18"/>
        </w:rPr>
        <w:footnoteReference w:id="8"/>
      </w:r>
      <w:r w:rsidRPr="0054109D" w:rsidR="0054109D">
        <w:rPr>
          <w:rFonts w:ascii="Verdana" w:hAnsi="Verdana"/>
          <w:sz w:val="18"/>
          <w:szCs w:val="18"/>
        </w:rPr>
        <w:t xml:space="preserve"> </w:t>
      </w:r>
      <w:r w:rsidRPr="00FF46E3" w:rsidR="002A3988">
        <w:rPr>
          <w:rFonts w:ascii="Verdana" w:hAnsi="Verdana"/>
          <w:sz w:val="18"/>
          <w:szCs w:val="18"/>
        </w:rPr>
        <w:t xml:space="preserve">Indien een aanbieder van </w:t>
      </w:r>
      <w:r w:rsidRPr="00FF46E3" w:rsidR="002A3988">
        <w:rPr>
          <w:rFonts w:ascii="Verdana" w:hAnsi="Verdana"/>
          <w:sz w:val="18"/>
          <w:szCs w:val="18"/>
        </w:rPr>
        <w:lastRenderedPageBreak/>
        <w:t xml:space="preserve">domeinnaamregistratiediensten tevens een belangrijke </w:t>
      </w:r>
      <w:r w:rsidRPr="00FF46E3" w:rsidR="006969B5">
        <w:rPr>
          <w:rFonts w:ascii="Verdana" w:hAnsi="Verdana"/>
          <w:sz w:val="18"/>
          <w:szCs w:val="18"/>
        </w:rPr>
        <w:t xml:space="preserve">entiteit </w:t>
      </w:r>
      <w:r w:rsidRPr="00FF46E3" w:rsidR="002A3988">
        <w:rPr>
          <w:rFonts w:ascii="Verdana" w:hAnsi="Verdana"/>
          <w:sz w:val="18"/>
          <w:szCs w:val="18"/>
        </w:rPr>
        <w:t>of essentiële entiteit is, gelden de bijhorende verplichtingen</w:t>
      </w:r>
      <w:r w:rsidR="008D4D77">
        <w:rPr>
          <w:rFonts w:ascii="Verdana" w:hAnsi="Verdana"/>
          <w:sz w:val="18"/>
          <w:szCs w:val="18"/>
        </w:rPr>
        <w:t>, zoals de zorgplicht en de meldplicht,</w:t>
      </w:r>
      <w:r w:rsidRPr="00FF46E3" w:rsidR="002A3988">
        <w:rPr>
          <w:rFonts w:ascii="Verdana" w:hAnsi="Verdana"/>
          <w:sz w:val="18"/>
          <w:szCs w:val="18"/>
        </w:rPr>
        <w:t xml:space="preserve"> uiteraard wel.</w:t>
      </w:r>
    </w:p>
    <w:p w:rsidRPr="00FF46E3" w:rsidR="00D17268" w:rsidP="00D17268" w:rsidRDefault="00D17268" w14:paraId="66EC3613" w14:textId="77777777">
      <w:pPr>
        <w:pStyle w:val="Geenafstand"/>
        <w:rPr>
          <w:rFonts w:ascii="Verdana" w:hAnsi="Verdana"/>
          <w:i/>
          <w:iCs/>
          <w:sz w:val="18"/>
          <w:szCs w:val="18"/>
        </w:rPr>
      </w:pPr>
    </w:p>
    <w:p w:rsidRPr="00FF46E3" w:rsidR="00D17268" w:rsidP="00D17268" w:rsidRDefault="00866ABF" w14:paraId="52ED6C26" w14:textId="6D5D584F">
      <w:pPr>
        <w:pStyle w:val="Geenafstand"/>
        <w:rPr>
          <w:rFonts w:ascii="Verdana" w:hAnsi="Verdana"/>
          <w:i/>
          <w:iCs/>
          <w:sz w:val="18"/>
          <w:szCs w:val="18"/>
        </w:rPr>
      </w:pPr>
      <w:r w:rsidRPr="00FF46E3">
        <w:rPr>
          <w:rFonts w:ascii="Verdana" w:hAnsi="Verdana"/>
          <w:i/>
          <w:iCs/>
          <w:sz w:val="18"/>
          <w:szCs w:val="18"/>
        </w:rPr>
        <w:t>d</w:t>
      </w:r>
      <w:r w:rsidRPr="00FF46E3" w:rsidR="00D17268">
        <w:rPr>
          <w:rFonts w:ascii="Verdana" w:hAnsi="Verdana"/>
          <w:i/>
          <w:iCs/>
          <w:sz w:val="18"/>
          <w:szCs w:val="18"/>
        </w:rPr>
        <w:t xml:space="preserve">. verplichtingen </w:t>
      </w:r>
    </w:p>
    <w:p w:rsidRPr="00FF46E3" w:rsidR="00D17268" w:rsidP="00774183" w:rsidRDefault="00D17268" w14:paraId="2D337963" w14:textId="70148172">
      <w:pPr>
        <w:pStyle w:val="Geenafstand"/>
        <w:rPr>
          <w:rFonts w:ascii="Verdana" w:hAnsi="Verdana"/>
          <w:sz w:val="18"/>
          <w:szCs w:val="18"/>
        </w:rPr>
      </w:pPr>
      <w:r w:rsidRPr="00FF46E3">
        <w:rPr>
          <w:rFonts w:ascii="Verdana" w:hAnsi="Verdana"/>
          <w:sz w:val="18"/>
          <w:szCs w:val="18"/>
        </w:rPr>
        <w:t>De NIS2-richtlijn bevat</w:t>
      </w:r>
      <w:r w:rsidRPr="00FF46E3" w:rsidR="00EC0CC0">
        <w:rPr>
          <w:rFonts w:ascii="Verdana" w:hAnsi="Verdana"/>
          <w:sz w:val="18"/>
          <w:szCs w:val="18"/>
        </w:rPr>
        <w:t xml:space="preserve"> </w:t>
      </w:r>
      <w:r w:rsidRPr="00FF46E3" w:rsidR="00774183">
        <w:rPr>
          <w:rFonts w:ascii="Verdana" w:hAnsi="Verdana"/>
          <w:sz w:val="18"/>
          <w:szCs w:val="18"/>
        </w:rPr>
        <w:t>diverse</w:t>
      </w:r>
      <w:r w:rsidRPr="00FF46E3">
        <w:rPr>
          <w:rFonts w:ascii="Verdana" w:hAnsi="Verdana"/>
          <w:sz w:val="18"/>
          <w:szCs w:val="18"/>
        </w:rPr>
        <w:t xml:space="preserve"> verplichtingen</w:t>
      </w:r>
      <w:r w:rsidRPr="00FF46E3" w:rsidR="00EC0CC0">
        <w:rPr>
          <w:rFonts w:ascii="Verdana" w:hAnsi="Verdana"/>
          <w:sz w:val="18"/>
          <w:szCs w:val="18"/>
        </w:rPr>
        <w:t>, zoals die over</w:t>
      </w:r>
      <w:r w:rsidRPr="00FF46E3">
        <w:rPr>
          <w:rFonts w:ascii="Verdana" w:hAnsi="Verdana"/>
          <w:sz w:val="18"/>
          <w:szCs w:val="18"/>
        </w:rPr>
        <w:t xml:space="preserve"> het nemen van maatregelen voor het beheer</w:t>
      </w:r>
      <w:r w:rsidR="002A0530">
        <w:rPr>
          <w:rFonts w:ascii="Verdana" w:hAnsi="Verdana"/>
          <w:sz w:val="18"/>
          <w:szCs w:val="18"/>
        </w:rPr>
        <w:t>sen</w:t>
      </w:r>
      <w:r w:rsidRPr="00FF46E3">
        <w:rPr>
          <w:rFonts w:ascii="Verdana" w:hAnsi="Verdana"/>
          <w:sz w:val="18"/>
          <w:szCs w:val="18"/>
        </w:rPr>
        <w:t xml:space="preserve"> van cyberbeveiligingsrisico’s (zorgplicht)</w:t>
      </w:r>
      <w:r w:rsidRPr="00FF46E3" w:rsidR="00774183">
        <w:rPr>
          <w:rFonts w:ascii="Verdana" w:hAnsi="Verdana"/>
          <w:sz w:val="18"/>
          <w:szCs w:val="18"/>
        </w:rPr>
        <w:t>,</w:t>
      </w:r>
      <w:r w:rsidRPr="00FF46E3">
        <w:rPr>
          <w:rFonts w:ascii="Verdana" w:hAnsi="Verdana"/>
          <w:sz w:val="18"/>
          <w:szCs w:val="18"/>
        </w:rPr>
        <w:t xml:space="preserve"> het melden van </w:t>
      </w:r>
      <w:r w:rsidRPr="00FF46E3" w:rsidR="00680EBE">
        <w:rPr>
          <w:rFonts w:ascii="Verdana" w:hAnsi="Verdana"/>
          <w:sz w:val="18"/>
          <w:szCs w:val="18"/>
        </w:rPr>
        <w:t xml:space="preserve">significante </w:t>
      </w:r>
      <w:r w:rsidRPr="00FF46E3">
        <w:rPr>
          <w:rFonts w:ascii="Verdana" w:hAnsi="Verdana"/>
          <w:sz w:val="18"/>
          <w:szCs w:val="18"/>
        </w:rPr>
        <w:t>incidenten (meldplicht)</w:t>
      </w:r>
      <w:r w:rsidRPr="00FF46E3" w:rsidR="00774183">
        <w:rPr>
          <w:rFonts w:ascii="Verdana" w:hAnsi="Verdana"/>
          <w:sz w:val="18"/>
          <w:szCs w:val="18"/>
        </w:rPr>
        <w:t xml:space="preserve"> en</w:t>
      </w:r>
      <w:r w:rsidRPr="00FF46E3">
        <w:rPr>
          <w:rFonts w:ascii="Verdana" w:hAnsi="Verdana"/>
          <w:sz w:val="18"/>
          <w:szCs w:val="18"/>
        </w:rPr>
        <w:t xml:space="preserve"> de verplichting om informatie te verstrekken ten behoeve van het register van het Agentschap van de Europese Unie voor cyberbeveiliging. </w:t>
      </w:r>
      <w:r w:rsidR="005242E8">
        <w:rPr>
          <w:rFonts w:ascii="Verdana" w:hAnsi="Verdana"/>
          <w:sz w:val="18"/>
          <w:szCs w:val="18"/>
        </w:rPr>
        <w:t xml:space="preserve">Dat agentschap wordt hierna aangeduid als </w:t>
      </w:r>
      <w:proofErr w:type="spellStart"/>
      <w:r w:rsidR="005242E8">
        <w:rPr>
          <w:rFonts w:ascii="Verdana" w:hAnsi="Verdana"/>
          <w:sz w:val="18"/>
          <w:szCs w:val="18"/>
        </w:rPr>
        <w:t>Enisa</w:t>
      </w:r>
      <w:proofErr w:type="spellEnd"/>
      <w:r w:rsidR="005242E8">
        <w:rPr>
          <w:rFonts w:ascii="Verdana" w:hAnsi="Verdana"/>
          <w:sz w:val="18"/>
          <w:szCs w:val="18"/>
        </w:rPr>
        <w:t xml:space="preserve"> en het register als het </w:t>
      </w:r>
      <w:proofErr w:type="spellStart"/>
      <w:r w:rsidR="005242E8">
        <w:rPr>
          <w:rFonts w:ascii="Verdana" w:hAnsi="Verdana"/>
          <w:sz w:val="18"/>
          <w:szCs w:val="18"/>
        </w:rPr>
        <w:t>Enisa</w:t>
      </w:r>
      <w:proofErr w:type="spellEnd"/>
      <w:r w:rsidR="005242E8">
        <w:rPr>
          <w:rFonts w:ascii="Verdana" w:hAnsi="Verdana"/>
          <w:sz w:val="18"/>
          <w:szCs w:val="18"/>
        </w:rPr>
        <w:t>-register.</w:t>
      </w:r>
    </w:p>
    <w:p w:rsidRPr="00FF46E3" w:rsidR="00D17268" w:rsidP="00D17268" w:rsidRDefault="00D17268" w14:paraId="2AC499B7" w14:textId="77777777">
      <w:pPr>
        <w:pStyle w:val="Geenafstand"/>
        <w:rPr>
          <w:rFonts w:ascii="Verdana" w:hAnsi="Verdana"/>
          <w:i/>
          <w:iCs/>
          <w:sz w:val="18"/>
          <w:szCs w:val="18"/>
        </w:rPr>
      </w:pPr>
    </w:p>
    <w:p w:rsidRPr="00C87714" w:rsidR="00C87714" w:rsidP="00C87714" w:rsidRDefault="00C87714" w14:paraId="504552ED" w14:textId="77777777">
      <w:pPr>
        <w:pStyle w:val="Geenafstand"/>
        <w:rPr>
          <w:rFonts w:ascii="Verdana" w:hAnsi="Verdana"/>
          <w:i/>
          <w:iCs/>
          <w:sz w:val="18"/>
          <w:szCs w:val="18"/>
        </w:rPr>
      </w:pPr>
      <w:r w:rsidRPr="00C87714">
        <w:rPr>
          <w:rFonts w:ascii="Verdana" w:hAnsi="Verdana"/>
          <w:i/>
          <w:iCs/>
          <w:sz w:val="18"/>
          <w:szCs w:val="18"/>
        </w:rPr>
        <w:t>e. domeinnaamregistratiegegevens</w:t>
      </w:r>
    </w:p>
    <w:p w:rsidR="00C87714" w:rsidP="00C87714" w:rsidRDefault="00C87714" w14:paraId="30F23E0E" w14:textId="1B494008">
      <w:pPr>
        <w:pStyle w:val="Geenafstand"/>
        <w:rPr>
          <w:rFonts w:ascii="Verdana" w:hAnsi="Verdana"/>
          <w:sz w:val="18"/>
          <w:szCs w:val="18"/>
        </w:rPr>
      </w:pPr>
      <w:r w:rsidRPr="00C87714">
        <w:rPr>
          <w:rFonts w:ascii="Verdana" w:hAnsi="Verdana"/>
          <w:sz w:val="18"/>
          <w:szCs w:val="18"/>
        </w:rPr>
        <w:t xml:space="preserve">Het onderhouden van een nauwkeurige en volledige database van domeinnaamregistratiegegevens en het verlenen van rechtmatige toegang tot dergelijke gegevens is essentieel om de beveiliging, stabiliteit en weerbaarheid van het </w:t>
      </w:r>
      <w:r w:rsidR="00D513F7">
        <w:rPr>
          <w:rFonts w:ascii="Verdana" w:hAnsi="Verdana"/>
          <w:sz w:val="18"/>
          <w:szCs w:val="18"/>
        </w:rPr>
        <w:t>DNS</w:t>
      </w:r>
      <w:r>
        <w:rPr>
          <w:rFonts w:ascii="Verdana" w:hAnsi="Verdana"/>
          <w:sz w:val="18"/>
          <w:szCs w:val="18"/>
        </w:rPr>
        <w:t xml:space="preserve"> </w:t>
      </w:r>
      <w:r w:rsidRPr="00C87714">
        <w:rPr>
          <w:rFonts w:ascii="Verdana" w:hAnsi="Verdana"/>
          <w:sz w:val="18"/>
          <w:szCs w:val="18"/>
        </w:rPr>
        <w:t xml:space="preserve">te waarborgen. Voor dat specifieke doel </w:t>
      </w:r>
      <w:r>
        <w:rPr>
          <w:rFonts w:ascii="Verdana" w:hAnsi="Verdana"/>
          <w:sz w:val="18"/>
          <w:szCs w:val="18"/>
        </w:rPr>
        <w:t>volgt uit de NIS2-richtlijn dat</w:t>
      </w:r>
      <w:r w:rsidRPr="00C87714">
        <w:rPr>
          <w:rFonts w:ascii="Verdana" w:hAnsi="Verdana"/>
          <w:sz w:val="18"/>
          <w:szCs w:val="18"/>
        </w:rPr>
        <w:t xml:space="preserve"> registers voor topleveldomeinnamen en entiteiten die domeinnaamregistratiediensten verlenen</w:t>
      </w:r>
      <w:r w:rsidR="00287ADD">
        <w:rPr>
          <w:rFonts w:ascii="Verdana" w:hAnsi="Verdana"/>
          <w:sz w:val="18"/>
          <w:szCs w:val="18"/>
        </w:rPr>
        <w:t>,</w:t>
      </w:r>
      <w:r w:rsidRPr="00C87714">
        <w:rPr>
          <w:rFonts w:ascii="Verdana" w:hAnsi="Verdana"/>
          <w:sz w:val="18"/>
          <w:szCs w:val="18"/>
        </w:rPr>
        <w:t xml:space="preserve"> verplicht worden bepaalde gegevens te verwerken die daartoe nodig</w:t>
      </w:r>
      <w:r w:rsidR="00287ADD">
        <w:rPr>
          <w:rFonts w:ascii="Verdana" w:hAnsi="Verdana"/>
          <w:sz w:val="18"/>
          <w:szCs w:val="18"/>
        </w:rPr>
        <w:t xml:space="preserve"> zijn</w:t>
      </w:r>
      <w:r w:rsidRPr="00C87714">
        <w:rPr>
          <w:rFonts w:ascii="Verdana" w:hAnsi="Verdana"/>
          <w:sz w:val="18"/>
          <w:szCs w:val="18"/>
        </w:rPr>
        <w:t xml:space="preserve">. Daarnaast zijn de beschikbaarheid en tijdige toegankelijkheid van domeinnaamregistratiegegevens voor verzoekers om legitieme toegang van essentieel belang om misbruik van het </w:t>
      </w:r>
      <w:r w:rsidR="00D513F7">
        <w:rPr>
          <w:rFonts w:ascii="Verdana" w:hAnsi="Verdana"/>
          <w:sz w:val="18"/>
          <w:szCs w:val="18"/>
        </w:rPr>
        <w:t>DNS</w:t>
      </w:r>
      <w:r>
        <w:rPr>
          <w:rFonts w:ascii="Verdana" w:hAnsi="Verdana"/>
          <w:sz w:val="18"/>
          <w:szCs w:val="18"/>
        </w:rPr>
        <w:t xml:space="preserve"> </w:t>
      </w:r>
      <w:r w:rsidRPr="00C87714">
        <w:rPr>
          <w:rFonts w:ascii="Verdana" w:hAnsi="Verdana"/>
          <w:sz w:val="18"/>
          <w:szCs w:val="18"/>
        </w:rPr>
        <w:t>te voorkomen en te bestrijden en om incidenten te voorkomen, op te sporen en erop te reageren.</w:t>
      </w:r>
    </w:p>
    <w:p w:rsidRPr="00FF46E3" w:rsidR="00C87714" w:rsidP="00C87714" w:rsidRDefault="00C87714" w14:paraId="40AA5758" w14:textId="77777777">
      <w:pPr>
        <w:pStyle w:val="Geenafstand"/>
        <w:rPr>
          <w:rFonts w:ascii="Verdana" w:hAnsi="Verdana"/>
          <w:sz w:val="18"/>
          <w:szCs w:val="18"/>
        </w:rPr>
      </w:pPr>
    </w:p>
    <w:p w:rsidRPr="00FF46E3" w:rsidR="00D17268" w:rsidP="00D17268" w:rsidRDefault="00912FAC" w14:paraId="5349D7A6" w14:textId="3A3A533D">
      <w:pPr>
        <w:pStyle w:val="Geenafstand"/>
        <w:rPr>
          <w:rFonts w:ascii="Verdana" w:hAnsi="Verdana"/>
          <w:i/>
          <w:iCs/>
          <w:sz w:val="18"/>
          <w:szCs w:val="18"/>
        </w:rPr>
      </w:pPr>
      <w:r>
        <w:rPr>
          <w:rFonts w:ascii="Verdana" w:hAnsi="Verdana"/>
          <w:i/>
          <w:iCs/>
          <w:sz w:val="18"/>
          <w:szCs w:val="18"/>
        </w:rPr>
        <w:t>f</w:t>
      </w:r>
      <w:r w:rsidRPr="00FF46E3" w:rsidR="00D17268">
        <w:rPr>
          <w:rFonts w:ascii="Verdana" w:hAnsi="Verdana"/>
          <w:i/>
          <w:iCs/>
          <w:sz w:val="18"/>
          <w:szCs w:val="18"/>
        </w:rPr>
        <w:t>. toezicht en handhaving</w:t>
      </w:r>
    </w:p>
    <w:p w:rsidRPr="00FF46E3" w:rsidR="00D17268" w:rsidP="00D17268" w:rsidRDefault="00D17268" w14:paraId="52E2D0CC" w14:textId="6A981051">
      <w:pPr>
        <w:pStyle w:val="Geenafstand"/>
        <w:rPr>
          <w:rFonts w:ascii="Verdana" w:hAnsi="Verdana"/>
          <w:sz w:val="18"/>
          <w:szCs w:val="18"/>
        </w:rPr>
      </w:pPr>
      <w:r w:rsidRPr="00FF46E3">
        <w:rPr>
          <w:rFonts w:ascii="Verdana" w:hAnsi="Verdana"/>
          <w:sz w:val="18"/>
          <w:szCs w:val="18"/>
        </w:rPr>
        <w:t>Op de naleving van de verplichtingen die volgen uit de NIS2-richtlijn door essentiële entiteiten, belangrijke entiteiten en entiteiten die domeinnaamregistratiediensten verlenen</w:t>
      </w:r>
      <w:r w:rsidRPr="00FF46E3" w:rsidR="00BC12BC">
        <w:rPr>
          <w:rFonts w:ascii="Verdana" w:hAnsi="Verdana"/>
          <w:sz w:val="18"/>
          <w:szCs w:val="18"/>
        </w:rPr>
        <w:t>,</w:t>
      </w:r>
      <w:r w:rsidRPr="00FF46E3">
        <w:rPr>
          <w:rFonts w:ascii="Verdana" w:hAnsi="Verdana"/>
          <w:sz w:val="18"/>
          <w:szCs w:val="18"/>
        </w:rPr>
        <w:t xml:space="preserve"> wordt toezicht gehouden. De NIS2-richtlijn bevat</w:t>
      </w:r>
      <w:r w:rsidRPr="00FF46E3" w:rsidR="00BC12BC">
        <w:rPr>
          <w:rFonts w:ascii="Verdana" w:hAnsi="Verdana"/>
          <w:sz w:val="18"/>
          <w:szCs w:val="18"/>
        </w:rPr>
        <w:t xml:space="preserve"> enkele</w:t>
      </w:r>
      <w:r w:rsidRPr="00FF46E3">
        <w:rPr>
          <w:rFonts w:ascii="Verdana" w:hAnsi="Verdana"/>
          <w:sz w:val="18"/>
          <w:szCs w:val="18"/>
        </w:rPr>
        <w:t xml:space="preserve"> bevoegdheden voor de toezichthoude</w:t>
      </w:r>
      <w:r w:rsidRPr="00FF46E3" w:rsidR="002B10CA">
        <w:rPr>
          <w:rFonts w:ascii="Verdana" w:hAnsi="Verdana"/>
          <w:sz w:val="18"/>
          <w:szCs w:val="18"/>
        </w:rPr>
        <w:t xml:space="preserve">r </w:t>
      </w:r>
      <w:r w:rsidRPr="00FF46E3">
        <w:rPr>
          <w:rFonts w:ascii="Verdana" w:hAnsi="Verdana"/>
          <w:sz w:val="18"/>
          <w:szCs w:val="18"/>
        </w:rPr>
        <w:t>die nieuw zijn in het Nederlands (</w:t>
      </w:r>
      <w:proofErr w:type="spellStart"/>
      <w:r w:rsidRPr="00FF46E3">
        <w:rPr>
          <w:rFonts w:ascii="Verdana" w:hAnsi="Verdana"/>
          <w:sz w:val="18"/>
          <w:szCs w:val="18"/>
        </w:rPr>
        <w:t>bestuurs</w:t>
      </w:r>
      <w:proofErr w:type="spellEnd"/>
      <w:r w:rsidRPr="00FF46E3">
        <w:rPr>
          <w:rFonts w:ascii="Verdana" w:hAnsi="Verdana"/>
          <w:sz w:val="18"/>
          <w:szCs w:val="18"/>
        </w:rPr>
        <w:t xml:space="preserve">)recht. </w:t>
      </w:r>
      <w:r w:rsidRPr="00FF46E3" w:rsidR="00BC1B27">
        <w:rPr>
          <w:rFonts w:ascii="Verdana" w:hAnsi="Verdana"/>
          <w:sz w:val="18"/>
          <w:szCs w:val="18"/>
        </w:rPr>
        <w:t>Paragraaf 5.</w:t>
      </w:r>
      <w:r w:rsidR="00A05DC3">
        <w:rPr>
          <w:rFonts w:ascii="Verdana" w:hAnsi="Verdana"/>
          <w:sz w:val="18"/>
          <w:szCs w:val="18"/>
        </w:rPr>
        <w:t>6</w:t>
      </w:r>
      <w:r w:rsidRPr="00FF46E3" w:rsidR="00BC1B27">
        <w:rPr>
          <w:rFonts w:ascii="Verdana" w:hAnsi="Verdana"/>
          <w:sz w:val="18"/>
          <w:szCs w:val="18"/>
        </w:rPr>
        <w:t xml:space="preserve"> gaat hier nader op in.</w:t>
      </w:r>
    </w:p>
    <w:p w:rsidRPr="00FF46E3" w:rsidR="00E71469" w:rsidP="006200DD" w:rsidRDefault="00E71469" w14:paraId="2DE8BBC7" w14:textId="77777777">
      <w:pPr>
        <w:pStyle w:val="Geenafstand"/>
        <w:rPr>
          <w:rFonts w:ascii="Verdana" w:hAnsi="Verdana"/>
          <w:sz w:val="18"/>
          <w:szCs w:val="18"/>
        </w:rPr>
      </w:pPr>
    </w:p>
    <w:p w:rsidRPr="00FF46E3" w:rsidR="00114098" w:rsidP="006200DD" w:rsidRDefault="00912FAC" w14:paraId="029B1D4C" w14:textId="66B6E65D">
      <w:pPr>
        <w:pStyle w:val="Geenafstand"/>
        <w:rPr>
          <w:rFonts w:ascii="Verdana" w:hAnsi="Verdana"/>
          <w:i/>
          <w:iCs/>
          <w:sz w:val="18"/>
          <w:szCs w:val="18"/>
        </w:rPr>
      </w:pPr>
      <w:r>
        <w:rPr>
          <w:rFonts w:ascii="Verdana" w:hAnsi="Verdana"/>
          <w:i/>
          <w:iCs/>
          <w:sz w:val="18"/>
          <w:szCs w:val="18"/>
        </w:rPr>
        <w:t>g</w:t>
      </w:r>
      <w:r w:rsidRPr="00FF46E3" w:rsidR="00114098">
        <w:rPr>
          <w:rFonts w:ascii="Verdana" w:hAnsi="Verdana"/>
          <w:i/>
          <w:iCs/>
          <w:sz w:val="18"/>
          <w:szCs w:val="18"/>
        </w:rPr>
        <w:t>. nationale cyberbeveiligingsstrategie</w:t>
      </w:r>
    </w:p>
    <w:p w:rsidRPr="00FF46E3" w:rsidR="00CD77FA" w:rsidP="006200DD" w:rsidRDefault="00CD77FA" w14:paraId="402DCF1E" w14:textId="7B629C92">
      <w:pPr>
        <w:pStyle w:val="Geenafstand"/>
        <w:rPr>
          <w:rFonts w:ascii="Verdana" w:hAnsi="Verdana"/>
          <w:sz w:val="18"/>
          <w:szCs w:val="18"/>
        </w:rPr>
      </w:pPr>
      <w:r w:rsidRPr="00FF46E3">
        <w:rPr>
          <w:rFonts w:ascii="Verdana" w:hAnsi="Verdana"/>
          <w:sz w:val="18"/>
          <w:szCs w:val="18"/>
        </w:rPr>
        <w:t>Elke lidstaat moet</w:t>
      </w:r>
      <w:r w:rsidRPr="00FF46E3" w:rsidR="00253FAB">
        <w:rPr>
          <w:rFonts w:ascii="Verdana" w:hAnsi="Verdana"/>
          <w:sz w:val="18"/>
          <w:szCs w:val="18"/>
        </w:rPr>
        <w:t xml:space="preserve"> op grond van de NIS2-richtlijn</w:t>
      </w:r>
      <w:r w:rsidRPr="00FF46E3">
        <w:rPr>
          <w:rFonts w:ascii="Verdana" w:hAnsi="Verdana"/>
          <w:sz w:val="18"/>
          <w:szCs w:val="18"/>
        </w:rPr>
        <w:t xml:space="preserve"> een nationale cyberbeveiligingsstrategie vaststellen</w:t>
      </w:r>
      <w:r w:rsidRPr="00FF46E3" w:rsidR="00BC12BC">
        <w:rPr>
          <w:rFonts w:ascii="Verdana" w:hAnsi="Verdana"/>
          <w:sz w:val="18"/>
          <w:szCs w:val="18"/>
        </w:rPr>
        <w:t>,</w:t>
      </w:r>
      <w:r w:rsidRPr="00FF46E3">
        <w:rPr>
          <w:rFonts w:ascii="Verdana" w:hAnsi="Verdana"/>
          <w:sz w:val="18"/>
          <w:szCs w:val="18"/>
        </w:rPr>
        <w:t xml:space="preserve"> die voorziet in de strategische doelstellingen, de middelen die nodig zijn om die doelstellingen te behalen en passende beleids- en regelgevingsmaatregelen.</w:t>
      </w:r>
    </w:p>
    <w:p w:rsidRPr="00FF46E3" w:rsidR="002967FA" w:rsidP="006200DD" w:rsidRDefault="002967FA" w14:paraId="1B0C65CC" w14:textId="77777777">
      <w:pPr>
        <w:pStyle w:val="Geenafstand"/>
        <w:rPr>
          <w:rFonts w:ascii="Verdana" w:hAnsi="Verdana"/>
          <w:i/>
          <w:iCs/>
          <w:sz w:val="18"/>
          <w:szCs w:val="18"/>
        </w:rPr>
      </w:pPr>
    </w:p>
    <w:p w:rsidRPr="00FF46E3" w:rsidR="00020167" w:rsidP="006200DD" w:rsidRDefault="00912FAC" w14:paraId="7E6AF82E" w14:textId="11B0700E">
      <w:pPr>
        <w:pStyle w:val="Geenafstand"/>
        <w:rPr>
          <w:rFonts w:ascii="Verdana" w:hAnsi="Verdana"/>
          <w:sz w:val="18"/>
          <w:szCs w:val="18"/>
        </w:rPr>
      </w:pPr>
      <w:r>
        <w:rPr>
          <w:rFonts w:ascii="Verdana" w:hAnsi="Verdana"/>
          <w:i/>
          <w:iCs/>
          <w:sz w:val="18"/>
          <w:szCs w:val="18"/>
        </w:rPr>
        <w:t>h</w:t>
      </w:r>
      <w:r w:rsidRPr="00FF46E3" w:rsidR="00020167">
        <w:rPr>
          <w:rFonts w:ascii="Verdana" w:hAnsi="Verdana"/>
          <w:i/>
          <w:iCs/>
          <w:sz w:val="18"/>
          <w:szCs w:val="18"/>
        </w:rPr>
        <w:t>. aanwijzing CSIRT, centra</w:t>
      </w:r>
      <w:r w:rsidRPr="00FF46E3" w:rsidR="00BC12BC">
        <w:rPr>
          <w:rFonts w:ascii="Verdana" w:hAnsi="Verdana"/>
          <w:i/>
          <w:iCs/>
          <w:sz w:val="18"/>
          <w:szCs w:val="18"/>
        </w:rPr>
        <w:t>a</w:t>
      </w:r>
      <w:r w:rsidRPr="00FF46E3" w:rsidR="00020167">
        <w:rPr>
          <w:rFonts w:ascii="Verdana" w:hAnsi="Verdana"/>
          <w:i/>
          <w:iCs/>
          <w:sz w:val="18"/>
          <w:szCs w:val="18"/>
        </w:rPr>
        <w:t>l contactpunt en bevoegde autoriteiten</w:t>
      </w:r>
    </w:p>
    <w:p w:rsidRPr="00FF46E3" w:rsidR="00020167" w:rsidP="006200DD" w:rsidRDefault="007B36D9" w14:paraId="26098610" w14:textId="183AD210">
      <w:pPr>
        <w:pStyle w:val="Geenafstand"/>
        <w:rPr>
          <w:rFonts w:ascii="Verdana" w:hAnsi="Verdana"/>
          <w:sz w:val="18"/>
          <w:szCs w:val="18"/>
        </w:rPr>
      </w:pPr>
      <w:r w:rsidRPr="00FF46E3">
        <w:rPr>
          <w:rFonts w:ascii="Verdana" w:hAnsi="Verdana"/>
          <w:sz w:val="18"/>
          <w:szCs w:val="18"/>
        </w:rPr>
        <w:t xml:space="preserve">Elke lidstaat moet </w:t>
      </w:r>
      <w:r w:rsidRPr="00FF46E3" w:rsidR="00253FAB">
        <w:rPr>
          <w:rFonts w:ascii="Verdana" w:hAnsi="Verdana"/>
          <w:sz w:val="18"/>
          <w:szCs w:val="18"/>
        </w:rPr>
        <w:t xml:space="preserve">op grond van de NIS2-richtlijn </w:t>
      </w:r>
      <w:r w:rsidRPr="00FF46E3">
        <w:rPr>
          <w:rFonts w:ascii="Verdana" w:hAnsi="Verdana"/>
          <w:sz w:val="18"/>
          <w:szCs w:val="18"/>
        </w:rPr>
        <w:t>overgaan tot het aanwijzen of instellen van</w:t>
      </w:r>
      <w:r w:rsidRPr="00FF46E3" w:rsidR="00020167">
        <w:rPr>
          <w:rFonts w:ascii="Verdana" w:hAnsi="Verdana"/>
          <w:sz w:val="18"/>
          <w:szCs w:val="18"/>
        </w:rPr>
        <w:t>:</w:t>
      </w:r>
    </w:p>
    <w:p w:rsidRPr="00FF46E3" w:rsidR="00020167" w:rsidP="006200DD" w:rsidRDefault="00020167" w14:paraId="6A48A07C" w14:textId="6930077C">
      <w:pPr>
        <w:pStyle w:val="Geenafstand"/>
        <w:rPr>
          <w:rFonts w:ascii="Verdana" w:hAnsi="Verdana"/>
          <w:sz w:val="18"/>
          <w:szCs w:val="18"/>
        </w:rPr>
      </w:pPr>
      <w:r w:rsidRPr="00FF46E3">
        <w:rPr>
          <w:rFonts w:ascii="Verdana" w:hAnsi="Verdana"/>
          <w:sz w:val="18"/>
          <w:szCs w:val="18"/>
        </w:rPr>
        <w:t>-</w:t>
      </w:r>
      <w:r w:rsidRPr="00FF46E3" w:rsidR="007B36D9">
        <w:rPr>
          <w:rFonts w:ascii="Verdana" w:hAnsi="Verdana"/>
          <w:sz w:val="18"/>
          <w:szCs w:val="18"/>
        </w:rPr>
        <w:t xml:space="preserve"> </w:t>
      </w:r>
      <w:r w:rsidRPr="00FF46E3">
        <w:rPr>
          <w:rFonts w:ascii="Verdana" w:hAnsi="Verdana"/>
          <w:sz w:val="18"/>
          <w:szCs w:val="18"/>
        </w:rPr>
        <w:t xml:space="preserve">één of meer computer security incident response teams (hierna: </w:t>
      </w:r>
      <w:proofErr w:type="spellStart"/>
      <w:r w:rsidRPr="00FF46E3">
        <w:rPr>
          <w:rFonts w:ascii="Verdana" w:hAnsi="Verdana"/>
          <w:sz w:val="18"/>
          <w:szCs w:val="18"/>
        </w:rPr>
        <w:t>CSIRT’s</w:t>
      </w:r>
      <w:proofErr w:type="spellEnd"/>
      <w:r w:rsidRPr="00FF46E3">
        <w:rPr>
          <w:rFonts w:ascii="Verdana" w:hAnsi="Verdana"/>
          <w:sz w:val="18"/>
          <w:szCs w:val="18"/>
        </w:rPr>
        <w:t xml:space="preserve">), </w:t>
      </w:r>
      <w:r w:rsidRPr="00FF46E3" w:rsidR="00BA16A5">
        <w:rPr>
          <w:rFonts w:ascii="Verdana" w:hAnsi="Verdana"/>
          <w:sz w:val="18"/>
          <w:szCs w:val="18"/>
        </w:rPr>
        <w:t>die onder meer de taak hebben om te waarschuwen voor cyberrisico’s en te reageren op cyberincidenten;</w:t>
      </w:r>
      <w:r w:rsidRPr="00FF46E3">
        <w:rPr>
          <w:rFonts w:ascii="Verdana" w:hAnsi="Verdana"/>
          <w:sz w:val="18"/>
          <w:szCs w:val="18"/>
        </w:rPr>
        <w:t xml:space="preserve"> </w:t>
      </w:r>
    </w:p>
    <w:p w:rsidRPr="00FF46E3" w:rsidR="00020167" w:rsidP="006200DD" w:rsidRDefault="00020167" w14:paraId="597A34FD" w14:textId="1043E248">
      <w:pPr>
        <w:pStyle w:val="Geenafstand"/>
        <w:rPr>
          <w:rFonts w:ascii="Verdana" w:hAnsi="Verdana"/>
          <w:sz w:val="18"/>
          <w:szCs w:val="18"/>
        </w:rPr>
      </w:pPr>
      <w:r w:rsidRPr="00FF46E3">
        <w:rPr>
          <w:rFonts w:ascii="Verdana" w:hAnsi="Verdana"/>
          <w:sz w:val="18"/>
          <w:szCs w:val="18"/>
        </w:rPr>
        <w:t>- één centraal contactpunt, dat een verbindingsfunctie</w:t>
      </w:r>
      <w:r w:rsidRPr="00FF46E3" w:rsidR="004548C4">
        <w:rPr>
          <w:rFonts w:ascii="Verdana" w:hAnsi="Verdana"/>
          <w:sz w:val="18"/>
          <w:szCs w:val="18"/>
        </w:rPr>
        <w:t xml:space="preserve"> heeft in de </w:t>
      </w:r>
      <w:r w:rsidRPr="00FF46E3" w:rsidR="00104A34">
        <w:rPr>
          <w:rFonts w:ascii="Verdana" w:hAnsi="Verdana"/>
          <w:sz w:val="18"/>
          <w:szCs w:val="18"/>
        </w:rPr>
        <w:t xml:space="preserve">nationale samenwerking en de samenwerking binnen de </w:t>
      </w:r>
      <w:r w:rsidRPr="00FF46E3" w:rsidR="00BC12BC">
        <w:rPr>
          <w:rFonts w:ascii="Verdana" w:hAnsi="Verdana"/>
          <w:sz w:val="18"/>
          <w:szCs w:val="18"/>
        </w:rPr>
        <w:t>EU</w:t>
      </w:r>
      <w:r w:rsidRPr="00FF46E3" w:rsidR="00104A34">
        <w:rPr>
          <w:rFonts w:ascii="Verdana" w:hAnsi="Verdana"/>
          <w:sz w:val="18"/>
          <w:szCs w:val="18"/>
        </w:rPr>
        <w:t xml:space="preserve">; </w:t>
      </w:r>
    </w:p>
    <w:p w:rsidRPr="00FF46E3" w:rsidR="00020167" w:rsidP="006200DD" w:rsidRDefault="00020167" w14:paraId="4D2C5DFA" w14:textId="34E25232">
      <w:pPr>
        <w:pStyle w:val="Geenafstand"/>
        <w:rPr>
          <w:rFonts w:ascii="Verdana" w:hAnsi="Verdana"/>
          <w:sz w:val="18"/>
          <w:szCs w:val="18"/>
        </w:rPr>
      </w:pPr>
      <w:r w:rsidRPr="00FF46E3">
        <w:rPr>
          <w:rFonts w:ascii="Verdana" w:hAnsi="Verdana"/>
          <w:sz w:val="18"/>
          <w:szCs w:val="18"/>
        </w:rPr>
        <w:t>- één of meer bevoegde autoriteiten, die toezien op de naleving van de verplichtingen die voortvloeien uit de richtlijn</w:t>
      </w:r>
      <w:r w:rsidRPr="00FF46E3" w:rsidR="00071305">
        <w:rPr>
          <w:rFonts w:ascii="Verdana" w:hAnsi="Verdana"/>
          <w:sz w:val="18"/>
          <w:szCs w:val="18"/>
        </w:rPr>
        <w:t>;</w:t>
      </w:r>
      <w:r w:rsidRPr="00FF46E3" w:rsidR="00BA16A5">
        <w:rPr>
          <w:rFonts w:ascii="Verdana" w:hAnsi="Verdana"/>
          <w:sz w:val="18"/>
          <w:szCs w:val="18"/>
        </w:rPr>
        <w:t xml:space="preserve"> en</w:t>
      </w:r>
    </w:p>
    <w:p w:rsidRPr="00FF46E3" w:rsidR="00114098" w:rsidP="006200DD" w:rsidRDefault="00BA16A5" w14:paraId="32AF1A92" w14:textId="3079B033">
      <w:pPr>
        <w:pStyle w:val="Geenafstand"/>
        <w:rPr>
          <w:rFonts w:ascii="Verdana" w:hAnsi="Verdana"/>
          <w:sz w:val="18"/>
          <w:szCs w:val="18"/>
        </w:rPr>
      </w:pPr>
      <w:r w:rsidRPr="00FF46E3">
        <w:rPr>
          <w:rFonts w:ascii="Verdana" w:hAnsi="Verdana"/>
          <w:sz w:val="18"/>
          <w:szCs w:val="18"/>
        </w:rPr>
        <w:t xml:space="preserve">- </w:t>
      </w:r>
      <w:r w:rsidRPr="00FF46E3" w:rsidR="007B36D9">
        <w:rPr>
          <w:rFonts w:ascii="Verdana" w:hAnsi="Verdana"/>
          <w:sz w:val="18"/>
          <w:szCs w:val="18"/>
        </w:rPr>
        <w:t>een of meer bevoegde autoriteiten</w:t>
      </w:r>
      <w:r w:rsidRPr="00FF46E3" w:rsidR="00BC12BC">
        <w:rPr>
          <w:rFonts w:ascii="Verdana" w:hAnsi="Verdana"/>
          <w:sz w:val="18"/>
          <w:szCs w:val="18"/>
        </w:rPr>
        <w:t>,</w:t>
      </w:r>
      <w:r w:rsidRPr="00FF46E3" w:rsidR="007B36D9">
        <w:rPr>
          <w:rFonts w:ascii="Verdana" w:hAnsi="Verdana"/>
          <w:sz w:val="18"/>
          <w:szCs w:val="18"/>
        </w:rPr>
        <w:t xml:space="preserve"> die verantwoordelijk zijn voor het beheer</w:t>
      </w:r>
      <w:r w:rsidR="002644BD">
        <w:rPr>
          <w:rFonts w:ascii="Verdana" w:hAnsi="Verdana"/>
          <w:sz w:val="18"/>
          <w:szCs w:val="18"/>
        </w:rPr>
        <w:t>sen</w:t>
      </w:r>
      <w:r w:rsidRPr="00FF46E3" w:rsidR="007B36D9">
        <w:rPr>
          <w:rFonts w:ascii="Verdana" w:hAnsi="Verdana"/>
          <w:sz w:val="18"/>
          <w:szCs w:val="18"/>
        </w:rPr>
        <w:t xml:space="preserve"> van grootschalige cyberbeveiligingsincidenten en </w:t>
      </w:r>
      <w:r w:rsidRPr="00FF46E3" w:rsidR="00073ECF">
        <w:rPr>
          <w:rFonts w:ascii="Verdana" w:hAnsi="Verdana"/>
          <w:sz w:val="18"/>
          <w:szCs w:val="18"/>
        </w:rPr>
        <w:t>-</w:t>
      </w:r>
      <w:r w:rsidRPr="00FF46E3" w:rsidR="007B36D9">
        <w:rPr>
          <w:rFonts w:ascii="Verdana" w:hAnsi="Verdana"/>
          <w:sz w:val="18"/>
          <w:szCs w:val="18"/>
        </w:rPr>
        <w:t>crises</w:t>
      </w:r>
      <w:r w:rsidRPr="00FF46E3" w:rsidR="000C68AF">
        <w:rPr>
          <w:rFonts w:ascii="Verdana" w:hAnsi="Verdana"/>
          <w:sz w:val="18"/>
          <w:szCs w:val="18"/>
        </w:rPr>
        <w:t xml:space="preserve"> en –</w:t>
      </w:r>
      <w:r w:rsidRPr="00FF46E3" w:rsidR="00A00D82">
        <w:rPr>
          <w:rFonts w:ascii="Verdana" w:hAnsi="Verdana"/>
          <w:sz w:val="18"/>
          <w:szCs w:val="18"/>
        </w:rPr>
        <w:t xml:space="preserve"> </w:t>
      </w:r>
      <w:r w:rsidRPr="00FF46E3" w:rsidR="000C68AF">
        <w:rPr>
          <w:rFonts w:ascii="Verdana" w:hAnsi="Verdana"/>
          <w:sz w:val="18"/>
          <w:szCs w:val="18"/>
        </w:rPr>
        <w:t xml:space="preserve">wanneer er meer dan één </w:t>
      </w:r>
      <w:r w:rsidRPr="00FF46E3" w:rsidR="00705564">
        <w:rPr>
          <w:rFonts w:ascii="Verdana" w:hAnsi="Verdana"/>
          <w:sz w:val="18"/>
          <w:szCs w:val="18"/>
        </w:rPr>
        <w:t>autoriteit word</w:t>
      </w:r>
      <w:r w:rsidRPr="00FF46E3" w:rsidR="00BC12BC">
        <w:rPr>
          <w:rFonts w:ascii="Verdana" w:hAnsi="Verdana"/>
          <w:sz w:val="18"/>
          <w:szCs w:val="18"/>
        </w:rPr>
        <w:t>t</w:t>
      </w:r>
      <w:r w:rsidRPr="00FF46E3" w:rsidR="00705564">
        <w:rPr>
          <w:rFonts w:ascii="Verdana" w:hAnsi="Verdana"/>
          <w:sz w:val="18"/>
          <w:szCs w:val="18"/>
        </w:rPr>
        <w:t xml:space="preserve"> aangewezen</w:t>
      </w:r>
      <w:r w:rsidRPr="00FF46E3" w:rsidR="00A00D82">
        <w:rPr>
          <w:rFonts w:ascii="Verdana" w:hAnsi="Verdana"/>
          <w:sz w:val="18"/>
          <w:szCs w:val="18"/>
        </w:rPr>
        <w:t xml:space="preserve"> </w:t>
      </w:r>
      <w:r w:rsidRPr="00FF46E3" w:rsidR="00705564">
        <w:rPr>
          <w:rFonts w:ascii="Verdana" w:hAnsi="Verdana"/>
          <w:sz w:val="18"/>
          <w:szCs w:val="18"/>
        </w:rPr>
        <w:t xml:space="preserve">– de aanwijzing van een coördinerende </w:t>
      </w:r>
      <w:proofErr w:type="spellStart"/>
      <w:r w:rsidRPr="00FF46E3" w:rsidR="00705564">
        <w:rPr>
          <w:rFonts w:ascii="Verdana" w:hAnsi="Verdana"/>
          <w:sz w:val="18"/>
          <w:szCs w:val="18"/>
        </w:rPr>
        <w:t>cybercrisisbeheersautoriteit</w:t>
      </w:r>
      <w:proofErr w:type="spellEnd"/>
      <w:r w:rsidRPr="00FF46E3" w:rsidR="00020167">
        <w:rPr>
          <w:rFonts w:ascii="Verdana" w:hAnsi="Verdana"/>
          <w:sz w:val="18"/>
          <w:szCs w:val="18"/>
        </w:rPr>
        <w:t xml:space="preserve">. </w:t>
      </w:r>
    </w:p>
    <w:p w:rsidRPr="00FF46E3" w:rsidR="00020167" w:rsidP="006200DD" w:rsidRDefault="00020167" w14:paraId="7589D42E" w14:textId="03B2AFA3">
      <w:pPr>
        <w:pStyle w:val="Geenafstand"/>
        <w:rPr>
          <w:rFonts w:ascii="Verdana" w:hAnsi="Verdana"/>
          <w:sz w:val="18"/>
          <w:szCs w:val="18"/>
        </w:rPr>
      </w:pPr>
    </w:p>
    <w:p w:rsidRPr="00FF46E3" w:rsidR="00912A22" w:rsidP="006200DD" w:rsidRDefault="00912FAC" w14:paraId="7908C30C" w14:textId="38C77CA3">
      <w:pPr>
        <w:pStyle w:val="Geenafstand"/>
        <w:rPr>
          <w:rFonts w:ascii="Verdana" w:hAnsi="Verdana"/>
          <w:i/>
          <w:iCs/>
          <w:sz w:val="18"/>
          <w:szCs w:val="18"/>
        </w:rPr>
      </w:pPr>
      <w:r>
        <w:rPr>
          <w:rFonts w:ascii="Verdana" w:hAnsi="Verdana"/>
          <w:i/>
          <w:iCs/>
          <w:sz w:val="18"/>
          <w:szCs w:val="18"/>
        </w:rPr>
        <w:t>i</w:t>
      </w:r>
      <w:r w:rsidRPr="00FF46E3" w:rsidR="00912A22">
        <w:rPr>
          <w:rFonts w:ascii="Verdana" w:hAnsi="Verdana"/>
          <w:i/>
          <w:iCs/>
          <w:sz w:val="18"/>
          <w:szCs w:val="18"/>
        </w:rPr>
        <w:t xml:space="preserve">. </w:t>
      </w:r>
      <w:r w:rsidRPr="00FF46E3" w:rsidR="00E00C8E">
        <w:rPr>
          <w:rFonts w:ascii="Verdana" w:hAnsi="Verdana"/>
          <w:i/>
          <w:iCs/>
          <w:sz w:val="18"/>
          <w:szCs w:val="18"/>
        </w:rPr>
        <w:t xml:space="preserve">samenwerking op nationaal, </w:t>
      </w:r>
      <w:r w:rsidRPr="00FF46E3" w:rsidR="00C20E44">
        <w:rPr>
          <w:rFonts w:ascii="Verdana" w:hAnsi="Verdana"/>
          <w:i/>
          <w:iCs/>
          <w:sz w:val="18"/>
          <w:szCs w:val="18"/>
        </w:rPr>
        <w:t>EU-</w:t>
      </w:r>
      <w:r w:rsidRPr="00FF46E3" w:rsidR="00E00C8E">
        <w:rPr>
          <w:rFonts w:ascii="Verdana" w:hAnsi="Verdana"/>
          <w:i/>
          <w:iCs/>
          <w:sz w:val="18"/>
          <w:szCs w:val="18"/>
        </w:rPr>
        <w:t xml:space="preserve"> en internationaal niveau</w:t>
      </w:r>
    </w:p>
    <w:p w:rsidRPr="00FF46E3" w:rsidR="001527AE" w:rsidP="001527AE" w:rsidRDefault="00A24DBC" w14:paraId="090C60D3" w14:textId="580551DB">
      <w:pPr>
        <w:pStyle w:val="Geenafstand"/>
        <w:rPr>
          <w:rFonts w:ascii="Verdana" w:hAnsi="Verdana"/>
          <w:sz w:val="18"/>
          <w:szCs w:val="18"/>
        </w:rPr>
      </w:pPr>
      <w:r w:rsidRPr="00FF46E3">
        <w:rPr>
          <w:rFonts w:ascii="Verdana" w:hAnsi="Verdana"/>
          <w:sz w:val="18"/>
          <w:szCs w:val="18"/>
        </w:rPr>
        <w:t xml:space="preserve">De </w:t>
      </w:r>
      <w:r w:rsidRPr="00FF46E3" w:rsidR="00FB66DF">
        <w:rPr>
          <w:rFonts w:ascii="Verdana" w:hAnsi="Verdana"/>
          <w:sz w:val="18"/>
          <w:szCs w:val="18"/>
        </w:rPr>
        <w:t>NIS2-richtlijn</w:t>
      </w:r>
      <w:r w:rsidRPr="00FF46E3">
        <w:rPr>
          <w:rFonts w:ascii="Verdana" w:hAnsi="Verdana"/>
          <w:sz w:val="18"/>
          <w:szCs w:val="18"/>
        </w:rPr>
        <w:t xml:space="preserve"> schrijft </w:t>
      </w:r>
      <w:r w:rsidRPr="00FF46E3" w:rsidR="0011345F">
        <w:rPr>
          <w:rFonts w:ascii="Verdana" w:hAnsi="Verdana"/>
          <w:sz w:val="18"/>
          <w:szCs w:val="18"/>
        </w:rPr>
        <w:t xml:space="preserve">samenwerking op nationaal, </w:t>
      </w:r>
      <w:r w:rsidRPr="00FF46E3" w:rsidR="00C20E44">
        <w:rPr>
          <w:rFonts w:ascii="Verdana" w:hAnsi="Verdana"/>
          <w:sz w:val="18"/>
          <w:szCs w:val="18"/>
        </w:rPr>
        <w:t>EU</w:t>
      </w:r>
      <w:r w:rsidRPr="00FF46E3" w:rsidR="00064E10">
        <w:rPr>
          <w:rFonts w:ascii="Verdana" w:hAnsi="Verdana"/>
          <w:sz w:val="18"/>
          <w:szCs w:val="18"/>
        </w:rPr>
        <w:t>-</w:t>
      </w:r>
      <w:r w:rsidRPr="00FF46E3" w:rsidR="004D17CF">
        <w:rPr>
          <w:rFonts w:ascii="Verdana" w:hAnsi="Verdana"/>
          <w:sz w:val="18"/>
          <w:szCs w:val="18"/>
        </w:rPr>
        <w:t xml:space="preserve"> </w:t>
      </w:r>
      <w:r w:rsidRPr="00FF46E3" w:rsidR="0011345F">
        <w:rPr>
          <w:rFonts w:ascii="Verdana" w:hAnsi="Verdana"/>
          <w:sz w:val="18"/>
          <w:szCs w:val="18"/>
        </w:rPr>
        <w:t xml:space="preserve">en internationaal niveau voor. Op nationaal niveau </w:t>
      </w:r>
      <w:r w:rsidRPr="00FF46E3" w:rsidR="00C20E44">
        <w:rPr>
          <w:rFonts w:ascii="Verdana" w:hAnsi="Verdana"/>
          <w:sz w:val="18"/>
          <w:szCs w:val="18"/>
        </w:rPr>
        <w:t xml:space="preserve">moeten </w:t>
      </w:r>
      <w:r w:rsidRPr="00FF46E3" w:rsidR="00064E10">
        <w:rPr>
          <w:rFonts w:ascii="Verdana" w:hAnsi="Verdana"/>
          <w:sz w:val="18"/>
          <w:szCs w:val="18"/>
        </w:rPr>
        <w:t>de</w:t>
      </w:r>
      <w:r w:rsidRPr="00FF46E3">
        <w:rPr>
          <w:rFonts w:ascii="Verdana" w:hAnsi="Verdana"/>
          <w:sz w:val="18"/>
          <w:szCs w:val="18"/>
        </w:rPr>
        <w:t xml:space="preserve"> </w:t>
      </w:r>
      <w:proofErr w:type="spellStart"/>
      <w:r w:rsidRPr="00FF46E3" w:rsidR="00C06BF2">
        <w:rPr>
          <w:rFonts w:ascii="Verdana" w:hAnsi="Verdana"/>
          <w:sz w:val="18"/>
          <w:szCs w:val="18"/>
        </w:rPr>
        <w:t>CSIRT</w:t>
      </w:r>
      <w:r w:rsidRPr="00FF46E3" w:rsidR="00064E10">
        <w:rPr>
          <w:rFonts w:ascii="Verdana" w:hAnsi="Verdana"/>
          <w:sz w:val="18"/>
          <w:szCs w:val="18"/>
        </w:rPr>
        <w:t>’s</w:t>
      </w:r>
      <w:proofErr w:type="spellEnd"/>
      <w:r w:rsidRPr="00FF46E3" w:rsidR="0011345F">
        <w:rPr>
          <w:rFonts w:ascii="Verdana" w:hAnsi="Verdana"/>
          <w:sz w:val="18"/>
          <w:szCs w:val="18"/>
        </w:rPr>
        <w:t>,</w:t>
      </w:r>
      <w:r w:rsidRPr="00FF46E3" w:rsidR="00C06BF2">
        <w:rPr>
          <w:rFonts w:ascii="Verdana" w:hAnsi="Verdana"/>
          <w:sz w:val="18"/>
          <w:szCs w:val="18"/>
        </w:rPr>
        <w:t xml:space="preserve"> </w:t>
      </w:r>
      <w:r w:rsidRPr="00FF46E3">
        <w:rPr>
          <w:rFonts w:ascii="Verdana" w:hAnsi="Verdana"/>
          <w:sz w:val="18"/>
          <w:szCs w:val="18"/>
        </w:rPr>
        <w:t xml:space="preserve">het centrale contactpunt en de </w:t>
      </w:r>
      <w:r w:rsidRPr="00FF46E3" w:rsidR="00C06BF2">
        <w:rPr>
          <w:rFonts w:ascii="Verdana" w:hAnsi="Verdana"/>
          <w:sz w:val="18"/>
          <w:szCs w:val="18"/>
        </w:rPr>
        <w:t xml:space="preserve">bevoegde autoriteiten </w:t>
      </w:r>
      <w:r w:rsidRPr="00FF46E3">
        <w:rPr>
          <w:rFonts w:ascii="Verdana" w:hAnsi="Verdana"/>
          <w:sz w:val="18"/>
          <w:szCs w:val="18"/>
        </w:rPr>
        <w:t xml:space="preserve">binnen een lidstaat </w:t>
      </w:r>
      <w:r w:rsidRPr="00FF46E3" w:rsidR="00F14A42">
        <w:rPr>
          <w:rFonts w:ascii="Verdana" w:hAnsi="Verdana"/>
          <w:sz w:val="18"/>
          <w:szCs w:val="18"/>
        </w:rPr>
        <w:t xml:space="preserve">met elkaar </w:t>
      </w:r>
      <w:r w:rsidRPr="00FF46E3">
        <w:rPr>
          <w:rFonts w:ascii="Verdana" w:hAnsi="Verdana"/>
          <w:sz w:val="18"/>
          <w:szCs w:val="18"/>
        </w:rPr>
        <w:t xml:space="preserve">samenwerken. </w:t>
      </w:r>
      <w:r w:rsidRPr="00FF46E3" w:rsidR="0011345F">
        <w:rPr>
          <w:rFonts w:ascii="Verdana" w:hAnsi="Verdana"/>
          <w:sz w:val="18"/>
          <w:szCs w:val="18"/>
        </w:rPr>
        <w:t xml:space="preserve">Op </w:t>
      </w:r>
      <w:r w:rsidRPr="00FF46E3" w:rsidR="00C20E44">
        <w:rPr>
          <w:rFonts w:ascii="Verdana" w:hAnsi="Verdana"/>
          <w:sz w:val="18"/>
          <w:szCs w:val="18"/>
        </w:rPr>
        <w:t>EU-</w:t>
      </w:r>
      <w:r w:rsidRPr="00FF46E3" w:rsidR="0011345F">
        <w:rPr>
          <w:rFonts w:ascii="Verdana" w:hAnsi="Verdana"/>
          <w:sz w:val="18"/>
          <w:szCs w:val="18"/>
        </w:rPr>
        <w:t xml:space="preserve">niveau geldt </w:t>
      </w:r>
      <w:r w:rsidRPr="00FF46E3" w:rsidR="00F66562">
        <w:rPr>
          <w:rFonts w:ascii="Verdana" w:hAnsi="Verdana"/>
          <w:sz w:val="18"/>
          <w:szCs w:val="18"/>
        </w:rPr>
        <w:t>dat de bevoegde autoriteiten van de lidstaten met elkaar moeten samenwerken, onder meer door elkaar bijstand te verlenen.</w:t>
      </w:r>
      <w:r w:rsidRPr="00FF46E3" w:rsidR="00C20E44">
        <w:rPr>
          <w:rFonts w:ascii="Verdana" w:hAnsi="Verdana"/>
          <w:sz w:val="18"/>
          <w:szCs w:val="18"/>
        </w:rPr>
        <w:t xml:space="preserve"> </w:t>
      </w:r>
      <w:r w:rsidRPr="00FF46E3">
        <w:rPr>
          <w:rFonts w:ascii="Verdana" w:hAnsi="Verdana"/>
          <w:sz w:val="18"/>
          <w:szCs w:val="18"/>
        </w:rPr>
        <w:t xml:space="preserve">Op </w:t>
      </w:r>
      <w:r w:rsidRPr="00FF46E3" w:rsidR="00C20E44">
        <w:rPr>
          <w:rFonts w:ascii="Verdana" w:hAnsi="Verdana"/>
          <w:sz w:val="18"/>
          <w:szCs w:val="18"/>
        </w:rPr>
        <w:t>EU-</w:t>
      </w:r>
      <w:r w:rsidRPr="00FF46E3">
        <w:rPr>
          <w:rFonts w:ascii="Verdana" w:hAnsi="Verdana"/>
          <w:sz w:val="18"/>
          <w:szCs w:val="18"/>
        </w:rPr>
        <w:t xml:space="preserve">niveau wordt </w:t>
      </w:r>
      <w:r w:rsidRPr="00FF46E3" w:rsidR="00B36A3F">
        <w:rPr>
          <w:rFonts w:ascii="Verdana" w:hAnsi="Verdana"/>
          <w:sz w:val="18"/>
          <w:szCs w:val="18"/>
        </w:rPr>
        <w:t xml:space="preserve">de reeds bestaande </w:t>
      </w:r>
      <w:r w:rsidRPr="00FF46E3">
        <w:rPr>
          <w:rFonts w:ascii="Verdana" w:hAnsi="Verdana"/>
          <w:sz w:val="18"/>
          <w:szCs w:val="18"/>
        </w:rPr>
        <w:t xml:space="preserve">samenwerkingsgroep </w:t>
      </w:r>
      <w:r w:rsidRPr="00FF46E3" w:rsidR="00B36A3F">
        <w:rPr>
          <w:rFonts w:ascii="Verdana" w:hAnsi="Verdana"/>
          <w:sz w:val="18"/>
          <w:szCs w:val="18"/>
        </w:rPr>
        <w:t>uitgebreid</w:t>
      </w:r>
      <w:r w:rsidRPr="00FF46E3" w:rsidR="00032F47">
        <w:rPr>
          <w:rFonts w:ascii="Verdana" w:hAnsi="Verdana"/>
          <w:sz w:val="18"/>
          <w:szCs w:val="18"/>
        </w:rPr>
        <w:t xml:space="preserve"> </w:t>
      </w:r>
      <w:r w:rsidRPr="00FF46E3">
        <w:rPr>
          <w:rFonts w:ascii="Verdana" w:hAnsi="Verdana"/>
          <w:sz w:val="18"/>
          <w:szCs w:val="18"/>
        </w:rPr>
        <w:t>om de strategische samenwerking en de uitwisseling van informatie tussen de lidstaten te ondersteunen en te vergemakkelijken.</w:t>
      </w:r>
      <w:r w:rsidRPr="00FF46E3" w:rsidR="00C168BE">
        <w:rPr>
          <w:rStyle w:val="Voetnootmarkering"/>
          <w:rFonts w:ascii="Verdana" w:hAnsi="Verdana"/>
          <w:sz w:val="18"/>
          <w:szCs w:val="18"/>
        </w:rPr>
        <w:footnoteReference w:id="9"/>
      </w:r>
      <w:r w:rsidRPr="00FF46E3">
        <w:rPr>
          <w:rFonts w:ascii="Verdana" w:hAnsi="Verdana"/>
          <w:sz w:val="18"/>
          <w:szCs w:val="18"/>
        </w:rPr>
        <w:t xml:space="preserve"> </w:t>
      </w:r>
      <w:r w:rsidRPr="00FF46E3" w:rsidR="001527AE">
        <w:rPr>
          <w:rFonts w:ascii="Verdana" w:hAnsi="Verdana"/>
          <w:sz w:val="18"/>
          <w:szCs w:val="18"/>
        </w:rPr>
        <w:t xml:space="preserve">Ook wordt een netwerk </w:t>
      </w:r>
      <w:r w:rsidRPr="00FF46E3" w:rsidR="001527AE">
        <w:rPr>
          <w:rFonts w:ascii="Verdana" w:hAnsi="Verdana"/>
          <w:sz w:val="18"/>
          <w:szCs w:val="18"/>
        </w:rPr>
        <w:lastRenderedPageBreak/>
        <w:t xml:space="preserve">van nationale </w:t>
      </w:r>
      <w:proofErr w:type="spellStart"/>
      <w:r w:rsidRPr="00FF46E3" w:rsidR="001527AE">
        <w:rPr>
          <w:rFonts w:ascii="Verdana" w:hAnsi="Verdana"/>
          <w:sz w:val="18"/>
          <w:szCs w:val="18"/>
        </w:rPr>
        <w:t>CSIRT’s</w:t>
      </w:r>
      <w:proofErr w:type="spellEnd"/>
      <w:r w:rsidRPr="00FF46E3" w:rsidR="001527AE">
        <w:rPr>
          <w:rFonts w:ascii="Verdana" w:hAnsi="Verdana"/>
          <w:sz w:val="18"/>
          <w:szCs w:val="18"/>
        </w:rPr>
        <w:t xml:space="preserve"> (het CSIRT-netwerk)</w:t>
      </w:r>
      <w:r w:rsidRPr="00FF46E3" w:rsidR="00032F47">
        <w:rPr>
          <w:rFonts w:ascii="Verdana" w:hAnsi="Verdana"/>
          <w:sz w:val="18"/>
          <w:szCs w:val="18"/>
        </w:rPr>
        <w:t xml:space="preserve"> uitgebreid</w:t>
      </w:r>
      <w:r w:rsidRPr="00FF46E3" w:rsidR="00C20E44">
        <w:rPr>
          <w:rStyle w:val="Voetnootmarkering"/>
          <w:rFonts w:ascii="Verdana" w:hAnsi="Verdana"/>
          <w:sz w:val="18"/>
          <w:szCs w:val="18"/>
        </w:rPr>
        <w:footnoteReference w:id="10"/>
      </w:r>
      <w:r w:rsidRPr="00FF46E3" w:rsidR="00032F47">
        <w:rPr>
          <w:rFonts w:ascii="Verdana" w:hAnsi="Verdana"/>
          <w:sz w:val="18"/>
          <w:szCs w:val="18"/>
        </w:rPr>
        <w:t xml:space="preserve"> </w:t>
      </w:r>
      <w:r w:rsidRPr="00FF46E3" w:rsidR="001527AE">
        <w:rPr>
          <w:rFonts w:ascii="Verdana" w:hAnsi="Verdana"/>
          <w:sz w:val="18"/>
          <w:szCs w:val="18"/>
        </w:rPr>
        <w:t xml:space="preserve">en </w:t>
      </w:r>
      <w:r w:rsidRPr="00FF46E3" w:rsidR="00C20E44">
        <w:rPr>
          <w:rFonts w:ascii="Verdana" w:hAnsi="Verdana"/>
          <w:sz w:val="18"/>
          <w:szCs w:val="18"/>
        </w:rPr>
        <w:t xml:space="preserve">wordt met de NIS2-richtlijn </w:t>
      </w:r>
      <w:r w:rsidRPr="00FF46E3" w:rsidR="001527AE">
        <w:rPr>
          <w:rFonts w:ascii="Verdana" w:hAnsi="Verdana"/>
          <w:sz w:val="18"/>
          <w:szCs w:val="18"/>
        </w:rPr>
        <w:t xml:space="preserve">het </w:t>
      </w:r>
      <w:r w:rsidRPr="00FF46E3" w:rsidR="00C20E44">
        <w:rPr>
          <w:rFonts w:ascii="Verdana" w:hAnsi="Verdana"/>
          <w:sz w:val="18"/>
          <w:szCs w:val="18"/>
        </w:rPr>
        <w:t>EU-</w:t>
      </w:r>
      <w:r w:rsidRPr="00FF46E3" w:rsidR="001527AE">
        <w:rPr>
          <w:rFonts w:ascii="Verdana" w:hAnsi="Verdana"/>
          <w:sz w:val="18"/>
          <w:szCs w:val="18"/>
        </w:rPr>
        <w:t>netwerk van verbindingsorganisaties voor cybercrises (EU-</w:t>
      </w:r>
      <w:proofErr w:type="spellStart"/>
      <w:r w:rsidRPr="00FF46E3" w:rsidR="001527AE">
        <w:rPr>
          <w:rFonts w:ascii="Verdana" w:hAnsi="Verdana"/>
          <w:sz w:val="18"/>
          <w:szCs w:val="18"/>
        </w:rPr>
        <w:t>CyCLONe</w:t>
      </w:r>
      <w:proofErr w:type="spellEnd"/>
      <w:r w:rsidRPr="00FF46E3" w:rsidR="001527AE">
        <w:rPr>
          <w:rFonts w:ascii="Verdana" w:hAnsi="Verdana"/>
          <w:sz w:val="18"/>
          <w:szCs w:val="18"/>
        </w:rPr>
        <w:t>) opgericht.</w:t>
      </w:r>
      <w:r w:rsidRPr="00FF46E3" w:rsidR="00C20E44">
        <w:rPr>
          <w:rStyle w:val="Voetnootmarkering"/>
          <w:rFonts w:ascii="Verdana" w:hAnsi="Verdana"/>
          <w:sz w:val="18"/>
          <w:szCs w:val="18"/>
        </w:rPr>
        <w:footnoteReference w:id="11"/>
      </w:r>
    </w:p>
    <w:p w:rsidRPr="00FF46E3" w:rsidR="00C87714" w:rsidP="006200DD" w:rsidRDefault="006D32F6" w14:paraId="6B57FDB8" w14:textId="3A6A385D">
      <w:pPr>
        <w:pStyle w:val="Geenafstand"/>
        <w:rPr>
          <w:rFonts w:ascii="Verdana" w:hAnsi="Verdana"/>
          <w:sz w:val="18"/>
          <w:szCs w:val="18"/>
        </w:rPr>
      </w:pPr>
      <w:r w:rsidRPr="00FF46E3">
        <w:rPr>
          <w:rFonts w:ascii="Verdana" w:hAnsi="Verdana"/>
          <w:sz w:val="18"/>
          <w:szCs w:val="18"/>
        </w:rPr>
        <w:t xml:space="preserve">Op het gebied van de samenwerking op internationaal niveau biedt de </w:t>
      </w:r>
      <w:r w:rsidRPr="00FF46E3" w:rsidR="00E849C2">
        <w:rPr>
          <w:rFonts w:ascii="Verdana" w:hAnsi="Verdana"/>
          <w:sz w:val="18"/>
          <w:szCs w:val="18"/>
        </w:rPr>
        <w:t>NIS2-</w:t>
      </w:r>
      <w:r w:rsidRPr="00FF46E3">
        <w:rPr>
          <w:rFonts w:ascii="Verdana" w:hAnsi="Verdana"/>
          <w:sz w:val="18"/>
          <w:szCs w:val="18"/>
        </w:rPr>
        <w:t xml:space="preserve">richtlijn de mogelijkheid voor de </w:t>
      </w:r>
      <w:r w:rsidRPr="00FF46E3" w:rsidR="00C20E44">
        <w:rPr>
          <w:rFonts w:ascii="Verdana" w:hAnsi="Verdana"/>
          <w:sz w:val="18"/>
          <w:szCs w:val="18"/>
        </w:rPr>
        <w:t>EU</w:t>
      </w:r>
      <w:r w:rsidRPr="00FF46E3">
        <w:rPr>
          <w:rFonts w:ascii="Verdana" w:hAnsi="Verdana"/>
          <w:sz w:val="18"/>
          <w:szCs w:val="18"/>
        </w:rPr>
        <w:t xml:space="preserve"> om </w:t>
      </w:r>
      <w:r w:rsidRPr="00FF46E3" w:rsidR="00487FD0">
        <w:rPr>
          <w:rFonts w:ascii="Verdana" w:hAnsi="Verdana"/>
          <w:sz w:val="18"/>
          <w:szCs w:val="18"/>
        </w:rPr>
        <w:t>internationale overeenkomsten met derde landen of internationale organisaties</w:t>
      </w:r>
      <w:r w:rsidRPr="00FF46E3">
        <w:rPr>
          <w:rFonts w:ascii="Verdana" w:hAnsi="Verdana"/>
          <w:sz w:val="18"/>
          <w:szCs w:val="18"/>
        </w:rPr>
        <w:t xml:space="preserve"> te sluiten voor </w:t>
      </w:r>
      <w:r w:rsidRPr="00FF46E3" w:rsidR="00487FD0">
        <w:rPr>
          <w:rFonts w:ascii="Verdana" w:hAnsi="Verdana"/>
          <w:sz w:val="18"/>
          <w:szCs w:val="18"/>
        </w:rPr>
        <w:t xml:space="preserve">hun deelname aan </w:t>
      </w:r>
      <w:r w:rsidRPr="00FF46E3">
        <w:rPr>
          <w:rFonts w:ascii="Verdana" w:hAnsi="Verdana"/>
          <w:sz w:val="18"/>
          <w:szCs w:val="18"/>
        </w:rPr>
        <w:t xml:space="preserve">en de organisatie van </w:t>
      </w:r>
      <w:r w:rsidRPr="00FF46E3" w:rsidR="00487FD0">
        <w:rPr>
          <w:rFonts w:ascii="Verdana" w:hAnsi="Verdana"/>
          <w:sz w:val="18"/>
          <w:szCs w:val="18"/>
        </w:rPr>
        <w:t>bepaalde activiteiten van de samenwerkingsgroep, het CSIRT</w:t>
      </w:r>
      <w:r w:rsidRPr="00FF46E3" w:rsidR="00D7224B">
        <w:rPr>
          <w:rFonts w:ascii="Verdana" w:hAnsi="Verdana"/>
          <w:sz w:val="18"/>
          <w:szCs w:val="18"/>
        </w:rPr>
        <w:t>-</w:t>
      </w:r>
      <w:r w:rsidRPr="00FF46E3" w:rsidR="00487FD0">
        <w:rPr>
          <w:rFonts w:ascii="Verdana" w:hAnsi="Verdana"/>
          <w:sz w:val="18"/>
          <w:szCs w:val="18"/>
        </w:rPr>
        <w:t>netwerk en EU-</w:t>
      </w:r>
      <w:proofErr w:type="spellStart"/>
      <w:r w:rsidRPr="00FF46E3" w:rsidR="00487FD0">
        <w:rPr>
          <w:rFonts w:ascii="Verdana" w:hAnsi="Verdana"/>
          <w:sz w:val="18"/>
          <w:szCs w:val="18"/>
        </w:rPr>
        <w:t>CyCLONe</w:t>
      </w:r>
      <w:proofErr w:type="spellEnd"/>
      <w:r w:rsidRPr="00FF46E3" w:rsidR="00487FD0">
        <w:rPr>
          <w:rFonts w:ascii="Verdana" w:hAnsi="Verdana"/>
          <w:sz w:val="18"/>
          <w:szCs w:val="18"/>
        </w:rPr>
        <w:t>.</w:t>
      </w:r>
      <w:r w:rsidRPr="00FF46E3" w:rsidR="00C20E44">
        <w:rPr>
          <w:rStyle w:val="Voetnootmarkering"/>
          <w:rFonts w:ascii="Verdana" w:hAnsi="Verdana"/>
          <w:sz w:val="18"/>
          <w:szCs w:val="18"/>
        </w:rPr>
        <w:footnoteReference w:id="12"/>
      </w:r>
      <w:r w:rsidRPr="00FF46E3" w:rsidR="00487FD0">
        <w:rPr>
          <w:rFonts w:ascii="Verdana" w:hAnsi="Verdana"/>
          <w:sz w:val="18"/>
          <w:szCs w:val="18"/>
        </w:rPr>
        <w:t xml:space="preserve"> </w:t>
      </w:r>
    </w:p>
    <w:bookmarkEnd w:id="11"/>
    <w:p w:rsidRPr="00FF46E3" w:rsidR="00487FD0" w:rsidP="006200DD" w:rsidRDefault="00487FD0" w14:paraId="7F00752A" w14:textId="77777777">
      <w:pPr>
        <w:pStyle w:val="Geenafstand"/>
        <w:rPr>
          <w:rFonts w:ascii="Verdana" w:hAnsi="Verdana"/>
          <w:sz w:val="18"/>
          <w:szCs w:val="18"/>
        </w:rPr>
      </w:pPr>
    </w:p>
    <w:p w:rsidRPr="00FF46E3" w:rsidR="00270375" w:rsidP="00CB230D" w:rsidRDefault="00270375" w14:paraId="485BCC54" w14:textId="1CFEF960">
      <w:pPr>
        <w:pStyle w:val="Kop2"/>
        <w:rPr>
          <w:szCs w:val="18"/>
        </w:rPr>
      </w:pPr>
      <w:bookmarkStart w:name="_Toc198721056" w:id="12"/>
      <w:r w:rsidRPr="00FF46E3">
        <w:rPr>
          <w:szCs w:val="18"/>
        </w:rPr>
        <w:t>2.</w:t>
      </w:r>
      <w:r w:rsidR="001B57F3">
        <w:rPr>
          <w:szCs w:val="18"/>
        </w:rPr>
        <w:t>3</w:t>
      </w:r>
      <w:r w:rsidRPr="00FF46E3">
        <w:rPr>
          <w:szCs w:val="18"/>
        </w:rPr>
        <w:t xml:space="preserve"> Verhouding tot de CER-richtlijn</w:t>
      </w:r>
      <w:r w:rsidR="007A2454">
        <w:rPr>
          <w:szCs w:val="18"/>
        </w:rPr>
        <w:t xml:space="preserve"> en de </w:t>
      </w:r>
      <w:proofErr w:type="spellStart"/>
      <w:r w:rsidR="00BE641B">
        <w:rPr>
          <w:szCs w:val="18"/>
        </w:rPr>
        <w:t>Wwke</w:t>
      </w:r>
      <w:bookmarkEnd w:id="12"/>
      <w:proofErr w:type="spellEnd"/>
    </w:p>
    <w:p w:rsidRPr="00FF46E3" w:rsidR="00ED1DCB" w:rsidP="006200DD" w:rsidRDefault="00ED1DCB" w14:paraId="658E4244" w14:textId="77777777">
      <w:pPr>
        <w:pStyle w:val="Geenafstand"/>
        <w:tabs>
          <w:tab w:val="left" w:pos="7157"/>
        </w:tabs>
        <w:rPr>
          <w:rFonts w:ascii="Verdana" w:hAnsi="Verdana"/>
          <w:sz w:val="18"/>
          <w:szCs w:val="18"/>
        </w:rPr>
      </w:pPr>
    </w:p>
    <w:p w:rsidRPr="00FF46E3" w:rsidR="0026475A" w:rsidP="0026475A" w:rsidRDefault="00CD4A5E" w14:paraId="518A4BA0" w14:textId="247B3D9E">
      <w:pPr>
        <w:pStyle w:val="Default"/>
        <w:rPr>
          <w:rFonts w:ascii="Verdana" w:hAnsi="Verdana"/>
          <w:color w:val="auto"/>
          <w:sz w:val="18"/>
          <w:szCs w:val="18"/>
        </w:rPr>
      </w:pPr>
      <w:r w:rsidRPr="00FF46E3">
        <w:rPr>
          <w:rFonts w:ascii="Verdana" w:hAnsi="Verdana"/>
          <w:color w:val="auto"/>
          <w:sz w:val="18"/>
          <w:szCs w:val="18"/>
        </w:rPr>
        <w:t xml:space="preserve">Gelijktijdig aan de NIS2-richtlijn is de </w:t>
      </w:r>
      <w:bookmarkStart w:name="_Hlk148083582" w:id="13"/>
      <w:r w:rsidRPr="00FF46E3">
        <w:rPr>
          <w:rFonts w:ascii="Verdana" w:hAnsi="Verdana"/>
          <w:color w:val="auto"/>
          <w:sz w:val="18"/>
          <w:szCs w:val="18"/>
        </w:rPr>
        <w:t xml:space="preserve">Richtlijn (EU) 2022/2557 van het Europees Parlement en de Raad van 14 december 2022 betreffende de weerbaarheid van kritieke entiteiten en tot intrekking van Richtlijn 2008/114/EG van de Raad </w:t>
      </w:r>
      <w:bookmarkEnd w:id="13"/>
      <w:r w:rsidRPr="00FF46E3">
        <w:rPr>
          <w:rFonts w:ascii="Verdana" w:hAnsi="Verdana"/>
          <w:color w:val="auto"/>
          <w:sz w:val="18"/>
          <w:szCs w:val="18"/>
        </w:rPr>
        <w:t>vastgesteld.</w:t>
      </w:r>
      <w:r w:rsidRPr="00FF46E3" w:rsidR="00F7722A">
        <w:rPr>
          <w:rStyle w:val="Voetnootmarkering"/>
          <w:rFonts w:ascii="Verdana" w:hAnsi="Verdana"/>
          <w:color w:val="auto"/>
          <w:sz w:val="18"/>
          <w:szCs w:val="18"/>
        </w:rPr>
        <w:footnoteReference w:id="13"/>
      </w:r>
      <w:r w:rsidRPr="00FF46E3">
        <w:rPr>
          <w:rFonts w:ascii="Verdana" w:hAnsi="Verdana"/>
          <w:color w:val="auto"/>
          <w:sz w:val="18"/>
          <w:szCs w:val="18"/>
        </w:rPr>
        <w:t xml:space="preserve"> Die richtlijn wordt hierna aangeduid als de CER-richtlijn, ontleend aan de woorden </w:t>
      </w:r>
      <w:proofErr w:type="spellStart"/>
      <w:r w:rsidRPr="00FF46E3">
        <w:rPr>
          <w:rFonts w:ascii="Verdana" w:hAnsi="Verdana"/>
          <w:i/>
          <w:iCs/>
          <w:color w:val="auto"/>
          <w:sz w:val="18"/>
          <w:szCs w:val="18"/>
        </w:rPr>
        <w:t>critical</w:t>
      </w:r>
      <w:proofErr w:type="spellEnd"/>
      <w:r w:rsidRPr="00FF46E3">
        <w:rPr>
          <w:rFonts w:ascii="Verdana" w:hAnsi="Verdana"/>
          <w:i/>
          <w:iCs/>
          <w:color w:val="auto"/>
          <w:sz w:val="18"/>
          <w:szCs w:val="18"/>
        </w:rPr>
        <w:t xml:space="preserve"> </w:t>
      </w:r>
      <w:proofErr w:type="spellStart"/>
      <w:r w:rsidRPr="00FF46E3">
        <w:rPr>
          <w:rFonts w:ascii="Verdana" w:hAnsi="Verdana"/>
          <w:i/>
          <w:iCs/>
          <w:color w:val="auto"/>
          <w:sz w:val="18"/>
          <w:szCs w:val="18"/>
        </w:rPr>
        <w:t>entities</w:t>
      </w:r>
      <w:proofErr w:type="spellEnd"/>
      <w:r w:rsidRPr="00FF46E3">
        <w:rPr>
          <w:rFonts w:ascii="Verdana" w:hAnsi="Verdana"/>
          <w:i/>
          <w:iCs/>
          <w:color w:val="auto"/>
          <w:sz w:val="18"/>
          <w:szCs w:val="18"/>
        </w:rPr>
        <w:t xml:space="preserve"> </w:t>
      </w:r>
      <w:r w:rsidRPr="00FF46E3">
        <w:rPr>
          <w:rFonts w:ascii="Verdana" w:hAnsi="Verdana"/>
          <w:color w:val="auto"/>
          <w:sz w:val="18"/>
          <w:szCs w:val="18"/>
        </w:rPr>
        <w:t>en</w:t>
      </w:r>
      <w:r w:rsidRPr="00FF46E3">
        <w:rPr>
          <w:rFonts w:ascii="Verdana" w:hAnsi="Verdana"/>
          <w:i/>
          <w:iCs/>
          <w:color w:val="auto"/>
          <w:sz w:val="18"/>
          <w:szCs w:val="18"/>
        </w:rPr>
        <w:t xml:space="preserve"> </w:t>
      </w:r>
      <w:proofErr w:type="spellStart"/>
      <w:r w:rsidRPr="00FF46E3">
        <w:rPr>
          <w:rFonts w:ascii="Verdana" w:hAnsi="Verdana"/>
          <w:i/>
          <w:iCs/>
          <w:color w:val="auto"/>
          <w:sz w:val="18"/>
          <w:szCs w:val="18"/>
        </w:rPr>
        <w:t>resilience</w:t>
      </w:r>
      <w:proofErr w:type="spellEnd"/>
      <w:r w:rsidRPr="00FF46E3">
        <w:rPr>
          <w:rFonts w:ascii="Verdana" w:hAnsi="Verdana"/>
          <w:i/>
          <w:iCs/>
          <w:color w:val="auto"/>
          <w:sz w:val="18"/>
          <w:szCs w:val="18"/>
        </w:rPr>
        <w:t xml:space="preserve"> </w:t>
      </w:r>
      <w:r w:rsidRPr="00FF46E3">
        <w:rPr>
          <w:rFonts w:ascii="Verdana" w:hAnsi="Verdana"/>
          <w:color w:val="auto"/>
          <w:sz w:val="18"/>
          <w:szCs w:val="18"/>
        </w:rPr>
        <w:t xml:space="preserve">die voorkomen in de titel van de Engelstalige naam van die richtlijn. Voor de CER-richtlijn geldt dezelfde </w:t>
      </w:r>
      <w:r w:rsidR="00C80D06">
        <w:rPr>
          <w:rFonts w:ascii="Verdana" w:hAnsi="Verdana"/>
          <w:color w:val="auto"/>
          <w:sz w:val="18"/>
          <w:szCs w:val="18"/>
        </w:rPr>
        <w:t>termijn waarbinnen de richtlijn moet zijn omgezet</w:t>
      </w:r>
      <w:r w:rsidRPr="00FF46E3">
        <w:rPr>
          <w:rFonts w:ascii="Verdana" w:hAnsi="Verdana"/>
          <w:color w:val="auto"/>
          <w:sz w:val="18"/>
          <w:szCs w:val="18"/>
        </w:rPr>
        <w:t xml:space="preserve"> </w:t>
      </w:r>
      <w:r w:rsidRPr="00FF46E3" w:rsidR="004B6AB9">
        <w:rPr>
          <w:rFonts w:ascii="Verdana" w:hAnsi="Verdana"/>
          <w:color w:val="auto"/>
          <w:sz w:val="18"/>
          <w:szCs w:val="18"/>
        </w:rPr>
        <w:t xml:space="preserve">in nationale regelgeving </w:t>
      </w:r>
      <w:r w:rsidR="00C80D06">
        <w:rPr>
          <w:rFonts w:ascii="Verdana" w:hAnsi="Verdana"/>
          <w:color w:val="auto"/>
          <w:sz w:val="18"/>
          <w:szCs w:val="18"/>
        </w:rPr>
        <w:t>als voor de NIS2-richtlijn</w:t>
      </w:r>
      <w:r w:rsidRPr="00FF46E3">
        <w:rPr>
          <w:rFonts w:ascii="Verdana" w:hAnsi="Verdana"/>
          <w:color w:val="auto"/>
          <w:sz w:val="18"/>
          <w:szCs w:val="18"/>
        </w:rPr>
        <w:t>.</w:t>
      </w:r>
      <w:r w:rsidRPr="00FF46E3" w:rsidR="0026475A">
        <w:rPr>
          <w:rFonts w:ascii="Verdana" w:hAnsi="Verdana"/>
          <w:color w:val="auto"/>
          <w:sz w:val="18"/>
          <w:szCs w:val="18"/>
        </w:rPr>
        <w:t xml:space="preserve"> De CER-richtlijn wordt in Nederland geïmplementeerd in de Wet weerbaarheid kritieke entiteiten (hierna: </w:t>
      </w:r>
      <w:proofErr w:type="spellStart"/>
      <w:r w:rsidRPr="00FF46E3" w:rsidR="0026475A">
        <w:rPr>
          <w:rFonts w:ascii="Verdana" w:hAnsi="Verdana"/>
          <w:color w:val="auto"/>
          <w:sz w:val="18"/>
          <w:szCs w:val="18"/>
        </w:rPr>
        <w:t>Wwke</w:t>
      </w:r>
      <w:proofErr w:type="spellEnd"/>
      <w:r w:rsidRPr="00FF46E3" w:rsidR="0026475A">
        <w:rPr>
          <w:rFonts w:ascii="Verdana" w:hAnsi="Verdana"/>
          <w:color w:val="auto"/>
          <w:sz w:val="18"/>
          <w:szCs w:val="18"/>
        </w:rPr>
        <w:t>).</w:t>
      </w:r>
    </w:p>
    <w:p w:rsidRPr="00FF46E3" w:rsidR="00CD4A5E" w:rsidP="00CD4A5E" w:rsidRDefault="00CD4A5E" w14:paraId="4E03D535" w14:textId="77777777">
      <w:pPr>
        <w:pStyle w:val="Geenafstand"/>
        <w:rPr>
          <w:rFonts w:ascii="Verdana" w:hAnsi="Verdana"/>
          <w:sz w:val="18"/>
          <w:szCs w:val="18"/>
        </w:rPr>
      </w:pPr>
    </w:p>
    <w:p w:rsidRPr="00FF46E3" w:rsidR="00FC439C" w:rsidP="006200DD" w:rsidRDefault="00AE2CDE" w14:paraId="38D314FE" w14:textId="5DDF8207">
      <w:pPr>
        <w:pStyle w:val="Default"/>
        <w:autoSpaceDE/>
        <w:autoSpaceDN/>
        <w:adjustRightInd/>
        <w:rPr>
          <w:rFonts w:ascii="Verdana" w:hAnsi="Verdana"/>
          <w:color w:val="auto"/>
          <w:sz w:val="18"/>
          <w:szCs w:val="18"/>
        </w:rPr>
      </w:pPr>
      <w:r w:rsidRPr="00FF46E3">
        <w:rPr>
          <w:rFonts w:ascii="Verdana" w:hAnsi="Verdana"/>
          <w:color w:val="auto"/>
          <w:sz w:val="18"/>
          <w:szCs w:val="18"/>
        </w:rPr>
        <w:t xml:space="preserve">De CER-richtlijn </w:t>
      </w:r>
      <w:r w:rsidRPr="00FF46E3" w:rsidR="000A1B95">
        <w:rPr>
          <w:rFonts w:ascii="Verdana" w:hAnsi="Verdana"/>
          <w:color w:val="auto"/>
          <w:sz w:val="18"/>
          <w:szCs w:val="18"/>
        </w:rPr>
        <w:t>ziet op het</w:t>
      </w:r>
      <w:r w:rsidRPr="00FF46E3" w:rsidR="00CC1FE0">
        <w:rPr>
          <w:rFonts w:ascii="Verdana" w:hAnsi="Verdana"/>
          <w:color w:val="auto"/>
          <w:sz w:val="18"/>
          <w:szCs w:val="18"/>
        </w:rPr>
        <w:t xml:space="preserve"> verhogen van de </w:t>
      </w:r>
      <w:r w:rsidRPr="00FF46E3" w:rsidR="000A1B95">
        <w:rPr>
          <w:rFonts w:ascii="Verdana" w:hAnsi="Verdana"/>
          <w:color w:val="auto"/>
          <w:sz w:val="18"/>
          <w:szCs w:val="18"/>
        </w:rPr>
        <w:t xml:space="preserve">weerbaarheid van </w:t>
      </w:r>
      <w:r w:rsidRPr="00FF46E3" w:rsidR="00CC1FE0">
        <w:rPr>
          <w:rFonts w:ascii="Verdana" w:hAnsi="Verdana"/>
          <w:color w:val="auto"/>
          <w:sz w:val="18"/>
          <w:szCs w:val="18"/>
        </w:rPr>
        <w:t>kritieke entiteiten</w:t>
      </w:r>
      <w:r w:rsidRPr="00FF46E3" w:rsidR="005C1CF0">
        <w:rPr>
          <w:rFonts w:ascii="Verdana" w:hAnsi="Verdana"/>
          <w:color w:val="auto"/>
          <w:sz w:val="18"/>
          <w:szCs w:val="18"/>
        </w:rPr>
        <w:t>.</w:t>
      </w:r>
      <w:r w:rsidRPr="00FF46E3" w:rsidR="006941B5">
        <w:rPr>
          <w:rFonts w:ascii="Verdana" w:hAnsi="Verdana"/>
          <w:color w:val="auto"/>
          <w:sz w:val="18"/>
          <w:szCs w:val="18"/>
        </w:rPr>
        <w:t xml:space="preserve"> </w:t>
      </w:r>
      <w:r w:rsidRPr="00FF46E3" w:rsidR="005C1CF0">
        <w:rPr>
          <w:rFonts w:ascii="Verdana" w:hAnsi="Verdana"/>
          <w:color w:val="auto"/>
          <w:sz w:val="18"/>
          <w:szCs w:val="18"/>
        </w:rPr>
        <w:t>D</w:t>
      </w:r>
      <w:r w:rsidRPr="00FF46E3" w:rsidR="006941B5">
        <w:rPr>
          <w:rFonts w:ascii="Verdana" w:hAnsi="Verdana"/>
          <w:color w:val="auto"/>
          <w:sz w:val="18"/>
          <w:szCs w:val="18"/>
        </w:rPr>
        <w:t>it zijn aanbieders van essentiële diensten</w:t>
      </w:r>
      <w:r w:rsidRPr="00FF46E3" w:rsidR="00CD4A5E">
        <w:rPr>
          <w:rFonts w:ascii="Verdana" w:hAnsi="Verdana"/>
          <w:color w:val="auto"/>
          <w:sz w:val="18"/>
          <w:szCs w:val="18"/>
        </w:rPr>
        <w:t xml:space="preserve">. </w:t>
      </w:r>
      <w:r w:rsidRPr="00FF46E3" w:rsidR="000A1B95">
        <w:rPr>
          <w:rFonts w:ascii="Verdana" w:hAnsi="Verdana"/>
          <w:color w:val="auto"/>
          <w:sz w:val="18"/>
          <w:szCs w:val="18"/>
        </w:rPr>
        <w:t xml:space="preserve">Die weerbaarheid ziet op </w:t>
      </w:r>
      <w:r w:rsidRPr="00FF46E3" w:rsidR="00FC439C">
        <w:rPr>
          <w:rFonts w:ascii="Verdana" w:hAnsi="Verdana"/>
          <w:color w:val="auto"/>
          <w:sz w:val="18"/>
          <w:szCs w:val="18"/>
        </w:rPr>
        <w:t>natuurlijke en door de mens veroorzaakte risico's die negatieve gevolgen kunnen hebben voor de verlening van essentiële diensten</w:t>
      </w:r>
      <w:r w:rsidRPr="00FF46E3" w:rsidR="00004FCB">
        <w:rPr>
          <w:rFonts w:ascii="Verdana" w:hAnsi="Verdana"/>
          <w:color w:val="auto"/>
          <w:sz w:val="18"/>
          <w:szCs w:val="18"/>
        </w:rPr>
        <w:t xml:space="preserve">. Voorbeelden van zulke risico’s zijn </w:t>
      </w:r>
      <w:r w:rsidRPr="00FF46E3" w:rsidR="00FC439C">
        <w:rPr>
          <w:rFonts w:ascii="Verdana" w:hAnsi="Verdana"/>
          <w:color w:val="auto"/>
          <w:sz w:val="18"/>
          <w:szCs w:val="18"/>
        </w:rPr>
        <w:t xml:space="preserve">ongevallen, natuurrampen, noodsituaties op het gebied van de volksgezondheid </w:t>
      </w:r>
      <w:r w:rsidRPr="00FF46E3" w:rsidR="000A1B95">
        <w:rPr>
          <w:rFonts w:ascii="Verdana" w:hAnsi="Verdana"/>
          <w:color w:val="auto"/>
          <w:sz w:val="18"/>
          <w:szCs w:val="18"/>
        </w:rPr>
        <w:t>(</w:t>
      </w:r>
      <w:r w:rsidRPr="00FF46E3" w:rsidR="00FC439C">
        <w:rPr>
          <w:rFonts w:ascii="Verdana" w:hAnsi="Verdana"/>
          <w:color w:val="auto"/>
          <w:sz w:val="18"/>
          <w:szCs w:val="18"/>
        </w:rPr>
        <w:t>zoals pandemieën</w:t>
      </w:r>
      <w:r w:rsidRPr="00FF46E3" w:rsidR="000A1B95">
        <w:rPr>
          <w:rFonts w:ascii="Verdana" w:hAnsi="Verdana"/>
          <w:color w:val="auto"/>
          <w:sz w:val="18"/>
          <w:szCs w:val="18"/>
        </w:rPr>
        <w:t>)</w:t>
      </w:r>
      <w:r w:rsidRPr="00FF46E3" w:rsidR="00FC439C">
        <w:rPr>
          <w:rFonts w:ascii="Verdana" w:hAnsi="Verdana"/>
          <w:color w:val="auto"/>
          <w:sz w:val="18"/>
          <w:szCs w:val="18"/>
        </w:rPr>
        <w:t xml:space="preserve"> en dreigingen </w:t>
      </w:r>
      <w:r w:rsidRPr="00FF46E3" w:rsidR="000A1B95">
        <w:rPr>
          <w:rFonts w:ascii="Verdana" w:hAnsi="Verdana"/>
          <w:color w:val="auto"/>
          <w:sz w:val="18"/>
          <w:szCs w:val="18"/>
        </w:rPr>
        <w:t>(</w:t>
      </w:r>
      <w:r w:rsidRPr="00FF46E3" w:rsidR="000D589D">
        <w:rPr>
          <w:rFonts w:ascii="Verdana" w:hAnsi="Verdana"/>
          <w:color w:val="auto"/>
          <w:sz w:val="18"/>
          <w:szCs w:val="18"/>
        </w:rPr>
        <w:t xml:space="preserve">zoals </w:t>
      </w:r>
      <w:r w:rsidRPr="00FF46E3" w:rsidR="00FC439C">
        <w:rPr>
          <w:rFonts w:ascii="Verdana" w:hAnsi="Verdana"/>
          <w:color w:val="auto"/>
          <w:sz w:val="18"/>
          <w:szCs w:val="18"/>
        </w:rPr>
        <w:t>terroristische misdrijven, criminele infiltratie en sabotag</w:t>
      </w:r>
      <w:r w:rsidRPr="00FF46E3" w:rsidR="000A1B95">
        <w:rPr>
          <w:rFonts w:ascii="Verdana" w:hAnsi="Verdana"/>
          <w:color w:val="auto"/>
          <w:sz w:val="18"/>
          <w:szCs w:val="18"/>
        </w:rPr>
        <w:t>e)</w:t>
      </w:r>
      <w:r w:rsidRPr="00FF46E3" w:rsidR="00FC439C">
        <w:rPr>
          <w:rFonts w:ascii="Verdana" w:hAnsi="Verdana"/>
          <w:color w:val="auto"/>
          <w:sz w:val="18"/>
          <w:szCs w:val="18"/>
        </w:rPr>
        <w:t>.</w:t>
      </w:r>
    </w:p>
    <w:p w:rsidRPr="00FF46E3" w:rsidR="0000321C" w:rsidP="006200DD" w:rsidRDefault="0000321C" w14:paraId="24F6ADAF" w14:textId="77777777">
      <w:pPr>
        <w:pStyle w:val="Default"/>
        <w:autoSpaceDE/>
        <w:autoSpaceDN/>
        <w:adjustRightInd/>
        <w:rPr>
          <w:rFonts w:ascii="Verdana" w:hAnsi="Verdana"/>
          <w:color w:val="auto"/>
          <w:sz w:val="18"/>
          <w:szCs w:val="18"/>
        </w:rPr>
      </w:pPr>
    </w:p>
    <w:p w:rsidRPr="00FF46E3" w:rsidR="00895F4C" w:rsidP="006200DD" w:rsidRDefault="00A1414F" w14:paraId="0FCE070A" w14:textId="6FF974EB">
      <w:pPr>
        <w:pStyle w:val="Default"/>
        <w:rPr>
          <w:rFonts w:ascii="Verdana" w:hAnsi="Verdana"/>
          <w:color w:val="auto"/>
          <w:sz w:val="18"/>
          <w:szCs w:val="18"/>
        </w:rPr>
      </w:pPr>
      <w:r w:rsidRPr="00FF46E3">
        <w:rPr>
          <w:rFonts w:ascii="Verdana" w:hAnsi="Verdana"/>
          <w:color w:val="auto"/>
          <w:sz w:val="18"/>
          <w:szCs w:val="18"/>
        </w:rPr>
        <w:t xml:space="preserve">Gezien de onderlinge verbanden tussen cyberbeveiliging en de </w:t>
      </w:r>
      <w:r w:rsidRPr="00FF46E3" w:rsidR="00243B96">
        <w:rPr>
          <w:rFonts w:ascii="Verdana" w:hAnsi="Verdana"/>
          <w:color w:val="auto"/>
          <w:sz w:val="18"/>
          <w:szCs w:val="18"/>
        </w:rPr>
        <w:t>weerbaarheid</w:t>
      </w:r>
      <w:r w:rsidRPr="00FF46E3">
        <w:rPr>
          <w:rFonts w:ascii="Verdana" w:hAnsi="Verdana"/>
          <w:color w:val="auto"/>
          <w:sz w:val="18"/>
          <w:szCs w:val="18"/>
        </w:rPr>
        <w:t xml:space="preserve"> van entiteiten</w:t>
      </w:r>
      <w:r w:rsidRPr="00FF46E3" w:rsidR="0018373B">
        <w:rPr>
          <w:rFonts w:ascii="Verdana" w:hAnsi="Verdana"/>
          <w:color w:val="auto"/>
          <w:sz w:val="18"/>
          <w:szCs w:val="18"/>
        </w:rPr>
        <w:t>,</w:t>
      </w:r>
      <w:r w:rsidRPr="00FF46E3">
        <w:rPr>
          <w:rFonts w:ascii="Verdana" w:hAnsi="Verdana"/>
          <w:color w:val="auto"/>
          <w:sz w:val="18"/>
          <w:szCs w:val="18"/>
        </w:rPr>
        <w:t xml:space="preserve"> bevatten de NIS2-richtlijn en de CER-richtlijn waarborgen om te zorgen voor een coherente </w:t>
      </w:r>
      <w:r w:rsidRPr="00FF46E3" w:rsidR="004B6AB9">
        <w:rPr>
          <w:rFonts w:ascii="Verdana" w:hAnsi="Verdana"/>
          <w:color w:val="auto"/>
          <w:sz w:val="18"/>
          <w:szCs w:val="18"/>
        </w:rPr>
        <w:t xml:space="preserve">samenhang </w:t>
      </w:r>
      <w:r w:rsidRPr="00FF46E3">
        <w:rPr>
          <w:rFonts w:ascii="Verdana" w:hAnsi="Verdana"/>
          <w:color w:val="auto"/>
          <w:sz w:val="18"/>
          <w:szCs w:val="18"/>
        </w:rPr>
        <w:t>tussen de richtlijnen. Daartoe regelt de NIS2-richtlijn dat entiteiten die uit hoofde van de CER-richtlijn worden aangewezen als kritieke entiteit, ook onder het toepassingsbereik van de NIS2-richtlijn vallen en automatisch als essentiële entiteit in de zin van de NIS2-richtlijn</w:t>
      </w:r>
      <w:r w:rsidRPr="00FF46E3" w:rsidR="004B6AB9">
        <w:rPr>
          <w:rFonts w:ascii="Verdana" w:hAnsi="Verdana"/>
          <w:color w:val="auto"/>
          <w:sz w:val="18"/>
          <w:szCs w:val="18"/>
        </w:rPr>
        <w:t xml:space="preserve"> kwalificeren</w:t>
      </w:r>
      <w:r w:rsidRPr="00FF46E3">
        <w:rPr>
          <w:rFonts w:ascii="Verdana" w:hAnsi="Verdana"/>
          <w:color w:val="auto"/>
          <w:sz w:val="18"/>
          <w:szCs w:val="18"/>
        </w:rPr>
        <w:t>.</w:t>
      </w:r>
      <w:r w:rsidRPr="00FF46E3">
        <w:rPr>
          <w:rStyle w:val="Voetnootmarkering"/>
          <w:rFonts w:ascii="Verdana" w:hAnsi="Verdana"/>
          <w:color w:val="auto"/>
          <w:sz w:val="18"/>
          <w:szCs w:val="18"/>
        </w:rPr>
        <w:footnoteReference w:id="14"/>
      </w:r>
      <w:r w:rsidRPr="00FF46E3">
        <w:rPr>
          <w:rFonts w:ascii="Verdana" w:hAnsi="Verdana"/>
          <w:color w:val="auto"/>
          <w:sz w:val="18"/>
          <w:szCs w:val="18"/>
        </w:rPr>
        <w:t xml:space="preserve"> Andersom geldt dat echter niet: een essentiële entiteit kwalificeert niet automatisch als kritieke entiteit, omdat kritieke entiteiten eerst als zodanig moeten worden aangewezen. </w:t>
      </w:r>
      <w:r w:rsidRPr="00FF46E3" w:rsidR="00243B96">
        <w:rPr>
          <w:rFonts w:ascii="Verdana" w:hAnsi="Verdana"/>
          <w:color w:val="auto"/>
          <w:sz w:val="18"/>
          <w:szCs w:val="18"/>
        </w:rPr>
        <w:t>De CER</w:t>
      </w:r>
      <w:r w:rsidRPr="00FF46E3" w:rsidR="0018373B">
        <w:rPr>
          <w:rFonts w:ascii="Verdana" w:hAnsi="Verdana"/>
          <w:color w:val="auto"/>
          <w:sz w:val="18"/>
          <w:szCs w:val="18"/>
        </w:rPr>
        <w:t>-</w:t>
      </w:r>
      <w:r w:rsidRPr="00FF46E3" w:rsidR="00243B96">
        <w:rPr>
          <w:rFonts w:ascii="Verdana" w:hAnsi="Verdana"/>
          <w:color w:val="auto"/>
          <w:sz w:val="18"/>
          <w:szCs w:val="18"/>
        </w:rPr>
        <w:t>richtlijn regelt verder dat deze niet van toepassing is op aangelegenheden die vallen onder de NIS2</w:t>
      </w:r>
      <w:r w:rsidRPr="00FF46E3" w:rsidR="0018373B">
        <w:rPr>
          <w:rFonts w:ascii="Verdana" w:hAnsi="Verdana"/>
          <w:color w:val="auto"/>
          <w:sz w:val="18"/>
          <w:szCs w:val="18"/>
        </w:rPr>
        <w:t>-</w:t>
      </w:r>
      <w:r w:rsidRPr="00FF46E3" w:rsidR="00243B96">
        <w:rPr>
          <w:rFonts w:ascii="Verdana" w:hAnsi="Verdana"/>
          <w:color w:val="auto"/>
          <w:sz w:val="18"/>
          <w:szCs w:val="18"/>
        </w:rPr>
        <w:t>richtlijn.</w:t>
      </w:r>
      <w:r w:rsidRPr="00FF46E3" w:rsidR="004B6AB9">
        <w:rPr>
          <w:rStyle w:val="Voetnootmarkering"/>
          <w:rFonts w:ascii="Verdana" w:hAnsi="Verdana"/>
          <w:color w:val="auto"/>
          <w:sz w:val="18"/>
          <w:szCs w:val="18"/>
        </w:rPr>
        <w:footnoteReference w:id="15"/>
      </w:r>
      <w:r w:rsidRPr="00FF46E3" w:rsidR="00243B96">
        <w:rPr>
          <w:rFonts w:ascii="Verdana" w:hAnsi="Verdana"/>
          <w:color w:val="auto"/>
          <w:sz w:val="18"/>
          <w:szCs w:val="18"/>
        </w:rPr>
        <w:t xml:space="preserve"> </w:t>
      </w:r>
      <w:r w:rsidRPr="00FF46E3">
        <w:rPr>
          <w:rFonts w:ascii="Verdana" w:hAnsi="Verdana"/>
          <w:color w:val="auto"/>
          <w:sz w:val="18"/>
          <w:szCs w:val="18"/>
        </w:rPr>
        <w:t xml:space="preserve">Verder voorzien de richtlijnen in bepalingen over onder meer de samenwerking en informatie-uitwisseling tussen de bevoegde NIS2- en CER-autoriteiten. </w:t>
      </w:r>
    </w:p>
    <w:p w:rsidRPr="00FF46E3" w:rsidR="004C21F9" w:rsidP="006200DD" w:rsidRDefault="004C21F9" w14:paraId="0E458E04" w14:textId="798D9C26">
      <w:pPr>
        <w:pStyle w:val="Default"/>
        <w:rPr>
          <w:rFonts w:ascii="Verdana" w:hAnsi="Verdana"/>
          <w:color w:val="auto"/>
          <w:sz w:val="18"/>
          <w:szCs w:val="18"/>
        </w:rPr>
      </w:pPr>
    </w:p>
    <w:p w:rsidRPr="00FF46E3" w:rsidR="000F580B" w:rsidP="000F580B" w:rsidRDefault="004C21F9" w14:paraId="19D04234" w14:textId="3E41C697">
      <w:pPr>
        <w:pStyle w:val="Geenafstand"/>
        <w:rPr>
          <w:rFonts w:ascii="Verdana" w:hAnsi="Verdana"/>
          <w:sz w:val="18"/>
          <w:szCs w:val="18"/>
          <w:shd w:val="clear" w:color="auto" w:fill="FFFFFF"/>
        </w:rPr>
      </w:pPr>
      <w:r w:rsidRPr="00FF46E3">
        <w:rPr>
          <w:rFonts w:ascii="Verdana" w:hAnsi="Verdana"/>
          <w:sz w:val="18"/>
          <w:szCs w:val="18"/>
          <w:shd w:val="clear" w:color="auto" w:fill="FFFFFF"/>
        </w:rPr>
        <w:t xml:space="preserve">De </w:t>
      </w:r>
      <w:proofErr w:type="spellStart"/>
      <w:r w:rsidRPr="00FF46E3" w:rsidR="005C1CF0">
        <w:rPr>
          <w:rFonts w:ascii="Verdana" w:hAnsi="Verdana"/>
          <w:sz w:val="18"/>
          <w:szCs w:val="18"/>
          <w:shd w:val="clear" w:color="auto" w:fill="FFFFFF"/>
        </w:rPr>
        <w:t>Cbw</w:t>
      </w:r>
      <w:proofErr w:type="spellEnd"/>
      <w:r w:rsidRPr="00FF46E3">
        <w:rPr>
          <w:rFonts w:ascii="Verdana" w:hAnsi="Verdana"/>
          <w:sz w:val="18"/>
          <w:szCs w:val="18"/>
          <w:shd w:val="clear" w:color="auto" w:fill="FFFFFF"/>
        </w:rPr>
        <w:t xml:space="preserve"> kent een benadering die alle gevaren omvat (</w:t>
      </w:r>
      <w:proofErr w:type="spellStart"/>
      <w:r w:rsidRPr="00FF46E3">
        <w:rPr>
          <w:rFonts w:ascii="Verdana" w:hAnsi="Verdana"/>
          <w:i/>
          <w:iCs/>
          <w:sz w:val="18"/>
          <w:szCs w:val="18"/>
          <w:shd w:val="clear" w:color="auto" w:fill="FFFFFF"/>
        </w:rPr>
        <w:t>all</w:t>
      </w:r>
      <w:proofErr w:type="spellEnd"/>
      <w:r w:rsidRPr="00FF46E3">
        <w:rPr>
          <w:rFonts w:ascii="Verdana" w:hAnsi="Verdana"/>
          <w:i/>
          <w:iCs/>
          <w:sz w:val="18"/>
          <w:szCs w:val="18"/>
          <w:shd w:val="clear" w:color="auto" w:fill="FFFFFF"/>
        </w:rPr>
        <w:t xml:space="preserve"> hazard</w:t>
      </w:r>
      <w:r w:rsidRPr="00FF46E3">
        <w:rPr>
          <w:rFonts w:ascii="Verdana" w:hAnsi="Verdana"/>
          <w:sz w:val="18"/>
          <w:szCs w:val="18"/>
          <w:shd w:val="clear" w:color="auto" w:fill="FFFFFF"/>
        </w:rPr>
        <w:t xml:space="preserve">) </w:t>
      </w:r>
      <w:r w:rsidRPr="00FF46E3">
        <w:rPr>
          <w:rFonts w:ascii="Verdana" w:hAnsi="Verdana"/>
          <w:sz w:val="18"/>
          <w:szCs w:val="18"/>
        </w:rPr>
        <w:t xml:space="preserve">en heeft tot doel om netwerk- en informatiesystemen en de fysieke omgeving daarvan te beschermen tegen gebeurtenissen die de beveiliging van die systemen kunnen aantasten. Het gaat hierbij niet alleen om de enkele bescherming tegen gebeurtenissen met kwade wil, zoals digitale aanvallen, diefstal of ongeoorloofde fysieke toegang. Het gaat ook om de bescherming van die systemen tegen andersoortige gebeurtenissen, zoals natuurrampen. Om de risico’s voor netwerk- en informatiesystemen te beheersen moeten entiteiten maatregelen treffen voor zowel de digitale beveiliging van die systemen als voor de bescherming van de fysieke omgeving en componenten van die systemen, zoals gebouwen en ruimtes waar die systemen zich bevinden. </w:t>
      </w:r>
      <w:r w:rsidRPr="00FF46E3">
        <w:rPr>
          <w:rFonts w:ascii="Verdana" w:hAnsi="Verdana"/>
          <w:sz w:val="18"/>
          <w:szCs w:val="18"/>
          <w:shd w:val="clear" w:color="auto" w:fill="FFFFFF"/>
        </w:rPr>
        <w:t>Het kan voorkomen dat een incident of bijna-incident gevolgen heeft die zowel de netwerk</w:t>
      </w:r>
      <w:r w:rsidRPr="00FF46E3" w:rsidR="003B432D">
        <w:rPr>
          <w:rFonts w:ascii="Verdana" w:hAnsi="Verdana"/>
          <w:sz w:val="18"/>
          <w:szCs w:val="18"/>
          <w:shd w:val="clear" w:color="auto" w:fill="FFFFFF"/>
        </w:rPr>
        <w:t>-</w:t>
      </w:r>
      <w:r w:rsidRPr="00FF46E3">
        <w:rPr>
          <w:rFonts w:ascii="Verdana" w:hAnsi="Verdana"/>
          <w:sz w:val="18"/>
          <w:szCs w:val="18"/>
          <w:shd w:val="clear" w:color="auto" w:fill="FFFFFF"/>
        </w:rPr>
        <w:t xml:space="preserve"> en informatiesystemen als andere fysieke aspecten </w:t>
      </w:r>
      <w:r w:rsidRPr="00FF46E3" w:rsidR="005C1CF0">
        <w:rPr>
          <w:rFonts w:ascii="Verdana" w:hAnsi="Verdana"/>
          <w:sz w:val="18"/>
          <w:szCs w:val="18"/>
          <w:shd w:val="clear" w:color="auto" w:fill="FFFFFF"/>
        </w:rPr>
        <w:t>van</w:t>
      </w:r>
      <w:r w:rsidRPr="00FF46E3">
        <w:rPr>
          <w:rFonts w:ascii="Verdana" w:hAnsi="Verdana"/>
          <w:sz w:val="18"/>
          <w:szCs w:val="18"/>
          <w:shd w:val="clear" w:color="auto" w:fill="FFFFFF"/>
        </w:rPr>
        <w:t xml:space="preserve"> de essentiële dienstverlening raken. In dat geval gelden de verplichtingen van beide wetten. </w:t>
      </w:r>
      <w:r w:rsidRPr="00FF46E3" w:rsidR="003B432D">
        <w:rPr>
          <w:rFonts w:ascii="Verdana" w:hAnsi="Verdana"/>
          <w:sz w:val="18"/>
          <w:szCs w:val="18"/>
          <w:shd w:val="clear" w:color="auto" w:fill="FFFFFF"/>
        </w:rPr>
        <w:t xml:space="preserve">De </w:t>
      </w:r>
      <w:proofErr w:type="spellStart"/>
      <w:r w:rsidRPr="00FF46E3" w:rsidR="003B432D">
        <w:rPr>
          <w:rFonts w:ascii="Verdana" w:hAnsi="Verdana"/>
          <w:sz w:val="18"/>
          <w:szCs w:val="18"/>
          <w:shd w:val="clear" w:color="auto" w:fill="FFFFFF"/>
        </w:rPr>
        <w:t>Wwke</w:t>
      </w:r>
      <w:proofErr w:type="spellEnd"/>
      <w:r w:rsidRPr="00FF46E3" w:rsidR="003B432D">
        <w:rPr>
          <w:rFonts w:ascii="Verdana" w:hAnsi="Verdana"/>
          <w:sz w:val="18"/>
          <w:szCs w:val="18"/>
          <w:shd w:val="clear" w:color="auto" w:fill="FFFFFF"/>
        </w:rPr>
        <w:t xml:space="preserve"> </w:t>
      </w:r>
      <w:r w:rsidRPr="00FF46E3">
        <w:rPr>
          <w:rFonts w:ascii="Verdana" w:hAnsi="Verdana"/>
          <w:sz w:val="18"/>
          <w:szCs w:val="18"/>
          <w:shd w:val="clear" w:color="auto" w:fill="FFFFFF"/>
        </w:rPr>
        <w:lastRenderedPageBreak/>
        <w:t xml:space="preserve">beschrijft dan de verplichtingen van de kritieke entiteit en de respons van de bevoegde autoriteit daarop, die zich niet uitstrekt over de netwerk- en informatiesystemen of de fysieke omgeving daarvan. </w:t>
      </w:r>
      <w:r w:rsidR="002A0530">
        <w:rPr>
          <w:rFonts w:ascii="Verdana" w:hAnsi="Verdana"/>
          <w:sz w:val="18"/>
          <w:szCs w:val="18"/>
          <w:shd w:val="clear" w:color="auto" w:fill="FFFFFF"/>
        </w:rPr>
        <w:t>Op</w:t>
      </w:r>
      <w:r w:rsidRPr="00FF46E3" w:rsidR="002A0530">
        <w:rPr>
          <w:rFonts w:ascii="Verdana" w:hAnsi="Verdana"/>
          <w:sz w:val="18"/>
          <w:szCs w:val="18"/>
          <w:shd w:val="clear" w:color="auto" w:fill="FFFFFF"/>
        </w:rPr>
        <w:t xml:space="preserve"> </w:t>
      </w:r>
      <w:r w:rsidRPr="00FF46E3">
        <w:rPr>
          <w:rFonts w:ascii="Verdana" w:hAnsi="Verdana"/>
          <w:sz w:val="18"/>
          <w:szCs w:val="18"/>
          <w:shd w:val="clear" w:color="auto" w:fill="FFFFFF"/>
        </w:rPr>
        <w:t>die systemen en de omgeving daarvan is de</w:t>
      </w:r>
      <w:r w:rsidRPr="00FF46E3" w:rsidR="00AC37D1">
        <w:rPr>
          <w:rFonts w:ascii="Verdana" w:hAnsi="Verdana"/>
          <w:sz w:val="18"/>
          <w:szCs w:val="18"/>
          <w:shd w:val="clear" w:color="auto" w:fill="FFFFFF"/>
        </w:rPr>
        <w:t xml:space="preserve"> </w:t>
      </w:r>
      <w:proofErr w:type="spellStart"/>
      <w:r w:rsidRPr="00FF46E3" w:rsidR="00ED232D">
        <w:rPr>
          <w:rFonts w:ascii="Verdana" w:hAnsi="Verdana"/>
          <w:sz w:val="18"/>
          <w:szCs w:val="18"/>
          <w:shd w:val="clear" w:color="auto" w:fill="FFFFFF"/>
        </w:rPr>
        <w:t>Cbw</w:t>
      </w:r>
      <w:proofErr w:type="spellEnd"/>
      <w:r w:rsidRPr="00FF46E3" w:rsidR="00ED232D">
        <w:rPr>
          <w:rFonts w:ascii="Verdana" w:hAnsi="Verdana"/>
          <w:sz w:val="18"/>
          <w:szCs w:val="18"/>
          <w:shd w:val="clear" w:color="auto" w:fill="FFFFFF"/>
        </w:rPr>
        <w:t xml:space="preserve"> </w:t>
      </w:r>
      <w:r w:rsidRPr="00FF46E3">
        <w:rPr>
          <w:rFonts w:ascii="Verdana" w:hAnsi="Verdana"/>
          <w:sz w:val="18"/>
          <w:szCs w:val="18"/>
          <w:shd w:val="clear" w:color="auto" w:fill="FFFFFF"/>
        </w:rPr>
        <w:t>van toepassing.</w:t>
      </w:r>
    </w:p>
    <w:p w:rsidRPr="00FF46E3" w:rsidR="0000321C" w:rsidP="00A515C6" w:rsidRDefault="0000321C" w14:paraId="18383B23" w14:textId="404170C7">
      <w:pPr>
        <w:pStyle w:val="Geenafstand"/>
        <w:rPr>
          <w:rFonts w:ascii="Verdana" w:hAnsi="Verdana"/>
          <w:sz w:val="18"/>
          <w:szCs w:val="18"/>
        </w:rPr>
      </w:pPr>
    </w:p>
    <w:p w:rsidRPr="00FF46E3" w:rsidR="0000321C" w:rsidP="00DB4039" w:rsidRDefault="0015232C" w14:paraId="29904B93" w14:textId="5D06C668">
      <w:pPr>
        <w:pStyle w:val="Kop2"/>
      </w:pPr>
      <w:bookmarkStart w:name="_Toc198721057" w:id="14"/>
      <w:bookmarkStart w:name="_Hlk169168241" w:id="15"/>
      <w:r w:rsidRPr="00FF46E3">
        <w:t>2.</w:t>
      </w:r>
      <w:r w:rsidR="001B57F3">
        <w:t>4</w:t>
      </w:r>
      <w:r w:rsidRPr="00FF46E3">
        <w:t xml:space="preserve"> Verhouding tot </w:t>
      </w:r>
      <w:r w:rsidR="009754FB">
        <w:t xml:space="preserve">de </w:t>
      </w:r>
      <w:r w:rsidR="00292166">
        <w:t>DORA</w:t>
      </w:r>
      <w:bookmarkEnd w:id="14"/>
    </w:p>
    <w:p w:rsidRPr="00FF46E3" w:rsidR="0000321C" w:rsidP="006200DD" w:rsidRDefault="0000321C" w14:paraId="236C7DB5" w14:textId="141F441A">
      <w:pPr>
        <w:pStyle w:val="Default"/>
        <w:rPr>
          <w:rFonts w:ascii="Verdana" w:hAnsi="Verdana"/>
          <w:i/>
          <w:iCs/>
          <w:color w:val="auto"/>
          <w:sz w:val="18"/>
          <w:szCs w:val="18"/>
        </w:rPr>
      </w:pPr>
    </w:p>
    <w:p w:rsidRPr="00FF46E3" w:rsidR="008D33BC" w:rsidP="006200DD" w:rsidRDefault="00DB4039" w14:paraId="08C3137C" w14:textId="1F77817C">
      <w:pPr>
        <w:pStyle w:val="Geenafstand"/>
        <w:rPr>
          <w:rFonts w:ascii="Verdana" w:hAnsi="Verdana"/>
          <w:sz w:val="18"/>
          <w:szCs w:val="18"/>
        </w:rPr>
      </w:pPr>
      <w:bookmarkStart w:name="_Hlk197949000" w:id="16"/>
      <w:bookmarkStart w:name="_Hlk148435926" w:id="17"/>
      <w:r w:rsidRPr="00FF46E3">
        <w:rPr>
          <w:rFonts w:ascii="Verdana" w:hAnsi="Verdana"/>
          <w:sz w:val="18"/>
          <w:szCs w:val="18"/>
        </w:rPr>
        <w:t xml:space="preserve">Gelijktijdig </w:t>
      </w:r>
      <w:r w:rsidRPr="00FF46E3" w:rsidR="004B6AB9">
        <w:rPr>
          <w:rFonts w:ascii="Verdana" w:hAnsi="Verdana"/>
          <w:sz w:val="18"/>
          <w:szCs w:val="18"/>
        </w:rPr>
        <w:t xml:space="preserve">met </w:t>
      </w:r>
      <w:r w:rsidRPr="00FF46E3">
        <w:rPr>
          <w:rFonts w:ascii="Verdana" w:hAnsi="Verdana"/>
          <w:sz w:val="18"/>
          <w:szCs w:val="18"/>
        </w:rPr>
        <w:t xml:space="preserve">de NIS2-richtlijn is </w:t>
      </w:r>
      <w:r w:rsidRPr="00FF46E3" w:rsidR="0000321C">
        <w:rPr>
          <w:rFonts w:ascii="Verdana" w:hAnsi="Verdana"/>
          <w:sz w:val="18"/>
          <w:szCs w:val="18"/>
        </w:rPr>
        <w:t xml:space="preserve">de </w:t>
      </w:r>
      <w:r w:rsidR="0035357D">
        <w:rPr>
          <w:rFonts w:ascii="Verdana" w:hAnsi="Verdana"/>
          <w:sz w:val="18"/>
          <w:szCs w:val="18"/>
        </w:rPr>
        <w:t xml:space="preserve">zogeheten </w:t>
      </w:r>
      <w:r w:rsidRPr="00292166" w:rsidR="00292166">
        <w:rPr>
          <w:rFonts w:ascii="Verdana" w:hAnsi="Verdana"/>
          <w:i/>
          <w:iCs/>
          <w:sz w:val="18"/>
          <w:szCs w:val="18"/>
        </w:rPr>
        <w:t xml:space="preserve">Digital </w:t>
      </w:r>
      <w:proofErr w:type="spellStart"/>
      <w:r w:rsidRPr="00292166" w:rsidR="00292166">
        <w:rPr>
          <w:rFonts w:ascii="Verdana" w:hAnsi="Verdana"/>
          <w:i/>
          <w:iCs/>
          <w:sz w:val="18"/>
          <w:szCs w:val="18"/>
        </w:rPr>
        <w:t>Operational</w:t>
      </w:r>
      <w:proofErr w:type="spellEnd"/>
      <w:r w:rsidRPr="00292166" w:rsidR="00292166">
        <w:rPr>
          <w:rFonts w:ascii="Verdana" w:hAnsi="Verdana"/>
          <w:i/>
          <w:iCs/>
          <w:sz w:val="18"/>
          <w:szCs w:val="18"/>
        </w:rPr>
        <w:t xml:space="preserve"> </w:t>
      </w:r>
      <w:proofErr w:type="spellStart"/>
      <w:r w:rsidRPr="00292166" w:rsidR="00292166">
        <w:rPr>
          <w:rFonts w:ascii="Verdana" w:hAnsi="Verdana"/>
          <w:i/>
          <w:iCs/>
          <w:sz w:val="18"/>
          <w:szCs w:val="18"/>
        </w:rPr>
        <w:t>Resilience</w:t>
      </w:r>
      <w:proofErr w:type="spellEnd"/>
      <w:r w:rsidRPr="00292166" w:rsidR="00292166">
        <w:rPr>
          <w:rFonts w:ascii="Verdana" w:hAnsi="Verdana"/>
          <w:i/>
          <w:iCs/>
          <w:sz w:val="18"/>
          <w:szCs w:val="18"/>
        </w:rPr>
        <w:t xml:space="preserve"> Act</w:t>
      </w:r>
      <w:r w:rsidR="00292166">
        <w:rPr>
          <w:rFonts w:ascii="Verdana" w:hAnsi="Verdana"/>
          <w:sz w:val="18"/>
          <w:szCs w:val="18"/>
        </w:rPr>
        <w:t xml:space="preserve"> </w:t>
      </w:r>
      <w:r w:rsidR="00C02545">
        <w:rPr>
          <w:rFonts w:ascii="Verdana" w:hAnsi="Verdana"/>
          <w:sz w:val="18"/>
          <w:szCs w:val="18"/>
        </w:rPr>
        <w:t>(hierna: DORA)</w:t>
      </w:r>
      <w:r w:rsidR="00374F62">
        <w:rPr>
          <w:rFonts w:ascii="Verdana" w:hAnsi="Verdana"/>
          <w:sz w:val="18"/>
          <w:szCs w:val="18"/>
        </w:rPr>
        <w:t xml:space="preserve"> vastgesteld.</w:t>
      </w:r>
      <w:bookmarkEnd w:id="16"/>
      <w:r w:rsidRPr="00FF46E3">
        <w:rPr>
          <w:rStyle w:val="Voetnootmarkering"/>
          <w:rFonts w:ascii="Verdana" w:hAnsi="Verdana"/>
          <w:sz w:val="18"/>
          <w:szCs w:val="18"/>
        </w:rPr>
        <w:footnoteReference w:id="16"/>
      </w:r>
      <w:bookmarkEnd w:id="17"/>
      <w:r w:rsidR="00374F62">
        <w:rPr>
          <w:rFonts w:ascii="Verdana" w:hAnsi="Verdana"/>
          <w:sz w:val="18"/>
          <w:szCs w:val="18"/>
        </w:rPr>
        <w:t xml:space="preserve"> </w:t>
      </w:r>
      <w:r w:rsidR="00192FB3">
        <w:rPr>
          <w:rFonts w:ascii="Verdana" w:hAnsi="Verdana"/>
          <w:sz w:val="18"/>
          <w:szCs w:val="18"/>
        </w:rPr>
        <w:t>Deze verordening is van toepassing op</w:t>
      </w:r>
      <w:r w:rsidRPr="00FF46E3" w:rsidR="00192FB3">
        <w:rPr>
          <w:rFonts w:ascii="Verdana" w:hAnsi="Verdana"/>
          <w:sz w:val="18"/>
          <w:szCs w:val="18"/>
        </w:rPr>
        <w:t xml:space="preserve"> de financiële sector</w:t>
      </w:r>
      <w:r w:rsidR="00192FB3">
        <w:rPr>
          <w:rFonts w:ascii="Verdana" w:hAnsi="Verdana"/>
          <w:sz w:val="18"/>
          <w:szCs w:val="18"/>
        </w:rPr>
        <w:t>.</w:t>
      </w:r>
    </w:p>
    <w:p w:rsidRPr="00FF46E3" w:rsidR="008D33BC" w:rsidP="006200DD" w:rsidRDefault="008D33BC" w14:paraId="07C04C49" w14:textId="77777777">
      <w:pPr>
        <w:pStyle w:val="Geenafstand"/>
        <w:rPr>
          <w:rFonts w:ascii="Verdana" w:hAnsi="Verdana"/>
          <w:sz w:val="18"/>
          <w:szCs w:val="18"/>
        </w:rPr>
      </w:pPr>
    </w:p>
    <w:p w:rsidRPr="00FF46E3" w:rsidR="00B4013E" w:rsidP="006200DD" w:rsidRDefault="0000321C" w14:paraId="1B450668" w14:textId="4A3EEA78">
      <w:pPr>
        <w:pStyle w:val="Geenafstand"/>
        <w:rPr>
          <w:rFonts w:ascii="Verdana" w:hAnsi="Verdana"/>
          <w:sz w:val="18"/>
          <w:szCs w:val="18"/>
        </w:rPr>
      </w:pPr>
      <w:r w:rsidRPr="00FF46E3">
        <w:rPr>
          <w:rFonts w:ascii="Verdana" w:hAnsi="Verdana"/>
          <w:sz w:val="18"/>
          <w:szCs w:val="18"/>
        </w:rPr>
        <w:t xml:space="preserve">De bepalingen van de </w:t>
      </w:r>
      <w:r w:rsidR="00C02545">
        <w:rPr>
          <w:rFonts w:ascii="Verdana" w:hAnsi="Verdana"/>
          <w:sz w:val="18"/>
          <w:szCs w:val="18"/>
        </w:rPr>
        <w:t>DORA</w:t>
      </w:r>
      <w:r w:rsidRPr="00FF46E3" w:rsidDel="00C02545" w:rsidR="00C02545">
        <w:rPr>
          <w:rFonts w:ascii="Verdana" w:hAnsi="Verdana"/>
          <w:sz w:val="18"/>
          <w:szCs w:val="18"/>
        </w:rPr>
        <w:t xml:space="preserve"> </w:t>
      </w:r>
      <w:r w:rsidRPr="00FF46E3">
        <w:rPr>
          <w:rFonts w:ascii="Verdana" w:hAnsi="Verdana"/>
          <w:sz w:val="18"/>
          <w:szCs w:val="18"/>
        </w:rPr>
        <w:t xml:space="preserve">over risicobeheer op het gebied van informatie- en communicatietechnologie (ICT), het beheer van ICT-gerelateerde incidenten en met name de rapportage van grote ICT-gerelateerde incidenten, alsmede die over digitale operationele weerbaarheidstests, informatie-uitwisselingsregelingen en risico van derden op het gebied van ICT, zijn van toepassing </w:t>
      </w:r>
      <w:r w:rsidRPr="00FF46E3" w:rsidR="004B6AB9">
        <w:rPr>
          <w:rFonts w:ascii="Verdana" w:hAnsi="Verdana"/>
          <w:sz w:val="18"/>
          <w:szCs w:val="18"/>
        </w:rPr>
        <w:t xml:space="preserve">op </w:t>
      </w:r>
      <w:r w:rsidRPr="00FF46E3" w:rsidR="00FF3837">
        <w:rPr>
          <w:rFonts w:ascii="Verdana" w:hAnsi="Verdana"/>
          <w:sz w:val="18"/>
          <w:szCs w:val="18"/>
        </w:rPr>
        <w:t xml:space="preserve">een groot gedeelte van </w:t>
      </w:r>
      <w:r w:rsidRPr="00FF46E3" w:rsidR="004B6AB9">
        <w:rPr>
          <w:rFonts w:ascii="Verdana" w:hAnsi="Verdana"/>
          <w:sz w:val="18"/>
          <w:szCs w:val="18"/>
        </w:rPr>
        <w:t xml:space="preserve">de financiële sector </w:t>
      </w:r>
      <w:r w:rsidRPr="00FF46E3">
        <w:rPr>
          <w:rFonts w:ascii="Verdana" w:hAnsi="Verdana"/>
          <w:sz w:val="18"/>
          <w:szCs w:val="18"/>
        </w:rPr>
        <w:t xml:space="preserve">in plaats van de bepalingen uit de </w:t>
      </w:r>
      <w:r w:rsidRPr="00FF46E3" w:rsidR="00FB66DF">
        <w:rPr>
          <w:rFonts w:ascii="Verdana" w:hAnsi="Verdana"/>
          <w:sz w:val="18"/>
          <w:szCs w:val="18"/>
        </w:rPr>
        <w:t>NIS2-richtlijn</w:t>
      </w:r>
      <w:r w:rsidRPr="00FF46E3">
        <w:rPr>
          <w:rFonts w:ascii="Verdana" w:hAnsi="Verdana"/>
          <w:sz w:val="18"/>
          <w:szCs w:val="18"/>
        </w:rPr>
        <w:t xml:space="preserve">. </w:t>
      </w:r>
      <w:bookmarkStart w:name="_Hlk167279687" w:id="18"/>
      <w:r w:rsidRPr="00FF46E3" w:rsidR="00E50338">
        <w:rPr>
          <w:rFonts w:ascii="Verdana" w:hAnsi="Verdana"/>
          <w:sz w:val="18"/>
          <w:szCs w:val="18"/>
        </w:rPr>
        <w:t xml:space="preserve">In </w:t>
      </w:r>
      <w:r w:rsidRPr="00FF46E3" w:rsidR="00145F71">
        <w:rPr>
          <w:rFonts w:ascii="Verdana" w:hAnsi="Verdana"/>
          <w:sz w:val="18"/>
          <w:szCs w:val="18"/>
        </w:rPr>
        <w:t xml:space="preserve">artikel 1, tweede lid, </w:t>
      </w:r>
      <w:r w:rsidR="009754FB">
        <w:rPr>
          <w:rFonts w:ascii="Verdana" w:hAnsi="Verdana"/>
          <w:sz w:val="18"/>
          <w:szCs w:val="18"/>
        </w:rPr>
        <w:t>DORA</w:t>
      </w:r>
      <w:r w:rsidRPr="00FF46E3" w:rsidDel="00C02545" w:rsidR="009754FB">
        <w:rPr>
          <w:rFonts w:ascii="Verdana" w:hAnsi="Verdana"/>
          <w:sz w:val="18"/>
          <w:szCs w:val="18"/>
        </w:rPr>
        <w:t xml:space="preserve"> </w:t>
      </w:r>
      <w:r w:rsidRPr="00FF46E3" w:rsidR="00E50338">
        <w:rPr>
          <w:rFonts w:ascii="Verdana" w:hAnsi="Verdana"/>
          <w:sz w:val="18"/>
          <w:szCs w:val="18"/>
        </w:rPr>
        <w:t xml:space="preserve">is namelijk expliciet bepaald dat de verordening </w:t>
      </w:r>
      <w:r w:rsidRPr="00FF46E3" w:rsidR="00145F71">
        <w:rPr>
          <w:rFonts w:ascii="Verdana" w:hAnsi="Verdana"/>
          <w:sz w:val="18"/>
          <w:szCs w:val="18"/>
        </w:rPr>
        <w:t xml:space="preserve">voor de toepassing van artikel 4 NIS2-richtlijn </w:t>
      </w:r>
      <w:r w:rsidRPr="00FF46E3" w:rsidR="00E50338">
        <w:rPr>
          <w:rFonts w:ascii="Verdana" w:hAnsi="Verdana"/>
          <w:sz w:val="18"/>
          <w:szCs w:val="18"/>
        </w:rPr>
        <w:t xml:space="preserve">moet worden beschouwd als een sectorspecifieke rechtshandeling. </w:t>
      </w:r>
      <w:bookmarkStart w:name="_Hlk180607119" w:id="19"/>
      <w:bookmarkEnd w:id="18"/>
      <w:r w:rsidRPr="00FF46E3">
        <w:rPr>
          <w:rFonts w:ascii="Verdana" w:hAnsi="Verdana"/>
          <w:sz w:val="18"/>
          <w:szCs w:val="18"/>
        </w:rPr>
        <w:t xml:space="preserve">Dit betekent dat de bepalingen uit </w:t>
      </w:r>
      <w:r w:rsidRPr="00FF46E3" w:rsidR="005C1CF0">
        <w:rPr>
          <w:rFonts w:ascii="Verdana" w:hAnsi="Verdana"/>
          <w:sz w:val="18"/>
          <w:szCs w:val="18"/>
        </w:rPr>
        <w:t xml:space="preserve">de </w:t>
      </w:r>
      <w:proofErr w:type="spellStart"/>
      <w:r w:rsidRPr="00FF46E3" w:rsidR="005C1CF0">
        <w:rPr>
          <w:rFonts w:ascii="Verdana" w:hAnsi="Verdana"/>
          <w:sz w:val="18"/>
          <w:szCs w:val="18"/>
        </w:rPr>
        <w:t>Cbw</w:t>
      </w:r>
      <w:proofErr w:type="spellEnd"/>
      <w:r w:rsidRPr="00FF46E3">
        <w:rPr>
          <w:rFonts w:ascii="Verdana" w:hAnsi="Verdana"/>
          <w:sz w:val="18"/>
          <w:szCs w:val="18"/>
        </w:rPr>
        <w:t xml:space="preserve"> over de zorgplicht</w:t>
      </w:r>
      <w:r w:rsidRPr="00FF46E3" w:rsidR="00AF10C9">
        <w:rPr>
          <w:rFonts w:ascii="Verdana" w:hAnsi="Verdana"/>
          <w:sz w:val="18"/>
          <w:szCs w:val="18"/>
        </w:rPr>
        <w:t>,</w:t>
      </w:r>
      <w:r w:rsidRPr="00FF46E3" w:rsidR="008E4281">
        <w:rPr>
          <w:rFonts w:ascii="Verdana" w:hAnsi="Verdana"/>
          <w:sz w:val="18"/>
          <w:szCs w:val="18"/>
        </w:rPr>
        <w:t xml:space="preserve"> </w:t>
      </w:r>
      <w:proofErr w:type="spellStart"/>
      <w:r w:rsidRPr="00FF46E3" w:rsidR="008E4281">
        <w:rPr>
          <w:rFonts w:ascii="Verdana" w:hAnsi="Verdana"/>
          <w:sz w:val="18"/>
          <w:szCs w:val="18"/>
        </w:rPr>
        <w:t>governance</w:t>
      </w:r>
      <w:proofErr w:type="spellEnd"/>
      <w:r w:rsidRPr="00FF46E3" w:rsidR="008E4281">
        <w:rPr>
          <w:rFonts w:ascii="Verdana" w:hAnsi="Verdana"/>
          <w:sz w:val="18"/>
          <w:szCs w:val="18"/>
        </w:rPr>
        <w:t xml:space="preserve"> </w:t>
      </w:r>
      <w:r w:rsidRPr="00FF46E3">
        <w:rPr>
          <w:rFonts w:ascii="Verdana" w:hAnsi="Verdana"/>
          <w:sz w:val="18"/>
          <w:szCs w:val="18"/>
        </w:rPr>
        <w:t>en de meldplicht en het toezicht en de handhaving daarop, niet van toepassing zijn op financiële entiteiten die onder de verordening vallen</w:t>
      </w:r>
      <w:r w:rsidR="00491437">
        <w:rPr>
          <w:rFonts w:ascii="Verdana" w:hAnsi="Verdana"/>
          <w:sz w:val="18"/>
          <w:szCs w:val="18"/>
        </w:rPr>
        <w:t xml:space="preserve">, voor zover zij niet tevens kwalificeren als ander soort entiteit onder de </w:t>
      </w:r>
      <w:proofErr w:type="spellStart"/>
      <w:r w:rsidR="00491437">
        <w:rPr>
          <w:rFonts w:ascii="Verdana" w:hAnsi="Verdana"/>
          <w:sz w:val="18"/>
          <w:szCs w:val="18"/>
        </w:rPr>
        <w:t>Cbw</w:t>
      </w:r>
      <w:proofErr w:type="spellEnd"/>
      <w:r w:rsidRPr="00FF46E3">
        <w:rPr>
          <w:rFonts w:ascii="Verdana" w:hAnsi="Verdana"/>
          <w:sz w:val="18"/>
          <w:szCs w:val="18"/>
        </w:rPr>
        <w:t>.</w:t>
      </w:r>
      <w:r w:rsidRPr="00FF46E3" w:rsidR="00E258D5">
        <w:rPr>
          <w:rFonts w:ascii="Verdana" w:hAnsi="Verdana"/>
          <w:sz w:val="18"/>
          <w:szCs w:val="18"/>
        </w:rPr>
        <w:t xml:space="preserve"> </w:t>
      </w:r>
      <w:r w:rsidR="00A97520">
        <w:rPr>
          <w:rFonts w:ascii="Verdana" w:hAnsi="Verdana"/>
          <w:sz w:val="18"/>
          <w:szCs w:val="18"/>
        </w:rPr>
        <w:t>D</w:t>
      </w:r>
      <w:r w:rsidRPr="00FF46E3" w:rsidR="00E258D5">
        <w:rPr>
          <w:rFonts w:ascii="Verdana" w:hAnsi="Verdana"/>
          <w:sz w:val="18"/>
          <w:szCs w:val="18"/>
        </w:rPr>
        <w:t xml:space="preserve">e verplichting uit artikel </w:t>
      </w:r>
      <w:r w:rsidR="00790B00">
        <w:rPr>
          <w:rFonts w:ascii="Verdana" w:hAnsi="Verdana"/>
          <w:sz w:val="18"/>
          <w:szCs w:val="18"/>
        </w:rPr>
        <w:t>44</w:t>
      </w:r>
      <w:r w:rsidRPr="00FF46E3" w:rsidR="00E258D5">
        <w:rPr>
          <w:rFonts w:ascii="Verdana" w:hAnsi="Verdana"/>
          <w:sz w:val="18"/>
          <w:szCs w:val="18"/>
        </w:rPr>
        <w:t xml:space="preserve"> </w:t>
      </w:r>
      <w:proofErr w:type="spellStart"/>
      <w:r w:rsidRPr="00FF46E3" w:rsidR="00E258D5">
        <w:rPr>
          <w:rFonts w:ascii="Verdana" w:hAnsi="Verdana"/>
          <w:sz w:val="18"/>
          <w:szCs w:val="18"/>
        </w:rPr>
        <w:t>Cbw</w:t>
      </w:r>
      <w:proofErr w:type="spellEnd"/>
      <w:r w:rsidRPr="00FF46E3" w:rsidR="00E258D5">
        <w:rPr>
          <w:rFonts w:ascii="Verdana" w:hAnsi="Verdana"/>
          <w:sz w:val="18"/>
          <w:szCs w:val="18"/>
        </w:rPr>
        <w:t xml:space="preserve"> </w:t>
      </w:r>
      <w:r w:rsidRPr="00FF46E3" w:rsidR="00B4013E">
        <w:rPr>
          <w:rFonts w:ascii="Verdana" w:hAnsi="Verdana"/>
          <w:sz w:val="18"/>
          <w:szCs w:val="18"/>
        </w:rPr>
        <w:t xml:space="preserve">(over het verstrekken van informatie ten behoeve van het nationale register) </w:t>
      </w:r>
      <w:r w:rsidR="00A97520">
        <w:rPr>
          <w:rFonts w:ascii="Verdana" w:hAnsi="Verdana"/>
          <w:sz w:val="18"/>
          <w:szCs w:val="18"/>
        </w:rPr>
        <w:t xml:space="preserve">is wel </w:t>
      </w:r>
      <w:r w:rsidRPr="00FF46E3" w:rsidR="00E258D5">
        <w:rPr>
          <w:rFonts w:ascii="Verdana" w:hAnsi="Verdana"/>
          <w:sz w:val="18"/>
          <w:szCs w:val="18"/>
        </w:rPr>
        <w:t xml:space="preserve">van toepassing, voor zover deze entiteiten onder het toepassingsbereik van de </w:t>
      </w:r>
      <w:proofErr w:type="spellStart"/>
      <w:r w:rsidRPr="00FF46E3" w:rsidR="00E258D5">
        <w:rPr>
          <w:rFonts w:ascii="Verdana" w:hAnsi="Verdana"/>
          <w:sz w:val="18"/>
          <w:szCs w:val="18"/>
        </w:rPr>
        <w:t>Cbw</w:t>
      </w:r>
      <w:proofErr w:type="spellEnd"/>
      <w:r w:rsidRPr="00FF46E3" w:rsidR="00E258D5">
        <w:rPr>
          <w:rFonts w:ascii="Verdana" w:hAnsi="Verdana"/>
          <w:sz w:val="18"/>
          <w:szCs w:val="18"/>
        </w:rPr>
        <w:t xml:space="preserve"> vallen. </w:t>
      </w:r>
      <w:bookmarkEnd w:id="19"/>
      <w:r w:rsidRPr="00FF46E3" w:rsidR="00B4013E">
        <w:rPr>
          <w:rFonts w:ascii="Verdana" w:hAnsi="Verdana"/>
          <w:sz w:val="18"/>
          <w:szCs w:val="18"/>
        </w:rPr>
        <w:t xml:space="preserve">De verplichtingen uit de artikelen </w:t>
      </w:r>
      <w:r w:rsidR="001E06BB">
        <w:rPr>
          <w:rFonts w:ascii="Verdana" w:hAnsi="Verdana"/>
          <w:sz w:val="18"/>
          <w:szCs w:val="18"/>
        </w:rPr>
        <w:t>42</w:t>
      </w:r>
      <w:r w:rsidRPr="00FF46E3" w:rsidR="001E06BB">
        <w:rPr>
          <w:rFonts w:ascii="Verdana" w:hAnsi="Verdana"/>
          <w:sz w:val="18"/>
          <w:szCs w:val="18"/>
        </w:rPr>
        <w:t xml:space="preserve"> </w:t>
      </w:r>
      <w:r w:rsidRPr="00FF46E3" w:rsidR="00B4013E">
        <w:rPr>
          <w:rFonts w:ascii="Verdana" w:hAnsi="Verdana"/>
          <w:sz w:val="18"/>
          <w:szCs w:val="18"/>
        </w:rPr>
        <w:t xml:space="preserve">(over de aanwijzing van een vertegenwoordiger), </w:t>
      </w:r>
      <w:r w:rsidR="00790B00">
        <w:rPr>
          <w:rFonts w:ascii="Verdana" w:hAnsi="Verdana"/>
          <w:sz w:val="18"/>
          <w:szCs w:val="18"/>
        </w:rPr>
        <w:t>47</w:t>
      </w:r>
      <w:r w:rsidRPr="00FF46E3" w:rsidR="00B4013E">
        <w:rPr>
          <w:rFonts w:ascii="Verdana" w:hAnsi="Verdana"/>
          <w:sz w:val="18"/>
          <w:szCs w:val="18"/>
        </w:rPr>
        <w:t xml:space="preserve"> (over het verstrekken van informatie ten behoeve van het </w:t>
      </w:r>
      <w:proofErr w:type="spellStart"/>
      <w:r w:rsidRPr="00FF46E3" w:rsidR="00B4013E">
        <w:rPr>
          <w:rFonts w:ascii="Verdana" w:hAnsi="Verdana"/>
          <w:sz w:val="18"/>
          <w:szCs w:val="18"/>
        </w:rPr>
        <w:t>Enisa</w:t>
      </w:r>
      <w:proofErr w:type="spellEnd"/>
      <w:r w:rsidRPr="00FF46E3" w:rsidR="00B4013E">
        <w:rPr>
          <w:rFonts w:ascii="Verdana" w:hAnsi="Verdana"/>
          <w:sz w:val="18"/>
          <w:szCs w:val="18"/>
        </w:rPr>
        <w:t xml:space="preserve">-register) en </w:t>
      </w:r>
      <w:r w:rsidR="00790B00">
        <w:rPr>
          <w:rFonts w:ascii="Verdana" w:hAnsi="Verdana"/>
          <w:sz w:val="18"/>
          <w:szCs w:val="18"/>
        </w:rPr>
        <w:t>49</w:t>
      </w:r>
      <w:r w:rsidRPr="00FF46E3" w:rsidR="00B4013E">
        <w:rPr>
          <w:rFonts w:ascii="Verdana" w:hAnsi="Verdana"/>
          <w:sz w:val="18"/>
          <w:szCs w:val="18"/>
        </w:rPr>
        <w:t xml:space="preserve"> (over een database met domeinnaamregistratiegegevens) </w:t>
      </w:r>
      <w:proofErr w:type="spellStart"/>
      <w:r w:rsidRPr="00FF46E3" w:rsidR="00B4013E">
        <w:rPr>
          <w:rFonts w:ascii="Verdana" w:hAnsi="Verdana"/>
          <w:sz w:val="18"/>
          <w:szCs w:val="18"/>
        </w:rPr>
        <w:t>Cbw</w:t>
      </w:r>
      <w:proofErr w:type="spellEnd"/>
      <w:r w:rsidRPr="00FF46E3" w:rsidR="00B4013E">
        <w:rPr>
          <w:rFonts w:ascii="Verdana" w:hAnsi="Verdana"/>
          <w:sz w:val="18"/>
          <w:szCs w:val="18"/>
        </w:rPr>
        <w:t xml:space="preserve"> zijn alleen van toepassing voor zover de betrokken financiële entiteit kwalificeert als één van de in die artikelen genoemde entiteiten en onder het toepassingsbereik van de </w:t>
      </w:r>
      <w:proofErr w:type="spellStart"/>
      <w:r w:rsidRPr="00FF46E3" w:rsidR="00B4013E">
        <w:rPr>
          <w:rFonts w:ascii="Verdana" w:hAnsi="Verdana"/>
          <w:sz w:val="18"/>
          <w:szCs w:val="18"/>
        </w:rPr>
        <w:t>Cbw</w:t>
      </w:r>
      <w:proofErr w:type="spellEnd"/>
      <w:r w:rsidRPr="00FF46E3" w:rsidR="00B4013E">
        <w:rPr>
          <w:rFonts w:ascii="Verdana" w:hAnsi="Verdana"/>
          <w:sz w:val="18"/>
          <w:szCs w:val="18"/>
        </w:rPr>
        <w:t xml:space="preserve"> valt. </w:t>
      </w:r>
    </w:p>
    <w:p w:rsidRPr="00FF46E3" w:rsidR="00B4013E" w:rsidP="006200DD" w:rsidRDefault="00B4013E" w14:paraId="005FCA51" w14:textId="77777777">
      <w:pPr>
        <w:pStyle w:val="Geenafstand"/>
        <w:rPr>
          <w:rFonts w:ascii="Verdana" w:hAnsi="Verdana"/>
          <w:sz w:val="18"/>
          <w:szCs w:val="18"/>
        </w:rPr>
      </w:pPr>
    </w:p>
    <w:p w:rsidRPr="00FF46E3" w:rsidR="0000321C" w:rsidP="005D136E" w:rsidRDefault="00B4013E" w14:paraId="5C4D5DFC" w14:textId="1B277C05">
      <w:pPr>
        <w:pStyle w:val="Geenafstand"/>
        <w:rPr>
          <w:rFonts w:ascii="Verdana" w:hAnsi="Verdana"/>
          <w:sz w:val="18"/>
          <w:szCs w:val="18"/>
        </w:rPr>
      </w:pPr>
      <w:r w:rsidRPr="00FF46E3">
        <w:rPr>
          <w:rFonts w:ascii="Verdana" w:hAnsi="Verdana"/>
          <w:sz w:val="18"/>
          <w:szCs w:val="18"/>
        </w:rPr>
        <w:t>H</w:t>
      </w:r>
      <w:r w:rsidRPr="00FF46E3" w:rsidR="0000321C">
        <w:rPr>
          <w:rFonts w:ascii="Verdana" w:hAnsi="Verdana"/>
          <w:sz w:val="18"/>
          <w:szCs w:val="18"/>
        </w:rPr>
        <w:t xml:space="preserve">et </w:t>
      </w:r>
      <w:r w:rsidRPr="00FF46E3">
        <w:rPr>
          <w:rFonts w:ascii="Verdana" w:hAnsi="Verdana"/>
          <w:sz w:val="18"/>
          <w:szCs w:val="18"/>
        </w:rPr>
        <w:t xml:space="preserve">is </w:t>
      </w:r>
      <w:r w:rsidRPr="00FF46E3" w:rsidR="0000321C">
        <w:rPr>
          <w:rFonts w:ascii="Verdana" w:hAnsi="Verdana"/>
          <w:sz w:val="18"/>
          <w:szCs w:val="18"/>
        </w:rPr>
        <w:t xml:space="preserve">van belang om een sterke relatie en uitwisseling van informatie met de financiële sector uit hoofde van de </w:t>
      </w:r>
      <w:r w:rsidRPr="00FF46E3" w:rsidR="00FB66DF">
        <w:rPr>
          <w:rFonts w:ascii="Verdana" w:hAnsi="Verdana"/>
          <w:sz w:val="18"/>
          <w:szCs w:val="18"/>
        </w:rPr>
        <w:t>NIS2-richtlijn</w:t>
      </w:r>
      <w:r w:rsidRPr="00FF46E3" w:rsidR="0000321C">
        <w:rPr>
          <w:rFonts w:ascii="Verdana" w:hAnsi="Verdana"/>
          <w:sz w:val="18"/>
          <w:szCs w:val="18"/>
        </w:rPr>
        <w:t xml:space="preserve"> in stand te houden. Dit is van belang om te zorgen voor samenhang met de door de lidstaten ingevoerde cyberbeveiligingsstrategieën en </w:t>
      </w:r>
      <w:r w:rsidRPr="00FF46E3" w:rsidR="00094EA3">
        <w:rPr>
          <w:rFonts w:ascii="Verdana" w:hAnsi="Verdana"/>
          <w:sz w:val="18"/>
          <w:szCs w:val="18"/>
        </w:rPr>
        <w:t>zo</w:t>
      </w:r>
      <w:r w:rsidRPr="00FF46E3" w:rsidR="0000321C">
        <w:rPr>
          <w:rFonts w:ascii="Verdana" w:hAnsi="Verdana"/>
          <w:sz w:val="18"/>
          <w:szCs w:val="18"/>
        </w:rPr>
        <w:t xml:space="preserve">dat financiële toezichthouders informatie kunnen </w:t>
      </w:r>
      <w:r w:rsidRPr="00FF46E3" w:rsidR="00094EA3">
        <w:rPr>
          <w:rFonts w:ascii="Verdana" w:hAnsi="Verdana"/>
          <w:sz w:val="18"/>
          <w:szCs w:val="18"/>
        </w:rPr>
        <w:t>uit</w:t>
      </w:r>
      <w:r w:rsidRPr="00FF46E3" w:rsidR="0000321C">
        <w:rPr>
          <w:rFonts w:ascii="Verdana" w:hAnsi="Verdana"/>
          <w:sz w:val="18"/>
          <w:szCs w:val="18"/>
        </w:rPr>
        <w:t xml:space="preserve">wisselen over cyberincidenten die gevolgen hebben voor de andere sectoren die onder de </w:t>
      </w:r>
      <w:r w:rsidRPr="00FF46E3" w:rsidR="00FB66DF">
        <w:rPr>
          <w:rFonts w:ascii="Verdana" w:hAnsi="Verdana"/>
          <w:sz w:val="18"/>
          <w:szCs w:val="18"/>
        </w:rPr>
        <w:t>NIS2-richtlijn</w:t>
      </w:r>
      <w:r w:rsidRPr="00FF46E3" w:rsidR="0000321C">
        <w:rPr>
          <w:rFonts w:ascii="Verdana" w:hAnsi="Verdana"/>
          <w:sz w:val="18"/>
          <w:szCs w:val="18"/>
        </w:rPr>
        <w:t xml:space="preserve"> vallen. </w:t>
      </w:r>
      <w:bookmarkStart w:name="_Hlk170725445" w:id="20"/>
      <w:r w:rsidRPr="00FF46E3" w:rsidR="0000321C">
        <w:rPr>
          <w:rFonts w:ascii="Verdana" w:hAnsi="Verdana"/>
          <w:sz w:val="18"/>
          <w:szCs w:val="18"/>
        </w:rPr>
        <w:t xml:space="preserve">Om de uitwisseling van informatie te bevorderen biedt </w:t>
      </w:r>
      <w:r w:rsidRPr="00FF46E3" w:rsidR="002C6E25">
        <w:rPr>
          <w:rFonts w:ascii="Verdana" w:hAnsi="Verdana"/>
          <w:sz w:val="18"/>
          <w:szCs w:val="18"/>
        </w:rPr>
        <w:t xml:space="preserve">de </w:t>
      </w:r>
      <w:r w:rsidR="009754FB">
        <w:rPr>
          <w:rFonts w:ascii="Verdana" w:hAnsi="Verdana"/>
          <w:sz w:val="18"/>
          <w:szCs w:val="18"/>
        </w:rPr>
        <w:t>DORA</w:t>
      </w:r>
      <w:r w:rsidRPr="00FF46E3" w:rsidDel="00C02545" w:rsidR="009754FB">
        <w:rPr>
          <w:rFonts w:ascii="Verdana" w:hAnsi="Verdana"/>
          <w:sz w:val="18"/>
          <w:szCs w:val="18"/>
        </w:rPr>
        <w:t xml:space="preserve"> </w:t>
      </w:r>
      <w:r w:rsidRPr="00FF46E3" w:rsidR="0000321C">
        <w:rPr>
          <w:rFonts w:ascii="Verdana" w:hAnsi="Verdana"/>
          <w:sz w:val="18"/>
          <w:szCs w:val="18"/>
        </w:rPr>
        <w:t xml:space="preserve">toezichthoudende autoriteiten en de uit hoofde van die verordening bevoegde autoriteiten de mogelijkheid </w:t>
      </w:r>
      <w:r w:rsidRPr="00FF46E3" w:rsidR="005C1CF0">
        <w:rPr>
          <w:rFonts w:ascii="Verdana" w:hAnsi="Verdana"/>
          <w:sz w:val="18"/>
          <w:szCs w:val="18"/>
        </w:rPr>
        <w:t xml:space="preserve">om </w:t>
      </w:r>
      <w:r w:rsidRPr="00FF46E3" w:rsidR="0000321C">
        <w:rPr>
          <w:rFonts w:ascii="Verdana" w:hAnsi="Verdana"/>
          <w:sz w:val="18"/>
          <w:szCs w:val="18"/>
        </w:rPr>
        <w:t>deel te nemen aan de activiteiten van de samenwerkingsgroep</w:t>
      </w:r>
      <w:r w:rsidRPr="00FF46E3" w:rsidR="000B506F">
        <w:rPr>
          <w:rFonts w:ascii="Verdana" w:hAnsi="Verdana"/>
          <w:sz w:val="18"/>
          <w:szCs w:val="18"/>
        </w:rPr>
        <w:t>. Ook biedt de verordening de mogelijkheid</w:t>
      </w:r>
      <w:r w:rsidRPr="00FF46E3" w:rsidR="0000321C">
        <w:rPr>
          <w:rFonts w:ascii="Verdana" w:hAnsi="Verdana"/>
          <w:sz w:val="18"/>
          <w:szCs w:val="18"/>
        </w:rPr>
        <w:t xml:space="preserve"> </w:t>
      </w:r>
      <w:r w:rsidRPr="00FF46E3" w:rsidR="005C1CF0">
        <w:rPr>
          <w:rFonts w:ascii="Verdana" w:hAnsi="Verdana"/>
          <w:sz w:val="18"/>
          <w:szCs w:val="18"/>
        </w:rPr>
        <w:t xml:space="preserve">om </w:t>
      </w:r>
      <w:r w:rsidRPr="00FF46E3" w:rsidR="0000321C">
        <w:rPr>
          <w:rFonts w:ascii="Verdana" w:hAnsi="Verdana"/>
          <w:sz w:val="18"/>
          <w:szCs w:val="18"/>
        </w:rPr>
        <w:t xml:space="preserve">informatie uit te wisselen en samen te werken met de centrale contactpunten, de </w:t>
      </w:r>
      <w:proofErr w:type="spellStart"/>
      <w:r w:rsidRPr="00FF46E3" w:rsidR="0000321C">
        <w:rPr>
          <w:rFonts w:ascii="Verdana" w:hAnsi="Verdana"/>
          <w:sz w:val="18"/>
          <w:szCs w:val="18"/>
        </w:rPr>
        <w:t>CSIRT’s</w:t>
      </w:r>
      <w:proofErr w:type="spellEnd"/>
      <w:r w:rsidRPr="00FF46E3" w:rsidR="0000321C">
        <w:rPr>
          <w:rFonts w:ascii="Verdana" w:hAnsi="Verdana"/>
          <w:sz w:val="18"/>
          <w:szCs w:val="18"/>
        </w:rPr>
        <w:t xml:space="preserve"> en de bevoegde NIS2-autoriteiten</w:t>
      </w:r>
      <w:r w:rsidRPr="00FF46E3" w:rsidR="005C1CF0">
        <w:rPr>
          <w:rFonts w:ascii="Verdana" w:hAnsi="Verdana"/>
          <w:sz w:val="18"/>
          <w:szCs w:val="18"/>
        </w:rPr>
        <w:t>.</w:t>
      </w:r>
      <w:r w:rsidRPr="00FF46E3" w:rsidR="00982169">
        <w:rPr>
          <w:rStyle w:val="Voetnootmarkering"/>
          <w:rFonts w:ascii="Verdana" w:hAnsi="Verdana"/>
          <w:sz w:val="18"/>
          <w:szCs w:val="18"/>
        </w:rPr>
        <w:footnoteReference w:id="17"/>
      </w:r>
      <w:r w:rsidRPr="00FF46E3" w:rsidR="0000321C">
        <w:rPr>
          <w:rFonts w:ascii="Verdana" w:hAnsi="Verdana"/>
          <w:sz w:val="18"/>
          <w:szCs w:val="18"/>
        </w:rPr>
        <w:t xml:space="preserve"> </w:t>
      </w:r>
      <w:r w:rsidRPr="00FF46E3" w:rsidR="005D136E">
        <w:rPr>
          <w:rFonts w:ascii="Verdana" w:hAnsi="Verdana"/>
          <w:sz w:val="18"/>
          <w:szCs w:val="18"/>
        </w:rPr>
        <w:t>Zo moeten de</w:t>
      </w:r>
      <w:r w:rsidRPr="00FF46E3" w:rsidR="0000321C">
        <w:rPr>
          <w:rFonts w:ascii="Verdana" w:hAnsi="Verdana"/>
          <w:sz w:val="18"/>
          <w:szCs w:val="18"/>
        </w:rPr>
        <w:t xml:space="preserve"> uit hoofde van </w:t>
      </w:r>
      <w:r w:rsidRPr="00FF46E3" w:rsidR="002C6E25">
        <w:rPr>
          <w:rFonts w:ascii="Verdana" w:hAnsi="Verdana"/>
          <w:sz w:val="18"/>
          <w:szCs w:val="18"/>
        </w:rPr>
        <w:t xml:space="preserve">de </w:t>
      </w:r>
      <w:r w:rsidR="009754FB">
        <w:rPr>
          <w:rFonts w:ascii="Verdana" w:hAnsi="Verdana"/>
          <w:sz w:val="18"/>
          <w:szCs w:val="18"/>
        </w:rPr>
        <w:t>DORA</w:t>
      </w:r>
      <w:r w:rsidRPr="00FF46E3" w:rsidDel="00C02545" w:rsidR="009754FB">
        <w:rPr>
          <w:rFonts w:ascii="Verdana" w:hAnsi="Verdana"/>
          <w:sz w:val="18"/>
          <w:szCs w:val="18"/>
        </w:rPr>
        <w:t xml:space="preserve"> </w:t>
      </w:r>
      <w:r w:rsidRPr="00FF46E3" w:rsidR="0000321C">
        <w:rPr>
          <w:rFonts w:ascii="Verdana" w:hAnsi="Verdana"/>
          <w:sz w:val="18"/>
          <w:szCs w:val="18"/>
        </w:rPr>
        <w:t xml:space="preserve">bevoegde autoriteiten de details van </w:t>
      </w:r>
      <w:r w:rsidRPr="00FF46E3" w:rsidR="007D4885">
        <w:rPr>
          <w:rFonts w:ascii="Verdana" w:hAnsi="Verdana"/>
          <w:sz w:val="18"/>
          <w:szCs w:val="18"/>
        </w:rPr>
        <w:t xml:space="preserve">ernstige </w:t>
      </w:r>
      <w:r w:rsidRPr="00FF46E3" w:rsidR="0000321C">
        <w:rPr>
          <w:rFonts w:ascii="Verdana" w:hAnsi="Verdana"/>
          <w:sz w:val="18"/>
          <w:szCs w:val="18"/>
        </w:rPr>
        <w:t xml:space="preserve">ICT-gerelateerde incidenten doorgeven aan de </w:t>
      </w:r>
      <w:proofErr w:type="spellStart"/>
      <w:r w:rsidRPr="00FF46E3" w:rsidR="0000321C">
        <w:rPr>
          <w:rFonts w:ascii="Verdana" w:hAnsi="Verdana"/>
          <w:sz w:val="18"/>
          <w:szCs w:val="18"/>
        </w:rPr>
        <w:t>CSIRT’s</w:t>
      </w:r>
      <w:proofErr w:type="spellEnd"/>
      <w:r w:rsidRPr="00FF46E3" w:rsidR="0000321C">
        <w:rPr>
          <w:rFonts w:ascii="Verdana" w:hAnsi="Verdana"/>
          <w:sz w:val="18"/>
          <w:szCs w:val="18"/>
        </w:rPr>
        <w:t>, de bevoegde NIS2-autoriteiten of de centrale contactpunten</w:t>
      </w:r>
      <w:r w:rsidRPr="00FF46E3" w:rsidR="00935919">
        <w:rPr>
          <w:rFonts w:ascii="Verdana" w:hAnsi="Verdana"/>
          <w:sz w:val="18"/>
          <w:szCs w:val="18"/>
        </w:rPr>
        <w:t>.</w:t>
      </w:r>
      <w:r w:rsidRPr="00FF46E3" w:rsidR="00982169">
        <w:rPr>
          <w:rStyle w:val="Voetnootmarkering"/>
          <w:rFonts w:ascii="Verdana" w:hAnsi="Verdana"/>
          <w:sz w:val="18"/>
          <w:szCs w:val="18"/>
        </w:rPr>
        <w:footnoteReference w:id="18"/>
      </w:r>
      <w:r w:rsidRPr="00FF46E3" w:rsidR="0000321C">
        <w:rPr>
          <w:rFonts w:ascii="Verdana" w:hAnsi="Verdana"/>
          <w:sz w:val="18"/>
          <w:szCs w:val="18"/>
        </w:rPr>
        <w:t xml:space="preserve"> </w:t>
      </w:r>
      <w:r w:rsidRPr="00FF46E3" w:rsidR="000B506F">
        <w:rPr>
          <w:rFonts w:ascii="Verdana" w:hAnsi="Verdana"/>
          <w:sz w:val="18"/>
          <w:szCs w:val="18"/>
        </w:rPr>
        <w:t xml:space="preserve">En voor </w:t>
      </w:r>
      <w:r w:rsidRPr="00FF46E3" w:rsidR="005D136E">
        <w:rPr>
          <w:rFonts w:ascii="Verdana" w:hAnsi="Verdana"/>
          <w:sz w:val="18"/>
          <w:szCs w:val="18"/>
        </w:rPr>
        <w:t xml:space="preserve">wat betreft significante cyberdreigingen geldt dat financiële entiteiten deze op vrijwillige basis kunnen melden aan de uit hoofde van de </w:t>
      </w:r>
      <w:r w:rsidR="009754FB">
        <w:rPr>
          <w:rFonts w:ascii="Verdana" w:hAnsi="Verdana"/>
          <w:sz w:val="18"/>
          <w:szCs w:val="18"/>
        </w:rPr>
        <w:t>DORA</w:t>
      </w:r>
      <w:r w:rsidRPr="00FF46E3" w:rsidDel="00C02545" w:rsidR="009754FB">
        <w:rPr>
          <w:rFonts w:ascii="Verdana" w:hAnsi="Verdana"/>
          <w:sz w:val="18"/>
          <w:szCs w:val="18"/>
        </w:rPr>
        <w:t xml:space="preserve"> </w:t>
      </w:r>
      <w:r w:rsidRPr="00FF46E3" w:rsidR="005D136E">
        <w:rPr>
          <w:rFonts w:ascii="Verdana" w:hAnsi="Verdana"/>
          <w:sz w:val="18"/>
          <w:szCs w:val="18"/>
        </w:rPr>
        <w:t xml:space="preserve">bevoegde autoriteit. Die bevoegde autoriteit kan vervolgens die informatie verstrekken aan onder meer de bevoegde NIS2-autoriteiten, de centrale contactpunten of de </w:t>
      </w:r>
      <w:proofErr w:type="spellStart"/>
      <w:r w:rsidRPr="00FF46E3" w:rsidR="005D136E">
        <w:rPr>
          <w:rFonts w:ascii="Verdana" w:hAnsi="Verdana"/>
          <w:sz w:val="18"/>
          <w:szCs w:val="18"/>
        </w:rPr>
        <w:t>CSIRT’s</w:t>
      </w:r>
      <w:proofErr w:type="spellEnd"/>
      <w:r w:rsidRPr="00FF46E3" w:rsidR="005D136E">
        <w:rPr>
          <w:rFonts w:ascii="Verdana" w:hAnsi="Verdana"/>
          <w:sz w:val="18"/>
          <w:szCs w:val="18"/>
        </w:rPr>
        <w:t>.</w:t>
      </w:r>
      <w:r w:rsidRPr="00FF46E3" w:rsidR="000B506F">
        <w:rPr>
          <w:rStyle w:val="Voetnootmarkering"/>
          <w:rFonts w:ascii="Verdana" w:hAnsi="Verdana"/>
          <w:sz w:val="18"/>
          <w:szCs w:val="18"/>
        </w:rPr>
        <w:footnoteReference w:id="19"/>
      </w:r>
    </w:p>
    <w:bookmarkEnd w:id="20"/>
    <w:p w:rsidRPr="00FF46E3" w:rsidR="00E04B59" w:rsidP="006200DD" w:rsidRDefault="00E04B59" w14:paraId="4D7CD787" w14:textId="77777777">
      <w:pPr>
        <w:pStyle w:val="Geenafstand"/>
        <w:rPr>
          <w:rFonts w:ascii="Verdana" w:hAnsi="Verdana"/>
          <w:sz w:val="18"/>
          <w:szCs w:val="18"/>
        </w:rPr>
      </w:pPr>
    </w:p>
    <w:p w:rsidR="00830C89" w:rsidP="006200DD" w:rsidRDefault="00145F71" w14:paraId="34D731EA" w14:textId="7B000F06">
      <w:pPr>
        <w:pStyle w:val="Geenafstand"/>
        <w:rPr>
          <w:rFonts w:ascii="Verdana" w:hAnsi="Verdana"/>
          <w:sz w:val="18"/>
          <w:szCs w:val="18"/>
        </w:rPr>
      </w:pPr>
      <w:r w:rsidRPr="00FF46E3">
        <w:rPr>
          <w:rFonts w:ascii="Verdana" w:hAnsi="Verdana"/>
          <w:sz w:val="18"/>
          <w:szCs w:val="18"/>
        </w:rPr>
        <w:t xml:space="preserve">De Minister van Financiën is als verantwoordelijke minister voor de financiële sector aangewezen als bevoegde autoriteit onder de </w:t>
      </w:r>
      <w:proofErr w:type="spellStart"/>
      <w:r w:rsidRPr="00FF46E3">
        <w:rPr>
          <w:rFonts w:ascii="Verdana" w:hAnsi="Verdana"/>
          <w:sz w:val="18"/>
          <w:szCs w:val="18"/>
        </w:rPr>
        <w:t>Cbw</w:t>
      </w:r>
      <w:proofErr w:type="spellEnd"/>
      <w:r w:rsidRPr="00FF46E3">
        <w:rPr>
          <w:rFonts w:ascii="Verdana" w:hAnsi="Verdana"/>
          <w:sz w:val="18"/>
          <w:szCs w:val="18"/>
        </w:rPr>
        <w:t>.</w:t>
      </w:r>
    </w:p>
    <w:p w:rsidRPr="00FF46E3" w:rsidR="0024436D" w:rsidP="006200DD" w:rsidRDefault="0024436D" w14:paraId="4FCF4650" w14:textId="77777777">
      <w:pPr>
        <w:pStyle w:val="Geenafstand"/>
        <w:rPr>
          <w:rFonts w:ascii="Verdana" w:hAnsi="Verdana"/>
          <w:sz w:val="18"/>
          <w:szCs w:val="18"/>
        </w:rPr>
      </w:pPr>
    </w:p>
    <w:p w:rsidRPr="00FF46E3" w:rsidR="005727F8" w:rsidP="005727F8" w:rsidRDefault="005727F8" w14:paraId="6A9F89F8" w14:textId="5023A18D">
      <w:pPr>
        <w:pStyle w:val="Kop2"/>
        <w:ind w:left="-20" w:right="-20"/>
      </w:pPr>
      <w:bookmarkStart w:name="_Toc198721058" w:id="21"/>
      <w:bookmarkEnd w:id="15"/>
      <w:r w:rsidRPr="00FF46E3">
        <w:lastRenderedPageBreak/>
        <w:t>2.</w:t>
      </w:r>
      <w:r w:rsidR="001B57F3">
        <w:t>5</w:t>
      </w:r>
      <w:r w:rsidRPr="00FF46E3">
        <w:t xml:space="preserve"> Verhouding tot de </w:t>
      </w:r>
      <w:proofErr w:type="spellStart"/>
      <w:r w:rsidRPr="00FF46E3">
        <w:t>eIDAS</w:t>
      </w:r>
      <w:proofErr w:type="spellEnd"/>
      <w:r w:rsidRPr="00FF46E3">
        <w:t>-verordening</w:t>
      </w:r>
      <w:bookmarkEnd w:id="21"/>
    </w:p>
    <w:p w:rsidRPr="00FF46E3" w:rsidR="005727F8" w:rsidP="00A34053" w:rsidRDefault="003112A0" w14:paraId="1DCE898D" w14:textId="2A893F90">
      <w:pPr>
        <w:pStyle w:val="Geenafstand"/>
        <w:rPr>
          <w:rFonts w:ascii="Verdana" w:hAnsi="Verdana"/>
          <w:sz w:val="18"/>
          <w:szCs w:val="18"/>
        </w:rPr>
      </w:pPr>
      <w:r w:rsidRPr="00FF46E3">
        <w:rPr>
          <w:rFonts w:ascii="Verdana" w:hAnsi="Verdana"/>
          <w:sz w:val="18"/>
          <w:szCs w:val="18"/>
        </w:rPr>
        <w:br/>
      </w:r>
      <w:r w:rsidRPr="00FF46E3" w:rsidR="00A34053">
        <w:rPr>
          <w:rFonts w:ascii="Verdana" w:hAnsi="Verdana"/>
          <w:sz w:val="18"/>
          <w:szCs w:val="18"/>
        </w:rPr>
        <w:t xml:space="preserve">De </w:t>
      </w:r>
      <w:r w:rsidR="006048BA">
        <w:rPr>
          <w:rFonts w:ascii="Verdana" w:hAnsi="Verdana"/>
          <w:sz w:val="18"/>
          <w:szCs w:val="18"/>
        </w:rPr>
        <w:t>zogeheten</w:t>
      </w:r>
      <w:r w:rsidRPr="00FF46E3" w:rsidR="00A34053">
        <w:rPr>
          <w:rFonts w:ascii="Verdana" w:hAnsi="Verdana"/>
          <w:sz w:val="18"/>
          <w:szCs w:val="18"/>
        </w:rPr>
        <w:t xml:space="preserve"> </w:t>
      </w:r>
      <w:proofErr w:type="spellStart"/>
      <w:r w:rsidRPr="00FF46E3" w:rsidR="00A34053">
        <w:rPr>
          <w:rFonts w:ascii="Verdana" w:hAnsi="Verdana"/>
          <w:sz w:val="18"/>
          <w:szCs w:val="18"/>
        </w:rPr>
        <w:t>eIDAS</w:t>
      </w:r>
      <w:proofErr w:type="spellEnd"/>
      <w:r w:rsidRPr="00FF46E3" w:rsidR="00A34053">
        <w:rPr>
          <w:rFonts w:ascii="Verdana" w:hAnsi="Verdana"/>
          <w:sz w:val="18"/>
          <w:szCs w:val="18"/>
        </w:rPr>
        <w:t xml:space="preserve">-verordening </w:t>
      </w:r>
      <w:r w:rsidRPr="00FF46E3" w:rsidR="005727F8">
        <w:rPr>
          <w:rFonts w:ascii="Verdana" w:hAnsi="Verdana"/>
          <w:sz w:val="18"/>
          <w:szCs w:val="18"/>
        </w:rPr>
        <w:t>geeft het wettelijk kader voor vertrouwensdiensten.</w:t>
      </w:r>
      <w:r w:rsidRPr="00FF46E3" w:rsidR="00A34053">
        <w:rPr>
          <w:rStyle w:val="Voetnootmarkering"/>
          <w:rFonts w:ascii="Verdana" w:hAnsi="Verdana"/>
          <w:sz w:val="18"/>
          <w:szCs w:val="18"/>
        </w:rPr>
        <w:footnoteReference w:id="20"/>
      </w:r>
      <w:r w:rsidRPr="00FF46E3" w:rsidR="005727F8">
        <w:rPr>
          <w:rFonts w:ascii="Verdana" w:hAnsi="Verdana"/>
          <w:sz w:val="18"/>
          <w:szCs w:val="18"/>
        </w:rPr>
        <w:t xml:space="preserve"> Vertrouwensdiensten vallen binnen de reikwijdte van de NIS2-richtlijn, voor zover deze ook onder de reikwijdte vallen van de </w:t>
      </w:r>
      <w:proofErr w:type="spellStart"/>
      <w:r w:rsidRPr="00FF46E3" w:rsidR="005727F8">
        <w:rPr>
          <w:rFonts w:ascii="Verdana" w:hAnsi="Verdana"/>
          <w:sz w:val="18"/>
          <w:szCs w:val="18"/>
        </w:rPr>
        <w:t>eIDAS</w:t>
      </w:r>
      <w:proofErr w:type="spellEnd"/>
      <w:r w:rsidRPr="00FF46E3" w:rsidR="005727F8">
        <w:rPr>
          <w:rFonts w:ascii="Verdana" w:hAnsi="Verdana"/>
          <w:sz w:val="18"/>
          <w:szCs w:val="18"/>
        </w:rPr>
        <w:t xml:space="preserve">-verordening. </w:t>
      </w:r>
      <w:r w:rsidRPr="00FF46E3" w:rsidR="00A2230F">
        <w:rPr>
          <w:rFonts w:ascii="Verdana" w:hAnsi="Verdana"/>
          <w:sz w:val="18"/>
          <w:szCs w:val="18"/>
        </w:rPr>
        <w:t>In o</w:t>
      </w:r>
      <w:r w:rsidRPr="00FF46E3" w:rsidR="005727F8">
        <w:rPr>
          <w:rFonts w:ascii="Verdana" w:hAnsi="Verdana"/>
          <w:sz w:val="18"/>
          <w:szCs w:val="18"/>
        </w:rPr>
        <w:t xml:space="preserve">verweging 93 </w:t>
      </w:r>
      <w:r w:rsidR="00DF67C4">
        <w:rPr>
          <w:rFonts w:ascii="Verdana" w:hAnsi="Verdana"/>
          <w:sz w:val="18"/>
          <w:szCs w:val="18"/>
        </w:rPr>
        <w:t xml:space="preserve">van de </w:t>
      </w:r>
      <w:r w:rsidRPr="00FF46E3" w:rsidR="005727F8">
        <w:rPr>
          <w:rFonts w:ascii="Verdana" w:hAnsi="Verdana"/>
          <w:sz w:val="18"/>
          <w:szCs w:val="18"/>
        </w:rPr>
        <w:t xml:space="preserve">NIS2-richtlijn </w:t>
      </w:r>
      <w:r w:rsidRPr="00FF46E3" w:rsidR="00A2230F">
        <w:rPr>
          <w:rFonts w:ascii="Verdana" w:hAnsi="Verdana"/>
          <w:sz w:val="18"/>
          <w:szCs w:val="18"/>
        </w:rPr>
        <w:t>is benadrukt</w:t>
      </w:r>
      <w:r w:rsidRPr="00FF46E3" w:rsidR="005727F8">
        <w:rPr>
          <w:rFonts w:ascii="Verdana" w:hAnsi="Verdana"/>
          <w:sz w:val="18"/>
          <w:szCs w:val="18"/>
        </w:rPr>
        <w:t xml:space="preserve"> dat de </w:t>
      </w:r>
      <w:r w:rsidRPr="00FF46E3" w:rsidR="00A2230F">
        <w:rPr>
          <w:rFonts w:ascii="Verdana" w:hAnsi="Verdana"/>
          <w:sz w:val="18"/>
          <w:szCs w:val="18"/>
        </w:rPr>
        <w:t>NIS2-</w:t>
      </w:r>
      <w:r w:rsidRPr="00FF46E3" w:rsidR="005727F8">
        <w:rPr>
          <w:rFonts w:ascii="Verdana" w:hAnsi="Verdana"/>
          <w:sz w:val="18"/>
          <w:szCs w:val="18"/>
        </w:rPr>
        <w:t xml:space="preserve">richtlijn aanvullend is op de </w:t>
      </w:r>
      <w:proofErr w:type="spellStart"/>
      <w:r w:rsidRPr="00FF46E3" w:rsidR="005727F8">
        <w:rPr>
          <w:rFonts w:ascii="Verdana" w:hAnsi="Verdana"/>
          <w:sz w:val="18"/>
          <w:szCs w:val="18"/>
        </w:rPr>
        <w:t>eIDAS</w:t>
      </w:r>
      <w:proofErr w:type="spellEnd"/>
      <w:r w:rsidRPr="00FF46E3" w:rsidR="005727F8">
        <w:rPr>
          <w:rFonts w:ascii="Verdana" w:hAnsi="Verdana"/>
          <w:sz w:val="18"/>
          <w:szCs w:val="18"/>
        </w:rPr>
        <w:t xml:space="preserve">-verordening wat betreft de veiligheidseisen voor vertrouwensdiensten in de </w:t>
      </w:r>
      <w:proofErr w:type="spellStart"/>
      <w:r w:rsidRPr="00FF46E3" w:rsidR="005727F8">
        <w:rPr>
          <w:rFonts w:ascii="Verdana" w:hAnsi="Verdana"/>
          <w:sz w:val="18"/>
          <w:szCs w:val="18"/>
        </w:rPr>
        <w:t>eIDAS</w:t>
      </w:r>
      <w:proofErr w:type="spellEnd"/>
      <w:r w:rsidRPr="00FF46E3" w:rsidR="005727F8">
        <w:rPr>
          <w:rFonts w:ascii="Verdana" w:hAnsi="Verdana"/>
          <w:sz w:val="18"/>
          <w:szCs w:val="18"/>
        </w:rPr>
        <w:t>-verordening.</w:t>
      </w:r>
      <w:r w:rsidRPr="001409D6" w:rsidR="001409D6">
        <w:t xml:space="preserve"> </w:t>
      </w:r>
      <w:r w:rsidRPr="001409D6" w:rsidR="001409D6">
        <w:rPr>
          <w:rFonts w:ascii="Verdana" w:hAnsi="Verdana"/>
          <w:sz w:val="18"/>
          <w:szCs w:val="18"/>
        </w:rPr>
        <w:t xml:space="preserve">De </w:t>
      </w:r>
      <w:proofErr w:type="spellStart"/>
      <w:r w:rsidRPr="001409D6" w:rsidR="001409D6">
        <w:rPr>
          <w:rFonts w:ascii="Verdana" w:hAnsi="Verdana"/>
          <w:sz w:val="18"/>
          <w:szCs w:val="18"/>
        </w:rPr>
        <w:t>eIDAS</w:t>
      </w:r>
      <w:proofErr w:type="spellEnd"/>
      <w:r w:rsidRPr="001409D6" w:rsidR="001409D6">
        <w:rPr>
          <w:rFonts w:ascii="Verdana" w:hAnsi="Verdana"/>
          <w:sz w:val="18"/>
          <w:szCs w:val="18"/>
        </w:rPr>
        <w:t>-verordening is laatstelijk gewijzigd bij Verordening (EU) 2024/1183</w:t>
      </w:r>
      <w:r w:rsidR="001409D6">
        <w:rPr>
          <w:rFonts w:ascii="Verdana" w:hAnsi="Verdana"/>
          <w:sz w:val="18"/>
          <w:szCs w:val="18"/>
        </w:rPr>
        <w:t>.</w:t>
      </w:r>
      <w:r w:rsidR="001409D6">
        <w:rPr>
          <w:rStyle w:val="Voetnootmarkering"/>
          <w:rFonts w:ascii="Verdana" w:hAnsi="Verdana"/>
          <w:sz w:val="18"/>
          <w:szCs w:val="18"/>
        </w:rPr>
        <w:footnoteReference w:id="21"/>
      </w:r>
      <w:r w:rsidRPr="001409D6" w:rsidR="001409D6">
        <w:rPr>
          <w:rFonts w:ascii="Verdana" w:hAnsi="Verdana"/>
          <w:sz w:val="18"/>
          <w:szCs w:val="18"/>
        </w:rPr>
        <w:t xml:space="preserve"> Ten aanzien van verleners van vertrouwensdiensten en vertrouwensdiensten </w:t>
      </w:r>
      <w:r w:rsidR="006E194B">
        <w:rPr>
          <w:rFonts w:ascii="Verdana" w:hAnsi="Verdana"/>
          <w:sz w:val="18"/>
          <w:szCs w:val="18"/>
        </w:rPr>
        <w:t>bevat</w:t>
      </w:r>
      <w:r w:rsidRPr="001409D6" w:rsidR="001409D6">
        <w:rPr>
          <w:rFonts w:ascii="Verdana" w:hAnsi="Verdana"/>
          <w:sz w:val="18"/>
          <w:szCs w:val="18"/>
        </w:rPr>
        <w:t xml:space="preserve"> de NIS2-richtlijn enkele bijzondere bepalingen, waaronder in artikel 2, negende lid, evenals artikel 23, vierde lid, NIS2-richtlijn.</w:t>
      </w:r>
      <w:r w:rsidRPr="00FF46E3" w:rsidR="00A34053">
        <w:t xml:space="preserve"> </w:t>
      </w:r>
    </w:p>
    <w:p w:rsidRPr="00FF46E3" w:rsidR="0000321C" w:rsidP="006200DD" w:rsidRDefault="0000321C" w14:paraId="0E844788" w14:textId="77777777">
      <w:pPr>
        <w:pStyle w:val="Default"/>
        <w:rPr>
          <w:rFonts w:ascii="Verdana" w:hAnsi="Verdana" w:cstheme="minorBidi"/>
          <w:color w:val="auto"/>
          <w:sz w:val="18"/>
          <w:szCs w:val="18"/>
        </w:rPr>
      </w:pPr>
    </w:p>
    <w:p w:rsidRPr="00FF46E3" w:rsidR="00347321" w:rsidP="00493EC7" w:rsidRDefault="008A78FC" w14:paraId="58A085EB" w14:textId="7496BC0C">
      <w:pPr>
        <w:pStyle w:val="Kop1"/>
      </w:pPr>
      <w:bookmarkStart w:name="_Toc198721059" w:id="22"/>
      <w:r w:rsidRPr="00FF46E3">
        <w:t>3.</w:t>
      </w:r>
      <w:r w:rsidRPr="00FF46E3" w:rsidR="00347321">
        <w:t xml:space="preserve"> Nationale context</w:t>
      </w:r>
      <w:bookmarkEnd w:id="22"/>
    </w:p>
    <w:p w:rsidRPr="00FF46E3" w:rsidR="00347321" w:rsidP="006200DD" w:rsidRDefault="00347321" w14:paraId="213E67C2" w14:textId="77777777">
      <w:pPr>
        <w:pStyle w:val="Geenafstand"/>
        <w:rPr>
          <w:rFonts w:ascii="Verdana" w:hAnsi="Verdana"/>
          <w:sz w:val="18"/>
          <w:szCs w:val="18"/>
        </w:rPr>
      </w:pPr>
    </w:p>
    <w:p w:rsidRPr="005360FF" w:rsidR="002A6021" w:rsidP="00932947" w:rsidRDefault="002A6021" w14:paraId="32245075" w14:textId="77FEE021">
      <w:pPr>
        <w:pStyle w:val="Geenafstand"/>
        <w:rPr>
          <w:rFonts w:ascii="Verdana" w:hAnsi="Verdana"/>
          <w:i/>
          <w:iCs/>
          <w:sz w:val="18"/>
          <w:szCs w:val="18"/>
        </w:rPr>
      </w:pPr>
      <w:r w:rsidRPr="005360FF">
        <w:rPr>
          <w:rFonts w:ascii="Verdana" w:hAnsi="Verdana"/>
          <w:i/>
          <w:iCs/>
          <w:sz w:val="18"/>
          <w:szCs w:val="18"/>
        </w:rPr>
        <w:t>Nederlandse Cybersecuritystrategie</w:t>
      </w:r>
    </w:p>
    <w:p w:rsidR="004C5DEA" w:rsidP="00932947" w:rsidRDefault="00932947" w14:paraId="076CA1DD" w14:textId="32D06D7F">
      <w:pPr>
        <w:pStyle w:val="Geenafstand"/>
        <w:rPr>
          <w:rFonts w:ascii="Verdana" w:hAnsi="Verdana"/>
          <w:sz w:val="18"/>
          <w:szCs w:val="18"/>
        </w:rPr>
      </w:pPr>
      <w:r w:rsidRPr="00FF46E3">
        <w:rPr>
          <w:rFonts w:ascii="Verdana" w:hAnsi="Verdana"/>
          <w:sz w:val="18"/>
          <w:szCs w:val="18"/>
        </w:rPr>
        <w:t>De Nederlandse Cybersecurity</w:t>
      </w:r>
      <w:r w:rsidR="004C5DEA">
        <w:rPr>
          <w:rFonts w:ascii="Verdana" w:hAnsi="Verdana"/>
          <w:sz w:val="18"/>
          <w:szCs w:val="18"/>
        </w:rPr>
        <w:t>s</w:t>
      </w:r>
      <w:r w:rsidRPr="00FF46E3">
        <w:rPr>
          <w:rFonts w:ascii="Verdana" w:hAnsi="Verdana"/>
          <w:sz w:val="18"/>
          <w:szCs w:val="18"/>
        </w:rPr>
        <w:t>trategie (</w:t>
      </w:r>
      <w:r w:rsidR="004C5DEA">
        <w:rPr>
          <w:rFonts w:ascii="Verdana" w:hAnsi="Verdana"/>
          <w:sz w:val="18"/>
          <w:szCs w:val="18"/>
        </w:rPr>
        <w:t xml:space="preserve">hierna: </w:t>
      </w:r>
      <w:r w:rsidRPr="00FF46E3">
        <w:rPr>
          <w:rFonts w:ascii="Verdana" w:hAnsi="Verdana"/>
          <w:sz w:val="18"/>
          <w:szCs w:val="18"/>
        </w:rPr>
        <w:t>NLCS) beschrijft de acties en ambities van het kabinet voor de periode 2022-2028 voor een digitaal veilige samenleving.</w:t>
      </w:r>
      <w:r w:rsidRPr="00FF46E3" w:rsidR="004E51D5">
        <w:rPr>
          <w:rStyle w:val="Voetnootmarkering"/>
          <w:rFonts w:ascii="Verdana" w:hAnsi="Verdana"/>
          <w:sz w:val="18"/>
          <w:szCs w:val="18"/>
        </w:rPr>
        <w:footnoteReference w:id="22"/>
      </w:r>
      <w:r w:rsidRPr="00FF46E3" w:rsidR="006E53D2">
        <w:rPr>
          <w:rFonts w:ascii="Verdana" w:hAnsi="Verdana"/>
          <w:sz w:val="18"/>
          <w:szCs w:val="18"/>
        </w:rPr>
        <w:t xml:space="preserve"> </w:t>
      </w:r>
      <w:r w:rsidRPr="00FF46E3" w:rsidR="00645F0D">
        <w:rPr>
          <w:rFonts w:ascii="Verdana" w:hAnsi="Verdana"/>
          <w:sz w:val="18"/>
          <w:szCs w:val="18"/>
        </w:rPr>
        <w:t>De NLCS wordt door de Minister van Justitie en Veiligheid in overeenstemming met de betrokken ministers vastgesteld</w:t>
      </w:r>
      <w:r w:rsidR="004C5DEA">
        <w:rPr>
          <w:rFonts w:ascii="Verdana" w:hAnsi="Verdana"/>
          <w:sz w:val="18"/>
          <w:szCs w:val="18"/>
        </w:rPr>
        <w:t>.</w:t>
      </w:r>
      <w:r w:rsidRPr="00FF46E3" w:rsidR="00645F0D">
        <w:rPr>
          <w:rFonts w:ascii="Verdana" w:hAnsi="Verdana"/>
          <w:sz w:val="18"/>
          <w:szCs w:val="18"/>
        </w:rPr>
        <w:t xml:space="preserve"> </w:t>
      </w:r>
      <w:r w:rsidR="004C5DEA">
        <w:rPr>
          <w:rFonts w:ascii="Verdana" w:hAnsi="Verdana"/>
          <w:sz w:val="18"/>
          <w:szCs w:val="18"/>
        </w:rPr>
        <w:t>D</w:t>
      </w:r>
      <w:r w:rsidRPr="00FF46E3" w:rsidR="00645F0D">
        <w:rPr>
          <w:rFonts w:ascii="Verdana" w:hAnsi="Verdana"/>
          <w:sz w:val="18"/>
          <w:szCs w:val="18"/>
        </w:rPr>
        <w:t>e Minister van J</w:t>
      </w:r>
      <w:r w:rsidRPr="00FF46E3" w:rsidR="00DA2177">
        <w:rPr>
          <w:rFonts w:ascii="Verdana" w:hAnsi="Verdana"/>
          <w:sz w:val="18"/>
          <w:szCs w:val="18"/>
        </w:rPr>
        <w:t>ustitie en Veiligheid</w:t>
      </w:r>
      <w:r w:rsidRPr="00FF46E3" w:rsidR="00645F0D">
        <w:rPr>
          <w:rFonts w:ascii="Verdana" w:hAnsi="Verdana"/>
          <w:sz w:val="18"/>
          <w:szCs w:val="18"/>
        </w:rPr>
        <w:t xml:space="preserve"> voert regie op en coördineert de totstandkoming van de strategie en monitort eveneens dat er uitvoering en opvolging aan wordt gegeven. </w:t>
      </w:r>
      <w:r w:rsidRPr="00FF46E3" w:rsidR="008B0599">
        <w:rPr>
          <w:rFonts w:ascii="Verdana" w:hAnsi="Verdana"/>
          <w:sz w:val="18"/>
          <w:szCs w:val="18"/>
        </w:rPr>
        <w:t>In deze strategie is eveneens een tussentijds evaluatie</w:t>
      </w:r>
      <w:r w:rsidRPr="00FF46E3" w:rsidR="00747610">
        <w:rPr>
          <w:rFonts w:ascii="Verdana" w:hAnsi="Verdana"/>
          <w:sz w:val="18"/>
          <w:szCs w:val="18"/>
        </w:rPr>
        <w:t>onderzoek</w:t>
      </w:r>
      <w:r w:rsidRPr="00FF46E3" w:rsidR="008B0599">
        <w:rPr>
          <w:rFonts w:ascii="Verdana" w:hAnsi="Verdana"/>
          <w:sz w:val="18"/>
          <w:szCs w:val="18"/>
        </w:rPr>
        <w:t xml:space="preserve"> opgenomen</w:t>
      </w:r>
      <w:r w:rsidRPr="00FF46E3" w:rsidR="00747610">
        <w:rPr>
          <w:rFonts w:ascii="Verdana" w:hAnsi="Verdana"/>
          <w:sz w:val="18"/>
          <w:szCs w:val="18"/>
        </w:rPr>
        <w:t xml:space="preserve"> op basis waarvan een volgend kabinet eventueel een beslissing kan nemen over de uiteindelijke doorlooptijd en eventuele eindevaluatie van de </w:t>
      </w:r>
      <w:r w:rsidRPr="00FF46E3" w:rsidR="00DA2177">
        <w:rPr>
          <w:rFonts w:ascii="Verdana" w:hAnsi="Verdana"/>
          <w:sz w:val="18"/>
          <w:szCs w:val="18"/>
        </w:rPr>
        <w:t>NLCS</w:t>
      </w:r>
      <w:r w:rsidRPr="00FF46E3" w:rsidR="008B0599">
        <w:rPr>
          <w:rFonts w:ascii="Verdana" w:hAnsi="Verdana"/>
          <w:sz w:val="18"/>
          <w:szCs w:val="18"/>
        </w:rPr>
        <w:t xml:space="preserve">. </w:t>
      </w:r>
    </w:p>
    <w:p w:rsidRPr="00FF46E3" w:rsidR="00EF73FC" w:rsidP="00932947" w:rsidRDefault="006B0C23" w14:paraId="55EFC587" w14:textId="646D1B16">
      <w:pPr>
        <w:pStyle w:val="Geenafstand"/>
        <w:rPr>
          <w:rFonts w:ascii="Verdana" w:hAnsi="Verdana"/>
          <w:sz w:val="18"/>
          <w:szCs w:val="18"/>
        </w:rPr>
      </w:pPr>
      <w:r w:rsidRPr="00FF46E3">
        <w:rPr>
          <w:rFonts w:ascii="Verdana" w:hAnsi="Verdana"/>
          <w:sz w:val="18"/>
          <w:szCs w:val="18"/>
        </w:rPr>
        <w:t xml:space="preserve">Vanuit de rol als centraal contactpunt stelt de </w:t>
      </w:r>
      <w:r w:rsidRPr="00FF46E3" w:rsidR="006E6544">
        <w:rPr>
          <w:rFonts w:ascii="Verdana" w:hAnsi="Verdana"/>
          <w:sz w:val="18"/>
          <w:szCs w:val="18"/>
        </w:rPr>
        <w:t>M</w:t>
      </w:r>
      <w:r w:rsidRPr="00FF46E3">
        <w:rPr>
          <w:rFonts w:ascii="Verdana" w:hAnsi="Verdana"/>
          <w:sz w:val="18"/>
          <w:szCs w:val="18"/>
        </w:rPr>
        <w:t>inister van Justitie en Veiligheid</w:t>
      </w:r>
      <w:r w:rsidRPr="00FF46E3" w:rsidR="00B14F0C">
        <w:rPr>
          <w:rFonts w:ascii="Verdana" w:hAnsi="Verdana"/>
          <w:sz w:val="18"/>
          <w:szCs w:val="18"/>
        </w:rPr>
        <w:t xml:space="preserve"> de </w:t>
      </w:r>
      <w:r w:rsidR="002E712D">
        <w:rPr>
          <w:rFonts w:ascii="Verdana" w:hAnsi="Verdana"/>
          <w:sz w:val="18"/>
          <w:szCs w:val="18"/>
        </w:rPr>
        <w:t xml:space="preserve">Europese </w:t>
      </w:r>
      <w:r w:rsidRPr="00FF46E3" w:rsidR="00B14F0C">
        <w:rPr>
          <w:rFonts w:ascii="Verdana" w:hAnsi="Verdana"/>
          <w:sz w:val="18"/>
          <w:szCs w:val="18"/>
        </w:rPr>
        <w:t>Commissie</w:t>
      </w:r>
      <w:r w:rsidRPr="00FF46E3">
        <w:rPr>
          <w:rFonts w:ascii="Verdana" w:hAnsi="Verdana"/>
          <w:sz w:val="18"/>
          <w:szCs w:val="18"/>
        </w:rPr>
        <w:t xml:space="preserve"> </w:t>
      </w:r>
      <w:r w:rsidRPr="00FF46E3" w:rsidR="007D5A6E">
        <w:rPr>
          <w:rFonts w:ascii="Verdana" w:hAnsi="Verdana"/>
          <w:sz w:val="18"/>
          <w:szCs w:val="18"/>
        </w:rPr>
        <w:t xml:space="preserve">binnen drie maanden </w:t>
      </w:r>
      <w:r w:rsidRPr="00FF46E3">
        <w:rPr>
          <w:rFonts w:ascii="Verdana" w:hAnsi="Verdana"/>
          <w:sz w:val="18"/>
          <w:szCs w:val="18"/>
        </w:rPr>
        <w:t xml:space="preserve">in kennis van de vaststelling van de strategie. </w:t>
      </w:r>
      <w:r w:rsidRPr="00FF46E3" w:rsidR="006E53D2">
        <w:rPr>
          <w:rFonts w:ascii="Verdana" w:hAnsi="Verdana"/>
          <w:sz w:val="18"/>
          <w:szCs w:val="18"/>
        </w:rPr>
        <w:t xml:space="preserve">Hiermee voldoet Nederland aan het vereiste </w:t>
      </w:r>
      <w:r w:rsidRPr="00FF46E3" w:rsidR="007D5A6E">
        <w:rPr>
          <w:rFonts w:ascii="Verdana" w:hAnsi="Verdana"/>
          <w:sz w:val="18"/>
          <w:szCs w:val="18"/>
        </w:rPr>
        <w:t xml:space="preserve">van artikel 7 </w:t>
      </w:r>
      <w:r w:rsidRPr="00FF46E3" w:rsidR="00452EFE">
        <w:rPr>
          <w:rFonts w:ascii="Verdana" w:hAnsi="Verdana"/>
          <w:sz w:val="18"/>
          <w:szCs w:val="18"/>
        </w:rPr>
        <w:t>NIS2-</w:t>
      </w:r>
      <w:r w:rsidRPr="00FF46E3" w:rsidR="006E53D2">
        <w:rPr>
          <w:rFonts w:ascii="Verdana" w:hAnsi="Verdana"/>
          <w:sz w:val="18"/>
          <w:szCs w:val="18"/>
        </w:rPr>
        <w:t>richtlijn tot het hebben van een nationale cyberbeveiligingsstrategie die voorziet in de strategische doelstellingen, de middelen die nodig zijn om die doelstellingen te behalen, en passende beleids- en regelgevingsmaatregelen, om een hoog niveau van cyberbeveiliging te bereiken en te handhaven.</w:t>
      </w:r>
      <w:r w:rsidRPr="00FF46E3" w:rsidR="008F21B4">
        <w:rPr>
          <w:rFonts w:ascii="Verdana" w:hAnsi="Verdana"/>
          <w:sz w:val="18"/>
          <w:szCs w:val="18"/>
        </w:rPr>
        <w:t xml:space="preserve"> </w:t>
      </w:r>
    </w:p>
    <w:p w:rsidRPr="00FF46E3" w:rsidR="00645F0D" w:rsidP="00EF73FC" w:rsidRDefault="00EF73FC" w14:paraId="4CD7B44F" w14:textId="0190DF54">
      <w:pPr>
        <w:pStyle w:val="Geenafstand"/>
        <w:rPr>
          <w:rFonts w:ascii="Verdana" w:hAnsi="Verdana"/>
          <w:sz w:val="18"/>
          <w:szCs w:val="18"/>
        </w:rPr>
      </w:pPr>
      <w:bookmarkStart w:name="_Hlk162276362" w:id="23"/>
      <w:r w:rsidRPr="00FF46E3">
        <w:rPr>
          <w:rFonts w:ascii="Verdana" w:hAnsi="Verdana"/>
          <w:sz w:val="18"/>
          <w:szCs w:val="18"/>
        </w:rPr>
        <w:t xml:space="preserve">De </w:t>
      </w:r>
      <w:r w:rsidR="004C5DEA">
        <w:rPr>
          <w:rFonts w:ascii="Verdana" w:hAnsi="Verdana"/>
          <w:sz w:val="18"/>
          <w:szCs w:val="18"/>
        </w:rPr>
        <w:t>NLCS</w:t>
      </w:r>
      <w:r w:rsidRPr="00FF46E3">
        <w:rPr>
          <w:rFonts w:ascii="Verdana" w:hAnsi="Verdana"/>
          <w:sz w:val="18"/>
          <w:szCs w:val="18"/>
        </w:rPr>
        <w:t xml:space="preserve"> is </w:t>
      </w:r>
      <w:r w:rsidR="004C5DEA">
        <w:rPr>
          <w:rFonts w:ascii="Verdana" w:hAnsi="Verdana"/>
          <w:sz w:val="18"/>
          <w:szCs w:val="18"/>
        </w:rPr>
        <w:t>een</w:t>
      </w:r>
      <w:r w:rsidRPr="00FF46E3" w:rsidR="004C5DEA">
        <w:rPr>
          <w:rFonts w:ascii="Verdana" w:hAnsi="Verdana"/>
          <w:sz w:val="18"/>
          <w:szCs w:val="18"/>
        </w:rPr>
        <w:t xml:space="preserve"> </w:t>
      </w:r>
      <w:r w:rsidRPr="00FF46E3">
        <w:rPr>
          <w:rFonts w:ascii="Verdana" w:hAnsi="Verdana"/>
          <w:sz w:val="18"/>
          <w:szCs w:val="18"/>
        </w:rPr>
        <w:t xml:space="preserve">generiek kader. </w:t>
      </w:r>
      <w:r w:rsidRPr="00FF46E3" w:rsidR="0088096B">
        <w:rPr>
          <w:rFonts w:ascii="Verdana" w:hAnsi="Verdana"/>
          <w:sz w:val="18"/>
          <w:szCs w:val="18"/>
        </w:rPr>
        <w:t>In het kader hiervan</w:t>
      </w:r>
      <w:r w:rsidRPr="00FF46E3">
        <w:rPr>
          <w:rFonts w:ascii="Verdana" w:hAnsi="Verdana"/>
          <w:sz w:val="18"/>
          <w:szCs w:val="18"/>
        </w:rPr>
        <w:t xml:space="preserve"> is er ruimte voor</w:t>
      </w:r>
      <w:r w:rsidR="004C5DEA">
        <w:rPr>
          <w:rFonts w:ascii="Verdana" w:hAnsi="Verdana"/>
          <w:sz w:val="18"/>
          <w:szCs w:val="18"/>
        </w:rPr>
        <w:t xml:space="preserve"> een</w:t>
      </w:r>
      <w:r w:rsidRPr="00FF46E3">
        <w:rPr>
          <w:rFonts w:ascii="Verdana" w:hAnsi="Verdana"/>
          <w:sz w:val="18"/>
          <w:szCs w:val="18"/>
        </w:rPr>
        <w:t xml:space="preserve"> specifieke invulling</w:t>
      </w:r>
      <w:r w:rsidR="004C5DEA">
        <w:rPr>
          <w:rFonts w:ascii="Verdana" w:hAnsi="Verdana"/>
          <w:sz w:val="18"/>
          <w:szCs w:val="18"/>
        </w:rPr>
        <w:t>,</w:t>
      </w:r>
      <w:r w:rsidRPr="00FF46E3">
        <w:rPr>
          <w:rFonts w:ascii="Verdana" w:hAnsi="Verdana"/>
          <w:sz w:val="18"/>
          <w:szCs w:val="18"/>
        </w:rPr>
        <w:t xml:space="preserve"> onder andere door sectorale beleidskaders, strategieën, agenda’s, routekaarten op deelonderwerpen of aanvullende normenkaders. </w:t>
      </w:r>
      <w:r w:rsidRPr="00FF46E3" w:rsidR="00645F0D">
        <w:rPr>
          <w:rFonts w:ascii="Verdana" w:hAnsi="Verdana"/>
          <w:sz w:val="18"/>
          <w:szCs w:val="18"/>
        </w:rPr>
        <w:t>Strategische of beleidsmatige onderwerpen dan</w:t>
      </w:r>
      <w:r w:rsidRPr="00FF46E3" w:rsidR="00C65BCB">
        <w:rPr>
          <w:rFonts w:ascii="Verdana" w:hAnsi="Verdana"/>
          <w:sz w:val="18"/>
          <w:szCs w:val="18"/>
        </w:rPr>
        <w:t xml:space="preserve"> </w:t>
      </w:r>
      <w:r w:rsidRPr="00FF46E3" w:rsidR="00645F0D">
        <w:rPr>
          <w:rFonts w:ascii="Verdana" w:hAnsi="Verdana"/>
          <w:sz w:val="18"/>
          <w:szCs w:val="18"/>
        </w:rPr>
        <w:t>wel onderdelen van de onderwerpen die worden genoemd in artikel 7, tweede lid, onderdeel a tot en met j</w:t>
      </w:r>
      <w:r w:rsidRPr="00FF46E3" w:rsidR="00C96F62">
        <w:rPr>
          <w:rFonts w:ascii="Verdana" w:hAnsi="Verdana"/>
          <w:sz w:val="18"/>
          <w:szCs w:val="18"/>
        </w:rPr>
        <w:t>,</w:t>
      </w:r>
      <w:r w:rsidRPr="00FF46E3" w:rsidR="00645F0D">
        <w:rPr>
          <w:rFonts w:ascii="Verdana" w:hAnsi="Verdana"/>
          <w:sz w:val="18"/>
          <w:szCs w:val="18"/>
        </w:rPr>
        <w:t xml:space="preserve"> NIS</w:t>
      </w:r>
      <w:r w:rsidRPr="00FF46E3" w:rsidR="00C436AD">
        <w:rPr>
          <w:rFonts w:ascii="Verdana" w:hAnsi="Verdana"/>
          <w:sz w:val="18"/>
          <w:szCs w:val="18"/>
        </w:rPr>
        <w:t>2</w:t>
      </w:r>
      <w:r w:rsidRPr="00FF46E3" w:rsidR="00DA2177">
        <w:rPr>
          <w:rFonts w:ascii="Verdana" w:hAnsi="Verdana"/>
          <w:sz w:val="18"/>
          <w:szCs w:val="18"/>
        </w:rPr>
        <w:t>-richtlijn</w:t>
      </w:r>
      <w:r w:rsidRPr="00FF46E3" w:rsidR="00645F0D">
        <w:rPr>
          <w:rFonts w:ascii="Verdana" w:hAnsi="Verdana"/>
          <w:sz w:val="18"/>
          <w:szCs w:val="18"/>
        </w:rPr>
        <w:t xml:space="preserve"> kunnen</w:t>
      </w:r>
      <w:r w:rsidRPr="00FF46E3">
        <w:rPr>
          <w:rFonts w:ascii="Verdana" w:hAnsi="Verdana"/>
          <w:sz w:val="18"/>
          <w:szCs w:val="18"/>
        </w:rPr>
        <w:t xml:space="preserve"> dan</w:t>
      </w:r>
      <w:r w:rsidRPr="00FF46E3" w:rsidR="00645F0D">
        <w:rPr>
          <w:rFonts w:ascii="Verdana" w:hAnsi="Verdana"/>
          <w:sz w:val="18"/>
          <w:szCs w:val="18"/>
        </w:rPr>
        <w:t xml:space="preserve"> ook onder verantwoordelijkheid van andere ministers dan de Minister van J</w:t>
      </w:r>
      <w:r w:rsidRPr="00FF46E3" w:rsidR="00A2230F">
        <w:rPr>
          <w:rFonts w:ascii="Verdana" w:hAnsi="Verdana"/>
          <w:sz w:val="18"/>
          <w:szCs w:val="18"/>
        </w:rPr>
        <w:t xml:space="preserve">ustitie </w:t>
      </w:r>
      <w:r w:rsidRPr="00FF46E3" w:rsidR="00645F0D">
        <w:rPr>
          <w:rFonts w:ascii="Verdana" w:hAnsi="Verdana"/>
          <w:sz w:val="18"/>
          <w:szCs w:val="18"/>
        </w:rPr>
        <w:t>en</w:t>
      </w:r>
      <w:r w:rsidRPr="00FF46E3" w:rsidR="00A2230F">
        <w:rPr>
          <w:rFonts w:ascii="Verdana" w:hAnsi="Verdana"/>
          <w:sz w:val="18"/>
          <w:szCs w:val="18"/>
        </w:rPr>
        <w:t xml:space="preserve"> </w:t>
      </w:r>
      <w:r w:rsidRPr="00FF46E3" w:rsidR="00645F0D">
        <w:rPr>
          <w:rFonts w:ascii="Verdana" w:hAnsi="Verdana"/>
          <w:sz w:val="18"/>
          <w:szCs w:val="18"/>
        </w:rPr>
        <w:t>V</w:t>
      </w:r>
      <w:r w:rsidRPr="00FF46E3" w:rsidR="00A2230F">
        <w:rPr>
          <w:rFonts w:ascii="Verdana" w:hAnsi="Verdana"/>
          <w:sz w:val="18"/>
          <w:szCs w:val="18"/>
        </w:rPr>
        <w:t>eiligheid</w:t>
      </w:r>
      <w:r w:rsidRPr="00FF46E3" w:rsidR="00645F0D">
        <w:rPr>
          <w:rFonts w:ascii="Verdana" w:hAnsi="Verdana"/>
          <w:sz w:val="18"/>
          <w:szCs w:val="18"/>
        </w:rPr>
        <w:t xml:space="preserve"> tot stand komen. </w:t>
      </w:r>
      <w:r w:rsidRPr="00FF46E3" w:rsidR="00DA2177">
        <w:rPr>
          <w:rFonts w:ascii="Verdana" w:hAnsi="Verdana"/>
          <w:sz w:val="18"/>
          <w:szCs w:val="18"/>
        </w:rPr>
        <w:t>Hiermee</w:t>
      </w:r>
      <w:r w:rsidRPr="00FF46E3" w:rsidR="00645F0D">
        <w:rPr>
          <w:rFonts w:ascii="Verdana" w:hAnsi="Verdana"/>
          <w:sz w:val="18"/>
          <w:szCs w:val="18"/>
        </w:rPr>
        <w:t xml:space="preserve"> wordt aansluiting gezocht bij de beleidsverantwoordelijkheden van ministers zoals die op dat moment gelden. </w:t>
      </w:r>
    </w:p>
    <w:p w:rsidRPr="00FF46E3" w:rsidR="00BD4897" w:rsidP="00C212B3" w:rsidRDefault="00BD4897" w14:paraId="3F1C2300" w14:textId="77777777">
      <w:pPr>
        <w:pStyle w:val="Geenafstand"/>
        <w:rPr>
          <w:rFonts w:ascii="Verdana" w:hAnsi="Verdana"/>
          <w:sz w:val="18"/>
          <w:szCs w:val="18"/>
        </w:rPr>
      </w:pPr>
    </w:p>
    <w:bookmarkEnd w:id="23"/>
    <w:p w:rsidRPr="000E2DA7" w:rsidR="002A6021" w:rsidP="00932947" w:rsidRDefault="002A6021" w14:paraId="25487442" w14:textId="464CD967">
      <w:pPr>
        <w:pStyle w:val="Geenafstand"/>
        <w:rPr>
          <w:rFonts w:ascii="Verdana" w:hAnsi="Verdana"/>
          <w:i/>
          <w:iCs/>
          <w:sz w:val="18"/>
          <w:szCs w:val="18"/>
        </w:rPr>
      </w:pPr>
      <w:r w:rsidRPr="000E2DA7">
        <w:rPr>
          <w:rFonts w:ascii="Verdana" w:hAnsi="Verdana"/>
          <w:i/>
          <w:iCs/>
          <w:sz w:val="18"/>
          <w:szCs w:val="18"/>
        </w:rPr>
        <w:t>Versterking en transformeren van het digitale ecosysteem</w:t>
      </w:r>
    </w:p>
    <w:p w:rsidRPr="00FF46E3" w:rsidR="00932947" w:rsidP="00932947" w:rsidRDefault="00932947" w14:paraId="7232B2A6" w14:textId="41E264F9">
      <w:pPr>
        <w:pStyle w:val="Geenafstand"/>
        <w:rPr>
          <w:rFonts w:ascii="Verdana" w:hAnsi="Verdana"/>
          <w:sz w:val="18"/>
          <w:szCs w:val="18"/>
        </w:rPr>
      </w:pPr>
      <w:r w:rsidRPr="00FF46E3">
        <w:rPr>
          <w:rFonts w:ascii="Verdana" w:hAnsi="Verdana"/>
          <w:sz w:val="18"/>
          <w:szCs w:val="18"/>
        </w:rPr>
        <w:t>Nederland is één van de meest gedigitaliseerde landen ter wereld. Dat biedt kansen, maar brengt ook risico’s met zich mee. Het digitale ecosysteem is inmiddels zo verknoopt en complex, dat het voor individuele organisaties en personen ingewikkeld</w:t>
      </w:r>
      <w:r w:rsidRPr="00FF46E3" w:rsidR="00102F42">
        <w:rPr>
          <w:rFonts w:ascii="Verdana" w:hAnsi="Verdana"/>
          <w:sz w:val="18"/>
          <w:szCs w:val="18"/>
        </w:rPr>
        <w:t>,</w:t>
      </w:r>
      <w:r w:rsidRPr="00FF46E3">
        <w:rPr>
          <w:rFonts w:ascii="Verdana" w:hAnsi="Verdana"/>
          <w:sz w:val="18"/>
          <w:szCs w:val="18"/>
        </w:rPr>
        <w:t xml:space="preserve"> zo niet onmogelijk is</w:t>
      </w:r>
      <w:r w:rsidRPr="00FF46E3" w:rsidR="00102F42">
        <w:rPr>
          <w:rFonts w:ascii="Verdana" w:hAnsi="Verdana"/>
          <w:sz w:val="18"/>
          <w:szCs w:val="18"/>
        </w:rPr>
        <w:t>,</w:t>
      </w:r>
      <w:r w:rsidRPr="00FF46E3">
        <w:rPr>
          <w:rFonts w:ascii="Verdana" w:hAnsi="Verdana"/>
          <w:sz w:val="18"/>
          <w:szCs w:val="18"/>
        </w:rPr>
        <w:t xml:space="preserve"> om het geheel te doorgronden. Het is ook juist dit ecosysteem dat </w:t>
      </w:r>
      <w:r w:rsidRPr="00FF46E3" w:rsidR="00804E03">
        <w:rPr>
          <w:rFonts w:ascii="Verdana" w:hAnsi="Verdana"/>
          <w:sz w:val="18"/>
          <w:szCs w:val="18"/>
        </w:rPr>
        <w:t>het</w:t>
      </w:r>
      <w:r w:rsidRPr="00FF46E3">
        <w:rPr>
          <w:rFonts w:ascii="Verdana" w:hAnsi="Verdana"/>
          <w:sz w:val="18"/>
          <w:szCs w:val="18"/>
        </w:rPr>
        <w:t xml:space="preserve"> moderne leven, en economie en samenleving als geheel mogelijk maakt. Criminelen maar ook kwaadwillende staten misbruiken deze complexiteit door zich ongezien op te houden en via digitale kwetsbaarheden onze publieke waarden aan te tasten.</w:t>
      </w:r>
    </w:p>
    <w:p w:rsidRPr="00FF46E3" w:rsidR="00545398" w:rsidP="002D6195" w:rsidRDefault="00347321" w14:paraId="550D1CCE" w14:textId="19FDF397">
      <w:pPr>
        <w:pStyle w:val="Geenafstand"/>
        <w:rPr>
          <w:rFonts w:ascii="Verdana" w:hAnsi="Verdana"/>
          <w:sz w:val="18"/>
          <w:szCs w:val="18"/>
        </w:rPr>
      </w:pPr>
      <w:r w:rsidRPr="00FF46E3">
        <w:rPr>
          <w:rFonts w:ascii="Verdana" w:hAnsi="Verdana"/>
          <w:sz w:val="18"/>
          <w:szCs w:val="18"/>
        </w:rPr>
        <w:t xml:space="preserve">Het kabinet zet daarom in op het versterken en transformeren van het digitale ecosysteem waarbij één organisatie of één individu niet langer de zwakste schakel kan zijn. Overheden en organisaties binnen de vitale infrastructuur hebben een speciale verantwoordelijkheid binnen dit ecosysteem. Voor organisaties die </w:t>
      </w:r>
      <w:r w:rsidRPr="00FF46E3" w:rsidR="009A1951">
        <w:rPr>
          <w:rFonts w:ascii="Verdana" w:hAnsi="Verdana"/>
          <w:sz w:val="18"/>
          <w:szCs w:val="18"/>
        </w:rPr>
        <w:t xml:space="preserve">volgens deze wet </w:t>
      </w:r>
      <w:r w:rsidRPr="00FF46E3">
        <w:rPr>
          <w:rFonts w:ascii="Verdana" w:hAnsi="Verdana"/>
          <w:sz w:val="18"/>
          <w:szCs w:val="18"/>
        </w:rPr>
        <w:t>actief zijn in een sector van maatschappelijk belang mag het nemen van cybersecuritymaatregelen niet vrijblijvend zijn. Wetgeving is één van de instrumenten die het kabinet inzet om deze verantwoordelijkheden voor organisaties in deze sectoren te beleggen en bestendigen. Vanwege de verwevenheid van de interne markt neemt het kabinet dit soort maatregelen bij voorkeur in E</w:t>
      </w:r>
      <w:r w:rsidRPr="00FF46E3" w:rsidR="00A10EA4">
        <w:rPr>
          <w:rFonts w:ascii="Verdana" w:hAnsi="Verdana"/>
          <w:sz w:val="18"/>
          <w:szCs w:val="18"/>
        </w:rPr>
        <w:t>U</w:t>
      </w:r>
      <w:r w:rsidRPr="00FF46E3" w:rsidR="006C0FE6">
        <w:rPr>
          <w:rFonts w:ascii="Verdana" w:hAnsi="Verdana"/>
          <w:sz w:val="18"/>
          <w:szCs w:val="18"/>
        </w:rPr>
        <w:t>-</w:t>
      </w:r>
      <w:r w:rsidRPr="00FF46E3">
        <w:rPr>
          <w:rFonts w:ascii="Verdana" w:hAnsi="Verdana"/>
          <w:sz w:val="18"/>
          <w:szCs w:val="18"/>
        </w:rPr>
        <w:t xml:space="preserve">verband. </w:t>
      </w:r>
      <w:r w:rsidRPr="00FF46E3" w:rsidR="00545398">
        <w:rPr>
          <w:rFonts w:ascii="Verdana" w:hAnsi="Verdana"/>
          <w:sz w:val="18"/>
          <w:szCs w:val="18"/>
        </w:rPr>
        <w:t xml:space="preserve">De implementatie van de NIS2-richtlijn levert daarmee een </w:t>
      </w:r>
      <w:r w:rsidRPr="00FF46E3" w:rsidR="00545398">
        <w:rPr>
          <w:rFonts w:ascii="Verdana" w:hAnsi="Verdana"/>
          <w:sz w:val="18"/>
          <w:szCs w:val="18"/>
        </w:rPr>
        <w:lastRenderedPageBreak/>
        <w:t>belangrijke bijdrage aan het doel uit de NLCS dat organisaties zicht hebben op cyberincidenten,</w:t>
      </w:r>
      <w:r w:rsidR="0095498E">
        <w:rPr>
          <w:rFonts w:ascii="Verdana" w:hAnsi="Verdana"/>
          <w:sz w:val="18"/>
          <w:szCs w:val="18"/>
        </w:rPr>
        <w:t xml:space="preserve"> </w:t>
      </w:r>
      <w:r w:rsidRPr="00FF46E3" w:rsidR="00545398">
        <w:rPr>
          <w:rFonts w:ascii="Verdana" w:hAnsi="Verdana"/>
          <w:sz w:val="18"/>
          <w:szCs w:val="18"/>
        </w:rPr>
        <w:t>-dreigingen en -risico’s en dat zij daar op een adequate manier mee omgaan.</w:t>
      </w:r>
    </w:p>
    <w:p w:rsidR="00515A70" w:rsidP="002D6195" w:rsidRDefault="00515A70" w14:paraId="473816D0" w14:textId="77777777">
      <w:pPr>
        <w:pStyle w:val="Geenafstand"/>
        <w:rPr>
          <w:rFonts w:ascii="Verdana" w:hAnsi="Verdana"/>
          <w:sz w:val="18"/>
          <w:szCs w:val="18"/>
        </w:rPr>
      </w:pPr>
    </w:p>
    <w:p w:rsidRPr="002A6021" w:rsidR="002A6021" w:rsidP="002D6195" w:rsidRDefault="002A6021" w14:paraId="1A62EAA0" w14:textId="701288F2">
      <w:pPr>
        <w:pStyle w:val="Geenafstand"/>
        <w:rPr>
          <w:rFonts w:ascii="Verdana" w:hAnsi="Verdana"/>
          <w:i/>
          <w:iCs/>
          <w:sz w:val="18"/>
          <w:szCs w:val="18"/>
        </w:rPr>
      </w:pPr>
      <w:r>
        <w:rPr>
          <w:rFonts w:ascii="Verdana" w:hAnsi="Verdana"/>
          <w:i/>
          <w:iCs/>
          <w:sz w:val="18"/>
          <w:szCs w:val="18"/>
        </w:rPr>
        <w:t>Aanpak vitaal</w:t>
      </w:r>
    </w:p>
    <w:p w:rsidRPr="00FF46E3" w:rsidR="002D6195" w:rsidP="002D6195" w:rsidRDefault="00C1574D" w14:paraId="62423A80" w14:textId="0AB0AC5C">
      <w:pPr>
        <w:pStyle w:val="Geenafstand"/>
        <w:rPr>
          <w:rFonts w:ascii="Verdana" w:hAnsi="Verdana"/>
          <w:sz w:val="18"/>
          <w:szCs w:val="18"/>
        </w:rPr>
      </w:pPr>
      <w:r>
        <w:rPr>
          <w:rFonts w:ascii="Verdana" w:hAnsi="Verdana"/>
          <w:sz w:val="18"/>
          <w:szCs w:val="18"/>
        </w:rPr>
        <w:t xml:space="preserve">Dit wetsvoorstel </w:t>
      </w:r>
      <w:r w:rsidR="002A6021">
        <w:rPr>
          <w:rFonts w:ascii="Verdana" w:hAnsi="Verdana"/>
          <w:sz w:val="18"/>
          <w:szCs w:val="18"/>
        </w:rPr>
        <w:t xml:space="preserve">voor de </w:t>
      </w:r>
      <w:proofErr w:type="spellStart"/>
      <w:r w:rsidR="002A6021">
        <w:rPr>
          <w:rFonts w:ascii="Verdana" w:hAnsi="Verdana"/>
          <w:sz w:val="18"/>
          <w:szCs w:val="18"/>
        </w:rPr>
        <w:t>Cbw</w:t>
      </w:r>
      <w:proofErr w:type="spellEnd"/>
      <w:r w:rsidR="002A6021">
        <w:rPr>
          <w:rFonts w:ascii="Verdana" w:hAnsi="Verdana"/>
          <w:sz w:val="18"/>
          <w:szCs w:val="18"/>
        </w:rPr>
        <w:t xml:space="preserve"> </w:t>
      </w:r>
      <w:r>
        <w:rPr>
          <w:rFonts w:ascii="Verdana" w:hAnsi="Verdana"/>
          <w:sz w:val="18"/>
          <w:szCs w:val="18"/>
        </w:rPr>
        <w:t xml:space="preserve">en het voorstel voor de </w:t>
      </w:r>
      <w:proofErr w:type="spellStart"/>
      <w:r>
        <w:rPr>
          <w:rFonts w:ascii="Verdana" w:hAnsi="Verdana"/>
          <w:sz w:val="18"/>
          <w:szCs w:val="18"/>
        </w:rPr>
        <w:t>Wwke</w:t>
      </w:r>
      <w:proofErr w:type="spellEnd"/>
      <w:r>
        <w:rPr>
          <w:rFonts w:ascii="Verdana" w:hAnsi="Verdana"/>
          <w:sz w:val="18"/>
          <w:szCs w:val="18"/>
        </w:rPr>
        <w:t xml:space="preserve"> hangen</w:t>
      </w:r>
      <w:r w:rsidR="008265E7">
        <w:rPr>
          <w:rFonts w:ascii="Verdana" w:hAnsi="Verdana"/>
          <w:sz w:val="18"/>
          <w:szCs w:val="18"/>
        </w:rPr>
        <w:t xml:space="preserve"> </w:t>
      </w:r>
      <w:r w:rsidRPr="00FF46E3" w:rsidR="00B31DBE">
        <w:rPr>
          <w:rFonts w:ascii="Verdana" w:hAnsi="Verdana"/>
          <w:sz w:val="18"/>
          <w:szCs w:val="18"/>
        </w:rPr>
        <w:t>samen met</w:t>
      </w:r>
      <w:r w:rsidRPr="00FF46E3" w:rsidR="002D6195">
        <w:rPr>
          <w:rFonts w:ascii="Verdana" w:hAnsi="Verdana"/>
          <w:sz w:val="18"/>
          <w:szCs w:val="18"/>
        </w:rPr>
        <w:t xml:space="preserve"> de </w:t>
      </w:r>
      <w:r w:rsidRPr="00FF46E3" w:rsidR="003D7C33">
        <w:rPr>
          <w:rFonts w:ascii="Verdana" w:hAnsi="Verdana"/>
          <w:sz w:val="18"/>
          <w:szCs w:val="18"/>
        </w:rPr>
        <w:t>zogeheten</w:t>
      </w:r>
      <w:r w:rsidRPr="00FF46E3" w:rsidR="00A10EA4">
        <w:rPr>
          <w:rFonts w:ascii="Verdana" w:hAnsi="Verdana"/>
          <w:sz w:val="18"/>
          <w:szCs w:val="18"/>
        </w:rPr>
        <w:t xml:space="preserve"> </w:t>
      </w:r>
      <w:r w:rsidRPr="00FF46E3" w:rsidR="002D6195">
        <w:rPr>
          <w:rFonts w:ascii="Verdana" w:hAnsi="Verdana"/>
          <w:sz w:val="18"/>
          <w:szCs w:val="18"/>
        </w:rPr>
        <w:t xml:space="preserve">Aanpak </w:t>
      </w:r>
      <w:r w:rsidRPr="00FF46E3" w:rsidR="00A500A4">
        <w:rPr>
          <w:rFonts w:ascii="Verdana" w:hAnsi="Verdana"/>
          <w:sz w:val="18"/>
          <w:szCs w:val="18"/>
        </w:rPr>
        <w:t>v</w:t>
      </w:r>
      <w:r w:rsidRPr="00FF46E3" w:rsidR="002D6195">
        <w:rPr>
          <w:rFonts w:ascii="Verdana" w:hAnsi="Verdana"/>
          <w:sz w:val="18"/>
          <w:szCs w:val="18"/>
        </w:rPr>
        <w:t>itaal. De processen en diensten die samen de vitale infrastructuur vormen, zijn het fundament waarop de Nederlandse samenleving draait. Uitval, verstoring of manipulatie van de vitale infrastructuur schaadt het functioneren van de Nederlandse economie en maatschappij en kan een bedreiging vormen voor de nationale veiligheid, de economische veiligheid en de stabiliteit van de interne markt</w:t>
      </w:r>
      <w:r w:rsidRPr="00FF46E3" w:rsidR="00A10EA4">
        <w:rPr>
          <w:rFonts w:ascii="Verdana" w:hAnsi="Verdana"/>
          <w:sz w:val="18"/>
          <w:szCs w:val="18"/>
        </w:rPr>
        <w:t xml:space="preserve"> van de </w:t>
      </w:r>
      <w:r w:rsidRPr="00FF46E3" w:rsidR="00844F9B">
        <w:rPr>
          <w:rFonts w:ascii="Verdana" w:hAnsi="Verdana"/>
          <w:sz w:val="18"/>
          <w:szCs w:val="18"/>
        </w:rPr>
        <w:t>EU</w:t>
      </w:r>
      <w:r w:rsidRPr="00FF46E3" w:rsidR="002D6195">
        <w:rPr>
          <w:rFonts w:ascii="Verdana" w:hAnsi="Verdana"/>
          <w:sz w:val="18"/>
          <w:szCs w:val="18"/>
        </w:rPr>
        <w:t xml:space="preserve">. Het is dan ook van belang de weerbaarheid van de vitale infrastructuur tegen bestaande en nieuwe bedreigingen en risico’s te versterken. </w:t>
      </w:r>
      <w:r w:rsidRPr="00FF46E3" w:rsidR="001B7B6B">
        <w:rPr>
          <w:rFonts w:ascii="Verdana" w:hAnsi="Verdana"/>
          <w:sz w:val="18"/>
          <w:szCs w:val="18"/>
        </w:rPr>
        <w:t>Het d</w:t>
      </w:r>
      <w:r w:rsidRPr="00FF46E3" w:rsidR="002D6195">
        <w:rPr>
          <w:rFonts w:ascii="Verdana" w:hAnsi="Verdana"/>
          <w:sz w:val="18"/>
          <w:szCs w:val="18"/>
        </w:rPr>
        <w:t xml:space="preserve">oel van de Aanpak </w:t>
      </w:r>
      <w:r w:rsidRPr="00FF46E3" w:rsidR="001B7B6B">
        <w:rPr>
          <w:rFonts w:ascii="Verdana" w:hAnsi="Verdana"/>
          <w:sz w:val="18"/>
          <w:szCs w:val="18"/>
        </w:rPr>
        <w:t>v</w:t>
      </w:r>
      <w:r w:rsidRPr="00FF46E3" w:rsidR="002D6195">
        <w:rPr>
          <w:rFonts w:ascii="Verdana" w:hAnsi="Verdana"/>
          <w:sz w:val="18"/>
          <w:szCs w:val="18"/>
        </w:rPr>
        <w:t>itaal is het voorkomen van maatschappelijke ontwrichting en verstoring van de samenleving door het verhogen van de weerbaarheid van vitale aanbieders. Dat wordt gedaan door het vermogen om uitval, verstoring of manipulatie te voorkomen te verhogen, de effecten daarvan te beheersen en ervan te herstellen. De</w:t>
      </w:r>
      <w:r w:rsidR="006048BA">
        <w:rPr>
          <w:rFonts w:ascii="Verdana" w:hAnsi="Verdana"/>
          <w:sz w:val="18"/>
          <w:szCs w:val="18"/>
        </w:rPr>
        <w:t xml:space="preserve"> </w:t>
      </w:r>
      <w:proofErr w:type="spellStart"/>
      <w:r w:rsidR="006048BA">
        <w:rPr>
          <w:rFonts w:ascii="Verdana" w:hAnsi="Verdana"/>
          <w:sz w:val="18"/>
          <w:szCs w:val="18"/>
        </w:rPr>
        <w:t>Cbw</w:t>
      </w:r>
      <w:proofErr w:type="spellEnd"/>
      <w:r w:rsidR="006048BA">
        <w:rPr>
          <w:rFonts w:ascii="Verdana" w:hAnsi="Verdana"/>
          <w:sz w:val="18"/>
          <w:szCs w:val="18"/>
        </w:rPr>
        <w:t xml:space="preserve"> en de </w:t>
      </w:r>
      <w:proofErr w:type="spellStart"/>
      <w:r w:rsidR="006048BA">
        <w:rPr>
          <w:rFonts w:ascii="Verdana" w:hAnsi="Verdana"/>
          <w:sz w:val="18"/>
          <w:szCs w:val="18"/>
        </w:rPr>
        <w:t>Wwke</w:t>
      </w:r>
      <w:proofErr w:type="spellEnd"/>
      <w:r w:rsidRPr="00FF46E3" w:rsidR="002D6195">
        <w:rPr>
          <w:rFonts w:ascii="Verdana" w:hAnsi="Verdana"/>
          <w:sz w:val="18"/>
          <w:szCs w:val="18"/>
        </w:rPr>
        <w:t xml:space="preserve"> bied</w:t>
      </w:r>
      <w:r w:rsidR="006048BA">
        <w:rPr>
          <w:rFonts w:ascii="Verdana" w:hAnsi="Verdana"/>
          <w:sz w:val="18"/>
          <w:szCs w:val="18"/>
        </w:rPr>
        <w:t>en</w:t>
      </w:r>
      <w:r w:rsidRPr="00FF46E3" w:rsidR="002D6195">
        <w:rPr>
          <w:rFonts w:ascii="Verdana" w:hAnsi="Verdana"/>
          <w:sz w:val="18"/>
          <w:szCs w:val="18"/>
        </w:rPr>
        <w:t xml:space="preserve"> een wettelijk kader voor het versterken van de digitale en fysieke weerbaarheid van onder meer de vitale infrastructuur.</w:t>
      </w:r>
    </w:p>
    <w:p w:rsidRPr="00FF46E3" w:rsidR="002D6195" w:rsidP="006200DD" w:rsidRDefault="002D6195" w14:paraId="610F9423" w14:textId="77777777">
      <w:pPr>
        <w:pStyle w:val="Geenafstand"/>
        <w:rPr>
          <w:rFonts w:ascii="Verdana" w:hAnsi="Verdana"/>
          <w:sz w:val="18"/>
          <w:szCs w:val="18"/>
        </w:rPr>
      </w:pPr>
    </w:p>
    <w:p w:rsidRPr="00FF46E3" w:rsidR="00641215" w:rsidP="00493EC7" w:rsidRDefault="00347321" w14:paraId="016A4D94" w14:textId="0EBC82B2">
      <w:pPr>
        <w:pStyle w:val="Kop1"/>
      </w:pPr>
      <w:bookmarkStart w:name="_Toc198721060" w:id="24"/>
      <w:r w:rsidRPr="00FF46E3">
        <w:t>4</w:t>
      </w:r>
      <w:r w:rsidRPr="00FF46E3" w:rsidR="00641215">
        <w:t xml:space="preserve">. </w:t>
      </w:r>
      <w:r w:rsidRPr="00FF46E3" w:rsidR="008D33BC">
        <w:t>G</w:t>
      </w:r>
      <w:r w:rsidRPr="00FF46E3" w:rsidR="00641215">
        <w:t>emaakte implementatiekeuzes</w:t>
      </w:r>
      <w:r w:rsidRPr="00FF46E3" w:rsidR="00F262A3">
        <w:t xml:space="preserve"> op hoofdlijnen</w:t>
      </w:r>
      <w:bookmarkEnd w:id="24"/>
    </w:p>
    <w:p w:rsidRPr="00FF46E3" w:rsidR="00641215" w:rsidP="006200DD" w:rsidRDefault="00641215" w14:paraId="2BDE30F7" w14:textId="06094C26">
      <w:pPr>
        <w:pStyle w:val="Geenafstand"/>
        <w:rPr>
          <w:rFonts w:ascii="Verdana" w:hAnsi="Verdana"/>
          <w:b/>
          <w:bCs/>
          <w:sz w:val="18"/>
          <w:szCs w:val="18"/>
        </w:rPr>
      </w:pPr>
    </w:p>
    <w:p w:rsidRPr="00FF46E3" w:rsidR="00641215" w:rsidP="006200DD" w:rsidRDefault="00641215" w14:paraId="2DBB0E2B" w14:textId="6BB5B34F">
      <w:pPr>
        <w:pStyle w:val="Geenafstand"/>
        <w:rPr>
          <w:rFonts w:ascii="Verdana" w:hAnsi="Verdana"/>
          <w:sz w:val="18"/>
          <w:szCs w:val="18"/>
        </w:rPr>
      </w:pPr>
      <w:r w:rsidRPr="00FF46E3">
        <w:rPr>
          <w:rFonts w:ascii="Verdana" w:hAnsi="Verdana"/>
          <w:sz w:val="18"/>
          <w:szCs w:val="18"/>
        </w:rPr>
        <w:t xml:space="preserve">In </w:t>
      </w:r>
      <w:r w:rsidRPr="00FF46E3" w:rsidR="00343D34">
        <w:rPr>
          <w:rFonts w:ascii="Verdana" w:hAnsi="Verdana"/>
          <w:sz w:val="18"/>
          <w:szCs w:val="18"/>
        </w:rPr>
        <w:t xml:space="preserve">de </w:t>
      </w:r>
      <w:proofErr w:type="spellStart"/>
      <w:r w:rsidRPr="00FF46E3" w:rsidR="00343D34">
        <w:rPr>
          <w:rFonts w:ascii="Verdana" w:hAnsi="Verdana"/>
          <w:sz w:val="18"/>
          <w:szCs w:val="18"/>
        </w:rPr>
        <w:t>Cbw</w:t>
      </w:r>
      <w:proofErr w:type="spellEnd"/>
      <w:r w:rsidRPr="00FF46E3" w:rsidR="00343D34">
        <w:rPr>
          <w:rFonts w:ascii="Verdana" w:hAnsi="Verdana"/>
          <w:sz w:val="18"/>
          <w:szCs w:val="18"/>
        </w:rPr>
        <w:t xml:space="preserve"> </w:t>
      </w:r>
      <w:r w:rsidRPr="00FF46E3">
        <w:rPr>
          <w:rFonts w:ascii="Verdana" w:hAnsi="Verdana"/>
          <w:sz w:val="18"/>
          <w:szCs w:val="18"/>
        </w:rPr>
        <w:t xml:space="preserve">zijn </w:t>
      </w:r>
      <w:r w:rsidRPr="00FF46E3" w:rsidR="000B5BB9">
        <w:rPr>
          <w:rFonts w:ascii="Verdana" w:hAnsi="Verdana"/>
          <w:sz w:val="18"/>
          <w:szCs w:val="18"/>
        </w:rPr>
        <w:t xml:space="preserve">op hoofdlijnen </w:t>
      </w:r>
      <w:r w:rsidRPr="00FF46E3">
        <w:rPr>
          <w:rFonts w:ascii="Verdana" w:hAnsi="Verdana"/>
          <w:sz w:val="18"/>
          <w:szCs w:val="18"/>
        </w:rPr>
        <w:t>de volgende implementatiekeuzes gemaakt:</w:t>
      </w:r>
    </w:p>
    <w:p w:rsidRPr="00FF46E3" w:rsidR="002434A3" w:rsidP="006200DD" w:rsidRDefault="00641215" w14:paraId="732E2882" w14:textId="20C6E078">
      <w:pPr>
        <w:pStyle w:val="Geenafstand"/>
        <w:rPr>
          <w:rFonts w:ascii="Verdana" w:hAnsi="Verdana"/>
          <w:sz w:val="18"/>
          <w:szCs w:val="18"/>
        </w:rPr>
      </w:pPr>
      <w:r w:rsidRPr="00FF46E3">
        <w:rPr>
          <w:rFonts w:ascii="Verdana" w:hAnsi="Verdana"/>
          <w:sz w:val="18"/>
          <w:szCs w:val="18"/>
        </w:rPr>
        <w:t xml:space="preserve"> </w:t>
      </w:r>
    </w:p>
    <w:p w:rsidRPr="00FF46E3" w:rsidR="006512D2" w:rsidP="006200DD" w:rsidRDefault="002009A6" w14:paraId="150C196B" w14:textId="0AEE21CD">
      <w:pPr>
        <w:pStyle w:val="Geenafstand"/>
        <w:rPr>
          <w:rFonts w:ascii="Verdana" w:hAnsi="Verdana"/>
          <w:sz w:val="18"/>
          <w:szCs w:val="18"/>
        </w:rPr>
      </w:pPr>
      <w:bookmarkStart w:name="_Hlk173924997" w:id="25"/>
      <w:r w:rsidRPr="00FF46E3">
        <w:rPr>
          <w:rFonts w:ascii="Verdana" w:hAnsi="Verdana"/>
          <w:sz w:val="18"/>
          <w:szCs w:val="18"/>
        </w:rPr>
        <w:t xml:space="preserve">1. </w:t>
      </w:r>
      <w:r w:rsidRPr="00FF46E3">
        <w:rPr>
          <w:rFonts w:ascii="Verdana" w:hAnsi="Verdana"/>
          <w:b/>
          <w:bCs/>
          <w:sz w:val="18"/>
          <w:szCs w:val="18"/>
        </w:rPr>
        <w:t xml:space="preserve">Implementatie in één centrale wet: </w:t>
      </w:r>
      <w:r w:rsidRPr="00FF46E3">
        <w:rPr>
          <w:rFonts w:ascii="Verdana" w:hAnsi="Verdana"/>
          <w:sz w:val="18"/>
          <w:szCs w:val="18"/>
        </w:rPr>
        <w:t xml:space="preserve">De </w:t>
      </w:r>
      <w:r w:rsidRPr="00FF46E3" w:rsidR="00FB66DF">
        <w:rPr>
          <w:rFonts w:ascii="Verdana" w:hAnsi="Verdana"/>
          <w:sz w:val="18"/>
          <w:szCs w:val="18"/>
        </w:rPr>
        <w:t>NIS2-richtlijn</w:t>
      </w:r>
      <w:r w:rsidRPr="00FF46E3">
        <w:rPr>
          <w:rFonts w:ascii="Verdana" w:hAnsi="Verdana"/>
          <w:sz w:val="18"/>
          <w:szCs w:val="18"/>
        </w:rPr>
        <w:t xml:space="preserve"> wordt</w:t>
      </w:r>
      <w:r w:rsidRPr="00FF46E3" w:rsidR="004E292C">
        <w:rPr>
          <w:rFonts w:ascii="Verdana" w:hAnsi="Verdana"/>
          <w:sz w:val="18"/>
          <w:szCs w:val="18"/>
        </w:rPr>
        <w:t>, evenals dat bij de NIS1-richtlijn het geval was,</w:t>
      </w:r>
      <w:r w:rsidRPr="00FF46E3">
        <w:rPr>
          <w:rFonts w:ascii="Verdana" w:hAnsi="Verdana"/>
          <w:sz w:val="18"/>
          <w:szCs w:val="18"/>
        </w:rPr>
        <w:t xml:space="preserve"> geïmplementeerd in één centrale wet </w:t>
      </w:r>
      <w:r w:rsidR="00FB6234">
        <w:rPr>
          <w:rFonts w:ascii="Verdana" w:hAnsi="Verdana"/>
          <w:sz w:val="18"/>
          <w:szCs w:val="18"/>
        </w:rPr>
        <w:t xml:space="preserve">(de Cyberbeveiligingswet) </w:t>
      </w:r>
      <w:r w:rsidRPr="00FF46E3">
        <w:rPr>
          <w:rFonts w:ascii="Verdana" w:hAnsi="Verdana"/>
          <w:sz w:val="18"/>
          <w:szCs w:val="18"/>
        </w:rPr>
        <w:t>en niet in sectorale wetten, zoals de Wet op het financieel toezicht.</w:t>
      </w:r>
      <w:r w:rsidRPr="00FF46E3" w:rsidR="00D82FB8">
        <w:rPr>
          <w:rFonts w:ascii="Verdana" w:hAnsi="Verdana"/>
          <w:sz w:val="18"/>
          <w:szCs w:val="18"/>
        </w:rPr>
        <w:t xml:space="preserve"> </w:t>
      </w:r>
      <w:bookmarkStart w:name="_Hlk173923054" w:id="26"/>
      <w:r w:rsidRPr="00FF46E3" w:rsidR="006512D2">
        <w:rPr>
          <w:rFonts w:ascii="Verdana" w:hAnsi="Verdana"/>
          <w:sz w:val="18"/>
          <w:szCs w:val="18"/>
        </w:rPr>
        <w:t>Eén van de redenen hiervoor is dat de NIS2-richtlijn onder meer verplichtingen bevat waarvan het wenselijk is dat deze door de entiteiten uit de verschillende sectoren van de NIS2-richtlijn uniform worden toegepast. Bovendien bevat de NIS2-richtlijn onderwerpen waarvan de regeling per definitie alleen centraal kan worden geregeld (bijvoorbeeld het beheer van een nationaal register van essentiële entiteiten, belangrijke entiteiten en entiteiten die domeinnaamregistratiediensten verlenen).</w:t>
      </w:r>
      <w:bookmarkEnd w:id="25"/>
      <w:bookmarkEnd w:id="26"/>
    </w:p>
    <w:p w:rsidRPr="00FF46E3" w:rsidR="00F547C6" w:rsidP="006200DD" w:rsidRDefault="00F547C6" w14:paraId="7181DEA2" w14:textId="77777777">
      <w:pPr>
        <w:pStyle w:val="Geenafstand"/>
        <w:rPr>
          <w:rFonts w:ascii="Verdana" w:hAnsi="Verdana"/>
          <w:sz w:val="18"/>
          <w:szCs w:val="18"/>
        </w:rPr>
      </w:pPr>
    </w:p>
    <w:p w:rsidRPr="00FF46E3" w:rsidR="00FA4784" w:rsidP="006200DD" w:rsidRDefault="00F415F6" w14:paraId="6A50E9FA" w14:textId="707AEF50">
      <w:pPr>
        <w:pStyle w:val="Geenafstand"/>
        <w:rPr>
          <w:rFonts w:ascii="Verdana" w:hAnsi="Verdana"/>
          <w:b/>
          <w:bCs/>
          <w:sz w:val="18"/>
          <w:szCs w:val="18"/>
        </w:rPr>
      </w:pPr>
      <w:r w:rsidRPr="00FF46E3">
        <w:rPr>
          <w:rFonts w:ascii="Verdana" w:hAnsi="Verdana"/>
          <w:sz w:val="18"/>
          <w:szCs w:val="18"/>
        </w:rPr>
        <w:t xml:space="preserve">2. </w:t>
      </w:r>
      <w:r w:rsidRPr="00FF46E3">
        <w:rPr>
          <w:rFonts w:ascii="Verdana" w:hAnsi="Verdana"/>
          <w:b/>
          <w:bCs/>
          <w:sz w:val="18"/>
          <w:szCs w:val="18"/>
        </w:rPr>
        <w:t xml:space="preserve">Verantwoordelijkheid vakminister bij aanwijzing en </w:t>
      </w:r>
      <w:r w:rsidRPr="00FF46E3" w:rsidR="003A5EFA">
        <w:rPr>
          <w:rFonts w:ascii="Verdana" w:hAnsi="Verdana"/>
          <w:b/>
          <w:bCs/>
          <w:sz w:val="18"/>
          <w:szCs w:val="18"/>
        </w:rPr>
        <w:t xml:space="preserve">ontheffing </w:t>
      </w:r>
      <w:r w:rsidRPr="00FF46E3">
        <w:rPr>
          <w:rFonts w:ascii="Verdana" w:hAnsi="Verdana"/>
          <w:b/>
          <w:bCs/>
          <w:sz w:val="18"/>
          <w:szCs w:val="18"/>
        </w:rPr>
        <w:t xml:space="preserve">van entiteiten, medeverantwoordelijkheid </w:t>
      </w:r>
      <w:r w:rsidRPr="00FF46E3" w:rsidR="00495B53">
        <w:rPr>
          <w:rFonts w:ascii="Verdana" w:hAnsi="Verdana"/>
          <w:b/>
          <w:bCs/>
          <w:sz w:val="18"/>
          <w:szCs w:val="18"/>
        </w:rPr>
        <w:t>M</w:t>
      </w:r>
      <w:r w:rsidRPr="00FF46E3">
        <w:rPr>
          <w:rFonts w:ascii="Verdana" w:hAnsi="Verdana"/>
          <w:b/>
          <w:bCs/>
          <w:sz w:val="18"/>
          <w:szCs w:val="18"/>
        </w:rPr>
        <w:t xml:space="preserve">inister van Justitie en Veiligheid: </w:t>
      </w:r>
      <w:r w:rsidRPr="00FF46E3" w:rsidR="00681FDE">
        <w:rPr>
          <w:rFonts w:ascii="Verdana" w:hAnsi="Verdana"/>
          <w:sz w:val="18"/>
          <w:szCs w:val="18"/>
        </w:rPr>
        <w:t xml:space="preserve">De vakminister is verantwoordelijk voor de toepassing van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sidR="00681FDE">
        <w:rPr>
          <w:rFonts w:ascii="Verdana" w:hAnsi="Verdana"/>
          <w:sz w:val="18"/>
          <w:szCs w:val="18"/>
        </w:rPr>
        <w:t xml:space="preserve"> binnen </w:t>
      </w:r>
      <w:r w:rsidRPr="00FF46E3" w:rsidR="00495B53">
        <w:rPr>
          <w:rFonts w:ascii="Verdana" w:hAnsi="Verdana"/>
          <w:sz w:val="18"/>
          <w:szCs w:val="18"/>
        </w:rPr>
        <w:t>de sectoren die onder zijn beleidsverantwoordelijkheid vallen</w:t>
      </w:r>
      <w:r w:rsidRPr="00FF46E3" w:rsidR="00681FDE">
        <w:rPr>
          <w:rFonts w:ascii="Verdana" w:hAnsi="Verdana"/>
          <w:sz w:val="18"/>
          <w:szCs w:val="18"/>
        </w:rPr>
        <w:t xml:space="preserve">. De </w:t>
      </w:r>
      <w:r w:rsidRPr="00FF46E3" w:rsidR="00CD4A5E">
        <w:rPr>
          <w:rFonts w:ascii="Verdana" w:hAnsi="Verdana"/>
          <w:sz w:val="18"/>
          <w:szCs w:val="18"/>
        </w:rPr>
        <w:t>M</w:t>
      </w:r>
      <w:r w:rsidRPr="00FF46E3" w:rsidR="00681FDE">
        <w:rPr>
          <w:rFonts w:ascii="Verdana" w:hAnsi="Verdana"/>
          <w:sz w:val="18"/>
          <w:szCs w:val="18"/>
        </w:rPr>
        <w:t xml:space="preserve">inister van Justitie en Veiligheid is medeverantwoordelijk vanuit zijn rol als </w:t>
      </w:r>
      <w:r w:rsidRPr="00FF46E3" w:rsidR="00D714CA">
        <w:rPr>
          <w:rFonts w:ascii="Verdana" w:hAnsi="Verdana"/>
          <w:sz w:val="18"/>
          <w:szCs w:val="18"/>
        </w:rPr>
        <w:t>coördinerend</w:t>
      </w:r>
      <w:r w:rsidRPr="00FF46E3" w:rsidR="00681FDE">
        <w:rPr>
          <w:rFonts w:ascii="Verdana" w:hAnsi="Verdana"/>
          <w:sz w:val="18"/>
          <w:szCs w:val="18"/>
        </w:rPr>
        <w:t xml:space="preserve"> bewindspersoon voor cybersecurity en de bescherming van de vitale infrastructuur.</w:t>
      </w:r>
      <w:r w:rsidR="00EB05B2">
        <w:rPr>
          <w:rFonts w:ascii="Verdana" w:hAnsi="Verdana"/>
          <w:sz w:val="18"/>
          <w:szCs w:val="18"/>
        </w:rPr>
        <w:t xml:space="preserve"> </w:t>
      </w:r>
      <w:r w:rsidRPr="00DD62DE" w:rsidR="00EB05B2">
        <w:rPr>
          <w:rFonts w:ascii="Verdana" w:hAnsi="Verdana"/>
          <w:sz w:val="18"/>
          <w:szCs w:val="18"/>
        </w:rPr>
        <w:t xml:space="preserve">Dit is conform </w:t>
      </w:r>
      <w:r w:rsidRPr="00951964" w:rsidR="00DD62DE">
        <w:rPr>
          <w:rFonts w:ascii="Verdana" w:hAnsi="Verdana"/>
          <w:sz w:val="18"/>
          <w:szCs w:val="18"/>
        </w:rPr>
        <w:t xml:space="preserve">de </w:t>
      </w:r>
      <w:r w:rsidRPr="00DD62DE" w:rsidR="00EB05B2">
        <w:rPr>
          <w:rFonts w:ascii="Verdana" w:hAnsi="Verdana"/>
          <w:sz w:val="18"/>
          <w:szCs w:val="18"/>
        </w:rPr>
        <w:t xml:space="preserve">werkwijze in de </w:t>
      </w:r>
      <w:proofErr w:type="spellStart"/>
      <w:r w:rsidRPr="00DD62DE" w:rsidR="00EB05B2">
        <w:rPr>
          <w:rFonts w:ascii="Verdana" w:hAnsi="Verdana"/>
          <w:sz w:val="18"/>
          <w:szCs w:val="18"/>
        </w:rPr>
        <w:t>Wbni</w:t>
      </w:r>
      <w:proofErr w:type="spellEnd"/>
      <w:r w:rsidRPr="00951964" w:rsidR="00DD62DE">
        <w:rPr>
          <w:rFonts w:ascii="Verdana" w:hAnsi="Verdana"/>
          <w:sz w:val="18"/>
          <w:szCs w:val="18"/>
        </w:rPr>
        <w:t xml:space="preserve"> (waarin de voorganger van de NIS2-richtlijn, namelijk de NIS1-richtlijn, is geïmplementeerd)</w:t>
      </w:r>
      <w:r w:rsidRPr="00DD62DE" w:rsidR="00EB05B2">
        <w:rPr>
          <w:rFonts w:ascii="Verdana" w:hAnsi="Verdana"/>
          <w:sz w:val="18"/>
          <w:szCs w:val="18"/>
        </w:rPr>
        <w:t xml:space="preserve"> en </w:t>
      </w:r>
      <w:r w:rsidR="00EC6E6E">
        <w:rPr>
          <w:rFonts w:ascii="Verdana" w:hAnsi="Verdana"/>
          <w:sz w:val="18"/>
          <w:szCs w:val="18"/>
        </w:rPr>
        <w:t xml:space="preserve">de werkwijze </w:t>
      </w:r>
      <w:r w:rsidRPr="00DD62DE" w:rsidR="00EB05B2">
        <w:rPr>
          <w:rFonts w:ascii="Verdana" w:hAnsi="Verdana"/>
          <w:sz w:val="18"/>
          <w:szCs w:val="18"/>
        </w:rPr>
        <w:t xml:space="preserve">in de Aanpak </w:t>
      </w:r>
      <w:r w:rsidRPr="00951964" w:rsidR="00873C35">
        <w:rPr>
          <w:rFonts w:ascii="Verdana" w:hAnsi="Verdana"/>
          <w:sz w:val="18"/>
          <w:szCs w:val="18"/>
        </w:rPr>
        <w:t>v</w:t>
      </w:r>
      <w:r w:rsidRPr="00DD62DE" w:rsidR="00EB05B2">
        <w:rPr>
          <w:rFonts w:ascii="Verdana" w:hAnsi="Verdana"/>
          <w:sz w:val="18"/>
          <w:szCs w:val="18"/>
        </w:rPr>
        <w:t>itaal.</w:t>
      </w:r>
      <w:r w:rsidRPr="00DD62DE" w:rsidR="00D417C9">
        <w:rPr>
          <w:rFonts w:ascii="Verdana" w:hAnsi="Verdana"/>
          <w:sz w:val="18"/>
          <w:szCs w:val="18"/>
        </w:rPr>
        <w:t xml:space="preserve"> </w:t>
      </w:r>
      <w:r w:rsidRPr="00DD62DE" w:rsidR="002009A6">
        <w:rPr>
          <w:rFonts w:ascii="Verdana" w:hAnsi="Verdana"/>
          <w:sz w:val="18"/>
          <w:szCs w:val="18"/>
        </w:rPr>
        <w:t>De aanwijzing van entiteiten als essentiële</w:t>
      </w:r>
      <w:r w:rsidRPr="00FF46E3" w:rsidR="002009A6">
        <w:rPr>
          <w:rFonts w:ascii="Verdana" w:hAnsi="Verdana"/>
          <w:sz w:val="18"/>
          <w:szCs w:val="18"/>
        </w:rPr>
        <w:t xml:space="preserve"> entiteit </w:t>
      </w:r>
      <w:r w:rsidRPr="00FF46E3" w:rsidR="00C81A37">
        <w:rPr>
          <w:rFonts w:ascii="Verdana" w:hAnsi="Verdana"/>
          <w:sz w:val="18"/>
          <w:szCs w:val="18"/>
        </w:rPr>
        <w:t>of</w:t>
      </w:r>
      <w:r w:rsidRPr="00FF46E3" w:rsidR="002009A6">
        <w:rPr>
          <w:rFonts w:ascii="Verdana" w:hAnsi="Verdana"/>
          <w:sz w:val="18"/>
          <w:szCs w:val="18"/>
        </w:rPr>
        <w:t xml:space="preserve"> belangrijke entiteit</w:t>
      </w:r>
      <w:r w:rsidRPr="00FF46E3" w:rsidR="00D417C9">
        <w:rPr>
          <w:rFonts w:ascii="Verdana" w:hAnsi="Verdana"/>
          <w:sz w:val="18"/>
          <w:szCs w:val="18"/>
        </w:rPr>
        <w:t xml:space="preserve"> door de vakminister</w:t>
      </w:r>
      <w:r w:rsidRPr="00FF46E3" w:rsidR="002009A6">
        <w:rPr>
          <w:rFonts w:ascii="Verdana" w:hAnsi="Verdana"/>
          <w:sz w:val="18"/>
          <w:szCs w:val="18"/>
        </w:rPr>
        <w:t xml:space="preserve">, voor zover zij niet al </w:t>
      </w:r>
      <w:r w:rsidRPr="00FF46E3" w:rsidR="00BF3146">
        <w:rPr>
          <w:rFonts w:ascii="Verdana" w:hAnsi="Verdana"/>
          <w:sz w:val="18"/>
          <w:szCs w:val="18"/>
        </w:rPr>
        <w:t xml:space="preserve">van rechtswege </w:t>
      </w:r>
      <w:r w:rsidRPr="00FF46E3" w:rsidR="002009A6">
        <w:rPr>
          <w:rFonts w:ascii="Verdana" w:hAnsi="Verdana"/>
          <w:sz w:val="18"/>
          <w:szCs w:val="18"/>
        </w:rPr>
        <w:t xml:space="preserve">als zodanig zijn aangemerkt op grond van </w:t>
      </w:r>
      <w:r w:rsidRPr="00FF46E3" w:rsidR="00B661A7">
        <w:rPr>
          <w:rFonts w:ascii="Verdana" w:hAnsi="Verdana"/>
          <w:sz w:val="18"/>
          <w:szCs w:val="18"/>
        </w:rPr>
        <w:t xml:space="preserve">de </w:t>
      </w:r>
      <w:r w:rsidRPr="00FF46E3" w:rsidR="002009A6">
        <w:rPr>
          <w:rFonts w:ascii="Verdana" w:hAnsi="Verdana"/>
          <w:sz w:val="18"/>
          <w:szCs w:val="18"/>
        </w:rPr>
        <w:t>artikel</w:t>
      </w:r>
      <w:r w:rsidRPr="00FF46E3" w:rsidR="00B661A7">
        <w:rPr>
          <w:rFonts w:ascii="Verdana" w:hAnsi="Verdana"/>
          <w:sz w:val="18"/>
          <w:szCs w:val="18"/>
        </w:rPr>
        <w:t>en</w:t>
      </w:r>
      <w:r w:rsidRPr="00FF46E3" w:rsidR="002009A6">
        <w:rPr>
          <w:rFonts w:ascii="Verdana" w:hAnsi="Verdana"/>
          <w:sz w:val="18"/>
          <w:szCs w:val="18"/>
        </w:rPr>
        <w:t xml:space="preserve"> </w:t>
      </w:r>
      <w:r w:rsidR="001E06BB">
        <w:rPr>
          <w:rFonts w:ascii="Verdana" w:hAnsi="Verdana"/>
          <w:sz w:val="18"/>
          <w:szCs w:val="18"/>
        </w:rPr>
        <w:t>8</w:t>
      </w:r>
      <w:r w:rsidRPr="00FF46E3" w:rsidR="00BB29FE">
        <w:rPr>
          <w:rFonts w:ascii="Verdana" w:hAnsi="Verdana"/>
          <w:sz w:val="18"/>
          <w:szCs w:val="18"/>
        </w:rPr>
        <w:t xml:space="preserve"> </w:t>
      </w:r>
      <w:r w:rsidRPr="00FF46E3" w:rsidR="00BD55EB">
        <w:rPr>
          <w:rFonts w:ascii="Verdana" w:hAnsi="Verdana"/>
          <w:sz w:val="18"/>
          <w:szCs w:val="18"/>
        </w:rPr>
        <w:t>of</w:t>
      </w:r>
      <w:r w:rsidRPr="00FF46E3" w:rsidR="00BB29FE">
        <w:rPr>
          <w:rFonts w:ascii="Verdana" w:hAnsi="Verdana"/>
          <w:sz w:val="18"/>
          <w:szCs w:val="18"/>
        </w:rPr>
        <w:t xml:space="preserve"> </w:t>
      </w:r>
      <w:r w:rsidR="001E06BB">
        <w:rPr>
          <w:rFonts w:ascii="Verdana" w:hAnsi="Verdana"/>
          <w:sz w:val="18"/>
          <w:szCs w:val="18"/>
        </w:rPr>
        <w:t>12</w:t>
      </w:r>
      <w:r w:rsidRPr="00FF46E3" w:rsidR="001E06BB">
        <w:rPr>
          <w:rFonts w:ascii="Verdana" w:hAnsi="Verdana"/>
          <w:sz w:val="18"/>
          <w:szCs w:val="18"/>
        </w:rPr>
        <w:t xml:space="preserve"> </w:t>
      </w:r>
      <w:proofErr w:type="spellStart"/>
      <w:r w:rsidRPr="00FF46E3" w:rsidR="00A12288">
        <w:rPr>
          <w:rFonts w:ascii="Verdana" w:hAnsi="Verdana"/>
          <w:sz w:val="18"/>
          <w:szCs w:val="18"/>
        </w:rPr>
        <w:t>Cbw</w:t>
      </w:r>
      <w:proofErr w:type="spellEnd"/>
      <w:r w:rsidRPr="00FF46E3" w:rsidR="002009A6">
        <w:rPr>
          <w:rFonts w:ascii="Verdana" w:hAnsi="Verdana"/>
          <w:sz w:val="18"/>
          <w:szCs w:val="18"/>
        </w:rPr>
        <w:t>, geschiedt</w:t>
      </w:r>
      <w:r w:rsidRPr="00FF46E3" w:rsidR="00D417C9">
        <w:rPr>
          <w:rFonts w:ascii="Verdana" w:hAnsi="Verdana"/>
          <w:sz w:val="18"/>
          <w:szCs w:val="18"/>
        </w:rPr>
        <w:t xml:space="preserve"> daarom</w:t>
      </w:r>
      <w:r w:rsidRPr="00FF46E3" w:rsidR="002009A6">
        <w:rPr>
          <w:rFonts w:ascii="Verdana" w:hAnsi="Verdana"/>
          <w:sz w:val="18"/>
          <w:szCs w:val="18"/>
        </w:rPr>
        <w:t xml:space="preserve"> na overleg met de Minister van Justitie en Veiligheid</w:t>
      </w:r>
      <w:r w:rsidRPr="00FF46E3" w:rsidR="00AF66E1">
        <w:rPr>
          <w:rFonts w:ascii="Verdana" w:hAnsi="Verdana"/>
          <w:sz w:val="18"/>
          <w:szCs w:val="18"/>
        </w:rPr>
        <w:t xml:space="preserve"> (zie </w:t>
      </w:r>
      <w:r w:rsidR="000630F8">
        <w:rPr>
          <w:rFonts w:ascii="Verdana" w:hAnsi="Verdana"/>
          <w:sz w:val="18"/>
          <w:szCs w:val="18"/>
        </w:rPr>
        <w:t xml:space="preserve">de </w:t>
      </w:r>
      <w:r w:rsidRPr="00FF46E3" w:rsidR="00AF66E1">
        <w:rPr>
          <w:rFonts w:ascii="Verdana" w:hAnsi="Verdana"/>
          <w:sz w:val="18"/>
          <w:szCs w:val="18"/>
        </w:rPr>
        <w:t>artikel</w:t>
      </w:r>
      <w:r w:rsidR="000630F8">
        <w:rPr>
          <w:rFonts w:ascii="Verdana" w:hAnsi="Verdana"/>
          <w:sz w:val="18"/>
          <w:szCs w:val="18"/>
        </w:rPr>
        <w:t>en</w:t>
      </w:r>
      <w:r w:rsidRPr="00FF46E3" w:rsidR="00AF66E1">
        <w:rPr>
          <w:rFonts w:ascii="Verdana" w:hAnsi="Verdana"/>
          <w:sz w:val="18"/>
          <w:szCs w:val="18"/>
        </w:rPr>
        <w:t xml:space="preserve"> </w:t>
      </w:r>
      <w:r w:rsidR="001E06BB">
        <w:rPr>
          <w:rFonts w:ascii="Verdana" w:hAnsi="Verdana"/>
          <w:sz w:val="18"/>
          <w:szCs w:val="18"/>
        </w:rPr>
        <w:t>9</w:t>
      </w:r>
      <w:r w:rsidR="000630F8">
        <w:rPr>
          <w:rFonts w:ascii="Verdana" w:hAnsi="Verdana"/>
          <w:sz w:val="18"/>
          <w:szCs w:val="18"/>
        </w:rPr>
        <w:t>, 10, 11 en 13</w:t>
      </w:r>
      <w:r w:rsidRPr="00FF46E3" w:rsidR="00AF66E1">
        <w:rPr>
          <w:rFonts w:ascii="Verdana" w:hAnsi="Verdana"/>
          <w:sz w:val="18"/>
          <w:szCs w:val="18"/>
        </w:rPr>
        <w:t xml:space="preserve"> </w:t>
      </w:r>
      <w:proofErr w:type="spellStart"/>
      <w:r w:rsidRPr="00FF46E3" w:rsidR="00FF74D3">
        <w:rPr>
          <w:rFonts w:ascii="Verdana" w:hAnsi="Verdana"/>
          <w:sz w:val="18"/>
          <w:szCs w:val="18"/>
        </w:rPr>
        <w:t>Cbw</w:t>
      </w:r>
      <w:proofErr w:type="spellEnd"/>
      <w:r w:rsidRPr="00FF46E3" w:rsidR="00AF66E1">
        <w:rPr>
          <w:rFonts w:ascii="Verdana" w:hAnsi="Verdana"/>
          <w:sz w:val="18"/>
          <w:szCs w:val="18"/>
        </w:rPr>
        <w:t>)</w:t>
      </w:r>
      <w:r w:rsidRPr="00FF46E3" w:rsidR="002009A6">
        <w:rPr>
          <w:rFonts w:ascii="Verdana" w:hAnsi="Verdana"/>
          <w:sz w:val="18"/>
          <w:szCs w:val="18"/>
        </w:rPr>
        <w:t>.</w:t>
      </w:r>
      <w:r w:rsidRPr="00FF46E3" w:rsidR="002009A6">
        <w:rPr>
          <w:rFonts w:ascii="Verdana" w:hAnsi="Verdana"/>
          <w:b/>
          <w:bCs/>
          <w:sz w:val="18"/>
          <w:szCs w:val="18"/>
        </w:rPr>
        <w:t xml:space="preserve"> </w:t>
      </w:r>
    </w:p>
    <w:p w:rsidRPr="00FF46E3" w:rsidR="002009A6" w:rsidP="006200DD" w:rsidRDefault="002009A6" w14:paraId="316A20D8" w14:textId="77777777">
      <w:pPr>
        <w:pStyle w:val="Geenafstand"/>
        <w:rPr>
          <w:rFonts w:ascii="Verdana" w:hAnsi="Verdana"/>
          <w:sz w:val="18"/>
          <w:szCs w:val="18"/>
        </w:rPr>
      </w:pPr>
    </w:p>
    <w:p w:rsidRPr="00FF46E3" w:rsidR="002009A6" w:rsidP="006200DD" w:rsidRDefault="00F415F6" w14:paraId="4F7AC98C" w14:textId="6EAE6DE9">
      <w:pPr>
        <w:pStyle w:val="Geenafstand"/>
        <w:rPr>
          <w:rFonts w:ascii="Verdana" w:hAnsi="Verdana"/>
          <w:b/>
          <w:bCs/>
          <w:sz w:val="18"/>
          <w:szCs w:val="18"/>
        </w:rPr>
      </w:pPr>
      <w:r w:rsidRPr="00FF46E3">
        <w:rPr>
          <w:rFonts w:ascii="Verdana" w:hAnsi="Verdana"/>
          <w:sz w:val="18"/>
          <w:szCs w:val="18"/>
        </w:rPr>
        <w:t>3.</w:t>
      </w:r>
      <w:r w:rsidRPr="00FF46E3" w:rsidR="002009A6">
        <w:rPr>
          <w:rFonts w:ascii="Verdana" w:hAnsi="Verdana"/>
          <w:sz w:val="18"/>
          <w:szCs w:val="18"/>
        </w:rPr>
        <w:t xml:space="preserve"> </w:t>
      </w:r>
      <w:r w:rsidRPr="00FF46E3" w:rsidR="00D714CA">
        <w:rPr>
          <w:rFonts w:ascii="Verdana" w:hAnsi="Verdana"/>
          <w:b/>
          <w:bCs/>
          <w:sz w:val="18"/>
          <w:szCs w:val="18"/>
        </w:rPr>
        <w:t xml:space="preserve">Aanwijzing </w:t>
      </w:r>
      <w:r w:rsidRPr="00FF46E3" w:rsidR="0004513F">
        <w:rPr>
          <w:rFonts w:ascii="Verdana" w:hAnsi="Verdana"/>
          <w:b/>
          <w:bCs/>
          <w:sz w:val="18"/>
          <w:szCs w:val="18"/>
        </w:rPr>
        <w:t xml:space="preserve">gemeenten, </w:t>
      </w:r>
      <w:r w:rsidRPr="00FF46E3" w:rsidR="002009A6">
        <w:rPr>
          <w:rFonts w:ascii="Verdana" w:hAnsi="Verdana"/>
          <w:b/>
          <w:bCs/>
          <w:sz w:val="18"/>
          <w:szCs w:val="18"/>
        </w:rPr>
        <w:t>provincies</w:t>
      </w:r>
      <w:r w:rsidRPr="00FF46E3" w:rsidR="0004513F">
        <w:rPr>
          <w:rFonts w:ascii="Verdana" w:hAnsi="Verdana"/>
          <w:b/>
          <w:bCs/>
          <w:sz w:val="18"/>
          <w:szCs w:val="18"/>
        </w:rPr>
        <w:t>,</w:t>
      </w:r>
      <w:r w:rsidRPr="00FF46E3" w:rsidR="002009A6">
        <w:rPr>
          <w:rFonts w:ascii="Verdana" w:hAnsi="Verdana"/>
          <w:b/>
          <w:bCs/>
          <w:sz w:val="18"/>
          <w:szCs w:val="18"/>
        </w:rPr>
        <w:t xml:space="preserve"> waterschappen</w:t>
      </w:r>
      <w:r w:rsidRPr="00FF46E3" w:rsidR="0004513F">
        <w:rPr>
          <w:rFonts w:ascii="Verdana" w:hAnsi="Verdana"/>
          <w:b/>
          <w:bCs/>
          <w:sz w:val="18"/>
          <w:szCs w:val="18"/>
        </w:rPr>
        <w:t xml:space="preserve"> en gemeenschappelijke regelingen</w:t>
      </w:r>
      <w:r w:rsidRPr="00FF46E3" w:rsidR="002009A6">
        <w:rPr>
          <w:rFonts w:ascii="Verdana" w:hAnsi="Verdana"/>
          <w:b/>
          <w:bCs/>
          <w:sz w:val="18"/>
          <w:szCs w:val="18"/>
        </w:rPr>
        <w:t xml:space="preserve"> als essentiële entiteit:</w:t>
      </w:r>
      <w:r w:rsidRPr="00FF46E3" w:rsidR="006454B7">
        <w:rPr>
          <w:rFonts w:ascii="Verdana" w:hAnsi="Verdana"/>
          <w:b/>
          <w:bCs/>
          <w:sz w:val="18"/>
          <w:szCs w:val="18"/>
        </w:rPr>
        <w:t xml:space="preserve"> </w:t>
      </w:r>
      <w:r w:rsidRPr="00FF46E3" w:rsidR="00CD4A5E">
        <w:rPr>
          <w:rFonts w:ascii="Verdana" w:hAnsi="Verdana"/>
          <w:sz w:val="18"/>
          <w:szCs w:val="18"/>
        </w:rPr>
        <w:t>I</w:t>
      </w:r>
      <w:r w:rsidRPr="00FF46E3" w:rsidR="006454B7">
        <w:rPr>
          <w:rFonts w:ascii="Verdana" w:hAnsi="Verdana"/>
          <w:sz w:val="18"/>
          <w:szCs w:val="18"/>
        </w:rPr>
        <w:t xml:space="preserve">n </w:t>
      </w:r>
      <w:r w:rsidRPr="00FF46E3" w:rsidR="00343D34">
        <w:rPr>
          <w:rFonts w:ascii="Verdana" w:hAnsi="Verdana"/>
          <w:sz w:val="18"/>
          <w:szCs w:val="18"/>
        </w:rPr>
        <w:t xml:space="preserve">de </w:t>
      </w:r>
      <w:proofErr w:type="spellStart"/>
      <w:r w:rsidRPr="00FF46E3" w:rsidR="00343D34">
        <w:rPr>
          <w:rFonts w:ascii="Verdana" w:hAnsi="Verdana"/>
          <w:sz w:val="18"/>
          <w:szCs w:val="18"/>
        </w:rPr>
        <w:t>Cbw</w:t>
      </w:r>
      <w:proofErr w:type="spellEnd"/>
      <w:r w:rsidRPr="00FF46E3" w:rsidR="006454B7">
        <w:rPr>
          <w:rFonts w:ascii="Verdana" w:hAnsi="Verdana"/>
          <w:sz w:val="18"/>
          <w:szCs w:val="18"/>
        </w:rPr>
        <w:t xml:space="preserve"> is gebruik gemaakt van de mogelijkheid uit </w:t>
      </w:r>
      <w:r w:rsidRPr="00FF46E3" w:rsidR="00C64581">
        <w:rPr>
          <w:rFonts w:ascii="Verdana" w:hAnsi="Verdana"/>
          <w:sz w:val="18"/>
          <w:szCs w:val="18"/>
        </w:rPr>
        <w:t>artikel 2, vijfde lid, onderdeel a, NIS2-</w:t>
      </w:r>
      <w:r w:rsidRPr="00FF46E3" w:rsidR="006454B7">
        <w:rPr>
          <w:rFonts w:ascii="Verdana" w:hAnsi="Verdana"/>
          <w:sz w:val="18"/>
          <w:szCs w:val="18"/>
        </w:rPr>
        <w:t xml:space="preserve">richtlijn om lokale overheden onder het toepassingsbereik </w:t>
      </w:r>
      <w:r w:rsidRPr="00FF46E3" w:rsidR="00214B1B">
        <w:rPr>
          <w:rFonts w:ascii="Verdana" w:hAnsi="Verdana"/>
          <w:sz w:val="18"/>
          <w:szCs w:val="18"/>
        </w:rPr>
        <w:t xml:space="preserve">van </w:t>
      </w:r>
      <w:r w:rsidRPr="00FF46E3" w:rsidR="00FA4848">
        <w:rPr>
          <w:rFonts w:ascii="Verdana" w:hAnsi="Verdana"/>
          <w:sz w:val="18"/>
          <w:szCs w:val="18"/>
        </w:rPr>
        <w:t xml:space="preserve">de voorgestelde wet te brengen. </w:t>
      </w:r>
      <w:r w:rsidRPr="00FF46E3" w:rsidR="006454B7">
        <w:rPr>
          <w:rFonts w:ascii="Verdana" w:hAnsi="Verdana"/>
          <w:sz w:val="18"/>
          <w:szCs w:val="18"/>
        </w:rPr>
        <w:t>Zij worden aangewezen als essentiële entiteit</w:t>
      </w:r>
      <w:r w:rsidRPr="00FF46E3" w:rsidR="00AF66E1">
        <w:rPr>
          <w:rFonts w:ascii="Verdana" w:hAnsi="Verdana"/>
          <w:sz w:val="18"/>
          <w:szCs w:val="18"/>
        </w:rPr>
        <w:t xml:space="preserve"> (zie artikel </w:t>
      </w:r>
      <w:r w:rsidR="001E06BB">
        <w:rPr>
          <w:rFonts w:ascii="Verdana" w:hAnsi="Verdana"/>
          <w:sz w:val="18"/>
          <w:szCs w:val="18"/>
        </w:rPr>
        <w:t>8</w:t>
      </w:r>
      <w:r w:rsidRPr="00FF46E3" w:rsidR="00AF66E1">
        <w:rPr>
          <w:rFonts w:ascii="Verdana" w:hAnsi="Verdana"/>
          <w:sz w:val="18"/>
          <w:szCs w:val="18"/>
        </w:rPr>
        <w:t>, eerste lid, onder</w:t>
      </w:r>
      <w:r w:rsidR="00F122CB">
        <w:rPr>
          <w:rFonts w:ascii="Verdana" w:hAnsi="Verdana"/>
          <w:sz w:val="18"/>
          <w:szCs w:val="18"/>
        </w:rPr>
        <w:t>deel</w:t>
      </w:r>
      <w:r w:rsidRPr="00FF46E3" w:rsidR="00AF66E1">
        <w:rPr>
          <w:rFonts w:ascii="Verdana" w:hAnsi="Verdana"/>
          <w:sz w:val="18"/>
          <w:szCs w:val="18"/>
        </w:rPr>
        <w:t xml:space="preserve"> h, </w:t>
      </w:r>
      <w:proofErr w:type="spellStart"/>
      <w:r w:rsidRPr="00FF46E3" w:rsidR="00FF74D3">
        <w:rPr>
          <w:rFonts w:ascii="Verdana" w:hAnsi="Verdana"/>
          <w:sz w:val="18"/>
          <w:szCs w:val="18"/>
        </w:rPr>
        <w:t>Cbw</w:t>
      </w:r>
      <w:proofErr w:type="spellEnd"/>
      <w:r w:rsidRPr="00FF46E3" w:rsidR="00AF66E1">
        <w:rPr>
          <w:rFonts w:ascii="Verdana" w:hAnsi="Verdana"/>
          <w:sz w:val="18"/>
          <w:szCs w:val="18"/>
        </w:rPr>
        <w:t>)</w:t>
      </w:r>
      <w:r w:rsidRPr="00FF46E3" w:rsidR="006454B7">
        <w:rPr>
          <w:rFonts w:ascii="Verdana" w:hAnsi="Verdana"/>
          <w:sz w:val="18"/>
          <w:szCs w:val="18"/>
        </w:rPr>
        <w:t xml:space="preserve">. </w:t>
      </w:r>
      <w:r w:rsidR="00245055">
        <w:rPr>
          <w:rFonts w:ascii="Verdana" w:hAnsi="Verdana"/>
          <w:sz w:val="18"/>
          <w:szCs w:val="18"/>
        </w:rPr>
        <w:t xml:space="preserve">Er is gebruik gemaakt van de mogelijkheid, omdat het belangrijk is dat overheidsinstanties op alle niveaus aan een hoog beveiligingsniveau voldoen. Zij moeten op een zorgvuldige manier omgaan met gegevens van burgers en bedrijven. Burgers en bedrijven zijn bovendien vaak verplicht om hun gegevens te delen met de overheid. </w:t>
      </w:r>
      <w:r w:rsidRPr="00FF46E3" w:rsidR="006454B7">
        <w:rPr>
          <w:rFonts w:ascii="Verdana" w:hAnsi="Verdana"/>
          <w:sz w:val="18"/>
          <w:szCs w:val="18"/>
        </w:rPr>
        <w:t>Paragraaf 5.1</w:t>
      </w:r>
      <w:r w:rsidRPr="00FF46E3" w:rsidR="00473BED">
        <w:rPr>
          <w:rFonts w:ascii="Verdana" w:hAnsi="Verdana"/>
          <w:sz w:val="18"/>
          <w:szCs w:val="18"/>
        </w:rPr>
        <w:t>.</w:t>
      </w:r>
      <w:r w:rsidR="005A20EC">
        <w:rPr>
          <w:rFonts w:ascii="Verdana" w:hAnsi="Verdana"/>
          <w:sz w:val="18"/>
          <w:szCs w:val="18"/>
        </w:rPr>
        <w:t>2</w:t>
      </w:r>
      <w:r w:rsidRPr="00FF46E3" w:rsidR="006454B7">
        <w:rPr>
          <w:rFonts w:ascii="Verdana" w:hAnsi="Verdana"/>
          <w:sz w:val="18"/>
          <w:szCs w:val="18"/>
        </w:rPr>
        <w:t xml:space="preserve"> gaat hier nader op in.</w:t>
      </w:r>
    </w:p>
    <w:p w:rsidRPr="00FF46E3" w:rsidR="002009A6" w:rsidP="006200DD" w:rsidRDefault="002009A6" w14:paraId="3492D9D9" w14:textId="77777777">
      <w:pPr>
        <w:pStyle w:val="Geenafstand"/>
        <w:rPr>
          <w:rFonts w:ascii="Verdana" w:hAnsi="Verdana"/>
          <w:b/>
          <w:bCs/>
          <w:sz w:val="18"/>
          <w:szCs w:val="18"/>
        </w:rPr>
      </w:pPr>
    </w:p>
    <w:p w:rsidRPr="00FF46E3" w:rsidR="002009A6" w:rsidP="006200DD" w:rsidRDefault="006F5854" w14:paraId="00BC3972" w14:textId="38CAE968">
      <w:pPr>
        <w:pStyle w:val="Geenafstand"/>
        <w:rPr>
          <w:rFonts w:ascii="Verdana" w:hAnsi="Verdana"/>
          <w:sz w:val="18"/>
          <w:szCs w:val="18"/>
        </w:rPr>
      </w:pPr>
      <w:r w:rsidRPr="00FF46E3">
        <w:rPr>
          <w:rFonts w:ascii="Verdana" w:hAnsi="Verdana"/>
          <w:sz w:val="18"/>
          <w:szCs w:val="18"/>
        </w:rPr>
        <w:t>4</w:t>
      </w:r>
      <w:r w:rsidRPr="00FF46E3" w:rsidR="002009A6">
        <w:rPr>
          <w:rFonts w:ascii="Verdana" w:hAnsi="Verdana"/>
          <w:sz w:val="18"/>
          <w:szCs w:val="18"/>
        </w:rPr>
        <w:t xml:space="preserve">. </w:t>
      </w:r>
      <w:r w:rsidRPr="00FF46E3" w:rsidR="002009A6">
        <w:rPr>
          <w:rFonts w:ascii="Verdana" w:hAnsi="Verdana"/>
          <w:b/>
          <w:bCs/>
          <w:sz w:val="18"/>
          <w:szCs w:val="18"/>
        </w:rPr>
        <w:t xml:space="preserve">Bevoegdheid aanwijzing </w:t>
      </w:r>
      <w:r w:rsidRPr="00FF46E3" w:rsidR="006454B7">
        <w:rPr>
          <w:rFonts w:ascii="Verdana" w:hAnsi="Verdana"/>
          <w:b/>
          <w:bCs/>
          <w:sz w:val="18"/>
          <w:szCs w:val="18"/>
        </w:rPr>
        <w:t>onderwijsinstellingen</w:t>
      </w:r>
      <w:r w:rsidRPr="00FF46E3" w:rsidR="002009A6">
        <w:rPr>
          <w:rFonts w:ascii="Verdana" w:hAnsi="Verdana"/>
          <w:b/>
          <w:bCs/>
          <w:sz w:val="18"/>
          <w:szCs w:val="18"/>
        </w:rPr>
        <w:t>:</w:t>
      </w:r>
      <w:r w:rsidRPr="00FF46E3" w:rsidR="006454B7">
        <w:rPr>
          <w:rFonts w:ascii="Verdana" w:hAnsi="Verdana"/>
          <w:b/>
          <w:bCs/>
          <w:sz w:val="18"/>
          <w:szCs w:val="18"/>
        </w:rPr>
        <w:t xml:space="preserve"> </w:t>
      </w:r>
      <w:r w:rsidRPr="00FF46E3" w:rsidR="00CD4A5E">
        <w:rPr>
          <w:rFonts w:ascii="Verdana" w:hAnsi="Verdana"/>
          <w:sz w:val="18"/>
          <w:szCs w:val="18"/>
        </w:rPr>
        <w:t>I</w:t>
      </w:r>
      <w:r w:rsidRPr="00FF46E3" w:rsidR="006454B7">
        <w:rPr>
          <w:rFonts w:ascii="Verdana" w:hAnsi="Verdana"/>
          <w:sz w:val="18"/>
          <w:szCs w:val="18"/>
        </w:rPr>
        <w:t xml:space="preserve">n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sidR="006454B7">
        <w:rPr>
          <w:rFonts w:ascii="Verdana" w:hAnsi="Verdana"/>
          <w:sz w:val="18"/>
          <w:szCs w:val="18"/>
        </w:rPr>
        <w:t xml:space="preserve"> is </w:t>
      </w:r>
      <w:r w:rsidR="00245055">
        <w:rPr>
          <w:rFonts w:ascii="Verdana" w:hAnsi="Verdana"/>
          <w:sz w:val="18"/>
          <w:szCs w:val="18"/>
        </w:rPr>
        <w:t>gebruik gemaakt van de mogelijkheid uit</w:t>
      </w:r>
      <w:r w:rsidRPr="00FF46E3" w:rsidR="00CD4A5E">
        <w:rPr>
          <w:rFonts w:ascii="Verdana" w:hAnsi="Verdana"/>
          <w:sz w:val="18"/>
          <w:szCs w:val="18"/>
        </w:rPr>
        <w:t xml:space="preserve"> artikel </w:t>
      </w:r>
      <w:r w:rsidRPr="00FF46E3" w:rsidR="00C64581">
        <w:rPr>
          <w:rFonts w:ascii="Verdana" w:hAnsi="Verdana"/>
          <w:sz w:val="18"/>
          <w:szCs w:val="18"/>
        </w:rPr>
        <w:t xml:space="preserve">2, vijfde lid, onderdeel b, </w:t>
      </w:r>
      <w:r w:rsidRPr="00FF46E3" w:rsidR="00CD4A5E">
        <w:rPr>
          <w:rFonts w:ascii="Verdana" w:hAnsi="Verdana"/>
          <w:sz w:val="18"/>
          <w:szCs w:val="18"/>
        </w:rPr>
        <w:t xml:space="preserve">NIS2-richtlijn </w:t>
      </w:r>
      <w:r w:rsidRPr="00FF46E3" w:rsidR="006454B7">
        <w:rPr>
          <w:rFonts w:ascii="Verdana" w:hAnsi="Verdana"/>
          <w:sz w:val="18"/>
          <w:szCs w:val="18"/>
        </w:rPr>
        <w:t>om</w:t>
      </w:r>
      <w:r w:rsidRPr="00FF46E3" w:rsidR="006454B7">
        <w:rPr>
          <w:rFonts w:ascii="Verdana" w:hAnsi="Verdana"/>
          <w:b/>
          <w:bCs/>
          <w:sz w:val="18"/>
          <w:szCs w:val="18"/>
        </w:rPr>
        <w:t xml:space="preserve"> </w:t>
      </w:r>
      <w:r w:rsidRPr="00FF46E3" w:rsidR="006454B7">
        <w:rPr>
          <w:rFonts w:ascii="Verdana" w:hAnsi="Verdana"/>
          <w:sz w:val="18"/>
          <w:szCs w:val="18"/>
        </w:rPr>
        <w:t xml:space="preserve">onderwijsinstellingen aan te wijzen als essentiële </w:t>
      </w:r>
      <w:r w:rsidRPr="00FF46E3" w:rsidR="0039036E">
        <w:rPr>
          <w:rFonts w:ascii="Verdana" w:hAnsi="Verdana"/>
          <w:sz w:val="18"/>
          <w:szCs w:val="18"/>
        </w:rPr>
        <w:t xml:space="preserve">entiteit </w:t>
      </w:r>
      <w:r w:rsidRPr="00FF46E3" w:rsidR="00CD4A5E">
        <w:rPr>
          <w:rFonts w:ascii="Verdana" w:hAnsi="Verdana"/>
          <w:sz w:val="18"/>
          <w:szCs w:val="18"/>
        </w:rPr>
        <w:t xml:space="preserve">of </w:t>
      </w:r>
      <w:r w:rsidRPr="00FF46E3" w:rsidR="006454B7">
        <w:rPr>
          <w:rFonts w:ascii="Verdana" w:hAnsi="Verdana"/>
          <w:sz w:val="18"/>
          <w:szCs w:val="18"/>
        </w:rPr>
        <w:t>als belangrijke entiteit</w:t>
      </w:r>
      <w:r w:rsidRPr="00FF46E3" w:rsidR="00AF66E1">
        <w:rPr>
          <w:rFonts w:ascii="Verdana" w:hAnsi="Verdana"/>
          <w:sz w:val="18"/>
          <w:szCs w:val="18"/>
        </w:rPr>
        <w:t xml:space="preserve"> (zie </w:t>
      </w:r>
      <w:r w:rsidR="00790B00">
        <w:rPr>
          <w:rFonts w:ascii="Verdana" w:hAnsi="Verdana"/>
          <w:sz w:val="18"/>
          <w:szCs w:val="18"/>
        </w:rPr>
        <w:t xml:space="preserve">de </w:t>
      </w:r>
      <w:r w:rsidRPr="00FF46E3" w:rsidR="00AF66E1">
        <w:rPr>
          <w:rFonts w:ascii="Verdana" w:hAnsi="Verdana"/>
          <w:sz w:val="18"/>
          <w:szCs w:val="18"/>
        </w:rPr>
        <w:t>artikel</w:t>
      </w:r>
      <w:r w:rsidR="00790B00">
        <w:rPr>
          <w:rFonts w:ascii="Verdana" w:hAnsi="Verdana"/>
          <w:sz w:val="18"/>
          <w:szCs w:val="18"/>
        </w:rPr>
        <w:t xml:space="preserve">en </w:t>
      </w:r>
      <w:r w:rsidR="001E06BB">
        <w:rPr>
          <w:rFonts w:ascii="Verdana" w:hAnsi="Verdana"/>
          <w:sz w:val="18"/>
          <w:szCs w:val="18"/>
        </w:rPr>
        <w:t xml:space="preserve">11 </w:t>
      </w:r>
      <w:r w:rsidR="00790B00">
        <w:rPr>
          <w:rFonts w:ascii="Verdana" w:hAnsi="Verdana"/>
          <w:sz w:val="18"/>
          <w:szCs w:val="18"/>
        </w:rPr>
        <w:t>en 13</w:t>
      </w:r>
      <w:r w:rsidRPr="00FF46E3" w:rsidR="00AF66E1">
        <w:rPr>
          <w:rFonts w:ascii="Verdana" w:hAnsi="Verdana"/>
          <w:sz w:val="18"/>
          <w:szCs w:val="18"/>
        </w:rPr>
        <w:t xml:space="preserve"> </w:t>
      </w:r>
      <w:proofErr w:type="spellStart"/>
      <w:r w:rsidRPr="00FF46E3" w:rsidR="00FF74D3">
        <w:rPr>
          <w:rFonts w:ascii="Verdana" w:hAnsi="Verdana"/>
          <w:sz w:val="18"/>
          <w:szCs w:val="18"/>
        </w:rPr>
        <w:t>Cbw</w:t>
      </w:r>
      <w:proofErr w:type="spellEnd"/>
      <w:r w:rsidRPr="00FF46E3" w:rsidR="00AF66E1">
        <w:rPr>
          <w:rFonts w:ascii="Verdana" w:hAnsi="Verdana"/>
          <w:sz w:val="18"/>
          <w:szCs w:val="18"/>
        </w:rPr>
        <w:t>)</w:t>
      </w:r>
      <w:r w:rsidRPr="00FF46E3" w:rsidR="009E4CD6">
        <w:rPr>
          <w:rFonts w:ascii="Verdana" w:hAnsi="Verdana"/>
          <w:sz w:val="18"/>
          <w:szCs w:val="18"/>
        </w:rPr>
        <w:t xml:space="preserve">. </w:t>
      </w:r>
      <w:r w:rsidRPr="00245055" w:rsidR="00245055">
        <w:rPr>
          <w:rFonts w:ascii="Verdana" w:hAnsi="Verdana"/>
          <w:sz w:val="18"/>
          <w:szCs w:val="18"/>
        </w:rPr>
        <w:t xml:space="preserve">Het kan van belang zijn om deze instellingen onder de reikwijdte van de </w:t>
      </w:r>
      <w:proofErr w:type="spellStart"/>
      <w:r w:rsidRPr="00245055" w:rsidR="00245055">
        <w:rPr>
          <w:rFonts w:ascii="Verdana" w:hAnsi="Verdana"/>
          <w:sz w:val="18"/>
          <w:szCs w:val="18"/>
        </w:rPr>
        <w:t>Cbw</w:t>
      </w:r>
      <w:proofErr w:type="spellEnd"/>
      <w:r w:rsidRPr="00245055" w:rsidR="00245055">
        <w:rPr>
          <w:rFonts w:ascii="Verdana" w:hAnsi="Verdana"/>
          <w:sz w:val="18"/>
          <w:szCs w:val="18"/>
        </w:rPr>
        <w:t xml:space="preserve"> te brengen, omdat het verkrijgen van hoogwaardige kennis en technologie een belangrijk doel van statelijke actoren is. Daarvoor wordt gebruik gemaakt van uiteenlopende strategieën. Eén van deze middelen is digitale spionage, onder </w:t>
      </w:r>
      <w:r w:rsidRPr="00245055" w:rsidR="00245055">
        <w:rPr>
          <w:rFonts w:ascii="Verdana" w:hAnsi="Verdana"/>
          <w:sz w:val="18"/>
          <w:szCs w:val="18"/>
        </w:rPr>
        <w:lastRenderedPageBreak/>
        <w:t>andere door (te proberen) op netwerken van bedrijven en kennisinstellingen in te breken.</w:t>
      </w:r>
      <w:r w:rsidR="00245055">
        <w:rPr>
          <w:rFonts w:ascii="Verdana" w:hAnsi="Verdana"/>
          <w:sz w:val="18"/>
          <w:szCs w:val="18"/>
        </w:rPr>
        <w:t xml:space="preserve"> </w:t>
      </w:r>
      <w:r w:rsidRPr="00FF46E3" w:rsidR="006454B7">
        <w:rPr>
          <w:rFonts w:ascii="Verdana" w:hAnsi="Verdana"/>
          <w:sz w:val="18"/>
          <w:szCs w:val="18"/>
        </w:rPr>
        <w:t>Paragraaf 5.1</w:t>
      </w:r>
      <w:r w:rsidRPr="00FF46E3" w:rsidR="00473BED">
        <w:rPr>
          <w:rFonts w:ascii="Verdana" w:hAnsi="Verdana"/>
          <w:sz w:val="18"/>
          <w:szCs w:val="18"/>
        </w:rPr>
        <w:t>.</w:t>
      </w:r>
      <w:r w:rsidR="005A20EC">
        <w:rPr>
          <w:rFonts w:ascii="Verdana" w:hAnsi="Verdana"/>
          <w:sz w:val="18"/>
          <w:szCs w:val="18"/>
        </w:rPr>
        <w:t>3</w:t>
      </w:r>
      <w:r w:rsidRPr="00FF46E3" w:rsidR="006454B7">
        <w:rPr>
          <w:rFonts w:ascii="Verdana" w:hAnsi="Verdana"/>
          <w:sz w:val="18"/>
          <w:szCs w:val="18"/>
        </w:rPr>
        <w:t xml:space="preserve"> gaat hier nader op in. </w:t>
      </w:r>
    </w:p>
    <w:p w:rsidRPr="00FF46E3" w:rsidR="002009A6" w:rsidP="006200DD" w:rsidRDefault="002009A6" w14:paraId="4FF47533" w14:textId="77777777">
      <w:pPr>
        <w:pStyle w:val="Geenafstand"/>
        <w:rPr>
          <w:rFonts w:ascii="Verdana" w:hAnsi="Verdana"/>
          <w:b/>
          <w:bCs/>
          <w:sz w:val="18"/>
          <w:szCs w:val="18"/>
        </w:rPr>
      </w:pPr>
      <w:r w:rsidRPr="00FF46E3">
        <w:rPr>
          <w:rFonts w:ascii="Verdana" w:hAnsi="Verdana"/>
          <w:b/>
          <w:bCs/>
          <w:sz w:val="18"/>
          <w:szCs w:val="18"/>
        </w:rPr>
        <w:t xml:space="preserve"> </w:t>
      </w:r>
    </w:p>
    <w:p w:rsidRPr="00FF46E3" w:rsidR="002009A6" w:rsidP="006200DD" w:rsidRDefault="001D0F00" w14:paraId="7040F480" w14:textId="71E0771B">
      <w:pPr>
        <w:pStyle w:val="Geenafstand"/>
        <w:rPr>
          <w:rFonts w:ascii="Verdana" w:hAnsi="Verdana"/>
          <w:sz w:val="18"/>
          <w:szCs w:val="18"/>
        </w:rPr>
      </w:pPr>
      <w:r w:rsidRPr="00FF46E3">
        <w:rPr>
          <w:rFonts w:ascii="Verdana" w:hAnsi="Verdana"/>
          <w:sz w:val="18"/>
          <w:szCs w:val="18"/>
        </w:rPr>
        <w:t>5</w:t>
      </w:r>
      <w:r w:rsidRPr="00FF46E3" w:rsidR="002009A6">
        <w:rPr>
          <w:rFonts w:ascii="Verdana" w:hAnsi="Verdana"/>
          <w:sz w:val="18"/>
          <w:szCs w:val="18"/>
        </w:rPr>
        <w:t xml:space="preserve">. </w:t>
      </w:r>
      <w:r w:rsidRPr="00FF46E3" w:rsidR="002009A6">
        <w:rPr>
          <w:rFonts w:ascii="Verdana" w:hAnsi="Verdana"/>
          <w:b/>
          <w:bCs/>
          <w:sz w:val="18"/>
          <w:szCs w:val="18"/>
        </w:rPr>
        <w:t xml:space="preserve">Aanwijzing Minister van Justitie en Veiligheid als </w:t>
      </w:r>
      <w:r w:rsidRPr="00FF46E3" w:rsidR="00A00917">
        <w:rPr>
          <w:rFonts w:ascii="Verdana" w:hAnsi="Verdana"/>
          <w:b/>
          <w:bCs/>
          <w:sz w:val="18"/>
          <w:szCs w:val="18"/>
        </w:rPr>
        <w:t xml:space="preserve">het </w:t>
      </w:r>
      <w:r w:rsidRPr="00FF46E3" w:rsidR="002009A6">
        <w:rPr>
          <w:rFonts w:ascii="Verdana" w:hAnsi="Verdana"/>
          <w:b/>
          <w:bCs/>
          <w:sz w:val="18"/>
          <w:szCs w:val="18"/>
        </w:rPr>
        <w:t>central</w:t>
      </w:r>
      <w:r w:rsidRPr="00FF46E3" w:rsidR="006A7EC1">
        <w:rPr>
          <w:rFonts w:ascii="Verdana" w:hAnsi="Verdana"/>
          <w:b/>
          <w:bCs/>
          <w:sz w:val="18"/>
          <w:szCs w:val="18"/>
        </w:rPr>
        <w:t>e</w:t>
      </w:r>
      <w:r w:rsidRPr="00FF46E3" w:rsidR="002009A6">
        <w:rPr>
          <w:rFonts w:ascii="Verdana" w:hAnsi="Verdana"/>
          <w:b/>
          <w:bCs/>
          <w:sz w:val="18"/>
          <w:szCs w:val="18"/>
        </w:rPr>
        <w:t xml:space="preserve"> contactpunt:</w:t>
      </w:r>
      <w:r w:rsidRPr="00FF46E3" w:rsidR="002009A6">
        <w:rPr>
          <w:rFonts w:ascii="Verdana" w:hAnsi="Verdana"/>
          <w:sz w:val="18"/>
          <w:szCs w:val="18"/>
        </w:rPr>
        <w:t xml:space="preserve"> De Minister van Justitie en Veiligheid wordt aangewezen als het centrale contactpunt voor Nederland</w:t>
      </w:r>
      <w:r w:rsidR="00951964">
        <w:rPr>
          <w:rFonts w:ascii="Verdana" w:hAnsi="Verdana"/>
          <w:sz w:val="18"/>
          <w:szCs w:val="18"/>
        </w:rPr>
        <w:t xml:space="preserve"> (artikel 14 </w:t>
      </w:r>
      <w:proofErr w:type="spellStart"/>
      <w:r w:rsidR="00951964">
        <w:rPr>
          <w:rFonts w:ascii="Verdana" w:hAnsi="Verdana"/>
          <w:sz w:val="18"/>
          <w:szCs w:val="18"/>
        </w:rPr>
        <w:t>Cbw</w:t>
      </w:r>
      <w:proofErr w:type="spellEnd"/>
      <w:r w:rsidR="00951964">
        <w:rPr>
          <w:rFonts w:ascii="Verdana" w:hAnsi="Verdana"/>
          <w:sz w:val="18"/>
          <w:szCs w:val="18"/>
        </w:rPr>
        <w:t xml:space="preserve">). </w:t>
      </w:r>
      <w:r w:rsidRPr="00951964" w:rsidR="00951964">
        <w:rPr>
          <w:rFonts w:ascii="Verdana" w:hAnsi="Verdana"/>
          <w:sz w:val="18"/>
          <w:szCs w:val="18"/>
        </w:rPr>
        <w:t>D</w:t>
      </w:r>
      <w:r w:rsidRPr="00951964" w:rsidR="0050246B">
        <w:rPr>
          <w:rFonts w:ascii="Verdana" w:hAnsi="Verdana"/>
          <w:sz w:val="18"/>
          <w:szCs w:val="18"/>
        </w:rPr>
        <w:t xml:space="preserve">it is </w:t>
      </w:r>
      <w:r w:rsidRPr="00951964" w:rsidR="00951964">
        <w:rPr>
          <w:rFonts w:ascii="Verdana" w:hAnsi="Verdana"/>
          <w:sz w:val="18"/>
          <w:szCs w:val="18"/>
        </w:rPr>
        <w:t xml:space="preserve">een </w:t>
      </w:r>
      <w:r w:rsidRPr="00951964" w:rsidR="0050246B">
        <w:rPr>
          <w:rFonts w:ascii="Verdana" w:hAnsi="Verdana"/>
          <w:sz w:val="18"/>
          <w:szCs w:val="18"/>
        </w:rPr>
        <w:t xml:space="preserve">voortzetting van het bestaande beleid onder de </w:t>
      </w:r>
      <w:proofErr w:type="spellStart"/>
      <w:r w:rsidRPr="00951964" w:rsidR="0050246B">
        <w:rPr>
          <w:rFonts w:ascii="Verdana" w:hAnsi="Verdana"/>
          <w:sz w:val="18"/>
          <w:szCs w:val="18"/>
        </w:rPr>
        <w:t>Wbni</w:t>
      </w:r>
      <w:proofErr w:type="spellEnd"/>
      <w:r w:rsidRPr="00951964" w:rsidR="00951964">
        <w:rPr>
          <w:rFonts w:ascii="Verdana" w:hAnsi="Verdana"/>
          <w:sz w:val="18"/>
          <w:szCs w:val="18"/>
        </w:rPr>
        <w:t>.</w:t>
      </w:r>
    </w:p>
    <w:p w:rsidRPr="00FF46E3" w:rsidR="002009A6" w:rsidP="006200DD" w:rsidRDefault="002009A6" w14:paraId="06F0C90A" w14:textId="1BC771CF">
      <w:pPr>
        <w:pStyle w:val="Geenafstand"/>
        <w:rPr>
          <w:rFonts w:ascii="Verdana" w:hAnsi="Verdana"/>
          <w:sz w:val="18"/>
          <w:szCs w:val="18"/>
        </w:rPr>
      </w:pPr>
    </w:p>
    <w:p w:rsidRPr="00FF46E3" w:rsidR="00FE4882" w:rsidP="006200DD" w:rsidRDefault="001D0F00" w14:paraId="4D65DCFA" w14:textId="5ECF15E9">
      <w:pPr>
        <w:pStyle w:val="Geenafstand"/>
        <w:rPr>
          <w:rFonts w:ascii="Verdana" w:hAnsi="Verdana"/>
          <w:sz w:val="18"/>
          <w:szCs w:val="18"/>
        </w:rPr>
      </w:pPr>
      <w:r w:rsidRPr="00FF46E3">
        <w:rPr>
          <w:rFonts w:ascii="Verdana" w:hAnsi="Verdana"/>
          <w:sz w:val="18"/>
          <w:szCs w:val="18"/>
        </w:rPr>
        <w:t>6</w:t>
      </w:r>
      <w:r w:rsidRPr="00FF46E3" w:rsidR="00FE4882">
        <w:rPr>
          <w:rFonts w:ascii="Verdana" w:hAnsi="Verdana"/>
          <w:sz w:val="18"/>
          <w:szCs w:val="18"/>
        </w:rPr>
        <w:t xml:space="preserve">. </w:t>
      </w:r>
      <w:r w:rsidRPr="00FF46E3" w:rsidR="00FE4882">
        <w:rPr>
          <w:rFonts w:ascii="Verdana" w:hAnsi="Verdana"/>
          <w:b/>
          <w:bCs/>
          <w:sz w:val="18"/>
          <w:szCs w:val="18"/>
        </w:rPr>
        <w:t xml:space="preserve">Aanwijzing Minister van Justitie en Veiligheid als </w:t>
      </w:r>
      <w:r w:rsidRPr="00FF46E3" w:rsidR="00A00917">
        <w:rPr>
          <w:rFonts w:ascii="Verdana" w:hAnsi="Verdana"/>
          <w:b/>
          <w:bCs/>
          <w:sz w:val="18"/>
          <w:szCs w:val="18"/>
        </w:rPr>
        <w:t xml:space="preserve">de </w:t>
      </w:r>
      <w:r w:rsidRPr="00FF46E3" w:rsidR="00FE4882">
        <w:rPr>
          <w:rFonts w:ascii="Verdana" w:hAnsi="Verdana"/>
          <w:b/>
          <w:bCs/>
          <w:sz w:val="18"/>
          <w:szCs w:val="18"/>
        </w:rPr>
        <w:t>cybercrisisbeheerautoriteit</w:t>
      </w:r>
      <w:r w:rsidRPr="00FF46E3" w:rsidR="002A0E87">
        <w:rPr>
          <w:rFonts w:ascii="Verdana" w:hAnsi="Verdana"/>
          <w:b/>
          <w:bCs/>
          <w:sz w:val="18"/>
          <w:szCs w:val="18"/>
        </w:rPr>
        <w:t>:</w:t>
      </w:r>
      <w:r w:rsidRPr="00FF46E3" w:rsidR="002A0E87">
        <w:rPr>
          <w:rFonts w:ascii="Verdana" w:hAnsi="Verdana"/>
          <w:sz w:val="18"/>
          <w:szCs w:val="18"/>
        </w:rPr>
        <w:t xml:space="preserve"> De Minister van Justitie en Veiligheid wordt aangewezen als de cybercrisisbeheerautoriteit voor Nederland</w:t>
      </w:r>
      <w:r w:rsidRPr="00FF46E3" w:rsidR="00AF66E1">
        <w:rPr>
          <w:rFonts w:ascii="Verdana" w:hAnsi="Verdana"/>
          <w:sz w:val="18"/>
          <w:szCs w:val="18"/>
        </w:rPr>
        <w:t xml:space="preserve"> (zie artikel </w:t>
      </w:r>
      <w:r w:rsidR="00231822">
        <w:rPr>
          <w:rFonts w:ascii="Verdana" w:hAnsi="Verdana"/>
          <w:sz w:val="18"/>
          <w:szCs w:val="18"/>
        </w:rPr>
        <w:t>18</w:t>
      </w:r>
      <w:r w:rsidRPr="00FF46E3" w:rsidR="00AF66E1">
        <w:rPr>
          <w:rFonts w:ascii="Verdana" w:hAnsi="Verdana"/>
          <w:sz w:val="18"/>
          <w:szCs w:val="18"/>
        </w:rPr>
        <w:t xml:space="preserve"> </w:t>
      </w:r>
      <w:proofErr w:type="spellStart"/>
      <w:r w:rsidRPr="00FF46E3" w:rsidR="00FF74D3">
        <w:rPr>
          <w:rFonts w:ascii="Verdana" w:hAnsi="Verdana"/>
          <w:sz w:val="18"/>
          <w:szCs w:val="18"/>
        </w:rPr>
        <w:t>Cbw</w:t>
      </w:r>
      <w:proofErr w:type="spellEnd"/>
      <w:r w:rsidRPr="00FF46E3" w:rsidR="00AF66E1">
        <w:rPr>
          <w:rFonts w:ascii="Verdana" w:hAnsi="Verdana"/>
          <w:sz w:val="18"/>
          <w:szCs w:val="18"/>
        </w:rPr>
        <w:t>)</w:t>
      </w:r>
      <w:r w:rsidRPr="00FF46E3" w:rsidR="002A0E87">
        <w:rPr>
          <w:rFonts w:ascii="Verdana" w:hAnsi="Verdana"/>
          <w:sz w:val="18"/>
          <w:szCs w:val="18"/>
        </w:rPr>
        <w:t xml:space="preserve">. </w:t>
      </w:r>
      <w:r w:rsidR="00951964">
        <w:rPr>
          <w:rFonts w:ascii="Verdana" w:hAnsi="Verdana"/>
          <w:sz w:val="18"/>
          <w:szCs w:val="18"/>
        </w:rPr>
        <w:t>Dit is conform staand beleid.</w:t>
      </w:r>
    </w:p>
    <w:p w:rsidRPr="00FF46E3" w:rsidR="00FE4882" w:rsidP="006200DD" w:rsidRDefault="00FE4882" w14:paraId="1DA9F277" w14:textId="77777777">
      <w:pPr>
        <w:pStyle w:val="Geenafstand"/>
        <w:rPr>
          <w:rFonts w:ascii="Verdana" w:hAnsi="Verdana"/>
          <w:sz w:val="18"/>
          <w:szCs w:val="18"/>
        </w:rPr>
      </w:pPr>
    </w:p>
    <w:p w:rsidRPr="00FF46E3" w:rsidR="002009A6" w:rsidP="006200DD" w:rsidRDefault="001D0F00" w14:paraId="5E5D45E5" w14:textId="5B6910B9">
      <w:pPr>
        <w:pStyle w:val="Geenafstand"/>
        <w:rPr>
          <w:rFonts w:ascii="Verdana" w:hAnsi="Verdana"/>
          <w:sz w:val="18"/>
          <w:szCs w:val="18"/>
        </w:rPr>
      </w:pPr>
      <w:r w:rsidRPr="00FF46E3">
        <w:rPr>
          <w:rFonts w:ascii="Verdana" w:hAnsi="Verdana"/>
          <w:sz w:val="18"/>
          <w:szCs w:val="18"/>
        </w:rPr>
        <w:t>7</w:t>
      </w:r>
      <w:r w:rsidRPr="00FF46E3" w:rsidR="002009A6">
        <w:rPr>
          <w:rFonts w:ascii="Verdana" w:hAnsi="Verdana"/>
          <w:sz w:val="18"/>
          <w:szCs w:val="18"/>
        </w:rPr>
        <w:t xml:space="preserve">. </w:t>
      </w:r>
      <w:r w:rsidRPr="00FF46E3" w:rsidR="005D7FB5">
        <w:rPr>
          <w:rFonts w:ascii="Verdana" w:hAnsi="Verdana"/>
          <w:b/>
          <w:bCs/>
          <w:sz w:val="18"/>
          <w:szCs w:val="18"/>
        </w:rPr>
        <w:t>O</w:t>
      </w:r>
      <w:r w:rsidRPr="00FF46E3" w:rsidR="002009A6">
        <w:rPr>
          <w:rFonts w:ascii="Verdana" w:hAnsi="Verdana"/>
          <w:b/>
          <w:bCs/>
          <w:sz w:val="18"/>
          <w:szCs w:val="18"/>
        </w:rPr>
        <w:t xml:space="preserve">pstellen lijst van entiteiten </w:t>
      </w:r>
      <w:r w:rsidRPr="00FF46E3" w:rsidR="005D7FB5">
        <w:rPr>
          <w:rFonts w:ascii="Verdana" w:hAnsi="Verdana"/>
          <w:b/>
          <w:bCs/>
          <w:sz w:val="18"/>
          <w:szCs w:val="18"/>
        </w:rPr>
        <w:t>door</w:t>
      </w:r>
      <w:r w:rsidRPr="00FF46E3" w:rsidR="002009A6">
        <w:rPr>
          <w:rFonts w:ascii="Verdana" w:hAnsi="Verdana"/>
          <w:b/>
          <w:bCs/>
          <w:sz w:val="18"/>
          <w:szCs w:val="18"/>
        </w:rPr>
        <w:t xml:space="preserve"> Minister van Justitie en Veiligheid</w:t>
      </w:r>
      <w:r w:rsidRPr="00FF46E3" w:rsidR="00C06FB1">
        <w:rPr>
          <w:rFonts w:ascii="Verdana" w:hAnsi="Verdana"/>
          <w:b/>
          <w:bCs/>
          <w:sz w:val="18"/>
          <w:szCs w:val="18"/>
        </w:rPr>
        <w:t xml:space="preserve"> via een registratiemechanisme</w:t>
      </w:r>
      <w:r w:rsidRPr="00FF46E3" w:rsidR="002009A6">
        <w:rPr>
          <w:rFonts w:ascii="Verdana" w:hAnsi="Verdana"/>
          <w:b/>
          <w:bCs/>
          <w:sz w:val="18"/>
          <w:szCs w:val="18"/>
        </w:rPr>
        <w:t>:</w:t>
      </w:r>
      <w:r w:rsidRPr="00FF46E3" w:rsidR="002009A6">
        <w:rPr>
          <w:rFonts w:ascii="Verdana" w:hAnsi="Verdana"/>
          <w:sz w:val="18"/>
          <w:szCs w:val="18"/>
        </w:rPr>
        <w:t xml:space="preserve"> De in artikel 3, derde lid, </w:t>
      </w:r>
      <w:r w:rsidRPr="00FF46E3" w:rsidR="00FB66DF">
        <w:rPr>
          <w:rFonts w:ascii="Verdana" w:hAnsi="Verdana"/>
          <w:sz w:val="18"/>
          <w:szCs w:val="18"/>
        </w:rPr>
        <w:t>NIS2-richtlijn</w:t>
      </w:r>
      <w:r w:rsidRPr="00FF46E3" w:rsidR="002009A6">
        <w:rPr>
          <w:rFonts w:ascii="Verdana" w:hAnsi="Verdana"/>
          <w:sz w:val="18"/>
          <w:szCs w:val="18"/>
        </w:rPr>
        <w:t xml:space="preserve"> opgenomen verplichting voor lidstaten om een lijst op te stellen van essentiële entiteiten, belangrijke entiteiten en entiteiten </w:t>
      </w:r>
      <w:r w:rsidRPr="00217771" w:rsidR="002009A6">
        <w:rPr>
          <w:rFonts w:ascii="Verdana" w:hAnsi="Verdana"/>
          <w:sz w:val="18"/>
          <w:szCs w:val="18"/>
        </w:rPr>
        <w:t>die domeinnaamregistratiediensten verlenen, wordt belegd bij de Minister van Justitie en Veiligheid.</w:t>
      </w:r>
      <w:r w:rsidRPr="00217771" w:rsidR="00D47000">
        <w:rPr>
          <w:rFonts w:ascii="Verdana" w:hAnsi="Verdana"/>
          <w:sz w:val="18"/>
          <w:szCs w:val="18"/>
        </w:rPr>
        <w:t xml:space="preserve"> Zo wordt aangesloten bij </w:t>
      </w:r>
      <w:r w:rsidRPr="00944FD9" w:rsidR="000F4C0C">
        <w:rPr>
          <w:rFonts w:ascii="Verdana" w:hAnsi="Verdana"/>
          <w:sz w:val="18"/>
          <w:szCs w:val="18"/>
        </w:rPr>
        <w:t xml:space="preserve">de functie van de Minister van Justitie en Veiligheid van </w:t>
      </w:r>
      <w:r w:rsidRPr="00217771" w:rsidR="00D47000">
        <w:rPr>
          <w:rFonts w:ascii="Verdana" w:hAnsi="Verdana"/>
          <w:sz w:val="18"/>
          <w:szCs w:val="18"/>
        </w:rPr>
        <w:t xml:space="preserve">het centrale contactpunt. </w:t>
      </w:r>
      <w:r w:rsidRPr="00217771" w:rsidR="006263FC">
        <w:rPr>
          <w:rFonts w:ascii="Verdana" w:hAnsi="Verdana"/>
          <w:sz w:val="18"/>
          <w:szCs w:val="18"/>
        </w:rPr>
        <w:t xml:space="preserve">In </w:t>
      </w:r>
      <w:r w:rsidRPr="00217771" w:rsidR="00A12288">
        <w:rPr>
          <w:rFonts w:ascii="Verdana" w:hAnsi="Verdana"/>
          <w:sz w:val="18"/>
          <w:szCs w:val="18"/>
        </w:rPr>
        <w:t xml:space="preserve">de </w:t>
      </w:r>
      <w:proofErr w:type="spellStart"/>
      <w:r w:rsidRPr="00217771" w:rsidR="00A12288">
        <w:rPr>
          <w:rFonts w:ascii="Verdana" w:hAnsi="Verdana"/>
          <w:sz w:val="18"/>
          <w:szCs w:val="18"/>
        </w:rPr>
        <w:t>Cbw</w:t>
      </w:r>
      <w:proofErr w:type="spellEnd"/>
      <w:r w:rsidRPr="00217771" w:rsidR="006263FC">
        <w:rPr>
          <w:rFonts w:ascii="Verdana" w:hAnsi="Verdana"/>
          <w:sz w:val="18"/>
          <w:szCs w:val="18"/>
        </w:rPr>
        <w:t xml:space="preserve"> wordt de lijst genoemd: het nationale register. </w:t>
      </w:r>
      <w:r w:rsidRPr="00217771" w:rsidR="00077142">
        <w:rPr>
          <w:rFonts w:ascii="Verdana" w:hAnsi="Verdana"/>
          <w:sz w:val="18"/>
          <w:szCs w:val="18"/>
        </w:rPr>
        <w:t xml:space="preserve">Er wordt </w:t>
      </w:r>
      <w:r w:rsidRPr="00217771" w:rsidR="00240602">
        <w:rPr>
          <w:rFonts w:ascii="Verdana" w:hAnsi="Verdana"/>
          <w:sz w:val="18"/>
          <w:szCs w:val="18"/>
        </w:rPr>
        <w:t>een registratiemechanisme ingericht waarmee essentiële entiteiten, belangrijke entiteiten en entiteiten</w:t>
      </w:r>
      <w:r w:rsidRPr="00217771" w:rsidR="00323267">
        <w:rPr>
          <w:rFonts w:ascii="Verdana" w:hAnsi="Verdana"/>
          <w:sz w:val="18"/>
          <w:szCs w:val="18"/>
        </w:rPr>
        <w:t xml:space="preserve"> die domeinregistratiediensten verlenen</w:t>
      </w:r>
      <w:r w:rsidRPr="00217771" w:rsidR="00240602">
        <w:rPr>
          <w:rFonts w:ascii="Verdana" w:hAnsi="Verdana"/>
          <w:sz w:val="18"/>
          <w:szCs w:val="18"/>
        </w:rPr>
        <w:t xml:space="preserve"> informatie aan </w:t>
      </w:r>
      <w:r w:rsidRPr="00217771" w:rsidR="00744E04">
        <w:rPr>
          <w:rFonts w:ascii="Verdana" w:hAnsi="Verdana"/>
          <w:sz w:val="18"/>
          <w:szCs w:val="18"/>
        </w:rPr>
        <w:t>moeten</w:t>
      </w:r>
      <w:r w:rsidRPr="00217771" w:rsidR="00240602">
        <w:rPr>
          <w:rFonts w:ascii="Verdana" w:hAnsi="Verdana"/>
          <w:sz w:val="18"/>
          <w:szCs w:val="18"/>
        </w:rPr>
        <w:t xml:space="preserve"> leveren ten behoeve van deze lijst.</w:t>
      </w:r>
      <w:r w:rsidRPr="00217771" w:rsidR="002009A6">
        <w:rPr>
          <w:rFonts w:ascii="Verdana" w:hAnsi="Verdana"/>
          <w:sz w:val="18"/>
          <w:szCs w:val="18"/>
        </w:rPr>
        <w:t xml:space="preserve"> </w:t>
      </w:r>
      <w:r w:rsidRPr="00217771" w:rsidR="00620221">
        <w:rPr>
          <w:rFonts w:ascii="Verdana" w:hAnsi="Verdana"/>
          <w:sz w:val="18"/>
          <w:szCs w:val="18"/>
        </w:rPr>
        <w:t>Dit</w:t>
      </w:r>
      <w:r w:rsidRPr="00FF46E3" w:rsidR="00620221">
        <w:rPr>
          <w:rFonts w:ascii="Verdana" w:hAnsi="Verdana"/>
          <w:sz w:val="18"/>
          <w:szCs w:val="18"/>
        </w:rPr>
        <w:t xml:space="preserve"> wordt verder toegelicht in paragraaf 5.</w:t>
      </w:r>
      <w:r w:rsidR="005A20EC">
        <w:rPr>
          <w:rFonts w:ascii="Verdana" w:hAnsi="Verdana"/>
          <w:sz w:val="18"/>
          <w:szCs w:val="18"/>
        </w:rPr>
        <w:t>7</w:t>
      </w:r>
      <w:r w:rsidRPr="00FF46E3" w:rsidR="00620221">
        <w:rPr>
          <w:rFonts w:ascii="Verdana" w:hAnsi="Verdana"/>
          <w:sz w:val="18"/>
          <w:szCs w:val="18"/>
        </w:rPr>
        <w:t>.</w:t>
      </w:r>
    </w:p>
    <w:p w:rsidRPr="00FF46E3" w:rsidR="002009A6" w:rsidP="006200DD" w:rsidRDefault="002009A6" w14:paraId="3B4F440C" w14:textId="22344FFD">
      <w:pPr>
        <w:pStyle w:val="Geenafstand"/>
        <w:rPr>
          <w:rFonts w:ascii="Verdana" w:hAnsi="Verdana"/>
          <w:sz w:val="18"/>
          <w:szCs w:val="18"/>
        </w:rPr>
      </w:pPr>
    </w:p>
    <w:p w:rsidRPr="00FF46E3" w:rsidR="009D0CBB" w:rsidP="009D0CBB" w:rsidRDefault="00ED3186" w14:paraId="0D7E8F98" w14:textId="42C4CD62">
      <w:pPr>
        <w:pStyle w:val="Geenafstand"/>
        <w:rPr>
          <w:rFonts w:ascii="Verdana" w:hAnsi="Verdana"/>
          <w:sz w:val="18"/>
          <w:szCs w:val="18"/>
        </w:rPr>
      </w:pPr>
      <w:r w:rsidRPr="00FF46E3">
        <w:rPr>
          <w:rFonts w:ascii="Verdana" w:hAnsi="Verdana"/>
          <w:sz w:val="18"/>
          <w:szCs w:val="18"/>
        </w:rPr>
        <w:t>8</w:t>
      </w:r>
      <w:r w:rsidRPr="00FF46E3" w:rsidR="00872E46">
        <w:rPr>
          <w:rFonts w:ascii="Verdana" w:hAnsi="Verdana"/>
          <w:sz w:val="18"/>
          <w:szCs w:val="18"/>
        </w:rPr>
        <w:t xml:space="preserve">. </w:t>
      </w:r>
      <w:r w:rsidRPr="00FF46E3" w:rsidR="00872E46">
        <w:rPr>
          <w:rFonts w:ascii="Verdana" w:hAnsi="Verdana"/>
          <w:b/>
          <w:bCs/>
          <w:sz w:val="18"/>
          <w:szCs w:val="18"/>
        </w:rPr>
        <w:t xml:space="preserve">Dubbele meldplicht: </w:t>
      </w:r>
      <w:r w:rsidRPr="00FF46E3" w:rsidR="00872E46">
        <w:rPr>
          <w:rFonts w:ascii="Verdana" w:hAnsi="Verdana"/>
          <w:sz w:val="18"/>
          <w:szCs w:val="18"/>
        </w:rPr>
        <w:t xml:space="preserve">Essentiële entiteiten en belangrijke entiteiten moeten significante incidenten zowel bij het CSIRT als bij de bevoegde autoriteit </w:t>
      </w:r>
      <w:r w:rsidRPr="00FF46E3" w:rsidR="00395A81">
        <w:rPr>
          <w:rFonts w:ascii="Verdana" w:hAnsi="Verdana"/>
          <w:sz w:val="18"/>
          <w:szCs w:val="18"/>
        </w:rPr>
        <w:t>melden</w:t>
      </w:r>
      <w:r w:rsidRPr="00FF46E3" w:rsidR="00872E46">
        <w:rPr>
          <w:rFonts w:ascii="Verdana" w:hAnsi="Verdana"/>
          <w:sz w:val="18"/>
          <w:szCs w:val="18"/>
        </w:rPr>
        <w:t xml:space="preserve">. </w:t>
      </w:r>
      <w:r w:rsidRPr="00FF46E3" w:rsidR="009D0CBB">
        <w:rPr>
          <w:rFonts w:ascii="Verdana" w:hAnsi="Verdana"/>
          <w:sz w:val="18"/>
          <w:szCs w:val="18"/>
        </w:rPr>
        <w:t xml:space="preserve">Er </w:t>
      </w:r>
      <w:r w:rsidR="009D0CBB">
        <w:rPr>
          <w:rFonts w:ascii="Verdana" w:hAnsi="Verdana"/>
          <w:sz w:val="18"/>
          <w:szCs w:val="18"/>
        </w:rPr>
        <w:t xml:space="preserve">komt een centraal meldloket zodat </w:t>
      </w:r>
      <w:r w:rsidRPr="00FF46E3" w:rsidR="009D0CBB">
        <w:rPr>
          <w:rFonts w:ascii="Verdana" w:hAnsi="Verdana"/>
          <w:sz w:val="18"/>
          <w:szCs w:val="18"/>
        </w:rPr>
        <w:t xml:space="preserve">deze dubbele meldplicht technisch zo </w:t>
      </w:r>
      <w:r w:rsidR="009D0CBB">
        <w:rPr>
          <w:rFonts w:ascii="Verdana" w:hAnsi="Verdana"/>
          <w:sz w:val="18"/>
          <w:szCs w:val="18"/>
        </w:rPr>
        <w:t xml:space="preserve">kan worden </w:t>
      </w:r>
      <w:r w:rsidRPr="00FF46E3" w:rsidR="009D0CBB">
        <w:rPr>
          <w:rFonts w:ascii="Verdana" w:hAnsi="Verdana"/>
          <w:sz w:val="18"/>
          <w:szCs w:val="18"/>
        </w:rPr>
        <w:t>in</w:t>
      </w:r>
      <w:r w:rsidR="009D0CBB">
        <w:rPr>
          <w:rFonts w:ascii="Verdana" w:hAnsi="Verdana"/>
          <w:sz w:val="18"/>
          <w:szCs w:val="18"/>
        </w:rPr>
        <w:t>ge</w:t>
      </w:r>
      <w:r w:rsidRPr="00FF46E3" w:rsidR="009D0CBB">
        <w:rPr>
          <w:rFonts w:ascii="Verdana" w:hAnsi="Verdana"/>
          <w:sz w:val="18"/>
          <w:szCs w:val="18"/>
        </w:rPr>
        <w:t xml:space="preserve">richt dat het verspreiden van de benodigde informatie maar één handeling van entiteiten vergt. </w:t>
      </w:r>
    </w:p>
    <w:p w:rsidRPr="00FF46E3" w:rsidR="00872E46" w:rsidP="00872E46" w:rsidRDefault="00872E46" w14:paraId="05DCC889" w14:textId="77777777">
      <w:pPr>
        <w:pStyle w:val="Geenafstand"/>
        <w:rPr>
          <w:rFonts w:ascii="Verdana" w:hAnsi="Verdana"/>
          <w:sz w:val="18"/>
          <w:szCs w:val="18"/>
        </w:rPr>
      </w:pPr>
    </w:p>
    <w:p w:rsidRPr="00FF46E3" w:rsidR="002009A6" w:rsidP="006200DD" w:rsidRDefault="00DB4AF7" w14:paraId="6AF262BD" w14:textId="34897DFB">
      <w:pPr>
        <w:pStyle w:val="Geenafstand"/>
        <w:rPr>
          <w:rFonts w:ascii="Verdana" w:hAnsi="Verdana"/>
          <w:sz w:val="18"/>
          <w:szCs w:val="18"/>
        </w:rPr>
      </w:pPr>
      <w:r w:rsidRPr="00FF46E3">
        <w:rPr>
          <w:rFonts w:ascii="Verdana" w:hAnsi="Verdana"/>
          <w:sz w:val="18"/>
          <w:szCs w:val="18"/>
        </w:rPr>
        <w:t>9</w:t>
      </w:r>
      <w:r w:rsidRPr="00FF46E3" w:rsidR="002009A6">
        <w:rPr>
          <w:rFonts w:ascii="Verdana" w:hAnsi="Verdana"/>
          <w:sz w:val="18"/>
          <w:szCs w:val="18"/>
        </w:rPr>
        <w:t xml:space="preserve">. </w:t>
      </w:r>
      <w:r w:rsidRPr="00FF46E3" w:rsidR="009207D7">
        <w:rPr>
          <w:rFonts w:ascii="Verdana" w:hAnsi="Verdana"/>
          <w:b/>
          <w:bCs/>
          <w:sz w:val="18"/>
          <w:szCs w:val="18"/>
        </w:rPr>
        <w:t>Instantie voor v</w:t>
      </w:r>
      <w:r w:rsidRPr="00FF46E3" w:rsidR="00BF7546">
        <w:rPr>
          <w:rFonts w:ascii="Verdana" w:hAnsi="Verdana"/>
          <w:b/>
          <w:bCs/>
          <w:sz w:val="18"/>
          <w:szCs w:val="18"/>
        </w:rPr>
        <w:t>rijwillige meldingen van significante incidenten, incidenten, bijna-incidenten en cyberdreigingen:</w:t>
      </w:r>
      <w:r w:rsidRPr="00FF46E3" w:rsidR="002009A6">
        <w:rPr>
          <w:rFonts w:ascii="Verdana" w:hAnsi="Verdana"/>
          <w:b/>
          <w:bCs/>
          <w:sz w:val="18"/>
          <w:szCs w:val="18"/>
        </w:rPr>
        <w:t xml:space="preserve"> </w:t>
      </w:r>
      <w:r w:rsidRPr="00FF46E3" w:rsidR="00BF7546">
        <w:rPr>
          <w:rFonts w:ascii="Verdana" w:hAnsi="Verdana"/>
          <w:sz w:val="18"/>
          <w:szCs w:val="18"/>
        </w:rPr>
        <w:t xml:space="preserve">Het CSIRT wordt aangewezen als de instantie waar een essentiële entiteit of belangrijke entiteit op vrijwillige basis een melding kan indienen over een incident, bijna-incident en cyberdreiging. </w:t>
      </w:r>
      <w:r w:rsidRPr="00FF46E3" w:rsidR="009633E3">
        <w:rPr>
          <w:rFonts w:ascii="Verdana" w:hAnsi="Verdana"/>
          <w:sz w:val="18"/>
          <w:szCs w:val="18"/>
        </w:rPr>
        <w:t>Daarnaast kan</w:t>
      </w:r>
      <w:r w:rsidRPr="00FF46E3" w:rsidR="006D568A">
        <w:rPr>
          <w:rFonts w:ascii="Verdana" w:hAnsi="Verdana"/>
          <w:sz w:val="18"/>
          <w:szCs w:val="18"/>
        </w:rPr>
        <w:t xml:space="preserve"> eenieder</w:t>
      </w:r>
      <w:r w:rsidRPr="00FF46E3" w:rsidR="009633E3">
        <w:rPr>
          <w:rFonts w:ascii="Verdana" w:hAnsi="Verdana"/>
          <w:sz w:val="18"/>
          <w:szCs w:val="18"/>
        </w:rPr>
        <w:t xml:space="preserve"> die geen essentiële entiteit of belangrijke entiteit is</w:t>
      </w:r>
      <w:r w:rsidRPr="00FF46E3" w:rsidR="006D568A">
        <w:rPr>
          <w:rFonts w:ascii="Verdana" w:hAnsi="Verdana"/>
          <w:sz w:val="18"/>
          <w:szCs w:val="18"/>
        </w:rPr>
        <w:t xml:space="preserve">, dus ook </w:t>
      </w:r>
      <w:r w:rsidRPr="00FF46E3" w:rsidR="009633E3">
        <w:rPr>
          <w:rFonts w:ascii="Verdana" w:hAnsi="Verdana"/>
          <w:sz w:val="18"/>
          <w:szCs w:val="18"/>
        </w:rPr>
        <w:t xml:space="preserve">een </w:t>
      </w:r>
      <w:r w:rsidRPr="00FF46E3" w:rsidR="00C66AD9">
        <w:rPr>
          <w:rFonts w:ascii="Verdana" w:hAnsi="Verdana"/>
          <w:sz w:val="18"/>
          <w:szCs w:val="18"/>
        </w:rPr>
        <w:t xml:space="preserve">individu, </w:t>
      </w:r>
      <w:r w:rsidRPr="00FF46E3" w:rsidR="008862F0">
        <w:rPr>
          <w:rFonts w:ascii="Verdana" w:hAnsi="Verdana"/>
          <w:sz w:val="18"/>
          <w:szCs w:val="18"/>
        </w:rPr>
        <w:t xml:space="preserve">op </w:t>
      </w:r>
      <w:r w:rsidRPr="00FF46E3" w:rsidR="002009A6">
        <w:rPr>
          <w:rFonts w:ascii="Verdana" w:hAnsi="Verdana"/>
          <w:sz w:val="18"/>
          <w:szCs w:val="18"/>
        </w:rPr>
        <w:t xml:space="preserve">vrijwillige basis </w:t>
      </w:r>
      <w:r w:rsidRPr="00FF46E3" w:rsidR="00C66AD9">
        <w:rPr>
          <w:rFonts w:ascii="Verdana" w:hAnsi="Verdana"/>
          <w:sz w:val="18"/>
          <w:szCs w:val="18"/>
        </w:rPr>
        <w:t xml:space="preserve">meldingen </w:t>
      </w:r>
      <w:r w:rsidRPr="00FF46E3" w:rsidR="00BF7546">
        <w:rPr>
          <w:rFonts w:ascii="Verdana" w:hAnsi="Verdana"/>
          <w:sz w:val="18"/>
          <w:szCs w:val="18"/>
        </w:rPr>
        <w:t xml:space="preserve">indienen over een </w:t>
      </w:r>
      <w:r w:rsidRPr="00FF46E3" w:rsidR="00073588">
        <w:rPr>
          <w:rFonts w:ascii="Verdana" w:hAnsi="Verdana"/>
          <w:sz w:val="18"/>
          <w:szCs w:val="18"/>
        </w:rPr>
        <w:t xml:space="preserve">significant incident, </w:t>
      </w:r>
      <w:r w:rsidRPr="00FF46E3" w:rsidR="00BF7546">
        <w:rPr>
          <w:rFonts w:ascii="Verdana" w:hAnsi="Verdana"/>
          <w:sz w:val="18"/>
          <w:szCs w:val="18"/>
        </w:rPr>
        <w:t xml:space="preserve">incident, bijna-incident en </w:t>
      </w:r>
      <w:r w:rsidRPr="00FF46E3" w:rsidR="002009A6">
        <w:rPr>
          <w:rFonts w:ascii="Verdana" w:hAnsi="Verdana"/>
          <w:sz w:val="18"/>
          <w:szCs w:val="18"/>
        </w:rPr>
        <w:t>cyberdreiging</w:t>
      </w:r>
      <w:r w:rsidRPr="00FF46E3" w:rsidR="00C66AD9">
        <w:rPr>
          <w:rFonts w:ascii="Verdana" w:hAnsi="Verdana"/>
          <w:sz w:val="18"/>
          <w:szCs w:val="18"/>
        </w:rPr>
        <w:t xml:space="preserve"> bij een CSIRT</w:t>
      </w:r>
      <w:r w:rsidRPr="00FF46E3" w:rsidR="00BF7546">
        <w:rPr>
          <w:rFonts w:ascii="Verdana" w:hAnsi="Verdana"/>
          <w:sz w:val="18"/>
          <w:szCs w:val="18"/>
        </w:rPr>
        <w:t>.</w:t>
      </w:r>
      <w:r w:rsidRPr="00FF46E3" w:rsidR="002009A6">
        <w:rPr>
          <w:rStyle w:val="Voetnootmarkering"/>
          <w:rFonts w:ascii="Verdana" w:hAnsi="Verdana"/>
          <w:sz w:val="18"/>
          <w:szCs w:val="18"/>
        </w:rPr>
        <w:footnoteReference w:id="23"/>
      </w:r>
    </w:p>
    <w:p w:rsidRPr="00FF46E3" w:rsidR="002009A6" w:rsidP="006200DD" w:rsidRDefault="002009A6" w14:paraId="6FC2D974" w14:textId="15BFEF04">
      <w:pPr>
        <w:pStyle w:val="Geenafstand"/>
        <w:rPr>
          <w:rFonts w:ascii="Verdana" w:hAnsi="Verdana"/>
          <w:sz w:val="18"/>
          <w:szCs w:val="18"/>
        </w:rPr>
      </w:pPr>
    </w:p>
    <w:p w:rsidR="00CE29A3" w:rsidP="006D3D90" w:rsidRDefault="003768E5" w14:paraId="300B6B02" w14:textId="6B1C91AF">
      <w:pPr>
        <w:pStyle w:val="Geenafstand"/>
        <w:rPr>
          <w:rFonts w:ascii="Verdana" w:hAnsi="Verdana"/>
          <w:sz w:val="18"/>
          <w:szCs w:val="18"/>
        </w:rPr>
      </w:pPr>
      <w:r w:rsidRPr="00FF46E3">
        <w:rPr>
          <w:rFonts w:ascii="Verdana" w:hAnsi="Verdana"/>
          <w:sz w:val="18"/>
          <w:szCs w:val="18"/>
        </w:rPr>
        <w:t>10</w:t>
      </w:r>
      <w:r w:rsidRPr="00FF46E3" w:rsidR="002C2B81">
        <w:rPr>
          <w:rFonts w:ascii="Verdana" w:hAnsi="Verdana"/>
          <w:sz w:val="18"/>
          <w:szCs w:val="18"/>
        </w:rPr>
        <w:t xml:space="preserve">. </w:t>
      </w:r>
      <w:r w:rsidRPr="00FF46E3" w:rsidR="002C2B81">
        <w:rPr>
          <w:rFonts w:ascii="Verdana" w:hAnsi="Verdana"/>
          <w:b/>
          <w:bCs/>
          <w:sz w:val="18"/>
          <w:szCs w:val="18"/>
        </w:rPr>
        <w:t xml:space="preserve">Aanwijzing bevoegde autoriteit: </w:t>
      </w:r>
      <w:r w:rsidRPr="00FF46E3" w:rsidR="006D3D90">
        <w:rPr>
          <w:rFonts w:ascii="Verdana" w:hAnsi="Verdana"/>
          <w:sz w:val="18"/>
          <w:szCs w:val="18"/>
        </w:rPr>
        <w:t xml:space="preserve">In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sidR="006D3D90">
        <w:rPr>
          <w:rFonts w:ascii="Verdana" w:hAnsi="Verdana"/>
          <w:sz w:val="18"/>
          <w:szCs w:val="18"/>
        </w:rPr>
        <w:t xml:space="preserve"> is ervoor gekozen om de vakministers aan te wijzen als de bevoegde autoriteit voor de sectoren en </w:t>
      </w:r>
      <w:proofErr w:type="spellStart"/>
      <w:r w:rsidRPr="00FF46E3" w:rsidR="006D3D90">
        <w:rPr>
          <w:rFonts w:ascii="Verdana" w:hAnsi="Verdana"/>
          <w:sz w:val="18"/>
          <w:szCs w:val="18"/>
        </w:rPr>
        <w:t>subsectoren</w:t>
      </w:r>
      <w:proofErr w:type="spellEnd"/>
      <w:r w:rsidRPr="00FF46E3" w:rsidR="006D3D90">
        <w:rPr>
          <w:rFonts w:ascii="Verdana" w:hAnsi="Verdana"/>
          <w:sz w:val="18"/>
          <w:szCs w:val="18"/>
        </w:rPr>
        <w:t xml:space="preserve"> die onder hun beleidsverantwoordelijkheid vallen</w:t>
      </w:r>
      <w:r w:rsidRPr="00FF46E3" w:rsidR="00AF66E1">
        <w:rPr>
          <w:rFonts w:ascii="Verdana" w:hAnsi="Verdana"/>
          <w:sz w:val="18"/>
          <w:szCs w:val="18"/>
        </w:rPr>
        <w:t xml:space="preserve"> (zie artikel </w:t>
      </w:r>
      <w:r w:rsidR="00231822">
        <w:rPr>
          <w:rFonts w:ascii="Verdana" w:hAnsi="Verdana"/>
          <w:sz w:val="18"/>
          <w:szCs w:val="18"/>
        </w:rPr>
        <w:t>15</w:t>
      </w:r>
      <w:r w:rsidRPr="00FF46E3" w:rsidR="00AF66E1">
        <w:rPr>
          <w:rFonts w:ascii="Verdana" w:hAnsi="Verdana"/>
          <w:sz w:val="18"/>
          <w:szCs w:val="18"/>
        </w:rPr>
        <w:t xml:space="preserve"> </w:t>
      </w:r>
      <w:proofErr w:type="spellStart"/>
      <w:r w:rsidRPr="00FF46E3" w:rsidR="00FF74D3">
        <w:rPr>
          <w:rFonts w:ascii="Verdana" w:hAnsi="Verdana"/>
          <w:sz w:val="18"/>
          <w:szCs w:val="18"/>
        </w:rPr>
        <w:t>Cbw</w:t>
      </w:r>
      <w:proofErr w:type="spellEnd"/>
      <w:r w:rsidRPr="00FF46E3" w:rsidR="00AF66E1">
        <w:rPr>
          <w:rFonts w:ascii="Verdana" w:hAnsi="Verdana"/>
          <w:sz w:val="18"/>
          <w:szCs w:val="18"/>
        </w:rPr>
        <w:t>)</w:t>
      </w:r>
      <w:r w:rsidRPr="00FF46E3" w:rsidR="006D3D90">
        <w:rPr>
          <w:rFonts w:ascii="Verdana" w:hAnsi="Verdana"/>
          <w:sz w:val="18"/>
          <w:szCs w:val="18"/>
        </w:rPr>
        <w:t xml:space="preserve">. </w:t>
      </w:r>
      <w:r w:rsidRPr="00CE29A3" w:rsidR="00CE29A3">
        <w:rPr>
          <w:rFonts w:ascii="Verdana" w:hAnsi="Verdana"/>
          <w:sz w:val="18"/>
          <w:szCs w:val="18"/>
        </w:rPr>
        <w:t xml:space="preserve">Door </w:t>
      </w:r>
      <w:r w:rsidR="00CE29A3">
        <w:rPr>
          <w:rFonts w:ascii="Verdana" w:hAnsi="Verdana"/>
          <w:sz w:val="18"/>
          <w:szCs w:val="18"/>
        </w:rPr>
        <w:t xml:space="preserve">die aanwijzing van </w:t>
      </w:r>
      <w:r w:rsidRPr="00CE29A3" w:rsidR="00CE29A3">
        <w:rPr>
          <w:rFonts w:ascii="Verdana" w:hAnsi="Verdana"/>
          <w:sz w:val="18"/>
          <w:szCs w:val="18"/>
        </w:rPr>
        <w:t>de vakminister</w:t>
      </w:r>
      <w:r w:rsidR="00CE29A3">
        <w:rPr>
          <w:rFonts w:ascii="Verdana" w:hAnsi="Verdana"/>
          <w:sz w:val="18"/>
          <w:szCs w:val="18"/>
        </w:rPr>
        <w:t>s</w:t>
      </w:r>
      <w:r w:rsidRPr="00CE29A3" w:rsidR="00CE29A3">
        <w:rPr>
          <w:rFonts w:ascii="Verdana" w:hAnsi="Verdana"/>
          <w:sz w:val="18"/>
          <w:szCs w:val="18"/>
        </w:rPr>
        <w:t xml:space="preserve"> </w:t>
      </w:r>
      <w:r w:rsidR="00CE29A3">
        <w:rPr>
          <w:rFonts w:ascii="Verdana" w:hAnsi="Verdana"/>
          <w:sz w:val="18"/>
          <w:szCs w:val="18"/>
        </w:rPr>
        <w:t>w</w:t>
      </w:r>
      <w:r w:rsidRPr="00CE29A3" w:rsidR="00CE29A3">
        <w:rPr>
          <w:rFonts w:ascii="Verdana" w:hAnsi="Verdana"/>
          <w:sz w:val="18"/>
          <w:szCs w:val="18"/>
        </w:rPr>
        <w:t xml:space="preserve">ordt onder meer geborgd dat de in de </w:t>
      </w:r>
      <w:proofErr w:type="spellStart"/>
      <w:r w:rsidR="00CE29A3">
        <w:rPr>
          <w:rFonts w:ascii="Verdana" w:hAnsi="Verdana"/>
          <w:sz w:val="18"/>
          <w:szCs w:val="18"/>
        </w:rPr>
        <w:t>Cbw</w:t>
      </w:r>
      <w:proofErr w:type="spellEnd"/>
      <w:r w:rsidRPr="00CE29A3" w:rsidR="00CE29A3">
        <w:rPr>
          <w:rFonts w:ascii="Verdana" w:hAnsi="Verdana"/>
          <w:sz w:val="18"/>
          <w:szCs w:val="18"/>
        </w:rPr>
        <w:t xml:space="preserve"> opgenomen taken van de bevoegde autoriteit worden uitgevoerd met voldoende inzicht in sectorspecifieke eigenschappen en belangen.</w:t>
      </w:r>
    </w:p>
    <w:p w:rsidRPr="00FF46E3" w:rsidR="006D3D90" w:rsidP="006D3D90" w:rsidRDefault="006D3D90" w14:paraId="4FF2CE75" w14:textId="7376CFB6">
      <w:pPr>
        <w:pStyle w:val="Geenafstand"/>
        <w:rPr>
          <w:rFonts w:ascii="Verdana" w:hAnsi="Verdana"/>
          <w:sz w:val="18"/>
          <w:szCs w:val="18"/>
        </w:rPr>
      </w:pPr>
      <w:r w:rsidRPr="00FF46E3">
        <w:rPr>
          <w:rFonts w:ascii="Verdana" w:hAnsi="Verdana"/>
          <w:sz w:val="18"/>
          <w:szCs w:val="18"/>
        </w:rPr>
        <w:t xml:space="preserve">De NIS2-richtlijn bevat diverse taken voor de bevoegde autoriteit. Zo heeft zij taken in het kader van meldingen van incidenten, maar ook de taak om te zorgen voor de handhaving van verplichtingen. </w:t>
      </w:r>
      <w:r w:rsidRPr="00FF46E3" w:rsidR="00A00917">
        <w:rPr>
          <w:rFonts w:ascii="Verdana" w:hAnsi="Verdana"/>
          <w:sz w:val="18"/>
          <w:szCs w:val="18"/>
        </w:rPr>
        <w:t xml:space="preserve">Voor zover het gaat om het toezicht op de verplichtingen uit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sidR="00A00917">
        <w:rPr>
          <w:rFonts w:ascii="Verdana" w:hAnsi="Verdana"/>
          <w:sz w:val="18"/>
          <w:szCs w:val="18"/>
        </w:rPr>
        <w:t xml:space="preserve">, is gekozen voor sectoraal toezicht. </w:t>
      </w:r>
      <w:r w:rsidRPr="00FF46E3">
        <w:rPr>
          <w:rFonts w:ascii="Verdana" w:hAnsi="Verdana"/>
          <w:sz w:val="18"/>
          <w:szCs w:val="18"/>
        </w:rPr>
        <w:t xml:space="preserve">In de praktijk worden de toezichtstaken van de bevoegde autoriteit uitgevoerd door </w:t>
      </w:r>
      <w:r w:rsidRPr="00FF46E3" w:rsidR="00A00917">
        <w:rPr>
          <w:rFonts w:ascii="Verdana" w:hAnsi="Verdana"/>
          <w:sz w:val="18"/>
          <w:szCs w:val="18"/>
        </w:rPr>
        <w:t>daartoe door de bevoegde autoriteit aangewezen ambtenaren van een dienstonderdeel van het departement of van een andere overheidsdienst</w:t>
      </w:r>
      <w:r w:rsidRPr="00FF46E3">
        <w:rPr>
          <w:rFonts w:ascii="Verdana" w:hAnsi="Verdana"/>
          <w:sz w:val="18"/>
          <w:szCs w:val="18"/>
        </w:rPr>
        <w:t>. De andere taken van de bevoegde autoriteit worden in de praktijk uitgevoerd door het vakdepartement. Voor de duidelijkheid van deze toelichting wordt gebruik gemaakt van de terminologie “toezichthoudende instantie” enerzijds (wanneer wordt gedoeld op de uitvoering van toezichtstaken van de bevoegde autoriteit) en “de vakminister” anderzijds (wanneer wordt gedoeld op de andere taken van de bevoegde autoriteit).</w:t>
      </w:r>
      <w:r w:rsidRPr="00FF46E3" w:rsidR="00EA661F">
        <w:rPr>
          <w:rFonts w:ascii="Verdana" w:hAnsi="Verdana"/>
          <w:sz w:val="18"/>
          <w:szCs w:val="18"/>
        </w:rPr>
        <w:t xml:space="preserve"> </w:t>
      </w:r>
    </w:p>
    <w:p w:rsidRPr="00FF46E3" w:rsidR="001D0F00" w:rsidP="006200DD" w:rsidRDefault="001D0F00" w14:paraId="12DD3B27" w14:textId="77777777">
      <w:pPr>
        <w:pStyle w:val="Geenafstand"/>
        <w:rPr>
          <w:rFonts w:ascii="Verdana" w:hAnsi="Verdana"/>
          <w:b/>
          <w:bCs/>
          <w:sz w:val="18"/>
          <w:szCs w:val="18"/>
        </w:rPr>
      </w:pPr>
    </w:p>
    <w:p w:rsidRPr="00FF46E3" w:rsidR="00F42A4D" w:rsidP="00493EC7" w:rsidRDefault="00F42A4D" w14:paraId="77AC6967" w14:textId="68D58F62">
      <w:pPr>
        <w:pStyle w:val="Kop1"/>
      </w:pPr>
      <w:bookmarkStart w:name="_Toc198721061" w:id="27"/>
      <w:r w:rsidRPr="00FF46E3">
        <w:t xml:space="preserve">5. Hoofdlijnen van </w:t>
      </w:r>
      <w:r w:rsidRPr="00FF46E3" w:rsidR="00882730">
        <w:t xml:space="preserve">de </w:t>
      </w:r>
      <w:proofErr w:type="spellStart"/>
      <w:r w:rsidRPr="00FF46E3" w:rsidR="00882730">
        <w:t>Cbw</w:t>
      </w:r>
      <w:bookmarkEnd w:id="27"/>
      <w:proofErr w:type="spellEnd"/>
    </w:p>
    <w:p w:rsidRPr="00FF46E3" w:rsidR="004F00AA" w:rsidP="007A7254" w:rsidRDefault="004F00AA" w14:paraId="2F8A42A8" w14:textId="77777777">
      <w:pPr>
        <w:pStyle w:val="Geenafstand"/>
        <w:rPr>
          <w:rFonts w:ascii="Verdana" w:hAnsi="Verdana"/>
          <w:b/>
          <w:bCs/>
          <w:sz w:val="18"/>
          <w:szCs w:val="18"/>
        </w:rPr>
      </w:pPr>
    </w:p>
    <w:p w:rsidRPr="00FF46E3" w:rsidR="007A7254" w:rsidP="007A7254" w:rsidRDefault="007A7254" w14:paraId="600F887F" w14:textId="096A12E7">
      <w:pPr>
        <w:pStyle w:val="Geenafstand"/>
        <w:rPr>
          <w:rFonts w:ascii="Verdana" w:hAnsi="Verdana"/>
          <w:sz w:val="18"/>
          <w:szCs w:val="18"/>
        </w:rPr>
      </w:pPr>
      <w:bookmarkStart w:name="_Hlk172817023" w:id="28"/>
      <w:r w:rsidRPr="00FF46E3">
        <w:rPr>
          <w:rFonts w:ascii="Verdana" w:hAnsi="Verdana"/>
          <w:sz w:val="18"/>
          <w:szCs w:val="18"/>
        </w:rPr>
        <w:t xml:space="preserve">In dit hoofdstuk wordt een toelichting gegeven op de belangrijkste onderdelen van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sidR="00BF1A67">
        <w:rPr>
          <w:rFonts w:ascii="Verdana" w:hAnsi="Verdana"/>
          <w:sz w:val="18"/>
          <w:szCs w:val="18"/>
        </w:rPr>
        <w:t xml:space="preserve">. </w:t>
      </w:r>
      <w:r w:rsidRPr="00FF46E3" w:rsidR="00C1157E">
        <w:rPr>
          <w:rFonts w:ascii="Verdana" w:hAnsi="Verdana"/>
          <w:sz w:val="18"/>
          <w:szCs w:val="18"/>
        </w:rPr>
        <w:t>Daarbij wordt ook ingegaan op de beleidskeuzes die daar aan ten grondslag liggen.</w:t>
      </w:r>
    </w:p>
    <w:bookmarkEnd w:id="28"/>
    <w:p w:rsidRPr="00FF46E3" w:rsidR="007A7254" w:rsidP="007A7254" w:rsidRDefault="007A7254" w14:paraId="0B2467F2" w14:textId="77777777">
      <w:pPr>
        <w:pStyle w:val="Geenafstand"/>
        <w:rPr>
          <w:rFonts w:ascii="Verdana" w:hAnsi="Verdana"/>
          <w:b/>
          <w:bCs/>
          <w:sz w:val="18"/>
          <w:szCs w:val="18"/>
        </w:rPr>
      </w:pPr>
    </w:p>
    <w:p w:rsidRPr="00FF46E3" w:rsidR="00347321" w:rsidP="002A3D83" w:rsidRDefault="00CD1B9A" w14:paraId="4A5B894C" w14:textId="0706AE79">
      <w:pPr>
        <w:pStyle w:val="Kop2"/>
        <w:rPr>
          <w:szCs w:val="18"/>
        </w:rPr>
      </w:pPr>
      <w:bookmarkStart w:name="_Toc198721062" w:id="29"/>
      <w:r w:rsidRPr="00FF46E3">
        <w:rPr>
          <w:szCs w:val="18"/>
        </w:rPr>
        <w:lastRenderedPageBreak/>
        <w:t>5.1</w:t>
      </w:r>
      <w:r w:rsidRPr="00FF46E3" w:rsidR="00347321">
        <w:rPr>
          <w:szCs w:val="18"/>
        </w:rPr>
        <w:t xml:space="preserve"> </w:t>
      </w:r>
      <w:r w:rsidR="00856B2B">
        <w:rPr>
          <w:szCs w:val="18"/>
        </w:rPr>
        <w:t>Essentiële entiteiten en belangrijke entiteiten</w:t>
      </w:r>
      <w:bookmarkEnd w:id="29"/>
    </w:p>
    <w:p w:rsidR="00347321" w:rsidP="006200DD" w:rsidRDefault="00347321" w14:paraId="20818F8C" w14:textId="59910B44">
      <w:pPr>
        <w:pStyle w:val="Geenafstand"/>
        <w:rPr>
          <w:rFonts w:ascii="Verdana" w:hAnsi="Verdana"/>
          <w:sz w:val="18"/>
          <w:szCs w:val="18"/>
        </w:rPr>
      </w:pPr>
    </w:p>
    <w:p w:rsidR="006642DE" w:rsidP="006200DD" w:rsidRDefault="006642DE" w14:paraId="1AE045FC" w14:textId="01CD258D">
      <w:pPr>
        <w:pStyle w:val="Geenafstand"/>
        <w:rPr>
          <w:rFonts w:ascii="Verdana" w:hAnsi="Verdana"/>
          <w:sz w:val="18"/>
          <w:szCs w:val="18"/>
        </w:rPr>
      </w:pPr>
      <w:r>
        <w:rPr>
          <w:rFonts w:ascii="Verdana" w:hAnsi="Verdana"/>
          <w:sz w:val="18"/>
          <w:szCs w:val="18"/>
        </w:rPr>
        <w:t xml:space="preserve">De </w:t>
      </w:r>
      <w:proofErr w:type="spellStart"/>
      <w:r>
        <w:rPr>
          <w:rFonts w:ascii="Verdana" w:hAnsi="Verdana"/>
          <w:sz w:val="18"/>
          <w:szCs w:val="18"/>
        </w:rPr>
        <w:t>Cbw</w:t>
      </w:r>
      <w:proofErr w:type="spellEnd"/>
      <w:r>
        <w:rPr>
          <w:rFonts w:ascii="Verdana" w:hAnsi="Verdana"/>
          <w:sz w:val="18"/>
          <w:szCs w:val="18"/>
        </w:rPr>
        <w:t xml:space="preserve"> bevat diverse rechten en plichten voor essentiële entiteiten en belangrijke entiteiten. In deze paragraaf wordt ingegaan op het onderscheid tussen essentiële entiteiten en belangrijke entiteiten, de entiteiten die van rechtswege essentiële entiteit of belangrijke entiteit zijn, de entiteiten die op basis van criteria worden aangewezen als essentiële entiteit en de verhouding tot de </w:t>
      </w:r>
      <w:proofErr w:type="spellStart"/>
      <w:r>
        <w:rPr>
          <w:rFonts w:ascii="Verdana" w:hAnsi="Verdana"/>
          <w:sz w:val="18"/>
          <w:szCs w:val="18"/>
        </w:rPr>
        <w:t>Wwke</w:t>
      </w:r>
      <w:proofErr w:type="spellEnd"/>
      <w:r>
        <w:rPr>
          <w:rFonts w:ascii="Verdana" w:hAnsi="Verdana"/>
          <w:sz w:val="18"/>
          <w:szCs w:val="18"/>
        </w:rPr>
        <w:t xml:space="preserve">. Daarnaast wordt ingegaan op de toepassing van de </w:t>
      </w:r>
      <w:proofErr w:type="spellStart"/>
      <w:r>
        <w:rPr>
          <w:rFonts w:ascii="Verdana" w:hAnsi="Verdana"/>
          <w:sz w:val="18"/>
          <w:szCs w:val="18"/>
        </w:rPr>
        <w:t>Cbw</w:t>
      </w:r>
      <w:proofErr w:type="spellEnd"/>
      <w:r>
        <w:rPr>
          <w:rFonts w:ascii="Verdana" w:hAnsi="Verdana"/>
          <w:sz w:val="18"/>
          <w:szCs w:val="18"/>
        </w:rPr>
        <w:t xml:space="preserve"> op overheidsinstanties en de lidstaatoptie om onderwijsinstellingen aan te wijzen als essentiële entiteit of belangrijke entiteit.</w:t>
      </w:r>
    </w:p>
    <w:p w:rsidRPr="00FF46E3" w:rsidR="006642DE" w:rsidP="006200DD" w:rsidRDefault="006642DE" w14:paraId="70DC1052" w14:textId="77777777">
      <w:pPr>
        <w:pStyle w:val="Geenafstand"/>
        <w:rPr>
          <w:rFonts w:ascii="Verdana" w:hAnsi="Verdana"/>
          <w:sz w:val="18"/>
          <w:szCs w:val="18"/>
        </w:rPr>
      </w:pPr>
    </w:p>
    <w:p w:rsidRPr="00FF46E3" w:rsidR="00DD373C" w:rsidP="00C3466E" w:rsidRDefault="00DD373C" w14:paraId="2193A3FE" w14:textId="2660013F">
      <w:pPr>
        <w:pStyle w:val="Kop3"/>
      </w:pPr>
      <w:bookmarkStart w:name="_Toc198721063" w:id="30"/>
      <w:r w:rsidRPr="00FF46E3">
        <w:t xml:space="preserve">5.1.1 </w:t>
      </w:r>
      <w:r w:rsidR="006642DE">
        <w:t>Essentiële entiteiten en belangrijke entiteiten</w:t>
      </w:r>
      <w:bookmarkEnd w:id="30"/>
    </w:p>
    <w:p w:rsidR="00FD544A" w:rsidP="00FD544A" w:rsidRDefault="00FD544A" w14:paraId="4F62845F" w14:textId="51C85CBB">
      <w:pPr>
        <w:pStyle w:val="Geenafstand"/>
        <w:rPr>
          <w:rFonts w:ascii="Verdana" w:hAnsi="Verdana"/>
          <w:i/>
          <w:iCs/>
          <w:sz w:val="18"/>
          <w:szCs w:val="18"/>
        </w:rPr>
      </w:pPr>
      <w:bookmarkStart w:name="_Hlk179194242" w:id="31"/>
    </w:p>
    <w:p w:rsidRPr="00DB76AD" w:rsidR="00FD544A" w:rsidP="00FD544A" w:rsidRDefault="00FD544A" w14:paraId="5DDA0131" w14:textId="42EB13C7">
      <w:pPr>
        <w:pStyle w:val="Geenafstand"/>
        <w:rPr>
          <w:rFonts w:ascii="Verdana" w:hAnsi="Verdana"/>
          <w:i/>
          <w:iCs/>
          <w:sz w:val="18"/>
          <w:szCs w:val="18"/>
        </w:rPr>
      </w:pPr>
      <w:r>
        <w:rPr>
          <w:rFonts w:ascii="Verdana" w:hAnsi="Verdana"/>
          <w:i/>
          <w:iCs/>
          <w:sz w:val="18"/>
          <w:szCs w:val="18"/>
        </w:rPr>
        <w:t>Onderscheid essentiële entiteit en belangrijke entiteit</w:t>
      </w:r>
    </w:p>
    <w:p w:rsidR="00FD544A" w:rsidP="00FD544A" w:rsidRDefault="006642DE" w14:paraId="0F6C99CF" w14:textId="46E29E66">
      <w:pPr>
        <w:pStyle w:val="Geenafstand"/>
        <w:rPr>
          <w:rFonts w:ascii="Verdana" w:hAnsi="Verdana"/>
          <w:sz w:val="18"/>
          <w:szCs w:val="18"/>
        </w:rPr>
      </w:pPr>
      <w:bookmarkStart w:name="_Hlk179350513" w:id="32"/>
      <w:r>
        <w:rPr>
          <w:rFonts w:ascii="Verdana" w:hAnsi="Verdana"/>
          <w:sz w:val="18"/>
          <w:szCs w:val="18"/>
        </w:rPr>
        <w:t xml:space="preserve">De </w:t>
      </w:r>
      <w:proofErr w:type="spellStart"/>
      <w:r>
        <w:rPr>
          <w:rFonts w:ascii="Verdana" w:hAnsi="Verdana"/>
          <w:sz w:val="18"/>
          <w:szCs w:val="18"/>
        </w:rPr>
        <w:t>Cbw</w:t>
      </w:r>
      <w:proofErr w:type="spellEnd"/>
      <w:r>
        <w:rPr>
          <w:rFonts w:ascii="Verdana" w:hAnsi="Verdana"/>
          <w:sz w:val="18"/>
          <w:szCs w:val="18"/>
        </w:rPr>
        <w:t xml:space="preserve"> maakt een onderscheid tussen essentiële entiteiten en belangrijke entiteiten. </w:t>
      </w:r>
      <w:bookmarkEnd w:id="32"/>
      <w:r w:rsidRPr="00FF46E3" w:rsidR="00FD544A">
        <w:rPr>
          <w:rFonts w:ascii="Verdana" w:hAnsi="Verdana"/>
          <w:sz w:val="18"/>
          <w:szCs w:val="18"/>
        </w:rPr>
        <w:t xml:space="preserve">Het onderscheid is met name van belang als het gaat om de vraag welk </w:t>
      </w:r>
      <w:proofErr w:type="spellStart"/>
      <w:r w:rsidRPr="00FF46E3" w:rsidR="00FD544A">
        <w:rPr>
          <w:rFonts w:ascii="Verdana" w:hAnsi="Verdana"/>
          <w:sz w:val="18"/>
          <w:szCs w:val="18"/>
        </w:rPr>
        <w:t>toezichtsregime</w:t>
      </w:r>
      <w:proofErr w:type="spellEnd"/>
      <w:r w:rsidRPr="00FF46E3" w:rsidR="00FD544A">
        <w:rPr>
          <w:rFonts w:ascii="Verdana" w:hAnsi="Verdana"/>
          <w:sz w:val="18"/>
          <w:szCs w:val="18"/>
        </w:rPr>
        <w:t xml:space="preserve"> op de entiteit van toepassing is. </w:t>
      </w:r>
      <w:r w:rsidR="00FD544A">
        <w:rPr>
          <w:rFonts w:ascii="Verdana" w:hAnsi="Verdana"/>
          <w:sz w:val="18"/>
          <w:szCs w:val="18"/>
        </w:rPr>
        <w:t xml:space="preserve">De NIS2-richtlijn veronderstelt dat het proportioneel is om belangrijke entiteiten minder </w:t>
      </w:r>
      <w:r w:rsidR="00D3725A">
        <w:rPr>
          <w:rFonts w:ascii="Verdana" w:hAnsi="Verdana"/>
          <w:sz w:val="18"/>
          <w:szCs w:val="18"/>
        </w:rPr>
        <w:t xml:space="preserve">te belasten </w:t>
      </w:r>
      <w:r w:rsidR="00FD544A">
        <w:rPr>
          <w:rFonts w:ascii="Verdana" w:hAnsi="Verdana"/>
          <w:sz w:val="18"/>
          <w:szCs w:val="18"/>
        </w:rPr>
        <w:t xml:space="preserve">met administratieve lasten die volgen uit toezicht dan essentiële entiteiten, vanwege hun omvang, de door hen verleende diensten en de sectoren waar zij in actief zijn. </w:t>
      </w:r>
      <w:r>
        <w:rPr>
          <w:rFonts w:ascii="Verdana" w:hAnsi="Verdana"/>
          <w:sz w:val="18"/>
          <w:szCs w:val="18"/>
        </w:rPr>
        <w:t xml:space="preserve">Welke entiteiten essentiële entiteit zijn en welke entiteiten belangrijke entiteit zijn, volgt uit de artikelen </w:t>
      </w:r>
      <w:r w:rsidR="001E06BB">
        <w:rPr>
          <w:rFonts w:ascii="Verdana" w:hAnsi="Verdana"/>
          <w:sz w:val="18"/>
          <w:szCs w:val="18"/>
        </w:rPr>
        <w:t xml:space="preserve">8 </w:t>
      </w:r>
      <w:r>
        <w:rPr>
          <w:rFonts w:ascii="Verdana" w:hAnsi="Verdana"/>
          <w:sz w:val="18"/>
          <w:szCs w:val="18"/>
        </w:rPr>
        <w:t xml:space="preserve">tot en met </w:t>
      </w:r>
      <w:r w:rsidR="001E06BB">
        <w:rPr>
          <w:rFonts w:ascii="Verdana" w:hAnsi="Verdana"/>
          <w:sz w:val="18"/>
          <w:szCs w:val="18"/>
        </w:rPr>
        <w:t xml:space="preserve">13 </w:t>
      </w:r>
      <w:proofErr w:type="spellStart"/>
      <w:r>
        <w:rPr>
          <w:rFonts w:ascii="Verdana" w:hAnsi="Verdana"/>
          <w:sz w:val="18"/>
          <w:szCs w:val="18"/>
        </w:rPr>
        <w:t>Cbw</w:t>
      </w:r>
      <w:proofErr w:type="spellEnd"/>
      <w:r>
        <w:rPr>
          <w:rFonts w:ascii="Verdana" w:hAnsi="Verdana"/>
          <w:sz w:val="18"/>
          <w:szCs w:val="18"/>
        </w:rPr>
        <w:t xml:space="preserve">. </w:t>
      </w:r>
      <w:r w:rsidRPr="00FF46E3" w:rsidR="00FD544A">
        <w:rPr>
          <w:rFonts w:ascii="Verdana" w:hAnsi="Verdana"/>
          <w:sz w:val="18"/>
          <w:szCs w:val="18"/>
        </w:rPr>
        <w:t xml:space="preserve">Zo is voor entiteiten, behorende tot </w:t>
      </w:r>
      <w:r w:rsidR="006E194B">
        <w:rPr>
          <w:rFonts w:ascii="Verdana" w:hAnsi="Verdana"/>
          <w:sz w:val="18"/>
          <w:szCs w:val="18"/>
        </w:rPr>
        <w:t xml:space="preserve">ten minste </w:t>
      </w:r>
      <w:r>
        <w:rPr>
          <w:rFonts w:ascii="Verdana" w:hAnsi="Verdana"/>
          <w:sz w:val="18"/>
          <w:szCs w:val="18"/>
        </w:rPr>
        <w:t>éé</w:t>
      </w:r>
      <w:r w:rsidRPr="00FF46E3" w:rsidR="00FD544A">
        <w:rPr>
          <w:rFonts w:ascii="Verdana" w:hAnsi="Verdana"/>
          <w:sz w:val="18"/>
          <w:szCs w:val="18"/>
        </w:rPr>
        <w:t xml:space="preserve">n van de soorten entiteiten in bijlage I bij de richtlijn (corresponderend aan bijlage 1 van de </w:t>
      </w:r>
      <w:proofErr w:type="spellStart"/>
      <w:r w:rsidRPr="00FF46E3" w:rsidR="00FD544A">
        <w:rPr>
          <w:rFonts w:ascii="Verdana" w:hAnsi="Verdana"/>
          <w:sz w:val="18"/>
          <w:szCs w:val="18"/>
        </w:rPr>
        <w:t>Cbw</w:t>
      </w:r>
      <w:proofErr w:type="spellEnd"/>
      <w:r w:rsidRPr="00FF46E3" w:rsidR="00FD544A">
        <w:rPr>
          <w:rFonts w:ascii="Verdana" w:hAnsi="Verdana"/>
          <w:sz w:val="18"/>
          <w:szCs w:val="18"/>
        </w:rPr>
        <w:t>), die het plafond voor middelgrote ondernemingen uit artikel 1 van de bijlage bij de Aanbeveling 2003/361/EG</w:t>
      </w:r>
      <w:r w:rsidRPr="00FF46E3" w:rsidR="00D3725A">
        <w:rPr>
          <w:rStyle w:val="Voetnootmarkering"/>
          <w:rFonts w:ascii="Verdana" w:hAnsi="Verdana"/>
          <w:sz w:val="18"/>
          <w:szCs w:val="18"/>
        </w:rPr>
        <w:footnoteReference w:id="24"/>
      </w:r>
      <w:r w:rsidRPr="00FF46E3" w:rsidR="00FD544A">
        <w:rPr>
          <w:rFonts w:ascii="Verdana" w:hAnsi="Verdana"/>
          <w:sz w:val="18"/>
          <w:szCs w:val="18"/>
        </w:rPr>
        <w:t xml:space="preserve"> overschrijden, bepaald dat zij als essentiële entiteit aangemerkt worden. </w:t>
      </w:r>
    </w:p>
    <w:p w:rsidR="00856B2B" w:rsidP="002E4A2D" w:rsidRDefault="006E194B" w14:paraId="409B01C4" w14:textId="41FB5E65">
      <w:pPr>
        <w:pStyle w:val="Geenafstand"/>
        <w:rPr>
          <w:rFonts w:ascii="Verdana" w:hAnsi="Verdana"/>
          <w:sz w:val="18"/>
          <w:szCs w:val="18"/>
        </w:rPr>
      </w:pPr>
      <w:r w:rsidRPr="006E194B">
        <w:rPr>
          <w:rFonts w:ascii="Verdana" w:hAnsi="Verdana"/>
          <w:sz w:val="18"/>
          <w:szCs w:val="18"/>
        </w:rPr>
        <w:t xml:space="preserve">Een entiteit kan onder de NIS2-richtlijn en de implementatie daarvan in de </w:t>
      </w:r>
      <w:proofErr w:type="spellStart"/>
      <w:r w:rsidRPr="006E194B">
        <w:rPr>
          <w:rFonts w:ascii="Verdana" w:hAnsi="Verdana"/>
          <w:sz w:val="18"/>
          <w:szCs w:val="18"/>
        </w:rPr>
        <w:t>Cbw</w:t>
      </w:r>
      <w:proofErr w:type="spellEnd"/>
      <w:r w:rsidRPr="006E194B">
        <w:rPr>
          <w:rFonts w:ascii="Verdana" w:hAnsi="Verdana"/>
          <w:sz w:val="18"/>
          <w:szCs w:val="18"/>
        </w:rPr>
        <w:t xml:space="preserve"> meerdere hoedanigheden bezitten. Een entiteit kan bijvoorbeeld van meerdere soorten zijn, genoemd in de laatste kolom van bijlagen 1 en 2 van de </w:t>
      </w:r>
      <w:proofErr w:type="spellStart"/>
      <w:r w:rsidRPr="006E194B">
        <w:rPr>
          <w:rFonts w:ascii="Verdana" w:hAnsi="Verdana"/>
          <w:sz w:val="18"/>
          <w:szCs w:val="18"/>
        </w:rPr>
        <w:t>Cbw</w:t>
      </w:r>
      <w:proofErr w:type="spellEnd"/>
      <w:r w:rsidRPr="006E194B">
        <w:rPr>
          <w:rFonts w:ascii="Verdana" w:hAnsi="Verdana"/>
          <w:sz w:val="18"/>
          <w:szCs w:val="18"/>
        </w:rPr>
        <w:t xml:space="preserve">. Ook kan een entiteit zowel kwalificeren als belangrijke of essentiële entiteit en een entiteit die domeinnaamregistratiediensten verleent. In dergelijke gevallen cumuleren de verplichtingen uit de </w:t>
      </w:r>
      <w:proofErr w:type="spellStart"/>
      <w:r w:rsidRPr="006E194B">
        <w:rPr>
          <w:rFonts w:ascii="Verdana" w:hAnsi="Verdana"/>
          <w:sz w:val="18"/>
          <w:szCs w:val="18"/>
        </w:rPr>
        <w:t>Cbw</w:t>
      </w:r>
      <w:proofErr w:type="spellEnd"/>
      <w:r w:rsidRPr="006E194B">
        <w:rPr>
          <w:rFonts w:ascii="Verdana" w:hAnsi="Verdana"/>
          <w:sz w:val="18"/>
          <w:szCs w:val="18"/>
        </w:rPr>
        <w:t xml:space="preserve"> voor de betreffende entiteit. Dat is bijvoorbeeld het geval wanneer een entiteit binnen meerdere sectoren actief is. Dan rusten alle (sub)sectorale verplichtingen die op entiteiten binnen die (sub)sectoren van toepassing zijn bij of krachtens de </w:t>
      </w:r>
      <w:proofErr w:type="spellStart"/>
      <w:r w:rsidRPr="006E194B">
        <w:rPr>
          <w:rFonts w:ascii="Verdana" w:hAnsi="Verdana"/>
          <w:sz w:val="18"/>
          <w:szCs w:val="18"/>
        </w:rPr>
        <w:t>Cbw</w:t>
      </w:r>
      <w:proofErr w:type="spellEnd"/>
      <w:r w:rsidRPr="006E194B">
        <w:rPr>
          <w:rFonts w:ascii="Verdana" w:hAnsi="Verdana"/>
          <w:sz w:val="18"/>
          <w:szCs w:val="18"/>
        </w:rPr>
        <w:t xml:space="preserve"> op deze entiteit. De situatie kan ontstaan dat een entiteit volgens het ene soort als essentiële entiteit kwalificeert, maar als een ander soort als belangrijk kwalificeert. In dat geval geldt dat de gehele entiteit als essentieel kwalificeert. Als een entiteit onder de </w:t>
      </w:r>
      <w:proofErr w:type="spellStart"/>
      <w:r>
        <w:rPr>
          <w:rFonts w:ascii="Verdana" w:hAnsi="Verdana"/>
          <w:sz w:val="18"/>
          <w:szCs w:val="18"/>
        </w:rPr>
        <w:t>Cbw</w:t>
      </w:r>
      <w:proofErr w:type="spellEnd"/>
      <w:r w:rsidRPr="006E194B">
        <w:rPr>
          <w:rFonts w:ascii="Verdana" w:hAnsi="Verdana"/>
          <w:sz w:val="18"/>
          <w:szCs w:val="18"/>
        </w:rPr>
        <w:t xml:space="preserve"> meerdere hoedanigheden bezit</w:t>
      </w:r>
      <w:r>
        <w:rPr>
          <w:rFonts w:ascii="Verdana" w:hAnsi="Verdana"/>
          <w:sz w:val="18"/>
          <w:szCs w:val="18"/>
        </w:rPr>
        <w:t>,</w:t>
      </w:r>
      <w:r w:rsidRPr="006E194B">
        <w:rPr>
          <w:rFonts w:ascii="Verdana" w:hAnsi="Verdana"/>
          <w:sz w:val="18"/>
          <w:szCs w:val="18"/>
        </w:rPr>
        <w:t xml:space="preserve"> zullen ook eventuele uitzonderingsregelingen per hoedanigheid toegepast moeten worden. Dit geldt ook voor de toepassing van artikel 4 </w:t>
      </w:r>
      <w:proofErr w:type="spellStart"/>
      <w:r>
        <w:rPr>
          <w:rFonts w:ascii="Verdana" w:hAnsi="Verdana"/>
          <w:sz w:val="18"/>
          <w:szCs w:val="18"/>
        </w:rPr>
        <w:t>Cbw</w:t>
      </w:r>
      <w:proofErr w:type="spellEnd"/>
      <w:r>
        <w:rPr>
          <w:rFonts w:ascii="Verdana" w:hAnsi="Verdana"/>
          <w:sz w:val="18"/>
          <w:szCs w:val="18"/>
        </w:rPr>
        <w:t xml:space="preserve"> </w:t>
      </w:r>
      <w:r w:rsidRPr="006E194B">
        <w:rPr>
          <w:rFonts w:ascii="Verdana" w:hAnsi="Verdana"/>
          <w:sz w:val="18"/>
          <w:szCs w:val="18"/>
        </w:rPr>
        <w:t xml:space="preserve">over toepassingsbereik en jurisdictie, wat nader beschreven staat in de artikelsgewijze toelichting </w:t>
      </w:r>
      <w:r w:rsidR="00204DD1">
        <w:rPr>
          <w:rFonts w:ascii="Verdana" w:hAnsi="Verdana"/>
          <w:sz w:val="18"/>
          <w:szCs w:val="18"/>
        </w:rPr>
        <w:t>op</w:t>
      </w:r>
      <w:r w:rsidRPr="006E194B" w:rsidR="00204DD1">
        <w:rPr>
          <w:rFonts w:ascii="Verdana" w:hAnsi="Verdana"/>
          <w:sz w:val="18"/>
          <w:szCs w:val="18"/>
        </w:rPr>
        <w:t xml:space="preserve"> </w:t>
      </w:r>
      <w:r w:rsidRPr="006E194B">
        <w:rPr>
          <w:rFonts w:ascii="Verdana" w:hAnsi="Verdana"/>
          <w:sz w:val="18"/>
          <w:szCs w:val="18"/>
        </w:rPr>
        <w:t>dat artikel.</w:t>
      </w:r>
    </w:p>
    <w:p w:rsidRPr="002E4A2D" w:rsidR="006E194B" w:rsidP="002E4A2D" w:rsidRDefault="006E194B" w14:paraId="16187EF4" w14:textId="77777777">
      <w:pPr>
        <w:pStyle w:val="Geenafstand"/>
        <w:rPr>
          <w:rFonts w:ascii="Verdana" w:hAnsi="Verdana"/>
          <w:sz w:val="18"/>
          <w:szCs w:val="18"/>
        </w:rPr>
      </w:pPr>
    </w:p>
    <w:p w:rsidRPr="00E97E22" w:rsidR="00FD544A" w:rsidP="00FD544A" w:rsidRDefault="00FD544A" w14:paraId="7C37A5C4" w14:textId="77777777">
      <w:pPr>
        <w:pStyle w:val="Geenafstand"/>
        <w:rPr>
          <w:rFonts w:ascii="Verdana" w:hAnsi="Verdana"/>
          <w:i/>
          <w:iCs/>
          <w:sz w:val="18"/>
          <w:szCs w:val="18"/>
        </w:rPr>
      </w:pPr>
      <w:r w:rsidRPr="00E97E22">
        <w:rPr>
          <w:rFonts w:ascii="Verdana" w:hAnsi="Verdana"/>
          <w:i/>
          <w:iCs/>
          <w:sz w:val="18"/>
          <w:szCs w:val="18"/>
        </w:rPr>
        <w:t>Essentiële entiteit of belangrijke entiteit van rechtswege</w:t>
      </w:r>
    </w:p>
    <w:p w:rsidRPr="00FF46E3" w:rsidR="00FD544A" w:rsidP="00FD544A" w:rsidRDefault="006642DE" w14:paraId="6EC2DFD1" w14:textId="57153925">
      <w:pPr>
        <w:pStyle w:val="Geenafstand"/>
        <w:rPr>
          <w:rFonts w:ascii="Verdana" w:hAnsi="Verdana"/>
          <w:sz w:val="18"/>
          <w:szCs w:val="18"/>
        </w:rPr>
      </w:pPr>
      <w:r>
        <w:rPr>
          <w:rFonts w:ascii="Verdana" w:hAnsi="Verdana"/>
          <w:sz w:val="18"/>
          <w:szCs w:val="18"/>
        </w:rPr>
        <w:t xml:space="preserve">Omdat de NIS2-richtlijn streeft naar harmonisatie tussen de lidstaten is in de richtlijn al voor de meeste entiteiten bepaald dat zij onder het toepassingsbereik vallen. Op basis van hun activiteiten in een bepaalde sector en hun omvang is het noodzakelijk dat zij maatregelen nemen om cyberrisico’s te beheersen. </w:t>
      </w:r>
      <w:r w:rsidR="00FD544A">
        <w:rPr>
          <w:rFonts w:ascii="Verdana" w:hAnsi="Verdana"/>
          <w:sz w:val="18"/>
          <w:szCs w:val="18"/>
        </w:rPr>
        <w:t xml:space="preserve">Veel entiteiten zijn </w:t>
      </w:r>
      <w:r>
        <w:rPr>
          <w:rFonts w:ascii="Verdana" w:hAnsi="Verdana"/>
          <w:sz w:val="18"/>
          <w:szCs w:val="18"/>
        </w:rPr>
        <w:t xml:space="preserve">daarom </w:t>
      </w:r>
      <w:r w:rsidR="00FD544A">
        <w:rPr>
          <w:rFonts w:ascii="Verdana" w:hAnsi="Verdana"/>
          <w:sz w:val="18"/>
          <w:szCs w:val="18"/>
        </w:rPr>
        <w:t xml:space="preserve">van rechtswege essentiële entiteit (artikel </w:t>
      </w:r>
      <w:r w:rsidR="001E06BB">
        <w:rPr>
          <w:rFonts w:ascii="Verdana" w:hAnsi="Verdana"/>
          <w:sz w:val="18"/>
          <w:szCs w:val="18"/>
        </w:rPr>
        <w:t xml:space="preserve">8 </w:t>
      </w:r>
      <w:proofErr w:type="spellStart"/>
      <w:r w:rsidR="00FD544A">
        <w:rPr>
          <w:rFonts w:ascii="Verdana" w:hAnsi="Verdana"/>
          <w:sz w:val="18"/>
          <w:szCs w:val="18"/>
        </w:rPr>
        <w:t>Cbw</w:t>
      </w:r>
      <w:proofErr w:type="spellEnd"/>
      <w:r w:rsidR="00FD544A">
        <w:rPr>
          <w:rFonts w:ascii="Verdana" w:hAnsi="Verdana"/>
          <w:sz w:val="18"/>
          <w:szCs w:val="18"/>
        </w:rPr>
        <w:t xml:space="preserve">) of belangrijke entiteit (artikel </w:t>
      </w:r>
      <w:r w:rsidR="001E06BB">
        <w:rPr>
          <w:rFonts w:ascii="Verdana" w:hAnsi="Verdana"/>
          <w:sz w:val="18"/>
          <w:szCs w:val="18"/>
        </w:rPr>
        <w:t xml:space="preserve">12 </w:t>
      </w:r>
      <w:proofErr w:type="spellStart"/>
      <w:r w:rsidR="00FD544A">
        <w:rPr>
          <w:rFonts w:ascii="Verdana" w:hAnsi="Verdana"/>
          <w:sz w:val="18"/>
          <w:szCs w:val="18"/>
        </w:rPr>
        <w:t>Cbw</w:t>
      </w:r>
      <w:proofErr w:type="spellEnd"/>
      <w:r w:rsidR="00FD544A">
        <w:rPr>
          <w:rFonts w:ascii="Verdana" w:hAnsi="Verdana"/>
          <w:sz w:val="18"/>
          <w:szCs w:val="18"/>
        </w:rPr>
        <w:t xml:space="preserve">). Er hoeft dus geen beoordeling plaats te vinden van of zij worden aangewezen als essentiële entiteit of belangrijke entiteit in de zin van de </w:t>
      </w:r>
      <w:proofErr w:type="spellStart"/>
      <w:r w:rsidR="00FD544A">
        <w:rPr>
          <w:rFonts w:ascii="Verdana" w:hAnsi="Verdana"/>
          <w:sz w:val="18"/>
          <w:szCs w:val="18"/>
        </w:rPr>
        <w:t>Cbw</w:t>
      </w:r>
      <w:proofErr w:type="spellEnd"/>
      <w:r w:rsidR="00FD544A">
        <w:rPr>
          <w:rFonts w:ascii="Verdana" w:hAnsi="Verdana"/>
          <w:sz w:val="18"/>
          <w:szCs w:val="18"/>
        </w:rPr>
        <w:t xml:space="preserve">. </w:t>
      </w:r>
      <w:r w:rsidR="00D34E55">
        <w:rPr>
          <w:rFonts w:ascii="Verdana" w:hAnsi="Verdana"/>
          <w:sz w:val="18"/>
          <w:szCs w:val="18"/>
        </w:rPr>
        <w:t xml:space="preserve">Op deze entiteiten zijn direct na de inwerkingtreding van de </w:t>
      </w:r>
      <w:proofErr w:type="spellStart"/>
      <w:r w:rsidR="00D34E55">
        <w:rPr>
          <w:rFonts w:ascii="Verdana" w:hAnsi="Verdana"/>
          <w:sz w:val="18"/>
          <w:szCs w:val="18"/>
        </w:rPr>
        <w:t>Cbw</w:t>
      </w:r>
      <w:proofErr w:type="spellEnd"/>
      <w:r w:rsidR="00D34E55">
        <w:rPr>
          <w:rFonts w:ascii="Verdana" w:hAnsi="Verdana"/>
          <w:sz w:val="18"/>
          <w:szCs w:val="18"/>
        </w:rPr>
        <w:t xml:space="preserve"> de daarin opgenomen rechten en plichten voor essentiële entiteiten en belangrijke entiteiten, van toepassing. </w:t>
      </w:r>
    </w:p>
    <w:p w:rsidRPr="00FF46E3" w:rsidR="00FD544A" w:rsidP="00FD544A" w:rsidRDefault="00FD544A" w14:paraId="4540A1A2" w14:textId="4FB3BC03">
      <w:pPr>
        <w:pStyle w:val="Geenafstand"/>
        <w:rPr>
          <w:rFonts w:ascii="Verdana" w:hAnsi="Verdana"/>
          <w:sz w:val="18"/>
          <w:szCs w:val="18"/>
        </w:rPr>
      </w:pPr>
      <w:r w:rsidRPr="00FF46E3">
        <w:rPr>
          <w:rFonts w:ascii="Verdana" w:hAnsi="Verdana"/>
          <w:sz w:val="18"/>
          <w:szCs w:val="18"/>
        </w:rPr>
        <w:t xml:space="preserve">Om te bepalen of een entiteit van rechtswege </w:t>
      </w:r>
      <w:r w:rsidR="00D3725A">
        <w:rPr>
          <w:rFonts w:ascii="Verdana" w:hAnsi="Verdana"/>
          <w:sz w:val="18"/>
          <w:szCs w:val="18"/>
        </w:rPr>
        <w:t>essentiële entiteit of belangrijke entiteit is,</w:t>
      </w:r>
      <w:r w:rsidRPr="00FF46E3">
        <w:rPr>
          <w:rFonts w:ascii="Verdana" w:hAnsi="Verdana"/>
          <w:sz w:val="18"/>
          <w:szCs w:val="18"/>
        </w:rPr>
        <w:t xml:space="preserve"> is het in de meeste gevallen noodzakelijk om de omvang van de entiteit te bepalen. Hiervoor wordt gebruik gemaakt van de Aanbeveling 2003/361/EG van de Europese Commissie. Deze aanbeveling schrijft voor in welke gevallen een organisatie als micro-, kleine, middelgrote of grote onderneming wordt gekwalificeerd. Hierbij moet worden gekeken naar het aantal werknemers, de jaaromzet en het balanstotaal. Aan de hand van de aanbeveling kan onder meer worden bepaald of een onderneming kwalificeert als een micro-, kleine, middelgrote of grote onderneming en wanneer een onderneming die kwalificatie verliest of verkrijgt. Daarnaast schrijft de aanbeveling voor in welke gevallen er sprake is van partner- en verbonden ondernemingen. In de overheidscommunicatie over de </w:t>
      </w:r>
      <w:proofErr w:type="spellStart"/>
      <w:r w:rsidRPr="00FF46E3">
        <w:rPr>
          <w:rFonts w:ascii="Verdana" w:hAnsi="Verdana"/>
          <w:sz w:val="18"/>
          <w:szCs w:val="18"/>
        </w:rPr>
        <w:t>Cbw</w:t>
      </w:r>
      <w:proofErr w:type="spellEnd"/>
      <w:r w:rsidRPr="00FF46E3">
        <w:rPr>
          <w:rFonts w:ascii="Verdana" w:hAnsi="Verdana"/>
          <w:sz w:val="18"/>
          <w:szCs w:val="18"/>
        </w:rPr>
        <w:t xml:space="preserve"> worden </w:t>
      </w:r>
      <w:r w:rsidRPr="00FF46E3">
        <w:rPr>
          <w:rFonts w:ascii="Verdana" w:hAnsi="Verdana"/>
          <w:sz w:val="18"/>
          <w:szCs w:val="18"/>
        </w:rPr>
        <w:lastRenderedPageBreak/>
        <w:t>digitale hulpmiddelen ter beschikking gesteld om organisaties te helpen bij het bepalen van hun omvang.</w:t>
      </w:r>
    </w:p>
    <w:p w:rsidRPr="00FF46E3" w:rsidR="00856B2B" w:rsidP="00856B2B" w:rsidRDefault="00856B2B" w14:paraId="62FD6C65" w14:textId="77777777">
      <w:pPr>
        <w:pStyle w:val="Geenafstand"/>
        <w:rPr>
          <w:rFonts w:ascii="Verdana" w:hAnsi="Verdana"/>
          <w:sz w:val="18"/>
          <w:szCs w:val="18"/>
        </w:rPr>
      </w:pPr>
    </w:p>
    <w:p w:rsidRPr="006B4BB1" w:rsidR="00856B2B" w:rsidP="00856B2B" w:rsidRDefault="00856B2B" w14:paraId="0488A721" w14:textId="5EA84023">
      <w:pPr>
        <w:pStyle w:val="Geenafstand"/>
        <w:rPr>
          <w:rFonts w:ascii="Verdana" w:hAnsi="Verdana"/>
          <w:i/>
          <w:iCs/>
          <w:sz w:val="18"/>
          <w:szCs w:val="18"/>
        </w:rPr>
      </w:pPr>
      <w:r w:rsidRPr="006B4BB1">
        <w:rPr>
          <w:rFonts w:ascii="Verdana" w:hAnsi="Verdana"/>
          <w:i/>
          <w:iCs/>
          <w:sz w:val="18"/>
          <w:szCs w:val="18"/>
        </w:rPr>
        <w:t>Essentiële entiteit op basis van criteria</w:t>
      </w:r>
    </w:p>
    <w:p w:rsidR="004E385A" w:rsidP="00856B2B" w:rsidRDefault="004E385A" w14:paraId="428591AB" w14:textId="643E13AF">
      <w:pPr>
        <w:pStyle w:val="Geenafstand"/>
        <w:rPr>
          <w:rFonts w:ascii="Verdana" w:hAnsi="Verdana"/>
          <w:sz w:val="18"/>
          <w:szCs w:val="18"/>
        </w:rPr>
      </w:pPr>
      <w:r>
        <w:rPr>
          <w:rFonts w:ascii="Verdana" w:hAnsi="Verdana"/>
          <w:sz w:val="18"/>
          <w:szCs w:val="18"/>
        </w:rPr>
        <w:t>Er zijn ook</w:t>
      </w:r>
      <w:r w:rsidRPr="00FF46E3">
        <w:rPr>
          <w:rFonts w:ascii="Verdana" w:hAnsi="Verdana"/>
          <w:sz w:val="18"/>
          <w:szCs w:val="18"/>
        </w:rPr>
        <w:t xml:space="preserve"> entiteiten </w:t>
      </w:r>
      <w:r>
        <w:rPr>
          <w:rFonts w:ascii="Verdana" w:hAnsi="Verdana"/>
          <w:sz w:val="18"/>
          <w:szCs w:val="18"/>
        </w:rPr>
        <w:t xml:space="preserve">die </w:t>
      </w:r>
      <w:r w:rsidRPr="00FF46E3">
        <w:rPr>
          <w:rFonts w:ascii="Verdana" w:hAnsi="Verdana"/>
          <w:sz w:val="18"/>
          <w:szCs w:val="18"/>
        </w:rPr>
        <w:t xml:space="preserve">niet direct in de </w:t>
      </w:r>
      <w:proofErr w:type="spellStart"/>
      <w:r>
        <w:rPr>
          <w:rFonts w:ascii="Verdana" w:hAnsi="Verdana"/>
          <w:sz w:val="18"/>
          <w:szCs w:val="18"/>
        </w:rPr>
        <w:t>Cbw</w:t>
      </w:r>
      <w:proofErr w:type="spellEnd"/>
      <w:r w:rsidRPr="00FF46E3">
        <w:rPr>
          <w:rFonts w:ascii="Verdana" w:hAnsi="Verdana"/>
          <w:sz w:val="18"/>
          <w:szCs w:val="18"/>
        </w:rPr>
        <w:t xml:space="preserve"> worden aangewezen</w:t>
      </w:r>
      <w:r>
        <w:rPr>
          <w:rFonts w:ascii="Verdana" w:hAnsi="Verdana"/>
          <w:sz w:val="18"/>
          <w:szCs w:val="18"/>
        </w:rPr>
        <w:t xml:space="preserve"> als essentiële entiteit of belangrijke entiteit</w:t>
      </w:r>
      <w:r w:rsidRPr="00FF46E3">
        <w:rPr>
          <w:rFonts w:ascii="Verdana" w:hAnsi="Verdana"/>
          <w:sz w:val="18"/>
          <w:szCs w:val="18"/>
        </w:rPr>
        <w:t xml:space="preserve">, omdat er eerst een beoordeling moet plaatsvinden aan de hand van criteria. </w:t>
      </w:r>
      <w:r w:rsidR="006642DE">
        <w:rPr>
          <w:rFonts w:ascii="Verdana" w:hAnsi="Verdana"/>
          <w:sz w:val="18"/>
          <w:szCs w:val="18"/>
        </w:rPr>
        <w:t xml:space="preserve">Dit kan van belang zijn als een entiteit vanwege zijn omvang niet al van rechtswege onder de </w:t>
      </w:r>
      <w:proofErr w:type="spellStart"/>
      <w:r w:rsidR="006642DE">
        <w:rPr>
          <w:rFonts w:ascii="Verdana" w:hAnsi="Verdana"/>
          <w:sz w:val="18"/>
          <w:szCs w:val="18"/>
        </w:rPr>
        <w:t>Cbw</w:t>
      </w:r>
      <w:proofErr w:type="spellEnd"/>
      <w:r w:rsidR="006642DE">
        <w:rPr>
          <w:rFonts w:ascii="Verdana" w:hAnsi="Verdana"/>
          <w:sz w:val="18"/>
          <w:szCs w:val="18"/>
        </w:rPr>
        <w:t xml:space="preserve"> valt als essentiële entiteit, maar het wel noodzakelijk is dat zij maatregelen neemt om cyberrisico’s te beheersen. </w:t>
      </w:r>
      <w:r>
        <w:rPr>
          <w:rFonts w:ascii="Verdana" w:hAnsi="Verdana"/>
          <w:sz w:val="18"/>
          <w:szCs w:val="18"/>
        </w:rPr>
        <w:t xml:space="preserve">Dit is geregeld in artikel </w:t>
      </w:r>
      <w:r w:rsidR="001E06BB">
        <w:rPr>
          <w:rFonts w:ascii="Verdana" w:hAnsi="Verdana"/>
          <w:sz w:val="18"/>
          <w:szCs w:val="18"/>
        </w:rPr>
        <w:t>9</w:t>
      </w:r>
      <w:r w:rsidR="00D34E55">
        <w:rPr>
          <w:rFonts w:ascii="Verdana" w:hAnsi="Verdana"/>
          <w:sz w:val="18"/>
          <w:szCs w:val="18"/>
        </w:rPr>
        <w:t>, eerste lid,</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en betreft de implementatie van artikel 3, tweede lid, jo. artikel 2, tweede lid, onderdelen b tot en met e, NIS2-richtlijn.</w:t>
      </w:r>
      <w:r w:rsidR="00D34E55">
        <w:rPr>
          <w:rFonts w:ascii="Verdana" w:hAnsi="Verdana"/>
          <w:sz w:val="18"/>
          <w:szCs w:val="18"/>
        </w:rPr>
        <w:t xml:space="preserve"> </w:t>
      </w:r>
      <w:r w:rsidRPr="00C35C41" w:rsidR="009A787C">
        <w:rPr>
          <w:rFonts w:ascii="Verdana" w:hAnsi="Verdana"/>
          <w:sz w:val="18"/>
          <w:szCs w:val="18"/>
        </w:rPr>
        <w:t xml:space="preserve">In artikel 3, tweede lid, NIS2-richtlijn is bepaald dat lidstaten op basis van de criteria uit artikel 2, tweede lid, onderdeel b tot en met e, NIS2-richtlijn zowel essentiële entiteiten als belangrijke entiteiten kunnen aanwijzen. Vanwege het belang van deze organisaties voor de nationale veiligheid worden entiteiten die voldoen aan de hiervoor bedoelde criteria altijd aangewezen als essentiële entiteit. </w:t>
      </w:r>
      <w:r w:rsidR="00D34E55">
        <w:rPr>
          <w:rFonts w:ascii="Verdana" w:hAnsi="Verdana"/>
          <w:sz w:val="18"/>
          <w:szCs w:val="18"/>
        </w:rPr>
        <w:t>Vanaf dat moment zijn op die entiteit de rechten en plichten die gelden voor essentiële entiteiten, van toepassing.</w:t>
      </w:r>
    </w:p>
    <w:p w:rsidRPr="00FF46E3" w:rsidR="00856B2B" w:rsidP="00856B2B" w:rsidRDefault="00856B2B" w14:paraId="1B53AEA1" w14:textId="43FD320F">
      <w:pPr>
        <w:pStyle w:val="Geenafstand"/>
        <w:rPr>
          <w:rFonts w:ascii="Verdana" w:hAnsi="Verdana"/>
          <w:sz w:val="18"/>
          <w:szCs w:val="18"/>
        </w:rPr>
      </w:pPr>
      <w:r w:rsidRPr="00FF46E3">
        <w:rPr>
          <w:rFonts w:ascii="Verdana" w:hAnsi="Verdana"/>
          <w:sz w:val="18"/>
          <w:szCs w:val="18"/>
        </w:rPr>
        <w:t xml:space="preserve">Eén van die criteria is dat het gaat om een entiteit waarvan een verstoring van de door haar verleende dienst aanzienlijke gevolgen kan hebben voor de openbare veiligheid, de openbare beveiliging of de volksgezondheid. </w:t>
      </w:r>
      <w:r w:rsidR="00112EC7">
        <w:rPr>
          <w:rFonts w:ascii="Verdana" w:hAnsi="Verdana"/>
          <w:sz w:val="18"/>
          <w:szCs w:val="18"/>
        </w:rPr>
        <w:t xml:space="preserve">Een ander criterium is dat de entiteit in Nederland de enige aanbieder is van een dienst die essentieel is voor de instandhouding van maatschappelijke of economische activiteiten. </w:t>
      </w:r>
    </w:p>
    <w:p w:rsidRPr="00FF46E3" w:rsidR="00856B2B" w:rsidP="00856B2B" w:rsidRDefault="00856B2B" w14:paraId="745F0E4F" w14:textId="575562AB">
      <w:pPr>
        <w:pStyle w:val="Geenafstand"/>
        <w:rPr>
          <w:rFonts w:ascii="Verdana" w:hAnsi="Verdana"/>
          <w:sz w:val="18"/>
          <w:szCs w:val="18"/>
        </w:rPr>
      </w:pPr>
      <w:r w:rsidRPr="00FF46E3">
        <w:rPr>
          <w:rFonts w:ascii="Verdana" w:hAnsi="Verdana"/>
          <w:sz w:val="18"/>
          <w:szCs w:val="18"/>
        </w:rPr>
        <w:t xml:space="preserve">Om vast te stellen of </w:t>
      </w:r>
      <w:r w:rsidR="005331F7">
        <w:rPr>
          <w:rFonts w:ascii="Verdana" w:hAnsi="Verdana"/>
          <w:sz w:val="18"/>
          <w:szCs w:val="18"/>
        </w:rPr>
        <w:t xml:space="preserve">een </w:t>
      </w:r>
      <w:r w:rsidRPr="00FF46E3">
        <w:rPr>
          <w:rFonts w:ascii="Verdana" w:hAnsi="Verdana"/>
          <w:sz w:val="18"/>
          <w:szCs w:val="18"/>
        </w:rPr>
        <w:t>entiteit voldoe</w:t>
      </w:r>
      <w:r w:rsidR="005331F7">
        <w:rPr>
          <w:rFonts w:ascii="Verdana" w:hAnsi="Verdana"/>
          <w:sz w:val="18"/>
          <w:szCs w:val="18"/>
        </w:rPr>
        <w:t>t</w:t>
      </w:r>
      <w:r w:rsidRPr="00FF46E3">
        <w:rPr>
          <w:rFonts w:ascii="Verdana" w:hAnsi="Verdana"/>
          <w:sz w:val="18"/>
          <w:szCs w:val="18"/>
        </w:rPr>
        <w:t xml:space="preserve"> aan de criteria uit artikel </w:t>
      </w:r>
      <w:r w:rsidR="001E06BB">
        <w:rPr>
          <w:rFonts w:ascii="Verdana" w:hAnsi="Verdana"/>
          <w:sz w:val="18"/>
          <w:szCs w:val="18"/>
        </w:rPr>
        <w:t>9</w:t>
      </w:r>
      <w:r w:rsidRPr="00FF46E3" w:rsidR="001E06BB">
        <w:rPr>
          <w:rFonts w:ascii="Verdana" w:hAnsi="Verdana"/>
          <w:sz w:val="18"/>
          <w:szCs w:val="18"/>
        </w:rPr>
        <w:t xml:space="preserve"> </w:t>
      </w:r>
      <w:proofErr w:type="spellStart"/>
      <w:r>
        <w:rPr>
          <w:rFonts w:ascii="Verdana" w:hAnsi="Verdana"/>
          <w:sz w:val="18"/>
          <w:szCs w:val="18"/>
        </w:rPr>
        <w:t>Cbw</w:t>
      </w:r>
      <w:proofErr w:type="spellEnd"/>
      <w:r w:rsidRPr="00FF46E3">
        <w:rPr>
          <w:rFonts w:ascii="Verdana" w:hAnsi="Verdana"/>
          <w:sz w:val="18"/>
          <w:szCs w:val="18"/>
        </w:rPr>
        <w:t xml:space="preserve"> zal gebruik worden gemaakt van de nationale </w:t>
      </w:r>
      <w:proofErr w:type="spellStart"/>
      <w:r w:rsidRPr="00FF46E3">
        <w:rPr>
          <w:rFonts w:ascii="Verdana" w:hAnsi="Verdana"/>
          <w:sz w:val="18"/>
          <w:szCs w:val="18"/>
        </w:rPr>
        <w:t>vitaalbeoordeling</w:t>
      </w:r>
      <w:proofErr w:type="spellEnd"/>
      <w:r w:rsidRPr="00FF46E3">
        <w:rPr>
          <w:rFonts w:ascii="Verdana" w:hAnsi="Verdana"/>
          <w:sz w:val="18"/>
          <w:szCs w:val="18"/>
        </w:rPr>
        <w:t>.</w:t>
      </w:r>
      <w:r w:rsidRPr="00FF46E3">
        <w:rPr>
          <w:rStyle w:val="Voetnootmarkering"/>
          <w:rFonts w:ascii="Verdana" w:hAnsi="Verdana"/>
          <w:sz w:val="18"/>
          <w:szCs w:val="18"/>
        </w:rPr>
        <w:footnoteReference w:id="25"/>
      </w:r>
      <w:r w:rsidRPr="00FF46E3">
        <w:rPr>
          <w:rFonts w:ascii="Verdana" w:hAnsi="Verdana"/>
          <w:sz w:val="18"/>
          <w:szCs w:val="18"/>
        </w:rPr>
        <w:t xml:space="preserve"> Hier is voor gekozen</w:t>
      </w:r>
      <w:r w:rsidR="00112EC7">
        <w:rPr>
          <w:rFonts w:ascii="Verdana" w:hAnsi="Verdana"/>
          <w:sz w:val="18"/>
          <w:szCs w:val="18"/>
        </w:rPr>
        <w:t>,</w:t>
      </w:r>
      <w:r w:rsidRPr="00FF46E3">
        <w:rPr>
          <w:rFonts w:ascii="Verdana" w:hAnsi="Verdana"/>
          <w:sz w:val="18"/>
          <w:szCs w:val="18"/>
        </w:rPr>
        <w:t xml:space="preserve"> omdat de aanmerking als vitale aanbieder plaatsvindt op basis van vergelijkbare criteria als die voor het aanwijzen van essentiële entiteiten. Deze systematiek wordt ook toegepast voor het aanwijzen van kritieke entiteiten als bedoeld in de </w:t>
      </w:r>
      <w:proofErr w:type="spellStart"/>
      <w:r w:rsidRPr="00FF46E3">
        <w:rPr>
          <w:rFonts w:ascii="Verdana" w:hAnsi="Verdana"/>
          <w:sz w:val="18"/>
          <w:szCs w:val="18"/>
        </w:rPr>
        <w:t>Wwke</w:t>
      </w:r>
      <w:proofErr w:type="spellEnd"/>
      <w:r w:rsidRPr="00FF46E3">
        <w:rPr>
          <w:rFonts w:ascii="Verdana" w:hAnsi="Verdana"/>
          <w:sz w:val="18"/>
          <w:szCs w:val="18"/>
        </w:rPr>
        <w:t xml:space="preserve">. Het uitvoeren van de </w:t>
      </w:r>
      <w:proofErr w:type="spellStart"/>
      <w:r w:rsidRPr="00FF46E3">
        <w:rPr>
          <w:rFonts w:ascii="Verdana" w:hAnsi="Verdana"/>
          <w:sz w:val="18"/>
          <w:szCs w:val="18"/>
        </w:rPr>
        <w:t>vitaalbeoordeling</w:t>
      </w:r>
      <w:proofErr w:type="spellEnd"/>
      <w:r w:rsidRPr="00FF46E3">
        <w:rPr>
          <w:rFonts w:ascii="Verdana" w:hAnsi="Verdana"/>
          <w:sz w:val="18"/>
          <w:szCs w:val="18"/>
        </w:rPr>
        <w:t xml:space="preserve"> en de aanwijzing van entiteiten is in de eerste plaats de verantwoordelijkheid van de vakminister</w:t>
      </w:r>
      <w:r w:rsidR="00794A32">
        <w:rPr>
          <w:rFonts w:ascii="Verdana" w:hAnsi="Verdana"/>
          <w:sz w:val="18"/>
          <w:szCs w:val="18"/>
        </w:rPr>
        <w:t xml:space="preserve">, in overleg met de </w:t>
      </w:r>
      <w:r w:rsidR="004D5C2C">
        <w:rPr>
          <w:rFonts w:ascii="Verdana" w:hAnsi="Verdana"/>
          <w:sz w:val="18"/>
          <w:szCs w:val="18"/>
        </w:rPr>
        <w:t>M</w:t>
      </w:r>
      <w:r w:rsidR="00794A32">
        <w:rPr>
          <w:rFonts w:ascii="Verdana" w:hAnsi="Verdana"/>
          <w:sz w:val="18"/>
          <w:szCs w:val="18"/>
        </w:rPr>
        <w:t xml:space="preserve">inister van </w:t>
      </w:r>
      <w:r w:rsidR="004D5C2C">
        <w:rPr>
          <w:rFonts w:ascii="Verdana" w:hAnsi="Verdana"/>
          <w:sz w:val="18"/>
          <w:szCs w:val="18"/>
        </w:rPr>
        <w:t>Justitie en Veiligheid</w:t>
      </w:r>
      <w:r w:rsidR="00794A32">
        <w:rPr>
          <w:rFonts w:ascii="Verdana" w:hAnsi="Verdana"/>
          <w:sz w:val="18"/>
          <w:szCs w:val="18"/>
        </w:rPr>
        <w:t xml:space="preserve"> als coördinerend bewindspersoon voor de bescherming van de vitale infrastructuur en cybersecurity</w:t>
      </w:r>
      <w:r w:rsidRPr="00FF46E3">
        <w:rPr>
          <w:rFonts w:ascii="Verdana" w:hAnsi="Verdana"/>
          <w:sz w:val="18"/>
          <w:szCs w:val="18"/>
        </w:rPr>
        <w:t xml:space="preserve">. </w:t>
      </w:r>
    </w:p>
    <w:p w:rsidRPr="002E4A2D" w:rsidR="00055EC0" w:rsidP="002E4A2D" w:rsidRDefault="00055EC0" w14:paraId="76FE1EE9" w14:textId="77777777">
      <w:pPr>
        <w:pStyle w:val="Geenafstand"/>
        <w:rPr>
          <w:rFonts w:ascii="Verdana" w:hAnsi="Verdana"/>
          <w:sz w:val="18"/>
          <w:szCs w:val="18"/>
        </w:rPr>
      </w:pPr>
    </w:p>
    <w:p w:rsidRPr="00DD62DE" w:rsidR="00C22CD0" w:rsidP="00856B2B" w:rsidRDefault="00C22CD0" w14:paraId="4A5764AA" w14:textId="7F1E9E9B">
      <w:pPr>
        <w:pStyle w:val="Geenafstand"/>
        <w:rPr>
          <w:rFonts w:ascii="Verdana" w:hAnsi="Verdana"/>
          <w:i/>
          <w:iCs/>
          <w:sz w:val="18"/>
          <w:szCs w:val="18"/>
        </w:rPr>
      </w:pPr>
      <w:r>
        <w:rPr>
          <w:rFonts w:ascii="Verdana" w:hAnsi="Verdana"/>
          <w:i/>
          <w:iCs/>
          <w:sz w:val="18"/>
          <w:szCs w:val="18"/>
        </w:rPr>
        <w:t xml:space="preserve">Kritieke entiteit in de zin van </w:t>
      </w:r>
      <w:proofErr w:type="spellStart"/>
      <w:r>
        <w:rPr>
          <w:rFonts w:ascii="Verdana" w:hAnsi="Verdana"/>
          <w:i/>
          <w:iCs/>
          <w:sz w:val="18"/>
          <w:szCs w:val="18"/>
        </w:rPr>
        <w:t>Wwke</w:t>
      </w:r>
      <w:proofErr w:type="spellEnd"/>
      <w:r>
        <w:rPr>
          <w:rFonts w:ascii="Verdana" w:hAnsi="Verdana"/>
          <w:i/>
          <w:iCs/>
          <w:sz w:val="18"/>
          <w:szCs w:val="18"/>
        </w:rPr>
        <w:t xml:space="preserve"> is essentiële entiteit in de zin van </w:t>
      </w:r>
      <w:proofErr w:type="spellStart"/>
      <w:r>
        <w:rPr>
          <w:rFonts w:ascii="Verdana" w:hAnsi="Verdana"/>
          <w:i/>
          <w:iCs/>
          <w:sz w:val="18"/>
          <w:szCs w:val="18"/>
        </w:rPr>
        <w:t>Cbw</w:t>
      </w:r>
      <w:proofErr w:type="spellEnd"/>
    </w:p>
    <w:p w:rsidRPr="00107914" w:rsidR="0085302C" w:rsidP="006200DD" w:rsidRDefault="005B225F" w14:paraId="6F256C75" w14:textId="773575AA">
      <w:pPr>
        <w:pStyle w:val="Geenafstand"/>
        <w:rPr>
          <w:rFonts w:ascii="Verdana" w:hAnsi="Verdana"/>
          <w:sz w:val="18"/>
          <w:szCs w:val="18"/>
        </w:rPr>
      </w:pPr>
      <w:r w:rsidRPr="00107914">
        <w:rPr>
          <w:rFonts w:ascii="Verdana" w:hAnsi="Verdana"/>
          <w:sz w:val="18"/>
          <w:szCs w:val="18"/>
        </w:rPr>
        <w:t xml:space="preserve">De </w:t>
      </w:r>
      <w:proofErr w:type="spellStart"/>
      <w:r w:rsidRPr="00107914">
        <w:rPr>
          <w:rFonts w:ascii="Verdana" w:hAnsi="Verdana"/>
          <w:sz w:val="18"/>
          <w:szCs w:val="18"/>
        </w:rPr>
        <w:t>Cbw</w:t>
      </w:r>
      <w:proofErr w:type="spellEnd"/>
      <w:r w:rsidRPr="00107914">
        <w:rPr>
          <w:rFonts w:ascii="Verdana" w:hAnsi="Verdana"/>
          <w:sz w:val="18"/>
          <w:szCs w:val="18"/>
        </w:rPr>
        <w:t xml:space="preserve"> is ook van toepassing op entiteiten die op grond van </w:t>
      </w:r>
      <w:r w:rsidRPr="00107914" w:rsidR="007D442C">
        <w:rPr>
          <w:rFonts w:ascii="Verdana" w:hAnsi="Verdana"/>
          <w:sz w:val="18"/>
          <w:szCs w:val="18"/>
        </w:rPr>
        <w:t>artikel 6</w:t>
      </w:r>
      <w:r w:rsidR="00FB3DF1">
        <w:rPr>
          <w:rFonts w:ascii="Verdana" w:hAnsi="Verdana"/>
          <w:sz w:val="18"/>
          <w:szCs w:val="18"/>
        </w:rPr>
        <w:t>, eerste lid,</w:t>
      </w:r>
      <w:r w:rsidRPr="00107914" w:rsidR="007D442C">
        <w:rPr>
          <w:rFonts w:ascii="Verdana" w:hAnsi="Verdana"/>
          <w:sz w:val="18"/>
          <w:szCs w:val="18"/>
        </w:rPr>
        <w:t xml:space="preserve"> </w:t>
      </w:r>
      <w:proofErr w:type="spellStart"/>
      <w:r w:rsidRPr="00107914">
        <w:rPr>
          <w:rFonts w:ascii="Verdana" w:hAnsi="Verdana"/>
          <w:sz w:val="18"/>
          <w:szCs w:val="18"/>
        </w:rPr>
        <w:t>Wwke</w:t>
      </w:r>
      <w:proofErr w:type="spellEnd"/>
      <w:r w:rsidRPr="00107914">
        <w:rPr>
          <w:rFonts w:ascii="Verdana" w:hAnsi="Verdana"/>
          <w:sz w:val="18"/>
          <w:szCs w:val="18"/>
        </w:rPr>
        <w:t xml:space="preserve"> worden </w:t>
      </w:r>
      <w:r w:rsidRPr="00107914" w:rsidR="00C22CD0">
        <w:rPr>
          <w:rFonts w:ascii="Verdana" w:hAnsi="Verdana"/>
          <w:sz w:val="18"/>
          <w:szCs w:val="18"/>
        </w:rPr>
        <w:t xml:space="preserve">aangewezen </w:t>
      </w:r>
      <w:r w:rsidRPr="00107914">
        <w:rPr>
          <w:rFonts w:ascii="Verdana" w:hAnsi="Verdana"/>
          <w:sz w:val="18"/>
          <w:szCs w:val="18"/>
        </w:rPr>
        <w:t xml:space="preserve">als kritieke entiteit. </w:t>
      </w:r>
      <w:r w:rsidRPr="00107914" w:rsidR="00C22CD0">
        <w:rPr>
          <w:rFonts w:ascii="Verdana" w:hAnsi="Verdana"/>
          <w:sz w:val="18"/>
          <w:szCs w:val="18"/>
        </w:rPr>
        <w:t>Die entiteiten</w:t>
      </w:r>
      <w:r w:rsidRPr="00107914" w:rsidR="007D442C">
        <w:rPr>
          <w:rFonts w:ascii="Verdana" w:hAnsi="Verdana"/>
          <w:sz w:val="18"/>
          <w:szCs w:val="18"/>
        </w:rPr>
        <w:t xml:space="preserve"> zijn op grond van artikel </w:t>
      </w:r>
      <w:r w:rsidR="001E06BB">
        <w:rPr>
          <w:rFonts w:ascii="Verdana" w:hAnsi="Verdana"/>
          <w:sz w:val="18"/>
          <w:szCs w:val="18"/>
        </w:rPr>
        <w:t>8</w:t>
      </w:r>
      <w:r w:rsidRPr="00107914" w:rsidR="007D442C">
        <w:rPr>
          <w:rFonts w:ascii="Verdana" w:hAnsi="Verdana"/>
          <w:sz w:val="18"/>
          <w:szCs w:val="18"/>
        </w:rPr>
        <w:t xml:space="preserve">, eerste lid, onderdeel i, </w:t>
      </w:r>
      <w:proofErr w:type="spellStart"/>
      <w:r w:rsidRPr="00107914" w:rsidR="007D442C">
        <w:rPr>
          <w:rFonts w:ascii="Verdana" w:hAnsi="Verdana"/>
          <w:sz w:val="18"/>
          <w:szCs w:val="18"/>
        </w:rPr>
        <w:t>Cbw</w:t>
      </w:r>
      <w:proofErr w:type="spellEnd"/>
      <w:r w:rsidRPr="00107914" w:rsidR="007D442C">
        <w:rPr>
          <w:rFonts w:ascii="Verdana" w:hAnsi="Verdana"/>
          <w:sz w:val="18"/>
          <w:szCs w:val="18"/>
        </w:rPr>
        <w:t xml:space="preserve"> van rechtswege essentiële entiteit in de zin van de </w:t>
      </w:r>
      <w:proofErr w:type="spellStart"/>
      <w:r w:rsidRPr="00107914" w:rsidR="007D442C">
        <w:rPr>
          <w:rFonts w:ascii="Verdana" w:hAnsi="Verdana"/>
          <w:sz w:val="18"/>
          <w:szCs w:val="18"/>
        </w:rPr>
        <w:t>Cbw</w:t>
      </w:r>
      <w:proofErr w:type="spellEnd"/>
      <w:r w:rsidRPr="00107914" w:rsidR="007D442C">
        <w:rPr>
          <w:rFonts w:ascii="Verdana" w:hAnsi="Verdana"/>
          <w:sz w:val="18"/>
          <w:szCs w:val="18"/>
        </w:rPr>
        <w:t>.</w:t>
      </w:r>
      <w:r w:rsidRPr="00107914" w:rsidR="00C22CD0">
        <w:rPr>
          <w:rFonts w:ascii="Verdana" w:hAnsi="Verdana"/>
          <w:sz w:val="18"/>
          <w:szCs w:val="18"/>
        </w:rPr>
        <w:t xml:space="preserve"> Dit betekent dat een entiteit direct na de aanwijzing als kritieke entiteit in de zin van de </w:t>
      </w:r>
      <w:proofErr w:type="spellStart"/>
      <w:r w:rsidRPr="00107914" w:rsidR="00C22CD0">
        <w:rPr>
          <w:rFonts w:ascii="Verdana" w:hAnsi="Verdana"/>
          <w:sz w:val="18"/>
          <w:szCs w:val="18"/>
        </w:rPr>
        <w:t>Wwke</w:t>
      </w:r>
      <w:proofErr w:type="spellEnd"/>
      <w:r w:rsidRPr="00107914" w:rsidR="00C22CD0">
        <w:rPr>
          <w:rFonts w:ascii="Verdana" w:hAnsi="Verdana"/>
          <w:sz w:val="18"/>
          <w:szCs w:val="18"/>
        </w:rPr>
        <w:t xml:space="preserve">, een essentiële entiteit is in de zin van de </w:t>
      </w:r>
      <w:proofErr w:type="spellStart"/>
      <w:r w:rsidRPr="00107914" w:rsidR="00C22CD0">
        <w:rPr>
          <w:rFonts w:ascii="Verdana" w:hAnsi="Verdana"/>
          <w:sz w:val="18"/>
          <w:szCs w:val="18"/>
        </w:rPr>
        <w:t>Cbw</w:t>
      </w:r>
      <w:proofErr w:type="spellEnd"/>
      <w:r w:rsidRPr="00107914" w:rsidR="00C22CD0">
        <w:rPr>
          <w:rFonts w:ascii="Verdana" w:hAnsi="Verdana"/>
          <w:sz w:val="18"/>
          <w:szCs w:val="18"/>
        </w:rPr>
        <w:t xml:space="preserve"> en dus ook vanaf dat moment de rechten en plichten uit de </w:t>
      </w:r>
      <w:proofErr w:type="spellStart"/>
      <w:r w:rsidRPr="00107914" w:rsidR="00C22CD0">
        <w:rPr>
          <w:rFonts w:ascii="Verdana" w:hAnsi="Verdana"/>
          <w:sz w:val="18"/>
          <w:szCs w:val="18"/>
        </w:rPr>
        <w:t>Cbw</w:t>
      </w:r>
      <w:proofErr w:type="spellEnd"/>
      <w:r w:rsidRPr="00107914" w:rsidR="00C22CD0">
        <w:rPr>
          <w:rFonts w:ascii="Verdana" w:hAnsi="Verdana"/>
          <w:sz w:val="18"/>
          <w:szCs w:val="18"/>
        </w:rPr>
        <w:t xml:space="preserve"> van toepassing zijn op die kritieke entiteit.</w:t>
      </w:r>
    </w:p>
    <w:bookmarkEnd w:id="31"/>
    <w:p w:rsidRPr="00FF46E3" w:rsidR="00030D8A" w:rsidP="006200DD" w:rsidRDefault="008265E7" w14:paraId="7733EC85" w14:textId="0B45A56F">
      <w:pPr>
        <w:pStyle w:val="Geenafstand"/>
        <w:rPr>
          <w:rFonts w:ascii="Verdana" w:hAnsi="Verdana"/>
          <w:sz w:val="18"/>
          <w:szCs w:val="18"/>
        </w:rPr>
      </w:pPr>
      <w:r>
        <w:rPr>
          <w:rFonts w:ascii="Verdana" w:hAnsi="Verdana"/>
          <w:sz w:val="18"/>
          <w:szCs w:val="18"/>
        </w:rPr>
        <w:t xml:space="preserve"> </w:t>
      </w:r>
    </w:p>
    <w:p w:rsidRPr="00FF46E3" w:rsidR="001D55B5" w:rsidP="00C3466E" w:rsidRDefault="001D55B5" w14:paraId="17375C39" w14:textId="45113FF7">
      <w:pPr>
        <w:pStyle w:val="Kop3"/>
      </w:pPr>
      <w:bookmarkStart w:name="_Toc198721064" w:id="33"/>
      <w:bookmarkStart w:name="_Hlk172123588" w:id="34"/>
      <w:r w:rsidRPr="00FF46E3">
        <w:t>5.1.</w:t>
      </w:r>
      <w:r w:rsidR="006642DE">
        <w:t>2</w:t>
      </w:r>
      <w:r w:rsidRPr="00FF46E3">
        <w:t xml:space="preserve"> Overheidsinstanties</w:t>
      </w:r>
      <w:bookmarkEnd w:id="33"/>
    </w:p>
    <w:p w:rsidRPr="002E4A2D" w:rsidR="001D55B5" w:rsidP="002E4A2D" w:rsidRDefault="001D55B5" w14:paraId="41D9AD8E" w14:textId="77777777">
      <w:pPr>
        <w:pStyle w:val="Geenafstand"/>
        <w:rPr>
          <w:rFonts w:ascii="Verdana" w:hAnsi="Verdana"/>
          <w:sz w:val="18"/>
          <w:szCs w:val="18"/>
        </w:rPr>
      </w:pPr>
    </w:p>
    <w:p w:rsidRPr="00AC3914" w:rsidR="000637A7" w:rsidP="000637A7" w:rsidRDefault="000637A7" w14:paraId="64893408" w14:textId="77777777">
      <w:pPr>
        <w:pStyle w:val="Geenafstand"/>
        <w:rPr>
          <w:rFonts w:ascii="Verdana" w:hAnsi="Verdana"/>
          <w:i/>
          <w:iCs/>
          <w:sz w:val="18"/>
          <w:szCs w:val="18"/>
        </w:rPr>
      </w:pPr>
      <w:r w:rsidRPr="00AC3914">
        <w:rPr>
          <w:rFonts w:ascii="Verdana" w:hAnsi="Verdana"/>
          <w:i/>
          <w:iCs/>
          <w:sz w:val="18"/>
          <w:szCs w:val="18"/>
        </w:rPr>
        <w:t>Inleiding</w:t>
      </w:r>
    </w:p>
    <w:p w:rsidR="000637A7" w:rsidP="000637A7" w:rsidRDefault="000637A7" w14:paraId="0F349E04" w14:textId="07165E4C">
      <w:pPr>
        <w:pStyle w:val="Geenafstand"/>
        <w:rPr>
          <w:rFonts w:ascii="Verdana" w:hAnsi="Verdana"/>
          <w:sz w:val="18"/>
          <w:szCs w:val="18"/>
        </w:rPr>
      </w:pPr>
      <w:r w:rsidRPr="00AC3914">
        <w:rPr>
          <w:rFonts w:ascii="Verdana" w:hAnsi="Verdana"/>
          <w:sz w:val="18"/>
          <w:szCs w:val="18"/>
        </w:rPr>
        <w:t>De NIS2-richtlijn is van toepassing op overheidsinstanties van de centrale overheid, ongeacht hun omvang. Daarnaast is de richtlijn ook van toepassing op overheidsinstanties op regionaal niveau, met dien verstande dat de richtlijn hiervoor een nadere voorwaarde bevat.</w:t>
      </w:r>
      <w:r w:rsidRPr="00AC3914">
        <w:rPr>
          <w:rFonts w:ascii="Verdana" w:hAnsi="Verdana"/>
          <w:sz w:val="18"/>
          <w:szCs w:val="18"/>
          <w:vertAlign w:val="superscript"/>
        </w:rPr>
        <w:footnoteReference w:id="26"/>
      </w:r>
      <w:r w:rsidRPr="00AC3914">
        <w:rPr>
          <w:rFonts w:ascii="Verdana" w:hAnsi="Verdana"/>
          <w:sz w:val="18"/>
          <w:szCs w:val="18"/>
        </w:rPr>
        <w:t xml:space="preserve"> Op overheidsinstanties op lokaal niveau is de richtlijn slechts van toepassing voor zover een lidstaat dat heeft bepaald.</w:t>
      </w:r>
      <w:r w:rsidRPr="00AC3914">
        <w:rPr>
          <w:rFonts w:ascii="Verdana" w:hAnsi="Verdana"/>
          <w:sz w:val="18"/>
          <w:szCs w:val="18"/>
          <w:vertAlign w:val="superscript"/>
        </w:rPr>
        <w:footnoteReference w:id="27"/>
      </w:r>
      <w:r w:rsidRPr="00AC3914">
        <w:rPr>
          <w:rFonts w:ascii="Verdana" w:hAnsi="Verdana"/>
          <w:sz w:val="18"/>
          <w:szCs w:val="18"/>
        </w:rPr>
        <w:t xml:space="preserve"> </w:t>
      </w:r>
      <w:r w:rsidR="008D0185">
        <w:rPr>
          <w:rFonts w:ascii="Verdana" w:hAnsi="Verdana"/>
          <w:sz w:val="18"/>
          <w:szCs w:val="18"/>
        </w:rPr>
        <w:t>De regering</w:t>
      </w:r>
      <w:r w:rsidRPr="00AC3914">
        <w:rPr>
          <w:rFonts w:ascii="Verdana" w:hAnsi="Verdana"/>
          <w:sz w:val="18"/>
          <w:szCs w:val="18"/>
        </w:rPr>
        <w:t xml:space="preserve"> kiest ervoor de NIS2-richtlijn ook van toepassing te laten zijn op lokale overheden. Onder lokale overheden moet in dit verband worden verstaan: in de </w:t>
      </w:r>
      <w:proofErr w:type="spellStart"/>
      <w:r w:rsidRPr="00AC3914">
        <w:rPr>
          <w:rFonts w:ascii="Verdana" w:hAnsi="Verdana"/>
          <w:sz w:val="18"/>
          <w:szCs w:val="18"/>
        </w:rPr>
        <w:t>Cbw</w:t>
      </w:r>
      <w:proofErr w:type="spellEnd"/>
      <w:r w:rsidRPr="00AC3914">
        <w:rPr>
          <w:rFonts w:ascii="Verdana" w:hAnsi="Verdana"/>
          <w:sz w:val="18"/>
          <w:szCs w:val="18"/>
        </w:rPr>
        <w:t xml:space="preserve"> aangewezen overheidsinstanties in de zin van de NIS2-richtlijn die niet tot de centrale overheid behoren.</w:t>
      </w:r>
    </w:p>
    <w:p w:rsidR="000637A7" w:rsidP="000637A7" w:rsidRDefault="000637A7" w14:paraId="1290EE27" w14:textId="60217FAE">
      <w:pPr>
        <w:pStyle w:val="Geenafstand"/>
        <w:rPr>
          <w:rFonts w:ascii="Verdana" w:hAnsi="Verdana"/>
          <w:sz w:val="18"/>
          <w:szCs w:val="18"/>
        </w:rPr>
      </w:pPr>
      <w:r w:rsidRPr="00AC3914">
        <w:rPr>
          <w:rFonts w:ascii="Verdana" w:hAnsi="Verdana"/>
          <w:sz w:val="18"/>
          <w:szCs w:val="18"/>
        </w:rPr>
        <w:t xml:space="preserve">In deze paragraaf zal achtereenvolgens worden ingegaan op wat een overheidsinstantie in de zin van de NIS2-richtlijn is, welke instanties van de NIS2-richtlijn zijn uitgezonderd </w:t>
      </w:r>
      <w:r w:rsidR="008D0185">
        <w:rPr>
          <w:rFonts w:ascii="Verdana" w:hAnsi="Verdana"/>
          <w:sz w:val="18"/>
          <w:szCs w:val="18"/>
        </w:rPr>
        <w:t xml:space="preserve">(en daarmee dus ook van de </w:t>
      </w:r>
      <w:proofErr w:type="spellStart"/>
      <w:r w:rsidR="008D0185">
        <w:rPr>
          <w:rFonts w:ascii="Verdana" w:hAnsi="Verdana"/>
          <w:sz w:val="18"/>
          <w:szCs w:val="18"/>
        </w:rPr>
        <w:t>Cbw</w:t>
      </w:r>
      <w:proofErr w:type="spellEnd"/>
      <w:r w:rsidR="008D0185">
        <w:rPr>
          <w:rFonts w:ascii="Verdana" w:hAnsi="Verdana"/>
          <w:sz w:val="18"/>
          <w:szCs w:val="18"/>
        </w:rPr>
        <w:t xml:space="preserve">) </w:t>
      </w:r>
      <w:r w:rsidRPr="00AC3914">
        <w:rPr>
          <w:rFonts w:ascii="Verdana" w:hAnsi="Verdana"/>
          <w:sz w:val="18"/>
          <w:szCs w:val="18"/>
        </w:rPr>
        <w:t xml:space="preserve">en wat overheidsinstanties van de centrale overheid in de Nederlandse context zijn. Tot slot zal de keuze om lokale overheden ook onder het toepassingsbereik van de NIS2-richtlijn te brengen worden toegelicht, evenals welke instanties het betreft. </w:t>
      </w:r>
    </w:p>
    <w:p w:rsidRPr="00AC3914" w:rsidR="000637A7" w:rsidP="000637A7" w:rsidRDefault="000637A7" w14:paraId="5D0D1A85" w14:textId="77777777">
      <w:pPr>
        <w:pStyle w:val="Geenafstand"/>
        <w:rPr>
          <w:rFonts w:ascii="Verdana" w:hAnsi="Verdana"/>
          <w:sz w:val="18"/>
          <w:szCs w:val="18"/>
        </w:rPr>
      </w:pPr>
    </w:p>
    <w:p w:rsidRPr="00AC3914" w:rsidR="000637A7" w:rsidP="000637A7" w:rsidRDefault="000637A7" w14:paraId="5ABF3DAD" w14:textId="77777777">
      <w:pPr>
        <w:pStyle w:val="Geenafstand"/>
        <w:rPr>
          <w:rFonts w:ascii="Verdana" w:hAnsi="Verdana"/>
          <w:i/>
          <w:iCs/>
          <w:sz w:val="18"/>
          <w:szCs w:val="18"/>
        </w:rPr>
      </w:pPr>
      <w:r w:rsidRPr="00AC3914">
        <w:rPr>
          <w:rFonts w:ascii="Verdana" w:hAnsi="Verdana"/>
          <w:i/>
          <w:iCs/>
          <w:sz w:val="18"/>
          <w:szCs w:val="18"/>
        </w:rPr>
        <w:t xml:space="preserve">Overheidsinstantie </w:t>
      </w:r>
    </w:p>
    <w:p w:rsidR="000637A7" w:rsidP="000637A7" w:rsidRDefault="000637A7" w14:paraId="2EAE2F25" w14:textId="77777777">
      <w:pPr>
        <w:pStyle w:val="Geenafstand"/>
        <w:rPr>
          <w:rFonts w:ascii="Verdana" w:hAnsi="Verdana"/>
          <w:sz w:val="18"/>
          <w:szCs w:val="18"/>
        </w:rPr>
      </w:pPr>
      <w:r w:rsidRPr="00AC3914">
        <w:rPr>
          <w:rFonts w:ascii="Verdana" w:hAnsi="Verdana"/>
          <w:sz w:val="18"/>
          <w:szCs w:val="18"/>
        </w:rPr>
        <w:t>Een entiteit is een overheidsinstantie als deze overeenkomstig het nationale recht als zodanig in een lidstaat is erkend en aan deze vier criteria voldoet:</w:t>
      </w:r>
    </w:p>
    <w:p w:rsidRPr="00AC3914" w:rsidR="000637A7" w:rsidP="003032D9" w:rsidRDefault="000637A7" w14:paraId="6B5357E9" w14:textId="77777777">
      <w:pPr>
        <w:pStyle w:val="Geenafstand"/>
        <w:numPr>
          <w:ilvl w:val="0"/>
          <w:numId w:val="12"/>
        </w:numPr>
        <w:ind w:left="284" w:hanging="283"/>
        <w:rPr>
          <w:rFonts w:ascii="Verdana" w:hAnsi="Verdana"/>
          <w:sz w:val="18"/>
          <w:szCs w:val="18"/>
        </w:rPr>
      </w:pPr>
      <w:r w:rsidRPr="00AC3914">
        <w:rPr>
          <w:rFonts w:ascii="Verdana" w:hAnsi="Verdana"/>
          <w:sz w:val="18"/>
          <w:szCs w:val="18"/>
        </w:rPr>
        <w:t>zij is opgericht om te voorzien in behoeften van algemeen belang en heeft geen industrieel of commercieel karakter;</w:t>
      </w:r>
    </w:p>
    <w:p w:rsidRPr="00AC3914" w:rsidR="000637A7" w:rsidP="003032D9" w:rsidRDefault="000637A7" w14:paraId="77606BB2" w14:textId="77777777">
      <w:pPr>
        <w:pStyle w:val="Geenafstand"/>
        <w:numPr>
          <w:ilvl w:val="0"/>
          <w:numId w:val="12"/>
        </w:numPr>
        <w:ind w:left="284" w:hanging="283"/>
        <w:rPr>
          <w:rFonts w:ascii="Verdana" w:hAnsi="Verdana"/>
          <w:sz w:val="18"/>
          <w:szCs w:val="18"/>
        </w:rPr>
      </w:pPr>
      <w:r w:rsidRPr="00AC3914">
        <w:rPr>
          <w:rFonts w:ascii="Verdana" w:hAnsi="Verdana"/>
          <w:sz w:val="18"/>
          <w:szCs w:val="18"/>
        </w:rPr>
        <w:t>zij heeft rechtspersoonlijkheid of mag volgens de wet namens een andere entiteit met rechtspersoonlijkheid optreden;</w:t>
      </w:r>
    </w:p>
    <w:p w:rsidRPr="00AC3914" w:rsidR="000637A7" w:rsidP="003032D9" w:rsidRDefault="000637A7" w14:paraId="491074CA" w14:textId="77777777">
      <w:pPr>
        <w:pStyle w:val="Geenafstand"/>
        <w:numPr>
          <w:ilvl w:val="0"/>
          <w:numId w:val="12"/>
        </w:numPr>
        <w:ind w:left="284" w:hanging="283"/>
        <w:rPr>
          <w:rFonts w:ascii="Verdana" w:hAnsi="Verdana"/>
          <w:sz w:val="18"/>
          <w:szCs w:val="18"/>
        </w:rPr>
      </w:pPr>
      <w:r w:rsidRPr="00AC3914">
        <w:rPr>
          <w:rFonts w:ascii="Verdana" w:hAnsi="Verdana"/>
          <w:sz w:val="18"/>
          <w:szCs w:val="18"/>
        </w:rPr>
        <w:t xml:space="preserve">zij wordt grotendeels gefinancierd door de staat, regionale autoriteiten of andere publiekrechtelijke organen, is onderworpen aan </w:t>
      </w:r>
      <w:proofErr w:type="spellStart"/>
      <w:r w:rsidRPr="00AC3914">
        <w:rPr>
          <w:rFonts w:ascii="Verdana" w:hAnsi="Verdana"/>
          <w:sz w:val="18"/>
          <w:szCs w:val="18"/>
        </w:rPr>
        <w:t>beheerstoezicht</w:t>
      </w:r>
      <w:proofErr w:type="spellEnd"/>
      <w:r w:rsidRPr="00AC3914">
        <w:rPr>
          <w:rFonts w:ascii="Verdana" w:hAnsi="Verdana"/>
          <w:sz w:val="18"/>
          <w:szCs w:val="18"/>
        </w:rPr>
        <w:t xml:space="preserve"> door die autoriteiten of organen, of heeft een bestuurs-, leidinggevend of toezichthoudend orgaan waarvan de leden voor meer dan de helft door de staat, regionale autoriteiten of andere publiekrechtelijke organen worden benoemd; </w:t>
      </w:r>
    </w:p>
    <w:p w:rsidRPr="00AC3914" w:rsidR="000637A7" w:rsidP="003032D9" w:rsidRDefault="000637A7" w14:paraId="175D3D3B" w14:textId="77777777">
      <w:pPr>
        <w:pStyle w:val="Geenafstand"/>
        <w:numPr>
          <w:ilvl w:val="0"/>
          <w:numId w:val="12"/>
        </w:numPr>
        <w:ind w:left="284" w:hanging="283"/>
        <w:rPr>
          <w:rFonts w:ascii="Verdana" w:hAnsi="Verdana"/>
          <w:sz w:val="18"/>
          <w:szCs w:val="18"/>
        </w:rPr>
      </w:pPr>
      <w:r w:rsidRPr="00AC3914">
        <w:rPr>
          <w:rFonts w:ascii="Verdana" w:hAnsi="Verdana"/>
          <w:sz w:val="18"/>
          <w:szCs w:val="18"/>
        </w:rPr>
        <w:t>zij heeft de bevoegdheid om ten aanzien van natuurlijke of rechtspersonen administratieve of regelgevende besluiten te nemen die van invloed zijn op hun rechten op het grensoverschrijdende verkeer van personen, goederen, diensten of kapitaal.</w:t>
      </w:r>
    </w:p>
    <w:p w:rsidR="000637A7" w:rsidP="000637A7" w:rsidRDefault="000637A7" w14:paraId="6F02BDB9" w14:textId="77777777">
      <w:pPr>
        <w:pStyle w:val="Geenafstand"/>
        <w:rPr>
          <w:rFonts w:ascii="Verdana" w:hAnsi="Verdana"/>
          <w:sz w:val="18"/>
          <w:szCs w:val="18"/>
        </w:rPr>
      </w:pPr>
    </w:p>
    <w:p w:rsidRPr="003032D9" w:rsidR="003032D9" w:rsidP="000637A7" w:rsidRDefault="003032D9" w14:paraId="7BA64361" w14:textId="62C8DDF5">
      <w:pPr>
        <w:pStyle w:val="Geenafstand"/>
        <w:rPr>
          <w:rFonts w:ascii="Verdana" w:hAnsi="Verdana"/>
          <w:i/>
          <w:iCs/>
          <w:sz w:val="18"/>
          <w:szCs w:val="18"/>
        </w:rPr>
      </w:pPr>
      <w:r>
        <w:rPr>
          <w:rFonts w:ascii="Verdana" w:hAnsi="Verdana"/>
          <w:i/>
          <w:iCs/>
          <w:sz w:val="18"/>
          <w:szCs w:val="18"/>
        </w:rPr>
        <w:t xml:space="preserve">De criteria </w:t>
      </w:r>
    </w:p>
    <w:p w:rsidRPr="00AC3914" w:rsidR="000637A7" w:rsidP="000637A7" w:rsidRDefault="000637A7" w14:paraId="57355260" w14:textId="77777777">
      <w:pPr>
        <w:pStyle w:val="Geenafstand"/>
        <w:rPr>
          <w:rFonts w:ascii="Verdana" w:hAnsi="Verdana"/>
          <w:sz w:val="18"/>
          <w:szCs w:val="18"/>
        </w:rPr>
      </w:pPr>
      <w:r w:rsidRPr="00AC3914">
        <w:rPr>
          <w:rFonts w:ascii="Verdana" w:hAnsi="Verdana"/>
          <w:sz w:val="18"/>
          <w:szCs w:val="18"/>
        </w:rPr>
        <w:t>Criterium a betreft het doel waartoe een entiteit is opgericht. Bij een krachtens publiekrecht ingestelde entiteit zal dit doel blijken uit de wet waarbij de entiteit is ingesteld en de geschiedenis van de totstandkoming van die wet. Bij een privaatrechtelijke entiteit zal het doel blijken uit de statuten. Er zijn geen limitatieve criteria om te bepalen of een entiteit is opgericht om te voorzien in behoeften van algemeen belang en dat het voorzien in die behoefte van algemeen belang geen industrieel en commercieel karakter heeft. Relevante aanknopingspunten zijn of een entiteit onder normale marktomstandigheden opereert, of deze bestuurd wordt op basis van criteria van rendement, doelmatigheid en rentabiliteit, of de entiteit winstoogmerk als hoofddoel heeft of deze zelf de eigen verliezen draagt. Dergelijke omstandigheden wijzen in de richting van een commercieel of industrieel karakter.</w:t>
      </w:r>
    </w:p>
    <w:p w:rsidRPr="00AC3914" w:rsidR="000637A7" w:rsidP="000637A7" w:rsidRDefault="000637A7" w14:paraId="33A60391" w14:textId="4E24700F">
      <w:pPr>
        <w:pStyle w:val="Geenafstand"/>
        <w:rPr>
          <w:rFonts w:ascii="Verdana" w:hAnsi="Verdana"/>
          <w:sz w:val="18"/>
          <w:szCs w:val="18"/>
        </w:rPr>
      </w:pPr>
      <w:r w:rsidRPr="00AC3914">
        <w:rPr>
          <w:rFonts w:ascii="Verdana" w:hAnsi="Verdana"/>
          <w:sz w:val="18"/>
          <w:szCs w:val="18"/>
        </w:rPr>
        <w:t xml:space="preserve">Criterium b vereist dat de entiteit zelf rechtspersoonlijkheid heeft of volgens de wet mag optreden namens een andere entiteit met rechtspersoonlijkheid. Ingevolge artikel 2:1, eerste lid, Burgerlijk Wetboek </w:t>
      </w:r>
      <w:r w:rsidR="007B58E6">
        <w:rPr>
          <w:rFonts w:ascii="Verdana" w:hAnsi="Verdana"/>
          <w:sz w:val="18"/>
          <w:szCs w:val="18"/>
        </w:rPr>
        <w:t xml:space="preserve">(hierna: BW) </w:t>
      </w:r>
      <w:r w:rsidRPr="00AC3914">
        <w:rPr>
          <w:rFonts w:ascii="Verdana" w:hAnsi="Verdana"/>
          <w:sz w:val="18"/>
          <w:szCs w:val="18"/>
        </w:rPr>
        <w:t xml:space="preserve">bezitten de Staat, de provincies, de gemeenten, de waterschappen, alsmede alle lichamen waaraan krachtens de Grondwet verordenende bevoegdheid is verleend, rechtspersoonlijkheid. Ook kan rechtspersoonlijkheid aan een entiteit zijn toegekend in de wet waarbij de entiteit is opgericht. Verenigingen, coöperaties, onderlinge waarborgmaatschappijen, naamloze vennootschappen, besloten vennootschappen met beperkte aansprakelijkheid en stichtingen bezitten rechtspersoonlijkheid ingevolge artikel 2:3 </w:t>
      </w:r>
      <w:r w:rsidR="007B58E6">
        <w:rPr>
          <w:rFonts w:ascii="Verdana" w:hAnsi="Verdana"/>
          <w:sz w:val="18"/>
          <w:szCs w:val="18"/>
        </w:rPr>
        <w:t>BW</w:t>
      </w:r>
      <w:r w:rsidRPr="00AC3914">
        <w:rPr>
          <w:rFonts w:ascii="Verdana" w:hAnsi="Verdana"/>
          <w:sz w:val="18"/>
          <w:szCs w:val="18"/>
        </w:rPr>
        <w:t>. Aan criterium b wordt ook voldaan indien de entiteit zelf geen rechtspersoonlijkheid heeft, maar wel mag optreden namens een andere entiteit met rechtspersoonlijkheid. Hierbij kan worden gedacht aan zelfstandige bestuursorganen die namens de Staat mogen optreden. Ook ministers mogen namens de Staat handelen.</w:t>
      </w:r>
    </w:p>
    <w:p w:rsidRPr="00AC3914" w:rsidR="000637A7" w:rsidP="000637A7" w:rsidRDefault="000637A7" w14:paraId="02E3B197" w14:textId="122F6BF2">
      <w:pPr>
        <w:pStyle w:val="Geenafstand"/>
        <w:rPr>
          <w:rFonts w:ascii="Verdana" w:hAnsi="Verdana"/>
          <w:sz w:val="18"/>
          <w:szCs w:val="18"/>
        </w:rPr>
      </w:pPr>
      <w:r w:rsidRPr="00AC3914">
        <w:rPr>
          <w:rFonts w:ascii="Verdana" w:hAnsi="Verdana"/>
          <w:sz w:val="18"/>
          <w:szCs w:val="18"/>
        </w:rPr>
        <w:t xml:space="preserve">Criterium c ziet op de vereiste betrokkenheid van de overheid bij de entiteit. Die betrokkenheid kan verschillende vormen aannemen. Allereerst wordt aan dit criterium voldaan indien de entiteit grotendeels door de Staat, regionale autoriteiten of andere publiekrechtelijke organen wordt gefinancierd. De entiteit moet dus in hoofdzaak, dat wil zeggen voor meer dan 50%, worden gefinancierd door de overheid. Op welke manier deze financiering wordt vormgegeven, is in dat verband niet bepalend. In de tweede plaats wordt aan dit criterium voldaan indien de entiteit onderworpen is aan </w:t>
      </w:r>
      <w:proofErr w:type="spellStart"/>
      <w:r w:rsidRPr="00AC3914">
        <w:rPr>
          <w:rFonts w:ascii="Verdana" w:hAnsi="Verdana"/>
          <w:sz w:val="18"/>
          <w:szCs w:val="18"/>
        </w:rPr>
        <w:t>beheerstoezicht</w:t>
      </w:r>
      <w:proofErr w:type="spellEnd"/>
      <w:r w:rsidRPr="00AC3914">
        <w:rPr>
          <w:rFonts w:ascii="Verdana" w:hAnsi="Verdana"/>
          <w:sz w:val="18"/>
          <w:szCs w:val="18"/>
        </w:rPr>
        <w:t xml:space="preserve"> door de Staat, regionale autoriteiten of andere publiekrechtelijke organen. Dit is het geval indien er een zekere afhankelijkheid bestaat van de entiteit ten opzichte van die autoriteiten of organen en indien zij de beslissingen van de entiteit kunnen beïnvloeden. Van </w:t>
      </w:r>
      <w:proofErr w:type="spellStart"/>
      <w:r w:rsidRPr="00AC3914">
        <w:rPr>
          <w:rFonts w:ascii="Verdana" w:hAnsi="Verdana"/>
          <w:sz w:val="18"/>
          <w:szCs w:val="18"/>
        </w:rPr>
        <w:t>beheerstoezicht</w:t>
      </w:r>
      <w:proofErr w:type="spellEnd"/>
      <w:r w:rsidRPr="00AC3914">
        <w:rPr>
          <w:rFonts w:ascii="Verdana" w:hAnsi="Verdana"/>
          <w:sz w:val="18"/>
          <w:szCs w:val="18"/>
        </w:rPr>
        <w:t xml:space="preserve"> is niet al sprake bij reguliere controle door de overheid op de naleving van regelgeving.</w:t>
      </w:r>
      <w:r w:rsidR="003032D9">
        <w:rPr>
          <w:rFonts w:ascii="Verdana" w:hAnsi="Verdana"/>
          <w:sz w:val="18"/>
          <w:szCs w:val="18"/>
        </w:rPr>
        <w:t xml:space="preserve"> </w:t>
      </w:r>
      <w:r w:rsidRPr="00AC3914">
        <w:rPr>
          <w:rFonts w:ascii="Verdana" w:hAnsi="Verdana"/>
          <w:sz w:val="18"/>
          <w:szCs w:val="18"/>
        </w:rPr>
        <w:t xml:space="preserve">In de derde plaats wordt aan het criterium voldaan indien de entiteit een bestuursorgaan, leidinggevend of toezichthoudend orgaan heeft waarvan de leden voor meer dan de helft door de Staat, regionale autoriteiten of andere publiekrechtelijke organen worden benoemd. Het begrip </w:t>
      </w:r>
      <w:r w:rsidR="00D65544">
        <w:rPr>
          <w:rFonts w:ascii="Verdana" w:hAnsi="Verdana"/>
          <w:sz w:val="18"/>
          <w:szCs w:val="18"/>
        </w:rPr>
        <w:t>“</w:t>
      </w:r>
      <w:r w:rsidRPr="00AC3914">
        <w:rPr>
          <w:rFonts w:ascii="Verdana" w:hAnsi="Verdana"/>
          <w:sz w:val="18"/>
          <w:szCs w:val="18"/>
        </w:rPr>
        <w:t>bestuursorgaan</w:t>
      </w:r>
      <w:r w:rsidR="00D65544">
        <w:rPr>
          <w:rFonts w:ascii="Verdana" w:hAnsi="Verdana"/>
          <w:sz w:val="18"/>
          <w:szCs w:val="18"/>
        </w:rPr>
        <w:t>”</w:t>
      </w:r>
      <w:r w:rsidRPr="00AC3914">
        <w:rPr>
          <w:rFonts w:ascii="Verdana" w:hAnsi="Verdana"/>
          <w:sz w:val="18"/>
          <w:szCs w:val="18"/>
        </w:rPr>
        <w:t xml:space="preserve"> moet niet worden gelezen als bestuursorgaan in de zin van artikel 1:1 </w:t>
      </w:r>
      <w:r w:rsidR="003708D0">
        <w:rPr>
          <w:rFonts w:ascii="Verdana" w:hAnsi="Verdana"/>
          <w:sz w:val="18"/>
          <w:szCs w:val="18"/>
        </w:rPr>
        <w:t xml:space="preserve">Algemene wet bestuursrecht (hierna: </w:t>
      </w:r>
      <w:proofErr w:type="spellStart"/>
      <w:r w:rsidRPr="00AC3914">
        <w:rPr>
          <w:rFonts w:ascii="Verdana" w:hAnsi="Verdana"/>
          <w:sz w:val="18"/>
          <w:szCs w:val="18"/>
        </w:rPr>
        <w:t>Awb</w:t>
      </w:r>
      <w:proofErr w:type="spellEnd"/>
      <w:r w:rsidR="003708D0">
        <w:rPr>
          <w:rFonts w:ascii="Verdana" w:hAnsi="Verdana"/>
          <w:sz w:val="18"/>
          <w:szCs w:val="18"/>
        </w:rPr>
        <w:t>)</w:t>
      </w:r>
      <w:r w:rsidRPr="00AC3914">
        <w:rPr>
          <w:rFonts w:ascii="Verdana" w:hAnsi="Verdana"/>
          <w:sz w:val="18"/>
          <w:szCs w:val="18"/>
        </w:rPr>
        <w:t>. Het gaat in dit kader om het bestuur van een organisatie.</w:t>
      </w:r>
      <w:r w:rsidRPr="00AC3914">
        <w:rPr>
          <w:rStyle w:val="Voetnootmarkering"/>
          <w:rFonts w:ascii="Verdana" w:hAnsi="Verdana"/>
          <w:sz w:val="18"/>
          <w:szCs w:val="18"/>
        </w:rPr>
        <w:footnoteReference w:id="28"/>
      </w:r>
      <w:r w:rsidRPr="00AC3914">
        <w:rPr>
          <w:rFonts w:ascii="Verdana" w:hAnsi="Verdana"/>
          <w:sz w:val="18"/>
          <w:szCs w:val="18"/>
        </w:rPr>
        <w:t xml:space="preserve"> Door middel van het benoemen van meer dan de helft van de leden van de genoemde organen, heeft de benoemende overheidsinstantie invloed op de beslissingen die de entiteit neemt.</w:t>
      </w:r>
    </w:p>
    <w:p w:rsidR="000637A7" w:rsidP="000637A7" w:rsidRDefault="00D854DF" w14:paraId="74208E26" w14:textId="66EBDD11">
      <w:pPr>
        <w:pStyle w:val="Geenafstand"/>
        <w:rPr>
          <w:rFonts w:ascii="Verdana" w:hAnsi="Verdana"/>
          <w:sz w:val="18"/>
          <w:szCs w:val="18"/>
        </w:rPr>
      </w:pPr>
      <w:r>
        <w:rPr>
          <w:rFonts w:ascii="Verdana" w:hAnsi="Verdana"/>
          <w:sz w:val="18"/>
          <w:szCs w:val="18"/>
        </w:rPr>
        <w:lastRenderedPageBreak/>
        <w:t>C</w:t>
      </w:r>
      <w:r w:rsidRPr="00AC3914" w:rsidR="000637A7">
        <w:rPr>
          <w:rFonts w:ascii="Verdana" w:hAnsi="Verdana"/>
          <w:sz w:val="18"/>
          <w:szCs w:val="18"/>
        </w:rPr>
        <w:t xml:space="preserve">riterium d </w:t>
      </w:r>
      <w:r>
        <w:rPr>
          <w:rFonts w:ascii="Verdana" w:hAnsi="Verdana"/>
          <w:sz w:val="18"/>
          <w:szCs w:val="18"/>
        </w:rPr>
        <w:t xml:space="preserve">vereist </w:t>
      </w:r>
      <w:r w:rsidRPr="00AC3914" w:rsidR="000637A7">
        <w:rPr>
          <w:rFonts w:ascii="Verdana" w:hAnsi="Verdana"/>
          <w:sz w:val="18"/>
          <w:szCs w:val="18"/>
        </w:rPr>
        <w:t xml:space="preserve">allereerst dat de entiteit de bevoegdheid heeft om ten aanzien van natuurlijke personen of rechtspersonen administratieve of regelgevende besluiten te nemen. Het nemen van administratieve of regelgevende besluiten betreft in de Nederlandse context het nemen van besluiten in de zin van artikel 1:3 </w:t>
      </w:r>
      <w:proofErr w:type="spellStart"/>
      <w:r w:rsidRPr="00AC3914" w:rsidR="000637A7">
        <w:rPr>
          <w:rFonts w:ascii="Verdana" w:hAnsi="Verdana"/>
          <w:sz w:val="18"/>
          <w:szCs w:val="18"/>
        </w:rPr>
        <w:t>Awb</w:t>
      </w:r>
      <w:proofErr w:type="spellEnd"/>
      <w:r w:rsidRPr="00AC3914" w:rsidR="000637A7">
        <w:rPr>
          <w:rFonts w:ascii="Verdana" w:hAnsi="Verdana"/>
          <w:sz w:val="18"/>
          <w:szCs w:val="18"/>
        </w:rPr>
        <w:t>. Belangrijk daarbij is dat de beslissingen een publiekrechtelijke rechtshandeling moeten inhouden. De beslissingen moeten dus onder meer rechtsgevolg hebben. Concreet betekent dit dat entiteiten die uitsluitend adviezen uitbrengen of feitelijke handelingen verrichten, niet aan dit criterium voldoen. Een entiteit heeft niet slechts een bevoegdheid om besluiten te nemen in de zin van dit criterium indien een bevoegdheid aan die entiteit is geattribueerd of gedelegeerd, maar ook indien een bevoegdheid aan die entiteit is gemandateerd. Het tweede deel van criterium d vereist dat de door de entiteit genomen besluiten van invloed zijn op de rechten van natuurlijke personen of rechtspersonen op het grensoverschrijdende verkeer van personen, goederen, diensten of kapitaal. Deze passage moet ruim worden uitgelegd. In het overgrote deel van de gevallen zal hiervan sprake zijn, ook indien sprake is van bevoegdheden met een meer nationaal karakter of gericht op nationale aangelegenheden. Slechts indien een entiteit niet het EU-recht (dat is gerelateerd aan een van de vier vrijheden) ten uitvoer brengt of indien het is uitgesloten dat besluiten van de entiteit gevolgen hebben voor natuurlijke personen of rechtspersonen buiten de lidstaat, is niet aan het tweede deel van het criterium voldaan.</w:t>
      </w:r>
    </w:p>
    <w:p w:rsidRPr="00AC3914" w:rsidR="000637A7" w:rsidP="000637A7" w:rsidRDefault="000637A7" w14:paraId="1FFA2CAA" w14:textId="77777777">
      <w:pPr>
        <w:pStyle w:val="Geenafstand"/>
        <w:rPr>
          <w:rFonts w:ascii="Verdana" w:hAnsi="Verdana"/>
          <w:sz w:val="18"/>
          <w:szCs w:val="18"/>
        </w:rPr>
      </w:pPr>
    </w:p>
    <w:p w:rsidR="000637A7" w:rsidP="000637A7" w:rsidRDefault="000637A7" w14:paraId="5B902CAE" w14:textId="77777777">
      <w:pPr>
        <w:pStyle w:val="Geenafstand"/>
        <w:rPr>
          <w:rFonts w:ascii="Verdana" w:hAnsi="Verdana"/>
          <w:i/>
          <w:iCs/>
          <w:sz w:val="18"/>
          <w:szCs w:val="18"/>
        </w:rPr>
      </w:pPr>
      <w:r w:rsidRPr="00AC3914">
        <w:rPr>
          <w:rFonts w:ascii="Verdana" w:hAnsi="Verdana"/>
          <w:i/>
          <w:iCs/>
          <w:sz w:val="18"/>
          <w:szCs w:val="18"/>
        </w:rPr>
        <w:t>Centrale overheid</w:t>
      </w:r>
    </w:p>
    <w:p w:rsidRPr="00AC3914" w:rsidR="000637A7" w:rsidP="000637A7" w:rsidRDefault="000637A7" w14:paraId="68E13FF4" w14:textId="213C6460">
      <w:pPr>
        <w:pStyle w:val="Geenafstand"/>
        <w:rPr>
          <w:rFonts w:ascii="Verdana" w:hAnsi="Verdana"/>
          <w:sz w:val="18"/>
          <w:szCs w:val="18"/>
        </w:rPr>
      </w:pPr>
      <w:r w:rsidRPr="00AC3914">
        <w:rPr>
          <w:rFonts w:ascii="Verdana" w:hAnsi="Verdana"/>
          <w:sz w:val="18"/>
          <w:szCs w:val="18"/>
        </w:rPr>
        <w:t xml:space="preserve">De NIS2-richtlijn is van toepassing op overheidsinstanties van de centrale overheid, ongeacht hun omvang. Welke overheidsinstanties tot de centrale overheid behoren, wordt gedefinieerd door een lidstaat overeenkomstig het nationale recht. Op het niveau van de centrale overheid in Nederland is het de Staat die rechtspersoonlijkheid bezit (zie artikel 2:1 </w:t>
      </w:r>
      <w:r w:rsidR="007B58E6">
        <w:rPr>
          <w:rFonts w:ascii="Verdana" w:hAnsi="Verdana"/>
          <w:sz w:val="18"/>
          <w:szCs w:val="18"/>
        </w:rPr>
        <w:t>BW</w:t>
      </w:r>
      <w:r w:rsidRPr="00AC3914">
        <w:rPr>
          <w:rFonts w:ascii="Verdana" w:hAnsi="Verdana"/>
          <w:sz w:val="18"/>
          <w:szCs w:val="18"/>
        </w:rPr>
        <w:t xml:space="preserve">) alsmede de zelfstandige bestuursorganen van de centrale overheid mét rechtspersoonlijkheid. Omdat onder de Staat ook overheidsinstanties vallen die buiten het toepassingsbereik van de NIS2-richtlijn vallen, is ervoor gekozen om in de </w:t>
      </w:r>
      <w:proofErr w:type="spellStart"/>
      <w:r w:rsidRPr="00AC3914">
        <w:rPr>
          <w:rFonts w:ascii="Verdana" w:hAnsi="Verdana"/>
          <w:sz w:val="18"/>
          <w:szCs w:val="18"/>
        </w:rPr>
        <w:t>Cbw</w:t>
      </w:r>
      <w:proofErr w:type="spellEnd"/>
      <w:r w:rsidRPr="00AC3914">
        <w:rPr>
          <w:rFonts w:ascii="Verdana" w:hAnsi="Verdana"/>
          <w:sz w:val="18"/>
          <w:szCs w:val="18"/>
        </w:rPr>
        <w:t xml:space="preserve"> de ministeries aan te wijzen als essentiële entiteit (artikel </w:t>
      </w:r>
      <w:r w:rsidR="001E06BB">
        <w:rPr>
          <w:rFonts w:ascii="Verdana" w:hAnsi="Verdana"/>
          <w:sz w:val="18"/>
          <w:szCs w:val="18"/>
        </w:rPr>
        <w:t>8</w:t>
      </w:r>
      <w:r w:rsidRPr="00AC3914">
        <w:rPr>
          <w:rFonts w:ascii="Verdana" w:hAnsi="Verdana"/>
          <w:sz w:val="18"/>
          <w:szCs w:val="18"/>
        </w:rPr>
        <w:t>, eerste lid, onder</w:t>
      </w:r>
      <w:r w:rsidR="00F122CB">
        <w:rPr>
          <w:rFonts w:ascii="Verdana" w:hAnsi="Verdana"/>
          <w:sz w:val="18"/>
          <w:szCs w:val="18"/>
        </w:rPr>
        <w:t>deel</w:t>
      </w:r>
      <w:r w:rsidRPr="00AC3914">
        <w:rPr>
          <w:rFonts w:ascii="Verdana" w:hAnsi="Verdana"/>
          <w:sz w:val="18"/>
          <w:szCs w:val="18"/>
        </w:rPr>
        <w:t xml:space="preserve"> g, </w:t>
      </w:r>
      <w:proofErr w:type="spellStart"/>
      <w:r w:rsidRPr="00AC3914">
        <w:rPr>
          <w:rFonts w:ascii="Verdana" w:hAnsi="Verdana"/>
          <w:sz w:val="18"/>
          <w:szCs w:val="18"/>
        </w:rPr>
        <w:t>Cbw</w:t>
      </w:r>
      <w:proofErr w:type="spellEnd"/>
      <w:r w:rsidRPr="00AC3914">
        <w:rPr>
          <w:rFonts w:ascii="Verdana" w:hAnsi="Verdana"/>
          <w:sz w:val="18"/>
          <w:szCs w:val="18"/>
        </w:rPr>
        <w:t xml:space="preserve">). Onder een ministerie worden tevens </w:t>
      </w:r>
      <w:r w:rsidRPr="00AC3914">
        <w:rPr>
          <w:rFonts w:ascii="Verdana" w:hAnsi="Verdana" w:eastAsia="Calibri" w:cs="Times New Roman"/>
          <w:sz w:val="18"/>
          <w:szCs w:val="18"/>
        </w:rPr>
        <w:t>de daartoe behorende dienstonderdelen</w:t>
      </w:r>
      <w:r w:rsidRPr="00AC3914">
        <w:rPr>
          <w:rFonts w:ascii="Verdana" w:hAnsi="Verdana"/>
          <w:sz w:val="18"/>
          <w:szCs w:val="18"/>
        </w:rPr>
        <w:t xml:space="preserve"> begrepen. Een ministerie heeft zelf geen rechtspersoonlijkheid, maar een minister mag wel namens de rechtspersoon de Staat optreden. Daarmee voldoet een ministerie aan het hiervoor genoemde criterium b. Ook voldoet een ministerie aan de overige criteria voor overheidsinstantie. </w:t>
      </w:r>
      <w:r w:rsidR="00D854DF">
        <w:rPr>
          <w:rFonts w:ascii="Verdana" w:hAnsi="Verdana"/>
          <w:sz w:val="18"/>
          <w:szCs w:val="18"/>
        </w:rPr>
        <w:t xml:space="preserve">Overigens </w:t>
      </w:r>
      <w:r w:rsidRPr="00AC3914">
        <w:rPr>
          <w:rFonts w:ascii="Verdana" w:hAnsi="Verdana"/>
          <w:sz w:val="18"/>
          <w:szCs w:val="18"/>
        </w:rPr>
        <w:t xml:space="preserve">valt het Ministerie van Defensie niet onder het toepassingsbereik van de </w:t>
      </w:r>
      <w:r w:rsidRPr="008D0185">
        <w:rPr>
          <w:rFonts w:ascii="Verdana" w:hAnsi="Verdana"/>
          <w:sz w:val="18"/>
          <w:szCs w:val="18"/>
        </w:rPr>
        <w:t>NIS2-richtlijn</w:t>
      </w:r>
      <w:r w:rsidR="00D854DF">
        <w:rPr>
          <w:rFonts w:ascii="Verdana" w:hAnsi="Verdana"/>
          <w:sz w:val="18"/>
          <w:szCs w:val="18"/>
        </w:rPr>
        <w:t xml:space="preserve"> en daarmee dus ook niet onder het toepassingsbereik van de </w:t>
      </w:r>
      <w:proofErr w:type="spellStart"/>
      <w:r w:rsidR="00D854DF">
        <w:rPr>
          <w:rFonts w:ascii="Verdana" w:hAnsi="Verdana"/>
          <w:sz w:val="18"/>
          <w:szCs w:val="18"/>
        </w:rPr>
        <w:t>Cbw</w:t>
      </w:r>
      <w:proofErr w:type="spellEnd"/>
      <w:r w:rsidR="006E194B">
        <w:rPr>
          <w:rFonts w:ascii="Verdana" w:hAnsi="Verdana"/>
          <w:sz w:val="18"/>
          <w:szCs w:val="18"/>
        </w:rPr>
        <w:t xml:space="preserve">, </w:t>
      </w:r>
      <w:r w:rsidR="00790FC9">
        <w:rPr>
          <w:rFonts w:ascii="Verdana" w:hAnsi="Verdana"/>
          <w:sz w:val="18"/>
          <w:szCs w:val="18"/>
        </w:rPr>
        <w:t>behalve</w:t>
      </w:r>
      <w:r w:rsidRPr="006E194B" w:rsidR="006E194B">
        <w:rPr>
          <w:rFonts w:ascii="Verdana" w:hAnsi="Verdana"/>
          <w:sz w:val="18"/>
          <w:szCs w:val="18"/>
        </w:rPr>
        <w:t xml:space="preserve"> wanneer </w:t>
      </w:r>
      <w:r w:rsidR="00790FC9">
        <w:rPr>
          <w:rFonts w:ascii="Verdana" w:hAnsi="Verdana"/>
          <w:sz w:val="18"/>
          <w:szCs w:val="18"/>
        </w:rPr>
        <w:t>dat ministerie</w:t>
      </w:r>
      <w:r w:rsidRPr="006E194B" w:rsidR="006E194B">
        <w:rPr>
          <w:rFonts w:ascii="Verdana" w:hAnsi="Verdana"/>
          <w:sz w:val="18"/>
          <w:szCs w:val="18"/>
        </w:rPr>
        <w:t xml:space="preserve"> optreedt als verlener van vertrouwensdiensten die niet uitsluitend worden gebruikt binnen systemen die gesloten zijn als gevolg van een wettelijke regeling of een overeenkomst tussen een bepaalde groep deelnemers</w:t>
      </w:r>
      <w:r w:rsidR="00D854DF">
        <w:rPr>
          <w:rFonts w:ascii="Verdana" w:hAnsi="Verdana"/>
          <w:sz w:val="18"/>
          <w:szCs w:val="18"/>
        </w:rPr>
        <w:t xml:space="preserve"> (zie artikel 5 </w:t>
      </w:r>
      <w:proofErr w:type="spellStart"/>
      <w:r w:rsidR="00D854DF">
        <w:rPr>
          <w:rFonts w:ascii="Verdana" w:hAnsi="Verdana"/>
          <w:sz w:val="18"/>
          <w:szCs w:val="18"/>
        </w:rPr>
        <w:t>Cbw</w:t>
      </w:r>
      <w:proofErr w:type="spellEnd"/>
      <w:r w:rsidR="00D854DF">
        <w:rPr>
          <w:rFonts w:ascii="Verdana" w:hAnsi="Verdana"/>
          <w:sz w:val="18"/>
          <w:szCs w:val="18"/>
        </w:rPr>
        <w:t>)</w:t>
      </w:r>
      <w:r w:rsidRPr="00AC3914">
        <w:rPr>
          <w:rFonts w:ascii="Verdana" w:hAnsi="Verdana"/>
          <w:sz w:val="18"/>
          <w:szCs w:val="18"/>
        </w:rPr>
        <w:t xml:space="preserve">. </w:t>
      </w:r>
    </w:p>
    <w:p w:rsidRPr="00AC3914" w:rsidR="000637A7" w:rsidP="000637A7" w:rsidRDefault="000637A7" w14:paraId="245F531A" w14:textId="5FA4123E">
      <w:pPr>
        <w:pStyle w:val="Geenafstand"/>
        <w:rPr>
          <w:rFonts w:ascii="Verdana" w:hAnsi="Verdana"/>
          <w:b/>
          <w:bCs/>
          <w:sz w:val="18"/>
          <w:szCs w:val="18"/>
        </w:rPr>
      </w:pPr>
      <w:r w:rsidRPr="00AC3914">
        <w:rPr>
          <w:rFonts w:ascii="Verdana" w:hAnsi="Verdana"/>
          <w:sz w:val="18"/>
          <w:szCs w:val="18"/>
        </w:rPr>
        <w:t xml:space="preserve">Voorts zijn zelfstandige bestuursorganen van de centrale overheid, voor zover zij voldoen aan de vier hiervoor vermelde criteria die gelden voor het begrip overheidsinstantie, essentiële entiteit (zie artikel </w:t>
      </w:r>
      <w:r w:rsidR="001E06BB">
        <w:rPr>
          <w:rFonts w:ascii="Verdana" w:hAnsi="Verdana"/>
          <w:sz w:val="18"/>
          <w:szCs w:val="18"/>
        </w:rPr>
        <w:t>8</w:t>
      </w:r>
      <w:r w:rsidRPr="00AC3914">
        <w:rPr>
          <w:rFonts w:ascii="Verdana" w:hAnsi="Verdana"/>
          <w:sz w:val="18"/>
          <w:szCs w:val="18"/>
        </w:rPr>
        <w:t>, eerste lid, onder</w:t>
      </w:r>
      <w:r w:rsidR="00F122CB">
        <w:rPr>
          <w:rFonts w:ascii="Verdana" w:hAnsi="Verdana"/>
          <w:sz w:val="18"/>
          <w:szCs w:val="18"/>
        </w:rPr>
        <w:t>deel</w:t>
      </w:r>
      <w:r w:rsidRPr="00AC3914">
        <w:rPr>
          <w:rFonts w:ascii="Verdana" w:hAnsi="Verdana"/>
          <w:sz w:val="18"/>
          <w:szCs w:val="18"/>
        </w:rPr>
        <w:t xml:space="preserve"> </w:t>
      </w:r>
      <w:r w:rsidR="00D86A40">
        <w:rPr>
          <w:rFonts w:ascii="Verdana" w:hAnsi="Verdana"/>
          <w:sz w:val="18"/>
          <w:szCs w:val="18"/>
        </w:rPr>
        <w:t>g</w:t>
      </w:r>
      <w:r w:rsidRPr="00AC3914">
        <w:rPr>
          <w:rFonts w:ascii="Verdana" w:hAnsi="Verdana"/>
          <w:sz w:val="18"/>
          <w:szCs w:val="18"/>
        </w:rPr>
        <w:t xml:space="preserve">, </w:t>
      </w:r>
      <w:proofErr w:type="spellStart"/>
      <w:r w:rsidRPr="00AC3914">
        <w:rPr>
          <w:rFonts w:ascii="Verdana" w:hAnsi="Verdana"/>
          <w:sz w:val="18"/>
          <w:szCs w:val="18"/>
        </w:rPr>
        <w:t>Cbw</w:t>
      </w:r>
      <w:proofErr w:type="spellEnd"/>
      <w:r w:rsidRPr="00AC3914">
        <w:rPr>
          <w:rFonts w:ascii="Verdana" w:hAnsi="Verdana"/>
          <w:sz w:val="18"/>
          <w:szCs w:val="18"/>
        </w:rPr>
        <w:t>). Voor wat betreft zelfstandige bestuursorganen die vallen onder de Kaderwet zelfstandige bestuursorganen geldt dat deze behoren tot de centrale overheid. Artikel 1, onder</w:t>
      </w:r>
      <w:r w:rsidR="00F122CB">
        <w:rPr>
          <w:rFonts w:ascii="Verdana" w:hAnsi="Verdana"/>
          <w:sz w:val="18"/>
          <w:szCs w:val="18"/>
        </w:rPr>
        <w:t>deel</w:t>
      </w:r>
      <w:r w:rsidRPr="00AC3914">
        <w:rPr>
          <w:rFonts w:ascii="Verdana" w:hAnsi="Verdana"/>
          <w:sz w:val="18"/>
          <w:szCs w:val="18"/>
        </w:rPr>
        <w:t xml:space="preserve"> a, Kaderwet </w:t>
      </w:r>
      <w:r w:rsidRPr="009E4A20" w:rsidR="00E10D96">
        <w:rPr>
          <w:rFonts w:ascii="Verdana" w:hAnsi="Verdana"/>
          <w:sz w:val="18"/>
          <w:szCs w:val="18"/>
        </w:rPr>
        <w:t>zelfstandige bestuursorganen</w:t>
      </w:r>
      <w:r w:rsidRPr="00AC3914" w:rsidR="00E10D96">
        <w:rPr>
          <w:rFonts w:ascii="Verdana" w:hAnsi="Verdana"/>
          <w:sz w:val="18"/>
          <w:szCs w:val="18"/>
        </w:rPr>
        <w:t xml:space="preserve"> </w:t>
      </w:r>
      <w:r w:rsidRPr="00AC3914">
        <w:rPr>
          <w:rFonts w:ascii="Verdana" w:hAnsi="Verdana"/>
          <w:sz w:val="18"/>
          <w:szCs w:val="18"/>
        </w:rPr>
        <w:t>bepaalt immers dat een zelfstandig bestuursorgaan is</w:t>
      </w:r>
      <w:r w:rsidR="005360FF">
        <w:rPr>
          <w:rFonts w:ascii="Verdana" w:hAnsi="Verdana"/>
          <w:sz w:val="18"/>
          <w:szCs w:val="18"/>
        </w:rPr>
        <w:t>:</w:t>
      </w:r>
      <w:r w:rsidRPr="00AC3914">
        <w:rPr>
          <w:rFonts w:ascii="Verdana" w:hAnsi="Verdana"/>
          <w:sz w:val="18"/>
          <w:szCs w:val="18"/>
        </w:rPr>
        <w:t xml:space="preserve"> een bestuursorgaan </w:t>
      </w:r>
      <w:r w:rsidRPr="00AC3914">
        <w:rPr>
          <w:rFonts w:ascii="Verdana" w:hAnsi="Verdana"/>
          <w:i/>
          <w:iCs/>
          <w:sz w:val="18"/>
          <w:szCs w:val="18"/>
        </w:rPr>
        <w:t>van de centrale overheid</w:t>
      </w:r>
      <w:r w:rsidRPr="00AC3914">
        <w:rPr>
          <w:rFonts w:ascii="Verdana" w:hAnsi="Verdana"/>
          <w:sz w:val="18"/>
          <w:szCs w:val="18"/>
        </w:rPr>
        <w:t xml:space="preserve"> dat bij de wet, krachtens de wet bij algemene maatregel van bestuur of krachtens de wet bij ministeriële regeling met openbaar gezag is bekleed, en dat niet hiërarchisch ondergeschikt is aan een minister. Uiteraard zal wel moeten zijn voldaan aan de overige vereisten uit de definitie van het begrip overheidsinstantie. Als dit niet het geval is, zijn de bepalingen van de </w:t>
      </w:r>
      <w:proofErr w:type="spellStart"/>
      <w:r w:rsidRPr="00AC3914">
        <w:rPr>
          <w:rFonts w:ascii="Verdana" w:hAnsi="Verdana"/>
          <w:sz w:val="18"/>
          <w:szCs w:val="18"/>
        </w:rPr>
        <w:t>Cbw</w:t>
      </w:r>
      <w:proofErr w:type="spellEnd"/>
      <w:r w:rsidRPr="00AC3914">
        <w:rPr>
          <w:rFonts w:ascii="Verdana" w:hAnsi="Verdana"/>
          <w:sz w:val="18"/>
          <w:szCs w:val="18"/>
        </w:rPr>
        <w:t xml:space="preserve"> op dat </w:t>
      </w:r>
      <w:r w:rsidR="005360FF">
        <w:rPr>
          <w:rFonts w:ascii="Verdana" w:hAnsi="Verdana"/>
          <w:sz w:val="18"/>
          <w:szCs w:val="18"/>
        </w:rPr>
        <w:t>zelfstandig bestuursorgaan</w:t>
      </w:r>
      <w:r w:rsidRPr="00AC3914">
        <w:rPr>
          <w:rFonts w:ascii="Verdana" w:hAnsi="Verdana"/>
          <w:sz w:val="18"/>
          <w:szCs w:val="18"/>
        </w:rPr>
        <w:t xml:space="preserve"> niet van toepassing. </w:t>
      </w:r>
    </w:p>
    <w:p w:rsidR="000637A7" w:rsidP="000637A7" w:rsidRDefault="000637A7" w14:paraId="7803CFA7" w14:textId="57326CBF">
      <w:pPr>
        <w:pStyle w:val="Geenafstand"/>
        <w:rPr>
          <w:rFonts w:ascii="Verdana" w:hAnsi="Verdana"/>
          <w:sz w:val="18"/>
          <w:szCs w:val="18"/>
        </w:rPr>
      </w:pPr>
      <w:r w:rsidRPr="00AC3914">
        <w:rPr>
          <w:rFonts w:ascii="Verdana" w:hAnsi="Verdana"/>
          <w:sz w:val="18"/>
          <w:szCs w:val="18"/>
        </w:rPr>
        <w:t xml:space="preserve">Zelfstandige bestuursorganen waarop de Kaderwet </w:t>
      </w:r>
      <w:r w:rsidRPr="009E4A20" w:rsidR="00E10D96">
        <w:rPr>
          <w:rFonts w:ascii="Verdana" w:hAnsi="Verdana"/>
          <w:sz w:val="18"/>
          <w:szCs w:val="18"/>
        </w:rPr>
        <w:t>zelfstandige bestuursorganen</w:t>
      </w:r>
      <w:r w:rsidRPr="00AC3914" w:rsidR="00E10D96">
        <w:rPr>
          <w:rFonts w:ascii="Verdana" w:hAnsi="Verdana"/>
          <w:sz w:val="18"/>
          <w:szCs w:val="18"/>
        </w:rPr>
        <w:t xml:space="preserve"> </w:t>
      </w:r>
      <w:r w:rsidRPr="00AC3914">
        <w:rPr>
          <w:rFonts w:ascii="Verdana" w:hAnsi="Verdana"/>
          <w:sz w:val="18"/>
          <w:szCs w:val="18"/>
        </w:rPr>
        <w:t xml:space="preserve">niet van toepassing is, kunnen nog steeds onder het bereik van de NIS2-richtlijn vallen. Daarvoor zal moeten worden bezien of zij onderdeel zijn van de centrale overheid en of zij ook voor het overige voldoen aan de criteria uit de definitie van het begrip overheidsinstantie. </w:t>
      </w:r>
    </w:p>
    <w:p w:rsidRPr="00AC3914" w:rsidR="000637A7" w:rsidP="000637A7" w:rsidRDefault="000637A7" w14:paraId="4542373F" w14:textId="77777777">
      <w:pPr>
        <w:pStyle w:val="Geenafstand"/>
        <w:rPr>
          <w:rFonts w:ascii="Verdana" w:hAnsi="Verdana"/>
          <w:sz w:val="18"/>
          <w:szCs w:val="18"/>
        </w:rPr>
      </w:pPr>
    </w:p>
    <w:p w:rsidRPr="00AC3914" w:rsidR="000637A7" w:rsidP="000637A7" w:rsidRDefault="000637A7" w14:paraId="184E5636" w14:textId="77777777">
      <w:pPr>
        <w:pStyle w:val="Geenafstand"/>
        <w:rPr>
          <w:rFonts w:ascii="Verdana" w:hAnsi="Verdana"/>
          <w:sz w:val="18"/>
          <w:szCs w:val="18"/>
        </w:rPr>
      </w:pPr>
      <w:r w:rsidRPr="00AC3914">
        <w:rPr>
          <w:rFonts w:ascii="Verdana" w:hAnsi="Verdana"/>
          <w:i/>
          <w:iCs/>
          <w:sz w:val="18"/>
          <w:szCs w:val="18"/>
        </w:rPr>
        <w:t>Lokale overheid - provincies, gemeenten en waterschappen</w:t>
      </w:r>
    </w:p>
    <w:p w:rsidRPr="00AC3914" w:rsidR="000637A7" w:rsidP="000637A7" w:rsidRDefault="000637A7" w14:paraId="210C9DDC" w14:textId="3C1BBBBA">
      <w:pPr>
        <w:pStyle w:val="Geenafstand"/>
        <w:rPr>
          <w:rFonts w:ascii="Verdana" w:hAnsi="Verdana"/>
          <w:b/>
          <w:bCs/>
          <w:sz w:val="18"/>
          <w:szCs w:val="18"/>
        </w:rPr>
      </w:pPr>
      <w:r w:rsidRPr="00AC3914">
        <w:rPr>
          <w:rFonts w:ascii="Verdana" w:hAnsi="Verdana"/>
          <w:sz w:val="18"/>
          <w:szCs w:val="18"/>
        </w:rPr>
        <w:t>Ten aanzien van lokale overheden geeft de NIS2-richtlijn lidstaten in artikel 2, vijfde lid, onder</w:t>
      </w:r>
      <w:r w:rsidR="00CA5039">
        <w:rPr>
          <w:rFonts w:ascii="Verdana" w:hAnsi="Verdana"/>
          <w:sz w:val="18"/>
          <w:szCs w:val="18"/>
        </w:rPr>
        <w:t>deel</w:t>
      </w:r>
      <w:r w:rsidRPr="00AC3914">
        <w:rPr>
          <w:rFonts w:ascii="Verdana" w:hAnsi="Verdana"/>
          <w:sz w:val="18"/>
          <w:szCs w:val="18"/>
        </w:rPr>
        <w:t xml:space="preserve"> a, de mogelijkheid ze onder het toepassingsbereik van de NIS2-richtlijn te brengen. Van die mogelijkheid maakt de regering gebruik. De overheid zelf heeft de verplichting om op een zorgvuldige manier om te gaan met gegevens van burgers en bedrijven. Burgers en bedrijven zijn bovendien in allerlei gevallen verplicht hun gegevens te delen met de overheid. Ook heeft de overheid simpelweg een voorbeeldfunctie. De regering vindt het van belang dat overheidsinstanties op alle niveaus aan een </w:t>
      </w:r>
      <w:r w:rsidRPr="00AC3914">
        <w:rPr>
          <w:rFonts w:ascii="Verdana" w:hAnsi="Verdana"/>
          <w:sz w:val="18"/>
          <w:szCs w:val="18"/>
        </w:rPr>
        <w:lastRenderedPageBreak/>
        <w:t xml:space="preserve">hoog beveiligingsniveau voldoen. Het kiest er daarom voor om provincies, waterschappen en gemeenten onder de </w:t>
      </w:r>
      <w:proofErr w:type="spellStart"/>
      <w:r w:rsidRPr="00AC3914">
        <w:rPr>
          <w:rFonts w:ascii="Verdana" w:hAnsi="Verdana"/>
          <w:sz w:val="18"/>
          <w:szCs w:val="18"/>
        </w:rPr>
        <w:t>Cbw</w:t>
      </w:r>
      <w:proofErr w:type="spellEnd"/>
      <w:r w:rsidRPr="00AC3914">
        <w:rPr>
          <w:rFonts w:ascii="Verdana" w:hAnsi="Verdana"/>
          <w:sz w:val="18"/>
          <w:szCs w:val="18"/>
        </w:rPr>
        <w:t xml:space="preserve"> te brengen als essentiële entiteit (zie artikel </w:t>
      </w:r>
      <w:r w:rsidR="001E06BB">
        <w:rPr>
          <w:rFonts w:ascii="Verdana" w:hAnsi="Verdana"/>
          <w:sz w:val="18"/>
          <w:szCs w:val="18"/>
        </w:rPr>
        <w:t>8</w:t>
      </w:r>
      <w:r w:rsidRPr="00AC3914">
        <w:rPr>
          <w:rFonts w:ascii="Verdana" w:hAnsi="Verdana"/>
          <w:sz w:val="18"/>
          <w:szCs w:val="18"/>
        </w:rPr>
        <w:t>, eerste lid, onder</w:t>
      </w:r>
      <w:r w:rsidR="00F122CB">
        <w:rPr>
          <w:rFonts w:ascii="Verdana" w:hAnsi="Verdana"/>
          <w:sz w:val="18"/>
          <w:szCs w:val="18"/>
        </w:rPr>
        <w:t>deel</w:t>
      </w:r>
      <w:r w:rsidRPr="00AC3914">
        <w:rPr>
          <w:rFonts w:ascii="Verdana" w:hAnsi="Verdana"/>
          <w:sz w:val="18"/>
          <w:szCs w:val="18"/>
        </w:rPr>
        <w:t xml:space="preserve"> h, </w:t>
      </w:r>
      <w:proofErr w:type="spellStart"/>
      <w:r w:rsidRPr="00AC3914">
        <w:rPr>
          <w:rFonts w:ascii="Verdana" w:hAnsi="Verdana"/>
          <w:sz w:val="18"/>
          <w:szCs w:val="18"/>
        </w:rPr>
        <w:t>Cbw</w:t>
      </w:r>
      <w:proofErr w:type="spellEnd"/>
      <w:r w:rsidRPr="00AC3914">
        <w:rPr>
          <w:rFonts w:ascii="Verdana" w:hAnsi="Verdana"/>
          <w:sz w:val="18"/>
          <w:szCs w:val="18"/>
        </w:rPr>
        <w:t xml:space="preserve">). </w:t>
      </w:r>
    </w:p>
    <w:p w:rsidRPr="00AC3914" w:rsidR="000637A7" w:rsidP="000637A7" w:rsidRDefault="000637A7" w14:paraId="7C10D4D7" w14:textId="5C139808">
      <w:pPr>
        <w:pStyle w:val="Geenafstand"/>
        <w:rPr>
          <w:rFonts w:ascii="Verdana" w:hAnsi="Verdana"/>
          <w:sz w:val="18"/>
          <w:szCs w:val="18"/>
        </w:rPr>
      </w:pPr>
      <w:r w:rsidRPr="00AC3914">
        <w:rPr>
          <w:rFonts w:ascii="Verdana" w:hAnsi="Verdana"/>
          <w:sz w:val="18"/>
          <w:szCs w:val="18"/>
        </w:rPr>
        <w:t>In de praktijk zijn veel verplichtingen als genoemd in de NIS2-richtlijn op dit moment al van toepassing op de overheid, met inbegrip van lokale overheden. Op dit moment geldt al de Baseline Informatiebeveiliging Overheid (BIO).</w:t>
      </w:r>
      <w:r w:rsidRPr="00AC3914">
        <w:rPr>
          <w:rFonts w:ascii="Verdana" w:hAnsi="Verdana"/>
          <w:sz w:val="18"/>
          <w:szCs w:val="18"/>
          <w:vertAlign w:val="superscript"/>
        </w:rPr>
        <w:footnoteReference w:id="29"/>
      </w:r>
      <w:r w:rsidRPr="00AC3914">
        <w:rPr>
          <w:rFonts w:ascii="Verdana" w:hAnsi="Verdana"/>
          <w:sz w:val="18"/>
          <w:szCs w:val="18"/>
        </w:rPr>
        <w:t xml:space="preserve"> Daarnaast zijn er tal van sectorale wet- en regelgeving van kracht met ook informatiebeveiligingseisen die veelal overlappen met de eisen die in de BIO worden gesteld of daarmee vergelijkbaar zijn. Een van de redenen voor deze versnippering is het ontbreken van een juridische status van de BIO. Het kabinet heeft</w:t>
      </w:r>
      <w:r w:rsidR="00A66038">
        <w:rPr>
          <w:rFonts w:ascii="Verdana" w:hAnsi="Verdana"/>
          <w:sz w:val="18"/>
          <w:szCs w:val="18"/>
        </w:rPr>
        <w:t xml:space="preserve">, bij monde van </w:t>
      </w:r>
      <w:r w:rsidR="006F4D97">
        <w:rPr>
          <w:rFonts w:ascii="Verdana" w:hAnsi="Verdana"/>
          <w:sz w:val="18"/>
          <w:szCs w:val="18"/>
        </w:rPr>
        <w:t>de Staatssecretaris van Digitale Zaken en Koninkrijksrelaties</w:t>
      </w:r>
      <w:r w:rsidR="00A66038">
        <w:rPr>
          <w:rFonts w:ascii="Verdana" w:hAnsi="Verdana"/>
          <w:sz w:val="18"/>
          <w:szCs w:val="18"/>
        </w:rPr>
        <w:t>,</w:t>
      </w:r>
      <w:r w:rsidRPr="00AC3914">
        <w:rPr>
          <w:rFonts w:ascii="Verdana" w:hAnsi="Verdana"/>
          <w:sz w:val="18"/>
          <w:szCs w:val="18"/>
        </w:rPr>
        <w:t xml:space="preserve"> de ambitie uitgesproken om de informatiebeveiligingsregelgeving </w:t>
      </w:r>
      <w:proofErr w:type="spellStart"/>
      <w:r w:rsidRPr="00AC3914">
        <w:rPr>
          <w:rFonts w:ascii="Verdana" w:hAnsi="Verdana"/>
          <w:sz w:val="18"/>
          <w:szCs w:val="18"/>
        </w:rPr>
        <w:t>overheidsbreed</w:t>
      </w:r>
      <w:proofErr w:type="spellEnd"/>
      <w:r w:rsidRPr="00AC3914">
        <w:rPr>
          <w:rFonts w:ascii="Verdana" w:hAnsi="Verdana"/>
          <w:sz w:val="18"/>
          <w:szCs w:val="18"/>
        </w:rPr>
        <w:t xml:space="preserve"> te harmoniseren en onder meer de BIO wettelijk te verankeren.</w:t>
      </w:r>
      <w:r w:rsidRPr="00AC3914">
        <w:rPr>
          <w:rFonts w:ascii="Verdana" w:hAnsi="Verdana"/>
          <w:sz w:val="18"/>
          <w:szCs w:val="18"/>
          <w:vertAlign w:val="superscript"/>
        </w:rPr>
        <w:footnoteReference w:id="30"/>
      </w:r>
      <w:r w:rsidRPr="00AC3914">
        <w:rPr>
          <w:rFonts w:ascii="Verdana" w:hAnsi="Verdana"/>
          <w:sz w:val="18"/>
          <w:szCs w:val="18"/>
        </w:rPr>
        <w:t xml:space="preserve"> De keuze om lokale overheden onder het bereik van de </w:t>
      </w:r>
      <w:proofErr w:type="spellStart"/>
      <w:r w:rsidRPr="00AC3914">
        <w:rPr>
          <w:rFonts w:ascii="Verdana" w:hAnsi="Verdana"/>
          <w:sz w:val="18"/>
          <w:szCs w:val="18"/>
        </w:rPr>
        <w:t>Cbw</w:t>
      </w:r>
      <w:proofErr w:type="spellEnd"/>
      <w:r w:rsidRPr="00AC3914">
        <w:rPr>
          <w:rFonts w:ascii="Verdana" w:hAnsi="Verdana"/>
          <w:sz w:val="18"/>
          <w:szCs w:val="18"/>
        </w:rPr>
        <w:t xml:space="preserve"> te brengen, geeft invulling aan dit beleid.</w:t>
      </w:r>
    </w:p>
    <w:p w:rsidR="00E774E5" w:rsidP="00E774E5" w:rsidRDefault="00E774E5" w14:paraId="5121CA48" w14:textId="3B6FA351">
      <w:pPr>
        <w:pStyle w:val="Geenafstand"/>
        <w:rPr>
          <w:rFonts w:ascii="Verdana" w:hAnsi="Verdana"/>
          <w:sz w:val="18"/>
          <w:szCs w:val="18"/>
        </w:rPr>
      </w:pPr>
      <w:r>
        <w:rPr>
          <w:rFonts w:ascii="Verdana" w:hAnsi="Verdana"/>
          <w:sz w:val="18"/>
          <w:szCs w:val="18"/>
        </w:rPr>
        <w:t>Voor de decentrale overheden, uitgezonderd van de waterschappen, is de Minister van Binnenlandse Zaken en Koninkrijksrelaties de bevoegde autoriteit. Voor de waterschappen, ook voor hun diensten in de sector overheid, is de Minister van Infrastructuur en Waterstaat</w:t>
      </w:r>
      <w:r w:rsidRPr="00E774E5">
        <w:rPr>
          <w:rFonts w:ascii="Verdana" w:hAnsi="Verdana"/>
          <w:sz w:val="18"/>
          <w:szCs w:val="18"/>
        </w:rPr>
        <w:t xml:space="preserve"> </w:t>
      </w:r>
      <w:r>
        <w:rPr>
          <w:rFonts w:ascii="Verdana" w:hAnsi="Verdana"/>
          <w:sz w:val="18"/>
          <w:szCs w:val="18"/>
        </w:rPr>
        <w:t>de bevoegde autoriteit,</w:t>
      </w:r>
      <w:r w:rsidR="00E90C2B">
        <w:rPr>
          <w:rFonts w:ascii="Verdana" w:hAnsi="Verdana"/>
          <w:sz w:val="18"/>
          <w:szCs w:val="18"/>
        </w:rPr>
        <w:t xml:space="preserve"> met het oog op</w:t>
      </w:r>
      <w:r>
        <w:rPr>
          <w:rFonts w:ascii="Verdana" w:hAnsi="Verdana"/>
          <w:sz w:val="18"/>
          <w:szCs w:val="18"/>
        </w:rPr>
        <w:t xml:space="preserve"> zijn stelselverantwoordelijkheid uit de Waterschapswet en </w:t>
      </w:r>
      <w:r w:rsidR="00E90C2B">
        <w:rPr>
          <w:rFonts w:ascii="Verdana" w:hAnsi="Verdana"/>
          <w:sz w:val="18"/>
          <w:szCs w:val="18"/>
        </w:rPr>
        <w:t xml:space="preserve">gelet op </w:t>
      </w:r>
      <w:r>
        <w:rPr>
          <w:rFonts w:ascii="Verdana" w:hAnsi="Verdana"/>
          <w:sz w:val="18"/>
          <w:szCs w:val="18"/>
        </w:rPr>
        <w:t xml:space="preserve">de primaire taken van de waterschappen. </w:t>
      </w:r>
    </w:p>
    <w:p w:rsidR="00A66038" w:rsidP="00E774E5" w:rsidRDefault="00A66038" w14:paraId="3A4B02F1" w14:textId="7FD074DF">
      <w:pPr>
        <w:pStyle w:val="Geenafstand"/>
        <w:rPr>
          <w:rFonts w:ascii="Verdana" w:hAnsi="Verdana"/>
          <w:sz w:val="18"/>
          <w:szCs w:val="18"/>
        </w:rPr>
      </w:pPr>
      <w:r>
        <w:rPr>
          <w:rFonts w:ascii="Verdana" w:hAnsi="Verdana"/>
          <w:sz w:val="18"/>
          <w:szCs w:val="18"/>
        </w:rPr>
        <w:t xml:space="preserve">De ministers die het aangaan (in het bijzonder de Minister van Binnenlandse Zaken en Koninkrijksrelaties en de Minister van Infrastructuur en Waterstaat) stemmen de lagere regelgeving die geldt voor decentrale overheden met elkaar af. </w:t>
      </w:r>
    </w:p>
    <w:p w:rsidR="000637A7" w:rsidP="000637A7" w:rsidRDefault="000637A7" w14:paraId="2CC226BB" w14:textId="37F1F38B">
      <w:pPr>
        <w:pStyle w:val="Geenafstand"/>
        <w:rPr>
          <w:rFonts w:ascii="Verdana" w:hAnsi="Verdana"/>
          <w:sz w:val="18"/>
          <w:szCs w:val="18"/>
        </w:rPr>
      </w:pPr>
      <w:r w:rsidRPr="00AC3914">
        <w:rPr>
          <w:rFonts w:ascii="Verdana" w:hAnsi="Verdana"/>
          <w:sz w:val="18"/>
          <w:szCs w:val="18"/>
        </w:rPr>
        <w:t xml:space="preserve">Wellicht ten overvloede wordt opgemerkt dat de openbare lichamen Bonaire, Sint Eustatius en Saba buiten het bereik van de richtlijn vallen, omdat de richtlijn enkel van toepassing is op Europees Nederland. </w:t>
      </w:r>
    </w:p>
    <w:p w:rsidRPr="00AC3914" w:rsidR="000637A7" w:rsidP="000637A7" w:rsidRDefault="000637A7" w14:paraId="2F5499B1" w14:textId="77777777">
      <w:pPr>
        <w:pStyle w:val="Geenafstand"/>
        <w:rPr>
          <w:rFonts w:ascii="Verdana" w:hAnsi="Verdana"/>
          <w:sz w:val="18"/>
          <w:szCs w:val="18"/>
        </w:rPr>
      </w:pPr>
    </w:p>
    <w:p w:rsidRPr="00AC3914" w:rsidR="000637A7" w:rsidP="000637A7" w:rsidRDefault="000637A7" w14:paraId="5B98F942" w14:textId="77777777">
      <w:pPr>
        <w:pStyle w:val="Geenafstand"/>
        <w:rPr>
          <w:rFonts w:ascii="Verdana" w:hAnsi="Verdana"/>
          <w:i/>
          <w:iCs/>
          <w:sz w:val="18"/>
          <w:szCs w:val="18"/>
        </w:rPr>
      </w:pPr>
      <w:r w:rsidRPr="00AC3914">
        <w:rPr>
          <w:rFonts w:ascii="Verdana" w:hAnsi="Verdana"/>
          <w:i/>
          <w:iCs/>
          <w:sz w:val="18"/>
          <w:szCs w:val="18"/>
        </w:rPr>
        <w:t>Lokale overheid – gemeenschappelijke regelingen</w:t>
      </w:r>
    </w:p>
    <w:p w:rsidRPr="00AC3914" w:rsidR="000637A7" w:rsidP="000637A7" w:rsidRDefault="005A2DC2" w14:paraId="78E55A1F" w14:textId="760F4D1B">
      <w:pPr>
        <w:pStyle w:val="Geenafstand"/>
        <w:rPr>
          <w:rFonts w:ascii="Verdana" w:hAnsi="Verdana"/>
          <w:sz w:val="18"/>
          <w:szCs w:val="18"/>
        </w:rPr>
      </w:pPr>
      <w:r>
        <w:rPr>
          <w:rFonts w:ascii="Verdana" w:hAnsi="Verdana"/>
          <w:sz w:val="18"/>
          <w:szCs w:val="18"/>
        </w:rPr>
        <w:t>G</w:t>
      </w:r>
      <w:r w:rsidRPr="00AC3914" w:rsidR="000637A7">
        <w:rPr>
          <w:rFonts w:ascii="Verdana" w:hAnsi="Verdana"/>
          <w:sz w:val="18"/>
          <w:szCs w:val="18"/>
        </w:rPr>
        <w:t xml:space="preserve">emeenschappelijke regelingen zijn op grond van artikel </w:t>
      </w:r>
      <w:r w:rsidR="001E06BB">
        <w:rPr>
          <w:rFonts w:ascii="Verdana" w:hAnsi="Verdana"/>
          <w:sz w:val="18"/>
          <w:szCs w:val="18"/>
        </w:rPr>
        <w:t>8</w:t>
      </w:r>
      <w:r w:rsidRPr="00AC3914" w:rsidR="000637A7">
        <w:rPr>
          <w:rFonts w:ascii="Verdana" w:hAnsi="Verdana"/>
          <w:sz w:val="18"/>
          <w:szCs w:val="18"/>
        </w:rPr>
        <w:t xml:space="preserve">, eerste lid, onderdeel h, </w:t>
      </w:r>
      <w:proofErr w:type="spellStart"/>
      <w:r w:rsidRPr="00AC3914" w:rsidR="000637A7">
        <w:rPr>
          <w:rFonts w:ascii="Verdana" w:hAnsi="Verdana"/>
          <w:sz w:val="18"/>
          <w:szCs w:val="18"/>
        </w:rPr>
        <w:t>Cbw</w:t>
      </w:r>
      <w:proofErr w:type="spellEnd"/>
      <w:r w:rsidRPr="00AC3914" w:rsidR="000637A7">
        <w:rPr>
          <w:rFonts w:ascii="Verdana" w:hAnsi="Verdana"/>
          <w:sz w:val="18"/>
          <w:szCs w:val="18"/>
        </w:rPr>
        <w:t xml:space="preserve">, aangewezen als essentiële entiteit, voor zover zij althans voldoen aan de definitie van het begrip overheidsinstantie. Specifieker gezegd betreft het openbare lichamen, </w:t>
      </w:r>
      <w:proofErr w:type="spellStart"/>
      <w:r w:rsidRPr="00AC3914" w:rsidR="000637A7">
        <w:rPr>
          <w:rFonts w:ascii="Verdana" w:hAnsi="Verdana"/>
          <w:sz w:val="18"/>
          <w:szCs w:val="18"/>
        </w:rPr>
        <w:t>bedrijfsvoeringsorganisaties</w:t>
      </w:r>
      <w:proofErr w:type="spellEnd"/>
      <w:r w:rsidRPr="00AC3914" w:rsidR="000637A7">
        <w:rPr>
          <w:rFonts w:ascii="Verdana" w:hAnsi="Verdana"/>
          <w:sz w:val="18"/>
          <w:szCs w:val="18"/>
        </w:rPr>
        <w:t xml:space="preserve"> en gemeenschappelijke organen als bedoeld in de Wet gemeenschappelijke regelingen. Gemeenten, provincies en waterschappen kunnen via gemeenschappelijke regelingen taken in gezamenlijkheid uitvoeren. Gemeenschappelijke regelingen zijn zo bezien als het ware een verlengstuk van decentrale overheden. Nu decentrale overheden zelf onder het toepassingsbereik van de </w:t>
      </w:r>
      <w:proofErr w:type="spellStart"/>
      <w:r w:rsidRPr="00AC3914" w:rsidR="000637A7">
        <w:rPr>
          <w:rFonts w:ascii="Verdana" w:hAnsi="Verdana"/>
          <w:sz w:val="18"/>
          <w:szCs w:val="18"/>
        </w:rPr>
        <w:t>Cbw</w:t>
      </w:r>
      <w:proofErr w:type="spellEnd"/>
      <w:r w:rsidRPr="00AC3914" w:rsidR="000637A7">
        <w:rPr>
          <w:rFonts w:ascii="Verdana" w:hAnsi="Verdana"/>
          <w:sz w:val="18"/>
          <w:szCs w:val="18"/>
        </w:rPr>
        <w:t xml:space="preserve"> zijn gebracht, is het wenselijk dat ook gemeenschappelijke regelingen onder het toepassingsbereik van de </w:t>
      </w:r>
      <w:proofErr w:type="spellStart"/>
      <w:r w:rsidRPr="00AC3914" w:rsidR="000637A7">
        <w:rPr>
          <w:rFonts w:ascii="Verdana" w:hAnsi="Verdana"/>
          <w:sz w:val="18"/>
          <w:szCs w:val="18"/>
        </w:rPr>
        <w:t>Cbw</w:t>
      </w:r>
      <w:proofErr w:type="spellEnd"/>
      <w:r w:rsidRPr="00AC3914" w:rsidR="000637A7">
        <w:rPr>
          <w:rFonts w:ascii="Verdana" w:hAnsi="Verdana"/>
          <w:sz w:val="18"/>
          <w:szCs w:val="18"/>
        </w:rPr>
        <w:t xml:space="preserve"> vallen. Het zou immers onwenselijk zijn indien het verplaatsen van decentrale taken en bevoegdheden naar een gemeenschappelijke regeling ertoe zou leiden dat de </w:t>
      </w:r>
      <w:proofErr w:type="spellStart"/>
      <w:r w:rsidRPr="00AC3914" w:rsidR="000637A7">
        <w:rPr>
          <w:rFonts w:ascii="Verdana" w:hAnsi="Verdana"/>
          <w:sz w:val="18"/>
          <w:szCs w:val="18"/>
        </w:rPr>
        <w:t>Cbw</w:t>
      </w:r>
      <w:proofErr w:type="spellEnd"/>
      <w:r w:rsidRPr="00AC3914" w:rsidR="000637A7">
        <w:rPr>
          <w:rFonts w:ascii="Verdana" w:hAnsi="Verdana"/>
          <w:sz w:val="18"/>
          <w:szCs w:val="18"/>
        </w:rPr>
        <w:t xml:space="preserve"> niet langer op de uitoefening van die taken en bevoegdheden van toepassing is. Evenals bij zelfstandige bestuursorganen is het, gelet op de uiteenlopende aard van gemeenschappelijke regelingen, van belang om telkens per entiteit te bezien of deze voldoet aan de vier criteria uit de definitie van het begrip overheidsinstantie.</w:t>
      </w:r>
      <w:r w:rsidR="008265E7">
        <w:rPr>
          <w:rFonts w:ascii="Verdana" w:hAnsi="Verdana"/>
          <w:sz w:val="18"/>
          <w:szCs w:val="18"/>
        </w:rPr>
        <w:t xml:space="preserve"> </w:t>
      </w:r>
    </w:p>
    <w:p w:rsidR="008D0185" w:rsidP="000637A7" w:rsidRDefault="008D0185" w14:paraId="5ABC3497" w14:textId="77777777">
      <w:pPr>
        <w:pStyle w:val="Geenafstand"/>
        <w:rPr>
          <w:rFonts w:ascii="Verdana" w:hAnsi="Verdana"/>
          <w:sz w:val="18"/>
          <w:szCs w:val="18"/>
        </w:rPr>
      </w:pPr>
    </w:p>
    <w:p w:rsidRPr="00E10D96" w:rsidR="00E10D96" w:rsidP="008F5067" w:rsidRDefault="00E10D96" w14:paraId="43AF8FB5" w14:textId="3AADF396">
      <w:pPr>
        <w:pStyle w:val="Geenafstand"/>
        <w:rPr>
          <w:rFonts w:ascii="Verdana" w:hAnsi="Verdana"/>
          <w:i/>
          <w:iCs/>
          <w:sz w:val="18"/>
          <w:szCs w:val="18"/>
        </w:rPr>
      </w:pPr>
      <w:r>
        <w:rPr>
          <w:rFonts w:ascii="Verdana" w:hAnsi="Verdana"/>
          <w:i/>
          <w:iCs/>
          <w:sz w:val="18"/>
          <w:szCs w:val="18"/>
        </w:rPr>
        <w:t>Uitgezonderde overheidsinstanties</w:t>
      </w:r>
    </w:p>
    <w:p w:rsidR="00562839" w:rsidP="008F5067" w:rsidRDefault="000637A7" w14:paraId="0A7D6FA7" w14:textId="43775767">
      <w:pPr>
        <w:pStyle w:val="Geenafstand"/>
        <w:rPr>
          <w:rFonts w:ascii="Verdana" w:hAnsi="Verdana"/>
          <w:sz w:val="18"/>
          <w:szCs w:val="18"/>
        </w:rPr>
      </w:pPr>
      <w:r w:rsidRPr="00AC3914">
        <w:rPr>
          <w:rFonts w:ascii="Verdana" w:hAnsi="Verdana"/>
          <w:sz w:val="18"/>
          <w:szCs w:val="18"/>
        </w:rPr>
        <w:t xml:space="preserve">Overheidsinstanties die in hoofdzaak activiteiten uitvoeren op het gebied van de nationale veiligheid, openbare veiligheid, defensie of rechtshandhaving zijn uitgesloten van het toepassingsbereik van de </w:t>
      </w:r>
      <w:proofErr w:type="spellStart"/>
      <w:r w:rsidR="005A2DC2">
        <w:rPr>
          <w:rFonts w:ascii="Verdana" w:hAnsi="Verdana"/>
          <w:sz w:val="18"/>
          <w:szCs w:val="18"/>
        </w:rPr>
        <w:t>Cbw</w:t>
      </w:r>
      <w:proofErr w:type="spellEnd"/>
      <w:r w:rsidR="005A2DC2">
        <w:rPr>
          <w:rFonts w:ascii="Verdana" w:hAnsi="Verdana"/>
          <w:sz w:val="18"/>
          <w:szCs w:val="18"/>
        </w:rPr>
        <w:t xml:space="preserve">. </w:t>
      </w:r>
      <w:r w:rsidR="008E3E1E">
        <w:rPr>
          <w:rFonts w:ascii="Verdana" w:hAnsi="Verdana"/>
          <w:sz w:val="18"/>
          <w:szCs w:val="18"/>
        </w:rPr>
        <w:t>Dit is geregeld in artikel 5</w:t>
      </w:r>
      <w:r w:rsidR="002F786E">
        <w:rPr>
          <w:rFonts w:ascii="Verdana" w:hAnsi="Verdana"/>
          <w:sz w:val="18"/>
          <w:szCs w:val="18"/>
        </w:rPr>
        <w:t>, eerste lid,</w:t>
      </w:r>
      <w:r w:rsidR="008E3E1E">
        <w:rPr>
          <w:rFonts w:ascii="Verdana" w:hAnsi="Verdana"/>
          <w:sz w:val="18"/>
          <w:szCs w:val="18"/>
        </w:rPr>
        <w:t xml:space="preserve"> </w:t>
      </w:r>
      <w:proofErr w:type="spellStart"/>
      <w:r w:rsidR="008E3E1E">
        <w:rPr>
          <w:rFonts w:ascii="Verdana" w:hAnsi="Verdana"/>
          <w:sz w:val="18"/>
          <w:szCs w:val="18"/>
        </w:rPr>
        <w:t>Cbw</w:t>
      </w:r>
      <w:proofErr w:type="spellEnd"/>
      <w:r w:rsidR="008E3E1E">
        <w:rPr>
          <w:rFonts w:ascii="Verdana" w:hAnsi="Verdana"/>
          <w:sz w:val="18"/>
          <w:szCs w:val="18"/>
        </w:rPr>
        <w:t>, waarmee</w:t>
      </w:r>
      <w:r w:rsidRPr="00AC3914">
        <w:rPr>
          <w:rFonts w:ascii="Verdana" w:hAnsi="Verdana"/>
          <w:sz w:val="18"/>
          <w:szCs w:val="18"/>
        </w:rPr>
        <w:t xml:space="preserve"> artikel 2, zevende lid, NIS2-richtlijn</w:t>
      </w:r>
      <w:r w:rsidR="008E3E1E">
        <w:rPr>
          <w:rFonts w:ascii="Verdana" w:hAnsi="Verdana"/>
          <w:sz w:val="18"/>
          <w:szCs w:val="18"/>
        </w:rPr>
        <w:t xml:space="preserve"> is geïmplementeerd</w:t>
      </w:r>
      <w:r w:rsidRPr="00AC3914">
        <w:rPr>
          <w:rFonts w:ascii="Verdana" w:hAnsi="Verdana"/>
          <w:sz w:val="18"/>
          <w:szCs w:val="18"/>
        </w:rPr>
        <w:t xml:space="preserve">. </w:t>
      </w:r>
      <w:r w:rsidR="008E3E1E">
        <w:rPr>
          <w:rFonts w:ascii="Verdana" w:hAnsi="Verdana"/>
          <w:sz w:val="18"/>
          <w:szCs w:val="18"/>
        </w:rPr>
        <w:t>In artikel 5</w:t>
      </w:r>
      <w:r w:rsidR="002F786E">
        <w:rPr>
          <w:rFonts w:ascii="Verdana" w:hAnsi="Verdana"/>
          <w:sz w:val="18"/>
          <w:szCs w:val="18"/>
        </w:rPr>
        <w:t>, eerste lid,</w:t>
      </w:r>
      <w:r w:rsidR="008E3E1E">
        <w:rPr>
          <w:rFonts w:ascii="Verdana" w:hAnsi="Verdana"/>
          <w:sz w:val="18"/>
          <w:szCs w:val="18"/>
        </w:rPr>
        <w:t xml:space="preserve"> </w:t>
      </w:r>
      <w:proofErr w:type="spellStart"/>
      <w:r w:rsidR="008E3E1E">
        <w:rPr>
          <w:rFonts w:ascii="Verdana" w:hAnsi="Verdana"/>
          <w:sz w:val="18"/>
          <w:szCs w:val="18"/>
        </w:rPr>
        <w:t>Cbw</w:t>
      </w:r>
      <w:proofErr w:type="spellEnd"/>
      <w:r w:rsidR="008E3E1E">
        <w:rPr>
          <w:rFonts w:ascii="Verdana" w:hAnsi="Verdana"/>
          <w:sz w:val="18"/>
          <w:szCs w:val="18"/>
        </w:rPr>
        <w:t xml:space="preserve"> is bepaald dat de </w:t>
      </w:r>
      <w:proofErr w:type="spellStart"/>
      <w:r w:rsidR="008E3E1E">
        <w:rPr>
          <w:rFonts w:ascii="Verdana" w:hAnsi="Verdana"/>
          <w:sz w:val="18"/>
          <w:szCs w:val="18"/>
        </w:rPr>
        <w:t>Cbw</w:t>
      </w:r>
      <w:proofErr w:type="spellEnd"/>
      <w:r w:rsidR="008E3E1E">
        <w:rPr>
          <w:rFonts w:ascii="Verdana" w:hAnsi="Verdana"/>
          <w:sz w:val="18"/>
          <w:szCs w:val="18"/>
        </w:rPr>
        <w:t xml:space="preserve"> niet van toepassing is </w:t>
      </w:r>
      <w:r w:rsidRPr="00A836E6" w:rsidR="00A836E6">
        <w:rPr>
          <w:rFonts w:ascii="Verdana" w:hAnsi="Verdana"/>
          <w:sz w:val="18"/>
          <w:szCs w:val="18"/>
        </w:rPr>
        <w:t xml:space="preserve">op het Ministerie van Defensie, de Militaire Inlichtingen- en Veiligheidsdienst, de Algemene Inlichtingen- en Veiligheidsdienst, </w:t>
      </w:r>
      <w:r w:rsidR="00391CE8">
        <w:rPr>
          <w:rFonts w:ascii="Verdana" w:hAnsi="Verdana"/>
          <w:sz w:val="18"/>
          <w:szCs w:val="18"/>
        </w:rPr>
        <w:t xml:space="preserve">het openbaar ministerie, </w:t>
      </w:r>
      <w:r w:rsidRPr="00A836E6" w:rsidR="00A836E6">
        <w:rPr>
          <w:rFonts w:ascii="Verdana" w:hAnsi="Verdana"/>
          <w:sz w:val="18"/>
          <w:szCs w:val="18"/>
        </w:rPr>
        <w:t>de politie en de veiligheidsregio’s</w:t>
      </w:r>
      <w:r w:rsidR="008E3E1E">
        <w:rPr>
          <w:rFonts w:ascii="Verdana" w:hAnsi="Verdana"/>
          <w:sz w:val="18"/>
          <w:szCs w:val="18"/>
        </w:rPr>
        <w:t xml:space="preserve">. Aangezien de hiervoor genoemde overheidsinstanties zijn uitgesloten van het toepassingsbereik van de </w:t>
      </w:r>
      <w:proofErr w:type="spellStart"/>
      <w:r w:rsidR="008E3E1E">
        <w:rPr>
          <w:rFonts w:ascii="Verdana" w:hAnsi="Verdana"/>
          <w:sz w:val="18"/>
          <w:szCs w:val="18"/>
        </w:rPr>
        <w:t>Cbw</w:t>
      </w:r>
      <w:proofErr w:type="spellEnd"/>
      <w:r w:rsidR="008E3E1E">
        <w:rPr>
          <w:rFonts w:ascii="Verdana" w:hAnsi="Verdana"/>
          <w:sz w:val="18"/>
          <w:szCs w:val="18"/>
        </w:rPr>
        <w:t>, zijn daarmee dus ook d</w:t>
      </w:r>
      <w:r w:rsidRPr="00AC3914">
        <w:rPr>
          <w:rFonts w:ascii="Verdana" w:hAnsi="Verdana"/>
          <w:sz w:val="18"/>
          <w:szCs w:val="18"/>
        </w:rPr>
        <w:t xml:space="preserve">e verplichtingen </w:t>
      </w:r>
      <w:r w:rsidR="005A2DC2">
        <w:rPr>
          <w:rFonts w:ascii="Verdana" w:hAnsi="Verdana"/>
          <w:sz w:val="18"/>
          <w:szCs w:val="18"/>
        </w:rPr>
        <w:t xml:space="preserve">uit de </w:t>
      </w:r>
      <w:proofErr w:type="spellStart"/>
      <w:r w:rsidR="005A2DC2">
        <w:rPr>
          <w:rFonts w:ascii="Verdana" w:hAnsi="Verdana"/>
          <w:sz w:val="18"/>
          <w:szCs w:val="18"/>
        </w:rPr>
        <w:t>Cbw</w:t>
      </w:r>
      <w:proofErr w:type="spellEnd"/>
      <w:r w:rsidRPr="00AC3914">
        <w:rPr>
          <w:rFonts w:ascii="Verdana" w:hAnsi="Verdana"/>
          <w:sz w:val="18"/>
          <w:szCs w:val="18"/>
        </w:rPr>
        <w:t xml:space="preserve"> niet op hen van toepassing. </w:t>
      </w:r>
      <w:r w:rsidRPr="00292164" w:rsidR="00292164">
        <w:rPr>
          <w:rFonts w:ascii="Verdana" w:hAnsi="Verdana"/>
          <w:sz w:val="18"/>
          <w:szCs w:val="18"/>
        </w:rPr>
        <w:t>De Militaire Inlichtingen- en Veiligheidsdienst en de Algemene Inlichtingen- en Veiligheidsdienst zijn uitgezonderd van het toepassingsbereik van de</w:t>
      </w:r>
      <w:r w:rsidR="00292164">
        <w:rPr>
          <w:rFonts w:ascii="Verdana" w:hAnsi="Verdana"/>
          <w:sz w:val="18"/>
          <w:szCs w:val="18"/>
        </w:rPr>
        <w:t xml:space="preserve"> </w:t>
      </w:r>
      <w:proofErr w:type="spellStart"/>
      <w:r w:rsidR="00292164">
        <w:rPr>
          <w:rFonts w:ascii="Verdana" w:hAnsi="Verdana"/>
          <w:sz w:val="18"/>
          <w:szCs w:val="18"/>
        </w:rPr>
        <w:t>Cbw</w:t>
      </w:r>
      <w:proofErr w:type="spellEnd"/>
      <w:r w:rsidRPr="00292164" w:rsidR="00292164">
        <w:rPr>
          <w:rFonts w:ascii="Verdana" w:hAnsi="Verdana"/>
          <w:sz w:val="18"/>
          <w:szCs w:val="18"/>
        </w:rPr>
        <w:t xml:space="preserve">, omdat zij uitsluitend actief zijn op het gebied van de nationale veiligheid. Dat valt niet onder de reikwijdte van het Unierecht en daarmee ook niet onder de reikwijdte van de </w:t>
      </w:r>
      <w:r w:rsidR="00292164">
        <w:rPr>
          <w:rFonts w:ascii="Verdana" w:hAnsi="Verdana"/>
          <w:sz w:val="18"/>
          <w:szCs w:val="18"/>
        </w:rPr>
        <w:t>NIS2</w:t>
      </w:r>
      <w:r w:rsidRPr="00292164" w:rsidR="00292164">
        <w:rPr>
          <w:rFonts w:ascii="Verdana" w:hAnsi="Verdana"/>
          <w:sz w:val="18"/>
          <w:szCs w:val="18"/>
        </w:rPr>
        <w:t xml:space="preserve">-richtlijn. Deze diensten komen een bijzondere rechtspositie toe, anders dan de bijzondere opsporingsdiensten die hieronder aan de orde komen. Zo hebben zij een eigen wettelijk regime dat op </w:t>
      </w:r>
      <w:r w:rsidRPr="00292164" w:rsidR="00292164">
        <w:rPr>
          <w:rFonts w:ascii="Verdana" w:hAnsi="Verdana"/>
          <w:sz w:val="18"/>
          <w:szCs w:val="18"/>
        </w:rPr>
        <w:lastRenderedPageBreak/>
        <w:t>hen van toepassing is – de Wet op de inlichtingen- en veiligheidsdiensten 2017 – en zijn aan de hoofden van de diensten zelfstandige bevoegdheden geattribueerd.</w:t>
      </w:r>
    </w:p>
    <w:p w:rsidR="00E37F3F" w:rsidP="008F5067" w:rsidRDefault="00E37F3F" w14:paraId="08D6FEFD" w14:textId="79393CE6">
      <w:pPr>
        <w:pStyle w:val="Geenafstand"/>
        <w:rPr>
          <w:rFonts w:ascii="Verdana" w:hAnsi="Verdana"/>
          <w:sz w:val="18"/>
          <w:szCs w:val="18"/>
        </w:rPr>
      </w:pPr>
      <w:r w:rsidRPr="00E37F3F">
        <w:rPr>
          <w:rFonts w:ascii="Verdana" w:hAnsi="Verdana"/>
          <w:sz w:val="18"/>
          <w:szCs w:val="18"/>
        </w:rPr>
        <w:t xml:space="preserve">In artikel 5, eerste lid, </w:t>
      </w:r>
      <w:proofErr w:type="spellStart"/>
      <w:r w:rsidRPr="00E37F3F">
        <w:rPr>
          <w:rFonts w:ascii="Verdana" w:hAnsi="Verdana"/>
          <w:sz w:val="18"/>
          <w:szCs w:val="18"/>
        </w:rPr>
        <w:t>Cbw</w:t>
      </w:r>
      <w:proofErr w:type="spellEnd"/>
      <w:r w:rsidRPr="00E37F3F">
        <w:rPr>
          <w:rFonts w:ascii="Verdana" w:hAnsi="Verdana"/>
          <w:sz w:val="18"/>
          <w:szCs w:val="18"/>
        </w:rPr>
        <w:t xml:space="preserve"> is tevens voorzien in de grondslag om bij algemene maatregel van bestuur </w:t>
      </w:r>
      <w:r w:rsidR="00841F9C">
        <w:rPr>
          <w:rFonts w:ascii="Verdana" w:hAnsi="Verdana"/>
          <w:sz w:val="18"/>
          <w:szCs w:val="18"/>
        </w:rPr>
        <w:t xml:space="preserve">(hierna: </w:t>
      </w:r>
      <w:proofErr w:type="spellStart"/>
      <w:r w:rsidR="00841F9C">
        <w:rPr>
          <w:rFonts w:ascii="Verdana" w:hAnsi="Verdana"/>
          <w:sz w:val="18"/>
          <w:szCs w:val="18"/>
        </w:rPr>
        <w:t>amvb</w:t>
      </w:r>
      <w:proofErr w:type="spellEnd"/>
      <w:r w:rsidR="00841F9C">
        <w:rPr>
          <w:rFonts w:ascii="Verdana" w:hAnsi="Verdana"/>
          <w:sz w:val="18"/>
          <w:szCs w:val="18"/>
        </w:rPr>
        <w:t xml:space="preserve">) </w:t>
      </w:r>
      <w:r w:rsidRPr="00E37F3F">
        <w:rPr>
          <w:rFonts w:ascii="Verdana" w:hAnsi="Verdana"/>
          <w:sz w:val="18"/>
          <w:szCs w:val="18"/>
        </w:rPr>
        <w:t xml:space="preserve">andere overheidsinstanties die in hoofdzaak activiteiten uitvoeren op het gebied van nationale veiligheid, openbare veiligheid, defensie of rechtshandhaving, van die toepasselijkheid uit te zonderen (onderdeel </w:t>
      </w:r>
      <w:r w:rsidR="00B97A79">
        <w:rPr>
          <w:rFonts w:ascii="Verdana" w:hAnsi="Verdana"/>
          <w:sz w:val="18"/>
          <w:szCs w:val="18"/>
        </w:rPr>
        <w:t>f</w:t>
      </w:r>
      <w:r w:rsidRPr="00E37F3F">
        <w:rPr>
          <w:rFonts w:ascii="Verdana" w:hAnsi="Verdana"/>
          <w:sz w:val="18"/>
          <w:szCs w:val="18"/>
        </w:rPr>
        <w:t xml:space="preserve">). Van deze grondslag zal gebruik worden gemaakt indien na de inwerkingtreding van de </w:t>
      </w:r>
      <w:proofErr w:type="spellStart"/>
      <w:r w:rsidRPr="00E37F3F">
        <w:rPr>
          <w:rFonts w:ascii="Verdana" w:hAnsi="Verdana"/>
          <w:sz w:val="18"/>
          <w:szCs w:val="18"/>
        </w:rPr>
        <w:t>Cbw</w:t>
      </w:r>
      <w:proofErr w:type="spellEnd"/>
      <w:r w:rsidRPr="00E37F3F">
        <w:rPr>
          <w:rFonts w:ascii="Verdana" w:hAnsi="Verdana"/>
          <w:sz w:val="18"/>
          <w:szCs w:val="18"/>
        </w:rPr>
        <w:t xml:space="preserve"> onverhoopt tot het inzicht wordt gekomen dat een overheidsinstantie ontbreekt in de opsomming van artikel 5, eerste lid, </w:t>
      </w:r>
      <w:proofErr w:type="spellStart"/>
      <w:r w:rsidRPr="00E37F3F">
        <w:rPr>
          <w:rFonts w:ascii="Verdana" w:hAnsi="Verdana"/>
          <w:sz w:val="18"/>
          <w:szCs w:val="18"/>
        </w:rPr>
        <w:t>Cbw</w:t>
      </w:r>
      <w:proofErr w:type="spellEnd"/>
      <w:r w:rsidRPr="00E37F3F">
        <w:rPr>
          <w:rFonts w:ascii="Verdana" w:hAnsi="Verdana"/>
          <w:sz w:val="18"/>
          <w:szCs w:val="18"/>
        </w:rPr>
        <w:t>.</w:t>
      </w:r>
    </w:p>
    <w:p w:rsidR="007B307B" w:rsidP="008F5067" w:rsidRDefault="008E3E1E" w14:paraId="192EFA7A" w14:textId="77777777">
      <w:pPr>
        <w:pStyle w:val="Geenafstand"/>
        <w:rPr>
          <w:rFonts w:ascii="Verdana" w:hAnsi="Verdana"/>
          <w:sz w:val="18"/>
          <w:szCs w:val="18"/>
        </w:rPr>
      </w:pPr>
      <w:r>
        <w:rPr>
          <w:rFonts w:ascii="Verdana" w:hAnsi="Verdana"/>
          <w:sz w:val="18"/>
          <w:szCs w:val="18"/>
        </w:rPr>
        <w:t xml:space="preserve">In dit verband is het ook van belang om te wijzen op de in artikel 1 </w:t>
      </w:r>
      <w:proofErr w:type="spellStart"/>
      <w:r>
        <w:rPr>
          <w:rFonts w:ascii="Verdana" w:hAnsi="Verdana"/>
          <w:sz w:val="18"/>
          <w:szCs w:val="18"/>
        </w:rPr>
        <w:t>Cbw</w:t>
      </w:r>
      <w:proofErr w:type="spellEnd"/>
      <w:r>
        <w:rPr>
          <w:rFonts w:ascii="Verdana" w:hAnsi="Verdana"/>
          <w:sz w:val="18"/>
          <w:szCs w:val="18"/>
        </w:rPr>
        <w:t xml:space="preserve"> opgenomen definitie van overheidsinstantie. Die definitie is </w:t>
      </w:r>
      <w:r w:rsidR="00070E15">
        <w:rPr>
          <w:rFonts w:ascii="Verdana" w:hAnsi="Verdana"/>
          <w:sz w:val="18"/>
          <w:szCs w:val="18"/>
        </w:rPr>
        <w:t xml:space="preserve">inhoudelijk </w:t>
      </w:r>
      <w:r>
        <w:rPr>
          <w:rFonts w:ascii="Verdana" w:hAnsi="Verdana"/>
          <w:sz w:val="18"/>
          <w:szCs w:val="18"/>
        </w:rPr>
        <w:t xml:space="preserve">gelijk aan de definitie die in artikel 6, onderdeel 35, NIS2-richtlijn wordt gegeven </w:t>
      </w:r>
      <w:r w:rsidR="00C66219">
        <w:rPr>
          <w:rFonts w:ascii="Verdana" w:hAnsi="Verdana"/>
          <w:sz w:val="18"/>
          <w:szCs w:val="18"/>
        </w:rPr>
        <w:t>a</w:t>
      </w:r>
      <w:r>
        <w:rPr>
          <w:rFonts w:ascii="Verdana" w:hAnsi="Verdana"/>
          <w:sz w:val="18"/>
          <w:szCs w:val="18"/>
        </w:rPr>
        <w:t xml:space="preserve">an overheidsinstantie. Uit de definitie van overheidsinstantie volgt dat onder het begrip overheidsinstantie </w:t>
      </w:r>
      <w:r w:rsidR="00C66219">
        <w:rPr>
          <w:rFonts w:ascii="Verdana" w:hAnsi="Verdana"/>
          <w:sz w:val="18"/>
          <w:szCs w:val="18"/>
        </w:rPr>
        <w:t xml:space="preserve">in de zin van de </w:t>
      </w:r>
      <w:proofErr w:type="spellStart"/>
      <w:r w:rsidR="00C66219">
        <w:rPr>
          <w:rFonts w:ascii="Verdana" w:hAnsi="Verdana"/>
          <w:sz w:val="18"/>
          <w:szCs w:val="18"/>
        </w:rPr>
        <w:t>Cbw</w:t>
      </w:r>
      <w:proofErr w:type="spellEnd"/>
      <w:r w:rsidR="00C66219">
        <w:rPr>
          <w:rFonts w:ascii="Verdana" w:hAnsi="Verdana"/>
          <w:sz w:val="18"/>
          <w:szCs w:val="18"/>
        </w:rPr>
        <w:t xml:space="preserve"> </w:t>
      </w:r>
      <w:r>
        <w:rPr>
          <w:rFonts w:ascii="Verdana" w:hAnsi="Verdana"/>
          <w:sz w:val="18"/>
          <w:szCs w:val="18"/>
        </w:rPr>
        <w:t xml:space="preserve">niet vallen: </w:t>
      </w:r>
      <w:r w:rsidRPr="00070E15" w:rsidR="00070E15">
        <w:rPr>
          <w:rFonts w:ascii="Verdana" w:hAnsi="Verdana"/>
          <w:sz w:val="18"/>
          <w:szCs w:val="18"/>
        </w:rPr>
        <w:t xml:space="preserve">de rechtbanken, de gerechtshoven, de Hoge Raad, het College van Beroep voor het bedrijfsleven, de Centrale Raad van Beroep, de Afdeling bestuursrechtspraak van de Raad van State, de Eerste Kamer, de Tweede Kamer en </w:t>
      </w:r>
      <w:r w:rsidR="00CA34BA">
        <w:rPr>
          <w:rFonts w:ascii="Verdana" w:hAnsi="Verdana"/>
          <w:sz w:val="18"/>
          <w:szCs w:val="18"/>
        </w:rPr>
        <w:t xml:space="preserve">De Nederlandsche Bank N.V. (hierna: </w:t>
      </w:r>
      <w:r w:rsidRPr="00070E15" w:rsidR="00070E15">
        <w:rPr>
          <w:rFonts w:ascii="Verdana" w:hAnsi="Verdana"/>
          <w:sz w:val="18"/>
          <w:szCs w:val="18"/>
        </w:rPr>
        <w:t>DNB</w:t>
      </w:r>
      <w:r w:rsidR="00CA34BA">
        <w:rPr>
          <w:rFonts w:ascii="Verdana" w:hAnsi="Verdana"/>
          <w:sz w:val="18"/>
          <w:szCs w:val="18"/>
        </w:rPr>
        <w:t>)</w:t>
      </w:r>
      <w:r w:rsidRPr="00070E15" w:rsidR="00070E15">
        <w:rPr>
          <w:rFonts w:ascii="Verdana" w:hAnsi="Verdana"/>
          <w:sz w:val="18"/>
          <w:szCs w:val="18"/>
        </w:rPr>
        <w:t>.</w:t>
      </w:r>
      <w:r w:rsidRPr="00070E15" w:rsidR="000637A7">
        <w:rPr>
          <w:rFonts w:ascii="Verdana" w:hAnsi="Verdana"/>
          <w:sz w:val="18"/>
          <w:szCs w:val="18"/>
        </w:rPr>
        <w:t xml:space="preserve"> </w:t>
      </w:r>
      <w:r w:rsidR="00C66219">
        <w:rPr>
          <w:rFonts w:ascii="Verdana" w:hAnsi="Verdana"/>
          <w:sz w:val="18"/>
          <w:szCs w:val="18"/>
        </w:rPr>
        <w:t xml:space="preserve">De </w:t>
      </w:r>
      <w:proofErr w:type="spellStart"/>
      <w:r w:rsidR="00C66219">
        <w:rPr>
          <w:rFonts w:ascii="Verdana" w:hAnsi="Verdana"/>
          <w:sz w:val="18"/>
          <w:szCs w:val="18"/>
        </w:rPr>
        <w:t>Cbw</w:t>
      </w:r>
      <w:proofErr w:type="spellEnd"/>
      <w:r w:rsidR="00C66219">
        <w:rPr>
          <w:rFonts w:ascii="Verdana" w:hAnsi="Verdana"/>
          <w:sz w:val="18"/>
          <w:szCs w:val="18"/>
        </w:rPr>
        <w:t xml:space="preserve"> is dus niet van toepassing op deze organisaties</w:t>
      </w:r>
      <w:r w:rsidR="00917B61">
        <w:rPr>
          <w:rFonts w:ascii="Verdana" w:hAnsi="Verdana"/>
          <w:sz w:val="18"/>
          <w:szCs w:val="18"/>
        </w:rPr>
        <w:t xml:space="preserve">, met inbegrip van de </w:t>
      </w:r>
      <w:r w:rsidR="00C66219">
        <w:rPr>
          <w:rFonts w:ascii="Verdana" w:hAnsi="Verdana"/>
          <w:sz w:val="18"/>
          <w:szCs w:val="18"/>
        </w:rPr>
        <w:t xml:space="preserve">verplichtingen uit de </w:t>
      </w:r>
      <w:proofErr w:type="spellStart"/>
      <w:r w:rsidR="00C66219">
        <w:rPr>
          <w:rFonts w:ascii="Verdana" w:hAnsi="Verdana"/>
          <w:sz w:val="18"/>
          <w:szCs w:val="18"/>
        </w:rPr>
        <w:t>Cbw</w:t>
      </w:r>
      <w:proofErr w:type="spellEnd"/>
      <w:r w:rsidR="00C66219">
        <w:rPr>
          <w:rFonts w:ascii="Verdana" w:hAnsi="Verdana"/>
          <w:sz w:val="18"/>
          <w:szCs w:val="18"/>
        </w:rPr>
        <w:t>.</w:t>
      </w:r>
      <w:r w:rsidRPr="00AC3914" w:rsidR="000637A7">
        <w:rPr>
          <w:rFonts w:ascii="Verdana" w:hAnsi="Verdana"/>
          <w:sz w:val="18"/>
          <w:szCs w:val="18"/>
        </w:rPr>
        <w:t xml:space="preserve"> </w:t>
      </w:r>
    </w:p>
    <w:p w:rsidR="000637A7" w:rsidP="008F5067" w:rsidRDefault="007B307B" w14:paraId="505FEB4C" w14:textId="25E615D1">
      <w:pPr>
        <w:pStyle w:val="Geenafstand"/>
        <w:rPr>
          <w:rFonts w:ascii="Verdana" w:hAnsi="Verdana"/>
          <w:sz w:val="18"/>
          <w:szCs w:val="18"/>
        </w:rPr>
      </w:pPr>
      <w:bookmarkStart w:name="_Hlk197951465" w:id="35"/>
      <w:r>
        <w:rPr>
          <w:rFonts w:ascii="Verdana" w:hAnsi="Verdana"/>
          <w:sz w:val="18"/>
          <w:szCs w:val="18"/>
        </w:rPr>
        <w:t>Het voorgaande</w:t>
      </w:r>
      <w:r w:rsidRPr="00AC3914" w:rsidR="000637A7">
        <w:rPr>
          <w:rFonts w:ascii="Verdana" w:hAnsi="Verdana"/>
          <w:sz w:val="18"/>
          <w:szCs w:val="18"/>
        </w:rPr>
        <w:t xml:space="preserve"> laat onverlet dat </w:t>
      </w:r>
      <w:r w:rsidR="000637A7">
        <w:rPr>
          <w:rFonts w:ascii="Verdana" w:hAnsi="Verdana"/>
          <w:sz w:val="18"/>
          <w:szCs w:val="18"/>
        </w:rPr>
        <w:t>de regering</w:t>
      </w:r>
      <w:r w:rsidRPr="00AC3914" w:rsidR="000637A7">
        <w:rPr>
          <w:rFonts w:ascii="Verdana" w:hAnsi="Verdana"/>
          <w:sz w:val="18"/>
          <w:szCs w:val="18"/>
        </w:rPr>
        <w:t xml:space="preserve"> eraan hecht dat </w:t>
      </w:r>
      <w:r>
        <w:rPr>
          <w:rFonts w:ascii="Verdana" w:hAnsi="Verdana"/>
          <w:sz w:val="18"/>
          <w:szCs w:val="18"/>
        </w:rPr>
        <w:t>de</w:t>
      </w:r>
      <w:r w:rsidRPr="00AC3914" w:rsidR="000637A7">
        <w:rPr>
          <w:rFonts w:ascii="Verdana" w:hAnsi="Verdana"/>
          <w:sz w:val="18"/>
          <w:szCs w:val="18"/>
        </w:rPr>
        <w:t xml:space="preserve"> instanties</w:t>
      </w:r>
      <w:r>
        <w:rPr>
          <w:rFonts w:ascii="Verdana" w:hAnsi="Verdana"/>
          <w:sz w:val="18"/>
          <w:szCs w:val="18"/>
        </w:rPr>
        <w:t xml:space="preserve"> die buiten het toepassingsbereik van de </w:t>
      </w:r>
      <w:proofErr w:type="spellStart"/>
      <w:r>
        <w:rPr>
          <w:rFonts w:ascii="Verdana" w:hAnsi="Verdana"/>
          <w:sz w:val="18"/>
          <w:szCs w:val="18"/>
        </w:rPr>
        <w:t>Cbw</w:t>
      </w:r>
      <w:proofErr w:type="spellEnd"/>
      <w:r>
        <w:rPr>
          <w:rFonts w:ascii="Verdana" w:hAnsi="Verdana"/>
          <w:sz w:val="18"/>
          <w:szCs w:val="18"/>
        </w:rPr>
        <w:t xml:space="preserve"> vallen,</w:t>
      </w:r>
      <w:r w:rsidRPr="00AC3914" w:rsidR="000637A7">
        <w:rPr>
          <w:rFonts w:ascii="Verdana" w:hAnsi="Verdana"/>
          <w:sz w:val="18"/>
          <w:szCs w:val="18"/>
        </w:rPr>
        <w:t xml:space="preserve"> blijven voldoen aan een hoog cyberbeveiligingsniveau. Hierbij kan worden geda</w:t>
      </w:r>
      <w:r w:rsidR="008F5067">
        <w:rPr>
          <w:rFonts w:ascii="Verdana" w:hAnsi="Verdana"/>
          <w:sz w:val="18"/>
          <w:szCs w:val="18"/>
        </w:rPr>
        <w:t>cht</w:t>
      </w:r>
      <w:r w:rsidRPr="00AC3914" w:rsidR="000637A7">
        <w:rPr>
          <w:rFonts w:ascii="Verdana" w:hAnsi="Verdana"/>
          <w:sz w:val="18"/>
          <w:szCs w:val="18"/>
        </w:rPr>
        <w:t xml:space="preserve"> aan </w:t>
      </w:r>
      <w:r>
        <w:rPr>
          <w:rFonts w:ascii="Verdana" w:hAnsi="Verdana"/>
          <w:sz w:val="18"/>
          <w:szCs w:val="18"/>
        </w:rPr>
        <w:t xml:space="preserve">– indien van toepassing – </w:t>
      </w:r>
      <w:r w:rsidRPr="00AC3914" w:rsidR="000637A7">
        <w:rPr>
          <w:rFonts w:ascii="Verdana" w:hAnsi="Verdana"/>
          <w:sz w:val="18"/>
          <w:szCs w:val="18"/>
        </w:rPr>
        <w:t>het blijven voldoen aan verplichtingen zoals die op dit moment zijn neergelegd in het Voorschrift Informatiebeveiliging Rijksdienst 2007 (</w:t>
      </w:r>
      <w:proofErr w:type="spellStart"/>
      <w:r w:rsidRPr="00AC3914" w:rsidR="000637A7">
        <w:rPr>
          <w:rFonts w:ascii="Verdana" w:hAnsi="Verdana"/>
          <w:sz w:val="18"/>
          <w:szCs w:val="18"/>
        </w:rPr>
        <w:t>Vir</w:t>
      </w:r>
      <w:proofErr w:type="spellEnd"/>
      <w:r w:rsidRPr="00AC3914" w:rsidR="000637A7">
        <w:rPr>
          <w:rFonts w:ascii="Verdana" w:hAnsi="Verdana"/>
          <w:sz w:val="18"/>
          <w:szCs w:val="18"/>
        </w:rPr>
        <w:t xml:space="preserve"> 2007</w:t>
      </w:r>
      <w:r w:rsidRPr="00AC3914" w:rsidR="000637A7">
        <w:rPr>
          <w:rFonts w:ascii="Verdana" w:hAnsi="Verdana"/>
          <w:sz w:val="18"/>
          <w:szCs w:val="18"/>
          <w:vertAlign w:val="superscript"/>
        </w:rPr>
        <w:footnoteReference w:id="31"/>
      </w:r>
      <w:r w:rsidRPr="00AC3914" w:rsidR="000637A7">
        <w:rPr>
          <w:rFonts w:ascii="Verdana" w:hAnsi="Verdana"/>
          <w:sz w:val="18"/>
          <w:szCs w:val="18"/>
        </w:rPr>
        <w:t>), het Voorschrift Informatiebeveiliging Rijksdienst – Bijzondere Informatie 2013 (</w:t>
      </w:r>
      <w:proofErr w:type="spellStart"/>
      <w:r w:rsidRPr="00AC3914" w:rsidR="000637A7">
        <w:rPr>
          <w:rFonts w:ascii="Verdana" w:hAnsi="Verdana"/>
          <w:sz w:val="18"/>
          <w:szCs w:val="18"/>
        </w:rPr>
        <w:t>Vir</w:t>
      </w:r>
      <w:proofErr w:type="spellEnd"/>
      <w:r w:rsidRPr="00AC3914" w:rsidR="000637A7">
        <w:rPr>
          <w:rFonts w:ascii="Verdana" w:hAnsi="Verdana"/>
          <w:sz w:val="18"/>
          <w:szCs w:val="18"/>
        </w:rPr>
        <w:t>-bi 2013</w:t>
      </w:r>
      <w:r w:rsidRPr="00AC3914" w:rsidR="000637A7">
        <w:rPr>
          <w:rFonts w:ascii="Verdana" w:hAnsi="Verdana"/>
          <w:sz w:val="18"/>
          <w:szCs w:val="18"/>
          <w:vertAlign w:val="superscript"/>
        </w:rPr>
        <w:footnoteReference w:id="32"/>
      </w:r>
      <w:r w:rsidRPr="00AC3914" w:rsidR="000637A7">
        <w:rPr>
          <w:rFonts w:ascii="Verdana" w:hAnsi="Verdana"/>
          <w:sz w:val="18"/>
          <w:szCs w:val="18"/>
        </w:rPr>
        <w:t>), de Baseline Informatiebeveiliging Overheid (BIO) en in toepasselijke verplichtingen van internationale herkomst.</w:t>
      </w:r>
    </w:p>
    <w:p w:rsidR="002F786E" w:rsidP="002F786E" w:rsidRDefault="002F786E" w14:paraId="6B02BD3D" w14:textId="768D914D">
      <w:pPr>
        <w:pStyle w:val="Geenafstand"/>
        <w:rPr>
          <w:rFonts w:ascii="Verdana" w:hAnsi="Verdana"/>
          <w:sz w:val="18"/>
          <w:szCs w:val="18"/>
        </w:rPr>
      </w:pPr>
      <w:bookmarkStart w:name="_Hlk192064084" w:id="36"/>
      <w:bookmarkEnd w:id="35"/>
      <w:r>
        <w:rPr>
          <w:rFonts w:ascii="Verdana" w:hAnsi="Verdana"/>
          <w:sz w:val="18"/>
          <w:szCs w:val="18"/>
        </w:rPr>
        <w:t xml:space="preserve">Over de bijzondere opsporingsdiensten wordt het volgende toegelicht. </w:t>
      </w:r>
      <w:bookmarkStart w:name="_Hlk192063118" w:id="37"/>
      <w:bookmarkEnd w:id="36"/>
      <w:r w:rsidRPr="00E90A91">
        <w:rPr>
          <w:rFonts w:ascii="Verdana" w:hAnsi="Verdana"/>
          <w:sz w:val="18"/>
          <w:szCs w:val="18"/>
        </w:rPr>
        <w:t xml:space="preserve">Voor de bijzondere opsporingsdiensten geldt dat zij ressorteren onder een minister, niet zijnde de Minister van Defensie (zie artikel 2 Wet op de bijzondere opsporingsdiensten). </w:t>
      </w:r>
      <w:r>
        <w:rPr>
          <w:rFonts w:ascii="Verdana" w:hAnsi="Verdana"/>
          <w:sz w:val="18"/>
          <w:szCs w:val="18"/>
        </w:rPr>
        <w:t xml:space="preserve">Voor </w:t>
      </w:r>
      <w:r w:rsidRPr="00E90A91">
        <w:rPr>
          <w:rFonts w:ascii="Verdana" w:hAnsi="Verdana"/>
          <w:sz w:val="18"/>
          <w:szCs w:val="18"/>
        </w:rPr>
        <w:t>deze diensten geldt eveneens dat zij onderdeel zijn van de betreffende ministeries</w:t>
      </w:r>
      <w:r w:rsidR="003D436D">
        <w:rPr>
          <w:rFonts w:ascii="Verdana" w:hAnsi="Verdana"/>
          <w:sz w:val="18"/>
          <w:szCs w:val="18"/>
        </w:rPr>
        <w:t xml:space="preserve"> </w:t>
      </w:r>
      <w:r w:rsidRPr="003D436D" w:rsidR="003D436D">
        <w:rPr>
          <w:rFonts w:ascii="Verdana" w:hAnsi="Verdana"/>
          <w:sz w:val="18"/>
          <w:szCs w:val="18"/>
        </w:rPr>
        <w:t>(zie artikel 9, eerste lid, Wet op de bijzondere opsporingsdiensten)</w:t>
      </w:r>
      <w:r w:rsidRPr="00E90A91">
        <w:rPr>
          <w:rFonts w:ascii="Verdana" w:hAnsi="Verdana"/>
          <w:sz w:val="18"/>
          <w:szCs w:val="18"/>
        </w:rPr>
        <w:t xml:space="preserve">. De ministeries waar de bijzondere opsporingsdiensten onder ressorteren voeren niet in hoofdzaak activiteiten uit op het gebied van nationale veiligheid, openbare veiligheid, defensie of rechtshandhaving, met inbegrip van het onderzoeken, opsporen en vervolgen van strafbare feiten (artikel 2, zevende lid, NIS2-richtlijn in samenhang met overweging 8 </w:t>
      </w:r>
      <w:r w:rsidR="00DF67C4">
        <w:rPr>
          <w:rFonts w:ascii="Verdana" w:hAnsi="Verdana"/>
          <w:sz w:val="18"/>
          <w:szCs w:val="18"/>
        </w:rPr>
        <w:t xml:space="preserve">van de </w:t>
      </w:r>
      <w:r w:rsidRPr="00E90A91">
        <w:rPr>
          <w:rFonts w:ascii="Verdana" w:hAnsi="Verdana"/>
          <w:sz w:val="18"/>
          <w:szCs w:val="18"/>
        </w:rPr>
        <w:t>NIS2-richtlijn).</w:t>
      </w:r>
      <w:r>
        <w:rPr>
          <w:rFonts w:ascii="Verdana" w:hAnsi="Verdana"/>
          <w:sz w:val="18"/>
          <w:szCs w:val="18"/>
        </w:rPr>
        <w:t xml:space="preserve"> Omdat de ministeries waar de bijzondere opsporingsdiensten onder ressorteren onder het toepassingsbereik van de </w:t>
      </w:r>
      <w:proofErr w:type="spellStart"/>
      <w:r>
        <w:rPr>
          <w:rFonts w:ascii="Verdana" w:hAnsi="Verdana"/>
          <w:sz w:val="18"/>
          <w:szCs w:val="18"/>
        </w:rPr>
        <w:t>Cbw</w:t>
      </w:r>
      <w:proofErr w:type="spellEnd"/>
      <w:r>
        <w:rPr>
          <w:rFonts w:ascii="Verdana" w:hAnsi="Verdana"/>
          <w:sz w:val="18"/>
          <w:szCs w:val="18"/>
        </w:rPr>
        <w:t xml:space="preserve"> vallen, vallen ook de bijzondere opsporingsdiensten onder het toepassingsbereik van de </w:t>
      </w:r>
      <w:proofErr w:type="spellStart"/>
      <w:r>
        <w:rPr>
          <w:rFonts w:ascii="Verdana" w:hAnsi="Verdana"/>
          <w:sz w:val="18"/>
          <w:szCs w:val="18"/>
        </w:rPr>
        <w:t>Cbw</w:t>
      </w:r>
      <w:proofErr w:type="spellEnd"/>
      <w:r>
        <w:rPr>
          <w:rFonts w:ascii="Verdana" w:hAnsi="Verdana"/>
          <w:sz w:val="18"/>
          <w:szCs w:val="18"/>
        </w:rPr>
        <w:t>.</w:t>
      </w:r>
      <w:r w:rsidRPr="00E90A91">
        <w:rPr>
          <w:rFonts w:ascii="Verdana" w:hAnsi="Verdana"/>
          <w:sz w:val="18"/>
          <w:szCs w:val="18"/>
        </w:rPr>
        <w:t xml:space="preserve"> </w:t>
      </w:r>
    </w:p>
    <w:p w:rsidRPr="00AC3914" w:rsidR="002F786E" w:rsidP="008F5067" w:rsidRDefault="002F786E" w14:paraId="1CD1F06D" w14:textId="3FCE9F8F">
      <w:pPr>
        <w:pStyle w:val="Geenafstand"/>
        <w:rPr>
          <w:rFonts w:ascii="Verdana" w:hAnsi="Verdana"/>
          <w:sz w:val="18"/>
          <w:szCs w:val="18"/>
        </w:rPr>
      </w:pPr>
      <w:r w:rsidRPr="00E90A91">
        <w:rPr>
          <w:rFonts w:ascii="Verdana" w:hAnsi="Verdana"/>
          <w:sz w:val="18"/>
          <w:szCs w:val="18"/>
        </w:rPr>
        <w:t xml:space="preserve">De bijzondere opsporingsdiensten voeren activiteiten uit op het gebied van rechtshandhaving, zie </w:t>
      </w:r>
      <w:r>
        <w:rPr>
          <w:rFonts w:ascii="Verdana" w:hAnsi="Verdana"/>
          <w:sz w:val="18"/>
          <w:szCs w:val="18"/>
        </w:rPr>
        <w:t xml:space="preserve">de opsomming van hun taken in </w:t>
      </w:r>
      <w:r w:rsidRPr="00E90A91">
        <w:rPr>
          <w:rFonts w:ascii="Verdana" w:hAnsi="Verdana"/>
          <w:sz w:val="18"/>
          <w:szCs w:val="18"/>
        </w:rPr>
        <w:t xml:space="preserve">artikel 3 Wet op de bijzondere opsporingsdiensten. </w:t>
      </w:r>
      <w:r w:rsidR="00A836E6">
        <w:rPr>
          <w:rFonts w:ascii="Verdana" w:hAnsi="Verdana"/>
          <w:sz w:val="18"/>
          <w:szCs w:val="18"/>
        </w:rPr>
        <w:t>Z</w:t>
      </w:r>
      <w:r>
        <w:rPr>
          <w:rFonts w:ascii="Verdana" w:hAnsi="Verdana"/>
          <w:sz w:val="18"/>
          <w:szCs w:val="18"/>
        </w:rPr>
        <w:t xml:space="preserve">odra de </w:t>
      </w:r>
      <w:proofErr w:type="spellStart"/>
      <w:r>
        <w:rPr>
          <w:rFonts w:ascii="Verdana" w:hAnsi="Verdana"/>
          <w:sz w:val="18"/>
          <w:szCs w:val="18"/>
        </w:rPr>
        <w:t>Cbw</w:t>
      </w:r>
      <w:proofErr w:type="spellEnd"/>
      <w:r>
        <w:rPr>
          <w:rFonts w:ascii="Verdana" w:hAnsi="Verdana"/>
          <w:sz w:val="18"/>
          <w:szCs w:val="18"/>
        </w:rPr>
        <w:t xml:space="preserve"> in werking treedt en daarmee de ministeries waar de bijzondere opsporingsdiensten onder ressorteren onder het toepassingsbereik van de </w:t>
      </w:r>
      <w:proofErr w:type="spellStart"/>
      <w:r>
        <w:rPr>
          <w:rFonts w:ascii="Verdana" w:hAnsi="Verdana"/>
          <w:sz w:val="18"/>
          <w:szCs w:val="18"/>
        </w:rPr>
        <w:t>Cbw</w:t>
      </w:r>
      <w:proofErr w:type="spellEnd"/>
      <w:r>
        <w:rPr>
          <w:rFonts w:ascii="Verdana" w:hAnsi="Verdana"/>
          <w:sz w:val="18"/>
          <w:szCs w:val="18"/>
        </w:rPr>
        <w:t xml:space="preserve"> komen te vallen, </w:t>
      </w:r>
      <w:r w:rsidR="00A836E6">
        <w:rPr>
          <w:rFonts w:ascii="Verdana" w:hAnsi="Verdana"/>
          <w:sz w:val="18"/>
          <w:szCs w:val="18"/>
        </w:rPr>
        <w:t xml:space="preserve">zullen </w:t>
      </w:r>
      <w:r>
        <w:rPr>
          <w:rFonts w:ascii="Verdana" w:hAnsi="Verdana"/>
          <w:sz w:val="18"/>
          <w:szCs w:val="18"/>
        </w:rPr>
        <w:t xml:space="preserve">die ministeries met betrekking tot de activiteiten die de bijzondere opsporingsdiensten uitvoeren, op grond van de artikelen </w:t>
      </w:r>
      <w:r w:rsidRPr="00157F44" w:rsidR="00157F44">
        <w:rPr>
          <w:rFonts w:ascii="Verdana" w:hAnsi="Verdana"/>
          <w:sz w:val="18"/>
          <w:szCs w:val="18"/>
        </w:rPr>
        <w:t>23, 32, 45 en 48</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worden ontheven van de verplichtingen uit de artikelen </w:t>
      </w:r>
      <w:r w:rsidRPr="00157F44" w:rsidR="00157F44">
        <w:rPr>
          <w:rFonts w:ascii="Verdana" w:hAnsi="Verdana"/>
          <w:sz w:val="18"/>
          <w:szCs w:val="18"/>
        </w:rPr>
        <w:t>21, 25 tot en met 30, 44 en 47</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w:t>
      </w:r>
      <w:bookmarkEnd w:id="37"/>
    </w:p>
    <w:p w:rsidR="005066CA" w:rsidP="00350E50" w:rsidRDefault="005066CA" w14:paraId="7E150B68" w14:textId="77777777">
      <w:pPr>
        <w:pStyle w:val="Geenafstand"/>
        <w:rPr>
          <w:rFonts w:ascii="Verdana" w:hAnsi="Verdana"/>
          <w:i/>
          <w:iCs/>
          <w:sz w:val="18"/>
          <w:szCs w:val="18"/>
        </w:rPr>
      </w:pPr>
    </w:p>
    <w:p w:rsidRPr="00FF46E3" w:rsidR="001D55B5" w:rsidP="00C3466E" w:rsidRDefault="001D55B5" w14:paraId="1FFE6520" w14:textId="4279CBDE">
      <w:pPr>
        <w:pStyle w:val="Kop3"/>
      </w:pPr>
      <w:bookmarkStart w:name="_Toc198721065" w:id="38"/>
      <w:bookmarkEnd w:id="34"/>
      <w:r w:rsidRPr="00FF46E3">
        <w:t>5.1.</w:t>
      </w:r>
      <w:r w:rsidR="006642DE">
        <w:t>3</w:t>
      </w:r>
      <w:r w:rsidRPr="00FF46E3">
        <w:t xml:space="preserve"> Onderwijsinstellingen</w:t>
      </w:r>
      <w:bookmarkEnd w:id="38"/>
    </w:p>
    <w:p w:rsidRPr="00FF46E3" w:rsidR="001D55B5" w:rsidP="001D55B5" w:rsidRDefault="001D55B5" w14:paraId="7D7A2D53" w14:textId="77777777">
      <w:pPr>
        <w:pStyle w:val="Geenafstand"/>
        <w:rPr>
          <w:rFonts w:ascii="Verdana" w:hAnsi="Verdana" w:cs="Verdana"/>
          <w:sz w:val="18"/>
          <w:szCs w:val="18"/>
        </w:rPr>
      </w:pPr>
    </w:p>
    <w:p w:rsidR="00344319" w:rsidP="001D55B5" w:rsidRDefault="006044B1" w14:paraId="71CE9F37" w14:textId="239FA834">
      <w:pPr>
        <w:pStyle w:val="Geenafstand"/>
        <w:rPr>
          <w:rFonts w:ascii="Verdana" w:hAnsi="Verdana"/>
          <w:sz w:val="18"/>
          <w:szCs w:val="18"/>
        </w:rPr>
      </w:pPr>
      <w:r w:rsidRPr="00FF46E3">
        <w:rPr>
          <w:rFonts w:ascii="Verdana" w:hAnsi="Verdana"/>
          <w:sz w:val="18"/>
          <w:szCs w:val="18"/>
        </w:rPr>
        <w:t xml:space="preserve">Artikel 2, vijfde lid, onderdeel b, NIS2-richtlijn biedt lidstaten de mogelijkheid om </w:t>
      </w:r>
      <w:r w:rsidRPr="00FF46E3" w:rsidR="00FE7FFD">
        <w:rPr>
          <w:rFonts w:ascii="Verdana" w:hAnsi="Verdana"/>
          <w:sz w:val="18"/>
          <w:szCs w:val="18"/>
        </w:rPr>
        <w:t xml:space="preserve">te bepalen dat de richtlijn ook van toepassing is op </w:t>
      </w:r>
      <w:r w:rsidRPr="00FF46E3">
        <w:rPr>
          <w:rFonts w:ascii="Verdana" w:hAnsi="Verdana"/>
          <w:sz w:val="18"/>
          <w:szCs w:val="18"/>
        </w:rPr>
        <w:t xml:space="preserve">onderwijsinstellingen, met name wanneer zij kritieke onderzoeksactiviteiten verrichten. </w:t>
      </w:r>
      <w:r w:rsidRPr="00FF46E3" w:rsidR="00FE7FFD">
        <w:rPr>
          <w:rFonts w:ascii="Verdana" w:hAnsi="Verdana"/>
          <w:sz w:val="18"/>
          <w:szCs w:val="18"/>
        </w:rPr>
        <w:t xml:space="preserve">Deze mogelijkheid is </w:t>
      </w:r>
      <w:r w:rsidRPr="00FF46E3" w:rsidR="00A70E56">
        <w:rPr>
          <w:rFonts w:ascii="Verdana" w:hAnsi="Verdana"/>
          <w:sz w:val="18"/>
          <w:szCs w:val="18"/>
        </w:rPr>
        <w:t>geïmplementeerd</w:t>
      </w:r>
      <w:r w:rsidRPr="00FF46E3" w:rsidR="00FE7FFD">
        <w:rPr>
          <w:rFonts w:ascii="Verdana" w:hAnsi="Verdana"/>
          <w:sz w:val="18"/>
          <w:szCs w:val="18"/>
        </w:rPr>
        <w:t xml:space="preserve"> in de artikelen </w:t>
      </w:r>
      <w:r w:rsidR="001E06BB">
        <w:rPr>
          <w:rFonts w:ascii="Verdana" w:hAnsi="Verdana"/>
          <w:sz w:val="18"/>
          <w:szCs w:val="18"/>
        </w:rPr>
        <w:t>11</w:t>
      </w:r>
      <w:r w:rsidRPr="00FF46E3" w:rsidR="001E06BB">
        <w:rPr>
          <w:rFonts w:ascii="Verdana" w:hAnsi="Verdana"/>
          <w:sz w:val="18"/>
          <w:szCs w:val="18"/>
        </w:rPr>
        <w:t xml:space="preserve"> </w:t>
      </w:r>
      <w:r w:rsidRPr="00FF46E3" w:rsidR="00A70E56">
        <w:rPr>
          <w:rFonts w:ascii="Verdana" w:hAnsi="Verdana"/>
          <w:sz w:val="18"/>
          <w:szCs w:val="18"/>
        </w:rPr>
        <w:t xml:space="preserve">en </w:t>
      </w:r>
      <w:r w:rsidR="001E06BB">
        <w:rPr>
          <w:rFonts w:ascii="Verdana" w:hAnsi="Verdana"/>
          <w:sz w:val="18"/>
          <w:szCs w:val="18"/>
        </w:rPr>
        <w:t>13</w:t>
      </w:r>
      <w:r w:rsidRPr="00FF46E3" w:rsidR="001E06BB">
        <w:rPr>
          <w:rFonts w:ascii="Verdana" w:hAnsi="Verdana"/>
          <w:sz w:val="18"/>
          <w:szCs w:val="18"/>
        </w:rPr>
        <w:t xml:space="preserve"> </w:t>
      </w:r>
      <w:proofErr w:type="spellStart"/>
      <w:r w:rsidRPr="00FF46E3" w:rsidR="00A12288">
        <w:rPr>
          <w:rFonts w:ascii="Verdana" w:hAnsi="Verdana"/>
          <w:sz w:val="18"/>
          <w:szCs w:val="18"/>
        </w:rPr>
        <w:t>Cbw</w:t>
      </w:r>
      <w:proofErr w:type="spellEnd"/>
      <w:r w:rsidRPr="00FF46E3" w:rsidR="00FE7FFD">
        <w:rPr>
          <w:rFonts w:ascii="Verdana" w:hAnsi="Verdana"/>
          <w:sz w:val="18"/>
          <w:szCs w:val="18"/>
        </w:rPr>
        <w:t xml:space="preserve">. Deze artikelen bieden de Minister van </w:t>
      </w:r>
      <w:r w:rsidRPr="00FF46E3" w:rsidR="00BB4DFD">
        <w:rPr>
          <w:rFonts w:ascii="Verdana" w:hAnsi="Verdana"/>
          <w:sz w:val="18"/>
          <w:szCs w:val="18"/>
        </w:rPr>
        <w:t xml:space="preserve">Onderwijs, Cultuur en Wetenschap </w:t>
      </w:r>
      <w:r w:rsidRPr="00FF46E3" w:rsidR="00A70E56">
        <w:rPr>
          <w:rFonts w:ascii="Verdana" w:hAnsi="Verdana"/>
          <w:sz w:val="18"/>
          <w:szCs w:val="18"/>
        </w:rPr>
        <w:t xml:space="preserve">de mogelijkheid </w:t>
      </w:r>
      <w:r w:rsidRPr="00FF46E3" w:rsidR="001D55B5">
        <w:rPr>
          <w:rFonts w:ascii="Verdana" w:hAnsi="Verdana"/>
          <w:sz w:val="18"/>
          <w:szCs w:val="18"/>
        </w:rPr>
        <w:t xml:space="preserve">om instellingen voor hoger onderwijs </w:t>
      </w:r>
      <w:r w:rsidRPr="00FF46E3" w:rsidR="00A70E56">
        <w:rPr>
          <w:rFonts w:ascii="Verdana" w:hAnsi="Verdana"/>
          <w:sz w:val="18"/>
          <w:szCs w:val="18"/>
        </w:rPr>
        <w:t xml:space="preserve">aan te wijzen </w:t>
      </w:r>
      <w:r w:rsidRPr="00FF46E3" w:rsidR="001D55B5">
        <w:rPr>
          <w:rFonts w:ascii="Verdana" w:hAnsi="Verdana"/>
          <w:sz w:val="18"/>
          <w:szCs w:val="18"/>
        </w:rPr>
        <w:t xml:space="preserve">als </w:t>
      </w:r>
      <w:r w:rsidRPr="00FF46E3" w:rsidR="00471A60">
        <w:rPr>
          <w:rFonts w:ascii="Verdana" w:hAnsi="Verdana"/>
          <w:sz w:val="18"/>
          <w:szCs w:val="18"/>
        </w:rPr>
        <w:t xml:space="preserve">essentiële entiteit of </w:t>
      </w:r>
      <w:r w:rsidRPr="00FF46E3" w:rsidR="001D55B5">
        <w:rPr>
          <w:rFonts w:ascii="Verdana" w:hAnsi="Verdana"/>
          <w:sz w:val="18"/>
          <w:szCs w:val="18"/>
        </w:rPr>
        <w:t>belangrijke entiteit</w:t>
      </w:r>
      <w:r w:rsidRPr="00FF46E3" w:rsidR="00BB4DFD">
        <w:rPr>
          <w:rFonts w:ascii="Verdana" w:hAnsi="Verdana"/>
          <w:sz w:val="18"/>
          <w:szCs w:val="18"/>
        </w:rPr>
        <w:t xml:space="preserve">. Door die aanwijzing wordt </w:t>
      </w:r>
      <w:r w:rsidRPr="00FF46E3" w:rsidR="008B6FD4">
        <w:rPr>
          <w:rFonts w:ascii="Verdana" w:hAnsi="Verdana"/>
          <w:sz w:val="18"/>
          <w:szCs w:val="18"/>
        </w:rPr>
        <w:t xml:space="preserve">het bepaalde bij of krachtens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sidR="008B6FD4">
        <w:rPr>
          <w:rFonts w:ascii="Verdana" w:hAnsi="Verdana"/>
          <w:sz w:val="18"/>
          <w:szCs w:val="18"/>
        </w:rPr>
        <w:t xml:space="preserve"> van toepassing op deze instellingen. </w:t>
      </w:r>
    </w:p>
    <w:p w:rsidR="00344319" w:rsidP="001D55B5" w:rsidRDefault="00344319" w14:paraId="0AD2E0A7" w14:textId="77777777">
      <w:pPr>
        <w:pStyle w:val="Geenafstand"/>
        <w:rPr>
          <w:rFonts w:ascii="Verdana" w:hAnsi="Verdana"/>
          <w:sz w:val="18"/>
          <w:szCs w:val="18"/>
        </w:rPr>
      </w:pPr>
    </w:p>
    <w:p w:rsidRPr="00FF46E3" w:rsidR="001D55B5" w:rsidP="001D55B5" w:rsidRDefault="006E423C" w14:paraId="5329CBE7" w14:textId="2C6070C4">
      <w:pPr>
        <w:pStyle w:val="Geenafstand"/>
        <w:rPr>
          <w:rFonts w:ascii="Verdana" w:hAnsi="Verdana"/>
          <w:sz w:val="18"/>
          <w:szCs w:val="18"/>
        </w:rPr>
      </w:pPr>
      <w:r w:rsidRPr="00FF46E3">
        <w:rPr>
          <w:rFonts w:ascii="Verdana" w:hAnsi="Verdana"/>
          <w:sz w:val="18"/>
          <w:szCs w:val="18"/>
        </w:rPr>
        <w:t xml:space="preserve">Meer specifiek gaat het om instellingen voor hoger onderwijs als bedoeld in artikel 1.1, onder g, Wet op het hoger onderwijs en wetenschappelijke onderzoek. Dat zijn de bekostigde instellingen die genoemd staan op de bijlage bij die wet (de openbare, bijzondere, levensbeschouwelijke en open universiteit en de bijzondere hogescholen) en (niet-bekostigde) rechtspersonen voor hoger onderwijs. </w:t>
      </w:r>
    </w:p>
    <w:p w:rsidRPr="00FF46E3" w:rsidR="001D55B5" w:rsidP="001D55B5" w:rsidRDefault="001D55B5" w14:paraId="0580356A" w14:textId="77777777">
      <w:pPr>
        <w:pStyle w:val="Geenafstand"/>
        <w:rPr>
          <w:rFonts w:ascii="Verdana" w:hAnsi="Verdana"/>
          <w:sz w:val="18"/>
          <w:szCs w:val="18"/>
        </w:rPr>
      </w:pPr>
    </w:p>
    <w:p w:rsidRPr="00FF46E3" w:rsidR="006E423C" w:rsidP="001D55B5" w:rsidRDefault="001D55B5" w14:paraId="465DF8E0" w14:textId="1ECE6C2B">
      <w:pPr>
        <w:pStyle w:val="Geenafstand"/>
        <w:rPr>
          <w:rFonts w:ascii="Verdana" w:hAnsi="Verdana"/>
          <w:sz w:val="18"/>
          <w:szCs w:val="18"/>
        </w:rPr>
      </w:pPr>
      <w:r w:rsidRPr="00FF46E3">
        <w:rPr>
          <w:rFonts w:ascii="Verdana" w:hAnsi="Verdana"/>
          <w:sz w:val="18"/>
          <w:szCs w:val="18"/>
        </w:rPr>
        <w:lastRenderedPageBreak/>
        <w:t xml:space="preserve">Het kan van belang zijn om </w:t>
      </w:r>
      <w:r w:rsidRPr="00FF46E3" w:rsidR="002015A8">
        <w:rPr>
          <w:rFonts w:ascii="Verdana" w:hAnsi="Verdana"/>
          <w:sz w:val="18"/>
          <w:szCs w:val="18"/>
        </w:rPr>
        <w:t xml:space="preserve">deze </w:t>
      </w:r>
      <w:r w:rsidRPr="00FF46E3">
        <w:rPr>
          <w:rFonts w:ascii="Verdana" w:hAnsi="Verdana"/>
          <w:sz w:val="18"/>
          <w:szCs w:val="18"/>
        </w:rPr>
        <w:t xml:space="preserve">instellingen onder de reikwijdte </w:t>
      </w:r>
      <w:r w:rsidRPr="00FF46E3" w:rsidR="009158E3">
        <w:rPr>
          <w:rFonts w:ascii="Verdana" w:hAnsi="Verdana"/>
          <w:sz w:val="18"/>
          <w:szCs w:val="18"/>
        </w:rPr>
        <w:t xml:space="preserve">van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Pr>
          <w:rFonts w:ascii="Verdana" w:hAnsi="Verdana"/>
          <w:sz w:val="18"/>
          <w:szCs w:val="18"/>
        </w:rPr>
        <w:t xml:space="preserve"> te brengen, omdat het verkrijgen van hoogwaardige kennis en technologie een belangrijk doel van statelijke actoren is. Daarvoor wordt gebruik gemaakt van uiteenlopende strategieën. Eén van deze middelen is digitale spionage, onder andere door (te proberen) op netwerken van bedrijven en kennisinstellingen in te breken.</w:t>
      </w:r>
      <w:r w:rsidRPr="00FF46E3">
        <w:rPr>
          <w:rStyle w:val="Voetnootmarkering"/>
          <w:rFonts w:ascii="Verdana" w:hAnsi="Verdana"/>
          <w:sz w:val="18"/>
          <w:szCs w:val="18"/>
        </w:rPr>
        <w:footnoteReference w:id="33"/>
      </w:r>
      <w:r w:rsidRPr="00FF46E3">
        <w:rPr>
          <w:rFonts w:ascii="Verdana" w:hAnsi="Verdana"/>
          <w:sz w:val="18"/>
          <w:szCs w:val="18"/>
        </w:rPr>
        <w:t xml:space="preserve"> Dit kan schadelijk zijn voor </w:t>
      </w:r>
      <w:r w:rsidRPr="00FF46E3" w:rsidR="00740D1F">
        <w:rPr>
          <w:rFonts w:ascii="Verdana" w:hAnsi="Verdana"/>
          <w:sz w:val="18"/>
          <w:szCs w:val="18"/>
        </w:rPr>
        <w:t xml:space="preserve">de </w:t>
      </w:r>
      <w:r w:rsidRPr="00FF46E3">
        <w:rPr>
          <w:rFonts w:ascii="Verdana" w:hAnsi="Verdana"/>
          <w:sz w:val="18"/>
          <w:szCs w:val="18"/>
        </w:rPr>
        <w:t>Nederlandse belangen. Verschillende cyberincidenten in de afgelopen jaren (</w:t>
      </w:r>
      <w:r w:rsidRPr="00FF46E3" w:rsidR="00193B24">
        <w:rPr>
          <w:rFonts w:ascii="Verdana" w:hAnsi="Verdana"/>
          <w:sz w:val="18"/>
          <w:szCs w:val="18"/>
        </w:rPr>
        <w:t xml:space="preserve">onder andere </w:t>
      </w:r>
      <w:r w:rsidRPr="00FF46E3">
        <w:rPr>
          <w:rFonts w:ascii="Verdana" w:hAnsi="Verdana"/>
          <w:sz w:val="18"/>
          <w:szCs w:val="18"/>
        </w:rPr>
        <w:t>bij de Universiteit Maastricht)</w:t>
      </w:r>
      <w:r w:rsidRPr="00FF46E3" w:rsidR="00F927E4">
        <w:rPr>
          <w:rStyle w:val="Voetnootmarkering"/>
          <w:rFonts w:ascii="Verdana" w:hAnsi="Verdana"/>
          <w:sz w:val="18"/>
          <w:szCs w:val="18"/>
        </w:rPr>
        <w:footnoteReference w:id="34"/>
      </w:r>
      <w:r w:rsidRPr="00FF46E3">
        <w:rPr>
          <w:rFonts w:ascii="Verdana" w:hAnsi="Verdana"/>
          <w:sz w:val="18"/>
          <w:szCs w:val="18"/>
        </w:rPr>
        <w:t xml:space="preserve"> hebben </w:t>
      </w:r>
      <w:r w:rsidRPr="00FF46E3" w:rsidR="006E423C">
        <w:rPr>
          <w:rFonts w:ascii="Verdana" w:hAnsi="Verdana"/>
          <w:sz w:val="18"/>
          <w:szCs w:val="18"/>
        </w:rPr>
        <w:t>aangetoond</w:t>
      </w:r>
      <w:r w:rsidRPr="00FF46E3">
        <w:rPr>
          <w:rFonts w:ascii="Verdana" w:hAnsi="Verdana"/>
          <w:sz w:val="18"/>
          <w:szCs w:val="18"/>
        </w:rPr>
        <w:t xml:space="preserve"> dat de impact van incidenten aanzienlijk kan zijn voor een onderwijsinstelling, ketenpartners, haar medewerkers en studenten. </w:t>
      </w:r>
    </w:p>
    <w:p w:rsidRPr="00FF46E3" w:rsidR="006E423C" w:rsidP="001D55B5" w:rsidRDefault="006E423C" w14:paraId="700A0DCA" w14:textId="77777777">
      <w:pPr>
        <w:pStyle w:val="Geenafstand"/>
        <w:rPr>
          <w:rFonts w:ascii="Verdana" w:hAnsi="Verdana"/>
          <w:sz w:val="18"/>
          <w:szCs w:val="18"/>
        </w:rPr>
      </w:pPr>
    </w:p>
    <w:p w:rsidRPr="00FF46E3" w:rsidR="001D55B5" w:rsidP="0030297A" w:rsidRDefault="001D55B5" w14:paraId="6139EF4D" w14:textId="7EF2BEEB">
      <w:pPr>
        <w:pStyle w:val="Geenafstand"/>
        <w:rPr>
          <w:rFonts w:ascii="Verdana" w:hAnsi="Verdana"/>
          <w:sz w:val="18"/>
          <w:szCs w:val="18"/>
        </w:rPr>
      </w:pPr>
      <w:r w:rsidRPr="00FF46E3">
        <w:rPr>
          <w:rFonts w:ascii="Verdana" w:hAnsi="Verdana"/>
          <w:sz w:val="18"/>
          <w:szCs w:val="18"/>
        </w:rPr>
        <w:t xml:space="preserve">Onderwijsinstellingen hebben een belangrijke maatschappelijke functie. In 2021 zijn daarom met de onderwijskoepels afspraken gemaakt om de cyberweerbaarheid van de hoger onderwijsinstellingen te verhogen. Ten behoeve van het nader te nemen besluit </w:t>
      </w:r>
      <w:r w:rsidRPr="00FF46E3" w:rsidR="00740D1F">
        <w:rPr>
          <w:rFonts w:ascii="Verdana" w:hAnsi="Verdana"/>
          <w:sz w:val="18"/>
          <w:szCs w:val="18"/>
        </w:rPr>
        <w:t xml:space="preserve">over de eventuele aanwijzing van instellingen voor hoger onderwijs als </w:t>
      </w:r>
      <w:r w:rsidRPr="00FF46E3" w:rsidR="00715981">
        <w:rPr>
          <w:rFonts w:ascii="Verdana" w:hAnsi="Verdana"/>
          <w:sz w:val="18"/>
          <w:szCs w:val="18"/>
        </w:rPr>
        <w:t xml:space="preserve">essentiële entiteit of belangrijke entiteit </w:t>
      </w:r>
      <w:r w:rsidRPr="00FF46E3" w:rsidR="00147F3A">
        <w:rPr>
          <w:rFonts w:ascii="Verdana" w:hAnsi="Verdana"/>
          <w:sz w:val="18"/>
          <w:szCs w:val="18"/>
        </w:rPr>
        <w:t xml:space="preserve">in de zin van </w:t>
      </w:r>
      <w:r w:rsidRPr="00FF46E3" w:rsidR="00A12288">
        <w:rPr>
          <w:rFonts w:ascii="Verdana" w:hAnsi="Verdana"/>
          <w:sz w:val="18"/>
          <w:szCs w:val="18"/>
        </w:rPr>
        <w:t xml:space="preserve">de </w:t>
      </w:r>
      <w:proofErr w:type="spellStart"/>
      <w:r w:rsidRPr="00FF46E3" w:rsidR="00A12288">
        <w:rPr>
          <w:rFonts w:ascii="Verdana" w:hAnsi="Verdana"/>
          <w:sz w:val="18"/>
          <w:szCs w:val="18"/>
        </w:rPr>
        <w:t>Cbw</w:t>
      </w:r>
      <w:proofErr w:type="spellEnd"/>
      <w:r w:rsidRPr="00FF46E3" w:rsidR="00147F3A">
        <w:rPr>
          <w:rFonts w:ascii="Verdana" w:hAnsi="Verdana"/>
          <w:sz w:val="18"/>
          <w:szCs w:val="18"/>
        </w:rPr>
        <w:t xml:space="preserve"> </w:t>
      </w:r>
      <w:r w:rsidR="00F06127">
        <w:rPr>
          <w:rFonts w:ascii="Verdana" w:hAnsi="Verdana"/>
          <w:sz w:val="18"/>
          <w:szCs w:val="18"/>
        </w:rPr>
        <w:t>heeft</w:t>
      </w:r>
      <w:r w:rsidRPr="00FF46E3">
        <w:rPr>
          <w:rFonts w:ascii="Verdana" w:hAnsi="Verdana"/>
          <w:sz w:val="18"/>
          <w:szCs w:val="18"/>
        </w:rPr>
        <w:t xml:space="preserve"> het </w:t>
      </w:r>
      <w:r w:rsidRPr="00FF46E3" w:rsidR="009158E3">
        <w:rPr>
          <w:rFonts w:ascii="Verdana" w:hAnsi="Verdana"/>
          <w:sz w:val="18"/>
          <w:szCs w:val="18"/>
        </w:rPr>
        <w:t>M</w:t>
      </w:r>
      <w:r w:rsidRPr="00FF46E3">
        <w:rPr>
          <w:rFonts w:ascii="Verdana" w:hAnsi="Verdana"/>
          <w:sz w:val="18"/>
          <w:szCs w:val="18"/>
        </w:rPr>
        <w:t xml:space="preserve">inisterie van </w:t>
      </w:r>
      <w:r w:rsidRPr="00FF46E3" w:rsidR="009158E3">
        <w:rPr>
          <w:rFonts w:ascii="Verdana" w:hAnsi="Verdana"/>
          <w:sz w:val="18"/>
          <w:szCs w:val="18"/>
        </w:rPr>
        <w:t>Onderwijs, Cultuur en Wetenschap</w:t>
      </w:r>
      <w:r w:rsidRPr="00FF46E3">
        <w:rPr>
          <w:rFonts w:ascii="Verdana" w:hAnsi="Verdana"/>
          <w:sz w:val="18"/>
          <w:szCs w:val="18"/>
        </w:rPr>
        <w:t xml:space="preserve"> </w:t>
      </w:r>
      <w:r w:rsidR="00F06127">
        <w:rPr>
          <w:rFonts w:ascii="Verdana" w:hAnsi="Verdana"/>
          <w:sz w:val="18"/>
          <w:szCs w:val="18"/>
        </w:rPr>
        <w:t xml:space="preserve">intensief </w:t>
      </w:r>
      <w:r w:rsidRPr="00F06127" w:rsidR="00F06127">
        <w:rPr>
          <w:rFonts w:ascii="Verdana" w:hAnsi="Verdana"/>
          <w:sz w:val="18"/>
          <w:szCs w:val="18"/>
        </w:rPr>
        <w:t>overleg gevoerd met alle betrokken stakeholders</w:t>
      </w:r>
      <w:r w:rsidRPr="00FF46E3">
        <w:rPr>
          <w:rFonts w:ascii="Verdana" w:hAnsi="Verdana"/>
          <w:sz w:val="18"/>
          <w:szCs w:val="18"/>
        </w:rPr>
        <w:t>.</w:t>
      </w:r>
      <w:r w:rsidR="00F06127">
        <w:rPr>
          <w:rFonts w:ascii="Verdana" w:hAnsi="Verdana"/>
          <w:sz w:val="18"/>
          <w:szCs w:val="18"/>
        </w:rPr>
        <w:t xml:space="preserve"> </w:t>
      </w:r>
      <w:r w:rsidRPr="00F06127" w:rsidR="00F06127">
        <w:rPr>
          <w:rFonts w:ascii="Verdana" w:hAnsi="Verdana"/>
          <w:sz w:val="18"/>
          <w:szCs w:val="18"/>
        </w:rPr>
        <w:t xml:space="preserve">Overwegende de impact van de </w:t>
      </w:r>
      <w:proofErr w:type="spellStart"/>
      <w:r w:rsidRPr="00F06127" w:rsidR="00F06127">
        <w:rPr>
          <w:rFonts w:ascii="Verdana" w:hAnsi="Verdana"/>
          <w:sz w:val="18"/>
          <w:szCs w:val="18"/>
        </w:rPr>
        <w:t>Cbw</w:t>
      </w:r>
      <w:proofErr w:type="spellEnd"/>
      <w:r w:rsidRPr="00F06127" w:rsidR="00F06127">
        <w:rPr>
          <w:rFonts w:ascii="Verdana" w:hAnsi="Verdana"/>
          <w:sz w:val="18"/>
          <w:szCs w:val="18"/>
        </w:rPr>
        <w:t xml:space="preserve"> maar ook het belang van een brede en duurzame beheersing van cyberrisico’s gezien de toenemende digitale dreiging</w:t>
      </w:r>
      <w:r w:rsidR="00F06127">
        <w:rPr>
          <w:rFonts w:ascii="Verdana" w:hAnsi="Verdana"/>
          <w:sz w:val="18"/>
          <w:szCs w:val="18"/>
        </w:rPr>
        <w:t xml:space="preserve">, is </w:t>
      </w:r>
      <w:r w:rsidRPr="00F06127" w:rsidR="00F06127">
        <w:rPr>
          <w:rFonts w:ascii="Verdana" w:hAnsi="Verdana"/>
          <w:sz w:val="18"/>
          <w:szCs w:val="18"/>
        </w:rPr>
        <w:t xml:space="preserve">besloten om de bekostigde </w:t>
      </w:r>
      <w:r w:rsidR="0080014D">
        <w:rPr>
          <w:rFonts w:ascii="Verdana" w:hAnsi="Verdana"/>
          <w:sz w:val="18"/>
          <w:szCs w:val="18"/>
        </w:rPr>
        <w:t>instellingen in het hoger beroepsonderwijs en wetenschappelijk onderwijs</w:t>
      </w:r>
      <w:r w:rsidRPr="00F06127" w:rsidR="00F06127">
        <w:rPr>
          <w:rFonts w:ascii="Verdana" w:hAnsi="Verdana"/>
          <w:sz w:val="18"/>
          <w:szCs w:val="18"/>
        </w:rPr>
        <w:t xml:space="preserve"> onder</w:t>
      </w:r>
      <w:r w:rsidR="00F06127">
        <w:rPr>
          <w:rFonts w:ascii="Verdana" w:hAnsi="Verdana"/>
          <w:sz w:val="18"/>
          <w:szCs w:val="18"/>
        </w:rPr>
        <w:t xml:space="preserve"> toepassing van</w:t>
      </w:r>
      <w:r w:rsidRPr="00F06127" w:rsidR="00F06127">
        <w:rPr>
          <w:rFonts w:ascii="Verdana" w:hAnsi="Verdana"/>
          <w:sz w:val="18"/>
          <w:szCs w:val="18"/>
        </w:rPr>
        <w:t xml:space="preserve"> de </w:t>
      </w:r>
      <w:proofErr w:type="spellStart"/>
      <w:r w:rsidRPr="00F06127" w:rsidR="00F06127">
        <w:rPr>
          <w:rFonts w:ascii="Verdana" w:hAnsi="Verdana"/>
          <w:sz w:val="18"/>
          <w:szCs w:val="18"/>
        </w:rPr>
        <w:t>Cbw</w:t>
      </w:r>
      <w:proofErr w:type="spellEnd"/>
      <w:r w:rsidRPr="00F06127" w:rsidR="00F06127">
        <w:rPr>
          <w:rFonts w:ascii="Verdana" w:hAnsi="Verdana"/>
          <w:sz w:val="18"/>
          <w:szCs w:val="18"/>
        </w:rPr>
        <w:t xml:space="preserve"> te brengen</w:t>
      </w:r>
      <w:r w:rsidR="0080014D">
        <w:rPr>
          <w:rFonts w:ascii="Verdana" w:hAnsi="Verdana"/>
          <w:sz w:val="18"/>
          <w:szCs w:val="18"/>
        </w:rPr>
        <w:t>.</w:t>
      </w:r>
      <w:r w:rsidR="00D1742F">
        <w:rPr>
          <w:rStyle w:val="Voetnootmarkering"/>
          <w:rFonts w:ascii="Verdana" w:hAnsi="Verdana"/>
          <w:sz w:val="18"/>
          <w:szCs w:val="18"/>
        </w:rPr>
        <w:footnoteReference w:id="35"/>
      </w:r>
      <w:r w:rsidR="0080014D">
        <w:rPr>
          <w:rFonts w:ascii="Verdana" w:hAnsi="Verdana"/>
          <w:sz w:val="18"/>
          <w:szCs w:val="18"/>
        </w:rPr>
        <w:t xml:space="preserve"> </w:t>
      </w:r>
      <w:r w:rsidRPr="00FF46E3" w:rsidR="00721075">
        <w:rPr>
          <w:rFonts w:ascii="Verdana" w:hAnsi="Verdana"/>
          <w:sz w:val="18"/>
          <w:szCs w:val="18"/>
        </w:rPr>
        <w:t>D</w:t>
      </w:r>
      <w:r w:rsidRPr="00FF46E3" w:rsidR="00147F3A">
        <w:rPr>
          <w:rFonts w:ascii="Verdana" w:hAnsi="Verdana"/>
          <w:sz w:val="18"/>
          <w:szCs w:val="18"/>
        </w:rPr>
        <w:t>i</w:t>
      </w:r>
      <w:r w:rsidRPr="00FF46E3" w:rsidR="00721075">
        <w:rPr>
          <w:rFonts w:ascii="Verdana" w:hAnsi="Verdana"/>
          <w:sz w:val="18"/>
          <w:szCs w:val="18"/>
        </w:rPr>
        <w:t>e a</w:t>
      </w:r>
      <w:r w:rsidRPr="00FF46E3">
        <w:rPr>
          <w:rFonts w:ascii="Verdana" w:hAnsi="Verdana"/>
          <w:sz w:val="18"/>
          <w:szCs w:val="18"/>
        </w:rPr>
        <w:t xml:space="preserve">anwijzing </w:t>
      </w:r>
      <w:r w:rsidRPr="00FF46E3" w:rsidR="00721075">
        <w:rPr>
          <w:rFonts w:ascii="Verdana" w:hAnsi="Verdana"/>
          <w:sz w:val="18"/>
          <w:szCs w:val="18"/>
        </w:rPr>
        <w:t xml:space="preserve">geschiedt </w:t>
      </w:r>
      <w:r w:rsidRPr="00FF46E3">
        <w:rPr>
          <w:rFonts w:ascii="Verdana" w:hAnsi="Verdana"/>
          <w:sz w:val="18"/>
          <w:szCs w:val="18"/>
        </w:rPr>
        <w:t>bij regeling of besluit van de Minister van O</w:t>
      </w:r>
      <w:r w:rsidRPr="00FF46E3" w:rsidR="00721075">
        <w:rPr>
          <w:rFonts w:ascii="Verdana" w:hAnsi="Verdana"/>
          <w:sz w:val="18"/>
          <w:szCs w:val="18"/>
        </w:rPr>
        <w:t>nderwijs, Cultuur en Wetenschap na overleg met de Minister van Justitie en Veiligheid.</w:t>
      </w:r>
    </w:p>
    <w:p w:rsidRPr="00FF46E3" w:rsidR="005B4013" w:rsidP="005B4013" w:rsidRDefault="005B4013" w14:paraId="40CDEF4A" w14:textId="16401066">
      <w:pPr>
        <w:pStyle w:val="Geenafstand"/>
        <w:rPr>
          <w:rFonts w:ascii="Verdana" w:hAnsi="Verdana"/>
          <w:sz w:val="18"/>
          <w:szCs w:val="18"/>
        </w:rPr>
      </w:pPr>
    </w:p>
    <w:p w:rsidRPr="00FF46E3" w:rsidR="00DB14CB" w:rsidP="002A3D83" w:rsidRDefault="00CD1B9A" w14:paraId="778BC4D6" w14:textId="789E38A6">
      <w:pPr>
        <w:pStyle w:val="Kop2"/>
        <w:rPr>
          <w:szCs w:val="18"/>
        </w:rPr>
      </w:pPr>
      <w:bookmarkStart w:name="_Toc198721066" w:id="39"/>
      <w:r w:rsidRPr="00FF46E3">
        <w:rPr>
          <w:szCs w:val="18"/>
        </w:rPr>
        <w:t>5.</w:t>
      </w:r>
      <w:r w:rsidR="007E5530">
        <w:rPr>
          <w:szCs w:val="18"/>
        </w:rPr>
        <w:t>2</w:t>
      </w:r>
      <w:r w:rsidRPr="00FF46E3" w:rsidR="00DB14CB">
        <w:rPr>
          <w:szCs w:val="18"/>
        </w:rPr>
        <w:t xml:space="preserve"> Zorgplicht</w:t>
      </w:r>
      <w:bookmarkEnd w:id="39"/>
    </w:p>
    <w:p w:rsidRPr="00FF46E3" w:rsidR="00DB14CB" w:rsidP="006200DD" w:rsidRDefault="00DB14CB" w14:paraId="7E9697BD" w14:textId="77777777">
      <w:pPr>
        <w:widowControl w:val="0"/>
        <w:autoSpaceDE w:val="0"/>
        <w:autoSpaceDN w:val="0"/>
        <w:adjustRightInd w:val="0"/>
        <w:spacing w:after="0" w:line="240" w:lineRule="auto"/>
        <w:rPr>
          <w:rFonts w:ascii="Verdana" w:hAnsi="Verdana"/>
          <w:sz w:val="18"/>
          <w:szCs w:val="18"/>
        </w:rPr>
      </w:pPr>
    </w:p>
    <w:p w:rsidRPr="00FF46E3" w:rsidR="00305CFE" w:rsidP="00C3466E" w:rsidRDefault="00B06827" w14:paraId="70A6B57F" w14:textId="782B67B1">
      <w:pPr>
        <w:pStyle w:val="Kop3"/>
      </w:pPr>
      <w:bookmarkStart w:name="_Toc198721067" w:id="40"/>
      <w:r w:rsidRPr="00FF46E3">
        <w:t>5.</w:t>
      </w:r>
      <w:r w:rsidR="007E5530">
        <w:t>2</w:t>
      </w:r>
      <w:r w:rsidRPr="00FF46E3">
        <w:t>.1 Inleiding</w:t>
      </w:r>
      <w:bookmarkEnd w:id="40"/>
    </w:p>
    <w:p w:rsidRPr="00FF46E3" w:rsidR="00BD3B54" w:rsidP="006200DD" w:rsidRDefault="00BD3B54" w14:paraId="368A874D" w14:textId="77777777">
      <w:pPr>
        <w:widowControl w:val="0"/>
        <w:autoSpaceDE w:val="0"/>
        <w:autoSpaceDN w:val="0"/>
        <w:adjustRightInd w:val="0"/>
        <w:spacing w:after="0" w:line="240" w:lineRule="auto"/>
        <w:rPr>
          <w:rFonts w:ascii="Verdana" w:hAnsi="Verdana"/>
          <w:sz w:val="18"/>
          <w:szCs w:val="18"/>
        </w:rPr>
      </w:pPr>
    </w:p>
    <w:p w:rsidRPr="00FF46E3" w:rsidR="00305CFE" w:rsidP="006200DD" w:rsidRDefault="00305CFE" w14:paraId="468DB15D" w14:textId="2C756C62">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Essentiële </w:t>
      </w:r>
      <w:r w:rsidRPr="00FF46E3" w:rsidR="00466DAA">
        <w:rPr>
          <w:rFonts w:ascii="Verdana" w:hAnsi="Verdana"/>
          <w:sz w:val="18"/>
          <w:szCs w:val="18"/>
        </w:rPr>
        <w:t xml:space="preserve">entiteiten </w:t>
      </w:r>
      <w:r w:rsidRPr="00FF46E3">
        <w:rPr>
          <w:rFonts w:ascii="Verdana" w:hAnsi="Verdana"/>
          <w:sz w:val="18"/>
          <w:szCs w:val="18"/>
        </w:rPr>
        <w:t xml:space="preserve">en belangrijke entiteiten moeten passende en evenredige technische, operationele en organisatorische maatregelen nemen om de risico’s voor de beveiliging van de netwerk- en informatiesystemen te beheersen. Ook moeten zij deze maatregelen nemen om incidenten te voorkomen of de gevolgen van incidenten voor de afnemers van hun diensten en voor andere diensten te beperken. Deze verplichting, ook wel de zorgplicht genoemd, volgt uit artikel 21 </w:t>
      </w:r>
      <w:r w:rsidRPr="00FF46E3" w:rsidR="00FB66DF">
        <w:rPr>
          <w:rFonts w:ascii="Verdana" w:hAnsi="Verdana"/>
          <w:sz w:val="18"/>
          <w:szCs w:val="18"/>
        </w:rPr>
        <w:t>NIS2-richtlijn</w:t>
      </w:r>
      <w:r w:rsidRPr="00FF46E3">
        <w:rPr>
          <w:rFonts w:ascii="Verdana" w:hAnsi="Verdana"/>
          <w:sz w:val="18"/>
          <w:szCs w:val="18"/>
        </w:rPr>
        <w:t xml:space="preserve"> en is geïmplementeerd in artikel </w:t>
      </w:r>
      <w:r w:rsidR="001E06BB">
        <w:rPr>
          <w:rFonts w:ascii="Verdana" w:hAnsi="Verdana"/>
          <w:sz w:val="18"/>
          <w:szCs w:val="18"/>
        </w:rPr>
        <w:t>21</w:t>
      </w:r>
      <w:r w:rsidRPr="00FF46E3" w:rsidR="001E06BB">
        <w:rPr>
          <w:rFonts w:ascii="Verdana" w:hAnsi="Verdana"/>
          <w:sz w:val="18"/>
          <w:szCs w:val="18"/>
        </w:rPr>
        <w:t xml:space="preserve"> </w:t>
      </w:r>
      <w:proofErr w:type="spellStart"/>
      <w:r w:rsidRPr="00FF46E3" w:rsidR="00343D34">
        <w:rPr>
          <w:rFonts w:ascii="Verdana" w:hAnsi="Verdana"/>
          <w:sz w:val="18"/>
          <w:szCs w:val="18"/>
        </w:rPr>
        <w:t>Cbw</w:t>
      </w:r>
      <w:proofErr w:type="spellEnd"/>
      <w:r w:rsidRPr="00FF46E3">
        <w:rPr>
          <w:rFonts w:ascii="Verdana" w:hAnsi="Verdana"/>
          <w:sz w:val="18"/>
          <w:szCs w:val="18"/>
        </w:rPr>
        <w:t>.</w:t>
      </w:r>
      <w:r w:rsidRPr="00FF46E3" w:rsidR="00584CEE">
        <w:rPr>
          <w:rFonts w:ascii="Verdana" w:hAnsi="Verdana"/>
          <w:sz w:val="18"/>
          <w:szCs w:val="18"/>
        </w:rPr>
        <w:t xml:space="preserve"> De</w:t>
      </w:r>
      <w:r w:rsidRPr="00FF46E3" w:rsidR="005D4546">
        <w:rPr>
          <w:rFonts w:ascii="Verdana" w:hAnsi="Verdana"/>
          <w:sz w:val="18"/>
          <w:szCs w:val="18"/>
        </w:rPr>
        <w:t xml:space="preserve"> zorgplicht</w:t>
      </w:r>
      <w:r w:rsidRPr="00FF46E3" w:rsidR="00584CEE">
        <w:rPr>
          <w:rFonts w:ascii="Verdana" w:hAnsi="Verdana"/>
          <w:sz w:val="18"/>
          <w:szCs w:val="18"/>
        </w:rPr>
        <w:t xml:space="preserve"> geldt </w:t>
      </w:r>
      <w:r w:rsidRPr="00FF46E3" w:rsidR="00505862">
        <w:rPr>
          <w:rFonts w:ascii="Verdana" w:hAnsi="Verdana"/>
          <w:sz w:val="18"/>
          <w:szCs w:val="18"/>
        </w:rPr>
        <w:t xml:space="preserve">alleen voor essentiële entiteiten en belangrijke entiteiten, en </w:t>
      </w:r>
      <w:r w:rsidRPr="00FF46E3" w:rsidR="00584CEE">
        <w:rPr>
          <w:rFonts w:ascii="Verdana" w:hAnsi="Verdana"/>
          <w:sz w:val="18"/>
          <w:szCs w:val="18"/>
        </w:rPr>
        <w:t>niet voor entiteiten die domeinnaamregistratiediensten verlenen</w:t>
      </w:r>
      <w:r w:rsidRPr="00FF46E3" w:rsidR="008A73B9">
        <w:rPr>
          <w:rFonts w:ascii="Verdana" w:hAnsi="Verdana"/>
          <w:sz w:val="18"/>
          <w:szCs w:val="18"/>
        </w:rPr>
        <w:t xml:space="preserve"> en die niet tevens een essentiële of belangrijke entiteit zijn.</w:t>
      </w:r>
    </w:p>
    <w:p w:rsidRPr="00FF46E3" w:rsidR="00466DAA" w:rsidP="00466DAA" w:rsidRDefault="00305CFE" w14:paraId="229E1F05" w14:textId="30517CD2">
      <w:pPr>
        <w:widowControl w:val="0"/>
        <w:autoSpaceDE w:val="0"/>
        <w:autoSpaceDN w:val="0"/>
        <w:adjustRightInd w:val="0"/>
        <w:spacing w:after="0" w:line="240" w:lineRule="auto"/>
        <w:rPr>
          <w:rFonts w:ascii="Verdana" w:hAnsi="Verdana"/>
          <w:sz w:val="18"/>
          <w:szCs w:val="18"/>
        </w:rPr>
      </w:pPr>
      <w:r w:rsidRPr="00FF46E3">
        <w:rPr>
          <w:rFonts w:ascii="Verdana" w:hAnsi="Verdana"/>
        </w:rPr>
        <w:br/>
      </w:r>
      <w:r w:rsidRPr="00FF46E3" w:rsidR="00466DAA">
        <w:rPr>
          <w:rFonts w:ascii="Verdana" w:hAnsi="Verdana"/>
          <w:sz w:val="18"/>
          <w:szCs w:val="18"/>
        </w:rPr>
        <w:t xml:space="preserve">Essentiele entiteiten en belangrijke entiteiten zijn zelf verantwoordelijk </w:t>
      </w:r>
      <w:r w:rsidRPr="00FF46E3" w:rsidR="00D15B8D">
        <w:rPr>
          <w:rFonts w:ascii="Verdana" w:hAnsi="Verdana"/>
          <w:sz w:val="18"/>
          <w:szCs w:val="18"/>
        </w:rPr>
        <w:t xml:space="preserve">voor het </w:t>
      </w:r>
      <w:r w:rsidRPr="00FF46E3" w:rsidR="00466DAA">
        <w:rPr>
          <w:rFonts w:ascii="Verdana" w:hAnsi="Verdana"/>
          <w:sz w:val="18"/>
          <w:szCs w:val="18"/>
        </w:rPr>
        <w:t xml:space="preserve">vaststellen </w:t>
      </w:r>
      <w:r w:rsidRPr="00FF46E3" w:rsidR="00D15B8D">
        <w:rPr>
          <w:rFonts w:ascii="Verdana" w:hAnsi="Verdana"/>
          <w:sz w:val="18"/>
          <w:szCs w:val="18"/>
        </w:rPr>
        <w:t xml:space="preserve">van </w:t>
      </w:r>
      <w:r w:rsidRPr="00FF46E3" w:rsidR="00466DAA">
        <w:rPr>
          <w:rFonts w:ascii="Verdana" w:hAnsi="Verdana"/>
          <w:sz w:val="18"/>
          <w:szCs w:val="18"/>
        </w:rPr>
        <w:t>welke maatregelen passend en evenredig zijn om de risico’s waarmee zij geconfronteerd kunnen worden, beheersbaar te houden. Entiteiten hebben immers zelf inzicht – op basis van een risicobeoordeling – in de risico’s die hun dienstverlening kunnen raken en hebben de meeste kennis van hun eigen systemen en processen. Daarmee omvat de zorgplicht de plicht voor entiteiten om risico’s voor de beveiliging van de netwerk- en informatiesystemen, die zij voor hun werkzaamheden of voor het verlenen van hun diensten gebruiken, in kaart te hebben, omdat zij anders niet in staat zijn om passende en evenredige maatregelen te kunnen nemen. Risicomanagement of een risicobeoordelingscyclus door de entiteit vormt hiervoor de basis.</w:t>
      </w:r>
    </w:p>
    <w:p w:rsidRPr="00FF46E3" w:rsidR="00466DAA" w:rsidP="00466DAA" w:rsidRDefault="00466DAA" w14:paraId="19101655" w14:textId="77777777">
      <w:pPr>
        <w:widowControl w:val="0"/>
        <w:autoSpaceDE w:val="0"/>
        <w:autoSpaceDN w:val="0"/>
        <w:adjustRightInd w:val="0"/>
        <w:spacing w:after="0" w:line="240" w:lineRule="auto"/>
        <w:rPr>
          <w:rFonts w:ascii="Verdana" w:hAnsi="Verdana"/>
          <w:sz w:val="18"/>
          <w:szCs w:val="18"/>
        </w:rPr>
      </w:pPr>
    </w:p>
    <w:p w:rsidRPr="00FF46E3" w:rsidR="00466DAA" w:rsidP="00466DAA" w:rsidRDefault="00466DAA" w14:paraId="7C0D3648" w14:textId="4E2ED15E">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Het is aan de </w:t>
      </w:r>
      <w:r w:rsidRPr="00FF46E3" w:rsidR="00A836AC">
        <w:rPr>
          <w:rFonts w:ascii="Verdana" w:hAnsi="Verdana"/>
          <w:sz w:val="18"/>
          <w:szCs w:val="18"/>
        </w:rPr>
        <w:t>toezichthouder</w:t>
      </w:r>
      <w:r w:rsidRPr="00FF46E3">
        <w:rPr>
          <w:rFonts w:ascii="Verdana" w:hAnsi="Verdana"/>
          <w:sz w:val="18"/>
          <w:szCs w:val="18"/>
        </w:rPr>
        <w:t xml:space="preserve"> om te beoordelen</w:t>
      </w:r>
      <w:r w:rsidRPr="00FF46E3" w:rsidR="00437A7A">
        <w:rPr>
          <w:rFonts w:ascii="Verdana" w:hAnsi="Verdana"/>
          <w:sz w:val="18"/>
          <w:szCs w:val="18"/>
        </w:rPr>
        <w:t xml:space="preserve"> of de entiteit voldoende invulling heeft gegeven aan de eisen uit de </w:t>
      </w:r>
      <w:proofErr w:type="spellStart"/>
      <w:r w:rsidRPr="00FF46E3" w:rsidR="008A75F7">
        <w:rPr>
          <w:rFonts w:ascii="Verdana" w:hAnsi="Verdana"/>
          <w:sz w:val="18"/>
          <w:szCs w:val="18"/>
        </w:rPr>
        <w:t>C</w:t>
      </w:r>
      <w:r w:rsidRPr="00FF46E3" w:rsidR="00437A7A">
        <w:rPr>
          <w:rFonts w:ascii="Verdana" w:hAnsi="Verdana"/>
          <w:sz w:val="18"/>
          <w:szCs w:val="18"/>
        </w:rPr>
        <w:t>bw</w:t>
      </w:r>
      <w:proofErr w:type="spellEnd"/>
      <w:r w:rsidRPr="00FF46E3" w:rsidR="00871BAA">
        <w:rPr>
          <w:rFonts w:ascii="Verdana" w:hAnsi="Verdana"/>
          <w:sz w:val="18"/>
          <w:szCs w:val="18"/>
        </w:rPr>
        <w:t xml:space="preserve">. </w:t>
      </w:r>
    </w:p>
    <w:p w:rsidRPr="00FF46E3" w:rsidR="00466DAA" w:rsidP="00466DAA" w:rsidRDefault="00466DAA" w14:paraId="0513C115" w14:textId="77777777">
      <w:pPr>
        <w:widowControl w:val="0"/>
        <w:autoSpaceDE w:val="0"/>
        <w:autoSpaceDN w:val="0"/>
        <w:adjustRightInd w:val="0"/>
        <w:spacing w:after="0" w:line="240" w:lineRule="auto"/>
        <w:rPr>
          <w:rFonts w:ascii="Verdana" w:hAnsi="Verdana"/>
          <w:sz w:val="18"/>
          <w:szCs w:val="18"/>
        </w:rPr>
      </w:pPr>
    </w:p>
    <w:p w:rsidRPr="00FF46E3" w:rsidR="00BD3B54" w:rsidP="00C3466E" w:rsidRDefault="00BD3B54" w14:paraId="0702CA47" w14:textId="57CF0D33">
      <w:pPr>
        <w:pStyle w:val="Kop3"/>
      </w:pPr>
      <w:bookmarkStart w:name="_Toc198721068" w:id="41"/>
      <w:r w:rsidRPr="00FF46E3">
        <w:t>5.</w:t>
      </w:r>
      <w:r w:rsidR="007E5530">
        <w:t>2.2</w:t>
      </w:r>
      <w:r w:rsidRPr="00FF46E3" w:rsidR="004B6593">
        <w:t xml:space="preserve"> </w:t>
      </w:r>
      <w:r w:rsidRPr="00FF46E3" w:rsidR="00466DAA">
        <w:t>Beveiliging van n</w:t>
      </w:r>
      <w:r w:rsidRPr="00FF46E3" w:rsidR="004B6593">
        <w:t>etwerk- en informatiesystemen</w:t>
      </w:r>
      <w:bookmarkEnd w:id="41"/>
    </w:p>
    <w:p w:rsidRPr="00FF46E3" w:rsidR="00BD3B54" w:rsidP="006200DD" w:rsidRDefault="00BD3B54" w14:paraId="0A5A14E9" w14:textId="77777777">
      <w:pPr>
        <w:widowControl w:val="0"/>
        <w:autoSpaceDE w:val="0"/>
        <w:autoSpaceDN w:val="0"/>
        <w:adjustRightInd w:val="0"/>
        <w:spacing w:after="0" w:line="240" w:lineRule="auto"/>
        <w:rPr>
          <w:rFonts w:ascii="Verdana" w:hAnsi="Verdana"/>
          <w:sz w:val="18"/>
          <w:szCs w:val="18"/>
        </w:rPr>
      </w:pPr>
    </w:p>
    <w:p w:rsidRPr="00FF46E3" w:rsidR="00305CFE" w:rsidP="006200DD" w:rsidRDefault="00305CFE" w14:paraId="44DA09BD" w14:textId="506B39A9">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De zorgplicht </w:t>
      </w:r>
      <w:r w:rsidRPr="00FF46E3" w:rsidR="00466DAA">
        <w:rPr>
          <w:rFonts w:ascii="Verdana" w:hAnsi="Verdana"/>
          <w:sz w:val="18"/>
          <w:szCs w:val="18"/>
        </w:rPr>
        <w:t xml:space="preserve">uit artikel </w:t>
      </w:r>
      <w:r w:rsidR="001E06BB">
        <w:rPr>
          <w:rFonts w:ascii="Verdana" w:hAnsi="Verdana"/>
          <w:sz w:val="18"/>
          <w:szCs w:val="18"/>
        </w:rPr>
        <w:t>21</w:t>
      </w:r>
      <w:r w:rsidRPr="00FF46E3" w:rsidR="001E06BB">
        <w:rPr>
          <w:rFonts w:ascii="Verdana" w:hAnsi="Verdana"/>
          <w:sz w:val="18"/>
          <w:szCs w:val="18"/>
        </w:rPr>
        <w:t xml:space="preserve"> </w:t>
      </w:r>
      <w:proofErr w:type="spellStart"/>
      <w:r w:rsidRPr="00FF46E3" w:rsidR="00343D34">
        <w:rPr>
          <w:rFonts w:ascii="Verdana" w:hAnsi="Verdana"/>
          <w:sz w:val="18"/>
          <w:szCs w:val="18"/>
        </w:rPr>
        <w:t>Cbw</w:t>
      </w:r>
      <w:proofErr w:type="spellEnd"/>
      <w:r w:rsidRPr="00FF46E3" w:rsidR="00343D34">
        <w:rPr>
          <w:rFonts w:ascii="Verdana" w:hAnsi="Verdana"/>
          <w:sz w:val="18"/>
          <w:szCs w:val="18"/>
        </w:rPr>
        <w:t xml:space="preserve"> </w:t>
      </w:r>
      <w:r w:rsidRPr="00FF46E3">
        <w:rPr>
          <w:rFonts w:ascii="Verdana" w:hAnsi="Verdana"/>
          <w:sz w:val="18"/>
          <w:szCs w:val="18"/>
        </w:rPr>
        <w:t xml:space="preserve">heeft enkel betrekking op </w:t>
      </w:r>
      <w:r w:rsidR="00723507">
        <w:rPr>
          <w:rFonts w:ascii="Verdana" w:hAnsi="Verdana"/>
          <w:sz w:val="18"/>
          <w:szCs w:val="18"/>
        </w:rPr>
        <w:t xml:space="preserve">het beheersen van de risico’s voor de beveiliging van </w:t>
      </w:r>
      <w:r w:rsidRPr="00FF46E3">
        <w:rPr>
          <w:rFonts w:ascii="Verdana" w:hAnsi="Verdana"/>
          <w:sz w:val="18"/>
          <w:szCs w:val="18"/>
        </w:rPr>
        <w:t>netwerk- en informatiesystemen</w:t>
      </w:r>
      <w:r w:rsidR="00723507">
        <w:rPr>
          <w:rFonts w:ascii="Verdana" w:hAnsi="Verdana"/>
          <w:sz w:val="18"/>
          <w:szCs w:val="18"/>
        </w:rPr>
        <w:t xml:space="preserve">, het voorkomen en beperken van gevolgen van incidenten met betrekking tot deze systemen, evenals </w:t>
      </w:r>
      <w:r w:rsidRPr="00FF46E3">
        <w:rPr>
          <w:rFonts w:ascii="Verdana" w:hAnsi="Verdana"/>
          <w:sz w:val="18"/>
          <w:szCs w:val="18"/>
        </w:rPr>
        <w:t xml:space="preserve">de bescherming van de fysieke omgeving van die systemen. </w:t>
      </w:r>
      <w:r w:rsidRPr="00FF46E3" w:rsidR="00745C60">
        <w:rPr>
          <w:rFonts w:ascii="Verdana" w:hAnsi="Verdana"/>
          <w:sz w:val="18"/>
          <w:szCs w:val="18"/>
        </w:rPr>
        <w:t xml:space="preserve">Dit is vastgelegd in het derde lid van artikel </w:t>
      </w:r>
      <w:r w:rsidR="001E06BB">
        <w:rPr>
          <w:rFonts w:ascii="Verdana" w:hAnsi="Verdana"/>
          <w:sz w:val="18"/>
          <w:szCs w:val="18"/>
        </w:rPr>
        <w:t>21</w:t>
      </w:r>
      <w:r w:rsidRPr="00FF46E3" w:rsidR="001E06BB">
        <w:rPr>
          <w:rFonts w:ascii="Verdana" w:hAnsi="Verdana"/>
          <w:sz w:val="18"/>
          <w:szCs w:val="18"/>
        </w:rPr>
        <w:t xml:space="preserve"> </w:t>
      </w:r>
      <w:proofErr w:type="spellStart"/>
      <w:r w:rsidRPr="00FF46E3" w:rsidR="00FF74D3">
        <w:rPr>
          <w:rFonts w:ascii="Verdana" w:hAnsi="Verdana"/>
          <w:sz w:val="18"/>
          <w:szCs w:val="18"/>
        </w:rPr>
        <w:t>Cbw</w:t>
      </w:r>
      <w:proofErr w:type="spellEnd"/>
      <w:r w:rsidRPr="00FF46E3" w:rsidR="00745C60">
        <w:rPr>
          <w:rFonts w:ascii="Verdana" w:hAnsi="Verdana"/>
          <w:sz w:val="18"/>
          <w:szCs w:val="18"/>
        </w:rPr>
        <w:t xml:space="preserve">. </w:t>
      </w:r>
      <w:r w:rsidRPr="00FF46E3" w:rsidR="00C57598">
        <w:rPr>
          <w:rFonts w:ascii="Verdana" w:hAnsi="Verdana"/>
          <w:sz w:val="18"/>
          <w:szCs w:val="18"/>
        </w:rPr>
        <w:t xml:space="preserve">Een zorgplicht ten aanzien van weerbaarheid in brede zin kan daarnaast op basis van de </w:t>
      </w:r>
      <w:proofErr w:type="spellStart"/>
      <w:r w:rsidRPr="00FF46E3" w:rsidR="00C57598">
        <w:rPr>
          <w:rFonts w:ascii="Verdana" w:hAnsi="Verdana"/>
          <w:sz w:val="18"/>
          <w:szCs w:val="18"/>
        </w:rPr>
        <w:t>Wwke</w:t>
      </w:r>
      <w:proofErr w:type="spellEnd"/>
      <w:r w:rsidRPr="00FF46E3" w:rsidR="00C57598">
        <w:rPr>
          <w:rFonts w:ascii="Verdana" w:hAnsi="Verdana"/>
          <w:sz w:val="18"/>
          <w:szCs w:val="18"/>
        </w:rPr>
        <w:t xml:space="preserve"> op entiteiten rusten indien zij op </w:t>
      </w:r>
      <w:r w:rsidRPr="00FF46E3" w:rsidR="00C57598">
        <w:rPr>
          <w:rFonts w:ascii="Verdana" w:hAnsi="Verdana"/>
          <w:sz w:val="18"/>
          <w:szCs w:val="18"/>
        </w:rPr>
        <w:lastRenderedPageBreak/>
        <w:t xml:space="preserve">grond van de </w:t>
      </w:r>
      <w:proofErr w:type="spellStart"/>
      <w:r w:rsidRPr="00FF46E3" w:rsidR="00C57598">
        <w:rPr>
          <w:rFonts w:ascii="Verdana" w:hAnsi="Verdana"/>
          <w:sz w:val="18"/>
          <w:szCs w:val="18"/>
        </w:rPr>
        <w:t>Wwke</w:t>
      </w:r>
      <w:proofErr w:type="spellEnd"/>
      <w:r w:rsidRPr="00FF46E3" w:rsidR="00C57598">
        <w:rPr>
          <w:rFonts w:ascii="Verdana" w:hAnsi="Verdana"/>
          <w:sz w:val="18"/>
          <w:szCs w:val="18"/>
        </w:rPr>
        <w:t xml:space="preserve"> zijn aangemerkt als kritieke entiteit</w:t>
      </w:r>
      <w:r w:rsidRPr="00FF46E3">
        <w:rPr>
          <w:rFonts w:ascii="Verdana" w:hAnsi="Verdana"/>
          <w:sz w:val="18"/>
          <w:szCs w:val="18"/>
        </w:rPr>
        <w:t xml:space="preserve">. De zorgplicht van artikel </w:t>
      </w:r>
      <w:r w:rsidR="001E06BB">
        <w:rPr>
          <w:rFonts w:ascii="Verdana" w:hAnsi="Verdana"/>
          <w:sz w:val="18"/>
          <w:szCs w:val="18"/>
        </w:rPr>
        <w:t>21</w:t>
      </w:r>
      <w:r w:rsidRPr="00FF46E3" w:rsidR="001E06BB">
        <w:rPr>
          <w:rFonts w:ascii="Verdana" w:hAnsi="Verdana"/>
          <w:sz w:val="18"/>
          <w:szCs w:val="18"/>
        </w:rPr>
        <w:t xml:space="preserv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w:t>
      </w:r>
      <w:r w:rsidRPr="00FF46E3" w:rsidR="004F1434">
        <w:rPr>
          <w:rFonts w:ascii="Verdana" w:hAnsi="Verdana"/>
          <w:sz w:val="18"/>
          <w:szCs w:val="18"/>
        </w:rPr>
        <w:t>gaat</w:t>
      </w:r>
      <w:r w:rsidRPr="00FF46E3">
        <w:rPr>
          <w:rFonts w:ascii="Verdana" w:hAnsi="Verdana"/>
          <w:sz w:val="18"/>
          <w:szCs w:val="18"/>
        </w:rPr>
        <w:t xml:space="preserve"> voor op de zorgplicht uit artikel </w:t>
      </w:r>
      <w:r w:rsidR="00B54A40">
        <w:rPr>
          <w:rFonts w:ascii="Verdana" w:hAnsi="Verdana"/>
          <w:sz w:val="18"/>
          <w:szCs w:val="18"/>
        </w:rPr>
        <w:t>15</w:t>
      </w:r>
      <w:r w:rsidRPr="00FF46E3" w:rsidR="00B54A40">
        <w:rPr>
          <w:rFonts w:ascii="Verdana" w:hAnsi="Verdana"/>
          <w:sz w:val="18"/>
          <w:szCs w:val="18"/>
        </w:rPr>
        <w:t xml:space="preserve"> </w:t>
      </w:r>
      <w:proofErr w:type="spellStart"/>
      <w:r w:rsidRPr="00FF46E3" w:rsidR="00177DD9">
        <w:rPr>
          <w:rFonts w:ascii="Verdana" w:hAnsi="Verdana"/>
          <w:sz w:val="18"/>
          <w:szCs w:val="18"/>
        </w:rPr>
        <w:t>Wwke</w:t>
      </w:r>
      <w:proofErr w:type="spellEnd"/>
      <w:r w:rsidRPr="00FF46E3">
        <w:rPr>
          <w:rFonts w:ascii="Verdana" w:hAnsi="Verdana"/>
          <w:sz w:val="18"/>
          <w:szCs w:val="18"/>
        </w:rPr>
        <w:t xml:space="preserve"> ten aanzien van hetgeen artikel </w:t>
      </w:r>
      <w:r w:rsidR="00B95AFA">
        <w:rPr>
          <w:rFonts w:ascii="Verdana" w:hAnsi="Verdana"/>
          <w:sz w:val="18"/>
          <w:szCs w:val="18"/>
        </w:rPr>
        <w:t>21</w:t>
      </w:r>
      <w:r w:rsidRPr="00FF46E3" w:rsidR="00B95AFA">
        <w:rPr>
          <w:rFonts w:ascii="Verdana" w:hAnsi="Verdana"/>
          <w:sz w:val="18"/>
          <w:szCs w:val="18"/>
        </w:rPr>
        <w:t xml:space="preserv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regelt, namelijk het beheersen van de risico’s voor de beveiliging van netwerk- en informatiesystemen</w:t>
      </w:r>
      <w:r w:rsidR="00723507">
        <w:rPr>
          <w:rFonts w:ascii="Verdana" w:hAnsi="Verdana"/>
          <w:sz w:val="18"/>
          <w:szCs w:val="18"/>
        </w:rPr>
        <w:t>, en het voorkomen of het beperken van de gevolgen van incidenten</w:t>
      </w:r>
      <w:r w:rsidRPr="00FF46E3">
        <w:rPr>
          <w:rFonts w:ascii="Verdana" w:hAnsi="Verdana"/>
          <w:sz w:val="18"/>
          <w:szCs w:val="18"/>
        </w:rPr>
        <w:t xml:space="preserve">. </w:t>
      </w:r>
      <w:r w:rsidRPr="00FF46E3" w:rsidR="006420B3">
        <w:rPr>
          <w:rFonts w:ascii="Verdana" w:hAnsi="Verdana"/>
          <w:sz w:val="18"/>
          <w:szCs w:val="18"/>
        </w:rPr>
        <w:t xml:space="preserve">In </w:t>
      </w:r>
      <w:r w:rsidRPr="00FF46E3">
        <w:rPr>
          <w:rFonts w:ascii="Verdana" w:hAnsi="Verdana"/>
          <w:sz w:val="18"/>
          <w:szCs w:val="18"/>
        </w:rPr>
        <w:t xml:space="preserve">artikel </w:t>
      </w:r>
      <w:r w:rsidRPr="00FF46E3" w:rsidR="00C66AFB">
        <w:rPr>
          <w:rFonts w:ascii="Verdana" w:hAnsi="Verdana"/>
          <w:sz w:val="18"/>
          <w:szCs w:val="18"/>
        </w:rPr>
        <w:t xml:space="preserve">4 </w:t>
      </w:r>
      <w:proofErr w:type="spellStart"/>
      <w:r w:rsidRPr="00FF46E3" w:rsidR="00C66AFB">
        <w:rPr>
          <w:rFonts w:ascii="Verdana" w:hAnsi="Verdana"/>
          <w:sz w:val="18"/>
          <w:szCs w:val="18"/>
        </w:rPr>
        <w:t>Wwke</w:t>
      </w:r>
      <w:proofErr w:type="spellEnd"/>
      <w:r w:rsidRPr="00FF46E3" w:rsidR="006420B3">
        <w:rPr>
          <w:rFonts w:ascii="Verdana" w:hAnsi="Verdana"/>
          <w:sz w:val="18"/>
          <w:szCs w:val="18"/>
        </w:rPr>
        <w:t xml:space="preserve"> is bepaald dat </w:t>
      </w:r>
      <w:r w:rsidR="00F122CB">
        <w:rPr>
          <w:rFonts w:ascii="Verdana" w:hAnsi="Verdana"/>
          <w:sz w:val="18"/>
          <w:szCs w:val="18"/>
        </w:rPr>
        <w:t xml:space="preserve">de </w:t>
      </w:r>
      <w:proofErr w:type="spellStart"/>
      <w:r w:rsidR="00F122CB">
        <w:rPr>
          <w:rFonts w:ascii="Verdana" w:hAnsi="Verdana"/>
          <w:sz w:val="18"/>
          <w:szCs w:val="18"/>
        </w:rPr>
        <w:t>Wwke</w:t>
      </w:r>
      <w:proofErr w:type="spellEnd"/>
      <w:r w:rsidRPr="00FF46E3" w:rsidR="00472E3C">
        <w:rPr>
          <w:rFonts w:ascii="Verdana" w:hAnsi="Verdana"/>
          <w:sz w:val="18"/>
          <w:szCs w:val="18"/>
        </w:rPr>
        <w:t xml:space="preserve">, en daarmee ook de in artikel </w:t>
      </w:r>
      <w:r w:rsidR="00B54A40">
        <w:rPr>
          <w:rFonts w:ascii="Verdana" w:hAnsi="Verdana"/>
          <w:sz w:val="18"/>
          <w:szCs w:val="18"/>
        </w:rPr>
        <w:t>15</w:t>
      </w:r>
      <w:r w:rsidRPr="00FF46E3" w:rsidR="00B54A40">
        <w:rPr>
          <w:rFonts w:ascii="Verdana" w:hAnsi="Verdana"/>
          <w:sz w:val="18"/>
          <w:szCs w:val="18"/>
        </w:rPr>
        <w:t xml:space="preserve"> </w:t>
      </w:r>
      <w:proofErr w:type="spellStart"/>
      <w:r w:rsidRPr="00FF46E3" w:rsidR="00472E3C">
        <w:rPr>
          <w:rFonts w:ascii="Verdana" w:hAnsi="Verdana"/>
          <w:sz w:val="18"/>
          <w:szCs w:val="18"/>
        </w:rPr>
        <w:t>Wwke</w:t>
      </w:r>
      <w:proofErr w:type="spellEnd"/>
      <w:r w:rsidRPr="00FF46E3" w:rsidR="00472E3C">
        <w:rPr>
          <w:rFonts w:ascii="Verdana" w:hAnsi="Verdana"/>
          <w:sz w:val="18"/>
          <w:szCs w:val="18"/>
        </w:rPr>
        <w:t xml:space="preserve"> geregelde zorgplicht, </w:t>
      </w:r>
      <w:r w:rsidRPr="00645C35" w:rsidR="005B5127">
        <w:rPr>
          <w:rFonts w:ascii="Verdana" w:hAnsi="Verdana"/>
          <w:sz w:val="18"/>
          <w:szCs w:val="18"/>
        </w:rPr>
        <w:t xml:space="preserve">niet van toepassing </w:t>
      </w:r>
      <w:r w:rsidR="005B5127">
        <w:rPr>
          <w:rFonts w:ascii="Verdana" w:hAnsi="Verdana"/>
          <w:sz w:val="18"/>
          <w:szCs w:val="18"/>
        </w:rPr>
        <w:t xml:space="preserve">is </w:t>
      </w:r>
      <w:r w:rsidRPr="00645C35" w:rsidR="005B5127">
        <w:rPr>
          <w:rFonts w:ascii="Verdana" w:hAnsi="Verdana"/>
          <w:sz w:val="18"/>
          <w:szCs w:val="18"/>
        </w:rPr>
        <w:t xml:space="preserve">op aangelegenheden waarop de </w:t>
      </w:r>
      <w:proofErr w:type="spellStart"/>
      <w:r w:rsidR="003744BB">
        <w:rPr>
          <w:rFonts w:ascii="Verdana" w:hAnsi="Verdana"/>
          <w:sz w:val="18"/>
          <w:szCs w:val="18"/>
        </w:rPr>
        <w:t>Cbw</w:t>
      </w:r>
      <w:proofErr w:type="spellEnd"/>
      <w:r w:rsidRPr="00645C35" w:rsidR="003744BB">
        <w:rPr>
          <w:rFonts w:ascii="Verdana" w:hAnsi="Verdana"/>
          <w:sz w:val="18"/>
          <w:szCs w:val="18"/>
        </w:rPr>
        <w:t xml:space="preserve"> </w:t>
      </w:r>
      <w:r w:rsidRPr="00645C35" w:rsidR="005B5127">
        <w:rPr>
          <w:rFonts w:ascii="Verdana" w:hAnsi="Verdana"/>
          <w:sz w:val="18"/>
          <w:szCs w:val="18"/>
        </w:rPr>
        <w:t>van toepassing is.</w:t>
      </w:r>
      <w:r w:rsidRPr="00FF46E3">
        <w:rPr>
          <w:rFonts w:ascii="Verdana" w:hAnsi="Verdana"/>
          <w:sz w:val="18"/>
          <w:szCs w:val="18"/>
        </w:rPr>
        <w:t xml:space="preserve"> </w:t>
      </w:r>
    </w:p>
    <w:p w:rsidRPr="00FF46E3" w:rsidR="00305CFE" w:rsidP="006200DD" w:rsidRDefault="00305CFE" w14:paraId="7BB4600A" w14:textId="77777777">
      <w:pPr>
        <w:widowControl w:val="0"/>
        <w:autoSpaceDE w:val="0"/>
        <w:autoSpaceDN w:val="0"/>
        <w:adjustRightInd w:val="0"/>
        <w:spacing w:after="0" w:line="240" w:lineRule="auto"/>
        <w:rPr>
          <w:rFonts w:ascii="Verdana" w:hAnsi="Verdana"/>
          <w:sz w:val="18"/>
          <w:szCs w:val="18"/>
        </w:rPr>
      </w:pPr>
    </w:p>
    <w:p w:rsidRPr="00FF46E3" w:rsidR="00305CFE" w:rsidP="006200DD" w:rsidRDefault="00305CFE" w14:paraId="54E81120" w14:textId="3ED07F8D">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De zorgplicht ziet op </w:t>
      </w:r>
      <w:r w:rsidR="00CF5E24">
        <w:rPr>
          <w:rFonts w:ascii="Verdana" w:hAnsi="Verdana"/>
          <w:sz w:val="18"/>
          <w:szCs w:val="18"/>
        </w:rPr>
        <w:t>alle</w:t>
      </w:r>
      <w:r w:rsidRPr="00FF46E3" w:rsidR="00CF5E24">
        <w:rPr>
          <w:rFonts w:ascii="Verdana" w:hAnsi="Verdana"/>
          <w:sz w:val="18"/>
          <w:szCs w:val="18"/>
        </w:rPr>
        <w:t xml:space="preserve"> </w:t>
      </w:r>
      <w:r w:rsidRPr="00FF46E3">
        <w:rPr>
          <w:rFonts w:ascii="Verdana" w:hAnsi="Verdana"/>
          <w:sz w:val="18"/>
          <w:szCs w:val="18"/>
        </w:rPr>
        <w:t xml:space="preserve">netwerk- en informatiesystemen die entiteiten gebruiken voor hun werkzaamheden of voor het verlenen van hun diensten. De definitie van netwerk- en informatiesystemen </w:t>
      </w:r>
      <w:r w:rsidRPr="00FF46E3" w:rsidR="00466DAA">
        <w:rPr>
          <w:rFonts w:ascii="Verdana" w:hAnsi="Verdana"/>
          <w:sz w:val="18"/>
          <w:szCs w:val="18"/>
        </w:rPr>
        <w:t>betreft die</w:t>
      </w:r>
      <w:r w:rsidRPr="00FF46E3" w:rsidR="00C73CE2">
        <w:rPr>
          <w:rFonts w:ascii="Verdana" w:hAnsi="Verdana"/>
          <w:sz w:val="18"/>
          <w:szCs w:val="18"/>
        </w:rPr>
        <w:t xml:space="preserve"> uit artikel 6, onderdeel 1, NIS2-richtlijn en </w:t>
      </w:r>
      <w:r w:rsidRPr="00FF46E3">
        <w:rPr>
          <w:rFonts w:ascii="Verdana" w:hAnsi="Verdana"/>
          <w:sz w:val="18"/>
          <w:szCs w:val="18"/>
        </w:rPr>
        <w:t xml:space="preserve">is ruim en technologieneutraal geformuleerd. De reikwijdte van de zorgplicht is daarmee onafhankelijk van het toepassingsgebied waar de netwerk- en informatiesystemen worden ingezet en van de benaming van dergelijke systemen of categorieën van systemen binnen sectoren. Onder een netwerk- en informatiesysteem valt ook Operationele Technologie (OT), ook wel bekend als Industrial Automation &amp; Control Systems (IACS). Deze meet- en regelsystemen </w:t>
      </w:r>
      <w:r w:rsidRPr="00FF46E3" w:rsidR="00EE3EB5">
        <w:rPr>
          <w:rFonts w:ascii="Verdana" w:hAnsi="Verdana"/>
          <w:sz w:val="18"/>
          <w:szCs w:val="18"/>
        </w:rPr>
        <w:t xml:space="preserve">kunnen </w:t>
      </w:r>
      <w:r w:rsidRPr="00FF46E3">
        <w:rPr>
          <w:rFonts w:ascii="Verdana" w:hAnsi="Verdana"/>
          <w:sz w:val="18"/>
          <w:szCs w:val="18"/>
        </w:rPr>
        <w:t xml:space="preserve">van cruciaal belang </w:t>
      </w:r>
      <w:r w:rsidRPr="00FF46E3" w:rsidR="00EE3EB5">
        <w:rPr>
          <w:rFonts w:ascii="Verdana" w:hAnsi="Verdana"/>
          <w:sz w:val="18"/>
          <w:szCs w:val="18"/>
        </w:rPr>
        <w:t>zijn</w:t>
      </w:r>
      <w:r w:rsidRPr="00FF46E3">
        <w:rPr>
          <w:rFonts w:ascii="Verdana" w:hAnsi="Verdana"/>
          <w:sz w:val="18"/>
          <w:szCs w:val="18"/>
        </w:rPr>
        <w:t xml:space="preserve"> voor de continuïteit van de infrastructuur van essentiële </w:t>
      </w:r>
      <w:r w:rsidR="00D91960">
        <w:rPr>
          <w:rFonts w:ascii="Verdana" w:hAnsi="Verdana"/>
          <w:sz w:val="18"/>
          <w:szCs w:val="18"/>
        </w:rPr>
        <w:t xml:space="preserve">entiteiten </w:t>
      </w:r>
      <w:r w:rsidRPr="00FF46E3">
        <w:rPr>
          <w:rFonts w:ascii="Verdana" w:hAnsi="Verdana"/>
          <w:sz w:val="18"/>
          <w:szCs w:val="18"/>
        </w:rPr>
        <w:t xml:space="preserve">en belangrijke entiteiten. </w:t>
      </w:r>
      <w:r w:rsidRPr="00FF46E3" w:rsidR="00466DAA">
        <w:rPr>
          <w:rFonts w:ascii="Verdana" w:hAnsi="Verdana"/>
          <w:sz w:val="18"/>
          <w:szCs w:val="18"/>
        </w:rPr>
        <w:t>De u</w:t>
      </w:r>
      <w:r w:rsidRPr="00FF46E3">
        <w:rPr>
          <w:rFonts w:ascii="Verdana" w:hAnsi="Verdana"/>
          <w:sz w:val="18"/>
          <w:szCs w:val="18"/>
        </w:rPr>
        <w:t xml:space="preserve">itval van die systemen kan leiden tot maatschappelijke ontwrichting. </w:t>
      </w:r>
      <w:r w:rsidRPr="00FF46E3" w:rsidR="00745C60">
        <w:rPr>
          <w:rFonts w:ascii="Verdana" w:hAnsi="Verdana"/>
          <w:sz w:val="18"/>
          <w:szCs w:val="18"/>
        </w:rPr>
        <w:t>Aang</w:t>
      </w:r>
      <w:r w:rsidRPr="00FF46E3">
        <w:rPr>
          <w:rFonts w:ascii="Verdana" w:hAnsi="Verdana"/>
          <w:sz w:val="18"/>
          <w:szCs w:val="18"/>
        </w:rPr>
        <w:t>ezien steeds meer Operationele Technologie verbonden is met informatietechnologie, is het verhogen van de digitale weerbaarheid urgent.</w:t>
      </w:r>
      <w:r w:rsidRPr="00FF46E3">
        <w:rPr>
          <w:rFonts w:ascii="Verdana" w:hAnsi="Verdana"/>
          <w:sz w:val="18"/>
          <w:szCs w:val="18"/>
          <w:vertAlign w:val="superscript"/>
        </w:rPr>
        <w:footnoteReference w:id="36"/>
      </w:r>
    </w:p>
    <w:p w:rsidRPr="00FF46E3" w:rsidR="00305CFE" w:rsidP="006200DD" w:rsidRDefault="00305CFE" w14:paraId="65E5DCBA" w14:textId="77777777">
      <w:pPr>
        <w:widowControl w:val="0"/>
        <w:autoSpaceDE w:val="0"/>
        <w:autoSpaceDN w:val="0"/>
        <w:adjustRightInd w:val="0"/>
        <w:spacing w:after="0" w:line="240" w:lineRule="auto"/>
        <w:rPr>
          <w:rFonts w:ascii="Verdana" w:hAnsi="Verdana"/>
          <w:sz w:val="18"/>
          <w:szCs w:val="18"/>
        </w:rPr>
      </w:pPr>
    </w:p>
    <w:p w:rsidRPr="00863CBA" w:rsidR="00C4553A" w:rsidP="00863CBA" w:rsidRDefault="00305CFE" w14:paraId="3F53E440" w14:textId="3E27178D">
      <w:pPr>
        <w:pStyle w:val="Geenafstand"/>
        <w:rPr>
          <w:rFonts w:ascii="Verdana" w:hAnsi="Verdana"/>
          <w:sz w:val="18"/>
          <w:szCs w:val="18"/>
        </w:rPr>
      </w:pPr>
      <w:r w:rsidRPr="00863CBA">
        <w:rPr>
          <w:rFonts w:ascii="Verdana" w:hAnsi="Verdana"/>
          <w:sz w:val="18"/>
          <w:szCs w:val="18"/>
        </w:rPr>
        <w:t xml:space="preserve">De beveiliging van netwerk- en informatiesystemen betreft </w:t>
      </w:r>
      <w:r w:rsidRPr="00863CBA" w:rsidR="00FA3771">
        <w:rPr>
          <w:rFonts w:ascii="Verdana" w:hAnsi="Verdana"/>
          <w:sz w:val="18"/>
          <w:szCs w:val="18"/>
        </w:rPr>
        <w:t xml:space="preserve">het vermogen van netwerk- en informatiesystemen om op een bepaald niveau van betrouwbaarheid weerstand te bieden aan elke gebeurtenis die de beschikbaarheid, authenticiteit, integriteit of vertrouwelijkheid van opgeslagen, verzonden of verwerkte gegevens of van de diensten die door of via deze netwerk- en informatiesystemen worden aangeboden, in gevaar kan brengen. Een incident betreft een gebeurtenis die de beschikbaarheid, authenticiteit, integriteit of vertrouwelijkheid van opgeslagen, verzonden of verwerkte gegevens of van de diensten die worden aangeboden door of toegankelijk zijn via netwerk- en informatiesystemen, in gevaar brengt. </w:t>
      </w:r>
      <w:bookmarkStart w:name="_Hlk147830935" w:id="42"/>
      <w:bookmarkStart w:name="_Hlk143857176" w:id="43"/>
    </w:p>
    <w:bookmarkEnd w:id="42"/>
    <w:bookmarkEnd w:id="43"/>
    <w:p w:rsidR="00305CFE" w:rsidP="006200DD" w:rsidRDefault="00305CFE" w14:paraId="3E51BF2F" w14:textId="77777777">
      <w:pPr>
        <w:widowControl w:val="0"/>
        <w:autoSpaceDE w:val="0"/>
        <w:autoSpaceDN w:val="0"/>
        <w:adjustRightInd w:val="0"/>
        <w:spacing w:after="0" w:line="240" w:lineRule="auto"/>
        <w:rPr>
          <w:rFonts w:ascii="Verdana" w:hAnsi="Verdana"/>
          <w:sz w:val="18"/>
          <w:szCs w:val="18"/>
        </w:rPr>
      </w:pPr>
    </w:p>
    <w:p w:rsidRPr="00FF46E3" w:rsidR="00CE6A68" w:rsidP="009F0AC6" w:rsidRDefault="005C7F58" w14:paraId="1DFD21DE" w14:textId="3EF61612">
      <w:pPr>
        <w:pStyle w:val="Geenafstand"/>
        <w:rPr>
          <w:rFonts w:ascii="Verdana" w:hAnsi="Verdana"/>
          <w:sz w:val="18"/>
          <w:szCs w:val="18"/>
        </w:rPr>
      </w:pPr>
      <w:r w:rsidRPr="00FF46E3">
        <w:rPr>
          <w:rFonts w:ascii="Verdana" w:hAnsi="Verdana"/>
          <w:sz w:val="18"/>
          <w:szCs w:val="18"/>
        </w:rPr>
        <w:t>Essentiële e</w:t>
      </w:r>
      <w:r w:rsidRPr="00FF46E3" w:rsidR="00305CFE">
        <w:rPr>
          <w:rFonts w:ascii="Verdana" w:hAnsi="Verdana"/>
          <w:sz w:val="18"/>
          <w:szCs w:val="18"/>
        </w:rPr>
        <w:t>ntiteiten</w:t>
      </w:r>
      <w:r w:rsidRPr="00FF46E3">
        <w:rPr>
          <w:rFonts w:ascii="Verdana" w:hAnsi="Verdana"/>
          <w:sz w:val="18"/>
          <w:szCs w:val="18"/>
        </w:rPr>
        <w:t xml:space="preserve"> en belangrijke entiteiten</w:t>
      </w:r>
      <w:r w:rsidRPr="00FF46E3" w:rsidR="00305CFE">
        <w:rPr>
          <w:rFonts w:ascii="Verdana" w:hAnsi="Verdana"/>
          <w:sz w:val="18"/>
          <w:szCs w:val="18"/>
        </w:rPr>
        <w:t xml:space="preserve"> moeten een benadering kiezen die alle dreigingen en gevaren omvat en tot doel heeft netwerk- en informatiesystemen en de fysieke omgeving van die systemen te beschermen tegen gebeurtenissen die de beveiliging van die systemen kunnen aantasten. Het gaat hierbij niet alleen om de enkele bescherming tegen gebeurtenissen met kwade wil als digitale aanvallen, diefstal, bedrijfsspionage, sabotage, ongeoorloofde fysieke toegang tot, beschadiging van of interferentie met de netwerk- en informatiesystemen. Het gaat ook om gebeurtenissen zonder kwade wil als brand, overstromingen, telecommunicatie- en stroomstoringen systeemstoringen, menselijke fouten en natuurverschijnselen. Bij het nemen van maatregelen om de risico’s voor de beveiliging van netwerk- en informatiesystemen te beheersen dienen entiteiten een benadering te kiezen die zowel de fysieke als digitale beveiliging van de netwerk- en informatiesystemen evenals de fysieke omgeving van die systemen omvat. Bij de fysieke omgeving kan bijvoorbeeld gedacht worden aan gebouwen en ruimtes waar zich netwerk- en informatiesystemen bevinden en van daar aanwezige voorzieningen die noodzakelijk zijn voor het ongestoord functioneren van de netwerk- en informatiesystemen of het voorkomen of beperken van de gevolgen van incidenten. </w:t>
      </w:r>
      <w:r w:rsidRPr="00FF46E3" w:rsidR="00305CFE">
        <w:rPr>
          <w:rFonts w:ascii="Verdana" w:hAnsi="Verdana"/>
          <w:sz w:val="18"/>
          <w:szCs w:val="18"/>
        </w:rPr>
        <w:br/>
      </w:r>
    </w:p>
    <w:p w:rsidRPr="00FF46E3" w:rsidR="009F0AC6" w:rsidP="00C3466E" w:rsidRDefault="009F0AC6" w14:paraId="38CA788D" w14:textId="50A35C3F">
      <w:pPr>
        <w:pStyle w:val="Kop3"/>
      </w:pPr>
      <w:bookmarkStart w:name="_Toc198721069" w:id="44"/>
      <w:r w:rsidRPr="00FF46E3">
        <w:t>5.</w:t>
      </w:r>
      <w:r w:rsidR="007E5530">
        <w:t>2</w:t>
      </w:r>
      <w:r w:rsidRPr="00FF46E3">
        <w:t xml:space="preserve">.3 </w:t>
      </w:r>
      <w:r w:rsidR="00FC73BD">
        <w:t>De</w:t>
      </w:r>
      <w:r w:rsidRPr="00FF46E3" w:rsidR="00FF6661">
        <w:t xml:space="preserve"> </w:t>
      </w:r>
      <w:r w:rsidRPr="00FF46E3">
        <w:t>maatregelen</w:t>
      </w:r>
      <w:bookmarkEnd w:id="44"/>
    </w:p>
    <w:p w:rsidR="009F0AC6" w:rsidP="006200DD" w:rsidRDefault="009F0AC6" w14:paraId="3EAB3951" w14:textId="77777777">
      <w:pPr>
        <w:widowControl w:val="0"/>
        <w:autoSpaceDE w:val="0"/>
        <w:autoSpaceDN w:val="0"/>
        <w:adjustRightInd w:val="0"/>
        <w:spacing w:after="0" w:line="240" w:lineRule="auto"/>
        <w:rPr>
          <w:rFonts w:ascii="Verdana" w:hAnsi="Verdana"/>
          <w:sz w:val="18"/>
          <w:szCs w:val="18"/>
        </w:rPr>
      </w:pPr>
    </w:p>
    <w:p w:rsidRPr="00FC73BD" w:rsidR="00FC73BD" w:rsidP="006200DD" w:rsidRDefault="00FC73BD" w14:paraId="0B0F24FF" w14:textId="7207BF24">
      <w:pPr>
        <w:widowControl w:val="0"/>
        <w:autoSpaceDE w:val="0"/>
        <w:autoSpaceDN w:val="0"/>
        <w:adjustRightInd w:val="0"/>
        <w:spacing w:after="0" w:line="240" w:lineRule="auto"/>
        <w:rPr>
          <w:rFonts w:ascii="Verdana" w:hAnsi="Verdana"/>
          <w:i/>
          <w:iCs/>
          <w:sz w:val="18"/>
          <w:szCs w:val="18"/>
        </w:rPr>
      </w:pPr>
      <w:bookmarkStart w:name="_Hlk178088688" w:id="45"/>
      <w:r w:rsidRPr="00FC73BD">
        <w:rPr>
          <w:rFonts w:ascii="Verdana" w:hAnsi="Verdana"/>
          <w:i/>
          <w:iCs/>
          <w:sz w:val="18"/>
          <w:szCs w:val="18"/>
        </w:rPr>
        <w:t>Passende en evenredige</w:t>
      </w:r>
      <w:r>
        <w:rPr>
          <w:rFonts w:ascii="Verdana" w:hAnsi="Verdana"/>
          <w:i/>
          <w:iCs/>
          <w:sz w:val="18"/>
          <w:szCs w:val="18"/>
        </w:rPr>
        <w:t xml:space="preserve"> maatregelen</w:t>
      </w:r>
    </w:p>
    <w:bookmarkEnd w:id="45"/>
    <w:p w:rsidRPr="00FF46E3" w:rsidR="00305CFE" w:rsidP="006200DD" w:rsidRDefault="00305CFE" w14:paraId="17A0B4C9" w14:textId="1E26B6F8">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De maatregelen die de </w:t>
      </w:r>
      <w:r w:rsidRPr="00FF46E3" w:rsidR="00584CEE">
        <w:rPr>
          <w:rFonts w:ascii="Verdana" w:hAnsi="Verdana"/>
          <w:sz w:val="18"/>
          <w:szCs w:val="18"/>
        </w:rPr>
        <w:t xml:space="preserve">essentiële </w:t>
      </w:r>
      <w:r w:rsidRPr="00FF46E3">
        <w:rPr>
          <w:rFonts w:ascii="Verdana" w:hAnsi="Verdana"/>
          <w:sz w:val="18"/>
          <w:szCs w:val="18"/>
        </w:rPr>
        <w:t xml:space="preserve">entiteiten </w:t>
      </w:r>
      <w:r w:rsidRPr="00FF46E3" w:rsidR="00584CEE">
        <w:rPr>
          <w:rFonts w:ascii="Verdana" w:hAnsi="Verdana"/>
          <w:sz w:val="18"/>
          <w:szCs w:val="18"/>
        </w:rPr>
        <w:t xml:space="preserve">en belangrijke entiteiten </w:t>
      </w:r>
      <w:r w:rsidRPr="00FF46E3">
        <w:rPr>
          <w:rFonts w:ascii="Verdana" w:hAnsi="Verdana"/>
          <w:sz w:val="18"/>
          <w:szCs w:val="18"/>
        </w:rPr>
        <w:t xml:space="preserve">op grond van </w:t>
      </w:r>
      <w:r w:rsidRPr="00FF46E3" w:rsidR="00343D34">
        <w:rPr>
          <w:rFonts w:ascii="Verdana" w:hAnsi="Verdana"/>
          <w:sz w:val="18"/>
          <w:szCs w:val="18"/>
        </w:rPr>
        <w:t xml:space="preserve">de </w:t>
      </w:r>
      <w:proofErr w:type="spellStart"/>
      <w:r w:rsidRPr="00FF46E3" w:rsidR="00343D34">
        <w:rPr>
          <w:rFonts w:ascii="Verdana" w:hAnsi="Verdana"/>
          <w:sz w:val="18"/>
          <w:szCs w:val="18"/>
        </w:rPr>
        <w:t>Cbw</w:t>
      </w:r>
      <w:proofErr w:type="spellEnd"/>
      <w:r w:rsidRPr="00FF46E3">
        <w:rPr>
          <w:rFonts w:ascii="Verdana" w:hAnsi="Verdana"/>
          <w:sz w:val="18"/>
          <w:szCs w:val="18"/>
        </w:rPr>
        <w:t xml:space="preserve"> moeten nemen, moeten passend en evenredig zijn in relatie tot de specifieke risico’s waarmee de entiteiten ten aanzien van de beveiliging van netwerk- en informatiesystemen kunnen worden geconfronteerd. Bij de beoordeling of een maatregel of combinatie van maatregelen passend is, wordt allereerst gekeken naar de effectiviteit van de maatregel om de betreffende risico’s te beheersen. Hierbij gaat het erom dat de juiste maatregel op de juiste plek wordt ingezet. De effectiviteit van een maatregel kan onder andere worden afgeleid </w:t>
      </w:r>
      <w:r w:rsidRPr="00FF46E3" w:rsidR="00536CB7">
        <w:rPr>
          <w:rFonts w:ascii="Verdana" w:hAnsi="Verdana"/>
          <w:sz w:val="18"/>
          <w:szCs w:val="18"/>
        </w:rPr>
        <w:t xml:space="preserve">uit </w:t>
      </w:r>
      <w:r w:rsidRPr="00FF46E3">
        <w:rPr>
          <w:rFonts w:ascii="Verdana" w:hAnsi="Verdana"/>
          <w:sz w:val="18"/>
          <w:szCs w:val="18"/>
        </w:rPr>
        <w:t xml:space="preserve">wat daarover beschreven staat in Europese en internationale </w:t>
      </w:r>
      <w:r w:rsidRPr="00FF46E3" w:rsidR="00EF7CE6">
        <w:rPr>
          <w:rFonts w:ascii="Verdana" w:hAnsi="Verdana"/>
          <w:sz w:val="18"/>
          <w:szCs w:val="18"/>
        </w:rPr>
        <w:lastRenderedPageBreak/>
        <w:t>standaarden</w:t>
      </w:r>
      <w:r w:rsidRPr="00FF46E3">
        <w:rPr>
          <w:rFonts w:ascii="Verdana" w:hAnsi="Verdana"/>
          <w:sz w:val="18"/>
          <w:szCs w:val="18"/>
        </w:rPr>
        <w:t>, evenals de stand van de techniek</w:t>
      </w:r>
      <w:r w:rsidRPr="00FF46E3" w:rsidR="00584CEE">
        <w:rPr>
          <w:rFonts w:ascii="Verdana" w:hAnsi="Verdana"/>
          <w:sz w:val="18"/>
          <w:szCs w:val="18"/>
        </w:rPr>
        <w:t xml:space="preserve"> en de</w:t>
      </w:r>
      <w:r w:rsidRPr="00FF46E3">
        <w:rPr>
          <w:rFonts w:ascii="Verdana" w:hAnsi="Verdana"/>
          <w:sz w:val="18"/>
          <w:szCs w:val="18"/>
        </w:rPr>
        <w:t xml:space="preserve"> door de entiteit uitgevoerde risicoanalyses. Europese of internationale standaarden kunnen een goede indicatie geven dat een maatregel passend is of zou kunnen zijn om een of meer van de genoemde doelen te bereiken. Dat geldt ook voor maatregelen die de actuele stand van de techniek benutten of toepassen. </w:t>
      </w:r>
    </w:p>
    <w:p w:rsidRPr="00FF46E3" w:rsidR="00305CFE" w:rsidP="006200DD" w:rsidRDefault="00305CFE" w14:paraId="54D701B1" w14:textId="01A30C08">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Daarnaast geldt het vereiste van evenredigheid. </w:t>
      </w:r>
      <w:r w:rsidRPr="00FF46E3" w:rsidR="00FF6661">
        <w:rPr>
          <w:rFonts w:ascii="Verdana" w:hAnsi="Verdana"/>
          <w:sz w:val="18"/>
          <w:szCs w:val="18"/>
        </w:rPr>
        <w:t>Dit betekent dat</w:t>
      </w:r>
      <w:r w:rsidRPr="00FF46E3">
        <w:rPr>
          <w:rFonts w:ascii="Verdana" w:hAnsi="Verdana"/>
          <w:sz w:val="18"/>
          <w:szCs w:val="18"/>
        </w:rPr>
        <w:t xml:space="preserve"> een maatregel of coherente set van maatregelen in verhouding dient te staan </w:t>
      </w:r>
      <w:r w:rsidRPr="00FF46E3" w:rsidR="00536CB7">
        <w:rPr>
          <w:rFonts w:ascii="Verdana" w:hAnsi="Verdana"/>
          <w:sz w:val="18"/>
          <w:szCs w:val="18"/>
        </w:rPr>
        <w:t xml:space="preserve">tot </w:t>
      </w:r>
      <w:r w:rsidRPr="00FF46E3">
        <w:rPr>
          <w:rFonts w:ascii="Verdana" w:hAnsi="Verdana"/>
          <w:sz w:val="18"/>
          <w:szCs w:val="18"/>
        </w:rPr>
        <w:t>het te beheersen risico. De entiteit dient daarbij naar behoren rekening te houden met de mate waarin de entiteit aan risico’s is blootgesteld, evenals de kans dat zich incidenten voordoen en de ernst ervan, met inbegrip van de maatschappelijke en economische gevolgen. Ook de omvang van de entiteit</w:t>
      </w:r>
      <w:r w:rsidRPr="00FF46E3" w:rsidR="004167FC">
        <w:rPr>
          <w:rFonts w:ascii="Verdana" w:hAnsi="Verdana"/>
          <w:sz w:val="18"/>
          <w:szCs w:val="18"/>
        </w:rPr>
        <w:t xml:space="preserve"> </w:t>
      </w:r>
      <w:r w:rsidRPr="00FF46E3">
        <w:rPr>
          <w:rFonts w:ascii="Verdana" w:hAnsi="Verdana"/>
          <w:sz w:val="18"/>
          <w:szCs w:val="18"/>
        </w:rPr>
        <w:t xml:space="preserve">kan een rol spelen bij de </w:t>
      </w:r>
      <w:r w:rsidRPr="00FF46E3" w:rsidR="00536CB7">
        <w:rPr>
          <w:rFonts w:ascii="Verdana" w:hAnsi="Verdana"/>
          <w:sz w:val="18"/>
          <w:szCs w:val="18"/>
        </w:rPr>
        <w:t xml:space="preserve">vraag of maatregelen </w:t>
      </w:r>
      <w:r w:rsidR="00674159">
        <w:rPr>
          <w:rFonts w:ascii="Verdana" w:hAnsi="Verdana"/>
          <w:sz w:val="18"/>
          <w:szCs w:val="18"/>
        </w:rPr>
        <w:t xml:space="preserve">evenredig </w:t>
      </w:r>
      <w:r w:rsidRPr="00FF46E3" w:rsidR="00536CB7">
        <w:rPr>
          <w:rFonts w:ascii="Verdana" w:hAnsi="Verdana"/>
          <w:sz w:val="18"/>
          <w:szCs w:val="18"/>
        </w:rPr>
        <w:t>zijn</w:t>
      </w:r>
      <w:r w:rsidRPr="00FF46E3" w:rsidR="00C73CE2">
        <w:rPr>
          <w:rFonts w:ascii="Verdana" w:hAnsi="Verdana"/>
          <w:sz w:val="18"/>
          <w:szCs w:val="18"/>
        </w:rPr>
        <w:t>.</w:t>
      </w:r>
      <w:r w:rsidRPr="00FF46E3">
        <w:rPr>
          <w:rFonts w:ascii="Verdana" w:hAnsi="Verdana"/>
          <w:sz w:val="18"/>
          <w:szCs w:val="18"/>
        </w:rPr>
        <w:t xml:space="preserve"> </w:t>
      </w:r>
      <w:r w:rsidRPr="00FF46E3" w:rsidR="00FF6661">
        <w:rPr>
          <w:rFonts w:ascii="Verdana" w:hAnsi="Verdana"/>
          <w:sz w:val="18"/>
          <w:szCs w:val="18"/>
        </w:rPr>
        <w:t xml:space="preserve">Wat ook een rol kan spelen bij de </w:t>
      </w:r>
      <w:r w:rsidRPr="00FF46E3" w:rsidR="00EB15BE">
        <w:rPr>
          <w:rFonts w:ascii="Verdana" w:hAnsi="Verdana"/>
          <w:sz w:val="18"/>
          <w:szCs w:val="18"/>
        </w:rPr>
        <w:t>evenredigheid</w:t>
      </w:r>
      <w:r w:rsidRPr="00FF46E3" w:rsidR="00FF6661">
        <w:rPr>
          <w:rFonts w:ascii="Verdana" w:hAnsi="Verdana"/>
          <w:sz w:val="18"/>
          <w:szCs w:val="18"/>
        </w:rPr>
        <w:t xml:space="preserve"> van maatregelen, zijn de nadelige effecten of risico’s van </w:t>
      </w:r>
      <w:r w:rsidRPr="00FF46E3" w:rsidR="00536CB7">
        <w:rPr>
          <w:rFonts w:ascii="Verdana" w:hAnsi="Verdana"/>
          <w:sz w:val="18"/>
          <w:szCs w:val="18"/>
        </w:rPr>
        <w:t xml:space="preserve">die </w:t>
      </w:r>
      <w:r w:rsidRPr="00FF46E3" w:rsidR="00FF6661">
        <w:rPr>
          <w:rFonts w:ascii="Verdana" w:hAnsi="Verdana"/>
          <w:sz w:val="18"/>
          <w:szCs w:val="18"/>
        </w:rPr>
        <w:t xml:space="preserve">maatregelen, zoals de verstoring van de continuïteit van de kritieke processen van een entiteit. </w:t>
      </w:r>
      <w:r w:rsidR="00EC6E6E">
        <w:rPr>
          <w:rFonts w:ascii="Verdana" w:hAnsi="Verdana"/>
          <w:sz w:val="18"/>
          <w:szCs w:val="18"/>
        </w:rPr>
        <w:t>De</w:t>
      </w:r>
      <w:r w:rsidRPr="00FF46E3">
        <w:rPr>
          <w:rFonts w:ascii="Verdana" w:hAnsi="Verdana"/>
          <w:sz w:val="18"/>
          <w:szCs w:val="18"/>
        </w:rPr>
        <w:t xml:space="preserve"> omvang van een entiteit of de hoogte van uitvoeringskosten </w:t>
      </w:r>
      <w:r w:rsidR="00EC6E6E">
        <w:rPr>
          <w:rFonts w:ascii="Verdana" w:hAnsi="Verdana"/>
          <w:sz w:val="18"/>
          <w:szCs w:val="18"/>
        </w:rPr>
        <w:t xml:space="preserve">kan </w:t>
      </w:r>
      <w:r w:rsidRPr="00FF46E3">
        <w:rPr>
          <w:rFonts w:ascii="Verdana" w:hAnsi="Verdana"/>
          <w:sz w:val="18"/>
          <w:szCs w:val="18"/>
        </w:rPr>
        <w:t>van invloed zijn op de keuze van de te nemen maatregelen. Hierbij wordt benadrukt dat een beperkte financiële capaciteit of een beperkte omvang van een entiteit een entiteit niet algeheel kan ontslaan van de verplichting om -</w:t>
      </w:r>
      <w:r w:rsidRPr="00FF46E3" w:rsidR="00C73CE2">
        <w:rPr>
          <w:rFonts w:ascii="Verdana" w:hAnsi="Verdana"/>
          <w:sz w:val="18"/>
          <w:szCs w:val="18"/>
        </w:rPr>
        <w:t xml:space="preserve"> </w:t>
      </w:r>
      <w:r w:rsidRPr="00FF46E3">
        <w:rPr>
          <w:rFonts w:ascii="Verdana" w:hAnsi="Verdana"/>
          <w:sz w:val="18"/>
          <w:szCs w:val="18"/>
        </w:rPr>
        <w:t>kort</w:t>
      </w:r>
      <w:r w:rsidRPr="00FF46E3" w:rsidR="00C73CE2">
        <w:rPr>
          <w:rFonts w:ascii="Verdana" w:hAnsi="Verdana"/>
          <w:sz w:val="18"/>
          <w:szCs w:val="18"/>
        </w:rPr>
        <w:t xml:space="preserve"> </w:t>
      </w:r>
      <w:r w:rsidRPr="00FF46E3">
        <w:rPr>
          <w:rFonts w:ascii="Verdana" w:hAnsi="Verdana"/>
          <w:sz w:val="18"/>
          <w:szCs w:val="18"/>
        </w:rPr>
        <w:t>gezegd</w:t>
      </w:r>
      <w:r w:rsidRPr="00FF46E3" w:rsidR="00C73CE2">
        <w:rPr>
          <w:rFonts w:ascii="Verdana" w:hAnsi="Verdana"/>
          <w:sz w:val="18"/>
          <w:szCs w:val="18"/>
        </w:rPr>
        <w:t xml:space="preserve"> </w:t>
      </w:r>
      <w:r w:rsidRPr="00FF46E3">
        <w:rPr>
          <w:rFonts w:ascii="Verdana" w:hAnsi="Verdana"/>
          <w:sz w:val="18"/>
          <w:szCs w:val="18"/>
        </w:rPr>
        <w:t xml:space="preserve">- de weerbaarheid op orde te hebben. </w:t>
      </w:r>
      <w:r w:rsidRPr="00FF46E3" w:rsidR="00FF6661">
        <w:rPr>
          <w:rFonts w:ascii="Verdana" w:hAnsi="Verdana"/>
          <w:sz w:val="18"/>
          <w:szCs w:val="18"/>
        </w:rPr>
        <w:t>De evenredigheid</w:t>
      </w:r>
      <w:r w:rsidR="005A0BE7">
        <w:rPr>
          <w:rFonts w:ascii="Verdana" w:hAnsi="Verdana"/>
          <w:sz w:val="18"/>
          <w:szCs w:val="18"/>
        </w:rPr>
        <w:t xml:space="preserve"> </w:t>
      </w:r>
      <w:r w:rsidRPr="00FF46E3" w:rsidR="00FF6661">
        <w:rPr>
          <w:rFonts w:ascii="Verdana" w:hAnsi="Verdana"/>
          <w:sz w:val="18"/>
          <w:szCs w:val="18"/>
        </w:rPr>
        <w:t>houdt daarnaast in dat</w:t>
      </w:r>
      <w:r w:rsidRPr="00FF46E3" w:rsidR="00F87D2A">
        <w:rPr>
          <w:rFonts w:ascii="Verdana" w:hAnsi="Verdana"/>
          <w:sz w:val="18"/>
          <w:szCs w:val="18"/>
        </w:rPr>
        <w:t xml:space="preserve"> een maatregel of coherente set van maatregelen het minst belastend is voor de entiteit om het risico te beheersen</w:t>
      </w:r>
      <w:r w:rsidRPr="00FF46E3" w:rsidR="00EC1FC0">
        <w:rPr>
          <w:rFonts w:ascii="Verdana" w:hAnsi="Verdana"/>
          <w:sz w:val="18"/>
          <w:szCs w:val="18"/>
        </w:rPr>
        <w:t>.</w:t>
      </w:r>
      <w:r w:rsidRPr="00FF46E3" w:rsidR="00F87D2A">
        <w:rPr>
          <w:rFonts w:ascii="Verdana" w:hAnsi="Verdana"/>
          <w:sz w:val="18"/>
          <w:szCs w:val="18"/>
        </w:rPr>
        <w:t xml:space="preserve"> </w:t>
      </w:r>
    </w:p>
    <w:p w:rsidRPr="00FF46E3" w:rsidR="0078214C" w:rsidP="006200DD" w:rsidRDefault="0078214C" w14:paraId="1BD0BFEF" w14:textId="30CE5779">
      <w:pPr>
        <w:widowControl w:val="0"/>
        <w:autoSpaceDE w:val="0"/>
        <w:autoSpaceDN w:val="0"/>
        <w:adjustRightInd w:val="0"/>
        <w:spacing w:after="0" w:line="240" w:lineRule="auto"/>
        <w:rPr>
          <w:rFonts w:ascii="Verdana" w:hAnsi="Verdana"/>
          <w:sz w:val="18"/>
          <w:szCs w:val="18"/>
        </w:rPr>
      </w:pPr>
      <w:r w:rsidRPr="00FF46E3">
        <w:rPr>
          <w:rFonts w:ascii="Verdana" w:hAnsi="Verdana" w:cs="Arial"/>
          <w:sz w:val="18"/>
          <w:szCs w:val="18"/>
          <w:shd w:val="clear" w:color="auto" w:fill="FFFFFF"/>
        </w:rPr>
        <w:t xml:space="preserve">Als gevolg van de afweging of een maatregel passend en evenredig is, is </w:t>
      </w:r>
      <w:r w:rsidRPr="00FF46E3">
        <w:rPr>
          <w:rFonts w:ascii="Verdana" w:hAnsi="Verdana"/>
          <w:sz w:val="18"/>
          <w:szCs w:val="18"/>
        </w:rPr>
        <w:t xml:space="preserve">er een bepaald niveau van risico dat aanvaardbaar is. Het volledig uitsluiten van risico’s en het creëren van volledige bescherming is niet mogelijk. </w:t>
      </w:r>
      <w:r w:rsidRPr="00FF46E3" w:rsidR="007954D0">
        <w:rPr>
          <w:rFonts w:ascii="Verdana" w:hAnsi="Verdana"/>
          <w:sz w:val="18"/>
          <w:szCs w:val="18"/>
        </w:rPr>
        <w:t xml:space="preserve">Essentiële entiteiten en belangrijke </w:t>
      </w:r>
      <w:r w:rsidR="005B5127">
        <w:rPr>
          <w:rFonts w:ascii="Verdana" w:hAnsi="Verdana"/>
          <w:sz w:val="18"/>
          <w:szCs w:val="18"/>
        </w:rPr>
        <w:t xml:space="preserve">entiteiten </w:t>
      </w:r>
      <w:r w:rsidRPr="00FF46E3">
        <w:rPr>
          <w:rFonts w:ascii="Verdana" w:hAnsi="Verdana"/>
          <w:sz w:val="18"/>
          <w:szCs w:val="18"/>
        </w:rPr>
        <w:t>worden daarom geacht maatregelen te nemen om risico’s te beheersen en de mogelijke gevolgen van restrisico’s zoveel mogelijk tot een minimum te beperken.</w:t>
      </w:r>
    </w:p>
    <w:p w:rsidRPr="00FF46E3" w:rsidR="00305CFE" w:rsidP="006200DD" w:rsidRDefault="00305CFE" w14:paraId="6BBC16C0" w14:textId="77777777">
      <w:pPr>
        <w:widowControl w:val="0"/>
        <w:autoSpaceDE w:val="0"/>
        <w:autoSpaceDN w:val="0"/>
        <w:adjustRightInd w:val="0"/>
        <w:spacing w:after="0" w:line="240" w:lineRule="auto"/>
        <w:rPr>
          <w:rFonts w:ascii="Verdana" w:hAnsi="Verdana"/>
          <w:i/>
          <w:iCs/>
          <w:sz w:val="18"/>
          <w:szCs w:val="18"/>
        </w:rPr>
      </w:pPr>
    </w:p>
    <w:p w:rsidRPr="00FC73BD" w:rsidR="00FC73BD" w:rsidP="00FC73BD" w:rsidRDefault="00FC73BD" w14:paraId="677385C1" w14:textId="431504BA">
      <w:pPr>
        <w:widowControl w:val="0"/>
        <w:autoSpaceDE w:val="0"/>
        <w:autoSpaceDN w:val="0"/>
        <w:adjustRightInd w:val="0"/>
        <w:spacing w:after="0" w:line="240" w:lineRule="auto"/>
        <w:rPr>
          <w:rFonts w:ascii="Verdana" w:hAnsi="Verdana"/>
          <w:i/>
          <w:iCs/>
          <w:sz w:val="18"/>
          <w:szCs w:val="18"/>
        </w:rPr>
      </w:pPr>
      <w:r w:rsidRPr="00FC73BD">
        <w:rPr>
          <w:rFonts w:ascii="Verdana" w:hAnsi="Verdana"/>
          <w:i/>
          <w:iCs/>
          <w:sz w:val="18"/>
          <w:szCs w:val="18"/>
        </w:rPr>
        <w:t>Technische, operationele en organisatorische maatregelen</w:t>
      </w:r>
    </w:p>
    <w:p w:rsidRPr="00FF46E3" w:rsidR="00305CFE" w:rsidP="006200DD" w:rsidRDefault="00305CFE" w14:paraId="3749B5FF" w14:textId="3A568C7F">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Het beheersen van de risico’s voor de beveiliging van de netwerk- en informatiesystemen behoeft een </w:t>
      </w:r>
      <w:r w:rsidRPr="00FF46E3" w:rsidR="006A19D8">
        <w:rPr>
          <w:rFonts w:ascii="Verdana" w:hAnsi="Verdana"/>
          <w:sz w:val="18"/>
          <w:szCs w:val="18"/>
        </w:rPr>
        <w:t xml:space="preserve">integrale </w:t>
      </w:r>
      <w:r w:rsidRPr="00FF46E3">
        <w:rPr>
          <w:rFonts w:ascii="Verdana" w:hAnsi="Verdana"/>
          <w:sz w:val="18"/>
          <w:szCs w:val="18"/>
        </w:rPr>
        <w:t>aanpak. Dit betekent dat maatregelen niet alleen technisch van aard zijn, maar ook operationeel en organisatorisch</w:t>
      </w:r>
      <w:r w:rsidR="00C558D7">
        <w:rPr>
          <w:rFonts w:ascii="Verdana" w:hAnsi="Verdana"/>
          <w:sz w:val="18"/>
          <w:szCs w:val="18"/>
        </w:rPr>
        <w:t xml:space="preserve">, </w:t>
      </w:r>
      <w:r w:rsidRPr="005A0BE7" w:rsidR="00C558D7">
        <w:rPr>
          <w:rFonts w:ascii="Verdana" w:hAnsi="Verdana"/>
          <w:sz w:val="18"/>
          <w:szCs w:val="18"/>
        </w:rPr>
        <w:t>zowel gericht op preventie als detectie</w:t>
      </w:r>
      <w:r w:rsidRPr="00FF46E3">
        <w:rPr>
          <w:rFonts w:ascii="Verdana" w:hAnsi="Verdana"/>
          <w:sz w:val="18"/>
          <w:szCs w:val="18"/>
        </w:rPr>
        <w:t>.</w:t>
      </w:r>
      <w:r w:rsidRPr="00FF46E3" w:rsidR="00096E36">
        <w:rPr>
          <w:rFonts w:ascii="Verdana" w:hAnsi="Verdana"/>
          <w:sz w:val="18"/>
          <w:szCs w:val="18"/>
        </w:rPr>
        <w:t xml:space="preserve"> </w:t>
      </w:r>
      <w:r w:rsidR="00FC73BD">
        <w:rPr>
          <w:rFonts w:ascii="Verdana" w:hAnsi="Verdana"/>
          <w:sz w:val="18"/>
          <w:szCs w:val="18"/>
        </w:rPr>
        <w:t>A</w:t>
      </w:r>
      <w:r w:rsidR="00A73994">
        <w:rPr>
          <w:rFonts w:ascii="Verdana" w:hAnsi="Verdana"/>
          <w:sz w:val="18"/>
          <w:szCs w:val="18"/>
        </w:rPr>
        <w:t xml:space="preserve">rtikel </w:t>
      </w:r>
      <w:r w:rsidR="00B95AFA">
        <w:rPr>
          <w:rFonts w:ascii="Verdana" w:hAnsi="Verdana"/>
          <w:sz w:val="18"/>
          <w:szCs w:val="18"/>
        </w:rPr>
        <w:t>21</w:t>
      </w:r>
      <w:r w:rsidR="00A73994">
        <w:rPr>
          <w:rFonts w:ascii="Verdana" w:hAnsi="Verdana"/>
          <w:sz w:val="18"/>
          <w:szCs w:val="18"/>
        </w:rPr>
        <w:t xml:space="preserve">, derde lid, </w:t>
      </w:r>
      <w:proofErr w:type="spellStart"/>
      <w:r w:rsidR="00A73994">
        <w:rPr>
          <w:rFonts w:ascii="Verdana" w:hAnsi="Verdana"/>
          <w:sz w:val="18"/>
          <w:szCs w:val="18"/>
        </w:rPr>
        <w:t>Cbw</w:t>
      </w:r>
      <w:proofErr w:type="spellEnd"/>
      <w:r w:rsidR="00A73994">
        <w:rPr>
          <w:rFonts w:ascii="Verdana" w:hAnsi="Verdana"/>
          <w:sz w:val="18"/>
          <w:szCs w:val="18"/>
        </w:rPr>
        <w:t xml:space="preserve"> </w:t>
      </w:r>
      <w:r w:rsidR="00FC73BD">
        <w:rPr>
          <w:rFonts w:ascii="Verdana" w:hAnsi="Verdana"/>
          <w:sz w:val="18"/>
          <w:szCs w:val="18"/>
        </w:rPr>
        <w:t xml:space="preserve">bevat een opsomming van </w:t>
      </w:r>
      <w:r w:rsidR="00A73994">
        <w:rPr>
          <w:rFonts w:ascii="Verdana" w:hAnsi="Verdana"/>
          <w:sz w:val="18"/>
          <w:szCs w:val="18"/>
        </w:rPr>
        <w:t>waar de maatregelen in ieder geval</w:t>
      </w:r>
      <w:r w:rsidR="00FC73BD">
        <w:rPr>
          <w:rFonts w:ascii="Verdana" w:hAnsi="Verdana"/>
          <w:sz w:val="18"/>
          <w:szCs w:val="18"/>
        </w:rPr>
        <w:t xml:space="preserve"> uit</w:t>
      </w:r>
      <w:r w:rsidR="00A73994">
        <w:rPr>
          <w:rFonts w:ascii="Verdana" w:hAnsi="Verdana"/>
          <w:sz w:val="18"/>
          <w:szCs w:val="18"/>
        </w:rPr>
        <w:t xml:space="preserve"> moeten bestaan. </w:t>
      </w:r>
      <w:r w:rsidR="00FC73BD">
        <w:rPr>
          <w:rFonts w:ascii="Verdana" w:hAnsi="Verdana"/>
          <w:sz w:val="18"/>
          <w:szCs w:val="18"/>
        </w:rPr>
        <w:t xml:space="preserve">Voor </w:t>
      </w:r>
      <w:r w:rsidRPr="00FF46E3">
        <w:rPr>
          <w:rFonts w:ascii="Verdana" w:hAnsi="Verdana"/>
          <w:sz w:val="18"/>
          <w:szCs w:val="18"/>
        </w:rPr>
        <w:t xml:space="preserve">entiteiten </w:t>
      </w:r>
      <w:r w:rsidRPr="00FF46E3" w:rsidR="00FC73BD">
        <w:rPr>
          <w:rFonts w:ascii="Verdana" w:hAnsi="Verdana"/>
          <w:sz w:val="18"/>
          <w:szCs w:val="18"/>
        </w:rPr>
        <w:t xml:space="preserve">bestaat </w:t>
      </w:r>
      <w:r w:rsidRPr="00FF46E3">
        <w:rPr>
          <w:rFonts w:ascii="Verdana" w:hAnsi="Verdana"/>
          <w:sz w:val="18"/>
          <w:szCs w:val="18"/>
        </w:rPr>
        <w:t xml:space="preserve">geen ruimte om op basis van een eigen afweging van </w:t>
      </w:r>
      <w:proofErr w:type="spellStart"/>
      <w:r w:rsidRPr="00FF46E3">
        <w:rPr>
          <w:rFonts w:ascii="Verdana" w:hAnsi="Verdana"/>
          <w:sz w:val="18"/>
          <w:szCs w:val="18"/>
        </w:rPr>
        <w:t>passendheid</w:t>
      </w:r>
      <w:proofErr w:type="spellEnd"/>
      <w:r w:rsidRPr="00FF46E3">
        <w:rPr>
          <w:rFonts w:ascii="Verdana" w:hAnsi="Verdana"/>
          <w:sz w:val="18"/>
          <w:szCs w:val="18"/>
        </w:rPr>
        <w:t xml:space="preserve"> en evenredigheid deze maatregelen niet te treffen. Wel zal de concrete invulling van deze maatregelen door entiteiten op passende en evenredige wijze moeten plaatsvinden. </w:t>
      </w:r>
    </w:p>
    <w:p w:rsidR="00305CFE" w:rsidP="006200DD" w:rsidRDefault="00305CFE" w14:paraId="1869EAEC" w14:textId="77777777">
      <w:pPr>
        <w:widowControl w:val="0"/>
        <w:autoSpaceDE w:val="0"/>
        <w:autoSpaceDN w:val="0"/>
        <w:adjustRightInd w:val="0"/>
        <w:spacing w:after="0" w:line="240" w:lineRule="auto"/>
        <w:rPr>
          <w:rFonts w:ascii="Verdana" w:hAnsi="Verdana"/>
          <w:i/>
          <w:iCs/>
          <w:sz w:val="18"/>
          <w:szCs w:val="18"/>
        </w:rPr>
      </w:pPr>
    </w:p>
    <w:p w:rsidRPr="003561D4" w:rsidR="00BE096B" w:rsidP="00BE096B" w:rsidRDefault="00BE096B" w14:paraId="3243BCA1" w14:textId="5BF7C508">
      <w:pPr>
        <w:widowControl w:val="0"/>
        <w:autoSpaceDE w:val="0"/>
        <w:autoSpaceDN w:val="0"/>
        <w:adjustRightInd w:val="0"/>
        <w:spacing w:after="0" w:line="240" w:lineRule="auto"/>
        <w:rPr>
          <w:rFonts w:ascii="Verdana" w:hAnsi="Verdana"/>
          <w:i/>
          <w:iCs/>
          <w:sz w:val="18"/>
          <w:szCs w:val="18"/>
        </w:rPr>
      </w:pPr>
      <w:bookmarkStart w:name="_Hlk178087901" w:id="46"/>
      <w:r>
        <w:rPr>
          <w:rFonts w:ascii="Verdana" w:hAnsi="Verdana"/>
          <w:i/>
          <w:iCs/>
          <w:sz w:val="18"/>
          <w:szCs w:val="18"/>
        </w:rPr>
        <w:t>Bestaande normenkaders</w:t>
      </w:r>
    </w:p>
    <w:p w:rsidRPr="00FF46E3" w:rsidR="00BE096B" w:rsidP="00BE096B" w:rsidRDefault="00BE096B" w14:paraId="6708E315" w14:textId="54F65A19">
      <w:pPr>
        <w:widowControl w:val="0"/>
        <w:autoSpaceDE w:val="0"/>
        <w:autoSpaceDN w:val="0"/>
        <w:adjustRightInd w:val="0"/>
        <w:spacing w:after="0" w:line="240" w:lineRule="auto"/>
        <w:rPr>
          <w:rFonts w:ascii="Verdana" w:hAnsi="Verdana"/>
          <w:sz w:val="18"/>
          <w:szCs w:val="18"/>
        </w:rPr>
      </w:pPr>
      <w:r w:rsidRPr="00FF46E3">
        <w:rPr>
          <w:rFonts w:ascii="Verdana" w:hAnsi="Verdana"/>
          <w:sz w:val="18"/>
          <w:szCs w:val="18"/>
        </w:rPr>
        <w:t xml:space="preserve">Essentiële entiteiten en belangrijke entiteiten kunnen hun eigen normenkader hanteren voor het beheersen van hun risico’s ten aanzien van de beveiliging van netwerk- en informatiesystemen. Hiermee wordt de regeldruk beperkt. Een normenkader voor informatiebeveiliging is gewoonlijk gebaseerd op een Europese, internationale norm, nationale of sectorale norm (zoals de ISO/IEC 27000-serie) met een procesbeschrijving en eisen voor het beveiligen van netwerk- en informatiesystemen. </w:t>
      </w:r>
      <w:r w:rsidR="006D5132">
        <w:rPr>
          <w:rFonts w:ascii="Verdana" w:hAnsi="Verdana"/>
          <w:sz w:val="18"/>
          <w:szCs w:val="18"/>
        </w:rPr>
        <w:t>E</w:t>
      </w:r>
      <w:r w:rsidRPr="00FF46E3">
        <w:rPr>
          <w:rFonts w:ascii="Verdana" w:hAnsi="Verdana"/>
          <w:sz w:val="18"/>
          <w:szCs w:val="18"/>
        </w:rPr>
        <w:t xml:space="preserve">en normenkader geeft een entiteit houvast bij het beheersen van de risico’s. Het voldoen aan een eigen normenkader betekent op zichzelf niet dat een entiteit aan de zorgplicht van artikel </w:t>
      </w:r>
      <w:r w:rsidR="00B95AFA">
        <w:rPr>
          <w:rFonts w:ascii="Verdana" w:hAnsi="Verdana"/>
          <w:sz w:val="18"/>
          <w:szCs w:val="18"/>
        </w:rPr>
        <w:t>21</w:t>
      </w:r>
      <w:r w:rsidRPr="00FF46E3" w:rsidR="00B95AFA">
        <w:rPr>
          <w:rFonts w:ascii="Verdana" w:hAnsi="Verdana"/>
          <w:sz w:val="18"/>
          <w:szCs w:val="18"/>
        </w:rPr>
        <w:t xml:space="preserve"> </w:t>
      </w:r>
      <w:proofErr w:type="spellStart"/>
      <w:r>
        <w:rPr>
          <w:rFonts w:ascii="Verdana" w:hAnsi="Verdana"/>
          <w:sz w:val="18"/>
          <w:szCs w:val="18"/>
        </w:rPr>
        <w:t>Cbw</w:t>
      </w:r>
      <w:proofErr w:type="spellEnd"/>
      <w:r w:rsidRPr="00FF46E3">
        <w:rPr>
          <w:rFonts w:ascii="Verdana" w:hAnsi="Verdana"/>
          <w:sz w:val="18"/>
          <w:szCs w:val="18"/>
        </w:rPr>
        <w:t xml:space="preserve"> voldoet. De entiteit dient te borgen dat de maatregelen </w:t>
      </w:r>
      <w:r>
        <w:rPr>
          <w:rFonts w:ascii="Verdana" w:hAnsi="Verdana"/>
          <w:sz w:val="18"/>
          <w:szCs w:val="18"/>
        </w:rPr>
        <w:t xml:space="preserve">die zij moet nemen op grond van de </w:t>
      </w:r>
      <w:proofErr w:type="spellStart"/>
      <w:r>
        <w:rPr>
          <w:rFonts w:ascii="Verdana" w:hAnsi="Verdana"/>
          <w:sz w:val="18"/>
          <w:szCs w:val="18"/>
        </w:rPr>
        <w:t>Cbw</w:t>
      </w:r>
      <w:proofErr w:type="spellEnd"/>
      <w:r w:rsidRPr="00FF46E3">
        <w:rPr>
          <w:rFonts w:ascii="Verdana" w:hAnsi="Verdana"/>
          <w:sz w:val="18"/>
          <w:szCs w:val="18"/>
        </w:rPr>
        <w:t xml:space="preserve"> in ieder geval onderdeel zijn van het maatregelenpakket. </w:t>
      </w:r>
    </w:p>
    <w:p w:rsidRPr="00FF46E3" w:rsidR="00FF1199" w:rsidP="00FF1199" w:rsidRDefault="00FF1199" w14:paraId="3978ACE5" w14:textId="77777777">
      <w:pPr>
        <w:widowControl w:val="0"/>
        <w:autoSpaceDE w:val="0"/>
        <w:autoSpaceDN w:val="0"/>
        <w:adjustRightInd w:val="0"/>
        <w:spacing w:after="0" w:line="240" w:lineRule="auto"/>
        <w:rPr>
          <w:rFonts w:ascii="Verdana" w:hAnsi="Verdana"/>
          <w:sz w:val="18"/>
          <w:szCs w:val="18"/>
        </w:rPr>
      </w:pPr>
    </w:p>
    <w:p w:rsidRPr="001B7D90" w:rsidR="00A65EC7" w:rsidP="00A65EC7" w:rsidRDefault="00A65EC7" w14:paraId="441C1283" w14:textId="0A232423">
      <w:pPr>
        <w:pStyle w:val="Kop2"/>
      </w:pPr>
      <w:bookmarkStart w:name="_Toc198721070" w:id="47"/>
      <w:bookmarkEnd w:id="46"/>
      <w:r w:rsidRPr="001B7D90">
        <w:t>5.</w:t>
      </w:r>
      <w:r w:rsidRPr="001B7D90" w:rsidR="007E5530">
        <w:t>3</w:t>
      </w:r>
      <w:r w:rsidRPr="001B7D90">
        <w:t xml:space="preserve"> </w:t>
      </w:r>
      <w:proofErr w:type="spellStart"/>
      <w:r w:rsidRPr="001B7D90">
        <w:t>Governance</w:t>
      </w:r>
      <w:bookmarkEnd w:id="47"/>
      <w:proofErr w:type="spellEnd"/>
    </w:p>
    <w:p w:rsidRPr="001B7D90" w:rsidR="00A65EC7" w:rsidP="00B07993" w:rsidRDefault="00A65EC7" w14:paraId="67FEEFF6" w14:textId="77777777">
      <w:pPr>
        <w:pStyle w:val="Geenafstand"/>
        <w:rPr>
          <w:rFonts w:ascii="Verdana" w:hAnsi="Verdana"/>
          <w:sz w:val="18"/>
          <w:szCs w:val="18"/>
        </w:rPr>
      </w:pPr>
    </w:p>
    <w:p w:rsidRPr="001B7D90" w:rsidR="00D32D15" w:rsidP="00BD738F" w:rsidRDefault="00540C90" w14:paraId="298ACA9A" w14:textId="11B957FB">
      <w:pPr>
        <w:pStyle w:val="Kop3"/>
      </w:pPr>
      <w:bookmarkStart w:name="_Toc198721071" w:id="48"/>
      <w:r w:rsidRPr="001B7D90">
        <w:t xml:space="preserve">5.3.1 </w:t>
      </w:r>
      <w:r w:rsidRPr="001B7D90" w:rsidR="00952434">
        <w:t>Inleiding</w:t>
      </w:r>
      <w:bookmarkEnd w:id="48"/>
    </w:p>
    <w:p w:rsidRPr="001B7D90" w:rsidR="00540C90" w:rsidP="008A75F7" w:rsidRDefault="00540C90" w14:paraId="78942AC6" w14:textId="77777777">
      <w:pPr>
        <w:pStyle w:val="Geenafstand"/>
        <w:rPr>
          <w:rFonts w:ascii="Verdana" w:hAnsi="Verdana"/>
          <w:sz w:val="18"/>
          <w:szCs w:val="18"/>
        </w:rPr>
      </w:pPr>
    </w:p>
    <w:p w:rsidRPr="001B7D90" w:rsidR="005010F2" w:rsidP="005010F2" w:rsidRDefault="001B7D90" w14:paraId="367B9885" w14:textId="6DEFBFE6">
      <w:pPr>
        <w:pStyle w:val="Geenafstand"/>
        <w:rPr>
          <w:rFonts w:ascii="Verdana" w:hAnsi="Verdana"/>
          <w:sz w:val="18"/>
          <w:szCs w:val="18"/>
        </w:rPr>
      </w:pPr>
      <w:r w:rsidRPr="001B7D90">
        <w:rPr>
          <w:rFonts w:ascii="Verdana" w:hAnsi="Verdana"/>
          <w:sz w:val="18"/>
          <w:szCs w:val="18"/>
        </w:rPr>
        <w:t xml:space="preserve">De </w:t>
      </w:r>
      <w:proofErr w:type="spellStart"/>
      <w:r w:rsidRPr="001B7D90">
        <w:rPr>
          <w:rFonts w:ascii="Verdana" w:hAnsi="Verdana"/>
          <w:sz w:val="18"/>
          <w:szCs w:val="18"/>
        </w:rPr>
        <w:t>Cbw</w:t>
      </w:r>
      <w:proofErr w:type="spellEnd"/>
      <w:r w:rsidRPr="001B7D90">
        <w:rPr>
          <w:rFonts w:ascii="Verdana" w:hAnsi="Verdana"/>
          <w:sz w:val="18"/>
          <w:szCs w:val="18"/>
        </w:rPr>
        <w:t xml:space="preserve"> bevat </w:t>
      </w:r>
      <w:r w:rsidR="00BE0D2D">
        <w:rPr>
          <w:rFonts w:ascii="Verdana" w:hAnsi="Verdana"/>
          <w:sz w:val="18"/>
          <w:szCs w:val="18"/>
        </w:rPr>
        <w:t>verplichtingen</w:t>
      </w:r>
      <w:r w:rsidRPr="001B7D90">
        <w:rPr>
          <w:rFonts w:ascii="Verdana" w:hAnsi="Verdana"/>
          <w:sz w:val="18"/>
          <w:szCs w:val="18"/>
        </w:rPr>
        <w:t xml:space="preserve"> voor het bestuur van essentiële entiteiten en belangrijke entiteiten. Dat bestuur </w:t>
      </w:r>
      <w:r w:rsidRPr="001B7D90" w:rsidR="00952434">
        <w:rPr>
          <w:rFonts w:ascii="Verdana" w:hAnsi="Verdana"/>
          <w:sz w:val="18"/>
          <w:szCs w:val="18"/>
        </w:rPr>
        <w:t>moet de zorgplichtmaatregelen</w:t>
      </w:r>
      <w:r w:rsidRPr="001B7D90" w:rsidR="00D16CB9">
        <w:rPr>
          <w:rFonts w:ascii="Verdana" w:hAnsi="Verdana"/>
          <w:sz w:val="18"/>
          <w:szCs w:val="18"/>
        </w:rPr>
        <w:t xml:space="preserve"> van de betreffende entiteit</w:t>
      </w:r>
      <w:r w:rsidRPr="001B7D90" w:rsidR="00952434">
        <w:rPr>
          <w:rFonts w:ascii="Verdana" w:hAnsi="Verdana"/>
          <w:sz w:val="18"/>
          <w:szCs w:val="18"/>
        </w:rPr>
        <w:t xml:space="preserve"> goedkeuren en toezien op de uitvoering van die maatregelen. </w:t>
      </w:r>
      <w:r w:rsidRPr="001B7D90" w:rsidR="005010F2">
        <w:rPr>
          <w:rFonts w:ascii="Verdana" w:hAnsi="Verdana"/>
          <w:sz w:val="18"/>
          <w:szCs w:val="18"/>
        </w:rPr>
        <w:t>Bestuursleden spelen een cruciale rol in het neerzetten van een sterke cyberweerbaarheidscultuur. Naast de beoordeling van de digitale gezondheid van essentiële entiteiten en belangrijke entiteiten is het daarom van belang dat bestuursleden een training volgen</w:t>
      </w:r>
      <w:r w:rsidR="00D01201">
        <w:rPr>
          <w:rFonts w:ascii="Verdana" w:hAnsi="Verdana"/>
          <w:sz w:val="18"/>
          <w:szCs w:val="18"/>
        </w:rPr>
        <w:t xml:space="preserve"> </w:t>
      </w:r>
      <w:r w:rsidRPr="001B7D90" w:rsidR="00D01201">
        <w:rPr>
          <w:rFonts w:ascii="Verdana" w:hAnsi="Verdana"/>
          <w:sz w:val="18"/>
          <w:szCs w:val="18"/>
        </w:rPr>
        <w:t xml:space="preserve">zodat zij voldoende kennis en vaardigheden verwerven om risico’s te kunnen identificeren en </w:t>
      </w:r>
      <w:proofErr w:type="spellStart"/>
      <w:r w:rsidRPr="001B7D90" w:rsidR="00D01201">
        <w:rPr>
          <w:rFonts w:ascii="Verdana" w:hAnsi="Verdana"/>
          <w:sz w:val="18"/>
          <w:szCs w:val="18"/>
        </w:rPr>
        <w:t>risicobeheerspraktijken</w:t>
      </w:r>
      <w:proofErr w:type="spellEnd"/>
      <w:r w:rsidRPr="001B7D90" w:rsidR="00D01201">
        <w:rPr>
          <w:rFonts w:ascii="Verdana" w:hAnsi="Verdana"/>
          <w:sz w:val="18"/>
          <w:szCs w:val="18"/>
        </w:rPr>
        <w:t xml:space="preserve"> op het gebied van cyberbeveiliging en de gevolgen ervan voor de diensten die door de entiteit worden verleend, te kunnen beoordelen</w:t>
      </w:r>
      <w:r w:rsidRPr="001B7D90" w:rsidR="005010F2">
        <w:rPr>
          <w:rFonts w:ascii="Verdana" w:hAnsi="Verdana"/>
          <w:sz w:val="18"/>
          <w:szCs w:val="18"/>
        </w:rPr>
        <w:t xml:space="preserve">. Vanuit die voorbeeldfunctie dragen ze cyberbewustheid uit, in de eerste plaats naar hun werknemers die in het kader van de zorgplicht een soortgelijke training moeten volgen. </w:t>
      </w:r>
    </w:p>
    <w:p w:rsidRPr="001B7D90" w:rsidR="00FA5B60" w:rsidP="00FA5B60" w:rsidRDefault="00FA5B60" w14:paraId="49B61032" w14:textId="77777777">
      <w:pPr>
        <w:pStyle w:val="Geenafstand"/>
        <w:rPr>
          <w:rFonts w:ascii="Verdana" w:hAnsi="Verdana"/>
          <w:sz w:val="18"/>
          <w:szCs w:val="18"/>
        </w:rPr>
      </w:pPr>
    </w:p>
    <w:p w:rsidRPr="001B7D90" w:rsidR="00D32D15" w:rsidP="00BD738F" w:rsidRDefault="00540C90" w14:paraId="11E6BD1D" w14:textId="53CEE745">
      <w:pPr>
        <w:pStyle w:val="Kop3"/>
      </w:pPr>
      <w:bookmarkStart w:name="_Toc198721072" w:id="49"/>
      <w:r w:rsidRPr="001B7D90">
        <w:t xml:space="preserve">5.3.2 </w:t>
      </w:r>
      <w:r w:rsidRPr="001B7D90" w:rsidR="005E50B7">
        <w:t>Training</w:t>
      </w:r>
      <w:bookmarkEnd w:id="49"/>
      <w:r w:rsidRPr="001B7D90" w:rsidR="005E50B7">
        <w:t xml:space="preserve"> </w:t>
      </w:r>
    </w:p>
    <w:p w:rsidRPr="001B7D90" w:rsidR="00540C90" w:rsidP="00B07993" w:rsidRDefault="00540C90" w14:paraId="46D90423" w14:textId="77777777">
      <w:pPr>
        <w:pStyle w:val="Geenafstand"/>
        <w:rPr>
          <w:rFonts w:ascii="Verdana" w:hAnsi="Verdana"/>
          <w:sz w:val="18"/>
          <w:szCs w:val="18"/>
        </w:rPr>
      </w:pPr>
    </w:p>
    <w:p w:rsidRPr="001B7D90" w:rsidR="001B7D90" w:rsidP="00D16CB9" w:rsidRDefault="001B7D90" w14:paraId="2F695780" w14:textId="29F2272F">
      <w:pPr>
        <w:pStyle w:val="Geenafstand"/>
        <w:rPr>
          <w:rFonts w:ascii="Verdana" w:hAnsi="Verdana"/>
          <w:sz w:val="18"/>
          <w:szCs w:val="18"/>
        </w:rPr>
      </w:pPr>
      <w:r w:rsidRPr="001B7D90">
        <w:rPr>
          <w:rFonts w:ascii="Verdana" w:hAnsi="Verdana"/>
          <w:sz w:val="18"/>
          <w:szCs w:val="18"/>
        </w:rPr>
        <w:t xml:space="preserve">Artikel 24, tweede lid, </w:t>
      </w:r>
      <w:proofErr w:type="spellStart"/>
      <w:r w:rsidRPr="001B7D90">
        <w:rPr>
          <w:rFonts w:ascii="Verdana" w:hAnsi="Verdana"/>
          <w:sz w:val="18"/>
          <w:szCs w:val="18"/>
        </w:rPr>
        <w:t>Cbw</w:t>
      </w:r>
      <w:proofErr w:type="spellEnd"/>
      <w:r w:rsidRPr="001B7D90">
        <w:rPr>
          <w:rFonts w:ascii="Verdana" w:hAnsi="Verdana"/>
          <w:sz w:val="18"/>
          <w:szCs w:val="18"/>
        </w:rPr>
        <w:t xml:space="preserve"> schrijft voor dat i</w:t>
      </w:r>
      <w:r w:rsidRPr="001B7D90" w:rsidR="00D16CB9">
        <w:rPr>
          <w:rFonts w:ascii="Verdana" w:hAnsi="Verdana"/>
          <w:sz w:val="18"/>
          <w:szCs w:val="18"/>
        </w:rPr>
        <w:t xml:space="preserve">eder lid van het bestuur van een essentiële entiteit </w:t>
      </w:r>
      <w:r w:rsidRPr="001B7D90">
        <w:rPr>
          <w:rFonts w:ascii="Verdana" w:hAnsi="Verdana"/>
          <w:sz w:val="18"/>
          <w:szCs w:val="18"/>
        </w:rPr>
        <w:t>en</w:t>
      </w:r>
      <w:r w:rsidRPr="001B7D90" w:rsidR="00D16CB9">
        <w:rPr>
          <w:rFonts w:ascii="Verdana" w:hAnsi="Verdana"/>
          <w:sz w:val="18"/>
          <w:szCs w:val="18"/>
        </w:rPr>
        <w:t xml:space="preserve"> belangrijke entiteit</w:t>
      </w:r>
      <w:r w:rsidRPr="001B7D90">
        <w:rPr>
          <w:rFonts w:ascii="Verdana" w:hAnsi="Verdana"/>
          <w:sz w:val="18"/>
          <w:szCs w:val="18"/>
        </w:rPr>
        <w:t xml:space="preserve"> moet beschikken over k</w:t>
      </w:r>
      <w:r w:rsidRPr="001B7D90" w:rsidR="00D16CB9">
        <w:rPr>
          <w:rFonts w:ascii="Verdana" w:hAnsi="Verdana"/>
          <w:sz w:val="18"/>
          <w:szCs w:val="18"/>
        </w:rPr>
        <w:t>ennis en vaardigheden om</w:t>
      </w:r>
      <w:r w:rsidRPr="001B7D90">
        <w:rPr>
          <w:rFonts w:ascii="Verdana" w:hAnsi="Verdana"/>
          <w:sz w:val="18"/>
          <w:szCs w:val="18"/>
        </w:rPr>
        <w:t xml:space="preserve"> </w:t>
      </w:r>
      <w:r w:rsidRPr="001B7D90" w:rsidR="00D16CB9">
        <w:rPr>
          <w:rFonts w:ascii="Verdana" w:hAnsi="Verdana"/>
          <w:sz w:val="18"/>
          <w:szCs w:val="18"/>
        </w:rPr>
        <w:t>risico’s voor de beveiliging van netwerk- en informatiesystemen te kunnen identificeren</w:t>
      </w:r>
      <w:r w:rsidRPr="001B7D90">
        <w:rPr>
          <w:rFonts w:ascii="Verdana" w:hAnsi="Verdana"/>
          <w:sz w:val="18"/>
          <w:szCs w:val="18"/>
        </w:rPr>
        <w:t xml:space="preserve">, </w:t>
      </w:r>
      <w:r w:rsidRPr="001B7D90" w:rsidR="00D16CB9">
        <w:rPr>
          <w:rFonts w:ascii="Verdana" w:hAnsi="Verdana"/>
          <w:sz w:val="18"/>
          <w:szCs w:val="18"/>
        </w:rPr>
        <w:t>risicobeheersmaatregelen op het gebied van cyberbeveiliging te kunnen beoordelen</w:t>
      </w:r>
      <w:r w:rsidRPr="001B7D90">
        <w:rPr>
          <w:rFonts w:ascii="Verdana" w:hAnsi="Verdana"/>
          <w:sz w:val="18"/>
          <w:szCs w:val="18"/>
        </w:rPr>
        <w:t xml:space="preserve"> </w:t>
      </w:r>
      <w:r w:rsidRPr="001B7D90" w:rsidR="00D16CB9">
        <w:rPr>
          <w:rFonts w:ascii="Verdana" w:hAnsi="Verdana"/>
          <w:sz w:val="18"/>
          <w:szCs w:val="18"/>
        </w:rPr>
        <w:t>en</w:t>
      </w:r>
      <w:r w:rsidRPr="001B7D90">
        <w:rPr>
          <w:rFonts w:ascii="Verdana" w:hAnsi="Verdana"/>
          <w:sz w:val="18"/>
          <w:szCs w:val="18"/>
        </w:rPr>
        <w:t xml:space="preserve"> </w:t>
      </w:r>
      <w:r w:rsidRPr="001B7D90" w:rsidR="00D16CB9">
        <w:rPr>
          <w:rFonts w:ascii="Verdana" w:hAnsi="Verdana"/>
          <w:sz w:val="18"/>
          <w:szCs w:val="18"/>
        </w:rPr>
        <w:t>de gevolgen van de risico’s en risicobeheersmaatregelen voor de diensten die door de entiteit worden verleend</w:t>
      </w:r>
      <w:r w:rsidRPr="001B7D90">
        <w:rPr>
          <w:rFonts w:ascii="Verdana" w:hAnsi="Verdana"/>
          <w:sz w:val="18"/>
          <w:szCs w:val="18"/>
        </w:rPr>
        <w:t>,</w:t>
      </w:r>
      <w:r w:rsidRPr="001B7D90" w:rsidR="00D16CB9">
        <w:rPr>
          <w:rFonts w:ascii="Verdana" w:hAnsi="Verdana"/>
          <w:sz w:val="18"/>
          <w:szCs w:val="18"/>
        </w:rPr>
        <w:t xml:space="preserve"> te kunnen beoordelen.</w:t>
      </w:r>
      <w:r w:rsidRPr="001B7D90">
        <w:rPr>
          <w:rFonts w:ascii="Verdana" w:hAnsi="Verdana"/>
          <w:sz w:val="18"/>
          <w:szCs w:val="18"/>
        </w:rPr>
        <w:t xml:space="preserve"> Met het oog op het aantonen van die kennis en vaardigheden schrijft artikel 24, vijfde lid, </w:t>
      </w:r>
      <w:proofErr w:type="spellStart"/>
      <w:r w:rsidRPr="001B7D90">
        <w:rPr>
          <w:rFonts w:ascii="Verdana" w:hAnsi="Verdana"/>
          <w:sz w:val="18"/>
          <w:szCs w:val="18"/>
        </w:rPr>
        <w:t>Cbw</w:t>
      </w:r>
      <w:proofErr w:type="spellEnd"/>
      <w:r w:rsidRPr="001B7D90">
        <w:rPr>
          <w:rFonts w:ascii="Verdana" w:hAnsi="Verdana"/>
          <w:sz w:val="18"/>
          <w:szCs w:val="18"/>
        </w:rPr>
        <w:t xml:space="preserve"> voor dat ieder lid van het bestuur moet beschikken over een certificaat waaruit de deelname blijkt aan een training </w:t>
      </w:r>
      <w:r w:rsidR="005010F2">
        <w:rPr>
          <w:rFonts w:ascii="Verdana" w:hAnsi="Verdana"/>
          <w:sz w:val="18"/>
          <w:szCs w:val="18"/>
        </w:rPr>
        <w:t>waarin</w:t>
      </w:r>
      <w:r w:rsidRPr="001B7D90">
        <w:rPr>
          <w:rFonts w:ascii="Verdana" w:hAnsi="Verdana"/>
          <w:sz w:val="18"/>
          <w:szCs w:val="18"/>
        </w:rPr>
        <w:t xml:space="preserve"> de hiervoor genoemde onderwerpen </w:t>
      </w:r>
      <w:r w:rsidR="005010F2">
        <w:rPr>
          <w:rFonts w:ascii="Verdana" w:hAnsi="Verdana"/>
          <w:sz w:val="18"/>
          <w:szCs w:val="18"/>
        </w:rPr>
        <w:t xml:space="preserve">worden </w:t>
      </w:r>
      <w:r w:rsidRPr="001B7D90">
        <w:rPr>
          <w:rFonts w:ascii="Verdana" w:hAnsi="Verdana"/>
          <w:sz w:val="18"/>
          <w:szCs w:val="18"/>
        </w:rPr>
        <w:t>behandel</w:t>
      </w:r>
      <w:r w:rsidR="005010F2">
        <w:rPr>
          <w:rFonts w:ascii="Verdana" w:hAnsi="Verdana"/>
          <w:sz w:val="18"/>
          <w:szCs w:val="18"/>
        </w:rPr>
        <w:t>d</w:t>
      </w:r>
      <w:r w:rsidRPr="001B7D90">
        <w:rPr>
          <w:rFonts w:ascii="Verdana" w:hAnsi="Verdana"/>
          <w:sz w:val="18"/>
          <w:szCs w:val="18"/>
        </w:rPr>
        <w:t>.</w:t>
      </w:r>
      <w:r w:rsidR="005010F2">
        <w:rPr>
          <w:rFonts w:ascii="Verdana" w:hAnsi="Verdana"/>
          <w:sz w:val="18"/>
          <w:szCs w:val="18"/>
        </w:rPr>
        <w:t xml:space="preserve"> Met dat certificaat kan een bestuurslid aantonen dat sprake is van de hiervoor bedoelde kennis en vaardigheden.</w:t>
      </w:r>
    </w:p>
    <w:p w:rsidRPr="001B7D90" w:rsidR="001B7D90" w:rsidP="00D16CB9" w:rsidRDefault="001B7D90" w14:paraId="341B2A29" w14:textId="77777777">
      <w:pPr>
        <w:pStyle w:val="Geenafstand"/>
        <w:rPr>
          <w:rFonts w:ascii="Verdana" w:hAnsi="Verdana"/>
          <w:sz w:val="18"/>
          <w:szCs w:val="18"/>
        </w:rPr>
      </w:pPr>
    </w:p>
    <w:p w:rsidRPr="00FF46E3" w:rsidR="005010F2" w:rsidP="005010F2" w:rsidRDefault="005010F2" w14:paraId="1B7504A4" w14:textId="4ADFA9E6">
      <w:pPr>
        <w:pStyle w:val="Geenafstand"/>
        <w:rPr>
          <w:rFonts w:ascii="Verdana" w:hAnsi="Verdana"/>
          <w:sz w:val="18"/>
          <w:szCs w:val="18"/>
        </w:rPr>
      </w:pPr>
      <w:r>
        <w:rPr>
          <w:rFonts w:ascii="Verdana" w:hAnsi="Verdana"/>
          <w:sz w:val="18"/>
          <w:szCs w:val="18"/>
        </w:rPr>
        <w:t>Ieder bestuurslid</w:t>
      </w:r>
      <w:r w:rsidRPr="001B7D90">
        <w:rPr>
          <w:rFonts w:ascii="Verdana" w:hAnsi="Verdana"/>
          <w:sz w:val="18"/>
          <w:szCs w:val="18"/>
        </w:rPr>
        <w:t xml:space="preserve"> moet de kennis en vaardigheden actueel houden. Dit past bij het uitgangspunt van de </w:t>
      </w:r>
      <w:proofErr w:type="spellStart"/>
      <w:r w:rsidRPr="001B7D90">
        <w:rPr>
          <w:rFonts w:ascii="Verdana" w:hAnsi="Verdana"/>
          <w:sz w:val="18"/>
          <w:szCs w:val="18"/>
        </w:rPr>
        <w:t>Cbw</w:t>
      </w:r>
      <w:proofErr w:type="spellEnd"/>
      <w:r w:rsidRPr="001B7D90">
        <w:rPr>
          <w:rFonts w:ascii="Verdana" w:hAnsi="Verdana"/>
          <w:sz w:val="18"/>
          <w:szCs w:val="18"/>
        </w:rPr>
        <w:t xml:space="preserve"> dat cyberweerbaarheid een cyclisch en continu proces is. Dit betekent dat </w:t>
      </w:r>
      <w:r>
        <w:rPr>
          <w:rFonts w:ascii="Verdana" w:hAnsi="Verdana"/>
          <w:sz w:val="18"/>
          <w:szCs w:val="18"/>
        </w:rPr>
        <w:t>ieder</w:t>
      </w:r>
      <w:r w:rsidRPr="001B7D90">
        <w:rPr>
          <w:rFonts w:ascii="Verdana" w:hAnsi="Verdana"/>
          <w:sz w:val="18"/>
          <w:szCs w:val="18"/>
        </w:rPr>
        <w:t xml:space="preserve"> bestuurslid zijn of haar kennis en kunde ververst en indien nodig aanvult, door bijvoorbeeld een opfriscursus. Ook dit moet aangetoond kunnen worden.</w:t>
      </w:r>
      <w:r>
        <w:rPr>
          <w:rFonts w:ascii="Verdana" w:hAnsi="Verdana"/>
          <w:sz w:val="18"/>
          <w:szCs w:val="18"/>
        </w:rPr>
        <w:t xml:space="preserve"> </w:t>
      </w:r>
    </w:p>
    <w:p w:rsidR="00B07993" w:rsidP="00B07993" w:rsidRDefault="00B07993" w14:paraId="4170EDD4" w14:textId="77777777">
      <w:pPr>
        <w:pStyle w:val="Geenafstand"/>
        <w:rPr>
          <w:rFonts w:ascii="Verdana" w:hAnsi="Verdana"/>
          <w:i/>
          <w:iCs/>
          <w:sz w:val="18"/>
          <w:szCs w:val="18"/>
        </w:rPr>
      </w:pPr>
    </w:p>
    <w:p w:rsidR="00540C90" w:rsidP="00BD738F" w:rsidRDefault="00540C90" w14:paraId="2013738E" w14:textId="709E9236">
      <w:pPr>
        <w:pStyle w:val="Kop3"/>
      </w:pPr>
      <w:bookmarkStart w:name="_Toc198721073" w:id="50"/>
      <w:r>
        <w:t xml:space="preserve">5.3.3 </w:t>
      </w:r>
      <w:proofErr w:type="spellStart"/>
      <w:r>
        <w:t>Normadressaat</w:t>
      </w:r>
      <w:bookmarkEnd w:id="50"/>
      <w:proofErr w:type="spellEnd"/>
    </w:p>
    <w:p w:rsidRPr="00FF46E3" w:rsidR="00540C90" w:rsidP="00B07993" w:rsidRDefault="00540C90" w14:paraId="50881B9C" w14:textId="77777777">
      <w:pPr>
        <w:pStyle w:val="Geenafstand"/>
        <w:rPr>
          <w:rFonts w:ascii="Verdana" w:hAnsi="Verdana"/>
          <w:i/>
          <w:iCs/>
          <w:sz w:val="18"/>
          <w:szCs w:val="18"/>
        </w:rPr>
      </w:pPr>
    </w:p>
    <w:p w:rsidR="00574663" w:rsidP="00BD738F" w:rsidRDefault="00574663" w14:paraId="7B6C7DA5" w14:textId="44252DC2">
      <w:pPr>
        <w:pStyle w:val="Kop4"/>
      </w:pPr>
      <w:bookmarkStart w:name="_Toc198721074" w:id="51"/>
      <w:r>
        <w:t>5.3.3.1 Bestuur van essentiële entiteiten en belangrijke entiteiten, niet zijnde overheidsinstanties</w:t>
      </w:r>
      <w:bookmarkEnd w:id="51"/>
    </w:p>
    <w:p w:rsidR="00574663" w:rsidP="009A5B2B" w:rsidRDefault="00574663" w14:paraId="55449DDF" w14:textId="77777777">
      <w:pPr>
        <w:pStyle w:val="Geenafstand"/>
        <w:rPr>
          <w:rFonts w:ascii="Verdana" w:hAnsi="Verdana"/>
          <w:sz w:val="18"/>
          <w:szCs w:val="18"/>
        </w:rPr>
      </w:pPr>
    </w:p>
    <w:p w:rsidRPr="00FF46E3" w:rsidR="009A5B2B" w:rsidP="009A5B2B" w:rsidRDefault="009A5B2B" w14:paraId="51C2DCBE" w14:textId="02280B42">
      <w:pPr>
        <w:pStyle w:val="Geenafstand"/>
        <w:rPr>
          <w:rFonts w:ascii="Verdana" w:hAnsi="Verdana"/>
          <w:sz w:val="18"/>
          <w:szCs w:val="18"/>
        </w:rPr>
      </w:pPr>
      <w:r w:rsidRPr="00FF46E3">
        <w:rPr>
          <w:rFonts w:ascii="Verdana" w:hAnsi="Verdana"/>
          <w:sz w:val="18"/>
          <w:szCs w:val="18"/>
        </w:rPr>
        <w:t xml:space="preserve">In de Nederlandse vertaling van de </w:t>
      </w:r>
      <w:r>
        <w:rPr>
          <w:rFonts w:ascii="Verdana" w:hAnsi="Verdana"/>
          <w:sz w:val="18"/>
          <w:szCs w:val="18"/>
        </w:rPr>
        <w:t>NIS2-</w:t>
      </w:r>
      <w:r w:rsidRPr="00FF46E3">
        <w:rPr>
          <w:rFonts w:ascii="Verdana" w:hAnsi="Verdana"/>
          <w:sz w:val="18"/>
          <w:szCs w:val="18"/>
        </w:rPr>
        <w:t xml:space="preserve">richtlijn wordt gesproken over de “bestuursorganen” van essentiële </w:t>
      </w:r>
      <w:r>
        <w:rPr>
          <w:rFonts w:ascii="Verdana" w:hAnsi="Verdana"/>
          <w:sz w:val="18"/>
          <w:szCs w:val="18"/>
        </w:rPr>
        <w:t xml:space="preserve">entiteiten </w:t>
      </w:r>
      <w:r w:rsidRPr="00FF46E3">
        <w:rPr>
          <w:rFonts w:ascii="Verdana" w:hAnsi="Verdana"/>
          <w:sz w:val="18"/>
          <w:szCs w:val="18"/>
        </w:rPr>
        <w:t xml:space="preserve">en belangrijke entiteiten. Uit de overwegingen van de NIS2-richtlijn en ook uit enkele andere vertalingen blijkt evenwel dat daarmee geen “bestuursorgaan” in de zin van </w:t>
      </w:r>
      <w:r>
        <w:rPr>
          <w:rFonts w:ascii="Verdana" w:hAnsi="Verdana"/>
          <w:sz w:val="18"/>
          <w:szCs w:val="18"/>
        </w:rPr>
        <w:t>het nationale (</w:t>
      </w:r>
      <w:proofErr w:type="spellStart"/>
      <w:r>
        <w:rPr>
          <w:rFonts w:ascii="Verdana" w:hAnsi="Verdana"/>
          <w:sz w:val="18"/>
          <w:szCs w:val="18"/>
        </w:rPr>
        <w:t>bestuurs</w:t>
      </w:r>
      <w:proofErr w:type="spellEnd"/>
      <w:r>
        <w:rPr>
          <w:rFonts w:ascii="Verdana" w:hAnsi="Verdana"/>
          <w:sz w:val="18"/>
          <w:szCs w:val="18"/>
        </w:rPr>
        <w:t>)recht</w:t>
      </w:r>
      <w:r w:rsidRPr="00FF46E3">
        <w:rPr>
          <w:rFonts w:ascii="Verdana" w:hAnsi="Verdana"/>
          <w:sz w:val="18"/>
          <w:szCs w:val="18"/>
        </w:rPr>
        <w:t xml:space="preserve"> wordt bedoeld, maar het bestuur van een organisatie.</w:t>
      </w:r>
      <w:r w:rsidRPr="00FF46E3">
        <w:rPr>
          <w:rFonts w:ascii="Verdana" w:hAnsi="Verdana"/>
          <w:sz w:val="18"/>
          <w:szCs w:val="18"/>
          <w:vertAlign w:val="superscript"/>
        </w:rPr>
        <w:footnoteReference w:id="37"/>
      </w:r>
    </w:p>
    <w:p w:rsidRPr="00FF46E3" w:rsidR="009A5B2B" w:rsidP="009A5B2B" w:rsidRDefault="009A5B2B" w14:paraId="3B9B4A8D" w14:textId="77777777">
      <w:pPr>
        <w:pStyle w:val="Geenafstand"/>
        <w:rPr>
          <w:rFonts w:ascii="Verdana" w:hAnsi="Verdana"/>
          <w:i/>
          <w:iCs/>
          <w:sz w:val="18"/>
          <w:szCs w:val="18"/>
        </w:rPr>
      </w:pPr>
    </w:p>
    <w:p w:rsidRPr="00FF46E3" w:rsidR="009A5B2B" w:rsidP="009A5B2B" w:rsidRDefault="009A5B2B" w14:paraId="4F87E1C8" w14:textId="541EC096">
      <w:pPr>
        <w:pStyle w:val="Geenafstand"/>
        <w:rPr>
          <w:rFonts w:ascii="Verdana" w:hAnsi="Verdana"/>
          <w:sz w:val="18"/>
          <w:szCs w:val="18"/>
        </w:rPr>
      </w:pPr>
      <w:r w:rsidRPr="00FF46E3">
        <w:rPr>
          <w:rFonts w:ascii="Verdana" w:hAnsi="Verdana"/>
          <w:sz w:val="18"/>
          <w:szCs w:val="18"/>
        </w:rPr>
        <w:t xml:space="preserve">Wat vervolgens onder het bestuur van een organisatie moet worden verstaan, valt echter niet af te leiden uit de NIS2-richtlijn. Een nadere uitleg van “bestuur van een organisatie” wordt wel gegeven in de </w:t>
      </w:r>
      <w:r w:rsidR="009754FB">
        <w:rPr>
          <w:rFonts w:ascii="Verdana" w:hAnsi="Verdana"/>
          <w:sz w:val="18"/>
          <w:szCs w:val="18"/>
        </w:rPr>
        <w:t>DORA</w:t>
      </w:r>
      <w:r w:rsidRPr="00FF46E3">
        <w:rPr>
          <w:rFonts w:ascii="Verdana" w:hAnsi="Verdana"/>
          <w:sz w:val="18"/>
          <w:szCs w:val="18"/>
        </w:rPr>
        <w:t xml:space="preserve">. De reden dat in dit kader naar deze </w:t>
      </w:r>
      <w:r>
        <w:rPr>
          <w:rFonts w:ascii="Verdana" w:hAnsi="Verdana"/>
          <w:sz w:val="18"/>
          <w:szCs w:val="18"/>
        </w:rPr>
        <w:t>V</w:t>
      </w:r>
      <w:r w:rsidRPr="00FF46E3">
        <w:rPr>
          <w:rFonts w:ascii="Verdana" w:hAnsi="Verdana"/>
          <w:sz w:val="18"/>
          <w:szCs w:val="18"/>
        </w:rPr>
        <w:t>erordening wordt gekeken, is omdat zowel</w:t>
      </w:r>
      <w:r>
        <w:rPr>
          <w:rFonts w:ascii="Verdana" w:hAnsi="Verdana"/>
          <w:sz w:val="18"/>
          <w:szCs w:val="18"/>
        </w:rPr>
        <w:t xml:space="preserve"> de</w:t>
      </w:r>
      <w:r w:rsidRPr="00FF46E3">
        <w:rPr>
          <w:rFonts w:ascii="Verdana" w:hAnsi="Verdana"/>
          <w:sz w:val="18"/>
          <w:szCs w:val="18"/>
        </w:rPr>
        <w:t xml:space="preserve"> Engelse versie van d</w:t>
      </w:r>
      <w:r>
        <w:rPr>
          <w:rFonts w:ascii="Verdana" w:hAnsi="Verdana"/>
          <w:sz w:val="18"/>
          <w:szCs w:val="18"/>
        </w:rPr>
        <w:t>i</w:t>
      </w:r>
      <w:r w:rsidRPr="00FF46E3">
        <w:rPr>
          <w:rFonts w:ascii="Verdana" w:hAnsi="Verdana"/>
          <w:sz w:val="18"/>
          <w:szCs w:val="18"/>
        </w:rPr>
        <w:t xml:space="preserve">e </w:t>
      </w:r>
      <w:r>
        <w:rPr>
          <w:rFonts w:ascii="Verdana" w:hAnsi="Verdana"/>
          <w:sz w:val="18"/>
          <w:szCs w:val="18"/>
        </w:rPr>
        <w:t>v</w:t>
      </w:r>
      <w:r w:rsidRPr="00FF46E3">
        <w:rPr>
          <w:rFonts w:ascii="Verdana" w:hAnsi="Verdana"/>
          <w:sz w:val="18"/>
          <w:szCs w:val="18"/>
        </w:rPr>
        <w:t xml:space="preserve">erordening als de Engelse versie van de NIS2-richtlijn de term “management </w:t>
      </w:r>
      <w:proofErr w:type="spellStart"/>
      <w:r w:rsidRPr="00FF46E3">
        <w:rPr>
          <w:rFonts w:ascii="Verdana" w:hAnsi="Verdana"/>
          <w:sz w:val="18"/>
          <w:szCs w:val="18"/>
        </w:rPr>
        <w:t>bodies</w:t>
      </w:r>
      <w:proofErr w:type="spellEnd"/>
      <w:r w:rsidRPr="00FF46E3">
        <w:rPr>
          <w:rFonts w:ascii="Verdana" w:hAnsi="Verdana"/>
          <w:sz w:val="18"/>
          <w:szCs w:val="18"/>
        </w:rPr>
        <w:t xml:space="preserve">” bevat en het in de rede ligt dat wat hieronder wordt verstaan in beide EU-wetgeving niet wezenlijk van elkaar verschilt. Zowel de </w:t>
      </w:r>
      <w:r w:rsidR="009754FB">
        <w:rPr>
          <w:rFonts w:ascii="Verdana" w:hAnsi="Verdana"/>
          <w:sz w:val="18"/>
          <w:szCs w:val="18"/>
        </w:rPr>
        <w:t>DORA</w:t>
      </w:r>
      <w:r w:rsidRPr="00FF46E3">
        <w:rPr>
          <w:rFonts w:ascii="Verdana" w:hAnsi="Verdana"/>
          <w:sz w:val="18"/>
          <w:szCs w:val="18"/>
        </w:rPr>
        <w:t xml:space="preserve"> als de NIS2-richtlijn dienen immers ter verhoging van de digitale weerbaarheid. Bovendien is de </w:t>
      </w:r>
      <w:r w:rsidR="009754FB">
        <w:rPr>
          <w:rFonts w:ascii="Verdana" w:hAnsi="Verdana"/>
          <w:sz w:val="18"/>
          <w:szCs w:val="18"/>
        </w:rPr>
        <w:t>DORA</w:t>
      </w:r>
      <w:r w:rsidRPr="00FF46E3">
        <w:rPr>
          <w:rFonts w:ascii="Verdana" w:hAnsi="Verdana"/>
          <w:sz w:val="18"/>
          <w:szCs w:val="18"/>
        </w:rPr>
        <w:t xml:space="preserve"> een lex specialis ten opzichte van de NIS2-richtlijn.</w:t>
      </w:r>
    </w:p>
    <w:p w:rsidRPr="00FF46E3" w:rsidR="009A5B2B" w:rsidP="009A5B2B" w:rsidRDefault="009A5B2B" w14:paraId="2AED9857" w14:textId="77777777">
      <w:pPr>
        <w:pStyle w:val="Geenafstand"/>
        <w:rPr>
          <w:rFonts w:ascii="Verdana" w:hAnsi="Verdana"/>
          <w:sz w:val="18"/>
          <w:szCs w:val="18"/>
        </w:rPr>
      </w:pPr>
    </w:p>
    <w:p w:rsidRPr="00FF46E3" w:rsidR="009A5B2B" w:rsidP="009A5B2B" w:rsidRDefault="009A5B2B" w14:paraId="77F9FD8C" w14:textId="1E7AAC9F">
      <w:pPr>
        <w:pStyle w:val="Geenafstand"/>
        <w:rPr>
          <w:rFonts w:ascii="Verdana" w:hAnsi="Verdana"/>
          <w:sz w:val="18"/>
          <w:szCs w:val="18"/>
        </w:rPr>
      </w:pPr>
      <w:r w:rsidRPr="00FF46E3">
        <w:rPr>
          <w:rFonts w:ascii="Verdana" w:hAnsi="Verdana"/>
          <w:sz w:val="18"/>
          <w:szCs w:val="18"/>
        </w:rPr>
        <w:t xml:space="preserve">In de </w:t>
      </w:r>
      <w:r w:rsidR="009754FB">
        <w:rPr>
          <w:rFonts w:ascii="Verdana" w:hAnsi="Verdana"/>
          <w:sz w:val="18"/>
          <w:szCs w:val="18"/>
        </w:rPr>
        <w:t>DORA</w:t>
      </w:r>
      <w:r w:rsidRPr="00FF46E3">
        <w:rPr>
          <w:rFonts w:ascii="Verdana" w:hAnsi="Verdana"/>
          <w:sz w:val="18"/>
          <w:szCs w:val="18"/>
        </w:rPr>
        <w:t xml:space="preserve"> is de term “management </w:t>
      </w:r>
      <w:proofErr w:type="spellStart"/>
      <w:r w:rsidRPr="00FF46E3">
        <w:rPr>
          <w:rFonts w:ascii="Verdana" w:hAnsi="Verdana"/>
          <w:sz w:val="18"/>
          <w:szCs w:val="18"/>
        </w:rPr>
        <w:t>bodies</w:t>
      </w:r>
      <w:proofErr w:type="spellEnd"/>
      <w:r w:rsidRPr="00FF46E3">
        <w:rPr>
          <w:rFonts w:ascii="Verdana" w:hAnsi="Verdana"/>
          <w:sz w:val="18"/>
          <w:szCs w:val="18"/>
        </w:rPr>
        <w:t xml:space="preserve">” vertaald naar “leidinggevende organen” (en dus niet als “bestuursorganen”) en bovendien (anders dan het geval in de NIS2-richtlijn) wél gedefinieerd. Uit artikel 3, onderdeel 30, </w:t>
      </w:r>
      <w:r w:rsidR="009754FB">
        <w:rPr>
          <w:rFonts w:ascii="Verdana" w:hAnsi="Verdana"/>
          <w:sz w:val="18"/>
          <w:szCs w:val="18"/>
        </w:rPr>
        <w:t>DORA</w:t>
      </w:r>
      <w:r w:rsidRPr="00FF46E3">
        <w:rPr>
          <w:rFonts w:ascii="Verdana" w:hAnsi="Verdana"/>
          <w:sz w:val="18"/>
          <w:szCs w:val="18"/>
        </w:rPr>
        <w:t xml:space="preserve"> volgt (onder verwijzing naar Richtlijn 2014/65) dat onder leidinggevend orgaan wordt verstaan: </w:t>
      </w:r>
    </w:p>
    <w:p w:rsidRPr="00FF46E3" w:rsidR="009A5B2B" w:rsidP="009A5B2B" w:rsidRDefault="009A5B2B" w14:paraId="4C80C9B0" w14:textId="77777777">
      <w:pPr>
        <w:pStyle w:val="Geenafstand"/>
        <w:rPr>
          <w:rFonts w:ascii="Verdana" w:hAnsi="Verdana"/>
          <w:i/>
          <w:iCs/>
          <w:sz w:val="18"/>
          <w:szCs w:val="18"/>
        </w:rPr>
      </w:pPr>
      <w:r w:rsidRPr="00FF46E3">
        <w:rPr>
          <w:rFonts w:ascii="Verdana" w:hAnsi="Verdana"/>
          <w:i/>
          <w:iCs/>
          <w:sz w:val="18"/>
          <w:szCs w:val="18"/>
        </w:rPr>
        <w:t>het (de) overeenkomstig het nationale recht aangewezen orgaan (organen) van een beleggingsonderneming, marktexploitant of dienstverlener op het gebied van datarapportage, dat (die) gemachtigd is (zijn) de strategie, doelstellingen en algemene leiding van de entiteit vast te stellen, en fungeert (fungeren) als toezichthouder op en bewaker van de besluitvorming van het management. Het leidinggevend orgaan omvat personen die daadwerkelijk het beleid van de entiteit bepalen.</w:t>
      </w:r>
    </w:p>
    <w:p w:rsidRPr="00FF46E3" w:rsidR="009A5B2B" w:rsidP="009A5B2B" w:rsidRDefault="009A5B2B" w14:paraId="03C63916" w14:textId="77777777">
      <w:pPr>
        <w:pStyle w:val="Geenafstand"/>
        <w:rPr>
          <w:rFonts w:ascii="Verdana" w:hAnsi="Verdana"/>
          <w:i/>
          <w:iCs/>
          <w:sz w:val="18"/>
          <w:szCs w:val="18"/>
        </w:rPr>
      </w:pPr>
      <w:r w:rsidRPr="00FF46E3">
        <w:rPr>
          <w:rFonts w:ascii="Verdana" w:hAnsi="Verdana"/>
          <w:i/>
          <w:iCs/>
          <w:sz w:val="18"/>
          <w:szCs w:val="18"/>
        </w:rPr>
        <w:t>Wanneer in deze richtlijn verwezen wordt naar het leidinggevend orgaan en de leidinggevende functie en de toezichthoudende functie van het leidinggevend orgaan krachtens nationaal recht worden toegewezen aan verschillende organen of aan verschillende leden binnen één orgaan, wijst de lidstaat de verantwoordelijke organen of de verantwoordelijke leden van het leidinggevend orgaan aan in overeenstemming met diens nationale recht, tenzij in deze richtlijn anders is bepaald;</w:t>
      </w:r>
    </w:p>
    <w:p w:rsidRPr="00FF46E3" w:rsidR="009A5B2B" w:rsidP="009A5B2B" w:rsidRDefault="009A5B2B" w14:paraId="6688B3CB" w14:textId="77777777">
      <w:pPr>
        <w:pStyle w:val="Geenafstand"/>
        <w:rPr>
          <w:rFonts w:ascii="Verdana" w:hAnsi="Verdana"/>
          <w:sz w:val="18"/>
          <w:szCs w:val="18"/>
        </w:rPr>
      </w:pPr>
    </w:p>
    <w:p w:rsidRPr="00FF46E3" w:rsidR="009A5B2B" w:rsidP="009A5B2B" w:rsidRDefault="009A5B2B" w14:paraId="2566526E" w14:textId="77777777">
      <w:pPr>
        <w:pStyle w:val="Geenafstand"/>
        <w:rPr>
          <w:rFonts w:ascii="Verdana" w:hAnsi="Verdana"/>
          <w:sz w:val="18"/>
          <w:szCs w:val="18"/>
        </w:rPr>
      </w:pPr>
      <w:r w:rsidRPr="00FF46E3">
        <w:rPr>
          <w:rFonts w:ascii="Verdana" w:hAnsi="Verdana"/>
          <w:sz w:val="18"/>
          <w:szCs w:val="18"/>
        </w:rPr>
        <w:t>Hieruit wordt afgeleid dat onder “management body”:</w:t>
      </w:r>
    </w:p>
    <w:p w:rsidRPr="00FF46E3" w:rsidR="009A5B2B" w:rsidP="001F1482" w:rsidRDefault="009A5B2B" w14:paraId="61751E13" w14:textId="77777777">
      <w:pPr>
        <w:pStyle w:val="Geenafstand"/>
        <w:numPr>
          <w:ilvl w:val="0"/>
          <w:numId w:val="6"/>
        </w:numPr>
        <w:ind w:left="284" w:hanging="284"/>
        <w:rPr>
          <w:rFonts w:ascii="Verdana" w:hAnsi="Verdana"/>
          <w:sz w:val="18"/>
          <w:szCs w:val="18"/>
        </w:rPr>
      </w:pPr>
      <w:r w:rsidRPr="00FF46E3">
        <w:rPr>
          <w:rFonts w:ascii="Verdana" w:hAnsi="Verdana"/>
          <w:sz w:val="18"/>
          <w:szCs w:val="18"/>
        </w:rPr>
        <w:lastRenderedPageBreak/>
        <w:t xml:space="preserve">het dagelijks bestuur wordt verstaan en niet een toezichthoudend orgaan (in een zogenoemd </w:t>
      </w:r>
      <w:proofErr w:type="spellStart"/>
      <w:r w:rsidRPr="00FF46E3">
        <w:rPr>
          <w:rFonts w:ascii="Verdana" w:hAnsi="Verdana"/>
          <w:sz w:val="18"/>
          <w:szCs w:val="18"/>
        </w:rPr>
        <w:t>two</w:t>
      </w:r>
      <w:proofErr w:type="spellEnd"/>
      <w:r w:rsidRPr="00FF46E3">
        <w:rPr>
          <w:rFonts w:ascii="Verdana" w:hAnsi="Verdana"/>
          <w:sz w:val="18"/>
          <w:szCs w:val="18"/>
        </w:rPr>
        <w:t>-tier bestuursmodel)</w:t>
      </w:r>
      <w:r>
        <w:rPr>
          <w:rFonts w:ascii="Verdana" w:hAnsi="Verdana"/>
          <w:sz w:val="18"/>
          <w:szCs w:val="18"/>
        </w:rPr>
        <w:t>;</w:t>
      </w:r>
      <w:r w:rsidRPr="00FF46E3">
        <w:rPr>
          <w:rFonts w:ascii="Verdana" w:hAnsi="Verdana"/>
          <w:sz w:val="18"/>
          <w:szCs w:val="18"/>
        </w:rPr>
        <w:t xml:space="preserve"> en</w:t>
      </w:r>
    </w:p>
    <w:p w:rsidRPr="00FF46E3" w:rsidR="009A5B2B" w:rsidP="001F1482" w:rsidRDefault="009A5B2B" w14:paraId="650FB01E" w14:textId="77777777">
      <w:pPr>
        <w:pStyle w:val="Geenafstand"/>
        <w:numPr>
          <w:ilvl w:val="0"/>
          <w:numId w:val="6"/>
        </w:numPr>
        <w:ind w:left="284" w:hanging="284"/>
        <w:rPr>
          <w:rFonts w:ascii="Verdana" w:hAnsi="Verdana"/>
          <w:sz w:val="18"/>
          <w:szCs w:val="18"/>
        </w:rPr>
      </w:pPr>
      <w:r w:rsidRPr="00FF46E3">
        <w:rPr>
          <w:rFonts w:ascii="Verdana" w:hAnsi="Verdana"/>
          <w:sz w:val="18"/>
          <w:szCs w:val="18"/>
        </w:rPr>
        <w:t xml:space="preserve">uitvoerende bestuurders van een bestuur worden verstaan en niet de niet-uitvoerende bestuurders van het bestuur (in een zogenoemd </w:t>
      </w:r>
      <w:proofErr w:type="spellStart"/>
      <w:r w:rsidRPr="00FF46E3">
        <w:rPr>
          <w:rFonts w:ascii="Verdana" w:hAnsi="Verdana"/>
          <w:sz w:val="18"/>
          <w:szCs w:val="18"/>
        </w:rPr>
        <w:t>one</w:t>
      </w:r>
      <w:proofErr w:type="spellEnd"/>
      <w:r w:rsidRPr="00FF46E3">
        <w:rPr>
          <w:rFonts w:ascii="Verdana" w:hAnsi="Verdana"/>
          <w:sz w:val="18"/>
          <w:szCs w:val="18"/>
        </w:rPr>
        <w:t xml:space="preserve">-tier bestuursmodel). </w:t>
      </w:r>
    </w:p>
    <w:p w:rsidRPr="00FF46E3" w:rsidR="009A5B2B" w:rsidP="009A5B2B" w:rsidRDefault="009A5B2B" w14:paraId="25E45A59" w14:textId="77777777">
      <w:pPr>
        <w:pStyle w:val="Geenafstand"/>
        <w:rPr>
          <w:rFonts w:ascii="Verdana" w:hAnsi="Verdana"/>
          <w:sz w:val="18"/>
          <w:szCs w:val="18"/>
        </w:rPr>
      </w:pPr>
    </w:p>
    <w:p w:rsidRPr="00FF46E3" w:rsidR="009A5B2B" w:rsidP="009A5B2B" w:rsidRDefault="009A5B2B" w14:paraId="446ACDF1" w14:textId="77777777">
      <w:pPr>
        <w:pStyle w:val="Geenafstand"/>
        <w:rPr>
          <w:rFonts w:ascii="Verdana" w:hAnsi="Verdana"/>
          <w:sz w:val="18"/>
          <w:szCs w:val="18"/>
        </w:rPr>
      </w:pPr>
      <w:r w:rsidRPr="00FF46E3">
        <w:rPr>
          <w:rFonts w:ascii="Verdana" w:hAnsi="Verdana"/>
          <w:sz w:val="18"/>
          <w:szCs w:val="18"/>
        </w:rPr>
        <w:t>Het bestuur is bij rechtspersonen de gebruikelijke term in het Nederlandse recht, op basis van Boek 2 van het</w:t>
      </w:r>
      <w:r>
        <w:rPr>
          <w:rFonts w:ascii="Verdana" w:hAnsi="Verdana"/>
          <w:sz w:val="18"/>
          <w:szCs w:val="18"/>
        </w:rPr>
        <w:t xml:space="preserve"> BW.</w:t>
      </w:r>
      <w:r w:rsidRPr="00FF46E3">
        <w:rPr>
          <w:rFonts w:ascii="Verdana" w:hAnsi="Verdana"/>
          <w:sz w:val="18"/>
          <w:szCs w:val="18"/>
        </w:rPr>
        <w:t xml:space="preserve"> Aan het bestuur is opgedragen de rechtspersoon te besturen, zoals in de artikelen 2:129 (voor de </w:t>
      </w:r>
      <w:r>
        <w:rPr>
          <w:rFonts w:ascii="Verdana" w:hAnsi="Verdana"/>
          <w:sz w:val="18"/>
          <w:szCs w:val="18"/>
        </w:rPr>
        <w:t>naamloze vennootschap</w:t>
      </w:r>
      <w:r w:rsidRPr="00FF46E3">
        <w:rPr>
          <w:rFonts w:ascii="Verdana" w:hAnsi="Verdana"/>
          <w:sz w:val="18"/>
          <w:szCs w:val="18"/>
        </w:rPr>
        <w:t xml:space="preserve">) en 2:239 (voor de </w:t>
      </w:r>
      <w:r>
        <w:rPr>
          <w:rFonts w:ascii="Verdana" w:hAnsi="Verdana"/>
          <w:sz w:val="18"/>
          <w:szCs w:val="18"/>
        </w:rPr>
        <w:t>besloten vennootschap</w:t>
      </w:r>
      <w:r w:rsidRPr="00FF46E3">
        <w:rPr>
          <w:rFonts w:ascii="Verdana" w:hAnsi="Verdana"/>
          <w:sz w:val="18"/>
          <w:szCs w:val="18"/>
        </w:rPr>
        <w:t>) BW</w:t>
      </w:r>
      <w:r>
        <w:rPr>
          <w:rFonts w:ascii="Verdana" w:hAnsi="Verdana"/>
          <w:sz w:val="18"/>
          <w:szCs w:val="18"/>
        </w:rPr>
        <w:t xml:space="preserve"> is opgenomen</w:t>
      </w:r>
      <w:r w:rsidRPr="00FF46E3">
        <w:rPr>
          <w:rFonts w:ascii="Verdana" w:hAnsi="Verdana"/>
          <w:sz w:val="18"/>
          <w:szCs w:val="18"/>
        </w:rPr>
        <w:t>. Het toezichthoudende orgaan is de raad van commissarissen (zie de artikelen 2:140 en 2:250 BW).</w:t>
      </w:r>
    </w:p>
    <w:p w:rsidRPr="00FF46E3" w:rsidR="009A5B2B" w:rsidP="009A5B2B" w:rsidRDefault="009A5B2B" w14:paraId="506B6693" w14:textId="77777777">
      <w:pPr>
        <w:pStyle w:val="Geenafstand"/>
        <w:rPr>
          <w:rFonts w:ascii="Verdana" w:hAnsi="Verdana"/>
          <w:sz w:val="18"/>
          <w:szCs w:val="18"/>
        </w:rPr>
      </w:pPr>
    </w:p>
    <w:p w:rsidRPr="00894C02" w:rsidR="009A5B2B" w:rsidP="009A5B2B" w:rsidRDefault="009A5B2B" w14:paraId="434AEEF1" w14:textId="781F2633">
      <w:pPr>
        <w:pStyle w:val="Geenafstand"/>
        <w:rPr>
          <w:rFonts w:ascii="Verdana" w:hAnsi="Verdana"/>
          <w:sz w:val="18"/>
          <w:szCs w:val="18"/>
        </w:rPr>
      </w:pPr>
      <w:r w:rsidRPr="00894C02">
        <w:rPr>
          <w:rFonts w:ascii="Verdana" w:hAnsi="Verdana"/>
          <w:sz w:val="18"/>
          <w:szCs w:val="18"/>
        </w:rPr>
        <w:t xml:space="preserve">Gelet op de definitie van “management </w:t>
      </w:r>
      <w:proofErr w:type="spellStart"/>
      <w:r w:rsidRPr="00894C02">
        <w:rPr>
          <w:rFonts w:ascii="Verdana" w:hAnsi="Verdana"/>
          <w:sz w:val="18"/>
          <w:szCs w:val="18"/>
        </w:rPr>
        <w:t>bodies</w:t>
      </w:r>
      <w:proofErr w:type="spellEnd"/>
      <w:r w:rsidRPr="00894C02">
        <w:rPr>
          <w:rFonts w:ascii="Verdana" w:hAnsi="Verdana"/>
          <w:sz w:val="18"/>
          <w:szCs w:val="18"/>
        </w:rPr>
        <w:t xml:space="preserve">” in de </w:t>
      </w:r>
      <w:r w:rsidR="009754FB">
        <w:rPr>
          <w:rFonts w:ascii="Verdana" w:hAnsi="Verdana"/>
          <w:sz w:val="18"/>
          <w:szCs w:val="18"/>
        </w:rPr>
        <w:t>DORA</w:t>
      </w:r>
      <w:r w:rsidRPr="00894C02">
        <w:rPr>
          <w:rFonts w:ascii="Verdana" w:hAnsi="Verdana"/>
          <w:sz w:val="18"/>
          <w:szCs w:val="18"/>
        </w:rPr>
        <w:t xml:space="preserve"> en het daarin gemaakte onderscheid tussen het dagelijks bestuur enerzijds en een toezichthoudend orgaan anderzijds, en gelet op de in Nederland gangbare terminologie, is artikel 20 NIS2-richtlijn zodanig in artikel </w:t>
      </w:r>
      <w:r>
        <w:rPr>
          <w:rFonts w:ascii="Verdana" w:hAnsi="Verdana"/>
          <w:sz w:val="18"/>
          <w:szCs w:val="18"/>
        </w:rPr>
        <w:t>24</w:t>
      </w:r>
      <w:r w:rsidRPr="00894C02">
        <w:rPr>
          <w:rFonts w:ascii="Verdana" w:hAnsi="Verdana"/>
          <w:sz w:val="18"/>
          <w:szCs w:val="18"/>
        </w:rPr>
        <w:t xml:space="preserve"> </w:t>
      </w:r>
      <w:proofErr w:type="spellStart"/>
      <w:r w:rsidRPr="00894C02">
        <w:rPr>
          <w:rFonts w:ascii="Verdana" w:hAnsi="Verdana"/>
          <w:sz w:val="18"/>
          <w:szCs w:val="18"/>
        </w:rPr>
        <w:t>Cbw</w:t>
      </w:r>
      <w:proofErr w:type="spellEnd"/>
      <w:r w:rsidRPr="00894C02">
        <w:rPr>
          <w:rFonts w:ascii="Verdana" w:hAnsi="Verdana"/>
          <w:sz w:val="18"/>
          <w:szCs w:val="18"/>
        </w:rPr>
        <w:t xml:space="preserve"> geïmplementeerd dat de hierin opgenomen verplichtingen rusten op het bestuur van een entiteit. </w:t>
      </w:r>
    </w:p>
    <w:p w:rsidRPr="00894C02" w:rsidR="009A5B2B" w:rsidP="009A5B2B" w:rsidRDefault="009A5B2B" w14:paraId="2CBD6FB7" w14:textId="77777777">
      <w:pPr>
        <w:pStyle w:val="Geenafstand"/>
        <w:rPr>
          <w:rFonts w:ascii="Verdana" w:hAnsi="Verdana"/>
          <w:sz w:val="18"/>
          <w:szCs w:val="18"/>
        </w:rPr>
      </w:pPr>
    </w:p>
    <w:p w:rsidRPr="00894C02" w:rsidR="009A5B2B" w:rsidP="009A5B2B" w:rsidRDefault="009A5B2B" w14:paraId="7A7382FD" w14:textId="531BF812">
      <w:pPr>
        <w:pStyle w:val="Geenafstand"/>
        <w:rPr>
          <w:rFonts w:ascii="Verdana" w:hAnsi="Verdana"/>
          <w:sz w:val="18"/>
          <w:szCs w:val="18"/>
        </w:rPr>
      </w:pPr>
      <w:r w:rsidRPr="00894C02">
        <w:rPr>
          <w:rFonts w:ascii="Verdana" w:hAnsi="Verdana"/>
          <w:sz w:val="18"/>
          <w:szCs w:val="18"/>
        </w:rPr>
        <w:t xml:space="preserve">De maatregelen die een entiteit voornemens is te nemen in het kader van de zorgplicht, moeten door het bestuur daarvan worden goedgekeurd (artikel </w:t>
      </w:r>
      <w:r>
        <w:rPr>
          <w:rFonts w:ascii="Verdana" w:hAnsi="Verdana"/>
          <w:sz w:val="18"/>
          <w:szCs w:val="18"/>
        </w:rPr>
        <w:t>24</w:t>
      </w:r>
      <w:r w:rsidRPr="00894C02">
        <w:rPr>
          <w:rFonts w:ascii="Verdana" w:hAnsi="Verdana"/>
          <w:sz w:val="18"/>
          <w:szCs w:val="18"/>
        </w:rPr>
        <w:t xml:space="preserve">, eerste lid, </w:t>
      </w:r>
      <w:proofErr w:type="spellStart"/>
      <w:r w:rsidRPr="00894C02">
        <w:rPr>
          <w:rFonts w:ascii="Verdana" w:hAnsi="Verdana"/>
          <w:sz w:val="18"/>
          <w:szCs w:val="18"/>
        </w:rPr>
        <w:t>Cbw</w:t>
      </w:r>
      <w:proofErr w:type="spellEnd"/>
      <w:r w:rsidRPr="00894C02">
        <w:rPr>
          <w:rFonts w:ascii="Verdana" w:hAnsi="Verdana"/>
          <w:sz w:val="18"/>
          <w:szCs w:val="18"/>
        </w:rPr>
        <w:t xml:space="preserve">). Het gaat in dit verband om het ter goedkeuring voorleggen aan de leden van het bestuur gezamenlijk. De </w:t>
      </w:r>
      <w:proofErr w:type="spellStart"/>
      <w:r w:rsidRPr="00894C02">
        <w:rPr>
          <w:rFonts w:ascii="Verdana" w:hAnsi="Verdana"/>
          <w:sz w:val="18"/>
          <w:szCs w:val="18"/>
        </w:rPr>
        <w:t>normadressaat</w:t>
      </w:r>
      <w:proofErr w:type="spellEnd"/>
      <w:r w:rsidRPr="00894C02">
        <w:rPr>
          <w:rFonts w:ascii="Verdana" w:hAnsi="Verdana"/>
          <w:sz w:val="18"/>
          <w:szCs w:val="18"/>
        </w:rPr>
        <w:t xml:space="preserve"> van artikel </w:t>
      </w:r>
      <w:r>
        <w:rPr>
          <w:rFonts w:ascii="Verdana" w:hAnsi="Verdana"/>
          <w:sz w:val="18"/>
          <w:szCs w:val="18"/>
        </w:rPr>
        <w:t>24</w:t>
      </w:r>
      <w:r w:rsidRPr="00894C02">
        <w:rPr>
          <w:rFonts w:ascii="Verdana" w:hAnsi="Verdana"/>
          <w:sz w:val="18"/>
          <w:szCs w:val="18"/>
        </w:rPr>
        <w:t xml:space="preserve">, eerste lid, </w:t>
      </w:r>
      <w:proofErr w:type="spellStart"/>
      <w:r w:rsidRPr="00894C02">
        <w:rPr>
          <w:rFonts w:ascii="Verdana" w:hAnsi="Verdana"/>
          <w:sz w:val="18"/>
          <w:szCs w:val="18"/>
        </w:rPr>
        <w:t>Cbw</w:t>
      </w:r>
      <w:proofErr w:type="spellEnd"/>
      <w:r w:rsidRPr="00894C02">
        <w:rPr>
          <w:rFonts w:ascii="Verdana" w:hAnsi="Verdana"/>
          <w:sz w:val="18"/>
          <w:szCs w:val="18"/>
        </w:rPr>
        <w:t xml:space="preserve"> is de essentiële entiteit of belangrijke entiteit in kwestie. </w:t>
      </w:r>
    </w:p>
    <w:p w:rsidRPr="00894C02" w:rsidR="009A5B2B" w:rsidP="009A5B2B" w:rsidRDefault="009A5B2B" w14:paraId="3C751700" w14:textId="77777777">
      <w:pPr>
        <w:pStyle w:val="Geenafstand"/>
        <w:rPr>
          <w:rFonts w:ascii="Verdana" w:hAnsi="Verdana"/>
          <w:sz w:val="18"/>
          <w:szCs w:val="18"/>
        </w:rPr>
      </w:pPr>
    </w:p>
    <w:p w:rsidRPr="00894C02" w:rsidR="009A5B2B" w:rsidP="009A5B2B" w:rsidRDefault="009A5B2B" w14:paraId="730034D6" w14:textId="77777777">
      <w:pPr>
        <w:pStyle w:val="Geenafstand"/>
        <w:rPr>
          <w:rFonts w:ascii="Verdana" w:hAnsi="Verdana"/>
          <w:sz w:val="18"/>
          <w:szCs w:val="18"/>
        </w:rPr>
      </w:pPr>
      <w:r w:rsidRPr="00894C02">
        <w:rPr>
          <w:rFonts w:ascii="Verdana" w:hAnsi="Verdana"/>
          <w:sz w:val="18"/>
          <w:szCs w:val="18"/>
        </w:rPr>
        <w:t xml:space="preserve">Daarnaast is het aan alle individuele bestuursleden om te voldoen aan de opleidingsverplichting, bedoeld in artikel </w:t>
      </w:r>
      <w:r>
        <w:rPr>
          <w:rFonts w:ascii="Verdana" w:hAnsi="Verdana"/>
          <w:sz w:val="18"/>
          <w:szCs w:val="18"/>
        </w:rPr>
        <w:t>24</w:t>
      </w:r>
      <w:r w:rsidRPr="00894C02">
        <w:rPr>
          <w:rFonts w:ascii="Verdana" w:hAnsi="Verdana"/>
          <w:sz w:val="18"/>
          <w:szCs w:val="18"/>
        </w:rPr>
        <w:t xml:space="preserve">, tweede </w:t>
      </w:r>
      <w:r>
        <w:rPr>
          <w:rFonts w:ascii="Verdana" w:hAnsi="Verdana"/>
          <w:sz w:val="18"/>
          <w:szCs w:val="18"/>
        </w:rPr>
        <w:t>tot en met</w:t>
      </w:r>
      <w:r w:rsidRPr="00894C02">
        <w:rPr>
          <w:rFonts w:ascii="Verdana" w:hAnsi="Verdana"/>
          <w:sz w:val="18"/>
          <w:szCs w:val="18"/>
        </w:rPr>
        <w:t xml:space="preserve"> zesde lid, </w:t>
      </w:r>
      <w:proofErr w:type="spellStart"/>
      <w:r w:rsidRPr="00894C02">
        <w:rPr>
          <w:rFonts w:ascii="Verdana" w:hAnsi="Verdana"/>
          <w:sz w:val="18"/>
          <w:szCs w:val="18"/>
        </w:rPr>
        <w:t>Cbw</w:t>
      </w:r>
      <w:proofErr w:type="spellEnd"/>
      <w:r w:rsidRPr="00894C02">
        <w:rPr>
          <w:rFonts w:ascii="Verdana" w:hAnsi="Verdana"/>
          <w:sz w:val="18"/>
          <w:szCs w:val="18"/>
        </w:rPr>
        <w:t xml:space="preserve">, omdat het bestuur als geheel verantwoordelijk is voor genomen beslissingen, waaronder de te treffen cyberbeveiligingsmaatregelen. </w:t>
      </w:r>
    </w:p>
    <w:p w:rsidRPr="00894C02" w:rsidR="009A5B2B" w:rsidP="009A5B2B" w:rsidRDefault="009A5B2B" w14:paraId="69F7EDC6" w14:textId="77777777">
      <w:pPr>
        <w:pStyle w:val="Geenafstand"/>
        <w:rPr>
          <w:rFonts w:ascii="Verdana" w:hAnsi="Verdana"/>
          <w:sz w:val="18"/>
          <w:szCs w:val="18"/>
        </w:rPr>
      </w:pPr>
    </w:p>
    <w:p w:rsidRPr="00894C02" w:rsidR="009A5B2B" w:rsidP="009A5B2B" w:rsidRDefault="00540C90" w14:paraId="6769C4D5" w14:textId="5C31567F">
      <w:pPr>
        <w:pStyle w:val="Geenafstand"/>
        <w:rPr>
          <w:rFonts w:ascii="Verdana" w:hAnsi="Verdana"/>
          <w:sz w:val="18"/>
          <w:szCs w:val="18"/>
        </w:rPr>
      </w:pPr>
      <w:r w:rsidRPr="00540C90">
        <w:rPr>
          <w:rFonts w:ascii="Verdana" w:hAnsi="Verdana"/>
          <w:sz w:val="18"/>
          <w:szCs w:val="18"/>
        </w:rPr>
        <w:t xml:space="preserve">Zoals hiervoor reeds is toegelicht, wordt aan de hand van artikel 3, onderdeel 30, </w:t>
      </w:r>
      <w:r w:rsidR="009754FB">
        <w:rPr>
          <w:rFonts w:ascii="Verdana" w:hAnsi="Verdana"/>
          <w:sz w:val="18"/>
          <w:szCs w:val="18"/>
        </w:rPr>
        <w:t>DORA</w:t>
      </w:r>
      <w:r w:rsidRPr="00540C90">
        <w:rPr>
          <w:rFonts w:ascii="Verdana" w:hAnsi="Verdana"/>
          <w:sz w:val="18"/>
          <w:szCs w:val="18"/>
        </w:rPr>
        <w:t xml:space="preserve"> afgeleid dat in een zogenoemd </w:t>
      </w:r>
      <w:proofErr w:type="spellStart"/>
      <w:r w:rsidRPr="00540C90">
        <w:rPr>
          <w:rFonts w:ascii="Verdana" w:hAnsi="Verdana"/>
          <w:sz w:val="18"/>
          <w:szCs w:val="18"/>
        </w:rPr>
        <w:t>two</w:t>
      </w:r>
      <w:proofErr w:type="spellEnd"/>
      <w:r w:rsidRPr="00540C90">
        <w:rPr>
          <w:rFonts w:ascii="Verdana" w:hAnsi="Verdana"/>
          <w:sz w:val="18"/>
          <w:szCs w:val="18"/>
        </w:rPr>
        <w:t xml:space="preserve">-tier bestuursmodel onder “management body” het dagelijks bestuur wordt verstaan, en niet een toezichthoudend orgaan. Het bestuur is bij rechtspersonen de gebruikelijke term in het Nederlandse recht, op basis van Boek 2 van het BW. Aan het bestuur is opgedragen de rechtspersoon te besturen, zoals in de artikelen 2:129 (voor de naamloze vennootschap) en 2:239 (voor de besloten vennootschap) BW is opgenomen. Het toezichthoudende orgaan is de raad van commissarissen (zie de artikelen 2:140 en 2:250 BW). Aangezien onder “management body” niet een toezichthoudend orgaan wordt verstaan (in een </w:t>
      </w:r>
      <w:proofErr w:type="spellStart"/>
      <w:r w:rsidRPr="00540C90">
        <w:rPr>
          <w:rFonts w:ascii="Verdana" w:hAnsi="Verdana"/>
          <w:sz w:val="18"/>
          <w:szCs w:val="18"/>
        </w:rPr>
        <w:t>two</w:t>
      </w:r>
      <w:proofErr w:type="spellEnd"/>
      <w:r w:rsidRPr="00540C90">
        <w:rPr>
          <w:rFonts w:ascii="Verdana" w:hAnsi="Verdana"/>
          <w:sz w:val="18"/>
          <w:szCs w:val="18"/>
        </w:rPr>
        <w:t xml:space="preserve">-tier bestuursmodel) en in het Nederlandse recht de raad van commissarissen het toezichthoudende orgaan is van een rechtspersoon, rusten de verplichtingen van artikel 24 </w:t>
      </w:r>
      <w:proofErr w:type="spellStart"/>
      <w:r w:rsidRPr="00540C90">
        <w:rPr>
          <w:rFonts w:ascii="Verdana" w:hAnsi="Verdana"/>
          <w:sz w:val="18"/>
          <w:szCs w:val="18"/>
        </w:rPr>
        <w:t>Cbw</w:t>
      </w:r>
      <w:proofErr w:type="spellEnd"/>
      <w:r w:rsidRPr="00540C90">
        <w:rPr>
          <w:rFonts w:ascii="Verdana" w:hAnsi="Verdana"/>
          <w:sz w:val="18"/>
          <w:szCs w:val="18"/>
        </w:rPr>
        <w:t xml:space="preserve"> niet op een raad van commissarissen, in het geval dat een essentiële entiteit of belangrijke entiteit zowel een bestuur als een raad van commissarissen kent. </w:t>
      </w:r>
      <w:r w:rsidRPr="00894C02" w:rsidR="009A5B2B">
        <w:rPr>
          <w:rFonts w:ascii="Verdana" w:hAnsi="Verdana"/>
          <w:sz w:val="18"/>
          <w:szCs w:val="18"/>
        </w:rPr>
        <w:t xml:space="preserve">Tevens geldt dat </w:t>
      </w:r>
      <w:r>
        <w:rPr>
          <w:rFonts w:ascii="Verdana" w:hAnsi="Verdana"/>
          <w:sz w:val="18"/>
          <w:szCs w:val="18"/>
        </w:rPr>
        <w:t xml:space="preserve">ten aanzien van </w:t>
      </w:r>
      <w:r w:rsidRPr="00894C02" w:rsidR="009A5B2B">
        <w:rPr>
          <w:rFonts w:ascii="Verdana" w:hAnsi="Verdana"/>
          <w:sz w:val="18"/>
          <w:szCs w:val="18"/>
        </w:rPr>
        <w:t xml:space="preserve">essentiële entiteiten en belangrijke entiteiten die een naamloze vennootschap of besloten vennootschap zijn en statutair hebben bepaald dat bepaalde bestuurstaken worden verdeeld over één of meer niet-uitvoerende bestuurders en één of meer uitvoerende bestuurders, de verplichtingen van artikel </w:t>
      </w:r>
      <w:r w:rsidR="009A5B2B">
        <w:rPr>
          <w:rFonts w:ascii="Verdana" w:hAnsi="Verdana"/>
          <w:sz w:val="18"/>
          <w:szCs w:val="18"/>
        </w:rPr>
        <w:t>24</w:t>
      </w:r>
      <w:r w:rsidRPr="00894C02" w:rsidR="009A5B2B">
        <w:rPr>
          <w:rFonts w:ascii="Verdana" w:hAnsi="Verdana"/>
          <w:sz w:val="18"/>
          <w:szCs w:val="18"/>
        </w:rPr>
        <w:t xml:space="preserve"> </w:t>
      </w:r>
      <w:proofErr w:type="spellStart"/>
      <w:r w:rsidRPr="00894C02" w:rsidR="009A5B2B">
        <w:rPr>
          <w:rFonts w:ascii="Verdana" w:hAnsi="Verdana"/>
          <w:sz w:val="18"/>
          <w:szCs w:val="18"/>
        </w:rPr>
        <w:t>Cbw</w:t>
      </w:r>
      <w:proofErr w:type="spellEnd"/>
      <w:r w:rsidRPr="00894C02" w:rsidR="009A5B2B">
        <w:rPr>
          <w:rFonts w:ascii="Verdana" w:hAnsi="Verdana"/>
          <w:sz w:val="18"/>
          <w:szCs w:val="18"/>
        </w:rPr>
        <w:t xml:space="preserve"> enkel rusten op de uitvoerende bestuursleden (zie artikel </w:t>
      </w:r>
      <w:r w:rsidR="009A5B2B">
        <w:rPr>
          <w:rFonts w:ascii="Verdana" w:hAnsi="Verdana"/>
          <w:sz w:val="18"/>
          <w:szCs w:val="18"/>
        </w:rPr>
        <w:t>24</w:t>
      </w:r>
      <w:r w:rsidRPr="00894C02" w:rsidR="009A5B2B">
        <w:rPr>
          <w:rFonts w:ascii="Verdana" w:hAnsi="Verdana"/>
          <w:sz w:val="18"/>
          <w:szCs w:val="18"/>
        </w:rPr>
        <w:t xml:space="preserve">, achtste lid, </w:t>
      </w:r>
      <w:proofErr w:type="spellStart"/>
      <w:r w:rsidRPr="00894C02" w:rsidR="009A5B2B">
        <w:rPr>
          <w:rFonts w:ascii="Verdana" w:hAnsi="Verdana"/>
          <w:sz w:val="18"/>
          <w:szCs w:val="18"/>
        </w:rPr>
        <w:t>Cbw</w:t>
      </w:r>
      <w:proofErr w:type="spellEnd"/>
      <w:r w:rsidRPr="00894C02" w:rsidR="009A5B2B">
        <w:rPr>
          <w:rFonts w:ascii="Verdana" w:hAnsi="Verdana"/>
          <w:sz w:val="18"/>
          <w:szCs w:val="18"/>
        </w:rPr>
        <w:t xml:space="preserve">). </w:t>
      </w:r>
    </w:p>
    <w:p w:rsidRPr="00894C02" w:rsidR="009A5B2B" w:rsidP="009A5B2B" w:rsidRDefault="009A5B2B" w14:paraId="5FB0FB8A" w14:textId="77777777">
      <w:pPr>
        <w:pStyle w:val="Geenafstand"/>
        <w:rPr>
          <w:rFonts w:ascii="Verdana" w:hAnsi="Verdana"/>
          <w:sz w:val="18"/>
          <w:szCs w:val="18"/>
        </w:rPr>
      </w:pPr>
    </w:p>
    <w:p w:rsidRPr="00FF46E3" w:rsidR="009A5B2B" w:rsidP="009A5B2B" w:rsidRDefault="009A5B2B" w14:paraId="23AEC702" w14:textId="77777777">
      <w:pPr>
        <w:pStyle w:val="Geenafstand"/>
        <w:rPr>
          <w:rFonts w:ascii="Verdana" w:hAnsi="Verdana"/>
          <w:sz w:val="18"/>
          <w:szCs w:val="18"/>
        </w:rPr>
      </w:pPr>
      <w:r w:rsidRPr="00894C02">
        <w:rPr>
          <w:rFonts w:ascii="Verdana" w:hAnsi="Verdana"/>
          <w:sz w:val="18"/>
          <w:szCs w:val="18"/>
        </w:rPr>
        <w:t>Bij maatschappen, vennootschappen onder firma (vof) en commanditaire vennootschappen (cv)</w:t>
      </w:r>
      <w:r w:rsidRPr="00FF46E3">
        <w:rPr>
          <w:rFonts w:ascii="Verdana" w:hAnsi="Verdana"/>
          <w:sz w:val="18"/>
          <w:szCs w:val="18"/>
        </w:rPr>
        <w:t xml:space="preserve"> bestaat er geen bestuur als orgaan. Daarom berust in het geval dat een essentiële entiteit of belangrijke entiteit een maatschap of een vof is, de verplichting tot het goedkeuren van de cyberbeveiligingsmaatregelen (artikel </w:t>
      </w:r>
      <w:r>
        <w:rPr>
          <w:rFonts w:ascii="Verdana" w:hAnsi="Verdana"/>
          <w:sz w:val="18"/>
          <w:szCs w:val="18"/>
        </w:rPr>
        <w:t>24</w:t>
      </w:r>
      <w:r w:rsidRPr="00FF46E3">
        <w:rPr>
          <w:rFonts w:ascii="Verdana" w:hAnsi="Verdana"/>
          <w:sz w:val="18"/>
          <w:szCs w:val="18"/>
        </w:rPr>
        <w:t xml:space="preserve">, eerste lid, </w:t>
      </w:r>
      <w:proofErr w:type="spellStart"/>
      <w:r w:rsidRPr="00FF46E3">
        <w:rPr>
          <w:rFonts w:ascii="Verdana" w:hAnsi="Verdana"/>
          <w:sz w:val="18"/>
          <w:szCs w:val="18"/>
        </w:rPr>
        <w:t>Cbw</w:t>
      </w:r>
      <w:proofErr w:type="spellEnd"/>
      <w:r w:rsidRPr="00FF46E3">
        <w:rPr>
          <w:rFonts w:ascii="Verdana" w:hAnsi="Verdana"/>
          <w:sz w:val="18"/>
          <w:szCs w:val="18"/>
        </w:rPr>
        <w:t xml:space="preserve">) op alle individuele maten van de maatschap dan wel op alle individuele vennoten van de vof. </w:t>
      </w:r>
      <w:r>
        <w:rPr>
          <w:rFonts w:ascii="Verdana" w:hAnsi="Verdana"/>
          <w:sz w:val="18"/>
          <w:szCs w:val="18"/>
        </w:rPr>
        <w:t>Dit geldt ook voor d</w:t>
      </w:r>
      <w:r w:rsidRPr="00FF46E3">
        <w:rPr>
          <w:rFonts w:ascii="Verdana" w:hAnsi="Verdana"/>
          <w:sz w:val="18"/>
          <w:szCs w:val="18"/>
        </w:rPr>
        <w:t xml:space="preserve">e opleidingsverplichting </w:t>
      </w:r>
      <w:r>
        <w:rPr>
          <w:rFonts w:ascii="Verdana" w:hAnsi="Verdana"/>
          <w:sz w:val="18"/>
          <w:szCs w:val="18"/>
        </w:rPr>
        <w:t xml:space="preserve">in </w:t>
      </w:r>
      <w:r w:rsidRPr="00FF46E3">
        <w:rPr>
          <w:rFonts w:ascii="Verdana" w:hAnsi="Verdana"/>
          <w:sz w:val="18"/>
          <w:szCs w:val="18"/>
        </w:rPr>
        <w:t xml:space="preserve">artikel </w:t>
      </w:r>
      <w:r>
        <w:rPr>
          <w:rFonts w:ascii="Verdana" w:hAnsi="Verdana"/>
          <w:sz w:val="18"/>
          <w:szCs w:val="18"/>
        </w:rPr>
        <w:t>24</w:t>
      </w:r>
      <w:r w:rsidRPr="00FF46E3">
        <w:rPr>
          <w:rFonts w:ascii="Verdana" w:hAnsi="Verdana"/>
          <w:sz w:val="18"/>
          <w:szCs w:val="18"/>
        </w:rPr>
        <w:t xml:space="preserve">, tweede </w:t>
      </w:r>
      <w:r>
        <w:rPr>
          <w:rFonts w:ascii="Verdana" w:hAnsi="Verdana"/>
          <w:sz w:val="18"/>
          <w:szCs w:val="18"/>
        </w:rPr>
        <w:t xml:space="preserve">tot en met zesde </w:t>
      </w:r>
      <w:r w:rsidRPr="00FF46E3">
        <w:rPr>
          <w:rFonts w:ascii="Verdana" w:hAnsi="Verdana"/>
          <w:sz w:val="18"/>
          <w:szCs w:val="18"/>
        </w:rPr>
        <w:t xml:space="preserve">lid, </w:t>
      </w:r>
      <w:proofErr w:type="spellStart"/>
      <w:r w:rsidRPr="00FF46E3">
        <w:rPr>
          <w:rFonts w:ascii="Verdana" w:hAnsi="Verdana"/>
          <w:sz w:val="18"/>
          <w:szCs w:val="18"/>
        </w:rPr>
        <w:t>Cbw</w:t>
      </w:r>
      <w:proofErr w:type="spellEnd"/>
      <w:r w:rsidRPr="00FF46E3">
        <w:rPr>
          <w:rFonts w:ascii="Verdana" w:hAnsi="Verdana"/>
          <w:sz w:val="18"/>
          <w:szCs w:val="18"/>
        </w:rPr>
        <w:t xml:space="preserve">. </w:t>
      </w:r>
    </w:p>
    <w:p w:rsidRPr="00FF46E3" w:rsidR="009A5B2B" w:rsidP="009A5B2B" w:rsidRDefault="009A5B2B" w14:paraId="03156475" w14:textId="77777777">
      <w:pPr>
        <w:pStyle w:val="Geenafstand"/>
        <w:rPr>
          <w:rFonts w:ascii="Verdana" w:hAnsi="Verdana"/>
          <w:sz w:val="18"/>
          <w:szCs w:val="18"/>
        </w:rPr>
      </w:pPr>
    </w:p>
    <w:p w:rsidR="009A5B2B" w:rsidP="009A5B2B" w:rsidRDefault="009A5B2B" w14:paraId="66BB8FFA" w14:textId="77777777">
      <w:pPr>
        <w:pStyle w:val="Geenafstand"/>
        <w:rPr>
          <w:rFonts w:ascii="Verdana" w:hAnsi="Verdana"/>
          <w:sz w:val="18"/>
          <w:szCs w:val="18"/>
        </w:rPr>
      </w:pPr>
      <w:r w:rsidRPr="00FF46E3">
        <w:rPr>
          <w:rFonts w:ascii="Verdana" w:hAnsi="Verdana"/>
          <w:sz w:val="18"/>
          <w:szCs w:val="18"/>
        </w:rPr>
        <w:t xml:space="preserve">In het geval dat een essentiële entiteit of belangrijke entiteit een cv is, rust de verplichting tot het goedkeuren van de cyberbeveiligingsmaatregelen (artikel </w:t>
      </w:r>
      <w:r>
        <w:rPr>
          <w:rFonts w:ascii="Verdana" w:hAnsi="Verdana"/>
          <w:sz w:val="18"/>
          <w:szCs w:val="18"/>
        </w:rPr>
        <w:t>24</w:t>
      </w:r>
      <w:r w:rsidRPr="00FF46E3">
        <w:rPr>
          <w:rFonts w:ascii="Verdana" w:hAnsi="Verdana"/>
          <w:sz w:val="18"/>
          <w:szCs w:val="18"/>
        </w:rPr>
        <w:t xml:space="preserve">, eerste lid, </w:t>
      </w:r>
      <w:proofErr w:type="spellStart"/>
      <w:r w:rsidRPr="00FF46E3">
        <w:rPr>
          <w:rFonts w:ascii="Verdana" w:hAnsi="Verdana"/>
          <w:sz w:val="18"/>
          <w:szCs w:val="18"/>
        </w:rPr>
        <w:t>Cbw</w:t>
      </w:r>
      <w:proofErr w:type="spellEnd"/>
      <w:r w:rsidRPr="00FF46E3">
        <w:rPr>
          <w:rFonts w:ascii="Verdana" w:hAnsi="Verdana"/>
          <w:sz w:val="18"/>
          <w:szCs w:val="18"/>
        </w:rPr>
        <w:t xml:space="preserve">) enkel op de beherende vennoten en niet op de stille vennoten. Dit geldt </w:t>
      </w:r>
      <w:r>
        <w:rPr>
          <w:rFonts w:ascii="Verdana" w:hAnsi="Verdana"/>
          <w:sz w:val="18"/>
          <w:szCs w:val="18"/>
        </w:rPr>
        <w:t xml:space="preserve">ook </w:t>
      </w:r>
      <w:r w:rsidRPr="00FF46E3">
        <w:rPr>
          <w:rFonts w:ascii="Verdana" w:hAnsi="Verdana"/>
          <w:sz w:val="18"/>
          <w:szCs w:val="18"/>
        </w:rPr>
        <w:t xml:space="preserve">voor de opleidingsverplichting (artikel </w:t>
      </w:r>
      <w:r>
        <w:rPr>
          <w:rFonts w:ascii="Verdana" w:hAnsi="Verdana"/>
          <w:sz w:val="18"/>
          <w:szCs w:val="18"/>
        </w:rPr>
        <w:t>24</w:t>
      </w:r>
      <w:r w:rsidRPr="00FF46E3">
        <w:rPr>
          <w:rFonts w:ascii="Verdana" w:hAnsi="Verdana"/>
          <w:sz w:val="18"/>
          <w:szCs w:val="18"/>
        </w:rPr>
        <w:t>, tweede</w:t>
      </w:r>
      <w:r>
        <w:rPr>
          <w:rFonts w:ascii="Verdana" w:hAnsi="Verdana"/>
          <w:sz w:val="18"/>
          <w:szCs w:val="18"/>
        </w:rPr>
        <w:t xml:space="preserve"> tot en met zesde</w:t>
      </w:r>
      <w:r w:rsidRPr="00FF46E3">
        <w:rPr>
          <w:rFonts w:ascii="Verdana" w:hAnsi="Verdana"/>
          <w:sz w:val="18"/>
          <w:szCs w:val="18"/>
        </w:rPr>
        <w:t xml:space="preserve"> lid, </w:t>
      </w:r>
      <w:proofErr w:type="spellStart"/>
      <w:r w:rsidRPr="00FF46E3">
        <w:rPr>
          <w:rFonts w:ascii="Verdana" w:hAnsi="Verdana"/>
          <w:sz w:val="18"/>
          <w:szCs w:val="18"/>
        </w:rPr>
        <w:t>Cbw</w:t>
      </w:r>
      <w:proofErr w:type="spellEnd"/>
      <w:r w:rsidRPr="00FF46E3">
        <w:rPr>
          <w:rFonts w:ascii="Verdana" w:hAnsi="Verdana"/>
          <w:sz w:val="18"/>
          <w:szCs w:val="18"/>
        </w:rPr>
        <w:t xml:space="preserve">). Nu stille vennoten niet meebeslissen en ook niet aansprakelijk zijn voor beslissingen van de vennootschap zouden de verplichtingen van artikel </w:t>
      </w:r>
      <w:r>
        <w:rPr>
          <w:rFonts w:ascii="Verdana" w:hAnsi="Verdana"/>
          <w:sz w:val="18"/>
          <w:szCs w:val="18"/>
        </w:rPr>
        <w:t>24</w:t>
      </w:r>
      <w:r w:rsidRPr="00FF46E3">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het geldend recht doorkruisen als deze op stille vennoten zouden rusten. Dat is niet wenselijk. </w:t>
      </w:r>
    </w:p>
    <w:p w:rsidR="00C603BA" w:rsidP="009A5B2B" w:rsidRDefault="00C603BA" w14:paraId="40E90F91" w14:textId="77777777">
      <w:pPr>
        <w:pStyle w:val="Geenafstand"/>
        <w:rPr>
          <w:rFonts w:ascii="Verdana" w:hAnsi="Verdana"/>
          <w:sz w:val="18"/>
          <w:szCs w:val="18"/>
        </w:rPr>
      </w:pPr>
    </w:p>
    <w:p w:rsidR="009A5B2B" w:rsidP="00B07993" w:rsidRDefault="009A5B2B" w14:paraId="3F1BF089" w14:textId="77777777">
      <w:pPr>
        <w:pStyle w:val="Geenafstand"/>
        <w:rPr>
          <w:rFonts w:ascii="Verdana" w:hAnsi="Verdana"/>
          <w:i/>
          <w:iCs/>
          <w:sz w:val="18"/>
          <w:szCs w:val="18"/>
        </w:rPr>
      </w:pPr>
    </w:p>
    <w:p w:rsidRPr="00FF46E3" w:rsidR="00D32D15" w:rsidP="00BD738F" w:rsidRDefault="00574663" w14:paraId="20C5BCD1" w14:textId="2E3B3AE2">
      <w:pPr>
        <w:pStyle w:val="Kop4"/>
      </w:pPr>
      <w:bookmarkStart w:name="_Toc198721075" w:id="52"/>
      <w:r>
        <w:lastRenderedPageBreak/>
        <w:t xml:space="preserve">5.3.3.2 </w:t>
      </w:r>
      <w:r w:rsidRPr="00FF46E3" w:rsidR="00D32D15">
        <w:t xml:space="preserve">Bestuur </w:t>
      </w:r>
      <w:r>
        <w:t xml:space="preserve">van </w:t>
      </w:r>
      <w:r w:rsidRPr="00FF46E3" w:rsidR="00D32D15">
        <w:t>overheids</w:t>
      </w:r>
      <w:r>
        <w:t>instanties</w:t>
      </w:r>
      <w:bookmarkEnd w:id="52"/>
    </w:p>
    <w:p w:rsidR="00574663" w:rsidP="00C66986" w:rsidRDefault="00574663" w14:paraId="37073269" w14:textId="77777777">
      <w:pPr>
        <w:spacing w:after="0" w:line="240" w:lineRule="auto"/>
        <w:rPr>
          <w:rFonts w:ascii="Verdana" w:hAnsi="Verdana"/>
          <w:sz w:val="18"/>
          <w:szCs w:val="18"/>
        </w:rPr>
      </w:pPr>
      <w:bookmarkStart w:name="_Hlk162359315" w:id="53"/>
    </w:p>
    <w:p w:rsidR="00C66986" w:rsidP="00C66986" w:rsidRDefault="00C66986" w14:paraId="41E042C2" w14:textId="6C817394">
      <w:pPr>
        <w:spacing w:after="0" w:line="240" w:lineRule="auto"/>
        <w:rPr>
          <w:rFonts w:ascii="Verdana" w:hAnsi="Verdana"/>
          <w:sz w:val="18"/>
          <w:szCs w:val="18"/>
        </w:rPr>
      </w:pPr>
      <w:r>
        <w:rPr>
          <w:rFonts w:ascii="Verdana" w:hAnsi="Verdana"/>
          <w:sz w:val="18"/>
          <w:szCs w:val="18"/>
        </w:rPr>
        <w:t xml:space="preserve">Voor zover het om </w:t>
      </w:r>
      <w:r w:rsidRPr="00765123">
        <w:rPr>
          <w:rFonts w:ascii="Verdana" w:hAnsi="Verdana"/>
          <w:sz w:val="18"/>
          <w:szCs w:val="18"/>
        </w:rPr>
        <w:t>overheidsinstantie</w:t>
      </w:r>
      <w:r>
        <w:rPr>
          <w:rFonts w:ascii="Verdana" w:hAnsi="Verdana"/>
          <w:sz w:val="18"/>
          <w:szCs w:val="18"/>
        </w:rPr>
        <w:t xml:space="preserve">s gaat, is voor de invulling van het begrip bestuur </w:t>
      </w:r>
      <w:r w:rsidR="00BE0D2D">
        <w:rPr>
          <w:rFonts w:ascii="Verdana" w:hAnsi="Verdana"/>
          <w:sz w:val="18"/>
          <w:szCs w:val="18"/>
        </w:rPr>
        <w:t xml:space="preserve">in het kader van artikel 24 </w:t>
      </w:r>
      <w:proofErr w:type="spellStart"/>
      <w:r w:rsidR="00BE0D2D">
        <w:rPr>
          <w:rFonts w:ascii="Verdana" w:hAnsi="Verdana"/>
          <w:sz w:val="18"/>
          <w:szCs w:val="18"/>
        </w:rPr>
        <w:t>Cbw</w:t>
      </w:r>
      <w:proofErr w:type="spellEnd"/>
      <w:r w:rsidR="00BE0D2D">
        <w:rPr>
          <w:rFonts w:ascii="Verdana" w:hAnsi="Verdana"/>
          <w:sz w:val="18"/>
          <w:szCs w:val="18"/>
        </w:rPr>
        <w:t xml:space="preserve"> </w:t>
      </w:r>
      <w:r>
        <w:rPr>
          <w:rFonts w:ascii="Verdana" w:hAnsi="Verdana"/>
          <w:sz w:val="18"/>
          <w:szCs w:val="18"/>
        </w:rPr>
        <w:t xml:space="preserve">zo veel mogelijk aangesloten bij de Grondwet en de verschillende organieke wetten. Dit betekent dat is bezien waar de verantwoordelijkheden en bevoegdheden voor de inrichting van de organisatie – en dus ook voor de cyberbeveiliging – berusten. Hoewel in de dagelijkse gang van zaken de werkzaamheden inzake cyberbeveiliging op ambtelijk niveau zullen worden uitgevoerd, liggen daar uiteindelijk niet de verantwoordelijkheden en bevoegdheden. Die berusten bij de formele, meer politieke bestuurslaag van overheidsinstanties. Het is aan deze bestuurslaag om ervoor te zorgen dat binnen de overheidsinstantie voldoende kennis en vaardigheden over cyberbeveiliging aanwezig zijn. Zonder deskundige medewerkers zal het bestuur immers in de regel niet in staat zijn om te voldoen aan de verplichtingen inzake cyberbeveiliging. Ook voor overheidsinstanties het eerdergenoemde uitgangspunt dat, voor zover er meerdere organen zijn, voor de toepassing van </w:t>
      </w:r>
      <w:r w:rsidR="00BE0D2D">
        <w:rPr>
          <w:rFonts w:ascii="Verdana" w:hAnsi="Verdana"/>
          <w:sz w:val="18"/>
          <w:szCs w:val="18"/>
        </w:rPr>
        <w:t xml:space="preserve">artikel 24 </w:t>
      </w:r>
      <w:proofErr w:type="spellStart"/>
      <w:r w:rsidR="00BE0D2D">
        <w:rPr>
          <w:rFonts w:ascii="Verdana" w:hAnsi="Verdana"/>
          <w:sz w:val="18"/>
          <w:szCs w:val="18"/>
        </w:rPr>
        <w:t>Cbw</w:t>
      </w:r>
      <w:proofErr w:type="spellEnd"/>
      <w:r>
        <w:rPr>
          <w:rFonts w:ascii="Verdana" w:hAnsi="Verdana"/>
          <w:sz w:val="18"/>
          <w:szCs w:val="18"/>
        </w:rPr>
        <w:t xml:space="preserve"> het dagelijks bestuur wordt aangewezen als het bestuur van de overheidsinstantie.</w:t>
      </w:r>
    </w:p>
    <w:p w:rsidR="00574663" w:rsidP="00C66986" w:rsidRDefault="00574663" w14:paraId="5C34D1E0" w14:textId="77777777">
      <w:pPr>
        <w:spacing w:after="0" w:line="240" w:lineRule="auto"/>
        <w:rPr>
          <w:rFonts w:ascii="Verdana" w:hAnsi="Verdana"/>
          <w:sz w:val="18"/>
          <w:szCs w:val="18"/>
        </w:rPr>
      </w:pPr>
    </w:p>
    <w:p w:rsidR="00C66986" w:rsidP="00C66986" w:rsidRDefault="00C66986" w14:paraId="3954CCAB" w14:textId="46455D26">
      <w:pPr>
        <w:spacing w:after="0" w:line="240" w:lineRule="auto"/>
        <w:rPr>
          <w:rFonts w:ascii="Verdana" w:hAnsi="Verdana"/>
          <w:sz w:val="18"/>
          <w:szCs w:val="18"/>
        </w:rPr>
      </w:pPr>
      <w:r>
        <w:rPr>
          <w:rFonts w:ascii="Verdana" w:hAnsi="Verdana"/>
          <w:sz w:val="18"/>
          <w:szCs w:val="18"/>
        </w:rPr>
        <w:t>M</w:t>
      </w:r>
      <w:r w:rsidRPr="001A1A32">
        <w:rPr>
          <w:rFonts w:ascii="Verdana" w:hAnsi="Verdana"/>
          <w:sz w:val="18"/>
          <w:szCs w:val="18"/>
        </w:rPr>
        <w:t xml:space="preserve">inisteries </w:t>
      </w:r>
      <w:r>
        <w:rPr>
          <w:rFonts w:ascii="Verdana" w:hAnsi="Verdana"/>
          <w:sz w:val="18"/>
          <w:szCs w:val="18"/>
        </w:rPr>
        <w:t>staan</w:t>
      </w:r>
      <w:r w:rsidRPr="001A1A32">
        <w:rPr>
          <w:rFonts w:ascii="Verdana" w:hAnsi="Verdana"/>
          <w:sz w:val="18"/>
          <w:szCs w:val="18"/>
        </w:rPr>
        <w:t xml:space="preserve"> ingevolge artikel 44</w:t>
      </w:r>
      <w:r>
        <w:rPr>
          <w:rFonts w:ascii="Verdana" w:hAnsi="Verdana"/>
          <w:sz w:val="18"/>
          <w:szCs w:val="18"/>
        </w:rPr>
        <w:t>, eerste lid,</w:t>
      </w:r>
      <w:r w:rsidRPr="001A1A32">
        <w:rPr>
          <w:rFonts w:ascii="Verdana" w:hAnsi="Verdana"/>
          <w:sz w:val="18"/>
          <w:szCs w:val="18"/>
        </w:rPr>
        <w:t xml:space="preserve"> Grondwet</w:t>
      </w:r>
      <w:r>
        <w:rPr>
          <w:rFonts w:ascii="Verdana" w:hAnsi="Verdana"/>
          <w:sz w:val="18"/>
          <w:szCs w:val="18"/>
        </w:rPr>
        <w:t xml:space="preserve"> onder leiding van een</w:t>
      </w:r>
      <w:r w:rsidRPr="001A1A32">
        <w:rPr>
          <w:rFonts w:ascii="Verdana" w:hAnsi="Verdana"/>
          <w:sz w:val="18"/>
          <w:szCs w:val="18"/>
        </w:rPr>
        <w:t xml:space="preserve"> minister.</w:t>
      </w:r>
      <w:r>
        <w:rPr>
          <w:rFonts w:ascii="Verdana" w:hAnsi="Verdana"/>
          <w:sz w:val="18"/>
          <w:szCs w:val="18"/>
        </w:rPr>
        <w:t xml:space="preserve"> Het betreft hier specifiek de zogenoemde </w:t>
      </w:r>
      <w:r w:rsidR="00E34430">
        <w:rPr>
          <w:rFonts w:ascii="Verdana" w:hAnsi="Verdana"/>
          <w:sz w:val="18"/>
          <w:szCs w:val="18"/>
        </w:rPr>
        <w:t>“</w:t>
      </w:r>
      <w:r>
        <w:rPr>
          <w:rFonts w:ascii="Verdana" w:hAnsi="Verdana"/>
          <w:sz w:val="18"/>
          <w:szCs w:val="18"/>
        </w:rPr>
        <w:t>minister van</w:t>
      </w:r>
      <w:r w:rsidR="00E34430">
        <w:rPr>
          <w:rFonts w:ascii="Verdana" w:hAnsi="Verdana"/>
          <w:sz w:val="18"/>
          <w:szCs w:val="18"/>
        </w:rPr>
        <w:t>”</w:t>
      </w:r>
      <w:r>
        <w:rPr>
          <w:rFonts w:ascii="Verdana" w:hAnsi="Verdana"/>
          <w:sz w:val="18"/>
          <w:szCs w:val="18"/>
        </w:rPr>
        <w:t>. Een minister zonder portefeuille (</w:t>
      </w:r>
      <w:r w:rsidR="00E34430">
        <w:rPr>
          <w:rFonts w:ascii="Verdana" w:hAnsi="Verdana"/>
          <w:sz w:val="18"/>
          <w:szCs w:val="18"/>
        </w:rPr>
        <w:t>“</w:t>
      </w:r>
      <w:r>
        <w:rPr>
          <w:rFonts w:ascii="Verdana" w:hAnsi="Verdana"/>
          <w:sz w:val="18"/>
          <w:szCs w:val="18"/>
        </w:rPr>
        <w:t>minister voor</w:t>
      </w:r>
      <w:r w:rsidR="00E34430">
        <w:rPr>
          <w:rFonts w:ascii="Verdana" w:hAnsi="Verdana"/>
          <w:sz w:val="18"/>
          <w:szCs w:val="18"/>
        </w:rPr>
        <w:t>”</w:t>
      </w:r>
      <w:r>
        <w:rPr>
          <w:rFonts w:ascii="Verdana" w:hAnsi="Verdana"/>
          <w:sz w:val="18"/>
          <w:szCs w:val="18"/>
        </w:rPr>
        <w:t>) is immers ingevolge artikel 44, tweede lid, Grondwet niet belast met de leiding van een ministerie. Het voorgaande laat onverlet dat de minister die aan het hoofd van een ministerie staat, een staatssecretaris van dat departement kan belasten met taken betreffende cyberbeveiliging.</w:t>
      </w:r>
    </w:p>
    <w:p w:rsidR="00BE0D2D" w:rsidP="00C66986" w:rsidRDefault="00BE0D2D" w14:paraId="2F051554" w14:textId="77777777">
      <w:pPr>
        <w:spacing w:after="0" w:line="240" w:lineRule="auto"/>
        <w:rPr>
          <w:rFonts w:ascii="Verdana" w:hAnsi="Verdana"/>
          <w:sz w:val="18"/>
          <w:szCs w:val="18"/>
        </w:rPr>
      </w:pPr>
    </w:p>
    <w:p w:rsidR="00574663" w:rsidP="00C66986" w:rsidRDefault="00C66986" w14:paraId="7FBEB680" w14:textId="6A67E690">
      <w:pPr>
        <w:spacing w:after="0" w:line="240" w:lineRule="auto"/>
        <w:rPr>
          <w:rFonts w:ascii="Verdana" w:hAnsi="Verdana"/>
          <w:sz w:val="18"/>
          <w:szCs w:val="18"/>
        </w:rPr>
      </w:pPr>
      <w:r w:rsidRPr="001A1A32">
        <w:rPr>
          <w:rFonts w:ascii="Verdana" w:hAnsi="Verdana"/>
          <w:sz w:val="18"/>
          <w:szCs w:val="18"/>
        </w:rPr>
        <w:t xml:space="preserve">Voor zelfstandige bestuursorganen van de centrale overheid </w:t>
      </w:r>
      <w:r>
        <w:rPr>
          <w:rFonts w:ascii="Verdana" w:hAnsi="Verdana"/>
          <w:sz w:val="18"/>
          <w:szCs w:val="18"/>
        </w:rPr>
        <w:t xml:space="preserve">geldt dat </w:t>
      </w:r>
      <w:r w:rsidRPr="001A1A32">
        <w:rPr>
          <w:rFonts w:ascii="Verdana" w:hAnsi="Verdana"/>
          <w:sz w:val="18"/>
          <w:szCs w:val="18"/>
        </w:rPr>
        <w:t>het zelfstandige bestuursorgaan zelf het bestuur</w:t>
      </w:r>
      <w:r>
        <w:rPr>
          <w:rFonts w:ascii="Verdana" w:hAnsi="Verdana"/>
          <w:sz w:val="18"/>
          <w:szCs w:val="18"/>
        </w:rPr>
        <w:t xml:space="preserve"> </w:t>
      </w:r>
      <w:r w:rsidRPr="001A1A32">
        <w:rPr>
          <w:rFonts w:ascii="Verdana" w:hAnsi="Verdana"/>
          <w:sz w:val="18"/>
          <w:szCs w:val="18"/>
        </w:rPr>
        <w:t>vorm</w:t>
      </w:r>
      <w:r>
        <w:rPr>
          <w:rFonts w:ascii="Verdana" w:hAnsi="Verdana"/>
          <w:sz w:val="18"/>
          <w:szCs w:val="18"/>
        </w:rPr>
        <w:t>t</w:t>
      </w:r>
      <w:r w:rsidRPr="001A1A32">
        <w:rPr>
          <w:rFonts w:ascii="Verdana" w:hAnsi="Verdana"/>
          <w:sz w:val="18"/>
          <w:szCs w:val="18"/>
        </w:rPr>
        <w:t>.</w:t>
      </w:r>
      <w:r>
        <w:rPr>
          <w:rFonts w:ascii="Verdana" w:hAnsi="Verdana"/>
          <w:sz w:val="18"/>
          <w:szCs w:val="18"/>
        </w:rPr>
        <w:t xml:space="preserve"> Opgemerkt wordt dat het, voor zover van toepassing, niet gaat om de publiekrechtelijke rechtspersoon waarvan een zelfstandig bestuursorgaan deel uitmaakt. Het gaat in een dergelijk geval om het zelfstandige bestuursorgaan dat aan het hoofd staat van die rechtspersoon.</w:t>
      </w:r>
      <w:r w:rsidRPr="001A1A32">
        <w:rPr>
          <w:rFonts w:ascii="Verdana" w:hAnsi="Verdana"/>
          <w:sz w:val="18"/>
          <w:szCs w:val="18"/>
        </w:rPr>
        <w:t xml:space="preserve"> </w:t>
      </w:r>
      <w:r w:rsidRPr="001A1A32">
        <w:rPr>
          <w:rFonts w:ascii="Verdana" w:hAnsi="Verdana"/>
          <w:sz w:val="18"/>
          <w:szCs w:val="18"/>
        </w:rPr>
        <w:br/>
      </w:r>
    </w:p>
    <w:p w:rsidR="00C66986" w:rsidP="00C66986" w:rsidRDefault="00C66986" w14:paraId="053C9391" w14:textId="66157C87">
      <w:pPr>
        <w:spacing w:after="0" w:line="240" w:lineRule="auto"/>
        <w:rPr>
          <w:rFonts w:ascii="Verdana" w:hAnsi="Verdana"/>
          <w:sz w:val="18"/>
          <w:szCs w:val="18"/>
        </w:rPr>
      </w:pPr>
      <w:r w:rsidRPr="001A1A32">
        <w:rPr>
          <w:rFonts w:ascii="Verdana" w:hAnsi="Verdana"/>
          <w:sz w:val="18"/>
          <w:szCs w:val="18"/>
        </w:rPr>
        <w:t xml:space="preserve">Bij </w:t>
      </w:r>
      <w:r>
        <w:rPr>
          <w:rFonts w:ascii="Verdana" w:hAnsi="Verdana"/>
          <w:sz w:val="18"/>
          <w:szCs w:val="18"/>
        </w:rPr>
        <w:t xml:space="preserve">veel </w:t>
      </w:r>
      <w:r w:rsidRPr="001A1A32">
        <w:rPr>
          <w:rFonts w:ascii="Verdana" w:hAnsi="Verdana"/>
          <w:sz w:val="18"/>
          <w:szCs w:val="18"/>
        </w:rPr>
        <w:t xml:space="preserve">decentrale overheidsinstanties </w:t>
      </w:r>
      <w:r>
        <w:rPr>
          <w:rFonts w:ascii="Verdana" w:hAnsi="Verdana"/>
          <w:sz w:val="18"/>
          <w:szCs w:val="18"/>
        </w:rPr>
        <w:t xml:space="preserve">bestaat </w:t>
      </w:r>
      <w:r w:rsidRPr="001A1A32">
        <w:rPr>
          <w:rFonts w:ascii="Verdana" w:hAnsi="Verdana"/>
          <w:sz w:val="18"/>
          <w:szCs w:val="18"/>
        </w:rPr>
        <w:t xml:space="preserve">het bestuur </w:t>
      </w:r>
      <w:r>
        <w:rPr>
          <w:rFonts w:ascii="Verdana" w:hAnsi="Verdana"/>
          <w:sz w:val="18"/>
          <w:szCs w:val="18"/>
        </w:rPr>
        <w:t>uit verschillende organen</w:t>
      </w:r>
      <w:r w:rsidRPr="001A1A32">
        <w:rPr>
          <w:rFonts w:ascii="Verdana" w:hAnsi="Verdana"/>
          <w:sz w:val="18"/>
          <w:szCs w:val="18"/>
        </w:rPr>
        <w:t>.</w:t>
      </w:r>
      <w:bookmarkStart w:name="_Hlk179186954" w:id="54"/>
      <w:r w:rsidRPr="001A1A32">
        <w:rPr>
          <w:rFonts w:ascii="Verdana" w:hAnsi="Verdana"/>
          <w:sz w:val="18"/>
          <w:szCs w:val="18"/>
        </w:rPr>
        <w:t xml:space="preserve"> Voor provincies betreft het op grond van de Grondwet en de Provinciewet provinciale staten, gedeputeerde staten en de commissaris van de koning.</w:t>
      </w:r>
      <w:r w:rsidRPr="001A1A32">
        <w:rPr>
          <w:rStyle w:val="Voetnootmarkering"/>
          <w:rFonts w:ascii="Verdana" w:hAnsi="Verdana"/>
          <w:sz w:val="18"/>
          <w:szCs w:val="18"/>
        </w:rPr>
        <w:footnoteReference w:id="38"/>
      </w:r>
      <w:r w:rsidRPr="001A1A32">
        <w:rPr>
          <w:rFonts w:ascii="Verdana" w:hAnsi="Verdana"/>
          <w:sz w:val="18"/>
          <w:szCs w:val="18"/>
        </w:rPr>
        <w:t xml:space="preserve"> In de Grondwet en de Gemeentewet is bepaald dat het bestuur van een gemeente wordt gevormd door de gemeenteraad, het college van burgemeester en wethouders en de burgemeester.</w:t>
      </w:r>
      <w:r w:rsidRPr="001A1A32">
        <w:rPr>
          <w:rStyle w:val="Voetnootmarkering"/>
          <w:rFonts w:ascii="Verdana" w:hAnsi="Verdana"/>
          <w:sz w:val="18"/>
          <w:szCs w:val="18"/>
        </w:rPr>
        <w:footnoteReference w:id="39"/>
      </w:r>
      <w:r w:rsidRPr="001A1A32">
        <w:rPr>
          <w:rFonts w:ascii="Verdana" w:hAnsi="Verdana"/>
          <w:sz w:val="18"/>
          <w:szCs w:val="18"/>
        </w:rPr>
        <w:t xml:space="preserve"> Voor waterschappen betreft het op grond van de Waterschapswet het algemeen bestuur, het dagelijks bestuur en de voorzitter.</w:t>
      </w:r>
      <w:r w:rsidRPr="001A1A32">
        <w:rPr>
          <w:rStyle w:val="Voetnootmarkering"/>
          <w:rFonts w:ascii="Verdana" w:hAnsi="Verdana"/>
          <w:sz w:val="18"/>
          <w:szCs w:val="18"/>
        </w:rPr>
        <w:footnoteReference w:id="40"/>
      </w:r>
      <w:r w:rsidRPr="001A1A32">
        <w:rPr>
          <w:rFonts w:ascii="Verdana" w:hAnsi="Verdana"/>
          <w:sz w:val="18"/>
          <w:szCs w:val="18"/>
        </w:rPr>
        <w:t xml:space="preserve"> Voor zover bij een gemeenschappelijke regeling een openbaar lichaam is ingesteld, bestaat het bestuur daarvan op grond van de Wet gemeenschappelijke regelingen uit een algemeen bestuur, een dagelijks bestuur en een voorzitter.</w:t>
      </w:r>
      <w:r w:rsidRPr="001A1A32">
        <w:rPr>
          <w:rStyle w:val="Voetnootmarkering"/>
          <w:rFonts w:ascii="Verdana" w:hAnsi="Verdana"/>
          <w:sz w:val="18"/>
          <w:szCs w:val="18"/>
        </w:rPr>
        <w:footnoteReference w:id="41"/>
      </w:r>
      <w:r w:rsidRPr="001A1A32">
        <w:rPr>
          <w:rFonts w:ascii="Verdana" w:hAnsi="Verdana"/>
          <w:sz w:val="18"/>
          <w:szCs w:val="18"/>
        </w:rPr>
        <w:t xml:space="preserve"> </w:t>
      </w:r>
      <w:r w:rsidRPr="001A1A32">
        <w:rPr>
          <w:rFonts w:ascii="Verdana" w:hAnsi="Verdana"/>
          <w:sz w:val="18"/>
          <w:szCs w:val="18"/>
        </w:rPr>
        <w:br/>
      </w:r>
      <w:r>
        <w:rPr>
          <w:rFonts w:ascii="Verdana" w:hAnsi="Verdana"/>
          <w:sz w:val="18"/>
          <w:szCs w:val="18"/>
        </w:rPr>
        <w:t xml:space="preserve">Zoals hiervoor is uiteengezet, wordt voor de toepassing van </w:t>
      </w:r>
      <w:r w:rsidR="00A603E1">
        <w:rPr>
          <w:rFonts w:ascii="Verdana" w:hAnsi="Verdana"/>
          <w:sz w:val="18"/>
          <w:szCs w:val="18"/>
        </w:rPr>
        <w:t xml:space="preserve">artikel 24 </w:t>
      </w:r>
      <w:proofErr w:type="spellStart"/>
      <w:r w:rsidR="00A603E1">
        <w:rPr>
          <w:rFonts w:ascii="Verdana" w:hAnsi="Verdana"/>
          <w:sz w:val="18"/>
          <w:szCs w:val="18"/>
        </w:rPr>
        <w:t>Cbw</w:t>
      </w:r>
      <w:proofErr w:type="spellEnd"/>
      <w:r>
        <w:rPr>
          <w:rFonts w:ascii="Verdana" w:hAnsi="Verdana"/>
          <w:sz w:val="18"/>
          <w:szCs w:val="18"/>
        </w:rPr>
        <w:t xml:space="preserve"> het dagelijks bestuur aangewezen als bestuur van de overheidsinstantie. </w:t>
      </w:r>
      <w:bookmarkEnd w:id="54"/>
      <w:r w:rsidRPr="001A1A32">
        <w:rPr>
          <w:rFonts w:ascii="Verdana" w:hAnsi="Verdana"/>
          <w:sz w:val="18"/>
          <w:szCs w:val="18"/>
        </w:rPr>
        <w:t xml:space="preserve">Bij provincies </w:t>
      </w:r>
      <w:r>
        <w:rPr>
          <w:rFonts w:ascii="Verdana" w:hAnsi="Verdana"/>
          <w:sz w:val="18"/>
          <w:szCs w:val="18"/>
        </w:rPr>
        <w:t>worden</w:t>
      </w:r>
      <w:r w:rsidRPr="001A1A32">
        <w:rPr>
          <w:rFonts w:ascii="Verdana" w:hAnsi="Verdana"/>
          <w:sz w:val="18"/>
          <w:szCs w:val="18"/>
        </w:rPr>
        <w:t xml:space="preserve"> daarom gedeputeerde staten, bij gemeenten het college van burgemeester en wethouders en bij waterschappen het dagelijks bestuur aangewezen als bestuur van de overheidsinstantie</w:t>
      </w:r>
      <w:r w:rsidR="00A603E1">
        <w:rPr>
          <w:rFonts w:ascii="Verdana" w:hAnsi="Verdana"/>
          <w:sz w:val="18"/>
          <w:szCs w:val="18"/>
        </w:rPr>
        <w:t xml:space="preserve"> voor de toepassing van artikel 24 </w:t>
      </w:r>
      <w:proofErr w:type="spellStart"/>
      <w:r w:rsidR="00A603E1">
        <w:rPr>
          <w:rFonts w:ascii="Verdana" w:hAnsi="Verdana"/>
          <w:sz w:val="18"/>
          <w:szCs w:val="18"/>
        </w:rPr>
        <w:t>Cbw</w:t>
      </w:r>
      <w:proofErr w:type="spellEnd"/>
      <w:r w:rsidRPr="001A1A32">
        <w:rPr>
          <w:rFonts w:ascii="Verdana" w:hAnsi="Verdana"/>
          <w:sz w:val="18"/>
          <w:szCs w:val="18"/>
        </w:rPr>
        <w:t xml:space="preserve">. Voor gemeenschappelijke regelingen </w:t>
      </w:r>
      <w:r>
        <w:rPr>
          <w:rFonts w:ascii="Verdana" w:hAnsi="Verdana"/>
          <w:sz w:val="18"/>
          <w:szCs w:val="18"/>
        </w:rPr>
        <w:t>geldt dat</w:t>
      </w:r>
      <w:r w:rsidRPr="001A1A32">
        <w:rPr>
          <w:rFonts w:ascii="Verdana" w:hAnsi="Verdana"/>
          <w:sz w:val="18"/>
          <w:szCs w:val="18"/>
        </w:rPr>
        <w:t xml:space="preserve">, in lijn met de Wet gemeenschappelijke regelingen, het dagelijks bestuur van het openbaar lichaam, </w:t>
      </w:r>
      <w:r w:rsidR="00A603E1">
        <w:rPr>
          <w:rFonts w:ascii="Verdana" w:hAnsi="Verdana"/>
          <w:sz w:val="18"/>
          <w:szCs w:val="18"/>
        </w:rPr>
        <w:t xml:space="preserve">voor de toepassing van artikel 24 </w:t>
      </w:r>
      <w:proofErr w:type="spellStart"/>
      <w:r w:rsidR="00A603E1">
        <w:rPr>
          <w:rFonts w:ascii="Verdana" w:hAnsi="Verdana"/>
          <w:sz w:val="18"/>
          <w:szCs w:val="18"/>
        </w:rPr>
        <w:t>Cbw</w:t>
      </w:r>
      <w:proofErr w:type="spellEnd"/>
      <w:r w:rsidR="00A603E1">
        <w:rPr>
          <w:rFonts w:ascii="Verdana" w:hAnsi="Verdana"/>
          <w:sz w:val="18"/>
          <w:szCs w:val="18"/>
        </w:rPr>
        <w:t xml:space="preserve"> </w:t>
      </w:r>
      <w:r w:rsidRPr="001A1A32">
        <w:rPr>
          <w:rFonts w:ascii="Verdana" w:hAnsi="Verdana"/>
          <w:sz w:val="18"/>
          <w:szCs w:val="18"/>
        </w:rPr>
        <w:t xml:space="preserve">het bestuur van de </w:t>
      </w:r>
      <w:proofErr w:type="spellStart"/>
      <w:r w:rsidRPr="001A1A32">
        <w:rPr>
          <w:rFonts w:ascii="Verdana" w:hAnsi="Verdana"/>
          <w:sz w:val="18"/>
          <w:szCs w:val="18"/>
        </w:rPr>
        <w:t>bedrijfsvoeringsorganisatie</w:t>
      </w:r>
      <w:proofErr w:type="spellEnd"/>
      <w:r w:rsidRPr="001A1A32">
        <w:rPr>
          <w:rFonts w:ascii="Verdana" w:hAnsi="Verdana"/>
          <w:sz w:val="18"/>
          <w:szCs w:val="18"/>
        </w:rPr>
        <w:t xml:space="preserve"> onderscheidenlijk het</w:t>
      </w:r>
      <w:r w:rsidRPr="001A1A32">
        <w:rPr>
          <w:rFonts w:ascii="Verdana" w:hAnsi="Verdana"/>
          <w:sz w:val="24"/>
          <w:szCs w:val="24"/>
        </w:rPr>
        <w:t xml:space="preserve"> </w:t>
      </w:r>
      <w:r w:rsidRPr="001A1A32">
        <w:rPr>
          <w:rFonts w:ascii="Verdana" w:hAnsi="Verdana"/>
          <w:sz w:val="18"/>
          <w:szCs w:val="18"/>
        </w:rPr>
        <w:t xml:space="preserve">gemeenschappelijk orgaan </w:t>
      </w:r>
      <w:r>
        <w:rPr>
          <w:rFonts w:ascii="Verdana" w:hAnsi="Verdana"/>
          <w:sz w:val="18"/>
          <w:szCs w:val="18"/>
        </w:rPr>
        <w:t>wordt aangewezen</w:t>
      </w:r>
      <w:r w:rsidRPr="001A1A32">
        <w:rPr>
          <w:rFonts w:ascii="Verdana" w:hAnsi="Verdana"/>
          <w:sz w:val="18"/>
          <w:szCs w:val="18"/>
        </w:rPr>
        <w:t xml:space="preserve"> als bestuur van de overheids</w:t>
      </w:r>
      <w:r>
        <w:rPr>
          <w:rFonts w:ascii="Verdana" w:hAnsi="Verdana"/>
          <w:sz w:val="18"/>
          <w:szCs w:val="18"/>
        </w:rPr>
        <w:t>instantie</w:t>
      </w:r>
      <w:r w:rsidRPr="001A1A32">
        <w:rPr>
          <w:rFonts w:ascii="Verdana" w:hAnsi="Verdana"/>
          <w:sz w:val="18"/>
          <w:szCs w:val="18"/>
        </w:rPr>
        <w:t>.</w:t>
      </w:r>
      <w:r w:rsidRPr="001A1A32">
        <w:rPr>
          <w:rStyle w:val="Voetnootmarkering"/>
          <w:rFonts w:ascii="Verdana" w:hAnsi="Verdana"/>
          <w:sz w:val="18"/>
          <w:szCs w:val="18"/>
        </w:rPr>
        <w:footnoteReference w:id="42"/>
      </w:r>
    </w:p>
    <w:p w:rsidR="00574663" w:rsidP="00C66986" w:rsidRDefault="00574663" w14:paraId="16B0DACD" w14:textId="77777777">
      <w:pPr>
        <w:spacing w:after="0" w:line="240" w:lineRule="auto"/>
        <w:rPr>
          <w:rFonts w:ascii="Verdana" w:hAnsi="Verdana"/>
          <w:sz w:val="18"/>
          <w:szCs w:val="18"/>
        </w:rPr>
      </w:pPr>
    </w:p>
    <w:p w:rsidR="00C66986" w:rsidP="00C66986" w:rsidRDefault="00C66986" w14:paraId="7FF5D42D" w14:textId="7C67017C">
      <w:pPr>
        <w:spacing w:after="0" w:line="240" w:lineRule="auto"/>
        <w:rPr>
          <w:rFonts w:ascii="Verdana" w:hAnsi="Verdana"/>
          <w:b/>
          <w:bCs/>
          <w:sz w:val="32"/>
          <w:szCs w:val="32"/>
          <w:u w:val="single"/>
        </w:rPr>
      </w:pPr>
      <w:r>
        <w:rPr>
          <w:rFonts w:ascii="Verdana" w:hAnsi="Verdana"/>
          <w:sz w:val="18"/>
          <w:szCs w:val="18"/>
        </w:rPr>
        <w:t>De verplichting om over voldoende kennis en vaardigheden te beschikken en daartoe een training te volgen, rust op ieder lid van het bestuur. Opgemerkt wordt dat ook hiervoor het in artikel 20, tweede lid, NIS2-richtlijn</w:t>
      </w:r>
      <w:r w:rsidRPr="00632F46">
        <w:rPr>
          <w:rFonts w:ascii="Verdana" w:hAnsi="Verdana"/>
          <w:sz w:val="18"/>
          <w:szCs w:val="18"/>
        </w:rPr>
        <w:t xml:space="preserve"> </w:t>
      </w:r>
      <w:r>
        <w:rPr>
          <w:rFonts w:ascii="Verdana" w:hAnsi="Verdana"/>
          <w:sz w:val="18"/>
          <w:szCs w:val="18"/>
        </w:rPr>
        <w:t xml:space="preserve">neergelegde uitgangspunt geldt dat de richtlijn </w:t>
      </w:r>
      <w:r w:rsidRPr="00632F46">
        <w:rPr>
          <w:rFonts w:ascii="Verdana" w:hAnsi="Verdana"/>
          <w:sz w:val="18"/>
          <w:szCs w:val="18"/>
        </w:rPr>
        <w:t>geen afbreuk</w:t>
      </w:r>
      <w:r>
        <w:rPr>
          <w:rFonts w:ascii="Verdana" w:hAnsi="Verdana"/>
          <w:sz w:val="18"/>
          <w:szCs w:val="18"/>
        </w:rPr>
        <w:t xml:space="preserve"> doet</w:t>
      </w:r>
      <w:r w:rsidRPr="00632F46">
        <w:rPr>
          <w:rFonts w:ascii="Verdana" w:hAnsi="Verdana"/>
          <w:sz w:val="18"/>
          <w:szCs w:val="18"/>
        </w:rPr>
        <w:t xml:space="preserve"> aan het nationale recht met betrekking tot de aansprakelijkheidsregels die gelden voor overheidsinstanties en voor de aansprakelijkheid van ambtenaren en verkozen of benoemde overheidsfunctionarissen</w:t>
      </w:r>
      <w:r>
        <w:rPr>
          <w:rFonts w:ascii="Verdana" w:hAnsi="Verdana"/>
          <w:sz w:val="18"/>
          <w:szCs w:val="18"/>
        </w:rPr>
        <w:t>.</w:t>
      </w:r>
    </w:p>
    <w:bookmarkEnd w:id="53"/>
    <w:p w:rsidRPr="00FF46E3" w:rsidR="006428EE" w:rsidP="006428EE" w:rsidRDefault="006428EE" w14:paraId="013CDC17" w14:textId="77777777">
      <w:pPr>
        <w:pStyle w:val="Geenafstand"/>
        <w:rPr>
          <w:rFonts w:ascii="Verdana" w:hAnsi="Verdana"/>
          <w:sz w:val="18"/>
          <w:szCs w:val="18"/>
        </w:rPr>
      </w:pPr>
    </w:p>
    <w:p w:rsidRPr="00FF46E3" w:rsidR="00DF434B" w:rsidP="00CB230D" w:rsidRDefault="00CD1B9A" w14:paraId="3078E900" w14:textId="4611B093">
      <w:pPr>
        <w:pStyle w:val="Kop2"/>
        <w:rPr>
          <w:szCs w:val="18"/>
        </w:rPr>
      </w:pPr>
      <w:bookmarkStart w:name="_Toc198721076" w:id="56"/>
      <w:r w:rsidRPr="00FF46E3">
        <w:rPr>
          <w:szCs w:val="18"/>
        </w:rPr>
        <w:lastRenderedPageBreak/>
        <w:t>5.</w:t>
      </w:r>
      <w:r w:rsidR="007E5530">
        <w:rPr>
          <w:szCs w:val="18"/>
        </w:rPr>
        <w:t>4</w:t>
      </w:r>
      <w:r w:rsidRPr="00FF46E3" w:rsidR="00DF434B">
        <w:rPr>
          <w:szCs w:val="18"/>
        </w:rPr>
        <w:t xml:space="preserve"> </w:t>
      </w:r>
      <w:r w:rsidRPr="00FF46E3" w:rsidR="00186826">
        <w:rPr>
          <w:szCs w:val="18"/>
        </w:rPr>
        <w:t>Meldplicht</w:t>
      </w:r>
      <w:bookmarkEnd w:id="56"/>
    </w:p>
    <w:p w:rsidRPr="00FF46E3" w:rsidR="00C30574" w:rsidP="006200DD" w:rsidRDefault="00C30574" w14:paraId="4A5918BD" w14:textId="77777777">
      <w:pPr>
        <w:pStyle w:val="Geenafstand"/>
        <w:rPr>
          <w:rFonts w:ascii="Verdana" w:hAnsi="Verdana"/>
          <w:sz w:val="18"/>
          <w:szCs w:val="18"/>
        </w:rPr>
      </w:pPr>
    </w:p>
    <w:p w:rsidRPr="00FF46E3" w:rsidR="004013FC" w:rsidP="00F21770" w:rsidRDefault="009142C0" w14:paraId="16F055EC" w14:textId="080308DE">
      <w:pPr>
        <w:pStyle w:val="Geenafstand"/>
        <w:rPr>
          <w:rFonts w:ascii="Verdana" w:hAnsi="Verdana"/>
          <w:i/>
          <w:iCs/>
          <w:sz w:val="18"/>
          <w:szCs w:val="18"/>
        </w:rPr>
      </w:pPr>
      <w:r>
        <w:rPr>
          <w:rFonts w:ascii="Verdana" w:hAnsi="Verdana"/>
          <w:i/>
          <w:iCs/>
          <w:sz w:val="18"/>
          <w:szCs w:val="18"/>
        </w:rPr>
        <w:t>Inleiding</w:t>
      </w:r>
    </w:p>
    <w:p w:rsidR="00E45E97" w:rsidP="00F21770" w:rsidRDefault="00D23EB5" w14:paraId="6B03C9A3" w14:textId="1C55B9CF">
      <w:pPr>
        <w:pStyle w:val="Geenafstand"/>
        <w:rPr>
          <w:rFonts w:ascii="Verdana" w:hAnsi="Verdana"/>
          <w:sz w:val="18"/>
          <w:szCs w:val="18"/>
        </w:rPr>
      </w:pPr>
      <w:r w:rsidRPr="00FF46E3">
        <w:rPr>
          <w:rFonts w:ascii="Verdana" w:hAnsi="Verdana"/>
          <w:sz w:val="18"/>
          <w:szCs w:val="18"/>
        </w:rPr>
        <w:t xml:space="preserve">Essentiële </w:t>
      </w:r>
      <w:r w:rsidRPr="00FF46E3" w:rsidR="00EA7EC8">
        <w:rPr>
          <w:rFonts w:ascii="Verdana" w:hAnsi="Verdana"/>
          <w:sz w:val="18"/>
          <w:szCs w:val="18"/>
        </w:rPr>
        <w:t xml:space="preserve">entiteiten </w:t>
      </w:r>
      <w:r w:rsidRPr="00FF46E3">
        <w:rPr>
          <w:rFonts w:ascii="Verdana" w:hAnsi="Verdana"/>
          <w:sz w:val="18"/>
          <w:szCs w:val="18"/>
        </w:rPr>
        <w:t xml:space="preserve">en belangrijke entiteiten moeten elk significant incident melden bij </w:t>
      </w:r>
      <w:r w:rsidRPr="00FF46E3" w:rsidR="00F21770">
        <w:rPr>
          <w:rFonts w:ascii="Verdana" w:hAnsi="Verdana"/>
          <w:sz w:val="18"/>
          <w:szCs w:val="18"/>
        </w:rPr>
        <w:t xml:space="preserve">hun </w:t>
      </w:r>
      <w:r w:rsidRPr="00FF46E3">
        <w:rPr>
          <w:rFonts w:ascii="Verdana" w:hAnsi="Verdana"/>
          <w:sz w:val="18"/>
          <w:szCs w:val="18"/>
        </w:rPr>
        <w:t xml:space="preserve">CSIRT en de </w:t>
      </w:r>
      <w:r w:rsidRPr="00FF46E3" w:rsidR="00512A6F">
        <w:rPr>
          <w:rFonts w:ascii="Verdana" w:hAnsi="Verdana"/>
          <w:sz w:val="18"/>
          <w:szCs w:val="18"/>
        </w:rPr>
        <w:t>toezichthoudende instantie</w:t>
      </w:r>
      <w:r w:rsidRPr="00FF46E3">
        <w:rPr>
          <w:rFonts w:ascii="Verdana" w:hAnsi="Verdana"/>
          <w:sz w:val="18"/>
          <w:szCs w:val="18"/>
        </w:rPr>
        <w:t xml:space="preserve">. </w:t>
      </w:r>
      <w:r w:rsidRPr="00FF46E3" w:rsidR="00F21770">
        <w:rPr>
          <w:rFonts w:ascii="Verdana" w:hAnsi="Verdana"/>
          <w:sz w:val="18"/>
          <w:szCs w:val="18"/>
        </w:rPr>
        <w:t xml:space="preserve">Deze meldplicht volgt uit artikel 23 NIS2-richtlijn en is geïmplementeerd in </w:t>
      </w:r>
      <w:r w:rsidRPr="00FF46E3" w:rsidR="004A7DB6">
        <w:rPr>
          <w:rFonts w:ascii="Verdana" w:hAnsi="Verdana"/>
          <w:sz w:val="18"/>
          <w:szCs w:val="18"/>
        </w:rPr>
        <w:t xml:space="preserve">de artikelen </w:t>
      </w:r>
      <w:r w:rsidR="00B95AFA">
        <w:rPr>
          <w:rFonts w:ascii="Verdana" w:hAnsi="Verdana"/>
          <w:sz w:val="18"/>
          <w:szCs w:val="18"/>
        </w:rPr>
        <w:t>25</w:t>
      </w:r>
      <w:r w:rsidRPr="00FF46E3" w:rsidR="00B95AFA">
        <w:rPr>
          <w:rFonts w:ascii="Verdana" w:hAnsi="Verdana"/>
          <w:sz w:val="18"/>
          <w:szCs w:val="18"/>
        </w:rPr>
        <w:t xml:space="preserve"> </w:t>
      </w:r>
      <w:r w:rsidRPr="00FF46E3" w:rsidR="004174E9">
        <w:rPr>
          <w:rFonts w:ascii="Verdana" w:hAnsi="Verdana"/>
          <w:sz w:val="18"/>
          <w:szCs w:val="18"/>
        </w:rPr>
        <w:t xml:space="preserve">tot en met </w:t>
      </w:r>
      <w:r w:rsidR="00B95AFA">
        <w:rPr>
          <w:rFonts w:ascii="Verdana" w:hAnsi="Verdana"/>
          <w:sz w:val="18"/>
          <w:szCs w:val="18"/>
        </w:rPr>
        <w:t>29</w:t>
      </w:r>
      <w:r w:rsidRPr="00FF46E3" w:rsidR="00B95AFA">
        <w:rPr>
          <w:rFonts w:ascii="Verdana" w:hAnsi="Verdana"/>
          <w:sz w:val="18"/>
          <w:szCs w:val="18"/>
        </w:rPr>
        <w:t xml:space="preserve"> </w:t>
      </w:r>
      <w:proofErr w:type="spellStart"/>
      <w:r w:rsidRPr="00FF46E3" w:rsidR="006F2395">
        <w:rPr>
          <w:rFonts w:ascii="Verdana" w:hAnsi="Verdana"/>
          <w:sz w:val="18"/>
          <w:szCs w:val="18"/>
        </w:rPr>
        <w:t>Cbw</w:t>
      </w:r>
      <w:proofErr w:type="spellEnd"/>
      <w:r w:rsidRPr="00FF46E3" w:rsidR="00F21770">
        <w:rPr>
          <w:rFonts w:ascii="Verdana" w:hAnsi="Verdana"/>
          <w:sz w:val="18"/>
          <w:szCs w:val="18"/>
        </w:rPr>
        <w:t xml:space="preserve">. </w:t>
      </w:r>
      <w:r w:rsidR="00E45E97">
        <w:rPr>
          <w:rFonts w:ascii="Verdana" w:hAnsi="Verdana"/>
          <w:sz w:val="18"/>
          <w:szCs w:val="18"/>
        </w:rPr>
        <w:t>De</w:t>
      </w:r>
      <w:r w:rsidRPr="00FF46E3" w:rsidR="00E45E97">
        <w:rPr>
          <w:rFonts w:ascii="Verdana" w:hAnsi="Verdana"/>
          <w:sz w:val="18"/>
          <w:szCs w:val="18"/>
        </w:rPr>
        <w:t xml:space="preserve"> melding </w:t>
      </w:r>
      <w:r w:rsidR="00E45E97">
        <w:rPr>
          <w:rFonts w:ascii="Verdana" w:hAnsi="Verdana"/>
          <w:sz w:val="18"/>
          <w:szCs w:val="18"/>
        </w:rPr>
        <w:t xml:space="preserve">leidt </w:t>
      </w:r>
      <w:r w:rsidRPr="00FF46E3" w:rsidR="00E45E97">
        <w:rPr>
          <w:rFonts w:ascii="Verdana" w:hAnsi="Verdana"/>
          <w:sz w:val="18"/>
          <w:szCs w:val="18"/>
        </w:rPr>
        <w:t>niet tot blootstelling van de entiteit aan een verhoogde aansprakelijkheid.</w:t>
      </w:r>
      <w:r w:rsidRPr="00FF46E3" w:rsidR="00E45E97">
        <w:rPr>
          <w:rStyle w:val="Voetnootmarkering"/>
          <w:rFonts w:ascii="Verdana" w:hAnsi="Verdana"/>
          <w:sz w:val="18"/>
          <w:szCs w:val="18"/>
        </w:rPr>
        <w:footnoteReference w:id="43"/>
      </w:r>
      <w:r w:rsidR="00E45E97">
        <w:rPr>
          <w:rFonts w:ascii="Verdana" w:hAnsi="Verdana"/>
          <w:sz w:val="18"/>
          <w:szCs w:val="18"/>
        </w:rPr>
        <w:t xml:space="preserve"> </w:t>
      </w:r>
      <w:r w:rsidRPr="00E45E97" w:rsidR="00E45E97">
        <w:rPr>
          <w:rFonts w:ascii="Verdana" w:hAnsi="Verdana"/>
          <w:sz w:val="18"/>
          <w:szCs w:val="18"/>
        </w:rPr>
        <w:t>Naast de meldplicht aan het CSIRT en de toezichthoudende instantie hebben essentiële</w:t>
      </w:r>
      <w:r w:rsidR="00E45E97">
        <w:rPr>
          <w:rFonts w:ascii="Verdana" w:hAnsi="Verdana"/>
          <w:sz w:val="18"/>
          <w:szCs w:val="18"/>
        </w:rPr>
        <w:t xml:space="preserve"> entiteiten</w:t>
      </w:r>
      <w:r w:rsidRPr="00E45E97" w:rsidR="00E45E97">
        <w:rPr>
          <w:rFonts w:ascii="Verdana" w:hAnsi="Verdana"/>
          <w:sz w:val="18"/>
          <w:szCs w:val="18"/>
        </w:rPr>
        <w:t xml:space="preserve"> en belangrijke entiteiten op grond van artikel </w:t>
      </w:r>
      <w:r w:rsidR="00B95AFA">
        <w:rPr>
          <w:rFonts w:ascii="Verdana" w:hAnsi="Verdana"/>
          <w:sz w:val="18"/>
          <w:szCs w:val="18"/>
        </w:rPr>
        <w:t>30</w:t>
      </w:r>
      <w:r w:rsidRPr="00E45E97" w:rsidR="00E45E97">
        <w:rPr>
          <w:rFonts w:ascii="Verdana" w:hAnsi="Verdana"/>
          <w:sz w:val="18"/>
          <w:szCs w:val="18"/>
        </w:rPr>
        <w:t xml:space="preserve"> </w:t>
      </w:r>
      <w:proofErr w:type="spellStart"/>
      <w:r w:rsidRPr="00E45E97" w:rsidR="00E45E97">
        <w:rPr>
          <w:rFonts w:ascii="Verdana" w:hAnsi="Verdana"/>
          <w:sz w:val="18"/>
          <w:szCs w:val="18"/>
        </w:rPr>
        <w:t>Cbw</w:t>
      </w:r>
      <w:proofErr w:type="spellEnd"/>
      <w:r w:rsidRPr="00E45E97" w:rsidR="00E45E97">
        <w:rPr>
          <w:rFonts w:ascii="Verdana" w:hAnsi="Verdana"/>
          <w:sz w:val="18"/>
          <w:szCs w:val="18"/>
        </w:rPr>
        <w:t xml:space="preserve"> de verplichting om de ontvangers van hun diensten over significante incidenten en significante cyberdreigingen te informeren.</w:t>
      </w:r>
      <w:r w:rsidR="00E45E97">
        <w:rPr>
          <w:rFonts w:ascii="Verdana" w:hAnsi="Verdana"/>
          <w:sz w:val="18"/>
          <w:szCs w:val="18"/>
        </w:rPr>
        <w:t xml:space="preserve"> </w:t>
      </w:r>
    </w:p>
    <w:p w:rsidR="00E45E97" w:rsidP="00F21770" w:rsidRDefault="00E45E97" w14:paraId="1B9E10B9" w14:textId="1FC5F0AD">
      <w:pPr>
        <w:pStyle w:val="Geenafstand"/>
        <w:rPr>
          <w:rFonts w:ascii="Verdana" w:hAnsi="Verdana"/>
          <w:sz w:val="18"/>
          <w:szCs w:val="18"/>
        </w:rPr>
      </w:pPr>
      <w:r>
        <w:rPr>
          <w:rFonts w:ascii="Verdana" w:hAnsi="Verdana"/>
          <w:sz w:val="18"/>
          <w:szCs w:val="18"/>
        </w:rPr>
        <w:t>De hiervoor genoemde verplichtingen gelden</w:t>
      </w:r>
      <w:r w:rsidRPr="00FF46E3" w:rsidR="00F21770">
        <w:rPr>
          <w:rFonts w:ascii="Verdana" w:hAnsi="Verdana"/>
          <w:sz w:val="18"/>
          <w:szCs w:val="18"/>
        </w:rPr>
        <w:t xml:space="preserve"> niet voor entiteiten die domeinnaamregistratiediensten verlenen</w:t>
      </w:r>
      <w:r w:rsidRPr="00FF46E3" w:rsidR="002E18E9">
        <w:rPr>
          <w:rFonts w:ascii="Verdana" w:hAnsi="Verdana"/>
          <w:sz w:val="18"/>
          <w:szCs w:val="18"/>
        </w:rPr>
        <w:t xml:space="preserve"> en niet tevens een essentiële </w:t>
      </w:r>
      <w:r>
        <w:rPr>
          <w:rFonts w:ascii="Verdana" w:hAnsi="Verdana"/>
          <w:sz w:val="18"/>
          <w:szCs w:val="18"/>
        </w:rPr>
        <w:t xml:space="preserve">entiteit </w:t>
      </w:r>
      <w:r w:rsidRPr="00FF46E3" w:rsidR="002E18E9">
        <w:rPr>
          <w:rFonts w:ascii="Verdana" w:hAnsi="Verdana"/>
          <w:sz w:val="18"/>
          <w:szCs w:val="18"/>
        </w:rPr>
        <w:t>of belangrijke entiteit zijn</w:t>
      </w:r>
      <w:r w:rsidRPr="00FF46E3" w:rsidR="00F21770">
        <w:rPr>
          <w:rFonts w:ascii="Verdana" w:hAnsi="Verdana"/>
          <w:sz w:val="18"/>
          <w:szCs w:val="18"/>
        </w:rPr>
        <w:t>.</w:t>
      </w:r>
      <w:r w:rsidRPr="00FF46E3" w:rsidR="00D82C6E">
        <w:rPr>
          <w:rFonts w:ascii="Verdana" w:hAnsi="Verdana"/>
          <w:sz w:val="18"/>
          <w:szCs w:val="18"/>
        </w:rPr>
        <w:t xml:space="preserve"> </w:t>
      </w:r>
    </w:p>
    <w:p w:rsidRPr="00FF46E3" w:rsidR="004013FC" w:rsidP="00F21770" w:rsidRDefault="004013FC" w14:paraId="14C8E4F4" w14:textId="77777777">
      <w:pPr>
        <w:pStyle w:val="Geenafstand"/>
        <w:rPr>
          <w:rFonts w:ascii="Verdana" w:hAnsi="Verdana"/>
          <w:sz w:val="18"/>
          <w:szCs w:val="18"/>
        </w:rPr>
      </w:pPr>
    </w:p>
    <w:p w:rsidRPr="00FF46E3" w:rsidR="004013FC" w:rsidP="006200DD" w:rsidRDefault="007E61C1" w14:paraId="59785698" w14:textId="3068A5AB">
      <w:pPr>
        <w:pStyle w:val="Geenafstand"/>
        <w:rPr>
          <w:rFonts w:ascii="Verdana" w:hAnsi="Verdana"/>
          <w:sz w:val="18"/>
          <w:szCs w:val="18"/>
        </w:rPr>
      </w:pPr>
      <w:r w:rsidRPr="00FF46E3">
        <w:rPr>
          <w:rFonts w:ascii="Verdana" w:hAnsi="Verdana"/>
          <w:i/>
          <w:iCs/>
          <w:sz w:val="18"/>
          <w:szCs w:val="18"/>
        </w:rPr>
        <w:t xml:space="preserve">Meldplicht </w:t>
      </w:r>
      <w:r w:rsidRPr="00FF46E3" w:rsidR="00FB4431">
        <w:rPr>
          <w:rFonts w:ascii="Verdana" w:hAnsi="Verdana"/>
          <w:i/>
          <w:iCs/>
          <w:sz w:val="18"/>
          <w:szCs w:val="18"/>
        </w:rPr>
        <w:t>geldt</w:t>
      </w:r>
      <w:r w:rsidRPr="00FF46E3">
        <w:rPr>
          <w:rFonts w:ascii="Verdana" w:hAnsi="Verdana"/>
          <w:i/>
          <w:iCs/>
          <w:sz w:val="18"/>
          <w:szCs w:val="18"/>
        </w:rPr>
        <w:t xml:space="preserve"> alleen voor s</w:t>
      </w:r>
      <w:r w:rsidRPr="00FF46E3" w:rsidR="004013FC">
        <w:rPr>
          <w:rFonts w:ascii="Verdana" w:hAnsi="Verdana"/>
          <w:i/>
          <w:iCs/>
          <w:sz w:val="18"/>
          <w:szCs w:val="18"/>
        </w:rPr>
        <w:t>ignificante incidenten</w:t>
      </w:r>
    </w:p>
    <w:p w:rsidRPr="00FF46E3" w:rsidR="00D23EB5" w:rsidP="006200DD" w:rsidRDefault="00F21770" w14:paraId="0C78E41B" w14:textId="7AA44BDD">
      <w:pPr>
        <w:pStyle w:val="Geenafstand"/>
        <w:rPr>
          <w:rFonts w:ascii="Verdana" w:hAnsi="Verdana"/>
          <w:sz w:val="18"/>
          <w:szCs w:val="18"/>
        </w:rPr>
      </w:pPr>
      <w:r w:rsidRPr="00FF46E3">
        <w:rPr>
          <w:rFonts w:ascii="Verdana" w:hAnsi="Verdana"/>
          <w:sz w:val="18"/>
          <w:szCs w:val="18"/>
        </w:rPr>
        <w:t xml:space="preserve">De meldplicht </w:t>
      </w:r>
      <w:r w:rsidRPr="00FF46E3" w:rsidR="00FB4431">
        <w:rPr>
          <w:rFonts w:ascii="Verdana" w:hAnsi="Verdana"/>
          <w:sz w:val="18"/>
          <w:szCs w:val="18"/>
        </w:rPr>
        <w:t xml:space="preserve">geldt </w:t>
      </w:r>
      <w:r w:rsidRPr="00FF46E3">
        <w:rPr>
          <w:rFonts w:ascii="Verdana" w:hAnsi="Verdana"/>
          <w:sz w:val="18"/>
          <w:szCs w:val="18"/>
        </w:rPr>
        <w:t xml:space="preserve">alleen </w:t>
      </w:r>
      <w:r w:rsidRPr="00FF46E3" w:rsidR="00FB4431">
        <w:rPr>
          <w:rFonts w:ascii="Verdana" w:hAnsi="Verdana"/>
          <w:sz w:val="18"/>
          <w:szCs w:val="18"/>
        </w:rPr>
        <w:t>voor</w:t>
      </w:r>
      <w:r w:rsidRPr="00FF46E3">
        <w:rPr>
          <w:rFonts w:ascii="Verdana" w:hAnsi="Verdana"/>
          <w:sz w:val="18"/>
          <w:szCs w:val="18"/>
        </w:rPr>
        <w:t xml:space="preserve"> significante incidenten</w:t>
      </w:r>
      <w:r w:rsidRPr="00FF46E3" w:rsidR="00556373">
        <w:rPr>
          <w:rFonts w:ascii="Verdana" w:hAnsi="Verdana"/>
          <w:sz w:val="18"/>
          <w:szCs w:val="18"/>
        </w:rPr>
        <w:t xml:space="preserve">. </w:t>
      </w:r>
      <w:r w:rsidRPr="00FF46E3" w:rsidR="00B76239">
        <w:rPr>
          <w:rFonts w:ascii="Verdana" w:hAnsi="Verdana"/>
          <w:sz w:val="18"/>
          <w:szCs w:val="18"/>
        </w:rPr>
        <w:t>Een incident is een gebeurtenis die de beschikbaarheid, authenticiteit, integriteit of vertrouwelijkheid van opgeslagen, verzonden of verwerkte gegevens of van de diensten die worden aangeboden door of toegankelijk zijn via netwerk- en informatiesystemen, in gevaar brengt</w:t>
      </w:r>
      <w:r w:rsidRPr="00FF46E3" w:rsidR="007E61C1">
        <w:rPr>
          <w:rFonts w:ascii="Verdana" w:hAnsi="Verdana"/>
          <w:sz w:val="18"/>
          <w:szCs w:val="18"/>
        </w:rPr>
        <w:t xml:space="preserve">. </w:t>
      </w:r>
      <w:r w:rsidRPr="00FF46E3" w:rsidR="00DC5FB5">
        <w:rPr>
          <w:rFonts w:ascii="Verdana" w:hAnsi="Verdana"/>
          <w:sz w:val="18"/>
          <w:szCs w:val="18"/>
        </w:rPr>
        <w:t xml:space="preserve">Een incident </w:t>
      </w:r>
      <w:r w:rsidRPr="00FF46E3" w:rsidR="00B76239">
        <w:rPr>
          <w:rFonts w:ascii="Verdana" w:hAnsi="Verdana"/>
          <w:sz w:val="18"/>
          <w:szCs w:val="18"/>
        </w:rPr>
        <w:t xml:space="preserve">wordt als significant beschouwd (en is dus een significant incident) wanneer het: a) </w:t>
      </w:r>
      <w:r w:rsidRPr="00FF46E3" w:rsidR="00D23EB5">
        <w:rPr>
          <w:rFonts w:ascii="Verdana" w:hAnsi="Verdana"/>
          <w:sz w:val="18"/>
          <w:szCs w:val="18"/>
        </w:rPr>
        <w:t>een ernstige operationele verstoring van de diensten of financiële verliezen voor de betrokken entiteit veroorzaakt of kan veroorzaken</w:t>
      </w:r>
      <w:r w:rsidRPr="00FF46E3" w:rsidR="00B76239">
        <w:rPr>
          <w:rFonts w:ascii="Verdana" w:hAnsi="Verdana"/>
          <w:sz w:val="18"/>
          <w:szCs w:val="18"/>
        </w:rPr>
        <w:t>;</w:t>
      </w:r>
      <w:r w:rsidRPr="00FF46E3" w:rsidR="00D23EB5">
        <w:rPr>
          <w:rFonts w:ascii="Verdana" w:hAnsi="Verdana"/>
          <w:sz w:val="18"/>
          <w:szCs w:val="18"/>
        </w:rPr>
        <w:t xml:space="preserve"> of</w:t>
      </w:r>
      <w:r w:rsidRPr="00FF46E3" w:rsidR="00B76239">
        <w:rPr>
          <w:rFonts w:ascii="Verdana" w:hAnsi="Verdana"/>
          <w:sz w:val="18"/>
          <w:szCs w:val="18"/>
        </w:rPr>
        <w:t xml:space="preserve"> b)</w:t>
      </w:r>
      <w:r w:rsidRPr="00FF46E3" w:rsidR="00D23EB5">
        <w:rPr>
          <w:rFonts w:ascii="Verdana" w:hAnsi="Verdana"/>
          <w:sz w:val="18"/>
          <w:szCs w:val="18"/>
        </w:rPr>
        <w:t xml:space="preserve"> als het andere natuurlijke of rechtspersonen heeft getroffen of kan treffen door aanzienlijke materiële of immateriële schade te veroorzaken</w:t>
      </w:r>
      <w:r w:rsidRPr="00FF46E3" w:rsidR="00B76239">
        <w:rPr>
          <w:rFonts w:ascii="Verdana" w:hAnsi="Verdana"/>
          <w:sz w:val="18"/>
          <w:szCs w:val="18"/>
        </w:rPr>
        <w:t xml:space="preserve">. Dit is opgenomen in artikel </w:t>
      </w:r>
      <w:r w:rsidR="00B95AFA">
        <w:rPr>
          <w:rFonts w:ascii="Verdana" w:hAnsi="Verdana"/>
          <w:sz w:val="18"/>
          <w:szCs w:val="18"/>
        </w:rPr>
        <w:t>25</w:t>
      </w:r>
      <w:r w:rsidRPr="00FF46E3" w:rsidR="00B76239">
        <w:rPr>
          <w:rFonts w:ascii="Verdana" w:hAnsi="Verdana"/>
          <w:sz w:val="18"/>
          <w:szCs w:val="18"/>
        </w:rPr>
        <w:t xml:space="preserve">, tweede lid, </w:t>
      </w:r>
      <w:proofErr w:type="spellStart"/>
      <w:r w:rsidRPr="00FF46E3" w:rsidR="00B76239">
        <w:rPr>
          <w:rFonts w:ascii="Verdana" w:hAnsi="Verdana"/>
          <w:sz w:val="18"/>
          <w:szCs w:val="18"/>
        </w:rPr>
        <w:t>Cbw</w:t>
      </w:r>
      <w:proofErr w:type="spellEnd"/>
      <w:r w:rsidRPr="00FF46E3" w:rsidR="00B76239">
        <w:rPr>
          <w:rFonts w:ascii="Verdana" w:hAnsi="Verdana"/>
          <w:sz w:val="18"/>
          <w:szCs w:val="18"/>
        </w:rPr>
        <w:t xml:space="preserve"> en betreft de implementatie van</w:t>
      </w:r>
      <w:r w:rsidRPr="00FF46E3" w:rsidR="00966CA1">
        <w:rPr>
          <w:rFonts w:ascii="Verdana" w:hAnsi="Verdana"/>
          <w:sz w:val="18"/>
          <w:szCs w:val="18"/>
        </w:rPr>
        <w:t xml:space="preserve"> artikel 23, derde lid, NIS2-richtlijn</w:t>
      </w:r>
      <w:r w:rsidRPr="00FF46E3" w:rsidR="00D23EB5">
        <w:rPr>
          <w:rFonts w:ascii="Verdana" w:hAnsi="Verdana"/>
          <w:sz w:val="18"/>
          <w:szCs w:val="18"/>
        </w:rPr>
        <w:t xml:space="preserve">. </w:t>
      </w:r>
      <w:r w:rsidRPr="00FF46E3" w:rsidR="00B76239">
        <w:rPr>
          <w:rFonts w:ascii="Verdana" w:hAnsi="Verdana"/>
          <w:sz w:val="18"/>
          <w:szCs w:val="18"/>
        </w:rPr>
        <w:t>Volgens deze definitie gaat het dus</w:t>
      </w:r>
      <w:r w:rsidRPr="00FF46E3" w:rsidR="00AD77B0">
        <w:rPr>
          <w:rFonts w:ascii="Verdana" w:hAnsi="Verdana"/>
          <w:sz w:val="18"/>
          <w:szCs w:val="18"/>
        </w:rPr>
        <w:t xml:space="preserve"> </w:t>
      </w:r>
      <w:r w:rsidRPr="00FF46E3" w:rsidR="00D23EB5">
        <w:rPr>
          <w:rFonts w:ascii="Verdana" w:hAnsi="Verdana"/>
          <w:sz w:val="18"/>
          <w:szCs w:val="18"/>
        </w:rPr>
        <w:t>ook om</w:t>
      </w:r>
      <w:r w:rsidRPr="00FF46E3" w:rsidR="00CE50C9">
        <w:rPr>
          <w:rFonts w:ascii="Verdana" w:hAnsi="Verdana"/>
          <w:sz w:val="18"/>
          <w:szCs w:val="18"/>
        </w:rPr>
        <w:t xml:space="preserve"> </w:t>
      </w:r>
      <w:r w:rsidRPr="00FF46E3" w:rsidR="00D23EB5">
        <w:rPr>
          <w:rFonts w:ascii="Verdana" w:hAnsi="Verdana"/>
          <w:sz w:val="18"/>
          <w:szCs w:val="18"/>
        </w:rPr>
        <w:t xml:space="preserve">incidenten waarbij de hiervoor genoemde mogelijke aanzienlijke gevolgen zich nog niet hebben voorgedaan, maar mogelijk wel gaan plaatsvinden. Ook ten aanzien van zulke incidenten is het van belang dat deze worden gemeld bij het CSIRT en de </w:t>
      </w:r>
      <w:r w:rsidRPr="00FF46E3" w:rsidR="00DC5FB5">
        <w:rPr>
          <w:rFonts w:ascii="Verdana" w:hAnsi="Verdana"/>
          <w:sz w:val="18"/>
          <w:szCs w:val="18"/>
        </w:rPr>
        <w:t>toezichthoudende</w:t>
      </w:r>
      <w:r w:rsidRPr="00FF46E3" w:rsidR="00903F57">
        <w:rPr>
          <w:rFonts w:ascii="Verdana" w:hAnsi="Verdana"/>
          <w:sz w:val="18"/>
          <w:szCs w:val="18"/>
        </w:rPr>
        <w:t xml:space="preserve"> instantie</w:t>
      </w:r>
      <w:r w:rsidRPr="00FF46E3" w:rsidR="00D23EB5">
        <w:rPr>
          <w:rFonts w:ascii="Verdana" w:hAnsi="Verdana"/>
          <w:sz w:val="18"/>
          <w:szCs w:val="18"/>
        </w:rPr>
        <w:t xml:space="preserve">. </w:t>
      </w:r>
    </w:p>
    <w:p w:rsidRPr="00FF46E3" w:rsidR="00957002" w:rsidP="000E397D" w:rsidRDefault="007E61C1" w14:paraId="497680C4" w14:textId="4E4A5270">
      <w:pPr>
        <w:pStyle w:val="Default"/>
        <w:autoSpaceDE/>
        <w:autoSpaceDN/>
        <w:adjustRightI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Pr>
          <w:rFonts w:ascii="Verdana" w:hAnsi="Verdana"/>
          <w:sz w:val="18"/>
          <w:szCs w:val="18"/>
        </w:rPr>
        <w:t xml:space="preserve"> bevat, ter implementatie van de NIS2-richtlijn, ook bepalingen die zien op significante cyberdreigingen</w:t>
      </w:r>
      <w:r w:rsidR="00361280">
        <w:rPr>
          <w:rFonts w:ascii="Verdana" w:hAnsi="Verdana"/>
          <w:sz w:val="18"/>
          <w:szCs w:val="18"/>
        </w:rPr>
        <w:t>,</w:t>
      </w:r>
      <w:r w:rsidRPr="00FF46E3">
        <w:rPr>
          <w:rFonts w:ascii="Verdana" w:hAnsi="Verdana"/>
          <w:sz w:val="18"/>
          <w:szCs w:val="18"/>
        </w:rPr>
        <w:t xml:space="preserve"> cyberdreigingen</w:t>
      </w:r>
      <w:r w:rsidR="00361280">
        <w:rPr>
          <w:rFonts w:ascii="Verdana" w:hAnsi="Verdana"/>
          <w:sz w:val="18"/>
          <w:szCs w:val="18"/>
        </w:rPr>
        <w:t xml:space="preserve"> en bijna-incidenten</w:t>
      </w:r>
      <w:r w:rsidRPr="00FF46E3">
        <w:rPr>
          <w:rFonts w:ascii="Verdana" w:hAnsi="Verdana"/>
          <w:sz w:val="18"/>
          <w:szCs w:val="18"/>
        </w:rPr>
        <w:t xml:space="preserve">. Een cyberdreiging is elke potentiële omstandigheid, gebeurtenis of actie die netwerk- en informatiesystemen, de gebruikers van dergelijke systemen en andere personen kan schaden, verstoren of op andere wijze negatief kan beïnvloeden. Een significante cyberdreiging is een cyberdreiging waarvan op basis van de technische kenmerken kan worden aangenomen dat zij ernstige gevolgen kan hebben voor de netwerk- en informatiesystemen van een entiteit of de gebruikers van de diensten van de entiteit door het veroorzaken van aanzienlijke materiële of immateriële schade. </w:t>
      </w:r>
      <w:r w:rsidR="00361280">
        <w:rPr>
          <w:rFonts w:ascii="Verdana" w:hAnsi="Verdana"/>
          <w:sz w:val="18"/>
          <w:szCs w:val="18"/>
        </w:rPr>
        <w:t xml:space="preserve">Een </w:t>
      </w:r>
      <w:r w:rsidRPr="00361280" w:rsidR="00361280">
        <w:rPr>
          <w:rFonts w:ascii="Verdana" w:hAnsi="Verdana"/>
          <w:sz w:val="18"/>
          <w:szCs w:val="18"/>
        </w:rPr>
        <w:t>bijna-incident</w:t>
      </w:r>
      <w:r w:rsidR="00361280">
        <w:rPr>
          <w:rFonts w:ascii="Verdana" w:hAnsi="Verdana"/>
          <w:sz w:val="18"/>
          <w:szCs w:val="18"/>
        </w:rPr>
        <w:t xml:space="preserve"> is</w:t>
      </w:r>
      <w:r w:rsidRPr="00361280" w:rsidR="00361280">
        <w:rPr>
          <w:rFonts w:ascii="Verdana" w:hAnsi="Verdana"/>
          <w:sz w:val="18"/>
          <w:szCs w:val="18"/>
        </w:rPr>
        <w:t xml:space="preserve"> een gebeurtenis die de beschikbaarheid, authenticiteit, integriteit of vertrouwelijkheid van opgeslagen, verzonden of verwerkte gegevens of van de diensten die worden aangeboden door of toegankelijk zijn via netwerk- en informatiesystemen, in gevaar had kunnen brengen, maar die met succes is voorkomen of zich niet heeft voorgedaan</w:t>
      </w:r>
      <w:r w:rsidR="00361280">
        <w:rPr>
          <w:rFonts w:ascii="Verdana" w:hAnsi="Verdana"/>
          <w:sz w:val="18"/>
          <w:szCs w:val="18"/>
        </w:rPr>
        <w:t xml:space="preserve">. </w:t>
      </w:r>
      <w:r w:rsidR="00633BA9">
        <w:rPr>
          <w:rFonts w:ascii="Verdana" w:hAnsi="Verdana"/>
          <w:sz w:val="18"/>
          <w:szCs w:val="18"/>
        </w:rPr>
        <w:t xml:space="preserve">Deze begrippen zijn opgenomen in artikel 1 </w:t>
      </w:r>
      <w:proofErr w:type="spellStart"/>
      <w:r w:rsidR="00633BA9">
        <w:rPr>
          <w:rFonts w:ascii="Verdana" w:hAnsi="Verdana"/>
          <w:sz w:val="18"/>
          <w:szCs w:val="18"/>
        </w:rPr>
        <w:t>Cbw</w:t>
      </w:r>
      <w:proofErr w:type="spellEnd"/>
      <w:r w:rsidR="00633BA9">
        <w:rPr>
          <w:rFonts w:ascii="Verdana" w:hAnsi="Verdana"/>
          <w:sz w:val="18"/>
          <w:szCs w:val="18"/>
        </w:rPr>
        <w:t xml:space="preserve">. </w:t>
      </w:r>
      <w:r w:rsidRPr="00FF46E3">
        <w:rPr>
          <w:rFonts w:ascii="Verdana" w:hAnsi="Verdana"/>
          <w:sz w:val="18"/>
          <w:szCs w:val="18"/>
        </w:rPr>
        <w:t>Zoals gezegd ziet de meldplicht</w:t>
      </w:r>
      <w:r w:rsidRPr="00FF46E3" w:rsidR="00283091">
        <w:rPr>
          <w:rFonts w:ascii="Verdana" w:hAnsi="Verdana"/>
          <w:sz w:val="18"/>
          <w:szCs w:val="18"/>
        </w:rPr>
        <w:t xml:space="preserve"> uit de </w:t>
      </w:r>
      <w:proofErr w:type="spellStart"/>
      <w:r w:rsidRPr="00FF46E3" w:rsidR="00283091">
        <w:rPr>
          <w:rFonts w:ascii="Verdana" w:hAnsi="Verdana"/>
          <w:sz w:val="18"/>
          <w:szCs w:val="18"/>
        </w:rPr>
        <w:t>Cbw</w:t>
      </w:r>
      <w:proofErr w:type="spellEnd"/>
      <w:r w:rsidRPr="00FF46E3">
        <w:rPr>
          <w:rFonts w:ascii="Verdana" w:hAnsi="Verdana"/>
          <w:sz w:val="18"/>
          <w:szCs w:val="18"/>
        </w:rPr>
        <w:t xml:space="preserve"> </w:t>
      </w:r>
      <w:r w:rsidR="00633BA9">
        <w:rPr>
          <w:rFonts w:ascii="Verdana" w:hAnsi="Verdana"/>
          <w:sz w:val="18"/>
          <w:szCs w:val="18"/>
        </w:rPr>
        <w:t xml:space="preserve">aan het CSIRT en de toezichthoudende instantie </w:t>
      </w:r>
      <w:r w:rsidRPr="00FF46E3">
        <w:rPr>
          <w:rFonts w:ascii="Verdana" w:hAnsi="Verdana"/>
          <w:sz w:val="18"/>
          <w:szCs w:val="18"/>
        </w:rPr>
        <w:t xml:space="preserve">alleen op significante incidenten. </w:t>
      </w:r>
    </w:p>
    <w:p w:rsidRPr="00FF46E3" w:rsidR="00E66B46" w:rsidP="006200DD" w:rsidRDefault="00E66B46" w14:paraId="0E1C6C12" w14:textId="77777777">
      <w:pPr>
        <w:pStyle w:val="Geenafstand"/>
        <w:rPr>
          <w:rFonts w:ascii="Verdana" w:hAnsi="Verdana"/>
          <w:sz w:val="18"/>
          <w:szCs w:val="18"/>
        </w:rPr>
      </w:pPr>
    </w:p>
    <w:p w:rsidRPr="00A3627A" w:rsidR="006B4BB1" w:rsidP="006B4BB1" w:rsidRDefault="006B4BB1" w14:paraId="111A13FB" w14:textId="77777777">
      <w:pPr>
        <w:pStyle w:val="Geenafstand"/>
        <w:rPr>
          <w:rFonts w:ascii="Verdana" w:hAnsi="Verdana"/>
          <w:i/>
          <w:iCs/>
          <w:sz w:val="18"/>
          <w:szCs w:val="18"/>
        </w:rPr>
      </w:pPr>
      <w:r>
        <w:rPr>
          <w:rFonts w:ascii="Verdana" w:hAnsi="Verdana"/>
          <w:i/>
          <w:iCs/>
          <w:sz w:val="18"/>
          <w:szCs w:val="18"/>
        </w:rPr>
        <w:t>De fasen van de melding</w:t>
      </w:r>
    </w:p>
    <w:p w:rsidRPr="002B11FA" w:rsidR="006B4BB1" w:rsidP="006B4BB1" w:rsidRDefault="006B4BB1" w14:paraId="307D4BBE" w14:textId="29C9D4FE">
      <w:pPr>
        <w:pStyle w:val="Geenafstand"/>
        <w:rPr>
          <w:rFonts w:ascii="Verdana" w:hAnsi="Verdana"/>
          <w:sz w:val="18"/>
          <w:szCs w:val="18"/>
        </w:rPr>
      </w:pPr>
      <w:r w:rsidRPr="002B11FA">
        <w:rPr>
          <w:rFonts w:ascii="Verdana" w:hAnsi="Verdana"/>
          <w:sz w:val="18"/>
          <w:szCs w:val="18"/>
        </w:rPr>
        <w:t xml:space="preserve">De melding bestaat uit </w:t>
      </w:r>
      <w:r w:rsidR="00E37E6B">
        <w:rPr>
          <w:rFonts w:ascii="Verdana" w:hAnsi="Verdana"/>
          <w:sz w:val="18"/>
          <w:szCs w:val="18"/>
        </w:rPr>
        <w:t xml:space="preserve">de </w:t>
      </w:r>
      <w:r w:rsidRPr="002B11FA">
        <w:rPr>
          <w:rFonts w:ascii="Verdana" w:hAnsi="Verdana"/>
          <w:sz w:val="18"/>
          <w:szCs w:val="18"/>
        </w:rPr>
        <w:t>volgende fasen:</w:t>
      </w:r>
    </w:p>
    <w:p w:rsidRPr="002B11FA" w:rsidR="006B4BB1" w:rsidP="00574587" w:rsidRDefault="006B4BB1" w14:paraId="51CF7D68" w14:textId="57C55C45">
      <w:pPr>
        <w:pStyle w:val="Geenafstand"/>
        <w:numPr>
          <w:ilvl w:val="0"/>
          <w:numId w:val="13"/>
        </w:numPr>
        <w:tabs>
          <w:tab w:val="left" w:pos="284"/>
        </w:tabs>
        <w:ind w:left="284" w:hanging="284"/>
        <w:rPr>
          <w:rFonts w:ascii="Verdana" w:hAnsi="Verdana"/>
          <w:sz w:val="18"/>
          <w:szCs w:val="18"/>
        </w:rPr>
      </w:pPr>
      <w:r w:rsidRPr="002B11FA">
        <w:rPr>
          <w:rFonts w:ascii="Verdana" w:hAnsi="Verdana"/>
          <w:sz w:val="18"/>
          <w:szCs w:val="18"/>
        </w:rPr>
        <w:t>een vroegtijdige waarschuwing over het significante incident aan het CSIRT en de toezichthoudende instantie;</w:t>
      </w:r>
    </w:p>
    <w:p w:rsidRPr="002B11FA" w:rsidR="006B4BB1" w:rsidP="00574587" w:rsidRDefault="006B4BB1" w14:paraId="200AE044" w14:textId="711CAB19">
      <w:pPr>
        <w:pStyle w:val="Geenafstand"/>
        <w:numPr>
          <w:ilvl w:val="0"/>
          <w:numId w:val="13"/>
        </w:numPr>
        <w:tabs>
          <w:tab w:val="left" w:pos="284"/>
        </w:tabs>
        <w:ind w:left="284" w:hanging="284"/>
        <w:rPr>
          <w:rFonts w:ascii="Verdana" w:hAnsi="Verdana"/>
          <w:sz w:val="18"/>
          <w:szCs w:val="18"/>
        </w:rPr>
      </w:pPr>
      <w:r w:rsidRPr="002B11FA">
        <w:rPr>
          <w:rFonts w:ascii="Verdana" w:hAnsi="Verdana"/>
          <w:sz w:val="18"/>
          <w:szCs w:val="18"/>
        </w:rPr>
        <w:t>een update van de gegeven informatie in het kader van de vroegtijdige waarschuwing, een initiële beoordeling van het significante incident, de ernst en de gevolgen ervan en, indien beschikbaar, de indicatoren voor aantasting;</w:t>
      </w:r>
    </w:p>
    <w:p w:rsidRPr="008E12B3" w:rsidR="006B4BB1" w:rsidP="00574587" w:rsidRDefault="006B4BB1" w14:paraId="5C4A503E" w14:textId="73DCC242">
      <w:pPr>
        <w:pStyle w:val="Geenafstand"/>
        <w:numPr>
          <w:ilvl w:val="0"/>
          <w:numId w:val="13"/>
        </w:numPr>
        <w:tabs>
          <w:tab w:val="left" w:pos="284"/>
        </w:tabs>
        <w:ind w:left="284" w:hanging="284"/>
        <w:rPr>
          <w:rFonts w:ascii="Verdana" w:hAnsi="Verdana"/>
          <w:sz w:val="18"/>
          <w:szCs w:val="18"/>
        </w:rPr>
      </w:pPr>
      <w:r w:rsidRPr="008E12B3">
        <w:rPr>
          <w:rFonts w:ascii="Verdana" w:hAnsi="Verdana"/>
          <w:sz w:val="18"/>
          <w:szCs w:val="18"/>
        </w:rPr>
        <w:t>een tussentijds verslag (alleen na verzoek van CSIRT of toezichthoudende instantie); en</w:t>
      </w:r>
    </w:p>
    <w:p w:rsidR="006B4BB1" w:rsidP="00574587" w:rsidRDefault="006B4BB1" w14:paraId="5E8DF165" w14:textId="771558A2">
      <w:pPr>
        <w:pStyle w:val="Geenafstand"/>
        <w:numPr>
          <w:ilvl w:val="0"/>
          <w:numId w:val="13"/>
        </w:numPr>
        <w:tabs>
          <w:tab w:val="left" w:pos="284"/>
        </w:tabs>
        <w:ind w:left="284" w:hanging="284"/>
        <w:rPr>
          <w:rFonts w:ascii="Verdana" w:hAnsi="Verdana"/>
          <w:sz w:val="18"/>
          <w:szCs w:val="18"/>
        </w:rPr>
      </w:pPr>
      <w:r w:rsidRPr="008E12B3">
        <w:rPr>
          <w:rFonts w:ascii="Verdana" w:hAnsi="Verdana"/>
          <w:sz w:val="18"/>
          <w:szCs w:val="18"/>
        </w:rPr>
        <w:t>een eindverslag.</w:t>
      </w:r>
    </w:p>
    <w:p w:rsidR="006B4BB1" w:rsidP="006B4BB1" w:rsidRDefault="006B4BB1" w14:paraId="29C7B974" w14:textId="77777777">
      <w:pPr>
        <w:pStyle w:val="Geenafstand"/>
        <w:rPr>
          <w:rFonts w:ascii="Verdana" w:hAnsi="Verdana"/>
          <w:sz w:val="18"/>
          <w:szCs w:val="18"/>
        </w:rPr>
      </w:pPr>
    </w:p>
    <w:p w:rsidRPr="00FF46E3" w:rsidR="009B4DEA" w:rsidP="006B4BB1" w:rsidRDefault="00361280" w14:paraId="20935E93" w14:textId="79AFC405">
      <w:pPr>
        <w:pStyle w:val="Geenafstand"/>
        <w:rPr>
          <w:rFonts w:ascii="Verdana" w:hAnsi="Verdana"/>
          <w:i/>
          <w:iCs/>
          <w:sz w:val="18"/>
          <w:szCs w:val="18"/>
        </w:rPr>
      </w:pPr>
      <w:r>
        <w:rPr>
          <w:rFonts w:ascii="Verdana" w:hAnsi="Verdana"/>
          <w:i/>
          <w:iCs/>
          <w:sz w:val="18"/>
          <w:szCs w:val="18"/>
        </w:rPr>
        <w:t>D</w:t>
      </w:r>
      <w:r w:rsidRPr="00FF46E3" w:rsidR="009B4DEA">
        <w:rPr>
          <w:rFonts w:ascii="Verdana" w:hAnsi="Verdana"/>
          <w:i/>
          <w:iCs/>
          <w:sz w:val="18"/>
          <w:szCs w:val="18"/>
        </w:rPr>
        <w:t>rempelwaarden</w:t>
      </w:r>
    </w:p>
    <w:p w:rsidR="004013FC" w:rsidP="004013FC" w:rsidRDefault="004013FC" w14:paraId="1CB80BAA" w14:textId="168EE7C4">
      <w:pPr>
        <w:pStyle w:val="Geenafstand"/>
        <w:rPr>
          <w:rFonts w:ascii="Verdana" w:hAnsi="Verdana"/>
          <w:sz w:val="18"/>
          <w:szCs w:val="18"/>
        </w:rPr>
      </w:pPr>
      <w:r w:rsidRPr="00FF46E3">
        <w:rPr>
          <w:rFonts w:ascii="Verdana" w:hAnsi="Verdana"/>
          <w:sz w:val="18"/>
          <w:szCs w:val="18"/>
        </w:rPr>
        <w:t xml:space="preserve">Om te bepalen of een incident significant is, zijn in artikel </w:t>
      </w:r>
      <w:r w:rsidR="006B09DE">
        <w:rPr>
          <w:rFonts w:ascii="Verdana" w:hAnsi="Verdana"/>
          <w:sz w:val="18"/>
          <w:szCs w:val="18"/>
        </w:rPr>
        <w:t>25</w:t>
      </w:r>
      <w:r w:rsidR="00427C38">
        <w:rPr>
          <w:rFonts w:ascii="Verdana" w:hAnsi="Verdana"/>
          <w:sz w:val="18"/>
          <w:szCs w:val="18"/>
        </w:rPr>
        <w:t xml:space="preserve">, tweede lid, </w:t>
      </w:r>
      <w:proofErr w:type="spellStart"/>
      <w:r w:rsidR="00427C38">
        <w:rPr>
          <w:rFonts w:ascii="Verdana" w:hAnsi="Verdana"/>
          <w:sz w:val="18"/>
          <w:szCs w:val="18"/>
        </w:rPr>
        <w:t>Cbw</w:t>
      </w:r>
      <w:proofErr w:type="spellEnd"/>
      <w:r w:rsidRPr="00FF46E3">
        <w:rPr>
          <w:rFonts w:ascii="Verdana" w:hAnsi="Verdana"/>
          <w:sz w:val="18"/>
          <w:szCs w:val="18"/>
        </w:rPr>
        <w:t xml:space="preserve"> drie parameters opgenomen. Deze parameters </w:t>
      </w:r>
      <w:r w:rsidR="00EC6E6E">
        <w:rPr>
          <w:rFonts w:ascii="Verdana" w:hAnsi="Verdana"/>
          <w:sz w:val="18"/>
          <w:szCs w:val="18"/>
        </w:rPr>
        <w:t>betreffen de</w:t>
      </w:r>
      <w:r w:rsidRPr="00FF46E3">
        <w:rPr>
          <w:rFonts w:ascii="Verdana" w:hAnsi="Verdana"/>
          <w:sz w:val="18"/>
          <w:szCs w:val="18"/>
        </w:rPr>
        <w:t xml:space="preserve"> (mogelijke) ernstige operationele verstoring van de diensten, (mogelijke) financiële verliezen voor de betrokken entiteit en het (mogelijk) treffen van andere natuurlijke of rechtspersonen door aanzienlijke materiële of immateriële schade. </w:t>
      </w:r>
      <w:r w:rsidR="00A12DB6">
        <w:rPr>
          <w:rFonts w:ascii="Verdana" w:hAnsi="Verdana"/>
          <w:sz w:val="18"/>
          <w:szCs w:val="18"/>
        </w:rPr>
        <w:t xml:space="preserve">In artikel 25, </w:t>
      </w:r>
      <w:r w:rsidR="00A12DB6">
        <w:rPr>
          <w:rFonts w:ascii="Verdana" w:hAnsi="Verdana"/>
          <w:sz w:val="18"/>
          <w:szCs w:val="18"/>
        </w:rPr>
        <w:lastRenderedPageBreak/>
        <w:t xml:space="preserve">derde lid, </w:t>
      </w:r>
      <w:proofErr w:type="spellStart"/>
      <w:r w:rsidR="00A12DB6">
        <w:rPr>
          <w:rFonts w:ascii="Verdana" w:hAnsi="Verdana"/>
          <w:sz w:val="18"/>
          <w:szCs w:val="18"/>
        </w:rPr>
        <w:t>Cbw</w:t>
      </w:r>
      <w:proofErr w:type="spellEnd"/>
      <w:r w:rsidR="00A12DB6">
        <w:rPr>
          <w:rFonts w:ascii="Verdana" w:hAnsi="Verdana"/>
          <w:sz w:val="18"/>
          <w:szCs w:val="18"/>
        </w:rPr>
        <w:t xml:space="preserve"> is bepaald dat </w:t>
      </w:r>
      <w:r w:rsidRPr="00A12DB6" w:rsidR="00A12DB6">
        <w:rPr>
          <w:rFonts w:ascii="Verdana" w:hAnsi="Verdana"/>
          <w:sz w:val="18"/>
          <w:szCs w:val="18"/>
        </w:rPr>
        <w:t xml:space="preserve">bij of krachtens </w:t>
      </w:r>
      <w:proofErr w:type="spellStart"/>
      <w:r w:rsidR="00841F9C">
        <w:rPr>
          <w:rFonts w:ascii="Verdana" w:hAnsi="Verdana"/>
          <w:sz w:val="18"/>
          <w:szCs w:val="18"/>
        </w:rPr>
        <w:t>amvb</w:t>
      </w:r>
      <w:proofErr w:type="spellEnd"/>
      <w:r w:rsidRPr="00A12DB6" w:rsidR="00A12DB6">
        <w:rPr>
          <w:rFonts w:ascii="Verdana" w:hAnsi="Verdana"/>
          <w:sz w:val="18"/>
          <w:szCs w:val="18"/>
        </w:rPr>
        <w:t xml:space="preserve"> de criteria worden vastgesteld op basis waarvan wordt bepaald of sprake is van een significant incident als bedoeld in artikel 25, tweede lid, </w:t>
      </w:r>
      <w:proofErr w:type="spellStart"/>
      <w:r w:rsidRPr="00A12DB6" w:rsidR="00A12DB6">
        <w:rPr>
          <w:rFonts w:ascii="Verdana" w:hAnsi="Verdana"/>
          <w:sz w:val="18"/>
          <w:szCs w:val="18"/>
        </w:rPr>
        <w:t>Cbw</w:t>
      </w:r>
      <w:proofErr w:type="spellEnd"/>
      <w:r w:rsidRPr="00A12DB6" w:rsidR="00A12DB6">
        <w:rPr>
          <w:rFonts w:ascii="Verdana" w:hAnsi="Verdana"/>
          <w:sz w:val="18"/>
          <w:szCs w:val="18"/>
        </w:rPr>
        <w:t xml:space="preserve">, waarbij onderscheid kan worden gemaakt tussen sectoren, </w:t>
      </w:r>
      <w:proofErr w:type="spellStart"/>
      <w:r w:rsidRPr="00A12DB6" w:rsidR="00A12DB6">
        <w:rPr>
          <w:rFonts w:ascii="Verdana" w:hAnsi="Verdana"/>
          <w:sz w:val="18"/>
          <w:szCs w:val="18"/>
        </w:rPr>
        <w:t>subsectoren</w:t>
      </w:r>
      <w:proofErr w:type="spellEnd"/>
      <w:r w:rsidRPr="00A12DB6" w:rsidR="00A12DB6">
        <w:rPr>
          <w:rFonts w:ascii="Verdana" w:hAnsi="Verdana"/>
          <w:sz w:val="18"/>
          <w:szCs w:val="18"/>
        </w:rPr>
        <w:t xml:space="preserve"> en soorten entiteit</w:t>
      </w:r>
      <w:r w:rsidR="004A5A80">
        <w:rPr>
          <w:rFonts w:ascii="Verdana" w:hAnsi="Verdana"/>
          <w:sz w:val="18"/>
          <w:szCs w:val="18"/>
        </w:rPr>
        <w:t>en</w:t>
      </w:r>
      <w:r w:rsidRPr="00A12DB6" w:rsidR="00A12DB6">
        <w:rPr>
          <w:rFonts w:ascii="Verdana" w:hAnsi="Verdana"/>
          <w:sz w:val="18"/>
          <w:szCs w:val="18"/>
        </w:rPr>
        <w:t>. Die criteria staan ook bekend als drempelwaarden.</w:t>
      </w:r>
      <w:r w:rsidR="00325155">
        <w:rPr>
          <w:rFonts w:ascii="Verdana" w:hAnsi="Verdana"/>
          <w:sz w:val="18"/>
          <w:szCs w:val="18"/>
        </w:rPr>
        <w:t xml:space="preserve"> </w:t>
      </w:r>
      <w:r w:rsidRPr="00325155" w:rsidR="00325155">
        <w:rPr>
          <w:rFonts w:ascii="Verdana" w:hAnsi="Verdana"/>
          <w:sz w:val="18"/>
          <w:szCs w:val="18"/>
        </w:rPr>
        <w:t xml:space="preserve">Drempelwaarden kunnen per sector, </w:t>
      </w:r>
      <w:proofErr w:type="spellStart"/>
      <w:r w:rsidRPr="00325155" w:rsidR="00325155">
        <w:rPr>
          <w:rFonts w:ascii="Verdana" w:hAnsi="Verdana"/>
          <w:sz w:val="18"/>
          <w:szCs w:val="18"/>
        </w:rPr>
        <w:t>subsector</w:t>
      </w:r>
      <w:proofErr w:type="spellEnd"/>
      <w:r w:rsidRPr="00325155" w:rsidR="00325155">
        <w:rPr>
          <w:rFonts w:ascii="Verdana" w:hAnsi="Verdana"/>
          <w:sz w:val="18"/>
          <w:szCs w:val="18"/>
        </w:rPr>
        <w:t xml:space="preserve"> of </w:t>
      </w:r>
      <w:r w:rsidR="00325155">
        <w:rPr>
          <w:rFonts w:ascii="Verdana" w:hAnsi="Verdana"/>
          <w:sz w:val="18"/>
          <w:szCs w:val="18"/>
        </w:rPr>
        <w:t xml:space="preserve">soort </w:t>
      </w:r>
      <w:r w:rsidRPr="00325155" w:rsidR="00325155">
        <w:rPr>
          <w:rFonts w:ascii="Verdana" w:hAnsi="Verdana"/>
          <w:sz w:val="18"/>
          <w:szCs w:val="18"/>
        </w:rPr>
        <w:t>entiteit verschillen en kunnen bijvoorbeeld worden uitgedrukt in een bepaald bedrag aan financiële of economische schade, aantallen betrokken of getroffen personen, of de capaciteitsimpact op de levering van de essentiële dienst.</w:t>
      </w:r>
    </w:p>
    <w:p w:rsidR="005B6196" w:rsidP="004013FC" w:rsidRDefault="005B6196" w14:paraId="5D51AE72" w14:textId="10EC6997">
      <w:pPr>
        <w:pStyle w:val="Geenafstand"/>
        <w:rPr>
          <w:rFonts w:ascii="Verdana" w:hAnsi="Verdana"/>
          <w:sz w:val="18"/>
          <w:szCs w:val="18"/>
        </w:rPr>
      </w:pPr>
      <w:r>
        <w:rPr>
          <w:rFonts w:ascii="Verdana" w:hAnsi="Verdana"/>
          <w:sz w:val="18"/>
          <w:szCs w:val="18"/>
        </w:rPr>
        <w:t>De</w:t>
      </w:r>
      <w:r w:rsidR="005D0875">
        <w:rPr>
          <w:rFonts w:ascii="Verdana" w:hAnsi="Verdana"/>
          <w:sz w:val="18"/>
          <w:szCs w:val="18"/>
        </w:rPr>
        <w:t xml:space="preserve"> hiervoor bedoelde </w:t>
      </w:r>
      <w:r>
        <w:rPr>
          <w:rFonts w:ascii="Verdana" w:hAnsi="Verdana"/>
          <w:sz w:val="18"/>
          <w:szCs w:val="18"/>
        </w:rPr>
        <w:t xml:space="preserve">drempelwaarden zullen worden vastgesteld na overleg met de betrokken sector. </w:t>
      </w:r>
      <w:r w:rsidRPr="005B6196">
        <w:rPr>
          <w:rFonts w:ascii="Verdana" w:hAnsi="Verdana"/>
          <w:sz w:val="18"/>
          <w:szCs w:val="18"/>
        </w:rPr>
        <w:t xml:space="preserve">Door het overleg met de betrokken sector kan zoveel mogelijk maatwerk worden geleverd per sector, </w:t>
      </w:r>
      <w:proofErr w:type="spellStart"/>
      <w:r w:rsidRPr="005B6196">
        <w:rPr>
          <w:rFonts w:ascii="Verdana" w:hAnsi="Verdana"/>
          <w:sz w:val="18"/>
          <w:szCs w:val="18"/>
        </w:rPr>
        <w:t>subsector</w:t>
      </w:r>
      <w:proofErr w:type="spellEnd"/>
      <w:r w:rsidRPr="005B6196">
        <w:rPr>
          <w:rFonts w:ascii="Verdana" w:hAnsi="Verdana"/>
          <w:sz w:val="18"/>
          <w:szCs w:val="18"/>
        </w:rPr>
        <w:t xml:space="preserve"> of soort entiteit. Indien relevant kan zodoende ook rekening worden gehouden met andere sectorale meldplichten en de daarvoor geldende criteria.</w:t>
      </w:r>
    </w:p>
    <w:p w:rsidRPr="00FF46E3" w:rsidR="00E558A8" w:rsidP="004013FC" w:rsidRDefault="00E558A8" w14:paraId="0CC9566D" w14:textId="1E5D79FC">
      <w:pPr>
        <w:pStyle w:val="Geenafstand"/>
        <w:rPr>
          <w:rFonts w:ascii="Verdana" w:hAnsi="Verdana"/>
          <w:sz w:val="18"/>
          <w:szCs w:val="18"/>
        </w:rPr>
      </w:pPr>
      <w:r w:rsidRPr="00B009CA">
        <w:rPr>
          <w:rFonts w:ascii="Verdana" w:hAnsi="Verdana"/>
          <w:sz w:val="18"/>
          <w:szCs w:val="18"/>
        </w:rPr>
        <w:t xml:space="preserve">Hierbij wordt opgemerkt dat </w:t>
      </w:r>
      <w:r w:rsidRPr="00B009CA" w:rsidR="00534BFD">
        <w:rPr>
          <w:rFonts w:ascii="Verdana" w:hAnsi="Verdana"/>
          <w:sz w:val="18"/>
          <w:szCs w:val="18"/>
        </w:rPr>
        <w:t>in de Uitvoeringsverordening (EU) 2024/2690</w:t>
      </w:r>
      <w:r w:rsidRPr="00B009CA" w:rsidR="00534BFD">
        <w:rPr>
          <w:rStyle w:val="Voetnootmarkering"/>
          <w:rFonts w:ascii="Verdana" w:hAnsi="Verdana"/>
          <w:sz w:val="18"/>
          <w:szCs w:val="18"/>
        </w:rPr>
        <w:footnoteReference w:id="44"/>
      </w:r>
      <w:r w:rsidRPr="00B009CA" w:rsidR="00534BFD">
        <w:rPr>
          <w:rFonts w:ascii="Verdana" w:hAnsi="Verdana"/>
          <w:sz w:val="18"/>
          <w:szCs w:val="18"/>
        </w:rPr>
        <w:t xml:space="preserve"> nader is gespecificeerd in welke gevallen een incident als significant incident wordt beschouwd. De uitvoeringsverordening is alleen van toepassing op de daarin bepaalde entiteiten</w:t>
      </w:r>
      <w:r w:rsidRPr="00B009CA" w:rsidR="00B009CA">
        <w:rPr>
          <w:rFonts w:ascii="Verdana" w:hAnsi="Verdana"/>
          <w:sz w:val="18"/>
          <w:szCs w:val="18"/>
        </w:rPr>
        <w:t xml:space="preserve"> (</w:t>
      </w:r>
      <w:r w:rsidRPr="00B009CA" w:rsidR="00534BFD">
        <w:rPr>
          <w:rFonts w:ascii="Verdana" w:hAnsi="Verdana"/>
          <w:sz w:val="18"/>
          <w:szCs w:val="18"/>
        </w:rPr>
        <w:t>DNS-dienstverleners, registers voor topleveldomeinnamen</w:t>
      </w:r>
      <w:r w:rsidRPr="00B009CA" w:rsidR="00B009CA">
        <w:rPr>
          <w:rFonts w:ascii="Verdana" w:hAnsi="Verdana"/>
          <w:sz w:val="18"/>
          <w:szCs w:val="18"/>
        </w:rPr>
        <w:t>,</w:t>
      </w:r>
      <w:r w:rsidRPr="00B009CA" w:rsidR="00534BFD">
        <w:rPr>
          <w:rFonts w:ascii="Verdana" w:hAnsi="Verdana"/>
          <w:sz w:val="18"/>
          <w:szCs w:val="18"/>
        </w:rPr>
        <w:t xml:space="preserve"> aanbieders van </w:t>
      </w:r>
      <w:proofErr w:type="spellStart"/>
      <w:r w:rsidRPr="00B009CA" w:rsidR="00534BFD">
        <w:rPr>
          <w:rFonts w:ascii="Verdana" w:hAnsi="Verdana"/>
          <w:sz w:val="18"/>
          <w:szCs w:val="18"/>
        </w:rPr>
        <w:t>cloudcomputingdiensten</w:t>
      </w:r>
      <w:proofErr w:type="spellEnd"/>
      <w:r w:rsidRPr="00B009CA" w:rsidR="00B009CA">
        <w:rPr>
          <w:rFonts w:ascii="Verdana" w:hAnsi="Verdana"/>
          <w:sz w:val="18"/>
          <w:szCs w:val="18"/>
        </w:rPr>
        <w:t xml:space="preserve"> etc.)</w:t>
      </w:r>
      <w:r w:rsidRPr="00B009CA" w:rsidR="00534BFD">
        <w:rPr>
          <w:rFonts w:ascii="Verdana" w:hAnsi="Verdana"/>
          <w:sz w:val="18"/>
          <w:szCs w:val="18"/>
        </w:rPr>
        <w:t>.</w:t>
      </w:r>
      <w:r w:rsidR="00534BFD">
        <w:rPr>
          <w:rFonts w:ascii="Verdana" w:hAnsi="Verdana"/>
          <w:sz w:val="18"/>
          <w:szCs w:val="18"/>
        </w:rPr>
        <w:t xml:space="preserve"> </w:t>
      </w:r>
    </w:p>
    <w:p w:rsidRPr="00FF46E3" w:rsidR="004013FC" w:rsidP="006200DD" w:rsidRDefault="004013FC" w14:paraId="51204D0F" w14:textId="77777777">
      <w:pPr>
        <w:pStyle w:val="Geenafstand"/>
        <w:rPr>
          <w:rFonts w:ascii="Verdana" w:hAnsi="Verdana"/>
          <w:i/>
          <w:iCs/>
          <w:sz w:val="18"/>
          <w:szCs w:val="18"/>
        </w:rPr>
      </w:pPr>
    </w:p>
    <w:p w:rsidRPr="00FF46E3" w:rsidR="004013FC" w:rsidP="006200DD" w:rsidRDefault="004013FC" w14:paraId="519BCE6B" w14:textId="3508FCE9">
      <w:pPr>
        <w:pStyle w:val="Geenafstand"/>
        <w:rPr>
          <w:rFonts w:ascii="Verdana" w:hAnsi="Verdana"/>
          <w:i/>
          <w:iCs/>
          <w:sz w:val="18"/>
          <w:szCs w:val="18"/>
        </w:rPr>
      </w:pPr>
      <w:r w:rsidRPr="00FF46E3">
        <w:rPr>
          <w:rFonts w:ascii="Verdana" w:hAnsi="Verdana"/>
          <w:i/>
          <w:iCs/>
          <w:sz w:val="18"/>
          <w:szCs w:val="18"/>
        </w:rPr>
        <w:t>Dubbele meldplicht</w:t>
      </w:r>
      <w:r w:rsidR="00E37E6B">
        <w:rPr>
          <w:rFonts w:ascii="Verdana" w:hAnsi="Verdana"/>
          <w:i/>
          <w:iCs/>
          <w:sz w:val="18"/>
          <w:szCs w:val="18"/>
        </w:rPr>
        <w:t xml:space="preserve"> aan het CSIRT en de toezichthoudende instantie</w:t>
      </w:r>
    </w:p>
    <w:p w:rsidRPr="00FF46E3" w:rsidR="004013FC" w:rsidP="004013FC" w:rsidRDefault="004013FC" w14:paraId="371E078C" w14:textId="21B48D73">
      <w:pPr>
        <w:pStyle w:val="Geenafstand"/>
        <w:rPr>
          <w:rFonts w:ascii="Verdana" w:hAnsi="Verdana"/>
          <w:sz w:val="18"/>
          <w:szCs w:val="18"/>
        </w:rPr>
      </w:pPr>
      <w:r w:rsidRPr="00FF46E3">
        <w:rPr>
          <w:rFonts w:ascii="Verdana" w:hAnsi="Verdana"/>
          <w:sz w:val="18"/>
          <w:szCs w:val="18"/>
        </w:rPr>
        <w:t>Voor essentiële entiteiten en belangrijke entiteiten geldt een dubbele meldplicht: zij moeten</w:t>
      </w:r>
      <w:r w:rsidRPr="00FF46E3" w:rsidR="00903F57">
        <w:rPr>
          <w:rFonts w:ascii="Verdana" w:hAnsi="Verdana"/>
          <w:sz w:val="18"/>
          <w:szCs w:val="18"/>
        </w:rPr>
        <w:t xml:space="preserve"> significante incidenten melden bij zowel hun CSIRT als de toezichthoudende instantie. </w:t>
      </w:r>
      <w:r w:rsidRPr="00FF46E3" w:rsidR="00D23EB5">
        <w:rPr>
          <w:rFonts w:ascii="Verdana" w:hAnsi="Verdana"/>
          <w:sz w:val="18"/>
          <w:szCs w:val="18"/>
        </w:rPr>
        <w:t xml:space="preserve">Met de meldingen kunnen het CSIRT en de toezichthoudende </w:t>
      </w:r>
      <w:r w:rsidRPr="00FF46E3" w:rsidR="008B6E6F">
        <w:rPr>
          <w:rFonts w:ascii="Verdana" w:hAnsi="Verdana"/>
          <w:sz w:val="18"/>
          <w:szCs w:val="18"/>
        </w:rPr>
        <w:t xml:space="preserve">instantie </w:t>
      </w:r>
      <w:r w:rsidRPr="00FF46E3" w:rsidR="00D23EB5">
        <w:rPr>
          <w:rFonts w:ascii="Verdana" w:hAnsi="Verdana"/>
          <w:sz w:val="18"/>
          <w:szCs w:val="18"/>
        </w:rPr>
        <w:t>invulling geven aan hun taken</w:t>
      </w:r>
      <w:r w:rsidRPr="00FF46E3" w:rsidR="00473098">
        <w:rPr>
          <w:rFonts w:ascii="Verdana" w:hAnsi="Verdana"/>
          <w:sz w:val="18"/>
          <w:szCs w:val="18"/>
        </w:rPr>
        <w:t xml:space="preserve"> en blijven hun functies </w:t>
      </w:r>
      <w:r w:rsidRPr="00FF46E3" w:rsidR="00607EE1">
        <w:rPr>
          <w:rFonts w:ascii="Verdana" w:hAnsi="Verdana"/>
          <w:sz w:val="18"/>
          <w:szCs w:val="18"/>
        </w:rPr>
        <w:t>daarbij</w:t>
      </w:r>
      <w:r w:rsidRPr="00FF46E3" w:rsidR="0081502A">
        <w:rPr>
          <w:rFonts w:ascii="Verdana" w:hAnsi="Verdana"/>
          <w:sz w:val="18"/>
          <w:szCs w:val="18"/>
        </w:rPr>
        <w:t xml:space="preserve"> </w:t>
      </w:r>
      <w:r w:rsidRPr="00FF46E3" w:rsidR="00473098">
        <w:rPr>
          <w:rFonts w:ascii="Verdana" w:hAnsi="Verdana"/>
          <w:sz w:val="18"/>
          <w:szCs w:val="18"/>
        </w:rPr>
        <w:t xml:space="preserve">gescheiden. </w:t>
      </w:r>
      <w:r w:rsidRPr="00FF46E3" w:rsidR="00D23EB5">
        <w:rPr>
          <w:rFonts w:ascii="Verdana" w:hAnsi="Verdana"/>
          <w:sz w:val="18"/>
          <w:szCs w:val="18"/>
        </w:rPr>
        <w:t xml:space="preserve">Het CSIRT heeft als taak om advies te geven en bijstand te verlenen aan de entiteit indien nodig, om overloopeffecten naar andere sectoren te kunnen identificeren en de betreffende entiteiten in die sectoren te waarschuwen en om trends te analyseren. De toezichthoudende </w:t>
      </w:r>
      <w:r w:rsidRPr="00FF46E3" w:rsidR="008B6E6F">
        <w:rPr>
          <w:rFonts w:ascii="Verdana" w:hAnsi="Verdana"/>
          <w:sz w:val="18"/>
          <w:szCs w:val="18"/>
        </w:rPr>
        <w:t xml:space="preserve">instantie </w:t>
      </w:r>
      <w:r w:rsidRPr="00FF46E3" w:rsidR="00D23EB5">
        <w:rPr>
          <w:rFonts w:ascii="Verdana" w:hAnsi="Verdana"/>
          <w:sz w:val="18"/>
          <w:szCs w:val="18"/>
        </w:rPr>
        <w:t xml:space="preserve">heeft een melding nodig om invulling te kunnen geven aan het toezicht op naleving van de wet door de entiteit. </w:t>
      </w:r>
      <w:r w:rsidRPr="00FF46E3" w:rsidR="00CE0A11">
        <w:rPr>
          <w:rFonts w:ascii="Verdana" w:hAnsi="Verdana"/>
          <w:sz w:val="18"/>
          <w:szCs w:val="18"/>
        </w:rPr>
        <w:t>Het CSIRT en de toezichthoudende instantie hebben</w:t>
      </w:r>
      <w:r w:rsidRPr="00FF46E3" w:rsidR="005D23F3">
        <w:rPr>
          <w:rFonts w:ascii="Verdana" w:hAnsi="Verdana"/>
          <w:sz w:val="18"/>
          <w:szCs w:val="18"/>
        </w:rPr>
        <w:t xml:space="preserve"> dus verschillende taken en daarom is het belangrijk dat de meldingen bij het CSIRT én de toezichthoudende instantie worden gedaan.</w:t>
      </w:r>
      <w:r w:rsidRPr="00FF46E3" w:rsidR="00473098">
        <w:rPr>
          <w:rFonts w:ascii="Verdana" w:hAnsi="Verdana"/>
          <w:sz w:val="18"/>
          <w:szCs w:val="18"/>
        </w:rPr>
        <w:t xml:space="preserve"> </w:t>
      </w:r>
      <w:r w:rsidRPr="00FF46E3" w:rsidR="00F21770">
        <w:rPr>
          <w:rFonts w:ascii="Verdana" w:hAnsi="Verdana"/>
          <w:sz w:val="18"/>
          <w:szCs w:val="18"/>
        </w:rPr>
        <w:t>Er wordt naar gestreefd deze dubbele meldplicht technisch zo in te richten dat het verspreiden van de benodigde informatie maar één handeling voor de entiteit vergt.</w:t>
      </w:r>
    </w:p>
    <w:p w:rsidRPr="00FF46E3" w:rsidR="00046E08" w:rsidP="006200DD" w:rsidRDefault="00046E08" w14:paraId="067C449D" w14:textId="77777777">
      <w:pPr>
        <w:pStyle w:val="Geenafstand"/>
        <w:rPr>
          <w:rFonts w:ascii="Verdana" w:hAnsi="Verdana"/>
          <w:sz w:val="18"/>
          <w:szCs w:val="18"/>
        </w:rPr>
      </w:pPr>
    </w:p>
    <w:p w:rsidRPr="00FF46E3" w:rsidR="005727F8" w:rsidP="005727F8" w:rsidRDefault="005727F8" w14:paraId="69855435" w14:textId="094088E2">
      <w:pPr>
        <w:pStyle w:val="Geenafstand"/>
        <w:ind w:left="-20" w:right="-20"/>
        <w:rPr>
          <w:rFonts w:ascii="Verdana" w:hAnsi="Verdana" w:eastAsia="Verdana" w:cs="Verdana"/>
          <w:i/>
          <w:iCs/>
          <w:sz w:val="18"/>
          <w:szCs w:val="18"/>
        </w:rPr>
      </w:pPr>
      <w:r w:rsidRPr="00FF46E3">
        <w:rPr>
          <w:rFonts w:ascii="Verdana" w:hAnsi="Verdana" w:eastAsia="Verdana" w:cs="Verdana"/>
          <w:i/>
          <w:iCs/>
          <w:sz w:val="18"/>
          <w:szCs w:val="18"/>
        </w:rPr>
        <w:t>Dubbele meldplicht vertrouwensdiensten</w:t>
      </w:r>
    </w:p>
    <w:p w:rsidRPr="00FF46E3" w:rsidR="00D23EB5" w:rsidP="006200DD" w:rsidRDefault="005727F8" w14:paraId="1EB1DC57" w14:textId="12AEBAAB">
      <w:pPr>
        <w:pStyle w:val="Geenafstand"/>
        <w:rPr>
          <w:rFonts w:ascii="Verdana" w:hAnsi="Verdana"/>
          <w:sz w:val="18"/>
          <w:szCs w:val="18"/>
        </w:rPr>
      </w:pPr>
      <w:r w:rsidRPr="000E397D">
        <w:rPr>
          <w:rFonts w:ascii="Verdana" w:hAnsi="Verdana"/>
          <w:sz w:val="18"/>
          <w:szCs w:val="18"/>
        </w:rPr>
        <w:t xml:space="preserve">Niet-gekwalificeerde en gekwalificeerde vertrouwensdiensten hebben op grond van de </w:t>
      </w:r>
      <w:proofErr w:type="spellStart"/>
      <w:r w:rsidRPr="000E397D">
        <w:rPr>
          <w:rFonts w:ascii="Verdana" w:hAnsi="Verdana"/>
          <w:sz w:val="18"/>
          <w:szCs w:val="18"/>
        </w:rPr>
        <w:t>eIDAS</w:t>
      </w:r>
      <w:proofErr w:type="spellEnd"/>
      <w:r w:rsidRPr="000E397D">
        <w:rPr>
          <w:rFonts w:ascii="Verdana" w:hAnsi="Verdana"/>
          <w:sz w:val="18"/>
          <w:szCs w:val="18"/>
        </w:rPr>
        <w:t xml:space="preserve">-verordening (artikel 19bis, eerste lid, onderdeel b, respectievelijk artikel 24, tweede lid, onderdeel </w:t>
      </w:r>
      <w:proofErr w:type="spellStart"/>
      <w:r w:rsidRPr="000E397D">
        <w:rPr>
          <w:rFonts w:ascii="Verdana" w:hAnsi="Verdana"/>
          <w:sz w:val="18"/>
          <w:szCs w:val="18"/>
        </w:rPr>
        <w:t>fter</w:t>
      </w:r>
      <w:proofErr w:type="spellEnd"/>
      <w:r w:rsidRPr="000E397D">
        <w:rPr>
          <w:rFonts w:ascii="Verdana" w:hAnsi="Verdana"/>
          <w:sz w:val="18"/>
          <w:szCs w:val="18"/>
        </w:rPr>
        <w:t xml:space="preserve">) een meldplicht voor beveiligingsinbreuken of verstoringen in de verlening van de dienst of de uitvoering van bepaalde maatregelen die een aanzienlijk effect hebben op de verleende vertrouwensdienst of op de daarin bijgehouden persoonsgegevens. Deze meldingen moeten gedaan worden bij het toezichthoudend orgaan volgens de </w:t>
      </w:r>
      <w:proofErr w:type="spellStart"/>
      <w:r w:rsidRPr="000E397D">
        <w:rPr>
          <w:rFonts w:ascii="Verdana" w:hAnsi="Verdana"/>
          <w:sz w:val="18"/>
          <w:szCs w:val="18"/>
        </w:rPr>
        <w:t>eIDAS</w:t>
      </w:r>
      <w:proofErr w:type="spellEnd"/>
      <w:r w:rsidRPr="000E397D">
        <w:rPr>
          <w:rFonts w:ascii="Verdana" w:hAnsi="Verdana"/>
          <w:sz w:val="18"/>
          <w:szCs w:val="18"/>
        </w:rPr>
        <w:t>-verordening, de identificeerbare getroffen personen en andere relevante bevoegde organen. De meldplicht in artikel 23 NIS</w:t>
      </w:r>
      <w:r w:rsidRPr="00FF46E3" w:rsidR="00DB139C">
        <w:rPr>
          <w:rFonts w:ascii="Verdana" w:hAnsi="Verdana"/>
          <w:sz w:val="18"/>
          <w:szCs w:val="18"/>
        </w:rPr>
        <w:t>2</w:t>
      </w:r>
      <w:r w:rsidRPr="000E397D">
        <w:rPr>
          <w:rFonts w:ascii="Verdana" w:hAnsi="Verdana"/>
          <w:sz w:val="18"/>
          <w:szCs w:val="18"/>
        </w:rPr>
        <w:t xml:space="preserve">-richtlijn is aanvullend op de meldplicht uit de </w:t>
      </w:r>
      <w:proofErr w:type="spellStart"/>
      <w:r w:rsidRPr="000E397D">
        <w:rPr>
          <w:rFonts w:ascii="Verdana" w:hAnsi="Verdana"/>
          <w:sz w:val="18"/>
          <w:szCs w:val="18"/>
        </w:rPr>
        <w:t>eIDAS</w:t>
      </w:r>
      <w:proofErr w:type="spellEnd"/>
      <w:r w:rsidRPr="000E397D">
        <w:rPr>
          <w:rFonts w:ascii="Verdana" w:hAnsi="Verdana"/>
          <w:sz w:val="18"/>
          <w:szCs w:val="18"/>
        </w:rPr>
        <w:t>-verordening. Voor een goede uitvoering van de dubbele meldplicht voor vertrouwensdienstverleners is een enkel loket waar beide meldingen tegelijkertijd kunnen worden gedaan wenselijk en is nauwe samenwerking en uitwisseling van informatie van meldingen tussen de toezichthouders noodzakelijk, conform overweging 94 van de NIS2-richtlijn.</w:t>
      </w:r>
    </w:p>
    <w:p w:rsidR="00D23EB5" w:rsidP="00C00FE1" w:rsidRDefault="00D23EB5" w14:paraId="4B9864F5" w14:textId="77777777">
      <w:pPr>
        <w:pStyle w:val="Geenafstand"/>
        <w:rPr>
          <w:rFonts w:ascii="Verdana" w:hAnsi="Verdana"/>
          <w:sz w:val="18"/>
          <w:szCs w:val="18"/>
        </w:rPr>
      </w:pPr>
    </w:p>
    <w:p w:rsidR="00E37E6B" w:rsidP="00E37E6B" w:rsidRDefault="00E37E6B" w14:paraId="31361549" w14:textId="77777777">
      <w:pPr>
        <w:pStyle w:val="Geenafstand"/>
        <w:rPr>
          <w:rFonts w:ascii="Verdana" w:hAnsi="Verdana"/>
          <w:i/>
          <w:iCs/>
          <w:sz w:val="18"/>
          <w:szCs w:val="18"/>
        </w:rPr>
      </w:pPr>
      <w:r>
        <w:rPr>
          <w:rFonts w:ascii="Verdana" w:hAnsi="Verdana"/>
          <w:i/>
          <w:iCs/>
          <w:sz w:val="18"/>
          <w:szCs w:val="18"/>
        </w:rPr>
        <w:t>Informeren van ontvangers van diensten</w:t>
      </w:r>
    </w:p>
    <w:p w:rsidR="00E37E6B" w:rsidP="00C00FE1" w:rsidRDefault="00E37E6B" w14:paraId="229079C0" w14:textId="7B340960">
      <w:pPr>
        <w:pStyle w:val="Geenafstand"/>
        <w:rPr>
          <w:rFonts w:ascii="Verdana" w:hAnsi="Verdana"/>
          <w:sz w:val="18"/>
          <w:szCs w:val="18"/>
        </w:rPr>
      </w:pPr>
      <w:r>
        <w:rPr>
          <w:rFonts w:ascii="Verdana" w:hAnsi="Verdana"/>
          <w:sz w:val="18"/>
          <w:szCs w:val="18"/>
        </w:rPr>
        <w:t xml:space="preserve">Naast de hiervoor genoemde meldplicht aan het CSIRT en de toezichthoudende instantie dienen essentiële entiteiten en belangrijke entiteiten op grond van artikel </w:t>
      </w:r>
      <w:r w:rsidR="006B09DE">
        <w:rPr>
          <w:rFonts w:ascii="Verdana" w:hAnsi="Verdana"/>
          <w:sz w:val="18"/>
          <w:szCs w:val="18"/>
        </w:rPr>
        <w:t>30</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ook in voorkomend geval onverwijld de ontvangers van hun diensten in kennis te stellen van </w:t>
      </w:r>
      <w:r w:rsidRPr="00BF6838">
        <w:rPr>
          <w:rFonts w:ascii="Verdana" w:hAnsi="Verdana"/>
          <w:sz w:val="18"/>
          <w:szCs w:val="18"/>
        </w:rPr>
        <w:t>significante incidenten die een nadelige invloed kunnen hebben op de verlening van die diensten</w:t>
      </w:r>
      <w:r>
        <w:rPr>
          <w:rFonts w:ascii="Verdana" w:hAnsi="Verdana"/>
          <w:sz w:val="18"/>
          <w:szCs w:val="18"/>
        </w:rPr>
        <w:t xml:space="preserve">. Ook dienen zij </w:t>
      </w:r>
      <w:r w:rsidRPr="00BD3C4A">
        <w:rPr>
          <w:rFonts w:ascii="Verdana" w:hAnsi="Verdana"/>
          <w:sz w:val="18"/>
          <w:szCs w:val="18"/>
        </w:rPr>
        <w:t xml:space="preserve">de ontvangers van </w:t>
      </w:r>
      <w:r>
        <w:rPr>
          <w:rFonts w:ascii="Verdana" w:hAnsi="Verdana"/>
          <w:sz w:val="18"/>
          <w:szCs w:val="18"/>
        </w:rPr>
        <w:t>hun</w:t>
      </w:r>
      <w:r w:rsidRPr="00BD3C4A">
        <w:rPr>
          <w:rFonts w:ascii="Verdana" w:hAnsi="Verdana"/>
          <w:sz w:val="18"/>
          <w:szCs w:val="18"/>
        </w:rPr>
        <w:t xml:space="preserve"> diensten, die mogelijkerwijs door een significante cyberdreiging in relatie tot het ontvangen van </w:t>
      </w:r>
      <w:r w:rsidRPr="00BD3C4A">
        <w:rPr>
          <w:rFonts w:ascii="Verdana" w:hAnsi="Verdana"/>
          <w:sz w:val="18"/>
          <w:szCs w:val="18"/>
        </w:rPr>
        <w:lastRenderedPageBreak/>
        <w:t xml:space="preserve">die diensten worden getroffen, onverwijld mee </w:t>
      </w:r>
      <w:r>
        <w:rPr>
          <w:rFonts w:ascii="Verdana" w:hAnsi="Verdana"/>
          <w:sz w:val="18"/>
          <w:szCs w:val="18"/>
        </w:rPr>
        <w:t xml:space="preserve">te delen </w:t>
      </w:r>
      <w:r w:rsidRPr="00BD3C4A">
        <w:rPr>
          <w:rFonts w:ascii="Verdana" w:hAnsi="Verdana"/>
          <w:sz w:val="18"/>
          <w:szCs w:val="18"/>
        </w:rPr>
        <w:t>welke maatregelen die ontvangers kunnen nemen in reactie op die dreiging. Indien nodig stelt de entiteit die ontvangers ook in kennis van de desbetreffende significante cyberdreiging.</w:t>
      </w:r>
      <w:r>
        <w:rPr>
          <w:rFonts w:ascii="Verdana" w:hAnsi="Verdana"/>
          <w:sz w:val="18"/>
          <w:szCs w:val="18"/>
        </w:rPr>
        <w:t xml:space="preserve"> </w:t>
      </w:r>
    </w:p>
    <w:p w:rsidRPr="00FF46E3" w:rsidR="00E37E6B" w:rsidP="00C00FE1" w:rsidRDefault="00E37E6B" w14:paraId="57D3FAFC" w14:textId="77777777">
      <w:pPr>
        <w:pStyle w:val="Geenafstand"/>
        <w:rPr>
          <w:rFonts w:ascii="Verdana" w:hAnsi="Verdana"/>
          <w:sz w:val="18"/>
          <w:szCs w:val="18"/>
        </w:rPr>
      </w:pPr>
    </w:p>
    <w:p w:rsidRPr="00FF46E3" w:rsidR="00D22142" w:rsidP="00017A34" w:rsidRDefault="00CD1B9A" w14:paraId="53671C22" w14:textId="6C29EB6F">
      <w:pPr>
        <w:pStyle w:val="Kop2"/>
      </w:pPr>
      <w:bookmarkStart w:name="_Toc198721077" w:id="57"/>
      <w:r w:rsidRPr="00FF46E3">
        <w:t>5.</w:t>
      </w:r>
      <w:r w:rsidR="007E5530">
        <w:t>5</w:t>
      </w:r>
      <w:r w:rsidRPr="00FF46E3" w:rsidR="00D22142">
        <w:t xml:space="preserve"> CSIRT</w:t>
      </w:r>
      <w:bookmarkEnd w:id="57"/>
    </w:p>
    <w:p w:rsidRPr="00FF46E3" w:rsidR="002A3D83" w:rsidP="00B373C5" w:rsidRDefault="002A3D83" w14:paraId="42A6A9BA" w14:textId="77777777">
      <w:pPr>
        <w:pStyle w:val="Geenafstand"/>
        <w:rPr>
          <w:rFonts w:ascii="Verdana" w:hAnsi="Verdana"/>
          <w:sz w:val="18"/>
          <w:szCs w:val="18"/>
        </w:rPr>
      </w:pPr>
    </w:p>
    <w:p w:rsidRPr="00FF46E3" w:rsidR="00017A34" w:rsidP="00C3466E" w:rsidRDefault="00017A34" w14:paraId="4277FDB5" w14:textId="1F39E5E1">
      <w:pPr>
        <w:pStyle w:val="Kop3"/>
      </w:pPr>
      <w:bookmarkStart w:name="_Toc198721078" w:id="58"/>
      <w:r w:rsidRPr="00FF46E3">
        <w:t>5.</w:t>
      </w:r>
      <w:r w:rsidR="007E5530">
        <w:t>5</w:t>
      </w:r>
      <w:r w:rsidRPr="00FF46E3">
        <w:t xml:space="preserve">.1 </w:t>
      </w:r>
      <w:r w:rsidRPr="00FF46E3" w:rsidR="00ED551C">
        <w:t xml:space="preserve">Aanwijzing </w:t>
      </w:r>
      <w:proofErr w:type="spellStart"/>
      <w:r w:rsidRPr="00FF46E3" w:rsidR="00ED551C">
        <w:t>CSIRT’s</w:t>
      </w:r>
      <w:bookmarkEnd w:id="58"/>
      <w:proofErr w:type="spellEnd"/>
    </w:p>
    <w:p w:rsidRPr="00FF46E3" w:rsidR="00017A34" w:rsidP="00181029" w:rsidRDefault="00017A34" w14:paraId="6F5041E4" w14:textId="77777777">
      <w:pPr>
        <w:pStyle w:val="Geenafstand"/>
        <w:rPr>
          <w:rFonts w:ascii="Verdana" w:hAnsi="Verdana"/>
          <w:sz w:val="18"/>
          <w:szCs w:val="18"/>
        </w:rPr>
      </w:pPr>
    </w:p>
    <w:p w:rsidRPr="00FF46E3" w:rsidR="0007762F" w:rsidDel="00295FAB" w:rsidP="00181029" w:rsidRDefault="001803FE" w14:paraId="61319156" w14:textId="77207015">
      <w:pPr>
        <w:pStyle w:val="Geenafstand"/>
        <w:rPr>
          <w:rFonts w:ascii="Verdana" w:hAnsi="Verdana"/>
          <w:sz w:val="18"/>
          <w:szCs w:val="18"/>
        </w:rPr>
      </w:pPr>
      <w:r w:rsidRPr="00FF46E3">
        <w:rPr>
          <w:rFonts w:ascii="Verdana" w:hAnsi="Verdana"/>
          <w:sz w:val="18"/>
          <w:szCs w:val="18"/>
        </w:rPr>
        <w:t xml:space="preserve">Artikel </w:t>
      </w:r>
      <w:r w:rsidRPr="00FF46E3" w:rsidR="00385459">
        <w:rPr>
          <w:rFonts w:ascii="Verdana" w:hAnsi="Verdana"/>
          <w:sz w:val="18"/>
          <w:szCs w:val="18"/>
        </w:rPr>
        <w:t xml:space="preserve">10 NIS2-richtlijn verplicht lidstaten tot het aanwijzen of instellen van één of meer </w:t>
      </w:r>
      <w:proofErr w:type="spellStart"/>
      <w:r w:rsidRPr="00FF46E3" w:rsidR="00385459">
        <w:rPr>
          <w:rFonts w:ascii="Verdana" w:hAnsi="Verdana"/>
          <w:sz w:val="18"/>
          <w:szCs w:val="18"/>
        </w:rPr>
        <w:t>CSIRT’s</w:t>
      </w:r>
      <w:proofErr w:type="spellEnd"/>
      <w:r w:rsidRPr="00FF46E3" w:rsidR="00385459">
        <w:rPr>
          <w:rFonts w:ascii="Verdana" w:hAnsi="Verdana"/>
          <w:sz w:val="18"/>
          <w:szCs w:val="18"/>
        </w:rPr>
        <w:t xml:space="preserve">. </w:t>
      </w:r>
      <w:r w:rsidRPr="00FF46E3" w:rsidR="00B373C5">
        <w:rPr>
          <w:rFonts w:ascii="Verdana" w:hAnsi="Verdana"/>
          <w:sz w:val="18"/>
          <w:szCs w:val="18"/>
        </w:rPr>
        <w:t xml:space="preserve">Een CSIRT is een organisatie die zich bezighoudt met cybersecurity-gerelateerde incidenten. </w:t>
      </w:r>
      <w:r w:rsidR="00014CD0">
        <w:rPr>
          <w:rFonts w:ascii="Verdana" w:hAnsi="Verdana"/>
          <w:sz w:val="18"/>
          <w:szCs w:val="18"/>
        </w:rPr>
        <w:t>Het</w:t>
      </w:r>
      <w:r w:rsidRPr="00FF46E3" w:rsidR="00014CD0">
        <w:rPr>
          <w:rFonts w:ascii="Verdana" w:hAnsi="Verdana"/>
          <w:sz w:val="18"/>
          <w:szCs w:val="18"/>
        </w:rPr>
        <w:t xml:space="preserve"> </w:t>
      </w:r>
      <w:r w:rsidRPr="00FF46E3" w:rsidR="00B373C5">
        <w:rPr>
          <w:rFonts w:ascii="Verdana" w:hAnsi="Verdana"/>
          <w:sz w:val="18"/>
          <w:szCs w:val="18"/>
        </w:rPr>
        <w:t>hoofddoel van een CSIRT is om snel en efficiënt te reageren op cyberincidenten, het adequaat afhandelen ervan en het minimaliseren van schade. Een tweede belangrijk doel richt zich op de fase voorafgaand aan incidenten, namelijk het bieden van ondersteuning bij het voorkomen van incidenten.</w:t>
      </w:r>
      <w:r w:rsidRPr="00FF46E3" w:rsidR="005C1745">
        <w:rPr>
          <w:rFonts w:ascii="Verdana" w:hAnsi="Verdana"/>
          <w:sz w:val="18"/>
          <w:szCs w:val="18"/>
        </w:rPr>
        <w:t xml:space="preserve"> </w:t>
      </w:r>
      <w:r w:rsidRPr="00FF46E3" w:rsidR="00B37EFE">
        <w:rPr>
          <w:rFonts w:ascii="Verdana" w:hAnsi="Verdana"/>
          <w:sz w:val="18"/>
          <w:szCs w:val="18"/>
        </w:rPr>
        <w:t>D</w:t>
      </w:r>
      <w:r w:rsidRPr="00FF46E3" w:rsidDel="00295FAB" w:rsidR="00073D2E">
        <w:rPr>
          <w:rFonts w:ascii="Verdana" w:hAnsi="Verdana"/>
          <w:sz w:val="18"/>
          <w:szCs w:val="18"/>
        </w:rPr>
        <w:t xml:space="preserve">e taken </w:t>
      </w:r>
      <w:r w:rsidRPr="00FF46E3" w:rsidR="00B37EFE">
        <w:rPr>
          <w:rFonts w:ascii="Verdana" w:hAnsi="Verdana"/>
          <w:sz w:val="18"/>
          <w:szCs w:val="18"/>
        </w:rPr>
        <w:t xml:space="preserve">van het CSIRT zijn </w:t>
      </w:r>
      <w:r w:rsidRPr="00FF46E3" w:rsidDel="00295FAB" w:rsidR="00073D2E">
        <w:rPr>
          <w:rFonts w:ascii="Verdana" w:hAnsi="Verdana"/>
          <w:sz w:val="18"/>
          <w:szCs w:val="18"/>
        </w:rPr>
        <w:t xml:space="preserve">opgenomen </w:t>
      </w:r>
      <w:r w:rsidRPr="00FF46E3" w:rsidR="00B37EFE">
        <w:rPr>
          <w:rFonts w:ascii="Verdana" w:hAnsi="Verdana"/>
          <w:sz w:val="18"/>
          <w:szCs w:val="18"/>
        </w:rPr>
        <w:t>in artikel 11, derde lid, NIS2-richtlijn</w:t>
      </w:r>
      <w:r w:rsidRPr="00FF46E3" w:rsidDel="00295FAB" w:rsidR="00073D2E">
        <w:rPr>
          <w:rFonts w:ascii="Verdana" w:hAnsi="Verdana"/>
          <w:sz w:val="18"/>
          <w:szCs w:val="18"/>
        </w:rPr>
        <w:t xml:space="preserve">. Deze </w:t>
      </w:r>
      <w:r w:rsidRPr="00FF46E3" w:rsidR="00B37EFE">
        <w:rPr>
          <w:rFonts w:ascii="Verdana" w:hAnsi="Verdana"/>
          <w:sz w:val="18"/>
          <w:szCs w:val="18"/>
        </w:rPr>
        <w:t>richtlijn</w:t>
      </w:r>
      <w:r w:rsidRPr="00FF46E3" w:rsidDel="00295FAB" w:rsidR="00073D2E">
        <w:rPr>
          <w:rFonts w:ascii="Verdana" w:hAnsi="Verdana"/>
          <w:sz w:val="18"/>
          <w:szCs w:val="18"/>
        </w:rPr>
        <w:t xml:space="preserve">bepaling is geïmplementeerd in artikel </w:t>
      </w:r>
      <w:r w:rsidR="0098350C">
        <w:rPr>
          <w:rFonts w:ascii="Verdana" w:hAnsi="Verdana"/>
          <w:sz w:val="18"/>
          <w:szCs w:val="18"/>
        </w:rPr>
        <w:t>16</w:t>
      </w:r>
      <w:r w:rsidRPr="00FF46E3" w:rsidDel="00295FAB" w:rsidR="0098350C">
        <w:rPr>
          <w:rFonts w:ascii="Verdana" w:hAnsi="Verdana"/>
          <w:sz w:val="18"/>
          <w:szCs w:val="18"/>
        </w:rPr>
        <w:t xml:space="preserve"> </w:t>
      </w:r>
      <w:proofErr w:type="spellStart"/>
      <w:r w:rsidRPr="00FF46E3" w:rsidR="006F2395">
        <w:rPr>
          <w:rFonts w:ascii="Verdana" w:hAnsi="Verdana"/>
          <w:sz w:val="18"/>
          <w:szCs w:val="18"/>
        </w:rPr>
        <w:t>Cbw</w:t>
      </w:r>
      <w:proofErr w:type="spellEnd"/>
      <w:r w:rsidRPr="00FF46E3" w:rsidDel="00295FAB" w:rsidR="00073D2E">
        <w:rPr>
          <w:rFonts w:ascii="Verdana" w:hAnsi="Verdana"/>
          <w:sz w:val="18"/>
          <w:szCs w:val="18"/>
        </w:rPr>
        <w:t xml:space="preserve">. </w:t>
      </w:r>
      <w:r w:rsidRPr="00FF46E3" w:rsidDel="00295FAB" w:rsidR="0007762F">
        <w:rPr>
          <w:rFonts w:ascii="Verdana" w:hAnsi="Verdana"/>
          <w:sz w:val="18"/>
          <w:szCs w:val="18"/>
        </w:rPr>
        <w:t xml:space="preserve">Een deel van de taken gaat over operationele activiteiten. Deze </w:t>
      </w:r>
      <w:r w:rsidRPr="00FF46E3" w:rsidR="00295FAB">
        <w:rPr>
          <w:rFonts w:ascii="Verdana" w:hAnsi="Verdana"/>
          <w:sz w:val="18"/>
          <w:szCs w:val="18"/>
        </w:rPr>
        <w:t>activiteiten zien</w:t>
      </w:r>
      <w:r w:rsidRPr="00FF46E3" w:rsidDel="00295FAB" w:rsidR="0007762F">
        <w:rPr>
          <w:rFonts w:ascii="Verdana" w:hAnsi="Verdana"/>
          <w:sz w:val="18"/>
          <w:szCs w:val="18"/>
        </w:rPr>
        <w:t xml:space="preserve"> op</w:t>
      </w:r>
      <w:r w:rsidRPr="00FF46E3" w:rsidDel="00295FAB" w:rsidR="00181029">
        <w:rPr>
          <w:rFonts w:ascii="Verdana" w:hAnsi="Verdana"/>
          <w:sz w:val="18"/>
          <w:szCs w:val="18"/>
        </w:rPr>
        <w:t xml:space="preserve"> m</w:t>
      </w:r>
      <w:r w:rsidRPr="00FF46E3" w:rsidDel="00295FAB" w:rsidR="0007762F">
        <w:rPr>
          <w:rFonts w:ascii="Verdana" w:hAnsi="Verdana"/>
          <w:sz w:val="18"/>
          <w:szCs w:val="18"/>
        </w:rPr>
        <w:t>onitoring</w:t>
      </w:r>
      <w:r w:rsidRPr="00FF46E3" w:rsidDel="00295FAB" w:rsidR="00181029">
        <w:rPr>
          <w:rFonts w:ascii="Verdana" w:hAnsi="Verdana"/>
          <w:sz w:val="18"/>
          <w:szCs w:val="18"/>
        </w:rPr>
        <w:t>, a</w:t>
      </w:r>
      <w:r w:rsidRPr="00FF46E3" w:rsidDel="00295FAB" w:rsidR="0007762F">
        <w:rPr>
          <w:rFonts w:ascii="Verdana" w:hAnsi="Verdana"/>
          <w:sz w:val="18"/>
          <w:szCs w:val="18"/>
        </w:rPr>
        <w:t>nalyse</w:t>
      </w:r>
      <w:r w:rsidRPr="00FF46E3" w:rsidDel="00295FAB" w:rsidR="00181029">
        <w:rPr>
          <w:rFonts w:ascii="Verdana" w:hAnsi="Verdana"/>
          <w:sz w:val="18"/>
          <w:szCs w:val="18"/>
        </w:rPr>
        <w:t>, m</w:t>
      </w:r>
      <w:r w:rsidRPr="00FF46E3" w:rsidDel="00295FAB" w:rsidR="0007762F">
        <w:rPr>
          <w:rFonts w:ascii="Verdana" w:hAnsi="Verdana"/>
          <w:sz w:val="18"/>
          <w:szCs w:val="18"/>
        </w:rPr>
        <w:t>eldingen</w:t>
      </w:r>
      <w:r w:rsidRPr="00FF46E3" w:rsidDel="00295FAB" w:rsidR="00181029">
        <w:rPr>
          <w:rFonts w:ascii="Verdana" w:hAnsi="Verdana"/>
          <w:sz w:val="18"/>
          <w:szCs w:val="18"/>
        </w:rPr>
        <w:t>, i</w:t>
      </w:r>
      <w:r w:rsidRPr="00FF46E3" w:rsidDel="00295FAB" w:rsidR="0007762F">
        <w:rPr>
          <w:rFonts w:ascii="Verdana" w:hAnsi="Verdana"/>
          <w:sz w:val="18"/>
          <w:szCs w:val="18"/>
        </w:rPr>
        <w:t>ncident response</w:t>
      </w:r>
      <w:r w:rsidRPr="00FF46E3" w:rsidDel="00295FAB" w:rsidR="00181029">
        <w:rPr>
          <w:rFonts w:ascii="Verdana" w:hAnsi="Verdana"/>
          <w:sz w:val="18"/>
          <w:szCs w:val="18"/>
        </w:rPr>
        <w:t xml:space="preserve"> en r</w:t>
      </w:r>
      <w:r w:rsidRPr="00FF46E3" w:rsidDel="00295FAB" w:rsidR="0007762F">
        <w:rPr>
          <w:rFonts w:ascii="Verdana" w:hAnsi="Verdana"/>
          <w:sz w:val="18"/>
          <w:szCs w:val="18"/>
        </w:rPr>
        <w:t>egie en coördinatie</w:t>
      </w:r>
      <w:r w:rsidRPr="00FF46E3" w:rsidDel="00295FAB" w:rsidR="00181029">
        <w:rPr>
          <w:rFonts w:ascii="Verdana" w:hAnsi="Verdana"/>
          <w:sz w:val="18"/>
          <w:szCs w:val="18"/>
        </w:rPr>
        <w:t>.</w:t>
      </w:r>
      <w:r w:rsidR="00812199">
        <w:rPr>
          <w:rFonts w:ascii="Verdana" w:hAnsi="Verdana"/>
          <w:sz w:val="18"/>
          <w:szCs w:val="18"/>
        </w:rPr>
        <w:t xml:space="preserve"> </w:t>
      </w:r>
    </w:p>
    <w:p w:rsidRPr="00FF46E3" w:rsidR="00B37EFE" w:rsidP="001510DA" w:rsidRDefault="00B37EFE" w14:paraId="465AC1E1" w14:textId="77777777">
      <w:pPr>
        <w:pStyle w:val="Geenafstand"/>
        <w:rPr>
          <w:rFonts w:ascii="Verdana" w:hAnsi="Verdana"/>
          <w:i/>
          <w:iCs/>
          <w:sz w:val="18"/>
          <w:szCs w:val="18"/>
        </w:rPr>
      </w:pPr>
    </w:p>
    <w:p w:rsidRPr="00FF46E3" w:rsidR="00977A82" w:rsidDel="00295FAB" w:rsidP="008B78F6" w:rsidRDefault="001E5B90" w14:paraId="1096B6D7" w14:textId="763317A5">
      <w:pPr>
        <w:pStyle w:val="Geenafstand"/>
        <w:rPr>
          <w:rFonts w:ascii="Verdana" w:hAnsi="Verdana"/>
          <w:sz w:val="18"/>
          <w:szCs w:val="18"/>
        </w:rPr>
      </w:pPr>
      <w:r w:rsidRPr="00FF46E3" w:rsidDel="00295FAB">
        <w:rPr>
          <w:rFonts w:ascii="Verdana" w:hAnsi="Verdana"/>
          <w:sz w:val="18"/>
          <w:szCs w:val="18"/>
        </w:rPr>
        <w:t xml:space="preserve">Artikel 12 NIS2-richtlijn verplicht lidstaten tot het aanwijzen van één van de </w:t>
      </w:r>
      <w:proofErr w:type="spellStart"/>
      <w:r w:rsidRPr="00FF46E3" w:rsidDel="00295FAB">
        <w:rPr>
          <w:rFonts w:ascii="Verdana" w:hAnsi="Verdana"/>
          <w:sz w:val="18"/>
          <w:szCs w:val="18"/>
        </w:rPr>
        <w:t>CSIRT</w:t>
      </w:r>
      <w:r w:rsidRPr="00FF46E3" w:rsidDel="00295FAB" w:rsidR="008B78F6">
        <w:rPr>
          <w:rFonts w:ascii="Verdana" w:hAnsi="Verdana"/>
          <w:sz w:val="18"/>
          <w:szCs w:val="18"/>
        </w:rPr>
        <w:t>’</w:t>
      </w:r>
      <w:r w:rsidRPr="00FF46E3" w:rsidDel="00295FAB">
        <w:rPr>
          <w:rFonts w:ascii="Verdana" w:hAnsi="Verdana"/>
          <w:sz w:val="18"/>
          <w:szCs w:val="18"/>
        </w:rPr>
        <w:t>s</w:t>
      </w:r>
      <w:proofErr w:type="spellEnd"/>
      <w:r w:rsidRPr="00FF46E3" w:rsidDel="00295FAB">
        <w:rPr>
          <w:rFonts w:ascii="Verdana" w:hAnsi="Verdana"/>
          <w:sz w:val="18"/>
          <w:szCs w:val="18"/>
        </w:rPr>
        <w:t xml:space="preserve"> </w:t>
      </w:r>
      <w:r w:rsidRPr="00FF46E3" w:rsidDel="00295FAB" w:rsidR="008B78F6">
        <w:rPr>
          <w:rFonts w:ascii="Verdana" w:hAnsi="Verdana"/>
          <w:sz w:val="18"/>
          <w:szCs w:val="18"/>
        </w:rPr>
        <w:t xml:space="preserve">als coördinator met het oog op een gecoördineerde bekendmaking van kwetsbaarheden. </w:t>
      </w:r>
      <w:r w:rsidRPr="00FF46E3" w:rsidDel="00295FAB" w:rsidR="00843BD9">
        <w:rPr>
          <w:rFonts w:ascii="Verdana" w:hAnsi="Verdana"/>
          <w:sz w:val="18"/>
          <w:szCs w:val="18"/>
        </w:rPr>
        <w:t xml:space="preserve">De </w:t>
      </w:r>
      <w:r w:rsidRPr="00FF46E3" w:rsidDel="00295FAB" w:rsidR="00977A82">
        <w:rPr>
          <w:rFonts w:ascii="Verdana" w:hAnsi="Verdana"/>
          <w:sz w:val="18"/>
          <w:szCs w:val="18"/>
        </w:rPr>
        <w:t xml:space="preserve">coördinator </w:t>
      </w:r>
      <w:r w:rsidRPr="00FF46E3" w:rsidDel="00295FAB" w:rsidR="00D82519">
        <w:rPr>
          <w:rFonts w:ascii="Verdana" w:hAnsi="Verdana"/>
          <w:sz w:val="18"/>
          <w:szCs w:val="18"/>
        </w:rPr>
        <w:t xml:space="preserve">heeft onder meer de taak om op te treden </w:t>
      </w:r>
      <w:r w:rsidRPr="00FF46E3" w:rsidDel="00295FAB" w:rsidR="00977A82">
        <w:rPr>
          <w:rFonts w:ascii="Verdana" w:hAnsi="Verdana"/>
          <w:sz w:val="18"/>
          <w:szCs w:val="18"/>
        </w:rPr>
        <w:t>als tussenpersoon tussen de natuurlijke persoon of rechtspersoon die een kwetsbaarheid heeft gemeld en de fabrikant of aanbieder van de mogelijk kwetsbare ICT-producten of -diensten</w:t>
      </w:r>
      <w:r w:rsidRPr="00FF46E3" w:rsidDel="00295FAB" w:rsidR="00D82519">
        <w:rPr>
          <w:rFonts w:ascii="Verdana" w:hAnsi="Verdana"/>
          <w:sz w:val="18"/>
          <w:szCs w:val="18"/>
        </w:rPr>
        <w:t>.</w:t>
      </w:r>
    </w:p>
    <w:p w:rsidRPr="00FF46E3" w:rsidR="00B37EFE" w:rsidP="006200DD" w:rsidRDefault="00B37EFE" w14:paraId="23AE39B3" w14:textId="77777777">
      <w:pPr>
        <w:pStyle w:val="Geenafstand"/>
        <w:rPr>
          <w:rFonts w:ascii="Verdana" w:hAnsi="Verdana"/>
          <w:sz w:val="18"/>
          <w:szCs w:val="18"/>
        </w:rPr>
      </w:pPr>
    </w:p>
    <w:p w:rsidRPr="00FF46E3" w:rsidR="0007762F" w:rsidP="00295FAB" w:rsidRDefault="00017A34" w14:paraId="43491CB8" w14:textId="0CC070D8">
      <w:pPr>
        <w:pStyle w:val="Geenafstand"/>
        <w:rPr>
          <w:rFonts w:ascii="Verdana" w:hAnsi="Verdana"/>
          <w:sz w:val="18"/>
          <w:szCs w:val="18"/>
        </w:rPr>
      </w:pPr>
      <w:r w:rsidRPr="00FF46E3">
        <w:rPr>
          <w:rFonts w:ascii="Verdana" w:hAnsi="Verdana"/>
          <w:sz w:val="18"/>
          <w:szCs w:val="18"/>
        </w:rPr>
        <w:t>De</w:t>
      </w:r>
      <w:r w:rsidRPr="00FF46E3" w:rsidR="00731CB9">
        <w:rPr>
          <w:rFonts w:ascii="Verdana" w:hAnsi="Verdana"/>
          <w:sz w:val="18"/>
          <w:szCs w:val="18"/>
        </w:rPr>
        <w:t xml:space="preserve"> </w:t>
      </w:r>
      <w:proofErr w:type="spellStart"/>
      <w:r w:rsidRPr="00FF46E3" w:rsidR="00731CB9">
        <w:rPr>
          <w:rFonts w:ascii="Verdana" w:hAnsi="Verdana"/>
          <w:sz w:val="18"/>
          <w:szCs w:val="18"/>
        </w:rPr>
        <w:t>CSIRT</w:t>
      </w:r>
      <w:r w:rsidRPr="00FF46E3">
        <w:rPr>
          <w:rFonts w:ascii="Verdana" w:hAnsi="Verdana"/>
          <w:sz w:val="18"/>
          <w:szCs w:val="18"/>
        </w:rPr>
        <w:t>’s</w:t>
      </w:r>
      <w:proofErr w:type="spellEnd"/>
      <w:r w:rsidRPr="00FF46E3" w:rsidR="00731CB9">
        <w:rPr>
          <w:rFonts w:ascii="Verdana" w:hAnsi="Verdana"/>
          <w:sz w:val="18"/>
          <w:szCs w:val="18"/>
        </w:rPr>
        <w:t xml:space="preserve"> en de </w:t>
      </w:r>
      <w:bookmarkStart w:name="_Hlk173439316" w:id="59"/>
      <w:r w:rsidRPr="00FF46E3" w:rsidR="00731CB9">
        <w:rPr>
          <w:rFonts w:ascii="Verdana" w:hAnsi="Verdana"/>
          <w:sz w:val="18"/>
          <w:szCs w:val="18"/>
        </w:rPr>
        <w:t xml:space="preserve">coördinator met het oog op een gecoördineerde bekendmaking van </w:t>
      </w:r>
      <w:r w:rsidRPr="00FF46E3" w:rsidR="00295FAB">
        <w:rPr>
          <w:rFonts w:ascii="Verdana" w:hAnsi="Verdana"/>
          <w:sz w:val="18"/>
          <w:szCs w:val="18"/>
        </w:rPr>
        <w:t>k</w:t>
      </w:r>
      <w:r w:rsidRPr="00FF46E3" w:rsidR="00731CB9">
        <w:rPr>
          <w:rFonts w:ascii="Verdana" w:hAnsi="Verdana"/>
          <w:sz w:val="18"/>
          <w:szCs w:val="18"/>
        </w:rPr>
        <w:t>wetsbaarheden</w:t>
      </w:r>
      <w:bookmarkEnd w:id="59"/>
      <w:r w:rsidRPr="00FF46E3" w:rsidR="00E27969">
        <w:rPr>
          <w:rFonts w:ascii="Verdana" w:hAnsi="Verdana"/>
          <w:sz w:val="18"/>
          <w:szCs w:val="18"/>
        </w:rPr>
        <w:t xml:space="preserve"> worden aangewezen bij </w:t>
      </w:r>
      <w:r w:rsidR="00302034">
        <w:rPr>
          <w:rFonts w:ascii="Verdana" w:hAnsi="Verdana"/>
          <w:sz w:val="18"/>
          <w:szCs w:val="18"/>
        </w:rPr>
        <w:t xml:space="preserve">of krachtens </w:t>
      </w:r>
      <w:proofErr w:type="spellStart"/>
      <w:r w:rsidRPr="00FF46E3" w:rsidR="00A56810">
        <w:rPr>
          <w:rFonts w:ascii="Verdana" w:hAnsi="Verdana"/>
          <w:sz w:val="18"/>
          <w:szCs w:val="18"/>
        </w:rPr>
        <w:t>amvb</w:t>
      </w:r>
      <w:proofErr w:type="spellEnd"/>
      <w:r w:rsidRPr="00FF46E3" w:rsidR="00E27969">
        <w:rPr>
          <w:rFonts w:ascii="Verdana" w:hAnsi="Verdana"/>
          <w:sz w:val="18"/>
          <w:szCs w:val="18"/>
        </w:rPr>
        <w:t xml:space="preserve">. </w:t>
      </w:r>
      <w:r w:rsidRPr="00FF46E3" w:rsidR="00E01C68">
        <w:rPr>
          <w:rFonts w:ascii="Verdana" w:hAnsi="Verdana"/>
          <w:sz w:val="18"/>
          <w:szCs w:val="18"/>
        </w:rPr>
        <w:t>N</w:t>
      </w:r>
      <w:r w:rsidRPr="00FF46E3" w:rsidR="00532E7B">
        <w:rPr>
          <w:rFonts w:ascii="Verdana" w:hAnsi="Verdana"/>
          <w:sz w:val="18"/>
          <w:szCs w:val="18"/>
        </w:rPr>
        <w:t xml:space="preserve">aar verwachting </w:t>
      </w:r>
      <w:r w:rsidRPr="00FF46E3" w:rsidR="00E01C68">
        <w:rPr>
          <w:rFonts w:ascii="Verdana" w:hAnsi="Verdana"/>
          <w:sz w:val="18"/>
          <w:szCs w:val="18"/>
        </w:rPr>
        <w:t>zullen de taken van het CSIRT</w:t>
      </w:r>
      <w:r w:rsidRPr="00FF46E3" w:rsidR="00DD39B4">
        <w:rPr>
          <w:rFonts w:ascii="Verdana" w:hAnsi="Verdana"/>
          <w:sz w:val="18"/>
          <w:szCs w:val="18"/>
        </w:rPr>
        <w:t xml:space="preserve"> in ieder geval</w:t>
      </w:r>
      <w:r w:rsidRPr="00FF46E3" w:rsidR="00E01C68">
        <w:rPr>
          <w:rFonts w:ascii="Verdana" w:hAnsi="Verdana"/>
          <w:sz w:val="18"/>
          <w:szCs w:val="18"/>
        </w:rPr>
        <w:t xml:space="preserve"> worden uitgevoerd door </w:t>
      </w:r>
      <w:r w:rsidRPr="00FF46E3" w:rsidR="00295FAB">
        <w:rPr>
          <w:rFonts w:ascii="Verdana" w:hAnsi="Verdana"/>
          <w:sz w:val="18"/>
          <w:szCs w:val="18"/>
        </w:rPr>
        <w:t xml:space="preserve">het </w:t>
      </w:r>
      <w:r w:rsidR="001357E8">
        <w:rPr>
          <w:rFonts w:ascii="Verdana" w:hAnsi="Verdana"/>
          <w:sz w:val="18"/>
          <w:szCs w:val="18"/>
        </w:rPr>
        <w:t xml:space="preserve">Nationaal Cyber Security Centrum (hierna: </w:t>
      </w:r>
      <w:r w:rsidRPr="00FF46E3" w:rsidR="00295FAB">
        <w:rPr>
          <w:rFonts w:ascii="Verdana" w:hAnsi="Verdana"/>
          <w:sz w:val="18"/>
          <w:szCs w:val="18"/>
        </w:rPr>
        <w:t>NCSC</w:t>
      </w:r>
      <w:r w:rsidR="001357E8">
        <w:rPr>
          <w:rFonts w:ascii="Verdana" w:hAnsi="Verdana"/>
          <w:sz w:val="18"/>
          <w:szCs w:val="18"/>
        </w:rPr>
        <w:t>)</w:t>
      </w:r>
      <w:r w:rsidRPr="00FF46E3" w:rsidR="00532E7B">
        <w:rPr>
          <w:rFonts w:ascii="Verdana" w:hAnsi="Verdana"/>
          <w:sz w:val="18"/>
          <w:szCs w:val="18"/>
        </w:rPr>
        <w:t>,</w:t>
      </w:r>
      <w:r w:rsidRPr="00FF46E3" w:rsidR="00295FAB">
        <w:rPr>
          <w:rFonts w:ascii="Verdana" w:hAnsi="Verdana"/>
          <w:sz w:val="18"/>
          <w:szCs w:val="18"/>
        </w:rPr>
        <w:t xml:space="preserve"> Z-CERT</w:t>
      </w:r>
      <w:r w:rsidRPr="00FF46E3" w:rsidR="00532E7B">
        <w:rPr>
          <w:rFonts w:ascii="Verdana" w:hAnsi="Verdana"/>
          <w:sz w:val="18"/>
          <w:szCs w:val="18"/>
        </w:rPr>
        <w:t xml:space="preserve">, </w:t>
      </w:r>
      <w:r w:rsidR="00B200A0">
        <w:rPr>
          <w:rFonts w:ascii="Verdana" w:hAnsi="Verdana"/>
          <w:sz w:val="18"/>
          <w:szCs w:val="18"/>
        </w:rPr>
        <w:t xml:space="preserve">het </w:t>
      </w:r>
      <w:r w:rsidRPr="00FF46E3" w:rsidR="00AE0CA8">
        <w:rPr>
          <w:rFonts w:ascii="Verdana" w:hAnsi="Verdana"/>
          <w:sz w:val="18"/>
          <w:szCs w:val="18"/>
        </w:rPr>
        <w:t xml:space="preserve">CERT Watermanagement (onderdeel van het openbaar lichaam Het </w:t>
      </w:r>
      <w:proofErr w:type="spellStart"/>
      <w:r w:rsidRPr="00FF46E3" w:rsidR="00AE0CA8">
        <w:rPr>
          <w:rFonts w:ascii="Verdana" w:hAnsi="Verdana"/>
          <w:sz w:val="18"/>
          <w:szCs w:val="18"/>
        </w:rPr>
        <w:t>Waterschapshuis</w:t>
      </w:r>
      <w:proofErr w:type="spellEnd"/>
      <w:r w:rsidRPr="00FF46E3" w:rsidR="00AE0CA8">
        <w:rPr>
          <w:rFonts w:ascii="Verdana" w:hAnsi="Verdana"/>
          <w:sz w:val="18"/>
          <w:szCs w:val="18"/>
        </w:rPr>
        <w:t>) en</w:t>
      </w:r>
      <w:r w:rsidR="00B200A0">
        <w:rPr>
          <w:rFonts w:ascii="Verdana" w:hAnsi="Verdana"/>
          <w:sz w:val="18"/>
          <w:szCs w:val="18"/>
        </w:rPr>
        <w:t xml:space="preserve"> de</w:t>
      </w:r>
      <w:r w:rsidRPr="00FF46E3" w:rsidR="00AE0CA8">
        <w:rPr>
          <w:rFonts w:ascii="Verdana" w:hAnsi="Verdana"/>
          <w:sz w:val="18"/>
          <w:szCs w:val="18"/>
        </w:rPr>
        <w:t xml:space="preserve"> Informatiebeveiligingsdienst (IBD, onderdeel van VNG Realisatie B.V.) </w:t>
      </w:r>
      <w:r w:rsidRPr="00FF46E3" w:rsidR="00295FAB">
        <w:rPr>
          <w:rFonts w:ascii="Verdana" w:hAnsi="Verdana"/>
          <w:sz w:val="18"/>
          <w:szCs w:val="18"/>
        </w:rPr>
        <w:t>voor de daarbij bepaalde entiteiten</w:t>
      </w:r>
      <w:r w:rsidR="00B200A0">
        <w:rPr>
          <w:rFonts w:ascii="Verdana" w:hAnsi="Verdana"/>
          <w:sz w:val="18"/>
          <w:szCs w:val="18"/>
        </w:rPr>
        <w:t xml:space="preserve"> onder de </w:t>
      </w:r>
      <w:proofErr w:type="spellStart"/>
      <w:r w:rsidR="00B200A0">
        <w:rPr>
          <w:rFonts w:ascii="Verdana" w:hAnsi="Verdana"/>
          <w:sz w:val="18"/>
          <w:szCs w:val="18"/>
        </w:rPr>
        <w:t>Cbw</w:t>
      </w:r>
      <w:proofErr w:type="spellEnd"/>
      <w:r w:rsidRPr="00FF46E3" w:rsidR="00295FAB">
        <w:rPr>
          <w:rFonts w:ascii="Verdana" w:hAnsi="Verdana"/>
          <w:sz w:val="18"/>
          <w:szCs w:val="18"/>
        </w:rPr>
        <w:t>.</w:t>
      </w:r>
      <w:r w:rsidRPr="00FF46E3" w:rsidR="00AE0CA8">
        <w:rPr>
          <w:rFonts w:ascii="Verdana" w:hAnsi="Verdana"/>
          <w:sz w:val="18"/>
          <w:szCs w:val="18"/>
        </w:rPr>
        <w:t xml:space="preserve"> Deze </w:t>
      </w:r>
      <w:r w:rsidR="00930D81">
        <w:rPr>
          <w:rFonts w:ascii="Verdana" w:hAnsi="Verdana"/>
          <w:sz w:val="18"/>
          <w:szCs w:val="18"/>
        </w:rPr>
        <w:t>organisaties</w:t>
      </w:r>
      <w:r w:rsidRPr="00FF46E3" w:rsidR="00AE0CA8">
        <w:rPr>
          <w:rFonts w:ascii="Verdana" w:hAnsi="Verdana"/>
          <w:sz w:val="18"/>
          <w:szCs w:val="18"/>
        </w:rPr>
        <w:t xml:space="preserve"> hebben geïnvesteerd in het opbouwen van kennis over de eigen sector, met name over binnen de sector gebruikte systemen en processen, en </w:t>
      </w:r>
      <w:r w:rsidRPr="00FF46E3" w:rsidR="00A8393F">
        <w:rPr>
          <w:rFonts w:ascii="Verdana" w:hAnsi="Verdana"/>
          <w:sz w:val="18"/>
          <w:szCs w:val="18"/>
        </w:rPr>
        <w:t xml:space="preserve">sluiten goed aan op </w:t>
      </w:r>
      <w:r w:rsidRPr="00FF46E3" w:rsidR="00AE0CA8">
        <w:rPr>
          <w:rFonts w:ascii="Verdana" w:hAnsi="Verdana"/>
          <w:sz w:val="18"/>
          <w:szCs w:val="18"/>
        </w:rPr>
        <w:t xml:space="preserve">de eigen doelgroep. </w:t>
      </w:r>
      <w:r w:rsidRPr="00FF46E3" w:rsidR="00E01C68">
        <w:rPr>
          <w:rFonts w:ascii="Verdana" w:hAnsi="Verdana"/>
          <w:sz w:val="18"/>
          <w:szCs w:val="18"/>
        </w:rPr>
        <w:t>Het uitvoeren van de CSIRT-taak door deze organisaties past</w:t>
      </w:r>
      <w:r w:rsidRPr="00FF46E3" w:rsidR="0007762F">
        <w:rPr>
          <w:rFonts w:ascii="Verdana" w:hAnsi="Verdana"/>
          <w:sz w:val="18"/>
          <w:szCs w:val="18"/>
        </w:rPr>
        <w:t xml:space="preserve"> ook bij de uitkomsten van het rapport dat het </w:t>
      </w:r>
      <w:r w:rsidRPr="00FF46E3" w:rsidR="00E12579">
        <w:rPr>
          <w:rFonts w:ascii="Verdana" w:hAnsi="Verdana"/>
          <w:sz w:val="18"/>
          <w:szCs w:val="18"/>
        </w:rPr>
        <w:t>M</w:t>
      </w:r>
      <w:r w:rsidRPr="00FF46E3" w:rsidR="0007762F">
        <w:rPr>
          <w:rFonts w:ascii="Verdana" w:hAnsi="Verdana"/>
          <w:sz w:val="18"/>
          <w:szCs w:val="18"/>
        </w:rPr>
        <w:t>inisterie van Justitie en Veiligheid namens de vakdepartementen heeft laten opstellen</w:t>
      </w:r>
      <w:r w:rsidRPr="00FF46E3" w:rsidR="00295FAB">
        <w:rPr>
          <w:rFonts w:ascii="Verdana" w:hAnsi="Verdana"/>
          <w:sz w:val="18"/>
          <w:szCs w:val="18"/>
        </w:rPr>
        <w:t xml:space="preserve"> over de (her)inrichting van het CSIRT-stelsel in Nederland</w:t>
      </w:r>
      <w:r w:rsidRPr="00FF46E3" w:rsidR="0007762F">
        <w:rPr>
          <w:rFonts w:ascii="Verdana" w:hAnsi="Verdana"/>
          <w:sz w:val="18"/>
          <w:szCs w:val="18"/>
        </w:rPr>
        <w:t>.</w:t>
      </w:r>
      <w:r w:rsidRPr="00FF46E3" w:rsidR="00E27969">
        <w:rPr>
          <w:rStyle w:val="Voetnootmarkering"/>
          <w:rFonts w:ascii="Verdana" w:hAnsi="Verdana"/>
          <w:sz w:val="18"/>
          <w:szCs w:val="18"/>
        </w:rPr>
        <w:footnoteReference w:id="45"/>
      </w:r>
      <w:r w:rsidRPr="00FF46E3" w:rsidR="0007762F">
        <w:rPr>
          <w:rFonts w:ascii="Verdana" w:hAnsi="Verdana"/>
          <w:sz w:val="18"/>
          <w:szCs w:val="18"/>
        </w:rPr>
        <w:t xml:space="preserve"> </w:t>
      </w:r>
      <w:r w:rsidR="00812199">
        <w:rPr>
          <w:rFonts w:ascii="Verdana" w:hAnsi="Verdana"/>
          <w:sz w:val="18"/>
          <w:szCs w:val="18"/>
        </w:rPr>
        <w:t>De nadere invulling van het rapport wordt uitgewerkt in beleid.</w:t>
      </w:r>
    </w:p>
    <w:p w:rsidRPr="00FF46E3" w:rsidR="003E101F" w:rsidP="00295FAB" w:rsidRDefault="003E101F" w14:paraId="5003029D" w14:textId="77777777">
      <w:pPr>
        <w:pStyle w:val="Geenafstand"/>
        <w:rPr>
          <w:rFonts w:ascii="Verdana" w:hAnsi="Verdana"/>
          <w:sz w:val="18"/>
          <w:szCs w:val="18"/>
        </w:rPr>
      </w:pPr>
    </w:p>
    <w:p w:rsidRPr="00FF46E3" w:rsidR="006A78E5" w:rsidP="00C3466E" w:rsidRDefault="006A78E5" w14:paraId="6A55E77D" w14:textId="26A330F2">
      <w:pPr>
        <w:pStyle w:val="Kop3"/>
      </w:pPr>
      <w:bookmarkStart w:name="_Toc198721079" w:id="60"/>
      <w:r w:rsidRPr="00FF46E3">
        <w:t>5.</w:t>
      </w:r>
      <w:r w:rsidR="007E5530">
        <w:t>5</w:t>
      </w:r>
      <w:r w:rsidRPr="00FF46E3">
        <w:t>.</w:t>
      </w:r>
      <w:r w:rsidRPr="00FF46E3" w:rsidR="004D4BFC">
        <w:t>2</w:t>
      </w:r>
      <w:r w:rsidRPr="00FF46E3">
        <w:t xml:space="preserve"> Verwerking van gegevens door het CSIRT</w:t>
      </w:r>
      <w:bookmarkEnd w:id="60"/>
    </w:p>
    <w:p w:rsidRPr="00FF46E3" w:rsidR="005020A0" w:rsidP="006A78E5" w:rsidRDefault="005020A0" w14:paraId="2094FAA2" w14:textId="77777777">
      <w:pPr>
        <w:pStyle w:val="Geenafstand"/>
        <w:rPr>
          <w:rFonts w:ascii="Verdana" w:hAnsi="Verdana"/>
          <w:sz w:val="18"/>
          <w:szCs w:val="18"/>
        </w:rPr>
      </w:pPr>
    </w:p>
    <w:p w:rsidRPr="00FF46E3" w:rsidR="006A78E5" w:rsidP="006A78E5" w:rsidRDefault="00063619" w14:paraId="7C9E96B9" w14:textId="5D998848">
      <w:pPr>
        <w:pStyle w:val="Geenafstand"/>
        <w:rPr>
          <w:rFonts w:ascii="Verdana" w:hAnsi="Verdana"/>
          <w:sz w:val="18"/>
          <w:szCs w:val="18"/>
        </w:rPr>
      </w:pPr>
      <w:r w:rsidRPr="00FF46E3">
        <w:rPr>
          <w:rFonts w:ascii="Verdana" w:hAnsi="Verdana"/>
          <w:sz w:val="18"/>
          <w:szCs w:val="18"/>
        </w:rPr>
        <w:t xml:space="preserve">Een belangrijk doel van </w:t>
      </w:r>
      <w:r>
        <w:rPr>
          <w:rFonts w:ascii="Verdana" w:hAnsi="Verdana"/>
          <w:sz w:val="18"/>
          <w:szCs w:val="18"/>
        </w:rPr>
        <w:t xml:space="preserve">het </w:t>
      </w:r>
      <w:r w:rsidRPr="00FF46E3">
        <w:rPr>
          <w:rFonts w:ascii="Verdana" w:hAnsi="Verdana"/>
          <w:sz w:val="18"/>
          <w:szCs w:val="18"/>
        </w:rPr>
        <w:t xml:space="preserve">CSIRT is </w:t>
      </w:r>
      <w:r>
        <w:rPr>
          <w:rFonts w:ascii="Verdana" w:hAnsi="Verdana"/>
          <w:sz w:val="18"/>
          <w:szCs w:val="18"/>
        </w:rPr>
        <w:t>het voorkomen van</w:t>
      </w:r>
      <w:r w:rsidRPr="00FF46E3">
        <w:rPr>
          <w:rFonts w:ascii="Verdana" w:hAnsi="Verdana"/>
          <w:sz w:val="18"/>
          <w:szCs w:val="18"/>
        </w:rPr>
        <w:t xml:space="preserve"> de uitval van netwerk- en informatiesystemen en hiermee </w:t>
      </w:r>
      <w:r>
        <w:rPr>
          <w:rFonts w:ascii="Verdana" w:hAnsi="Verdana"/>
          <w:sz w:val="18"/>
          <w:szCs w:val="18"/>
        </w:rPr>
        <w:t xml:space="preserve">de verhoging van </w:t>
      </w:r>
      <w:r w:rsidRPr="00FF46E3">
        <w:rPr>
          <w:rFonts w:ascii="Verdana" w:hAnsi="Verdana"/>
          <w:sz w:val="18"/>
          <w:szCs w:val="18"/>
        </w:rPr>
        <w:t xml:space="preserve">de digitale weerbaarheid van organisaties. Ten behoeve hiervan heeft een CSIRT verschillende taken waarbij er gegevens worden verwerkt, zoals het monitoren en analyseren van cyberdreigingen, het verzamelen en analyseren van forensische gegevens, het verlenen van bijstand en het verstrekken van informatie. </w:t>
      </w:r>
      <w:r w:rsidRPr="00FF46E3" w:rsidR="006A78E5">
        <w:rPr>
          <w:rFonts w:ascii="Verdana" w:hAnsi="Verdana"/>
          <w:sz w:val="18"/>
          <w:szCs w:val="18"/>
        </w:rPr>
        <w:t xml:space="preserve">Deze gegevens kunnen in beperkte mate </w:t>
      </w:r>
      <w:r w:rsidRPr="00FF46E3" w:rsidR="00E955DD">
        <w:rPr>
          <w:rFonts w:ascii="Verdana" w:hAnsi="Verdana"/>
          <w:sz w:val="18"/>
          <w:szCs w:val="18"/>
        </w:rPr>
        <w:t xml:space="preserve">ook </w:t>
      </w:r>
      <w:r w:rsidRPr="00FF46E3" w:rsidR="006A78E5">
        <w:rPr>
          <w:rFonts w:ascii="Verdana" w:hAnsi="Verdana"/>
          <w:sz w:val="18"/>
          <w:szCs w:val="18"/>
        </w:rPr>
        <w:t>persoonsgegevens bevatten. Bij de verwerking van die persoonsgegevens gaat het in beginsel alleen om die gegevens die noodzakelijk zijn voor het uitoefenen van zijn CSIRT-taken, zoals IP-adressen</w:t>
      </w:r>
      <w:r w:rsidRPr="00FF46E3" w:rsidR="00971A07">
        <w:rPr>
          <w:rStyle w:val="Voetnootmarkering"/>
          <w:rFonts w:ascii="Verdana" w:hAnsi="Verdana"/>
          <w:sz w:val="18"/>
          <w:szCs w:val="18"/>
        </w:rPr>
        <w:footnoteReference w:id="46"/>
      </w:r>
      <w:r w:rsidRPr="00FF46E3" w:rsidR="006A78E5">
        <w:rPr>
          <w:rFonts w:ascii="Verdana" w:hAnsi="Verdana"/>
          <w:sz w:val="18"/>
          <w:szCs w:val="18"/>
        </w:rPr>
        <w:t>, e-mailadressen en domeinnamen. Tevens kan dit ook informatie omvatten over een entiteit of organisatie, alsook de contactgegevens</w:t>
      </w:r>
      <w:r w:rsidRPr="00FF46E3" w:rsidR="00832FBD">
        <w:rPr>
          <w:rFonts w:ascii="Verdana" w:hAnsi="Verdana"/>
          <w:sz w:val="18"/>
          <w:szCs w:val="18"/>
        </w:rPr>
        <w:t>. Voor zover het gaat</w:t>
      </w:r>
      <w:r w:rsidRPr="00FF46E3" w:rsidR="006A78E5">
        <w:rPr>
          <w:rFonts w:ascii="Verdana" w:hAnsi="Verdana"/>
          <w:sz w:val="18"/>
          <w:szCs w:val="18"/>
        </w:rPr>
        <w:t xml:space="preserve"> </w:t>
      </w:r>
      <w:r w:rsidRPr="00FF46E3" w:rsidR="004533AF">
        <w:rPr>
          <w:rFonts w:ascii="Verdana" w:hAnsi="Verdana"/>
          <w:sz w:val="18"/>
          <w:szCs w:val="18"/>
        </w:rPr>
        <w:t xml:space="preserve">om </w:t>
      </w:r>
      <w:r w:rsidRPr="00FF46E3" w:rsidR="006A78E5">
        <w:rPr>
          <w:rFonts w:ascii="Verdana" w:hAnsi="Verdana"/>
          <w:sz w:val="18"/>
          <w:szCs w:val="18"/>
        </w:rPr>
        <w:t>vertrouwelijke gegevens</w:t>
      </w:r>
      <w:r w:rsidRPr="00FF46E3" w:rsidR="00832FBD">
        <w:rPr>
          <w:rFonts w:ascii="Verdana" w:hAnsi="Verdana"/>
          <w:sz w:val="18"/>
          <w:szCs w:val="18"/>
        </w:rPr>
        <w:t>,</w:t>
      </w:r>
      <w:r w:rsidRPr="00FF46E3" w:rsidR="006A78E5">
        <w:rPr>
          <w:rFonts w:ascii="Verdana" w:hAnsi="Verdana"/>
          <w:sz w:val="18"/>
          <w:szCs w:val="18"/>
        </w:rPr>
        <w:t xml:space="preserve"> voorziet artikel </w:t>
      </w:r>
      <w:r w:rsidR="006B09DE">
        <w:rPr>
          <w:rFonts w:ascii="Verdana" w:hAnsi="Verdana"/>
          <w:sz w:val="18"/>
          <w:szCs w:val="18"/>
        </w:rPr>
        <w:t>66</w:t>
      </w:r>
      <w:r w:rsidRPr="00FF46E3" w:rsidR="006B09DE">
        <w:rPr>
          <w:rFonts w:ascii="Verdana" w:hAnsi="Verdana"/>
          <w:sz w:val="18"/>
          <w:szCs w:val="18"/>
        </w:rPr>
        <w:t xml:space="preserve"> </w:t>
      </w:r>
      <w:proofErr w:type="spellStart"/>
      <w:r w:rsidRPr="00FF46E3" w:rsidR="00FF74D3">
        <w:rPr>
          <w:rFonts w:ascii="Verdana" w:hAnsi="Verdana"/>
          <w:sz w:val="18"/>
          <w:szCs w:val="18"/>
        </w:rPr>
        <w:t>Cbw</w:t>
      </w:r>
      <w:proofErr w:type="spellEnd"/>
      <w:r w:rsidRPr="00FF46E3" w:rsidR="006A78E5">
        <w:rPr>
          <w:rFonts w:ascii="Verdana" w:hAnsi="Verdana"/>
          <w:sz w:val="18"/>
          <w:szCs w:val="18"/>
        </w:rPr>
        <w:t xml:space="preserve"> in </w:t>
      </w:r>
      <w:r w:rsidR="007C36B1">
        <w:rPr>
          <w:rFonts w:ascii="Verdana" w:hAnsi="Verdana"/>
          <w:sz w:val="18"/>
          <w:szCs w:val="18"/>
        </w:rPr>
        <w:t>nadere waarborgen</w:t>
      </w:r>
      <w:r w:rsidRPr="00FF46E3" w:rsidR="006A78E5">
        <w:rPr>
          <w:rFonts w:ascii="Verdana" w:hAnsi="Verdana"/>
          <w:sz w:val="18"/>
          <w:szCs w:val="18"/>
        </w:rPr>
        <w:t xml:space="preserve">. </w:t>
      </w:r>
    </w:p>
    <w:p w:rsidRPr="00FF46E3" w:rsidR="006A78E5" w:rsidP="006A78E5" w:rsidRDefault="006A78E5" w14:paraId="152A6B47" w14:textId="77777777">
      <w:pPr>
        <w:pStyle w:val="Geenafstand"/>
        <w:rPr>
          <w:rFonts w:ascii="Verdana" w:hAnsi="Verdana"/>
          <w:sz w:val="18"/>
          <w:szCs w:val="18"/>
        </w:rPr>
      </w:pPr>
    </w:p>
    <w:p w:rsidRPr="00FF46E3" w:rsidR="006A78E5" w:rsidP="006A78E5" w:rsidRDefault="006A78E5" w14:paraId="5248DE41" w14:textId="221B9E0A">
      <w:pPr>
        <w:pStyle w:val="Geenafstand"/>
        <w:rPr>
          <w:rFonts w:ascii="Verdana" w:hAnsi="Verdana"/>
          <w:sz w:val="18"/>
          <w:szCs w:val="18"/>
        </w:rPr>
      </w:pPr>
      <w:bookmarkStart w:name="_Hlk179207436" w:id="61"/>
      <w:r w:rsidRPr="00FF46E3">
        <w:rPr>
          <w:rFonts w:ascii="Verdana" w:hAnsi="Verdana"/>
          <w:sz w:val="18"/>
          <w:szCs w:val="18"/>
        </w:rPr>
        <w:t xml:space="preserve">Door het verzamelen en analyseren van cyberdreigingen, kwetsbaarheden en incidenten is </w:t>
      </w:r>
      <w:r w:rsidRPr="00FF46E3" w:rsidR="00E955DD">
        <w:rPr>
          <w:rFonts w:ascii="Verdana" w:hAnsi="Verdana"/>
          <w:sz w:val="18"/>
          <w:szCs w:val="18"/>
        </w:rPr>
        <w:t>het</w:t>
      </w:r>
      <w:r w:rsidRPr="00FF46E3">
        <w:rPr>
          <w:rFonts w:ascii="Verdana" w:hAnsi="Verdana"/>
          <w:sz w:val="18"/>
          <w:szCs w:val="18"/>
        </w:rPr>
        <w:t xml:space="preserve"> CSIRT in staat de aard en ernst van dreigingen en incidenten te bepalen. Op basis hiervan kan </w:t>
      </w:r>
      <w:r w:rsidRPr="00FF46E3" w:rsidR="00E955DD">
        <w:rPr>
          <w:rFonts w:ascii="Verdana" w:hAnsi="Verdana"/>
          <w:sz w:val="18"/>
          <w:szCs w:val="18"/>
        </w:rPr>
        <w:t>het</w:t>
      </w:r>
      <w:r w:rsidRPr="00FF46E3">
        <w:rPr>
          <w:rFonts w:ascii="Verdana" w:hAnsi="Verdana"/>
          <w:sz w:val="18"/>
          <w:szCs w:val="18"/>
        </w:rPr>
        <w:t xml:space="preserve"> CSIRT </w:t>
      </w:r>
      <w:r w:rsidRPr="00FF46E3">
        <w:rPr>
          <w:rFonts w:ascii="Verdana" w:hAnsi="Verdana"/>
          <w:sz w:val="18"/>
          <w:szCs w:val="18"/>
        </w:rPr>
        <w:lastRenderedPageBreak/>
        <w:t xml:space="preserve">essentiële </w:t>
      </w:r>
      <w:r w:rsidR="00D91960">
        <w:rPr>
          <w:rFonts w:ascii="Verdana" w:hAnsi="Verdana"/>
          <w:sz w:val="18"/>
          <w:szCs w:val="18"/>
        </w:rPr>
        <w:t xml:space="preserve">entiteiten </w:t>
      </w:r>
      <w:r w:rsidRPr="00FF46E3">
        <w:rPr>
          <w:rFonts w:ascii="Verdana" w:hAnsi="Verdana"/>
          <w:sz w:val="18"/>
          <w:szCs w:val="18"/>
        </w:rPr>
        <w:t>en belangrijke entiteiten en andere relevante partijen waarschuwen en adviseren. Een CSIRT krijgt bijvoorbeeld informatie van een CSIRT uit een ander land</w:t>
      </w:r>
      <w:r w:rsidR="00B8246C">
        <w:rPr>
          <w:rFonts w:ascii="Verdana" w:hAnsi="Verdana"/>
          <w:sz w:val="18"/>
          <w:szCs w:val="18"/>
        </w:rPr>
        <w:t xml:space="preserve"> die </w:t>
      </w:r>
      <w:r w:rsidRPr="00FF46E3">
        <w:rPr>
          <w:rFonts w:ascii="Verdana" w:hAnsi="Verdana"/>
          <w:sz w:val="18"/>
          <w:szCs w:val="18"/>
        </w:rPr>
        <w:t xml:space="preserve">kenmerken </w:t>
      </w:r>
      <w:r w:rsidR="00B8246C">
        <w:rPr>
          <w:rFonts w:ascii="Verdana" w:hAnsi="Verdana"/>
          <w:sz w:val="18"/>
          <w:szCs w:val="18"/>
        </w:rPr>
        <w:t xml:space="preserve">bevat </w:t>
      </w:r>
      <w:r w:rsidRPr="00FF46E3">
        <w:rPr>
          <w:rFonts w:ascii="Verdana" w:hAnsi="Verdana"/>
          <w:sz w:val="18"/>
          <w:szCs w:val="18"/>
        </w:rPr>
        <w:t xml:space="preserve">van een digitale aanval, zoals </w:t>
      </w:r>
      <w:proofErr w:type="spellStart"/>
      <w:r w:rsidRPr="00FF46E3">
        <w:rPr>
          <w:rFonts w:ascii="Verdana" w:hAnsi="Verdana"/>
          <w:sz w:val="18"/>
          <w:szCs w:val="18"/>
        </w:rPr>
        <w:t>ransomware</w:t>
      </w:r>
      <w:proofErr w:type="spellEnd"/>
      <w:r w:rsidRPr="00FF46E3">
        <w:rPr>
          <w:rFonts w:ascii="Verdana" w:hAnsi="Verdana"/>
          <w:sz w:val="18"/>
          <w:szCs w:val="18"/>
        </w:rPr>
        <w:t xml:space="preserve"> en de betrokken IP-adressen. Door deze informatie te analyseren en vervolgens te delen met essentiële entiteiten, belangrijke entiteiten en relevante partijen, worden deze organisaties in staat gesteld om passende maatregelen te nemen om digitale incidenten te voorkomen of te verhelpen. Hiermee wordt ook de continuïteit van de dienstverlening zo goed mogelijk gewaarborgd.</w:t>
      </w:r>
    </w:p>
    <w:bookmarkEnd w:id="61"/>
    <w:p w:rsidR="006A78E5" w:rsidP="006A78E5" w:rsidRDefault="006A78E5" w14:paraId="1884F8BF" w14:textId="20E9F630">
      <w:pPr>
        <w:pStyle w:val="Geenafstand"/>
        <w:rPr>
          <w:rFonts w:ascii="Verdana" w:hAnsi="Verdana"/>
          <w:b/>
          <w:bCs/>
          <w:sz w:val="18"/>
          <w:szCs w:val="18"/>
        </w:rPr>
      </w:pPr>
    </w:p>
    <w:p w:rsidRPr="00FF46E3" w:rsidR="006A78E5" w:rsidP="006A78E5" w:rsidRDefault="006A78E5" w14:paraId="1DDCB3E5" w14:textId="779B68D9">
      <w:pPr>
        <w:pStyle w:val="Geenafstand"/>
        <w:rPr>
          <w:rFonts w:ascii="Verdana" w:hAnsi="Verdana"/>
          <w:sz w:val="18"/>
          <w:szCs w:val="18"/>
        </w:rPr>
      </w:pPr>
      <w:r w:rsidRPr="00FF46E3">
        <w:rPr>
          <w:rFonts w:ascii="Verdana" w:hAnsi="Verdana"/>
          <w:sz w:val="18"/>
          <w:szCs w:val="18"/>
        </w:rPr>
        <w:t xml:space="preserve">Naar aanleiding van </w:t>
      </w:r>
      <w:r w:rsidR="001349F8">
        <w:rPr>
          <w:rFonts w:ascii="Verdana" w:hAnsi="Verdana"/>
          <w:sz w:val="18"/>
          <w:szCs w:val="18"/>
        </w:rPr>
        <w:t>een</w:t>
      </w:r>
      <w:r w:rsidRPr="00FF46E3">
        <w:rPr>
          <w:rFonts w:ascii="Verdana" w:hAnsi="Verdana"/>
          <w:sz w:val="18"/>
          <w:szCs w:val="18"/>
        </w:rPr>
        <w:t xml:space="preserve"> wijziging van de </w:t>
      </w:r>
      <w:proofErr w:type="spellStart"/>
      <w:r w:rsidRPr="00FF46E3">
        <w:rPr>
          <w:rFonts w:ascii="Verdana" w:hAnsi="Verdana"/>
          <w:sz w:val="18"/>
          <w:szCs w:val="18"/>
        </w:rPr>
        <w:t>Wbni</w:t>
      </w:r>
      <w:proofErr w:type="spellEnd"/>
      <w:r w:rsidRPr="00FF46E3">
        <w:rPr>
          <w:rFonts w:ascii="Verdana" w:hAnsi="Verdana"/>
          <w:sz w:val="18"/>
          <w:szCs w:val="18"/>
          <w:vertAlign w:val="superscript"/>
        </w:rPr>
        <w:footnoteReference w:id="47"/>
      </w:r>
      <w:r w:rsidRPr="00FF46E3">
        <w:rPr>
          <w:rFonts w:ascii="Verdana" w:hAnsi="Verdana"/>
          <w:sz w:val="18"/>
          <w:szCs w:val="18"/>
        </w:rPr>
        <w:t xml:space="preserve"> is opnieuw beoordeeld of IP-adressen kunnen worden aangemerkt als strafrechtelijke persoonsgegevens in de zin van artikel 10 </w:t>
      </w:r>
      <w:r w:rsidRPr="00CB299F" w:rsidR="00CB299F">
        <w:rPr>
          <w:rFonts w:ascii="Verdana" w:hAnsi="Verdana"/>
          <w:sz w:val="18"/>
          <w:szCs w:val="18"/>
        </w:rPr>
        <w:t xml:space="preserve">Algemene verordening gegevensbescherming </w:t>
      </w:r>
      <w:r w:rsidR="00CB299F">
        <w:rPr>
          <w:rFonts w:ascii="Verdana" w:hAnsi="Verdana"/>
          <w:sz w:val="18"/>
          <w:szCs w:val="18"/>
        </w:rPr>
        <w:t xml:space="preserve">(hierna: </w:t>
      </w:r>
      <w:proofErr w:type="spellStart"/>
      <w:r w:rsidRPr="00FF46E3" w:rsidR="007A01C8">
        <w:rPr>
          <w:rFonts w:ascii="Verdana" w:hAnsi="Verdana"/>
          <w:sz w:val="18"/>
          <w:szCs w:val="18"/>
        </w:rPr>
        <w:t>Avg</w:t>
      </w:r>
      <w:proofErr w:type="spellEnd"/>
      <w:r w:rsidR="00CB299F">
        <w:rPr>
          <w:rFonts w:ascii="Verdana" w:hAnsi="Verdana"/>
          <w:sz w:val="18"/>
          <w:szCs w:val="18"/>
        </w:rPr>
        <w:t>)</w:t>
      </w:r>
      <w:r w:rsidRPr="00FF46E3" w:rsidR="007A01C8">
        <w:rPr>
          <w:rFonts w:ascii="Verdana" w:hAnsi="Verdana"/>
          <w:sz w:val="18"/>
          <w:szCs w:val="18"/>
        </w:rPr>
        <w:t xml:space="preserve"> </w:t>
      </w:r>
      <w:r w:rsidRPr="00FF46E3">
        <w:rPr>
          <w:rFonts w:ascii="Verdana" w:hAnsi="Verdana"/>
          <w:sz w:val="18"/>
          <w:szCs w:val="18"/>
        </w:rPr>
        <w:t>bij de verwerking onder de NIS2-richtlijn. Daarbij is om de hiernavolgende redenen geconcludeerd dat een IP-adres niet als zodanig kan worden aangemerkt. Hierbij is het van belang of sprake is van zodanige concrete feiten en omstandigheden d</w:t>
      </w:r>
      <w:r w:rsidR="00EB60E7">
        <w:rPr>
          <w:rFonts w:ascii="Verdana" w:hAnsi="Verdana"/>
          <w:sz w:val="18"/>
          <w:szCs w:val="18"/>
        </w:rPr>
        <w:t>at</w:t>
      </w:r>
      <w:r w:rsidRPr="00FF46E3">
        <w:rPr>
          <w:rFonts w:ascii="Verdana" w:hAnsi="Verdana"/>
          <w:sz w:val="18"/>
          <w:szCs w:val="18"/>
        </w:rPr>
        <w:t xml:space="preserve"> persoonsgegevens als een strafbaar feit te kwalificeren bewezenverklaring – in de zin van artikel 350 Wetboek van Strafvordering – kunnen dragen.</w:t>
      </w:r>
      <w:r w:rsidRPr="00FF46E3">
        <w:rPr>
          <w:rFonts w:ascii="Verdana" w:hAnsi="Verdana"/>
          <w:sz w:val="18"/>
          <w:szCs w:val="18"/>
          <w:vertAlign w:val="superscript"/>
        </w:rPr>
        <w:footnoteReference w:id="48"/>
      </w:r>
      <w:r w:rsidRPr="00FF46E3">
        <w:rPr>
          <w:rFonts w:ascii="Verdana" w:hAnsi="Verdana"/>
          <w:sz w:val="18"/>
          <w:szCs w:val="18"/>
        </w:rPr>
        <w:t xml:space="preserve"> Hieruit volgt de maatstaf of vastgestelde gedragingen een zwaardere verdenking dan een redelijk vermoeden van schuld opleveren, in die zin dat te verwerken strafrechtelijke persoonsgegevens in voldoende mate moeten vaststaan Daarnaast speelt attributie – de mate waarin een strafbaar feit daadwerkelijk aan een persoon kan worden toegerekend </w:t>
      </w:r>
      <w:r w:rsidRPr="00FF46E3" w:rsidR="00364EE1">
        <w:rPr>
          <w:rFonts w:ascii="Verdana" w:hAnsi="Verdana"/>
          <w:sz w:val="18"/>
          <w:szCs w:val="18"/>
        </w:rPr>
        <w:t xml:space="preserve">– </w:t>
      </w:r>
      <w:r w:rsidRPr="00FF46E3">
        <w:rPr>
          <w:rFonts w:ascii="Verdana" w:hAnsi="Verdana"/>
          <w:sz w:val="18"/>
          <w:szCs w:val="18"/>
        </w:rPr>
        <w:t xml:space="preserve">een rol in de vraag of een persoonsgegeven kan worden gekwalificeerd als een strafrechtelijk persoonsgegeven. </w:t>
      </w:r>
    </w:p>
    <w:p w:rsidRPr="00FF46E3" w:rsidR="00832FBD" w:rsidP="006A78E5" w:rsidRDefault="00832FBD" w14:paraId="4B7A6D11" w14:textId="77777777">
      <w:pPr>
        <w:pStyle w:val="Geenafstand"/>
        <w:rPr>
          <w:rFonts w:ascii="Verdana" w:hAnsi="Verdana"/>
          <w:sz w:val="18"/>
          <w:szCs w:val="18"/>
        </w:rPr>
      </w:pPr>
    </w:p>
    <w:p w:rsidRPr="00FF46E3" w:rsidR="00F26F37" w:rsidP="006A78E5" w:rsidRDefault="006A78E5" w14:paraId="5951B1C4" w14:textId="77D7D979">
      <w:pPr>
        <w:pStyle w:val="Geenafstand"/>
        <w:rPr>
          <w:rFonts w:ascii="Verdana" w:hAnsi="Verdana"/>
          <w:sz w:val="18"/>
          <w:szCs w:val="18"/>
        </w:rPr>
      </w:pPr>
      <w:r w:rsidRPr="00FF46E3">
        <w:rPr>
          <w:rFonts w:ascii="Verdana" w:hAnsi="Verdana"/>
          <w:sz w:val="18"/>
          <w:szCs w:val="18"/>
        </w:rPr>
        <w:t xml:space="preserve">De verstrekking van dreigings- en incidentinformatie, met inbegrip van persoonsgegevens, door </w:t>
      </w:r>
      <w:r w:rsidRPr="00FF46E3" w:rsidR="0086611B">
        <w:rPr>
          <w:rFonts w:ascii="Verdana" w:hAnsi="Verdana"/>
          <w:sz w:val="18"/>
          <w:szCs w:val="18"/>
        </w:rPr>
        <w:t>het</w:t>
      </w:r>
      <w:r w:rsidRPr="00FF46E3">
        <w:rPr>
          <w:rFonts w:ascii="Verdana" w:hAnsi="Verdana"/>
          <w:sz w:val="18"/>
          <w:szCs w:val="18"/>
        </w:rPr>
        <w:t xml:space="preserve"> CSIRT aan essentiële </w:t>
      </w:r>
      <w:r w:rsidR="00D91960">
        <w:rPr>
          <w:rFonts w:ascii="Verdana" w:hAnsi="Verdana"/>
          <w:sz w:val="18"/>
          <w:szCs w:val="18"/>
        </w:rPr>
        <w:t xml:space="preserve">entiteiten </w:t>
      </w:r>
      <w:r w:rsidRPr="00FF46E3">
        <w:rPr>
          <w:rFonts w:ascii="Verdana" w:hAnsi="Verdana"/>
          <w:sz w:val="18"/>
          <w:szCs w:val="18"/>
        </w:rPr>
        <w:t xml:space="preserve">en belangrijke entiteiten of andere relevante partijen heeft tot doel om hen in de gelegenheid te brengen om maatregelen te nemen om digitale incidenten te voorkomen of te verhelpen en daarmee de digitale weerbaarheid van deze organisaties te vergroten, en bijvoorbeeld niet tot doel om handhavend op te treden tegen partijen die verantwoordelijk zijn voor genoemde incidenten. </w:t>
      </w:r>
      <w:r w:rsidRPr="00FF46E3" w:rsidR="00885D69">
        <w:rPr>
          <w:rFonts w:ascii="Verdana" w:hAnsi="Verdana"/>
          <w:sz w:val="18"/>
          <w:szCs w:val="18"/>
        </w:rPr>
        <w:t xml:space="preserve">De IP-adressen dienen niet als strafrechtelijke persoonsgegevens in de zin van artikel 10 </w:t>
      </w:r>
      <w:proofErr w:type="spellStart"/>
      <w:r w:rsidRPr="00FF46E3" w:rsidR="00885D69">
        <w:rPr>
          <w:rFonts w:ascii="Verdana" w:hAnsi="Verdana"/>
          <w:sz w:val="18"/>
          <w:szCs w:val="18"/>
        </w:rPr>
        <w:t>A</w:t>
      </w:r>
      <w:r w:rsidRPr="00FF46E3" w:rsidR="005020A0">
        <w:rPr>
          <w:rFonts w:ascii="Verdana" w:hAnsi="Verdana"/>
          <w:sz w:val="18"/>
          <w:szCs w:val="18"/>
        </w:rPr>
        <w:t>vg</w:t>
      </w:r>
      <w:proofErr w:type="spellEnd"/>
      <w:r w:rsidRPr="00FF46E3" w:rsidR="00885D69">
        <w:rPr>
          <w:rFonts w:ascii="Verdana" w:hAnsi="Verdana"/>
          <w:sz w:val="18"/>
          <w:szCs w:val="18"/>
        </w:rPr>
        <w:t xml:space="preserve"> te worden beschouwd, omdat</w:t>
      </w:r>
      <w:r w:rsidRPr="00FF46E3" w:rsidR="00EA661F">
        <w:rPr>
          <w:rFonts w:ascii="Verdana" w:hAnsi="Verdana"/>
          <w:sz w:val="18"/>
          <w:szCs w:val="18"/>
        </w:rPr>
        <w:t xml:space="preserve"> </w:t>
      </w:r>
      <w:r w:rsidRPr="00FF46E3" w:rsidR="00885D69">
        <w:rPr>
          <w:rFonts w:ascii="Verdana" w:hAnsi="Verdana"/>
          <w:sz w:val="18"/>
          <w:szCs w:val="18"/>
        </w:rPr>
        <w:t xml:space="preserve">niet kan worden </w:t>
      </w:r>
      <w:r w:rsidRPr="00FF46E3">
        <w:rPr>
          <w:rFonts w:ascii="Verdana" w:hAnsi="Verdana"/>
          <w:sz w:val="18"/>
          <w:szCs w:val="18"/>
        </w:rPr>
        <w:t xml:space="preserve">afgeleid dat sprake is van een gedraging die een zwaardere verdenking dan een redelijk vermoeden van schuld oplevert. Om te constateren dat sprake is van een zwaardere verdenking dan een redelijk vermoeden van schuld zullen naast IP-adressen namelijk meer concrete feiten en omstandigheden nodig zijn. Bovendien zullen de te verwerken IP-adressen alleen in combinatie met andere tot een persoon herleidbare gegevens kunnen leiden tot attributie. Aan de bovengenoemde twee criteria wordt niet voldaan. </w:t>
      </w:r>
    </w:p>
    <w:p w:rsidRPr="00FF46E3" w:rsidR="009611DF" w:rsidP="006A78E5" w:rsidRDefault="009611DF" w14:paraId="30E7CDD8" w14:textId="77777777">
      <w:pPr>
        <w:pStyle w:val="Geenafstand"/>
        <w:rPr>
          <w:rFonts w:ascii="Verdana" w:hAnsi="Verdana"/>
          <w:sz w:val="18"/>
          <w:szCs w:val="18"/>
        </w:rPr>
      </w:pPr>
    </w:p>
    <w:p w:rsidRPr="00FF46E3" w:rsidR="0091174C" w:rsidP="00C3466E" w:rsidRDefault="006A78E5" w14:paraId="349FE084" w14:textId="4A237602">
      <w:pPr>
        <w:pStyle w:val="Kop3"/>
      </w:pPr>
      <w:bookmarkStart w:name="_Toc198721080" w:id="62"/>
      <w:r w:rsidRPr="00FF46E3">
        <w:t>5</w:t>
      </w:r>
      <w:r w:rsidRPr="00FF46E3" w:rsidR="0091174C">
        <w:t>.</w:t>
      </w:r>
      <w:r w:rsidR="007E5530">
        <w:t>5.3</w:t>
      </w:r>
      <w:r w:rsidRPr="00FF46E3" w:rsidR="0091174C">
        <w:t xml:space="preserve"> Rol </w:t>
      </w:r>
      <w:r w:rsidR="001A40E2">
        <w:t>NCSC</w:t>
      </w:r>
      <w:bookmarkEnd w:id="62"/>
    </w:p>
    <w:p w:rsidRPr="00FF46E3" w:rsidR="00E165F0" w:rsidP="0091174C" w:rsidRDefault="00E165F0" w14:paraId="7737DE22" w14:textId="77777777">
      <w:pPr>
        <w:pStyle w:val="Geenafstand"/>
        <w:rPr>
          <w:rFonts w:ascii="Verdana" w:hAnsi="Verdana"/>
          <w:sz w:val="18"/>
          <w:szCs w:val="18"/>
        </w:rPr>
      </w:pPr>
    </w:p>
    <w:p w:rsidR="0091174C" w:rsidP="006200DD" w:rsidRDefault="00F567F2" w14:paraId="48DF5247" w14:textId="3D79F1A2">
      <w:pPr>
        <w:pStyle w:val="Geenafstand"/>
        <w:rPr>
          <w:rFonts w:ascii="Verdana" w:hAnsi="Verdana"/>
          <w:sz w:val="18"/>
          <w:szCs w:val="18"/>
        </w:rPr>
      </w:pPr>
      <w:r>
        <w:rPr>
          <w:rFonts w:ascii="Verdana" w:hAnsi="Verdana"/>
          <w:sz w:val="18"/>
          <w:szCs w:val="18"/>
        </w:rPr>
        <w:t>D</w:t>
      </w:r>
      <w:r w:rsidRPr="00FF46E3" w:rsidR="00402AFA">
        <w:rPr>
          <w:rFonts w:ascii="Verdana" w:hAnsi="Verdana"/>
          <w:sz w:val="18"/>
          <w:szCs w:val="18"/>
        </w:rPr>
        <w:t xml:space="preserve">e </w:t>
      </w:r>
      <w:r>
        <w:rPr>
          <w:rFonts w:ascii="Verdana" w:hAnsi="Verdana"/>
          <w:sz w:val="18"/>
          <w:szCs w:val="18"/>
        </w:rPr>
        <w:t>CSIRT-</w:t>
      </w:r>
      <w:r w:rsidRPr="00FF46E3" w:rsidR="00402AFA">
        <w:rPr>
          <w:rFonts w:ascii="Verdana" w:hAnsi="Verdana"/>
          <w:sz w:val="18"/>
          <w:szCs w:val="18"/>
        </w:rPr>
        <w:t>taken</w:t>
      </w:r>
      <w:r>
        <w:rPr>
          <w:rFonts w:ascii="Verdana" w:hAnsi="Verdana"/>
          <w:sz w:val="18"/>
          <w:szCs w:val="18"/>
        </w:rPr>
        <w:t xml:space="preserve"> ten aanzien van een groot deel van de entiteiten die onder het toepassingsbereik van de </w:t>
      </w:r>
      <w:proofErr w:type="spellStart"/>
      <w:r>
        <w:rPr>
          <w:rFonts w:ascii="Verdana" w:hAnsi="Verdana"/>
          <w:sz w:val="18"/>
          <w:szCs w:val="18"/>
        </w:rPr>
        <w:t>Cbw</w:t>
      </w:r>
      <w:proofErr w:type="spellEnd"/>
      <w:r>
        <w:rPr>
          <w:rFonts w:ascii="Verdana" w:hAnsi="Verdana"/>
          <w:sz w:val="18"/>
          <w:szCs w:val="18"/>
        </w:rPr>
        <w:t xml:space="preserve"> vallen zullen naar verwachting in de praktijk worden uitgevoerd door het NCSC. Dit is ook de verwachting voor wat betreft de taken van de</w:t>
      </w:r>
      <w:r w:rsidRPr="00FF46E3">
        <w:rPr>
          <w:rFonts w:ascii="Verdana" w:hAnsi="Verdana"/>
          <w:sz w:val="18"/>
          <w:szCs w:val="18"/>
        </w:rPr>
        <w:t xml:space="preserve"> coördinator met het oog op een gecoördineerde bekendmaking van kwetsbaarheden (artikel </w:t>
      </w:r>
      <w:r>
        <w:rPr>
          <w:rFonts w:ascii="Verdana" w:hAnsi="Verdana"/>
          <w:sz w:val="18"/>
          <w:szCs w:val="18"/>
        </w:rPr>
        <w:t>17</w:t>
      </w:r>
      <w:r w:rsidRPr="00FF46E3">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w:t>
      </w:r>
      <w:r>
        <w:rPr>
          <w:rFonts w:ascii="Verdana" w:hAnsi="Verdana"/>
          <w:sz w:val="18"/>
          <w:szCs w:val="18"/>
        </w:rPr>
        <w:t xml:space="preserve">, het centrale contactpunt, </w:t>
      </w:r>
      <w:r w:rsidRPr="00FF46E3">
        <w:rPr>
          <w:rFonts w:ascii="Verdana" w:hAnsi="Verdana"/>
          <w:sz w:val="18"/>
          <w:szCs w:val="18"/>
        </w:rPr>
        <w:t>de beheerder van het nationale register en de beheerder van de meld- en registratiefunctionaliteit</w:t>
      </w:r>
      <w:r>
        <w:rPr>
          <w:rFonts w:ascii="Verdana" w:hAnsi="Verdana"/>
          <w:sz w:val="18"/>
          <w:szCs w:val="18"/>
        </w:rPr>
        <w:t xml:space="preserve">. </w:t>
      </w:r>
      <w:r w:rsidRPr="00FF46E3" w:rsidR="0091174C">
        <w:rPr>
          <w:rFonts w:ascii="Verdana" w:hAnsi="Verdana"/>
          <w:sz w:val="18"/>
          <w:szCs w:val="18"/>
        </w:rPr>
        <w:t xml:space="preserve">In internationaal verband zijn het vaak </w:t>
      </w:r>
      <w:proofErr w:type="spellStart"/>
      <w:r w:rsidRPr="00FF46E3" w:rsidR="0091174C">
        <w:rPr>
          <w:rFonts w:ascii="Verdana" w:hAnsi="Verdana"/>
          <w:sz w:val="18"/>
          <w:szCs w:val="18"/>
        </w:rPr>
        <w:t>CSIRT’s</w:t>
      </w:r>
      <w:proofErr w:type="spellEnd"/>
      <w:r w:rsidRPr="00FF46E3" w:rsidR="0091174C">
        <w:rPr>
          <w:rFonts w:ascii="Verdana" w:hAnsi="Verdana"/>
          <w:sz w:val="18"/>
          <w:szCs w:val="18"/>
        </w:rPr>
        <w:t xml:space="preserve"> die al</w:t>
      </w:r>
      <w:r>
        <w:rPr>
          <w:rFonts w:ascii="Verdana" w:hAnsi="Verdana"/>
          <w:sz w:val="18"/>
          <w:szCs w:val="18"/>
        </w:rPr>
        <w:t>le hiervoor genoemde</w:t>
      </w:r>
      <w:r w:rsidRPr="00FF46E3" w:rsidR="0091174C">
        <w:rPr>
          <w:rFonts w:ascii="Verdana" w:hAnsi="Verdana"/>
          <w:sz w:val="18"/>
          <w:szCs w:val="18"/>
        </w:rPr>
        <w:t xml:space="preserve"> taken vervullen en veel landen hebben die organisatie gedefinieerd als hun “nationale CSIRT”.</w:t>
      </w:r>
      <w:r w:rsidRPr="00FF46E3" w:rsidR="001A077A">
        <w:rPr>
          <w:rFonts w:ascii="Verdana" w:hAnsi="Verdana"/>
          <w:sz w:val="18"/>
          <w:szCs w:val="18"/>
        </w:rPr>
        <w:t xml:space="preserve"> </w:t>
      </w:r>
      <w:r w:rsidRPr="00FF46E3" w:rsidR="0091174C">
        <w:rPr>
          <w:rFonts w:ascii="Verdana" w:hAnsi="Verdana"/>
          <w:sz w:val="18"/>
          <w:szCs w:val="18"/>
        </w:rPr>
        <w:t>In de praktijk zal het NCSC in binnen</w:t>
      </w:r>
      <w:r w:rsidRPr="00FF46E3" w:rsidR="00420B18">
        <w:rPr>
          <w:rFonts w:ascii="Verdana" w:hAnsi="Verdana"/>
          <w:sz w:val="18"/>
          <w:szCs w:val="18"/>
        </w:rPr>
        <w:t>-</w:t>
      </w:r>
      <w:r w:rsidRPr="00FF46E3" w:rsidR="0091174C">
        <w:rPr>
          <w:rFonts w:ascii="Verdana" w:hAnsi="Verdana"/>
          <w:sz w:val="18"/>
          <w:szCs w:val="18"/>
        </w:rPr>
        <w:t xml:space="preserve"> en buitenland</w:t>
      </w:r>
      <w:r w:rsidRPr="00FF46E3" w:rsidR="00E14E6E">
        <w:rPr>
          <w:rFonts w:ascii="Verdana" w:hAnsi="Verdana"/>
          <w:sz w:val="18"/>
          <w:szCs w:val="18"/>
        </w:rPr>
        <w:t>, ook zonder formele aanwijzing,</w:t>
      </w:r>
      <w:r w:rsidRPr="00FF46E3" w:rsidR="0091174C">
        <w:rPr>
          <w:rFonts w:ascii="Verdana" w:hAnsi="Verdana"/>
          <w:sz w:val="18"/>
          <w:szCs w:val="18"/>
        </w:rPr>
        <w:t xml:space="preserve"> als </w:t>
      </w:r>
      <w:r w:rsidRPr="00FF46E3" w:rsidR="00420B18">
        <w:rPr>
          <w:rFonts w:ascii="Verdana" w:hAnsi="Verdana"/>
          <w:sz w:val="18"/>
          <w:szCs w:val="18"/>
        </w:rPr>
        <w:t>“</w:t>
      </w:r>
      <w:r w:rsidRPr="00FF46E3" w:rsidR="0091174C">
        <w:rPr>
          <w:rFonts w:ascii="Verdana" w:hAnsi="Verdana"/>
          <w:sz w:val="18"/>
          <w:szCs w:val="18"/>
        </w:rPr>
        <w:t>nationale CSIRT</w:t>
      </w:r>
      <w:r w:rsidRPr="00FF46E3" w:rsidR="00420B18">
        <w:rPr>
          <w:rFonts w:ascii="Verdana" w:hAnsi="Verdana"/>
          <w:sz w:val="18"/>
          <w:szCs w:val="18"/>
        </w:rPr>
        <w:t>”</w:t>
      </w:r>
      <w:r w:rsidRPr="00FF46E3" w:rsidR="0091174C">
        <w:rPr>
          <w:rFonts w:ascii="Verdana" w:hAnsi="Verdana"/>
          <w:sz w:val="18"/>
          <w:szCs w:val="18"/>
        </w:rPr>
        <w:t xml:space="preserve"> opereren</w:t>
      </w:r>
      <w:r w:rsidRPr="00FF46E3" w:rsidR="00E17A9D">
        <w:rPr>
          <w:rFonts w:ascii="Verdana" w:hAnsi="Verdana"/>
          <w:sz w:val="18"/>
          <w:szCs w:val="18"/>
        </w:rPr>
        <w:t>, o</w:t>
      </w:r>
      <w:r w:rsidRPr="00FF46E3" w:rsidR="0091174C">
        <w:rPr>
          <w:rFonts w:ascii="Verdana" w:hAnsi="Verdana"/>
          <w:sz w:val="18"/>
          <w:szCs w:val="18"/>
        </w:rPr>
        <w:t xml:space="preserve">ok gelet op de overige taken die het NCSC op grond van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sidR="0091174C">
        <w:rPr>
          <w:rFonts w:ascii="Verdana" w:hAnsi="Verdana"/>
          <w:sz w:val="18"/>
          <w:szCs w:val="18"/>
        </w:rPr>
        <w:t xml:space="preserve"> vervult en de cruciale positie die het NCSC inneemt in het versterken van de digitale weerbaarheid.</w:t>
      </w:r>
    </w:p>
    <w:p w:rsidR="00A028DF" w:rsidP="00A028DF" w:rsidRDefault="00A028DF" w14:paraId="57E65AA1" w14:textId="77777777">
      <w:pPr>
        <w:pStyle w:val="Geenafstand"/>
        <w:rPr>
          <w:rFonts w:ascii="Verdana" w:hAnsi="Verdana"/>
          <w:sz w:val="18"/>
          <w:szCs w:val="18"/>
        </w:rPr>
      </w:pPr>
    </w:p>
    <w:p w:rsidRPr="005A0BE7" w:rsidR="00A028DF" w:rsidP="00C3466E" w:rsidRDefault="00A028DF" w14:paraId="5665A344" w14:textId="10B08C8C">
      <w:pPr>
        <w:pStyle w:val="Kop3"/>
      </w:pPr>
      <w:bookmarkStart w:name="_Toc198721081" w:id="63"/>
      <w:r w:rsidRPr="005A0BE7">
        <w:t>5.</w:t>
      </w:r>
      <w:r w:rsidR="007E5530">
        <w:t>5.4</w:t>
      </w:r>
      <w:r w:rsidRPr="005A0BE7">
        <w:t xml:space="preserve"> Samenwerking </w:t>
      </w:r>
      <w:r w:rsidR="008F7E25">
        <w:t xml:space="preserve">tussen </w:t>
      </w:r>
      <w:proofErr w:type="spellStart"/>
      <w:r w:rsidRPr="005A0BE7">
        <w:t>CSIRT</w:t>
      </w:r>
      <w:r w:rsidR="008F7E25">
        <w:t>’</w:t>
      </w:r>
      <w:r w:rsidRPr="005A0BE7">
        <w:t>s</w:t>
      </w:r>
      <w:bookmarkEnd w:id="63"/>
      <w:proofErr w:type="spellEnd"/>
    </w:p>
    <w:p w:rsidR="00A028DF" w:rsidP="00A028DF" w:rsidRDefault="00A028DF" w14:paraId="59DEBC73" w14:textId="77777777">
      <w:pPr>
        <w:pStyle w:val="Geenafstand"/>
        <w:rPr>
          <w:rFonts w:ascii="Verdana" w:hAnsi="Verdana"/>
          <w:sz w:val="18"/>
          <w:szCs w:val="18"/>
        </w:rPr>
      </w:pPr>
    </w:p>
    <w:p w:rsidRPr="00FF46E3" w:rsidR="00A028DF" w:rsidP="00A028DF" w:rsidRDefault="00A028DF" w14:paraId="0FF42A65" w14:textId="5ED897BF">
      <w:pPr>
        <w:pStyle w:val="Geenafstand"/>
        <w:rPr>
          <w:rFonts w:ascii="Verdana" w:hAnsi="Verdana"/>
          <w:b/>
          <w:bCs/>
          <w:sz w:val="18"/>
          <w:szCs w:val="18"/>
        </w:rPr>
      </w:pPr>
      <w:r w:rsidRPr="00FF46E3">
        <w:rPr>
          <w:rFonts w:ascii="Verdana" w:hAnsi="Verdana"/>
          <w:sz w:val="18"/>
          <w:szCs w:val="18"/>
        </w:rPr>
        <w:t xml:space="preserve">In de </w:t>
      </w:r>
      <w:proofErr w:type="spellStart"/>
      <w:r w:rsidRPr="00FF46E3">
        <w:rPr>
          <w:rFonts w:ascii="Verdana" w:hAnsi="Verdana"/>
          <w:sz w:val="18"/>
          <w:szCs w:val="18"/>
        </w:rPr>
        <w:t>Cbw</w:t>
      </w:r>
      <w:proofErr w:type="spellEnd"/>
      <w:r w:rsidRPr="00FF46E3">
        <w:rPr>
          <w:rFonts w:ascii="Verdana" w:hAnsi="Verdana"/>
          <w:sz w:val="18"/>
          <w:szCs w:val="18"/>
        </w:rPr>
        <w:t xml:space="preserve"> word</w:t>
      </w:r>
      <w:r>
        <w:rPr>
          <w:rFonts w:ascii="Verdana" w:hAnsi="Verdana"/>
          <w:sz w:val="18"/>
          <w:szCs w:val="18"/>
        </w:rPr>
        <w:t>en de CSIRT-taken</w:t>
      </w:r>
      <w:r w:rsidRPr="00FF46E3">
        <w:rPr>
          <w:rFonts w:ascii="Verdana" w:hAnsi="Verdana"/>
          <w:sz w:val="18"/>
          <w:szCs w:val="18"/>
        </w:rPr>
        <w:t xml:space="preserve"> vormgegeven langs de lijnen van de ministeriële verantwoordelijkheden voor de respectievelijke sectoren</w:t>
      </w:r>
      <w:r>
        <w:rPr>
          <w:rFonts w:ascii="Verdana" w:hAnsi="Verdana"/>
          <w:sz w:val="18"/>
          <w:szCs w:val="18"/>
        </w:rPr>
        <w:t>.</w:t>
      </w:r>
      <w:r w:rsidRPr="00FF46E3">
        <w:rPr>
          <w:rFonts w:ascii="Verdana" w:hAnsi="Verdana"/>
          <w:sz w:val="18"/>
          <w:szCs w:val="18"/>
        </w:rPr>
        <w:t xml:space="preserve"> Het is niet uit te sluiten dat een essentiële entiteit of belangrijke entiteit actief is binnen meerdere sectoren en daarmee mogelijk te maken kan krijgen met meerdere </w:t>
      </w:r>
      <w:proofErr w:type="spellStart"/>
      <w:r>
        <w:rPr>
          <w:rFonts w:ascii="Verdana" w:hAnsi="Verdana"/>
          <w:sz w:val="18"/>
          <w:szCs w:val="18"/>
        </w:rPr>
        <w:t>CSIRT</w:t>
      </w:r>
      <w:r w:rsidR="008542E0">
        <w:rPr>
          <w:rFonts w:ascii="Verdana" w:hAnsi="Verdana"/>
          <w:sz w:val="18"/>
          <w:szCs w:val="18"/>
        </w:rPr>
        <w:t>’</w:t>
      </w:r>
      <w:r>
        <w:rPr>
          <w:rFonts w:ascii="Verdana" w:hAnsi="Verdana"/>
          <w:sz w:val="18"/>
          <w:szCs w:val="18"/>
        </w:rPr>
        <w:t>s</w:t>
      </w:r>
      <w:proofErr w:type="spellEnd"/>
      <w:r w:rsidRPr="00FF46E3">
        <w:rPr>
          <w:rFonts w:ascii="Verdana" w:hAnsi="Verdana"/>
          <w:sz w:val="18"/>
          <w:szCs w:val="18"/>
        </w:rPr>
        <w:t xml:space="preserve">. Mede in het licht van artikel 13 NIS2-richtlijn is het </w:t>
      </w:r>
      <w:r>
        <w:rPr>
          <w:rFonts w:ascii="Verdana" w:hAnsi="Verdana"/>
          <w:sz w:val="18"/>
          <w:szCs w:val="18"/>
        </w:rPr>
        <w:t xml:space="preserve">noodzakelijk </w:t>
      </w:r>
      <w:r w:rsidRPr="00FF46E3">
        <w:rPr>
          <w:rFonts w:ascii="Verdana" w:hAnsi="Verdana"/>
          <w:sz w:val="18"/>
          <w:szCs w:val="18"/>
        </w:rPr>
        <w:t xml:space="preserve">dat deze </w:t>
      </w:r>
      <w:proofErr w:type="spellStart"/>
      <w:r>
        <w:rPr>
          <w:rFonts w:ascii="Verdana" w:hAnsi="Verdana"/>
          <w:sz w:val="18"/>
          <w:szCs w:val="18"/>
        </w:rPr>
        <w:t>CSIRT</w:t>
      </w:r>
      <w:r w:rsidR="00E20ECF">
        <w:rPr>
          <w:rFonts w:ascii="Verdana" w:hAnsi="Verdana"/>
          <w:sz w:val="18"/>
          <w:szCs w:val="18"/>
        </w:rPr>
        <w:t>’</w:t>
      </w:r>
      <w:r>
        <w:rPr>
          <w:rFonts w:ascii="Verdana" w:hAnsi="Verdana"/>
          <w:sz w:val="18"/>
          <w:szCs w:val="18"/>
        </w:rPr>
        <w:t>s</w:t>
      </w:r>
      <w:proofErr w:type="spellEnd"/>
      <w:r>
        <w:rPr>
          <w:rFonts w:ascii="Verdana" w:hAnsi="Verdana"/>
          <w:sz w:val="18"/>
          <w:szCs w:val="18"/>
        </w:rPr>
        <w:t xml:space="preserve"> </w:t>
      </w:r>
      <w:r w:rsidRPr="00FF46E3">
        <w:rPr>
          <w:rFonts w:ascii="Verdana" w:hAnsi="Verdana"/>
          <w:sz w:val="18"/>
          <w:szCs w:val="18"/>
        </w:rPr>
        <w:t xml:space="preserve">met elkaar samenwerken </w:t>
      </w:r>
      <w:r>
        <w:rPr>
          <w:rFonts w:ascii="Verdana" w:hAnsi="Verdana"/>
          <w:sz w:val="18"/>
          <w:szCs w:val="18"/>
        </w:rPr>
        <w:t>in het belang van goede ondersteuning</w:t>
      </w:r>
      <w:r w:rsidR="00E20ECF">
        <w:rPr>
          <w:rFonts w:ascii="Verdana" w:hAnsi="Verdana"/>
          <w:sz w:val="18"/>
          <w:szCs w:val="18"/>
        </w:rPr>
        <w:t>.</w:t>
      </w:r>
    </w:p>
    <w:p w:rsidRPr="00FF46E3" w:rsidR="00A028DF" w:rsidP="00A028DF" w:rsidRDefault="00A028DF" w14:paraId="250B0C2E" w14:textId="77777777">
      <w:pPr>
        <w:pStyle w:val="Geenafstand"/>
        <w:rPr>
          <w:rFonts w:ascii="Verdana" w:hAnsi="Verdana"/>
          <w:sz w:val="18"/>
          <w:szCs w:val="18"/>
        </w:rPr>
      </w:pPr>
    </w:p>
    <w:p w:rsidRPr="00FF46E3" w:rsidR="00A028DF" w:rsidP="00A028DF" w:rsidRDefault="00A028DF" w14:paraId="1A052C00" w14:textId="5C00C0C9">
      <w:pPr>
        <w:pStyle w:val="Geenafstand"/>
        <w:rPr>
          <w:rFonts w:ascii="Verdana" w:hAnsi="Verdana"/>
          <w:sz w:val="18"/>
          <w:szCs w:val="18"/>
        </w:rPr>
      </w:pPr>
      <w:r w:rsidRPr="00FF46E3">
        <w:rPr>
          <w:rFonts w:ascii="Verdana" w:hAnsi="Verdana"/>
          <w:sz w:val="18"/>
          <w:szCs w:val="18"/>
        </w:rPr>
        <w:t xml:space="preserve">Om de doeltreffende en doelmatige uitvoering van </w:t>
      </w:r>
      <w:r w:rsidR="00E20ECF">
        <w:rPr>
          <w:rFonts w:ascii="Verdana" w:hAnsi="Verdana"/>
          <w:sz w:val="18"/>
          <w:szCs w:val="18"/>
        </w:rPr>
        <w:t xml:space="preserve">de </w:t>
      </w:r>
      <w:proofErr w:type="spellStart"/>
      <w:r w:rsidR="00E20ECF">
        <w:rPr>
          <w:rFonts w:ascii="Verdana" w:hAnsi="Verdana"/>
          <w:sz w:val="18"/>
          <w:szCs w:val="18"/>
        </w:rPr>
        <w:t>Cbw</w:t>
      </w:r>
      <w:proofErr w:type="spellEnd"/>
      <w:r w:rsidRPr="00FF46E3">
        <w:rPr>
          <w:rFonts w:ascii="Verdana" w:hAnsi="Verdana"/>
          <w:sz w:val="18"/>
          <w:szCs w:val="18"/>
        </w:rPr>
        <w:t xml:space="preserve"> te borgen, </w:t>
      </w:r>
      <w:r w:rsidR="00E20ECF">
        <w:rPr>
          <w:rFonts w:ascii="Verdana" w:hAnsi="Verdana"/>
          <w:sz w:val="18"/>
          <w:szCs w:val="18"/>
        </w:rPr>
        <w:t>moeten</w:t>
      </w:r>
      <w:r w:rsidRPr="00FF46E3">
        <w:rPr>
          <w:rFonts w:ascii="Verdana" w:hAnsi="Verdana"/>
          <w:sz w:val="18"/>
          <w:szCs w:val="18"/>
        </w:rPr>
        <w:t xml:space="preserve"> de </w:t>
      </w:r>
      <w:proofErr w:type="spellStart"/>
      <w:r>
        <w:rPr>
          <w:rFonts w:ascii="Verdana" w:hAnsi="Verdana"/>
          <w:sz w:val="18"/>
          <w:szCs w:val="18"/>
        </w:rPr>
        <w:t>CSIRT</w:t>
      </w:r>
      <w:r w:rsidR="00E20ECF">
        <w:rPr>
          <w:rFonts w:ascii="Verdana" w:hAnsi="Verdana"/>
          <w:sz w:val="18"/>
          <w:szCs w:val="18"/>
        </w:rPr>
        <w:t>’</w:t>
      </w:r>
      <w:r>
        <w:rPr>
          <w:rFonts w:ascii="Verdana" w:hAnsi="Verdana"/>
          <w:sz w:val="18"/>
          <w:szCs w:val="18"/>
        </w:rPr>
        <w:t>s</w:t>
      </w:r>
      <w:proofErr w:type="spellEnd"/>
      <w:r w:rsidRPr="00FF46E3">
        <w:rPr>
          <w:rFonts w:ascii="Verdana" w:hAnsi="Verdana"/>
          <w:sz w:val="18"/>
          <w:szCs w:val="18"/>
        </w:rPr>
        <w:t xml:space="preserve"> onderling afspraken maken over gemeenschappelijke aangelegenheden. Deze afspraken worden vastgelegd in een samenwerkingsprotocol. Dit zorgt voor transparantie over de gemaakte afspraken en maakt voor </w:t>
      </w:r>
      <w:r w:rsidR="00E20ECF">
        <w:rPr>
          <w:rFonts w:ascii="Verdana" w:hAnsi="Verdana"/>
          <w:sz w:val="18"/>
          <w:szCs w:val="18"/>
        </w:rPr>
        <w:t xml:space="preserve">de betrokken </w:t>
      </w:r>
      <w:r w:rsidRPr="00FF46E3">
        <w:rPr>
          <w:rFonts w:ascii="Verdana" w:hAnsi="Verdana"/>
          <w:sz w:val="18"/>
          <w:szCs w:val="18"/>
        </w:rPr>
        <w:t xml:space="preserve">entiteiten helder op welke wijze de </w:t>
      </w:r>
      <w:proofErr w:type="spellStart"/>
      <w:r>
        <w:rPr>
          <w:rFonts w:ascii="Verdana" w:hAnsi="Verdana"/>
          <w:sz w:val="18"/>
          <w:szCs w:val="18"/>
        </w:rPr>
        <w:t>CSIRT</w:t>
      </w:r>
      <w:r w:rsidR="00E20ECF">
        <w:rPr>
          <w:rFonts w:ascii="Verdana" w:hAnsi="Verdana"/>
          <w:sz w:val="18"/>
          <w:szCs w:val="18"/>
        </w:rPr>
        <w:t>’</w:t>
      </w:r>
      <w:r>
        <w:rPr>
          <w:rFonts w:ascii="Verdana" w:hAnsi="Verdana"/>
          <w:sz w:val="18"/>
          <w:szCs w:val="18"/>
        </w:rPr>
        <w:t>s</w:t>
      </w:r>
      <w:proofErr w:type="spellEnd"/>
      <w:r w:rsidRPr="00FF46E3">
        <w:rPr>
          <w:rFonts w:ascii="Verdana" w:hAnsi="Verdana"/>
          <w:sz w:val="18"/>
          <w:szCs w:val="18"/>
        </w:rPr>
        <w:t xml:space="preserve"> invulling geven aan voorgenoemde aspecten. Na </w:t>
      </w:r>
      <w:r w:rsidR="00E20ECF">
        <w:rPr>
          <w:rFonts w:ascii="Verdana" w:hAnsi="Verdana"/>
          <w:sz w:val="18"/>
          <w:szCs w:val="18"/>
        </w:rPr>
        <w:t xml:space="preserve">de </w:t>
      </w:r>
      <w:r w:rsidRPr="00FF46E3">
        <w:rPr>
          <w:rFonts w:ascii="Verdana" w:hAnsi="Verdana"/>
          <w:sz w:val="18"/>
          <w:szCs w:val="18"/>
        </w:rPr>
        <w:t xml:space="preserve">initiële publicatie </w:t>
      </w:r>
      <w:r w:rsidR="00E20ECF">
        <w:rPr>
          <w:rFonts w:ascii="Verdana" w:hAnsi="Verdana"/>
          <w:sz w:val="18"/>
          <w:szCs w:val="18"/>
        </w:rPr>
        <w:t>wordt</w:t>
      </w:r>
      <w:r w:rsidRPr="00FF46E3">
        <w:rPr>
          <w:rFonts w:ascii="Verdana" w:hAnsi="Verdana"/>
          <w:sz w:val="18"/>
          <w:szCs w:val="18"/>
        </w:rPr>
        <w:t xml:space="preserve"> het samenwerkingsprotocol voor zover nodig geactualiseerd, bijvoorbeeld als er aanvullende </w:t>
      </w:r>
      <w:proofErr w:type="spellStart"/>
      <w:r>
        <w:rPr>
          <w:rFonts w:ascii="Verdana" w:hAnsi="Verdana"/>
          <w:sz w:val="18"/>
          <w:szCs w:val="18"/>
        </w:rPr>
        <w:t>CSIRT</w:t>
      </w:r>
      <w:r w:rsidR="00E20ECF">
        <w:rPr>
          <w:rFonts w:ascii="Verdana" w:hAnsi="Verdana"/>
          <w:sz w:val="18"/>
          <w:szCs w:val="18"/>
        </w:rPr>
        <w:t>’</w:t>
      </w:r>
      <w:r>
        <w:rPr>
          <w:rFonts w:ascii="Verdana" w:hAnsi="Verdana"/>
          <w:sz w:val="18"/>
          <w:szCs w:val="18"/>
        </w:rPr>
        <w:t>s</w:t>
      </w:r>
      <w:proofErr w:type="spellEnd"/>
      <w:r w:rsidRPr="00FF46E3">
        <w:rPr>
          <w:rFonts w:ascii="Verdana" w:hAnsi="Verdana"/>
          <w:sz w:val="18"/>
          <w:szCs w:val="18"/>
        </w:rPr>
        <w:t xml:space="preserve"> actief worden in (sub)sectoren waar voorheen nog geen </w:t>
      </w:r>
      <w:r>
        <w:rPr>
          <w:rFonts w:ascii="Verdana" w:hAnsi="Verdana"/>
          <w:sz w:val="18"/>
          <w:szCs w:val="18"/>
        </w:rPr>
        <w:t>CSIRT-taken werden verricht</w:t>
      </w:r>
      <w:r w:rsidRPr="00FF46E3">
        <w:rPr>
          <w:rFonts w:ascii="Verdana" w:hAnsi="Verdana"/>
          <w:sz w:val="18"/>
          <w:szCs w:val="18"/>
        </w:rPr>
        <w:t xml:space="preserve">. </w:t>
      </w:r>
    </w:p>
    <w:p w:rsidRPr="00FF46E3" w:rsidR="00A028DF" w:rsidP="006200DD" w:rsidRDefault="00A028DF" w14:paraId="57916A11" w14:textId="77777777">
      <w:pPr>
        <w:pStyle w:val="Geenafstand"/>
        <w:rPr>
          <w:rFonts w:ascii="Verdana" w:hAnsi="Verdana"/>
          <w:sz w:val="18"/>
          <w:szCs w:val="18"/>
        </w:rPr>
      </w:pPr>
    </w:p>
    <w:p w:rsidRPr="00FF46E3" w:rsidR="008A6FBD" w:rsidP="00CA5A83" w:rsidRDefault="00CD1B9A" w14:paraId="2061DFE9" w14:textId="0A379A4A">
      <w:pPr>
        <w:pStyle w:val="Kop2"/>
        <w:rPr>
          <w:b w:val="0"/>
          <w:szCs w:val="18"/>
        </w:rPr>
      </w:pPr>
      <w:bookmarkStart w:name="_Toc198721082" w:id="64"/>
      <w:r w:rsidRPr="00FF46E3">
        <w:rPr>
          <w:szCs w:val="18"/>
        </w:rPr>
        <w:t>5.</w:t>
      </w:r>
      <w:r w:rsidR="007E5530">
        <w:rPr>
          <w:szCs w:val="18"/>
        </w:rPr>
        <w:t>6</w:t>
      </w:r>
      <w:r w:rsidRPr="00FF46E3" w:rsidR="004A150C">
        <w:rPr>
          <w:szCs w:val="18"/>
        </w:rPr>
        <w:t xml:space="preserve"> </w:t>
      </w:r>
      <w:r w:rsidRPr="00FF46E3" w:rsidR="008A6FBD">
        <w:rPr>
          <w:szCs w:val="18"/>
        </w:rPr>
        <w:t>Handhaving</w:t>
      </w:r>
      <w:bookmarkEnd w:id="64"/>
    </w:p>
    <w:p w:rsidRPr="00FF46E3" w:rsidR="008A6FBD" w:rsidP="008A6FBD" w:rsidRDefault="008A6FBD" w14:paraId="65D7BBB8" w14:textId="77777777">
      <w:pPr>
        <w:pStyle w:val="Geenafstand"/>
        <w:rPr>
          <w:rFonts w:ascii="Verdana" w:hAnsi="Verdana"/>
          <w:sz w:val="18"/>
          <w:szCs w:val="18"/>
        </w:rPr>
      </w:pPr>
    </w:p>
    <w:p w:rsidRPr="00D6621E" w:rsidR="00A52718" w:rsidP="006C2C32" w:rsidRDefault="00A52718" w14:paraId="5B3930E7" w14:textId="33DFB0E8">
      <w:pPr>
        <w:pStyle w:val="Kop3"/>
      </w:pPr>
      <w:bookmarkStart w:name="_Toc198721083" w:id="65"/>
      <w:bookmarkStart w:name="_Hlk148552693" w:id="66"/>
      <w:bookmarkStart w:name="_Hlk195171340" w:id="67"/>
      <w:r w:rsidRPr="00D6621E">
        <w:t xml:space="preserve">5.6.1 Handhaving van verplichtingen uit </w:t>
      </w:r>
      <w:proofErr w:type="spellStart"/>
      <w:r w:rsidRPr="00D6621E">
        <w:t>Cbw</w:t>
      </w:r>
      <w:proofErr w:type="spellEnd"/>
      <w:r w:rsidRPr="00D6621E">
        <w:t>, uitvoeringshandelingen en gedelegeerde handelingen</w:t>
      </w:r>
      <w:bookmarkEnd w:id="65"/>
    </w:p>
    <w:p w:rsidRPr="00D6621E" w:rsidR="00A52718" w:rsidP="00CB230D" w:rsidRDefault="00A52718" w14:paraId="3ABDB1E6" w14:textId="77777777">
      <w:pPr>
        <w:pStyle w:val="Geenafstand"/>
        <w:rPr>
          <w:rFonts w:ascii="Verdana" w:hAnsi="Verdana"/>
          <w:sz w:val="18"/>
          <w:szCs w:val="18"/>
        </w:rPr>
      </w:pPr>
    </w:p>
    <w:p w:rsidRPr="00D6621E" w:rsidR="0048459B" w:rsidP="00CB230D" w:rsidRDefault="006F2395" w14:paraId="12DA79DD" w14:textId="10B6CCA9">
      <w:pPr>
        <w:pStyle w:val="Geenafstand"/>
        <w:rPr>
          <w:rFonts w:ascii="Verdana" w:hAnsi="Verdana"/>
          <w:sz w:val="18"/>
          <w:szCs w:val="18"/>
        </w:rPr>
      </w:pPr>
      <w:r w:rsidRPr="00D6621E">
        <w:rPr>
          <w:rFonts w:ascii="Verdana" w:hAnsi="Verdana"/>
          <w:sz w:val="18"/>
          <w:szCs w:val="18"/>
        </w:rPr>
        <w:t xml:space="preserve">De </w:t>
      </w:r>
      <w:proofErr w:type="spellStart"/>
      <w:r w:rsidRPr="00D6621E">
        <w:rPr>
          <w:rFonts w:ascii="Verdana" w:hAnsi="Verdana"/>
          <w:sz w:val="18"/>
          <w:szCs w:val="18"/>
        </w:rPr>
        <w:t>Cbw</w:t>
      </w:r>
      <w:proofErr w:type="spellEnd"/>
      <w:r w:rsidRPr="00D6621E" w:rsidR="008A6FBD">
        <w:rPr>
          <w:rFonts w:ascii="Verdana" w:hAnsi="Verdana"/>
          <w:sz w:val="18"/>
          <w:szCs w:val="18"/>
        </w:rPr>
        <w:t xml:space="preserve"> voorziet in de handhaving van de verplichtingen uit </w:t>
      </w:r>
      <w:r w:rsidRPr="00D6621E">
        <w:rPr>
          <w:rFonts w:ascii="Verdana" w:hAnsi="Verdana"/>
          <w:sz w:val="18"/>
          <w:szCs w:val="18"/>
        </w:rPr>
        <w:t xml:space="preserve">de </w:t>
      </w:r>
      <w:proofErr w:type="spellStart"/>
      <w:r w:rsidRPr="00D6621E">
        <w:rPr>
          <w:rFonts w:ascii="Verdana" w:hAnsi="Verdana"/>
          <w:sz w:val="18"/>
          <w:szCs w:val="18"/>
        </w:rPr>
        <w:t>Cbw</w:t>
      </w:r>
      <w:proofErr w:type="spellEnd"/>
      <w:r w:rsidRPr="00D6621E" w:rsidR="008A6FBD">
        <w:rPr>
          <w:rFonts w:ascii="Verdana" w:hAnsi="Verdana"/>
          <w:sz w:val="18"/>
          <w:szCs w:val="18"/>
        </w:rPr>
        <w:t xml:space="preserve"> die gelden voor </w:t>
      </w:r>
      <w:bookmarkEnd w:id="66"/>
      <w:r w:rsidRPr="00D6621E" w:rsidR="008A6FBD">
        <w:rPr>
          <w:rFonts w:ascii="Verdana" w:hAnsi="Verdana"/>
          <w:sz w:val="18"/>
          <w:szCs w:val="18"/>
        </w:rPr>
        <w:t>essentiële entiteiten, belangrijke entiteiten en entiteiten die domeinnaamregistratiediensten verlenen</w:t>
      </w:r>
      <w:r w:rsidRPr="00D6621E" w:rsidR="005B5127">
        <w:rPr>
          <w:rFonts w:ascii="Verdana" w:hAnsi="Verdana"/>
          <w:sz w:val="18"/>
          <w:szCs w:val="18"/>
        </w:rPr>
        <w:t xml:space="preserve"> en van de verplichtingen die op grond van artikel </w:t>
      </w:r>
      <w:r w:rsidRPr="00D6621E" w:rsidR="006B09DE">
        <w:rPr>
          <w:rFonts w:ascii="Verdana" w:hAnsi="Verdana"/>
          <w:sz w:val="18"/>
          <w:szCs w:val="18"/>
        </w:rPr>
        <w:t>24, tweede tot en met zesde lid</w:t>
      </w:r>
      <w:r w:rsidRPr="00D6621E" w:rsidR="005B5127">
        <w:rPr>
          <w:rFonts w:ascii="Verdana" w:hAnsi="Verdana"/>
          <w:sz w:val="18"/>
          <w:szCs w:val="18"/>
        </w:rPr>
        <w:t xml:space="preserve">, </w:t>
      </w:r>
      <w:proofErr w:type="spellStart"/>
      <w:r w:rsidRPr="00D6621E" w:rsidR="005B5127">
        <w:rPr>
          <w:rFonts w:ascii="Verdana" w:hAnsi="Verdana"/>
          <w:sz w:val="18"/>
          <w:szCs w:val="18"/>
        </w:rPr>
        <w:t>Cbw</w:t>
      </w:r>
      <w:proofErr w:type="spellEnd"/>
      <w:r w:rsidRPr="00D6621E" w:rsidR="005B5127">
        <w:rPr>
          <w:rFonts w:ascii="Verdana" w:hAnsi="Verdana"/>
          <w:sz w:val="18"/>
          <w:szCs w:val="18"/>
        </w:rPr>
        <w:t xml:space="preserve"> gelden voor leden van het bestuur van een essentiële entiteit en belangrijke entiteit</w:t>
      </w:r>
      <w:r w:rsidRPr="00D6621E" w:rsidR="008A6FBD">
        <w:rPr>
          <w:rFonts w:ascii="Verdana" w:hAnsi="Verdana"/>
          <w:sz w:val="18"/>
          <w:szCs w:val="18"/>
        </w:rPr>
        <w:t xml:space="preserve">. </w:t>
      </w:r>
    </w:p>
    <w:p w:rsidRPr="00E43B2F" w:rsidR="00A52718" w:rsidP="00CB230D" w:rsidRDefault="00A52718" w14:paraId="7C990CC8" w14:textId="77777777">
      <w:pPr>
        <w:pStyle w:val="Geenafstand"/>
        <w:rPr>
          <w:rFonts w:ascii="Verdana" w:hAnsi="Verdana"/>
          <w:sz w:val="18"/>
          <w:szCs w:val="18"/>
        </w:rPr>
      </w:pPr>
    </w:p>
    <w:p w:rsidRPr="006C2C32" w:rsidR="006C2C32" w:rsidP="006C2C32" w:rsidRDefault="006C2C32" w14:paraId="21439027" w14:textId="7FD62754">
      <w:pPr>
        <w:pStyle w:val="Geenafstand"/>
        <w:rPr>
          <w:rFonts w:ascii="Verdana" w:hAnsi="Verdana"/>
          <w:sz w:val="18"/>
          <w:szCs w:val="18"/>
        </w:rPr>
      </w:pPr>
      <w:r w:rsidRPr="006C2C32">
        <w:rPr>
          <w:rFonts w:ascii="Verdana" w:hAnsi="Verdana"/>
          <w:sz w:val="18"/>
          <w:szCs w:val="18"/>
        </w:rPr>
        <w:t xml:space="preserve">De </w:t>
      </w:r>
      <w:proofErr w:type="spellStart"/>
      <w:r w:rsidRPr="006C2C32">
        <w:rPr>
          <w:rFonts w:ascii="Verdana" w:hAnsi="Verdana"/>
          <w:sz w:val="18"/>
          <w:szCs w:val="18"/>
        </w:rPr>
        <w:t>Cbw</w:t>
      </w:r>
      <w:proofErr w:type="spellEnd"/>
      <w:r w:rsidRPr="006C2C32">
        <w:rPr>
          <w:rFonts w:ascii="Verdana" w:hAnsi="Verdana"/>
          <w:sz w:val="18"/>
          <w:szCs w:val="18"/>
        </w:rPr>
        <w:t xml:space="preserve"> voorziet ook in de handhaving van </w:t>
      </w:r>
      <w:bookmarkStart w:name="_Hlk196485689" w:id="68"/>
      <w:r w:rsidRPr="006C2C32">
        <w:rPr>
          <w:rFonts w:ascii="Verdana" w:hAnsi="Verdana"/>
          <w:sz w:val="18"/>
          <w:szCs w:val="18"/>
        </w:rPr>
        <w:t xml:space="preserve">het bepaalde in de op grond van de artikelen 21, vijfde lid, en 23, elfde lid, NIS2-richtlijn vastgestelde uitvoeringshandelingen en de op grond van artikel 24, tweede lid, NIS2-richtlijn vastgestelde gedelegeerde handelingen. Dit voor zover in die uitvoeringshandelingen of gedelegeerde handelingen is bepaald dat deze verbindend zijn en rechtstreeks toepasselijk zijn in elke lidstaat. </w:t>
      </w:r>
      <w:bookmarkEnd w:id="68"/>
      <w:r w:rsidRPr="006C2C32">
        <w:rPr>
          <w:rFonts w:ascii="Verdana" w:hAnsi="Verdana"/>
          <w:sz w:val="18"/>
          <w:szCs w:val="18"/>
        </w:rPr>
        <w:t xml:space="preserve">Op deze wijze is geregeld dat bij deze rechtstreeks toepasselijke en verbindende handelingen op grond van de </w:t>
      </w:r>
      <w:proofErr w:type="spellStart"/>
      <w:r w:rsidRPr="006C2C32">
        <w:rPr>
          <w:rFonts w:ascii="Verdana" w:hAnsi="Verdana"/>
          <w:sz w:val="18"/>
          <w:szCs w:val="18"/>
        </w:rPr>
        <w:t>Cbw</w:t>
      </w:r>
      <w:proofErr w:type="spellEnd"/>
      <w:r w:rsidRPr="006C2C32">
        <w:rPr>
          <w:rFonts w:ascii="Verdana" w:hAnsi="Verdana"/>
          <w:sz w:val="18"/>
          <w:szCs w:val="18"/>
        </w:rPr>
        <w:t xml:space="preserve"> direct in toezicht en handhaving is voorzien. Hiermee wordt ten aanzien van deze handelingen invulling gegeven aan artikel 31 NIS2-richtlijn, op basis waarvan lidstaten de verplichting hebben om effectief toezicht te houden op de naleving van de NIS2-richtlijn, waartoe ook de eerder genoemde handelingen behoren. Wanneer het niet-rechtstreeks toepasselijke handelingen betreffen zullen deze middels de daarvoor geëigende delegatiegrondslagen in de </w:t>
      </w:r>
      <w:proofErr w:type="spellStart"/>
      <w:r w:rsidRPr="006C2C32">
        <w:rPr>
          <w:rFonts w:ascii="Verdana" w:hAnsi="Verdana"/>
          <w:sz w:val="18"/>
          <w:szCs w:val="18"/>
        </w:rPr>
        <w:t>Cbw</w:t>
      </w:r>
      <w:proofErr w:type="spellEnd"/>
      <w:r w:rsidRPr="006C2C32">
        <w:rPr>
          <w:rFonts w:ascii="Verdana" w:hAnsi="Verdana"/>
          <w:sz w:val="18"/>
          <w:szCs w:val="18"/>
        </w:rPr>
        <w:t xml:space="preserve"> worden geïmplementeerd.</w:t>
      </w:r>
    </w:p>
    <w:p w:rsidR="006C2C32" w:rsidP="006C2C32" w:rsidRDefault="006C2C32" w14:paraId="37FDF62B" w14:textId="77777777">
      <w:pPr>
        <w:pStyle w:val="Geenafstand"/>
        <w:rPr>
          <w:rFonts w:ascii="Verdana" w:hAnsi="Verdana"/>
          <w:sz w:val="18"/>
          <w:szCs w:val="18"/>
        </w:rPr>
      </w:pPr>
    </w:p>
    <w:p w:rsidRPr="006C2C32" w:rsidR="006C2C32" w:rsidP="006C2C32" w:rsidRDefault="006C2C32" w14:paraId="24D9ACD5" w14:textId="5DDA9009">
      <w:pPr>
        <w:pStyle w:val="Geenafstand"/>
        <w:rPr>
          <w:rFonts w:ascii="Verdana" w:hAnsi="Verdana"/>
          <w:sz w:val="18"/>
          <w:szCs w:val="18"/>
        </w:rPr>
      </w:pPr>
      <w:r>
        <w:rPr>
          <w:rFonts w:ascii="Verdana" w:hAnsi="Verdana"/>
          <w:sz w:val="18"/>
          <w:szCs w:val="18"/>
        </w:rPr>
        <w:t>De a</w:t>
      </w:r>
      <w:r w:rsidRPr="006C2C32">
        <w:rPr>
          <w:rFonts w:ascii="Verdana" w:hAnsi="Verdana"/>
          <w:sz w:val="18"/>
          <w:szCs w:val="18"/>
        </w:rPr>
        <w:t>rtikel</w:t>
      </w:r>
      <w:r>
        <w:rPr>
          <w:rFonts w:ascii="Verdana" w:hAnsi="Verdana"/>
          <w:sz w:val="18"/>
          <w:szCs w:val="18"/>
        </w:rPr>
        <w:t>en</w:t>
      </w:r>
      <w:r w:rsidRPr="006C2C32">
        <w:rPr>
          <w:rFonts w:ascii="Verdana" w:hAnsi="Verdana"/>
          <w:sz w:val="18"/>
          <w:szCs w:val="18"/>
        </w:rPr>
        <w:t xml:space="preserve"> 32 en 33 NIS2-richtlijn schrijven de handhavingsmaatregelen voor die met betrekking tot de in de richtlijn vastgestelde verplichtingen kunnen worden opgelegd aan essentiële </w:t>
      </w:r>
      <w:r>
        <w:rPr>
          <w:rFonts w:ascii="Verdana" w:hAnsi="Verdana"/>
          <w:sz w:val="18"/>
          <w:szCs w:val="18"/>
        </w:rPr>
        <w:t xml:space="preserve">entiteiten </w:t>
      </w:r>
      <w:r w:rsidRPr="006C2C32">
        <w:rPr>
          <w:rFonts w:ascii="Verdana" w:hAnsi="Verdana"/>
          <w:sz w:val="18"/>
          <w:szCs w:val="18"/>
        </w:rPr>
        <w:t>en belangrijke entiteiten. Artikel 34 NIS-richtlijn beschrijft daarnaast de algemene voorwaarden voor het opleggen van administratieve geldboeten aan essentiële entiteiten en belangrijke entiteiten. In de artikelen 32, 33 en 34 NIS2-richtlijn wordt op onderdelen onderscheid gemaakt tussen de verschillende verplichtingen die de NIS2-richtlijn voor essentiële entiteiten en belangrijke entiteiten kent, zoals de meldplicht en zorgplicht. Zo beschrijven de artikelen 32 en 33 NIS2-richtlijn instrumenten die specifiek kunnen worden toegepast ten aanzien van de meldplicht en zorgplicht en omschrijft artikel 34 NIS2-richtlijn de maximale administratieve boete</w:t>
      </w:r>
      <w:r>
        <w:rPr>
          <w:rFonts w:ascii="Verdana" w:hAnsi="Verdana"/>
          <w:sz w:val="18"/>
          <w:szCs w:val="18"/>
        </w:rPr>
        <w:t>n</w:t>
      </w:r>
      <w:r w:rsidRPr="006C2C32">
        <w:rPr>
          <w:rFonts w:ascii="Verdana" w:hAnsi="Verdana"/>
          <w:sz w:val="18"/>
          <w:szCs w:val="18"/>
        </w:rPr>
        <w:t xml:space="preserve"> </w:t>
      </w:r>
      <w:r>
        <w:rPr>
          <w:rFonts w:ascii="Verdana" w:hAnsi="Verdana"/>
          <w:sz w:val="18"/>
          <w:szCs w:val="18"/>
        </w:rPr>
        <w:t>die moeten</w:t>
      </w:r>
      <w:r w:rsidRPr="006C2C32">
        <w:rPr>
          <w:rFonts w:ascii="Verdana" w:hAnsi="Verdana"/>
          <w:sz w:val="18"/>
          <w:szCs w:val="18"/>
        </w:rPr>
        <w:t xml:space="preserve"> kunnen worden opgelegd voor </w:t>
      </w:r>
      <w:r>
        <w:rPr>
          <w:rFonts w:ascii="Verdana" w:hAnsi="Verdana"/>
          <w:sz w:val="18"/>
          <w:szCs w:val="18"/>
        </w:rPr>
        <w:t xml:space="preserve">een </w:t>
      </w:r>
      <w:r w:rsidRPr="006C2C32">
        <w:rPr>
          <w:rFonts w:ascii="Verdana" w:hAnsi="Verdana"/>
          <w:sz w:val="18"/>
          <w:szCs w:val="18"/>
        </w:rPr>
        <w:t xml:space="preserve">overtreding van de zorgplicht of meldplicht. Dit onderscheid is in </w:t>
      </w:r>
      <w:r w:rsidRPr="003E4FF2">
        <w:rPr>
          <w:rFonts w:ascii="Verdana" w:hAnsi="Verdana"/>
          <w:sz w:val="18"/>
          <w:szCs w:val="18"/>
        </w:rPr>
        <w:t>hoofdstuk</w:t>
      </w:r>
      <w:r w:rsidRPr="006C2C32">
        <w:rPr>
          <w:rFonts w:ascii="Verdana" w:hAnsi="Verdana"/>
          <w:sz w:val="18"/>
          <w:szCs w:val="18"/>
        </w:rPr>
        <w:t xml:space="preserve"> 15 van de </w:t>
      </w:r>
      <w:proofErr w:type="spellStart"/>
      <w:r w:rsidRPr="006C2C32">
        <w:rPr>
          <w:rFonts w:ascii="Verdana" w:hAnsi="Verdana"/>
          <w:sz w:val="18"/>
          <w:szCs w:val="18"/>
        </w:rPr>
        <w:t>Cbw</w:t>
      </w:r>
      <w:proofErr w:type="spellEnd"/>
      <w:r w:rsidRPr="006C2C32">
        <w:rPr>
          <w:rFonts w:ascii="Verdana" w:hAnsi="Verdana"/>
          <w:sz w:val="18"/>
          <w:szCs w:val="18"/>
        </w:rPr>
        <w:t xml:space="preserve"> overgenomen in de bevoegdheden van de toezichthoudende instantie, evenals de relevante sanctiemogelijkheden. </w:t>
      </w:r>
    </w:p>
    <w:p w:rsidR="006C2C32" w:rsidP="006C2C32" w:rsidRDefault="006C2C32" w14:paraId="0CD80C52" w14:textId="77777777">
      <w:pPr>
        <w:pStyle w:val="Geenafstand"/>
        <w:rPr>
          <w:rFonts w:ascii="Verdana" w:hAnsi="Verdana"/>
          <w:sz w:val="18"/>
          <w:szCs w:val="18"/>
        </w:rPr>
      </w:pPr>
    </w:p>
    <w:p w:rsidR="006C2C32" w:rsidP="006C2C32" w:rsidRDefault="006C2C32" w14:paraId="32747180" w14:textId="1A5B8E2B">
      <w:pPr>
        <w:pStyle w:val="Geenafstand"/>
        <w:rPr>
          <w:rFonts w:ascii="Verdana" w:hAnsi="Verdana"/>
          <w:sz w:val="18"/>
          <w:szCs w:val="18"/>
        </w:rPr>
      </w:pPr>
      <w:r w:rsidRPr="006C2C32">
        <w:rPr>
          <w:rFonts w:ascii="Verdana" w:hAnsi="Verdana"/>
          <w:sz w:val="18"/>
          <w:szCs w:val="18"/>
        </w:rPr>
        <w:t xml:space="preserve">In de artikelen 32, 33 en 34 NIS2-richtlijn zijn de handhavingsmaatregelen ten aanzien van artikel 24, tweede lid, NIS2-richtlijn niet nader gespecificeerd. De betreffende verplichting heeft een zeer nauwe inhoudelijke verwantschap met de zorgplicht van artikel 21 NIS2-richtlijn. Daarom is ervoor gekozen om de artikelen over handhaving, die specifiek zien op de zorgplicht uit de </w:t>
      </w:r>
      <w:proofErr w:type="spellStart"/>
      <w:r w:rsidRPr="006C2C32">
        <w:rPr>
          <w:rFonts w:ascii="Verdana" w:hAnsi="Verdana"/>
          <w:sz w:val="18"/>
          <w:szCs w:val="18"/>
        </w:rPr>
        <w:t>Cbw</w:t>
      </w:r>
      <w:proofErr w:type="spellEnd"/>
      <w:r w:rsidRPr="006C2C32">
        <w:rPr>
          <w:rFonts w:ascii="Verdana" w:hAnsi="Verdana"/>
          <w:sz w:val="18"/>
          <w:szCs w:val="18"/>
        </w:rPr>
        <w:t xml:space="preserve">, ook te laten zien op de handhaving van de op grond van artikel 24, tweede lid, NIS2-richtlijn vastgestelde gedelegeerde handelingen. Dit sluit aan bij de wijze van implementatie van artikel 24, eerste lid, NIS2-richtlijn, zoals nader toegelicht bij de artikelsgewijze </w:t>
      </w:r>
      <w:r w:rsidRPr="003E4FF2">
        <w:rPr>
          <w:rFonts w:ascii="Verdana" w:hAnsi="Verdana"/>
          <w:sz w:val="18"/>
          <w:szCs w:val="18"/>
        </w:rPr>
        <w:t xml:space="preserve">toelichting </w:t>
      </w:r>
      <w:r w:rsidRPr="003E4FF2" w:rsidR="00204DD1">
        <w:rPr>
          <w:rFonts w:ascii="Verdana" w:hAnsi="Verdana"/>
          <w:sz w:val="18"/>
          <w:szCs w:val="18"/>
        </w:rPr>
        <w:t xml:space="preserve">op </w:t>
      </w:r>
      <w:r w:rsidRPr="003E4FF2">
        <w:rPr>
          <w:rFonts w:ascii="Verdana" w:hAnsi="Verdana"/>
          <w:sz w:val="18"/>
          <w:szCs w:val="18"/>
        </w:rPr>
        <w:t xml:space="preserve">artikel 21 </w:t>
      </w:r>
      <w:proofErr w:type="spellStart"/>
      <w:r w:rsidRPr="003E4FF2">
        <w:rPr>
          <w:rFonts w:ascii="Verdana" w:hAnsi="Verdana"/>
          <w:sz w:val="18"/>
          <w:szCs w:val="18"/>
        </w:rPr>
        <w:t>Cbw</w:t>
      </w:r>
      <w:proofErr w:type="spellEnd"/>
      <w:r w:rsidRPr="003E4FF2">
        <w:rPr>
          <w:rFonts w:ascii="Verdana" w:hAnsi="Verdana"/>
          <w:sz w:val="18"/>
          <w:szCs w:val="18"/>
        </w:rPr>
        <w:t>.</w:t>
      </w:r>
    </w:p>
    <w:p w:rsidR="006C2C32" w:rsidP="006C2C32" w:rsidRDefault="006C2C32" w14:paraId="47ECD8CE" w14:textId="77777777">
      <w:pPr>
        <w:pStyle w:val="Geenafstand"/>
        <w:rPr>
          <w:rFonts w:ascii="Verdana" w:hAnsi="Verdana"/>
          <w:sz w:val="18"/>
          <w:szCs w:val="18"/>
        </w:rPr>
      </w:pPr>
    </w:p>
    <w:p w:rsidR="00E00198" w:rsidP="006C2C32" w:rsidRDefault="006C2C32" w14:paraId="7CC60452" w14:textId="13D6931D">
      <w:pPr>
        <w:pStyle w:val="Geenafstand"/>
        <w:rPr>
          <w:rFonts w:ascii="Verdana" w:hAnsi="Verdana"/>
          <w:sz w:val="18"/>
          <w:szCs w:val="18"/>
        </w:rPr>
      </w:pPr>
      <w:r w:rsidRPr="006C2C32">
        <w:rPr>
          <w:rFonts w:ascii="Verdana" w:hAnsi="Verdana"/>
          <w:sz w:val="18"/>
          <w:szCs w:val="18"/>
        </w:rPr>
        <w:t xml:space="preserve">Ten tijde van de totstandkoming van de </w:t>
      </w:r>
      <w:proofErr w:type="spellStart"/>
      <w:r w:rsidRPr="006C2C32">
        <w:rPr>
          <w:rFonts w:ascii="Verdana" w:hAnsi="Verdana"/>
          <w:sz w:val="18"/>
          <w:szCs w:val="18"/>
        </w:rPr>
        <w:t>Cbw</w:t>
      </w:r>
      <w:proofErr w:type="spellEnd"/>
      <w:r w:rsidRPr="006C2C32">
        <w:rPr>
          <w:rFonts w:ascii="Verdana" w:hAnsi="Verdana"/>
          <w:sz w:val="18"/>
          <w:szCs w:val="18"/>
        </w:rPr>
        <w:t xml:space="preserve"> heeft de Europese Commissie op grond van de artikelen 21, vijfde lid, en 23, elfde lid, NIS2-richtlijn reeds de rechtstreeks toepasselijke en verbindende </w:t>
      </w:r>
      <w:r w:rsidRPr="006C2C32">
        <w:rPr>
          <w:rFonts w:ascii="Verdana" w:hAnsi="Verdana"/>
          <w:sz w:val="18"/>
          <w:szCs w:val="18"/>
        </w:rPr>
        <w:lastRenderedPageBreak/>
        <w:t>Uitvoeringsverordening (EU) 2024/2690 vastgesteld.</w:t>
      </w:r>
      <w:r w:rsidRPr="00B009CA" w:rsidR="00B009CA">
        <w:rPr>
          <w:rStyle w:val="Voetnootmarkering"/>
          <w:rFonts w:ascii="Verdana" w:hAnsi="Verdana"/>
          <w:sz w:val="18"/>
          <w:szCs w:val="18"/>
        </w:rPr>
        <w:footnoteReference w:id="49"/>
      </w:r>
      <w:r w:rsidRPr="006C2C32">
        <w:rPr>
          <w:rFonts w:ascii="Verdana" w:hAnsi="Verdana"/>
          <w:sz w:val="18"/>
          <w:szCs w:val="18"/>
        </w:rPr>
        <w:t xml:space="preserve"> Zoals eerder omschreven kan op grond van de </w:t>
      </w:r>
      <w:proofErr w:type="spellStart"/>
      <w:r w:rsidRPr="006C2C32">
        <w:rPr>
          <w:rFonts w:ascii="Verdana" w:hAnsi="Verdana"/>
          <w:sz w:val="18"/>
          <w:szCs w:val="18"/>
        </w:rPr>
        <w:t>Cbw</w:t>
      </w:r>
      <w:proofErr w:type="spellEnd"/>
      <w:r w:rsidRPr="006C2C32">
        <w:rPr>
          <w:rFonts w:ascii="Verdana" w:hAnsi="Verdana"/>
          <w:sz w:val="18"/>
          <w:szCs w:val="18"/>
        </w:rPr>
        <w:t xml:space="preserve"> worden toegezien op de naleving van het bepaalde in deze uitvoeringsverordening, waarbij het daarin bepaalde in samenhang met het bepaalde in de </w:t>
      </w:r>
      <w:proofErr w:type="spellStart"/>
      <w:r w:rsidRPr="006C2C32">
        <w:rPr>
          <w:rFonts w:ascii="Verdana" w:hAnsi="Verdana"/>
          <w:sz w:val="18"/>
          <w:szCs w:val="18"/>
        </w:rPr>
        <w:t>Cbw</w:t>
      </w:r>
      <w:proofErr w:type="spellEnd"/>
      <w:r w:rsidRPr="006C2C32">
        <w:rPr>
          <w:rFonts w:ascii="Verdana" w:hAnsi="Verdana"/>
          <w:sz w:val="18"/>
          <w:szCs w:val="18"/>
        </w:rPr>
        <w:t xml:space="preserve"> zal moeten worden gelezen. Deze uitvoeringsverordening is alleen van toepassing op de daarin bepaalde entiteiten, zoals DNS-dienstverleners, registers voor topleveldomeinnamen en aanbieders van </w:t>
      </w:r>
      <w:proofErr w:type="spellStart"/>
      <w:r w:rsidRPr="006C2C32">
        <w:rPr>
          <w:rFonts w:ascii="Verdana" w:hAnsi="Verdana"/>
          <w:sz w:val="18"/>
          <w:szCs w:val="18"/>
        </w:rPr>
        <w:t>cloudcomputingdiensten</w:t>
      </w:r>
      <w:proofErr w:type="spellEnd"/>
      <w:r w:rsidRPr="006C2C32">
        <w:rPr>
          <w:rFonts w:ascii="Verdana" w:hAnsi="Verdana"/>
          <w:sz w:val="18"/>
          <w:szCs w:val="18"/>
        </w:rPr>
        <w:t>. In artikel 16 van de uitvoeringsverordening is bepaald dat deze verbindend is in al haar onderdelen en rechtstreeks toepasselijk is in elke lidstaat.</w:t>
      </w:r>
    </w:p>
    <w:bookmarkEnd w:id="67"/>
    <w:p w:rsidRPr="00FF46E3" w:rsidR="008A6FBD" w:rsidP="008A6FBD" w:rsidRDefault="008A6FBD" w14:paraId="482FAA7D" w14:textId="19CE1257">
      <w:pPr>
        <w:pStyle w:val="Geenafstand"/>
        <w:rPr>
          <w:rFonts w:ascii="Verdana" w:hAnsi="Verdana"/>
          <w:sz w:val="18"/>
          <w:szCs w:val="18"/>
        </w:rPr>
      </w:pPr>
    </w:p>
    <w:p w:rsidRPr="00FF46E3" w:rsidR="008A6FBD" w:rsidP="00C3466E" w:rsidRDefault="00F631E1" w14:paraId="67AC6B1A" w14:textId="129232F8">
      <w:pPr>
        <w:pStyle w:val="Kop3"/>
      </w:pPr>
      <w:bookmarkStart w:name="_Toc198721084" w:id="69"/>
      <w:r w:rsidRPr="00FF46E3">
        <w:t>5.</w:t>
      </w:r>
      <w:r w:rsidR="007E5530">
        <w:t>6</w:t>
      </w:r>
      <w:r w:rsidRPr="00FF46E3">
        <w:t>.</w:t>
      </w:r>
      <w:r w:rsidR="00A52718">
        <w:t>2</w:t>
      </w:r>
      <w:r w:rsidRPr="00FF46E3">
        <w:t xml:space="preserve"> </w:t>
      </w:r>
      <w:r w:rsidRPr="00FF46E3" w:rsidR="008A6FBD">
        <w:t>Bestuursrechtelijke handhaving</w:t>
      </w:r>
      <w:bookmarkEnd w:id="69"/>
    </w:p>
    <w:p w:rsidRPr="00FF46E3" w:rsidR="00F631E1" w:rsidP="008A6FBD" w:rsidRDefault="00F631E1" w14:paraId="20ED1B08" w14:textId="77777777">
      <w:pPr>
        <w:pStyle w:val="Geenafstand"/>
        <w:rPr>
          <w:rFonts w:ascii="Verdana" w:hAnsi="Verdana" w:cs="BEKDC M+ Univers"/>
          <w:sz w:val="18"/>
          <w:szCs w:val="18"/>
        </w:rPr>
      </w:pPr>
    </w:p>
    <w:p w:rsidRPr="00FF46E3" w:rsidR="008A6FBD" w:rsidP="008A6FBD" w:rsidRDefault="006F2395" w14:paraId="5C95C1A6" w14:textId="29B9DBD3">
      <w:pPr>
        <w:pStyle w:val="Geenafstand"/>
        <w:rPr>
          <w:rFonts w:ascii="Verdana" w:hAnsi="Verdana"/>
          <w:sz w:val="18"/>
          <w:szCs w:val="18"/>
        </w:rPr>
      </w:pPr>
      <w:r w:rsidRPr="00FF46E3">
        <w:rPr>
          <w:rFonts w:ascii="Verdana" w:hAnsi="Verdana" w:cs="BEKDC M+ Univers"/>
          <w:sz w:val="18"/>
          <w:szCs w:val="18"/>
        </w:rPr>
        <w:t xml:space="preserve">De </w:t>
      </w:r>
      <w:proofErr w:type="spellStart"/>
      <w:r w:rsidRPr="00FF46E3">
        <w:rPr>
          <w:rFonts w:ascii="Verdana" w:hAnsi="Verdana"/>
          <w:sz w:val="18"/>
          <w:szCs w:val="18"/>
        </w:rPr>
        <w:t>Cbw</w:t>
      </w:r>
      <w:proofErr w:type="spellEnd"/>
      <w:r w:rsidRPr="00FF46E3" w:rsidR="00BB6548">
        <w:rPr>
          <w:rFonts w:ascii="Verdana" w:hAnsi="Verdana" w:cs="BEKDC M+ Univers"/>
          <w:sz w:val="18"/>
          <w:szCs w:val="18"/>
        </w:rPr>
        <w:t xml:space="preserve"> </w:t>
      </w:r>
      <w:r w:rsidRPr="00FF46E3" w:rsidR="008A6FBD">
        <w:rPr>
          <w:rFonts w:ascii="Verdana" w:hAnsi="Verdana"/>
          <w:sz w:val="18"/>
          <w:szCs w:val="18"/>
        </w:rPr>
        <w:t xml:space="preserve">voorziet in bestuursrechtelijke handhaving, die zowel </w:t>
      </w:r>
      <w:proofErr w:type="spellStart"/>
      <w:r w:rsidRPr="00FF46E3" w:rsidR="008A6FBD">
        <w:rPr>
          <w:rFonts w:ascii="Verdana" w:hAnsi="Verdana"/>
          <w:sz w:val="18"/>
          <w:szCs w:val="18"/>
        </w:rPr>
        <w:t>reparatoir</w:t>
      </w:r>
      <w:proofErr w:type="spellEnd"/>
      <w:r w:rsidRPr="00FF46E3" w:rsidR="008A6FBD">
        <w:rPr>
          <w:rFonts w:ascii="Verdana" w:hAnsi="Verdana"/>
          <w:sz w:val="18"/>
          <w:szCs w:val="18"/>
        </w:rPr>
        <w:t xml:space="preserve"> als punitief kan zijn</w:t>
      </w:r>
      <w:r w:rsidRPr="00FF46E3" w:rsidR="00BB6548">
        <w:rPr>
          <w:rFonts w:ascii="Verdana" w:hAnsi="Verdana"/>
          <w:sz w:val="18"/>
          <w:szCs w:val="18"/>
        </w:rPr>
        <w:t xml:space="preserve"> (herstelsancties en bestraffende sancties)</w:t>
      </w:r>
      <w:r w:rsidRPr="00FF46E3" w:rsidR="008A6FBD">
        <w:rPr>
          <w:rFonts w:ascii="Verdana" w:hAnsi="Verdana"/>
          <w:sz w:val="18"/>
          <w:szCs w:val="18"/>
        </w:rPr>
        <w:t>.</w:t>
      </w:r>
      <w:r w:rsidR="00B42046">
        <w:rPr>
          <w:rStyle w:val="Voetnootmarkering"/>
          <w:rFonts w:ascii="Verdana" w:hAnsi="Verdana"/>
          <w:sz w:val="18"/>
          <w:szCs w:val="18"/>
        </w:rPr>
        <w:footnoteReference w:id="50"/>
      </w:r>
      <w:r w:rsidRPr="00FF46E3" w:rsidR="008A6FBD">
        <w:rPr>
          <w:rFonts w:ascii="Verdana" w:hAnsi="Verdana"/>
          <w:sz w:val="18"/>
          <w:szCs w:val="18"/>
        </w:rPr>
        <w:t xml:space="preserve"> De handhaving heeft betrekking op verplichtingen voor essentiële entiteiten, belangrijke entiteiten en entiteiten die domeinnaamregistratiediensten verlenen, waarvan de meesten op verschillende terreinen al te maken hebben met bestuursrechtelijke handhaving. Bij de implementatie van de NIS1-richtlijn werd het wenselijk geacht om aan te sluiten bij al bestaande bevoegdheden en instrumenten van de sectorale </w:t>
      </w:r>
      <w:r w:rsidRPr="00FF46E3" w:rsidR="00401B1F">
        <w:rPr>
          <w:rFonts w:ascii="Verdana" w:hAnsi="Verdana" w:cstheme="minorHAnsi"/>
          <w:sz w:val="18"/>
          <w:szCs w:val="18"/>
        </w:rPr>
        <w:t>toezichthoudende instanties</w:t>
      </w:r>
      <w:r w:rsidRPr="00FF46E3" w:rsidR="008A6FBD">
        <w:rPr>
          <w:rFonts w:ascii="Verdana" w:hAnsi="Verdana"/>
          <w:sz w:val="18"/>
          <w:szCs w:val="18"/>
        </w:rPr>
        <w:t xml:space="preserve">. Toen is ervoor gekozen in nationale wet- en regelgeving te kiezen voor bestuursrechtelijke handhaving en niet voor strafrechtelijke handhaving. Die lijn wordt bij de implementatie van de NIS2-richtlijn voortgezet. </w:t>
      </w:r>
    </w:p>
    <w:p w:rsidRPr="00FF46E3" w:rsidR="00736646" w:rsidP="008A6FBD" w:rsidRDefault="00736646" w14:paraId="482BE59C" w14:textId="77777777">
      <w:pPr>
        <w:pStyle w:val="Geenafstand"/>
        <w:rPr>
          <w:rFonts w:ascii="Verdana" w:hAnsi="Verdana"/>
          <w:sz w:val="18"/>
          <w:szCs w:val="18"/>
        </w:rPr>
      </w:pPr>
    </w:p>
    <w:p w:rsidRPr="00FF46E3" w:rsidR="008A6FBD" w:rsidP="008A6FBD" w:rsidRDefault="008A6FBD" w14:paraId="6759DD54" w14:textId="6D82721A">
      <w:pPr>
        <w:pStyle w:val="Geenafstand"/>
        <w:rPr>
          <w:rFonts w:ascii="Verdana" w:hAnsi="Verdana"/>
          <w:sz w:val="18"/>
          <w:szCs w:val="18"/>
        </w:rPr>
      </w:pPr>
      <w:r w:rsidRPr="00FF46E3">
        <w:rPr>
          <w:rFonts w:ascii="Verdana" w:hAnsi="Verdana"/>
          <w:sz w:val="18"/>
          <w:szCs w:val="18"/>
        </w:rPr>
        <w:t xml:space="preserve">Het toezicht op de naleving van het bepaalde bij of krachtens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sidR="00F01652">
        <w:rPr>
          <w:rFonts w:ascii="Verdana" w:hAnsi="Verdana"/>
          <w:sz w:val="18"/>
          <w:szCs w:val="18"/>
        </w:rPr>
        <w:t xml:space="preserve"> </w:t>
      </w:r>
      <w:r w:rsidRPr="009C62C2" w:rsidR="009C62C2">
        <w:rPr>
          <w:rFonts w:ascii="Verdana" w:hAnsi="Verdana"/>
          <w:sz w:val="18"/>
          <w:szCs w:val="18"/>
        </w:rPr>
        <w:t xml:space="preserve">en </w:t>
      </w:r>
      <w:r w:rsidR="009C62C2">
        <w:rPr>
          <w:rFonts w:ascii="Verdana" w:hAnsi="Verdana"/>
          <w:sz w:val="18"/>
          <w:szCs w:val="18"/>
        </w:rPr>
        <w:t xml:space="preserve">van </w:t>
      </w:r>
      <w:r w:rsidRPr="009C62C2" w:rsidR="009C62C2">
        <w:rPr>
          <w:rFonts w:ascii="Verdana" w:hAnsi="Verdana"/>
          <w:sz w:val="18"/>
          <w:szCs w:val="18"/>
        </w:rPr>
        <w:t>het bepaalde in de op grond van de artikelen 21, vijfde lid, en 23, elfde lid, NIS2-richtlijn vastgestelde uitvoeringshandelingen en de op grond van artikel 24, tweede lid, NIS2-richtlijn vastgestelde gedelegeerde handelingen,</w:t>
      </w:r>
      <w:r w:rsidRPr="007B6A68" w:rsidR="009C62C2">
        <w:rPr>
          <w:rStyle w:val="Voetnootmarkering"/>
          <w:rFonts w:ascii="Verdana" w:hAnsi="Verdana"/>
          <w:bCs/>
          <w:sz w:val="18"/>
          <w:szCs w:val="18"/>
        </w:rPr>
        <w:footnoteReference w:id="51"/>
      </w:r>
      <w:r w:rsidRPr="009C62C2" w:rsidR="009C62C2">
        <w:rPr>
          <w:rFonts w:ascii="Verdana" w:hAnsi="Verdana"/>
          <w:sz w:val="18"/>
          <w:szCs w:val="18"/>
        </w:rPr>
        <w:t xml:space="preserve"> </w:t>
      </w:r>
      <w:r w:rsidRPr="00FF46E3">
        <w:rPr>
          <w:rFonts w:ascii="Verdana" w:hAnsi="Verdana"/>
          <w:sz w:val="18"/>
          <w:szCs w:val="18"/>
        </w:rPr>
        <w:t xml:space="preserve">wordt opgedragen aan door de </w:t>
      </w:r>
      <w:r w:rsidRPr="00FF46E3" w:rsidR="007321BD">
        <w:rPr>
          <w:rFonts w:ascii="Verdana" w:hAnsi="Verdana"/>
          <w:sz w:val="18"/>
          <w:szCs w:val="18"/>
        </w:rPr>
        <w:t>toezichthoudende instantie</w:t>
      </w:r>
      <w:r w:rsidRPr="00FF46E3">
        <w:rPr>
          <w:rFonts w:ascii="Verdana" w:hAnsi="Verdana"/>
          <w:sz w:val="18"/>
          <w:szCs w:val="18"/>
        </w:rPr>
        <w:t xml:space="preserve"> aangewezen </w:t>
      </w:r>
      <w:r w:rsidRPr="00FF46E3" w:rsidR="00120732">
        <w:rPr>
          <w:rFonts w:ascii="Verdana" w:hAnsi="Verdana"/>
          <w:sz w:val="18"/>
          <w:szCs w:val="18"/>
        </w:rPr>
        <w:t>ambtenaren</w:t>
      </w:r>
      <w:r w:rsidR="009C62C2">
        <w:rPr>
          <w:rFonts w:ascii="Verdana" w:hAnsi="Verdana"/>
          <w:sz w:val="18"/>
          <w:szCs w:val="18"/>
        </w:rPr>
        <w:t xml:space="preserve">, zie artikel 68, eerste lid, </w:t>
      </w:r>
      <w:proofErr w:type="spellStart"/>
      <w:r w:rsidR="009C62C2">
        <w:rPr>
          <w:rFonts w:ascii="Verdana" w:hAnsi="Verdana"/>
          <w:sz w:val="18"/>
          <w:szCs w:val="18"/>
        </w:rPr>
        <w:t>Cbw</w:t>
      </w:r>
      <w:proofErr w:type="spellEnd"/>
      <w:r w:rsidRPr="00FF46E3">
        <w:rPr>
          <w:rFonts w:ascii="Verdana" w:hAnsi="Verdana"/>
          <w:sz w:val="18"/>
          <w:szCs w:val="18"/>
        </w:rPr>
        <w:t xml:space="preserve">. Die aangewezen </w:t>
      </w:r>
      <w:r w:rsidRPr="00FF46E3" w:rsidR="00120732">
        <w:rPr>
          <w:rFonts w:ascii="Verdana" w:hAnsi="Verdana"/>
          <w:sz w:val="18"/>
          <w:szCs w:val="18"/>
        </w:rPr>
        <w:t xml:space="preserve">ambtenaren </w:t>
      </w:r>
      <w:r w:rsidRPr="00FF46E3">
        <w:rPr>
          <w:rFonts w:ascii="Verdana" w:hAnsi="Verdana"/>
          <w:sz w:val="18"/>
          <w:szCs w:val="18"/>
        </w:rPr>
        <w:t xml:space="preserve">zijn toezichthouders in de zin van artikel 5:11 </w:t>
      </w:r>
      <w:proofErr w:type="spellStart"/>
      <w:r w:rsidRPr="00FF46E3" w:rsidR="00F97102">
        <w:rPr>
          <w:rFonts w:ascii="Verdana" w:hAnsi="Verdana"/>
          <w:sz w:val="18"/>
          <w:szCs w:val="18"/>
        </w:rPr>
        <w:t>Awb</w:t>
      </w:r>
      <w:proofErr w:type="spellEnd"/>
      <w:r w:rsidRPr="00FF46E3">
        <w:rPr>
          <w:rFonts w:ascii="Verdana" w:hAnsi="Verdana"/>
          <w:sz w:val="18"/>
          <w:szCs w:val="18"/>
        </w:rPr>
        <w:t xml:space="preserve">. </w:t>
      </w:r>
      <w:r w:rsidRPr="00FD2EEB" w:rsidR="0072292F">
        <w:rPr>
          <w:rFonts w:ascii="Verdana" w:hAnsi="Verdana"/>
          <w:sz w:val="18"/>
          <w:szCs w:val="18"/>
        </w:rPr>
        <w:t xml:space="preserve">Dit zijn personen die bij of krachtens wettelijk voorschrift belast zijn met het houden van toezicht op de naleving van het bepaalde bij of krachtens enig wettelijk voorschrift. Daarmee beschikken zij over de bevoegdheden die titel 5.2 </w:t>
      </w:r>
      <w:proofErr w:type="spellStart"/>
      <w:r w:rsidRPr="00FD2EEB" w:rsidR="0072292F">
        <w:rPr>
          <w:rFonts w:ascii="Verdana" w:hAnsi="Verdana"/>
          <w:sz w:val="18"/>
          <w:szCs w:val="18"/>
        </w:rPr>
        <w:t>Awb</w:t>
      </w:r>
      <w:proofErr w:type="spellEnd"/>
      <w:r w:rsidRPr="00FD2EEB" w:rsidR="0072292F">
        <w:rPr>
          <w:rFonts w:ascii="Verdana" w:hAnsi="Verdana"/>
          <w:sz w:val="18"/>
          <w:szCs w:val="18"/>
        </w:rPr>
        <w:t xml:space="preserve"> aan hen toekent. </w:t>
      </w:r>
      <w:r w:rsidR="0072292F">
        <w:rPr>
          <w:rFonts w:ascii="Verdana" w:hAnsi="Verdana"/>
          <w:sz w:val="18"/>
          <w:szCs w:val="18"/>
        </w:rPr>
        <w:t>Zo beschikken zij</w:t>
      </w:r>
      <w:r w:rsidRPr="00FD2EEB" w:rsidR="0072292F">
        <w:rPr>
          <w:rFonts w:ascii="Verdana" w:hAnsi="Verdana"/>
          <w:sz w:val="18"/>
          <w:szCs w:val="18"/>
        </w:rPr>
        <w:t xml:space="preserve"> onder meer over de bevoegdheid om plaatsen te betreden</w:t>
      </w:r>
      <w:r w:rsidR="0072292F">
        <w:rPr>
          <w:rFonts w:ascii="Verdana" w:hAnsi="Verdana"/>
          <w:sz w:val="18"/>
          <w:szCs w:val="18"/>
        </w:rPr>
        <w:t xml:space="preserve">, </w:t>
      </w:r>
      <w:r w:rsidRPr="00FD2EEB" w:rsidR="0072292F">
        <w:rPr>
          <w:rFonts w:ascii="Verdana" w:hAnsi="Verdana"/>
          <w:sz w:val="18"/>
          <w:szCs w:val="18"/>
        </w:rPr>
        <w:t>met uitzondering van woningen zonder toestemming van de bewoner</w:t>
      </w:r>
      <w:r w:rsidR="0072292F">
        <w:rPr>
          <w:rFonts w:ascii="Verdana" w:hAnsi="Verdana"/>
          <w:sz w:val="18"/>
          <w:szCs w:val="18"/>
        </w:rPr>
        <w:t xml:space="preserve"> (artikel 5:15, eerste lid, </w:t>
      </w:r>
      <w:proofErr w:type="spellStart"/>
      <w:r w:rsidR="0072292F">
        <w:rPr>
          <w:rFonts w:ascii="Verdana" w:hAnsi="Verdana"/>
          <w:sz w:val="18"/>
          <w:szCs w:val="18"/>
        </w:rPr>
        <w:t>Awb</w:t>
      </w:r>
      <w:proofErr w:type="spellEnd"/>
      <w:r w:rsidR="0072292F">
        <w:rPr>
          <w:rFonts w:ascii="Verdana" w:hAnsi="Verdana"/>
          <w:sz w:val="18"/>
          <w:szCs w:val="18"/>
        </w:rPr>
        <w:t>)</w:t>
      </w:r>
      <w:r w:rsidRPr="00FD2EEB" w:rsidR="0072292F">
        <w:rPr>
          <w:rFonts w:ascii="Verdana" w:hAnsi="Verdana"/>
          <w:sz w:val="18"/>
          <w:szCs w:val="18"/>
        </w:rPr>
        <w:t>, om identificatie van personen te vorderen</w:t>
      </w:r>
      <w:r w:rsidR="0072292F">
        <w:rPr>
          <w:rFonts w:ascii="Verdana" w:hAnsi="Verdana"/>
          <w:sz w:val="18"/>
          <w:szCs w:val="18"/>
        </w:rPr>
        <w:t xml:space="preserve"> (artikel 5:16a </w:t>
      </w:r>
      <w:proofErr w:type="spellStart"/>
      <w:r w:rsidR="0072292F">
        <w:rPr>
          <w:rFonts w:ascii="Verdana" w:hAnsi="Verdana"/>
          <w:sz w:val="18"/>
          <w:szCs w:val="18"/>
        </w:rPr>
        <w:t>Awb</w:t>
      </w:r>
      <w:proofErr w:type="spellEnd"/>
      <w:r w:rsidR="0072292F">
        <w:rPr>
          <w:rFonts w:ascii="Verdana" w:hAnsi="Verdana"/>
          <w:sz w:val="18"/>
          <w:szCs w:val="18"/>
        </w:rPr>
        <w:t>) en</w:t>
      </w:r>
      <w:r w:rsidRPr="00FD2EEB" w:rsidR="0072292F">
        <w:rPr>
          <w:rFonts w:ascii="Verdana" w:hAnsi="Verdana"/>
          <w:sz w:val="18"/>
          <w:szCs w:val="18"/>
        </w:rPr>
        <w:t xml:space="preserve"> om inzage te vorderen van zakelijke gegevens en bescheiden en daarvan kopieën te maken</w:t>
      </w:r>
      <w:r w:rsidR="0072292F">
        <w:rPr>
          <w:rFonts w:ascii="Verdana" w:hAnsi="Verdana"/>
          <w:sz w:val="18"/>
          <w:szCs w:val="18"/>
        </w:rPr>
        <w:t xml:space="preserve"> (artikel 5:17 </w:t>
      </w:r>
      <w:proofErr w:type="spellStart"/>
      <w:r w:rsidR="0072292F">
        <w:rPr>
          <w:rFonts w:ascii="Verdana" w:hAnsi="Verdana"/>
          <w:sz w:val="18"/>
          <w:szCs w:val="18"/>
        </w:rPr>
        <w:t>Awb</w:t>
      </w:r>
      <w:proofErr w:type="spellEnd"/>
      <w:r w:rsidR="0072292F">
        <w:rPr>
          <w:rFonts w:ascii="Verdana" w:hAnsi="Verdana"/>
          <w:sz w:val="18"/>
          <w:szCs w:val="18"/>
        </w:rPr>
        <w:t>)</w:t>
      </w:r>
      <w:r w:rsidRPr="00FD2EEB" w:rsidR="0072292F">
        <w:rPr>
          <w:rFonts w:ascii="Verdana" w:hAnsi="Verdana"/>
          <w:sz w:val="18"/>
          <w:szCs w:val="18"/>
        </w:rPr>
        <w:t>.</w:t>
      </w:r>
    </w:p>
    <w:p w:rsidRPr="00FF46E3" w:rsidR="00413C93" w:rsidP="008A6FBD" w:rsidRDefault="00413C93" w14:paraId="556F7672" w14:textId="77777777">
      <w:pPr>
        <w:pStyle w:val="Geenafstand"/>
        <w:rPr>
          <w:rFonts w:ascii="Verdana" w:hAnsi="Verdana"/>
          <w:sz w:val="18"/>
          <w:szCs w:val="18"/>
        </w:rPr>
      </w:pPr>
    </w:p>
    <w:p w:rsidRPr="00FF46E3" w:rsidR="008A6FBD" w:rsidP="00C3466E" w:rsidRDefault="00CD1B9A" w14:paraId="2086667C" w14:textId="4DAB2AAD">
      <w:pPr>
        <w:pStyle w:val="Kop3"/>
      </w:pPr>
      <w:bookmarkStart w:name="_Toc198721085" w:id="70"/>
      <w:r w:rsidRPr="00FF46E3">
        <w:t>5.</w:t>
      </w:r>
      <w:r w:rsidR="007E5530">
        <w:t>6</w:t>
      </w:r>
      <w:r w:rsidRPr="00FF46E3">
        <w:t>.</w:t>
      </w:r>
      <w:r w:rsidR="00A52718">
        <w:t>3</w:t>
      </w:r>
      <w:r w:rsidRPr="00FF46E3" w:rsidR="00736646">
        <w:t xml:space="preserve"> </w:t>
      </w:r>
      <w:r w:rsidRPr="00FF46E3" w:rsidR="008A6FBD">
        <w:t xml:space="preserve">Differentiatie </w:t>
      </w:r>
      <w:r w:rsidR="00AB286A">
        <w:t xml:space="preserve">in het </w:t>
      </w:r>
      <w:r w:rsidRPr="00FF46E3" w:rsidR="008A6FBD">
        <w:t>toezicht</w:t>
      </w:r>
      <w:bookmarkEnd w:id="70"/>
    </w:p>
    <w:p w:rsidRPr="00FF46E3" w:rsidR="00736646" w:rsidP="008A6FBD" w:rsidRDefault="00736646" w14:paraId="0178488C" w14:textId="77777777">
      <w:pPr>
        <w:pStyle w:val="Geenafstand"/>
        <w:rPr>
          <w:rFonts w:ascii="Verdana" w:hAnsi="Verdana"/>
          <w:sz w:val="18"/>
          <w:szCs w:val="18"/>
        </w:rPr>
      </w:pPr>
    </w:p>
    <w:p w:rsidRPr="00013AE6" w:rsidR="00013AE6" w:rsidP="008A6FBD" w:rsidRDefault="00013AE6" w14:paraId="27148674" w14:textId="765FF19C">
      <w:pPr>
        <w:pStyle w:val="Geenafstand"/>
        <w:rPr>
          <w:rFonts w:ascii="Verdana" w:hAnsi="Verdana"/>
          <w:i/>
          <w:iCs/>
          <w:sz w:val="18"/>
          <w:szCs w:val="18"/>
        </w:rPr>
      </w:pPr>
      <w:r>
        <w:rPr>
          <w:rFonts w:ascii="Verdana" w:hAnsi="Verdana"/>
          <w:i/>
          <w:iCs/>
          <w:sz w:val="18"/>
          <w:szCs w:val="18"/>
        </w:rPr>
        <w:t>Inleiding</w:t>
      </w:r>
    </w:p>
    <w:p w:rsidRPr="00FF46E3" w:rsidR="008A6FBD" w:rsidP="008A6FBD" w:rsidRDefault="006F2395" w14:paraId="5F165B9E" w14:textId="5835E810">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8A6FBD">
        <w:rPr>
          <w:rFonts w:ascii="Verdana" w:hAnsi="Verdana"/>
          <w:sz w:val="18"/>
          <w:szCs w:val="18"/>
        </w:rPr>
        <w:t xml:space="preserve"> maakt, zoals voorgeschreven door de NIS2-richtlijn, onderscheid tussen het toezicht op essentiële entiteiten</w:t>
      </w:r>
      <w:r w:rsidRPr="00FF46E3" w:rsidR="00120732">
        <w:rPr>
          <w:rFonts w:ascii="Verdana" w:hAnsi="Verdana"/>
          <w:sz w:val="18"/>
          <w:szCs w:val="18"/>
        </w:rPr>
        <w:t xml:space="preserve"> en </w:t>
      </w:r>
      <w:r w:rsidRPr="00FF46E3" w:rsidR="008A6FBD">
        <w:rPr>
          <w:rFonts w:ascii="Verdana" w:hAnsi="Verdana"/>
          <w:sz w:val="18"/>
          <w:szCs w:val="18"/>
        </w:rPr>
        <w:t>belangrijke entiteiten</w:t>
      </w:r>
      <w:r w:rsidR="00381077">
        <w:rPr>
          <w:rFonts w:ascii="Verdana" w:hAnsi="Verdana"/>
          <w:sz w:val="18"/>
          <w:szCs w:val="18"/>
        </w:rPr>
        <w:t>,</w:t>
      </w:r>
      <w:r w:rsidRPr="00FF46E3" w:rsidR="00120732">
        <w:rPr>
          <w:rFonts w:ascii="Verdana" w:hAnsi="Verdana"/>
          <w:sz w:val="18"/>
          <w:szCs w:val="18"/>
        </w:rPr>
        <w:t xml:space="preserve"> </w:t>
      </w:r>
      <w:r w:rsidRPr="00FF46E3" w:rsidR="008A6FBD">
        <w:rPr>
          <w:rFonts w:ascii="Verdana" w:hAnsi="Verdana"/>
          <w:sz w:val="18"/>
          <w:szCs w:val="18"/>
        </w:rPr>
        <w:t>het toezicht op entiteiten die domeinnaamregistratiediensten verlenen</w:t>
      </w:r>
      <w:r w:rsidR="00381077">
        <w:rPr>
          <w:rFonts w:ascii="Verdana" w:hAnsi="Verdana"/>
          <w:sz w:val="18"/>
          <w:szCs w:val="18"/>
        </w:rPr>
        <w:t xml:space="preserve"> en het toezicht op leden van het bestuur van essentiële entiteiten en belangrijke entiteiten (in verband met de verplichtingen</w:t>
      </w:r>
      <w:r w:rsidR="006B09DE">
        <w:rPr>
          <w:rFonts w:ascii="Verdana" w:hAnsi="Verdana"/>
          <w:sz w:val="18"/>
          <w:szCs w:val="18"/>
        </w:rPr>
        <w:t>, bedoeld in artikel 24, tweede tot en met zesde lid</w:t>
      </w:r>
      <w:r w:rsidR="00381077">
        <w:rPr>
          <w:rFonts w:ascii="Verdana" w:hAnsi="Verdana"/>
          <w:sz w:val="18"/>
          <w:szCs w:val="18"/>
        </w:rPr>
        <w:t xml:space="preserve">, </w:t>
      </w:r>
      <w:proofErr w:type="spellStart"/>
      <w:r w:rsidR="00381077">
        <w:rPr>
          <w:rFonts w:ascii="Verdana" w:hAnsi="Verdana"/>
          <w:sz w:val="18"/>
          <w:szCs w:val="18"/>
        </w:rPr>
        <w:t>Cbw</w:t>
      </w:r>
      <w:proofErr w:type="spellEnd"/>
      <w:r w:rsidR="00381077">
        <w:rPr>
          <w:rFonts w:ascii="Verdana" w:hAnsi="Verdana"/>
          <w:sz w:val="18"/>
          <w:szCs w:val="18"/>
        </w:rPr>
        <w:t>)</w:t>
      </w:r>
      <w:r w:rsidRPr="00FF46E3" w:rsidR="008A6FBD">
        <w:rPr>
          <w:rFonts w:ascii="Verdana" w:hAnsi="Verdana"/>
          <w:sz w:val="18"/>
          <w:szCs w:val="18"/>
        </w:rPr>
        <w:t xml:space="preserve">. </w:t>
      </w:r>
    </w:p>
    <w:p w:rsidRPr="00FF46E3" w:rsidR="00AF6681" w:rsidP="008A6FBD" w:rsidRDefault="00AF6681" w14:paraId="5AFABD4A" w14:textId="77777777">
      <w:pPr>
        <w:pStyle w:val="Geenafstand"/>
        <w:rPr>
          <w:rFonts w:ascii="Verdana" w:hAnsi="Verdana"/>
          <w:sz w:val="18"/>
          <w:szCs w:val="18"/>
        </w:rPr>
      </w:pPr>
    </w:p>
    <w:p w:rsidR="00C02E63" w:rsidP="008A6FBD" w:rsidRDefault="00371B3B" w14:paraId="06545E36" w14:textId="1BC6887E">
      <w:pPr>
        <w:pStyle w:val="Geenafstand"/>
        <w:rPr>
          <w:rFonts w:ascii="Verdana" w:hAnsi="Verdana"/>
          <w:i/>
          <w:iCs/>
          <w:sz w:val="18"/>
          <w:szCs w:val="18"/>
        </w:rPr>
      </w:pPr>
      <w:r>
        <w:rPr>
          <w:rFonts w:ascii="Verdana" w:hAnsi="Verdana"/>
          <w:i/>
          <w:iCs/>
          <w:sz w:val="18"/>
          <w:szCs w:val="18"/>
        </w:rPr>
        <w:t>Toezicht op e</w:t>
      </w:r>
      <w:r w:rsidRPr="00FF46E3" w:rsidR="00C02E63">
        <w:rPr>
          <w:rFonts w:ascii="Verdana" w:hAnsi="Verdana"/>
          <w:i/>
          <w:iCs/>
          <w:sz w:val="18"/>
          <w:szCs w:val="18"/>
        </w:rPr>
        <w:t xml:space="preserve">ssentiële entiteiten en belangrijke entiteiten </w:t>
      </w:r>
    </w:p>
    <w:p w:rsidRPr="00FF46E3" w:rsidR="008A6FBD" w:rsidP="008A6FBD" w:rsidRDefault="008A6FBD" w14:paraId="77C59B8E" w14:textId="4ABA3A2C">
      <w:pPr>
        <w:pStyle w:val="Geenafstand"/>
        <w:rPr>
          <w:rFonts w:ascii="Verdana" w:hAnsi="Verdana"/>
          <w:sz w:val="18"/>
          <w:szCs w:val="18"/>
        </w:rPr>
      </w:pPr>
      <w:r w:rsidRPr="00FF46E3">
        <w:rPr>
          <w:rFonts w:ascii="Verdana" w:hAnsi="Verdana"/>
          <w:sz w:val="18"/>
          <w:szCs w:val="18"/>
        </w:rPr>
        <w:lastRenderedPageBreak/>
        <w:t xml:space="preserve">De </w:t>
      </w:r>
      <w:r w:rsidR="00E00D75">
        <w:rPr>
          <w:rFonts w:ascii="Verdana" w:hAnsi="Verdana"/>
          <w:sz w:val="18"/>
          <w:szCs w:val="18"/>
        </w:rPr>
        <w:t>NIS2-</w:t>
      </w:r>
      <w:r w:rsidRPr="00FF46E3">
        <w:rPr>
          <w:rFonts w:ascii="Verdana" w:hAnsi="Verdana"/>
          <w:sz w:val="18"/>
          <w:szCs w:val="18"/>
        </w:rPr>
        <w:t>richtlijn schrijft voor dat essentiële entiteiten moeten worden onderworpen aan een alomvattende regeling voor toezicht vooraf en achteraf. Belangrijke entiteiten moeten worden onderworpen aan een</w:t>
      </w:r>
      <w:r w:rsidRPr="00FF46E3" w:rsidR="00EA661F">
        <w:rPr>
          <w:rFonts w:ascii="Verdana" w:hAnsi="Verdana"/>
          <w:sz w:val="18"/>
          <w:szCs w:val="18"/>
        </w:rPr>
        <w:t xml:space="preserve"> </w:t>
      </w:r>
      <w:r w:rsidRPr="00FF46E3">
        <w:rPr>
          <w:rFonts w:ascii="Verdana" w:hAnsi="Verdana"/>
          <w:sz w:val="18"/>
          <w:szCs w:val="18"/>
        </w:rPr>
        <w:t xml:space="preserve">regeling voor toezicht, uitsluitend achteraf. Hierover is in de NIS2-richtlijn toegelicht dat deze differentiatie zorgt voor een billijk evenwicht tussen op risico gebaseerde eisen en verplichtingen enerzijds en de administratieve lasten die voortvloeien uit het toezicht op de naleving anderzijds. Het toezicht achteraf ten aanzien van belangrijke entiteiten kan worden </w:t>
      </w:r>
      <w:r w:rsidRPr="00FF46E3" w:rsidR="00120732">
        <w:rPr>
          <w:rFonts w:ascii="Verdana" w:hAnsi="Verdana"/>
          <w:sz w:val="18"/>
          <w:szCs w:val="18"/>
        </w:rPr>
        <w:t xml:space="preserve">ingezet </w:t>
      </w:r>
      <w:r w:rsidRPr="00FF46E3">
        <w:rPr>
          <w:rFonts w:ascii="Verdana" w:hAnsi="Verdana"/>
          <w:sz w:val="18"/>
          <w:szCs w:val="18"/>
        </w:rPr>
        <w:t xml:space="preserve">wanneer bewijzen, aanwijzingen of informatie onder de aandacht van de bevoegde autoriteiten zijn gekomen en deze door die autoriteiten worden geacht te wijzen op mogelijke inbreuken op de richtlijn. Dergelijke bewijzen, aanwijzingen of informatie kunnen bijvoorbeeld van het type zijn dat door andere autoriteiten, entiteiten, burgers, media of andere bronnen aan de bevoegde autoriteiten </w:t>
      </w:r>
      <w:r w:rsidRPr="00FF46E3" w:rsidR="00120732">
        <w:rPr>
          <w:rFonts w:ascii="Verdana" w:hAnsi="Verdana"/>
          <w:sz w:val="18"/>
          <w:szCs w:val="18"/>
        </w:rPr>
        <w:t xml:space="preserve">wordt </w:t>
      </w:r>
      <w:r w:rsidRPr="00FF46E3">
        <w:rPr>
          <w:rFonts w:ascii="Verdana" w:hAnsi="Verdana"/>
          <w:sz w:val="18"/>
          <w:szCs w:val="18"/>
        </w:rPr>
        <w:t xml:space="preserve">verstrekt, </w:t>
      </w:r>
      <w:r w:rsidRPr="00FF46E3" w:rsidR="00120732">
        <w:rPr>
          <w:rFonts w:ascii="Verdana" w:hAnsi="Verdana"/>
          <w:sz w:val="18"/>
          <w:szCs w:val="18"/>
        </w:rPr>
        <w:t xml:space="preserve">kan </w:t>
      </w:r>
      <w:r w:rsidRPr="00FF46E3">
        <w:rPr>
          <w:rFonts w:ascii="Verdana" w:hAnsi="Verdana"/>
          <w:sz w:val="18"/>
          <w:szCs w:val="18"/>
        </w:rPr>
        <w:t>openbaar beschikbare informatie zijn, of k</w:t>
      </w:r>
      <w:r w:rsidRPr="00FF46E3" w:rsidR="00120732">
        <w:rPr>
          <w:rFonts w:ascii="Verdana" w:hAnsi="Verdana"/>
          <w:sz w:val="18"/>
          <w:szCs w:val="18"/>
        </w:rPr>
        <w:t>a</w:t>
      </w:r>
      <w:r w:rsidRPr="00FF46E3">
        <w:rPr>
          <w:rFonts w:ascii="Verdana" w:hAnsi="Verdana"/>
          <w:sz w:val="18"/>
          <w:szCs w:val="18"/>
        </w:rPr>
        <w:t>n voortkomen uit andere werkzaamheden die de bevoegde autoriteiten in het kader van de uitvoering van hun taken verrichten.</w:t>
      </w:r>
      <w:r w:rsidRPr="00FF46E3">
        <w:rPr>
          <w:rStyle w:val="Voetnootmarkering"/>
          <w:rFonts w:ascii="Verdana" w:hAnsi="Verdana"/>
          <w:sz w:val="18"/>
          <w:szCs w:val="18"/>
        </w:rPr>
        <w:footnoteReference w:id="52"/>
      </w:r>
    </w:p>
    <w:p w:rsidRPr="00FF46E3" w:rsidR="008A6FBD" w:rsidP="008A6FBD" w:rsidRDefault="008A6FBD" w14:paraId="72ED8AA6" w14:textId="72C1A1BA">
      <w:pPr>
        <w:pStyle w:val="Geenafstand"/>
        <w:rPr>
          <w:rFonts w:ascii="Verdana" w:hAnsi="Verdana"/>
          <w:sz w:val="18"/>
          <w:szCs w:val="18"/>
        </w:rPr>
      </w:pPr>
      <w:r w:rsidRPr="00FF46E3">
        <w:rPr>
          <w:rFonts w:ascii="Verdana" w:hAnsi="Verdana"/>
          <w:sz w:val="18"/>
          <w:szCs w:val="18"/>
        </w:rPr>
        <w:t xml:space="preserve">Omdat in de NIS2-richtlijn het toezicht op belangrijke entiteiten wordt omschreven als het “toezicht achteraf” dat kan worden “geactiveerd” wanneer de bevoegde autoriteiten op de hoogte zijn gekomen van mogelijke inbreuken op de richtlijn, wordt in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voorzien in afzonderlijke artikelen ten aanzien van het toezicht op essentiële entiteiten en het toezicht op belangrijke entiteiten. Een belangrijk verschil in die artikelen ziet op het moment waarop de </w:t>
      </w:r>
      <w:r w:rsidRPr="00FF46E3" w:rsidR="008879CB">
        <w:rPr>
          <w:rFonts w:ascii="Verdana" w:hAnsi="Verdana"/>
          <w:sz w:val="18"/>
          <w:szCs w:val="18"/>
        </w:rPr>
        <w:t>toezichthouder</w:t>
      </w:r>
      <w:r w:rsidRPr="00FF46E3">
        <w:rPr>
          <w:rFonts w:ascii="Verdana" w:hAnsi="Verdana"/>
          <w:sz w:val="18"/>
          <w:szCs w:val="18"/>
        </w:rPr>
        <w:t xml:space="preserve"> de hierin opgenomen bevoegdheden </w:t>
      </w:r>
      <w:r w:rsidRPr="00FF46E3" w:rsidR="00401B1F">
        <w:rPr>
          <w:rFonts w:ascii="Verdana" w:hAnsi="Verdana"/>
          <w:sz w:val="18"/>
          <w:szCs w:val="18"/>
        </w:rPr>
        <w:t xml:space="preserve">kan </w:t>
      </w:r>
      <w:r w:rsidRPr="00FF46E3">
        <w:rPr>
          <w:rFonts w:ascii="Verdana" w:hAnsi="Verdana"/>
          <w:sz w:val="18"/>
          <w:szCs w:val="18"/>
        </w:rPr>
        <w:t xml:space="preserve">inzetten ten aanzien van belangrijke entiteiten. </w:t>
      </w:r>
    </w:p>
    <w:p w:rsidRPr="00FF46E3" w:rsidR="003C059A" w:rsidP="008A6FBD" w:rsidRDefault="003C059A" w14:paraId="2CDF32E0" w14:textId="77777777">
      <w:pPr>
        <w:pStyle w:val="Geenafstand"/>
        <w:rPr>
          <w:rFonts w:ascii="Verdana" w:hAnsi="Verdana"/>
          <w:sz w:val="18"/>
          <w:szCs w:val="18"/>
        </w:rPr>
      </w:pPr>
    </w:p>
    <w:p w:rsidRPr="00FF46E3" w:rsidR="00C02E63" w:rsidP="008A6FBD" w:rsidRDefault="000743C4" w14:paraId="3DDD058B" w14:textId="02578B00">
      <w:pPr>
        <w:pStyle w:val="Geenafstand"/>
        <w:rPr>
          <w:rFonts w:ascii="Verdana" w:hAnsi="Verdana"/>
          <w:i/>
          <w:iCs/>
          <w:sz w:val="18"/>
          <w:szCs w:val="18"/>
        </w:rPr>
      </w:pPr>
      <w:r>
        <w:rPr>
          <w:rFonts w:ascii="Verdana" w:hAnsi="Verdana"/>
          <w:i/>
          <w:iCs/>
          <w:sz w:val="18"/>
          <w:szCs w:val="18"/>
        </w:rPr>
        <w:t>Toezicht op e</w:t>
      </w:r>
      <w:r w:rsidRPr="00FF46E3" w:rsidR="00C02E63">
        <w:rPr>
          <w:rFonts w:ascii="Verdana" w:hAnsi="Verdana"/>
          <w:i/>
          <w:iCs/>
          <w:sz w:val="18"/>
          <w:szCs w:val="18"/>
        </w:rPr>
        <w:t>ntiteiten die domeinnaamregistratiediensten</w:t>
      </w:r>
      <w:r w:rsidRPr="00FF46E3" w:rsidR="0022563D">
        <w:rPr>
          <w:rFonts w:ascii="Verdana" w:hAnsi="Verdana"/>
          <w:i/>
          <w:iCs/>
          <w:sz w:val="18"/>
          <w:szCs w:val="18"/>
        </w:rPr>
        <w:t xml:space="preserve"> </w:t>
      </w:r>
      <w:r w:rsidR="00371B3B">
        <w:rPr>
          <w:rFonts w:ascii="Verdana" w:hAnsi="Verdana"/>
          <w:i/>
          <w:iCs/>
          <w:sz w:val="18"/>
          <w:szCs w:val="18"/>
        </w:rPr>
        <w:t>verlenen</w:t>
      </w:r>
    </w:p>
    <w:p w:rsidR="00371B3B" w:rsidP="008A6FBD" w:rsidRDefault="008A6FBD" w14:paraId="445D5D6E" w14:textId="77777777">
      <w:pPr>
        <w:pStyle w:val="Geenafstand"/>
        <w:rPr>
          <w:rFonts w:ascii="Verdana" w:hAnsi="Verdana"/>
          <w:sz w:val="18"/>
          <w:szCs w:val="18"/>
        </w:rPr>
      </w:pPr>
      <w:bookmarkStart w:name="_Hlk150095495" w:id="71"/>
      <w:r w:rsidRPr="00FF46E3">
        <w:rPr>
          <w:rFonts w:ascii="Verdana" w:hAnsi="Verdana"/>
          <w:sz w:val="18"/>
          <w:szCs w:val="18"/>
        </w:rPr>
        <w:t xml:space="preserve">De NIS2-richtlijn bevat geen specifieke bepalingen over het toezicht op de naleving van de verplichtingen die gelden voor entiteiten die domeinnaamregistratiediensten verlenen, anders dan de algemene bepaling dat lidstaten ervoor moeten zorgen dat hun bevoegde autoriteiten effectief toezicht houden op en de noodzakelijke maatregelen nemen om te zorgen voor de naleving van de richtlijn (artikel 31, eerste lid, NIS2-richtlijn). Dit betekent dat het aan de lidstaten is om te komen tot een passende invulling van het toezicht op deze entiteiten. </w:t>
      </w:r>
    </w:p>
    <w:p w:rsidRPr="00FF46E3" w:rsidR="008A6FBD" w:rsidP="008A6FBD" w:rsidRDefault="008A6FBD" w14:paraId="1DECEA15" w14:textId="1BB059DF">
      <w:pPr>
        <w:pStyle w:val="Geenafstand"/>
        <w:rPr>
          <w:rFonts w:ascii="Verdana" w:hAnsi="Verdana"/>
          <w:sz w:val="18"/>
          <w:szCs w:val="18"/>
        </w:rPr>
      </w:pPr>
      <w:r w:rsidRPr="00FF46E3">
        <w:rPr>
          <w:rFonts w:ascii="Verdana" w:hAnsi="Verdana"/>
          <w:sz w:val="18"/>
          <w:szCs w:val="18"/>
        </w:rPr>
        <w:t xml:space="preserve">Voor het toezicht op entiteiten die domeinnaamregistratiediensten verlenen is </w:t>
      </w:r>
      <w:r w:rsidR="00371B3B">
        <w:rPr>
          <w:rFonts w:ascii="Verdana" w:hAnsi="Verdana"/>
          <w:sz w:val="18"/>
          <w:szCs w:val="18"/>
        </w:rPr>
        <w:t xml:space="preserve">in de </w:t>
      </w:r>
      <w:proofErr w:type="spellStart"/>
      <w:r w:rsidR="00371B3B">
        <w:rPr>
          <w:rFonts w:ascii="Verdana" w:hAnsi="Verdana"/>
          <w:sz w:val="18"/>
          <w:szCs w:val="18"/>
        </w:rPr>
        <w:t>Cbw</w:t>
      </w:r>
      <w:proofErr w:type="spellEnd"/>
      <w:r w:rsidR="00371B3B">
        <w:rPr>
          <w:rFonts w:ascii="Verdana" w:hAnsi="Verdana"/>
          <w:sz w:val="18"/>
          <w:szCs w:val="18"/>
        </w:rPr>
        <w:t xml:space="preserve"> </w:t>
      </w:r>
      <w:r w:rsidRPr="00FF46E3">
        <w:rPr>
          <w:rFonts w:ascii="Verdana" w:hAnsi="Verdana"/>
          <w:sz w:val="18"/>
          <w:szCs w:val="18"/>
        </w:rPr>
        <w:t xml:space="preserve">gekozen voor de bevoegdheid van de </w:t>
      </w:r>
      <w:r w:rsidRPr="00FF46E3" w:rsidR="002C405C">
        <w:rPr>
          <w:rFonts w:ascii="Verdana" w:hAnsi="Verdana"/>
          <w:sz w:val="18"/>
          <w:szCs w:val="18"/>
        </w:rPr>
        <w:t xml:space="preserve">toezichthouder </w:t>
      </w:r>
      <w:r w:rsidRPr="00FF46E3">
        <w:rPr>
          <w:rFonts w:ascii="Verdana" w:hAnsi="Verdana"/>
          <w:sz w:val="18"/>
          <w:szCs w:val="18"/>
        </w:rPr>
        <w:t xml:space="preserve">tot het opleggen van een aanwijzing, last onder dwangsom en bestuurlijke boete. Er is gekozen om niet te voorzien in de bevoegdheid tot het opleggen van een last onder </w:t>
      </w:r>
      <w:r w:rsidRPr="002E7D7D">
        <w:rPr>
          <w:rFonts w:ascii="Verdana" w:hAnsi="Verdana"/>
          <w:sz w:val="18"/>
          <w:szCs w:val="18"/>
        </w:rPr>
        <w:t>bestuursdwang.</w:t>
      </w:r>
      <w:r w:rsidRPr="002E7D7D" w:rsidR="00B77A00">
        <w:rPr>
          <w:rFonts w:ascii="Verdana" w:hAnsi="Verdana"/>
          <w:sz w:val="18"/>
          <w:szCs w:val="18"/>
        </w:rPr>
        <w:t xml:space="preserve"> De reden hiervoor is dat de verplichtingen voor entiteiten die domeinnaamregistratiediensten aanbieden uitsluitend van administratieve aard zijn, waaronder het bijhouden van domeinnaamregistratiegegevens van geregistreerde domeinnamen, het verifiëren ervan, het publiceren van beleid en het op rechtmatig en gemotiveerd verzoek verstrekken daarvan aan legitieme </w:t>
      </w:r>
      <w:proofErr w:type="spellStart"/>
      <w:r w:rsidRPr="002E7D7D" w:rsidR="00B77A00">
        <w:rPr>
          <w:rFonts w:ascii="Verdana" w:hAnsi="Verdana"/>
          <w:sz w:val="18"/>
          <w:szCs w:val="18"/>
        </w:rPr>
        <w:t>toegangvragende</w:t>
      </w:r>
      <w:proofErr w:type="spellEnd"/>
      <w:r w:rsidRPr="002E7D7D" w:rsidR="00B77A00">
        <w:rPr>
          <w:rFonts w:ascii="Verdana" w:hAnsi="Verdana"/>
          <w:sz w:val="18"/>
          <w:szCs w:val="18"/>
        </w:rPr>
        <w:t xml:space="preserve"> partijen. Het ligt niet in de rede dat de toezichthouder zelf overgaat tot herstel van overtreding van deze verplichtingen door de last door feitelijk handelen ten uitvoer te leggen.</w:t>
      </w:r>
      <w:bookmarkEnd w:id="71"/>
      <w:r w:rsidR="008265E7">
        <w:rPr>
          <w:rFonts w:ascii="Verdana" w:hAnsi="Verdana"/>
          <w:sz w:val="18"/>
          <w:szCs w:val="18"/>
        </w:rPr>
        <w:t xml:space="preserve"> </w:t>
      </w:r>
    </w:p>
    <w:p w:rsidRPr="00FF46E3" w:rsidR="008A6FBD" w:rsidP="008A6FBD" w:rsidRDefault="008A6FBD" w14:paraId="24DCF123" w14:textId="082AE651">
      <w:pPr>
        <w:pStyle w:val="Geenafstand"/>
        <w:rPr>
          <w:rFonts w:ascii="Verdana" w:hAnsi="Verdana"/>
          <w:sz w:val="18"/>
          <w:szCs w:val="18"/>
        </w:rPr>
      </w:pPr>
      <w:r w:rsidRPr="00FF46E3">
        <w:rPr>
          <w:rFonts w:ascii="Verdana" w:hAnsi="Verdana"/>
          <w:sz w:val="18"/>
          <w:szCs w:val="18"/>
        </w:rPr>
        <w:t xml:space="preserve">Het voorgaande is van toepassing op entiteiten die domeinnaamregistratiediensten verlenen voor zover zij niet al op grond van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worden aangemerkt of zijn aangewezen als essentiële entiteit of belangrijke entiteit. </w:t>
      </w:r>
      <w:bookmarkStart w:name="_Hlk150095252" w:id="72"/>
      <w:r w:rsidRPr="00FF46E3">
        <w:rPr>
          <w:rFonts w:ascii="Verdana" w:hAnsi="Verdana"/>
          <w:sz w:val="18"/>
          <w:szCs w:val="18"/>
        </w:rPr>
        <w:t xml:space="preserve">Indien een entiteit die domeinnaamregistratiediensten verleent ook op grond van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een essentiële entiteit of belangrijke entiteit is, dan gelden de bepalingen over het toezicht en de handhaving op essentiële entiteiten </w:t>
      </w:r>
      <w:r w:rsidRPr="00FF46E3" w:rsidR="00F4014F">
        <w:rPr>
          <w:rFonts w:ascii="Verdana" w:hAnsi="Verdana"/>
          <w:sz w:val="18"/>
          <w:szCs w:val="18"/>
        </w:rPr>
        <w:t>respectievelijk</w:t>
      </w:r>
      <w:r w:rsidRPr="00FF46E3">
        <w:rPr>
          <w:rFonts w:ascii="Verdana" w:hAnsi="Verdana"/>
          <w:sz w:val="18"/>
          <w:szCs w:val="18"/>
        </w:rPr>
        <w:t xml:space="preserve"> belangrijke entiteiten. </w:t>
      </w:r>
    </w:p>
    <w:bookmarkEnd w:id="72"/>
    <w:p w:rsidR="00C02E63" w:rsidP="008A6FBD" w:rsidRDefault="00C02E63" w14:paraId="370A311C" w14:textId="628DB48C">
      <w:pPr>
        <w:pStyle w:val="Geenafstand"/>
        <w:rPr>
          <w:rFonts w:ascii="Verdana" w:hAnsi="Verdana"/>
          <w:sz w:val="18"/>
          <w:szCs w:val="18"/>
        </w:rPr>
      </w:pPr>
    </w:p>
    <w:p w:rsidRPr="002A4646" w:rsidR="00381077" w:rsidP="00381077" w:rsidRDefault="00381077" w14:paraId="7A3ED2FC" w14:textId="2CD020FC">
      <w:pPr>
        <w:pStyle w:val="Geenafstand"/>
        <w:rPr>
          <w:rFonts w:ascii="Verdana" w:hAnsi="Verdana"/>
          <w:i/>
          <w:iCs/>
          <w:sz w:val="18"/>
          <w:szCs w:val="18"/>
        </w:rPr>
      </w:pPr>
      <w:bookmarkStart w:name="_Hlk181278145" w:id="73"/>
      <w:r w:rsidRPr="002A4646">
        <w:rPr>
          <w:rFonts w:ascii="Verdana" w:hAnsi="Verdana"/>
          <w:i/>
          <w:iCs/>
          <w:sz w:val="18"/>
          <w:szCs w:val="18"/>
        </w:rPr>
        <w:t>Toezicht op leden van het bestuur</w:t>
      </w:r>
    </w:p>
    <w:p w:rsidR="00381077" w:rsidP="00381077" w:rsidRDefault="00381077" w14:paraId="24D25E7A" w14:textId="0B15F48D">
      <w:pPr>
        <w:pStyle w:val="Geenafstand"/>
        <w:rPr>
          <w:rFonts w:ascii="Verdana" w:hAnsi="Verdana"/>
          <w:sz w:val="18"/>
          <w:szCs w:val="18"/>
        </w:rPr>
      </w:pPr>
      <w:r w:rsidRPr="00FF46E3">
        <w:rPr>
          <w:rFonts w:ascii="Verdana" w:hAnsi="Verdana"/>
          <w:sz w:val="18"/>
          <w:szCs w:val="18"/>
        </w:rPr>
        <w:t xml:space="preserve">De NIS2-richtlijn bevat geen specifieke bepalingen over het toezicht op de naleving van de </w:t>
      </w:r>
      <w:r>
        <w:rPr>
          <w:rFonts w:ascii="Verdana" w:hAnsi="Verdana"/>
          <w:sz w:val="18"/>
          <w:szCs w:val="18"/>
        </w:rPr>
        <w:t xml:space="preserve">verplichtingen die zijn geïmplementeerd artikel </w:t>
      </w:r>
      <w:r w:rsidR="006B09DE">
        <w:rPr>
          <w:rFonts w:ascii="Verdana" w:hAnsi="Verdana"/>
          <w:sz w:val="18"/>
          <w:szCs w:val="18"/>
        </w:rPr>
        <w:t>24, tweede tot en met zesde lid</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die van toepassing zijn op leden van het bestuur van essentiële entiteiten en belangrijke entiteiten</w:t>
      </w:r>
      <w:r w:rsidR="00515F82">
        <w:rPr>
          <w:rFonts w:ascii="Verdana" w:hAnsi="Verdana"/>
          <w:sz w:val="18"/>
          <w:szCs w:val="18"/>
        </w:rPr>
        <w:t>. De NIS2-richtlijn bevat alleen</w:t>
      </w:r>
      <w:r w:rsidRPr="00FF46E3">
        <w:rPr>
          <w:rFonts w:ascii="Verdana" w:hAnsi="Verdana"/>
          <w:sz w:val="18"/>
          <w:szCs w:val="18"/>
        </w:rPr>
        <w:t xml:space="preserve"> de algemene bepaling dat lidstaten ervoor moeten zorgen dat hun bevoegde autoriteiten effectief toezicht houden op en de noodzakelijke maatregelen nemen om te zorgen voor de naleving van de richtlijn (artikel 31, eerste lid, NIS2-richtlijn). Dit betekent dat het aan de lidstaten is om te komen tot een passende invulling van het toezicht op deze entiteiten. </w:t>
      </w:r>
    </w:p>
    <w:p w:rsidR="00381077" w:rsidP="00381077" w:rsidRDefault="00515F82" w14:paraId="0ED43C5E" w14:textId="7732C447">
      <w:pPr>
        <w:pStyle w:val="Geenafstand"/>
        <w:rPr>
          <w:rFonts w:ascii="Verdana" w:hAnsi="Verdana"/>
          <w:sz w:val="18"/>
          <w:szCs w:val="18"/>
        </w:rPr>
      </w:pPr>
      <w:r>
        <w:rPr>
          <w:rFonts w:ascii="Verdana" w:hAnsi="Verdana"/>
          <w:sz w:val="18"/>
          <w:szCs w:val="18"/>
        </w:rPr>
        <w:t xml:space="preserve">Nu het bestuur passende kennis en kunde moet hebben over informatiebeveiliging, is het belangrijk dat individuele leden van een bestuur kunnen worden aangesproken wanneer zij de verplichtingen uit artikel 24, tweede tot en met zesde lid, </w:t>
      </w:r>
      <w:proofErr w:type="spellStart"/>
      <w:r>
        <w:rPr>
          <w:rFonts w:ascii="Verdana" w:hAnsi="Verdana"/>
          <w:sz w:val="18"/>
          <w:szCs w:val="18"/>
        </w:rPr>
        <w:t>Cbw</w:t>
      </w:r>
      <w:proofErr w:type="spellEnd"/>
      <w:r>
        <w:rPr>
          <w:rFonts w:ascii="Verdana" w:hAnsi="Verdana"/>
          <w:sz w:val="18"/>
          <w:szCs w:val="18"/>
        </w:rPr>
        <w:t xml:space="preserve"> niet naleven. </w:t>
      </w:r>
      <w:r w:rsidR="00381077">
        <w:rPr>
          <w:rFonts w:ascii="Verdana" w:hAnsi="Verdana"/>
          <w:sz w:val="18"/>
          <w:szCs w:val="18"/>
        </w:rPr>
        <w:t xml:space="preserve">Voor het toezicht op </w:t>
      </w:r>
      <w:r>
        <w:rPr>
          <w:rFonts w:ascii="Verdana" w:hAnsi="Verdana"/>
          <w:sz w:val="18"/>
          <w:szCs w:val="18"/>
        </w:rPr>
        <w:t xml:space="preserve">de naleving hiervan door </w:t>
      </w:r>
      <w:r w:rsidR="00381077">
        <w:rPr>
          <w:rFonts w:ascii="Verdana" w:hAnsi="Verdana"/>
          <w:sz w:val="18"/>
          <w:szCs w:val="18"/>
        </w:rPr>
        <w:t xml:space="preserve">de hiervoor bedoelde leden van het bestuur is gekozen </w:t>
      </w:r>
      <w:r>
        <w:rPr>
          <w:rFonts w:ascii="Verdana" w:hAnsi="Verdana"/>
          <w:sz w:val="18"/>
          <w:szCs w:val="18"/>
        </w:rPr>
        <w:t xml:space="preserve">om in de </w:t>
      </w:r>
      <w:proofErr w:type="spellStart"/>
      <w:r>
        <w:rPr>
          <w:rFonts w:ascii="Verdana" w:hAnsi="Verdana"/>
          <w:sz w:val="18"/>
          <w:szCs w:val="18"/>
        </w:rPr>
        <w:t>Cbw</w:t>
      </w:r>
      <w:proofErr w:type="spellEnd"/>
      <w:r>
        <w:rPr>
          <w:rFonts w:ascii="Verdana" w:hAnsi="Verdana"/>
          <w:sz w:val="18"/>
          <w:szCs w:val="18"/>
        </w:rPr>
        <w:t xml:space="preserve"> te voorzien in</w:t>
      </w:r>
      <w:r w:rsidR="00381077">
        <w:rPr>
          <w:rFonts w:ascii="Verdana" w:hAnsi="Verdana"/>
          <w:sz w:val="18"/>
          <w:szCs w:val="18"/>
        </w:rPr>
        <w:t xml:space="preserve"> de bevoegdheid van de toezichthouder tot het opleggen van een last onder dwangsom en bestuurlijke </w:t>
      </w:r>
      <w:r w:rsidR="00381077">
        <w:rPr>
          <w:rFonts w:ascii="Verdana" w:hAnsi="Verdana"/>
          <w:sz w:val="18"/>
          <w:szCs w:val="18"/>
        </w:rPr>
        <w:lastRenderedPageBreak/>
        <w:t xml:space="preserve">boete. </w:t>
      </w:r>
      <w:r>
        <w:rPr>
          <w:rFonts w:ascii="Verdana" w:hAnsi="Verdana"/>
          <w:sz w:val="18"/>
          <w:szCs w:val="18"/>
        </w:rPr>
        <w:t xml:space="preserve">Een last onder dwangsom kan een lid van het bestuur bewegen om alsnog een opleiding te volgen. </w:t>
      </w:r>
      <w:r w:rsidR="00381077">
        <w:rPr>
          <w:rFonts w:ascii="Verdana" w:hAnsi="Verdana"/>
          <w:sz w:val="18"/>
          <w:szCs w:val="18"/>
        </w:rPr>
        <w:t xml:space="preserve">Er is gekozen om niet te voorzien in de bevoegdheid tot het opleggen van een last onder bestuursdwang, omdat </w:t>
      </w:r>
      <w:r w:rsidR="00295EA1">
        <w:rPr>
          <w:rFonts w:ascii="Verdana" w:hAnsi="Verdana"/>
          <w:sz w:val="18"/>
          <w:szCs w:val="18"/>
        </w:rPr>
        <w:t xml:space="preserve">de inzet van een dergelijk instrument in de praktijk lastig voor te stellen is, aangezien artikel </w:t>
      </w:r>
      <w:r w:rsidR="006B09DE">
        <w:rPr>
          <w:rFonts w:ascii="Verdana" w:hAnsi="Verdana"/>
          <w:sz w:val="18"/>
          <w:szCs w:val="18"/>
        </w:rPr>
        <w:t xml:space="preserve">24, tweede tot en met zesde lid, </w:t>
      </w:r>
      <w:proofErr w:type="spellStart"/>
      <w:r w:rsidR="00295EA1">
        <w:rPr>
          <w:rFonts w:ascii="Verdana" w:hAnsi="Verdana"/>
          <w:sz w:val="18"/>
          <w:szCs w:val="18"/>
        </w:rPr>
        <w:t>Cbw</w:t>
      </w:r>
      <w:proofErr w:type="spellEnd"/>
      <w:r w:rsidR="00295EA1">
        <w:rPr>
          <w:rFonts w:ascii="Verdana" w:hAnsi="Verdana"/>
          <w:sz w:val="18"/>
          <w:szCs w:val="18"/>
        </w:rPr>
        <w:t xml:space="preserve"> – kort gezegd – ziet op de verplichting om de kennis op peil te houden en een training te volgen. </w:t>
      </w:r>
    </w:p>
    <w:bookmarkEnd w:id="73"/>
    <w:p w:rsidRPr="00FF46E3" w:rsidR="00381077" w:rsidP="008A6FBD" w:rsidRDefault="00381077" w14:paraId="6C399220" w14:textId="77777777">
      <w:pPr>
        <w:pStyle w:val="Geenafstand"/>
        <w:rPr>
          <w:rFonts w:ascii="Verdana" w:hAnsi="Verdana"/>
          <w:sz w:val="18"/>
          <w:szCs w:val="18"/>
        </w:rPr>
      </w:pPr>
    </w:p>
    <w:p w:rsidRPr="00FF46E3" w:rsidR="00D045DC" w:rsidP="00C3466E" w:rsidRDefault="00D045DC" w14:paraId="7AD97B10" w14:textId="71768323">
      <w:pPr>
        <w:pStyle w:val="Kop3"/>
      </w:pPr>
      <w:bookmarkStart w:name="_Toc198721086" w:id="74"/>
      <w:bookmarkStart w:name="_Hlk173765267" w:id="75"/>
      <w:r w:rsidRPr="00FF46E3">
        <w:t>5.</w:t>
      </w:r>
      <w:r w:rsidR="007E5530">
        <w:t>6</w:t>
      </w:r>
      <w:r w:rsidRPr="00FF46E3">
        <w:t>.</w:t>
      </w:r>
      <w:r w:rsidR="00A52718">
        <w:t>4</w:t>
      </w:r>
      <w:r w:rsidRPr="00FF46E3">
        <w:t xml:space="preserve"> Handhavingsinstrumentarium</w:t>
      </w:r>
      <w:bookmarkEnd w:id="74"/>
    </w:p>
    <w:p w:rsidRPr="00FF46E3" w:rsidR="00D045DC" w:rsidP="00D045DC" w:rsidRDefault="00D045DC" w14:paraId="0452FC11" w14:textId="77777777">
      <w:pPr>
        <w:pStyle w:val="Geenafstand"/>
        <w:rPr>
          <w:rFonts w:ascii="Verdana" w:hAnsi="Verdana"/>
          <w:sz w:val="18"/>
          <w:szCs w:val="18"/>
        </w:rPr>
      </w:pPr>
    </w:p>
    <w:p w:rsidRPr="00FF46E3" w:rsidR="00D045DC" w:rsidP="00D045DC" w:rsidRDefault="006F2395" w14:paraId="7E9CD756" w14:textId="04EDED3E">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D045DC">
        <w:rPr>
          <w:rFonts w:ascii="Verdana" w:hAnsi="Verdana"/>
          <w:sz w:val="18"/>
          <w:szCs w:val="18"/>
        </w:rPr>
        <w:t xml:space="preserve"> voorziet, ter implementatie van hetgeen de NIS2-richtlijn hierover bepaalt, in verschillende instrumenten </w:t>
      </w:r>
      <w:r w:rsidRPr="00FF46E3" w:rsidR="00ED1824">
        <w:rPr>
          <w:rFonts w:ascii="Verdana" w:hAnsi="Verdana"/>
          <w:sz w:val="18"/>
          <w:szCs w:val="18"/>
        </w:rPr>
        <w:t>van</w:t>
      </w:r>
      <w:r w:rsidRPr="00FF46E3" w:rsidR="00D045DC">
        <w:rPr>
          <w:rFonts w:ascii="Verdana" w:hAnsi="Verdana"/>
          <w:sz w:val="18"/>
          <w:szCs w:val="18"/>
        </w:rPr>
        <w:t xml:space="preserve"> de toezichthoudende instantie voor het toezicht op de naleving van </w:t>
      </w:r>
      <w:r w:rsidR="001C4B05">
        <w:rPr>
          <w:rFonts w:ascii="Verdana" w:hAnsi="Verdana"/>
          <w:sz w:val="18"/>
          <w:szCs w:val="18"/>
        </w:rPr>
        <w:t xml:space="preserve">het bepaalde bij of krachtens de </w:t>
      </w:r>
      <w:proofErr w:type="spellStart"/>
      <w:r w:rsidR="001C4B05">
        <w:rPr>
          <w:rFonts w:ascii="Verdana" w:hAnsi="Verdana"/>
          <w:sz w:val="18"/>
          <w:szCs w:val="18"/>
        </w:rPr>
        <w:t>Cbw</w:t>
      </w:r>
      <w:proofErr w:type="spellEnd"/>
      <w:r w:rsidR="001C4B05">
        <w:rPr>
          <w:rFonts w:ascii="Verdana" w:hAnsi="Verdana"/>
          <w:sz w:val="18"/>
          <w:szCs w:val="18"/>
        </w:rPr>
        <w:t xml:space="preserve"> en van </w:t>
      </w:r>
      <w:r w:rsidRPr="009C62C2" w:rsidR="001C4B05">
        <w:rPr>
          <w:rFonts w:ascii="Verdana" w:hAnsi="Verdana"/>
          <w:sz w:val="18"/>
          <w:szCs w:val="18"/>
        </w:rPr>
        <w:t>het bepaalde in de op grond van de artikelen 21, vijfde lid, en 23, elfde lid, NIS2-richtlijn vastgestelde uitvoeringshandelingen en de op grond van artikel 24, tweede lid, NIS2-richtlijn vastgestelde gedelegeerde handelingen</w:t>
      </w:r>
      <w:r w:rsidR="001C4B05">
        <w:rPr>
          <w:rFonts w:ascii="Verdana" w:hAnsi="Verdana"/>
          <w:sz w:val="18"/>
          <w:szCs w:val="18"/>
        </w:rPr>
        <w:t>.</w:t>
      </w:r>
      <w:r w:rsidRPr="007B6A68" w:rsidR="001C4B05">
        <w:rPr>
          <w:rStyle w:val="Voetnootmarkering"/>
          <w:rFonts w:ascii="Verdana" w:hAnsi="Verdana"/>
          <w:bCs/>
          <w:sz w:val="18"/>
          <w:szCs w:val="18"/>
        </w:rPr>
        <w:footnoteReference w:id="53"/>
      </w:r>
      <w:r w:rsidRPr="00FF46E3" w:rsidR="00D045DC">
        <w:rPr>
          <w:rFonts w:ascii="Verdana" w:hAnsi="Verdana"/>
          <w:sz w:val="18"/>
          <w:szCs w:val="18"/>
        </w:rPr>
        <w:t xml:space="preserve"> Dit instrumentarium verschilt tussen essentiële entiteiten, belangrijke entiteiten en entiteiten die domeinnaamregistratiediensten verlenen, omdat de richtlijn dit verlangt. </w:t>
      </w:r>
    </w:p>
    <w:p w:rsidRPr="00FF46E3" w:rsidR="00D045DC" w:rsidP="00D045DC" w:rsidRDefault="00D045DC" w14:paraId="61FE032A" w14:textId="77777777">
      <w:pPr>
        <w:pStyle w:val="Geenafstand"/>
        <w:rPr>
          <w:rFonts w:ascii="Verdana" w:hAnsi="Verdana"/>
          <w:sz w:val="18"/>
          <w:szCs w:val="18"/>
        </w:rPr>
      </w:pPr>
    </w:p>
    <w:p w:rsidRPr="00FF46E3" w:rsidR="00D045DC" w:rsidP="00D045DC" w:rsidRDefault="00D045DC" w14:paraId="68CC4516" w14:textId="77777777">
      <w:pPr>
        <w:pStyle w:val="Geenafstand"/>
        <w:rPr>
          <w:rFonts w:ascii="Verdana" w:hAnsi="Verdana"/>
          <w:sz w:val="18"/>
          <w:szCs w:val="18"/>
        </w:rPr>
      </w:pPr>
      <w:r w:rsidRPr="00FF46E3">
        <w:rPr>
          <w:rFonts w:ascii="Verdana" w:hAnsi="Verdana"/>
          <w:sz w:val="18"/>
          <w:szCs w:val="18"/>
        </w:rPr>
        <w:t>Het handhavingsinstrumentarium ten aanzien van essentiële entiteiten omvat het volgende:</w:t>
      </w:r>
    </w:p>
    <w:bookmarkEnd w:id="75"/>
    <w:p w:rsidRPr="00FF46E3" w:rsidR="00C02E63" w:rsidP="00A60CD0" w:rsidRDefault="00ED1824" w14:paraId="72D3550A" w14:textId="5CC20490">
      <w:pPr>
        <w:pStyle w:val="Geenafstand"/>
        <w:numPr>
          <w:ilvl w:val="0"/>
          <w:numId w:val="4"/>
        </w:numPr>
        <w:rPr>
          <w:rFonts w:ascii="Verdana" w:hAnsi="Verdana"/>
          <w:i/>
          <w:iCs/>
          <w:sz w:val="18"/>
          <w:szCs w:val="18"/>
        </w:rPr>
      </w:pPr>
      <w:r w:rsidRPr="00FF46E3">
        <w:rPr>
          <w:rFonts w:ascii="Verdana" w:hAnsi="Verdana"/>
          <w:sz w:val="18"/>
          <w:szCs w:val="18"/>
        </w:rPr>
        <w:t>het aanwijzen van een controlefunctionaris;</w:t>
      </w:r>
    </w:p>
    <w:p w:rsidRPr="00FF46E3" w:rsidR="00ED1824" w:rsidP="00A60CD0" w:rsidRDefault="00ED1824" w14:paraId="463E5DD9" w14:textId="21BE71FF">
      <w:pPr>
        <w:pStyle w:val="Geenafstand"/>
        <w:numPr>
          <w:ilvl w:val="0"/>
          <w:numId w:val="4"/>
        </w:numPr>
        <w:rPr>
          <w:rFonts w:ascii="Verdana" w:hAnsi="Verdana"/>
          <w:i/>
          <w:iCs/>
          <w:sz w:val="18"/>
          <w:szCs w:val="18"/>
        </w:rPr>
      </w:pPr>
      <w:r w:rsidRPr="00FF46E3">
        <w:rPr>
          <w:rFonts w:ascii="Verdana" w:hAnsi="Verdana"/>
          <w:sz w:val="18"/>
          <w:szCs w:val="18"/>
        </w:rPr>
        <w:t>het uitvoeren of laten uitvoeren van een beveiligingsscan</w:t>
      </w:r>
      <w:r w:rsidRPr="00FF46E3" w:rsidR="00660FCF">
        <w:rPr>
          <w:rFonts w:ascii="Verdana" w:hAnsi="Verdana"/>
          <w:sz w:val="18"/>
          <w:szCs w:val="18"/>
        </w:rPr>
        <w:t>;</w:t>
      </w:r>
    </w:p>
    <w:p w:rsidRPr="00FF46E3" w:rsidR="00ED1824" w:rsidP="00A60CD0" w:rsidRDefault="00ED1824" w14:paraId="2FAECB42" w14:textId="5F7E9776">
      <w:pPr>
        <w:pStyle w:val="Geenafstand"/>
        <w:numPr>
          <w:ilvl w:val="0"/>
          <w:numId w:val="4"/>
        </w:numPr>
        <w:rPr>
          <w:rFonts w:ascii="Verdana" w:hAnsi="Verdana"/>
          <w:i/>
          <w:iCs/>
          <w:sz w:val="18"/>
          <w:szCs w:val="18"/>
        </w:rPr>
      </w:pPr>
      <w:r w:rsidRPr="00FF46E3">
        <w:rPr>
          <w:rFonts w:ascii="Verdana" w:hAnsi="Verdana"/>
          <w:sz w:val="18"/>
          <w:szCs w:val="18"/>
        </w:rPr>
        <w:t>het verplichten van een audit</w:t>
      </w:r>
      <w:r w:rsidRPr="00FF46E3" w:rsidR="00660FCF">
        <w:rPr>
          <w:rFonts w:ascii="Verdana" w:hAnsi="Verdana"/>
          <w:sz w:val="18"/>
          <w:szCs w:val="18"/>
        </w:rPr>
        <w:t>;</w:t>
      </w:r>
    </w:p>
    <w:p w:rsidRPr="00FF46E3" w:rsidR="00ED1824" w:rsidP="00A60CD0" w:rsidRDefault="00ED1824" w14:paraId="309B2829" w14:textId="57F50846">
      <w:pPr>
        <w:pStyle w:val="Geenafstand"/>
        <w:numPr>
          <w:ilvl w:val="0"/>
          <w:numId w:val="4"/>
        </w:numPr>
        <w:rPr>
          <w:rFonts w:ascii="Verdana" w:hAnsi="Verdana"/>
          <w:i/>
          <w:iCs/>
          <w:sz w:val="18"/>
          <w:szCs w:val="18"/>
        </w:rPr>
      </w:pPr>
      <w:r w:rsidRPr="00FF46E3">
        <w:rPr>
          <w:rFonts w:ascii="Verdana" w:hAnsi="Verdana"/>
          <w:sz w:val="18"/>
          <w:szCs w:val="18"/>
        </w:rPr>
        <w:t>het verplichten van de openbaarmaking van een overtreding</w:t>
      </w:r>
      <w:r w:rsidRPr="00FF46E3" w:rsidR="00660FCF">
        <w:rPr>
          <w:rFonts w:ascii="Verdana" w:hAnsi="Verdana"/>
          <w:sz w:val="18"/>
          <w:szCs w:val="18"/>
        </w:rPr>
        <w:t>;</w:t>
      </w:r>
    </w:p>
    <w:p w:rsidRPr="00FF46E3" w:rsidR="00ED1824" w:rsidP="00A60CD0" w:rsidRDefault="00ED1824" w14:paraId="78FAC707" w14:textId="585F64E2">
      <w:pPr>
        <w:pStyle w:val="Geenafstand"/>
        <w:numPr>
          <w:ilvl w:val="0"/>
          <w:numId w:val="4"/>
        </w:numPr>
        <w:rPr>
          <w:rFonts w:ascii="Verdana" w:hAnsi="Verdana"/>
          <w:i/>
          <w:iCs/>
          <w:sz w:val="18"/>
          <w:szCs w:val="18"/>
        </w:rPr>
      </w:pPr>
      <w:r w:rsidRPr="00FF46E3">
        <w:rPr>
          <w:rFonts w:ascii="Verdana" w:hAnsi="Verdana"/>
          <w:sz w:val="18"/>
          <w:szCs w:val="18"/>
        </w:rPr>
        <w:t>het opleggen van een aanwijzing</w:t>
      </w:r>
      <w:r w:rsidRPr="00FF46E3" w:rsidR="00660FCF">
        <w:rPr>
          <w:rFonts w:ascii="Verdana" w:hAnsi="Verdana"/>
          <w:sz w:val="18"/>
          <w:szCs w:val="18"/>
        </w:rPr>
        <w:t>;</w:t>
      </w:r>
    </w:p>
    <w:p w:rsidRPr="00FF46E3" w:rsidR="00ED1824" w:rsidP="00A60CD0" w:rsidRDefault="00ED1824" w14:paraId="5259AC5C" w14:textId="57C1DA90">
      <w:pPr>
        <w:pStyle w:val="Geenafstand"/>
        <w:numPr>
          <w:ilvl w:val="0"/>
          <w:numId w:val="4"/>
        </w:numPr>
        <w:rPr>
          <w:rFonts w:ascii="Verdana" w:hAnsi="Verdana"/>
          <w:i/>
          <w:iCs/>
          <w:sz w:val="18"/>
          <w:szCs w:val="18"/>
        </w:rPr>
      </w:pPr>
      <w:r w:rsidRPr="00FF46E3">
        <w:rPr>
          <w:rFonts w:ascii="Verdana" w:hAnsi="Verdana"/>
          <w:sz w:val="18"/>
          <w:szCs w:val="18"/>
        </w:rPr>
        <w:t>het opleggen van een last onder bestuursdwang</w:t>
      </w:r>
      <w:r w:rsidRPr="00FF46E3" w:rsidR="00660FCF">
        <w:rPr>
          <w:rFonts w:ascii="Verdana" w:hAnsi="Verdana"/>
          <w:sz w:val="18"/>
          <w:szCs w:val="18"/>
        </w:rPr>
        <w:t>;</w:t>
      </w:r>
    </w:p>
    <w:p w:rsidRPr="00FF46E3" w:rsidR="007954D0" w:rsidP="00A60CD0" w:rsidRDefault="007954D0" w14:paraId="656AD514" w14:textId="0B777B0B">
      <w:pPr>
        <w:pStyle w:val="Geenafstand"/>
        <w:numPr>
          <w:ilvl w:val="0"/>
          <w:numId w:val="4"/>
        </w:numPr>
        <w:rPr>
          <w:rFonts w:ascii="Verdana" w:hAnsi="Verdana"/>
          <w:sz w:val="18"/>
          <w:szCs w:val="18"/>
        </w:rPr>
      </w:pPr>
      <w:bookmarkStart w:name="_Hlk161745165" w:id="76"/>
      <w:r w:rsidRPr="00FF46E3">
        <w:rPr>
          <w:rFonts w:ascii="Verdana" w:hAnsi="Verdana"/>
          <w:sz w:val="18"/>
          <w:szCs w:val="18"/>
        </w:rPr>
        <w:t>het bepalen van een einddatum, het verzoeken van een tijdelijke opschorting van een certificering of vergunning en het verzoeken van een schorsing van een lid van het bestuur</w:t>
      </w:r>
      <w:bookmarkEnd w:id="76"/>
      <w:r w:rsidRPr="00FF46E3" w:rsidR="00660FCF">
        <w:rPr>
          <w:rFonts w:ascii="Verdana" w:hAnsi="Verdana"/>
          <w:sz w:val="18"/>
          <w:szCs w:val="18"/>
        </w:rPr>
        <w:t>;</w:t>
      </w:r>
      <w:r w:rsidR="001C4B05">
        <w:rPr>
          <w:rFonts w:ascii="Verdana" w:hAnsi="Verdana"/>
          <w:sz w:val="18"/>
          <w:szCs w:val="18"/>
        </w:rPr>
        <w:t xml:space="preserve"> en</w:t>
      </w:r>
    </w:p>
    <w:p w:rsidRPr="00FF46E3" w:rsidR="00E9436A" w:rsidP="00A60CD0" w:rsidRDefault="00E9436A" w14:paraId="3C0EB72F" w14:textId="5A1C1847">
      <w:pPr>
        <w:pStyle w:val="Geenafstand"/>
        <w:numPr>
          <w:ilvl w:val="0"/>
          <w:numId w:val="4"/>
        </w:numPr>
        <w:rPr>
          <w:rFonts w:ascii="Verdana" w:hAnsi="Verdana"/>
          <w:i/>
          <w:iCs/>
          <w:sz w:val="18"/>
          <w:szCs w:val="18"/>
        </w:rPr>
      </w:pPr>
      <w:r w:rsidRPr="00FF46E3">
        <w:rPr>
          <w:rFonts w:ascii="Verdana" w:hAnsi="Verdana"/>
          <w:sz w:val="18"/>
          <w:szCs w:val="18"/>
        </w:rPr>
        <w:t>het opleggen van een bestuurlijke boete</w:t>
      </w:r>
      <w:r w:rsidRPr="00FF46E3" w:rsidR="00660FCF">
        <w:rPr>
          <w:rFonts w:ascii="Verdana" w:hAnsi="Verdana"/>
          <w:sz w:val="18"/>
          <w:szCs w:val="18"/>
        </w:rPr>
        <w:t>.</w:t>
      </w:r>
    </w:p>
    <w:p w:rsidRPr="00FF46E3" w:rsidR="00ED1824" w:rsidP="00ED1824" w:rsidRDefault="00ED1824" w14:paraId="04AAA94B" w14:textId="2E10AE69">
      <w:pPr>
        <w:pStyle w:val="Geenafstand"/>
        <w:rPr>
          <w:rFonts w:ascii="Verdana" w:hAnsi="Verdana"/>
          <w:sz w:val="18"/>
          <w:szCs w:val="18"/>
        </w:rPr>
      </w:pPr>
    </w:p>
    <w:p w:rsidRPr="00FF46E3" w:rsidR="00ED1824" w:rsidP="00ED1824" w:rsidRDefault="00ED1824" w14:paraId="74D44BA3" w14:textId="767DA4D4">
      <w:pPr>
        <w:pStyle w:val="Geenafstand"/>
        <w:rPr>
          <w:rFonts w:ascii="Verdana" w:hAnsi="Verdana"/>
          <w:sz w:val="18"/>
          <w:szCs w:val="18"/>
        </w:rPr>
      </w:pPr>
      <w:r w:rsidRPr="00FF46E3">
        <w:rPr>
          <w:rFonts w:ascii="Verdana" w:hAnsi="Verdana"/>
          <w:sz w:val="18"/>
          <w:szCs w:val="18"/>
        </w:rPr>
        <w:t>Het handhavingsinstrumentarium ten aanzien van belangrijke entiteiten omvat het volgende:</w:t>
      </w:r>
    </w:p>
    <w:p w:rsidRPr="00FF46E3" w:rsidR="00ED1824" w:rsidP="00A60CD0" w:rsidRDefault="00ED1824" w14:paraId="7DE343A9" w14:textId="77777777">
      <w:pPr>
        <w:pStyle w:val="Geenafstand"/>
        <w:numPr>
          <w:ilvl w:val="0"/>
          <w:numId w:val="4"/>
        </w:numPr>
        <w:rPr>
          <w:rFonts w:ascii="Verdana" w:hAnsi="Verdana"/>
          <w:i/>
          <w:iCs/>
          <w:sz w:val="18"/>
          <w:szCs w:val="18"/>
        </w:rPr>
      </w:pPr>
      <w:r w:rsidRPr="00FF46E3">
        <w:rPr>
          <w:rFonts w:ascii="Verdana" w:hAnsi="Verdana"/>
          <w:sz w:val="18"/>
          <w:szCs w:val="18"/>
        </w:rPr>
        <w:t>het uitvoeren of laten uitvoeren van een beveiligingsscan;</w:t>
      </w:r>
    </w:p>
    <w:p w:rsidRPr="00FF46E3" w:rsidR="00ED1824" w:rsidP="00A60CD0" w:rsidRDefault="00ED1824" w14:paraId="1F995ECE" w14:textId="16857E15">
      <w:pPr>
        <w:pStyle w:val="Geenafstand"/>
        <w:numPr>
          <w:ilvl w:val="0"/>
          <w:numId w:val="4"/>
        </w:numPr>
        <w:rPr>
          <w:rFonts w:ascii="Verdana" w:hAnsi="Verdana"/>
          <w:i/>
          <w:iCs/>
          <w:sz w:val="18"/>
          <w:szCs w:val="18"/>
        </w:rPr>
      </w:pPr>
      <w:r w:rsidRPr="00FF46E3">
        <w:rPr>
          <w:rFonts w:ascii="Verdana" w:hAnsi="Verdana"/>
          <w:sz w:val="18"/>
          <w:szCs w:val="18"/>
        </w:rPr>
        <w:t>het verplichten van een audit;</w:t>
      </w:r>
    </w:p>
    <w:p w:rsidRPr="00FF46E3" w:rsidR="00ED1824" w:rsidP="00A60CD0" w:rsidRDefault="00ED1824" w14:paraId="6E544209" w14:textId="77777777">
      <w:pPr>
        <w:pStyle w:val="Geenafstand"/>
        <w:numPr>
          <w:ilvl w:val="0"/>
          <w:numId w:val="4"/>
        </w:numPr>
        <w:rPr>
          <w:rFonts w:ascii="Verdana" w:hAnsi="Verdana"/>
          <w:i/>
          <w:iCs/>
          <w:sz w:val="18"/>
          <w:szCs w:val="18"/>
        </w:rPr>
      </w:pPr>
      <w:r w:rsidRPr="00FF46E3">
        <w:rPr>
          <w:rFonts w:ascii="Verdana" w:hAnsi="Verdana"/>
          <w:sz w:val="18"/>
          <w:szCs w:val="18"/>
        </w:rPr>
        <w:t>het verplichten van de openbaarmaking van een overtreding;</w:t>
      </w:r>
    </w:p>
    <w:p w:rsidRPr="00FF46E3" w:rsidR="00ED1824" w:rsidP="00A60CD0" w:rsidRDefault="00ED1824" w14:paraId="40C8EE33" w14:textId="77777777">
      <w:pPr>
        <w:pStyle w:val="Geenafstand"/>
        <w:numPr>
          <w:ilvl w:val="0"/>
          <w:numId w:val="4"/>
        </w:numPr>
        <w:rPr>
          <w:rFonts w:ascii="Verdana" w:hAnsi="Verdana"/>
          <w:i/>
          <w:iCs/>
          <w:sz w:val="18"/>
          <w:szCs w:val="18"/>
        </w:rPr>
      </w:pPr>
      <w:r w:rsidRPr="00FF46E3">
        <w:rPr>
          <w:rFonts w:ascii="Verdana" w:hAnsi="Verdana"/>
          <w:sz w:val="18"/>
          <w:szCs w:val="18"/>
        </w:rPr>
        <w:t>het opleggen van een aanwijzing;</w:t>
      </w:r>
    </w:p>
    <w:p w:rsidRPr="00FF46E3" w:rsidR="00ED1824" w:rsidP="00A60CD0" w:rsidRDefault="00ED1824" w14:paraId="11D05C67" w14:textId="3A4F2B1D">
      <w:pPr>
        <w:pStyle w:val="Geenafstand"/>
        <w:numPr>
          <w:ilvl w:val="0"/>
          <w:numId w:val="4"/>
        </w:numPr>
        <w:rPr>
          <w:rFonts w:ascii="Verdana" w:hAnsi="Verdana"/>
          <w:i/>
          <w:iCs/>
          <w:sz w:val="18"/>
          <w:szCs w:val="18"/>
        </w:rPr>
      </w:pPr>
      <w:r w:rsidRPr="00FF46E3">
        <w:rPr>
          <w:rFonts w:ascii="Verdana" w:hAnsi="Verdana"/>
          <w:sz w:val="18"/>
          <w:szCs w:val="18"/>
        </w:rPr>
        <w:t>het opleggen van een last onder bestuursdwang;</w:t>
      </w:r>
      <w:r w:rsidR="001C4B05">
        <w:rPr>
          <w:rFonts w:ascii="Verdana" w:hAnsi="Verdana"/>
          <w:sz w:val="18"/>
          <w:szCs w:val="18"/>
        </w:rPr>
        <w:t xml:space="preserve"> en</w:t>
      </w:r>
    </w:p>
    <w:p w:rsidRPr="00FF46E3" w:rsidR="00ED1824" w:rsidP="00A60CD0" w:rsidRDefault="00ED1824" w14:paraId="4E7263A3" w14:textId="77777777">
      <w:pPr>
        <w:pStyle w:val="Geenafstand"/>
        <w:numPr>
          <w:ilvl w:val="0"/>
          <w:numId w:val="4"/>
        </w:numPr>
        <w:rPr>
          <w:rFonts w:ascii="Verdana" w:hAnsi="Verdana"/>
          <w:i/>
          <w:iCs/>
          <w:sz w:val="18"/>
          <w:szCs w:val="18"/>
        </w:rPr>
      </w:pPr>
      <w:r w:rsidRPr="00FF46E3">
        <w:rPr>
          <w:rFonts w:ascii="Verdana" w:hAnsi="Verdana"/>
          <w:sz w:val="18"/>
          <w:szCs w:val="18"/>
        </w:rPr>
        <w:t>het opleggen van een bestuurlijke boete.</w:t>
      </w:r>
    </w:p>
    <w:p w:rsidRPr="00FF46E3" w:rsidR="00ED1824" w:rsidP="00ED1824" w:rsidRDefault="00ED1824" w14:paraId="50FFC730" w14:textId="40F68E01">
      <w:pPr>
        <w:pStyle w:val="Geenafstand"/>
        <w:rPr>
          <w:rFonts w:ascii="Verdana" w:hAnsi="Verdana"/>
          <w:i/>
          <w:iCs/>
          <w:sz w:val="18"/>
          <w:szCs w:val="18"/>
        </w:rPr>
      </w:pPr>
    </w:p>
    <w:p w:rsidRPr="00FF46E3" w:rsidR="00ED1824" w:rsidP="00ED1824" w:rsidRDefault="00ED1824" w14:paraId="4DB28531" w14:textId="574CBF24">
      <w:pPr>
        <w:pStyle w:val="Geenafstand"/>
        <w:rPr>
          <w:rFonts w:ascii="Verdana" w:hAnsi="Verdana"/>
          <w:sz w:val="18"/>
          <w:szCs w:val="18"/>
        </w:rPr>
      </w:pPr>
      <w:r w:rsidRPr="00FF46E3">
        <w:rPr>
          <w:rFonts w:ascii="Verdana" w:hAnsi="Verdana"/>
          <w:sz w:val="18"/>
          <w:szCs w:val="18"/>
        </w:rPr>
        <w:t xml:space="preserve">Het handhavingsinstrumentarium ten aanzien van entiteiten die domeinnaamregistratiediensten verlenen, die op grond van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niet tevens essentiële entiteit of belangrijke entiteit zijn, omvat het volgende:</w:t>
      </w:r>
    </w:p>
    <w:p w:rsidRPr="00FF46E3" w:rsidR="00ED1824" w:rsidP="00A60CD0" w:rsidRDefault="00ED1824" w14:paraId="040501E4" w14:textId="77777777">
      <w:pPr>
        <w:pStyle w:val="Geenafstand"/>
        <w:numPr>
          <w:ilvl w:val="0"/>
          <w:numId w:val="4"/>
        </w:numPr>
        <w:rPr>
          <w:rFonts w:ascii="Verdana" w:hAnsi="Verdana"/>
          <w:i/>
          <w:iCs/>
          <w:sz w:val="18"/>
          <w:szCs w:val="18"/>
        </w:rPr>
      </w:pPr>
      <w:r w:rsidRPr="00FF46E3">
        <w:rPr>
          <w:rFonts w:ascii="Verdana" w:hAnsi="Verdana"/>
          <w:sz w:val="18"/>
          <w:szCs w:val="18"/>
        </w:rPr>
        <w:t>het opleggen van een aanwijzing;</w:t>
      </w:r>
    </w:p>
    <w:p w:rsidRPr="00FF46E3" w:rsidR="00ED1824" w:rsidP="00A60CD0" w:rsidRDefault="00ED1824" w14:paraId="66BA9954" w14:textId="08B78467">
      <w:pPr>
        <w:pStyle w:val="Geenafstand"/>
        <w:numPr>
          <w:ilvl w:val="0"/>
          <w:numId w:val="4"/>
        </w:numPr>
        <w:rPr>
          <w:rFonts w:ascii="Verdana" w:hAnsi="Verdana"/>
          <w:i/>
          <w:iCs/>
          <w:sz w:val="18"/>
          <w:szCs w:val="18"/>
        </w:rPr>
      </w:pPr>
      <w:r w:rsidRPr="00FF46E3">
        <w:rPr>
          <w:rFonts w:ascii="Verdana" w:hAnsi="Verdana"/>
          <w:sz w:val="18"/>
          <w:szCs w:val="18"/>
        </w:rPr>
        <w:t>het opleggen van een last onder dwangsom;</w:t>
      </w:r>
      <w:r w:rsidR="001C4B05">
        <w:rPr>
          <w:rFonts w:ascii="Verdana" w:hAnsi="Verdana"/>
          <w:sz w:val="18"/>
          <w:szCs w:val="18"/>
        </w:rPr>
        <w:t xml:space="preserve"> en</w:t>
      </w:r>
    </w:p>
    <w:p w:rsidRPr="00FF46E3" w:rsidR="00ED1824" w:rsidP="00A60CD0" w:rsidRDefault="00ED1824" w14:paraId="084A0DA3" w14:textId="0586EC70">
      <w:pPr>
        <w:pStyle w:val="Geenafstand"/>
        <w:numPr>
          <w:ilvl w:val="0"/>
          <w:numId w:val="4"/>
        </w:numPr>
        <w:rPr>
          <w:rFonts w:ascii="Verdana" w:hAnsi="Verdana"/>
          <w:sz w:val="18"/>
          <w:szCs w:val="18"/>
        </w:rPr>
      </w:pPr>
      <w:r w:rsidRPr="00FF46E3">
        <w:rPr>
          <w:rFonts w:ascii="Verdana" w:hAnsi="Verdana"/>
          <w:sz w:val="18"/>
          <w:szCs w:val="18"/>
        </w:rPr>
        <w:t>het opleggen van een bestuurlijke boete.</w:t>
      </w:r>
    </w:p>
    <w:p w:rsidR="00302AAA" w:rsidP="00B86A0E" w:rsidRDefault="00302AAA" w14:paraId="26616EB7" w14:textId="77777777">
      <w:pPr>
        <w:pStyle w:val="Geenafstand"/>
        <w:rPr>
          <w:rFonts w:ascii="Verdana" w:hAnsi="Verdana"/>
          <w:sz w:val="18"/>
          <w:szCs w:val="18"/>
        </w:rPr>
      </w:pPr>
    </w:p>
    <w:p w:rsidR="00295EA1" w:rsidP="00B86A0E" w:rsidRDefault="00295EA1" w14:paraId="3842DD06" w14:textId="3A49BCBC">
      <w:pPr>
        <w:pStyle w:val="Geenafstand"/>
        <w:rPr>
          <w:rFonts w:ascii="Verdana" w:hAnsi="Verdana"/>
          <w:sz w:val="18"/>
          <w:szCs w:val="18"/>
        </w:rPr>
      </w:pPr>
      <w:r>
        <w:rPr>
          <w:rFonts w:ascii="Verdana" w:hAnsi="Verdana"/>
          <w:sz w:val="18"/>
          <w:szCs w:val="18"/>
        </w:rPr>
        <w:t>Het handhavingsinstrumentarium ten aanzien van leden van het bestuur van essentiële entiteiten en belangrijke entiteiten omvat het volgende:</w:t>
      </w:r>
    </w:p>
    <w:p w:rsidRPr="00FF46E3" w:rsidR="00295EA1" w:rsidP="00295EA1" w:rsidRDefault="00295EA1" w14:paraId="0414F3C9" w14:textId="15C60FCC">
      <w:pPr>
        <w:pStyle w:val="Geenafstand"/>
        <w:numPr>
          <w:ilvl w:val="0"/>
          <w:numId w:val="4"/>
        </w:numPr>
        <w:rPr>
          <w:rFonts w:ascii="Verdana" w:hAnsi="Verdana"/>
          <w:i/>
          <w:iCs/>
          <w:sz w:val="18"/>
          <w:szCs w:val="18"/>
        </w:rPr>
      </w:pPr>
      <w:r w:rsidRPr="00FF46E3">
        <w:rPr>
          <w:rFonts w:ascii="Verdana" w:hAnsi="Verdana"/>
          <w:sz w:val="18"/>
          <w:szCs w:val="18"/>
        </w:rPr>
        <w:t>het opleggen van een last onder dwangsom;</w:t>
      </w:r>
      <w:r w:rsidR="001C4B05">
        <w:rPr>
          <w:rFonts w:ascii="Verdana" w:hAnsi="Verdana"/>
          <w:sz w:val="18"/>
          <w:szCs w:val="18"/>
        </w:rPr>
        <w:t xml:space="preserve"> en</w:t>
      </w:r>
    </w:p>
    <w:p w:rsidRPr="00295EA1" w:rsidR="00295EA1" w:rsidP="001357E8" w:rsidRDefault="00295EA1" w14:paraId="1E0A386A" w14:textId="3FF7EA9F">
      <w:pPr>
        <w:pStyle w:val="Geenafstand"/>
        <w:numPr>
          <w:ilvl w:val="0"/>
          <w:numId w:val="4"/>
        </w:numPr>
        <w:rPr>
          <w:rFonts w:ascii="Verdana" w:hAnsi="Verdana"/>
          <w:sz w:val="18"/>
          <w:szCs w:val="18"/>
        </w:rPr>
      </w:pPr>
      <w:r w:rsidRPr="00295EA1">
        <w:rPr>
          <w:rFonts w:ascii="Verdana" w:hAnsi="Verdana"/>
          <w:sz w:val="18"/>
          <w:szCs w:val="18"/>
        </w:rPr>
        <w:t>het opleggen van een bestuurlijke boete.</w:t>
      </w:r>
    </w:p>
    <w:p w:rsidR="00295EA1" w:rsidP="00B86A0E" w:rsidRDefault="00295EA1" w14:paraId="2F3C16BA" w14:textId="77777777">
      <w:pPr>
        <w:pStyle w:val="Geenafstand"/>
        <w:rPr>
          <w:rFonts w:ascii="Verdana" w:hAnsi="Verdana"/>
          <w:sz w:val="18"/>
          <w:szCs w:val="18"/>
        </w:rPr>
      </w:pPr>
    </w:p>
    <w:p w:rsidRPr="00FF46E3" w:rsidR="00AD07E0" w:rsidP="008A6FBD" w:rsidRDefault="00C43606" w14:paraId="2E2F3674" w14:textId="14A0AA5B">
      <w:pPr>
        <w:pStyle w:val="Geenafstand"/>
        <w:rPr>
          <w:rFonts w:ascii="Verdana" w:hAnsi="Verdana" w:cs="Arial"/>
          <w:sz w:val="18"/>
          <w:szCs w:val="18"/>
        </w:rPr>
      </w:pPr>
      <w:r>
        <w:rPr>
          <w:rFonts w:ascii="Verdana" w:hAnsi="Verdana"/>
          <w:sz w:val="18"/>
          <w:szCs w:val="18"/>
        </w:rPr>
        <w:t xml:space="preserve">In de volgende paragrafen wordt specifiek ingegaan op </w:t>
      </w:r>
      <w:r w:rsidRPr="00FF46E3">
        <w:rPr>
          <w:rFonts w:ascii="Verdana" w:hAnsi="Verdana"/>
          <w:sz w:val="18"/>
          <w:szCs w:val="18"/>
        </w:rPr>
        <w:t>het bepalen van een einddatum, het verzoeken van een tijdelijke opschorting van een certificering of vergunning en het verzoeken van een schorsing van een lid van het bestuur</w:t>
      </w:r>
      <w:r w:rsidR="00F5536E">
        <w:rPr>
          <w:rFonts w:ascii="Verdana" w:hAnsi="Verdana"/>
          <w:sz w:val="18"/>
          <w:szCs w:val="18"/>
        </w:rPr>
        <w:t>. Ook wordt ingegaan op</w:t>
      </w:r>
      <w:r>
        <w:rPr>
          <w:rFonts w:ascii="Verdana" w:hAnsi="Verdana"/>
          <w:sz w:val="18"/>
          <w:szCs w:val="18"/>
        </w:rPr>
        <w:t xml:space="preserve"> de bestuurlijke boete. In de artikelsgewijze toelichting wordt ingegaan</w:t>
      </w:r>
      <w:r w:rsidR="009E3901">
        <w:rPr>
          <w:rFonts w:ascii="Verdana" w:hAnsi="Verdana"/>
          <w:sz w:val="18"/>
          <w:szCs w:val="18"/>
        </w:rPr>
        <w:t xml:space="preserve"> op</w:t>
      </w:r>
      <w:r>
        <w:rPr>
          <w:rFonts w:ascii="Verdana" w:hAnsi="Verdana"/>
          <w:sz w:val="18"/>
          <w:szCs w:val="18"/>
        </w:rPr>
        <w:t xml:space="preserve"> </w:t>
      </w:r>
      <w:bookmarkStart w:name="_Hlk179208840" w:id="77"/>
      <w:r>
        <w:rPr>
          <w:rFonts w:ascii="Verdana" w:hAnsi="Verdana"/>
          <w:sz w:val="18"/>
          <w:szCs w:val="18"/>
        </w:rPr>
        <w:t xml:space="preserve">de controlefunctionaris, beveiligingsscan, audit, openbaarmaking van een overtreding, aanwijzing en last onder bestuursdwang. </w:t>
      </w:r>
      <w:bookmarkEnd w:id="77"/>
    </w:p>
    <w:p w:rsidRPr="00FF46E3" w:rsidR="008A6FBD" w:rsidP="008A6FBD" w:rsidRDefault="008A6FBD" w14:paraId="701FBC5A" w14:textId="77777777">
      <w:pPr>
        <w:pStyle w:val="Geenafstand"/>
        <w:rPr>
          <w:rFonts w:ascii="Verdana" w:hAnsi="Verdana"/>
          <w:sz w:val="18"/>
          <w:szCs w:val="18"/>
        </w:rPr>
      </w:pPr>
    </w:p>
    <w:p w:rsidRPr="00FF46E3" w:rsidR="008A6FBD" w:rsidP="00C3466E" w:rsidRDefault="00F42B69" w14:paraId="78BB27F0" w14:textId="653EFD1E">
      <w:pPr>
        <w:pStyle w:val="Kop3"/>
      </w:pPr>
      <w:bookmarkStart w:name="_Toc198721087" w:id="78"/>
      <w:r w:rsidRPr="00FF46E3">
        <w:lastRenderedPageBreak/>
        <w:t>5.</w:t>
      </w:r>
      <w:r w:rsidR="007E5530">
        <w:t>6</w:t>
      </w:r>
      <w:r w:rsidRPr="00FF46E3">
        <w:t>.</w:t>
      </w:r>
      <w:r w:rsidR="00A52718">
        <w:t>5</w:t>
      </w:r>
      <w:r w:rsidRPr="00FF46E3" w:rsidR="00D076E4">
        <w:t xml:space="preserve"> </w:t>
      </w:r>
      <w:r w:rsidRPr="00FF46E3" w:rsidR="00DB5468">
        <w:t>Bepalen einddatum</w:t>
      </w:r>
      <w:r w:rsidRPr="00FF46E3" w:rsidR="008A6FBD">
        <w:t>, verzoek tot schorsing certificering of vergunning en verzoek tot schorsing leden van het bestuur</w:t>
      </w:r>
      <w:bookmarkStart w:name="_Hlk143093304" w:id="79"/>
      <w:bookmarkEnd w:id="78"/>
    </w:p>
    <w:bookmarkEnd w:id="79"/>
    <w:p w:rsidRPr="00FF46E3" w:rsidR="008A6FBD" w:rsidP="008A6FBD" w:rsidRDefault="008A6FBD" w14:paraId="3EF82131" w14:textId="77777777">
      <w:pPr>
        <w:pStyle w:val="Geenafstand"/>
        <w:rPr>
          <w:rFonts w:ascii="Verdana" w:hAnsi="Verdana"/>
          <w:sz w:val="18"/>
          <w:szCs w:val="18"/>
        </w:rPr>
      </w:pPr>
    </w:p>
    <w:p w:rsidRPr="00FF46E3" w:rsidR="008A6FBD" w:rsidP="0089248F" w:rsidRDefault="00F42B69" w14:paraId="501E2A25" w14:textId="36581D09">
      <w:pPr>
        <w:pStyle w:val="Kop4"/>
        <w:rPr>
          <w:szCs w:val="18"/>
        </w:rPr>
      </w:pPr>
      <w:bookmarkStart w:name="_Toc198721088" w:id="80"/>
      <w:bookmarkStart w:name="_Hlk143093430" w:id="81"/>
      <w:r w:rsidRPr="00FF46E3">
        <w:rPr>
          <w:szCs w:val="18"/>
        </w:rPr>
        <w:t>5.</w:t>
      </w:r>
      <w:r w:rsidR="007E5530">
        <w:rPr>
          <w:szCs w:val="18"/>
        </w:rPr>
        <w:t>6</w:t>
      </w:r>
      <w:r w:rsidRPr="00FF46E3">
        <w:rPr>
          <w:szCs w:val="18"/>
        </w:rPr>
        <w:t>.</w:t>
      </w:r>
      <w:r w:rsidR="00A52718">
        <w:rPr>
          <w:szCs w:val="18"/>
        </w:rPr>
        <w:t>5</w:t>
      </w:r>
      <w:r w:rsidRPr="00FF46E3">
        <w:rPr>
          <w:szCs w:val="18"/>
        </w:rPr>
        <w:t>.1</w:t>
      </w:r>
      <w:r w:rsidRPr="00FF46E3" w:rsidR="008A6FBD">
        <w:rPr>
          <w:szCs w:val="18"/>
        </w:rPr>
        <w:t xml:space="preserve"> Implementatie van artikel 32, vijfde lid, NIS2-richtlijn</w:t>
      </w:r>
      <w:bookmarkEnd w:id="80"/>
    </w:p>
    <w:bookmarkEnd w:id="81"/>
    <w:p w:rsidRPr="00FF46E3" w:rsidR="008A6FBD" w:rsidP="008A6FBD" w:rsidRDefault="008A6FBD" w14:paraId="3043A303" w14:textId="77777777">
      <w:pPr>
        <w:pStyle w:val="Geenafstand"/>
        <w:rPr>
          <w:rFonts w:ascii="Verdana" w:hAnsi="Verdana"/>
          <w:sz w:val="18"/>
          <w:szCs w:val="18"/>
        </w:rPr>
      </w:pPr>
    </w:p>
    <w:p w:rsidRPr="00FF46E3" w:rsidR="00DB5468" w:rsidP="008A6FBD" w:rsidRDefault="006F2395" w14:paraId="16418147" w14:textId="72B42EA3">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DB5468">
        <w:rPr>
          <w:rFonts w:ascii="Verdana" w:hAnsi="Verdana"/>
          <w:sz w:val="18"/>
          <w:szCs w:val="18"/>
        </w:rPr>
        <w:t xml:space="preserve"> </w:t>
      </w:r>
      <w:r w:rsidRPr="00FF46E3" w:rsidR="008A6FBD">
        <w:rPr>
          <w:rFonts w:ascii="Verdana" w:hAnsi="Verdana"/>
          <w:sz w:val="18"/>
          <w:szCs w:val="18"/>
        </w:rPr>
        <w:t>bevat ter implementatie van artikel 32, vijfde lid, NIS2-richtlijn</w:t>
      </w:r>
      <w:r w:rsidRPr="00FF46E3" w:rsidR="00DB5468">
        <w:rPr>
          <w:rFonts w:ascii="Verdana" w:hAnsi="Verdana"/>
          <w:sz w:val="18"/>
          <w:szCs w:val="18"/>
        </w:rPr>
        <w:t xml:space="preserve"> bevoegdheden voor de </w:t>
      </w:r>
      <w:r w:rsidRPr="00FF46E3" w:rsidR="007F6903">
        <w:rPr>
          <w:rFonts w:ascii="Verdana" w:hAnsi="Verdana"/>
          <w:sz w:val="18"/>
          <w:szCs w:val="18"/>
        </w:rPr>
        <w:t>toezichthoudende instantie</w:t>
      </w:r>
      <w:r w:rsidRPr="00FF46E3" w:rsidR="00FC00E4">
        <w:rPr>
          <w:rFonts w:ascii="Verdana" w:hAnsi="Verdana"/>
          <w:sz w:val="18"/>
          <w:szCs w:val="18"/>
        </w:rPr>
        <w:t xml:space="preserve"> </w:t>
      </w:r>
      <w:r w:rsidRPr="00FF46E3" w:rsidR="00DB5468">
        <w:rPr>
          <w:rFonts w:ascii="Verdana" w:hAnsi="Verdana"/>
          <w:sz w:val="18"/>
          <w:szCs w:val="18"/>
        </w:rPr>
        <w:t>die nieuw zijn in het Nederlands bestuursrecht</w:t>
      </w:r>
      <w:r w:rsidRPr="00FF46E3" w:rsidR="008A6FBD">
        <w:rPr>
          <w:rFonts w:ascii="Verdana" w:hAnsi="Verdana"/>
          <w:sz w:val="18"/>
          <w:szCs w:val="18"/>
        </w:rPr>
        <w:t xml:space="preserve">. Die bepaling uit de richtlijn </w:t>
      </w:r>
      <w:r w:rsidRPr="00FF46E3" w:rsidR="00DB5468">
        <w:rPr>
          <w:rFonts w:ascii="Verdana" w:hAnsi="Verdana"/>
          <w:sz w:val="18"/>
          <w:szCs w:val="18"/>
        </w:rPr>
        <w:t xml:space="preserve">ziet op de gevallen waarin een essentiële entiteit in overtreding is en de </w:t>
      </w:r>
      <w:r w:rsidRPr="00FF46E3" w:rsidR="007F6903">
        <w:rPr>
          <w:rFonts w:ascii="Verdana" w:hAnsi="Verdana"/>
          <w:sz w:val="18"/>
          <w:szCs w:val="18"/>
        </w:rPr>
        <w:t>toezichthoudende instantie</w:t>
      </w:r>
      <w:r w:rsidRPr="00FF46E3" w:rsidR="00DB5468">
        <w:rPr>
          <w:rFonts w:ascii="Verdana" w:hAnsi="Verdana"/>
          <w:sz w:val="18"/>
          <w:szCs w:val="18"/>
        </w:rPr>
        <w:t xml:space="preserve"> </w:t>
      </w:r>
      <w:r w:rsidRPr="00FF46E3" w:rsidR="00E30D03">
        <w:rPr>
          <w:rFonts w:ascii="Verdana" w:hAnsi="Verdana"/>
          <w:sz w:val="18"/>
          <w:szCs w:val="18"/>
        </w:rPr>
        <w:t xml:space="preserve">een of meerdere van </w:t>
      </w:r>
      <w:r w:rsidRPr="00FF46E3" w:rsidR="008A6FBD">
        <w:rPr>
          <w:rFonts w:ascii="Verdana" w:hAnsi="Verdana"/>
          <w:sz w:val="18"/>
          <w:szCs w:val="18"/>
        </w:rPr>
        <w:t xml:space="preserve">de </w:t>
      </w:r>
      <w:r w:rsidRPr="00FF46E3" w:rsidR="00DB5468">
        <w:rPr>
          <w:rFonts w:ascii="Verdana" w:hAnsi="Verdana"/>
          <w:sz w:val="18"/>
          <w:szCs w:val="18"/>
        </w:rPr>
        <w:t>in</w:t>
      </w:r>
      <w:r w:rsidRPr="00FF46E3" w:rsidR="008A6FBD">
        <w:rPr>
          <w:rFonts w:ascii="Verdana" w:hAnsi="Verdana"/>
          <w:sz w:val="18"/>
          <w:szCs w:val="18"/>
        </w:rPr>
        <w:t xml:space="preserve"> artikel 32, vierde lid, onderdelen a tot en met d en f, NIS2-richtlijn </w:t>
      </w:r>
      <w:r w:rsidRPr="00FF46E3" w:rsidR="00DB5468">
        <w:rPr>
          <w:rFonts w:ascii="Verdana" w:hAnsi="Verdana"/>
          <w:sz w:val="18"/>
          <w:szCs w:val="18"/>
        </w:rPr>
        <w:t xml:space="preserve">genoemde </w:t>
      </w:r>
      <w:r w:rsidRPr="00FF46E3" w:rsidR="008A6FBD">
        <w:rPr>
          <w:rFonts w:ascii="Verdana" w:hAnsi="Verdana"/>
          <w:sz w:val="18"/>
          <w:szCs w:val="18"/>
        </w:rPr>
        <w:t xml:space="preserve">handhavingsmaatregelen </w:t>
      </w:r>
      <w:r w:rsidRPr="00FF46E3" w:rsidR="00DB5468">
        <w:rPr>
          <w:rFonts w:ascii="Verdana" w:hAnsi="Verdana"/>
          <w:sz w:val="18"/>
          <w:szCs w:val="18"/>
        </w:rPr>
        <w:t xml:space="preserve">heeft genomen. </w:t>
      </w:r>
      <w:r w:rsidRPr="00FF46E3" w:rsidR="00CE7548">
        <w:rPr>
          <w:rFonts w:ascii="Verdana" w:hAnsi="Verdana"/>
          <w:sz w:val="18"/>
          <w:szCs w:val="18"/>
        </w:rPr>
        <w:t>Wanneer</w:t>
      </w:r>
      <w:r w:rsidRPr="00FF46E3" w:rsidR="00DB5468">
        <w:rPr>
          <w:rFonts w:ascii="Verdana" w:hAnsi="Verdana"/>
          <w:sz w:val="18"/>
          <w:szCs w:val="18"/>
        </w:rPr>
        <w:t xml:space="preserve"> deze maatregelen</w:t>
      </w:r>
      <w:r w:rsidRPr="00FF46E3" w:rsidR="00DB5468">
        <w:rPr>
          <w:rFonts w:ascii="Verdana" w:hAnsi="Verdana" w:cs="EUAlbertina"/>
          <w:sz w:val="18"/>
          <w:szCs w:val="18"/>
        </w:rPr>
        <w:t xml:space="preserve"> </w:t>
      </w:r>
      <w:r w:rsidRPr="00FF46E3" w:rsidR="008A6FBD">
        <w:rPr>
          <w:rFonts w:ascii="Verdana" w:hAnsi="Verdana"/>
          <w:sz w:val="18"/>
          <w:szCs w:val="18"/>
        </w:rPr>
        <w:t xml:space="preserve">ondoeltreffend zijn, </w:t>
      </w:r>
      <w:r w:rsidRPr="00FF46E3" w:rsidR="00DB5468">
        <w:rPr>
          <w:rFonts w:ascii="Verdana" w:hAnsi="Verdana"/>
          <w:sz w:val="18"/>
          <w:szCs w:val="18"/>
        </w:rPr>
        <w:t xml:space="preserve">moeten lidstaten ervoor zorgen dat </w:t>
      </w:r>
      <w:r w:rsidRPr="00FF46E3" w:rsidR="008A6FBD">
        <w:rPr>
          <w:rFonts w:ascii="Verdana" w:hAnsi="Verdana"/>
          <w:sz w:val="18"/>
          <w:szCs w:val="18"/>
        </w:rPr>
        <w:t xml:space="preserve">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8A6FBD">
        <w:rPr>
          <w:rFonts w:ascii="Verdana" w:hAnsi="Verdana"/>
          <w:sz w:val="18"/>
          <w:szCs w:val="18"/>
        </w:rPr>
        <w:t xml:space="preserve">de bevoegdheid </w:t>
      </w:r>
      <w:r w:rsidRPr="00FF46E3" w:rsidR="00DB5468">
        <w:rPr>
          <w:rFonts w:ascii="Verdana" w:hAnsi="Verdana"/>
          <w:sz w:val="18"/>
          <w:szCs w:val="18"/>
        </w:rPr>
        <w:t xml:space="preserve">heeft </w:t>
      </w:r>
      <w:r w:rsidRPr="00FF46E3" w:rsidR="008A6FBD">
        <w:rPr>
          <w:rFonts w:ascii="Verdana" w:hAnsi="Verdana"/>
          <w:sz w:val="18"/>
          <w:szCs w:val="18"/>
        </w:rPr>
        <w:t>om een termijn</w:t>
      </w:r>
      <w:r w:rsidRPr="00FF46E3" w:rsidR="00EA661F">
        <w:rPr>
          <w:rFonts w:ascii="Verdana" w:hAnsi="Verdana"/>
          <w:sz w:val="18"/>
          <w:szCs w:val="18"/>
        </w:rPr>
        <w:t xml:space="preserve"> </w:t>
      </w:r>
      <w:r w:rsidRPr="00FF46E3" w:rsidR="008A6FBD">
        <w:rPr>
          <w:rFonts w:ascii="Verdana" w:hAnsi="Verdana"/>
          <w:sz w:val="18"/>
          <w:szCs w:val="18"/>
        </w:rPr>
        <w:t xml:space="preserve">te stellen waarbinnen de essentiële entiteit wordt verzocht de noodzakelijke maatregelen te nemen om de tekortkomingen te verhelpen of aan de eisen van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8A6FBD">
        <w:rPr>
          <w:rFonts w:ascii="Verdana" w:hAnsi="Verdana"/>
          <w:sz w:val="18"/>
          <w:szCs w:val="18"/>
        </w:rPr>
        <w:t>te voldoen.</w:t>
      </w:r>
      <w:r w:rsidRPr="00FF46E3" w:rsidR="00684799">
        <w:rPr>
          <w:rFonts w:ascii="Verdana" w:hAnsi="Verdana"/>
          <w:sz w:val="18"/>
          <w:szCs w:val="18"/>
        </w:rPr>
        <w:t xml:space="preserve"> Deze onderdelen zien op </w:t>
      </w:r>
      <w:r w:rsidRPr="00FF46E3" w:rsidR="00684799">
        <w:rPr>
          <w:rFonts w:ascii="Verdana" w:hAnsi="Verdana" w:cstheme="minorHAnsi"/>
          <w:sz w:val="18"/>
          <w:szCs w:val="18"/>
        </w:rPr>
        <w:t>een waarschuwing over een inbreuk door de betrokken essentiële entiteit, een verplichting over de uitvoering van de aanbevelingen naar aanleiding van een audit, een bindende aanwijzing of een last.</w:t>
      </w:r>
      <w:r w:rsidRPr="00FF46E3" w:rsidR="00684799">
        <w:rPr>
          <w:rFonts w:ascii="Verdana" w:hAnsi="Verdana"/>
          <w:sz w:val="18"/>
          <w:szCs w:val="18"/>
        </w:rPr>
        <w:t xml:space="preserve"> </w:t>
      </w:r>
      <w:r w:rsidRPr="00FF46E3" w:rsidR="00DB5468">
        <w:rPr>
          <w:rFonts w:ascii="Verdana" w:hAnsi="Verdana"/>
          <w:sz w:val="18"/>
          <w:szCs w:val="18"/>
        </w:rPr>
        <w:t xml:space="preserve">Om verwarring te voorkomen met de in het bestuursrecht gehanteerde term van een begunstigingstermijn, wordt </w:t>
      </w:r>
      <w:r w:rsidRPr="00FF46E3" w:rsidR="00CE7548">
        <w:rPr>
          <w:rFonts w:ascii="Verdana" w:hAnsi="Verdana"/>
          <w:sz w:val="18"/>
          <w:szCs w:val="18"/>
        </w:rPr>
        <w:t xml:space="preserve">in dit kader </w:t>
      </w:r>
      <w:r w:rsidRPr="00FF46E3" w:rsidR="00DB5468">
        <w:rPr>
          <w:rFonts w:ascii="Verdana" w:hAnsi="Verdana"/>
          <w:sz w:val="18"/>
          <w:szCs w:val="18"/>
        </w:rPr>
        <w:t xml:space="preserve">in plaats van “het stellen van een termijn” in </w:t>
      </w: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DB5468">
        <w:rPr>
          <w:rFonts w:ascii="Verdana" w:hAnsi="Verdana"/>
          <w:sz w:val="18"/>
          <w:szCs w:val="18"/>
        </w:rPr>
        <w:t xml:space="preserve"> </w:t>
      </w:r>
      <w:r w:rsidRPr="00FF46E3" w:rsidR="00B40BDC">
        <w:rPr>
          <w:rFonts w:ascii="Verdana" w:hAnsi="Verdana"/>
          <w:sz w:val="18"/>
          <w:szCs w:val="18"/>
        </w:rPr>
        <w:t xml:space="preserve">en de bijbehorende toelichting </w:t>
      </w:r>
      <w:r w:rsidRPr="00FF46E3" w:rsidR="00DB5468">
        <w:rPr>
          <w:rFonts w:ascii="Verdana" w:hAnsi="Verdana"/>
          <w:sz w:val="18"/>
          <w:szCs w:val="18"/>
        </w:rPr>
        <w:t xml:space="preserve">het volgende begrip gehanteerd: “het bepalen van een einddatum”. </w:t>
      </w:r>
    </w:p>
    <w:p w:rsidRPr="00FF46E3" w:rsidR="00251CCA" w:rsidP="008A6FBD" w:rsidRDefault="00251CCA" w14:paraId="723AAB31" w14:textId="77777777">
      <w:pPr>
        <w:pStyle w:val="Geenafstand"/>
        <w:rPr>
          <w:rFonts w:ascii="Verdana" w:hAnsi="Verdana"/>
          <w:sz w:val="18"/>
          <w:szCs w:val="18"/>
        </w:rPr>
      </w:pPr>
    </w:p>
    <w:p w:rsidRPr="00FF46E3" w:rsidR="008A6FBD" w:rsidP="008A6FBD" w:rsidRDefault="00CE7548" w14:paraId="2DD16E33" w14:textId="0D81D3C0">
      <w:pPr>
        <w:pStyle w:val="Geenafstand"/>
        <w:rPr>
          <w:rFonts w:ascii="Verdana" w:hAnsi="Verdana"/>
          <w:sz w:val="18"/>
          <w:szCs w:val="18"/>
        </w:rPr>
      </w:pPr>
      <w:r w:rsidRPr="00FF46E3">
        <w:rPr>
          <w:rFonts w:ascii="Verdana" w:hAnsi="Verdana"/>
          <w:sz w:val="18"/>
          <w:szCs w:val="18"/>
        </w:rPr>
        <w:t xml:space="preserve">Op grond van artikel 32, vijfde lid, NIS2-richtlijn moeten </w:t>
      </w:r>
      <w:r w:rsidRPr="00FF46E3" w:rsidR="00484BD2">
        <w:rPr>
          <w:rFonts w:ascii="Verdana" w:hAnsi="Verdana"/>
          <w:sz w:val="18"/>
          <w:szCs w:val="18"/>
        </w:rPr>
        <w:t xml:space="preserve">lidstaten </w:t>
      </w:r>
      <w:r w:rsidRPr="00FF46E3">
        <w:rPr>
          <w:rFonts w:ascii="Verdana" w:hAnsi="Verdana"/>
          <w:sz w:val="18"/>
          <w:szCs w:val="18"/>
        </w:rPr>
        <w:t>ervoor zorgen dat i</w:t>
      </w:r>
      <w:r w:rsidRPr="00FF46E3" w:rsidR="008A6FBD">
        <w:rPr>
          <w:rFonts w:ascii="Verdana" w:hAnsi="Verdana"/>
          <w:sz w:val="18"/>
          <w:szCs w:val="18"/>
        </w:rPr>
        <w:t xml:space="preserve">ndien de verzochte actie niet </w:t>
      </w:r>
      <w:r w:rsidRPr="00FF46E3" w:rsidR="00C37616">
        <w:rPr>
          <w:rFonts w:ascii="Verdana" w:hAnsi="Verdana"/>
          <w:sz w:val="18"/>
          <w:szCs w:val="18"/>
        </w:rPr>
        <w:t>uiterlijk op</w:t>
      </w:r>
      <w:r w:rsidRPr="00FF46E3" w:rsidR="008A6FBD">
        <w:rPr>
          <w:rFonts w:ascii="Verdana" w:hAnsi="Verdana"/>
          <w:sz w:val="18"/>
          <w:szCs w:val="18"/>
        </w:rPr>
        <w:t xml:space="preserve"> de </w:t>
      </w:r>
      <w:r w:rsidRPr="00FF46E3">
        <w:rPr>
          <w:rFonts w:ascii="Verdana" w:hAnsi="Verdana"/>
          <w:sz w:val="18"/>
          <w:szCs w:val="18"/>
        </w:rPr>
        <w:t>bepaalde einddatum</w:t>
      </w:r>
      <w:r w:rsidRPr="00FF46E3" w:rsidR="008A6FBD">
        <w:rPr>
          <w:rFonts w:ascii="Verdana" w:hAnsi="Verdana"/>
          <w:sz w:val="18"/>
          <w:szCs w:val="18"/>
        </w:rPr>
        <w:t xml:space="preserve"> </w:t>
      </w:r>
      <w:r w:rsidRPr="00FF46E3" w:rsidR="00C37616">
        <w:rPr>
          <w:rFonts w:ascii="Verdana" w:hAnsi="Verdana"/>
          <w:sz w:val="18"/>
          <w:szCs w:val="18"/>
        </w:rPr>
        <w:t>is uitgevoerd</w:t>
      </w:r>
      <w:r w:rsidRPr="00FF46E3" w:rsidR="008A6FBD">
        <w:rPr>
          <w:rFonts w:ascii="Verdana" w:hAnsi="Verdana"/>
          <w:sz w:val="18"/>
          <w:szCs w:val="18"/>
        </w:rPr>
        <w:t xml:space="preserve">, </w:t>
      </w:r>
      <w:r w:rsidRPr="00FF46E3" w:rsidR="00395D88">
        <w:rPr>
          <w:rFonts w:ascii="Verdana" w:hAnsi="Verdana"/>
          <w:sz w:val="18"/>
          <w:szCs w:val="18"/>
        </w:rPr>
        <w:t xml:space="preserve">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8A6FBD">
        <w:rPr>
          <w:rFonts w:ascii="Verdana" w:hAnsi="Verdana"/>
          <w:sz w:val="18"/>
          <w:szCs w:val="18"/>
        </w:rPr>
        <w:t xml:space="preserve">de bevoegdheid </w:t>
      </w:r>
      <w:r w:rsidRPr="00FF46E3">
        <w:rPr>
          <w:rFonts w:ascii="Verdana" w:hAnsi="Verdana"/>
          <w:sz w:val="18"/>
          <w:szCs w:val="18"/>
        </w:rPr>
        <w:t xml:space="preserve">heeft </w:t>
      </w:r>
      <w:r w:rsidRPr="00FF46E3" w:rsidR="008A6FBD">
        <w:rPr>
          <w:rFonts w:ascii="Verdana" w:hAnsi="Verdana"/>
          <w:sz w:val="18"/>
          <w:szCs w:val="18"/>
        </w:rPr>
        <w:t>om:</w:t>
      </w:r>
    </w:p>
    <w:p w:rsidRPr="00FF46E3" w:rsidR="008A6FBD" w:rsidP="008A6FBD" w:rsidRDefault="008A6FBD" w14:paraId="567D78A3" w14:textId="77777777">
      <w:pPr>
        <w:pStyle w:val="Geenafstand"/>
        <w:rPr>
          <w:rFonts w:ascii="Verdana" w:hAnsi="Verdana"/>
          <w:sz w:val="18"/>
          <w:szCs w:val="18"/>
        </w:rPr>
      </w:pPr>
      <w:r w:rsidRPr="00FF46E3">
        <w:rPr>
          <w:rFonts w:ascii="Verdana" w:hAnsi="Verdana"/>
          <w:sz w:val="18"/>
          <w:szCs w:val="18"/>
        </w:rPr>
        <w:t>a. een certificering of vergunning tijdelijk op te schorten of een certificerings- of vergunningsinstantie of een rechterlijke instantie overeenkomstig het nationale recht te verzoeken deze tijdelijk op te schorten met betrekking tot alle of een deel van de relevante door de essentiële entiteit verleende diensten of verrichte activiteiten;</w:t>
      </w:r>
    </w:p>
    <w:p w:rsidRPr="00FF46E3" w:rsidR="008A6FBD" w:rsidP="008A6FBD" w:rsidRDefault="008A6FBD" w14:paraId="2689E473" w14:textId="7E6D7224">
      <w:pPr>
        <w:pStyle w:val="Geenafstand"/>
        <w:rPr>
          <w:rFonts w:ascii="Verdana" w:hAnsi="Verdana"/>
          <w:sz w:val="18"/>
          <w:szCs w:val="18"/>
        </w:rPr>
      </w:pPr>
      <w:r w:rsidRPr="00FF46E3">
        <w:rPr>
          <w:rFonts w:ascii="Verdana" w:hAnsi="Verdana"/>
          <w:sz w:val="18"/>
          <w:szCs w:val="18"/>
        </w:rPr>
        <w:t>b. te verzoeken dat de bevoegde organen of rechterlijke instanties overeenkomstig het nationale recht een natuurlijke persoon met leidinggevende verantwoordelijkheden op het niveau van de algemeen directeur of de wettelijke vertegenwoordiger in de essentiële entiteit tijdelijk verbieden leidinggevende functies in die entiteit uit te oefenen.</w:t>
      </w:r>
    </w:p>
    <w:p w:rsidRPr="00FF46E3" w:rsidR="00251CCA" w:rsidP="008A6FBD" w:rsidRDefault="00251CCA" w14:paraId="7E5F67B1" w14:textId="77777777">
      <w:pPr>
        <w:pStyle w:val="Geenafstand"/>
        <w:rPr>
          <w:rFonts w:ascii="Verdana" w:hAnsi="Verdana"/>
          <w:sz w:val="18"/>
          <w:szCs w:val="18"/>
        </w:rPr>
      </w:pPr>
    </w:p>
    <w:p w:rsidRPr="00FF46E3" w:rsidR="008A6FBD" w:rsidP="008A6FBD" w:rsidRDefault="00131B46" w14:paraId="3B221579" w14:textId="3CED1A02">
      <w:pPr>
        <w:pStyle w:val="Geenafstand"/>
        <w:rPr>
          <w:rFonts w:ascii="Verdana" w:hAnsi="Verdana"/>
          <w:sz w:val="18"/>
          <w:szCs w:val="18"/>
        </w:rPr>
      </w:pPr>
      <w:r w:rsidRPr="00FF46E3">
        <w:rPr>
          <w:rFonts w:ascii="Verdana" w:hAnsi="Verdana"/>
          <w:sz w:val="18"/>
          <w:szCs w:val="18"/>
        </w:rPr>
        <w:t xml:space="preserve">Deze bevoegdheid is geïmplementeerd in de artikelen </w:t>
      </w:r>
      <w:r w:rsidR="00B05DE3">
        <w:rPr>
          <w:rFonts w:ascii="Verdana" w:hAnsi="Verdana"/>
          <w:sz w:val="18"/>
          <w:szCs w:val="18"/>
        </w:rPr>
        <w:t>76</w:t>
      </w:r>
      <w:r w:rsidRPr="00FF46E3" w:rsidR="00B05DE3">
        <w:rPr>
          <w:rFonts w:ascii="Verdana" w:hAnsi="Verdana"/>
          <w:sz w:val="18"/>
          <w:szCs w:val="18"/>
        </w:rPr>
        <w:t xml:space="preserve"> </w:t>
      </w:r>
      <w:r w:rsidRPr="00FF46E3">
        <w:rPr>
          <w:rFonts w:ascii="Verdana" w:hAnsi="Verdana"/>
          <w:sz w:val="18"/>
          <w:szCs w:val="18"/>
        </w:rPr>
        <w:t xml:space="preserve">tot en met </w:t>
      </w:r>
      <w:r w:rsidR="00B05DE3">
        <w:rPr>
          <w:rFonts w:ascii="Verdana" w:hAnsi="Verdana"/>
          <w:sz w:val="18"/>
          <w:szCs w:val="18"/>
        </w:rPr>
        <w:t>78</w:t>
      </w:r>
      <w:r w:rsidRPr="00FF46E3" w:rsidR="00B05DE3">
        <w:rPr>
          <w:rFonts w:ascii="Verdana" w:hAnsi="Verdana"/>
          <w:sz w:val="18"/>
          <w:szCs w:val="18"/>
        </w:rPr>
        <w:t xml:space="preserv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w:t>
      </w:r>
      <w:r w:rsidRPr="00FF46E3" w:rsidR="006E280D">
        <w:rPr>
          <w:rFonts w:ascii="Verdana" w:hAnsi="Verdana"/>
          <w:sz w:val="18"/>
          <w:szCs w:val="18"/>
        </w:rPr>
        <w:t>Deze bevoegdheid ziet alleen op essentiële entiteiten en kan niet worden toegepast op belangrijke entiteiten en entiteiten die domeinnaamregistratiediensten verlenen</w:t>
      </w:r>
      <w:r w:rsidRPr="00FF46E3" w:rsidR="00196C82">
        <w:rPr>
          <w:rFonts w:ascii="Verdana" w:hAnsi="Verdana"/>
          <w:sz w:val="18"/>
          <w:szCs w:val="18"/>
        </w:rPr>
        <w:t>, voor zover deze laatstgenoemde niet tevens een essentiële entiteit zijn</w:t>
      </w:r>
      <w:r w:rsidRPr="00FF46E3" w:rsidR="006E280D">
        <w:rPr>
          <w:rFonts w:ascii="Verdana" w:hAnsi="Verdana"/>
          <w:sz w:val="18"/>
          <w:szCs w:val="18"/>
        </w:rPr>
        <w:t xml:space="preserve">. </w:t>
      </w:r>
      <w:r w:rsidRPr="00FF46E3">
        <w:rPr>
          <w:rFonts w:ascii="Verdana" w:hAnsi="Verdana"/>
          <w:sz w:val="18"/>
          <w:szCs w:val="18"/>
        </w:rPr>
        <w:t xml:space="preserve">Deze bevoegdheden zijn niet van toepassing is op overheidsinstanties om zo te voorkomen dat overheidsinstanties hun taken niet langer kunnen uitvoeren. </w:t>
      </w:r>
      <w:bookmarkStart w:name="_Hlk162342109" w:id="82"/>
      <w:bookmarkStart w:name="_Hlk143093440" w:id="83"/>
    </w:p>
    <w:bookmarkEnd w:id="82"/>
    <w:bookmarkEnd w:id="83"/>
    <w:p w:rsidRPr="00FF46E3" w:rsidR="008A6FBD" w:rsidP="008A6FBD" w:rsidRDefault="008A6FBD" w14:paraId="51148E3B" w14:textId="77777777">
      <w:pPr>
        <w:pStyle w:val="Geenafstand"/>
        <w:ind w:firstLine="708"/>
        <w:rPr>
          <w:rFonts w:ascii="Verdana" w:hAnsi="Verdana" w:cstheme="minorHAnsi"/>
          <w:sz w:val="18"/>
          <w:szCs w:val="18"/>
        </w:rPr>
      </w:pPr>
    </w:p>
    <w:p w:rsidRPr="00FF46E3" w:rsidR="008A6FBD" w:rsidP="00B40BDC" w:rsidRDefault="00F42B69" w14:paraId="1CA13BBC" w14:textId="71FC9DC1">
      <w:pPr>
        <w:pStyle w:val="Kop4"/>
        <w:rPr>
          <w:szCs w:val="18"/>
        </w:rPr>
      </w:pPr>
      <w:bookmarkStart w:name="_Toc198721089" w:id="84"/>
      <w:bookmarkStart w:name="_Hlk143093449" w:id="85"/>
      <w:r w:rsidRPr="00FF46E3">
        <w:rPr>
          <w:szCs w:val="18"/>
        </w:rPr>
        <w:t>5.</w:t>
      </w:r>
      <w:r w:rsidR="007E5530">
        <w:rPr>
          <w:szCs w:val="18"/>
        </w:rPr>
        <w:t>6</w:t>
      </w:r>
      <w:r w:rsidRPr="00FF46E3">
        <w:rPr>
          <w:szCs w:val="18"/>
        </w:rPr>
        <w:t>.</w:t>
      </w:r>
      <w:r w:rsidR="00A52718">
        <w:rPr>
          <w:szCs w:val="18"/>
        </w:rPr>
        <w:t>5</w:t>
      </w:r>
      <w:r w:rsidRPr="00FF46E3">
        <w:rPr>
          <w:szCs w:val="18"/>
        </w:rPr>
        <w:t>.</w:t>
      </w:r>
      <w:r w:rsidRPr="00FF46E3" w:rsidR="00DC4CB0">
        <w:rPr>
          <w:szCs w:val="18"/>
        </w:rPr>
        <w:t xml:space="preserve">2 </w:t>
      </w:r>
      <w:r w:rsidRPr="00FF46E3" w:rsidR="00CE7548">
        <w:rPr>
          <w:szCs w:val="18"/>
        </w:rPr>
        <w:t xml:space="preserve">Bepaling einddatum </w:t>
      </w:r>
      <w:r w:rsidRPr="00FF46E3" w:rsidR="008A6FBD">
        <w:rPr>
          <w:szCs w:val="18"/>
        </w:rPr>
        <w:t xml:space="preserve">door </w:t>
      </w:r>
      <w:r w:rsidRPr="00FF46E3" w:rsidR="007F6903">
        <w:rPr>
          <w:szCs w:val="18"/>
        </w:rPr>
        <w:t>toezichthoudende instantie</w:t>
      </w:r>
      <w:bookmarkEnd w:id="84"/>
    </w:p>
    <w:bookmarkEnd w:id="85"/>
    <w:p w:rsidRPr="00FF46E3" w:rsidR="008A6FBD" w:rsidP="008A6FBD" w:rsidRDefault="008A6FBD" w14:paraId="707D6E04" w14:textId="77777777">
      <w:pPr>
        <w:pStyle w:val="Geenafstand"/>
        <w:rPr>
          <w:rFonts w:ascii="Verdana" w:hAnsi="Verdana" w:cstheme="minorHAnsi"/>
          <w:sz w:val="18"/>
          <w:szCs w:val="18"/>
        </w:rPr>
      </w:pPr>
    </w:p>
    <w:p w:rsidRPr="00FF46E3" w:rsidR="008A6FBD" w:rsidP="008A6FBD" w:rsidRDefault="008A6FBD" w14:paraId="16F27DAD" w14:textId="77777777">
      <w:pPr>
        <w:pStyle w:val="Geenafstand"/>
        <w:rPr>
          <w:rFonts w:ascii="Verdana" w:hAnsi="Verdana" w:cstheme="minorHAnsi"/>
          <w:i/>
          <w:iCs/>
          <w:sz w:val="18"/>
          <w:szCs w:val="18"/>
        </w:rPr>
      </w:pPr>
      <w:r w:rsidRPr="00FF46E3">
        <w:rPr>
          <w:rFonts w:ascii="Verdana" w:hAnsi="Verdana" w:cstheme="minorHAnsi"/>
          <w:i/>
          <w:iCs/>
          <w:sz w:val="18"/>
          <w:szCs w:val="18"/>
        </w:rPr>
        <w:t>Inleiding</w:t>
      </w:r>
    </w:p>
    <w:p w:rsidRPr="00FF46E3" w:rsidR="008A6FBD" w:rsidP="008A6FBD" w:rsidRDefault="008A6FBD" w14:paraId="6FCC10D0" w14:textId="406171DA">
      <w:pPr>
        <w:pStyle w:val="Geenafstand"/>
        <w:rPr>
          <w:rFonts w:ascii="Verdana" w:hAnsi="Verdana" w:cstheme="minorHAnsi"/>
          <w:sz w:val="18"/>
          <w:szCs w:val="18"/>
        </w:rPr>
      </w:pPr>
      <w:r w:rsidRPr="00FF46E3">
        <w:rPr>
          <w:rFonts w:ascii="Verdana" w:hAnsi="Verdana" w:cstheme="minorHAnsi"/>
          <w:sz w:val="18"/>
          <w:szCs w:val="18"/>
        </w:rPr>
        <w:t xml:space="preserve">Wanneer de </w:t>
      </w:r>
      <w:r w:rsidRPr="00FF46E3" w:rsidR="00D4751D">
        <w:rPr>
          <w:rFonts w:ascii="Verdana" w:hAnsi="Verdana" w:cstheme="minorHAnsi"/>
          <w:sz w:val="18"/>
          <w:szCs w:val="18"/>
        </w:rPr>
        <w:t xml:space="preserve">in paragraaf </w:t>
      </w:r>
      <w:r w:rsidRPr="00FF46E3" w:rsidR="0002231B">
        <w:rPr>
          <w:rFonts w:ascii="Verdana" w:hAnsi="Verdana" w:cstheme="minorHAnsi"/>
          <w:sz w:val="18"/>
          <w:szCs w:val="18"/>
        </w:rPr>
        <w:t>5.</w:t>
      </w:r>
      <w:r w:rsidR="00872EB1">
        <w:rPr>
          <w:rFonts w:ascii="Verdana" w:hAnsi="Verdana" w:cstheme="minorHAnsi"/>
          <w:sz w:val="18"/>
          <w:szCs w:val="18"/>
        </w:rPr>
        <w:t>6.</w:t>
      </w:r>
      <w:r w:rsidR="003C6F3B">
        <w:rPr>
          <w:rFonts w:ascii="Verdana" w:hAnsi="Verdana" w:cstheme="minorHAnsi"/>
          <w:sz w:val="18"/>
          <w:szCs w:val="18"/>
        </w:rPr>
        <w:t>5</w:t>
      </w:r>
      <w:r w:rsidR="00872EB1">
        <w:rPr>
          <w:rFonts w:ascii="Verdana" w:hAnsi="Verdana" w:cstheme="minorHAnsi"/>
          <w:sz w:val="18"/>
          <w:szCs w:val="18"/>
        </w:rPr>
        <w:t>.1</w:t>
      </w:r>
      <w:r w:rsidR="003C6F3B">
        <w:rPr>
          <w:rFonts w:ascii="Verdana" w:hAnsi="Verdana" w:cstheme="minorHAnsi"/>
          <w:sz w:val="18"/>
          <w:szCs w:val="18"/>
        </w:rPr>
        <w:t>, eerste alinea,</w:t>
      </w:r>
      <w:r w:rsidRPr="00FF46E3" w:rsidR="0002231B">
        <w:rPr>
          <w:rFonts w:ascii="Verdana" w:hAnsi="Verdana" w:cstheme="minorHAnsi"/>
          <w:sz w:val="18"/>
          <w:szCs w:val="18"/>
        </w:rPr>
        <w:t xml:space="preserve"> </w:t>
      </w:r>
      <w:r w:rsidRPr="00FF46E3">
        <w:rPr>
          <w:rFonts w:ascii="Verdana" w:hAnsi="Verdana" w:cstheme="minorHAnsi"/>
          <w:sz w:val="18"/>
          <w:szCs w:val="18"/>
        </w:rPr>
        <w:t xml:space="preserve">genoemde maatregelen ondoeltreffend zijn, kan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B40BDC">
        <w:rPr>
          <w:rFonts w:ascii="Verdana" w:hAnsi="Verdana" w:cstheme="minorHAnsi"/>
          <w:sz w:val="18"/>
          <w:szCs w:val="18"/>
        </w:rPr>
        <w:t>een einddatum bepalen waarop de betrokken essentiële entiteit uiterlijk</w:t>
      </w:r>
      <w:r w:rsidRPr="00FF46E3" w:rsidDel="00B40BDC" w:rsidR="00B40BDC">
        <w:rPr>
          <w:rFonts w:ascii="Verdana" w:hAnsi="Verdana" w:cstheme="minorHAnsi"/>
          <w:sz w:val="18"/>
          <w:szCs w:val="18"/>
        </w:rPr>
        <w:t xml:space="preserve"> </w:t>
      </w:r>
      <w:r w:rsidRPr="00FF46E3">
        <w:rPr>
          <w:rFonts w:ascii="Verdana" w:hAnsi="Verdana" w:cstheme="minorHAnsi"/>
          <w:sz w:val="18"/>
          <w:szCs w:val="18"/>
        </w:rPr>
        <w:t xml:space="preserve">de noodzakelijke maatregelen moet </w:t>
      </w:r>
      <w:r w:rsidRPr="00FF46E3" w:rsidR="00CE7548">
        <w:rPr>
          <w:rFonts w:ascii="Verdana" w:hAnsi="Verdana" w:cstheme="minorHAnsi"/>
          <w:sz w:val="18"/>
          <w:szCs w:val="18"/>
        </w:rPr>
        <w:t>hebben genomen</w:t>
      </w:r>
      <w:r w:rsidRPr="00FF46E3">
        <w:rPr>
          <w:rFonts w:ascii="Verdana" w:hAnsi="Verdana" w:cstheme="minorHAnsi"/>
          <w:sz w:val="18"/>
          <w:szCs w:val="18"/>
        </w:rPr>
        <w:t xml:space="preserve"> om tekortkomingen te verhelpen of aan de eisen van de </w:t>
      </w:r>
      <w:r w:rsidRPr="00FF46E3" w:rsidR="007F6903">
        <w:rPr>
          <w:rFonts w:ascii="Verdana" w:hAnsi="Verdana" w:cstheme="minorHAnsi"/>
          <w:sz w:val="18"/>
          <w:szCs w:val="18"/>
        </w:rPr>
        <w:t>toezichthoudende instantie</w:t>
      </w:r>
      <w:r w:rsidRPr="00FF46E3" w:rsidR="00D4751D">
        <w:rPr>
          <w:rFonts w:ascii="Verdana" w:hAnsi="Verdana" w:cstheme="minorHAnsi"/>
          <w:sz w:val="18"/>
          <w:szCs w:val="18"/>
        </w:rPr>
        <w:t xml:space="preserve"> </w:t>
      </w:r>
      <w:r w:rsidRPr="00FF46E3">
        <w:rPr>
          <w:rFonts w:ascii="Verdana" w:hAnsi="Verdana" w:cstheme="minorHAnsi"/>
          <w:sz w:val="18"/>
          <w:szCs w:val="18"/>
        </w:rPr>
        <w:t xml:space="preserve">moet </w:t>
      </w:r>
      <w:r w:rsidRPr="00FF46E3" w:rsidR="00CE7548">
        <w:rPr>
          <w:rFonts w:ascii="Verdana" w:hAnsi="Verdana" w:cstheme="minorHAnsi"/>
          <w:sz w:val="18"/>
          <w:szCs w:val="18"/>
        </w:rPr>
        <w:t>hebben voldaan</w:t>
      </w:r>
      <w:r w:rsidRPr="00FF46E3">
        <w:rPr>
          <w:rFonts w:ascii="Verdana" w:hAnsi="Verdana" w:cstheme="minorHAnsi"/>
          <w:sz w:val="18"/>
          <w:szCs w:val="18"/>
        </w:rPr>
        <w:t xml:space="preserve">. Het </w:t>
      </w:r>
      <w:r w:rsidRPr="00FF46E3" w:rsidR="00CE7548">
        <w:rPr>
          <w:rFonts w:ascii="Verdana" w:hAnsi="Verdana" w:cstheme="minorHAnsi"/>
          <w:sz w:val="18"/>
          <w:szCs w:val="18"/>
        </w:rPr>
        <w:t>bepalen van de einddatum</w:t>
      </w:r>
      <w:r w:rsidRPr="00FF46E3">
        <w:rPr>
          <w:rFonts w:ascii="Verdana" w:hAnsi="Verdana" w:cstheme="minorHAnsi"/>
          <w:sz w:val="18"/>
          <w:szCs w:val="18"/>
        </w:rPr>
        <w:t xml:space="preserve"> is erop gericht om die overtreding te stoppen. De maatregelen zijn ondoeltreffend zolang de overtreding gaande is. </w:t>
      </w:r>
    </w:p>
    <w:p w:rsidRPr="00FF46E3" w:rsidR="008A6FBD" w:rsidP="008A6FBD" w:rsidRDefault="008A6FBD" w14:paraId="02ADF9E5" w14:textId="77777777">
      <w:pPr>
        <w:pStyle w:val="Geenafstand"/>
        <w:rPr>
          <w:rFonts w:ascii="Verdana" w:hAnsi="Verdana" w:cstheme="minorHAnsi"/>
          <w:sz w:val="18"/>
          <w:szCs w:val="18"/>
        </w:rPr>
      </w:pPr>
    </w:p>
    <w:p w:rsidRPr="00FF46E3" w:rsidR="008A6FBD" w:rsidP="008A6FBD" w:rsidRDefault="00CE7548" w14:paraId="67588342" w14:textId="0134FE73">
      <w:pPr>
        <w:pStyle w:val="Geenafstand"/>
        <w:rPr>
          <w:rFonts w:ascii="Verdana" w:hAnsi="Verdana" w:cstheme="minorHAnsi"/>
          <w:i/>
          <w:iCs/>
          <w:sz w:val="18"/>
          <w:szCs w:val="18"/>
        </w:rPr>
      </w:pPr>
      <w:r w:rsidRPr="00FF46E3">
        <w:rPr>
          <w:rFonts w:ascii="Verdana" w:hAnsi="Verdana" w:cstheme="minorHAnsi"/>
          <w:i/>
          <w:iCs/>
          <w:sz w:val="18"/>
          <w:szCs w:val="18"/>
        </w:rPr>
        <w:t>Bepalen einddatum</w:t>
      </w:r>
      <w:r w:rsidRPr="00FF46E3" w:rsidR="008A6FBD">
        <w:rPr>
          <w:rFonts w:ascii="Verdana" w:hAnsi="Verdana" w:cstheme="minorHAnsi"/>
          <w:i/>
          <w:iCs/>
          <w:sz w:val="18"/>
          <w:szCs w:val="18"/>
        </w:rPr>
        <w:t xml:space="preserve"> is </w:t>
      </w:r>
      <w:proofErr w:type="spellStart"/>
      <w:r w:rsidRPr="00FF46E3" w:rsidR="008A6FBD">
        <w:rPr>
          <w:rFonts w:ascii="Verdana" w:hAnsi="Verdana" w:cstheme="minorHAnsi"/>
          <w:i/>
          <w:iCs/>
          <w:sz w:val="18"/>
          <w:szCs w:val="18"/>
        </w:rPr>
        <w:t>Awb</w:t>
      </w:r>
      <w:proofErr w:type="spellEnd"/>
      <w:r w:rsidRPr="00FF46E3" w:rsidR="008A6FBD">
        <w:rPr>
          <w:rFonts w:ascii="Verdana" w:hAnsi="Verdana" w:cstheme="minorHAnsi"/>
          <w:i/>
          <w:iCs/>
          <w:sz w:val="18"/>
          <w:szCs w:val="18"/>
        </w:rPr>
        <w:t>-besluit</w:t>
      </w:r>
    </w:p>
    <w:p w:rsidRPr="00FF46E3" w:rsidR="008A6FBD" w:rsidP="008A6FBD" w:rsidRDefault="008A6FBD" w14:paraId="49B0563E" w14:textId="165AF62A">
      <w:pPr>
        <w:pStyle w:val="Geenafstand"/>
        <w:rPr>
          <w:rFonts w:ascii="Verdana" w:hAnsi="Verdana" w:cstheme="minorHAnsi"/>
          <w:sz w:val="18"/>
          <w:szCs w:val="18"/>
        </w:rPr>
      </w:pPr>
      <w:r w:rsidRPr="00FF46E3">
        <w:rPr>
          <w:rFonts w:ascii="Verdana" w:hAnsi="Verdana" w:cstheme="minorHAnsi"/>
          <w:sz w:val="18"/>
          <w:szCs w:val="18"/>
        </w:rPr>
        <w:t xml:space="preserve">Het </w:t>
      </w:r>
      <w:r w:rsidRPr="00FF46E3" w:rsidR="00DE02E4">
        <w:rPr>
          <w:rFonts w:ascii="Verdana" w:hAnsi="Verdana" w:cstheme="minorHAnsi"/>
          <w:sz w:val="18"/>
          <w:szCs w:val="18"/>
        </w:rPr>
        <w:t>bepalen van een einddatum</w:t>
      </w:r>
      <w:r w:rsidRPr="00FF46E3">
        <w:rPr>
          <w:rFonts w:ascii="Verdana" w:hAnsi="Verdana" w:cstheme="minorHAnsi"/>
          <w:sz w:val="18"/>
          <w:szCs w:val="18"/>
        </w:rPr>
        <w:t xml:space="preserve"> is een besluit in de zin van de </w:t>
      </w:r>
      <w:proofErr w:type="spellStart"/>
      <w:r w:rsidRPr="00FF46E3">
        <w:rPr>
          <w:rFonts w:ascii="Verdana" w:hAnsi="Verdana" w:cstheme="minorHAnsi"/>
          <w:sz w:val="18"/>
          <w:szCs w:val="18"/>
        </w:rPr>
        <w:t>Awb</w:t>
      </w:r>
      <w:proofErr w:type="spellEnd"/>
      <w:r w:rsidRPr="00FF46E3">
        <w:rPr>
          <w:rFonts w:ascii="Verdana" w:hAnsi="Verdana" w:cstheme="minorHAnsi"/>
          <w:sz w:val="18"/>
          <w:szCs w:val="18"/>
        </w:rPr>
        <w:t xml:space="preserve">. Ingevolge artikel 1:3, eerste lid, </w:t>
      </w:r>
      <w:proofErr w:type="spellStart"/>
      <w:r w:rsidRPr="00FF46E3">
        <w:rPr>
          <w:rFonts w:ascii="Verdana" w:hAnsi="Verdana" w:cstheme="minorHAnsi"/>
          <w:sz w:val="18"/>
          <w:szCs w:val="18"/>
        </w:rPr>
        <w:t>Awb</w:t>
      </w:r>
      <w:proofErr w:type="spellEnd"/>
      <w:r w:rsidRPr="00FF46E3">
        <w:rPr>
          <w:rFonts w:ascii="Verdana" w:hAnsi="Verdana" w:cstheme="minorHAnsi"/>
          <w:sz w:val="18"/>
          <w:szCs w:val="18"/>
        </w:rPr>
        <w:t xml:space="preserve"> wordt onder een besluit verstaan: een schriftelijke beslissing van een bestuursorgaan, inhoudende een publiekrechtelijke rechtshandeling. Een rechtshandeling is een handeling die is gericht op rechtsgevolg. Een beslissing heeft rechtsgevolg indien zij erop is gericht een bevoegdheid, recht of verplichting voor een of meer anderen te doen ontstaan of teniet te doen, dan wel de juridische status van een persoon of een zaak vast te stellen. </w:t>
      </w:r>
    </w:p>
    <w:p w:rsidRPr="00FF46E3" w:rsidR="008A6FBD" w:rsidP="008A6FBD" w:rsidRDefault="008A6FBD" w14:paraId="0CE95C26" w14:textId="1CC56820">
      <w:pPr>
        <w:pStyle w:val="Geenafstand"/>
        <w:rPr>
          <w:rFonts w:ascii="Verdana" w:hAnsi="Verdana" w:cstheme="minorHAnsi"/>
          <w:sz w:val="18"/>
          <w:szCs w:val="18"/>
        </w:rPr>
      </w:pPr>
      <w:r w:rsidRPr="00FF46E3">
        <w:rPr>
          <w:rFonts w:ascii="Verdana" w:hAnsi="Verdana" w:cstheme="minorHAnsi"/>
          <w:sz w:val="18"/>
          <w:szCs w:val="18"/>
        </w:rPr>
        <w:t xml:space="preserve">Het </w:t>
      </w:r>
      <w:r w:rsidRPr="00FF46E3" w:rsidR="00DE02E4">
        <w:rPr>
          <w:rFonts w:ascii="Verdana" w:hAnsi="Verdana" w:cstheme="minorHAnsi"/>
          <w:sz w:val="18"/>
          <w:szCs w:val="18"/>
        </w:rPr>
        <w:t xml:space="preserve">bepalen van een einddatum </w:t>
      </w:r>
      <w:r w:rsidRPr="00FF46E3">
        <w:rPr>
          <w:rFonts w:ascii="Verdana" w:hAnsi="Verdana" w:cstheme="minorHAnsi"/>
          <w:sz w:val="18"/>
          <w:szCs w:val="18"/>
        </w:rPr>
        <w:t xml:space="preserve">heeft weliswaar op het moment waarop dat gebeurt geen gevolgen voor </w:t>
      </w:r>
      <w:r w:rsidRPr="00FF46E3" w:rsidR="00DE02E4">
        <w:rPr>
          <w:rFonts w:ascii="Verdana" w:hAnsi="Verdana" w:cstheme="minorHAnsi"/>
          <w:sz w:val="18"/>
          <w:szCs w:val="18"/>
        </w:rPr>
        <w:t>de entiteit waar het aan is gericht</w:t>
      </w:r>
      <w:r w:rsidRPr="00FF46E3">
        <w:rPr>
          <w:rFonts w:ascii="Verdana" w:hAnsi="Verdana" w:cstheme="minorHAnsi"/>
          <w:sz w:val="18"/>
          <w:szCs w:val="18"/>
        </w:rPr>
        <w:t xml:space="preserve">, maar “activeert” wel bevoegdheden van </w:t>
      </w:r>
      <w:r w:rsidRPr="00FF46E3" w:rsidR="00C33EF9">
        <w:rPr>
          <w:rFonts w:ascii="Verdana" w:hAnsi="Verdana" w:cstheme="minorHAnsi"/>
          <w:sz w:val="18"/>
          <w:szCs w:val="18"/>
        </w:rPr>
        <w:t xml:space="preserve">de </w:t>
      </w:r>
      <w:r w:rsidRPr="00FF46E3" w:rsidR="007F6903">
        <w:rPr>
          <w:rFonts w:ascii="Verdana" w:hAnsi="Verdana" w:cs="Arial"/>
          <w:sz w:val="18"/>
          <w:szCs w:val="18"/>
        </w:rPr>
        <w:t xml:space="preserve">toezichthoudende </w:t>
      </w:r>
      <w:r w:rsidRPr="00FF46E3" w:rsidR="007F6903">
        <w:rPr>
          <w:rFonts w:ascii="Verdana" w:hAnsi="Verdana" w:cs="Arial"/>
          <w:sz w:val="18"/>
          <w:szCs w:val="18"/>
        </w:rPr>
        <w:lastRenderedPageBreak/>
        <w:t>instantie</w:t>
      </w:r>
      <w:r w:rsidRPr="00FF46E3" w:rsidR="00C33EF9">
        <w:rPr>
          <w:rFonts w:ascii="Verdana" w:hAnsi="Verdana" w:cs="Arial"/>
          <w:sz w:val="18"/>
          <w:szCs w:val="18"/>
        </w:rPr>
        <w:t xml:space="preserve"> </w:t>
      </w:r>
      <w:r w:rsidRPr="00FF46E3">
        <w:rPr>
          <w:rFonts w:ascii="Verdana" w:hAnsi="Verdana" w:cstheme="minorHAnsi"/>
          <w:sz w:val="18"/>
          <w:szCs w:val="18"/>
        </w:rPr>
        <w:t xml:space="preserve">zodra niet </w:t>
      </w:r>
      <w:r w:rsidRPr="00FF46E3" w:rsidR="00DE02E4">
        <w:rPr>
          <w:rFonts w:ascii="Verdana" w:hAnsi="Verdana" w:cstheme="minorHAnsi"/>
          <w:sz w:val="18"/>
          <w:szCs w:val="18"/>
        </w:rPr>
        <w:t>uiterlijk op de bepaalde einddatum</w:t>
      </w:r>
      <w:r w:rsidRPr="00FF46E3">
        <w:rPr>
          <w:rFonts w:ascii="Verdana" w:hAnsi="Verdana" w:cstheme="minorHAnsi"/>
          <w:sz w:val="18"/>
          <w:szCs w:val="18"/>
        </w:rPr>
        <w:t xml:space="preserve"> de noodzakelijke maatregelen </w:t>
      </w:r>
      <w:r w:rsidRPr="00FF46E3" w:rsidR="00DE02E4">
        <w:rPr>
          <w:rFonts w:ascii="Verdana" w:hAnsi="Verdana" w:cstheme="minorHAnsi"/>
          <w:sz w:val="18"/>
          <w:szCs w:val="18"/>
        </w:rPr>
        <w:t>zijn</w:t>
      </w:r>
      <w:r w:rsidRPr="00FF46E3">
        <w:rPr>
          <w:rFonts w:ascii="Verdana" w:hAnsi="Verdana" w:cstheme="minorHAnsi"/>
          <w:sz w:val="18"/>
          <w:szCs w:val="18"/>
        </w:rPr>
        <w:t xml:space="preserve"> genomen of aan de eisen van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DE02E4">
        <w:rPr>
          <w:rFonts w:ascii="Verdana" w:hAnsi="Verdana" w:cstheme="minorHAnsi"/>
          <w:sz w:val="18"/>
          <w:szCs w:val="18"/>
        </w:rPr>
        <w:t>is</w:t>
      </w:r>
      <w:r w:rsidRPr="00FF46E3">
        <w:rPr>
          <w:rFonts w:ascii="Verdana" w:hAnsi="Verdana" w:cstheme="minorHAnsi"/>
          <w:sz w:val="18"/>
          <w:szCs w:val="18"/>
        </w:rPr>
        <w:t xml:space="preserve"> voldaan. Het </w:t>
      </w:r>
      <w:r w:rsidRPr="00FF46E3" w:rsidR="00DE02E4">
        <w:rPr>
          <w:rFonts w:ascii="Verdana" w:hAnsi="Verdana" w:cstheme="minorHAnsi"/>
          <w:sz w:val="18"/>
          <w:szCs w:val="18"/>
        </w:rPr>
        <w:t>bepalen van een einddatum</w:t>
      </w:r>
      <w:r w:rsidRPr="00FF46E3">
        <w:rPr>
          <w:rFonts w:ascii="Verdana" w:hAnsi="Verdana" w:cstheme="minorHAnsi"/>
          <w:sz w:val="18"/>
          <w:szCs w:val="18"/>
        </w:rPr>
        <w:t xml:space="preserve"> is dus erop gericht een bevoegdheid te doen ontstaan en is daarmee een handeling gericht op een rechtsgevolg. Aangezien in dit kader ook aan de andere elementen uit het besluitbegrip zal worden voldaan (schriftelijk, bestuursorgaan etc.) is het </w:t>
      </w:r>
      <w:r w:rsidRPr="00FF46E3" w:rsidR="00DE02E4">
        <w:rPr>
          <w:rFonts w:ascii="Verdana" w:hAnsi="Verdana" w:cstheme="minorHAnsi"/>
          <w:sz w:val="18"/>
          <w:szCs w:val="18"/>
        </w:rPr>
        <w:t xml:space="preserve">bepalen van een einddatum </w:t>
      </w:r>
      <w:r w:rsidRPr="00FF46E3">
        <w:rPr>
          <w:rFonts w:ascii="Verdana" w:hAnsi="Verdana" w:cstheme="minorHAnsi"/>
          <w:sz w:val="18"/>
          <w:szCs w:val="18"/>
        </w:rPr>
        <w:t xml:space="preserve">een besluit in de zin van de </w:t>
      </w:r>
      <w:proofErr w:type="spellStart"/>
      <w:r w:rsidRPr="00FF46E3">
        <w:rPr>
          <w:rFonts w:ascii="Verdana" w:hAnsi="Verdana" w:cstheme="minorHAnsi"/>
          <w:sz w:val="18"/>
          <w:szCs w:val="18"/>
        </w:rPr>
        <w:t>Awb</w:t>
      </w:r>
      <w:proofErr w:type="spellEnd"/>
      <w:r w:rsidRPr="00FF46E3">
        <w:rPr>
          <w:rFonts w:ascii="Verdana" w:hAnsi="Verdana" w:cstheme="minorHAnsi"/>
          <w:sz w:val="18"/>
          <w:szCs w:val="18"/>
        </w:rPr>
        <w:t xml:space="preserve">. Daarmee is ook voldaan aan het vereiste van een doeltreffende voorziening in rechte: tegen een besluit in de zin van de </w:t>
      </w:r>
      <w:proofErr w:type="spellStart"/>
      <w:r w:rsidRPr="00FF46E3">
        <w:rPr>
          <w:rFonts w:ascii="Verdana" w:hAnsi="Verdana" w:cstheme="minorHAnsi"/>
          <w:sz w:val="18"/>
          <w:szCs w:val="18"/>
        </w:rPr>
        <w:t>Awb</w:t>
      </w:r>
      <w:proofErr w:type="spellEnd"/>
      <w:r w:rsidRPr="00FF46E3">
        <w:rPr>
          <w:rFonts w:ascii="Verdana" w:hAnsi="Verdana" w:cstheme="minorHAnsi"/>
          <w:sz w:val="18"/>
          <w:szCs w:val="18"/>
        </w:rPr>
        <w:t xml:space="preserve"> staan de mogelijkheden van bezwaar open bij het bestuursorgaan en beroep en hoger beroep bij de bestuursrechter open.</w:t>
      </w:r>
    </w:p>
    <w:p w:rsidRPr="00FF46E3" w:rsidR="008A6FBD" w:rsidP="008A6FBD" w:rsidRDefault="008A6FBD" w14:paraId="6F80C630" w14:textId="77777777">
      <w:pPr>
        <w:pStyle w:val="Geenafstand"/>
        <w:rPr>
          <w:rFonts w:ascii="Verdana" w:hAnsi="Verdana" w:cstheme="minorHAnsi"/>
          <w:sz w:val="18"/>
          <w:szCs w:val="18"/>
        </w:rPr>
      </w:pPr>
    </w:p>
    <w:p w:rsidRPr="00FF46E3" w:rsidR="008A6FBD" w:rsidP="008A6FBD" w:rsidRDefault="00B70589" w14:paraId="3A401BF8" w14:textId="5C3862AC">
      <w:pPr>
        <w:pStyle w:val="Geenafstand"/>
        <w:rPr>
          <w:rFonts w:ascii="Verdana" w:hAnsi="Verdana" w:cstheme="minorHAnsi"/>
          <w:i/>
          <w:iCs/>
          <w:sz w:val="18"/>
          <w:szCs w:val="18"/>
        </w:rPr>
      </w:pPr>
      <w:r w:rsidRPr="00FF46E3">
        <w:rPr>
          <w:rFonts w:ascii="Verdana" w:hAnsi="Verdana" w:cstheme="minorHAnsi"/>
          <w:i/>
          <w:iCs/>
          <w:sz w:val="18"/>
          <w:szCs w:val="18"/>
        </w:rPr>
        <w:t>E</w:t>
      </w:r>
      <w:r w:rsidRPr="00FF46E3" w:rsidR="008A6FBD">
        <w:rPr>
          <w:rFonts w:ascii="Verdana" w:hAnsi="Verdana" w:cstheme="minorHAnsi"/>
          <w:i/>
          <w:iCs/>
          <w:sz w:val="18"/>
          <w:szCs w:val="18"/>
        </w:rPr>
        <w:t>venredigheid en subsidiariteit</w:t>
      </w:r>
    </w:p>
    <w:p w:rsidRPr="00FF46E3" w:rsidR="008A6FBD" w:rsidP="008A6FBD" w:rsidRDefault="008A6FBD" w14:paraId="487DCEBD" w14:textId="1B30DEF7">
      <w:pPr>
        <w:pStyle w:val="Geenafstand"/>
        <w:rPr>
          <w:rFonts w:ascii="Verdana" w:hAnsi="Verdana" w:cstheme="minorHAnsi"/>
          <w:sz w:val="18"/>
          <w:szCs w:val="18"/>
        </w:rPr>
      </w:pPr>
      <w:r w:rsidRPr="00FF46E3">
        <w:rPr>
          <w:rFonts w:ascii="Verdana" w:hAnsi="Verdana" w:cstheme="minorHAnsi"/>
          <w:sz w:val="18"/>
          <w:szCs w:val="18"/>
        </w:rPr>
        <w:t>Zoals gezegd kan de</w:t>
      </w:r>
      <w:r w:rsidRPr="00FF46E3" w:rsidR="00B40BDC">
        <w:rPr>
          <w:rFonts w:ascii="Verdana" w:hAnsi="Verdana" w:cstheme="minorHAnsi"/>
          <w:sz w:val="18"/>
          <w:szCs w:val="18"/>
        </w:rPr>
        <w:t xml:space="preserv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B40BDC">
        <w:rPr>
          <w:rFonts w:ascii="Verdana" w:hAnsi="Verdana" w:cstheme="minorHAnsi"/>
          <w:sz w:val="18"/>
          <w:szCs w:val="18"/>
        </w:rPr>
        <w:t xml:space="preserve">een einddatum bepalen </w:t>
      </w:r>
      <w:r w:rsidRPr="00FF46E3">
        <w:rPr>
          <w:rFonts w:ascii="Verdana" w:hAnsi="Verdana" w:cstheme="minorHAnsi"/>
          <w:sz w:val="18"/>
          <w:szCs w:val="18"/>
        </w:rPr>
        <w:t xml:space="preserve">als </w:t>
      </w:r>
      <w:r w:rsidRPr="00FF46E3" w:rsidR="00B40BDC">
        <w:rPr>
          <w:rFonts w:ascii="Verdana" w:hAnsi="Verdana" w:cstheme="minorHAnsi"/>
          <w:sz w:val="18"/>
          <w:szCs w:val="18"/>
        </w:rPr>
        <w:t xml:space="preserve">de </w:t>
      </w:r>
      <w:r w:rsidRPr="00FF46E3">
        <w:rPr>
          <w:rFonts w:ascii="Verdana" w:hAnsi="Verdana" w:cstheme="minorHAnsi"/>
          <w:sz w:val="18"/>
          <w:szCs w:val="18"/>
        </w:rPr>
        <w:t xml:space="preserve">maatregelen genoemd in artikel 32, vierde lid, onderdelen a tot en met d en f, NIS2-richtlijn ondoeltreffend zijn. Onderdeel a ziet op een waarschuwing, onderdeel b ziet op een aanwijzing. De </w:t>
      </w:r>
      <w:r w:rsidRPr="00FF46E3" w:rsidR="00CF7B4D">
        <w:rPr>
          <w:rFonts w:ascii="Verdana" w:hAnsi="Verdana" w:cstheme="minorHAnsi"/>
          <w:sz w:val="18"/>
          <w:szCs w:val="18"/>
        </w:rPr>
        <w:t>NIS2-</w:t>
      </w:r>
      <w:r w:rsidRPr="00FF46E3">
        <w:rPr>
          <w:rFonts w:ascii="Verdana" w:hAnsi="Verdana" w:cstheme="minorHAnsi"/>
          <w:sz w:val="18"/>
          <w:szCs w:val="18"/>
        </w:rPr>
        <w:t xml:space="preserve">richtlijn schrijft niet voor dat alle genoemde maatregelen eerst moeten zijn genomen voordat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B40BDC">
        <w:rPr>
          <w:rFonts w:ascii="Verdana" w:hAnsi="Verdana" w:cstheme="minorHAnsi"/>
          <w:sz w:val="18"/>
          <w:szCs w:val="18"/>
        </w:rPr>
        <w:t>de einddatum kan bepalen</w:t>
      </w:r>
      <w:r w:rsidRPr="00FF46E3">
        <w:rPr>
          <w:rFonts w:ascii="Verdana" w:hAnsi="Verdana" w:cstheme="minorHAnsi"/>
          <w:sz w:val="18"/>
          <w:szCs w:val="18"/>
        </w:rPr>
        <w:t xml:space="preserve">. Het gaat erom dat de genoemde maatregelen ondoeltreffend zijn gebleken of naar redelijke verwachting ondoeltreffend zullen zijn. De </w:t>
      </w:r>
      <w:r w:rsidRPr="00FF46E3" w:rsidR="007F6903">
        <w:rPr>
          <w:rFonts w:ascii="Verdana" w:hAnsi="Verdana" w:cstheme="minorHAnsi"/>
          <w:sz w:val="18"/>
          <w:szCs w:val="18"/>
        </w:rPr>
        <w:t>toezichthoudende instantie</w:t>
      </w:r>
      <w:r w:rsidRPr="00FF46E3">
        <w:rPr>
          <w:rFonts w:ascii="Verdana" w:hAnsi="Verdana" w:cstheme="minorHAnsi"/>
          <w:sz w:val="18"/>
          <w:szCs w:val="18"/>
        </w:rPr>
        <w:t xml:space="preserve"> kan</w:t>
      </w:r>
      <w:r w:rsidRPr="00FF46E3" w:rsidR="00F547C6">
        <w:rPr>
          <w:rFonts w:ascii="Verdana" w:hAnsi="Verdana" w:cstheme="minorHAnsi"/>
          <w:sz w:val="18"/>
          <w:szCs w:val="18"/>
        </w:rPr>
        <w:t>,</w:t>
      </w:r>
      <w:r w:rsidRPr="00FF46E3">
        <w:rPr>
          <w:rFonts w:ascii="Verdana" w:hAnsi="Verdana" w:cstheme="minorHAnsi"/>
          <w:sz w:val="18"/>
          <w:szCs w:val="18"/>
        </w:rPr>
        <w:t xml:space="preserve"> </w:t>
      </w:r>
      <w:r w:rsidRPr="00FF46E3" w:rsidR="00F547C6">
        <w:rPr>
          <w:rFonts w:ascii="Verdana" w:hAnsi="Verdana" w:cstheme="minorHAnsi"/>
          <w:sz w:val="18"/>
          <w:szCs w:val="18"/>
        </w:rPr>
        <w:t xml:space="preserve">na een overtreding van een verplichting uit </w:t>
      </w:r>
      <w:r w:rsidRPr="00FF46E3" w:rsidR="006F2395">
        <w:rPr>
          <w:rFonts w:ascii="Verdana" w:hAnsi="Verdana" w:cstheme="minorHAnsi"/>
          <w:sz w:val="18"/>
          <w:szCs w:val="18"/>
        </w:rPr>
        <w:t xml:space="preserve">de </w:t>
      </w:r>
      <w:proofErr w:type="spellStart"/>
      <w:r w:rsidRPr="00FF46E3" w:rsidR="006F2395">
        <w:rPr>
          <w:rFonts w:ascii="Verdana" w:hAnsi="Verdana"/>
          <w:sz w:val="18"/>
          <w:szCs w:val="18"/>
        </w:rPr>
        <w:t>Cbw</w:t>
      </w:r>
      <w:proofErr w:type="spellEnd"/>
      <w:r w:rsidRPr="00FF46E3" w:rsidR="00F547C6">
        <w:rPr>
          <w:rFonts w:ascii="Verdana" w:hAnsi="Verdana" w:cstheme="minorHAnsi"/>
          <w:sz w:val="18"/>
          <w:szCs w:val="18"/>
        </w:rPr>
        <w:t xml:space="preserve">, </w:t>
      </w:r>
      <w:r w:rsidRPr="00FF46E3">
        <w:rPr>
          <w:rFonts w:ascii="Verdana" w:hAnsi="Verdana" w:cstheme="minorHAnsi"/>
          <w:sz w:val="18"/>
          <w:szCs w:val="18"/>
        </w:rPr>
        <w:t xml:space="preserve">de termijn dus al stellen direct nadat een waarschuwing of aanwijzing is gegeven, die waarschuwing of aanwijzing ondoeltreffend is gebleken en volgens de </w:t>
      </w:r>
      <w:r w:rsidRPr="00FF46E3" w:rsidR="00D4751D">
        <w:rPr>
          <w:rFonts w:ascii="Verdana" w:hAnsi="Verdana" w:cstheme="minorHAnsi"/>
          <w:sz w:val="18"/>
          <w:szCs w:val="18"/>
        </w:rPr>
        <w:t xml:space="preserve">toezichthoudende instantie </w:t>
      </w:r>
      <w:r w:rsidRPr="00FF46E3">
        <w:rPr>
          <w:rFonts w:ascii="Verdana" w:hAnsi="Verdana" w:cstheme="minorHAnsi"/>
          <w:sz w:val="18"/>
          <w:szCs w:val="18"/>
        </w:rPr>
        <w:t xml:space="preserve">de andere nog niet opgelegde maatregelen (zoals een last onder dwangsom) naar redelijke verwachting ondoeltreffend zullen zijn. Dit is echter alleen denkbaar in uitzonderlijke gevallen. In de meeste gevallen zal de </w:t>
      </w:r>
      <w:r w:rsidRPr="00FF46E3" w:rsidR="007F6903">
        <w:rPr>
          <w:rFonts w:ascii="Verdana" w:hAnsi="Verdana" w:cstheme="minorHAnsi"/>
          <w:sz w:val="18"/>
          <w:szCs w:val="18"/>
        </w:rPr>
        <w:t>toezichthoudende instantie</w:t>
      </w:r>
      <w:r w:rsidRPr="00FF46E3" w:rsidR="006E280D">
        <w:rPr>
          <w:rFonts w:ascii="Verdana" w:hAnsi="Verdana" w:cstheme="minorHAnsi"/>
          <w:sz w:val="18"/>
          <w:szCs w:val="18"/>
        </w:rPr>
        <w:t xml:space="preserve"> </w:t>
      </w:r>
      <w:r w:rsidRPr="00FF46E3">
        <w:rPr>
          <w:rFonts w:ascii="Verdana" w:hAnsi="Verdana" w:cstheme="minorHAnsi"/>
          <w:sz w:val="18"/>
          <w:szCs w:val="18"/>
        </w:rPr>
        <w:t>eerst</w:t>
      </w:r>
      <w:r w:rsidRPr="00FF46E3" w:rsidR="00EA661F">
        <w:rPr>
          <w:rFonts w:ascii="Verdana" w:hAnsi="Verdana" w:cstheme="minorHAnsi"/>
          <w:sz w:val="18"/>
          <w:szCs w:val="18"/>
        </w:rPr>
        <w:t xml:space="preserve"> </w:t>
      </w:r>
      <w:r w:rsidRPr="00FF46E3">
        <w:rPr>
          <w:rFonts w:ascii="Verdana" w:hAnsi="Verdana" w:cstheme="minorHAnsi"/>
          <w:sz w:val="18"/>
          <w:szCs w:val="18"/>
        </w:rPr>
        <w:t>overgaan tot het opleggen van andere maatregelen. Een waarschuwing of bindende aanwijzing kan</w:t>
      </w:r>
      <w:r w:rsidRPr="00FF46E3" w:rsidR="00EA661F">
        <w:rPr>
          <w:rFonts w:ascii="Verdana" w:hAnsi="Verdana" w:cstheme="minorHAnsi"/>
          <w:sz w:val="18"/>
          <w:szCs w:val="18"/>
        </w:rPr>
        <w:t xml:space="preserve"> </w:t>
      </w:r>
      <w:r w:rsidRPr="00FF46E3">
        <w:rPr>
          <w:rFonts w:ascii="Verdana" w:hAnsi="Verdana" w:cstheme="minorHAnsi"/>
          <w:sz w:val="18"/>
          <w:szCs w:val="18"/>
        </w:rPr>
        <w:t xml:space="preserve">opgevolgd worden door bijvoorbeeld een last onder dwangsom. Als de </w:t>
      </w:r>
      <w:r w:rsidRPr="00FF46E3" w:rsidR="007F6903">
        <w:rPr>
          <w:rFonts w:ascii="Verdana" w:hAnsi="Verdana" w:cs="Arial"/>
          <w:sz w:val="18"/>
          <w:szCs w:val="18"/>
        </w:rPr>
        <w:t>toezichthoudende instantie</w:t>
      </w:r>
      <w:r w:rsidRPr="00FF46E3" w:rsidR="00EA661F">
        <w:rPr>
          <w:rFonts w:ascii="Verdana" w:hAnsi="Verdana" w:cs="Arial"/>
          <w:sz w:val="18"/>
          <w:szCs w:val="18"/>
        </w:rPr>
        <w:t xml:space="preserve"> </w:t>
      </w:r>
      <w:r w:rsidRPr="00FF46E3">
        <w:rPr>
          <w:rFonts w:ascii="Verdana" w:hAnsi="Verdana" w:cstheme="minorHAnsi"/>
          <w:sz w:val="18"/>
          <w:szCs w:val="18"/>
        </w:rPr>
        <w:t xml:space="preserve">wenst over te gaan tot het </w:t>
      </w:r>
      <w:r w:rsidRPr="00FF46E3" w:rsidR="00DE02E4">
        <w:rPr>
          <w:rFonts w:ascii="Verdana" w:hAnsi="Verdana" w:cstheme="minorHAnsi"/>
          <w:sz w:val="18"/>
          <w:szCs w:val="18"/>
        </w:rPr>
        <w:t>bepalen van de einddatum</w:t>
      </w:r>
      <w:r w:rsidRPr="00FF46E3">
        <w:rPr>
          <w:rFonts w:ascii="Verdana" w:hAnsi="Verdana" w:cstheme="minorHAnsi"/>
          <w:sz w:val="18"/>
          <w:szCs w:val="18"/>
        </w:rPr>
        <w:t xml:space="preserve">, moet </w:t>
      </w:r>
      <w:r w:rsidRPr="00FF46E3" w:rsidR="00DE02E4">
        <w:rPr>
          <w:rFonts w:ascii="Verdana" w:hAnsi="Verdana" w:cstheme="minorHAnsi"/>
          <w:sz w:val="18"/>
          <w:szCs w:val="18"/>
        </w:rPr>
        <w:t>z</w:t>
      </w:r>
      <w:r w:rsidRPr="00FF46E3">
        <w:rPr>
          <w:rFonts w:ascii="Verdana" w:hAnsi="Verdana" w:cstheme="minorHAnsi"/>
          <w:sz w:val="18"/>
          <w:szCs w:val="18"/>
        </w:rPr>
        <w:t xml:space="preserve">ij motiveren waarom de eerdere genomen maatregel of maatregelen ondoeltreffend zijn en waarom andere maatregelen naar redelijke verwachting ondoeltreffend zullen zijn, en daarom niet eerst worden opgelegd voordat de termijn wordt gesteld. </w:t>
      </w:r>
    </w:p>
    <w:p w:rsidRPr="00FF46E3" w:rsidR="008A6FBD" w:rsidP="008A6FBD" w:rsidRDefault="008A6FBD" w14:paraId="1D70F3BE" w14:textId="6AA73C0A">
      <w:pPr>
        <w:pStyle w:val="Geenafstand"/>
        <w:rPr>
          <w:rFonts w:ascii="Verdana" w:hAnsi="Verdana" w:cstheme="minorHAnsi"/>
          <w:sz w:val="18"/>
          <w:szCs w:val="18"/>
        </w:rPr>
      </w:pPr>
      <w:r w:rsidRPr="00FF46E3">
        <w:rPr>
          <w:rFonts w:ascii="Verdana" w:hAnsi="Verdana" w:cstheme="minorHAnsi"/>
          <w:sz w:val="18"/>
          <w:szCs w:val="18"/>
        </w:rPr>
        <w:t xml:space="preserve">Bij de bevoegdheid tot het </w:t>
      </w:r>
      <w:r w:rsidRPr="00FF46E3" w:rsidR="00DE02E4">
        <w:rPr>
          <w:rFonts w:ascii="Verdana" w:hAnsi="Verdana" w:cstheme="minorHAnsi"/>
          <w:sz w:val="18"/>
          <w:szCs w:val="18"/>
        </w:rPr>
        <w:t>bepalen van een einddatum</w:t>
      </w:r>
      <w:r w:rsidRPr="00FF46E3">
        <w:rPr>
          <w:rFonts w:ascii="Verdana" w:hAnsi="Verdana" w:cstheme="minorHAnsi"/>
          <w:sz w:val="18"/>
          <w:szCs w:val="18"/>
        </w:rPr>
        <w:t xml:space="preserve"> </w:t>
      </w:r>
      <w:r w:rsidRPr="00FF46E3" w:rsidR="00014D88">
        <w:rPr>
          <w:rFonts w:ascii="Verdana" w:hAnsi="Verdana" w:cstheme="minorHAnsi"/>
          <w:sz w:val="18"/>
          <w:szCs w:val="18"/>
        </w:rPr>
        <w:t xml:space="preserve">differentieert </w:t>
      </w:r>
      <w:r w:rsidRPr="00FF46E3">
        <w:rPr>
          <w:rFonts w:ascii="Verdana" w:hAnsi="Verdana" w:cstheme="minorHAnsi"/>
          <w:sz w:val="18"/>
          <w:szCs w:val="18"/>
        </w:rPr>
        <w:t xml:space="preserve">de richtlijn </w:t>
      </w:r>
      <w:r w:rsidRPr="00FF46E3" w:rsidR="00014D88">
        <w:rPr>
          <w:rFonts w:ascii="Verdana" w:hAnsi="Verdana" w:cstheme="minorHAnsi"/>
          <w:sz w:val="18"/>
          <w:szCs w:val="18"/>
        </w:rPr>
        <w:t xml:space="preserve">niet </w:t>
      </w:r>
      <w:r w:rsidRPr="00FF46E3">
        <w:rPr>
          <w:rFonts w:ascii="Verdana" w:hAnsi="Verdana" w:cstheme="minorHAnsi"/>
          <w:sz w:val="18"/>
          <w:szCs w:val="18"/>
        </w:rPr>
        <w:t xml:space="preserve">in </w:t>
      </w:r>
      <w:r w:rsidRPr="00FF46E3" w:rsidR="00014D88">
        <w:rPr>
          <w:rFonts w:ascii="Verdana" w:hAnsi="Verdana" w:cstheme="minorHAnsi"/>
          <w:sz w:val="18"/>
          <w:szCs w:val="18"/>
        </w:rPr>
        <w:t xml:space="preserve">het </w:t>
      </w:r>
      <w:r w:rsidRPr="00FF46E3">
        <w:rPr>
          <w:rFonts w:ascii="Verdana" w:hAnsi="Verdana" w:cstheme="minorHAnsi"/>
          <w:sz w:val="18"/>
          <w:szCs w:val="18"/>
        </w:rPr>
        <w:t xml:space="preserve">soort overtreding. De bevoegdheid ziet dus niet alleen op overtredingen van de zorgplicht en de meldplicht, maar ook op overtredingen van andere verplichtingen, zoals de </w:t>
      </w:r>
      <w:r w:rsidRPr="00FF46E3" w:rsidR="009D00C8">
        <w:rPr>
          <w:rFonts w:ascii="Verdana" w:hAnsi="Verdana" w:cstheme="minorHAnsi"/>
          <w:sz w:val="18"/>
          <w:szCs w:val="18"/>
        </w:rPr>
        <w:t>registratie</w:t>
      </w:r>
      <w:r w:rsidRPr="00FF46E3">
        <w:rPr>
          <w:rFonts w:ascii="Verdana" w:hAnsi="Verdana" w:cstheme="minorHAnsi"/>
          <w:sz w:val="18"/>
          <w:szCs w:val="18"/>
        </w:rPr>
        <w:t xml:space="preserve">verplichting. Dit betekent dat de </w:t>
      </w:r>
      <w:r w:rsidRPr="00FF46E3" w:rsidR="007F6903">
        <w:rPr>
          <w:rFonts w:ascii="Verdana" w:hAnsi="Verdana" w:cstheme="minorHAnsi"/>
          <w:sz w:val="18"/>
          <w:szCs w:val="18"/>
        </w:rPr>
        <w:t>toezichthoudende instantie</w:t>
      </w:r>
      <w:r w:rsidRPr="00FF46E3" w:rsidR="006039E7">
        <w:rPr>
          <w:rFonts w:ascii="Verdana" w:hAnsi="Verdana" w:cstheme="minorHAnsi"/>
          <w:sz w:val="18"/>
          <w:szCs w:val="18"/>
        </w:rPr>
        <w:t xml:space="preserve"> </w:t>
      </w:r>
      <w:r w:rsidRPr="00FF46E3">
        <w:rPr>
          <w:rFonts w:ascii="Verdana" w:hAnsi="Verdana" w:cstheme="minorHAnsi"/>
          <w:sz w:val="18"/>
          <w:szCs w:val="18"/>
        </w:rPr>
        <w:t xml:space="preserve">ook bevoegd is tot het </w:t>
      </w:r>
      <w:r w:rsidRPr="00FF46E3" w:rsidR="009D00C8">
        <w:rPr>
          <w:rFonts w:ascii="Verdana" w:hAnsi="Verdana" w:cstheme="minorHAnsi"/>
          <w:sz w:val="18"/>
          <w:szCs w:val="18"/>
        </w:rPr>
        <w:t>bepalen van de einddatum</w:t>
      </w:r>
      <w:r w:rsidRPr="00FF46E3">
        <w:rPr>
          <w:rFonts w:ascii="Verdana" w:hAnsi="Verdana" w:cstheme="minorHAnsi"/>
          <w:sz w:val="18"/>
          <w:szCs w:val="18"/>
        </w:rPr>
        <w:t xml:space="preserve"> als een relatief </w:t>
      </w:r>
      <w:r w:rsidRPr="00FF46E3" w:rsidR="00167462">
        <w:rPr>
          <w:rFonts w:ascii="Verdana" w:hAnsi="Verdana" w:cstheme="minorHAnsi"/>
          <w:sz w:val="18"/>
          <w:szCs w:val="18"/>
        </w:rPr>
        <w:t>“</w:t>
      </w:r>
      <w:r w:rsidRPr="00FF46E3">
        <w:rPr>
          <w:rFonts w:ascii="Verdana" w:hAnsi="Verdana" w:cstheme="minorHAnsi"/>
          <w:sz w:val="18"/>
          <w:szCs w:val="18"/>
        </w:rPr>
        <w:t>lichte</w:t>
      </w:r>
      <w:r w:rsidRPr="00FF46E3" w:rsidR="00167462">
        <w:rPr>
          <w:rFonts w:ascii="Verdana" w:hAnsi="Verdana" w:cstheme="minorHAnsi"/>
          <w:sz w:val="18"/>
          <w:szCs w:val="18"/>
        </w:rPr>
        <w:t>”</w:t>
      </w:r>
      <w:r w:rsidRPr="00FF46E3">
        <w:rPr>
          <w:rFonts w:ascii="Verdana" w:hAnsi="Verdana" w:cstheme="minorHAnsi"/>
          <w:sz w:val="18"/>
          <w:szCs w:val="18"/>
        </w:rPr>
        <w:t xml:space="preserve"> verplichting</w:t>
      </w:r>
      <w:r w:rsidRPr="00FF46E3" w:rsidR="00167462">
        <w:rPr>
          <w:rFonts w:ascii="Verdana" w:hAnsi="Verdana" w:cstheme="minorHAnsi"/>
          <w:sz w:val="18"/>
          <w:szCs w:val="18"/>
        </w:rPr>
        <w:t>, zoals de registratieverplichting,</w:t>
      </w:r>
      <w:r w:rsidRPr="00FF46E3">
        <w:rPr>
          <w:rFonts w:ascii="Verdana" w:hAnsi="Verdana" w:cstheme="minorHAnsi"/>
          <w:sz w:val="18"/>
          <w:szCs w:val="18"/>
        </w:rPr>
        <w:t xml:space="preserve"> is geschonden. Gelet op de gevolgen van het </w:t>
      </w:r>
      <w:r w:rsidRPr="00FF46E3" w:rsidR="009D00C8">
        <w:rPr>
          <w:rFonts w:ascii="Verdana" w:hAnsi="Verdana" w:cstheme="minorHAnsi"/>
          <w:sz w:val="18"/>
          <w:szCs w:val="18"/>
        </w:rPr>
        <w:t>bepalen van de einddatum</w:t>
      </w:r>
      <w:r w:rsidRPr="00FF46E3">
        <w:rPr>
          <w:rFonts w:ascii="Verdana" w:hAnsi="Verdana" w:cstheme="minorHAnsi"/>
          <w:sz w:val="18"/>
          <w:szCs w:val="18"/>
        </w:rPr>
        <w:t xml:space="preserve"> en de aard van de verplichting is </w:t>
      </w:r>
      <w:r w:rsidRPr="00FF46E3" w:rsidR="009D00C8">
        <w:rPr>
          <w:rFonts w:ascii="Verdana" w:hAnsi="Verdana" w:cstheme="minorHAnsi"/>
          <w:sz w:val="18"/>
          <w:szCs w:val="18"/>
        </w:rPr>
        <w:t>de toepassing van deze bevoegdheid na de overtreding van een “lichte” verplichting</w:t>
      </w:r>
      <w:r w:rsidRPr="00FF46E3" w:rsidR="00167462">
        <w:rPr>
          <w:rFonts w:ascii="Verdana" w:hAnsi="Verdana" w:cstheme="minorHAnsi"/>
          <w:sz w:val="18"/>
          <w:szCs w:val="18"/>
        </w:rPr>
        <w:t>, zoals de registratieverplichting,</w:t>
      </w:r>
      <w:r w:rsidRPr="00FF46E3" w:rsidR="009D00C8">
        <w:rPr>
          <w:rFonts w:ascii="Verdana" w:hAnsi="Verdana" w:cstheme="minorHAnsi"/>
          <w:sz w:val="18"/>
          <w:szCs w:val="18"/>
        </w:rPr>
        <w:t xml:space="preserve"> </w:t>
      </w:r>
      <w:r w:rsidRPr="00FF46E3">
        <w:rPr>
          <w:rFonts w:ascii="Verdana" w:hAnsi="Verdana" w:cstheme="minorHAnsi"/>
          <w:sz w:val="18"/>
          <w:szCs w:val="18"/>
        </w:rPr>
        <w:t xml:space="preserve">naar verwachting in de meeste gevallen niet in verhouding. Zowel de NIS2-richtlijn als de </w:t>
      </w:r>
      <w:proofErr w:type="spellStart"/>
      <w:r w:rsidRPr="00FF46E3">
        <w:rPr>
          <w:rFonts w:ascii="Verdana" w:hAnsi="Verdana" w:cstheme="minorHAnsi"/>
          <w:sz w:val="18"/>
          <w:szCs w:val="18"/>
        </w:rPr>
        <w:t>Awb</w:t>
      </w:r>
      <w:proofErr w:type="spellEnd"/>
      <w:r w:rsidRPr="00FF46E3">
        <w:rPr>
          <w:rFonts w:ascii="Verdana" w:hAnsi="Verdana" w:cstheme="minorHAnsi"/>
          <w:sz w:val="18"/>
          <w:szCs w:val="18"/>
        </w:rPr>
        <w:t xml:space="preserve"> eisen dat sancties evenredig moeten zijn. Dit betekent in de praktijk dat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Pr>
          <w:rFonts w:ascii="Verdana" w:hAnsi="Verdana" w:cstheme="minorHAnsi"/>
          <w:sz w:val="18"/>
          <w:szCs w:val="18"/>
        </w:rPr>
        <w:t>telkens de aard van de verplichting en de gevolgen van het niet voldoen aan die verplichting naast het al dan niet stellen van de termijn en de gevolgen daarvan moet leggen. Als de</w:t>
      </w:r>
      <w:r w:rsidRPr="00FF46E3" w:rsidR="006E280D">
        <w:rPr>
          <w:rFonts w:ascii="Verdana" w:hAnsi="Verdana" w:cstheme="minorHAnsi"/>
          <w:sz w:val="18"/>
          <w:szCs w:val="18"/>
        </w:rPr>
        <w:t xml:space="preserv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Pr>
          <w:rFonts w:ascii="Verdana" w:hAnsi="Verdana" w:cstheme="minorHAnsi"/>
          <w:sz w:val="18"/>
          <w:szCs w:val="18"/>
        </w:rPr>
        <w:t xml:space="preserve">bij de overtreding van een relatief lichte verplichting wil overgaan op het stellen van de termijn, zal </w:t>
      </w:r>
      <w:r w:rsidRPr="00FF46E3" w:rsidR="006E280D">
        <w:rPr>
          <w:rFonts w:ascii="Verdana" w:hAnsi="Verdana" w:cstheme="minorHAnsi"/>
          <w:sz w:val="18"/>
          <w:szCs w:val="18"/>
        </w:rPr>
        <w:t>zij</w:t>
      </w:r>
      <w:r w:rsidRPr="00FF46E3">
        <w:rPr>
          <w:rFonts w:ascii="Verdana" w:hAnsi="Verdana" w:cstheme="minorHAnsi"/>
          <w:sz w:val="18"/>
          <w:szCs w:val="18"/>
        </w:rPr>
        <w:t xml:space="preserve"> met een zware motivering moeten komen.</w:t>
      </w:r>
      <w:r w:rsidRPr="00FF46E3">
        <w:rPr>
          <w:rStyle w:val="Voetnootmarkering"/>
          <w:rFonts w:ascii="Verdana" w:hAnsi="Verdana" w:cstheme="minorHAnsi"/>
          <w:sz w:val="18"/>
          <w:szCs w:val="18"/>
        </w:rPr>
        <w:footnoteReference w:id="54"/>
      </w:r>
      <w:r w:rsidRPr="00FF46E3" w:rsidR="00EA661F">
        <w:rPr>
          <w:rFonts w:ascii="Verdana" w:hAnsi="Verdana" w:cstheme="minorHAnsi"/>
          <w:sz w:val="18"/>
          <w:szCs w:val="18"/>
        </w:rPr>
        <w:t xml:space="preserve"> </w:t>
      </w:r>
    </w:p>
    <w:p w:rsidRPr="00FF46E3" w:rsidR="008A6FBD" w:rsidP="008A6FBD" w:rsidRDefault="008A6FBD" w14:paraId="114373A7" w14:textId="77777777">
      <w:pPr>
        <w:pStyle w:val="Geenafstand"/>
        <w:rPr>
          <w:rFonts w:ascii="Verdana" w:hAnsi="Verdana" w:cstheme="minorHAnsi"/>
          <w:sz w:val="18"/>
          <w:szCs w:val="18"/>
        </w:rPr>
      </w:pPr>
    </w:p>
    <w:p w:rsidRPr="00FF46E3" w:rsidR="008A6FBD" w:rsidP="008A6FBD" w:rsidRDefault="008A6FBD" w14:paraId="63B886E9" w14:textId="75DBB270">
      <w:pPr>
        <w:pStyle w:val="Geenafstand"/>
        <w:rPr>
          <w:rFonts w:ascii="Verdana" w:hAnsi="Verdana" w:cstheme="minorHAnsi"/>
          <w:i/>
          <w:iCs/>
          <w:sz w:val="18"/>
          <w:szCs w:val="18"/>
        </w:rPr>
      </w:pPr>
      <w:r w:rsidRPr="00FF46E3">
        <w:rPr>
          <w:rFonts w:ascii="Verdana" w:hAnsi="Verdana" w:cstheme="minorHAnsi"/>
          <w:i/>
          <w:iCs/>
          <w:sz w:val="18"/>
          <w:szCs w:val="18"/>
        </w:rPr>
        <w:t xml:space="preserve">Alleen </w:t>
      </w:r>
      <w:r w:rsidRPr="00FF46E3" w:rsidR="009D00C8">
        <w:rPr>
          <w:rFonts w:ascii="Verdana" w:hAnsi="Verdana" w:cstheme="minorHAnsi"/>
          <w:i/>
          <w:iCs/>
          <w:sz w:val="18"/>
          <w:szCs w:val="18"/>
        </w:rPr>
        <w:t xml:space="preserve">bepaling einddatum </w:t>
      </w:r>
      <w:r w:rsidRPr="00FF46E3">
        <w:rPr>
          <w:rFonts w:ascii="Verdana" w:hAnsi="Verdana" w:cstheme="minorHAnsi"/>
          <w:i/>
          <w:iCs/>
          <w:sz w:val="18"/>
          <w:szCs w:val="18"/>
        </w:rPr>
        <w:t>na volledige verbeuring last onder dwangsom</w:t>
      </w:r>
    </w:p>
    <w:p w:rsidRPr="00FF46E3" w:rsidR="008A6FBD" w:rsidP="008A6FBD" w:rsidRDefault="008A6FBD" w14:paraId="391C9028" w14:textId="3FA27C55">
      <w:pPr>
        <w:pStyle w:val="Geenafstand"/>
        <w:rPr>
          <w:rFonts w:ascii="Verdana" w:hAnsi="Verdana" w:cstheme="minorHAnsi"/>
          <w:sz w:val="18"/>
          <w:szCs w:val="18"/>
        </w:rPr>
      </w:pPr>
      <w:r w:rsidRPr="00FF46E3">
        <w:rPr>
          <w:rFonts w:ascii="Verdana" w:hAnsi="Verdana" w:cstheme="minorHAnsi"/>
          <w:sz w:val="18"/>
          <w:szCs w:val="18"/>
        </w:rPr>
        <w:t xml:space="preserve">Als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Pr>
          <w:rFonts w:ascii="Verdana" w:hAnsi="Verdana" w:cstheme="minorHAnsi"/>
          <w:sz w:val="18"/>
          <w:szCs w:val="18"/>
        </w:rPr>
        <w:t xml:space="preserve">een last onder dwangsom heeft opgelegd, dan kan </w:t>
      </w:r>
      <w:r w:rsidRPr="00FF46E3" w:rsidR="006E280D">
        <w:rPr>
          <w:rFonts w:ascii="Verdana" w:hAnsi="Verdana" w:cstheme="minorHAnsi"/>
          <w:sz w:val="18"/>
          <w:szCs w:val="18"/>
        </w:rPr>
        <w:t>z</w:t>
      </w:r>
      <w:r w:rsidRPr="00FF46E3">
        <w:rPr>
          <w:rFonts w:ascii="Verdana" w:hAnsi="Verdana" w:cstheme="minorHAnsi"/>
          <w:sz w:val="18"/>
          <w:szCs w:val="18"/>
        </w:rPr>
        <w:t xml:space="preserve">ij alleen </w:t>
      </w:r>
      <w:r w:rsidRPr="00FF46E3" w:rsidR="009D00C8">
        <w:rPr>
          <w:rFonts w:ascii="Verdana" w:hAnsi="Verdana" w:cstheme="minorHAnsi"/>
          <w:sz w:val="18"/>
          <w:szCs w:val="18"/>
        </w:rPr>
        <w:t>een einddatum bepalen</w:t>
      </w:r>
      <w:r w:rsidRPr="00FF46E3">
        <w:rPr>
          <w:rFonts w:ascii="Verdana" w:hAnsi="Verdana" w:cstheme="minorHAnsi"/>
          <w:sz w:val="18"/>
          <w:szCs w:val="18"/>
        </w:rPr>
        <w:t xml:space="preserve"> nadat de essentiële entiteit niet heeft voldaan aan die last en de dwangsom volledig is verbeurd (het maximum van de dwangsom is bereikt). Pas dan kan immers als regel geconcludeerd worden dat de handhavingsmaatregel van een last onder dwangsom ondoeltreffend is.</w:t>
      </w:r>
    </w:p>
    <w:p w:rsidRPr="00FF46E3" w:rsidR="008A6FBD" w:rsidP="008A6FBD" w:rsidRDefault="008A6FBD" w14:paraId="17D31D82" w14:textId="77777777">
      <w:pPr>
        <w:pStyle w:val="Geenafstand"/>
        <w:rPr>
          <w:rFonts w:ascii="Verdana" w:hAnsi="Verdana" w:cstheme="minorHAnsi"/>
          <w:sz w:val="18"/>
          <w:szCs w:val="18"/>
        </w:rPr>
      </w:pPr>
    </w:p>
    <w:p w:rsidRPr="00FF46E3" w:rsidR="008A6FBD" w:rsidP="00CB230D" w:rsidRDefault="00F42B69" w14:paraId="191FC8F0" w14:textId="0F3A4BE8">
      <w:pPr>
        <w:pStyle w:val="Kop4"/>
        <w:rPr>
          <w:szCs w:val="18"/>
        </w:rPr>
      </w:pPr>
      <w:bookmarkStart w:name="_Toc198721090" w:id="86"/>
      <w:bookmarkStart w:name="_Hlk143093467" w:id="87"/>
      <w:r w:rsidRPr="00FF46E3">
        <w:rPr>
          <w:szCs w:val="18"/>
        </w:rPr>
        <w:t>5.</w:t>
      </w:r>
      <w:r w:rsidR="007E5530">
        <w:rPr>
          <w:szCs w:val="18"/>
        </w:rPr>
        <w:t>6</w:t>
      </w:r>
      <w:r w:rsidRPr="00FF46E3">
        <w:rPr>
          <w:szCs w:val="18"/>
        </w:rPr>
        <w:t>.</w:t>
      </w:r>
      <w:r w:rsidR="00A52718">
        <w:rPr>
          <w:szCs w:val="18"/>
        </w:rPr>
        <w:t>5</w:t>
      </w:r>
      <w:r w:rsidRPr="00FF46E3">
        <w:rPr>
          <w:szCs w:val="18"/>
        </w:rPr>
        <w:t>.</w:t>
      </w:r>
      <w:r w:rsidRPr="00FF46E3" w:rsidR="00DC4CB0">
        <w:rPr>
          <w:szCs w:val="18"/>
        </w:rPr>
        <w:t xml:space="preserve">3 </w:t>
      </w:r>
      <w:r w:rsidRPr="00FF46E3" w:rsidR="008A6FBD">
        <w:rPr>
          <w:szCs w:val="18"/>
        </w:rPr>
        <w:t>Verzoek tot schorsing certificering of vergunning en verzoek tot schorsing leden van het bestuur</w:t>
      </w:r>
      <w:bookmarkEnd w:id="86"/>
    </w:p>
    <w:bookmarkEnd w:id="87"/>
    <w:p w:rsidRPr="00FF46E3" w:rsidR="008A6FBD" w:rsidP="008A6FBD" w:rsidRDefault="008A6FBD" w14:paraId="736C6851" w14:textId="77777777">
      <w:pPr>
        <w:pStyle w:val="Geenafstand"/>
        <w:rPr>
          <w:rFonts w:ascii="Verdana" w:hAnsi="Verdana" w:cstheme="minorHAnsi"/>
          <w:sz w:val="18"/>
          <w:szCs w:val="18"/>
        </w:rPr>
      </w:pPr>
    </w:p>
    <w:p w:rsidRPr="00FF46E3" w:rsidR="008A6FBD" w:rsidP="008A6FBD" w:rsidRDefault="008A6FBD" w14:paraId="20EAD00F" w14:textId="77777777">
      <w:pPr>
        <w:pStyle w:val="Geenafstand"/>
        <w:rPr>
          <w:rFonts w:ascii="Verdana" w:hAnsi="Verdana" w:cstheme="minorHAnsi"/>
          <w:b/>
          <w:bCs/>
          <w:sz w:val="18"/>
          <w:szCs w:val="18"/>
        </w:rPr>
      </w:pPr>
      <w:r w:rsidRPr="00FF46E3">
        <w:rPr>
          <w:rFonts w:ascii="Verdana" w:hAnsi="Verdana" w:cstheme="minorHAnsi"/>
          <w:i/>
          <w:iCs/>
          <w:sz w:val="18"/>
          <w:szCs w:val="18"/>
        </w:rPr>
        <w:t>Inleiding</w:t>
      </w:r>
      <w:r w:rsidRPr="00FF46E3">
        <w:rPr>
          <w:rFonts w:ascii="Verdana" w:hAnsi="Verdana" w:cstheme="minorHAnsi"/>
          <w:sz w:val="18"/>
          <w:szCs w:val="18"/>
        </w:rPr>
        <w:t xml:space="preserve"> </w:t>
      </w:r>
    </w:p>
    <w:p w:rsidRPr="00FF46E3" w:rsidR="008A6FBD" w:rsidP="008A6FBD" w:rsidRDefault="008A6FBD" w14:paraId="6B3C80D3" w14:textId="4FFFA8DC">
      <w:pPr>
        <w:pStyle w:val="Geenafstand"/>
        <w:rPr>
          <w:rFonts w:ascii="Verdana" w:hAnsi="Verdana"/>
          <w:sz w:val="18"/>
          <w:szCs w:val="18"/>
        </w:rPr>
      </w:pPr>
      <w:r w:rsidRPr="00FF46E3">
        <w:rPr>
          <w:rFonts w:ascii="Verdana" w:hAnsi="Verdana" w:cstheme="minorHAnsi"/>
          <w:sz w:val="18"/>
          <w:szCs w:val="18"/>
        </w:rPr>
        <w:t xml:space="preserve">Als niet </w:t>
      </w:r>
      <w:r w:rsidRPr="00FF46E3" w:rsidR="009D00C8">
        <w:rPr>
          <w:rFonts w:ascii="Verdana" w:hAnsi="Verdana" w:cstheme="minorHAnsi"/>
          <w:sz w:val="18"/>
          <w:szCs w:val="18"/>
        </w:rPr>
        <w:t>uiterlijk op de bepaalde einddatum is</w:t>
      </w:r>
      <w:r w:rsidRPr="00FF46E3">
        <w:rPr>
          <w:rFonts w:ascii="Verdana" w:hAnsi="Verdana" w:cstheme="minorHAnsi"/>
          <w:sz w:val="18"/>
          <w:szCs w:val="18"/>
        </w:rPr>
        <w:t xml:space="preserve"> voldaan aan de eisen van de </w:t>
      </w:r>
      <w:r w:rsidRPr="00FF46E3" w:rsidR="007F6903">
        <w:rPr>
          <w:rFonts w:ascii="Verdana" w:hAnsi="Verdana" w:cs="Arial"/>
          <w:sz w:val="18"/>
          <w:szCs w:val="18"/>
        </w:rPr>
        <w:t>toezichthoudende instantie</w:t>
      </w:r>
      <w:r w:rsidRPr="00FF46E3">
        <w:rPr>
          <w:rFonts w:ascii="Verdana" w:hAnsi="Verdana" w:cstheme="minorHAnsi"/>
          <w:sz w:val="18"/>
          <w:szCs w:val="18"/>
        </w:rPr>
        <w:t xml:space="preserve">, dan schrijft artikel 32, vijfde lid, NIS2-richtlijn voor dat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00614160">
        <w:rPr>
          <w:rFonts w:ascii="Verdana" w:hAnsi="Verdana" w:cs="Arial"/>
          <w:sz w:val="18"/>
          <w:szCs w:val="18"/>
        </w:rPr>
        <w:t xml:space="preserve">bepaalde </w:t>
      </w:r>
      <w:r w:rsidR="00614160">
        <w:rPr>
          <w:rFonts w:ascii="Verdana" w:hAnsi="Verdana" w:cs="Arial"/>
          <w:sz w:val="18"/>
          <w:szCs w:val="18"/>
        </w:rPr>
        <w:lastRenderedPageBreak/>
        <w:t xml:space="preserve">bevoegdheden moet hebben. </w:t>
      </w:r>
      <w:r w:rsidRPr="00FF46E3" w:rsidR="004A3A6A">
        <w:rPr>
          <w:rFonts w:ascii="Verdana" w:hAnsi="Verdana"/>
          <w:sz w:val="18"/>
          <w:szCs w:val="18"/>
        </w:rPr>
        <w:t>Deze bevoegdh</w:t>
      </w:r>
      <w:r w:rsidRPr="00FF46E3" w:rsidR="002F50A6">
        <w:rPr>
          <w:rFonts w:ascii="Verdana" w:hAnsi="Verdana"/>
          <w:sz w:val="18"/>
          <w:szCs w:val="18"/>
        </w:rPr>
        <w:t xml:space="preserve">eden zijn geïmplementeerd in de artikelen </w:t>
      </w:r>
      <w:r w:rsidR="00B05DE3">
        <w:rPr>
          <w:rFonts w:ascii="Verdana" w:hAnsi="Verdana"/>
          <w:sz w:val="18"/>
          <w:szCs w:val="18"/>
        </w:rPr>
        <w:t>77</w:t>
      </w:r>
      <w:r w:rsidRPr="00FF46E3" w:rsidR="00B05DE3">
        <w:rPr>
          <w:rFonts w:ascii="Verdana" w:hAnsi="Verdana"/>
          <w:sz w:val="18"/>
          <w:szCs w:val="18"/>
        </w:rPr>
        <w:t xml:space="preserve"> </w:t>
      </w:r>
      <w:r w:rsidRPr="00FF46E3" w:rsidR="002F50A6">
        <w:rPr>
          <w:rFonts w:ascii="Verdana" w:hAnsi="Verdana"/>
          <w:sz w:val="18"/>
          <w:szCs w:val="18"/>
        </w:rPr>
        <w:t xml:space="preserve">en </w:t>
      </w:r>
      <w:r w:rsidR="00B05DE3">
        <w:rPr>
          <w:rFonts w:ascii="Verdana" w:hAnsi="Verdana"/>
          <w:sz w:val="18"/>
          <w:szCs w:val="18"/>
        </w:rPr>
        <w:t>78</w:t>
      </w:r>
      <w:r w:rsidRPr="00FF46E3" w:rsidR="00B05DE3">
        <w:rPr>
          <w:rFonts w:ascii="Verdana" w:hAnsi="Verdana"/>
          <w:sz w:val="18"/>
          <w:szCs w:val="18"/>
        </w:rPr>
        <w:t xml:space="preserve"> </w:t>
      </w:r>
      <w:proofErr w:type="spellStart"/>
      <w:r w:rsidRPr="00FF46E3" w:rsidR="006F2395">
        <w:rPr>
          <w:rFonts w:ascii="Verdana" w:hAnsi="Verdana"/>
          <w:sz w:val="18"/>
          <w:szCs w:val="18"/>
        </w:rPr>
        <w:t>Cbw</w:t>
      </w:r>
      <w:proofErr w:type="spellEnd"/>
      <w:r w:rsidR="00614160">
        <w:rPr>
          <w:rFonts w:ascii="Verdana" w:hAnsi="Verdana"/>
          <w:sz w:val="18"/>
          <w:szCs w:val="18"/>
        </w:rPr>
        <w:t xml:space="preserve"> en worden hierna besproken</w:t>
      </w:r>
      <w:r w:rsidRPr="00FF46E3" w:rsidR="002F50A6">
        <w:rPr>
          <w:rFonts w:ascii="Verdana" w:hAnsi="Verdana"/>
          <w:sz w:val="18"/>
          <w:szCs w:val="18"/>
        </w:rPr>
        <w:t>.</w:t>
      </w:r>
    </w:p>
    <w:p w:rsidRPr="00FF46E3" w:rsidR="008A6FBD" w:rsidP="008A6FBD" w:rsidRDefault="008A6FBD" w14:paraId="0B271365" w14:textId="77777777">
      <w:pPr>
        <w:pStyle w:val="Geenafstand"/>
        <w:rPr>
          <w:rFonts w:ascii="Verdana" w:hAnsi="Verdana"/>
          <w:sz w:val="18"/>
          <w:szCs w:val="18"/>
        </w:rPr>
      </w:pPr>
    </w:p>
    <w:p w:rsidRPr="00FF46E3" w:rsidR="008A6FBD" w:rsidP="008A6FBD" w:rsidRDefault="008A6FBD" w14:paraId="751FBD2A" w14:textId="77777777">
      <w:pPr>
        <w:pStyle w:val="Geenafstand"/>
        <w:rPr>
          <w:rFonts w:ascii="Verdana" w:hAnsi="Verdana"/>
          <w:i/>
          <w:sz w:val="18"/>
          <w:szCs w:val="18"/>
        </w:rPr>
      </w:pPr>
      <w:r w:rsidRPr="00FF46E3">
        <w:rPr>
          <w:rFonts w:ascii="Verdana" w:hAnsi="Verdana" w:cstheme="minorHAnsi"/>
          <w:i/>
          <w:iCs/>
          <w:sz w:val="18"/>
          <w:szCs w:val="18"/>
        </w:rPr>
        <w:t>V</w:t>
      </w:r>
      <w:r w:rsidRPr="00FF46E3">
        <w:rPr>
          <w:rFonts w:ascii="Verdana" w:hAnsi="Verdana"/>
          <w:i/>
          <w:sz w:val="18"/>
          <w:szCs w:val="18"/>
        </w:rPr>
        <w:t>erzoek tot schorsing certificering of vergunning</w:t>
      </w:r>
    </w:p>
    <w:p w:rsidRPr="00FF46E3" w:rsidR="008A6FBD" w:rsidP="008A6FBD" w:rsidRDefault="00614160" w14:paraId="5DA8EC4B" w14:textId="55E66510">
      <w:pPr>
        <w:pStyle w:val="Geenafstand"/>
        <w:rPr>
          <w:rFonts w:ascii="Verdana" w:hAnsi="Verdana"/>
          <w:sz w:val="18"/>
          <w:szCs w:val="18"/>
        </w:rPr>
      </w:pPr>
      <w:r>
        <w:rPr>
          <w:rFonts w:ascii="Verdana" w:hAnsi="Verdana"/>
          <w:sz w:val="18"/>
          <w:szCs w:val="18"/>
        </w:rPr>
        <w:t xml:space="preserve">Artikel </w:t>
      </w:r>
      <w:r w:rsidR="00F64E49">
        <w:rPr>
          <w:rFonts w:ascii="Verdana" w:hAnsi="Verdana"/>
          <w:sz w:val="18"/>
          <w:szCs w:val="18"/>
        </w:rPr>
        <w:t xml:space="preserve">77 </w:t>
      </w:r>
      <w:proofErr w:type="spellStart"/>
      <w:r>
        <w:rPr>
          <w:rFonts w:ascii="Verdana" w:hAnsi="Verdana"/>
          <w:sz w:val="18"/>
          <w:szCs w:val="18"/>
        </w:rPr>
        <w:t>Cbw</w:t>
      </w:r>
      <w:proofErr w:type="spellEnd"/>
      <w:r>
        <w:rPr>
          <w:rFonts w:ascii="Verdana" w:hAnsi="Verdana"/>
          <w:sz w:val="18"/>
          <w:szCs w:val="18"/>
        </w:rPr>
        <w:t xml:space="preserve"> ziet op de bevoegdheid van de toezichthoudende instantie om </w:t>
      </w:r>
      <w:r w:rsidRPr="00614160">
        <w:rPr>
          <w:rFonts w:ascii="Verdana" w:hAnsi="Verdana"/>
          <w:sz w:val="18"/>
          <w:szCs w:val="18"/>
        </w:rPr>
        <w:t>de instantie of organisatie die een certificering of vergunning heeft afgegeven</w:t>
      </w:r>
      <w:r>
        <w:rPr>
          <w:rFonts w:ascii="Verdana" w:hAnsi="Verdana"/>
          <w:sz w:val="18"/>
          <w:szCs w:val="18"/>
        </w:rPr>
        <w:t>,</w:t>
      </w:r>
      <w:r w:rsidRPr="00614160">
        <w:rPr>
          <w:rFonts w:ascii="Verdana" w:hAnsi="Verdana"/>
          <w:sz w:val="18"/>
          <w:szCs w:val="18"/>
        </w:rPr>
        <w:t xml:space="preserve"> </w:t>
      </w:r>
      <w:r>
        <w:rPr>
          <w:rFonts w:ascii="Verdana" w:hAnsi="Verdana"/>
          <w:sz w:val="18"/>
          <w:szCs w:val="18"/>
        </w:rPr>
        <w:t>te verzoeken om die certificering of vergunning tijdelijk op te schorten. Dat</w:t>
      </w:r>
      <w:r w:rsidRPr="00FF46E3" w:rsidR="008A6FBD">
        <w:rPr>
          <w:rFonts w:ascii="Verdana" w:hAnsi="Verdana"/>
          <w:sz w:val="18"/>
          <w:szCs w:val="18"/>
        </w:rPr>
        <w:t xml:space="preserve"> verzoek heeft als doel om te voorkomen dat zolang de </w:t>
      </w:r>
      <w:r w:rsidRPr="00FF46E3" w:rsidR="0035764E">
        <w:rPr>
          <w:rFonts w:ascii="Verdana" w:hAnsi="Verdana"/>
          <w:sz w:val="18"/>
          <w:szCs w:val="18"/>
        </w:rPr>
        <w:t xml:space="preserve">essentiële </w:t>
      </w:r>
      <w:r w:rsidRPr="00FF46E3" w:rsidR="008A6FBD">
        <w:rPr>
          <w:rFonts w:ascii="Verdana" w:hAnsi="Verdana"/>
          <w:sz w:val="18"/>
          <w:szCs w:val="18"/>
        </w:rPr>
        <w:t xml:space="preserve">entiteit niet voldoet aan de eisen van </w:t>
      </w:r>
      <w:r w:rsidRPr="00FF46E3" w:rsidR="008A6FBD">
        <w:rPr>
          <w:rFonts w:ascii="Verdana" w:hAnsi="Verdana"/>
          <w:sz w:val="18"/>
        </w:rPr>
        <w:t xml:space="preserve">de </w:t>
      </w:r>
      <w:r w:rsidRPr="00FF46E3" w:rsidR="007F6903">
        <w:rPr>
          <w:rFonts w:ascii="Verdana" w:hAnsi="Verdana" w:cs="Arial"/>
          <w:sz w:val="18"/>
          <w:szCs w:val="18"/>
        </w:rPr>
        <w:t>toezichthoudende instantie</w:t>
      </w:r>
      <w:r w:rsidRPr="00FF46E3" w:rsidR="008A6FBD">
        <w:rPr>
          <w:rFonts w:ascii="Verdana" w:hAnsi="Verdana"/>
          <w:sz w:val="18"/>
        </w:rPr>
        <w:t xml:space="preserve">, activiteiten van deze entiteit leiden tot onacceptabele schade en/of risico’s voor derden. Het verzoek van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8A6FBD">
        <w:rPr>
          <w:rFonts w:ascii="Verdana" w:hAnsi="Verdana"/>
          <w:sz w:val="18"/>
        </w:rPr>
        <w:t xml:space="preserve">bevat onder meer een toelichting op het risico van het continueren van de dienstverlening van de entiteit. De </w:t>
      </w:r>
      <w:r>
        <w:rPr>
          <w:rFonts w:ascii="Verdana" w:hAnsi="Verdana"/>
          <w:sz w:val="18"/>
        </w:rPr>
        <w:t xml:space="preserve">instantie of organisatie die de </w:t>
      </w:r>
      <w:r w:rsidRPr="00FF46E3" w:rsidR="008A6FBD">
        <w:rPr>
          <w:rFonts w:ascii="Verdana" w:hAnsi="Verdana"/>
          <w:sz w:val="18"/>
        </w:rPr>
        <w:t>certificering of vergunning</w:t>
      </w:r>
      <w:r>
        <w:rPr>
          <w:rFonts w:ascii="Verdana" w:hAnsi="Verdana"/>
          <w:sz w:val="18"/>
        </w:rPr>
        <w:t xml:space="preserve"> heeft afgegeven</w:t>
      </w:r>
      <w:r w:rsidRPr="00FF46E3" w:rsidR="008A6FBD">
        <w:rPr>
          <w:rFonts w:ascii="Verdana" w:hAnsi="Verdana"/>
          <w:sz w:val="18"/>
        </w:rPr>
        <w:t xml:space="preserve"> kan aanvullende bewijsstukken en informatie opvragen bij de </w:t>
      </w:r>
      <w:r w:rsidRPr="00FF46E3" w:rsidR="007F6903">
        <w:rPr>
          <w:rFonts w:ascii="Verdana" w:hAnsi="Verdana" w:cs="Arial"/>
          <w:sz w:val="18"/>
          <w:szCs w:val="18"/>
        </w:rPr>
        <w:t>toezichthoudende instantie</w:t>
      </w:r>
      <w:r w:rsidRPr="00FF46E3" w:rsidR="008A6FBD">
        <w:rPr>
          <w:rFonts w:ascii="Verdana" w:hAnsi="Verdana"/>
          <w:sz w:val="18"/>
        </w:rPr>
        <w:t>. Het verzoek van de</w:t>
      </w:r>
      <w:r w:rsidRPr="00FF46E3" w:rsidR="0035764E">
        <w:rPr>
          <w:rFonts w:ascii="Verdana" w:hAnsi="Verdana"/>
          <w:sz w:val="18"/>
        </w:rPr>
        <w:t xml:space="preserv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8A6FBD">
        <w:rPr>
          <w:rFonts w:ascii="Verdana" w:hAnsi="Verdana"/>
          <w:sz w:val="18"/>
        </w:rPr>
        <w:t xml:space="preserve">leidt </w:t>
      </w:r>
      <w:r w:rsidRPr="00FF46E3" w:rsidR="008A6FBD">
        <w:rPr>
          <w:rFonts w:ascii="Verdana" w:hAnsi="Verdana"/>
          <w:sz w:val="18"/>
          <w:szCs w:val="18"/>
        </w:rPr>
        <w:t xml:space="preserve">niet tot een verplichting voor de </w:t>
      </w:r>
      <w:r>
        <w:rPr>
          <w:rFonts w:ascii="Verdana" w:hAnsi="Verdana"/>
          <w:sz w:val="18"/>
          <w:szCs w:val="18"/>
        </w:rPr>
        <w:t>betreffende organisatie of instantie</w:t>
      </w:r>
      <w:r w:rsidRPr="00FF46E3" w:rsidR="008A6FBD">
        <w:rPr>
          <w:rFonts w:ascii="Verdana" w:hAnsi="Verdana"/>
          <w:sz w:val="18"/>
          <w:szCs w:val="18"/>
        </w:rPr>
        <w:t xml:space="preserve">. Het is aan het oordeel van de </w:t>
      </w:r>
      <w:r>
        <w:rPr>
          <w:rFonts w:ascii="Verdana" w:hAnsi="Verdana"/>
          <w:sz w:val="18"/>
          <w:szCs w:val="18"/>
        </w:rPr>
        <w:t>organisatie of instantie</w:t>
      </w:r>
      <w:r w:rsidRPr="00FF46E3" w:rsidR="008A6FBD">
        <w:rPr>
          <w:rFonts w:ascii="Verdana" w:hAnsi="Verdana"/>
          <w:sz w:val="18"/>
          <w:szCs w:val="18"/>
        </w:rPr>
        <w:t xml:space="preserve"> of de certificering of vergunning voor bepaalde tijd dient te worden opgeschort.</w:t>
      </w:r>
      <w:r>
        <w:rPr>
          <w:rFonts w:ascii="Verdana" w:hAnsi="Verdana"/>
          <w:sz w:val="18"/>
          <w:szCs w:val="18"/>
        </w:rPr>
        <w:t xml:space="preserve"> Indien de organisatie of instantie het verzoek van de toezichthoudende instantie inwilligt, kan de essentiële entiteit zich daartegen wenden bij de bestuursrechter (in geval van een vergunning) of de civiele rechter (in geval van een certificering).</w:t>
      </w:r>
    </w:p>
    <w:p w:rsidRPr="00FF46E3" w:rsidR="008A6FBD" w:rsidP="008A6FBD" w:rsidRDefault="008A6FBD" w14:paraId="347DD2C9" w14:textId="77777777">
      <w:pPr>
        <w:pStyle w:val="Geenafstand"/>
        <w:rPr>
          <w:rFonts w:ascii="Verdana" w:hAnsi="Verdana"/>
          <w:sz w:val="18"/>
          <w:szCs w:val="18"/>
        </w:rPr>
      </w:pPr>
    </w:p>
    <w:p w:rsidRPr="00FF46E3" w:rsidR="008A6FBD" w:rsidP="008A6FBD" w:rsidRDefault="008A6FBD" w14:paraId="5A0C452E" w14:textId="77777777">
      <w:pPr>
        <w:pStyle w:val="Geenafstand"/>
        <w:rPr>
          <w:rFonts w:ascii="Verdana" w:hAnsi="Verdana"/>
          <w:i/>
          <w:sz w:val="18"/>
          <w:szCs w:val="18"/>
        </w:rPr>
      </w:pPr>
      <w:r w:rsidRPr="00FF46E3">
        <w:rPr>
          <w:rFonts w:ascii="Verdana" w:hAnsi="Verdana"/>
          <w:i/>
          <w:sz w:val="18"/>
          <w:szCs w:val="18"/>
        </w:rPr>
        <w:t>Verzoek tot schorsing leden van het bestuur</w:t>
      </w:r>
    </w:p>
    <w:p w:rsidRPr="00FF46E3" w:rsidR="008A6FBD" w:rsidP="008A6FBD" w:rsidRDefault="008A6FBD" w14:paraId="23C6DF96" w14:textId="6026593D">
      <w:pPr>
        <w:pStyle w:val="Geenafstand"/>
        <w:rPr>
          <w:rFonts w:ascii="Verdana" w:hAnsi="Verdana"/>
          <w:sz w:val="18"/>
          <w:szCs w:val="18"/>
        </w:rPr>
      </w:pPr>
      <w:r w:rsidRPr="00FF46E3">
        <w:rPr>
          <w:rFonts w:ascii="Verdana" w:hAnsi="Verdana"/>
          <w:sz w:val="18"/>
          <w:szCs w:val="18"/>
        </w:rPr>
        <w:t xml:space="preserve">De bevoegdheid die ziet op natuurlijke personen met leidinggevende verantwoordelijkheden op het niveau van algemeen directeur of de wettelijke vertegenwoordiger in de essentiële entiteit, </w:t>
      </w:r>
      <w:r w:rsidR="00614160">
        <w:rPr>
          <w:rFonts w:ascii="Verdana" w:hAnsi="Verdana"/>
          <w:sz w:val="18"/>
          <w:szCs w:val="18"/>
        </w:rPr>
        <w:t xml:space="preserve">is in artikel 77 </w:t>
      </w:r>
      <w:proofErr w:type="spellStart"/>
      <w:r w:rsidR="00614160">
        <w:rPr>
          <w:rFonts w:ascii="Verdana" w:hAnsi="Verdana"/>
          <w:sz w:val="18"/>
          <w:szCs w:val="18"/>
        </w:rPr>
        <w:t>Cbw</w:t>
      </w:r>
      <w:proofErr w:type="spellEnd"/>
      <w:r w:rsidRPr="00FF46E3" w:rsidR="00614160">
        <w:rPr>
          <w:rFonts w:ascii="Verdana" w:hAnsi="Verdana"/>
          <w:sz w:val="18"/>
          <w:szCs w:val="18"/>
        </w:rPr>
        <w:t xml:space="preserve"> </w:t>
      </w:r>
      <w:r w:rsidRPr="00FF46E3">
        <w:rPr>
          <w:rFonts w:ascii="Verdana" w:hAnsi="Verdana"/>
          <w:sz w:val="18"/>
          <w:szCs w:val="18"/>
        </w:rPr>
        <w:t xml:space="preserve">geïmplementeerd als de bevoegdheid van de </w:t>
      </w:r>
      <w:r w:rsidRPr="00FF46E3" w:rsidR="007F6903">
        <w:rPr>
          <w:rFonts w:ascii="Verdana" w:hAnsi="Verdana" w:cs="Arial"/>
          <w:sz w:val="18"/>
          <w:szCs w:val="18"/>
        </w:rPr>
        <w:t>toezichthoudende instantie</w:t>
      </w:r>
      <w:r w:rsidRPr="00FF46E3" w:rsidR="00826CE1">
        <w:rPr>
          <w:rFonts w:ascii="Verdana" w:hAnsi="Verdana" w:cs="Arial"/>
          <w:sz w:val="18"/>
          <w:szCs w:val="18"/>
        </w:rPr>
        <w:t xml:space="preserve"> </w:t>
      </w:r>
      <w:r w:rsidRPr="00FF46E3">
        <w:rPr>
          <w:rFonts w:ascii="Verdana" w:hAnsi="Verdana"/>
          <w:sz w:val="18"/>
          <w:szCs w:val="18"/>
        </w:rPr>
        <w:t xml:space="preserve">om een verzoek te doen bij de civiele rechter tot schorsing van één of meer leden van het bestuur van de essentiële entiteit. </w:t>
      </w:r>
    </w:p>
    <w:p w:rsidRPr="00FF46E3" w:rsidR="008A6FBD" w:rsidP="008A6FBD" w:rsidRDefault="008A6FBD" w14:paraId="1F7C4A39" w14:textId="77777777">
      <w:pPr>
        <w:pStyle w:val="Geenafstand"/>
        <w:rPr>
          <w:rFonts w:ascii="Verdana" w:hAnsi="Verdana"/>
          <w:sz w:val="18"/>
          <w:szCs w:val="18"/>
        </w:rPr>
      </w:pPr>
      <w:r w:rsidRPr="00FF46E3">
        <w:rPr>
          <w:rFonts w:ascii="Verdana" w:hAnsi="Verdana"/>
          <w:sz w:val="18"/>
          <w:szCs w:val="18"/>
        </w:rPr>
        <w:t xml:space="preserve">Het Nederlands ondernemingsrecht kent geen juridische status voor de in de richtlijn omschreven “natuurlijke persoon met leidinggevende verantwoordelijkheden op het niveau van de algemeen directeur”. Het ondernemingsrecht kent alleen het bestuur als orgaan en de bestuurders als leden van dat orgaan. Zij zijn de enigen die juridisch aanspreekbaar zijn in de uitoefening van hun functie en hun handelen namens de rechtspersoon. Zij zijn de wettelijke vertegenwoordiger van de rechtspersoon en voldoen aan de omschrijving uit de richtlijn. Als het gaat om de in de richtlijn bedoelde algemeen directeur, betreft dat in het Nederlands recht de voorzitter van het bestuur. “Degenen op het niveau van wettelijke vertegenwoordiger” uit artikel 32, vijfde lid, NIS2-richtlijn betreffen de overige leden van het bestuur. </w:t>
      </w:r>
    </w:p>
    <w:p w:rsidRPr="00FF46E3" w:rsidR="008A6FBD" w:rsidP="008A6FBD" w:rsidRDefault="008A6FBD" w14:paraId="7E38202E" w14:textId="6665F0B1">
      <w:pPr>
        <w:pStyle w:val="Geenafstand"/>
        <w:rPr>
          <w:rFonts w:ascii="Verdana" w:hAnsi="Verdana"/>
          <w:sz w:val="18"/>
          <w:szCs w:val="18"/>
        </w:rPr>
      </w:pPr>
      <w:r w:rsidRPr="00FF46E3">
        <w:rPr>
          <w:rFonts w:ascii="Verdana" w:hAnsi="Verdana"/>
          <w:sz w:val="18"/>
          <w:szCs w:val="18"/>
        </w:rPr>
        <w:t>De in de richtlijn bedoelde “wettelijke vertegenwoordiger” betreft overigens niet degene die – naast het bestuur of de afzonderlijke leden van het bestuur – statutair bevoegd is de rechtspersoon te vertegenwoordigen. Die bevoegdheid volgt immers niet uit de wet, maar uit de statuten.</w:t>
      </w:r>
      <w:r w:rsidR="008265E7">
        <w:rPr>
          <w:rFonts w:ascii="Verdana" w:hAnsi="Verdana"/>
          <w:sz w:val="18"/>
          <w:szCs w:val="18"/>
        </w:rPr>
        <w:t xml:space="preserve"> </w:t>
      </w:r>
    </w:p>
    <w:p w:rsidRPr="00FF46E3" w:rsidR="008A6FBD" w:rsidP="008A6FBD" w:rsidRDefault="008A6FBD" w14:paraId="4A377CBF" w14:textId="308979ED">
      <w:pPr>
        <w:pStyle w:val="Geenafstand"/>
        <w:rPr>
          <w:rFonts w:ascii="Verdana" w:hAnsi="Verdana"/>
          <w:sz w:val="18"/>
          <w:szCs w:val="18"/>
        </w:rPr>
      </w:pPr>
      <w:r w:rsidRPr="00FF46E3">
        <w:rPr>
          <w:rFonts w:ascii="Verdana" w:hAnsi="Verdana"/>
          <w:sz w:val="18"/>
          <w:szCs w:val="18"/>
        </w:rPr>
        <w:t xml:space="preserve">Wanneer op verzoek van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Pr>
          <w:rFonts w:ascii="Verdana" w:hAnsi="Verdana"/>
          <w:sz w:val="18"/>
          <w:szCs w:val="18"/>
        </w:rPr>
        <w:t xml:space="preserve">alle leden van het bestuur door de rechter zijn geschorst, is er in theorie niemand meer bevoegd om de tekortkomingen op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te herstellen. Het </w:t>
      </w:r>
      <w:r w:rsidR="00DB08D9">
        <w:rPr>
          <w:rFonts w:ascii="Verdana" w:hAnsi="Verdana"/>
          <w:sz w:val="18"/>
          <w:szCs w:val="18"/>
        </w:rPr>
        <w:t>BW</w:t>
      </w:r>
      <w:r w:rsidRPr="00FF46E3">
        <w:rPr>
          <w:rFonts w:ascii="Verdana" w:hAnsi="Verdana"/>
          <w:sz w:val="18"/>
          <w:szCs w:val="18"/>
        </w:rPr>
        <w:t xml:space="preserve"> schrijft voor dat de statuten moeten voorzien in voorschriften over de wijze waarop de uitoefening van de taken en bevoegdheden voorlopig wordt voorzien bij ontstentenis of belet van alle bestuurders (zoals artikel 2:134, vierde lid, </w:t>
      </w:r>
      <w:r w:rsidR="00DB08D9">
        <w:rPr>
          <w:rFonts w:ascii="Verdana" w:hAnsi="Verdana"/>
          <w:sz w:val="18"/>
          <w:szCs w:val="18"/>
        </w:rPr>
        <w:t>BW</w:t>
      </w:r>
      <w:r w:rsidRPr="00FF46E3">
        <w:rPr>
          <w:rFonts w:ascii="Verdana" w:hAnsi="Verdana"/>
          <w:sz w:val="18"/>
          <w:szCs w:val="18"/>
        </w:rPr>
        <w:t xml:space="preserve">). Voor de gevallen waarin </w:t>
      </w:r>
      <w:r w:rsidRPr="00FF46E3" w:rsidR="00B31330">
        <w:rPr>
          <w:rFonts w:ascii="Verdana" w:hAnsi="Verdana"/>
          <w:sz w:val="18"/>
          <w:szCs w:val="18"/>
        </w:rPr>
        <w:t>geen “wettelijke vertegenwoordiger” kan worden aangewezen</w:t>
      </w:r>
      <w:r w:rsidRPr="00FF46E3">
        <w:rPr>
          <w:rFonts w:ascii="Verdana" w:hAnsi="Verdana"/>
          <w:sz w:val="18"/>
          <w:szCs w:val="18"/>
        </w:rPr>
        <w:t xml:space="preserve">, is in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geregeld dat de rechtbank zo nodig alle overige gevolgen van de door haar uitgesproken schorsing regelt.</w:t>
      </w:r>
      <w:r w:rsidRPr="00FF46E3" w:rsidR="00EA661F">
        <w:rPr>
          <w:rFonts w:ascii="Verdana" w:hAnsi="Verdana"/>
          <w:sz w:val="18"/>
          <w:szCs w:val="18"/>
        </w:rPr>
        <w:t xml:space="preserve"> </w:t>
      </w:r>
    </w:p>
    <w:p w:rsidRPr="00FF46E3" w:rsidR="008A6FBD" w:rsidP="008A6FBD" w:rsidRDefault="008A6FBD" w14:paraId="4DB984ED" w14:textId="270CC63E">
      <w:pPr>
        <w:pStyle w:val="Geenafstand"/>
        <w:rPr>
          <w:rFonts w:ascii="Verdana" w:hAnsi="Verdana"/>
          <w:sz w:val="18"/>
          <w:szCs w:val="18"/>
        </w:rPr>
      </w:pPr>
      <w:r w:rsidRPr="00FF46E3">
        <w:rPr>
          <w:rFonts w:ascii="Verdana" w:hAnsi="Verdana"/>
          <w:sz w:val="18"/>
          <w:szCs w:val="18"/>
        </w:rPr>
        <w:t xml:space="preserve">De wet regelt dat de rechtbank haar vonnis naar de Kamer van Koophandel moet sturen voor het opnemen van het vonnis in het Handelsregister. De schorsing duurt zolang niet is voldaan aan het hiervoor bedoelde besluit van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Pr>
          <w:rFonts w:ascii="Verdana" w:hAnsi="Verdana"/>
          <w:sz w:val="18"/>
          <w:szCs w:val="18"/>
        </w:rPr>
        <w:t xml:space="preserve">waarin de termijn wordt gesteld. Zodra hieraan is voldaan (in de praktijk betekent dit: de overtreding is beëindigd), moet 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Pr>
          <w:rFonts w:ascii="Verdana" w:hAnsi="Verdana"/>
          <w:sz w:val="18"/>
          <w:szCs w:val="18"/>
        </w:rPr>
        <w:t>de Kamer van Koophandel hiervan op de hoogte stellen vanwege het verwijderen van de schorsing uit het Handelsregister.</w:t>
      </w:r>
    </w:p>
    <w:p w:rsidRPr="00FF46E3" w:rsidR="008A6FBD" w:rsidP="008A6FBD" w:rsidRDefault="008A6FBD" w14:paraId="612D5442" w14:textId="77777777">
      <w:pPr>
        <w:pStyle w:val="Geenafstand"/>
        <w:rPr>
          <w:rFonts w:ascii="Verdana" w:hAnsi="Verdana"/>
          <w:sz w:val="18"/>
          <w:szCs w:val="18"/>
        </w:rPr>
      </w:pPr>
    </w:p>
    <w:p w:rsidRPr="00FF46E3" w:rsidR="008A6FBD" w:rsidP="00C3466E" w:rsidRDefault="00F42B69" w14:paraId="230651DA" w14:textId="70767C0E">
      <w:pPr>
        <w:pStyle w:val="Kop3"/>
      </w:pPr>
      <w:bookmarkStart w:name="_Toc198721091" w:id="88"/>
      <w:r w:rsidRPr="00FF46E3">
        <w:t>5.</w:t>
      </w:r>
      <w:r w:rsidR="0043522B">
        <w:t>6</w:t>
      </w:r>
      <w:r w:rsidRPr="00FF46E3">
        <w:t>.</w:t>
      </w:r>
      <w:r w:rsidR="00A52718">
        <w:t>6</w:t>
      </w:r>
      <w:r w:rsidRPr="00FF46E3" w:rsidR="0047368E">
        <w:t xml:space="preserve"> </w:t>
      </w:r>
      <w:r w:rsidRPr="00FF46E3" w:rsidR="008A6FBD">
        <w:t>Bestuurlijke boete</w:t>
      </w:r>
      <w:bookmarkStart w:name="_Hlk143093498" w:id="89"/>
      <w:bookmarkEnd w:id="88"/>
    </w:p>
    <w:bookmarkEnd w:id="89"/>
    <w:p w:rsidRPr="00FF46E3" w:rsidR="008A6FBD" w:rsidP="008A6FBD" w:rsidRDefault="008A6FBD" w14:paraId="447EE4EC" w14:textId="77777777">
      <w:pPr>
        <w:pStyle w:val="Geenafstand"/>
        <w:rPr>
          <w:rFonts w:ascii="Verdana" w:hAnsi="Verdana"/>
          <w:sz w:val="18"/>
          <w:szCs w:val="18"/>
        </w:rPr>
      </w:pPr>
    </w:p>
    <w:p w:rsidRPr="00FF46E3" w:rsidR="008A6FBD" w:rsidP="008A6FBD" w:rsidRDefault="009D00C8" w14:paraId="53210B93" w14:textId="7726D534">
      <w:pPr>
        <w:pStyle w:val="Geenafstand"/>
        <w:rPr>
          <w:rFonts w:ascii="Verdana" w:hAnsi="Verdana"/>
          <w:i/>
          <w:iCs/>
          <w:sz w:val="18"/>
          <w:szCs w:val="18"/>
        </w:rPr>
      </w:pPr>
      <w:bookmarkStart w:name="_Hlk148554657" w:id="90"/>
      <w:r w:rsidRPr="00FF46E3">
        <w:rPr>
          <w:rFonts w:ascii="Verdana" w:hAnsi="Verdana"/>
          <w:i/>
          <w:iCs/>
          <w:sz w:val="18"/>
          <w:szCs w:val="18"/>
        </w:rPr>
        <w:t>Inleiding</w:t>
      </w:r>
    </w:p>
    <w:p w:rsidRPr="00FF46E3" w:rsidR="009D00C8" w:rsidP="008A6FBD" w:rsidRDefault="006F2395" w14:paraId="5DD22749" w14:textId="0FDB2863">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8A6FBD">
        <w:rPr>
          <w:rFonts w:ascii="Verdana" w:hAnsi="Verdana"/>
          <w:sz w:val="18"/>
          <w:szCs w:val="18"/>
        </w:rPr>
        <w:t xml:space="preserve"> voorziet in de </w:t>
      </w:r>
      <w:r w:rsidRPr="00FF46E3" w:rsidR="00F9455A">
        <w:rPr>
          <w:rFonts w:ascii="Verdana" w:hAnsi="Verdana"/>
          <w:sz w:val="18"/>
          <w:szCs w:val="18"/>
        </w:rPr>
        <w:t xml:space="preserve">artikelen </w:t>
      </w:r>
      <w:r w:rsidR="00F64E49">
        <w:rPr>
          <w:rFonts w:ascii="Verdana" w:hAnsi="Verdana"/>
          <w:sz w:val="18"/>
          <w:szCs w:val="18"/>
        </w:rPr>
        <w:t>80</w:t>
      </w:r>
      <w:r w:rsidRPr="00FF46E3" w:rsidR="00F9455A">
        <w:rPr>
          <w:rFonts w:ascii="Verdana" w:hAnsi="Verdana"/>
          <w:sz w:val="18"/>
          <w:szCs w:val="18"/>
        </w:rPr>
        <w:t xml:space="preserve">, </w:t>
      </w:r>
      <w:r w:rsidR="00F64E49">
        <w:rPr>
          <w:rFonts w:ascii="Verdana" w:hAnsi="Verdana"/>
          <w:sz w:val="18"/>
          <w:szCs w:val="18"/>
        </w:rPr>
        <w:t>87</w:t>
      </w:r>
      <w:r w:rsidR="004E130C">
        <w:rPr>
          <w:rFonts w:ascii="Verdana" w:hAnsi="Verdana"/>
          <w:sz w:val="18"/>
          <w:szCs w:val="18"/>
        </w:rPr>
        <w:t>,</w:t>
      </w:r>
      <w:r w:rsidRPr="00FF46E3" w:rsidR="00F9455A">
        <w:rPr>
          <w:rFonts w:ascii="Verdana" w:hAnsi="Verdana"/>
          <w:sz w:val="18"/>
          <w:szCs w:val="18"/>
        </w:rPr>
        <w:t xml:space="preserve"> </w:t>
      </w:r>
      <w:r w:rsidR="00F64E49">
        <w:rPr>
          <w:rFonts w:ascii="Verdana" w:hAnsi="Verdana"/>
          <w:sz w:val="18"/>
          <w:szCs w:val="18"/>
        </w:rPr>
        <w:t>91</w:t>
      </w:r>
      <w:r w:rsidRPr="00FF46E3" w:rsidR="00F64E49">
        <w:rPr>
          <w:rFonts w:ascii="Verdana" w:hAnsi="Verdana"/>
          <w:sz w:val="18"/>
          <w:szCs w:val="18"/>
        </w:rPr>
        <w:t xml:space="preserve"> </w:t>
      </w:r>
      <w:r w:rsidR="004E130C">
        <w:rPr>
          <w:rFonts w:ascii="Verdana" w:hAnsi="Verdana"/>
          <w:sz w:val="18"/>
          <w:szCs w:val="18"/>
        </w:rPr>
        <w:t xml:space="preserve">en </w:t>
      </w:r>
      <w:r w:rsidR="00F64E49">
        <w:rPr>
          <w:rFonts w:ascii="Verdana" w:hAnsi="Verdana"/>
          <w:sz w:val="18"/>
          <w:szCs w:val="18"/>
        </w:rPr>
        <w:t xml:space="preserve">93 </w:t>
      </w:r>
      <w:r w:rsidRPr="00FF46E3" w:rsidR="00F9455A">
        <w:rPr>
          <w:rFonts w:ascii="Verdana" w:hAnsi="Verdana"/>
          <w:sz w:val="18"/>
          <w:szCs w:val="18"/>
        </w:rPr>
        <w:t xml:space="preserve">in de </w:t>
      </w:r>
      <w:r w:rsidRPr="00FF46E3" w:rsidR="008A6FBD">
        <w:rPr>
          <w:rFonts w:ascii="Verdana" w:hAnsi="Verdana"/>
          <w:sz w:val="18"/>
          <w:szCs w:val="18"/>
        </w:rPr>
        <w:t xml:space="preserve">bevoegdheid voor </w:t>
      </w:r>
      <w:r w:rsidRPr="00FF46E3" w:rsidR="008F3FAA">
        <w:rPr>
          <w:rFonts w:ascii="Verdana" w:hAnsi="Verdana"/>
          <w:sz w:val="18"/>
          <w:szCs w:val="18"/>
        </w:rPr>
        <w:t xml:space="preserve">de </w:t>
      </w:r>
      <w:r w:rsidRPr="00FF46E3" w:rsidR="007F6903">
        <w:rPr>
          <w:rFonts w:ascii="Verdana" w:hAnsi="Verdana" w:cs="Arial"/>
          <w:sz w:val="18"/>
          <w:szCs w:val="18"/>
        </w:rPr>
        <w:t>toezichthoudende instantie</w:t>
      </w:r>
      <w:r w:rsidRPr="00FF46E3" w:rsidR="00C33EF9">
        <w:rPr>
          <w:rFonts w:ascii="Verdana" w:hAnsi="Verdana" w:cs="Arial"/>
          <w:sz w:val="18"/>
          <w:szCs w:val="18"/>
        </w:rPr>
        <w:t xml:space="preserve"> </w:t>
      </w:r>
      <w:r w:rsidRPr="00FF46E3" w:rsidR="008A6FBD">
        <w:rPr>
          <w:rFonts w:ascii="Verdana" w:hAnsi="Verdana"/>
          <w:sz w:val="18"/>
          <w:szCs w:val="18"/>
        </w:rPr>
        <w:t>om een bestuurlijke boete op te leggen</w:t>
      </w:r>
      <w:r w:rsidR="001C4B05">
        <w:rPr>
          <w:rFonts w:ascii="Verdana" w:hAnsi="Verdana"/>
          <w:sz w:val="18"/>
          <w:szCs w:val="18"/>
        </w:rPr>
        <w:t>.</w:t>
      </w:r>
      <w:r w:rsidRPr="00FF46E3" w:rsidR="008A6FBD">
        <w:rPr>
          <w:rFonts w:ascii="Verdana" w:hAnsi="Verdana"/>
          <w:sz w:val="18"/>
          <w:szCs w:val="18"/>
        </w:rPr>
        <w:t xml:space="preserve"> </w:t>
      </w:r>
    </w:p>
    <w:bookmarkEnd w:id="90"/>
    <w:p w:rsidRPr="00FF46E3" w:rsidR="009D00C8" w:rsidP="008A6FBD" w:rsidRDefault="009D00C8" w14:paraId="79B207B4" w14:textId="77777777">
      <w:pPr>
        <w:pStyle w:val="Geenafstand"/>
        <w:rPr>
          <w:rFonts w:ascii="Verdana" w:hAnsi="Verdana"/>
          <w:sz w:val="18"/>
          <w:szCs w:val="18"/>
        </w:rPr>
      </w:pPr>
    </w:p>
    <w:p w:rsidRPr="00FF46E3" w:rsidR="009D00C8" w:rsidP="008A6FBD" w:rsidRDefault="009D00C8" w14:paraId="1CA88BEF" w14:textId="65768790">
      <w:pPr>
        <w:pStyle w:val="Geenafstand"/>
        <w:rPr>
          <w:rFonts w:ascii="Verdana" w:hAnsi="Verdana"/>
          <w:i/>
          <w:iCs/>
          <w:sz w:val="18"/>
          <w:szCs w:val="18"/>
        </w:rPr>
      </w:pPr>
      <w:r w:rsidRPr="00FF46E3">
        <w:rPr>
          <w:rFonts w:ascii="Verdana" w:hAnsi="Verdana"/>
          <w:i/>
          <w:iCs/>
          <w:sz w:val="18"/>
          <w:szCs w:val="18"/>
        </w:rPr>
        <w:lastRenderedPageBreak/>
        <w:t xml:space="preserve">Clausulering ten aanzien van essentiële entiteiten en belangrijke entiteiten </w:t>
      </w:r>
    </w:p>
    <w:p w:rsidRPr="00FF46E3" w:rsidR="009D00C8" w:rsidP="008A6FBD" w:rsidRDefault="001E149D" w14:paraId="66F0A049" w14:textId="71A638AA">
      <w:pPr>
        <w:pStyle w:val="Geenafstand"/>
        <w:rPr>
          <w:rFonts w:ascii="Verdana" w:hAnsi="Verdana"/>
          <w:sz w:val="18"/>
          <w:szCs w:val="18"/>
        </w:rPr>
      </w:pPr>
      <w:r w:rsidRPr="00FF46E3">
        <w:rPr>
          <w:rFonts w:ascii="Verdana" w:hAnsi="Verdana"/>
          <w:sz w:val="18"/>
          <w:szCs w:val="18"/>
        </w:rPr>
        <w:t>In artikel 34, tweede lid, NIS2-richtlijn is bepaald dat bestuurlijke boete</w:t>
      </w:r>
      <w:r w:rsidRPr="00FF46E3" w:rsidR="006812F5">
        <w:rPr>
          <w:rFonts w:ascii="Verdana" w:hAnsi="Verdana"/>
          <w:sz w:val="18"/>
          <w:szCs w:val="18"/>
        </w:rPr>
        <w:t>s</w:t>
      </w:r>
      <w:r w:rsidRPr="00FF46E3">
        <w:rPr>
          <w:rFonts w:ascii="Verdana" w:hAnsi="Verdana"/>
          <w:sz w:val="18"/>
          <w:szCs w:val="18"/>
        </w:rPr>
        <w:t xml:space="preserve"> aan </w:t>
      </w:r>
      <w:r w:rsidRPr="00FF46E3" w:rsidR="009D00C8">
        <w:rPr>
          <w:rFonts w:ascii="Verdana" w:hAnsi="Verdana"/>
          <w:sz w:val="18"/>
          <w:szCs w:val="18"/>
        </w:rPr>
        <w:t xml:space="preserve">essentiële entiteiten en belangrijke entiteiten worden opgelegd bovenop </w:t>
      </w:r>
      <w:r w:rsidRPr="00FF46E3" w:rsidR="007278E9">
        <w:rPr>
          <w:rFonts w:ascii="Verdana" w:hAnsi="Verdana"/>
          <w:sz w:val="18"/>
          <w:szCs w:val="18"/>
        </w:rPr>
        <w:t xml:space="preserve">de maatregelen die in dat artikel zijn genoemd. Het gaat hierbij om maatregelen zoals een waarschuwing, aanwijzing, last of verplichting om een overtreding openbaar te maken. </w:t>
      </w:r>
      <w:r w:rsidRPr="00FF46E3" w:rsidR="000F0A65">
        <w:rPr>
          <w:rFonts w:ascii="Verdana" w:hAnsi="Verdana"/>
          <w:sz w:val="18"/>
          <w:szCs w:val="18"/>
        </w:rPr>
        <w:t xml:space="preserve">De </w:t>
      </w:r>
      <w:r w:rsidRPr="00FF46E3" w:rsidR="007F6903">
        <w:rPr>
          <w:rFonts w:ascii="Verdana" w:hAnsi="Verdana"/>
          <w:sz w:val="18"/>
          <w:szCs w:val="18"/>
        </w:rPr>
        <w:t>toezichthoudende instantie</w:t>
      </w:r>
      <w:r w:rsidRPr="00FF46E3" w:rsidR="000F0A65">
        <w:rPr>
          <w:rFonts w:ascii="Verdana" w:hAnsi="Verdana"/>
          <w:sz w:val="18"/>
          <w:szCs w:val="18"/>
        </w:rPr>
        <w:t xml:space="preserve"> kan dus alleen een bestuurlijke boete opleggen aan een </w:t>
      </w:r>
      <w:r w:rsidRPr="00FF46E3" w:rsidR="009D00C8">
        <w:rPr>
          <w:rFonts w:ascii="Verdana" w:hAnsi="Verdana"/>
          <w:sz w:val="18"/>
          <w:szCs w:val="18"/>
        </w:rPr>
        <w:t>essentiële entiteit of belangrijke entiteit tezamen met of nadat één of meer van de</w:t>
      </w:r>
      <w:r w:rsidRPr="00FF46E3" w:rsidR="007278E9">
        <w:rPr>
          <w:rFonts w:ascii="Verdana" w:hAnsi="Verdana"/>
          <w:sz w:val="18"/>
          <w:szCs w:val="18"/>
        </w:rPr>
        <w:t>ze m</w:t>
      </w:r>
      <w:r w:rsidRPr="00FF46E3" w:rsidR="009D00C8">
        <w:rPr>
          <w:rFonts w:ascii="Verdana" w:hAnsi="Verdana"/>
          <w:sz w:val="18"/>
          <w:szCs w:val="18"/>
        </w:rPr>
        <w:t xml:space="preserve">aatregelen zijn genomen. De richtlijn bevat </w:t>
      </w:r>
      <w:r w:rsidRPr="00FF46E3" w:rsidR="00DF435F">
        <w:rPr>
          <w:rFonts w:ascii="Verdana" w:hAnsi="Verdana"/>
          <w:sz w:val="18"/>
          <w:szCs w:val="18"/>
        </w:rPr>
        <w:t>niet zo’n</w:t>
      </w:r>
      <w:r w:rsidRPr="00FF46E3" w:rsidR="009D00C8">
        <w:rPr>
          <w:rFonts w:ascii="Verdana" w:hAnsi="Verdana"/>
          <w:sz w:val="18"/>
          <w:szCs w:val="18"/>
        </w:rPr>
        <w:t xml:space="preserve"> bepaling ten aanzien van bestuurlijke boete</w:t>
      </w:r>
      <w:r w:rsidRPr="00FF46E3" w:rsidR="00F410E6">
        <w:rPr>
          <w:rFonts w:ascii="Verdana" w:hAnsi="Verdana"/>
          <w:sz w:val="18"/>
          <w:szCs w:val="18"/>
        </w:rPr>
        <w:t>s</w:t>
      </w:r>
      <w:r w:rsidRPr="00FF46E3" w:rsidR="009D00C8">
        <w:rPr>
          <w:rFonts w:ascii="Verdana" w:hAnsi="Verdana"/>
          <w:sz w:val="18"/>
          <w:szCs w:val="18"/>
        </w:rPr>
        <w:t xml:space="preserve"> die worden opgelegd aan entiteiten die domeinnaamregistratiediensten verlenen. </w:t>
      </w:r>
    </w:p>
    <w:p w:rsidRPr="00FF46E3" w:rsidR="008A6FBD" w:rsidP="008A6FBD" w:rsidRDefault="00E74B36" w14:paraId="35C5D813" w14:textId="260A1DEC">
      <w:pPr>
        <w:pStyle w:val="Geenafstand"/>
        <w:rPr>
          <w:rFonts w:ascii="Verdana" w:hAnsi="Verdana"/>
          <w:sz w:val="18"/>
          <w:szCs w:val="18"/>
        </w:rPr>
      </w:pPr>
      <w:r w:rsidRPr="00FF46E3">
        <w:rPr>
          <w:rFonts w:ascii="Verdana" w:hAnsi="Verdana"/>
          <w:sz w:val="18"/>
          <w:szCs w:val="18"/>
        </w:rPr>
        <w:t xml:space="preserve">De </w:t>
      </w:r>
      <w:r w:rsidRPr="00FF46E3" w:rsidR="007F6903">
        <w:rPr>
          <w:rFonts w:ascii="Verdana" w:hAnsi="Verdana" w:cstheme="minorHAnsi"/>
          <w:sz w:val="18"/>
          <w:szCs w:val="18"/>
        </w:rPr>
        <w:t>toezichthoudende instantie</w:t>
      </w:r>
      <w:r w:rsidRPr="00FF46E3" w:rsidDel="004A5163">
        <w:rPr>
          <w:rFonts w:ascii="Verdana" w:hAnsi="Verdana"/>
          <w:sz w:val="18"/>
          <w:szCs w:val="18"/>
        </w:rPr>
        <w:t xml:space="preserve"> </w:t>
      </w:r>
      <w:r w:rsidRPr="00FF46E3">
        <w:rPr>
          <w:rFonts w:ascii="Verdana" w:hAnsi="Verdana"/>
          <w:sz w:val="18"/>
          <w:szCs w:val="18"/>
        </w:rPr>
        <w:t xml:space="preserve">is altijd, en dus ook bij het opleggen van een bestuurlijke boete, gehouden aan de </w:t>
      </w:r>
      <w:proofErr w:type="spellStart"/>
      <w:r w:rsidRPr="00FF46E3">
        <w:rPr>
          <w:rFonts w:ascii="Verdana" w:hAnsi="Verdana"/>
          <w:sz w:val="18"/>
          <w:szCs w:val="18"/>
        </w:rPr>
        <w:t>Awb</w:t>
      </w:r>
      <w:proofErr w:type="spellEnd"/>
      <w:r w:rsidRPr="00FF46E3">
        <w:rPr>
          <w:rFonts w:ascii="Verdana" w:hAnsi="Verdana"/>
          <w:sz w:val="18"/>
          <w:szCs w:val="18"/>
        </w:rPr>
        <w:t xml:space="preserve"> en de </w:t>
      </w:r>
      <w:r w:rsidRPr="00FF46E3" w:rsidR="00DF435F">
        <w:rPr>
          <w:rFonts w:ascii="Verdana" w:hAnsi="Verdana"/>
          <w:sz w:val="18"/>
          <w:szCs w:val="18"/>
        </w:rPr>
        <w:t xml:space="preserve">algemene </w:t>
      </w:r>
      <w:r w:rsidRPr="00FF46E3">
        <w:rPr>
          <w:rFonts w:ascii="Verdana" w:hAnsi="Verdana"/>
          <w:sz w:val="18"/>
          <w:szCs w:val="18"/>
        </w:rPr>
        <w:t xml:space="preserve">beginselen van behoorlijk bestuur. </w:t>
      </w:r>
      <w:r w:rsidRPr="00FF46E3" w:rsidR="00DF435F">
        <w:rPr>
          <w:rFonts w:ascii="Verdana" w:hAnsi="Verdana"/>
          <w:sz w:val="18"/>
          <w:szCs w:val="18"/>
        </w:rPr>
        <w:t>Zo dient d</w:t>
      </w:r>
      <w:r w:rsidRPr="00FF46E3" w:rsidR="008A6FBD">
        <w:rPr>
          <w:rFonts w:ascii="Verdana" w:hAnsi="Verdana"/>
          <w:sz w:val="18"/>
          <w:szCs w:val="18"/>
        </w:rPr>
        <w:t>e</w:t>
      </w:r>
      <w:r w:rsidRPr="00FF46E3" w:rsidR="0082429F">
        <w:rPr>
          <w:rFonts w:ascii="Verdana" w:hAnsi="Verdana"/>
          <w:sz w:val="18"/>
          <w:szCs w:val="18"/>
        </w:rPr>
        <w:t xml:space="preserve"> </w:t>
      </w:r>
      <w:r w:rsidRPr="00FF46E3" w:rsidR="007F6903">
        <w:rPr>
          <w:rFonts w:ascii="Verdana" w:hAnsi="Verdana"/>
          <w:sz w:val="18"/>
          <w:szCs w:val="18"/>
        </w:rPr>
        <w:t>toezichthoudende instantie</w:t>
      </w:r>
      <w:r w:rsidRPr="00FF46E3" w:rsidR="008A6FBD">
        <w:rPr>
          <w:rFonts w:ascii="Verdana" w:hAnsi="Verdana"/>
          <w:sz w:val="18"/>
          <w:szCs w:val="18"/>
        </w:rPr>
        <w:t xml:space="preserve"> de beslissing om een bestuurlijke boete </w:t>
      </w:r>
      <w:r w:rsidRPr="00FF46E3" w:rsidR="00DF435F">
        <w:rPr>
          <w:rFonts w:ascii="Verdana" w:hAnsi="Verdana"/>
          <w:sz w:val="18"/>
          <w:szCs w:val="18"/>
        </w:rPr>
        <w:t xml:space="preserve">op te leggen </w:t>
      </w:r>
      <w:r w:rsidRPr="00FF46E3" w:rsidR="008A6FBD">
        <w:rPr>
          <w:rFonts w:ascii="Verdana" w:hAnsi="Verdana"/>
          <w:sz w:val="18"/>
          <w:szCs w:val="18"/>
        </w:rPr>
        <w:t xml:space="preserve">te motiveren en </w:t>
      </w:r>
      <w:r w:rsidRPr="00FF46E3">
        <w:rPr>
          <w:rFonts w:ascii="Verdana" w:hAnsi="Verdana"/>
          <w:sz w:val="18"/>
          <w:szCs w:val="18"/>
        </w:rPr>
        <w:t>toe te lichten</w:t>
      </w:r>
      <w:r w:rsidRPr="00FF46E3" w:rsidR="008A6FBD">
        <w:rPr>
          <w:rFonts w:ascii="Verdana" w:hAnsi="Verdana"/>
          <w:sz w:val="18"/>
          <w:szCs w:val="18"/>
        </w:rPr>
        <w:t xml:space="preserve"> waarom een bestuurlijke boete in het specifieke geval evenredig en subsidiair is. </w:t>
      </w:r>
      <w:r w:rsidRPr="004E130C" w:rsidR="004E130C">
        <w:rPr>
          <w:rFonts w:ascii="Verdana" w:hAnsi="Verdana"/>
          <w:sz w:val="18"/>
          <w:szCs w:val="18"/>
        </w:rPr>
        <w:t>Ook dient zij een bestuurlijke boete aan te kondigen door middel van een voornemen van het opleggen van een bestuurlijke boete, waartegen een zienswijze kan worden ingediend.</w:t>
      </w:r>
      <w:r w:rsidR="004E130C">
        <w:rPr>
          <w:rFonts w:ascii="Verdana" w:hAnsi="Verdana"/>
          <w:sz w:val="18"/>
          <w:szCs w:val="18"/>
        </w:rPr>
        <w:t xml:space="preserve"> </w:t>
      </w:r>
      <w:r w:rsidRPr="00FF46E3" w:rsidR="008A6FBD">
        <w:rPr>
          <w:rFonts w:ascii="Verdana" w:hAnsi="Verdana"/>
          <w:sz w:val="18"/>
          <w:szCs w:val="18"/>
        </w:rPr>
        <w:t xml:space="preserve">Op grond van de </w:t>
      </w:r>
      <w:r w:rsidR="00482181">
        <w:rPr>
          <w:rFonts w:ascii="Verdana" w:hAnsi="Verdana"/>
          <w:sz w:val="18"/>
          <w:szCs w:val="18"/>
        </w:rPr>
        <w:t>NIS2-</w:t>
      </w:r>
      <w:r w:rsidRPr="00FF46E3" w:rsidR="008A6FBD">
        <w:rPr>
          <w:rFonts w:ascii="Verdana" w:hAnsi="Verdana"/>
          <w:sz w:val="18"/>
          <w:szCs w:val="18"/>
        </w:rPr>
        <w:t xml:space="preserve">richtlijn </w:t>
      </w:r>
      <w:r w:rsidRPr="00FF46E3">
        <w:rPr>
          <w:rFonts w:ascii="Verdana" w:hAnsi="Verdana"/>
          <w:sz w:val="18"/>
          <w:szCs w:val="18"/>
        </w:rPr>
        <w:t xml:space="preserve">(en daarmee ook in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w:t>
      </w:r>
      <w:r w:rsidRPr="00FF46E3" w:rsidR="008A6FBD">
        <w:rPr>
          <w:rFonts w:ascii="Verdana" w:hAnsi="Verdana"/>
          <w:sz w:val="18"/>
          <w:szCs w:val="18"/>
        </w:rPr>
        <w:t>is het dus in theorie mogelijk om direct na of gelijktijdig aan een waarschuwing een bestuurlijke boete op te leggen, maar</w:t>
      </w:r>
      <w:r w:rsidRPr="00FF46E3">
        <w:rPr>
          <w:rFonts w:ascii="Verdana" w:hAnsi="Verdana"/>
          <w:sz w:val="18"/>
          <w:szCs w:val="18"/>
        </w:rPr>
        <w:t xml:space="preserve"> </w:t>
      </w:r>
      <w:r w:rsidRPr="00482181" w:rsidR="00482181">
        <w:rPr>
          <w:rFonts w:ascii="Verdana" w:hAnsi="Verdana"/>
          <w:sz w:val="18"/>
          <w:szCs w:val="18"/>
        </w:rPr>
        <w:t>daarbij is de toezichthoudende instantie uiteraard gebonden aan het in acht nemen van de eerder genoemde waarborgen.</w:t>
      </w:r>
      <w:r w:rsidRPr="00FF46E3" w:rsidR="008A6FBD">
        <w:rPr>
          <w:rFonts w:ascii="Verdana" w:hAnsi="Verdana"/>
          <w:sz w:val="18"/>
          <w:szCs w:val="18"/>
        </w:rPr>
        <w:t xml:space="preserve"> </w:t>
      </w:r>
    </w:p>
    <w:p w:rsidRPr="00FF46E3" w:rsidR="008A6FBD" w:rsidP="008A6FBD" w:rsidRDefault="008A6FBD" w14:paraId="01FF2A4C" w14:textId="77777777">
      <w:pPr>
        <w:pStyle w:val="Geenafstand"/>
        <w:rPr>
          <w:rFonts w:ascii="Verdana" w:hAnsi="Verdana"/>
          <w:i/>
          <w:iCs/>
          <w:sz w:val="18"/>
          <w:szCs w:val="18"/>
        </w:rPr>
      </w:pPr>
    </w:p>
    <w:p w:rsidRPr="00FF46E3" w:rsidR="008A6FBD" w:rsidP="008A6FBD" w:rsidRDefault="008A6FBD" w14:paraId="35064D79" w14:textId="42516EAB">
      <w:pPr>
        <w:pStyle w:val="Geenafstand"/>
        <w:rPr>
          <w:rFonts w:ascii="Verdana" w:hAnsi="Verdana"/>
          <w:i/>
          <w:iCs/>
          <w:sz w:val="18"/>
          <w:szCs w:val="18"/>
        </w:rPr>
      </w:pPr>
      <w:bookmarkStart w:name="_Hlk148554719" w:id="91"/>
      <w:r w:rsidRPr="00FF46E3">
        <w:rPr>
          <w:rFonts w:ascii="Verdana" w:hAnsi="Verdana"/>
          <w:i/>
          <w:iCs/>
          <w:sz w:val="18"/>
          <w:szCs w:val="18"/>
        </w:rPr>
        <w:t>Boetemaximum overtreding zorgplicht</w:t>
      </w:r>
      <w:r w:rsidR="00987710">
        <w:rPr>
          <w:rFonts w:ascii="Verdana" w:hAnsi="Verdana"/>
          <w:i/>
          <w:iCs/>
          <w:sz w:val="18"/>
          <w:szCs w:val="18"/>
        </w:rPr>
        <w:t>,</w:t>
      </w:r>
      <w:r w:rsidRPr="00FF46E3">
        <w:rPr>
          <w:rFonts w:ascii="Verdana" w:hAnsi="Verdana"/>
          <w:i/>
          <w:iCs/>
          <w:sz w:val="18"/>
          <w:szCs w:val="18"/>
        </w:rPr>
        <w:t xml:space="preserve"> meldplicht</w:t>
      </w:r>
      <w:r w:rsidR="00987710">
        <w:rPr>
          <w:rFonts w:ascii="Verdana" w:hAnsi="Verdana"/>
          <w:i/>
          <w:iCs/>
          <w:sz w:val="18"/>
          <w:szCs w:val="18"/>
        </w:rPr>
        <w:t xml:space="preserve"> en verplichting tot het informeren van ontvangers van diensten</w:t>
      </w:r>
    </w:p>
    <w:bookmarkEnd w:id="91"/>
    <w:p w:rsidRPr="00FF46E3" w:rsidR="008A6FBD" w:rsidP="008A6FBD" w:rsidRDefault="008A6FBD" w14:paraId="4DD6E6B6" w14:textId="424FF314">
      <w:pPr>
        <w:pStyle w:val="Geenafstand"/>
        <w:rPr>
          <w:rFonts w:ascii="Verdana" w:hAnsi="Verdana"/>
          <w:sz w:val="18"/>
          <w:szCs w:val="18"/>
        </w:rPr>
      </w:pPr>
      <w:r w:rsidRPr="00FF46E3">
        <w:rPr>
          <w:rFonts w:ascii="Verdana" w:hAnsi="Verdana"/>
          <w:sz w:val="18"/>
          <w:szCs w:val="18"/>
        </w:rPr>
        <w:t>Alleen ten aanzien van de overtreding van de zorgplicht</w:t>
      </w:r>
      <w:r w:rsidR="00E37E6B">
        <w:rPr>
          <w:rFonts w:ascii="Verdana" w:hAnsi="Verdana"/>
          <w:sz w:val="18"/>
          <w:szCs w:val="18"/>
        </w:rPr>
        <w:t>,</w:t>
      </w:r>
      <w:r w:rsidRPr="00FF46E3">
        <w:rPr>
          <w:rFonts w:ascii="Verdana" w:hAnsi="Verdana"/>
          <w:sz w:val="18"/>
          <w:szCs w:val="18"/>
        </w:rPr>
        <w:t xml:space="preserve"> de meldplicht </w:t>
      </w:r>
      <w:r w:rsidR="00E37E6B">
        <w:rPr>
          <w:rFonts w:ascii="Verdana" w:hAnsi="Verdana"/>
          <w:sz w:val="18"/>
          <w:szCs w:val="18"/>
        </w:rPr>
        <w:t xml:space="preserve">en de verplichting tot het informeren van ontvangers van diensten </w:t>
      </w:r>
      <w:r w:rsidRPr="00FF46E3">
        <w:rPr>
          <w:rFonts w:ascii="Verdana" w:hAnsi="Verdana"/>
          <w:sz w:val="18"/>
          <w:szCs w:val="18"/>
        </w:rPr>
        <w:t xml:space="preserve">bevat de NIS2-richtlijn regels over de maximale hoogte van een bestuurlijke boete voor de overtreding van die verplichtingen. Artikel 34, vierde lid, NIS2-richtlijn schrijft voor dat de maximale hoogte van een boete voor </w:t>
      </w:r>
      <w:r w:rsidR="00E37E6B">
        <w:rPr>
          <w:rFonts w:ascii="Verdana" w:hAnsi="Verdana"/>
          <w:sz w:val="18"/>
          <w:szCs w:val="18"/>
        </w:rPr>
        <w:t>deze overtredingen</w:t>
      </w:r>
      <w:r w:rsidRPr="00FF46E3">
        <w:rPr>
          <w:rFonts w:ascii="Verdana" w:hAnsi="Verdana"/>
          <w:sz w:val="18"/>
          <w:szCs w:val="18"/>
        </w:rPr>
        <w:t xml:space="preserve"> door een essentiële entiteit betreft: </w:t>
      </w:r>
      <w:r w:rsidR="00DF2086">
        <w:rPr>
          <w:rFonts w:ascii="Verdana" w:hAnsi="Verdana"/>
          <w:sz w:val="18"/>
          <w:szCs w:val="18"/>
        </w:rPr>
        <w:t xml:space="preserve">€ </w:t>
      </w:r>
      <w:r w:rsidRPr="00FF46E3">
        <w:rPr>
          <w:rFonts w:ascii="Verdana" w:hAnsi="Verdana"/>
          <w:sz w:val="18"/>
          <w:szCs w:val="18"/>
        </w:rPr>
        <w:t>10</w:t>
      </w:r>
      <w:r w:rsidR="00DF2086">
        <w:rPr>
          <w:rFonts w:ascii="Verdana" w:hAnsi="Verdana"/>
          <w:sz w:val="18"/>
          <w:szCs w:val="18"/>
        </w:rPr>
        <w:t>.000.000,-</w:t>
      </w:r>
      <w:r w:rsidRPr="00FF46E3">
        <w:rPr>
          <w:rFonts w:ascii="Verdana" w:hAnsi="Verdana"/>
          <w:sz w:val="18"/>
          <w:szCs w:val="18"/>
        </w:rPr>
        <w:t xml:space="preserve"> of 2% van de totale wereldwijde jaaromzet in het voorgaande boekjaar</w:t>
      </w:r>
      <w:r w:rsidRPr="00FF46E3" w:rsidR="00E04733">
        <w:rPr>
          <w:rFonts w:ascii="Verdana" w:hAnsi="Verdana"/>
          <w:sz w:val="18"/>
          <w:szCs w:val="18"/>
        </w:rPr>
        <w:t xml:space="preserve"> als dat laatste leidt tot een hoger bedrag</w:t>
      </w:r>
      <w:r w:rsidRPr="00FF46E3">
        <w:rPr>
          <w:rFonts w:ascii="Verdana" w:hAnsi="Verdana"/>
          <w:sz w:val="18"/>
          <w:szCs w:val="18"/>
        </w:rPr>
        <w:t xml:space="preserve">. Artikel 34, vijfde lid, NIS2-richtlijn schrijft </w:t>
      </w:r>
      <w:r w:rsidRPr="00FF46E3" w:rsidR="00DF435F">
        <w:rPr>
          <w:rFonts w:ascii="Verdana" w:hAnsi="Verdana"/>
          <w:sz w:val="18"/>
          <w:szCs w:val="18"/>
        </w:rPr>
        <w:t xml:space="preserve">verder </w:t>
      </w:r>
      <w:r w:rsidRPr="00FF46E3">
        <w:rPr>
          <w:rFonts w:ascii="Verdana" w:hAnsi="Verdana"/>
          <w:sz w:val="18"/>
          <w:szCs w:val="18"/>
        </w:rPr>
        <w:t xml:space="preserve">voor dat de maximale hoogte van een boete voor de overtreding </w:t>
      </w:r>
      <w:r w:rsidR="00E37E6B">
        <w:rPr>
          <w:rFonts w:ascii="Verdana" w:hAnsi="Verdana"/>
          <w:sz w:val="18"/>
          <w:szCs w:val="18"/>
        </w:rPr>
        <w:t>deze overtredingen</w:t>
      </w:r>
      <w:r w:rsidRPr="00FF46E3">
        <w:rPr>
          <w:rFonts w:ascii="Verdana" w:hAnsi="Verdana"/>
          <w:sz w:val="18"/>
          <w:szCs w:val="18"/>
        </w:rPr>
        <w:t xml:space="preserve"> door een belangrijke entiteit betreft: </w:t>
      </w:r>
      <w:r w:rsidR="00DF2086">
        <w:rPr>
          <w:rFonts w:ascii="Verdana" w:hAnsi="Verdana"/>
          <w:sz w:val="18"/>
          <w:szCs w:val="18"/>
        </w:rPr>
        <w:t xml:space="preserve">€ </w:t>
      </w:r>
      <w:r w:rsidRPr="00FF46E3">
        <w:rPr>
          <w:rFonts w:ascii="Verdana" w:hAnsi="Verdana"/>
          <w:sz w:val="18"/>
          <w:szCs w:val="18"/>
        </w:rPr>
        <w:t>7</w:t>
      </w:r>
      <w:r w:rsidR="00DF2086">
        <w:rPr>
          <w:rFonts w:ascii="Verdana" w:hAnsi="Verdana"/>
          <w:sz w:val="18"/>
          <w:szCs w:val="18"/>
        </w:rPr>
        <w:t>.000.000,-</w:t>
      </w:r>
      <w:r w:rsidRPr="00FF46E3" w:rsidR="003D52B5">
        <w:rPr>
          <w:rFonts w:ascii="Verdana" w:hAnsi="Verdana"/>
          <w:sz w:val="18"/>
          <w:szCs w:val="18"/>
        </w:rPr>
        <w:t xml:space="preserve"> </w:t>
      </w:r>
      <w:r w:rsidRPr="00FF46E3">
        <w:rPr>
          <w:rFonts w:ascii="Verdana" w:hAnsi="Verdana"/>
          <w:sz w:val="18"/>
          <w:szCs w:val="18"/>
        </w:rPr>
        <w:t xml:space="preserve">of </w:t>
      </w:r>
      <w:r w:rsidRPr="00FF46E3">
        <w:rPr>
          <w:rFonts w:ascii="Verdana" w:hAnsi="Verdana" w:eastAsia="Calibri"/>
          <w:sz w:val="18"/>
          <w:szCs w:val="18"/>
        </w:rPr>
        <w:t>1,4% van de totale wereldwijde jaaromzet in het voorgaande boekjaar</w:t>
      </w:r>
      <w:r w:rsidRPr="00FF46E3" w:rsidR="00E04733">
        <w:rPr>
          <w:rFonts w:ascii="Verdana" w:hAnsi="Verdana"/>
          <w:sz w:val="18"/>
          <w:szCs w:val="18"/>
        </w:rPr>
        <w:t xml:space="preserve"> als dat laatste leidt tot een hoger bedrag</w:t>
      </w:r>
      <w:r w:rsidRPr="00FF46E3">
        <w:rPr>
          <w:rFonts w:ascii="Verdana" w:hAnsi="Verdana" w:eastAsia="Calibri"/>
          <w:sz w:val="18"/>
          <w:szCs w:val="18"/>
        </w:rPr>
        <w:t xml:space="preserve">. </w:t>
      </w:r>
    </w:p>
    <w:p w:rsidR="00987710" w:rsidP="008A6FBD" w:rsidRDefault="00987710" w14:paraId="3A00B689" w14:textId="77777777">
      <w:pPr>
        <w:pStyle w:val="Geenafstand"/>
        <w:rPr>
          <w:rFonts w:ascii="Verdana" w:hAnsi="Verdana"/>
          <w:i/>
          <w:iCs/>
          <w:sz w:val="18"/>
          <w:szCs w:val="18"/>
        </w:rPr>
      </w:pPr>
      <w:bookmarkStart w:name="_Hlk148555275" w:id="92"/>
    </w:p>
    <w:p w:rsidRPr="00FF46E3" w:rsidR="008A6FBD" w:rsidP="008A6FBD" w:rsidRDefault="008A6FBD" w14:paraId="3F9389E3" w14:textId="087EF3DF">
      <w:pPr>
        <w:pStyle w:val="Geenafstand"/>
        <w:rPr>
          <w:rFonts w:ascii="Verdana" w:hAnsi="Verdana"/>
          <w:i/>
          <w:iCs/>
          <w:sz w:val="18"/>
          <w:szCs w:val="18"/>
        </w:rPr>
      </w:pPr>
      <w:r w:rsidRPr="00FF46E3">
        <w:rPr>
          <w:rFonts w:ascii="Verdana" w:hAnsi="Verdana"/>
          <w:i/>
          <w:iCs/>
          <w:sz w:val="18"/>
          <w:szCs w:val="18"/>
        </w:rPr>
        <w:t>Boetemaximum overtreding overige verplichtingen</w:t>
      </w:r>
      <w:r w:rsidR="00987710">
        <w:rPr>
          <w:rFonts w:ascii="Verdana" w:hAnsi="Verdana"/>
          <w:i/>
          <w:iCs/>
          <w:sz w:val="18"/>
          <w:szCs w:val="18"/>
        </w:rPr>
        <w:t xml:space="preserve"> door entiteiten</w:t>
      </w:r>
    </w:p>
    <w:bookmarkEnd w:id="92"/>
    <w:p w:rsidRPr="00FF46E3" w:rsidR="008A6FBD" w:rsidP="008A6FBD" w:rsidRDefault="008A6FBD" w14:paraId="1A1D8F27" w14:textId="6493812B">
      <w:pPr>
        <w:pStyle w:val="Geenafstand"/>
        <w:rPr>
          <w:rFonts w:ascii="Verdana" w:hAnsi="Verdana"/>
          <w:sz w:val="18"/>
          <w:szCs w:val="18"/>
        </w:rPr>
      </w:pPr>
      <w:r w:rsidRPr="00FF46E3">
        <w:rPr>
          <w:rFonts w:ascii="Verdana" w:hAnsi="Verdana"/>
          <w:sz w:val="18"/>
          <w:szCs w:val="18"/>
        </w:rPr>
        <w:t>Naast de zorgplicht</w:t>
      </w:r>
      <w:r w:rsidR="00E37E6B">
        <w:rPr>
          <w:rFonts w:ascii="Verdana" w:hAnsi="Verdana"/>
          <w:sz w:val="18"/>
          <w:szCs w:val="18"/>
        </w:rPr>
        <w:t>,</w:t>
      </w:r>
      <w:r w:rsidRPr="00FF46E3">
        <w:rPr>
          <w:rFonts w:ascii="Verdana" w:hAnsi="Verdana"/>
          <w:sz w:val="18"/>
          <w:szCs w:val="18"/>
        </w:rPr>
        <w:t xml:space="preserve"> de meldplicht</w:t>
      </w:r>
      <w:r w:rsidR="00E37E6B">
        <w:rPr>
          <w:rFonts w:ascii="Verdana" w:hAnsi="Verdana"/>
          <w:sz w:val="18"/>
          <w:szCs w:val="18"/>
        </w:rPr>
        <w:t xml:space="preserve"> en de verplichting tot het informeren van ontvangers van diensten</w:t>
      </w:r>
      <w:r w:rsidRPr="00FF46E3">
        <w:rPr>
          <w:rFonts w:ascii="Verdana" w:hAnsi="Verdana"/>
          <w:sz w:val="18"/>
          <w:szCs w:val="18"/>
        </w:rPr>
        <w:t xml:space="preserve"> bevat </w:t>
      </w:r>
      <w:r w:rsidRPr="00FF46E3" w:rsidR="006F2395">
        <w:rPr>
          <w:rFonts w:ascii="Verdana" w:hAnsi="Verdana"/>
          <w:sz w:val="18"/>
          <w:szCs w:val="18"/>
        </w:rPr>
        <w:t xml:space="preserve">de </w:t>
      </w:r>
      <w:proofErr w:type="spellStart"/>
      <w:r w:rsidRPr="00FF46E3" w:rsidR="006F2395">
        <w:rPr>
          <w:rFonts w:ascii="Verdana" w:hAnsi="Verdana"/>
          <w:sz w:val="18"/>
          <w:szCs w:val="18"/>
        </w:rPr>
        <w:t>Cbw</w:t>
      </w:r>
      <w:proofErr w:type="spellEnd"/>
      <w:r w:rsidRPr="00FF46E3">
        <w:rPr>
          <w:rFonts w:ascii="Verdana" w:hAnsi="Verdana"/>
          <w:sz w:val="18"/>
          <w:szCs w:val="18"/>
        </w:rPr>
        <w:t xml:space="preserve"> ook andere verplichtingen</w:t>
      </w:r>
      <w:r w:rsidR="001759BE">
        <w:rPr>
          <w:rFonts w:ascii="Verdana" w:hAnsi="Verdana"/>
          <w:sz w:val="18"/>
          <w:szCs w:val="18"/>
        </w:rPr>
        <w:t xml:space="preserve"> voor entiteiten</w:t>
      </w:r>
      <w:r w:rsidR="00987710">
        <w:rPr>
          <w:rFonts w:ascii="Verdana" w:hAnsi="Verdana"/>
          <w:sz w:val="18"/>
          <w:szCs w:val="18"/>
        </w:rPr>
        <w:t xml:space="preserve">. Een voorbeeld hiervan is </w:t>
      </w:r>
      <w:r w:rsidRPr="00FF46E3">
        <w:rPr>
          <w:rFonts w:ascii="Verdana" w:hAnsi="Verdana"/>
          <w:sz w:val="18"/>
          <w:szCs w:val="18"/>
        </w:rPr>
        <w:t xml:space="preserve">de verplichting voor entiteiten om informatie te verstrekken ten behoeve van </w:t>
      </w:r>
      <w:r w:rsidRPr="00FF46E3" w:rsidR="00E04733">
        <w:rPr>
          <w:rFonts w:ascii="Verdana" w:hAnsi="Verdana"/>
          <w:sz w:val="18"/>
          <w:szCs w:val="18"/>
        </w:rPr>
        <w:t>het national</w:t>
      </w:r>
      <w:r w:rsidRPr="00FF46E3" w:rsidR="005D077A">
        <w:rPr>
          <w:rFonts w:ascii="Verdana" w:hAnsi="Verdana"/>
          <w:sz w:val="18"/>
          <w:szCs w:val="18"/>
        </w:rPr>
        <w:t>e</w:t>
      </w:r>
      <w:r w:rsidRPr="00FF46E3" w:rsidR="00E04733">
        <w:rPr>
          <w:rFonts w:ascii="Verdana" w:hAnsi="Verdana"/>
          <w:sz w:val="18"/>
          <w:szCs w:val="18"/>
        </w:rPr>
        <w:t xml:space="preserve"> register </w:t>
      </w:r>
      <w:r w:rsidRPr="00FF46E3" w:rsidR="005D077A">
        <w:rPr>
          <w:rFonts w:ascii="Verdana" w:hAnsi="Verdana"/>
          <w:sz w:val="18"/>
          <w:szCs w:val="18"/>
        </w:rPr>
        <w:t xml:space="preserve">van entiteiten </w:t>
      </w:r>
      <w:r w:rsidRPr="00FF46E3" w:rsidR="00E04733">
        <w:rPr>
          <w:rFonts w:ascii="Verdana" w:hAnsi="Verdana"/>
          <w:sz w:val="18"/>
          <w:szCs w:val="18"/>
        </w:rPr>
        <w:t xml:space="preserve">(artikel </w:t>
      </w:r>
      <w:r w:rsidR="0098350C">
        <w:rPr>
          <w:rFonts w:ascii="Verdana" w:hAnsi="Verdana"/>
          <w:sz w:val="18"/>
          <w:szCs w:val="18"/>
        </w:rPr>
        <w:t>44</w:t>
      </w:r>
      <w:r w:rsidRPr="00FF46E3" w:rsidR="0098350C">
        <w:rPr>
          <w:rFonts w:ascii="Verdana" w:hAnsi="Verdana"/>
          <w:sz w:val="18"/>
          <w:szCs w:val="18"/>
        </w:rPr>
        <w:t xml:space="preserve"> </w:t>
      </w:r>
      <w:proofErr w:type="spellStart"/>
      <w:r w:rsidRPr="00FF46E3" w:rsidR="00FF74D3">
        <w:rPr>
          <w:rFonts w:ascii="Verdana" w:hAnsi="Verdana"/>
          <w:sz w:val="18"/>
          <w:szCs w:val="18"/>
        </w:rPr>
        <w:t>Cbw</w:t>
      </w:r>
      <w:proofErr w:type="spellEnd"/>
      <w:r w:rsidRPr="00FF46E3" w:rsidR="00E04733">
        <w:rPr>
          <w:rFonts w:ascii="Verdana" w:hAnsi="Verdana"/>
          <w:sz w:val="18"/>
          <w:szCs w:val="18"/>
        </w:rPr>
        <w:t>)</w:t>
      </w:r>
      <w:r w:rsidRPr="00FF46E3">
        <w:rPr>
          <w:rFonts w:ascii="Verdana" w:hAnsi="Verdana"/>
          <w:sz w:val="18"/>
          <w:szCs w:val="18"/>
        </w:rPr>
        <w:t xml:space="preserve">. Voor wat betreft een bestuurlijke boete voor de overtreding van </w:t>
      </w:r>
      <w:r w:rsidR="00987710">
        <w:rPr>
          <w:rFonts w:ascii="Verdana" w:hAnsi="Verdana"/>
          <w:sz w:val="18"/>
          <w:szCs w:val="18"/>
        </w:rPr>
        <w:t xml:space="preserve">die andere verplichtingen, die gelden voor entiteiten, </w:t>
      </w:r>
      <w:r w:rsidRPr="00FF46E3">
        <w:rPr>
          <w:rFonts w:ascii="Verdana" w:hAnsi="Verdana"/>
          <w:sz w:val="18"/>
          <w:szCs w:val="18"/>
        </w:rPr>
        <w:t xml:space="preserve">is gekozen voor een maximum van </w:t>
      </w:r>
      <w:r w:rsidR="00DF2086">
        <w:rPr>
          <w:rFonts w:ascii="Verdana" w:hAnsi="Verdana"/>
          <w:sz w:val="18"/>
          <w:szCs w:val="18"/>
        </w:rPr>
        <w:t xml:space="preserve">€ </w:t>
      </w:r>
      <w:r w:rsidRPr="00FF46E3">
        <w:rPr>
          <w:rFonts w:ascii="Verdana" w:hAnsi="Verdana"/>
          <w:sz w:val="18"/>
          <w:szCs w:val="18"/>
        </w:rPr>
        <w:t>1</w:t>
      </w:r>
      <w:r w:rsidR="00DF2086">
        <w:rPr>
          <w:rFonts w:ascii="Verdana" w:hAnsi="Verdana"/>
          <w:sz w:val="18"/>
          <w:szCs w:val="18"/>
        </w:rPr>
        <w:t>.000.000,-</w:t>
      </w:r>
      <w:r w:rsidRPr="00FF46E3">
        <w:rPr>
          <w:rFonts w:ascii="Verdana" w:hAnsi="Verdana"/>
          <w:sz w:val="18"/>
          <w:szCs w:val="18"/>
        </w:rPr>
        <w:t xml:space="preserve">. Dat betreft een voortzetting van de gekozen lijn in het kader van de implementatie van de NIS1-richtlijn in nationale wet- en regelgeving. Hierbij is toegelicht dat een boetemaximum van </w:t>
      </w:r>
      <w:r w:rsidR="00DF2086">
        <w:rPr>
          <w:rFonts w:ascii="Verdana" w:hAnsi="Verdana"/>
          <w:sz w:val="18"/>
          <w:szCs w:val="18"/>
        </w:rPr>
        <w:t xml:space="preserve">€ </w:t>
      </w:r>
      <w:r w:rsidRPr="00FF46E3">
        <w:rPr>
          <w:rFonts w:ascii="Verdana" w:hAnsi="Verdana"/>
          <w:sz w:val="18"/>
          <w:szCs w:val="18"/>
        </w:rPr>
        <w:t>1</w:t>
      </w:r>
      <w:r w:rsidR="00DF2086">
        <w:rPr>
          <w:rFonts w:ascii="Verdana" w:hAnsi="Verdana"/>
          <w:sz w:val="18"/>
          <w:szCs w:val="18"/>
        </w:rPr>
        <w:t>.000.000,-</w:t>
      </w:r>
      <w:r w:rsidRPr="00FF46E3">
        <w:rPr>
          <w:rFonts w:ascii="Verdana" w:hAnsi="Verdana"/>
          <w:sz w:val="18"/>
          <w:szCs w:val="18"/>
        </w:rPr>
        <w:t xml:space="preserve"> de sectorale </w:t>
      </w:r>
      <w:r w:rsidRPr="00FF46E3" w:rsidR="008935EC">
        <w:rPr>
          <w:rFonts w:ascii="Verdana" w:hAnsi="Verdana"/>
          <w:sz w:val="18"/>
          <w:szCs w:val="18"/>
        </w:rPr>
        <w:t>toezichthoude</w:t>
      </w:r>
      <w:r w:rsidRPr="00FF46E3" w:rsidR="0082429F">
        <w:rPr>
          <w:rFonts w:ascii="Verdana" w:hAnsi="Verdana"/>
          <w:sz w:val="18"/>
          <w:szCs w:val="18"/>
        </w:rPr>
        <w:t>r</w:t>
      </w:r>
      <w:r w:rsidRPr="00FF46E3">
        <w:rPr>
          <w:rFonts w:ascii="Verdana" w:hAnsi="Verdana"/>
          <w:sz w:val="18"/>
          <w:szCs w:val="18"/>
        </w:rPr>
        <w:t xml:space="preserve"> die uit hoofde van bestaande wetgeving al bevoegd is om een bestuurlijke boete op te leggen de ruimte biedt om voor de boetebedragen aan te sluiten bij de boetehoogtes die in die sector passend zijn.</w:t>
      </w:r>
      <w:r w:rsidRPr="00FF46E3">
        <w:rPr>
          <w:rFonts w:ascii="Verdana" w:hAnsi="Verdana"/>
          <w:sz w:val="18"/>
          <w:szCs w:val="18"/>
          <w:vertAlign w:val="superscript"/>
        </w:rPr>
        <w:footnoteReference w:id="55"/>
      </w:r>
      <w:r w:rsidRPr="00FF46E3" w:rsidR="00514471">
        <w:rPr>
          <w:rFonts w:ascii="Verdana" w:hAnsi="Verdana"/>
          <w:sz w:val="18"/>
          <w:szCs w:val="18"/>
        </w:rPr>
        <w:t xml:space="preserve"> </w:t>
      </w:r>
      <w:r w:rsidRPr="00FF46E3" w:rsidR="00684799">
        <w:rPr>
          <w:rFonts w:ascii="Verdana" w:hAnsi="Verdana"/>
          <w:sz w:val="18"/>
          <w:szCs w:val="18"/>
        </w:rPr>
        <w:t>Bij het maximeren van de boete voor dergelijke overtredingen</w:t>
      </w:r>
      <w:r w:rsidRPr="00FF46E3" w:rsidR="00EA661F">
        <w:rPr>
          <w:rFonts w:ascii="Verdana" w:hAnsi="Verdana"/>
          <w:sz w:val="18"/>
          <w:szCs w:val="18"/>
        </w:rPr>
        <w:t xml:space="preserve"> </w:t>
      </w:r>
      <w:r w:rsidRPr="00FF46E3">
        <w:rPr>
          <w:rFonts w:ascii="Verdana" w:hAnsi="Verdana"/>
          <w:sz w:val="18"/>
          <w:szCs w:val="18"/>
        </w:rPr>
        <w:t>speelt tevens mee dat het hoge boetemaximum dat geldt bij de overtreding van de zorgplicht</w:t>
      </w:r>
      <w:r w:rsidR="00E37E6B">
        <w:rPr>
          <w:rFonts w:ascii="Verdana" w:hAnsi="Verdana"/>
          <w:sz w:val="18"/>
          <w:szCs w:val="18"/>
        </w:rPr>
        <w:t>,</w:t>
      </w:r>
      <w:r w:rsidRPr="00FF46E3">
        <w:rPr>
          <w:rFonts w:ascii="Verdana" w:hAnsi="Verdana"/>
          <w:sz w:val="18"/>
          <w:szCs w:val="18"/>
        </w:rPr>
        <w:t xml:space="preserve"> de meldplicht</w:t>
      </w:r>
      <w:r w:rsidR="00E37E6B">
        <w:rPr>
          <w:rFonts w:ascii="Verdana" w:hAnsi="Verdana"/>
          <w:sz w:val="18"/>
          <w:szCs w:val="18"/>
        </w:rPr>
        <w:t xml:space="preserve"> en de verplichting tot het informeren van ontvangers van diensten</w:t>
      </w:r>
      <w:r w:rsidRPr="00FF46E3">
        <w:rPr>
          <w:rFonts w:ascii="Verdana" w:hAnsi="Verdana"/>
          <w:sz w:val="18"/>
          <w:szCs w:val="18"/>
        </w:rPr>
        <w:t xml:space="preserve"> (</w:t>
      </w:r>
      <w:r w:rsidR="00DF2086">
        <w:rPr>
          <w:rFonts w:ascii="Verdana" w:hAnsi="Verdana"/>
          <w:sz w:val="18"/>
          <w:szCs w:val="18"/>
        </w:rPr>
        <w:t xml:space="preserve">€ </w:t>
      </w:r>
      <w:r w:rsidRPr="00FF46E3">
        <w:rPr>
          <w:rFonts w:ascii="Verdana" w:hAnsi="Verdana"/>
          <w:sz w:val="18"/>
          <w:szCs w:val="18"/>
        </w:rPr>
        <w:t>10</w:t>
      </w:r>
      <w:r w:rsidR="00DF2086">
        <w:rPr>
          <w:rFonts w:ascii="Verdana" w:hAnsi="Verdana"/>
          <w:sz w:val="18"/>
          <w:szCs w:val="18"/>
        </w:rPr>
        <w:t>.000.000,-</w:t>
      </w:r>
      <w:r w:rsidRPr="00FF46E3">
        <w:rPr>
          <w:rFonts w:ascii="Verdana" w:hAnsi="Verdana"/>
          <w:sz w:val="18"/>
          <w:szCs w:val="18"/>
        </w:rPr>
        <w:t xml:space="preserve"> of 2% van de totale wereldwijde jaaromzet in het voorgaande boekjaar, of </w:t>
      </w:r>
      <w:r w:rsidR="00DF2086">
        <w:rPr>
          <w:rFonts w:ascii="Verdana" w:hAnsi="Verdana"/>
          <w:sz w:val="18"/>
          <w:szCs w:val="18"/>
        </w:rPr>
        <w:t xml:space="preserve">€ </w:t>
      </w:r>
      <w:r w:rsidRPr="00FF46E3">
        <w:rPr>
          <w:rFonts w:ascii="Verdana" w:hAnsi="Verdana"/>
          <w:sz w:val="18"/>
          <w:szCs w:val="18"/>
        </w:rPr>
        <w:t>7</w:t>
      </w:r>
      <w:r w:rsidR="00DF2086">
        <w:rPr>
          <w:rFonts w:ascii="Verdana" w:hAnsi="Verdana"/>
          <w:sz w:val="18"/>
          <w:szCs w:val="18"/>
        </w:rPr>
        <w:t>.000.000,-</w:t>
      </w:r>
      <w:r w:rsidRPr="00FF46E3">
        <w:rPr>
          <w:rFonts w:ascii="Verdana" w:hAnsi="Verdana"/>
          <w:sz w:val="18"/>
          <w:szCs w:val="18"/>
        </w:rPr>
        <w:t xml:space="preserve"> of </w:t>
      </w:r>
      <w:r w:rsidRPr="00FF46E3">
        <w:rPr>
          <w:rFonts w:ascii="Verdana" w:hAnsi="Verdana" w:eastAsia="Calibri"/>
          <w:sz w:val="18"/>
          <w:szCs w:val="18"/>
        </w:rPr>
        <w:t>1,4 % van de totale wereldwijde jaaromzet in het voorgaande boekjaar) niet evenredig is in</w:t>
      </w:r>
      <w:r w:rsidRPr="00FF46E3">
        <w:rPr>
          <w:rFonts w:ascii="Verdana" w:hAnsi="Verdana"/>
          <w:sz w:val="18"/>
          <w:szCs w:val="18"/>
        </w:rPr>
        <w:t xml:space="preserve"> verhouding tot de aard van de</w:t>
      </w:r>
      <w:r w:rsidR="00E37E6B">
        <w:rPr>
          <w:rFonts w:ascii="Verdana" w:hAnsi="Verdana"/>
          <w:sz w:val="18"/>
          <w:szCs w:val="18"/>
        </w:rPr>
        <w:t xml:space="preserve"> overige</w:t>
      </w:r>
      <w:r w:rsidRPr="00FF46E3">
        <w:rPr>
          <w:rFonts w:ascii="Verdana" w:hAnsi="Verdana"/>
          <w:sz w:val="18"/>
          <w:szCs w:val="18"/>
        </w:rPr>
        <w:t xml:space="preserve"> overtreding</w:t>
      </w:r>
      <w:r w:rsidR="00E37E6B">
        <w:rPr>
          <w:rFonts w:ascii="Verdana" w:hAnsi="Verdana"/>
          <w:sz w:val="18"/>
          <w:szCs w:val="18"/>
        </w:rPr>
        <w:t>en</w:t>
      </w:r>
      <w:r w:rsidRPr="00FF46E3">
        <w:rPr>
          <w:rFonts w:ascii="Verdana" w:hAnsi="Verdana"/>
          <w:sz w:val="18"/>
          <w:szCs w:val="18"/>
        </w:rPr>
        <w:t xml:space="preserve">. </w:t>
      </w:r>
    </w:p>
    <w:p w:rsidR="00987710" w:rsidP="00987710" w:rsidRDefault="00987710" w14:paraId="3E7405E0" w14:textId="77777777">
      <w:pPr>
        <w:pStyle w:val="Geenafstand"/>
        <w:rPr>
          <w:rFonts w:ascii="Verdana" w:hAnsi="Verdana"/>
          <w:i/>
          <w:iCs/>
          <w:sz w:val="18"/>
          <w:szCs w:val="18"/>
        </w:rPr>
      </w:pPr>
    </w:p>
    <w:p w:rsidRPr="00987710" w:rsidR="00987710" w:rsidP="00987710" w:rsidRDefault="00987710" w14:paraId="0573BD92" w14:textId="148A87B3">
      <w:pPr>
        <w:pStyle w:val="Geenafstand"/>
        <w:rPr>
          <w:rFonts w:ascii="Verdana" w:hAnsi="Verdana"/>
          <w:i/>
          <w:iCs/>
          <w:sz w:val="18"/>
          <w:szCs w:val="18"/>
        </w:rPr>
      </w:pPr>
      <w:r>
        <w:rPr>
          <w:rFonts w:ascii="Verdana" w:hAnsi="Verdana"/>
          <w:i/>
          <w:iCs/>
          <w:sz w:val="18"/>
          <w:szCs w:val="18"/>
        </w:rPr>
        <w:t xml:space="preserve">Boetemaximum overtreding verplichtingen bij of krachtens </w:t>
      </w:r>
      <w:r w:rsidRPr="00987710">
        <w:rPr>
          <w:rFonts w:ascii="Verdana" w:hAnsi="Verdana"/>
          <w:i/>
          <w:iCs/>
          <w:sz w:val="18"/>
          <w:szCs w:val="18"/>
        </w:rPr>
        <w:t xml:space="preserve">artikel 24, tweede tot en met zesde lid, </w:t>
      </w:r>
      <w:proofErr w:type="spellStart"/>
      <w:r w:rsidRPr="00987710">
        <w:rPr>
          <w:rFonts w:ascii="Verdana" w:hAnsi="Verdana"/>
          <w:i/>
          <w:iCs/>
          <w:sz w:val="18"/>
          <w:szCs w:val="18"/>
        </w:rPr>
        <w:t>Cbw</w:t>
      </w:r>
      <w:proofErr w:type="spellEnd"/>
    </w:p>
    <w:p w:rsidRPr="00F07C8B" w:rsidR="00987710" w:rsidP="00987710" w:rsidRDefault="00F07C8B" w14:paraId="04123879" w14:textId="2E65E59A">
      <w:pPr>
        <w:pStyle w:val="Geenafstand"/>
        <w:rPr>
          <w:rFonts w:ascii="Verdana" w:hAnsi="Verdana"/>
          <w:sz w:val="18"/>
          <w:szCs w:val="18"/>
        </w:rPr>
      </w:pPr>
      <w:r>
        <w:rPr>
          <w:rFonts w:ascii="Verdana" w:hAnsi="Verdana"/>
          <w:sz w:val="18"/>
          <w:szCs w:val="18"/>
        </w:rPr>
        <w:t xml:space="preserve">Het boetemaximum </w:t>
      </w:r>
      <w:r w:rsidRPr="00F07C8B" w:rsidR="00987710">
        <w:rPr>
          <w:rFonts w:ascii="Verdana" w:hAnsi="Verdana"/>
          <w:sz w:val="18"/>
          <w:szCs w:val="18"/>
        </w:rPr>
        <w:t xml:space="preserve">voor een overtreding van het bepaalde bij of krachtens artikel 24, tweede tot en met zesde lid, </w:t>
      </w:r>
      <w:proofErr w:type="spellStart"/>
      <w:r w:rsidRPr="00F07C8B" w:rsidR="00987710">
        <w:rPr>
          <w:rFonts w:ascii="Verdana" w:hAnsi="Verdana"/>
          <w:sz w:val="18"/>
          <w:szCs w:val="18"/>
        </w:rPr>
        <w:t>Cbw</w:t>
      </w:r>
      <w:proofErr w:type="spellEnd"/>
      <w:r w:rsidRPr="00F07C8B" w:rsidR="00987710">
        <w:rPr>
          <w:rFonts w:ascii="Verdana" w:hAnsi="Verdana"/>
          <w:sz w:val="18"/>
          <w:szCs w:val="18"/>
        </w:rPr>
        <w:t xml:space="preserve"> </w:t>
      </w:r>
      <w:r>
        <w:rPr>
          <w:rFonts w:ascii="Verdana" w:hAnsi="Verdana"/>
          <w:sz w:val="18"/>
          <w:szCs w:val="18"/>
        </w:rPr>
        <w:t xml:space="preserve">is </w:t>
      </w:r>
      <w:r w:rsidRPr="00F07C8B" w:rsidR="00987710">
        <w:rPr>
          <w:rFonts w:ascii="Verdana" w:hAnsi="Verdana"/>
          <w:sz w:val="18"/>
          <w:szCs w:val="18"/>
        </w:rPr>
        <w:t xml:space="preserve">€ 25.000,-. Bij het bepalen van dit maximum is gekeken naar de kosten van trainingen over cyberbeveiliging die nu worden aangeboden, waarbij ook een punitief element is meegenomen. Verder is meegewogen wat een individuele bestuurder zou moeten kunnen dragen. </w:t>
      </w:r>
    </w:p>
    <w:p w:rsidRPr="00FF46E3" w:rsidR="00987710" w:rsidP="00987710" w:rsidRDefault="00987710" w14:paraId="4A0D221E" w14:textId="77777777">
      <w:pPr>
        <w:pStyle w:val="Geenafstand"/>
        <w:rPr>
          <w:rFonts w:ascii="Verdana" w:hAnsi="Verdana"/>
          <w:i/>
          <w:iCs/>
          <w:sz w:val="18"/>
          <w:szCs w:val="18"/>
        </w:rPr>
      </w:pPr>
    </w:p>
    <w:p w:rsidR="00C603BA" w:rsidP="00987710" w:rsidRDefault="00C603BA" w14:paraId="52253433" w14:textId="77777777">
      <w:pPr>
        <w:pStyle w:val="Geenafstand"/>
        <w:rPr>
          <w:rFonts w:ascii="Verdana" w:hAnsi="Verdana"/>
          <w:i/>
          <w:iCs/>
          <w:sz w:val="18"/>
          <w:szCs w:val="18"/>
        </w:rPr>
      </w:pPr>
      <w:bookmarkStart w:name="_Hlk148555082" w:id="93"/>
    </w:p>
    <w:p w:rsidRPr="00FF46E3" w:rsidR="00987710" w:rsidP="00987710" w:rsidRDefault="00987710" w14:paraId="6E4208AD" w14:textId="48071108">
      <w:pPr>
        <w:pStyle w:val="Geenafstand"/>
        <w:rPr>
          <w:rFonts w:ascii="Verdana" w:hAnsi="Verdana"/>
          <w:i/>
          <w:iCs/>
          <w:sz w:val="18"/>
          <w:szCs w:val="18"/>
        </w:rPr>
      </w:pPr>
      <w:r w:rsidRPr="00FF46E3">
        <w:rPr>
          <w:rFonts w:ascii="Verdana" w:hAnsi="Verdana"/>
          <w:i/>
          <w:iCs/>
          <w:sz w:val="18"/>
          <w:szCs w:val="18"/>
        </w:rPr>
        <w:lastRenderedPageBreak/>
        <w:t xml:space="preserve">Boetemaximum overtreding medewerkingsplicht </w:t>
      </w:r>
    </w:p>
    <w:p w:rsidR="00987710" w:rsidP="00987710" w:rsidRDefault="00987710" w14:paraId="7653D679" w14:textId="77777777">
      <w:pPr>
        <w:pStyle w:val="Geenafstand"/>
        <w:rPr>
          <w:rFonts w:ascii="Verdana" w:hAnsi="Verdana"/>
          <w:sz w:val="18"/>
          <w:szCs w:val="18"/>
        </w:rPr>
      </w:pPr>
      <w:bookmarkStart w:name="_Hlk148555096" w:id="94"/>
      <w:bookmarkEnd w:id="93"/>
      <w:r>
        <w:rPr>
          <w:rFonts w:ascii="Verdana" w:hAnsi="Verdana"/>
          <w:sz w:val="18"/>
          <w:szCs w:val="18"/>
        </w:rPr>
        <w:t xml:space="preserve">Een ieder is verplicht om </w:t>
      </w:r>
      <w:bookmarkStart w:name="_Hlk174568338" w:id="95"/>
      <w:r w:rsidRPr="00FF46E3">
        <w:rPr>
          <w:rFonts w:ascii="Verdana" w:hAnsi="Verdana"/>
          <w:sz w:val="18"/>
          <w:szCs w:val="18"/>
        </w:rPr>
        <w:t>een toezichthouder binnen de door hem gestelde redelijke termijn alle medewerking te verlenen die deze redelijkerwijs kan vorderen bij de uitoefening van zijn bevoegdheden</w:t>
      </w:r>
      <w:bookmarkEnd w:id="95"/>
      <w:r w:rsidRPr="00FF46E3">
        <w:rPr>
          <w:rFonts w:ascii="Verdana" w:hAnsi="Verdana"/>
          <w:sz w:val="18"/>
          <w:szCs w:val="18"/>
        </w:rPr>
        <w:t xml:space="preserve">. </w:t>
      </w:r>
      <w:bookmarkEnd w:id="94"/>
      <w:r>
        <w:rPr>
          <w:rFonts w:ascii="Verdana" w:hAnsi="Verdana"/>
          <w:sz w:val="18"/>
          <w:szCs w:val="18"/>
        </w:rPr>
        <w:t xml:space="preserve">Deze verplichting is neergelegd in </w:t>
      </w:r>
      <w:r w:rsidRPr="00FF46E3">
        <w:rPr>
          <w:rFonts w:ascii="Verdana" w:hAnsi="Verdana"/>
          <w:sz w:val="18"/>
          <w:szCs w:val="18"/>
        </w:rPr>
        <w:t xml:space="preserve">artikel 5:20 </w:t>
      </w:r>
      <w:proofErr w:type="spellStart"/>
      <w:r w:rsidRPr="00FF46E3">
        <w:rPr>
          <w:rFonts w:ascii="Verdana" w:hAnsi="Verdana"/>
          <w:sz w:val="18"/>
          <w:szCs w:val="18"/>
        </w:rPr>
        <w:t>Awb</w:t>
      </w:r>
      <w:proofErr w:type="spellEnd"/>
      <w:r>
        <w:rPr>
          <w:rFonts w:ascii="Verdana" w:hAnsi="Verdana"/>
          <w:sz w:val="18"/>
          <w:szCs w:val="18"/>
        </w:rPr>
        <w:t>.</w:t>
      </w:r>
      <w:r w:rsidRPr="00FF46E3">
        <w:rPr>
          <w:rFonts w:ascii="Verdana" w:hAnsi="Verdana"/>
          <w:sz w:val="18"/>
          <w:szCs w:val="18"/>
        </w:rPr>
        <w:t xml:space="preserve"> Voor het boetemaximum van een bestuurlijke boete voor de overtreding van deze verplichting is gekozen voor het bedrag van </w:t>
      </w:r>
      <w:r>
        <w:rPr>
          <w:rFonts w:ascii="Verdana" w:hAnsi="Verdana"/>
          <w:sz w:val="18"/>
          <w:szCs w:val="18"/>
        </w:rPr>
        <w:t>€ 1.000.000,- voor zover het gaat om een essentiële entiteit, belangrijke entiteit of entiteit die domeinnaamregistratiediensten verleent</w:t>
      </w:r>
      <w:r w:rsidRPr="00FF46E3">
        <w:rPr>
          <w:rFonts w:ascii="Verdana" w:hAnsi="Verdana"/>
          <w:sz w:val="18"/>
          <w:szCs w:val="18"/>
        </w:rPr>
        <w:t>.</w:t>
      </w:r>
      <w:r>
        <w:rPr>
          <w:rFonts w:ascii="Verdana" w:hAnsi="Verdana"/>
          <w:sz w:val="18"/>
          <w:szCs w:val="18"/>
        </w:rPr>
        <w:t xml:space="preserve"> Voor zover het gaat om de niet-medewerking door een lid van het bestuur van een essentiële entiteit of belangrijke entiteit in verband met de in artikel 24, tweede tot en met zesde lid, </w:t>
      </w:r>
      <w:proofErr w:type="spellStart"/>
      <w:r>
        <w:rPr>
          <w:rFonts w:ascii="Verdana" w:hAnsi="Verdana"/>
          <w:sz w:val="18"/>
          <w:szCs w:val="18"/>
        </w:rPr>
        <w:t>Cbw</w:t>
      </w:r>
      <w:proofErr w:type="spellEnd"/>
      <w:r>
        <w:rPr>
          <w:rFonts w:ascii="Verdana" w:hAnsi="Verdana"/>
          <w:sz w:val="18"/>
          <w:szCs w:val="18"/>
        </w:rPr>
        <w:t xml:space="preserve"> opgenomen verplichtingen, is gekozen voor een boetemaximum van € 25.000,-. </w:t>
      </w:r>
    </w:p>
    <w:p w:rsidR="00987710" w:rsidP="00987710" w:rsidRDefault="00987710" w14:paraId="0957D154" w14:textId="77777777">
      <w:pPr>
        <w:pStyle w:val="Geenafstand"/>
        <w:rPr>
          <w:rStyle w:val="GeenafstandChar"/>
          <w:rFonts w:ascii="Verdana" w:hAnsi="Verdana"/>
          <w:sz w:val="18"/>
          <w:szCs w:val="18"/>
        </w:rPr>
      </w:pPr>
      <w:r w:rsidRPr="00FF46E3">
        <w:rPr>
          <w:rFonts w:ascii="Verdana" w:hAnsi="Verdana"/>
          <w:sz w:val="18"/>
          <w:szCs w:val="18"/>
        </w:rPr>
        <w:t xml:space="preserve">De reden voor deze keuze is als volgt. </w:t>
      </w:r>
      <w:r w:rsidRPr="006B7D03">
        <w:rPr>
          <w:rStyle w:val="GeenafstandChar"/>
          <w:rFonts w:ascii="Verdana" w:hAnsi="Verdana"/>
          <w:sz w:val="18"/>
          <w:szCs w:val="18"/>
        </w:rPr>
        <w:t>D</w:t>
      </w:r>
      <w:r>
        <w:rPr>
          <w:rStyle w:val="GeenafstandChar"/>
          <w:rFonts w:ascii="Verdana" w:hAnsi="Verdana"/>
          <w:sz w:val="18"/>
          <w:szCs w:val="18"/>
        </w:rPr>
        <w:t xml:space="preserve">eze maximale hoogten zorgen ervoor dat de toezichthouder wegens overtreding van artikel 5:20 </w:t>
      </w:r>
      <w:proofErr w:type="spellStart"/>
      <w:r>
        <w:rPr>
          <w:rStyle w:val="GeenafstandChar"/>
          <w:rFonts w:ascii="Verdana" w:hAnsi="Verdana"/>
          <w:sz w:val="18"/>
          <w:szCs w:val="18"/>
        </w:rPr>
        <w:t>Awb</w:t>
      </w:r>
      <w:proofErr w:type="spellEnd"/>
      <w:r>
        <w:rPr>
          <w:rStyle w:val="GeenafstandChar"/>
          <w:rFonts w:ascii="Verdana" w:hAnsi="Verdana"/>
          <w:sz w:val="18"/>
          <w:szCs w:val="18"/>
        </w:rPr>
        <w:t xml:space="preserve"> een bestuurlijke boete kan opleggen die doeltreffend en afschrikkend is, en staan in verhouding tot de boetemaxima voor overtredingen van verplichtingen uit de </w:t>
      </w:r>
      <w:proofErr w:type="spellStart"/>
      <w:r>
        <w:rPr>
          <w:rStyle w:val="GeenafstandChar"/>
          <w:rFonts w:ascii="Verdana" w:hAnsi="Verdana"/>
          <w:sz w:val="18"/>
          <w:szCs w:val="18"/>
        </w:rPr>
        <w:t>Cbw</w:t>
      </w:r>
      <w:proofErr w:type="spellEnd"/>
      <w:r>
        <w:rPr>
          <w:rStyle w:val="GeenafstandChar"/>
          <w:rFonts w:ascii="Verdana" w:hAnsi="Verdana"/>
          <w:sz w:val="18"/>
          <w:szCs w:val="18"/>
        </w:rPr>
        <w:t xml:space="preserve">. De gekozen boetemaxima (en dus niet lagere maxima) voorkomt dat de toezichthouder een bestuurlijke boete kan opleggen van slechts geringe hoogte, waardoor entiteiten of bestuursleden bewust kiezen voor het accepteren van de boete en niet meewerken aan een vordering van de toezichthouder. </w:t>
      </w:r>
    </w:p>
    <w:p w:rsidRPr="006B7D03" w:rsidR="00987710" w:rsidP="00987710" w:rsidRDefault="00987710" w14:paraId="09063040" w14:textId="77777777">
      <w:pPr>
        <w:pStyle w:val="Geenafstand"/>
        <w:rPr>
          <w:rFonts w:ascii="Verdana" w:hAnsi="Verdana"/>
          <w:sz w:val="18"/>
          <w:szCs w:val="18"/>
        </w:rPr>
      </w:pPr>
      <w:r>
        <w:rPr>
          <w:rStyle w:val="GeenafstandChar"/>
          <w:rFonts w:ascii="Verdana" w:hAnsi="Verdana"/>
          <w:sz w:val="18"/>
          <w:szCs w:val="18"/>
        </w:rPr>
        <w:t xml:space="preserve">Er wordt niet aangesloten bij </w:t>
      </w:r>
      <w:r w:rsidRPr="00FF46E3">
        <w:rPr>
          <w:rFonts w:ascii="Verdana" w:hAnsi="Verdana"/>
          <w:sz w:val="18"/>
          <w:szCs w:val="18"/>
        </w:rPr>
        <w:t xml:space="preserve">de maximale </w:t>
      </w:r>
      <w:r>
        <w:rPr>
          <w:rFonts w:ascii="Verdana" w:hAnsi="Verdana"/>
          <w:sz w:val="18"/>
          <w:szCs w:val="18"/>
        </w:rPr>
        <w:t>hoogte van de geld</w:t>
      </w:r>
      <w:r w:rsidRPr="00FF46E3">
        <w:rPr>
          <w:rFonts w:ascii="Verdana" w:hAnsi="Verdana"/>
          <w:sz w:val="18"/>
          <w:szCs w:val="18"/>
        </w:rPr>
        <w:t>boete die op grond van het strafrecht kan worden opgelegd voor eenzelfde overtreding</w:t>
      </w:r>
      <w:r>
        <w:rPr>
          <w:rFonts w:ascii="Verdana" w:hAnsi="Verdana"/>
          <w:sz w:val="18"/>
          <w:szCs w:val="18"/>
        </w:rPr>
        <w:t xml:space="preserve">. Dat betreft een overtreding van </w:t>
      </w:r>
      <w:r w:rsidRPr="00FF46E3">
        <w:rPr>
          <w:rFonts w:ascii="Verdana" w:hAnsi="Verdana"/>
          <w:sz w:val="18"/>
          <w:szCs w:val="18"/>
        </w:rPr>
        <w:t>artikel 184 Wetboek van Strafrecht</w:t>
      </w:r>
      <w:r>
        <w:rPr>
          <w:rFonts w:ascii="Verdana" w:hAnsi="Verdana"/>
          <w:sz w:val="18"/>
          <w:szCs w:val="18"/>
        </w:rPr>
        <w:t xml:space="preserve"> (over het</w:t>
      </w:r>
      <w:r w:rsidRPr="00FF46E3">
        <w:rPr>
          <w:rFonts w:ascii="Verdana" w:hAnsi="Verdana"/>
          <w:sz w:val="18"/>
          <w:szCs w:val="18"/>
        </w:rPr>
        <w:t xml:space="preserve"> opzettelijk niet voldoen aan een bevel of vordering van een ambtenaar</w:t>
      </w:r>
      <w:r>
        <w:rPr>
          <w:rFonts w:ascii="Verdana" w:hAnsi="Verdana"/>
          <w:sz w:val="18"/>
          <w:szCs w:val="18"/>
        </w:rPr>
        <w:t xml:space="preserve">), waarvoor per 1 januari 2024 het bedrag van </w:t>
      </w:r>
      <w:r w:rsidRPr="002F3EB1">
        <w:rPr>
          <w:rFonts w:ascii="Verdana" w:hAnsi="Verdana"/>
          <w:sz w:val="18"/>
          <w:szCs w:val="18"/>
        </w:rPr>
        <w:t>€ 5.150,-</w:t>
      </w:r>
      <w:r>
        <w:rPr>
          <w:rFonts w:ascii="Verdana" w:hAnsi="Verdana"/>
          <w:sz w:val="18"/>
          <w:szCs w:val="18"/>
        </w:rPr>
        <w:t xml:space="preserve"> geldt als maximum van de geldboete die voor een overtreding daarvan kan worden opgelegd. Deze hoogte is in het kader van de </w:t>
      </w:r>
      <w:proofErr w:type="spellStart"/>
      <w:r>
        <w:rPr>
          <w:rFonts w:ascii="Verdana" w:hAnsi="Verdana"/>
          <w:sz w:val="18"/>
          <w:szCs w:val="18"/>
        </w:rPr>
        <w:t>Cbw</w:t>
      </w:r>
      <w:proofErr w:type="spellEnd"/>
      <w:r>
        <w:rPr>
          <w:rFonts w:ascii="Verdana" w:hAnsi="Verdana"/>
          <w:sz w:val="18"/>
          <w:szCs w:val="18"/>
        </w:rPr>
        <w:t xml:space="preserve"> niet doeltreffend, niet afschrikwekkend en staat ook niet in verhouding tot de boetemaxima voor overtredingen van verplichtingen uit de </w:t>
      </w:r>
      <w:proofErr w:type="spellStart"/>
      <w:r>
        <w:rPr>
          <w:rFonts w:ascii="Verdana" w:hAnsi="Verdana"/>
          <w:sz w:val="18"/>
          <w:szCs w:val="18"/>
        </w:rPr>
        <w:t>Cbw</w:t>
      </w:r>
      <w:proofErr w:type="spellEnd"/>
      <w:r>
        <w:rPr>
          <w:rFonts w:ascii="Verdana" w:hAnsi="Verdana"/>
          <w:sz w:val="18"/>
          <w:szCs w:val="18"/>
        </w:rPr>
        <w:t xml:space="preserve">. </w:t>
      </w:r>
    </w:p>
    <w:p w:rsidR="00987710" w:rsidP="00987710" w:rsidRDefault="00987710" w14:paraId="4D75CB96" w14:textId="77777777">
      <w:pPr>
        <w:pStyle w:val="Geenafstand"/>
        <w:rPr>
          <w:rFonts w:ascii="Verdana" w:hAnsi="Verdana"/>
          <w:i/>
          <w:iCs/>
          <w:sz w:val="18"/>
          <w:szCs w:val="18"/>
        </w:rPr>
      </w:pPr>
    </w:p>
    <w:p w:rsidRPr="00FF46E3" w:rsidR="008A6FBD" w:rsidP="008A6FBD" w:rsidRDefault="008A6FBD" w14:paraId="35DF1687" w14:textId="77777777">
      <w:pPr>
        <w:pStyle w:val="Geenafstand"/>
        <w:rPr>
          <w:rFonts w:ascii="Verdana" w:hAnsi="Verdana"/>
          <w:i/>
          <w:sz w:val="18"/>
          <w:szCs w:val="18"/>
        </w:rPr>
      </w:pPr>
      <w:r w:rsidRPr="00FF46E3">
        <w:rPr>
          <w:rFonts w:ascii="Verdana" w:hAnsi="Verdana"/>
          <w:i/>
          <w:sz w:val="18"/>
          <w:szCs w:val="18"/>
        </w:rPr>
        <w:t xml:space="preserve">Boetemaximum overtredingen door entiteiten die domeinnaamregistratiediensten verlenen </w:t>
      </w:r>
    </w:p>
    <w:p w:rsidRPr="00FF46E3" w:rsidR="008A6FBD" w:rsidP="008A6FBD" w:rsidRDefault="008A6FBD" w14:paraId="4A701594" w14:textId="5920623C">
      <w:pPr>
        <w:pStyle w:val="Geenafstand"/>
        <w:rPr>
          <w:rFonts w:ascii="Verdana" w:hAnsi="Verdana"/>
          <w:sz w:val="18"/>
          <w:szCs w:val="18"/>
        </w:rPr>
      </w:pPr>
      <w:r w:rsidRPr="00FF46E3">
        <w:rPr>
          <w:rFonts w:ascii="Verdana" w:hAnsi="Verdana"/>
          <w:sz w:val="18"/>
          <w:szCs w:val="18"/>
        </w:rPr>
        <w:t xml:space="preserve">Bij het </w:t>
      </w:r>
      <w:r w:rsidRPr="00FF46E3" w:rsidR="00DF435F">
        <w:rPr>
          <w:rFonts w:ascii="Verdana" w:hAnsi="Verdana"/>
          <w:sz w:val="18"/>
          <w:szCs w:val="18"/>
        </w:rPr>
        <w:t>boete</w:t>
      </w:r>
      <w:r w:rsidRPr="00FF46E3">
        <w:rPr>
          <w:rFonts w:ascii="Verdana" w:hAnsi="Verdana"/>
          <w:sz w:val="18"/>
          <w:szCs w:val="18"/>
        </w:rPr>
        <w:t xml:space="preserve">maximum </w:t>
      </w:r>
      <w:r w:rsidRPr="00FF46E3" w:rsidR="00DF435F">
        <w:rPr>
          <w:rFonts w:ascii="Verdana" w:hAnsi="Verdana"/>
          <w:sz w:val="18"/>
          <w:szCs w:val="18"/>
        </w:rPr>
        <w:t xml:space="preserve">dat </w:t>
      </w:r>
      <w:r w:rsidRPr="00FF46E3">
        <w:rPr>
          <w:rFonts w:ascii="Verdana" w:hAnsi="Verdana"/>
          <w:sz w:val="18"/>
          <w:szCs w:val="18"/>
        </w:rPr>
        <w:t>k</w:t>
      </w:r>
      <w:r w:rsidRPr="00FF46E3" w:rsidR="00DF435F">
        <w:rPr>
          <w:rFonts w:ascii="Verdana" w:hAnsi="Verdana"/>
          <w:sz w:val="18"/>
          <w:szCs w:val="18"/>
        </w:rPr>
        <w:t>a</w:t>
      </w:r>
      <w:r w:rsidRPr="00FF46E3">
        <w:rPr>
          <w:rFonts w:ascii="Verdana" w:hAnsi="Verdana"/>
          <w:sz w:val="18"/>
          <w:szCs w:val="18"/>
        </w:rPr>
        <w:t xml:space="preserve">n worden opgelegd aan entiteiten die domeinnaamregistratiediensten verlenen moet een onderscheid worden gemaakt tussen zulke entiteiten die op grond van </w:t>
      </w:r>
      <w:r w:rsidRPr="00FF46E3" w:rsidR="00DC7B4C">
        <w:rPr>
          <w:rFonts w:ascii="Verdana" w:hAnsi="Verdana"/>
          <w:sz w:val="18"/>
          <w:szCs w:val="18"/>
        </w:rPr>
        <w:t xml:space="preserve">de </w:t>
      </w:r>
      <w:proofErr w:type="spellStart"/>
      <w:r w:rsidRPr="00FF46E3" w:rsidR="00DC7B4C">
        <w:rPr>
          <w:rFonts w:ascii="Verdana" w:hAnsi="Verdana"/>
          <w:sz w:val="18"/>
          <w:szCs w:val="18"/>
        </w:rPr>
        <w:t>Cbw</w:t>
      </w:r>
      <w:proofErr w:type="spellEnd"/>
      <w:r w:rsidRPr="00FF46E3">
        <w:rPr>
          <w:rFonts w:ascii="Verdana" w:hAnsi="Verdana"/>
          <w:sz w:val="18"/>
          <w:szCs w:val="18"/>
        </w:rPr>
        <w:t xml:space="preserve"> ook zijn aangemerkt of aangewezen als essentiële of belangrijke entiteit en entiteiten die niet ook als zodanig zijn aangemerkt of aangewezen. Als een entiteit die domeinnaamregistratiediensten verleent ook een essentiële of belangrijke entiteit is, dan gelden voor die entiteit ook de zorgplicht</w:t>
      </w:r>
      <w:r w:rsidR="00E37E6B">
        <w:rPr>
          <w:rFonts w:ascii="Verdana" w:hAnsi="Verdana"/>
          <w:sz w:val="18"/>
          <w:szCs w:val="18"/>
        </w:rPr>
        <w:t>,</w:t>
      </w:r>
      <w:r w:rsidRPr="00FF46E3">
        <w:rPr>
          <w:rFonts w:ascii="Verdana" w:hAnsi="Verdana"/>
          <w:sz w:val="18"/>
          <w:szCs w:val="18"/>
        </w:rPr>
        <w:t xml:space="preserve"> de meldplicht </w:t>
      </w:r>
      <w:r w:rsidR="00E37E6B">
        <w:rPr>
          <w:rFonts w:ascii="Verdana" w:hAnsi="Verdana"/>
          <w:sz w:val="18"/>
          <w:szCs w:val="18"/>
        </w:rPr>
        <w:t xml:space="preserve">en de verplichting tot het informeren van ontvangers van diensten </w:t>
      </w:r>
      <w:r w:rsidRPr="00FF46E3">
        <w:rPr>
          <w:rFonts w:ascii="Verdana" w:hAnsi="Verdana"/>
          <w:sz w:val="18"/>
          <w:szCs w:val="18"/>
        </w:rPr>
        <w:t xml:space="preserve">en de daarbij behorende boetemaxima. Als een entiteit die domeinnaamregistratiediensten verleent niet tevens een essentiële of belangrijke entiteit is, zijn deze verplichtingen niet op hen van toepassing en dus ook niet de daarbij behorende boetemaxima van </w:t>
      </w:r>
      <w:r w:rsidR="00DF2086">
        <w:rPr>
          <w:rFonts w:ascii="Verdana" w:hAnsi="Verdana"/>
          <w:sz w:val="18"/>
          <w:szCs w:val="18"/>
        </w:rPr>
        <w:t xml:space="preserve">€ </w:t>
      </w:r>
      <w:r w:rsidRPr="00FF46E3">
        <w:rPr>
          <w:rFonts w:ascii="Verdana" w:hAnsi="Verdana"/>
          <w:sz w:val="18"/>
          <w:szCs w:val="18"/>
        </w:rPr>
        <w:t>10</w:t>
      </w:r>
      <w:r w:rsidR="00DF2086">
        <w:rPr>
          <w:rFonts w:ascii="Verdana" w:hAnsi="Verdana"/>
          <w:sz w:val="18"/>
          <w:szCs w:val="18"/>
        </w:rPr>
        <w:t>.000.000,-</w:t>
      </w:r>
      <w:r w:rsidRPr="00FF46E3">
        <w:rPr>
          <w:rFonts w:ascii="Verdana" w:hAnsi="Verdana"/>
          <w:sz w:val="18"/>
          <w:szCs w:val="18"/>
        </w:rPr>
        <w:t xml:space="preserve"> of 2% van de totale wereldwijde jaaromzet in het voorgaande boekjaar, of </w:t>
      </w:r>
      <w:r w:rsidR="00DF2086">
        <w:rPr>
          <w:rFonts w:ascii="Verdana" w:hAnsi="Verdana"/>
          <w:sz w:val="18"/>
          <w:szCs w:val="18"/>
        </w:rPr>
        <w:t xml:space="preserve">€ </w:t>
      </w:r>
      <w:r w:rsidRPr="00FF46E3">
        <w:rPr>
          <w:rFonts w:ascii="Verdana" w:hAnsi="Verdana"/>
          <w:sz w:val="18"/>
          <w:szCs w:val="18"/>
        </w:rPr>
        <w:t>7</w:t>
      </w:r>
      <w:r w:rsidR="00DF2086">
        <w:rPr>
          <w:rFonts w:ascii="Verdana" w:hAnsi="Verdana"/>
          <w:sz w:val="18"/>
          <w:szCs w:val="18"/>
        </w:rPr>
        <w:t>.000.000,-</w:t>
      </w:r>
      <w:r w:rsidRPr="00FF46E3" w:rsidR="003D52B5">
        <w:rPr>
          <w:rFonts w:ascii="Verdana" w:hAnsi="Verdana"/>
          <w:sz w:val="18"/>
          <w:szCs w:val="18"/>
        </w:rPr>
        <w:t xml:space="preserve"> </w:t>
      </w:r>
      <w:r w:rsidRPr="00FF46E3">
        <w:rPr>
          <w:rFonts w:ascii="Verdana" w:hAnsi="Verdana"/>
          <w:sz w:val="18"/>
          <w:szCs w:val="18"/>
        </w:rPr>
        <w:t xml:space="preserve">of </w:t>
      </w:r>
      <w:r w:rsidRPr="00FF46E3">
        <w:rPr>
          <w:rFonts w:ascii="Verdana" w:hAnsi="Verdana" w:eastAsia="Calibri"/>
          <w:sz w:val="18"/>
          <w:szCs w:val="18"/>
        </w:rPr>
        <w:t>1,4% van de totale wereldwijde jaaromzet in het voorgaande boekjaar. In dat geval geldt alleen het boetemaximum van</w:t>
      </w:r>
      <w:r w:rsidR="008265E7">
        <w:rPr>
          <w:rFonts w:ascii="Verdana" w:hAnsi="Verdana" w:eastAsia="Calibri"/>
          <w:sz w:val="18"/>
          <w:szCs w:val="18"/>
        </w:rPr>
        <w:t xml:space="preserve"> </w:t>
      </w:r>
      <w:r w:rsidR="00DF2086">
        <w:rPr>
          <w:rFonts w:ascii="Verdana" w:hAnsi="Verdana"/>
          <w:sz w:val="18"/>
          <w:szCs w:val="18"/>
        </w:rPr>
        <w:t xml:space="preserve">€ </w:t>
      </w:r>
      <w:r w:rsidRPr="00FF46E3">
        <w:rPr>
          <w:rFonts w:ascii="Verdana" w:hAnsi="Verdana"/>
          <w:sz w:val="18"/>
          <w:szCs w:val="18"/>
        </w:rPr>
        <w:t>1</w:t>
      </w:r>
      <w:r w:rsidR="00DF2086">
        <w:rPr>
          <w:rFonts w:ascii="Verdana" w:hAnsi="Verdana"/>
          <w:sz w:val="18"/>
          <w:szCs w:val="18"/>
        </w:rPr>
        <w:t>.000.000,-</w:t>
      </w:r>
      <w:r w:rsidRPr="00FF46E3">
        <w:rPr>
          <w:rFonts w:ascii="Verdana" w:hAnsi="Verdana"/>
          <w:sz w:val="18"/>
          <w:szCs w:val="18"/>
        </w:rPr>
        <w:t xml:space="preserve"> voor de overtreding</w:t>
      </w:r>
      <w:r w:rsidR="00DF2086">
        <w:rPr>
          <w:rFonts w:ascii="Verdana" w:hAnsi="Verdana"/>
          <w:sz w:val="18"/>
          <w:szCs w:val="18"/>
        </w:rPr>
        <w:t>en</w:t>
      </w:r>
      <w:r w:rsidRPr="00FF46E3">
        <w:rPr>
          <w:rFonts w:ascii="Verdana" w:hAnsi="Verdana"/>
          <w:sz w:val="18"/>
          <w:szCs w:val="18"/>
        </w:rPr>
        <w:t>.</w:t>
      </w:r>
    </w:p>
    <w:p w:rsidRPr="00FF46E3" w:rsidR="008A6FBD" w:rsidP="008A6FBD" w:rsidRDefault="008A6FBD" w14:paraId="48F8B51E" w14:textId="77777777">
      <w:pPr>
        <w:pStyle w:val="Geenafstand"/>
        <w:rPr>
          <w:rFonts w:ascii="Verdana" w:hAnsi="Verdana"/>
          <w:sz w:val="18"/>
          <w:szCs w:val="18"/>
        </w:rPr>
      </w:pPr>
    </w:p>
    <w:p w:rsidRPr="00FF46E3" w:rsidR="008A6FBD" w:rsidP="008A6FBD" w:rsidRDefault="008A6FBD" w14:paraId="08491E63" w14:textId="77777777">
      <w:pPr>
        <w:pStyle w:val="Geenafstand"/>
        <w:rPr>
          <w:rFonts w:ascii="Verdana" w:hAnsi="Verdana"/>
          <w:i/>
          <w:sz w:val="18"/>
          <w:szCs w:val="18"/>
        </w:rPr>
      </w:pPr>
      <w:bookmarkStart w:name="_Hlk148555462" w:id="96"/>
      <w:r w:rsidRPr="00FF46E3">
        <w:rPr>
          <w:rFonts w:ascii="Verdana" w:hAnsi="Verdana"/>
          <w:i/>
          <w:sz w:val="18"/>
          <w:szCs w:val="18"/>
        </w:rPr>
        <w:t>Motivering bestuurlijke boete en hoogte daarvan</w:t>
      </w:r>
    </w:p>
    <w:bookmarkEnd w:id="96"/>
    <w:p w:rsidRPr="00FF46E3" w:rsidR="000A439D" w:rsidP="000A439D" w:rsidRDefault="000A439D" w14:paraId="626C6C56" w14:textId="4A657036">
      <w:pPr>
        <w:pStyle w:val="Geenafstand"/>
        <w:rPr>
          <w:rFonts w:ascii="Verdana" w:hAnsi="Verdana"/>
          <w:sz w:val="18"/>
          <w:szCs w:val="18"/>
        </w:rPr>
      </w:pPr>
      <w:r w:rsidRPr="00FF46E3">
        <w:rPr>
          <w:rFonts w:ascii="Verdana" w:hAnsi="Verdana"/>
          <w:sz w:val="18"/>
          <w:szCs w:val="18"/>
        </w:rPr>
        <w:t>Voor de goede orde wordt benadrukt dat het gaat om maximale hoogten van de op te leggen bestuurlijke boete</w:t>
      </w:r>
      <w:r w:rsidR="00E37E6B">
        <w:rPr>
          <w:rFonts w:ascii="Verdana" w:hAnsi="Verdana"/>
          <w:sz w:val="18"/>
          <w:szCs w:val="18"/>
        </w:rPr>
        <w:t>s</w:t>
      </w:r>
      <w:r w:rsidRPr="00FF46E3">
        <w:rPr>
          <w:rFonts w:ascii="Verdana" w:hAnsi="Verdana"/>
          <w:sz w:val="18"/>
          <w:szCs w:val="18"/>
        </w:rPr>
        <w:t xml:space="preserve">; de </w:t>
      </w:r>
      <w:r w:rsidRPr="00FF46E3" w:rsidR="007F6903">
        <w:rPr>
          <w:rFonts w:ascii="Verdana" w:hAnsi="Verdana"/>
          <w:sz w:val="18"/>
          <w:szCs w:val="18"/>
        </w:rPr>
        <w:t>toezichthoudende instantie</w:t>
      </w:r>
      <w:r w:rsidRPr="00FF46E3">
        <w:rPr>
          <w:rFonts w:ascii="Verdana" w:hAnsi="Verdana"/>
          <w:sz w:val="18"/>
          <w:szCs w:val="18"/>
        </w:rPr>
        <w:t xml:space="preserve"> kan uiteraard ook besluiten om over te gaan tot het opleggen van een bestuurlijke boete </w:t>
      </w:r>
      <w:r w:rsidRPr="00FF46E3" w:rsidR="00DF435F">
        <w:rPr>
          <w:rFonts w:ascii="Verdana" w:hAnsi="Verdana"/>
          <w:sz w:val="18"/>
          <w:szCs w:val="18"/>
        </w:rPr>
        <w:t>van een lager bedrag</w:t>
      </w:r>
      <w:r w:rsidRPr="00FF46E3">
        <w:rPr>
          <w:rFonts w:ascii="Verdana" w:hAnsi="Verdana"/>
          <w:sz w:val="18"/>
          <w:szCs w:val="18"/>
        </w:rPr>
        <w:t xml:space="preserve">. </w:t>
      </w:r>
    </w:p>
    <w:p w:rsidRPr="00FF46E3" w:rsidR="000A439D" w:rsidP="000A439D" w:rsidRDefault="000A439D" w14:paraId="7484FFD2" w14:textId="0C7E93D1">
      <w:pPr>
        <w:pStyle w:val="Geenafstand"/>
        <w:rPr>
          <w:rFonts w:ascii="Verdana" w:hAnsi="Verdana"/>
          <w:sz w:val="18"/>
          <w:szCs w:val="18"/>
        </w:rPr>
      </w:pPr>
      <w:r w:rsidRPr="00FF46E3">
        <w:rPr>
          <w:rFonts w:ascii="Verdana" w:hAnsi="Verdana"/>
          <w:sz w:val="18"/>
          <w:szCs w:val="18"/>
        </w:rPr>
        <w:t xml:space="preserve">De </w:t>
      </w:r>
      <w:r w:rsidRPr="00FF46E3" w:rsidR="007F6903">
        <w:rPr>
          <w:rFonts w:ascii="Verdana" w:hAnsi="Verdana" w:cstheme="minorHAnsi"/>
          <w:sz w:val="18"/>
          <w:szCs w:val="18"/>
        </w:rPr>
        <w:t>toezichthoudende instantie</w:t>
      </w:r>
      <w:r w:rsidRPr="00FF46E3">
        <w:rPr>
          <w:rFonts w:ascii="Verdana" w:hAnsi="Verdana" w:cstheme="minorHAnsi"/>
          <w:sz w:val="18"/>
          <w:szCs w:val="18"/>
        </w:rPr>
        <w:t xml:space="preserve"> </w:t>
      </w:r>
      <w:r w:rsidRPr="00FF46E3">
        <w:rPr>
          <w:rFonts w:ascii="Verdana" w:hAnsi="Verdana"/>
          <w:sz w:val="18"/>
          <w:szCs w:val="18"/>
        </w:rPr>
        <w:t xml:space="preserve">moet de beslissing om over te gaan </w:t>
      </w:r>
      <w:r w:rsidRPr="00FF46E3" w:rsidR="00DF435F">
        <w:rPr>
          <w:rFonts w:ascii="Verdana" w:hAnsi="Verdana"/>
          <w:sz w:val="18"/>
          <w:szCs w:val="18"/>
        </w:rPr>
        <w:t>tot het opleggen van</w:t>
      </w:r>
      <w:r w:rsidRPr="00FF46E3" w:rsidR="00F815E2">
        <w:rPr>
          <w:rFonts w:ascii="Verdana" w:hAnsi="Verdana"/>
          <w:sz w:val="18"/>
          <w:szCs w:val="18"/>
        </w:rPr>
        <w:t xml:space="preserve"> </w:t>
      </w:r>
      <w:r w:rsidRPr="00FF46E3">
        <w:rPr>
          <w:rFonts w:ascii="Verdana" w:hAnsi="Verdana"/>
          <w:sz w:val="18"/>
          <w:szCs w:val="18"/>
        </w:rPr>
        <w:t xml:space="preserve">een bestuurlijke boete en de hoogte daarvan afstemmen op de ernst van de overtreding en de mate waarin deze aan de overtreder kan worden verweten en daarbij zo nodig rekening moeten houden met de omstandigheden waaronder de overtreding is gepleegd (artikel 5:46, tweede lid, </w:t>
      </w:r>
      <w:proofErr w:type="spellStart"/>
      <w:r w:rsidRPr="00FF46E3">
        <w:rPr>
          <w:rFonts w:ascii="Verdana" w:hAnsi="Verdana"/>
          <w:sz w:val="18"/>
          <w:szCs w:val="18"/>
        </w:rPr>
        <w:t>Awb</w:t>
      </w:r>
      <w:proofErr w:type="spellEnd"/>
      <w:r w:rsidRPr="00FF46E3">
        <w:rPr>
          <w:rFonts w:ascii="Verdana" w:hAnsi="Verdana"/>
          <w:sz w:val="18"/>
          <w:szCs w:val="18"/>
        </w:rPr>
        <w:t xml:space="preserve">). Artikel 5:41 </w:t>
      </w:r>
      <w:proofErr w:type="spellStart"/>
      <w:r w:rsidRPr="00FF46E3">
        <w:rPr>
          <w:rFonts w:ascii="Verdana" w:hAnsi="Verdana"/>
          <w:sz w:val="18"/>
          <w:szCs w:val="18"/>
        </w:rPr>
        <w:t>Awb</w:t>
      </w:r>
      <w:proofErr w:type="spellEnd"/>
      <w:r w:rsidRPr="00FF46E3">
        <w:rPr>
          <w:rFonts w:ascii="Verdana" w:hAnsi="Verdana"/>
          <w:sz w:val="18"/>
          <w:szCs w:val="18"/>
        </w:rPr>
        <w:t xml:space="preserve"> bepaalt </w:t>
      </w:r>
      <w:r w:rsidRPr="00FF46E3" w:rsidR="00DF435F">
        <w:rPr>
          <w:rFonts w:ascii="Verdana" w:hAnsi="Verdana"/>
          <w:sz w:val="18"/>
          <w:szCs w:val="18"/>
        </w:rPr>
        <w:t xml:space="preserve">verder </w:t>
      </w:r>
      <w:r w:rsidRPr="00FF46E3">
        <w:rPr>
          <w:rFonts w:ascii="Verdana" w:hAnsi="Verdana"/>
          <w:sz w:val="18"/>
          <w:szCs w:val="18"/>
        </w:rPr>
        <w:t xml:space="preserve">dat er geen bestuurlijke boete wordt opgelegd voor zover de overtreding niet aan de overtreder kan worden verweten. Artikel 3:4 van de </w:t>
      </w:r>
      <w:proofErr w:type="spellStart"/>
      <w:r w:rsidRPr="00FF46E3">
        <w:rPr>
          <w:rFonts w:ascii="Verdana" w:hAnsi="Verdana"/>
          <w:sz w:val="18"/>
          <w:szCs w:val="18"/>
        </w:rPr>
        <w:t>Awb</w:t>
      </w:r>
      <w:proofErr w:type="spellEnd"/>
      <w:r w:rsidRPr="00FF46E3">
        <w:rPr>
          <w:rFonts w:ascii="Verdana" w:hAnsi="Verdana"/>
          <w:sz w:val="18"/>
          <w:szCs w:val="18"/>
        </w:rPr>
        <w:t xml:space="preserve"> is onverkort van toepassing bij het opleggen van de bestuurlijke boete door de </w:t>
      </w:r>
      <w:r w:rsidRPr="00FF46E3" w:rsidR="007F6903">
        <w:rPr>
          <w:rFonts w:ascii="Verdana" w:hAnsi="Verdana"/>
          <w:sz w:val="18"/>
          <w:szCs w:val="18"/>
        </w:rPr>
        <w:t>toezichthoudende instantie</w:t>
      </w:r>
      <w:r w:rsidRPr="00FF46E3">
        <w:rPr>
          <w:rFonts w:ascii="Verdana" w:hAnsi="Verdana"/>
          <w:sz w:val="18"/>
          <w:szCs w:val="18"/>
        </w:rPr>
        <w:t>.</w:t>
      </w:r>
    </w:p>
    <w:p w:rsidRPr="00FF46E3" w:rsidR="008A36D0" w:rsidP="008A6FBD" w:rsidRDefault="008A36D0" w14:paraId="73A7A001" w14:textId="31500EEC">
      <w:pPr>
        <w:pStyle w:val="Geenafstand"/>
        <w:rPr>
          <w:rFonts w:ascii="Verdana" w:hAnsi="Verdana"/>
          <w:sz w:val="18"/>
          <w:szCs w:val="18"/>
        </w:rPr>
      </w:pPr>
    </w:p>
    <w:p w:rsidRPr="00FF46E3" w:rsidR="00F740E9" w:rsidP="00C3466E" w:rsidRDefault="00F740E9" w14:paraId="011EC7E9" w14:textId="5CA77D89">
      <w:pPr>
        <w:pStyle w:val="Kop3"/>
      </w:pPr>
      <w:bookmarkStart w:name="_Toc198721092" w:id="97"/>
      <w:bookmarkStart w:name="_Hlk169085189" w:id="98"/>
      <w:r w:rsidRPr="00FF46E3">
        <w:t>5.</w:t>
      </w:r>
      <w:r w:rsidR="0043522B">
        <w:t>6</w:t>
      </w:r>
      <w:r w:rsidRPr="00FF46E3">
        <w:t>.</w:t>
      </w:r>
      <w:r w:rsidR="00A52718">
        <w:t>7</w:t>
      </w:r>
      <w:r w:rsidRPr="00FF46E3">
        <w:t xml:space="preserve"> </w:t>
      </w:r>
      <w:proofErr w:type="spellStart"/>
      <w:r w:rsidRPr="00FF46E3">
        <w:t>Overtrederschap</w:t>
      </w:r>
      <w:bookmarkEnd w:id="97"/>
      <w:proofErr w:type="spellEnd"/>
    </w:p>
    <w:p w:rsidRPr="00FF46E3" w:rsidR="008935EC" w:rsidP="00AA6C02" w:rsidRDefault="008935EC" w14:paraId="01A6C975" w14:textId="77777777">
      <w:pPr>
        <w:pStyle w:val="Geenafstand"/>
        <w:rPr>
          <w:rFonts w:ascii="Verdana" w:hAnsi="Verdana"/>
          <w:sz w:val="18"/>
          <w:szCs w:val="18"/>
        </w:rPr>
      </w:pPr>
      <w:bookmarkStart w:name="_Hlk146901129" w:id="99"/>
    </w:p>
    <w:p w:rsidRPr="00FD2EEB" w:rsidR="008453FD" w:rsidP="008453FD" w:rsidRDefault="008453FD" w14:paraId="5EE4A33A" w14:textId="77777777">
      <w:pPr>
        <w:pStyle w:val="Geenafstand"/>
        <w:rPr>
          <w:rFonts w:ascii="Verdana" w:hAnsi="Verdana"/>
          <w:sz w:val="18"/>
          <w:szCs w:val="18"/>
        </w:rPr>
      </w:pPr>
      <w:r w:rsidRPr="00FD2EEB">
        <w:rPr>
          <w:rFonts w:ascii="Verdana" w:hAnsi="Verdana"/>
          <w:sz w:val="18"/>
          <w:szCs w:val="18"/>
        </w:rPr>
        <w:t xml:space="preserve">In artikel 5:1, eerste lid, </w:t>
      </w:r>
      <w:proofErr w:type="spellStart"/>
      <w:r w:rsidRPr="00FD2EEB">
        <w:rPr>
          <w:rFonts w:ascii="Verdana" w:hAnsi="Verdana"/>
          <w:sz w:val="18"/>
          <w:szCs w:val="18"/>
        </w:rPr>
        <w:t>Awb</w:t>
      </w:r>
      <w:proofErr w:type="spellEnd"/>
      <w:r w:rsidRPr="00FD2EEB">
        <w:rPr>
          <w:rFonts w:ascii="Verdana" w:hAnsi="Verdana"/>
          <w:sz w:val="18"/>
          <w:szCs w:val="18"/>
        </w:rPr>
        <w:t xml:space="preserve"> is bepaald dat in de </w:t>
      </w:r>
      <w:proofErr w:type="spellStart"/>
      <w:r w:rsidRPr="00FD2EEB">
        <w:rPr>
          <w:rFonts w:ascii="Verdana" w:hAnsi="Verdana"/>
          <w:sz w:val="18"/>
          <w:szCs w:val="18"/>
        </w:rPr>
        <w:t>Awb</w:t>
      </w:r>
      <w:proofErr w:type="spellEnd"/>
      <w:r w:rsidRPr="00FD2EEB">
        <w:rPr>
          <w:rFonts w:ascii="Verdana" w:hAnsi="Verdana"/>
          <w:sz w:val="18"/>
          <w:szCs w:val="18"/>
        </w:rPr>
        <w:t xml:space="preserve"> wordt verstaan onder </w:t>
      </w:r>
      <w:r>
        <w:rPr>
          <w:rFonts w:ascii="Verdana" w:hAnsi="Verdana"/>
          <w:sz w:val="18"/>
          <w:szCs w:val="18"/>
        </w:rPr>
        <w:t xml:space="preserve">een </w:t>
      </w:r>
      <w:r w:rsidRPr="00FD2EEB">
        <w:rPr>
          <w:rFonts w:ascii="Verdana" w:hAnsi="Verdana"/>
          <w:sz w:val="18"/>
          <w:szCs w:val="18"/>
        </w:rPr>
        <w:t xml:space="preserve">overtreding: een gedraging die in strijd is met het bepaalde bij of krachtens enig wettelijk voorschrift. In artikel 5:1, tweede lid, </w:t>
      </w:r>
      <w:proofErr w:type="spellStart"/>
      <w:r w:rsidRPr="00FD2EEB">
        <w:rPr>
          <w:rFonts w:ascii="Verdana" w:hAnsi="Verdana"/>
          <w:sz w:val="18"/>
          <w:szCs w:val="18"/>
        </w:rPr>
        <w:t>Awb</w:t>
      </w:r>
      <w:proofErr w:type="spellEnd"/>
      <w:r w:rsidRPr="00FD2EEB">
        <w:rPr>
          <w:rFonts w:ascii="Verdana" w:hAnsi="Verdana"/>
          <w:sz w:val="18"/>
          <w:szCs w:val="18"/>
        </w:rPr>
        <w:t xml:space="preserve"> is bepaald dat onder overtreder wordt verstaan: degene die de overtreding pleegt of medepleegt. Artikel 5:1, derde lid, </w:t>
      </w:r>
      <w:proofErr w:type="spellStart"/>
      <w:r w:rsidRPr="00FD2EEB">
        <w:rPr>
          <w:rFonts w:ascii="Verdana" w:hAnsi="Verdana"/>
          <w:sz w:val="18"/>
          <w:szCs w:val="18"/>
        </w:rPr>
        <w:t>Awb</w:t>
      </w:r>
      <w:proofErr w:type="spellEnd"/>
      <w:r w:rsidRPr="00FD2EEB">
        <w:rPr>
          <w:rFonts w:ascii="Verdana" w:hAnsi="Verdana"/>
          <w:sz w:val="18"/>
          <w:szCs w:val="18"/>
        </w:rPr>
        <w:t xml:space="preserve"> bepaalt dat overtredingen kunnen worden begaan door </w:t>
      </w:r>
      <w:r w:rsidRPr="00FD2EEB">
        <w:rPr>
          <w:rFonts w:ascii="Verdana" w:hAnsi="Verdana"/>
          <w:sz w:val="18"/>
          <w:szCs w:val="18"/>
        </w:rPr>
        <w:lastRenderedPageBreak/>
        <w:t xml:space="preserve">natuurlijke personen en rechtspersonen en dat artikel 51, tweede en derde lid, Wetboek van Strafrecht van overeenkomstige toepassing is. Artikel 51, tweede lid, Wetboek van Strafrecht bepaalt dat indien een strafbaar feit wordt begaan door een rechtspersoon, de strafvervolging kan worden ingesteld en de in de wet voorziene straffen en maatregelen kunnen worden uitgesproken tegen die rechtspersoon, dan wel </w:t>
      </w:r>
      <w:r>
        <w:rPr>
          <w:rFonts w:ascii="Verdana" w:hAnsi="Verdana"/>
          <w:sz w:val="18"/>
          <w:szCs w:val="18"/>
        </w:rPr>
        <w:t>tegen de opdrachtgever of feitelijk leidinggevende</w:t>
      </w:r>
      <w:r w:rsidRPr="00FD2EEB">
        <w:rPr>
          <w:rFonts w:ascii="Verdana" w:hAnsi="Verdana"/>
          <w:sz w:val="18"/>
          <w:szCs w:val="18"/>
        </w:rPr>
        <w:t>, dan wel tegen de hiervoor genoemden tezamen. In artikel 51, derde lid, Wetboek van Strafrecht wordt voor de toepassing van het tweede lid met de rechtspersonen gelijkgesteld: de vennootschap zonder rechtspersoonlijkheid, de maatschap, de rederij en het doelvermogen.</w:t>
      </w:r>
    </w:p>
    <w:p w:rsidRPr="00FF46E3" w:rsidR="008935EC" w:rsidP="00AA6C02" w:rsidRDefault="008935EC" w14:paraId="16217C43" w14:textId="77777777">
      <w:pPr>
        <w:pStyle w:val="Geenafstand"/>
        <w:rPr>
          <w:rFonts w:ascii="Verdana" w:hAnsi="Verdana"/>
          <w:sz w:val="18"/>
          <w:szCs w:val="18"/>
        </w:rPr>
      </w:pPr>
    </w:p>
    <w:p w:rsidRPr="00FF46E3" w:rsidR="00AA6C02" w:rsidP="00AA6C02" w:rsidRDefault="00AA6C02" w14:paraId="1DCD5BBB" w14:textId="330D0910">
      <w:pPr>
        <w:pStyle w:val="Geenafstand"/>
        <w:rPr>
          <w:rFonts w:ascii="Verdana" w:hAnsi="Verdana"/>
          <w:sz w:val="18"/>
          <w:szCs w:val="18"/>
        </w:rPr>
      </w:pPr>
      <w:bookmarkStart w:name="_Hlk180413324" w:id="100"/>
      <w:r w:rsidRPr="00FF46E3">
        <w:rPr>
          <w:rFonts w:ascii="Verdana" w:hAnsi="Verdana"/>
          <w:sz w:val="18"/>
          <w:szCs w:val="18"/>
        </w:rPr>
        <w:t xml:space="preserve">Door de schakelbepaling in artikel 5:1, derde lid, </w:t>
      </w:r>
      <w:proofErr w:type="spellStart"/>
      <w:r w:rsidRPr="00FF46E3">
        <w:rPr>
          <w:rFonts w:ascii="Verdana" w:hAnsi="Verdana"/>
          <w:sz w:val="18"/>
          <w:szCs w:val="18"/>
        </w:rPr>
        <w:t>Awb</w:t>
      </w:r>
      <w:proofErr w:type="spellEnd"/>
      <w:r w:rsidRPr="00FF46E3">
        <w:rPr>
          <w:rFonts w:ascii="Verdana" w:hAnsi="Verdana"/>
          <w:sz w:val="18"/>
          <w:szCs w:val="18"/>
        </w:rPr>
        <w:t xml:space="preserve"> is het mogelijk om in het geval dat een overtreding is gepleegd of medegepleegd door een rechtspersoon, een bestuurlijke boete of een last onder bestuursdwang of dwangsom op te leggen aan degenen die tot de door de rechtspersoon begane overtreding opdracht hebben gegeven of daaraan feitelijk leiding hebben gegeven.</w:t>
      </w:r>
    </w:p>
    <w:p w:rsidRPr="00FF46E3" w:rsidR="00AA6C02" w:rsidP="00AA6C02" w:rsidRDefault="00AA6C02" w14:paraId="6A44C5B6" w14:textId="04234F1E">
      <w:pPr>
        <w:pStyle w:val="Geenafstand"/>
        <w:rPr>
          <w:rFonts w:ascii="Verdana" w:hAnsi="Verdana"/>
          <w:sz w:val="18"/>
          <w:szCs w:val="18"/>
        </w:rPr>
      </w:pPr>
      <w:r w:rsidRPr="00FF46E3">
        <w:rPr>
          <w:rFonts w:ascii="Verdana" w:hAnsi="Verdana"/>
          <w:sz w:val="18"/>
          <w:szCs w:val="18"/>
        </w:rPr>
        <w:t xml:space="preserve">De </w:t>
      </w:r>
      <w:r w:rsidRPr="00FF46E3" w:rsidR="00B70589">
        <w:rPr>
          <w:rFonts w:ascii="Verdana" w:hAnsi="Verdana"/>
          <w:sz w:val="18"/>
          <w:szCs w:val="18"/>
        </w:rPr>
        <w:t>toezichthoudende instantie</w:t>
      </w:r>
      <w:r w:rsidRPr="00FF46E3" w:rsidR="00C87095">
        <w:rPr>
          <w:rFonts w:ascii="Verdana" w:hAnsi="Verdana"/>
          <w:sz w:val="18"/>
          <w:szCs w:val="18"/>
        </w:rPr>
        <w:t xml:space="preserve"> </w:t>
      </w:r>
      <w:r w:rsidRPr="00FF46E3">
        <w:rPr>
          <w:rFonts w:ascii="Verdana" w:hAnsi="Verdana"/>
          <w:sz w:val="18"/>
          <w:szCs w:val="18"/>
        </w:rPr>
        <w:t xml:space="preserve">kan bij een overtreding van een verplichting uit </w:t>
      </w:r>
      <w:r w:rsidRPr="00FF46E3" w:rsidR="00DC7B4C">
        <w:rPr>
          <w:rFonts w:ascii="Verdana" w:hAnsi="Verdana"/>
          <w:sz w:val="18"/>
          <w:szCs w:val="18"/>
        </w:rPr>
        <w:t xml:space="preserve">de </w:t>
      </w:r>
      <w:proofErr w:type="spellStart"/>
      <w:r w:rsidRPr="00FF46E3" w:rsidR="00DC7B4C">
        <w:rPr>
          <w:rFonts w:ascii="Verdana" w:hAnsi="Verdana"/>
          <w:sz w:val="18"/>
          <w:szCs w:val="18"/>
        </w:rPr>
        <w:t>Cbw</w:t>
      </w:r>
      <w:proofErr w:type="spellEnd"/>
      <w:r w:rsidRPr="00FF46E3">
        <w:rPr>
          <w:rFonts w:ascii="Verdana" w:hAnsi="Verdana"/>
          <w:sz w:val="18"/>
          <w:szCs w:val="18"/>
        </w:rPr>
        <w:t xml:space="preserve"> dus handhavend optreden tegen de entiteit die de overtreding begaat, maar ook tegen degenen die worden aangemerkt als opdrachtgever van de door de entiteit begane overtreding en degenen die feitelijke leiding hebben gegeven aan de verboden gedraging.</w:t>
      </w:r>
      <w:r w:rsidRPr="00FF46E3" w:rsidR="00EA661F">
        <w:rPr>
          <w:rFonts w:ascii="Verdana" w:hAnsi="Verdana"/>
          <w:sz w:val="18"/>
          <w:szCs w:val="18"/>
        </w:rPr>
        <w:t xml:space="preserve"> </w:t>
      </w:r>
      <w:r w:rsidRPr="0063612A" w:rsidR="0063612A">
        <w:rPr>
          <w:rFonts w:ascii="Verdana" w:hAnsi="Verdana"/>
          <w:sz w:val="18"/>
          <w:szCs w:val="18"/>
        </w:rPr>
        <w:t>Dit kunnen zowel natuurlijke personen als rechtspersonen zijn. Bij dat laatste kan bijvoorbeeld gedacht worden aan een moedermaatschappij die als feitelijke leidinggevende of opdrachtgever kwalificeert voor een overtreding bij een dochteronderneming.</w:t>
      </w:r>
    </w:p>
    <w:bookmarkEnd w:id="99"/>
    <w:bookmarkEnd w:id="100"/>
    <w:p w:rsidRPr="00FF46E3" w:rsidR="008935EC" w:rsidP="008A6FBD" w:rsidRDefault="008935EC" w14:paraId="74281FA4" w14:textId="77777777">
      <w:pPr>
        <w:pStyle w:val="Geenafstand"/>
        <w:rPr>
          <w:rFonts w:ascii="Verdana" w:hAnsi="Verdana"/>
          <w:sz w:val="18"/>
          <w:szCs w:val="18"/>
        </w:rPr>
      </w:pPr>
    </w:p>
    <w:p w:rsidR="00F740E9" w:rsidP="008A6FBD" w:rsidRDefault="00AA6C02" w14:paraId="596C10DB" w14:textId="308EAE58">
      <w:pPr>
        <w:pStyle w:val="Geenafstand"/>
        <w:rPr>
          <w:rFonts w:ascii="Verdana" w:hAnsi="Verdana"/>
          <w:sz w:val="18"/>
          <w:szCs w:val="18"/>
        </w:rPr>
      </w:pPr>
      <w:r w:rsidRPr="00FF46E3">
        <w:rPr>
          <w:rFonts w:ascii="Verdana" w:hAnsi="Verdana"/>
          <w:sz w:val="18"/>
          <w:szCs w:val="18"/>
        </w:rPr>
        <w:t xml:space="preserve">Het voorgaande brengt met zich mee dat de artikelen </w:t>
      </w:r>
      <w:r w:rsidRPr="00FF46E3">
        <w:rPr>
          <w:rFonts w:ascii="Verdana" w:hAnsi="Verdana"/>
          <w:sz w:val="18"/>
          <w:szCs w:val="18"/>
          <w:lang w:eastAsia="nl-NL"/>
        </w:rPr>
        <w:t xml:space="preserve">20, eerste lid, 32, zesde lid, </w:t>
      </w:r>
      <w:r w:rsidRPr="00FF46E3" w:rsidR="00E444F5">
        <w:rPr>
          <w:rFonts w:ascii="Verdana" w:hAnsi="Verdana"/>
          <w:sz w:val="18"/>
          <w:szCs w:val="18"/>
          <w:lang w:eastAsia="nl-NL"/>
        </w:rPr>
        <w:t>en 33, vijfde lid,</w:t>
      </w:r>
      <w:r w:rsidRPr="00FF46E3" w:rsidR="00FE343D">
        <w:rPr>
          <w:rFonts w:ascii="Verdana" w:hAnsi="Verdana"/>
          <w:sz w:val="18"/>
          <w:szCs w:val="18"/>
          <w:lang w:eastAsia="nl-NL"/>
        </w:rPr>
        <w:t xml:space="preserve"> (voor wat betreft de schakeling naar artikel 32, zesde lid)</w:t>
      </w:r>
      <w:r w:rsidRPr="00FF46E3" w:rsidR="00E444F5">
        <w:rPr>
          <w:rFonts w:ascii="Verdana" w:hAnsi="Verdana"/>
          <w:sz w:val="18"/>
          <w:szCs w:val="18"/>
          <w:lang w:eastAsia="nl-NL"/>
        </w:rPr>
        <w:t xml:space="preserve"> </w:t>
      </w:r>
      <w:r w:rsidRPr="00FF46E3">
        <w:rPr>
          <w:rFonts w:ascii="Verdana" w:hAnsi="Verdana"/>
          <w:sz w:val="18"/>
          <w:szCs w:val="18"/>
          <w:lang w:eastAsia="nl-NL"/>
        </w:rPr>
        <w:t xml:space="preserve">NIS2-richtlijn </w:t>
      </w:r>
      <w:r w:rsidRPr="00FF46E3">
        <w:rPr>
          <w:rFonts w:ascii="Verdana" w:hAnsi="Verdana"/>
          <w:sz w:val="18"/>
          <w:szCs w:val="18"/>
        </w:rPr>
        <w:t xml:space="preserve">reeds zijn geïmplementeerd in het Nederlands recht. Artikel 20, eerste lid, NIS2-richtlijn schrijft onder meer voor dat lidstaten ervoor moeten zorgen dat de bestuursorganen van essentiële </w:t>
      </w:r>
      <w:r w:rsidR="00D91960">
        <w:rPr>
          <w:rFonts w:ascii="Verdana" w:hAnsi="Verdana"/>
          <w:sz w:val="18"/>
          <w:szCs w:val="18"/>
        </w:rPr>
        <w:t xml:space="preserve">entiteiten </w:t>
      </w:r>
      <w:r w:rsidRPr="00FF46E3">
        <w:rPr>
          <w:rFonts w:ascii="Verdana" w:hAnsi="Verdana"/>
          <w:sz w:val="18"/>
          <w:szCs w:val="18"/>
        </w:rPr>
        <w:t xml:space="preserve">en belangrijke entiteiten aansprakelijk kunnen worden gesteld voor het overtreden van de zorgplicht door de entiteit. Hierbij wordt opgemerkt dat deze bepaling in de Nederlandse context niet verwijst naar bestuursorganen in de zin van de </w:t>
      </w:r>
      <w:proofErr w:type="spellStart"/>
      <w:r w:rsidRPr="00FF46E3">
        <w:rPr>
          <w:rFonts w:ascii="Verdana" w:hAnsi="Verdana"/>
          <w:sz w:val="18"/>
          <w:szCs w:val="18"/>
        </w:rPr>
        <w:t>Awb</w:t>
      </w:r>
      <w:proofErr w:type="spellEnd"/>
      <w:r w:rsidRPr="00FF46E3">
        <w:rPr>
          <w:rFonts w:ascii="Verdana" w:hAnsi="Verdana"/>
          <w:sz w:val="18"/>
          <w:szCs w:val="18"/>
        </w:rPr>
        <w:t xml:space="preserve">, maar naar de leden van het bestuur als bedoeld in het </w:t>
      </w:r>
      <w:r w:rsidR="007B58E6">
        <w:rPr>
          <w:rFonts w:ascii="Verdana" w:hAnsi="Verdana"/>
          <w:sz w:val="18"/>
          <w:szCs w:val="18"/>
        </w:rPr>
        <w:t>BW</w:t>
      </w:r>
      <w:r w:rsidRPr="00FF46E3">
        <w:rPr>
          <w:rFonts w:ascii="Verdana" w:hAnsi="Verdana"/>
          <w:sz w:val="18"/>
          <w:szCs w:val="18"/>
        </w:rPr>
        <w:t xml:space="preserve">. In artikel 32, zesde lid, NIS2-richtlijn is bepaald dat lidstaten ervoor moeten zorgen dat elke natuurlijke persoon die verantwoordelijk is voor of optreedt als wettelijke vertegenwoordiger van een essentiële entiteit op basis van de bevoegdheid om deze te vertegenwoordigen, de bevoegdheid om namens deze entiteit beslissingen te nemen of de bevoegdheid om controle uit te oefenen op deze entiteit, de bevoegdheid heeft om ervoor te zorgen dat deze entiteit deze richtlijn nakomt. De lidstaten moeten ervoor zorgen dat dergelijke natuurlijke personen aansprakelijk kunnen worden gesteld voor het niet nakomen van hun verplichtingen om te zorgen voor de naleving van deze richtlijn. </w:t>
      </w:r>
      <w:r w:rsidRPr="00FF46E3" w:rsidR="00AC7F3F">
        <w:rPr>
          <w:rFonts w:ascii="Verdana" w:hAnsi="Verdana"/>
          <w:sz w:val="18"/>
          <w:szCs w:val="18"/>
        </w:rPr>
        <w:t xml:space="preserve">Artikel 33, vijfde lid, NIS2-richtlijn verklaart artikel 32, zesde lid, NIS2-richtlijn van overeenkomstige toepassing ten aanzien van belangrijke entiteiten. </w:t>
      </w:r>
    </w:p>
    <w:p w:rsidR="00E37E6B" w:rsidP="008A6FBD" w:rsidRDefault="00E37E6B" w14:paraId="2DA93F0F" w14:textId="77777777">
      <w:pPr>
        <w:pStyle w:val="Geenafstand"/>
        <w:rPr>
          <w:rFonts w:ascii="Verdana" w:hAnsi="Verdana"/>
          <w:sz w:val="18"/>
          <w:szCs w:val="18"/>
        </w:rPr>
      </w:pPr>
    </w:p>
    <w:p w:rsidRPr="00FF46E3" w:rsidR="00E37E6B" w:rsidP="008A6FBD" w:rsidRDefault="00E37E6B" w14:paraId="5F293AB8" w14:textId="5995C6F1">
      <w:pPr>
        <w:pStyle w:val="Geenafstand"/>
        <w:rPr>
          <w:rFonts w:ascii="Verdana" w:hAnsi="Verdana"/>
          <w:b/>
          <w:bCs/>
          <w:sz w:val="18"/>
          <w:szCs w:val="18"/>
        </w:rPr>
      </w:pPr>
      <w:r>
        <w:rPr>
          <w:rFonts w:ascii="Verdana" w:hAnsi="Verdana"/>
          <w:sz w:val="18"/>
          <w:szCs w:val="18"/>
        </w:rPr>
        <w:t xml:space="preserve">Ten overvloede wordt nog opgemerkt dat naast het voorgaande ook civielrechtelijke aansprakelijkheid van het bestuur jegens de entiteit een rol kan spelen in het geval van niet-naleving van de </w:t>
      </w:r>
      <w:proofErr w:type="spellStart"/>
      <w:r>
        <w:rPr>
          <w:rFonts w:ascii="Verdana" w:hAnsi="Verdana"/>
          <w:sz w:val="18"/>
          <w:szCs w:val="18"/>
        </w:rPr>
        <w:t>Cbw</w:t>
      </w:r>
      <w:proofErr w:type="spellEnd"/>
      <w:r>
        <w:rPr>
          <w:rFonts w:ascii="Verdana" w:hAnsi="Verdana"/>
          <w:sz w:val="18"/>
          <w:szCs w:val="18"/>
        </w:rPr>
        <w:t>, onder andere op grond van artikel 2:9 BW.</w:t>
      </w:r>
    </w:p>
    <w:bookmarkEnd w:id="98"/>
    <w:p w:rsidRPr="00FF46E3" w:rsidR="00CC0CDC" w:rsidP="006200DD" w:rsidRDefault="00CC0CDC" w14:paraId="1BB85E96" w14:textId="6769EBA6">
      <w:pPr>
        <w:pStyle w:val="Geenafstand"/>
        <w:rPr>
          <w:rFonts w:ascii="Verdana" w:hAnsi="Verdana"/>
          <w:b/>
          <w:bCs/>
          <w:sz w:val="18"/>
          <w:szCs w:val="18"/>
        </w:rPr>
      </w:pPr>
    </w:p>
    <w:p w:rsidRPr="00FF46E3" w:rsidR="00CC0CDC" w:rsidP="00C3466E" w:rsidRDefault="000A1E5B" w14:paraId="244755CB" w14:textId="597454B9">
      <w:pPr>
        <w:pStyle w:val="Kop3"/>
      </w:pPr>
      <w:bookmarkStart w:name="_Toc198721093" w:id="101"/>
      <w:r w:rsidRPr="00FF46E3">
        <w:t>5.</w:t>
      </w:r>
      <w:r w:rsidR="0043522B">
        <w:t>6</w:t>
      </w:r>
      <w:r w:rsidRPr="00FF46E3">
        <w:t>.</w:t>
      </w:r>
      <w:r w:rsidR="00A52718">
        <w:t>8</w:t>
      </w:r>
      <w:r w:rsidRPr="00FF46E3">
        <w:t xml:space="preserve"> </w:t>
      </w:r>
      <w:r w:rsidRPr="00FF46E3" w:rsidR="007C02E1">
        <w:t>Samenwerking toezichth</w:t>
      </w:r>
      <w:r w:rsidRPr="00FF46E3" w:rsidR="006810F8">
        <w:t>oudende instanties</w:t>
      </w:r>
      <w:bookmarkEnd w:id="101"/>
    </w:p>
    <w:p w:rsidRPr="00FF46E3" w:rsidR="00EF013F" w:rsidP="006200DD" w:rsidRDefault="00EF013F" w14:paraId="37A967FC" w14:textId="77777777">
      <w:pPr>
        <w:pStyle w:val="Geenafstand"/>
        <w:rPr>
          <w:rFonts w:ascii="Verdana" w:hAnsi="Verdana"/>
          <w:sz w:val="18"/>
          <w:szCs w:val="18"/>
        </w:rPr>
      </w:pPr>
    </w:p>
    <w:p w:rsidRPr="00FF46E3" w:rsidR="007C02E1" w:rsidP="006200DD" w:rsidRDefault="009504A0" w14:paraId="61EF97D2" w14:textId="060F2E88">
      <w:pPr>
        <w:pStyle w:val="Geenafstand"/>
        <w:rPr>
          <w:rFonts w:ascii="Verdana" w:hAnsi="Verdana"/>
          <w:b/>
          <w:bCs/>
          <w:sz w:val="18"/>
          <w:szCs w:val="18"/>
        </w:rPr>
      </w:pPr>
      <w:r w:rsidRPr="00FF46E3">
        <w:rPr>
          <w:rFonts w:ascii="Verdana" w:hAnsi="Verdana"/>
          <w:sz w:val="18"/>
          <w:szCs w:val="18"/>
        </w:rPr>
        <w:t xml:space="preserve">In </w:t>
      </w:r>
      <w:r w:rsidRPr="00FF46E3" w:rsidR="00DC7B4C">
        <w:rPr>
          <w:rFonts w:ascii="Verdana" w:hAnsi="Verdana"/>
          <w:sz w:val="18"/>
          <w:szCs w:val="18"/>
        </w:rPr>
        <w:t xml:space="preserve">de </w:t>
      </w:r>
      <w:proofErr w:type="spellStart"/>
      <w:r w:rsidRPr="00FF46E3" w:rsidR="00DC7B4C">
        <w:rPr>
          <w:rFonts w:ascii="Verdana" w:hAnsi="Verdana"/>
          <w:sz w:val="18"/>
          <w:szCs w:val="18"/>
        </w:rPr>
        <w:t>Cbw</w:t>
      </w:r>
      <w:proofErr w:type="spellEnd"/>
      <w:r w:rsidRPr="00FF46E3">
        <w:rPr>
          <w:rFonts w:ascii="Verdana" w:hAnsi="Verdana"/>
          <w:sz w:val="18"/>
          <w:szCs w:val="18"/>
        </w:rPr>
        <w:t xml:space="preserve"> </w:t>
      </w:r>
      <w:r w:rsidRPr="00FF46E3" w:rsidR="004258EF">
        <w:rPr>
          <w:rFonts w:ascii="Verdana" w:hAnsi="Verdana"/>
          <w:sz w:val="18"/>
          <w:szCs w:val="18"/>
        </w:rPr>
        <w:t xml:space="preserve">wordt het toezicht vormgegeven langs de lijnen van de ministeriële verantwoordelijkheden voor de respectievelijke NIS2-sectoren, zoals dit eerder onder de NIS1-richtlijn is vormgegeven. Dit leidt </w:t>
      </w:r>
      <w:r w:rsidRPr="00FF46E3" w:rsidR="001A5B4B">
        <w:rPr>
          <w:rFonts w:ascii="Verdana" w:hAnsi="Verdana"/>
          <w:sz w:val="18"/>
          <w:szCs w:val="18"/>
        </w:rPr>
        <w:t xml:space="preserve">tot een uitbreiding in het aantal </w:t>
      </w:r>
      <w:r w:rsidRPr="00FF46E3" w:rsidR="004258EF">
        <w:rPr>
          <w:rFonts w:ascii="Verdana" w:hAnsi="Verdana"/>
          <w:sz w:val="18"/>
          <w:szCs w:val="18"/>
        </w:rPr>
        <w:t>sectorale toezichthouders</w:t>
      </w:r>
      <w:r w:rsidRPr="00FF46E3" w:rsidR="001A5B4B">
        <w:rPr>
          <w:rFonts w:ascii="Verdana" w:hAnsi="Verdana"/>
          <w:sz w:val="18"/>
          <w:szCs w:val="18"/>
        </w:rPr>
        <w:t>.</w:t>
      </w:r>
      <w:r w:rsidRPr="00FF46E3" w:rsidR="006810F8">
        <w:rPr>
          <w:rFonts w:ascii="Verdana" w:hAnsi="Verdana"/>
          <w:sz w:val="18"/>
          <w:szCs w:val="18"/>
        </w:rPr>
        <w:t xml:space="preserve"> Het is niet uit te sluiten dat een essentiële entiteit of een belangrijke entiteit actief is binnen meerdere sectoren en daarmee mogelijk te maken kan krijgen met meerdere toezichthoudende instanties.</w:t>
      </w:r>
      <w:r w:rsidRPr="00FF46E3" w:rsidR="001A5B4B">
        <w:rPr>
          <w:rFonts w:ascii="Verdana" w:hAnsi="Verdana"/>
          <w:sz w:val="18"/>
          <w:szCs w:val="18"/>
        </w:rPr>
        <w:t xml:space="preserve"> </w:t>
      </w:r>
      <w:r w:rsidRPr="00FF46E3" w:rsidR="000530F4">
        <w:rPr>
          <w:rFonts w:ascii="Verdana" w:hAnsi="Verdana"/>
          <w:sz w:val="18"/>
          <w:szCs w:val="18"/>
        </w:rPr>
        <w:t xml:space="preserve">Ook kan er overlap zijn met domeinnaamregistratiediensten. </w:t>
      </w:r>
      <w:r w:rsidRPr="00FF46E3" w:rsidR="001A5B4B">
        <w:rPr>
          <w:rFonts w:ascii="Verdana" w:hAnsi="Verdana"/>
          <w:sz w:val="18"/>
          <w:szCs w:val="18"/>
        </w:rPr>
        <w:t xml:space="preserve">Mede </w:t>
      </w:r>
      <w:r w:rsidRPr="00FF46E3" w:rsidR="004258EF">
        <w:rPr>
          <w:rFonts w:ascii="Verdana" w:hAnsi="Verdana"/>
          <w:sz w:val="18"/>
          <w:szCs w:val="18"/>
        </w:rPr>
        <w:t xml:space="preserve">in het licht van artikel 13 NIS2-richtlijn is het </w:t>
      </w:r>
      <w:r w:rsidR="007C4F46">
        <w:rPr>
          <w:rFonts w:ascii="Verdana" w:hAnsi="Verdana"/>
          <w:sz w:val="18"/>
          <w:szCs w:val="18"/>
        </w:rPr>
        <w:t>noodzakelijk</w:t>
      </w:r>
      <w:r w:rsidRPr="00FF46E3" w:rsidR="007C4F46">
        <w:rPr>
          <w:rFonts w:ascii="Verdana" w:hAnsi="Verdana"/>
          <w:sz w:val="18"/>
          <w:szCs w:val="18"/>
        </w:rPr>
        <w:t xml:space="preserve"> </w:t>
      </w:r>
      <w:r w:rsidRPr="00FF46E3" w:rsidR="004258EF">
        <w:rPr>
          <w:rFonts w:ascii="Verdana" w:hAnsi="Verdana"/>
          <w:sz w:val="18"/>
          <w:szCs w:val="18"/>
        </w:rPr>
        <w:t xml:space="preserve">dat deze toezichthouders met elkaar samenwerken in het belang van doelmatig en doeltreffend toezicht op </w:t>
      </w:r>
      <w:r w:rsidR="00B2556A">
        <w:rPr>
          <w:rFonts w:ascii="Verdana" w:hAnsi="Verdana"/>
          <w:sz w:val="18"/>
          <w:szCs w:val="18"/>
        </w:rPr>
        <w:t xml:space="preserve">de </w:t>
      </w:r>
      <w:proofErr w:type="spellStart"/>
      <w:r w:rsidR="00B2556A">
        <w:rPr>
          <w:rFonts w:ascii="Verdana" w:hAnsi="Verdana"/>
          <w:sz w:val="18"/>
          <w:szCs w:val="18"/>
        </w:rPr>
        <w:t>Cbw</w:t>
      </w:r>
      <w:proofErr w:type="spellEnd"/>
      <w:r w:rsidRPr="00FF46E3" w:rsidR="004258EF">
        <w:rPr>
          <w:rFonts w:ascii="Verdana" w:hAnsi="Verdana"/>
          <w:sz w:val="18"/>
          <w:szCs w:val="18"/>
        </w:rPr>
        <w:t>.</w:t>
      </w:r>
    </w:p>
    <w:p w:rsidRPr="00FF46E3" w:rsidR="00CC0CDC" w:rsidP="006200DD" w:rsidRDefault="00CC0CDC" w14:paraId="0F67D639" w14:textId="053AEB3B">
      <w:pPr>
        <w:pStyle w:val="Geenafstand"/>
        <w:rPr>
          <w:rFonts w:ascii="Verdana" w:hAnsi="Verdana"/>
          <w:sz w:val="18"/>
          <w:szCs w:val="18"/>
        </w:rPr>
      </w:pPr>
    </w:p>
    <w:p w:rsidRPr="00FF46E3" w:rsidR="004258EF" w:rsidP="006200DD" w:rsidRDefault="004258EF" w14:paraId="45148551" w14:textId="60947D0D">
      <w:pPr>
        <w:pStyle w:val="Geenafstand"/>
        <w:rPr>
          <w:rFonts w:ascii="Verdana" w:hAnsi="Verdana"/>
          <w:sz w:val="18"/>
          <w:szCs w:val="18"/>
        </w:rPr>
      </w:pPr>
      <w:bookmarkStart w:name="_Hlk161992209" w:id="102"/>
      <w:r w:rsidRPr="00FF46E3">
        <w:rPr>
          <w:rFonts w:ascii="Verdana" w:hAnsi="Verdana"/>
          <w:sz w:val="18"/>
          <w:szCs w:val="18"/>
        </w:rPr>
        <w:t>Toezichthoude</w:t>
      </w:r>
      <w:r w:rsidRPr="00FF46E3" w:rsidR="006810F8">
        <w:rPr>
          <w:rFonts w:ascii="Verdana" w:hAnsi="Verdana"/>
          <w:sz w:val="18"/>
          <w:szCs w:val="18"/>
        </w:rPr>
        <w:t xml:space="preserve">nde instanties </w:t>
      </w:r>
      <w:r w:rsidRPr="00FF46E3" w:rsidR="00D52461">
        <w:rPr>
          <w:rFonts w:ascii="Verdana" w:hAnsi="Verdana"/>
          <w:sz w:val="18"/>
          <w:szCs w:val="18"/>
        </w:rPr>
        <w:t>werken</w:t>
      </w:r>
      <w:r w:rsidRPr="00FF46E3">
        <w:rPr>
          <w:rFonts w:ascii="Verdana" w:hAnsi="Verdana"/>
          <w:sz w:val="18"/>
          <w:szCs w:val="18"/>
        </w:rPr>
        <w:t xml:space="preserve"> op grond van artikel </w:t>
      </w:r>
      <w:r w:rsidR="0023581F">
        <w:rPr>
          <w:rFonts w:ascii="Verdana" w:hAnsi="Verdana"/>
          <w:sz w:val="18"/>
          <w:szCs w:val="18"/>
        </w:rPr>
        <w:t xml:space="preserve">55 </w:t>
      </w:r>
      <w:proofErr w:type="spellStart"/>
      <w:r w:rsidR="0023581F">
        <w:rPr>
          <w:rFonts w:ascii="Verdana" w:hAnsi="Verdana"/>
          <w:sz w:val="18"/>
          <w:szCs w:val="18"/>
        </w:rPr>
        <w:t>Cbw</w:t>
      </w:r>
      <w:proofErr w:type="spellEnd"/>
      <w:r w:rsidRPr="00FF46E3">
        <w:rPr>
          <w:rFonts w:ascii="Verdana" w:hAnsi="Verdana"/>
          <w:sz w:val="18"/>
          <w:szCs w:val="18"/>
        </w:rPr>
        <w:t xml:space="preserve"> zoveel mogelijk</w:t>
      </w:r>
      <w:r w:rsidRPr="00FF46E3" w:rsidR="00D52461">
        <w:rPr>
          <w:rFonts w:ascii="Verdana" w:hAnsi="Verdana"/>
          <w:sz w:val="18"/>
          <w:szCs w:val="18"/>
        </w:rPr>
        <w:t xml:space="preserve"> samen bij het</w:t>
      </w:r>
      <w:r w:rsidRPr="00FF46E3">
        <w:rPr>
          <w:rFonts w:ascii="Verdana" w:hAnsi="Verdana"/>
          <w:sz w:val="18"/>
          <w:szCs w:val="18"/>
        </w:rPr>
        <w:t xml:space="preserve"> </w:t>
      </w:r>
      <w:r w:rsidRPr="00FF46E3" w:rsidR="00D52461">
        <w:rPr>
          <w:rFonts w:ascii="Verdana" w:hAnsi="Verdana"/>
          <w:sz w:val="18"/>
          <w:szCs w:val="18"/>
        </w:rPr>
        <w:t>(</w:t>
      </w:r>
      <w:r w:rsidRPr="00FF46E3">
        <w:rPr>
          <w:rFonts w:ascii="Verdana" w:hAnsi="Verdana"/>
          <w:sz w:val="18"/>
          <w:szCs w:val="18"/>
        </w:rPr>
        <w:t>onderling gecoördineerd</w:t>
      </w:r>
      <w:r w:rsidRPr="00FF46E3" w:rsidR="00D52461">
        <w:rPr>
          <w:rFonts w:ascii="Verdana" w:hAnsi="Verdana"/>
          <w:sz w:val="18"/>
          <w:szCs w:val="18"/>
        </w:rPr>
        <w:t>)</w:t>
      </w:r>
      <w:r w:rsidRPr="00FF46E3">
        <w:rPr>
          <w:rFonts w:ascii="Verdana" w:hAnsi="Verdana"/>
          <w:sz w:val="18"/>
          <w:szCs w:val="18"/>
        </w:rPr>
        <w:t xml:space="preserve"> toezicht houden op essentiële entiteiten</w:t>
      </w:r>
      <w:r w:rsidRPr="00FF46E3" w:rsidR="001C2774">
        <w:rPr>
          <w:rFonts w:ascii="Verdana" w:hAnsi="Verdana"/>
          <w:sz w:val="18"/>
          <w:szCs w:val="18"/>
        </w:rPr>
        <w:t>,</w:t>
      </w:r>
      <w:r w:rsidRPr="00FF46E3">
        <w:rPr>
          <w:rFonts w:ascii="Verdana" w:hAnsi="Verdana"/>
          <w:sz w:val="18"/>
          <w:szCs w:val="18"/>
        </w:rPr>
        <w:t xml:space="preserve"> belangrijke entiteiten</w:t>
      </w:r>
      <w:r w:rsidRPr="00FF46E3" w:rsidR="001C2774">
        <w:rPr>
          <w:rFonts w:ascii="Verdana" w:hAnsi="Verdana"/>
          <w:sz w:val="18"/>
          <w:szCs w:val="18"/>
        </w:rPr>
        <w:t xml:space="preserve"> en </w:t>
      </w:r>
      <w:r w:rsidR="00096B8C">
        <w:rPr>
          <w:rFonts w:ascii="Verdana" w:hAnsi="Verdana"/>
          <w:sz w:val="18"/>
          <w:szCs w:val="18"/>
        </w:rPr>
        <w:t xml:space="preserve">entiteiten die </w:t>
      </w:r>
      <w:r w:rsidRPr="00FF46E3" w:rsidR="001C2774">
        <w:rPr>
          <w:rFonts w:ascii="Verdana" w:hAnsi="Verdana"/>
          <w:sz w:val="18"/>
          <w:szCs w:val="18"/>
        </w:rPr>
        <w:t>domeinnaamregistratiediensten</w:t>
      </w:r>
      <w:r w:rsidR="00096B8C">
        <w:rPr>
          <w:rFonts w:ascii="Verdana" w:hAnsi="Verdana"/>
          <w:sz w:val="18"/>
          <w:szCs w:val="18"/>
        </w:rPr>
        <w:t xml:space="preserve"> verlenen</w:t>
      </w:r>
      <w:r w:rsidRPr="00FF46E3">
        <w:rPr>
          <w:rFonts w:ascii="Verdana" w:hAnsi="Verdana"/>
          <w:sz w:val="18"/>
          <w:szCs w:val="18"/>
        </w:rPr>
        <w:t xml:space="preserve">. </w:t>
      </w:r>
      <w:r w:rsidRPr="006D7A88" w:rsidR="006D7A88">
        <w:rPr>
          <w:rFonts w:ascii="Verdana" w:hAnsi="Verdana"/>
          <w:sz w:val="18"/>
          <w:szCs w:val="18"/>
        </w:rPr>
        <w:t xml:space="preserve">Zij wisselen daartoe onderling alle daarvoor noodzakelijke gegevens uit, waaronder persoonsgegevens. Hierbij kan gedacht worden aan het </w:t>
      </w:r>
      <w:r w:rsidRPr="006D7A88" w:rsidR="006D7A88">
        <w:rPr>
          <w:rFonts w:ascii="Verdana" w:hAnsi="Verdana"/>
          <w:sz w:val="18"/>
          <w:szCs w:val="18"/>
        </w:rPr>
        <w:lastRenderedPageBreak/>
        <w:t xml:space="preserve">onderling uitwisselen van </w:t>
      </w:r>
      <w:proofErr w:type="spellStart"/>
      <w:r w:rsidRPr="006D7A88" w:rsidR="006D7A88">
        <w:rPr>
          <w:rFonts w:ascii="Verdana" w:hAnsi="Verdana"/>
          <w:sz w:val="18"/>
          <w:szCs w:val="18"/>
        </w:rPr>
        <w:t>toezichtsinformatie</w:t>
      </w:r>
      <w:proofErr w:type="spellEnd"/>
      <w:r w:rsidRPr="006D7A88" w:rsidR="006D7A88">
        <w:rPr>
          <w:rFonts w:ascii="Verdana" w:hAnsi="Verdana"/>
          <w:sz w:val="18"/>
          <w:szCs w:val="18"/>
        </w:rPr>
        <w:t xml:space="preserve"> en -bevindingen. In het bijzonder in gevallen waarbij meerdere toezichthoudende instanties onder de</w:t>
      </w:r>
      <w:r w:rsidR="006D7A88">
        <w:rPr>
          <w:rFonts w:ascii="Verdana" w:hAnsi="Verdana"/>
          <w:sz w:val="18"/>
          <w:szCs w:val="18"/>
        </w:rPr>
        <w:t xml:space="preserve"> </w:t>
      </w:r>
      <w:proofErr w:type="spellStart"/>
      <w:r w:rsidR="006D7A88">
        <w:rPr>
          <w:rFonts w:ascii="Verdana" w:hAnsi="Verdana"/>
          <w:sz w:val="18"/>
          <w:szCs w:val="18"/>
        </w:rPr>
        <w:t>Cbw</w:t>
      </w:r>
      <w:proofErr w:type="spellEnd"/>
      <w:r w:rsidRPr="006D7A88" w:rsidR="006D7A88">
        <w:rPr>
          <w:rFonts w:ascii="Verdana" w:hAnsi="Verdana"/>
          <w:sz w:val="18"/>
          <w:szCs w:val="18"/>
        </w:rPr>
        <w:t xml:space="preserve"> toezicht houden op eenzelfde entiteit is het vanuit het belang van doeltreffend en doelmatig toezicht en het beperken van </w:t>
      </w:r>
      <w:proofErr w:type="spellStart"/>
      <w:r w:rsidRPr="006D7A88" w:rsidR="006D7A88">
        <w:rPr>
          <w:rFonts w:ascii="Verdana" w:hAnsi="Verdana"/>
          <w:sz w:val="18"/>
          <w:szCs w:val="18"/>
        </w:rPr>
        <w:t>toezichtslasten</w:t>
      </w:r>
      <w:proofErr w:type="spellEnd"/>
      <w:r w:rsidRPr="006D7A88" w:rsidR="006D7A88">
        <w:rPr>
          <w:rFonts w:ascii="Verdana" w:hAnsi="Verdana"/>
          <w:sz w:val="18"/>
          <w:szCs w:val="18"/>
        </w:rPr>
        <w:t xml:space="preserve"> gewezen om deze informatie uit te wisselen.</w:t>
      </w:r>
    </w:p>
    <w:bookmarkEnd w:id="102"/>
    <w:p w:rsidRPr="00FF46E3" w:rsidR="004258EF" w:rsidP="006200DD" w:rsidRDefault="004258EF" w14:paraId="202780BB" w14:textId="77777777">
      <w:pPr>
        <w:pStyle w:val="Geenafstand"/>
        <w:rPr>
          <w:rFonts w:ascii="Verdana" w:hAnsi="Verdana"/>
          <w:sz w:val="18"/>
          <w:szCs w:val="18"/>
        </w:rPr>
      </w:pPr>
    </w:p>
    <w:p w:rsidRPr="00FF46E3" w:rsidR="004258EF" w:rsidP="006200DD" w:rsidRDefault="004258EF" w14:paraId="3B58DD03" w14:textId="186B8447">
      <w:pPr>
        <w:pStyle w:val="Geenafstand"/>
        <w:rPr>
          <w:rFonts w:ascii="Verdana" w:hAnsi="Verdana"/>
          <w:sz w:val="18"/>
          <w:szCs w:val="18"/>
        </w:rPr>
      </w:pPr>
      <w:r w:rsidRPr="00FF46E3">
        <w:rPr>
          <w:rFonts w:ascii="Verdana" w:hAnsi="Verdana"/>
          <w:sz w:val="18"/>
          <w:szCs w:val="18"/>
        </w:rPr>
        <w:t xml:space="preserve">Om de doeltreffende en doelmatige uitvoering van </w:t>
      </w:r>
      <w:r w:rsidR="0074591D">
        <w:rPr>
          <w:rFonts w:ascii="Verdana" w:hAnsi="Verdana"/>
          <w:sz w:val="18"/>
          <w:szCs w:val="18"/>
        </w:rPr>
        <w:t xml:space="preserve">de </w:t>
      </w:r>
      <w:proofErr w:type="spellStart"/>
      <w:r w:rsidR="0074591D">
        <w:rPr>
          <w:rFonts w:ascii="Verdana" w:hAnsi="Verdana"/>
          <w:sz w:val="18"/>
          <w:szCs w:val="18"/>
        </w:rPr>
        <w:t>Cbw</w:t>
      </w:r>
      <w:proofErr w:type="spellEnd"/>
      <w:r w:rsidRPr="00FF46E3">
        <w:rPr>
          <w:rFonts w:ascii="Verdana" w:hAnsi="Verdana"/>
          <w:sz w:val="18"/>
          <w:szCs w:val="18"/>
        </w:rPr>
        <w:t xml:space="preserve"> te borgen, </w:t>
      </w:r>
      <w:r w:rsidR="0074591D">
        <w:rPr>
          <w:rFonts w:ascii="Verdana" w:hAnsi="Verdana"/>
          <w:sz w:val="18"/>
          <w:szCs w:val="18"/>
        </w:rPr>
        <w:t>moeten</w:t>
      </w:r>
      <w:r w:rsidRPr="00FF46E3">
        <w:rPr>
          <w:rFonts w:ascii="Verdana" w:hAnsi="Verdana"/>
          <w:sz w:val="18"/>
          <w:szCs w:val="18"/>
        </w:rPr>
        <w:t xml:space="preserve"> de </w:t>
      </w:r>
      <w:r w:rsidRPr="00FF46E3" w:rsidR="00D56A61">
        <w:rPr>
          <w:rFonts w:ascii="Verdana" w:hAnsi="Verdana"/>
          <w:sz w:val="18"/>
          <w:szCs w:val="18"/>
        </w:rPr>
        <w:t xml:space="preserve">toezichthoudende instanties </w:t>
      </w:r>
      <w:r w:rsidRPr="00FF46E3">
        <w:rPr>
          <w:rFonts w:ascii="Verdana" w:hAnsi="Verdana"/>
          <w:sz w:val="18"/>
          <w:szCs w:val="18"/>
        </w:rPr>
        <w:t xml:space="preserve">onderling afspraken te maken over gemeenschappelijke aangelegenheden. Hierbij wordt gedacht aan </w:t>
      </w:r>
      <w:r w:rsidR="00EC0CDE">
        <w:rPr>
          <w:rFonts w:ascii="Verdana" w:hAnsi="Verdana"/>
          <w:sz w:val="18"/>
          <w:szCs w:val="18"/>
        </w:rPr>
        <w:t xml:space="preserve">afspraken over </w:t>
      </w:r>
      <w:r w:rsidRPr="00FF46E3">
        <w:rPr>
          <w:rFonts w:ascii="Verdana" w:hAnsi="Verdana"/>
          <w:sz w:val="18"/>
          <w:szCs w:val="18"/>
        </w:rPr>
        <w:t>samenloop van toezicht</w:t>
      </w:r>
      <w:r w:rsidRPr="00FF46E3" w:rsidR="00F051E2">
        <w:rPr>
          <w:rFonts w:ascii="Verdana" w:hAnsi="Verdana"/>
          <w:sz w:val="18"/>
          <w:szCs w:val="18"/>
        </w:rPr>
        <w:t xml:space="preserve"> op eenzelfde entiteit</w:t>
      </w:r>
      <w:r w:rsidRPr="00FF46E3">
        <w:rPr>
          <w:rFonts w:ascii="Verdana" w:hAnsi="Verdana"/>
          <w:sz w:val="18"/>
          <w:szCs w:val="18"/>
        </w:rPr>
        <w:t xml:space="preserve">, het voorkomen van onevenredige </w:t>
      </w:r>
      <w:proofErr w:type="spellStart"/>
      <w:r w:rsidRPr="00FF46E3">
        <w:rPr>
          <w:rFonts w:ascii="Verdana" w:hAnsi="Verdana"/>
          <w:sz w:val="18"/>
          <w:szCs w:val="18"/>
        </w:rPr>
        <w:t>toezichtslasten</w:t>
      </w:r>
      <w:proofErr w:type="spellEnd"/>
      <w:r w:rsidR="0074591D">
        <w:rPr>
          <w:rFonts w:ascii="Verdana" w:hAnsi="Verdana"/>
          <w:sz w:val="18"/>
          <w:szCs w:val="18"/>
        </w:rPr>
        <w:t xml:space="preserve"> en</w:t>
      </w:r>
      <w:r w:rsidRPr="00FF46E3">
        <w:rPr>
          <w:rFonts w:ascii="Verdana" w:hAnsi="Verdana"/>
          <w:sz w:val="18"/>
          <w:szCs w:val="18"/>
        </w:rPr>
        <w:t xml:space="preserve"> de uitwisseling van gegevens.</w:t>
      </w:r>
      <w:r w:rsidR="0074591D">
        <w:rPr>
          <w:rFonts w:ascii="Verdana" w:hAnsi="Verdana"/>
          <w:sz w:val="18"/>
          <w:szCs w:val="18"/>
        </w:rPr>
        <w:t xml:space="preserve"> Het heeft daarbij de voorkeur dat d</w:t>
      </w:r>
      <w:r w:rsidRPr="00FF46E3">
        <w:rPr>
          <w:rFonts w:ascii="Verdana" w:hAnsi="Verdana"/>
          <w:sz w:val="18"/>
          <w:szCs w:val="18"/>
        </w:rPr>
        <w:t xml:space="preserve">eze afspraken worden vastgelegd in een </w:t>
      </w:r>
      <w:r w:rsidR="0074591D">
        <w:rPr>
          <w:rFonts w:ascii="Verdana" w:hAnsi="Verdana"/>
          <w:sz w:val="18"/>
          <w:szCs w:val="18"/>
        </w:rPr>
        <w:t>samenwerkafspraak of een vergelijkbaar instrument en dat deze</w:t>
      </w:r>
      <w:r w:rsidR="0072773B">
        <w:rPr>
          <w:rFonts w:ascii="Verdana" w:hAnsi="Verdana"/>
          <w:sz w:val="18"/>
          <w:szCs w:val="18"/>
        </w:rPr>
        <w:t xml:space="preserve"> wordt gepubliceerd</w:t>
      </w:r>
      <w:r w:rsidRPr="00FF46E3">
        <w:rPr>
          <w:rFonts w:ascii="Verdana" w:hAnsi="Verdana"/>
          <w:sz w:val="18"/>
          <w:szCs w:val="18"/>
        </w:rPr>
        <w:t xml:space="preserve">. Dit zorgt voor transparantie over de gemaakte afspraken en maakt voor entiteiten die onder toezicht staan helder op welke wijze de toezichthouders invulling geven aan </w:t>
      </w:r>
      <w:r w:rsidRPr="00FF46E3" w:rsidR="00F051E2">
        <w:rPr>
          <w:rFonts w:ascii="Verdana" w:hAnsi="Verdana"/>
          <w:sz w:val="18"/>
          <w:szCs w:val="18"/>
        </w:rPr>
        <w:t>voorgenoemde aspecten</w:t>
      </w:r>
      <w:r w:rsidRPr="00FF46E3">
        <w:rPr>
          <w:rFonts w:ascii="Verdana" w:hAnsi="Verdana"/>
          <w:sz w:val="18"/>
          <w:szCs w:val="18"/>
        </w:rPr>
        <w:t xml:space="preserve">. </w:t>
      </w:r>
    </w:p>
    <w:p w:rsidRPr="00FF46E3" w:rsidR="00412AD8" w:rsidP="006200DD" w:rsidRDefault="00412AD8" w14:paraId="33A5BACF" w14:textId="77777777">
      <w:pPr>
        <w:pStyle w:val="Geenafstand"/>
        <w:rPr>
          <w:rFonts w:ascii="Verdana" w:hAnsi="Verdana"/>
          <w:sz w:val="18"/>
          <w:szCs w:val="18"/>
        </w:rPr>
      </w:pPr>
    </w:p>
    <w:p w:rsidRPr="00FF46E3" w:rsidR="0084415B" w:rsidP="00FC2A19" w:rsidRDefault="005A5363" w14:paraId="1DEEFE0C" w14:textId="37D25263">
      <w:pPr>
        <w:pStyle w:val="Kop2"/>
      </w:pPr>
      <w:bookmarkStart w:name="_Toc198721094" w:id="103"/>
      <w:r w:rsidRPr="00FF46E3">
        <w:t>5.</w:t>
      </w:r>
      <w:r w:rsidR="0043522B">
        <w:t>7</w:t>
      </w:r>
      <w:r w:rsidRPr="00FF46E3" w:rsidR="00633124">
        <w:t xml:space="preserve"> </w:t>
      </w:r>
      <w:r w:rsidRPr="00FF46E3" w:rsidR="0084415B">
        <w:t>Registratie</w:t>
      </w:r>
      <w:bookmarkEnd w:id="103"/>
    </w:p>
    <w:p w:rsidRPr="003516A4" w:rsidR="00FC2A19" w:rsidP="003516A4" w:rsidRDefault="00FC2A19" w14:paraId="2BC38FF2" w14:textId="77777777">
      <w:pPr>
        <w:pStyle w:val="Geenafstand"/>
        <w:rPr>
          <w:rFonts w:ascii="Verdana" w:hAnsi="Verdana"/>
          <w:sz w:val="18"/>
          <w:szCs w:val="18"/>
        </w:rPr>
      </w:pPr>
    </w:p>
    <w:p w:rsidRPr="003516A4" w:rsidR="0084415B" w:rsidP="003516A4" w:rsidRDefault="006B428A" w14:paraId="7494D0FF" w14:textId="0428D446">
      <w:pPr>
        <w:pStyle w:val="Geenafstand"/>
        <w:rPr>
          <w:rFonts w:ascii="Verdana" w:hAnsi="Verdana"/>
          <w:sz w:val="18"/>
          <w:szCs w:val="18"/>
        </w:rPr>
      </w:pPr>
      <w:r w:rsidRPr="003516A4">
        <w:rPr>
          <w:rFonts w:ascii="Verdana" w:hAnsi="Verdana"/>
          <w:sz w:val="18"/>
          <w:szCs w:val="18"/>
        </w:rPr>
        <w:t>A</w:t>
      </w:r>
      <w:r w:rsidRPr="003516A4" w:rsidR="00D56A61">
        <w:rPr>
          <w:rFonts w:ascii="Verdana" w:hAnsi="Verdana"/>
          <w:sz w:val="18"/>
          <w:szCs w:val="18"/>
        </w:rPr>
        <w:t>rtikel 3, derde lid,</w:t>
      </w:r>
      <w:r w:rsidRPr="003516A4" w:rsidR="0084415B">
        <w:rPr>
          <w:rFonts w:ascii="Verdana" w:hAnsi="Verdana"/>
          <w:sz w:val="18"/>
          <w:szCs w:val="18"/>
        </w:rPr>
        <w:t xml:space="preserve"> </w:t>
      </w:r>
      <w:r w:rsidRPr="003516A4">
        <w:rPr>
          <w:rFonts w:ascii="Verdana" w:hAnsi="Verdana"/>
          <w:sz w:val="18"/>
          <w:szCs w:val="18"/>
        </w:rPr>
        <w:t xml:space="preserve">NIS2-richtlijn schrijft </w:t>
      </w:r>
      <w:r w:rsidRPr="003516A4" w:rsidR="0084415B">
        <w:rPr>
          <w:rFonts w:ascii="Verdana" w:hAnsi="Verdana"/>
          <w:sz w:val="18"/>
          <w:szCs w:val="18"/>
        </w:rPr>
        <w:t xml:space="preserve">voor dat lidstaten een lijst </w:t>
      </w:r>
      <w:r w:rsidRPr="003516A4" w:rsidR="004177BF">
        <w:rPr>
          <w:rFonts w:ascii="Verdana" w:hAnsi="Verdana"/>
          <w:sz w:val="18"/>
          <w:szCs w:val="18"/>
        </w:rPr>
        <w:t>dienen op te stellen van essentiële entiteiten, belangrijke entiteiten</w:t>
      </w:r>
      <w:r w:rsidRPr="003516A4" w:rsidR="0084415B">
        <w:rPr>
          <w:rFonts w:ascii="Verdana" w:hAnsi="Verdana"/>
          <w:sz w:val="18"/>
          <w:szCs w:val="18"/>
        </w:rPr>
        <w:t xml:space="preserve"> en entiteiten die domeinnaamregistratiediensten verlenen. Ten behoeve van het opstellen van deze lijst zijn deze entiteiten verplicht om bepaalde gegevens te delen en actueel te houden, zoals hun contactgegevens en de sector(en) waarin zij actief zijn. Bevoegde autoriteiten, toezichthouders en </w:t>
      </w:r>
      <w:proofErr w:type="spellStart"/>
      <w:r w:rsidRPr="003516A4" w:rsidR="0084415B">
        <w:rPr>
          <w:rFonts w:ascii="Verdana" w:hAnsi="Verdana"/>
          <w:sz w:val="18"/>
          <w:szCs w:val="18"/>
        </w:rPr>
        <w:t>CSIRT</w:t>
      </w:r>
      <w:r w:rsidRPr="003516A4" w:rsidR="00D91960">
        <w:rPr>
          <w:rFonts w:ascii="Verdana" w:hAnsi="Verdana"/>
          <w:sz w:val="18"/>
          <w:szCs w:val="18"/>
        </w:rPr>
        <w:t>’</w:t>
      </w:r>
      <w:r w:rsidRPr="003516A4" w:rsidR="0084415B">
        <w:rPr>
          <w:rFonts w:ascii="Verdana" w:hAnsi="Verdana"/>
          <w:sz w:val="18"/>
          <w:szCs w:val="18"/>
        </w:rPr>
        <w:t>s</w:t>
      </w:r>
      <w:proofErr w:type="spellEnd"/>
      <w:r w:rsidRPr="003516A4" w:rsidR="0084415B">
        <w:rPr>
          <w:rFonts w:ascii="Verdana" w:hAnsi="Verdana"/>
          <w:sz w:val="18"/>
          <w:szCs w:val="18"/>
        </w:rPr>
        <w:t xml:space="preserve"> </w:t>
      </w:r>
      <w:r w:rsidRPr="003516A4" w:rsidR="00EF2DB9">
        <w:rPr>
          <w:rFonts w:ascii="Verdana" w:hAnsi="Verdana"/>
          <w:sz w:val="18"/>
          <w:szCs w:val="18"/>
        </w:rPr>
        <w:t xml:space="preserve">moeten </w:t>
      </w:r>
      <w:r w:rsidRPr="003516A4" w:rsidR="0084415B">
        <w:rPr>
          <w:rFonts w:ascii="Verdana" w:hAnsi="Verdana"/>
          <w:sz w:val="18"/>
          <w:szCs w:val="18"/>
        </w:rPr>
        <w:t xml:space="preserve">over deze gegevens kunnen beschikken voor het uitoefenen van hun taken op grond van deze richtlijn. Daarnaast zijn de lidstaten verplicht om het aantal entiteiten op de lijst, uitgesplitst naar sector en </w:t>
      </w:r>
      <w:proofErr w:type="spellStart"/>
      <w:r w:rsidRPr="003516A4" w:rsidR="0084415B">
        <w:rPr>
          <w:rFonts w:ascii="Verdana" w:hAnsi="Verdana"/>
          <w:sz w:val="18"/>
          <w:szCs w:val="18"/>
        </w:rPr>
        <w:t>subsector</w:t>
      </w:r>
      <w:proofErr w:type="spellEnd"/>
      <w:r w:rsidRPr="003516A4" w:rsidR="0084415B">
        <w:rPr>
          <w:rFonts w:ascii="Verdana" w:hAnsi="Verdana"/>
          <w:sz w:val="18"/>
          <w:szCs w:val="18"/>
        </w:rPr>
        <w:t xml:space="preserve">, te delen met de Europese Commissie en de </w:t>
      </w:r>
      <w:r w:rsidRPr="003516A4">
        <w:rPr>
          <w:rFonts w:ascii="Verdana" w:hAnsi="Verdana"/>
          <w:sz w:val="18"/>
          <w:szCs w:val="18"/>
        </w:rPr>
        <w:t>s</w:t>
      </w:r>
      <w:r w:rsidRPr="003516A4" w:rsidR="0084415B">
        <w:rPr>
          <w:rFonts w:ascii="Verdana" w:hAnsi="Verdana"/>
          <w:sz w:val="18"/>
          <w:szCs w:val="18"/>
        </w:rPr>
        <w:t xml:space="preserve">amenwerkingsgroep. </w:t>
      </w:r>
    </w:p>
    <w:p w:rsidRPr="003516A4" w:rsidR="003516A4" w:rsidP="003516A4" w:rsidRDefault="003516A4" w14:paraId="5E2C5954" w14:textId="77777777">
      <w:pPr>
        <w:pStyle w:val="Geenafstand"/>
        <w:rPr>
          <w:rFonts w:ascii="Verdana" w:hAnsi="Verdana"/>
          <w:sz w:val="18"/>
          <w:szCs w:val="18"/>
        </w:rPr>
      </w:pPr>
    </w:p>
    <w:p w:rsidRPr="003516A4" w:rsidR="00D56A61" w:rsidP="003516A4" w:rsidRDefault="0084415B" w14:paraId="29154E95" w14:textId="7AD52654">
      <w:pPr>
        <w:pStyle w:val="Geenafstand"/>
        <w:rPr>
          <w:rFonts w:ascii="Verdana" w:hAnsi="Verdana"/>
          <w:sz w:val="18"/>
          <w:szCs w:val="18"/>
        </w:rPr>
      </w:pPr>
      <w:r w:rsidRPr="003516A4">
        <w:rPr>
          <w:rFonts w:ascii="Verdana" w:hAnsi="Verdana"/>
          <w:sz w:val="18"/>
          <w:szCs w:val="18"/>
        </w:rPr>
        <w:t>Om ervoor te zorgen dat entiteiten deze informatie laagdrempelig kunnen aanleveren</w:t>
      </w:r>
      <w:r w:rsidRPr="003516A4" w:rsidR="0014473B">
        <w:rPr>
          <w:rFonts w:ascii="Verdana" w:hAnsi="Verdana"/>
          <w:sz w:val="18"/>
          <w:szCs w:val="18"/>
        </w:rPr>
        <w:t xml:space="preserve"> en beheren</w:t>
      </w:r>
      <w:r w:rsidRPr="003516A4">
        <w:rPr>
          <w:rFonts w:ascii="Verdana" w:hAnsi="Verdana"/>
          <w:sz w:val="18"/>
          <w:szCs w:val="18"/>
        </w:rPr>
        <w:t xml:space="preserve"> heeft </w:t>
      </w:r>
      <w:r w:rsidRPr="003516A4" w:rsidR="000637A7">
        <w:rPr>
          <w:rFonts w:ascii="Verdana" w:hAnsi="Verdana"/>
          <w:sz w:val="18"/>
          <w:szCs w:val="18"/>
        </w:rPr>
        <w:t>de regering</w:t>
      </w:r>
      <w:r w:rsidRPr="003516A4">
        <w:rPr>
          <w:rFonts w:ascii="Verdana" w:hAnsi="Verdana"/>
          <w:sz w:val="18"/>
          <w:szCs w:val="18"/>
        </w:rPr>
        <w:t xml:space="preserve"> ervoor gekozen om een registratiemechanisme in te richten bij de Minister van Justitie en Veiligheid. Deze taak zal</w:t>
      </w:r>
      <w:r w:rsidRPr="003516A4" w:rsidR="00D56A61">
        <w:rPr>
          <w:rFonts w:ascii="Verdana" w:hAnsi="Verdana"/>
          <w:sz w:val="18"/>
          <w:szCs w:val="18"/>
        </w:rPr>
        <w:t xml:space="preserve"> namens de </w:t>
      </w:r>
      <w:r w:rsidRPr="003516A4" w:rsidR="004E51D5">
        <w:rPr>
          <w:rFonts w:ascii="Verdana" w:hAnsi="Verdana"/>
          <w:sz w:val="18"/>
          <w:szCs w:val="18"/>
        </w:rPr>
        <w:t>Minister</w:t>
      </w:r>
      <w:r w:rsidRPr="003516A4" w:rsidR="00D56A61">
        <w:rPr>
          <w:rFonts w:ascii="Verdana" w:hAnsi="Verdana"/>
          <w:sz w:val="18"/>
          <w:szCs w:val="18"/>
        </w:rPr>
        <w:t xml:space="preserve"> van Justitie en Veiligheid</w:t>
      </w:r>
      <w:r w:rsidRPr="003516A4">
        <w:rPr>
          <w:rFonts w:ascii="Verdana" w:hAnsi="Verdana"/>
          <w:sz w:val="18"/>
          <w:szCs w:val="18"/>
        </w:rPr>
        <w:t xml:space="preserve"> worden uitgevoerd door het NCSC. Daar zal een loket worden ingericht waar essentiële entiteiten, belangrijke entiteiten en entiteiten die domeinnaamregistratiediensten verlenen de gegevens die genoemd staan in artikel 3, derde lid</w:t>
      </w:r>
      <w:r w:rsidRPr="003516A4" w:rsidR="00E031E9">
        <w:rPr>
          <w:rFonts w:ascii="Verdana" w:hAnsi="Verdana"/>
          <w:sz w:val="18"/>
          <w:szCs w:val="18"/>
        </w:rPr>
        <w:t>,</w:t>
      </w:r>
      <w:r w:rsidRPr="003516A4">
        <w:rPr>
          <w:rFonts w:ascii="Verdana" w:hAnsi="Verdana"/>
          <w:sz w:val="18"/>
          <w:szCs w:val="18"/>
        </w:rPr>
        <w:t xml:space="preserve"> </w:t>
      </w:r>
      <w:r w:rsidRPr="003516A4" w:rsidR="00FB66DF">
        <w:rPr>
          <w:rFonts w:ascii="Verdana" w:hAnsi="Verdana"/>
          <w:sz w:val="18"/>
          <w:szCs w:val="18"/>
        </w:rPr>
        <w:t>NIS2-richtlijn</w:t>
      </w:r>
      <w:r w:rsidRPr="003516A4">
        <w:rPr>
          <w:rFonts w:ascii="Verdana" w:hAnsi="Verdana"/>
          <w:sz w:val="18"/>
          <w:szCs w:val="18"/>
        </w:rPr>
        <w:t xml:space="preserve"> kunnen aanleveren en beheren. Er is gekozen om deze functionaliteit bij het </w:t>
      </w:r>
      <w:r w:rsidRPr="003516A4" w:rsidR="00644664">
        <w:rPr>
          <w:rFonts w:ascii="Verdana" w:hAnsi="Verdana"/>
          <w:sz w:val="18"/>
          <w:szCs w:val="18"/>
        </w:rPr>
        <w:t>NCSC</w:t>
      </w:r>
      <w:r w:rsidRPr="003516A4">
        <w:rPr>
          <w:rFonts w:ascii="Verdana" w:hAnsi="Verdana"/>
          <w:sz w:val="18"/>
          <w:szCs w:val="18"/>
        </w:rPr>
        <w:t xml:space="preserve"> te beleggen zodat alle entiteiten op dezelfde plek terecht kunnen. Daarnaast wordt hierdoor gewaarborgd dat de verschillende betrokken autoriteiten hun taken uitvoeren op basis van dezelfde informatie die op één plek opgeslagen en actueel gehouden wordt. Via een technische oplossing wordt gewaarborgd dat bevoegde autoriteiten, toezichthouders en </w:t>
      </w:r>
      <w:proofErr w:type="spellStart"/>
      <w:r w:rsidRPr="003516A4">
        <w:rPr>
          <w:rFonts w:ascii="Verdana" w:hAnsi="Verdana"/>
          <w:sz w:val="18"/>
          <w:szCs w:val="18"/>
        </w:rPr>
        <w:t>CSIRT</w:t>
      </w:r>
      <w:r w:rsidRPr="003516A4" w:rsidR="00D91960">
        <w:rPr>
          <w:rFonts w:ascii="Verdana" w:hAnsi="Verdana"/>
          <w:sz w:val="18"/>
          <w:szCs w:val="18"/>
        </w:rPr>
        <w:t>’</w:t>
      </w:r>
      <w:r w:rsidRPr="003516A4">
        <w:rPr>
          <w:rFonts w:ascii="Verdana" w:hAnsi="Verdana"/>
          <w:sz w:val="18"/>
          <w:szCs w:val="18"/>
        </w:rPr>
        <w:t>s</w:t>
      </w:r>
      <w:proofErr w:type="spellEnd"/>
      <w:r w:rsidRPr="003516A4" w:rsidR="00EF2DB9">
        <w:rPr>
          <w:rFonts w:ascii="Verdana" w:hAnsi="Verdana"/>
          <w:sz w:val="18"/>
          <w:szCs w:val="18"/>
        </w:rPr>
        <w:t xml:space="preserve"> uitsluitend</w:t>
      </w:r>
      <w:r w:rsidRPr="003516A4">
        <w:rPr>
          <w:rFonts w:ascii="Verdana" w:hAnsi="Verdana"/>
          <w:sz w:val="18"/>
          <w:szCs w:val="18"/>
        </w:rPr>
        <w:t xml:space="preserve"> toegang krijgen tot de gegevens uit het register voor zover zij deze nodig hebben voor het uitvoeren van hun wettelijke taken onder deze richtlijn. </w:t>
      </w:r>
      <w:r w:rsidRPr="003516A4" w:rsidR="0014473B">
        <w:rPr>
          <w:rFonts w:ascii="Verdana" w:hAnsi="Verdana"/>
          <w:sz w:val="18"/>
          <w:szCs w:val="18"/>
        </w:rPr>
        <w:t>Op die manier wordt de</w:t>
      </w:r>
      <w:r w:rsidRPr="003516A4" w:rsidR="00D56A61">
        <w:rPr>
          <w:rFonts w:ascii="Verdana" w:hAnsi="Verdana"/>
          <w:sz w:val="18"/>
          <w:szCs w:val="18"/>
        </w:rPr>
        <w:t xml:space="preserve"> groep die toegang heeft tot</w:t>
      </w:r>
      <w:r w:rsidRPr="003516A4" w:rsidR="00644664">
        <w:rPr>
          <w:rFonts w:ascii="Verdana" w:hAnsi="Verdana"/>
          <w:sz w:val="18"/>
          <w:szCs w:val="18"/>
        </w:rPr>
        <w:t xml:space="preserve"> </w:t>
      </w:r>
      <w:r w:rsidRPr="003516A4" w:rsidR="0014473B">
        <w:rPr>
          <w:rFonts w:ascii="Verdana" w:hAnsi="Verdana"/>
          <w:sz w:val="18"/>
          <w:szCs w:val="18"/>
        </w:rPr>
        <w:t>deze gegevens zo beperkt mogelijk gehouden.</w:t>
      </w:r>
      <w:r w:rsidRPr="003516A4" w:rsidR="00036995">
        <w:rPr>
          <w:rFonts w:ascii="Verdana" w:hAnsi="Verdana"/>
          <w:sz w:val="18"/>
          <w:szCs w:val="18"/>
        </w:rPr>
        <w:t xml:space="preserve"> </w:t>
      </w:r>
    </w:p>
    <w:p w:rsidRPr="003516A4" w:rsidR="003516A4" w:rsidP="003516A4" w:rsidRDefault="003516A4" w14:paraId="7B18A093" w14:textId="77777777">
      <w:pPr>
        <w:pStyle w:val="Geenafstand"/>
        <w:rPr>
          <w:rFonts w:ascii="Verdana" w:hAnsi="Verdana"/>
          <w:sz w:val="18"/>
          <w:szCs w:val="18"/>
        </w:rPr>
      </w:pPr>
    </w:p>
    <w:p w:rsidRPr="003516A4" w:rsidR="0084415B" w:rsidP="003516A4" w:rsidRDefault="0084415B" w14:paraId="2C5881AF" w14:textId="0A2C1D17">
      <w:pPr>
        <w:pStyle w:val="Geenafstand"/>
        <w:rPr>
          <w:rFonts w:ascii="Verdana" w:hAnsi="Verdana"/>
          <w:sz w:val="18"/>
          <w:szCs w:val="18"/>
        </w:rPr>
      </w:pPr>
      <w:r w:rsidRPr="003516A4">
        <w:rPr>
          <w:rFonts w:ascii="Verdana" w:hAnsi="Verdana"/>
          <w:sz w:val="18"/>
          <w:szCs w:val="18"/>
        </w:rPr>
        <w:t xml:space="preserve">Via het registratiemechanisme zal ook invulling worden gegeven aan artikel 27 </w:t>
      </w:r>
      <w:r w:rsidRPr="003516A4" w:rsidR="0023581F">
        <w:rPr>
          <w:rFonts w:ascii="Verdana" w:hAnsi="Verdana"/>
          <w:sz w:val="18"/>
          <w:szCs w:val="18"/>
        </w:rPr>
        <w:t>NIS2-richtlijn</w:t>
      </w:r>
      <w:r w:rsidRPr="003516A4">
        <w:rPr>
          <w:rFonts w:ascii="Verdana" w:hAnsi="Verdana"/>
          <w:sz w:val="18"/>
          <w:szCs w:val="18"/>
        </w:rPr>
        <w:t xml:space="preserve">. Dit artikel schrijft voor dat DNS-dienstverleners, registers voor topleveldomeinnamen, entiteiten die domeinnaamregistratiediensten verlenen, aanbieders van </w:t>
      </w:r>
      <w:proofErr w:type="spellStart"/>
      <w:r w:rsidRPr="003516A4">
        <w:rPr>
          <w:rFonts w:ascii="Verdana" w:hAnsi="Verdana"/>
          <w:sz w:val="18"/>
          <w:szCs w:val="18"/>
        </w:rPr>
        <w:t>cloudcomputingdiensten</w:t>
      </w:r>
      <w:proofErr w:type="spellEnd"/>
      <w:r w:rsidRPr="003516A4">
        <w:rPr>
          <w:rFonts w:ascii="Verdana" w:hAnsi="Verdana"/>
          <w:sz w:val="18"/>
          <w:szCs w:val="18"/>
        </w:rPr>
        <w:t xml:space="preserve">, aanbieders van datacentra, aanbieders van netwerken voor de levering van inhoud, aanbieders van beheerde diensten, aanbieders van beheerde beveiligingsdiensten, alsmede aanbieders van onlinemarktplaatsen, van onlinezoekmachines en van platforms voor </w:t>
      </w:r>
      <w:proofErr w:type="spellStart"/>
      <w:r w:rsidRPr="003516A4">
        <w:rPr>
          <w:rFonts w:ascii="Verdana" w:hAnsi="Verdana"/>
          <w:sz w:val="18"/>
          <w:szCs w:val="18"/>
        </w:rPr>
        <w:t>socialenetwerkdiensten</w:t>
      </w:r>
      <w:proofErr w:type="spellEnd"/>
      <w:r w:rsidRPr="003516A4">
        <w:rPr>
          <w:rFonts w:ascii="Verdana" w:hAnsi="Verdana"/>
          <w:sz w:val="18"/>
          <w:szCs w:val="18"/>
        </w:rPr>
        <w:t xml:space="preserve"> bepaalde informatie aanleveren ten behoeve van het </w:t>
      </w:r>
      <w:proofErr w:type="spellStart"/>
      <w:r w:rsidR="004A43BD">
        <w:rPr>
          <w:rFonts w:ascii="Verdana" w:hAnsi="Verdana"/>
          <w:sz w:val="18"/>
          <w:szCs w:val="18"/>
        </w:rPr>
        <w:t>Enisa</w:t>
      </w:r>
      <w:proofErr w:type="spellEnd"/>
      <w:r w:rsidR="004A43BD">
        <w:rPr>
          <w:rFonts w:ascii="Verdana" w:hAnsi="Verdana"/>
          <w:sz w:val="18"/>
          <w:szCs w:val="18"/>
        </w:rPr>
        <w:t>-</w:t>
      </w:r>
      <w:r w:rsidRPr="003516A4">
        <w:rPr>
          <w:rFonts w:ascii="Verdana" w:hAnsi="Verdana"/>
          <w:sz w:val="18"/>
          <w:szCs w:val="18"/>
        </w:rPr>
        <w:t>register. Deze informatie (die genoemd staat in artikel 27, tweede lid</w:t>
      </w:r>
      <w:r w:rsidRPr="003516A4" w:rsidR="0023581F">
        <w:rPr>
          <w:rFonts w:ascii="Verdana" w:hAnsi="Verdana"/>
          <w:sz w:val="18"/>
          <w:szCs w:val="18"/>
        </w:rPr>
        <w:t>, NIS2-richtlijn</w:t>
      </w:r>
      <w:r w:rsidRPr="003516A4">
        <w:rPr>
          <w:rFonts w:ascii="Verdana" w:hAnsi="Verdana"/>
          <w:sz w:val="18"/>
          <w:szCs w:val="18"/>
        </w:rPr>
        <w:t>) komt in grote mate overeen met de informatie die entiteiten moeten aanleveren als gevolg van artikel 3, derde lid</w:t>
      </w:r>
      <w:r w:rsidRPr="003516A4" w:rsidR="0023581F">
        <w:rPr>
          <w:rFonts w:ascii="Verdana" w:hAnsi="Verdana"/>
          <w:sz w:val="18"/>
          <w:szCs w:val="18"/>
        </w:rPr>
        <w:t>, NIS2-richtlijn</w:t>
      </w:r>
      <w:r w:rsidRPr="003516A4">
        <w:rPr>
          <w:rFonts w:ascii="Verdana" w:hAnsi="Verdana"/>
          <w:sz w:val="18"/>
          <w:szCs w:val="18"/>
        </w:rPr>
        <w:t xml:space="preserve">. In artikel </w:t>
      </w:r>
      <w:r w:rsidRPr="003516A4" w:rsidR="0023581F">
        <w:rPr>
          <w:rFonts w:ascii="Verdana" w:hAnsi="Verdana"/>
          <w:sz w:val="18"/>
          <w:szCs w:val="18"/>
        </w:rPr>
        <w:t xml:space="preserve">47 </w:t>
      </w:r>
      <w:proofErr w:type="spellStart"/>
      <w:r w:rsidRPr="003516A4" w:rsidR="00DC7B4C">
        <w:rPr>
          <w:rFonts w:ascii="Verdana" w:hAnsi="Verdana"/>
          <w:sz w:val="18"/>
          <w:szCs w:val="18"/>
        </w:rPr>
        <w:t>Cbw</w:t>
      </w:r>
      <w:proofErr w:type="spellEnd"/>
      <w:r w:rsidRPr="003516A4">
        <w:rPr>
          <w:rFonts w:ascii="Verdana" w:hAnsi="Verdana"/>
          <w:sz w:val="18"/>
          <w:szCs w:val="18"/>
        </w:rPr>
        <w:t xml:space="preserve"> is daarom opgenomen dat deze informatie verstrekt moet worden voor zover dit niet al is gedaan op grond van artikel </w:t>
      </w:r>
      <w:r w:rsidRPr="003516A4" w:rsidR="0023581F">
        <w:rPr>
          <w:rFonts w:ascii="Verdana" w:hAnsi="Verdana"/>
          <w:sz w:val="18"/>
          <w:szCs w:val="18"/>
        </w:rPr>
        <w:t xml:space="preserve">44 </w:t>
      </w:r>
      <w:proofErr w:type="spellStart"/>
      <w:r w:rsidRPr="003516A4" w:rsidR="00DC7B4C">
        <w:rPr>
          <w:rFonts w:ascii="Verdana" w:hAnsi="Verdana"/>
          <w:sz w:val="18"/>
          <w:szCs w:val="18"/>
        </w:rPr>
        <w:t>Cbw</w:t>
      </w:r>
      <w:proofErr w:type="spellEnd"/>
      <w:r w:rsidRPr="003516A4">
        <w:rPr>
          <w:rFonts w:ascii="Verdana" w:hAnsi="Verdana"/>
          <w:sz w:val="18"/>
          <w:szCs w:val="18"/>
        </w:rPr>
        <w:t xml:space="preserve">. </w:t>
      </w:r>
      <w:r w:rsidRPr="003516A4" w:rsidR="008C7B91">
        <w:rPr>
          <w:rFonts w:ascii="Verdana" w:hAnsi="Verdana"/>
          <w:sz w:val="18"/>
          <w:szCs w:val="18"/>
        </w:rPr>
        <w:t>Ten slotte zal via het registratiemechanisme tevens invulling worden gegeven aan artikel 29, vierde lid, NIS2-richtlijn, op grond waarvan essentiële entiteiten en belangrijke entiteiten de bevoegde autoriteiten in kennis dienen te stellen van hun deelname aan informatie-uitwisselingsregelingen op het gebied van cyberbeveiliging wanneer zij dergelijke regelingen aangaan, of, indien van toepassing, van hun terugtrekking uit dergelijke regelingen, zodra de terugtrekking van kracht wordt.</w:t>
      </w:r>
    </w:p>
    <w:p w:rsidRPr="003516A4" w:rsidR="003516A4" w:rsidP="003516A4" w:rsidRDefault="003516A4" w14:paraId="69AC0CCD" w14:textId="77777777">
      <w:pPr>
        <w:pStyle w:val="Geenafstand"/>
        <w:rPr>
          <w:rFonts w:ascii="Verdana" w:hAnsi="Verdana"/>
          <w:sz w:val="18"/>
          <w:szCs w:val="18"/>
        </w:rPr>
      </w:pPr>
    </w:p>
    <w:p w:rsidRPr="00FF46E3" w:rsidR="00554424" w:rsidP="00FC2A19" w:rsidRDefault="005A5363" w14:paraId="1DA850BD" w14:textId="1AAF6008">
      <w:pPr>
        <w:pStyle w:val="Kop2"/>
        <w:rPr>
          <w:szCs w:val="18"/>
        </w:rPr>
      </w:pPr>
      <w:bookmarkStart w:name="_Toc198721095" w:id="104"/>
      <w:r w:rsidRPr="00FF46E3">
        <w:rPr>
          <w:szCs w:val="18"/>
        </w:rPr>
        <w:lastRenderedPageBreak/>
        <w:t>5.</w:t>
      </w:r>
      <w:r w:rsidR="0043522B">
        <w:rPr>
          <w:szCs w:val="18"/>
        </w:rPr>
        <w:t>8</w:t>
      </w:r>
      <w:r w:rsidRPr="00FF46E3" w:rsidR="00554424">
        <w:rPr>
          <w:szCs w:val="18"/>
        </w:rPr>
        <w:t xml:space="preserve"> Toepassing in Caribisch deel van het Koninkrijk</w:t>
      </w:r>
      <w:bookmarkEnd w:id="104"/>
    </w:p>
    <w:p w:rsidRPr="00FF46E3" w:rsidR="000C3793" w:rsidP="00DE3989" w:rsidRDefault="000C3793" w14:paraId="0A1303D3" w14:textId="77777777">
      <w:pPr>
        <w:pStyle w:val="Geenafstand"/>
        <w:rPr>
          <w:rFonts w:ascii="Verdana" w:hAnsi="Verdana"/>
          <w:sz w:val="18"/>
          <w:szCs w:val="18"/>
        </w:rPr>
      </w:pPr>
    </w:p>
    <w:p w:rsidRPr="00FF46E3" w:rsidR="00D46CD9" w:rsidP="00DE3989" w:rsidRDefault="00DE3989" w14:paraId="505DBC15" w14:textId="6951595E">
      <w:pPr>
        <w:pStyle w:val="Geenafstand"/>
        <w:rPr>
          <w:rFonts w:ascii="Verdana" w:hAnsi="Verdana"/>
          <w:sz w:val="18"/>
          <w:szCs w:val="18"/>
        </w:rPr>
      </w:pPr>
      <w:r w:rsidRPr="00FF46E3">
        <w:rPr>
          <w:rFonts w:ascii="Verdana" w:hAnsi="Verdana"/>
          <w:sz w:val="18"/>
          <w:szCs w:val="18"/>
        </w:rPr>
        <w:t xml:space="preserve">De NIS2-richtlijn is alleen van toepassing op Europees Nederland. De openbare lichamen Bonaire, </w:t>
      </w:r>
      <w:r w:rsidRPr="00FF46E3" w:rsidR="005A3DAA">
        <w:rPr>
          <w:rFonts w:ascii="Verdana" w:hAnsi="Verdana"/>
          <w:sz w:val="18"/>
          <w:szCs w:val="18"/>
        </w:rPr>
        <w:t>Sint-Eustatius</w:t>
      </w:r>
      <w:r w:rsidRPr="00FF46E3">
        <w:rPr>
          <w:rFonts w:ascii="Verdana" w:hAnsi="Verdana"/>
          <w:sz w:val="18"/>
          <w:szCs w:val="18"/>
        </w:rPr>
        <w:t xml:space="preserve"> en Saba </w:t>
      </w:r>
      <w:r w:rsidRPr="00FF46E3" w:rsidR="00D46CD9">
        <w:rPr>
          <w:rFonts w:ascii="Verdana" w:hAnsi="Verdana"/>
          <w:sz w:val="18"/>
          <w:szCs w:val="18"/>
        </w:rPr>
        <w:t xml:space="preserve">(BES) </w:t>
      </w:r>
      <w:r w:rsidRPr="00FF46E3">
        <w:rPr>
          <w:rFonts w:ascii="Verdana" w:hAnsi="Verdana"/>
          <w:sz w:val="18"/>
          <w:szCs w:val="18"/>
        </w:rPr>
        <w:t>hebben de zogeheten LGO-status (landen en gebieden overzee, artikel 299, derde lid, en bijlage II van het</w:t>
      </w:r>
      <w:r w:rsidRPr="00FF46E3" w:rsidR="00464038">
        <w:rPr>
          <w:rFonts w:ascii="Verdana" w:hAnsi="Verdana"/>
          <w:sz w:val="18"/>
          <w:szCs w:val="18"/>
        </w:rPr>
        <w:t xml:space="preserve"> Verdrag tot oprichting van de Europese Economische Gemeenschap</w:t>
      </w:r>
      <w:r w:rsidRPr="00FF46E3">
        <w:rPr>
          <w:rFonts w:ascii="Verdana" w:hAnsi="Verdana"/>
          <w:sz w:val="18"/>
          <w:szCs w:val="18"/>
        </w:rPr>
        <w:t>)</w:t>
      </w:r>
      <w:r w:rsidRPr="00FF46E3" w:rsidR="00912834">
        <w:rPr>
          <w:rFonts w:ascii="Verdana" w:hAnsi="Verdana"/>
          <w:sz w:val="18"/>
          <w:szCs w:val="18"/>
        </w:rPr>
        <w:t xml:space="preserve"> en maken geen deel uit van de </w:t>
      </w:r>
      <w:r w:rsidRPr="00FF46E3" w:rsidR="00733ABA">
        <w:rPr>
          <w:rFonts w:ascii="Verdana" w:hAnsi="Verdana"/>
          <w:sz w:val="18"/>
          <w:szCs w:val="18"/>
        </w:rPr>
        <w:t>EU</w:t>
      </w:r>
      <w:r w:rsidRPr="00FF46E3">
        <w:rPr>
          <w:rFonts w:ascii="Verdana" w:hAnsi="Verdana"/>
          <w:sz w:val="18"/>
          <w:szCs w:val="18"/>
        </w:rPr>
        <w:t xml:space="preserve">. Nu deze richtlijn wordt geïmplementeerd via een voor Europees Nederland geldende implementatiewet dient in het kader van het principe van </w:t>
      </w:r>
      <w:proofErr w:type="spellStart"/>
      <w:r w:rsidRPr="00D65544">
        <w:rPr>
          <w:rFonts w:ascii="Verdana" w:hAnsi="Verdana"/>
          <w:i/>
          <w:iCs/>
          <w:sz w:val="18"/>
          <w:szCs w:val="18"/>
        </w:rPr>
        <w:t>comply</w:t>
      </w:r>
      <w:proofErr w:type="spellEnd"/>
      <w:r w:rsidRPr="00D65544">
        <w:rPr>
          <w:rFonts w:ascii="Verdana" w:hAnsi="Verdana"/>
          <w:i/>
          <w:iCs/>
          <w:sz w:val="18"/>
          <w:szCs w:val="18"/>
        </w:rPr>
        <w:t xml:space="preserve"> or </w:t>
      </w:r>
      <w:proofErr w:type="spellStart"/>
      <w:r w:rsidRPr="00D65544">
        <w:rPr>
          <w:rFonts w:ascii="Verdana" w:hAnsi="Verdana"/>
          <w:i/>
          <w:iCs/>
          <w:sz w:val="18"/>
          <w:szCs w:val="18"/>
        </w:rPr>
        <w:t>explain</w:t>
      </w:r>
      <w:proofErr w:type="spellEnd"/>
      <w:r w:rsidRPr="00FF46E3">
        <w:rPr>
          <w:rFonts w:ascii="Verdana" w:hAnsi="Verdana"/>
          <w:sz w:val="18"/>
          <w:szCs w:val="18"/>
        </w:rPr>
        <w:t xml:space="preserve"> wel te worden bezien of en hoe </w:t>
      </w:r>
      <w:r w:rsidRPr="00FF46E3" w:rsidR="00866C2E">
        <w:rPr>
          <w:rFonts w:ascii="Verdana" w:hAnsi="Verdana"/>
          <w:sz w:val="18"/>
          <w:szCs w:val="18"/>
        </w:rPr>
        <w:t xml:space="preserve">de </w:t>
      </w:r>
      <w:proofErr w:type="spellStart"/>
      <w:r w:rsidRPr="00FF46E3" w:rsidR="00866C2E">
        <w:rPr>
          <w:rFonts w:ascii="Verdana" w:hAnsi="Verdana"/>
          <w:sz w:val="18"/>
          <w:szCs w:val="18"/>
        </w:rPr>
        <w:t>Cbw</w:t>
      </w:r>
      <w:proofErr w:type="spellEnd"/>
      <w:r w:rsidRPr="00FF46E3" w:rsidR="004A5163">
        <w:rPr>
          <w:rFonts w:ascii="Verdana" w:hAnsi="Verdana"/>
          <w:sz w:val="18"/>
          <w:szCs w:val="18"/>
        </w:rPr>
        <w:t xml:space="preserve"> </w:t>
      </w:r>
      <w:r w:rsidRPr="00FF46E3">
        <w:rPr>
          <w:rFonts w:ascii="Verdana" w:hAnsi="Verdana"/>
          <w:sz w:val="18"/>
          <w:szCs w:val="18"/>
        </w:rPr>
        <w:t xml:space="preserve">van toepassing moet worden verklaard voor Caribisch Nederland. Hierna wordt toegelicht waarom er op dit moment nog geen wetgeving komt voor Caribisch Nederland vergelijkbaar met </w:t>
      </w:r>
      <w:r w:rsidRPr="00FF46E3" w:rsidR="00866C2E">
        <w:rPr>
          <w:rFonts w:ascii="Verdana" w:hAnsi="Verdana"/>
          <w:sz w:val="18"/>
          <w:szCs w:val="18"/>
        </w:rPr>
        <w:t xml:space="preserve">de </w:t>
      </w:r>
      <w:proofErr w:type="spellStart"/>
      <w:r w:rsidRPr="00FF46E3" w:rsidR="00866C2E">
        <w:rPr>
          <w:rFonts w:ascii="Verdana" w:hAnsi="Verdana"/>
          <w:sz w:val="18"/>
          <w:szCs w:val="18"/>
        </w:rPr>
        <w:t>Cbw</w:t>
      </w:r>
      <w:proofErr w:type="spellEnd"/>
      <w:r w:rsidRPr="00FF46E3">
        <w:rPr>
          <w:rFonts w:ascii="Verdana" w:hAnsi="Verdana"/>
          <w:sz w:val="18"/>
          <w:szCs w:val="18"/>
        </w:rPr>
        <w:t xml:space="preserve">. </w:t>
      </w:r>
    </w:p>
    <w:p w:rsidRPr="00FF46E3" w:rsidR="00C66CC2" w:rsidP="00DE3989" w:rsidRDefault="00C66CC2" w14:paraId="7A860AE2" w14:textId="77777777">
      <w:pPr>
        <w:pStyle w:val="Geenafstand"/>
        <w:rPr>
          <w:rFonts w:ascii="Verdana" w:hAnsi="Verdana"/>
          <w:sz w:val="18"/>
          <w:szCs w:val="18"/>
        </w:rPr>
      </w:pPr>
    </w:p>
    <w:p w:rsidRPr="00FF46E3" w:rsidR="00DE3989" w:rsidP="00DE3989" w:rsidRDefault="00DE3989" w14:paraId="082C9B81" w14:textId="3F30C8F1">
      <w:pPr>
        <w:pStyle w:val="Geenafstand"/>
        <w:rPr>
          <w:rFonts w:ascii="Verdana" w:hAnsi="Verdana"/>
          <w:sz w:val="18"/>
          <w:szCs w:val="18"/>
        </w:rPr>
      </w:pPr>
      <w:r w:rsidRPr="00FF46E3">
        <w:rPr>
          <w:rFonts w:ascii="Verdana" w:hAnsi="Verdana"/>
          <w:sz w:val="18"/>
          <w:szCs w:val="18"/>
        </w:rPr>
        <w:t xml:space="preserve">De onderwerpen die in de NIS2-richtlijn worden geregeld, zijn op dit moment nog niet uitvoerbaar in Caribisch Nederland voor onder meer de openbare lichamen. Er wordt op dit moment nog uitvoering gegeven aan een aantal randvoorwaarden voor het verhogen van de digitale weerbaarheid op de BES. Zo wordt in het kader van de Veiligheidsstrategie van het Koninkrijk gewerkt aan het in kaart brengen welke processen op de BES mogelijk maatschappelijk ontwrichtende effecten hebben, zodat duidelijk is welke processen betere bescherming behoeven. Daarnaast heeft het kabinet in de Nederlandse Cybersecuritystrategie aangekondigd om te verkennen welke stappen er nodig zijn om de digitale weerbaarheid van de vitale infrastructuur op de BES te verhogen. Het is denkbaar dat vanuit de uitvoering van deze randvoorwaarden in de toekomst (sectorale) wetgeving voortvloeit </w:t>
      </w:r>
      <w:bookmarkStart w:name="_Hlk170891890" w:id="105"/>
      <w:r w:rsidRPr="00FF46E3">
        <w:rPr>
          <w:rFonts w:ascii="Verdana" w:hAnsi="Verdana"/>
          <w:sz w:val="18"/>
          <w:szCs w:val="18"/>
        </w:rPr>
        <w:t>waarmee de bescherming van bepaalde infrastructuur in Caribisch Nederland tegen digitale risico</w:t>
      </w:r>
      <w:r w:rsidR="00D91960">
        <w:rPr>
          <w:rFonts w:ascii="Verdana" w:hAnsi="Verdana"/>
          <w:sz w:val="18"/>
          <w:szCs w:val="18"/>
        </w:rPr>
        <w:t>’</w:t>
      </w:r>
      <w:r w:rsidRPr="00FF46E3">
        <w:rPr>
          <w:rFonts w:ascii="Verdana" w:hAnsi="Verdana"/>
          <w:sz w:val="18"/>
          <w:szCs w:val="18"/>
        </w:rPr>
        <w:t>s wordt gewaarborgd.</w:t>
      </w:r>
      <w:bookmarkEnd w:id="105"/>
    </w:p>
    <w:p w:rsidRPr="00FF46E3" w:rsidR="00456A3C" w:rsidP="00DE3989" w:rsidRDefault="00456A3C" w14:paraId="2B5E7151" w14:textId="77777777">
      <w:pPr>
        <w:pStyle w:val="Geenafstand"/>
        <w:rPr>
          <w:rFonts w:ascii="Verdana" w:hAnsi="Verdana"/>
          <w:sz w:val="18"/>
          <w:szCs w:val="18"/>
        </w:rPr>
      </w:pPr>
    </w:p>
    <w:p w:rsidRPr="00FF46E3" w:rsidR="00456A3C" w:rsidP="00456A3C" w:rsidRDefault="00456A3C" w14:paraId="2DE012C9" w14:textId="2B19B351">
      <w:pPr>
        <w:pStyle w:val="Kop2"/>
        <w:rPr>
          <w:szCs w:val="18"/>
        </w:rPr>
      </w:pPr>
      <w:bookmarkStart w:name="_Toc198721096" w:id="106"/>
      <w:r w:rsidRPr="00FF46E3">
        <w:rPr>
          <w:szCs w:val="18"/>
        </w:rPr>
        <w:t>5.</w:t>
      </w:r>
      <w:r w:rsidR="0043522B">
        <w:rPr>
          <w:szCs w:val="18"/>
        </w:rPr>
        <w:t>9</w:t>
      </w:r>
      <w:r w:rsidRPr="00FF46E3">
        <w:rPr>
          <w:szCs w:val="18"/>
        </w:rPr>
        <w:t xml:space="preserve"> Rechtsbescherming en </w:t>
      </w:r>
      <w:r w:rsidR="004273E7">
        <w:rPr>
          <w:szCs w:val="18"/>
        </w:rPr>
        <w:t>vereisten aan besluiten</w:t>
      </w:r>
      <w:bookmarkEnd w:id="106"/>
    </w:p>
    <w:p w:rsidRPr="00FF46E3" w:rsidR="00456A3C" w:rsidP="00DE3989" w:rsidRDefault="00456A3C" w14:paraId="59A34441" w14:textId="77777777">
      <w:pPr>
        <w:pStyle w:val="Geenafstand"/>
        <w:rPr>
          <w:rFonts w:ascii="Verdana" w:hAnsi="Verdana"/>
          <w:sz w:val="18"/>
          <w:szCs w:val="18"/>
        </w:rPr>
      </w:pPr>
    </w:p>
    <w:p w:rsidRPr="00FF46E3" w:rsidR="00693972" w:rsidP="00693972" w:rsidRDefault="00693972" w14:paraId="3E7C25B7" w14:textId="1400EB2B">
      <w:pPr>
        <w:pStyle w:val="Geenafstand"/>
        <w:rPr>
          <w:rFonts w:ascii="Verdana" w:hAnsi="Verdana"/>
          <w:sz w:val="18"/>
          <w:szCs w:val="18"/>
        </w:rPr>
      </w:pPr>
      <w:bookmarkStart w:name="_Hlk172211588" w:id="107"/>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Pr>
          <w:rFonts w:ascii="Verdana" w:hAnsi="Verdana"/>
          <w:sz w:val="18"/>
          <w:szCs w:val="18"/>
        </w:rPr>
        <w:t xml:space="preserve"> voorziet in de grondslag voor diverse besluiten in de zin van artikel 1:3 </w:t>
      </w:r>
      <w:proofErr w:type="spellStart"/>
      <w:r w:rsidRPr="00FF46E3">
        <w:rPr>
          <w:rFonts w:ascii="Verdana" w:hAnsi="Verdana"/>
          <w:sz w:val="18"/>
          <w:szCs w:val="18"/>
        </w:rPr>
        <w:t>Awb</w:t>
      </w:r>
      <w:proofErr w:type="spellEnd"/>
      <w:r w:rsidRPr="00FF46E3">
        <w:rPr>
          <w:rFonts w:ascii="Verdana" w:hAnsi="Verdana"/>
          <w:sz w:val="18"/>
          <w:szCs w:val="18"/>
        </w:rPr>
        <w:t xml:space="preserve">. Een voorbeeld van een dergelijk besluit is de aanwijzing, bij regeling of besluit, van een entiteit als essentiële entiteit of belangrijke entiteit. Andere voorbeelden zijn de besluiten van de toezichthoudende instantie inhoudende een last onder bestuursdwang, last onder dwangsom of bestuurlijke boete. Ook de besluiten van de toezichthoudende instantie over de verplichting tot het uitvoeren van een audit of de verplichting tot de openbaarmaking van (delen van) een overtreding van de </w:t>
      </w:r>
      <w:proofErr w:type="spellStart"/>
      <w:r w:rsidRPr="00FF46E3">
        <w:rPr>
          <w:rFonts w:ascii="Verdana" w:hAnsi="Verdana"/>
          <w:sz w:val="18"/>
          <w:szCs w:val="18"/>
        </w:rPr>
        <w:t>Cbw</w:t>
      </w:r>
      <w:proofErr w:type="spellEnd"/>
      <w:r w:rsidRPr="00FF46E3">
        <w:rPr>
          <w:rFonts w:ascii="Verdana" w:hAnsi="Verdana"/>
          <w:sz w:val="18"/>
          <w:szCs w:val="18"/>
        </w:rPr>
        <w:t xml:space="preserve">, kwalificeren als besluit in de zin van artikel 1:3 </w:t>
      </w:r>
      <w:proofErr w:type="spellStart"/>
      <w:r w:rsidRPr="00FF46E3">
        <w:rPr>
          <w:rFonts w:ascii="Verdana" w:hAnsi="Verdana"/>
          <w:sz w:val="18"/>
          <w:szCs w:val="18"/>
        </w:rPr>
        <w:t>Awb</w:t>
      </w:r>
      <w:proofErr w:type="spellEnd"/>
      <w:r w:rsidRPr="00FF46E3">
        <w:rPr>
          <w:rFonts w:ascii="Verdana" w:hAnsi="Verdana"/>
          <w:sz w:val="18"/>
          <w:szCs w:val="18"/>
        </w:rPr>
        <w:t xml:space="preserve">. </w:t>
      </w:r>
    </w:p>
    <w:p w:rsidR="00EC17DD" w:rsidP="004273E7" w:rsidRDefault="00EC17DD" w14:paraId="3F9098DD" w14:textId="77777777">
      <w:pPr>
        <w:pStyle w:val="Geenafstand"/>
        <w:rPr>
          <w:rFonts w:ascii="Verdana" w:hAnsi="Verdana"/>
          <w:sz w:val="18"/>
          <w:szCs w:val="18"/>
        </w:rPr>
      </w:pPr>
    </w:p>
    <w:p w:rsidR="004273E7" w:rsidP="004273E7" w:rsidRDefault="004273E7" w14:paraId="5BDEEC34" w14:textId="55A5A0EA">
      <w:pPr>
        <w:pStyle w:val="Geenafstand"/>
        <w:rPr>
          <w:rFonts w:ascii="Verdana" w:hAnsi="Verdana"/>
          <w:sz w:val="18"/>
          <w:szCs w:val="18"/>
        </w:rPr>
      </w:pPr>
      <w:r w:rsidRPr="00FF46E3">
        <w:rPr>
          <w:rFonts w:ascii="Verdana" w:hAnsi="Verdana"/>
          <w:sz w:val="18"/>
          <w:szCs w:val="18"/>
        </w:rPr>
        <w:t>Bij de voorbereiding van besluit</w:t>
      </w:r>
      <w:r w:rsidR="00693972">
        <w:rPr>
          <w:rFonts w:ascii="Verdana" w:hAnsi="Verdana"/>
          <w:sz w:val="18"/>
          <w:szCs w:val="18"/>
        </w:rPr>
        <w:t>en gelden</w:t>
      </w:r>
      <w:r w:rsidRPr="00FF46E3">
        <w:rPr>
          <w:rFonts w:ascii="Verdana" w:hAnsi="Verdana"/>
          <w:sz w:val="18"/>
          <w:szCs w:val="18"/>
        </w:rPr>
        <w:t xml:space="preserve"> de regels hierover in de </w:t>
      </w:r>
      <w:proofErr w:type="spellStart"/>
      <w:r w:rsidRPr="00FF46E3">
        <w:rPr>
          <w:rFonts w:ascii="Verdana" w:hAnsi="Verdana"/>
          <w:sz w:val="18"/>
          <w:szCs w:val="18"/>
        </w:rPr>
        <w:t>Awb</w:t>
      </w:r>
      <w:proofErr w:type="spellEnd"/>
      <w:r w:rsidRPr="00FF46E3">
        <w:rPr>
          <w:rFonts w:ascii="Verdana" w:hAnsi="Verdana"/>
          <w:sz w:val="18"/>
          <w:szCs w:val="18"/>
        </w:rPr>
        <w:t xml:space="preserve"> en de algemene beginselen van behoorlijk bestuur. Zo moet bij de voorbereiding van </w:t>
      </w:r>
      <w:r w:rsidR="00693972">
        <w:rPr>
          <w:rFonts w:ascii="Verdana" w:hAnsi="Verdana"/>
          <w:sz w:val="18"/>
          <w:szCs w:val="18"/>
        </w:rPr>
        <w:t>een</w:t>
      </w:r>
      <w:r w:rsidRPr="00FF46E3">
        <w:rPr>
          <w:rFonts w:ascii="Verdana" w:hAnsi="Verdana"/>
          <w:sz w:val="18"/>
          <w:szCs w:val="18"/>
        </w:rPr>
        <w:t xml:space="preserve"> besluit de nodige kennis </w:t>
      </w:r>
      <w:r w:rsidR="00693972">
        <w:rPr>
          <w:rFonts w:ascii="Verdana" w:hAnsi="Verdana"/>
          <w:sz w:val="18"/>
          <w:szCs w:val="18"/>
        </w:rPr>
        <w:t>worden vergaard</w:t>
      </w:r>
      <w:r w:rsidRPr="00FF46E3">
        <w:rPr>
          <w:rFonts w:ascii="Verdana" w:hAnsi="Verdana"/>
          <w:sz w:val="18"/>
          <w:szCs w:val="18"/>
        </w:rPr>
        <w:t xml:space="preserve"> over de relevante feiten en de af te wegen belangen (artikel 3:2 </w:t>
      </w:r>
      <w:proofErr w:type="spellStart"/>
      <w:r w:rsidRPr="00FF46E3">
        <w:rPr>
          <w:rFonts w:ascii="Verdana" w:hAnsi="Verdana"/>
          <w:sz w:val="18"/>
          <w:szCs w:val="18"/>
        </w:rPr>
        <w:t>Awb</w:t>
      </w:r>
      <w:proofErr w:type="spellEnd"/>
      <w:r w:rsidRPr="00FF46E3">
        <w:rPr>
          <w:rFonts w:ascii="Verdana" w:hAnsi="Verdana"/>
          <w:sz w:val="18"/>
          <w:szCs w:val="18"/>
        </w:rPr>
        <w:t xml:space="preserve">). </w:t>
      </w:r>
      <w:r w:rsidR="00EC17DD">
        <w:rPr>
          <w:rFonts w:ascii="Verdana" w:hAnsi="Verdana"/>
          <w:sz w:val="18"/>
          <w:szCs w:val="18"/>
        </w:rPr>
        <w:t>De</w:t>
      </w:r>
      <w:r w:rsidRPr="00FF46E3">
        <w:rPr>
          <w:rFonts w:ascii="Verdana" w:hAnsi="Verdana"/>
          <w:sz w:val="18"/>
          <w:szCs w:val="18"/>
        </w:rPr>
        <w:t xml:space="preserve"> bij het besluit betrokken belangen </w:t>
      </w:r>
      <w:r w:rsidR="00EC17DD">
        <w:rPr>
          <w:rFonts w:ascii="Verdana" w:hAnsi="Verdana"/>
          <w:sz w:val="18"/>
          <w:szCs w:val="18"/>
        </w:rPr>
        <w:t>moeten worden afgewogen</w:t>
      </w:r>
      <w:r w:rsidRPr="00FF46E3">
        <w:rPr>
          <w:rFonts w:ascii="Verdana" w:hAnsi="Verdana"/>
          <w:sz w:val="18"/>
          <w:szCs w:val="18"/>
        </w:rPr>
        <w:t xml:space="preserve"> (artikel 3:4, eerste lid, </w:t>
      </w:r>
      <w:proofErr w:type="spellStart"/>
      <w:r w:rsidRPr="00FF46E3">
        <w:rPr>
          <w:rFonts w:ascii="Verdana" w:hAnsi="Verdana"/>
          <w:sz w:val="18"/>
          <w:szCs w:val="18"/>
        </w:rPr>
        <w:t>Awb</w:t>
      </w:r>
      <w:proofErr w:type="spellEnd"/>
      <w:r w:rsidRPr="00FF46E3">
        <w:rPr>
          <w:rFonts w:ascii="Verdana" w:hAnsi="Verdana"/>
          <w:sz w:val="18"/>
          <w:szCs w:val="18"/>
        </w:rPr>
        <w:t xml:space="preserve">). Verder mogen de voor één of meer belanghebbenden nadelige gevolgen van het besluit niet onevenredig zijn in verhouding tot de met het besluit te dienen doelen (artikel 3:4, tweede lid, </w:t>
      </w:r>
      <w:proofErr w:type="spellStart"/>
      <w:r w:rsidRPr="00FF46E3">
        <w:rPr>
          <w:rFonts w:ascii="Verdana" w:hAnsi="Verdana"/>
          <w:sz w:val="18"/>
          <w:szCs w:val="18"/>
        </w:rPr>
        <w:t>Awb</w:t>
      </w:r>
      <w:proofErr w:type="spellEnd"/>
      <w:r w:rsidRPr="00FF46E3">
        <w:rPr>
          <w:rFonts w:ascii="Verdana" w:hAnsi="Verdana"/>
          <w:sz w:val="18"/>
          <w:szCs w:val="18"/>
        </w:rPr>
        <w:t xml:space="preserve">). Het besluit moet berusten op een deugdelijke motivering (motiveringsbeginsel, artikel 3:46 </w:t>
      </w:r>
      <w:proofErr w:type="spellStart"/>
      <w:r w:rsidRPr="00FF46E3">
        <w:rPr>
          <w:rFonts w:ascii="Verdana" w:hAnsi="Verdana"/>
          <w:sz w:val="18"/>
          <w:szCs w:val="18"/>
        </w:rPr>
        <w:t>Awb</w:t>
      </w:r>
      <w:proofErr w:type="spellEnd"/>
      <w:r w:rsidRPr="00FF46E3">
        <w:rPr>
          <w:rFonts w:ascii="Verdana" w:hAnsi="Verdana"/>
          <w:sz w:val="18"/>
          <w:szCs w:val="18"/>
        </w:rPr>
        <w:t xml:space="preserve">). Het voorgaande is een niet-limitatief overzicht van enkele regels uit de </w:t>
      </w:r>
      <w:proofErr w:type="spellStart"/>
      <w:r w:rsidRPr="00FF46E3">
        <w:rPr>
          <w:rFonts w:ascii="Verdana" w:hAnsi="Verdana"/>
          <w:sz w:val="18"/>
          <w:szCs w:val="18"/>
        </w:rPr>
        <w:t>Awb</w:t>
      </w:r>
      <w:proofErr w:type="spellEnd"/>
      <w:r w:rsidRPr="00FF46E3">
        <w:rPr>
          <w:rFonts w:ascii="Verdana" w:hAnsi="Verdana"/>
          <w:sz w:val="18"/>
          <w:szCs w:val="18"/>
        </w:rPr>
        <w:t xml:space="preserve">. </w:t>
      </w:r>
    </w:p>
    <w:p w:rsidR="00D8390F" w:rsidP="004273E7" w:rsidRDefault="00D8390F" w14:paraId="4FD8129B" w14:textId="77777777">
      <w:pPr>
        <w:pStyle w:val="Geenafstand"/>
        <w:rPr>
          <w:rFonts w:ascii="Verdana" w:hAnsi="Verdana"/>
          <w:sz w:val="18"/>
          <w:szCs w:val="18"/>
        </w:rPr>
      </w:pPr>
    </w:p>
    <w:p w:rsidRPr="00FF46E3" w:rsidR="00D8390F" w:rsidP="004273E7" w:rsidRDefault="00D8390F" w14:paraId="57710FBF" w14:textId="00F2AEF5">
      <w:pPr>
        <w:pStyle w:val="Geenafstand"/>
        <w:rPr>
          <w:rFonts w:ascii="Verdana" w:hAnsi="Verdana"/>
          <w:sz w:val="18"/>
          <w:szCs w:val="18"/>
        </w:rPr>
      </w:pPr>
      <w:r>
        <w:rPr>
          <w:rFonts w:ascii="Verdana" w:hAnsi="Verdana"/>
          <w:sz w:val="18"/>
          <w:szCs w:val="18"/>
        </w:rPr>
        <w:t xml:space="preserve">Ten aanzien van de besluiten van de bevoegde autoriteit inhoudende een handhavingsmaatregel wordt bovendien gewezen op </w:t>
      </w:r>
      <w:r w:rsidRPr="00D644AC">
        <w:rPr>
          <w:rFonts w:ascii="Verdana" w:hAnsi="Verdana"/>
          <w:sz w:val="18"/>
          <w:szCs w:val="18"/>
        </w:rPr>
        <w:t xml:space="preserve">artikel </w:t>
      </w:r>
      <w:r w:rsidRPr="00D644AC" w:rsidR="00D644AC">
        <w:rPr>
          <w:rFonts w:ascii="Verdana" w:hAnsi="Verdana"/>
          <w:sz w:val="18"/>
          <w:szCs w:val="18"/>
        </w:rPr>
        <w:t xml:space="preserve">69 </w:t>
      </w:r>
      <w:proofErr w:type="spellStart"/>
      <w:r w:rsidRPr="00D644AC">
        <w:rPr>
          <w:rFonts w:ascii="Verdana" w:hAnsi="Verdana"/>
          <w:sz w:val="18"/>
          <w:szCs w:val="18"/>
        </w:rPr>
        <w:t>Cbw</w:t>
      </w:r>
      <w:proofErr w:type="spellEnd"/>
      <w:r w:rsidRPr="00D644AC" w:rsidR="00F15368">
        <w:rPr>
          <w:rFonts w:ascii="Verdana" w:hAnsi="Verdana"/>
          <w:sz w:val="18"/>
          <w:szCs w:val="18"/>
        </w:rPr>
        <w:t>. Artikel</w:t>
      </w:r>
      <w:r w:rsidRPr="003E4FF2" w:rsidR="00F15368">
        <w:rPr>
          <w:rFonts w:ascii="Verdana" w:hAnsi="Verdana"/>
          <w:sz w:val="18"/>
          <w:szCs w:val="18"/>
        </w:rPr>
        <w:t xml:space="preserve"> </w:t>
      </w:r>
      <w:r w:rsidRPr="00D644AC" w:rsidR="00D644AC">
        <w:rPr>
          <w:rFonts w:ascii="Verdana" w:hAnsi="Verdana"/>
          <w:sz w:val="18"/>
          <w:szCs w:val="18"/>
        </w:rPr>
        <w:t>69</w:t>
      </w:r>
      <w:r w:rsidRPr="005615E1" w:rsidR="00D644AC">
        <w:rPr>
          <w:rFonts w:ascii="Verdana" w:hAnsi="Verdana"/>
          <w:sz w:val="18"/>
          <w:szCs w:val="18"/>
        </w:rPr>
        <w:t xml:space="preserve"> </w:t>
      </w:r>
      <w:proofErr w:type="spellStart"/>
      <w:r w:rsidRPr="005615E1" w:rsidR="00F15368">
        <w:rPr>
          <w:rFonts w:ascii="Verdana" w:hAnsi="Verdana"/>
          <w:sz w:val="18"/>
          <w:szCs w:val="18"/>
        </w:rPr>
        <w:t>Cbw</w:t>
      </w:r>
      <w:proofErr w:type="spellEnd"/>
      <w:r w:rsidRPr="005615E1" w:rsidR="00F15368">
        <w:rPr>
          <w:rFonts w:ascii="Verdana" w:hAnsi="Verdana"/>
          <w:sz w:val="18"/>
          <w:szCs w:val="18"/>
        </w:rPr>
        <w:t xml:space="preserve"> vereist dat de bevoegde autoriteit bij het nemen van een handhavingsmaatregel ten minste rekening moet houden met een aantal specifieke omstandigheden</w:t>
      </w:r>
      <w:r w:rsidR="00F15368">
        <w:rPr>
          <w:rFonts w:ascii="Verdana" w:hAnsi="Verdana"/>
          <w:sz w:val="18"/>
          <w:szCs w:val="18"/>
        </w:rPr>
        <w:t>, waaronder de duur van de overtreding en eventuele relevante eerdere overtredingen door de betrokken entiteit</w:t>
      </w:r>
      <w:r w:rsidRPr="005615E1" w:rsidR="00F15368">
        <w:rPr>
          <w:rFonts w:ascii="Verdana" w:hAnsi="Verdana"/>
          <w:sz w:val="18"/>
          <w:szCs w:val="18"/>
        </w:rPr>
        <w:t>.</w:t>
      </w:r>
      <w:r w:rsidR="00F15368">
        <w:rPr>
          <w:rFonts w:ascii="Verdana" w:hAnsi="Verdana"/>
          <w:sz w:val="18"/>
          <w:szCs w:val="18"/>
        </w:rPr>
        <w:t xml:space="preserve"> Hiermee worden waarborgen toegekend aan entiteiten waarvan de bevoegde autoriteit voornemens is een handhavingsmaatregel op te leggen.</w:t>
      </w:r>
      <w:r w:rsidRPr="00490CDF" w:rsidR="00F15368">
        <w:rPr>
          <w:rStyle w:val="Voetnootmarkering"/>
          <w:rFonts w:ascii="Verdana" w:hAnsi="Verdana"/>
          <w:sz w:val="18"/>
          <w:szCs w:val="18"/>
        </w:rPr>
        <w:footnoteReference w:id="56"/>
      </w:r>
      <w:r w:rsidR="00F15368">
        <w:rPr>
          <w:rFonts w:ascii="Verdana" w:hAnsi="Verdana"/>
          <w:sz w:val="18"/>
          <w:szCs w:val="18"/>
        </w:rPr>
        <w:t xml:space="preserve"> </w:t>
      </w:r>
    </w:p>
    <w:p w:rsidRPr="00FF46E3" w:rsidR="00EC17DD" w:rsidP="004273E7" w:rsidRDefault="00EC17DD" w14:paraId="096072BE" w14:textId="77777777">
      <w:pPr>
        <w:pStyle w:val="Geenafstand"/>
        <w:rPr>
          <w:rFonts w:ascii="Verdana" w:hAnsi="Verdana"/>
          <w:sz w:val="18"/>
          <w:szCs w:val="18"/>
        </w:rPr>
      </w:pPr>
    </w:p>
    <w:p w:rsidRPr="00FF46E3" w:rsidR="004273E7" w:rsidP="004273E7" w:rsidRDefault="004273E7" w14:paraId="4B71E10C" w14:textId="4E2DC553">
      <w:pPr>
        <w:pStyle w:val="Geenafstand"/>
        <w:rPr>
          <w:rFonts w:ascii="Verdana" w:hAnsi="Verdana"/>
          <w:sz w:val="18"/>
          <w:szCs w:val="18"/>
        </w:rPr>
      </w:pPr>
      <w:r w:rsidRPr="00FF46E3">
        <w:rPr>
          <w:rFonts w:ascii="Verdana" w:hAnsi="Verdana"/>
          <w:sz w:val="18"/>
          <w:szCs w:val="18"/>
        </w:rPr>
        <w:t xml:space="preserve">Tegen de </w:t>
      </w:r>
      <w:r w:rsidRPr="00FF46E3" w:rsidR="00693972">
        <w:rPr>
          <w:rFonts w:ascii="Verdana" w:hAnsi="Verdana"/>
          <w:sz w:val="18"/>
          <w:szCs w:val="18"/>
        </w:rPr>
        <w:t xml:space="preserve">op grond van de </w:t>
      </w:r>
      <w:proofErr w:type="spellStart"/>
      <w:r w:rsidRPr="00FF46E3" w:rsidR="00693972">
        <w:rPr>
          <w:rFonts w:ascii="Verdana" w:hAnsi="Verdana"/>
          <w:sz w:val="18"/>
          <w:szCs w:val="18"/>
        </w:rPr>
        <w:t>Cbw</w:t>
      </w:r>
      <w:proofErr w:type="spellEnd"/>
      <w:r w:rsidRPr="00FF46E3" w:rsidR="00693972">
        <w:rPr>
          <w:rFonts w:ascii="Verdana" w:hAnsi="Verdana"/>
          <w:sz w:val="18"/>
          <w:szCs w:val="18"/>
        </w:rPr>
        <w:t xml:space="preserve"> genomen </w:t>
      </w:r>
      <w:r w:rsidRPr="00FF46E3">
        <w:rPr>
          <w:rFonts w:ascii="Verdana" w:hAnsi="Verdana"/>
          <w:sz w:val="18"/>
          <w:szCs w:val="18"/>
        </w:rPr>
        <w:t xml:space="preserve">besluiten </w:t>
      </w:r>
      <w:r w:rsidRPr="00FF46E3" w:rsidR="00693972">
        <w:rPr>
          <w:rFonts w:ascii="Verdana" w:hAnsi="Verdana"/>
          <w:sz w:val="18"/>
          <w:szCs w:val="18"/>
        </w:rPr>
        <w:t xml:space="preserve">in de zin van artikel 1:3 </w:t>
      </w:r>
      <w:proofErr w:type="spellStart"/>
      <w:r w:rsidRPr="00FF46E3" w:rsidR="00693972">
        <w:rPr>
          <w:rFonts w:ascii="Verdana" w:hAnsi="Verdana"/>
          <w:sz w:val="18"/>
          <w:szCs w:val="18"/>
        </w:rPr>
        <w:t>Awb</w:t>
      </w:r>
      <w:proofErr w:type="spellEnd"/>
      <w:r w:rsidRPr="00FF46E3" w:rsidR="00693972">
        <w:rPr>
          <w:rFonts w:ascii="Verdana" w:hAnsi="Verdana"/>
          <w:sz w:val="18"/>
          <w:szCs w:val="18"/>
        </w:rPr>
        <w:t xml:space="preserve"> </w:t>
      </w:r>
      <w:r w:rsidRPr="00FF46E3">
        <w:rPr>
          <w:rFonts w:ascii="Verdana" w:hAnsi="Verdana"/>
          <w:sz w:val="18"/>
          <w:szCs w:val="18"/>
        </w:rPr>
        <w:t xml:space="preserve">staat bestuursrechtelijke rechtsbescherming open. </w:t>
      </w:r>
      <w:r w:rsidRPr="00FF46E3" w:rsidR="00693972">
        <w:rPr>
          <w:rFonts w:ascii="Verdana" w:hAnsi="Verdana"/>
          <w:sz w:val="18"/>
          <w:szCs w:val="18"/>
        </w:rPr>
        <w:t xml:space="preserve">Belanghebbenden in de zin van artikel 1:2 </w:t>
      </w:r>
      <w:proofErr w:type="spellStart"/>
      <w:r w:rsidRPr="00FF46E3" w:rsidR="00693972">
        <w:rPr>
          <w:rFonts w:ascii="Verdana" w:hAnsi="Verdana"/>
          <w:sz w:val="18"/>
          <w:szCs w:val="18"/>
        </w:rPr>
        <w:t>Awb</w:t>
      </w:r>
      <w:proofErr w:type="spellEnd"/>
      <w:r w:rsidRPr="00FF46E3" w:rsidR="00693972">
        <w:rPr>
          <w:rFonts w:ascii="Verdana" w:hAnsi="Verdana"/>
          <w:sz w:val="18"/>
          <w:szCs w:val="18"/>
        </w:rPr>
        <w:t xml:space="preserve"> </w:t>
      </w:r>
      <w:r w:rsidR="00693972">
        <w:rPr>
          <w:rFonts w:ascii="Verdana" w:hAnsi="Verdana"/>
          <w:sz w:val="18"/>
          <w:szCs w:val="18"/>
        </w:rPr>
        <w:t>(</w:t>
      </w:r>
      <w:r w:rsidR="00EC17DD">
        <w:rPr>
          <w:rFonts w:ascii="Verdana" w:hAnsi="Verdana"/>
          <w:sz w:val="18"/>
          <w:szCs w:val="18"/>
        </w:rPr>
        <w:t>zoals</w:t>
      </w:r>
      <w:r w:rsidR="00693972">
        <w:rPr>
          <w:rFonts w:ascii="Verdana" w:hAnsi="Verdana"/>
          <w:sz w:val="18"/>
          <w:szCs w:val="18"/>
        </w:rPr>
        <w:t xml:space="preserve"> entiteiten die op grond van de </w:t>
      </w:r>
      <w:proofErr w:type="spellStart"/>
      <w:r w:rsidR="00693972">
        <w:rPr>
          <w:rFonts w:ascii="Verdana" w:hAnsi="Verdana"/>
          <w:sz w:val="18"/>
          <w:szCs w:val="18"/>
        </w:rPr>
        <w:t>Cbw</w:t>
      </w:r>
      <w:proofErr w:type="spellEnd"/>
      <w:r w:rsidR="00693972">
        <w:rPr>
          <w:rFonts w:ascii="Verdana" w:hAnsi="Verdana"/>
          <w:sz w:val="18"/>
          <w:szCs w:val="18"/>
        </w:rPr>
        <w:t xml:space="preserve"> een bestuurlijke boete opgelegd </w:t>
      </w:r>
      <w:r w:rsidR="00EC17DD">
        <w:rPr>
          <w:rFonts w:ascii="Verdana" w:hAnsi="Verdana"/>
          <w:sz w:val="18"/>
          <w:szCs w:val="18"/>
        </w:rPr>
        <w:t>hebben gekregen</w:t>
      </w:r>
      <w:r w:rsidR="00693972">
        <w:rPr>
          <w:rFonts w:ascii="Verdana" w:hAnsi="Verdana"/>
          <w:sz w:val="18"/>
          <w:szCs w:val="18"/>
        </w:rPr>
        <w:t xml:space="preserve">) </w:t>
      </w:r>
      <w:r w:rsidRPr="00FF46E3" w:rsidR="00693972">
        <w:rPr>
          <w:rFonts w:ascii="Verdana" w:hAnsi="Verdana"/>
          <w:sz w:val="18"/>
          <w:szCs w:val="18"/>
        </w:rPr>
        <w:t xml:space="preserve">kunnen tegen die besluiten </w:t>
      </w:r>
      <w:r w:rsidRPr="00FF46E3">
        <w:rPr>
          <w:rFonts w:ascii="Verdana" w:hAnsi="Verdana"/>
          <w:sz w:val="18"/>
          <w:szCs w:val="18"/>
        </w:rPr>
        <w:t xml:space="preserve">achtereenvolgens in bezwaar bij </w:t>
      </w:r>
      <w:r w:rsidR="00693972">
        <w:rPr>
          <w:rFonts w:ascii="Verdana" w:hAnsi="Verdana"/>
          <w:sz w:val="18"/>
          <w:szCs w:val="18"/>
        </w:rPr>
        <w:t>het bestuursorgaan dat het besluit heeft genomen</w:t>
      </w:r>
      <w:r w:rsidRPr="00FF46E3">
        <w:rPr>
          <w:rFonts w:ascii="Verdana" w:hAnsi="Verdana"/>
          <w:sz w:val="18"/>
          <w:szCs w:val="18"/>
        </w:rPr>
        <w:t xml:space="preserve"> en in beroep en hoger beroep bij de bestuursrechter.</w:t>
      </w:r>
    </w:p>
    <w:p w:rsidRPr="00FF46E3" w:rsidR="004273E7" w:rsidP="004273E7" w:rsidRDefault="004273E7" w14:paraId="6AD35CAD" w14:textId="77777777">
      <w:pPr>
        <w:pStyle w:val="Geenafstand"/>
        <w:rPr>
          <w:rFonts w:ascii="Verdana" w:hAnsi="Verdana"/>
          <w:sz w:val="18"/>
          <w:szCs w:val="18"/>
          <w:highlight w:val="yellow"/>
        </w:rPr>
      </w:pPr>
    </w:p>
    <w:p w:rsidRPr="00FF46E3" w:rsidR="004273E7" w:rsidP="004273E7" w:rsidRDefault="004273E7" w14:paraId="49975873" w14:textId="77777777">
      <w:pPr>
        <w:pStyle w:val="Geenafstand"/>
        <w:rPr>
          <w:rFonts w:ascii="Verdana" w:hAnsi="Verdana"/>
          <w:sz w:val="18"/>
          <w:szCs w:val="18"/>
        </w:rPr>
      </w:pPr>
      <w:r w:rsidRPr="00FF46E3">
        <w:rPr>
          <w:rFonts w:ascii="Verdana" w:hAnsi="Verdana"/>
          <w:sz w:val="18"/>
          <w:szCs w:val="18"/>
        </w:rPr>
        <w:t xml:space="preserve">Het voorgaande levert de volgende voorbeelden op (niet-limitatief): </w:t>
      </w:r>
    </w:p>
    <w:p w:rsidRPr="00FF46E3" w:rsidR="004273E7" w:rsidP="00A45C0D" w:rsidRDefault="004273E7" w14:paraId="4E291A81" w14:textId="06A0AE82">
      <w:pPr>
        <w:pStyle w:val="Geenafstand"/>
        <w:numPr>
          <w:ilvl w:val="0"/>
          <w:numId w:val="15"/>
        </w:numPr>
        <w:ind w:left="284" w:hanging="284"/>
        <w:rPr>
          <w:rFonts w:ascii="Verdana" w:hAnsi="Verdana"/>
          <w:sz w:val="18"/>
          <w:szCs w:val="18"/>
        </w:rPr>
      </w:pPr>
      <w:r w:rsidRPr="00FF46E3">
        <w:rPr>
          <w:rFonts w:ascii="Verdana" w:hAnsi="Verdana"/>
          <w:sz w:val="18"/>
          <w:szCs w:val="18"/>
        </w:rPr>
        <w:t xml:space="preserve">Als de toezichthoudende instantie overweegt om aan een entiteit de verplichting op te leggen om (delen van) een overtreding openbaar te maken, moet zij onder meer daarbij alle belangen afwegen, waaronder de eventuele schade als gevolg van de openbaarmaking. </w:t>
      </w:r>
      <w:r w:rsidR="005C4FC5">
        <w:rPr>
          <w:rFonts w:ascii="Verdana" w:hAnsi="Verdana"/>
          <w:sz w:val="18"/>
          <w:szCs w:val="18"/>
        </w:rPr>
        <w:t xml:space="preserve">Zij moet rekening houden met alle omstandigheden die zijn opgenomen in artikel </w:t>
      </w:r>
      <w:r w:rsidRPr="00D644AC" w:rsidR="00D644AC">
        <w:rPr>
          <w:rFonts w:ascii="Verdana" w:hAnsi="Verdana"/>
          <w:sz w:val="18"/>
          <w:szCs w:val="18"/>
        </w:rPr>
        <w:t>69</w:t>
      </w:r>
      <w:r w:rsidR="00D644AC">
        <w:rPr>
          <w:rFonts w:ascii="Verdana" w:hAnsi="Verdana"/>
          <w:sz w:val="18"/>
          <w:szCs w:val="18"/>
        </w:rPr>
        <w:t xml:space="preserve"> </w:t>
      </w:r>
      <w:proofErr w:type="spellStart"/>
      <w:r w:rsidR="005C4FC5">
        <w:rPr>
          <w:rFonts w:ascii="Verdana" w:hAnsi="Verdana"/>
          <w:sz w:val="18"/>
          <w:szCs w:val="18"/>
        </w:rPr>
        <w:t>Cbw</w:t>
      </w:r>
      <w:proofErr w:type="spellEnd"/>
      <w:r w:rsidR="005C4FC5">
        <w:rPr>
          <w:rFonts w:ascii="Verdana" w:hAnsi="Verdana"/>
          <w:sz w:val="18"/>
          <w:szCs w:val="18"/>
        </w:rPr>
        <w:t xml:space="preserve">, waaronder de duur van de overtreding. </w:t>
      </w:r>
      <w:r w:rsidRPr="00FF46E3">
        <w:rPr>
          <w:rFonts w:ascii="Verdana" w:hAnsi="Verdana"/>
          <w:sz w:val="18"/>
          <w:szCs w:val="18"/>
        </w:rPr>
        <w:t xml:space="preserve">Als de toezichthoudende instantie na afweging toch overgaat tot het opleggen van een dergelijke verplichting, kan de betrokken entiteit daartegen in bezwaar bij de toezichthoudende instantie en in beroep en hoger beroep bij de bestuursrechter. </w:t>
      </w:r>
    </w:p>
    <w:p w:rsidRPr="00FF46E3" w:rsidR="004273E7" w:rsidP="00A45C0D" w:rsidRDefault="004273E7" w14:paraId="594F091F" w14:textId="0763B53E">
      <w:pPr>
        <w:pStyle w:val="Geenafstand"/>
        <w:numPr>
          <w:ilvl w:val="0"/>
          <w:numId w:val="15"/>
        </w:numPr>
        <w:ind w:left="284" w:hanging="284"/>
        <w:rPr>
          <w:rFonts w:ascii="Verdana" w:hAnsi="Verdana"/>
          <w:sz w:val="18"/>
          <w:szCs w:val="18"/>
        </w:rPr>
      </w:pPr>
      <w:r w:rsidRPr="00FF46E3">
        <w:rPr>
          <w:rFonts w:ascii="Verdana" w:hAnsi="Verdana"/>
          <w:sz w:val="18"/>
          <w:szCs w:val="18"/>
        </w:rPr>
        <w:t>Als de toezichthoudende instantie overweegt om een last onder dwangsom op te leggen aan een entiteit, moet zij onder meer nagaan of de nadelige gevolgen van de last niet onevenredig zijn in verhouding tot de met het besluit te dienen doelen. Als wel sprake blijkt te zijn van onevenredigheid, moet de toezichthoudende instantie nagaan of een lichtere maatregel kan volstaan.</w:t>
      </w:r>
      <w:r w:rsidRPr="005C4FC5" w:rsidR="005C4FC5">
        <w:rPr>
          <w:rFonts w:ascii="Verdana" w:hAnsi="Verdana"/>
          <w:sz w:val="18"/>
          <w:szCs w:val="18"/>
        </w:rPr>
        <w:t xml:space="preserve"> </w:t>
      </w:r>
      <w:r w:rsidR="005C4FC5">
        <w:rPr>
          <w:rFonts w:ascii="Verdana" w:hAnsi="Verdana"/>
          <w:sz w:val="18"/>
          <w:szCs w:val="18"/>
        </w:rPr>
        <w:t>Bij het opleggen van de maatregel moet zij rekening houden met alle omstandigheden die zijn opgenomen in artike</w:t>
      </w:r>
      <w:r w:rsidRPr="00D644AC" w:rsidR="005C4FC5">
        <w:rPr>
          <w:rFonts w:ascii="Verdana" w:hAnsi="Verdana"/>
          <w:sz w:val="18"/>
          <w:szCs w:val="18"/>
        </w:rPr>
        <w:t xml:space="preserve">l </w:t>
      </w:r>
      <w:r w:rsidRPr="00D644AC" w:rsidR="00D644AC">
        <w:rPr>
          <w:rFonts w:ascii="Verdana" w:hAnsi="Verdana"/>
          <w:sz w:val="18"/>
          <w:szCs w:val="18"/>
        </w:rPr>
        <w:t xml:space="preserve">69 </w:t>
      </w:r>
      <w:proofErr w:type="spellStart"/>
      <w:r w:rsidRPr="00D644AC" w:rsidR="005C4FC5">
        <w:rPr>
          <w:rFonts w:ascii="Verdana" w:hAnsi="Verdana"/>
          <w:sz w:val="18"/>
          <w:szCs w:val="18"/>
        </w:rPr>
        <w:t>Cbw</w:t>
      </w:r>
      <w:proofErr w:type="spellEnd"/>
      <w:r w:rsidRPr="00D644AC" w:rsidR="005C4FC5">
        <w:rPr>
          <w:rFonts w:ascii="Verdana" w:hAnsi="Verdana"/>
          <w:sz w:val="18"/>
          <w:szCs w:val="18"/>
        </w:rPr>
        <w:t>, waaronder de ernst van de overtreding en het belang van de geschonden bepaling.</w:t>
      </w:r>
    </w:p>
    <w:bookmarkEnd w:id="107"/>
    <w:p w:rsidRPr="00FF46E3" w:rsidR="008E6C9D" w:rsidP="002178CF" w:rsidRDefault="008E6C9D" w14:paraId="08F81940" w14:textId="77777777">
      <w:pPr>
        <w:pStyle w:val="Geenafstand"/>
        <w:rPr>
          <w:rFonts w:ascii="Verdana" w:hAnsi="Verdana"/>
          <w:sz w:val="18"/>
          <w:szCs w:val="18"/>
        </w:rPr>
      </w:pPr>
    </w:p>
    <w:p w:rsidRPr="00FF46E3" w:rsidR="00C72DA6" w:rsidP="00493EC7" w:rsidRDefault="00C72DA6" w14:paraId="04B80330" w14:textId="277F2F64">
      <w:pPr>
        <w:pStyle w:val="Kop1"/>
      </w:pPr>
      <w:bookmarkStart w:name="_Toc198721097" w:id="108"/>
      <w:bookmarkStart w:name="_Hlk158385531" w:id="109"/>
      <w:bookmarkStart w:name="_Hlk169795101" w:id="110"/>
      <w:r w:rsidRPr="00FF46E3">
        <w:t>6. Verhouding tot hoger recht</w:t>
      </w:r>
      <w:bookmarkEnd w:id="108"/>
    </w:p>
    <w:p w:rsidRPr="00FF46E3" w:rsidR="00C72DA6" w:rsidP="00C72DA6" w:rsidRDefault="00C72DA6" w14:paraId="225EFA1E" w14:textId="77777777">
      <w:pPr>
        <w:pStyle w:val="Geenafstand"/>
        <w:rPr>
          <w:rFonts w:ascii="Verdana" w:hAnsi="Verdana"/>
          <w:sz w:val="18"/>
          <w:szCs w:val="18"/>
        </w:rPr>
      </w:pPr>
    </w:p>
    <w:p w:rsidRPr="00FF46E3" w:rsidR="00C72DA6" w:rsidP="00C72DA6" w:rsidRDefault="00C72DA6" w14:paraId="30AE14C9" w14:textId="77777777">
      <w:pPr>
        <w:pStyle w:val="Kop2"/>
        <w:rPr>
          <w:szCs w:val="18"/>
        </w:rPr>
      </w:pPr>
      <w:bookmarkStart w:name="_Toc198721098" w:id="111"/>
      <w:r w:rsidRPr="00FF46E3">
        <w:rPr>
          <w:szCs w:val="18"/>
        </w:rPr>
        <w:t>6.1 Inleiding</w:t>
      </w:r>
      <w:bookmarkEnd w:id="111"/>
    </w:p>
    <w:p w:rsidR="00C72DA6" w:rsidP="00C72DA6" w:rsidRDefault="00C72DA6" w14:paraId="21602C3A" w14:textId="77777777">
      <w:pPr>
        <w:pStyle w:val="Geenafstand"/>
        <w:tabs>
          <w:tab w:val="left" w:pos="1327"/>
        </w:tabs>
        <w:rPr>
          <w:rFonts w:ascii="Verdana" w:hAnsi="Verdana"/>
          <w:b/>
          <w:bCs/>
          <w:sz w:val="18"/>
          <w:szCs w:val="18"/>
        </w:rPr>
      </w:pPr>
    </w:p>
    <w:p w:rsidR="00C72DA6" w:rsidP="00C72DA6" w:rsidRDefault="00C72DA6" w14:paraId="018D724F" w14:textId="64843BEB">
      <w:pPr>
        <w:pStyle w:val="Geenafstand"/>
        <w:rPr>
          <w:rFonts w:ascii="Verdana" w:hAnsi="Verdana"/>
          <w:b/>
          <w:bCs/>
          <w:sz w:val="18"/>
          <w:szCs w:val="18"/>
        </w:rPr>
      </w:pPr>
      <w:r w:rsidRPr="00F27A03" w:rsidDel="009B3A32">
        <w:rPr>
          <w:rFonts w:ascii="Verdana" w:hAnsi="Verdana"/>
          <w:color w:val="000000"/>
          <w:sz w:val="18"/>
          <w:szCs w:val="18"/>
        </w:rPr>
        <w:t xml:space="preserve">De </w:t>
      </w:r>
      <w:r>
        <w:rPr>
          <w:rFonts w:ascii="Verdana" w:hAnsi="Verdana"/>
          <w:color w:val="000000"/>
          <w:sz w:val="18"/>
          <w:szCs w:val="18"/>
        </w:rPr>
        <w:t xml:space="preserve">regels uit de </w:t>
      </w:r>
      <w:proofErr w:type="spellStart"/>
      <w:r>
        <w:rPr>
          <w:rFonts w:ascii="Verdana" w:hAnsi="Verdana"/>
          <w:color w:val="000000"/>
          <w:sz w:val="18"/>
          <w:szCs w:val="18"/>
        </w:rPr>
        <w:t>Cbw</w:t>
      </w:r>
      <w:proofErr w:type="spellEnd"/>
      <w:r w:rsidRPr="00F27A03" w:rsidDel="009B3A32">
        <w:rPr>
          <w:rFonts w:ascii="Verdana" w:hAnsi="Verdana"/>
          <w:color w:val="000000"/>
          <w:sz w:val="18"/>
          <w:szCs w:val="18"/>
        </w:rPr>
        <w:t xml:space="preserve"> kunnen raken aan </w:t>
      </w:r>
      <w:r w:rsidRPr="00DC4033" w:rsidR="00DC4033">
        <w:rPr>
          <w:rFonts w:ascii="Verdana" w:hAnsi="Verdana"/>
          <w:color w:val="000000"/>
          <w:sz w:val="18"/>
          <w:szCs w:val="18"/>
        </w:rPr>
        <w:t xml:space="preserve">de rechten en vrijheden die zijn vastgelegd </w:t>
      </w:r>
      <w:r w:rsidRPr="00F27A03" w:rsidDel="009B3A32">
        <w:rPr>
          <w:rFonts w:ascii="Verdana" w:hAnsi="Verdana"/>
          <w:color w:val="000000"/>
          <w:sz w:val="18"/>
          <w:szCs w:val="18"/>
        </w:rPr>
        <w:t xml:space="preserve">in het </w:t>
      </w:r>
      <w:r w:rsidRPr="00FF46E3">
        <w:rPr>
          <w:rFonts w:ascii="Verdana" w:hAnsi="Verdana"/>
          <w:sz w:val="18"/>
          <w:szCs w:val="18"/>
        </w:rPr>
        <w:t xml:space="preserve">Europees Verdrag tot bescherming van de rechten van de mens en de fundamentele vrijheden </w:t>
      </w:r>
      <w:r>
        <w:rPr>
          <w:rFonts w:ascii="Verdana" w:hAnsi="Verdana"/>
          <w:sz w:val="18"/>
          <w:szCs w:val="18"/>
        </w:rPr>
        <w:t xml:space="preserve">(hierna: </w:t>
      </w:r>
      <w:r w:rsidRPr="00F27A03" w:rsidDel="009B3A32">
        <w:rPr>
          <w:rFonts w:ascii="Verdana" w:hAnsi="Verdana"/>
          <w:color w:val="000000"/>
          <w:sz w:val="18"/>
          <w:szCs w:val="18"/>
        </w:rPr>
        <w:t>EVRM</w:t>
      </w:r>
      <w:r>
        <w:rPr>
          <w:rFonts w:ascii="Verdana" w:hAnsi="Verdana"/>
          <w:color w:val="000000"/>
          <w:sz w:val="18"/>
          <w:szCs w:val="18"/>
        </w:rPr>
        <w:t>)</w:t>
      </w:r>
      <w:r w:rsidRPr="00F27A03" w:rsidDel="009B3A32">
        <w:rPr>
          <w:rFonts w:ascii="Verdana" w:hAnsi="Verdana"/>
          <w:color w:val="000000"/>
          <w:sz w:val="18"/>
          <w:szCs w:val="18"/>
        </w:rPr>
        <w:t xml:space="preserve">, het Handvest van de </w:t>
      </w:r>
      <w:r>
        <w:rPr>
          <w:rFonts w:ascii="Verdana" w:hAnsi="Verdana"/>
          <w:color w:val="000000"/>
          <w:sz w:val="18"/>
          <w:szCs w:val="18"/>
        </w:rPr>
        <w:t>g</w:t>
      </w:r>
      <w:r w:rsidRPr="00F27A03" w:rsidDel="009B3A32">
        <w:rPr>
          <w:rFonts w:ascii="Verdana" w:hAnsi="Verdana"/>
          <w:color w:val="000000"/>
          <w:sz w:val="18"/>
          <w:szCs w:val="18"/>
        </w:rPr>
        <w:t>rondrechten</w:t>
      </w:r>
      <w:r>
        <w:rPr>
          <w:rFonts w:ascii="Verdana" w:hAnsi="Verdana"/>
          <w:color w:val="000000"/>
          <w:sz w:val="18"/>
          <w:szCs w:val="18"/>
        </w:rPr>
        <w:t xml:space="preserve"> van de Europese Unie</w:t>
      </w:r>
      <w:r w:rsidRPr="00F27A03" w:rsidDel="009B3A32">
        <w:rPr>
          <w:rFonts w:ascii="Verdana" w:hAnsi="Verdana"/>
          <w:color w:val="000000"/>
          <w:sz w:val="18"/>
          <w:szCs w:val="18"/>
        </w:rPr>
        <w:t xml:space="preserve">, het Internationaal Verdrag inzake burgerrechten en politieke rechten (IVBPR) en de Grondwet. De gevolgen die </w:t>
      </w:r>
      <w:r>
        <w:rPr>
          <w:rFonts w:ascii="Verdana" w:hAnsi="Verdana"/>
          <w:color w:val="000000"/>
          <w:sz w:val="18"/>
          <w:szCs w:val="18"/>
        </w:rPr>
        <w:t xml:space="preserve">de </w:t>
      </w:r>
      <w:proofErr w:type="spellStart"/>
      <w:r>
        <w:rPr>
          <w:rFonts w:ascii="Verdana" w:hAnsi="Verdana"/>
          <w:color w:val="000000"/>
          <w:sz w:val="18"/>
          <w:szCs w:val="18"/>
        </w:rPr>
        <w:t>Cbw</w:t>
      </w:r>
      <w:proofErr w:type="spellEnd"/>
      <w:r w:rsidRPr="00F27A03" w:rsidDel="009B3A32">
        <w:rPr>
          <w:rFonts w:ascii="Verdana" w:hAnsi="Verdana"/>
          <w:color w:val="000000"/>
          <w:sz w:val="18"/>
          <w:szCs w:val="18"/>
        </w:rPr>
        <w:t xml:space="preserve"> met zich meebrengt vloeien voort uit de </w:t>
      </w:r>
      <w:r>
        <w:rPr>
          <w:rFonts w:ascii="Verdana" w:hAnsi="Verdana"/>
          <w:color w:val="000000"/>
          <w:sz w:val="18"/>
          <w:szCs w:val="18"/>
        </w:rPr>
        <w:t>NIS2-</w:t>
      </w:r>
      <w:r w:rsidRPr="00F27A03" w:rsidDel="009B3A32">
        <w:rPr>
          <w:rFonts w:ascii="Verdana" w:hAnsi="Verdana"/>
          <w:color w:val="000000"/>
          <w:sz w:val="18"/>
          <w:szCs w:val="18"/>
        </w:rPr>
        <w:t xml:space="preserve">richtlijn waarbij de afwegingen ten aanzien van deze vrijheden door de Europese wetgever zijn gemaakt. Gelet op het belang van deze </w:t>
      </w:r>
      <w:r>
        <w:rPr>
          <w:rFonts w:ascii="Verdana" w:hAnsi="Verdana"/>
          <w:color w:val="000000"/>
          <w:sz w:val="18"/>
          <w:szCs w:val="18"/>
        </w:rPr>
        <w:t xml:space="preserve">rechten en </w:t>
      </w:r>
      <w:r w:rsidRPr="00F27A03" w:rsidDel="009B3A32">
        <w:rPr>
          <w:rFonts w:ascii="Verdana" w:hAnsi="Verdana"/>
          <w:color w:val="000000"/>
          <w:sz w:val="18"/>
          <w:szCs w:val="18"/>
        </w:rPr>
        <w:t xml:space="preserve">vrijheden wordt in </w:t>
      </w:r>
      <w:r>
        <w:rPr>
          <w:rFonts w:ascii="Verdana" w:hAnsi="Verdana"/>
          <w:color w:val="000000"/>
          <w:sz w:val="18"/>
          <w:szCs w:val="18"/>
        </w:rPr>
        <w:t xml:space="preserve">dit hoofdstuk </w:t>
      </w:r>
      <w:r w:rsidR="00DC4033">
        <w:rPr>
          <w:rFonts w:ascii="Verdana" w:hAnsi="Verdana"/>
          <w:color w:val="000000"/>
          <w:sz w:val="18"/>
          <w:szCs w:val="18"/>
        </w:rPr>
        <w:t xml:space="preserve">(in paragraaf 6.3) </w:t>
      </w:r>
      <w:r>
        <w:rPr>
          <w:rFonts w:ascii="Verdana" w:hAnsi="Verdana"/>
          <w:color w:val="000000"/>
          <w:sz w:val="18"/>
          <w:szCs w:val="18"/>
        </w:rPr>
        <w:t>ingegaan op het in artikel 8 EVRM opgenomen</w:t>
      </w:r>
      <w:r w:rsidRPr="00F27A03" w:rsidDel="009B3A32">
        <w:rPr>
          <w:rFonts w:ascii="Verdana" w:hAnsi="Verdana"/>
          <w:color w:val="000000"/>
          <w:sz w:val="18"/>
          <w:szCs w:val="18"/>
        </w:rPr>
        <w:t xml:space="preserve"> recht op eerbiediging van de persoonlijke levenssfeer</w:t>
      </w:r>
      <w:r w:rsidR="00DC4033">
        <w:rPr>
          <w:rFonts w:ascii="Verdana" w:hAnsi="Verdana"/>
          <w:color w:val="000000"/>
          <w:sz w:val="18"/>
          <w:szCs w:val="18"/>
        </w:rPr>
        <w:t>. Ook wordt in dit hoofdstuk (in paragraaf 6.4) ingegaan op</w:t>
      </w:r>
      <w:r w:rsidRPr="00F27A03" w:rsidDel="009B3A32">
        <w:rPr>
          <w:rFonts w:ascii="Verdana" w:hAnsi="Verdana"/>
          <w:color w:val="000000"/>
          <w:sz w:val="18"/>
          <w:szCs w:val="18"/>
        </w:rPr>
        <w:t xml:space="preserve"> de verwerking van persoonsgegevens </w:t>
      </w:r>
      <w:r>
        <w:rPr>
          <w:rFonts w:ascii="Verdana" w:hAnsi="Verdana"/>
          <w:color w:val="000000"/>
          <w:sz w:val="18"/>
          <w:szCs w:val="18"/>
        </w:rPr>
        <w:t xml:space="preserve">in het licht van </w:t>
      </w:r>
      <w:r w:rsidRPr="00FF46E3">
        <w:rPr>
          <w:rFonts w:ascii="Verdana" w:hAnsi="Verdana"/>
          <w:sz w:val="18"/>
          <w:szCs w:val="18"/>
        </w:rPr>
        <w:t xml:space="preserve">de artikelen 5 (beginselen inzake verwerking van persoonsgegevens) en 6 (rechtmatigheid van de verwerking) van de </w:t>
      </w:r>
      <w:proofErr w:type="spellStart"/>
      <w:r w:rsidRPr="00FF46E3">
        <w:rPr>
          <w:rFonts w:ascii="Verdana" w:hAnsi="Verdana"/>
          <w:sz w:val="18"/>
          <w:szCs w:val="18"/>
        </w:rPr>
        <w:t>Avg</w:t>
      </w:r>
      <w:proofErr w:type="spellEnd"/>
      <w:r w:rsidRPr="00F27A03" w:rsidDel="009B3A32">
        <w:rPr>
          <w:rFonts w:ascii="Verdana" w:hAnsi="Verdana"/>
          <w:color w:val="000000"/>
          <w:sz w:val="18"/>
          <w:szCs w:val="18"/>
        </w:rPr>
        <w:t xml:space="preserve">. </w:t>
      </w:r>
      <w:r>
        <w:rPr>
          <w:rFonts w:ascii="Verdana" w:hAnsi="Verdana"/>
          <w:color w:val="000000"/>
          <w:sz w:val="18"/>
          <w:szCs w:val="18"/>
        </w:rPr>
        <w:t xml:space="preserve">Voordat die besprekingen plaatsvinden, volgt eerst in paragraaf 6.2 een overzicht van de gegevensverwerkingen door de Minister van Justitie en Veiligheid, het CSIRT en de bevoegde autoriteit. </w:t>
      </w:r>
    </w:p>
    <w:p w:rsidRPr="00FF46E3" w:rsidR="00E04B59" w:rsidP="00C72DA6" w:rsidRDefault="00E04B59" w14:paraId="4B92B2AD" w14:textId="77777777">
      <w:pPr>
        <w:pStyle w:val="Geenafstand"/>
        <w:tabs>
          <w:tab w:val="left" w:pos="1327"/>
        </w:tabs>
        <w:rPr>
          <w:rFonts w:ascii="Verdana" w:hAnsi="Verdana"/>
          <w:b/>
          <w:bCs/>
          <w:sz w:val="18"/>
          <w:szCs w:val="18"/>
        </w:rPr>
      </w:pPr>
    </w:p>
    <w:p w:rsidRPr="00FF46E3" w:rsidR="00C72DA6" w:rsidP="00C72DA6" w:rsidRDefault="00C72DA6" w14:paraId="49C0BEE2" w14:textId="77777777">
      <w:pPr>
        <w:pStyle w:val="Kop2"/>
        <w:rPr>
          <w:szCs w:val="18"/>
        </w:rPr>
      </w:pPr>
      <w:bookmarkStart w:name="_Toc198721099" w:id="112"/>
      <w:bookmarkStart w:name="_Hlk178863924" w:id="113"/>
      <w:r w:rsidRPr="00FF46E3">
        <w:rPr>
          <w:szCs w:val="18"/>
        </w:rPr>
        <w:t>6.</w:t>
      </w:r>
      <w:r>
        <w:rPr>
          <w:szCs w:val="18"/>
        </w:rPr>
        <w:t>2 Gegevensverwerkingen</w:t>
      </w:r>
      <w:bookmarkEnd w:id="112"/>
    </w:p>
    <w:bookmarkEnd w:id="113"/>
    <w:p w:rsidRPr="00FF46E3" w:rsidR="00C72DA6" w:rsidP="00C72DA6" w:rsidRDefault="00C72DA6" w14:paraId="0267C9E5" w14:textId="77777777">
      <w:pPr>
        <w:pStyle w:val="Geenafstand"/>
        <w:rPr>
          <w:rFonts w:ascii="Verdana" w:hAnsi="Verdana"/>
          <w:b/>
          <w:bCs/>
          <w:sz w:val="18"/>
          <w:szCs w:val="18"/>
        </w:rPr>
      </w:pPr>
    </w:p>
    <w:p w:rsidRPr="00FF46E3" w:rsidR="00C72DA6" w:rsidP="00C72DA6" w:rsidRDefault="00C72DA6" w14:paraId="62B913A1" w14:textId="77777777">
      <w:pPr>
        <w:pStyle w:val="Geenafstand"/>
        <w:rPr>
          <w:rFonts w:ascii="Verdana" w:hAnsi="Verdana"/>
          <w:i/>
          <w:iCs/>
          <w:sz w:val="18"/>
          <w:szCs w:val="18"/>
        </w:rPr>
      </w:pPr>
      <w:r w:rsidRPr="00FF46E3">
        <w:rPr>
          <w:rFonts w:ascii="Verdana" w:hAnsi="Verdana"/>
          <w:i/>
          <w:iCs/>
          <w:sz w:val="18"/>
          <w:szCs w:val="18"/>
        </w:rPr>
        <w:t xml:space="preserve">Minister van Justitie en Veiligheid </w:t>
      </w:r>
    </w:p>
    <w:p w:rsidRPr="00FF46E3" w:rsidR="00C72DA6" w:rsidP="00C72DA6" w:rsidRDefault="00C72DA6" w14:paraId="71330598" w14:textId="77777777">
      <w:pPr>
        <w:pStyle w:val="Geenafstand"/>
        <w:rPr>
          <w:rFonts w:ascii="Verdana" w:hAnsi="Verdana"/>
          <w:sz w:val="18"/>
          <w:szCs w:val="18"/>
        </w:rPr>
      </w:pPr>
      <w:r w:rsidRPr="00FF46E3">
        <w:rPr>
          <w:rFonts w:ascii="Verdana" w:hAnsi="Verdana"/>
          <w:sz w:val="18"/>
          <w:szCs w:val="18"/>
        </w:rPr>
        <w:t xml:space="preserve">De Minister van Justitie en Veiligheid is in de </w:t>
      </w:r>
      <w:proofErr w:type="spellStart"/>
      <w:r w:rsidRPr="00FF46E3">
        <w:rPr>
          <w:rFonts w:ascii="Verdana" w:hAnsi="Verdana"/>
          <w:sz w:val="18"/>
          <w:szCs w:val="18"/>
        </w:rPr>
        <w:t>Cbw</w:t>
      </w:r>
      <w:proofErr w:type="spellEnd"/>
      <w:r w:rsidRPr="00FF46E3">
        <w:rPr>
          <w:rFonts w:ascii="Verdana" w:hAnsi="Verdana"/>
          <w:sz w:val="18"/>
          <w:szCs w:val="18"/>
        </w:rPr>
        <w:t xml:space="preserve"> aangewezen als: </w:t>
      </w:r>
    </w:p>
    <w:p w:rsidRPr="00FF46E3" w:rsidR="00C72DA6" w:rsidP="00C72DA6" w:rsidRDefault="00C72DA6" w14:paraId="4D6A7D99" w14:textId="77777777">
      <w:pPr>
        <w:pStyle w:val="Geenafstand"/>
        <w:rPr>
          <w:rFonts w:ascii="Verdana" w:hAnsi="Verdana"/>
          <w:sz w:val="18"/>
          <w:szCs w:val="18"/>
        </w:rPr>
      </w:pPr>
      <w:r w:rsidRPr="00FF46E3">
        <w:rPr>
          <w:rFonts w:ascii="Verdana" w:hAnsi="Verdana"/>
          <w:sz w:val="18"/>
          <w:szCs w:val="18"/>
        </w:rPr>
        <w:t>- het centrale contactpunt;</w:t>
      </w:r>
    </w:p>
    <w:p w:rsidRPr="00FF46E3" w:rsidR="00C72DA6" w:rsidP="00C72DA6" w:rsidRDefault="00C72DA6" w14:paraId="09612749" w14:textId="77777777">
      <w:pPr>
        <w:pStyle w:val="Geenafstand"/>
        <w:rPr>
          <w:rFonts w:ascii="Verdana" w:hAnsi="Verdana"/>
          <w:sz w:val="18"/>
          <w:szCs w:val="18"/>
        </w:rPr>
      </w:pPr>
      <w:r w:rsidRPr="00FF46E3">
        <w:rPr>
          <w:rFonts w:ascii="Verdana" w:hAnsi="Verdana"/>
          <w:sz w:val="18"/>
          <w:szCs w:val="18"/>
        </w:rPr>
        <w:t>- de cybercrisisbeheerautoriteit;</w:t>
      </w:r>
    </w:p>
    <w:p w:rsidRPr="00FF46E3" w:rsidR="00C72DA6" w:rsidP="00C72DA6" w:rsidRDefault="00C72DA6" w14:paraId="6F2CC0AE" w14:textId="77777777">
      <w:pPr>
        <w:pStyle w:val="Geenafstand"/>
        <w:rPr>
          <w:rFonts w:ascii="Verdana" w:hAnsi="Verdana"/>
          <w:sz w:val="18"/>
          <w:szCs w:val="18"/>
        </w:rPr>
      </w:pPr>
      <w:r w:rsidRPr="00FF46E3">
        <w:rPr>
          <w:rFonts w:ascii="Verdana" w:hAnsi="Verdana"/>
          <w:sz w:val="18"/>
          <w:szCs w:val="18"/>
        </w:rPr>
        <w:t>- de instantie voor het vaststellen van een nationale cyberbeveiligingsstrategie;</w:t>
      </w:r>
    </w:p>
    <w:p w:rsidRPr="00FF46E3" w:rsidR="00C72DA6" w:rsidP="00C72DA6" w:rsidRDefault="00C72DA6" w14:paraId="22E8D703" w14:textId="77777777">
      <w:pPr>
        <w:pStyle w:val="Geenafstand"/>
        <w:rPr>
          <w:rFonts w:ascii="Verdana" w:hAnsi="Verdana"/>
          <w:sz w:val="18"/>
          <w:szCs w:val="18"/>
        </w:rPr>
      </w:pPr>
      <w:r w:rsidRPr="00FF46E3">
        <w:rPr>
          <w:rFonts w:ascii="Verdana" w:hAnsi="Verdana"/>
          <w:sz w:val="18"/>
          <w:szCs w:val="18"/>
        </w:rPr>
        <w:t xml:space="preserve">- de instantie voor het vaststellen van een nationaal plan voor grootschalige cyberbeveiligingsincidenten en crisisrespons; en </w:t>
      </w:r>
    </w:p>
    <w:p w:rsidRPr="00FF46E3" w:rsidR="00C72DA6" w:rsidP="00C72DA6" w:rsidRDefault="00C72DA6" w14:paraId="598D550C" w14:textId="77777777">
      <w:pPr>
        <w:pStyle w:val="Geenafstand"/>
        <w:rPr>
          <w:rFonts w:ascii="Verdana" w:hAnsi="Verdana"/>
          <w:sz w:val="18"/>
          <w:szCs w:val="18"/>
        </w:rPr>
      </w:pPr>
      <w:r w:rsidRPr="00FF46E3">
        <w:rPr>
          <w:rFonts w:ascii="Verdana" w:hAnsi="Verdana"/>
          <w:sz w:val="18"/>
          <w:szCs w:val="18"/>
        </w:rPr>
        <w:t>- de beheerder van een nationaal register van essentiële entiteiten, belangrijke entiteiten en entiteiten die domeinnaamregistratiediensten verlenen.</w:t>
      </w:r>
    </w:p>
    <w:p w:rsidRPr="00FF46E3" w:rsidR="00C72DA6" w:rsidP="00C72DA6" w:rsidRDefault="00C72DA6" w14:paraId="1E0487BA" w14:textId="77777777">
      <w:pPr>
        <w:pStyle w:val="Geenafstand"/>
        <w:rPr>
          <w:rFonts w:ascii="Verdana" w:hAnsi="Verdana"/>
          <w:sz w:val="18"/>
          <w:szCs w:val="18"/>
        </w:rPr>
      </w:pPr>
    </w:p>
    <w:p w:rsidRPr="00FF46E3" w:rsidR="00C72DA6" w:rsidP="00C72DA6" w:rsidRDefault="00C72DA6" w14:paraId="2ED7A04C" w14:textId="0ECFEFA8">
      <w:pPr>
        <w:pStyle w:val="Geenafstand"/>
        <w:rPr>
          <w:rFonts w:ascii="Verdana" w:hAnsi="Verdana"/>
          <w:sz w:val="18"/>
          <w:szCs w:val="18"/>
        </w:rPr>
      </w:pPr>
      <w:r w:rsidRPr="00FF46E3">
        <w:rPr>
          <w:rFonts w:ascii="Verdana" w:hAnsi="Verdana"/>
          <w:sz w:val="18"/>
          <w:szCs w:val="18"/>
        </w:rPr>
        <w:t>De Minister van Justitie en Veiligheid zal bij het uitoefenen van de taken persoonsgegevens verwerken. Hierbij gaat het bijvoorbeeld om de contactgegevens van de medewerkers van centrale contactpunten van andere lidstaten. Daarnaast kan het gaan om persoonsgegevens die door het CSIRT zijn gestuurd aan het centrale contactpunt in het kader van een bij het CSIRT gedane melding van een significant incident. Ook kan het gaan om het verstrekken van die gegevens aan de centrale contactpunten van andere lidstaten. Meer concreet kan hierbij worden gedacht aan de IP-adressen die zijn betrokken bij een incident</w:t>
      </w:r>
      <w:r w:rsidR="00BC5FBE">
        <w:rPr>
          <w:rFonts w:ascii="Verdana" w:hAnsi="Verdana"/>
          <w:sz w:val="18"/>
          <w:szCs w:val="18"/>
        </w:rPr>
        <w:t>, maar ook aan e-mailadressen van in Nederland getroffen partijen</w:t>
      </w:r>
      <w:r w:rsidRPr="00FF46E3">
        <w:rPr>
          <w:rFonts w:ascii="Verdana" w:hAnsi="Verdana"/>
          <w:sz w:val="18"/>
          <w:szCs w:val="18"/>
        </w:rPr>
        <w:t xml:space="preserve">. </w:t>
      </w:r>
    </w:p>
    <w:p w:rsidRPr="00FF46E3" w:rsidR="00C72DA6" w:rsidP="00C72DA6" w:rsidRDefault="00C72DA6" w14:paraId="212D4027" w14:textId="77777777">
      <w:pPr>
        <w:pStyle w:val="Geenafstand"/>
        <w:rPr>
          <w:rFonts w:ascii="Verdana" w:hAnsi="Verdana"/>
          <w:sz w:val="18"/>
          <w:szCs w:val="18"/>
        </w:rPr>
      </w:pPr>
    </w:p>
    <w:p w:rsidRPr="00FF46E3" w:rsidR="00C72DA6" w:rsidP="00C72DA6" w:rsidRDefault="00C72DA6" w14:paraId="6002E904" w14:textId="77777777">
      <w:pPr>
        <w:pStyle w:val="Geenafstand"/>
        <w:rPr>
          <w:rFonts w:ascii="Verdana" w:hAnsi="Verdana"/>
          <w:i/>
          <w:iCs/>
          <w:sz w:val="18"/>
          <w:szCs w:val="18"/>
        </w:rPr>
      </w:pPr>
      <w:r w:rsidRPr="00FF46E3">
        <w:rPr>
          <w:rFonts w:ascii="Verdana" w:hAnsi="Verdana"/>
          <w:i/>
          <w:iCs/>
          <w:sz w:val="18"/>
          <w:szCs w:val="18"/>
        </w:rPr>
        <w:t xml:space="preserve">CSIRT </w:t>
      </w:r>
    </w:p>
    <w:p w:rsidRPr="00FF46E3" w:rsidR="00C72DA6" w:rsidP="00C72DA6" w:rsidRDefault="00C72DA6" w14:paraId="6AB217EA" w14:textId="32241EBE">
      <w:pPr>
        <w:pStyle w:val="Geenafstand"/>
        <w:rPr>
          <w:rFonts w:ascii="Verdana" w:hAnsi="Verdana" w:cs="Calibri"/>
          <w:sz w:val="18"/>
          <w:szCs w:val="18"/>
        </w:rPr>
      </w:pPr>
      <w:r w:rsidRPr="00FF46E3">
        <w:rPr>
          <w:rFonts w:ascii="Verdana" w:hAnsi="Verdana"/>
          <w:sz w:val="18"/>
          <w:szCs w:val="18"/>
        </w:rPr>
        <w:t xml:space="preserve">Het CSIRT heeft krachtens de </w:t>
      </w:r>
      <w:proofErr w:type="spellStart"/>
      <w:r w:rsidRPr="00FF46E3">
        <w:rPr>
          <w:rFonts w:ascii="Verdana" w:hAnsi="Verdana"/>
          <w:sz w:val="18"/>
          <w:szCs w:val="18"/>
        </w:rPr>
        <w:t>Cbw</w:t>
      </w:r>
      <w:proofErr w:type="spellEnd"/>
      <w:r w:rsidRPr="00FF46E3">
        <w:rPr>
          <w:rFonts w:ascii="Verdana" w:hAnsi="Verdana"/>
          <w:sz w:val="18"/>
          <w:szCs w:val="18"/>
        </w:rPr>
        <w:t xml:space="preserve"> diverse taken, waaronder </w:t>
      </w:r>
      <w:r w:rsidRPr="00FF46E3">
        <w:rPr>
          <w:rFonts w:ascii="Verdana" w:hAnsi="Verdana" w:cs="Calibri"/>
          <w:sz w:val="18"/>
          <w:szCs w:val="18"/>
        </w:rPr>
        <w:t xml:space="preserve">het verstrekken van vroegtijdige waarschuwingen en meldingen en het verspreiden van informatie over cyberdreigingen, </w:t>
      </w:r>
      <w:r w:rsidRPr="00FF46E3">
        <w:rPr>
          <w:rFonts w:ascii="Verdana" w:hAnsi="Verdana" w:cs="Calibri"/>
          <w:sz w:val="18"/>
          <w:szCs w:val="18"/>
        </w:rPr>
        <w:lastRenderedPageBreak/>
        <w:t xml:space="preserve">kwetsbaarheden en incidenten (artikel </w:t>
      </w:r>
      <w:r>
        <w:rPr>
          <w:rFonts w:ascii="Verdana" w:hAnsi="Verdana" w:cs="Calibri"/>
          <w:sz w:val="18"/>
          <w:szCs w:val="18"/>
        </w:rPr>
        <w:t>16</w:t>
      </w:r>
      <w:r w:rsidRPr="00FF46E3">
        <w:rPr>
          <w:rFonts w:ascii="Verdana" w:hAnsi="Verdana" w:cs="Calibri"/>
          <w:sz w:val="18"/>
          <w:szCs w:val="18"/>
        </w:rPr>
        <w:t xml:space="preserve">, </w:t>
      </w:r>
      <w:r w:rsidR="00304FD1">
        <w:rPr>
          <w:rFonts w:ascii="Verdana" w:hAnsi="Verdana" w:cs="Calibri"/>
          <w:sz w:val="18"/>
          <w:szCs w:val="18"/>
        </w:rPr>
        <w:t>tweede</w:t>
      </w:r>
      <w:r w:rsidRPr="00FF46E3" w:rsidR="00304FD1">
        <w:rPr>
          <w:rFonts w:ascii="Verdana" w:hAnsi="Verdana" w:cs="Calibri"/>
          <w:sz w:val="18"/>
          <w:szCs w:val="18"/>
        </w:rPr>
        <w:t xml:space="preserve"> </w:t>
      </w:r>
      <w:r w:rsidRPr="00FF46E3">
        <w:rPr>
          <w:rFonts w:ascii="Verdana" w:hAnsi="Verdana" w:cs="Calibri"/>
          <w:sz w:val="18"/>
          <w:szCs w:val="18"/>
        </w:rPr>
        <w:t xml:space="preserve">lid, onderdeel b, </w:t>
      </w:r>
      <w:proofErr w:type="spellStart"/>
      <w:r w:rsidRPr="00FF46E3">
        <w:rPr>
          <w:rFonts w:ascii="Verdana" w:hAnsi="Verdana"/>
          <w:sz w:val="18"/>
          <w:szCs w:val="18"/>
        </w:rPr>
        <w:t>Cbw</w:t>
      </w:r>
      <w:proofErr w:type="spellEnd"/>
      <w:r w:rsidRPr="00FF46E3">
        <w:rPr>
          <w:rFonts w:ascii="Verdana" w:hAnsi="Verdana" w:cs="Calibri"/>
          <w:sz w:val="18"/>
          <w:szCs w:val="18"/>
        </w:rPr>
        <w:t xml:space="preserve">). Ook heeft het CSIRT diverse taken in het kader van meldingen van significante incidenten. Zo moet het CSIRT zulke meldingen in ontvangst nemen, vervolgens een antwoord verstrekken aan de meldende entiteit en, als de entiteit hier om vraagt, ondersteuning bieden (artikel </w:t>
      </w:r>
      <w:r w:rsidR="004744BD">
        <w:rPr>
          <w:rFonts w:ascii="Verdana" w:hAnsi="Verdana" w:cs="Calibri"/>
          <w:sz w:val="18"/>
          <w:szCs w:val="18"/>
        </w:rPr>
        <w:t>36</w:t>
      </w:r>
      <w:r w:rsidRPr="00FF46E3" w:rsidR="004744BD">
        <w:rPr>
          <w:rFonts w:ascii="Verdana" w:hAnsi="Verdana" w:cs="Calibri"/>
          <w:sz w:val="18"/>
          <w:szCs w:val="18"/>
        </w:rPr>
        <w:t xml:space="preserve"> </w:t>
      </w:r>
      <w:proofErr w:type="spellStart"/>
      <w:r w:rsidRPr="00FF46E3">
        <w:rPr>
          <w:rFonts w:ascii="Verdana" w:hAnsi="Verdana"/>
          <w:sz w:val="18"/>
          <w:szCs w:val="18"/>
        </w:rPr>
        <w:t>Cbw</w:t>
      </w:r>
      <w:proofErr w:type="spellEnd"/>
      <w:r w:rsidRPr="00FF46E3">
        <w:rPr>
          <w:rFonts w:ascii="Verdana" w:hAnsi="Verdana" w:cs="Calibri"/>
          <w:sz w:val="18"/>
          <w:szCs w:val="18"/>
        </w:rPr>
        <w:t xml:space="preserve">). Ook moet het CSIRT het centrale contactpunt in kennis stellen van deze meldingen (artikel </w:t>
      </w:r>
      <w:r w:rsidR="004744BD">
        <w:rPr>
          <w:rFonts w:ascii="Verdana" w:hAnsi="Verdana" w:cs="Calibri"/>
          <w:sz w:val="18"/>
          <w:szCs w:val="18"/>
        </w:rPr>
        <w:t>39</w:t>
      </w:r>
      <w:r w:rsidRPr="00FF46E3">
        <w:rPr>
          <w:rFonts w:ascii="Verdana" w:hAnsi="Verdana" w:cs="Calibri"/>
          <w:sz w:val="18"/>
          <w:szCs w:val="18"/>
        </w:rPr>
        <w:t xml:space="preserve">, eerste lid, </w:t>
      </w:r>
      <w:proofErr w:type="spellStart"/>
      <w:r w:rsidRPr="00FF46E3">
        <w:rPr>
          <w:rFonts w:ascii="Verdana" w:hAnsi="Verdana"/>
          <w:sz w:val="18"/>
          <w:szCs w:val="18"/>
        </w:rPr>
        <w:t>Cbw</w:t>
      </w:r>
      <w:proofErr w:type="spellEnd"/>
      <w:r w:rsidRPr="00FF46E3">
        <w:rPr>
          <w:rFonts w:ascii="Verdana" w:hAnsi="Verdana" w:cs="Calibri"/>
          <w:sz w:val="18"/>
          <w:szCs w:val="18"/>
        </w:rPr>
        <w:t xml:space="preserve">). Verder fungeert één CSIRT als de </w:t>
      </w:r>
      <w:r w:rsidRPr="00FF46E3">
        <w:rPr>
          <w:rFonts w:ascii="Verdana" w:hAnsi="Verdana"/>
          <w:sz w:val="18"/>
          <w:szCs w:val="18"/>
        </w:rPr>
        <w:t>coördinator met het oog op een gecoördineerde bekendmaking van kwetsbaarheden</w:t>
      </w:r>
      <w:r w:rsidRPr="00FF46E3">
        <w:rPr>
          <w:rFonts w:ascii="Verdana" w:hAnsi="Verdana" w:cs="Calibri"/>
          <w:sz w:val="18"/>
          <w:szCs w:val="18"/>
        </w:rPr>
        <w:t xml:space="preserve">. Die coördinator heeft onder meer de taak om de bij gemelde kwetsbaarheden betrokken entiteiten te identificeren en om contact met hen op te nemen (artikel </w:t>
      </w:r>
      <w:r>
        <w:rPr>
          <w:rFonts w:ascii="Verdana" w:hAnsi="Verdana" w:cs="Calibri"/>
          <w:sz w:val="18"/>
          <w:szCs w:val="18"/>
        </w:rPr>
        <w:t>17</w:t>
      </w:r>
      <w:r w:rsidRPr="00FF46E3">
        <w:rPr>
          <w:rFonts w:ascii="Verdana" w:hAnsi="Verdana" w:cs="Calibri"/>
          <w:sz w:val="18"/>
          <w:szCs w:val="18"/>
        </w:rPr>
        <w:t xml:space="preserve">, tweede lid, onderdeel b, </w:t>
      </w:r>
      <w:proofErr w:type="spellStart"/>
      <w:r w:rsidRPr="00FF46E3">
        <w:rPr>
          <w:rFonts w:ascii="Verdana" w:hAnsi="Verdana"/>
          <w:sz w:val="18"/>
          <w:szCs w:val="18"/>
        </w:rPr>
        <w:t>Cbw</w:t>
      </w:r>
      <w:proofErr w:type="spellEnd"/>
      <w:r w:rsidRPr="00FF46E3">
        <w:rPr>
          <w:rFonts w:ascii="Verdana" w:hAnsi="Verdana" w:cs="Calibri"/>
          <w:sz w:val="18"/>
          <w:szCs w:val="18"/>
        </w:rPr>
        <w:t>). De werkzaamheden van het CSIRT houden niet op bij de landsgrenzen</w:t>
      </w:r>
      <w:r w:rsidR="005C08B7">
        <w:rPr>
          <w:rFonts w:ascii="Verdana" w:hAnsi="Verdana" w:cs="Calibri"/>
          <w:sz w:val="18"/>
          <w:szCs w:val="18"/>
        </w:rPr>
        <w:t>:</w:t>
      </w:r>
      <w:r w:rsidRPr="00FF46E3">
        <w:rPr>
          <w:rFonts w:ascii="Verdana" w:hAnsi="Verdana" w:cs="Calibri"/>
          <w:sz w:val="18"/>
          <w:szCs w:val="18"/>
        </w:rPr>
        <w:t xml:space="preserve"> het CSIRT kan in het kader van een samenwerkingsrelatie met een CSIRT van een derde land relevante informatie, met inbegrip van persoonsgegevens, uitwisselen (artikel </w:t>
      </w:r>
      <w:r>
        <w:rPr>
          <w:rFonts w:ascii="Verdana" w:hAnsi="Verdana" w:cs="Calibri"/>
          <w:sz w:val="18"/>
          <w:szCs w:val="18"/>
        </w:rPr>
        <w:t>54</w:t>
      </w:r>
      <w:r w:rsidRPr="00FF46E3">
        <w:rPr>
          <w:rFonts w:ascii="Verdana" w:hAnsi="Verdana" w:cs="Calibri"/>
          <w:sz w:val="18"/>
          <w:szCs w:val="18"/>
        </w:rPr>
        <w:t xml:space="preserve">, eerste lid, </w:t>
      </w:r>
      <w:proofErr w:type="spellStart"/>
      <w:r w:rsidRPr="00FF46E3">
        <w:rPr>
          <w:rFonts w:ascii="Verdana" w:hAnsi="Verdana"/>
          <w:sz w:val="18"/>
          <w:szCs w:val="18"/>
        </w:rPr>
        <w:t>Cbw</w:t>
      </w:r>
      <w:proofErr w:type="spellEnd"/>
      <w:r w:rsidRPr="00FF46E3">
        <w:rPr>
          <w:rFonts w:ascii="Verdana" w:hAnsi="Verdana" w:cs="Calibri"/>
          <w:sz w:val="18"/>
          <w:szCs w:val="18"/>
        </w:rPr>
        <w:t xml:space="preserve">). </w:t>
      </w:r>
    </w:p>
    <w:p w:rsidRPr="00FF46E3" w:rsidR="00C72DA6" w:rsidP="00C72DA6" w:rsidRDefault="00C72DA6" w14:paraId="072DED50" w14:textId="77777777">
      <w:pPr>
        <w:pStyle w:val="Geenafstand"/>
        <w:rPr>
          <w:rFonts w:ascii="Verdana" w:hAnsi="Verdana" w:cs="Calibri"/>
          <w:sz w:val="18"/>
          <w:szCs w:val="18"/>
        </w:rPr>
      </w:pPr>
      <w:r w:rsidRPr="00FF46E3">
        <w:rPr>
          <w:rFonts w:ascii="Verdana" w:hAnsi="Verdana" w:cs="Calibri"/>
          <w:sz w:val="18"/>
          <w:szCs w:val="18"/>
        </w:rPr>
        <w:t xml:space="preserve">Het CSIRT zal als gevolg van de </w:t>
      </w:r>
      <w:proofErr w:type="spellStart"/>
      <w:r w:rsidRPr="00FF46E3">
        <w:rPr>
          <w:rFonts w:ascii="Verdana" w:hAnsi="Verdana"/>
          <w:sz w:val="18"/>
          <w:szCs w:val="18"/>
        </w:rPr>
        <w:t>Cbw</w:t>
      </w:r>
      <w:proofErr w:type="spellEnd"/>
      <w:r w:rsidRPr="00FF46E3">
        <w:rPr>
          <w:rFonts w:ascii="Verdana" w:hAnsi="Verdana" w:cs="Calibri"/>
          <w:sz w:val="18"/>
          <w:szCs w:val="18"/>
        </w:rPr>
        <w:t xml:space="preserve"> de beschikking krijgen over aanzienlijke hoeveelheden data, waaronder informatie die entiteiten verstrekken bij meldingen van significante incidenten. Meer concreet gaat het in elk geval om de contactgegevens van de medewerker die namens een entiteit een melding doet. </w:t>
      </w:r>
      <w:r>
        <w:rPr>
          <w:rFonts w:ascii="Verdana" w:hAnsi="Verdana" w:cs="Calibri"/>
          <w:sz w:val="18"/>
          <w:szCs w:val="18"/>
        </w:rPr>
        <w:t xml:space="preserve">Het CSIRT kan ook via andere wegen aan persoonsgegevens komen, bijvoorbeeld doordat een (ethische) hacker deze aanlevert. Benadrukt wordt dat de inlichtingentaak op grond van de </w:t>
      </w:r>
      <w:r w:rsidRPr="00ED3A49">
        <w:rPr>
          <w:rFonts w:ascii="Verdana" w:hAnsi="Verdana" w:cs="Calibri"/>
          <w:sz w:val="18"/>
          <w:szCs w:val="18"/>
        </w:rPr>
        <w:t>Wet op de inlichtingen- en veiligheidsdiensten 2017</w:t>
      </w:r>
      <w:r>
        <w:rPr>
          <w:rFonts w:ascii="Verdana" w:hAnsi="Verdana" w:cs="Calibri"/>
          <w:sz w:val="18"/>
          <w:szCs w:val="18"/>
        </w:rPr>
        <w:t xml:space="preserve"> is voorbehouden aan de inlichtingendiensten. Het CSIRT verleent geen inlichtingendiensten in de zin van de laatstgenoemde wet. </w:t>
      </w:r>
    </w:p>
    <w:p w:rsidRPr="00FF46E3" w:rsidR="00C72DA6" w:rsidP="00C72DA6" w:rsidRDefault="00C72DA6" w14:paraId="07F5BC0E" w14:textId="77777777">
      <w:pPr>
        <w:pStyle w:val="Default"/>
        <w:rPr>
          <w:rFonts w:ascii="Verdana" w:hAnsi="Verdana" w:cs="Calibri"/>
          <w:color w:val="auto"/>
          <w:sz w:val="18"/>
          <w:szCs w:val="18"/>
        </w:rPr>
      </w:pPr>
    </w:p>
    <w:p w:rsidRPr="00FF46E3" w:rsidR="00C72DA6" w:rsidP="00C72DA6" w:rsidRDefault="00C72DA6" w14:paraId="793C1C15" w14:textId="77777777">
      <w:pPr>
        <w:pStyle w:val="Default"/>
        <w:rPr>
          <w:rFonts w:ascii="Verdana" w:hAnsi="Verdana"/>
          <w:i/>
          <w:iCs/>
          <w:color w:val="auto"/>
          <w:sz w:val="18"/>
          <w:szCs w:val="18"/>
        </w:rPr>
      </w:pPr>
      <w:r w:rsidRPr="00FF46E3">
        <w:rPr>
          <w:rFonts w:ascii="Verdana" w:hAnsi="Verdana"/>
          <w:i/>
          <w:iCs/>
          <w:color w:val="auto"/>
          <w:sz w:val="18"/>
          <w:szCs w:val="18"/>
        </w:rPr>
        <w:t xml:space="preserve">Bevoegde autoriteit </w:t>
      </w:r>
    </w:p>
    <w:p w:rsidR="00C72DA6" w:rsidP="00BC6FAC" w:rsidRDefault="00C72DA6" w14:paraId="468396DF" w14:textId="5A7C1E12">
      <w:pPr>
        <w:pStyle w:val="Default"/>
        <w:rPr>
          <w:rFonts w:ascii="Verdana" w:hAnsi="Verdana"/>
          <w:sz w:val="18"/>
          <w:szCs w:val="18"/>
        </w:rPr>
      </w:pPr>
      <w:r w:rsidRPr="00FF46E3">
        <w:rPr>
          <w:rFonts w:ascii="Verdana" w:hAnsi="Verdana"/>
          <w:color w:val="auto"/>
          <w:sz w:val="18"/>
          <w:szCs w:val="18"/>
        </w:rPr>
        <w:t xml:space="preserve">In de </w:t>
      </w:r>
      <w:proofErr w:type="spellStart"/>
      <w:r w:rsidRPr="00FF46E3">
        <w:rPr>
          <w:rFonts w:ascii="Verdana" w:hAnsi="Verdana"/>
          <w:sz w:val="18"/>
          <w:szCs w:val="18"/>
        </w:rPr>
        <w:t>Cbw</w:t>
      </w:r>
      <w:proofErr w:type="spellEnd"/>
      <w:r w:rsidRPr="00FF46E3">
        <w:rPr>
          <w:rFonts w:ascii="Verdana" w:hAnsi="Verdana"/>
          <w:color w:val="auto"/>
          <w:sz w:val="18"/>
          <w:szCs w:val="18"/>
        </w:rPr>
        <w:t xml:space="preserve"> worden de vakministers aangewezen als bevoegde autoriteit voor de onderscheidene sectoren (artikel </w:t>
      </w:r>
      <w:r>
        <w:rPr>
          <w:rFonts w:ascii="Verdana" w:hAnsi="Verdana"/>
          <w:color w:val="auto"/>
          <w:sz w:val="18"/>
          <w:szCs w:val="18"/>
        </w:rPr>
        <w:t>15</w:t>
      </w:r>
      <w:r w:rsidRPr="00FF46E3">
        <w:rPr>
          <w:rFonts w:ascii="Verdana" w:hAnsi="Verdana"/>
          <w:color w:val="auto"/>
          <w:sz w:val="18"/>
          <w:szCs w:val="18"/>
        </w:rPr>
        <w:t xml:space="preserve"> </w:t>
      </w:r>
      <w:proofErr w:type="spellStart"/>
      <w:r w:rsidRPr="00FF46E3">
        <w:rPr>
          <w:rFonts w:ascii="Verdana" w:hAnsi="Verdana"/>
          <w:sz w:val="18"/>
          <w:szCs w:val="18"/>
        </w:rPr>
        <w:t>Cbw</w:t>
      </w:r>
      <w:proofErr w:type="spellEnd"/>
      <w:r w:rsidRPr="00FF46E3">
        <w:rPr>
          <w:rFonts w:ascii="Verdana" w:hAnsi="Verdana"/>
          <w:color w:val="auto"/>
          <w:sz w:val="18"/>
          <w:szCs w:val="18"/>
        </w:rPr>
        <w:t xml:space="preserve">). De bevoegde autoriteit heeft krachtens de </w:t>
      </w:r>
      <w:proofErr w:type="spellStart"/>
      <w:r w:rsidRPr="00FF46E3">
        <w:rPr>
          <w:rFonts w:ascii="Verdana" w:hAnsi="Verdana"/>
          <w:sz w:val="18"/>
          <w:szCs w:val="18"/>
        </w:rPr>
        <w:t>Cbw</w:t>
      </w:r>
      <w:proofErr w:type="spellEnd"/>
      <w:r w:rsidRPr="00FF46E3">
        <w:rPr>
          <w:rFonts w:ascii="Verdana" w:hAnsi="Verdana"/>
          <w:color w:val="auto"/>
          <w:sz w:val="18"/>
          <w:szCs w:val="18"/>
        </w:rPr>
        <w:t xml:space="preserve"> diverse taken. Naast de taak om te zorgen voor de bestuursrechtelijke handhaving van het bepaalde bij of krachtens </w:t>
      </w:r>
      <w:r>
        <w:rPr>
          <w:rFonts w:ascii="Verdana" w:hAnsi="Verdana"/>
          <w:color w:val="auto"/>
          <w:sz w:val="18"/>
          <w:szCs w:val="18"/>
        </w:rPr>
        <w:t xml:space="preserve">de </w:t>
      </w:r>
      <w:proofErr w:type="spellStart"/>
      <w:r>
        <w:rPr>
          <w:rFonts w:ascii="Verdana" w:hAnsi="Verdana"/>
          <w:color w:val="auto"/>
          <w:sz w:val="18"/>
          <w:szCs w:val="18"/>
        </w:rPr>
        <w:t>Cbw</w:t>
      </w:r>
      <w:proofErr w:type="spellEnd"/>
      <w:r w:rsidRPr="00FF46E3">
        <w:rPr>
          <w:rFonts w:ascii="Verdana" w:hAnsi="Verdana"/>
          <w:color w:val="auto"/>
          <w:sz w:val="18"/>
          <w:szCs w:val="18"/>
        </w:rPr>
        <w:t xml:space="preserve">, heeft de bevoegde autoriteit ook taken op het gebied van meldingen van significante incidenten, zoals het in ontvangst nemen daarvan en het daarover informeren van de bevoegde autoriteit, bedoeld in de </w:t>
      </w:r>
      <w:proofErr w:type="spellStart"/>
      <w:r w:rsidRPr="00FF46E3">
        <w:rPr>
          <w:rFonts w:ascii="Verdana" w:hAnsi="Verdana"/>
          <w:color w:val="auto"/>
          <w:sz w:val="18"/>
          <w:szCs w:val="18"/>
        </w:rPr>
        <w:t>Wwke</w:t>
      </w:r>
      <w:proofErr w:type="spellEnd"/>
      <w:r w:rsidRPr="00FF46E3">
        <w:rPr>
          <w:rFonts w:ascii="Verdana" w:hAnsi="Verdana"/>
          <w:color w:val="auto"/>
          <w:sz w:val="18"/>
          <w:szCs w:val="18"/>
        </w:rPr>
        <w:t xml:space="preserve">. De bevoegde autoriteit zal bij de uitoefening van haar taken de beschikking krijgen over persoonsgegevens. Naar verwachting zal het daarbij in hoofdzaak gaan over de contactgegevens, zoals e-mailadressen, van medewerkers van essentiële entiteiten, belangrijke entiteiten en entiteiten die domeinnaamregistratiediensten verlenen. </w:t>
      </w:r>
    </w:p>
    <w:p w:rsidRPr="00FF46E3" w:rsidR="00E04B59" w:rsidP="00C72DA6" w:rsidRDefault="00E04B59" w14:paraId="089F2F01" w14:textId="77777777">
      <w:pPr>
        <w:pStyle w:val="Geenafstand"/>
        <w:rPr>
          <w:rFonts w:ascii="Verdana" w:hAnsi="Verdana"/>
          <w:sz w:val="18"/>
          <w:szCs w:val="18"/>
        </w:rPr>
      </w:pPr>
    </w:p>
    <w:p w:rsidRPr="00FF46E3" w:rsidR="00C72DA6" w:rsidP="00C72DA6" w:rsidRDefault="00C72DA6" w14:paraId="413FCFD0" w14:textId="2287F8B6">
      <w:pPr>
        <w:pStyle w:val="Kop2"/>
      </w:pPr>
      <w:bookmarkStart w:name="_Toc144122119" w:id="114"/>
      <w:bookmarkStart w:name="_Toc198721100" w:id="115"/>
      <w:r w:rsidRPr="00FF46E3">
        <w:t>6.</w:t>
      </w:r>
      <w:r w:rsidR="00413E1E">
        <w:t>3</w:t>
      </w:r>
      <w:r w:rsidRPr="00FF46E3">
        <w:t xml:space="preserve"> </w:t>
      </w:r>
      <w:r w:rsidR="00BE641B">
        <w:t>EVRM</w:t>
      </w:r>
      <w:bookmarkEnd w:id="114"/>
      <w:bookmarkEnd w:id="115"/>
    </w:p>
    <w:p w:rsidRPr="00FF46E3" w:rsidR="00C72DA6" w:rsidP="00C72DA6" w:rsidRDefault="00C72DA6" w14:paraId="4814407E" w14:textId="77777777">
      <w:pPr>
        <w:pStyle w:val="Geenafstand"/>
        <w:rPr>
          <w:rFonts w:ascii="Verdana" w:hAnsi="Verdana"/>
          <w:i/>
          <w:iCs/>
          <w:sz w:val="18"/>
          <w:szCs w:val="18"/>
        </w:rPr>
      </w:pPr>
    </w:p>
    <w:p w:rsidR="00C72DA6" w:rsidP="00C3466E" w:rsidRDefault="00C72DA6" w14:paraId="4BFB0B1F" w14:textId="034526AA">
      <w:pPr>
        <w:pStyle w:val="Kop3"/>
      </w:pPr>
      <w:bookmarkStart w:name="_Toc198721101" w:id="116"/>
      <w:r>
        <w:t>6.</w:t>
      </w:r>
      <w:r w:rsidR="00413E1E">
        <w:t>3</w:t>
      </w:r>
      <w:r>
        <w:t>.1 I</w:t>
      </w:r>
      <w:r w:rsidRPr="00FF46E3">
        <w:t>nmenging door openbaar gezag in recht op respect voor de persoonlijke levenssfeer</w:t>
      </w:r>
      <w:bookmarkEnd w:id="116"/>
    </w:p>
    <w:p w:rsidR="00C72DA6" w:rsidP="00C72DA6" w:rsidRDefault="00C72DA6" w14:paraId="78E68CEF" w14:textId="77777777">
      <w:pPr>
        <w:pStyle w:val="Geenafstand"/>
        <w:rPr>
          <w:rFonts w:ascii="Verdana" w:hAnsi="Verdana"/>
          <w:sz w:val="18"/>
          <w:szCs w:val="18"/>
        </w:rPr>
      </w:pPr>
    </w:p>
    <w:p w:rsidRPr="00FF46E3" w:rsidR="00C72DA6" w:rsidP="00C72DA6" w:rsidRDefault="00C72DA6" w14:paraId="3FB9A383" w14:textId="3BBA4F03">
      <w:pPr>
        <w:pStyle w:val="Geenafstand"/>
        <w:rPr>
          <w:rFonts w:ascii="Verdana" w:hAnsi="Verdana"/>
          <w:sz w:val="18"/>
          <w:szCs w:val="18"/>
        </w:rPr>
      </w:pPr>
      <w:r w:rsidRPr="00FF46E3">
        <w:rPr>
          <w:rFonts w:ascii="Verdana" w:hAnsi="Verdana"/>
          <w:sz w:val="18"/>
          <w:szCs w:val="18"/>
        </w:rPr>
        <w:t xml:space="preserve">De verwerking van persoonsgegevens door de Minister van Justitie en Veiligheid, het CSIRT en de bevoegde autoriteit is een inmenging door het openbaar gezag in het recht op respect voor de persoonlijke levenssfeer. Dit recht is </w:t>
      </w:r>
      <w:r>
        <w:rPr>
          <w:rFonts w:ascii="Verdana" w:hAnsi="Verdana"/>
          <w:sz w:val="18"/>
          <w:szCs w:val="18"/>
        </w:rPr>
        <w:t xml:space="preserve">niet alleen </w:t>
      </w:r>
      <w:r w:rsidRPr="00FF46E3">
        <w:rPr>
          <w:rFonts w:ascii="Verdana" w:hAnsi="Verdana"/>
          <w:sz w:val="18"/>
          <w:szCs w:val="18"/>
        </w:rPr>
        <w:t xml:space="preserve">gecodificeerd in </w:t>
      </w:r>
      <w:r>
        <w:rPr>
          <w:rFonts w:ascii="Verdana" w:hAnsi="Verdana"/>
          <w:sz w:val="18"/>
          <w:szCs w:val="18"/>
        </w:rPr>
        <w:t xml:space="preserve">het EVRM (artikel 8), maar ook in </w:t>
      </w:r>
      <w:r w:rsidRPr="00FF46E3">
        <w:rPr>
          <w:rFonts w:ascii="Verdana" w:hAnsi="Verdana"/>
          <w:sz w:val="18"/>
          <w:szCs w:val="18"/>
        </w:rPr>
        <w:t xml:space="preserve">de artikelen 10 van de Grondwet, 17 van het </w:t>
      </w:r>
      <w:bookmarkStart w:name="_Hlk178939589" w:id="117"/>
      <w:r w:rsidRPr="00FF46E3">
        <w:rPr>
          <w:rFonts w:ascii="Verdana" w:hAnsi="Verdana"/>
          <w:sz w:val="18"/>
          <w:szCs w:val="18"/>
        </w:rPr>
        <w:t>Internationaal Verdrag inzake burgerrechten en politieke rechten</w:t>
      </w:r>
      <w:bookmarkEnd w:id="117"/>
      <w:r w:rsidRPr="00FF46E3">
        <w:rPr>
          <w:rFonts w:ascii="Verdana" w:hAnsi="Verdana"/>
          <w:sz w:val="18"/>
          <w:szCs w:val="18"/>
        </w:rPr>
        <w:t xml:space="preserve"> (IVBPR) en 7 van het Handvest van de grondrechten van de Europese Unie (Handvest). Artikel 8 van het Handvest ziet specifiek op het recht van eenieder op de bescherming van zijn persoonsgegevens.</w:t>
      </w:r>
    </w:p>
    <w:p w:rsidRPr="00FF46E3" w:rsidR="00C72DA6" w:rsidP="00C72DA6" w:rsidRDefault="00C72DA6" w14:paraId="79A60A41" w14:textId="6D9BFDB7">
      <w:pPr>
        <w:pStyle w:val="Geenafstand"/>
        <w:rPr>
          <w:rFonts w:ascii="Verdana" w:hAnsi="Verdana"/>
          <w:sz w:val="18"/>
          <w:szCs w:val="18"/>
        </w:rPr>
      </w:pPr>
      <w:r w:rsidRPr="00FF46E3">
        <w:rPr>
          <w:rFonts w:ascii="Verdana" w:hAnsi="Verdana"/>
          <w:sz w:val="18"/>
          <w:szCs w:val="18"/>
        </w:rPr>
        <w:t xml:space="preserve">Artikel 8, eerste lid, EVRM bepaalt dat eenieder recht heeft op respect voor zijn privéleven, zijn familie- en gezinsleven, zijn woning en zijn correspondentie. Het tweede lid van dat artikel staat inmenging in dit recht alleen toe voor zover die inmenging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Het noodzaakcriterium wordt in de jurisprudentie van het Europese Hof voor de rechten van de mens (EHRM) nader ingevuld met de vereisten van een dringende maatschappelijke behoefte, </w:t>
      </w:r>
      <w:r>
        <w:rPr>
          <w:rFonts w:ascii="Verdana" w:hAnsi="Verdana"/>
          <w:sz w:val="18"/>
          <w:szCs w:val="18"/>
        </w:rPr>
        <w:t xml:space="preserve">en specifiek </w:t>
      </w:r>
      <w:r w:rsidRPr="00FF46E3">
        <w:rPr>
          <w:rFonts w:ascii="Verdana" w:hAnsi="Verdana"/>
          <w:sz w:val="18"/>
          <w:szCs w:val="18"/>
        </w:rPr>
        <w:t>proportionaliteit en subsidiariteit.</w:t>
      </w:r>
      <w:bookmarkStart w:name="_Hlk178939640" w:id="118"/>
      <w:r w:rsidRPr="00484C45">
        <w:rPr>
          <w:rStyle w:val="Voetnootmarkering"/>
          <w:rFonts w:ascii="Verdana" w:hAnsi="Verdana"/>
          <w:bCs/>
          <w:sz w:val="18"/>
          <w:szCs w:val="18"/>
          <w:lang w:eastAsia="nl-NL"/>
        </w:rPr>
        <w:footnoteReference w:id="57"/>
      </w:r>
      <w:bookmarkEnd w:id="118"/>
      <w:r w:rsidR="008265E7">
        <w:rPr>
          <w:rFonts w:ascii="Verdana" w:hAnsi="Verdana"/>
          <w:sz w:val="18"/>
          <w:szCs w:val="18"/>
        </w:rPr>
        <w:t xml:space="preserve"> </w:t>
      </w:r>
    </w:p>
    <w:p w:rsidRPr="00FF46E3" w:rsidR="00C72DA6" w:rsidP="00C72DA6" w:rsidRDefault="00C72DA6" w14:paraId="71E44AFC" w14:textId="77777777">
      <w:pPr>
        <w:pStyle w:val="Geenafstand"/>
        <w:rPr>
          <w:rFonts w:ascii="Verdana" w:hAnsi="Verdana"/>
          <w:sz w:val="18"/>
          <w:szCs w:val="18"/>
        </w:rPr>
      </w:pPr>
    </w:p>
    <w:p w:rsidRPr="00FF46E3" w:rsidR="00C72DA6" w:rsidP="00C3466E" w:rsidRDefault="00C72DA6" w14:paraId="5E1D8AA0" w14:textId="14613C6F">
      <w:pPr>
        <w:pStyle w:val="Kop3"/>
      </w:pPr>
      <w:bookmarkStart w:name="_Toc144122120" w:id="119"/>
      <w:bookmarkStart w:name="_Toc198721102" w:id="120"/>
      <w:r w:rsidRPr="00FF46E3">
        <w:t>6.</w:t>
      </w:r>
      <w:r w:rsidR="00413E1E">
        <w:t>3.2</w:t>
      </w:r>
      <w:r w:rsidRPr="00FF46E3">
        <w:t xml:space="preserve"> Beperkende maatregel voorzien bij wet</w:t>
      </w:r>
      <w:bookmarkEnd w:id="119"/>
      <w:bookmarkEnd w:id="120"/>
    </w:p>
    <w:p w:rsidRPr="00FF46E3" w:rsidR="00C72DA6" w:rsidP="00C72DA6" w:rsidRDefault="00C72DA6" w14:paraId="2E5BF750" w14:textId="77777777">
      <w:pPr>
        <w:pStyle w:val="Default"/>
        <w:rPr>
          <w:rFonts w:ascii="Verdana" w:hAnsi="Verdana"/>
          <w:color w:val="auto"/>
          <w:sz w:val="18"/>
          <w:szCs w:val="18"/>
        </w:rPr>
      </w:pPr>
    </w:p>
    <w:p w:rsidR="00C72DA6" w:rsidP="00C72DA6" w:rsidRDefault="00C72DA6" w14:paraId="192B9414" w14:textId="77777777">
      <w:pPr>
        <w:pStyle w:val="Default"/>
        <w:rPr>
          <w:rFonts w:ascii="Verdana" w:hAnsi="Verdana"/>
          <w:color w:val="auto"/>
          <w:sz w:val="18"/>
          <w:szCs w:val="18"/>
        </w:rPr>
      </w:pPr>
      <w:bookmarkStart w:name="_Hlk178939723" w:id="121"/>
      <w:r>
        <w:rPr>
          <w:rFonts w:ascii="Verdana" w:hAnsi="Verdana"/>
          <w:color w:val="auto"/>
          <w:sz w:val="18"/>
          <w:szCs w:val="18"/>
        </w:rPr>
        <w:t>In a</w:t>
      </w:r>
      <w:r>
        <w:rPr>
          <w:rFonts w:ascii="Verdana" w:hAnsi="Verdana"/>
          <w:sz w:val="18"/>
          <w:szCs w:val="18"/>
        </w:rPr>
        <w:t xml:space="preserve">rtikel 8, </w:t>
      </w:r>
      <w:r w:rsidRPr="00FF46E3">
        <w:rPr>
          <w:rFonts w:ascii="Verdana" w:hAnsi="Verdana"/>
          <w:sz w:val="18"/>
          <w:szCs w:val="18"/>
        </w:rPr>
        <w:t>tweede lid</w:t>
      </w:r>
      <w:r>
        <w:rPr>
          <w:rFonts w:ascii="Verdana" w:hAnsi="Verdana"/>
          <w:sz w:val="18"/>
          <w:szCs w:val="18"/>
        </w:rPr>
        <w:t xml:space="preserve">, EVRM is bepaald dat inmenging in het recht op respect voor de persoonlijke levenssfeer alleen toegestaan is </w:t>
      </w:r>
      <w:r w:rsidRPr="00FF46E3">
        <w:rPr>
          <w:rFonts w:ascii="Verdana" w:hAnsi="Verdana"/>
          <w:sz w:val="18"/>
          <w:szCs w:val="18"/>
        </w:rPr>
        <w:t xml:space="preserve">voor zover die inmenging bij wet is voorzien en in een democratische </w:t>
      </w:r>
      <w:r w:rsidRPr="00FF46E3">
        <w:rPr>
          <w:rFonts w:ascii="Verdana" w:hAnsi="Verdana"/>
          <w:sz w:val="18"/>
          <w:szCs w:val="18"/>
        </w:rPr>
        <w:lastRenderedPageBreak/>
        <w:t>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rPr>
          <w:rFonts w:ascii="Verdana" w:hAnsi="Verdana"/>
          <w:sz w:val="18"/>
          <w:szCs w:val="18"/>
        </w:rPr>
        <w:t xml:space="preserve"> </w:t>
      </w:r>
      <w:r>
        <w:rPr>
          <w:rFonts w:ascii="Verdana" w:hAnsi="Verdana"/>
          <w:color w:val="auto"/>
          <w:sz w:val="18"/>
          <w:szCs w:val="18"/>
        </w:rPr>
        <w:t xml:space="preserve">In dit verband wordt opgemerkt dat in artikel 10 Grondwet is bepaald dat het recht op eerbiediging van de persoonlijke levenssfeer alleen kan worden beperkt bij of krachtens de wet. De Grondwet vereist dus een </w:t>
      </w:r>
      <w:proofErr w:type="spellStart"/>
      <w:r>
        <w:rPr>
          <w:rFonts w:ascii="Verdana" w:hAnsi="Verdana"/>
          <w:color w:val="auto"/>
          <w:sz w:val="18"/>
          <w:szCs w:val="18"/>
        </w:rPr>
        <w:t>formeelwettelijke</w:t>
      </w:r>
      <w:proofErr w:type="spellEnd"/>
      <w:r>
        <w:rPr>
          <w:rFonts w:ascii="Verdana" w:hAnsi="Verdana"/>
          <w:color w:val="auto"/>
          <w:sz w:val="18"/>
          <w:szCs w:val="18"/>
        </w:rPr>
        <w:t xml:space="preserve"> grondslag. Het EVRM vereist niet zozeer een </w:t>
      </w:r>
      <w:proofErr w:type="spellStart"/>
      <w:r>
        <w:rPr>
          <w:rFonts w:ascii="Verdana" w:hAnsi="Verdana"/>
          <w:color w:val="auto"/>
          <w:sz w:val="18"/>
          <w:szCs w:val="18"/>
        </w:rPr>
        <w:t>formeelwettelijke</w:t>
      </w:r>
      <w:proofErr w:type="spellEnd"/>
      <w:r>
        <w:rPr>
          <w:rFonts w:ascii="Verdana" w:hAnsi="Verdana"/>
          <w:color w:val="auto"/>
          <w:sz w:val="18"/>
          <w:szCs w:val="18"/>
        </w:rPr>
        <w:t xml:space="preserve"> grondslag, maar een voorziening bij wet. </w:t>
      </w:r>
    </w:p>
    <w:p w:rsidRPr="00FF46E3" w:rsidR="00C72DA6" w:rsidP="00C72DA6" w:rsidRDefault="00C72DA6" w14:paraId="37DC78D7" w14:textId="715837FA">
      <w:pPr>
        <w:pStyle w:val="Default"/>
        <w:rPr>
          <w:rFonts w:ascii="Verdana" w:hAnsi="Verdana"/>
          <w:color w:val="auto"/>
          <w:sz w:val="18"/>
          <w:szCs w:val="18"/>
        </w:rPr>
      </w:pPr>
      <w:bookmarkStart w:name="_Hlk178939743" w:id="122"/>
      <w:bookmarkEnd w:id="121"/>
      <w:r>
        <w:rPr>
          <w:rFonts w:ascii="Verdana" w:hAnsi="Verdana"/>
          <w:color w:val="auto"/>
          <w:sz w:val="18"/>
          <w:szCs w:val="18"/>
        </w:rPr>
        <w:t>Ten aanzien van de Grondwet wordt tevens opgemerkt dat in artikel 10, tweede lid, Grondwet is bepaald dat de wet regels stelt</w:t>
      </w:r>
      <w:r w:rsidRPr="00CE1D04">
        <w:rPr>
          <w:rFonts w:ascii="Verdana" w:hAnsi="Verdana"/>
          <w:color w:val="auto"/>
          <w:sz w:val="18"/>
          <w:szCs w:val="18"/>
        </w:rPr>
        <w:t xml:space="preserve"> ter bescherming van de persoonlijke levenssfeer in verband met het vastleggen en verstrekken van persoons</w:t>
      </w:r>
      <w:r>
        <w:rPr>
          <w:rFonts w:ascii="Verdana" w:hAnsi="Verdana"/>
          <w:color w:val="auto"/>
          <w:sz w:val="18"/>
          <w:szCs w:val="18"/>
        </w:rPr>
        <w:t xml:space="preserve">gegevens. </w:t>
      </w:r>
      <w:r w:rsidRPr="00481A71">
        <w:rPr>
          <w:rFonts w:ascii="Verdana" w:hAnsi="Verdana"/>
          <w:color w:val="auto"/>
          <w:sz w:val="18"/>
          <w:szCs w:val="18"/>
        </w:rPr>
        <w:t xml:space="preserve">De vastlegging van persoonsgegevens wordt in vergaande mate gereguleerd door het Unierecht, in het bijzonder door de </w:t>
      </w:r>
      <w:proofErr w:type="spellStart"/>
      <w:r>
        <w:rPr>
          <w:rFonts w:ascii="Verdana" w:hAnsi="Verdana"/>
          <w:color w:val="auto"/>
          <w:sz w:val="18"/>
          <w:szCs w:val="18"/>
        </w:rPr>
        <w:t>Avg</w:t>
      </w:r>
      <w:proofErr w:type="spellEnd"/>
      <w:r>
        <w:rPr>
          <w:rFonts w:ascii="Verdana" w:hAnsi="Verdana"/>
          <w:color w:val="auto"/>
          <w:sz w:val="18"/>
          <w:szCs w:val="18"/>
        </w:rPr>
        <w:t>. In paragraaf 6.</w:t>
      </w:r>
      <w:r w:rsidR="00872EB1">
        <w:rPr>
          <w:rFonts w:ascii="Verdana" w:hAnsi="Verdana"/>
          <w:color w:val="auto"/>
          <w:sz w:val="18"/>
          <w:szCs w:val="18"/>
        </w:rPr>
        <w:t>4</w:t>
      </w:r>
      <w:r>
        <w:rPr>
          <w:rFonts w:ascii="Verdana" w:hAnsi="Verdana"/>
          <w:color w:val="auto"/>
          <w:sz w:val="18"/>
          <w:szCs w:val="18"/>
        </w:rPr>
        <w:t xml:space="preserve"> wordt dit wetsvoorstel getoetst aan de </w:t>
      </w:r>
      <w:proofErr w:type="spellStart"/>
      <w:r>
        <w:rPr>
          <w:rFonts w:ascii="Verdana" w:hAnsi="Verdana"/>
          <w:color w:val="auto"/>
          <w:sz w:val="18"/>
          <w:szCs w:val="18"/>
        </w:rPr>
        <w:t>Avg</w:t>
      </w:r>
      <w:proofErr w:type="spellEnd"/>
      <w:r>
        <w:rPr>
          <w:rFonts w:ascii="Verdana" w:hAnsi="Verdana"/>
          <w:color w:val="auto"/>
          <w:sz w:val="18"/>
          <w:szCs w:val="18"/>
        </w:rPr>
        <w:t xml:space="preserve">. </w:t>
      </w:r>
    </w:p>
    <w:bookmarkEnd w:id="122"/>
    <w:p w:rsidR="00C72DA6" w:rsidP="00C72DA6" w:rsidRDefault="00C72DA6" w14:paraId="2014A514" w14:textId="51168F98">
      <w:pPr>
        <w:pStyle w:val="Default"/>
        <w:rPr>
          <w:rFonts w:ascii="Verdana" w:hAnsi="Verdana"/>
          <w:color w:val="auto"/>
          <w:sz w:val="18"/>
          <w:szCs w:val="18"/>
        </w:rPr>
      </w:pPr>
      <w:r w:rsidRPr="00FF46E3">
        <w:rPr>
          <w:rFonts w:ascii="Verdana" w:hAnsi="Verdana"/>
          <w:color w:val="auto"/>
          <w:sz w:val="18"/>
          <w:szCs w:val="18"/>
        </w:rPr>
        <w:t xml:space="preserve">De </w:t>
      </w:r>
      <w:proofErr w:type="spellStart"/>
      <w:r w:rsidRPr="00FF46E3">
        <w:rPr>
          <w:rFonts w:ascii="Verdana" w:hAnsi="Verdana"/>
          <w:sz w:val="18"/>
          <w:szCs w:val="18"/>
        </w:rPr>
        <w:t>Cbw</w:t>
      </w:r>
      <w:proofErr w:type="spellEnd"/>
      <w:r w:rsidRPr="00FF46E3">
        <w:rPr>
          <w:rFonts w:ascii="Verdana" w:hAnsi="Verdana"/>
          <w:color w:val="auto"/>
          <w:sz w:val="18"/>
          <w:szCs w:val="18"/>
        </w:rPr>
        <w:t xml:space="preserve"> bevat specifieke wettelijke grondslagen voor de verwerking van persoonsgegevens door de Minister van Justitie en Veiligheid (als het centrale contactpunt en beheerder van het nationale register), het CSIRT en de bevoegde autoriteit</w:t>
      </w:r>
      <w:r w:rsidR="00FF0A4B">
        <w:rPr>
          <w:rFonts w:ascii="Verdana" w:hAnsi="Verdana"/>
          <w:color w:val="auto"/>
          <w:sz w:val="18"/>
          <w:szCs w:val="18"/>
        </w:rPr>
        <w:t>. Zie</w:t>
      </w:r>
      <w:r w:rsidRPr="00FF46E3">
        <w:rPr>
          <w:rFonts w:ascii="Verdana" w:hAnsi="Verdana"/>
          <w:color w:val="auto"/>
          <w:sz w:val="18"/>
          <w:szCs w:val="18"/>
        </w:rPr>
        <w:t xml:space="preserve"> onder meer </w:t>
      </w:r>
      <w:r w:rsidRPr="005507B0">
        <w:rPr>
          <w:rFonts w:ascii="Verdana" w:hAnsi="Verdana"/>
          <w:color w:val="auto"/>
          <w:sz w:val="18"/>
          <w:szCs w:val="18"/>
        </w:rPr>
        <w:t xml:space="preserve">de artikelen 51, 52, 55, 56 en 58 </w:t>
      </w:r>
      <w:proofErr w:type="spellStart"/>
      <w:r w:rsidRPr="005507B0">
        <w:rPr>
          <w:rFonts w:ascii="Verdana" w:hAnsi="Verdana"/>
          <w:sz w:val="18"/>
          <w:szCs w:val="18"/>
        </w:rPr>
        <w:t>Cbw</w:t>
      </w:r>
      <w:proofErr w:type="spellEnd"/>
      <w:r w:rsidRPr="005507B0">
        <w:rPr>
          <w:rFonts w:ascii="Verdana" w:hAnsi="Verdana"/>
          <w:color w:val="auto"/>
          <w:sz w:val="18"/>
          <w:szCs w:val="18"/>
        </w:rPr>
        <w:t>.</w:t>
      </w:r>
      <w:r w:rsidRPr="00FF46E3">
        <w:rPr>
          <w:rFonts w:ascii="Verdana" w:hAnsi="Verdana"/>
          <w:color w:val="auto"/>
          <w:sz w:val="18"/>
          <w:szCs w:val="18"/>
        </w:rPr>
        <w:t xml:space="preserve"> Daarnaast bevat de </w:t>
      </w:r>
      <w:proofErr w:type="spellStart"/>
      <w:r w:rsidRPr="00FF46E3">
        <w:rPr>
          <w:rFonts w:ascii="Verdana" w:hAnsi="Verdana"/>
          <w:sz w:val="18"/>
          <w:szCs w:val="18"/>
        </w:rPr>
        <w:t>Cbw</w:t>
      </w:r>
      <w:proofErr w:type="spellEnd"/>
      <w:r w:rsidRPr="00FF46E3">
        <w:rPr>
          <w:rFonts w:ascii="Verdana" w:hAnsi="Verdana"/>
          <w:color w:val="auto"/>
          <w:sz w:val="18"/>
          <w:szCs w:val="18"/>
        </w:rPr>
        <w:t xml:space="preserve"> een specifieke wettelijke grondslag voor de verwerking van bijzondere </w:t>
      </w:r>
      <w:r w:rsidR="006A3EED">
        <w:rPr>
          <w:rFonts w:ascii="Verdana" w:hAnsi="Verdana"/>
          <w:color w:val="auto"/>
          <w:sz w:val="18"/>
          <w:szCs w:val="18"/>
        </w:rPr>
        <w:t xml:space="preserve">categorieën van </w:t>
      </w:r>
      <w:r w:rsidRPr="00FF46E3">
        <w:rPr>
          <w:rFonts w:ascii="Verdana" w:hAnsi="Verdana"/>
          <w:color w:val="auto"/>
          <w:sz w:val="18"/>
          <w:szCs w:val="18"/>
        </w:rPr>
        <w:t xml:space="preserve">persoonsgegevens door het CSIRT </w:t>
      </w:r>
      <w:r w:rsidR="00A7547E">
        <w:rPr>
          <w:rFonts w:ascii="Verdana" w:hAnsi="Verdana"/>
          <w:color w:val="auto"/>
          <w:sz w:val="18"/>
          <w:szCs w:val="18"/>
        </w:rPr>
        <w:t xml:space="preserve">en de bevoegde autoriteit </w:t>
      </w:r>
      <w:r w:rsidRPr="00FF46E3">
        <w:rPr>
          <w:rFonts w:ascii="Verdana" w:hAnsi="Verdana"/>
          <w:color w:val="auto"/>
          <w:sz w:val="18"/>
          <w:szCs w:val="18"/>
        </w:rPr>
        <w:t xml:space="preserve">(artikel </w:t>
      </w:r>
      <w:r w:rsidR="004744BD">
        <w:rPr>
          <w:rFonts w:ascii="Verdana" w:hAnsi="Verdana"/>
          <w:color w:val="auto"/>
          <w:sz w:val="18"/>
          <w:szCs w:val="18"/>
        </w:rPr>
        <w:t>64</w:t>
      </w:r>
      <w:r w:rsidRPr="00FF46E3" w:rsidR="004744BD">
        <w:rPr>
          <w:rFonts w:ascii="Verdana" w:hAnsi="Verdana"/>
          <w:color w:val="auto"/>
          <w:sz w:val="18"/>
          <w:szCs w:val="18"/>
        </w:rPr>
        <w:t xml:space="preserve"> </w:t>
      </w:r>
      <w:proofErr w:type="spellStart"/>
      <w:r w:rsidRPr="00FF46E3">
        <w:rPr>
          <w:rFonts w:ascii="Verdana" w:hAnsi="Verdana"/>
          <w:sz w:val="18"/>
          <w:szCs w:val="18"/>
        </w:rPr>
        <w:t>Cbw</w:t>
      </w:r>
      <w:proofErr w:type="spellEnd"/>
      <w:r w:rsidRPr="00FF46E3">
        <w:rPr>
          <w:rFonts w:ascii="Verdana" w:hAnsi="Verdana"/>
          <w:color w:val="auto"/>
          <w:sz w:val="18"/>
          <w:szCs w:val="18"/>
        </w:rPr>
        <w:t xml:space="preserve">). </w:t>
      </w:r>
      <w:r>
        <w:rPr>
          <w:rFonts w:ascii="Verdana" w:hAnsi="Verdana"/>
          <w:color w:val="auto"/>
          <w:sz w:val="18"/>
          <w:szCs w:val="18"/>
        </w:rPr>
        <w:t xml:space="preserve">Hiermee wordt dus voldaan aan de door artikel 10, eerste lid, Grondwet vereiste </w:t>
      </w:r>
      <w:proofErr w:type="spellStart"/>
      <w:r>
        <w:rPr>
          <w:rFonts w:ascii="Verdana" w:hAnsi="Verdana"/>
          <w:color w:val="auto"/>
          <w:sz w:val="18"/>
          <w:szCs w:val="18"/>
        </w:rPr>
        <w:t>formeelwettelijke</w:t>
      </w:r>
      <w:proofErr w:type="spellEnd"/>
      <w:r>
        <w:rPr>
          <w:rFonts w:ascii="Verdana" w:hAnsi="Verdana"/>
          <w:color w:val="auto"/>
          <w:sz w:val="18"/>
          <w:szCs w:val="18"/>
        </w:rPr>
        <w:t xml:space="preserve"> grondslag voor de hiervoor bedoelde beperking en de door artikel 8, tweede lid, EVRM vereiste van bij wet voorziene inmenging. </w:t>
      </w:r>
    </w:p>
    <w:p w:rsidRPr="00FF46E3" w:rsidR="00C72DA6" w:rsidP="00C72DA6" w:rsidRDefault="00C72DA6" w14:paraId="4D32C2FD" w14:textId="77777777">
      <w:pPr>
        <w:pStyle w:val="Default"/>
        <w:rPr>
          <w:rFonts w:ascii="Verdana" w:hAnsi="Verdana"/>
          <w:color w:val="auto"/>
          <w:sz w:val="18"/>
          <w:szCs w:val="18"/>
        </w:rPr>
      </w:pPr>
    </w:p>
    <w:p w:rsidRPr="00FF46E3" w:rsidR="00C72DA6" w:rsidP="00C3466E" w:rsidRDefault="00C72DA6" w14:paraId="2F6F4026" w14:textId="2F87885E">
      <w:pPr>
        <w:pStyle w:val="Kop3"/>
      </w:pPr>
      <w:bookmarkStart w:name="_Toc198721103" w:id="123"/>
      <w:r w:rsidRPr="00FF46E3">
        <w:t>6.</w:t>
      </w:r>
      <w:r w:rsidR="00413E1E">
        <w:t>3.3</w:t>
      </w:r>
      <w:r w:rsidRPr="00FF46E3">
        <w:t xml:space="preserve"> Beperking moet legitiem doel dienen en noodzakelijk zijn</w:t>
      </w:r>
      <w:bookmarkEnd w:id="123"/>
    </w:p>
    <w:p w:rsidRPr="00FF46E3" w:rsidR="00C72DA6" w:rsidP="00C72DA6" w:rsidRDefault="00C72DA6" w14:paraId="59FCBC48" w14:textId="77777777">
      <w:pPr>
        <w:pStyle w:val="Default"/>
        <w:rPr>
          <w:rFonts w:ascii="Verdana" w:hAnsi="Verdana"/>
          <w:color w:val="auto"/>
          <w:sz w:val="18"/>
          <w:szCs w:val="18"/>
        </w:rPr>
      </w:pPr>
    </w:p>
    <w:p w:rsidRPr="00FF46E3" w:rsidR="00C72DA6" w:rsidP="00C72DA6" w:rsidRDefault="00C72DA6" w14:paraId="4FD00520" w14:textId="77777777">
      <w:pPr>
        <w:pStyle w:val="Default"/>
        <w:rPr>
          <w:rFonts w:ascii="Verdana" w:hAnsi="Verdana"/>
          <w:color w:val="auto"/>
          <w:sz w:val="18"/>
          <w:szCs w:val="18"/>
        </w:rPr>
      </w:pPr>
      <w:r w:rsidRPr="00FF46E3">
        <w:rPr>
          <w:rFonts w:ascii="Verdana" w:hAnsi="Verdana"/>
          <w:color w:val="auto"/>
          <w:sz w:val="18"/>
          <w:szCs w:val="18"/>
        </w:rPr>
        <w:t xml:space="preserve">Artikel 8, tweede lid, EVRM bepaalt dat inmenging in het recht op respect voor het privéleven uitsluitend is toegestaan binnen de kaders van de expliciet en limitatief in dat lid opgesomde belangen: de nationale veiligheid, de openbare veiligheid of het economisch welzijn van het land, het voorkomen van wanordelijkheden en strafbare feiten, de bescherming van de gezondheid of de goede zeden of voor de bescherming van de rechten en vrijheden van anderen. </w:t>
      </w:r>
    </w:p>
    <w:p w:rsidRPr="00FF46E3" w:rsidR="00C72DA6" w:rsidP="00C72DA6" w:rsidRDefault="00C72DA6" w14:paraId="7A6176D6" w14:textId="77777777">
      <w:pPr>
        <w:pStyle w:val="Default"/>
        <w:rPr>
          <w:rFonts w:ascii="Verdana" w:hAnsi="Verdana"/>
          <w:color w:val="auto"/>
          <w:sz w:val="18"/>
          <w:szCs w:val="18"/>
        </w:rPr>
      </w:pPr>
    </w:p>
    <w:p w:rsidRPr="00FF46E3" w:rsidR="00C72DA6" w:rsidP="00C72DA6" w:rsidRDefault="00C72DA6" w14:paraId="0818E442" w14:textId="7D873B10">
      <w:pPr>
        <w:pStyle w:val="Default"/>
        <w:rPr>
          <w:rFonts w:ascii="Verdana" w:hAnsi="Verdana"/>
          <w:color w:val="auto"/>
          <w:sz w:val="18"/>
          <w:szCs w:val="18"/>
        </w:rPr>
      </w:pPr>
      <w:r w:rsidRPr="00FF46E3">
        <w:rPr>
          <w:rFonts w:ascii="Verdana" w:hAnsi="Verdana"/>
          <w:color w:val="auto"/>
          <w:sz w:val="18"/>
          <w:szCs w:val="18"/>
        </w:rPr>
        <w:t xml:space="preserve">De verwerking van persoonsgegevens door de Minister van Justitie en Veiligheid (als het centrale contactpunt en beheerder van het nationale register), het CSIRT en de bevoegde autoriteit dient ter uitvoering van hun taken uit de </w:t>
      </w:r>
      <w:proofErr w:type="spellStart"/>
      <w:r w:rsidRPr="00FF46E3">
        <w:rPr>
          <w:rFonts w:ascii="Verdana" w:hAnsi="Verdana"/>
          <w:sz w:val="18"/>
          <w:szCs w:val="18"/>
        </w:rPr>
        <w:t>Cbw</w:t>
      </w:r>
      <w:proofErr w:type="spellEnd"/>
      <w:r w:rsidRPr="00FF46E3">
        <w:rPr>
          <w:rFonts w:ascii="Verdana" w:hAnsi="Verdana"/>
          <w:color w:val="auto"/>
          <w:sz w:val="18"/>
          <w:szCs w:val="18"/>
        </w:rPr>
        <w:t>, die volgen uit de NIS2-richtlijn. Deze taken hebben primair tot doel om cyberrisico</w:t>
      </w:r>
      <w:r w:rsidR="00D91960">
        <w:rPr>
          <w:rFonts w:ascii="Verdana" w:hAnsi="Verdana"/>
          <w:color w:val="auto"/>
          <w:sz w:val="18"/>
          <w:szCs w:val="18"/>
        </w:rPr>
        <w:t>’</w:t>
      </w:r>
      <w:r w:rsidRPr="00FF46E3">
        <w:rPr>
          <w:rFonts w:ascii="Verdana" w:hAnsi="Verdana"/>
          <w:color w:val="auto"/>
          <w:sz w:val="18"/>
          <w:szCs w:val="18"/>
        </w:rPr>
        <w:t>s te beheersen, incidenten te voorkomen, gevolgen van incidenten te beperken en om informatie over incidenten, bijna-incidenten, cyberdreigingen en kwetsbaarheden te verkrijgen en te verstrekken</w:t>
      </w:r>
      <w:r w:rsidR="00A7547E">
        <w:rPr>
          <w:rFonts w:ascii="Verdana" w:hAnsi="Verdana"/>
          <w:color w:val="auto"/>
          <w:sz w:val="18"/>
          <w:szCs w:val="18"/>
        </w:rPr>
        <w:t xml:space="preserve"> en om op de naleving van het bepaalde bij of krachtens de </w:t>
      </w:r>
      <w:proofErr w:type="spellStart"/>
      <w:r w:rsidR="00A7547E">
        <w:rPr>
          <w:rFonts w:ascii="Verdana" w:hAnsi="Verdana"/>
          <w:color w:val="auto"/>
          <w:sz w:val="18"/>
          <w:szCs w:val="18"/>
        </w:rPr>
        <w:t>Cbw</w:t>
      </w:r>
      <w:proofErr w:type="spellEnd"/>
      <w:r w:rsidR="00A7547E">
        <w:rPr>
          <w:rFonts w:ascii="Verdana" w:hAnsi="Verdana"/>
          <w:color w:val="auto"/>
          <w:sz w:val="18"/>
          <w:szCs w:val="18"/>
        </w:rPr>
        <w:t xml:space="preserve"> toe te zien</w:t>
      </w:r>
      <w:r w:rsidRPr="00FF46E3">
        <w:rPr>
          <w:rFonts w:ascii="Verdana" w:hAnsi="Verdana"/>
          <w:color w:val="auto"/>
          <w:sz w:val="18"/>
          <w:szCs w:val="18"/>
        </w:rPr>
        <w:t xml:space="preserve">. Door persoonsgegevens te verwerken, kunnen ernstige verstoringen van essentiële diensten, met als gevolg ernstige maatschappelijke ontwrichting, worden voorkomen. Deze verwerkingen dienen dus onder meer de nationale veiligheid, de openbare veiligheid en het economisch welzijn van het land. Deze belangen zijn genoemd in artikel 8, tweede lid, EVRM. </w:t>
      </w:r>
    </w:p>
    <w:p w:rsidRPr="00FF46E3" w:rsidR="00C72DA6" w:rsidP="00C72DA6" w:rsidRDefault="00C72DA6" w14:paraId="3DF97CD6" w14:textId="77777777">
      <w:pPr>
        <w:pStyle w:val="Default"/>
        <w:rPr>
          <w:rFonts w:ascii="Verdana" w:hAnsi="Verdana"/>
          <w:color w:val="auto"/>
          <w:sz w:val="18"/>
          <w:szCs w:val="18"/>
        </w:rPr>
      </w:pPr>
    </w:p>
    <w:p w:rsidRPr="00FF46E3" w:rsidR="00C72DA6" w:rsidP="00C72DA6" w:rsidRDefault="00C72DA6" w14:paraId="2736F4D0" w14:textId="6FC63AA6">
      <w:pPr>
        <w:pStyle w:val="Geenafstand"/>
        <w:rPr>
          <w:rFonts w:ascii="Verdana" w:hAnsi="Verdana"/>
          <w:sz w:val="18"/>
          <w:szCs w:val="18"/>
        </w:rPr>
      </w:pPr>
      <w:r w:rsidRPr="00FF46E3">
        <w:rPr>
          <w:rFonts w:ascii="Verdana" w:hAnsi="Verdana"/>
          <w:sz w:val="18"/>
          <w:szCs w:val="18"/>
        </w:rPr>
        <w:t>De beperking dient bovendien noodzakelijk te zijn in een democratische samenleving. Het noodzaakcriterium wordt in de jurisprudentie van het Europees Hof voor de Rechten van de Mens (</w:t>
      </w:r>
      <w:r w:rsidR="006D5D19">
        <w:rPr>
          <w:rFonts w:ascii="Verdana" w:hAnsi="Verdana"/>
          <w:sz w:val="18"/>
          <w:szCs w:val="18"/>
        </w:rPr>
        <w:t xml:space="preserve">hierna: </w:t>
      </w:r>
      <w:r w:rsidRPr="00FF46E3">
        <w:rPr>
          <w:rFonts w:ascii="Verdana" w:hAnsi="Verdana"/>
          <w:sz w:val="18"/>
          <w:szCs w:val="18"/>
        </w:rPr>
        <w:t>EHRM) nader ingevuld met de vereisten van een dringende maatschappelijke behoefte</w:t>
      </w:r>
      <w:r>
        <w:rPr>
          <w:rFonts w:ascii="Verdana" w:hAnsi="Verdana"/>
          <w:sz w:val="18"/>
          <w:szCs w:val="18"/>
        </w:rPr>
        <w:t>,</w:t>
      </w:r>
      <w:r w:rsidRPr="00FF46E3">
        <w:rPr>
          <w:rFonts w:ascii="Verdana" w:hAnsi="Verdana"/>
          <w:sz w:val="18"/>
          <w:szCs w:val="18"/>
        </w:rPr>
        <w:t xml:space="preserve"> proportionaliteit en subsidiariteit. Deze vereisten worden in de hiernavolgende paragrafen nader behandeld. Staten moeten redenen aandragen die voldoende en relevant zijn en hebben daarbij een eigen beoordelingsruimte.</w:t>
      </w:r>
    </w:p>
    <w:p w:rsidRPr="00FF46E3" w:rsidR="00C72DA6" w:rsidP="00C72DA6" w:rsidRDefault="00C72DA6" w14:paraId="025A8597" w14:textId="77777777">
      <w:pPr>
        <w:pStyle w:val="Geenafstand"/>
        <w:rPr>
          <w:rFonts w:ascii="Verdana" w:hAnsi="Verdana"/>
          <w:sz w:val="18"/>
          <w:szCs w:val="18"/>
        </w:rPr>
      </w:pPr>
    </w:p>
    <w:p w:rsidRPr="00FF46E3" w:rsidR="00C72DA6" w:rsidP="00C72DA6" w:rsidRDefault="00C72DA6" w14:paraId="65C3A3E8" w14:textId="75DAD687">
      <w:pPr>
        <w:pStyle w:val="Kop4"/>
      </w:pPr>
      <w:bookmarkStart w:name="_Toc198721104" w:id="124"/>
      <w:r w:rsidRPr="00FF46E3">
        <w:t>6.</w:t>
      </w:r>
      <w:r w:rsidR="00413E1E">
        <w:t>3.3</w:t>
      </w:r>
      <w:r w:rsidRPr="00FF46E3">
        <w:t>.1 Dringende maatschappelijke behoefte</w:t>
      </w:r>
      <w:bookmarkEnd w:id="124"/>
    </w:p>
    <w:p w:rsidRPr="00FF46E3" w:rsidR="00C72DA6" w:rsidP="00C72DA6" w:rsidRDefault="00C72DA6" w14:paraId="1D73E203" w14:textId="77777777">
      <w:pPr>
        <w:pStyle w:val="Geenafstand"/>
        <w:rPr>
          <w:rFonts w:ascii="Verdana" w:hAnsi="Verdana"/>
          <w:sz w:val="18"/>
          <w:szCs w:val="18"/>
        </w:rPr>
      </w:pPr>
    </w:p>
    <w:p w:rsidRPr="00FF46E3" w:rsidR="00C72DA6" w:rsidP="00C72DA6" w:rsidRDefault="00C72DA6" w14:paraId="01B258B2" w14:textId="77777777">
      <w:pPr>
        <w:pStyle w:val="Geenafstand"/>
        <w:rPr>
          <w:rFonts w:ascii="Verdana" w:hAnsi="Verdana"/>
          <w:i/>
          <w:iCs/>
          <w:sz w:val="18"/>
          <w:szCs w:val="18"/>
        </w:rPr>
      </w:pPr>
      <w:r w:rsidRPr="00FF46E3">
        <w:rPr>
          <w:rFonts w:ascii="Verdana" w:hAnsi="Verdana"/>
          <w:i/>
          <w:iCs/>
          <w:sz w:val="18"/>
          <w:szCs w:val="18"/>
        </w:rPr>
        <w:t xml:space="preserve">Inleiding </w:t>
      </w:r>
    </w:p>
    <w:p w:rsidRPr="00FF46E3" w:rsidR="00C72DA6" w:rsidP="00C72DA6" w:rsidRDefault="00C72DA6" w14:paraId="320162B5" w14:textId="21A5C1B9">
      <w:pPr>
        <w:pStyle w:val="Geenafstand"/>
        <w:rPr>
          <w:rFonts w:ascii="Verdana" w:hAnsi="Verdana"/>
          <w:sz w:val="18"/>
          <w:szCs w:val="18"/>
        </w:rPr>
      </w:pPr>
      <w:r w:rsidRPr="00FF46E3">
        <w:rPr>
          <w:rFonts w:ascii="Verdana" w:hAnsi="Verdana"/>
          <w:sz w:val="18"/>
          <w:szCs w:val="18"/>
        </w:rPr>
        <w:t xml:space="preserve">De dringende maatschappelijke behoefte van de verwerking van persoonsgegevens door de Minister van Justitie en Veiligheid, het CSIRT en de bevoegde autoriteit is gelegen in de grote afhankelijkheid van de samenleving van </w:t>
      </w:r>
      <w:r w:rsidR="002961E3">
        <w:rPr>
          <w:rFonts w:ascii="Verdana" w:hAnsi="Verdana"/>
          <w:sz w:val="18"/>
          <w:szCs w:val="18"/>
        </w:rPr>
        <w:t>netwerk</w:t>
      </w:r>
      <w:r w:rsidR="00D91960">
        <w:rPr>
          <w:rFonts w:ascii="Verdana" w:hAnsi="Verdana"/>
          <w:sz w:val="18"/>
          <w:szCs w:val="18"/>
        </w:rPr>
        <w:t>–</w:t>
      </w:r>
      <w:r w:rsidRPr="00FF46E3">
        <w:rPr>
          <w:rFonts w:ascii="Verdana" w:hAnsi="Verdana"/>
          <w:sz w:val="18"/>
          <w:szCs w:val="18"/>
        </w:rPr>
        <w:t xml:space="preserve">en informatiesystemen, die bovendien onderling verweven zijn en niet ophouden bij de landsgrenzen. Deze systemen spelen een grote rol in de verlening van essentiële diensten. Het waarborgen van de continuïteit van die essentiële dienstverlening is van groot belang om maatschappelijke ontwrichting te voorkomen. Door het verwerken van persoonsgegevens, </w:t>
      </w:r>
      <w:r w:rsidRPr="00FF46E3">
        <w:rPr>
          <w:rFonts w:ascii="Verdana" w:hAnsi="Verdana"/>
          <w:sz w:val="18"/>
          <w:szCs w:val="18"/>
        </w:rPr>
        <w:lastRenderedPageBreak/>
        <w:t xml:space="preserve">waaronder de verwerking door het CSIRT die nodig is in het kader van cyberincidenten, kan grote maatschappelijke ontwrichting worden voorkomen. </w:t>
      </w:r>
    </w:p>
    <w:p w:rsidRPr="00FF46E3" w:rsidR="00C72DA6" w:rsidP="00C72DA6" w:rsidRDefault="00C72DA6" w14:paraId="7A347C84" w14:textId="77777777">
      <w:pPr>
        <w:pStyle w:val="Geenafstand"/>
        <w:rPr>
          <w:rFonts w:ascii="Verdana" w:hAnsi="Verdana"/>
          <w:sz w:val="18"/>
          <w:szCs w:val="18"/>
        </w:rPr>
      </w:pPr>
    </w:p>
    <w:p w:rsidRPr="00FF46E3" w:rsidR="00C72DA6" w:rsidP="00C72DA6" w:rsidRDefault="00C72DA6" w14:paraId="4A99BEBA" w14:textId="77777777">
      <w:pPr>
        <w:pStyle w:val="Geenafstand"/>
        <w:rPr>
          <w:rFonts w:ascii="Verdana" w:hAnsi="Verdana"/>
          <w:i/>
          <w:iCs/>
          <w:sz w:val="18"/>
          <w:szCs w:val="18"/>
        </w:rPr>
      </w:pPr>
      <w:r w:rsidRPr="00FF46E3">
        <w:rPr>
          <w:rFonts w:ascii="Verdana" w:hAnsi="Verdana"/>
          <w:i/>
          <w:iCs/>
          <w:sz w:val="18"/>
          <w:szCs w:val="18"/>
        </w:rPr>
        <w:t>Minister van Justitie en Veiligheid</w:t>
      </w:r>
    </w:p>
    <w:p w:rsidRPr="00FF46E3" w:rsidR="00C72DA6" w:rsidP="00C72DA6" w:rsidRDefault="00C72DA6" w14:paraId="0736B945" w14:textId="08F3F7FB">
      <w:pPr>
        <w:pStyle w:val="Geenafstand"/>
        <w:rPr>
          <w:rFonts w:ascii="Verdana" w:hAnsi="Verdana"/>
          <w:sz w:val="18"/>
          <w:szCs w:val="18"/>
        </w:rPr>
      </w:pPr>
      <w:r w:rsidRPr="00FF46E3">
        <w:rPr>
          <w:rFonts w:ascii="Verdana" w:hAnsi="Verdana"/>
          <w:sz w:val="18"/>
          <w:szCs w:val="18"/>
        </w:rPr>
        <w:t xml:space="preserve">Ter bevordering van de grensoverschrijdende samenwerking is het nodig dat iedere lidstaat een centraal contactpunt aanwijst dat verantwoordelijk is voor het leggen van verbindingen op het niveau van de EU, en meer in het bijzonder het informeren van andere lidstaten in geval van incidenten met grensoverschrijdende consequenties. In Nederland is de Minister van Justitie en Veiligheid aangewezen als het centrale contactpunt. Om de taken van het centrale contactpunt uit te kunnen voeren is het nodig dat het contactpunt persoonsgegevens verwerkt. Het kan hierbij gaan om informatie uit meldingen die worden doorgegeven aan andere lidstaten om hen in staat te stellen adequaat te reageren op grensoverschrijdende meldingen (denk bijvoorbeeld aan het IP-adres van een aanvaller) en het spiegelbeeld daarvan (informatie die het centrale contactpunt ontvangt van andere centrale contactpunten), maar ook om bijvoorbeeld contactgegevens van medewerkers van andere centrale contactpunten. </w:t>
      </w:r>
    </w:p>
    <w:p w:rsidRPr="00FF46E3" w:rsidR="00C72DA6" w:rsidP="00C72DA6" w:rsidRDefault="00C72DA6" w14:paraId="596E3B6B" w14:textId="77777777">
      <w:pPr>
        <w:pStyle w:val="Geenafstand"/>
        <w:rPr>
          <w:rFonts w:ascii="Verdana" w:hAnsi="Verdana"/>
          <w:sz w:val="18"/>
          <w:szCs w:val="18"/>
        </w:rPr>
      </w:pPr>
    </w:p>
    <w:p w:rsidRPr="00FF46E3" w:rsidR="00C72DA6" w:rsidP="00C72DA6" w:rsidRDefault="00C72DA6" w14:paraId="74EA7047" w14:textId="77777777">
      <w:pPr>
        <w:pStyle w:val="Geenafstand"/>
        <w:rPr>
          <w:rFonts w:ascii="Verdana" w:hAnsi="Verdana"/>
          <w:i/>
          <w:iCs/>
          <w:sz w:val="18"/>
          <w:szCs w:val="18"/>
        </w:rPr>
      </w:pPr>
      <w:r w:rsidRPr="00FF46E3">
        <w:rPr>
          <w:rFonts w:ascii="Verdana" w:hAnsi="Verdana"/>
          <w:i/>
          <w:iCs/>
          <w:sz w:val="18"/>
          <w:szCs w:val="18"/>
        </w:rPr>
        <w:t>CSIRT</w:t>
      </w:r>
    </w:p>
    <w:p w:rsidRPr="00FF46E3" w:rsidR="00C72DA6" w:rsidP="00C72DA6" w:rsidRDefault="00C72DA6" w14:paraId="60E25006" w14:textId="77777777">
      <w:pPr>
        <w:pStyle w:val="Geenafstand"/>
        <w:rPr>
          <w:rFonts w:ascii="Verdana" w:hAnsi="Verdana"/>
          <w:sz w:val="18"/>
          <w:szCs w:val="18"/>
        </w:rPr>
      </w:pPr>
      <w:r w:rsidRPr="00FF46E3">
        <w:rPr>
          <w:rFonts w:ascii="Verdana" w:hAnsi="Verdana"/>
          <w:sz w:val="18"/>
          <w:szCs w:val="18"/>
        </w:rPr>
        <w:t xml:space="preserve">Zoals ook uit de huidige praktijk van het NCSC blijkt, zullen IP-adressen door het CSIRT worden verwerkt om de aard en ernst van digitale dreigingen en incidenten te kunnen beoordelen en om entiteiten te kunnen waarschuwen en bijstaan. Enerzijds zal het CSIRT de gegevens die deel uitmaken van een incidentmelding onderzoeken om te achterhalen vanaf welke IP-adressen een digitale aanval wordt uitgevoerd. Die IP-adressen worden binnen de kaders van de </w:t>
      </w:r>
      <w:proofErr w:type="spellStart"/>
      <w:r w:rsidRPr="00FF46E3">
        <w:rPr>
          <w:rFonts w:ascii="Verdana" w:hAnsi="Verdana"/>
          <w:sz w:val="18"/>
          <w:szCs w:val="18"/>
        </w:rPr>
        <w:t>Cbw</w:t>
      </w:r>
      <w:proofErr w:type="spellEnd"/>
      <w:r w:rsidRPr="00FF46E3">
        <w:rPr>
          <w:rFonts w:ascii="Verdana" w:hAnsi="Verdana"/>
          <w:sz w:val="18"/>
          <w:szCs w:val="18"/>
        </w:rPr>
        <w:t xml:space="preserve"> verstrekt aan derden om hen in staat te stellen maatregelen te nemen tegen (mogelijke) aanvallen vanaf die adressen. Anderzijds zal het CSIRT onderzoeken of de bij het CSIRT bekende IP-adressen van entiteiten getroffen of kwetsbaar zijn en waarschuwt het CSIRT zo nodig de betrokken entiteiten. </w:t>
      </w:r>
    </w:p>
    <w:p w:rsidRPr="00FF46E3" w:rsidR="00C72DA6" w:rsidP="00C72DA6" w:rsidRDefault="00C72DA6" w14:paraId="6524D650" w14:textId="150CF53A">
      <w:pPr>
        <w:pStyle w:val="Geenafstand"/>
        <w:rPr>
          <w:rFonts w:ascii="Verdana" w:hAnsi="Verdana"/>
          <w:sz w:val="18"/>
          <w:szCs w:val="18"/>
        </w:rPr>
      </w:pPr>
      <w:r w:rsidRPr="00FF46E3">
        <w:rPr>
          <w:rFonts w:ascii="Verdana" w:hAnsi="Verdana"/>
          <w:sz w:val="18"/>
          <w:szCs w:val="18"/>
        </w:rPr>
        <w:t xml:space="preserve">E-mailadressen zullen door het CSIRT worden verwerkt om derden te kunnen waarschuwen. Zo kan het voorkomen dat een door het CSIRT ontvangen dataset e-mailadressen bevat die zijn buitgemaakt bij een ICT-inbreuk. Deze e-mailadressen kunnen voor malafide doeleinden gebruikt worden, zoals het versturen van spam, of kunnen – doordat zij betrokken zijn bij een ICT-inbreuk – een kwetsbaarheid vormen voor de organisatie waartoe zij behoren. Ook hierover kan het CSIRT relevante partijen binnen de kaders van de </w:t>
      </w:r>
      <w:proofErr w:type="spellStart"/>
      <w:r w:rsidRPr="00FF46E3">
        <w:rPr>
          <w:rFonts w:ascii="Verdana" w:hAnsi="Verdana"/>
          <w:sz w:val="18"/>
          <w:szCs w:val="18"/>
        </w:rPr>
        <w:t>Cbw</w:t>
      </w:r>
      <w:proofErr w:type="spellEnd"/>
      <w:r w:rsidRPr="00FF46E3">
        <w:rPr>
          <w:rFonts w:ascii="Verdana" w:hAnsi="Verdana"/>
          <w:sz w:val="18"/>
          <w:szCs w:val="18"/>
        </w:rPr>
        <w:t xml:space="preserve"> informeren, opdat deze partijen maatregelen kunnen nemen om de beschikbaarheid of betrouwbaarheid van hun netwerk- en informatiesystemen te waarborgen. Verder zal het CSIRT de e-mailadressen van melders en andere contactpersonen van onder meer aanbieders van producten en diensten verwerken. Deze informatie is noodzakelijk om gevolg te kunnen geven aan een melding, het waarschuwen van anderszins gebleken betrokkenen bij een ICT-inbreuk, of het informeren en adviseren over gebleken digitale dreigingen of kwetsbaarheden.</w:t>
      </w:r>
    </w:p>
    <w:p w:rsidRPr="00FF46E3" w:rsidR="00C72DA6" w:rsidP="00C72DA6" w:rsidRDefault="00C72DA6" w14:paraId="513E96A0" w14:textId="77777777">
      <w:pPr>
        <w:pStyle w:val="Geenafstand"/>
        <w:rPr>
          <w:rFonts w:ascii="Verdana" w:hAnsi="Verdana"/>
          <w:sz w:val="18"/>
          <w:szCs w:val="18"/>
        </w:rPr>
      </w:pPr>
      <w:r w:rsidRPr="00FF46E3">
        <w:rPr>
          <w:rFonts w:ascii="Verdana" w:hAnsi="Verdana"/>
          <w:sz w:val="18"/>
          <w:szCs w:val="18"/>
        </w:rPr>
        <w:t xml:space="preserve">Domeinnamen kunnen door het CSIRT worden verwerkt als het bij een melding informatie krijgt over kwetsbaarheden in websites. Om de digitale weerbaarheid van de Nederlandse samenleving te verhogen en nadelige maatschappelijke gevolgen te beperken of voorkomen is het van belang dat het CSIRT ook deze informatie kan analyseren en binnen de kaders van de </w:t>
      </w:r>
      <w:proofErr w:type="spellStart"/>
      <w:r w:rsidRPr="00FF46E3">
        <w:rPr>
          <w:rFonts w:ascii="Verdana" w:hAnsi="Verdana"/>
          <w:sz w:val="18"/>
          <w:szCs w:val="18"/>
        </w:rPr>
        <w:t>Cbw</w:t>
      </w:r>
      <w:proofErr w:type="spellEnd"/>
      <w:r w:rsidRPr="00FF46E3">
        <w:rPr>
          <w:rFonts w:ascii="Verdana" w:hAnsi="Verdana"/>
          <w:sz w:val="18"/>
          <w:szCs w:val="18"/>
        </w:rPr>
        <w:t xml:space="preserve"> kan delen met de juiste organisaties. </w:t>
      </w:r>
    </w:p>
    <w:p w:rsidRPr="00FF46E3" w:rsidR="00C72DA6" w:rsidP="00C72DA6" w:rsidRDefault="00C72DA6" w14:paraId="6925509D" w14:textId="77777777">
      <w:pPr>
        <w:pStyle w:val="Geenafstand"/>
        <w:rPr>
          <w:rFonts w:ascii="Verdana" w:hAnsi="Verdana"/>
          <w:sz w:val="18"/>
          <w:szCs w:val="18"/>
        </w:rPr>
      </w:pPr>
    </w:p>
    <w:p w:rsidRPr="00FF46E3" w:rsidR="00C72DA6" w:rsidP="00C72DA6" w:rsidRDefault="00C72DA6" w14:paraId="579284BB" w14:textId="77777777">
      <w:pPr>
        <w:pStyle w:val="Geenafstand"/>
        <w:rPr>
          <w:rFonts w:ascii="Verdana" w:hAnsi="Verdana"/>
          <w:i/>
          <w:iCs/>
          <w:sz w:val="18"/>
          <w:szCs w:val="18"/>
        </w:rPr>
      </w:pPr>
      <w:r w:rsidRPr="00FF46E3">
        <w:rPr>
          <w:rFonts w:ascii="Verdana" w:hAnsi="Verdana"/>
          <w:i/>
          <w:iCs/>
          <w:sz w:val="18"/>
          <w:szCs w:val="18"/>
        </w:rPr>
        <w:t>Bevoegde autoriteit</w:t>
      </w:r>
    </w:p>
    <w:p w:rsidRPr="00FF46E3" w:rsidR="00C72DA6" w:rsidP="00C72DA6" w:rsidRDefault="00C72DA6" w14:paraId="2AFAD0C7" w14:textId="579D14B0">
      <w:pPr>
        <w:pStyle w:val="Geenafstand"/>
        <w:rPr>
          <w:rFonts w:ascii="Verdana" w:hAnsi="Verdana"/>
          <w:sz w:val="18"/>
          <w:szCs w:val="18"/>
        </w:rPr>
      </w:pPr>
      <w:r w:rsidRPr="00FF46E3">
        <w:rPr>
          <w:rFonts w:ascii="Verdana" w:hAnsi="Verdana"/>
          <w:sz w:val="18"/>
          <w:szCs w:val="18"/>
        </w:rPr>
        <w:t xml:space="preserve">De verwerking van gegevens door de bevoegde autoriteit in het kader van de handhaving op de verplichtingen uit de </w:t>
      </w:r>
      <w:proofErr w:type="spellStart"/>
      <w:r w:rsidRPr="00FF46E3">
        <w:rPr>
          <w:rFonts w:ascii="Verdana" w:hAnsi="Verdana"/>
          <w:sz w:val="18"/>
          <w:szCs w:val="18"/>
        </w:rPr>
        <w:t>Cbw</w:t>
      </w:r>
      <w:proofErr w:type="spellEnd"/>
      <w:r w:rsidRPr="00FF46E3">
        <w:rPr>
          <w:rFonts w:ascii="Verdana" w:hAnsi="Verdana"/>
          <w:sz w:val="18"/>
          <w:szCs w:val="18"/>
        </w:rPr>
        <w:t xml:space="preserve"> is van belang om de hiervoor genoemde effectieve maatregelen te verzekeren. Om </w:t>
      </w:r>
      <w:r w:rsidR="002961E3">
        <w:rPr>
          <w:rFonts w:ascii="Verdana" w:hAnsi="Verdana"/>
          <w:sz w:val="18"/>
          <w:szCs w:val="18"/>
        </w:rPr>
        <w:t xml:space="preserve">toezicht te kunnen houden en </w:t>
      </w:r>
      <w:r w:rsidRPr="00FF46E3">
        <w:rPr>
          <w:rFonts w:ascii="Verdana" w:hAnsi="Verdana"/>
          <w:sz w:val="18"/>
          <w:szCs w:val="18"/>
        </w:rPr>
        <w:t xml:space="preserve">te kunnen handhaven, zal de bevoegde autoriteit persoonsgegevens moeten verwerken. Het gaat hierbij in hoofdzaak om contactgegevens van de contactpersonen voor de bevoegde autoriteit bij de entiteiten waarop toezicht wordt gehouden. </w:t>
      </w:r>
    </w:p>
    <w:p w:rsidRPr="00FF46E3" w:rsidR="00C72DA6" w:rsidP="00C72DA6" w:rsidRDefault="00C72DA6" w14:paraId="732829C6" w14:textId="77777777">
      <w:pPr>
        <w:pStyle w:val="Geenafstand"/>
        <w:rPr>
          <w:rFonts w:ascii="Verdana" w:hAnsi="Verdana"/>
          <w:sz w:val="18"/>
          <w:szCs w:val="18"/>
        </w:rPr>
      </w:pPr>
    </w:p>
    <w:p w:rsidRPr="00FF46E3" w:rsidR="00C72DA6" w:rsidP="00C72DA6" w:rsidRDefault="00C72DA6" w14:paraId="66D775B5" w14:textId="6F05AD45">
      <w:pPr>
        <w:pStyle w:val="Kop4"/>
      </w:pPr>
      <w:bookmarkStart w:name="_Toc198721105" w:id="125"/>
      <w:r w:rsidRPr="00FF46E3">
        <w:t>6.</w:t>
      </w:r>
      <w:r w:rsidR="00413E1E">
        <w:t>3.3</w:t>
      </w:r>
      <w:r w:rsidRPr="00FF46E3">
        <w:t>.2 Proportionaliteit</w:t>
      </w:r>
      <w:bookmarkEnd w:id="125"/>
    </w:p>
    <w:p w:rsidRPr="00FF46E3" w:rsidR="00C72DA6" w:rsidP="00C72DA6" w:rsidRDefault="00C72DA6" w14:paraId="72CB866E" w14:textId="77777777">
      <w:pPr>
        <w:pStyle w:val="Geenafstand"/>
        <w:rPr>
          <w:rFonts w:ascii="Verdana" w:hAnsi="Verdana"/>
          <w:sz w:val="18"/>
          <w:szCs w:val="18"/>
        </w:rPr>
      </w:pPr>
    </w:p>
    <w:p w:rsidRPr="00FF46E3" w:rsidR="00C72DA6" w:rsidP="00C72DA6" w:rsidRDefault="00C72DA6" w14:paraId="04F11676" w14:textId="77777777">
      <w:pPr>
        <w:pStyle w:val="Geenafstand"/>
        <w:rPr>
          <w:rFonts w:ascii="Verdana" w:hAnsi="Verdana"/>
          <w:i/>
          <w:iCs/>
          <w:sz w:val="18"/>
          <w:szCs w:val="18"/>
        </w:rPr>
      </w:pPr>
      <w:r w:rsidRPr="00FF46E3">
        <w:rPr>
          <w:rFonts w:ascii="Verdana" w:hAnsi="Verdana"/>
          <w:i/>
          <w:iCs/>
          <w:sz w:val="18"/>
          <w:szCs w:val="18"/>
        </w:rPr>
        <w:t xml:space="preserve">Minister van Justitie en Veiligheid </w:t>
      </w:r>
    </w:p>
    <w:p w:rsidRPr="00FF46E3" w:rsidR="00C72DA6" w:rsidP="00C72DA6" w:rsidRDefault="00C72DA6" w14:paraId="404EE09B" w14:textId="4E17BCEB">
      <w:pPr>
        <w:pStyle w:val="Geenafstand"/>
        <w:rPr>
          <w:rFonts w:ascii="Verdana" w:hAnsi="Verdana"/>
          <w:sz w:val="18"/>
          <w:szCs w:val="18"/>
        </w:rPr>
      </w:pPr>
      <w:bookmarkStart w:name="_Hlk151638593" w:id="126"/>
      <w:r w:rsidRPr="00FF46E3">
        <w:rPr>
          <w:rFonts w:ascii="Verdana" w:hAnsi="Verdana"/>
          <w:sz w:val="18"/>
          <w:szCs w:val="18"/>
        </w:rPr>
        <w:t xml:space="preserve">De Minister van Justitie en Veiligheid zal bij het uitoefenen van de taken van het centrale contactpunt en bij het beheer van het nationale register persoonsgegevens verwerken. Voor wat betreft de taken van het centrale contactpunt kan het gaan om het </w:t>
      </w:r>
      <w:r w:rsidRPr="00FF46E3">
        <w:rPr>
          <w:rFonts w:ascii="Verdana" w:hAnsi="Verdana"/>
          <w:i/>
          <w:iCs/>
          <w:sz w:val="18"/>
          <w:szCs w:val="18"/>
        </w:rPr>
        <w:t>ontvangen</w:t>
      </w:r>
      <w:r w:rsidRPr="00FF46E3">
        <w:rPr>
          <w:rFonts w:ascii="Verdana" w:hAnsi="Verdana"/>
          <w:sz w:val="18"/>
          <w:szCs w:val="18"/>
        </w:rPr>
        <w:t xml:space="preserve"> van persoonsgegevens. Bijvoorbeeld de persoonsgegevens die door het CSIRT zijn gestuurd aan het centrale contactpunt in het kader van een bij het CSIRT gedane melding van een significant incident. Een ander voorbeeld betreft de ontvangst </w:t>
      </w:r>
      <w:r w:rsidRPr="00FF46E3">
        <w:rPr>
          <w:rFonts w:ascii="Verdana" w:hAnsi="Verdana"/>
          <w:sz w:val="18"/>
          <w:szCs w:val="18"/>
        </w:rPr>
        <w:lastRenderedPageBreak/>
        <w:t xml:space="preserve">van gegevens, waaronder persoonsgegevens, van de centrale contactpunten van andere lidstaten, zoals de contactgegevens van de medewerkers van die contactpunten. Bij die ontvangen persoonsgegevens zal de Minister van Justitie en Veiligheid telkens bekijken of het, met het oog op de voor het centrale contactpunt in de </w:t>
      </w:r>
      <w:proofErr w:type="spellStart"/>
      <w:r w:rsidRPr="00FF46E3">
        <w:rPr>
          <w:rFonts w:ascii="Verdana" w:hAnsi="Verdana"/>
          <w:sz w:val="18"/>
          <w:szCs w:val="18"/>
        </w:rPr>
        <w:t>Cbw</w:t>
      </w:r>
      <w:proofErr w:type="spellEnd"/>
      <w:r w:rsidRPr="00FF46E3">
        <w:rPr>
          <w:rFonts w:ascii="Verdana" w:hAnsi="Verdana"/>
          <w:sz w:val="18"/>
          <w:szCs w:val="18"/>
        </w:rPr>
        <w:t xml:space="preserve"> opgenomen taken, nodig is die te bewaren, en zo ja, voor hoe lang. </w:t>
      </w:r>
      <w:bookmarkStart w:name="_Hlk178940203" w:id="127"/>
      <w:r>
        <w:rPr>
          <w:rFonts w:ascii="Verdana" w:hAnsi="Verdana"/>
          <w:sz w:val="18"/>
          <w:szCs w:val="18"/>
        </w:rPr>
        <w:t>Dit is in lijn met het vereiste van opslagbeperking, waar het EHRM aan toetst in zijn rechtspraak.</w:t>
      </w:r>
      <w:r>
        <w:rPr>
          <w:rStyle w:val="Voetnootmarkering"/>
          <w:rFonts w:ascii="Verdana" w:hAnsi="Verdana"/>
          <w:sz w:val="18"/>
          <w:szCs w:val="18"/>
        </w:rPr>
        <w:footnoteReference w:id="58"/>
      </w:r>
      <w:r>
        <w:rPr>
          <w:rFonts w:ascii="Verdana" w:hAnsi="Verdana"/>
          <w:sz w:val="18"/>
          <w:szCs w:val="18"/>
        </w:rPr>
        <w:t xml:space="preserve"> Dit is ook een vereiste op grond van </w:t>
      </w:r>
      <w:r w:rsidRPr="00FF46E3">
        <w:rPr>
          <w:rFonts w:ascii="Verdana" w:hAnsi="Verdana"/>
          <w:sz w:val="18"/>
          <w:szCs w:val="18"/>
        </w:rPr>
        <w:t xml:space="preserve">artikel 5, eerste lid, onderdeel e, </w:t>
      </w:r>
      <w:proofErr w:type="spellStart"/>
      <w:r w:rsidRPr="00FF46E3">
        <w:rPr>
          <w:rFonts w:ascii="Verdana" w:hAnsi="Verdana"/>
          <w:sz w:val="18"/>
          <w:szCs w:val="18"/>
        </w:rPr>
        <w:t>Avg</w:t>
      </w:r>
      <w:proofErr w:type="spellEnd"/>
      <w:r>
        <w:rPr>
          <w:rFonts w:ascii="Verdana" w:hAnsi="Verdana"/>
          <w:sz w:val="18"/>
          <w:szCs w:val="18"/>
        </w:rPr>
        <w:t>.</w:t>
      </w:r>
      <w:bookmarkEnd w:id="127"/>
    </w:p>
    <w:p w:rsidRPr="00FF46E3" w:rsidR="00C72DA6" w:rsidP="00C72DA6" w:rsidRDefault="00C72DA6" w14:paraId="2D0B7918" w14:textId="77777777">
      <w:pPr>
        <w:pStyle w:val="Geenafstand"/>
        <w:rPr>
          <w:rFonts w:ascii="Verdana" w:hAnsi="Verdana"/>
          <w:sz w:val="18"/>
          <w:szCs w:val="18"/>
        </w:rPr>
      </w:pPr>
      <w:r w:rsidRPr="00FF46E3">
        <w:rPr>
          <w:rFonts w:ascii="Verdana" w:hAnsi="Verdana"/>
          <w:sz w:val="18"/>
          <w:szCs w:val="18"/>
        </w:rPr>
        <w:t xml:space="preserve">Voor wat betreft de taken van het centrale contactpunt kan het ook gaan om het </w:t>
      </w:r>
      <w:r w:rsidRPr="00FF46E3">
        <w:rPr>
          <w:rFonts w:ascii="Verdana" w:hAnsi="Verdana"/>
          <w:i/>
          <w:iCs/>
          <w:sz w:val="18"/>
          <w:szCs w:val="18"/>
        </w:rPr>
        <w:t>verstrekken</w:t>
      </w:r>
      <w:r w:rsidRPr="00FF46E3">
        <w:rPr>
          <w:rFonts w:ascii="Verdana" w:hAnsi="Verdana"/>
          <w:sz w:val="18"/>
          <w:szCs w:val="18"/>
        </w:rPr>
        <w:t xml:space="preserve"> van persoonsgegevens. Hierbij valt te denken aan het verstrekken van die gegevens aan de centrale contactpunten van andere lidstaten. Meer concreet kan hierbij worden gedacht aan de IP-adressen die zijn betrokken bij een incident. De Minister van Justitie en Veiligheid zal telkens de afweging maken of het nodig is om persoonsgegevens mee te sturen. </w:t>
      </w:r>
      <w:bookmarkStart w:name="_Hlk178940380" w:id="128"/>
      <w:r>
        <w:rPr>
          <w:rFonts w:ascii="Verdana" w:hAnsi="Verdana"/>
          <w:sz w:val="18"/>
          <w:szCs w:val="18"/>
        </w:rPr>
        <w:t>Dit is in lijn met het vereiste van minimale gegevensverwerking, waar het EHRM aan toetst in zijn rechtspraak.</w:t>
      </w:r>
      <w:r>
        <w:rPr>
          <w:rStyle w:val="Voetnootmarkering"/>
          <w:rFonts w:ascii="Verdana" w:hAnsi="Verdana"/>
          <w:sz w:val="18"/>
          <w:szCs w:val="18"/>
        </w:rPr>
        <w:footnoteReference w:id="59"/>
      </w:r>
      <w:r>
        <w:rPr>
          <w:rFonts w:ascii="Verdana" w:hAnsi="Verdana"/>
          <w:sz w:val="18"/>
          <w:szCs w:val="18"/>
        </w:rPr>
        <w:t xml:space="preserve"> Het vereiste van minimale gegevensverwerking is </w:t>
      </w:r>
      <w:r w:rsidRPr="00431761">
        <w:rPr>
          <w:rFonts w:ascii="Verdana" w:hAnsi="Verdana"/>
          <w:sz w:val="18"/>
          <w:szCs w:val="18"/>
        </w:rPr>
        <w:t xml:space="preserve">ook een vereiste op grond van artikel 5, eerste lid, onderdeel c, </w:t>
      </w:r>
      <w:proofErr w:type="spellStart"/>
      <w:r w:rsidRPr="00431761">
        <w:rPr>
          <w:rFonts w:ascii="Verdana" w:hAnsi="Verdana"/>
          <w:sz w:val="18"/>
          <w:szCs w:val="18"/>
        </w:rPr>
        <w:t>Avg</w:t>
      </w:r>
      <w:proofErr w:type="spellEnd"/>
      <w:r>
        <w:rPr>
          <w:rFonts w:ascii="Verdana" w:hAnsi="Verdana"/>
          <w:sz w:val="18"/>
          <w:szCs w:val="18"/>
        </w:rPr>
        <w:t>.</w:t>
      </w:r>
      <w:bookmarkEnd w:id="128"/>
    </w:p>
    <w:bookmarkEnd w:id="126"/>
    <w:p w:rsidRPr="00FF46E3" w:rsidR="00C72DA6" w:rsidP="00C72DA6" w:rsidRDefault="00C72DA6" w14:paraId="2C315EF1" w14:textId="77777777">
      <w:pPr>
        <w:pStyle w:val="Geenafstand"/>
        <w:rPr>
          <w:rFonts w:ascii="Verdana" w:hAnsi="Verdana"/>
          <w:sz w:val="18"/>
          <w:szCs w:val="18"/>
        </w:rPr>
      </w:pPr>
      <w:r w:rsidRPr="00FF46E3">
        <w:rPr>
          <w:rFonts w:ascii="Verdana" w:hAnsi="Verdana"/>
          <w:sz w:val="18"/>
          <w:szCs w:val="18"/>
        </w:rPr>
        <w:t xml:space="preserve">Voor wat betreft het nationale register van entiteiten gaat het om een dwingende verplichting uit de NIS2-richtlijn voor lidstaten om een dergelijk register (in de richtlijn genoemd: een lijst van entiteiten) tot stand te laten komen, te beheren, te evalueren en indien nodig aan te passen. Het nationale register bevat naast de naam van de entiteit ook het adres en de actuele contactgegevens van de entiteit, met inbegrip van e-mailadressen, IP-bereiken en telefoonnummers. De Minister van Justitie en Veiligheid zal deze gegevens alleen verwerken ten behoeve van (de opname in) het nationale register. </w:t>
      </w:r>
      <w:bookmarkStart w:name="_Hlk178940136" w:id="129"/>
      <w:r>
        <w:rPr>
          <w:rFonts w:ascii="Verdana" w:hAnsi="Verdana"/>
          <w:sz w:val="18"/>
          <w:szCs w:val="18"/>
        </w:rPr>
        <w:t xml:space="preserve">Dit is in lijn met het </w:t>
      </w:r>
      <w:r w:rsidRPr="00FF46E3">
        <w:rPr>
          <w:rFonts w:ascii="Verdana" w:hAnsi="Verdana"/>
          <w:sz w:val="18"/>
          <w:szCs w:val="18"/>
        </w:rPr>
        <w:t>doelbindingsbeginsel</w:t>
      </w:r>
      <w:r>
        <w:rPr>
          <w:rFonts w:ascii="Verdana" w:hAnsi="Verdana"/>
          <w:sz w:val="18"/>
          <w:szCs w:val="18"/>
        </w:rPr>
        <w:t>, waar het EHRM aan toetst in zijn rechtspraak.</w:t>
      </w:r>
      <w:r>
        <w:rPr>
          <w:rStyle w:val="Voetnootmarkering"/>
          <w:rFonts w:ascii="Verdana" w:hAnsi="Verdana"/>
          <w:sz w:val="18"/>
          <w:szCs w:val="18"/>
        </w:rPr>
        <w:footnoteReference w:id="60"/>
      </w:r>
      <w:r>
        <w:rPr>
          <w:rFonts w:ascii="Verdana" w:hAnsi="Verdana"/>
          <w:sz w:val="18"/>
          <w:szCs w:val="18"/>
        </w:rPr>
        <w:t xml:space="preserve"> Doelbinding is ook een vereiste op grond van </w:t>
      </w:r>
      <w:r w:rsidRPr="00FF46E3">
        <w:rPr>
          <w:rFonts w:ascii="Verdana" w:hAnsi="Verdana"/>
          <w:sz w:val="18"/>
          <w:szCs w:val="18"/>
        </w:rPr>
        <w:t xml:space="preserve">artikel 5, eerste lid, onderdeel b, </w:t>
      </w:r>
      <w:proofErr w:type="spellStart"/>
      <w:r w:rsidRPr="00FF46E3">
        <w:rPr>
          <w:rFonts w:ascii="Verdana" w:hAnsi="Verdana"/>
          <w:sz w:val="18"/>
          <w:szCs w:val="18"/>
        </w:rPr>
        <w:t>Avg</w:t>
      </w:r>
      <w:proofErr w:type="spellEnd"/>
      <w:r>
        <w:rPr>
          <w:rFonts w:ascii="Verdana" w:hAnsi="Verdana"/>
          <w:sz w:val="18"/>
          <w:szCs w:val="18"/>
        </w:rPr>
        <w:t>.</w:t>
      </w:r>
      <w:bookmarkEnd w:id="129"/>
    </w:p>
    <w:p w:rsidRPr="00FF46E3" w:rsidR="00C72DA6" w:rsidP="00C72DA6" w:rsidRDefault="00C72DA6" w14:paraId="7D14197D" w14:textId="77777777">
      <w:pPr>
        <w:pStyle w:val="Geenafstand"/>
        <w:rPr>
          <w:rFonts w:ascii="Verdana" w:hAnsi="Verdana"/>
          <w:i/>
          <w:iCs/>
          <w:sz w:val="18"/>
          <w:szCs w:val="18"/>
        </w:rPr>
      </w:pPr>
    </w:p>
    <w:p w:rsidRPr="00FF46E3" w:rsidR="00C72DA6" w:rsidP="00C72DA6" w:rsidRDefault="00C72DA6" w14:paraId="0722DDBB" w14:textId="77777777">
      <w:pPr>
        <w:pStyle w:val="Geenafstand"/>
        <w:rPr>
          <w:rFonts w:ascii="Verdana" w:hAnsi="Verdana"/>
          <w:i/>
          <w:iCs/>
          <w:sz w:val="18"/>
          <w:szCs w:val="18"/>
        </w:rPr>
      </w:pPr>
      <w:r w:rsidRPr="00FF46E3">
        <w:rPr>
          <w:rFonts w:ascii="Verdana" w:hAnsi="Verdana"/>
          <w:i/>
          <w:iCs/>
          <w:sz w:val="18"/>
          <w:szCs w:val="18"/>
        </w:rPr>
        <w:t>CSIRT</w:t>
      </w:r>
    </w:p>
    <w:p w:rsidR="00173B13" w:rsidP="00C72DA6" w:rsidRDefault="00C72DA6" w14:paraId="00C878E1" w14:textId="06D29E62">
      <w:pPr>
        <w:pStyle w:val="Geenafstand"/>
        <w:rPr>
          <w:rFonts w:ascii="Verdana" w:hAnsi="Verdana"/>
          <w:sz w:val="18"/>
          <w:szCs w:val="18"/>
        </w:rPr>
      </w:pPr>
      <w:r w:rsidRPr="00FF46E3">
        <w:rPr>
          <w:rFonts w:ascii="Verdana" w:hAnsi="Verdana"/>
          <w:sz w:val="18"/>
          <w:szCs w:val="18"/>
        </w:rPr>
        <w:t xml:space="preserve">Het CSIRT zal naar verwachting persoonsgegevens verwerken. Deze verwachting is gebaseerd op de huidige praktijk van het NCSC. Gelet op de aard van die gegevens (bijvoorbeeld e-mailadressen en contactgegevens van melders), het doel waarvoor zij worden verwerkt en de overige waarborgen waarmee de verwerking van deze gegevens is omkleed, gaat het niet om een forse inmenging in het recht op respect voor iemands privéleven. Bovendien staat het CSIRT voor wat betreft de verwerking van persoonsgegevens onder intern toezicht van de functionaris gegevensbescherming en onder extern toezicht van de Autoriteit </w:t>
      </w:r>
      <w:r>
        <w:rPr>
          <w:rFonts w:ascii="Verdana" w:hAnsi="Verdana"/>
          <w:sz w:val="18"/>
          <w:szCs w:val="18"/>
        </w:rPr>
        <w:t>p</w:t>
      </w:r>
      <w:r w:rsidRPr="00FF46E3">
        <w:rPr>
          <w:rFonts w:ascii="Verdana" w:hAnsi="Verdana"/>
          <w:sz w:val="18"/>
          <w:szCs w:val="18"/>
        </w:rPr>
        <w:t>ersoonsgegevens</w:t>
      </w:r>
      <w:r w:rsidR="00173B13">
        <w:rPr>
          <w:rFonts w:ascii="Verdana" w:hAnsi="Verdana"/>
          <w:sz w:val="18"/>
          <w:szCs w:val="18"/>
        </w:rPr>
        <w:t xml:space="preserve"> (hierna: AP).</w:t>
      </w:r>
    </w:p>
    <w:p w:rsidR="00C72DA6" w:rsidP="00C72DA6" w:rsidRDefault="00C72DA6" w14:paraId="17F49DEF" w14:textId="77777777">
      <w:pPr>
        <w:pStyle w:val="Geenafstand"/>
        <w:rPr>
          <w:rFonts w:ascii="Verdana" w:hAnsi="Verdana"/>
          <w:sz w:val="18"/>
          <w:szCs w:val="18"/>
        </w:rPr>
      </w:pPr>
      <w:r w:rsidRPr="00FF46E3">
        <w:rPr>
          <w:rFonts w:ascii="Verdana" w:hAnsi="Verdana"/>
          <w:sz w:val="18"/>
          <w:szCs w:val="18"/>
        </w:rPr>
        <w:t xml:space="preserve">Het CSIRT verwerkt slechts gegevens voor zover dat noodzakelijk is voor het uitvoeren van de in de </w:t>
      </w:r>
      <w:proofErr w:type="spellStart"/>
      <w:r w:rsidRPr="00FF46E3">
        <w:rPr>
          <w:rFonts w:ascii="Verdana" w:hAnsi="Verdana"/>
          <w:sz w:val="18"/>
          <w:szCs w:val="18"/>
        </w:rPr>
        <w:t>Cbw</w:t>
      </w:r>
      <w:proofErr w:type="spellEnd"/>
      <w:r w:rsidRPr="00FF46E3">
        <w:rPr>
          <w:rFonts w:ascii="Verdana" w:hAnsi="Verdana"/>
          <w:sz w:val="18"/>
          <w:szCs w:val="18"/>
        </w:rPr>
        <w:t xml:space="preserve"> genoemde taken van het CSIRT. </w:t>
      </w:r>
      <w:r>
        <w:rPr>
          <w:rFonts w:ascii="Verdana" w:hAnsi="Verdana"/>
          <w:sz w:val="18"/>
          <w:szCs w:val="18"/>
        </w:rPr>
        <w:t xml:space="preserve">Dit is in lijn met het </w:t>
      </w:r>
      <w:r w:rsidRPr="00FF46E3">
        <w:rPr>
          <w:rFonts w:ascii="Verdana" w:hAnsi="Verdana"/>
          <w:sz w:val="18"/>
          <w:szCs w:val="18"/>
        </w:rPr>
        <w:t>doelbindingsbeginsel</w:t>
      </w:r>
      <w:r>
        <w:rPr>
          <w:rFonts w:ascii="Verdana" w:hAnsi="Verdana"/>
          <w:sz w:val="18"/>
          <w:szCs w:val="18"/>
        </w:rPr>
        <w:t>, waar het EHRM aan toetst in zijn rechtspraak.</w:t>
      </w:r>
      <w:r>
        <w:rPr>
          <w:rStyle w:val="Voetnootmarkering"/>
          <w:rFonts w:ascii="Verdana" w:hAnsi="Verdana"/>
          <w:sz w:val="18"/>
          <w:szCs w:val="18"/>
        </w:rPr>
        <w:footnoteReference w:id="61"/>
      </w:r>
      <w:r>
        <w:rPr>
          <w:rFonts w:ascii="Verdana" w:hAnsi="Verdana"/>
          <w:sz w:val="18"/>
          <w:szCs w:val="18"/>
        </w:rPr>
        <w:t xml:space="preserve"> Doelbinding is ook een vereiste op grond van </w:t>
      </w:r>
      <w:r w:rsidRPr="00FF46E3">
        <w:rPr>
          <w:rFonts w:ascii="Verdana" w:hAnsi="Verdana"/>
          <w:sz w:val="18"/>
          <w:szCs w:val="18"/>
        </w:rPr>
        <w:t xml:space="preserve">artikel 5, eerste lid, onderdeel b, </w:t>
      </w:r>
      <w:proofErr w:type="spellStart"/>
      <w:r w:rsidRPr="00FF46E3">
        <w:rPr>
          <w:rFonts w:ascii="Verdana" w:hAnsi="Verdana"/>
          <w:sz w:val="18"/>
          <w:szCs w:val="18"/>
        </w:rPr>
        <w:t>Avg</w:t>
      </w:r>
      <w:proofErr w:type="spellEnd"/>
      <w:r>
        <w:rPr>
          <w:rFonts w:ascii="Verdana" w:hAnsi="Verdana"/>
          <w:sz w:val="18"/>
          <w:szCs w:val="18"/>
        </w:rPr>
        <w:t>.</w:t>
      </w:r>
    </w:p>
    <w:p w:rsidRPr="00FF46E3" w:rsidR="00C72DA6" w:rsidP="00C72DA6" w:rsidRDefault="00C72DA6" w14:paraId="1E5BA3DB" w14:textId="72193C1E">
      <w:pPr>
        <w:pStyle w:val="Geenafstand"/>
        <w:rPr>
          <w:rFonts w:ascii="Verdana" w:hAnsi="Verdana"/>
          <w:sz w:val="18"/>
          <w:szCs w:val="18"/>
        </w:rPr>
      </w:pPr>
      <w:r w:rsidRPr="00FF46E3">
        <w:rPr>
          <w:rFonts w:ascii="Verdana" w:hAnsi="Verdana"/>
          <w:sz w:val="18"/>
          <w:szCs w:val="18"/>
        </w:rPr>
        <w:t xml:space="preserve">Het monitoren en analyseren van cyberdreigingen, kwetsbaarheden en incidenten (artikel </w:t>
      </w:r>
      <w:r>
        <w:rPr>
          <w:rFonts w:ascii="Verdana" w:hAnsi="Verdana"/>
          <w:sz w:val="18"/>
          <w:szCs w:val="18"/>
        </w:rPr>
        <w:t>16</w:t>
      </w:r>
      <w:r w:rsidRPr="00FF46E3">
        <w:rPr>
          <w:rFonts w:ascii="Verdana" w:hAnsi="Verdana"/>
          <w:sz w:val="18"/>
          <w:szCs w:val="18"/>
        </w:rPr>
        <w:t xml:space="preserve">, </w:t>
      </w:r>
      <w:r w:rsidR="00304FD1">
        <w:rPr>
          <w:rFonts w:ascii="Verdana" w:hAnsi="Verdana"/>
          <w:sz w:val="18"/>
          <w:szCs w:val="18"/>
        </w:rPr>
        <w:t>tweede</w:t>
      </w:r>
      <w:r w:rsidRPr="00FF46E3" w:rsidR="00304FD1">
        <w:rPr>
          <w:rFonts w:ascii="Verdana" w:hAnsi="Verdana"/>
          <w:sz w:val="18"/>
          <w:szCs w:val="18"/>
        </w:rPr>
        <w:t xml:space="preserve"> </w:t>
      </w:r>
      <w:r w:rsidRPr="00FF46E3">
        <w:rPr>
          <w:rFonts w:ascii="Verdana" w:hAnsi="Verdana"/>
          <w:sz w:val="18"/>
          <w:szCs w:val="18"/>
        </w:rPr>
        <w:t xml:space="preserve">lid, onderdeel a, </w:t>
      </w:r>
      <w:proofErr w:type="spellStart"/>
      <w:r w:rsidRPr="00FF46E3">
        <w:rPr>
          <w:rFonts w:ascii="Verdana" w:hAnsi="Verdana"/>
          <w:sz w:val="18"/>
          <w:szCs w:val="18"/>
        </w:rPr>
        <w:t>Cbw</w:t>
      </w:r>
      <w:proofErr w:type="spellEnd"/>
      <w:r w:rsidRPr="00FF46E3">
        <w:rPr>
          <w:rFonts w:ascii="Verdana" w:hAnsi="Verdana"/>
          <w:sz w:val="18"/>
          <w:szCs w:val="18"/>
        </w:rPr>
        <w:t xml:space="preserve">) behoren alleen tot de taken van het CSIRT als die werkzaamheden in dienst staan van de taken van het CSIRT om bijstand te verlenen aan betrokken entiteiten of om deze entiteiten te informeren en te adviseren. Het is dus geen taak van het CSIRT om onderzoek te doen naar personen of organisaties die verantwoordelijk zijn voor die dreigingen en incidenten met het oog op het verzamelen van bewijsmiddelen tegen individuen of organisaties. Dergelijk onderzoek is voorbehouden aan de inlichtingen- en veiligheidsdiensten, die daartoe beschikken over wettelijk geregelde bijzondere inlichtingenmiddelen, en aan de politie en het </w:t>
      </w:r>
      <w:r w:rsidR="00E110AE">
        <w:rPr>
          <w:rFonts w:ascii="Verdana" w:hAnsi="Verdana"/>
          <w:sz w:val="18"/>
          <w:szCs w:val="18"/>
        </w:rPr>
        <w:t>o</w:t>
      </w:r>
      <w:r w:rsidRPr="00FF46E3">
        <w:rPr>
          <w:rFonts w:ascii="Verdana" w:hAnsi="Verdana"/>
          <w:sz w:val="18"/>
          <w:szCs w:val="18"/>
        </w:rPr>
        <w:t xml:space="preserve">penbaar </w:t>
      </w:r>
      <w:r w:rsidR="00E110AE">
        <w:rPr>
          <w:rFonts w:ascii="Verdana" w:hAnsi="Verdana"/>
          <w:sz w:val="18"/>
          <w:szCs w:val="18"/>
        </w:rPr>
        <w:t>m</w:t>
      </w:r>
      <w:r w:rsidRPr="00FF46E3">
        <w:rPr>
          <w:rFonts w:ascii="Verdana" w:hAnsi="Verdana"/>
          <w:sz w:val="18"/>
          <w:szCs w:val="18"/>
        </w:rPr>
        <w:t>inisterie, die daartoe beschikken over opsporingsbevoegdheden.</w:t>
      </w:r>
    </w:p>
    <w:p w:rsidRPr="00FF46E3" w:rsidR="00C72DA6" w:rsidP="00C72DA6" w:rsidRDefault="00C72DA6" w14:paraId="678C7322" w14:textId="76977037">
      <w:pPr>
        <w:pStyle w:val="Geenafstand"/>
        <w:rPr>
          <w:rFonts w:ascii="Verdana" w:hAnsi="Verdana"/>
          <w:sz w:val="18"/>
          <w:szCs w:val="18"/>
        </w:rPr>
      </w:pPr>
      <w:r w:rsidRPr="00FF46E3">
        <w:rPr>
          <w:rFonts w:ascii="Verdana" w:hAnsi="Verdana"/>
          <w:sz w:val="18"/>
          <w:szCs w:val="18"/>
        </w:rPr>
        <w:t xml:space="preserve">Persoonsgegevens die het CSIRT verwerkt ten behoeve van </w:t>
      </w:r>
      <w:r w:rsidR="00691D26">
        <w:rPr>
          <w:rFonts w:ascii="Verdana" w:hAnsi="Verdana"/>
          <w:sz w:val="18"/>
          <w:szCs w:val="18"/>
        </w:rPr>
        <w:t>haar</w:t>
      </w:r>
      <w:r w:rsidRPr="00FF46E3" w:rsidR="00691D26">
        <w:rPr>
          <w:rFonts w:ascii="Verdana" w:hAnsi="Verdana"/>
          <w:sz w:val="18"/>
          <w:szCs w:val="18"/>
        </w:rPr>
        <w:t xml:space="preserve"> </w:t>
      </w:r>
      <w:r w:rsidRPr="00FF46E3">
        <w:rPr>
          <w:rFonts w:ascii="Verdana" w:hAnsi="Verdana"/>
          <w:sz w:val="18"/>
          <w:szCs w:val="18"/>
        </w:rPr>
        <w:t xml:space="preserve">taken worden bovendien niet langer door het CSIRT bewaard dan noodzakelijk. Zo worden contactgegevens van de melder van een significant incident, incident, bijna-incident of cyberdreiging na het afhandelen van de melding vernietigd en worden andere persoonsgegevens, die benodigd zijn voor de uitoefening van de taken van het CSIRT, na het afhandelen van een incident, bijna-incident of dreiging vernietigd. Dit is gebaseerd op hoeveel tijd het NCSC in de huidige praktijk nodig heeft om </w:t>
      </w:r>
      <w:r w:rsidR="00691D26">
        <w:rPr>
          <w:rFonts w:ascii="Verdana" w:hAnsi="Verdana"/>
          <w:sz w:val="18"/>
          <w:szCs w:val="18"/>
        </w:rPr>
        <w:t>haar</w:t>
      </w:r>
      <w:r w:rsidRPr="00FF46E3" w:rsidR="00691D26">
        <w:rPr>
          <w:rFonts w:ascii="Verdana" w:hAnsi="Verdana"/>
          <w:sz w:val="18"/>
          <w:szCs w:val="18"/>
        </w:rPr>
        <w:t xml:space="preserve"> </w:t>
      </w:r>
      <w:r w:rsidRPr="00FF46E3">
        <w:rPr>
          <w:rFonts w:ascii="Verdana" w:hAnsi="Verdana"/>
          <w:sz w:val="18"/>
          <w:szCs w:val="18"/>
        </w:rPr>
        <w:t xml:space="preserve">taken naar behoren te kunnen vervullen. Zo moet ook na enige tijd nog contact kunnen worden gezocht met de melder, bijvoorbeeld voor opvolging of om de melder te waarschuwen voor kwetsbaarheden die zijn systeem opnieuw in gevaar kunnen brengen. </w:t>
      </w:r>
      <w:bookmarkStart w:name="_Hlk178940354" w:id="130"/>
      <w:r>
        <w:rPr>
          <w:rFonts w:ascii="Verdana" w:hAnsi="Verdana"/>
          <w:sz w:val="18"/>
          <w:szCs w:val="18"/>
        </w:rPr>
        <w:t xml:space="preserve">Dit is in lijn met het vereiste van opslagbeperking, waar het </w:t>
      </w:r>
      <w:r>
        <w:rPr>
          <w:rFonts w:ascii="Verdana" w:hAnsi="Verdana"/>
          <w:sz w:val="18"/>
          <w:szCs w:val="18"/>
        </w:rPr>
        <w:lastRenderedPageBreak/>
        <w:t>EHRM aan toetst in zijn rechtspraak.</w:t>
      </w:r>
      <w:r>
        <w:rPr>
          <w:rStyle w:val="Voetnootmarkering"/>
          <w:rFonts w:ascii="Verdana" w:hAnsi="Verdana"/>
          <w:sz w:val="18"/>
          <w:szCs w:val="18"/>
        </w:rPr>
        <w:footnoteReference w:id="62"/>
      </w:r>
      <w:r>
        <w:rPr>
          <w:rFonts w:ascii="Verdana" w:hAnsi="Verdana"/>
          <w:sz w:val="18"/>
          <w:szCs w:val="18"/>
        </w:rPr>
        <w:t xml:space="preserve"> Dit is ook een vereiste op grond van </w:t>
      </w:r>
      <w:r w:rsidRPr="00FF46E3">
        <w:rPr>
          <w:rFonts w:ascii="Verdana" w:hAnsi="Verdana"/>
          <w:sz w:val="18"/>
          <w:szCs w:val="18"/>
        </w:rPr>
        <w:t xml:space="preserve">artikel 5, eerste lid, onderdeel e, </w:t>
      </w:r>
      <w:proofErr w:type="spellStart"/>
      <w:r w:rsidRPr="00FF46E3">
        <w:rPr>
          <w:rFonts w:ascii="Verdana" w:hAnsi="Verdana"/>
          <w:sz w:val="18"/>
          <w:szCs w:val="18"/>
        </w:rPr>
        <w:t>Avg</w:t>
      </w:r>
      <w:proofErr w:type="spellEnd"/>
      <w:r>
        <w:rPr>
          <w:rFonts w:ascii="Verdana" w:hAnsi="Verdana"/>
          <w:sz w:val="18"/>
          <w:szCs w:val="18"/>
        </w:rPr>
        <w:t xml:space="preserve">. </w:t>
      </w:r>
      <w:bookmarkEnd w:id="130"/>
    </w:p>
    <w:p w:rsidRPr="00FF46E3" w:rsidR="00C72DA6" w:rsidP="00C72DA6" w:rsidRDefault="00C72DA6" w14:paraId="6B74FC20" w14:textId="775EC9B2">
      <w:pPr>
        <w:pStyle w:val="Geenafstand"/>
        <w:rPr>
          <w:rFonts w:ascii="Verdana" w:hAnsi="Verdana"/>
          <w:sz w:val="18"/>
          <w:szCs w:val="18"/>
        </w:rPr>
      </w:pPr>
      <w:r w:rsidRPr="00FF46E3">
        <w:rPr>
          <w:rFonts w:ascii="Verdana" w:hAnsi="Verdana"/>
          <w:sz w:val="18"/>
          <w:szCs w:val="18"/>
        </w:rPr>
        <w:t>Andere persoonsgegevens kunnen van belang zijn als bijvoorbeeld blijkt dat een bepaald IP-adres opnieuw geraakt wordt of een digitale aanval steeds vanuit dezelfde hoek komt. Dit kan voor het CSIRT aanleiding zijn om te onderzoeken of de aanval ook relevant is voor andere recent getroffen IP-adressen. Ook kan uit nieuw onderzoek van een afgehandeld incident blijken dat relevante informatie, zoals een kwetsbaarheid van bepaalde IP-adressen of een bepaalde aanvalstechniek, over het hoofd is gezien. De bewaartermijnen zullen geregeld opnieuw worden beoordeeld en zullen dan zo mogelijk worden verkort en zo nodig worden verlengd. Overigens komen de huidige door het NCSC gehanteerde bewaartermijnen</w:t>
      </w:r>
      <w:r w:rsidR="00683DFE">
        <w:rPr>
          <w:rFonts w:ascii="Verdana" w:hAnsi="Verdana"/>
          <w:sz w:val="18"/>
          <w:szCs w:val="18"/>
        </w:rPr>
        <w:t xml:space="preserve"> </w:t>
      </w:r>
      <w:r w:rsidRPr="00FF46E3">
        <w:rPr>
          <w:rFonts w:ascii="Verdana" w:hAnsi="Verdana"/>
          <w:sz w:val="18"/>
          <w:szCs w:val="18"/>
        </w:rPr>
        <w:t xml:space="preserve">overeen met de internationaal door </w:t>
      </w:r>
      <w:proofErr w:type="spellStart"/>
      <w:r w:rsidRPr="00FF46E3">
        <w:rPr>
          <w:rFonts w:ascii="Verdana" w:hAnsi="Verdana"/>
          <w:sz w:val="18"/>
          <w:szCs w:val="18"/>
        </w:rPr>
        <w:t>CERT</w:t>
      </w:r>
      <w:r w:rsidR="00D91960">
        <w:rPr>
          <w:rFonts w:ascii="Verdana" w:hAnsi="Verdana"/>
          <w:sz w:val="18"/>
          <w:szCs w:val="18"/>
        </w:rPr>
        <w:t>’</w:t>
      </w:r>
      <w:r w:rsidRPr="00FF46E3">
        <w:rPr>
          <w:rFonts w:ascii="Verdana" w:hAnsi="Verdana"/>
          <w:sz w:val="18"/>
          <w:szCs w:val="18"/>
        </w:rPr>
        <w:t>s</w:t>
      </w:r>
      <w:proofErr w:type="spellEnd"/>
      <w:r w:rsidRPr="00FF46E3">
        <w:rPr>
          <w:rFonts w:ascii="Verdana" w:hAnsi="Verdana"/>
          <w:sz w:val="18"/>
          <w:szCs w:val="18"/>
        </w:rPr>
        <w:t xml:space="preserve"> gehanteerde termijnen.</w:t>
      </w:r>
    </w:p>
    <w:p w:rsidRPr="00FF46E3" w:rsidR="00C72DA6" w:rsidP="00C72DA6" w:rsidRDefault="00C72DA6" w14:paraId="01F95343" w14:textId="77777777">
      <w:pPr>
        <w:pStyle w:val="Geenafstand"/>
        <w:rPr>
          <w:rFonts w:ascii="Verdana" w:hAnsi="Verdana"/>
          <w:sz w:val="18"/>
          <w:szCs w:val="18"/>
        </w:rPr>
      </w:pPr>
    </w:p>
    <w:p w:rsidRPr="00FF46E3" w:rsidR="00C72DA6" w:rsidP="00C72DA6" w:rsidRDefault="00C72DA6" w14:paraId="54FBD9BA" w14:textId="77777777">
      <w:pPr>
        <w:pStyle w:val="Geenafstand"/>
        <w:rPr>
          <w:rFonts w:ascii="Verdana" w:hAnsi="Verdana"/>
          <w:i/>
          <w:iCs/>
          <w:sz w:val="18"/>
          <w:szCs w:val="18"/>
        </w:rPr>
      </w:pPr>
      <w:bookmarkStart w:name="_Hlk151024521" w:id="131"/>
      <w:r w:rsidRPr="00FF46E3">
        <w:rPr>
          <w:rFonts w:ascii="Verdana" w:hAnsi="Verdana"/>
          <w:i/>
          <w:iCs/>
          <w:sz w:val="18"/>
          <w:szCs w:val="18"/>
        </w:rPr>
        <w:t>Bevoegde autoriteit</w:t>
      </w:r>
    </w:p>
    <w:p w:rsidR="00C72DA6" w:rsidP="00C72DA6" w:rsidRDefault="00C72DA6" w14:paraId="5CDC8ABD" w14:textId="65480B12">
      <w:pPr>
        <w:pStyle w:val="Geenafstand"/>
        <w:rPr>
          <w:rFonts w:ascii="Verdana" w:hAnsi="Verdana"/>
          <w:sz w:val="18"/>
          <w:szCs w:val="18"/>
        </w:rPr>
      </w:pPr>
      <w:bookmarkStart w:name="_Hlk194394396" w:id="132"/>
      <w:r w:rsidRPr="00FF46E3">
        <w:rPr>
          <w:rFonts w:ascii="Verdana" w:hAnsi="Verdana"/>
          <w:sz w:val="18"/>
          <w:szCs w:val="18"/>
        </w:rPr>
        <w:t xml:space="preserve">De bevoegde autoriteit zal bij de uitoefening van haar taken uit de </w:t>
      </w:r>
      <w:proofErr w:type="spellStart"/>
      <w:r w:rsidRPr="00FF46E3">
        <w:rPr>
          <w:rFonts w:ascii="Verdana" w:hAnsi="Verdana"/>
          <w:sz w:val="18"/>
          <w:szCs w:val="18"/>
        </w:rPr>
        <w:t>Cbw</w:t>
      </w:r>
      <w:proofErr w:type="spellEnd"/>
      <w:r w:rsidRPr="00FF46E3">
        <w:rPr>
          <w:rFonts w:ascii="Verdana" w:hAnsi="Verdana"/>
          <w:sz w:val="18"/>
          <w:szCs w:val="18"/>
        </w:rPr>
        <w:t xml:space="preserve"> de beschikking krijgen over persoonsgegevens. Naar verwachting zal het daarbij in hoofdzaak gaan over de contactgegevens, zoals e-mailadressen, van medewerkers van essentiële entiteiten, belangrijke entiteiten en entiteiten die domeinnaamregistratiediensten verlenen, die onder het toezicht van de bevoegde autoriteit staan en aldaar significante incidenten moeten melden. De bevoegde autoriteit verwerkt deze persoonsgegevens alleen voor zover dit noodzakelijk is voor het uitoefenen van de in de </w:t>
      </w:r>
      <w:proofErr w:type="spellStart"/>
      <w:r w:rsidRPr="00FF46E3">
        <w:rPr>
          <w:rFonts w:ascii="Verdana" w:hAnsi="Verdana"/>
          <w:sz w:val="18"/>
          <w:szCs w:val="18"/>
        </w:rPr>
        <w:t>Cbw</w:t>
      </w:r>
      <w:proofErr w:type="spellEnd"/>
      <w:r w:rsidRPr="00FF46E3">
        <w:rPr>
          <w:rFonts w:ascii="Verdana" w:hAnsi="Verdana"/>
          <w:sz w:val="18"/>
          <w:szCs w:val="18"/>
        </w:rPr>
        <w:t xml:space="preserve"> genoemde taken. </w:t>
      </w:r>
      <w:r>
        <w:rPr>
          <w:rFonts w:ascii="Verdana" w:hAnsi="Verdana"/>
          <w:sz w:val="18"/>
          <w:szCs w:val="18"/>
        </w:rPr>
        <w:t xml:space="preserve">Ook de bevoegde autoriteit heeft zich te houden aan het </w:t>
      </w:r>
      <w:r w:rsidRPr="00FF46E3">
        <w:rPr>
          <w:rFonts w:ascii="Verdana" w:hAnsi="Verdana"/>
          <w:sz w:val="18"/>
          <w:szCs w:val="18"/>
        </w:rPr>
        <w:t>doelbindingsbeginsel</w:t>
      </w:r>
      <w:r>
        <w:rPr>
          <w:rFonts w:ascii="Verdana" w:hAnsi="Verdana"/>
          <w:sz w:val="18"/>
          <w:szCs w:val="18"/>
        </w:rPr>
        <w:t>, waar het EHRM aan toetst in zijn rechtspraak</w:t>
      </w:r>
      <w:r w:rsidR="005C08B7">
        <w:rPr>
          <w:rFonts w:ascii="Verdana" w:hAnsi="Verdana"/>
          <w:sz w:val="18"/>
          <w:szCs w:val="18"/>
        </w:rPr>
        <w:t>.</w:t>
      </w:r>
      <w:r>
        <w:rPr>
          <w:rStyle w:val="Voetnootmarkering"/>
          <w:rFonts w:ascii="Verdana" w:hAnsi="Verdana"/>
          <w:sz w:val="18"/>
          <w:szCs w:val="18"/>
        </w:rPr>
        <w:footnoteReference w:id="63"/>
      </w:r>
      <w:r>
        <w:rPr>
          <w:rFonts w:ascii="Verdana" w:hAnsi="Verdana"/>
          <w:sz w:val="18"/>
          <w:szCs w:val="18"/>
        </w:rPr>
        <w:t xml:space="preserve"> </w:t>
      </w:r>
      <w:r w:rsidR="005C08B7">
        <w:rPr>
          <w:rFonts w:ascii="Verdana" w:hAnsi="Verdana"/>
          <w:sz w:val="18"/>
          <w:szCs w:val="18"/>
        </w:rPr>
        <w:t xml:space="preserve">Doelbinding is ook </w:t>
      </w:r>
      <w:r>
        <w:rPr>
          <w:rFonts w:ascii="Verdana" w:hAnsi="Verdana"/>
          <w:sz w:val="18"/>
          <w:szCs w:val="18"/>
        </w:rPr>
        <w:t xml:space="preserve">een vereiste op grond van </w:t>
      </w:r>
      <w:r w:rsidRPr="00FF46E3">
        <w:rPr>
          <w:rFonts w:ascii="Verdana" w:hAnsi="Verdana"/>
          <w:sz w:val="18"/>
          <w:szCs w:val="18"/>
        </w:rPr>
        <w:t xml:space="preserve">artikel 5, eerste lid, onderdeel b, </w:t>
      </w:r>
      <w:proofErr w:type="spellStart"/>
      <w:r w:rsidRPr="00FF46E3">
        <w:rPr>
          <w:rFonts w:ascii="Verdana" w:hAnsi="Verdana"/>
          <w:sz w:val="18"/>
          <w:szCs w:val="18"/>
        </w:rPr>
        <w:t>Avg</w:t>
      </w:r>
      <w:proofErr w:type="spellEnd"/>
      <w:r>
        <w:rPr>
          <w:rFonts w:ascii="Verdana" w:hAnsi="Verdana"/>
          <w:sz w:val="18"/>
          <w:szCs w:val="18"/>
        </w:rPr>
        <w:t>.</w:t>
      </w:r>
    </w:p>
    <w:p w:rsidR="00C72DA6" w:rsidP="00C72DA6" w:rsidRDefault="00C72DA6" w14:paraId="13C36129" w14:textId="77777777">
      <w:pPr>
        <w:pStyle w:val="Default"/>
        <w:rPr>
          <w:rFonts w:ascii="Verdana" w:hAnsi="Verdana"/>
          <w:color w:val="auto"/>
          <w:sz w:val="18"/>
          <w:szCs w:val="18"/>
        </w:rPr>
      </w:pPr>
      <w:r w:rsidRPr="00FF46E3">
        <w:rPr>
          <w:rFonts w:ascii="Verdana" w:hAnsi="Verdana"/>
          <w:color w:val="auto"/>
          <w:sz w:val="18"/>
          <w:szCs w:val="18"/>
        </w:rPr>
        <w:t xml:space="preserve">De persoonsgegevens die de bevoegde autoriteit verwerkt ten behoeve van haar taken worden niet langer bewaard dan noodzakelijk. </w:t>
      </w:r>
      <w:r>
        <w:rPr>
          <w:rFonts w:ascii="Verdana" w:hAnsi="Verdana"/>
          <w:sz w:val="18"/>
          <w:szCs w:val="18"/>
        </w:rPr>
        <w:t>Dit is in lijn met het vereiste van opslagbeperking, waar het EHRM aan toetst in zijn rechtspraak.</w:t>
      </w:r>
      <w:r>
        <w:rPr>
          <w:rStyle w:val="Voetnootmarkering"/>
          <w:rFonts w:ascii="Verdana" w:hAnsi="Verdana"/>
          <w:sz w:val="18"/>
          <w:szCs w:val="18"/>
        </w:rPr>
        <w:footnoteReference w:id="64"/>
      </w:r>
      <w:r>
        <w:rPr>
          <w:rFonts w:ascii="Verdana" w:hAnsi="Verdana"/>
          <w:sz w:val="18"/>
          <w:szCs w:val="18"/>
        </w:rPr>
        <w:t xml:space="preserve"> Dit is ook een vereiste op grond van </w:t>
      </w:r>
      <w:r w:rsidRPr="00FF46E3">
        <w:rPr>
          <w:rFonts w:ascii="Verdana" w:hAnsi="Verdana"/>
          <w:sz w:val="18"/>
          <w:szCs w:val="18"/>
        </w:rPr>
        <w:t xml:space="preserve">artikel 5, eerste lid, onderdeel e, </w:t>
      </w:r>
      <w:proofErr w:type="spellStart"/>
      <w:r w:rsidRPr="00FF46E3">
        <w:rPr>
          <w:rFonts w:ascii="Verdana" w:hAnsi="Verdana"/>
          <w:sz w:val="18"/>
          <w:szCs w:val="18"/>
        </w:rPr>
        <w:t>Avg</w:t>
      </w:r>
      <w:proofErr w:type="spellEnd"/>
      <w:r>
        <w:rPr>
          <w:rFonts w:ascii="Verdana" w:hAnsi="Verdana"/>
          <w:sz w:val="18"/>
          <w:szCs w:val="18"/>
        </w:rPr>
        <w:t>.</w:t>
      </w:r>
    </w:p>
    <w:p w:rsidRPr="00FF46E3" w:rsidR="00C72DA6" w:rsidP="00C72DA6" w:rsidRDefault="005C08B7" w14:paraId="497315F8" w14:textId="2AFC259C">
      <w:pPr>
        <w:pStyle w:val="Default"/>
        <w:rPr>
          <w:rFonts w:ascii="Verdana" w:hAnsi="Verdana"/>
          <w:color w:val="auto"/>
          <w:sz w:val="18"/>
          <w:szCs w:val="18"/>
        </w:rPr>
      </w:pPr>
      <w:r>
        <w:rPr>
          <w:rFonts w:ascii="Verdana" w:hAnsi="Verdana"/>
          <w:color w:val="auto"/>
          <w:sz w:val="18"/>
          <w:szCs w:val="18"/>
        </w:rPr>
        <w:t>D</w:t>
      </w:r>
      <w:r w:rsidRPr="00FF46E3" w:rsidR="00C72DA6">
        <w:rPr>
          <w:rFonts w:ascii="Verdana" w:hAnsi="Verdana"/>
          <w:color w:val="auto"/>
          <w:sz w:val="18"/>
          <w:szCs w:val="18"/>
        </w:rPr>
        <w:t>e bevoegde autoriteit staat voor wat betreft de verwerking van persoonsgegevens onder toezicht van de</w:t>
      </w:r>
      <w:r w:rsidR="00173B13">
        <w:rPr>
          <w:rFonts w:ascii="Verdana" w:hAnsi="Verdana"/>
          <w:color w:val="auto"/>
          <w:sz w:val="18"/>
          <w:szCs w:val="18"/>
        </w:rPr>
        <w:t xml:space="preserve"> AP</w:t>
      </w:r>
      <w:r w:rsidRPr="00FF46E3" w:rsidR="00C72DA6">
        <w:rPr>
          <w:rFonts w:ascii="Verdana" w:hAnsi="Verdana"/>
          <w:color w:val="auto"/>
          <w:sz w:val="18"/>
          <w:szCs w:val="18"/>
        </w:rPr>
        <w:t xml:space="preserve">. </w:t>
      </w:r>
    </w:p>
    <w:bookmarkEnd w:id="131"/>
    <w:bookmarkEnd w:id="132"/>
    <w:p w:rsidRPr="00FF46E3" w:rsidR="00C72DA6" w:rsidP="00C72DA6" w:rsidRDefault="00C72DA6" w14:paraId="5F1EAE26" w14:textId="77777777">
      <w:pPr>
        <w:pStyle w:val="Geenafstand"/>
        <w:rPr>
          <w:rFonts w:ascii="Verdana" w:hAnsi="Verdana"/>
          <w:sz w:val="18"/>
          <w:szCs w:val="18"/>
        </w:rPr>
      </w:pPr>
      <w:r w:rsidRPr="00FF46E3">
        <w:rPr>
          <w:rFonts w:ascii="Verdana" w:hAnsi="Verdana"/>
          <w:sz w:val="18"/>
          <w:szCs w:val="18"/>
        </w:rPr>
        <w:t xml:space="preserve"> </w:t>
      </w:r>
    </w:p>
    <w:p w:rsidRPr="00FF46E3" w:rsidR="00C72DA6" w:rsidP="00C72DA6" w:rsidRDefault="00C72DA6" w14:paraId="370BC697" w14:textId="263B89DF">
      <w:pPr>
        <w:pStyle w:val="Kop4"/>
      </w:pPr>
      <w:bookmarkStart w:name="_Toc198721106" w:id="133"/>
      <w:r w:rsidRPr="00FF46E3">
        <w:t>6.</w:t>
      </w:r>
      <w:r w:rsidR="00413E1E">
        <w:t>3.3</w:t>
      </w:r>
      <w:r w:rsidRPr="00FF46E3">
        <w:t>.3 Subsidiariteit</w:t>
      </w:r>
      <w:bookmarkEnd w:id="133"/>
    </w:p>
    <w:p w:rsidRPr="00FF46E3" w:rsidR="00C72DA6" w:rsidP="00C72DA6" w:rsidRDefault="00C72DA6" w14:paraId="59CE6014" w14:textId="77777777">
      <w:pPr>
        <w:pStyle w:val="Geenafstand"/>
        <w:rPr>
          <w:rFonts w:ascii="Verdana" w:hAnsi="Verdana"/>
          <w:sz w:val="18"/>
          <w:szCs w:val="18"/>
        </w:rPr>
      </w:pPr>
    </w:p>
    <w:p w:rsidRPr="00FF46E3" w:rsidR="00C72DA6" w:rsidP="00C72DA6" w:rsidRDefault="00C72DA6" w14:paraId="5D48B535" w14:textId="77777777">
      <w:pPr>
        <w:pStyle w:val="Geenafstand"/>
        <w:rPr>
          <w:rFonts w:ascii="Verdana" w:hAnsi="Verdana"/>
          <w:i/>
          <w:iCs/>
          <w:sz w:val="18"/>
          <w:szCs w:val="18"/>
        </w:rPr>
      </w:pPr>
      <w:r w:rsidRPr="00FF46E3">
        <w:rPr>
          <w:rFonts w:ascii="Verdana" w:hAnsi="Verdana"/>
          <w:i/>
          <w:iCs/>
          <w:sz w:val="18"/>
          <w:szCs w:val="18"/>
        </w:rPr>
        <w:t xml:space="preserve">Minister van Justitie en Veiligheid </w:t>
      </w:r>
    </w:p>
    <w:p w:rsidRPr="00FF46E3" w:rsidR="00C72DA6" w:rsidP="00C72DA6" w:rsidRDefault="00C72DA6" w14:paraId="495C9935" w14:textId="77777777">
      <w:pPr>
        <w:pStyle w:val="Geenafstand"/>
        <w:rPr>
          <w:rFonts w:ascii="Verdana" w:hAnsi="Verdana"/>
          <w:sz w:val="18"/>
          <w:szCs w:val="18"/>
        </w:rPr>
      </w:pPr>
      <w:r w:rsidRPr="00FF46E3">
        <w:rPr>
          <w:rFonts w:ascii="Verdana" w:hAnsi="Verdana"/>
          <w:sz w:val="18"/>
          <w:szCs w:val="18"/>
        </w:rPr>
        <w:t xml:space="preserve">De Minister van Justitie en Veiligheid kan de taken van het centrale contactpunt niet uitvoeren zonder de verwerking van de persoonsgegevens die nodig zijn om contact te leggen met de centrale contactpunten van andere lidstaten. Dit geldt ook voor het doorsturen van meldingen van incidenten, inclusief de daarvan deel uitmakende persoonsgegevens, aan de centrale contactpunten van andere getroffen lidstaten. Dit is gebleken in de huidige praktijk van het centrale contactpunt onder de </w:t>
      </w:r>
      <w:proofErr w:type="spellStart"/>
      <w:r w:rsidRPr="00FF46E3">
        <w:rPr>
          <w:rFonts w:ascii="Verdana" w:hAnsi="Verdana"/>
          <w:sz w:val="18"/>
          <w:szCs w:val="18"/>
        </w:rPr>
        <w:t>Wbni</w:t>
      </w:r>
      <w:proofErr w:type="spellEnd"/>
      <w:r w:rsidRPr="00FF46E3">
        <w:rPr>
          <w:rFonts w:ascii="Verdana" w:hAnsi="Verdana"/>
          <w:sz w:val="18"/>
          <w:szCs w:val="18"/>
        </w:rPr>
        <w:t xml:space="preserve">. </w:t>
      </w:r>
    </w:p>
    <w:p w:rsidRPr="00FF46E3" w:rsidR="00C72DA6" w:rsidP="00C72DA6" w:rsidRDefault="00C72DA6" w14:paraId="006E4FC3" w14:textId="77777777">
      <w:pPr>
        <w:pStyle w:val="Geenafstand"/>
        <w:rPr>
          <w:rFonts w:ascii="Verdana" w:hAnsi="Verdana"/>
          <w:sz w:val="18"/>
          <w:szCs w:val="18"/>
        </w:rPr>
      </w:pPr>
      <w:r w:rsidRPr="00FF46E3">
        <w:rPr>
          <w:rFonts w:ascii="Verdana" w:hAnsi="Verdana"/>
          <w:sz w:val="18"/>
          <w:szCs w:val="18"/>
        </w:rPr>
        <w:t>Voor wat betreft het nationale register van entiteiten gaat het om een dwingende verplichting uit artikel 3, derde en vierde lid, NIS2-richtlijn voor lidstaten om een dergelijk register (in de richtlijn genoemd: een lijst van entiteiten) tot stand te laten komen, te beheren, te evalueren en indien nodig aan te passen. Uit artikel 3, vierde lid, NIS2-richtlijn volgt uit welke gegevens het nationale register in elk geval moet bestaan. Het nationale register moet naast de naam van de entiteit ook het adres en de actuele contactgegevens van de entiteit bevatten, met inbegrip van e-mailadressen, IP-bereiken en telefoonnummers.</w:t>
      </w:r>
    </w:p>
    <w:p w:rsidRPr="00FF46E3" w:rsidR="00C72DA6" w:rsidP="00C72DA6" w:rsidRDefault="00C72DA6" w14:paraId="22F6A696" w14:textId="77777777">
      <w:pPr>
        <w:pStyle w:val="Geenafstand"/>
        <w:rPr>
          <w:rFonts w:ascii="Verdana" w:hAnsi="Verdana"/>
          <w:i/>
          <w:iCs/>
          <w:sz w:val="18"/>
          <w:szCs w:val="18"/>
        </w:rPr>
      </w:pPr>
    </w:p>
    <w:p w:rsidRPr="00FF46E3" w:rsidR="00C72DA6" w:rsidP="00C72DA6" w:rsidRDefault="00C72DA6" w14:paraId="6B618B8D" w14:textId="77777777">
      <w:pPr>
        <w:pStyle w:val="Geenafstand"/>
        <w:rPr>
          <w:rFonts w:ascii="Verdana" w:hAnsi="Verdana"/>
          <w:i/>
          <w:iCs/>
          <w:sz w:val="18"/>
          <w:szCs w:val="18"/>
        </w:rPr>
      </w:pPr>
      <w:r w:rsidRPr="00FF46E3">
        <w:rPr>
          <w:rFonts w:ascii="Verdana" w:hAnsi="Verdana"/>
          <w:i/>
          <w:iCs/>
          <w:sz w:val="18"/>
          <w:szCs w:val="18"/>
        </w:rPr>
        <w:t>CSIRT</w:t>
      </w:r>
    </w:p>
    <w:p w:rsidRPr="00FF46E3" w:rsidR="00C72DA6" w:rsidP="00C72DA6" w:rsidRDefault="00C72DA6" w14:paraId="18339B5F" w14:textId="54015B2C">
      <w:pPr>
        <w:pStyle w:val="Geenafstand"/>
        <w:rPr>
          <w:rFonts w:ascii="Verdana" w:hAnsi="Verdana"/>
          <w:sz w:val="18"/>
          <w:szCs w:val="18"/>
        </w:rPr>
      </w:pPr>
      <w:r w:rsidRPr="00FF46E3">
        <w:rPr>
          <w:rFonts w:ascii="Verdana" w:hAnsi="Verdana"/>
          <w:sz w:val="18"/>
          <w:szCs w:val="18"/>
        </w:rPr>
        <w:t xml:space="preserve">Het is de verwachting dat de verwerking van persoonsgegevens door andere </w:t>
      </w:r>
      <w:proofErr w:type="spellStart"/>
      <w:r w:rsidRPr="00FF46E3">
        <w:rPr>
          <w:rFonts w:ascii="Verdana" w:hAnsi="Verdana"/>
          <w:sz w:val="18"/>
          <w:szCs w:val="18"/>
        </w:rPr>
        <w:t>CSIRT</w:t>
      </w:r>
      <w:r w:rsidR="00D91960">
        <w:rPr>
          <w:rFonts w:ascii="Verdana" w:hAnsi="Verdana"/>
          <w:sz w:val="18"/>
          <w:szCs w:val="18"/>
        </w:rPr>
        <w:t>’</w:t>
      </w:r>
      <w:r w:rsidRPr="00FF46E3">
        <w:rPr>
          <w:rFonts w:ascii="Verdana" w:hAnsi="Verdana"/>
          <w:sz w:val="18"/>
          <w:szCs w:val="18"/>
        </w:rPr>
        <w:t>s</w:t>
      </w:r>
      <w:proofErr w:type="spellEnd"/>
      <w:r w:rsidRPr="00FF46E3">
        <w:rPr>
          <w:rFonts w:ascii="Verdana" w:hAnsi="Verdana"/>
          <w:sz w:val="18"/>
          <w:szCs w:val="18"/>
        </w:rPr>
        <w:t xml:space="preserve"> dan het NCSC in belangrijke mate vergelijkbaar zal zijn met de huidige verwerkingen van persoonsgegevens door het NCSC. Zoals ook uit de huidige praktijk van het NCSC is gebleken, kan het CSIRT </w:t>
      </w:r>
      <w:r w:rsidR="00691D26">
        <w:rPr>
          <w:rFonts w:ascii="Verdana" w:hAnsi="Verdana"/>
          <w:sz w:val="18"/>
          <w:szCs w:val="18"/>
        </w:rPr>
        <w:t>haar</w:t>
      </w:r>
      <w:r w:rsidRPr="00FF46E3" w:rsidR="00691D26">
        <w:rPr>
          <w:rFonts w:ascii="Verdana" w:hAnsi="Verdana"/>
          <w:sz w:val="18"/>
          <w:szCs w:val="18"/>
        </w:rPr>
        <w:t xml:space="preserve"> </w:t>
      </w:r>
      <w:r w:rsidRPr="00FF46E3">
        <w:rPr>
          <w:rFonts w:ascii="Verdana" w:hAnsi="Verdana"/>
          <w:sz w:val="18"/>
          <w:szCs w:val="18"/>
        </w:rPr>
        <w:t xml:space="preserve">taken </w:t>
      </w:r>
      <w:r w:rsidR="004050AB">
        <w:rPr>
          <w:rFonts w:ascii="Verdana" w:hAnsi="Verdana"/>
          <w:sz w:val="18"/>
          <w:szCs w:val="18"/>
        </w:rPr>
        <w:t>alleen</w:t>
      </w:r>
      <w:r w:rsidRPr="00FF46E3" w:rsidR="004050AB">
        <w:rPr>
          <w:rFonts w:ascii="Verdana" w:hAnsi="Verdana"/>
          <w:sz w:val="18"/>
          <w:szCs w:val="18"/>
        </w:rPr>
        <w:t xml:space="preserve"> </w:t>
      </w:r>
      <w:r w:rsidRPr="00FF46E3">
        <w:rPr>
          <w:rFonts w:ascii="Verdana" w:hAnsi="Verdana"/>
          <w:sz w:val="18"/>
          <w:szCs w:val="18"/>
        </w:rPr>
        <w:t>uitoefenen wanneer het beschik</w:t>
      </w:r>
      <w:r w:rsidR="004050AB">
        <w:rPr>
          <w:rFonts w:ascii="Verdana" w:hAnsi="Verdana"/>
          <w:sz w:val="18"/>
          <w:szCs w:val="18"/>
        </w:rPr>
        <w:t>t</w:t>
      </w:r>
      <w:r w:rsidRPr="00FF46E3">
        <w:rPr>
          <w:rFonts w:ascii="Verdana" w:hAnsi="Verdana"/>
          <w:sz w:val="18"/>
          <w:szCs w:val="18"/>
        </w:rPr>
        <w:t xml:space="preserve"> over de persoonsgegevens die deel uitmaken van datasets die het CSIRT verkrijgt bij de melding van een incident. Het CSIRT kan niet op een andere wijze de informatie verkrijgen die noodzakelijk is voor het uitoefenen van </w:t>
      </w:r>
      <w:r w:rsidR="00691D26">
        <w:rPr>
          <w:rFonts w:ascii="Verdana" w:hAnsi="Verdana"/>
          <w:sz w:val="18"/>
          <w:szCs w:val="18"/>
        </w:rPr>
        <w:t>haar</w:t>
      </w:r>
      <w:r w:rsidRPr="00FF46E3" w:rsidR="00691D26">
        <w:rPr>
          <w:rFonts w:ascii="Verdana" w:hAnsi="Verdana"/>
          <w:sz w:val="18"/>
          <w:szCs w:val="18"/>
        </w:rPr>
        <w:t xml:space="preserve"> </w:t>
      </w:r>
      <w:r w:rsidRPr="00FF46E3">
        <w:rPr>
          <w:rFonts w:ascii="Verdana" w:hAnsi="Verdana"/>
          <w:sz w:val="18"/>
          <w:szCs w:val="18"/>
        </w:rPr>
        <w:t xml:space="preserve">taken. Ook anonimiseren of </w:t>
      </w:r>
      <w:proofErr w:type="spellStart"/>
      <w:r w:rsidRPr="00FF46E3">
        <w:rPr>
          <w:rFonts w:ascii="Verdana" w:hAnsi="Verdana"/>
          <w:sz w:val="18"/>
          <w:szCs w:val="18"/>
        </w:rPr>
        <w:t>pseudonimiseren</w:t>
      </w:r>
      <w:proofErr w:type="spellEnd"/>
      <w:r w:rsidRPr="00FF46E3">
        <w:rPr>
          <w:rFonts w:ascii="Verdana" w:hAnsi="Verdana"/>
          <w:sz w:val="18"/>
          <w:szCs w:val="18"/>
        </w:rPr>
        <w:t xml:space="preserve"> (vervangen, met een bepaald algoritme, van identificerende gegevens door versleutelde gegevens) van de data is voor het CSIRT niet mogelijk: als de data niet </w:t>
      </w:r>
      <w:r w:rsidRPr="00FF46E3">
        <w:rPr>
          <w:rFonts w:ascii="Verdana" w:hAnsi="Verdana"/>
          <w:sz w:val="18"/>
          <w:szCs w:val="18"/>
        </w:rPr>
        <w:lastRenderedPageBreak/>
        <w:t xml:space="preserve">individualiseerbaar zijn, dan kan het CSIRT niet onderzoeken welke partijen zijn geraakt en hen rechtstreeks informeren. Ook kan het CSIRT niet de herkomst en het verdere verloop van de dreiging of het incident onderzoeken. </w:t>
      </w:r>
    </w:p>
    <w:p w:rsidRPr="00FF46E3" w:rsidR="00C72DA6" w:rsidP="00C72DA6" w:rsidRDefault="00C72DA6" w14:paraId="0EDC400A" w14:textId="77777777">
      <w:pPr>
        <w:pStyle w:val="Geenafstand"/>
        <w:rPr>
          <w:rFonts w:ascii="Verdana" w:hAnsi="Verdana"/>
          <w:sz w:val="18"/>
          <w:szCs w:val="18"/>
        </w:rPr>
      </w:pPr>
    </w:p>
    <w:p w:rsidRPr="00FF46E3" w:rsidR="00C72DA6" w:rsidP="00C72DA6" w:rsidRDefault="00C72DA6" w14:paraId="32917FC6" w14:textId="77777777">
      <w:pPr>
        <w:pStyle w:val="Geenafstand"/>
        <w:rPr>
          <w:rFonts w:ascii="Verdana" w:hAnsi="Verdana"/>
          <w:i/>
          <w:iCs/>
          <w:sz w:val="18"/>
          <w:szCs w:val="18"/>
        </w:rPr>
      </w:pPr>
      <w:r w:rsidRPr="00FF46E3">
        <w:rPr>
          <w:rFonts w:ascii="Verdana" w:hAnsi="Verdana"/>
          <w:i/>
          <w:iCs/>
          <w:sz w:val="18"/>
          <w:szCs w:val="18"/>
        </w:rPr>
        <w:t>Bevoegde autoriteit</w:t>
      </w:r>
    </w:p>
    <w:p w:rsidRPr="00FF46E3" w:rsidR="00C72DA6" w:rsidP="00C72DA6" w:rsidRDefault="00C72DA6" w14:paraId="12DF94FE" w14:textId="77777777">
      <w:pPr>
        <w:pStyle w:val="Geenafstand"/>
        <w:rPr>
          <w:rFonts w:ascii="Verdana" w:hAnsi="Verdana"/>
          <w:sz w:val="18"/>
          <w:szCs w:val="18"/>
        </w:rPr>
      </w:pPr>
      <w:r w:rsidRPr="00FF46E3">
        <w:rPr>
          <w:rFonts w:ascii="Verdana" w:hAnsi="Verdana"/>
          <w:sz w:val="18"/>
          <w:szCs w:val="18"/>
        </w:rPr>
        <w:t xml:space="preserve">Voor de bevoegde autoriteit geldt dat zij haar toezichtstaken niet kan uitoefenen zonder de verwerking van de persoonsgegevens die nodig zijn om contact te leggen met de entiteiten waarop zij toezicht houdt. </w:t>
      </w:r>
    </w:p>
    <w:p w:rsidR="00C72DA6" w:rsidP="00C72DA6" w:rsidRDefault="00C72DA6" w14:paraId="26638162" w14:textId="77777777">
      <w:pPr>
        <w:pStyle w:val="Geenafstand"/>
        <w:rPr>
          <w:rFonts w:ascii="Verdana" w:hAnsi="Verdana"/>
          <w:sz w:val="18"/>
          <w:szCs w:val="18"/>
        </w:rPr>
      </w:pPr>
    </w:p>
    <w:p w:rsidRPr="00706E20" w:rsidR="00C72DA6" w:rsidP="00C3466E" w:rsidRDefault="00C72DA6" w14:paraId="52674D6A" w14:textId="599EA145">
      <w:pPr>
        <w:pStyle w:val="Kop3"/>
      </w:pPr>
      <w:bookmarkStart w:name="_Toc148443301" w:id="134"/>
      <w:bookmarkStart w:name="_Toc178319446" w:id="135"/>
      <w:bookmarkStart w:name="_Toc198721107" w:id="136"/>
      <w:r>
        <w:rPr>
          <w:rFonts w:cs="Arial"/>
          <w:iCs/>
          <w:szCs w:val="18"/>
        </w:rPr>
        <w:t>6</w:t>
      </w:r>
      <w:r w:rsidRPr="00706E20">
        <w:t>.</w:t>
      </w:r>
      <w:r w:rsidR="00413E1E">
        <w:t>3</w:t>
      </w:r>
      <w:r w:rsidRPr="00706E20">
        <w:t>.4 Conclusie</w:t>
      </w:r>
      <w:bookmarkEnd w:id="134"/>
      <w:bookmarkEnd w:id="135"/>
      <w:bookmarkEnd w:id="136"/>
    </w:p>
    <w:p w:rsidRPr="00FE7451" w:rsidR="00C72DA6" w:rsidP="00C72DA6" w:rsidRDefault="00C72DA6" w14:paraId="6011B9EA" w14:textId="77777777">
      <w:pPr>
        <w:pStyle w:val="Geenafstand"/>
        <w:rPr>
          <w:rFonts w:ascii="Verdana" w:hAnsi="Verdana"/>
          <w:sz w:val="18"/>
          <w:szCs w:val="18"/>
          <w:lang w:eastAsia="nl-NL"/>
        </w:rPr>
      </w:pPr>
    </w:p>
    <w:p w:rsidR="00C72DA6" w:rsidP="00C72DA6" w:rsidRDefault="00C72DA6" w14:paraId="27CCE016" w14:textId="3FE31384">
      <w:pPr>
        <w:pStyle w:val="Geenafstand"/>
        <w:rPr>
          <w:rFonts w:ascii="Verdana" w:hAnsi="Verdana"/>
          <w:sz w:val="18"/>
          <w:szCs w:val="18"/>
        </w:rPr>
      </w:pPr>
      <w:r w:rsidRPr="00FE7451">
        <w:rPr>
          <w:rFonts w:ascii="Verdana" w:hAnsi="Verdana" w:eastAsia="Times New Roman" w:cs="Arial"/>
          <w:sz w:val="18"/>
          <w:szCs w:val="18"/>
          <w:lang w:eastAsia="nl-NL"/>
        </w:rPr>
        <w:t xml:space="preserve">De verwerking van </w:t>
      </w:r>
      <w:r w:rsidRPr="005E5186">
        <w:rPr>
          <w:rFonts w:ascii="Verdana" w:hAnsi="Verdana" w:eastAsia="Times New Roman" w:cs="Arial"/>
          <w:sz w:val="18"/>
          <w:szCs w:val="18"/>
          <w:lang w:eastAsia="nl-NL"/>
        </w:rPr>
        <w:t xml:space="preserve">persoonsgegevens door de </w:t>
      </w:r>
      <w:r>
        <w:rPr>
          <w:rFonts w:ascii="Verdana" w:hAnsi="Verdana" w:eastAsia="Times New Roman" w:cs="Arial"/>
          <w:sz w:val="18"/>
          <w:szCs w:val="18"/>
          <w:lang w:eastAsia="nl-NL"/>
        </w:rPr>
        <w:t xml:space="preserve">Minister van Justitie en Veiligheid, het CSIRT en de bevoegde autoriteit </w:t>
      </w:r>
      <w:r w:rsidRPr="005E5186">
        <w:rPr>
          <w:rFonts w:ascii="Verdana" w:hAnsi="Verdana" w:eastAsia="Times New Roman" w:cs="Arial"/>
          <w:sz w:val="18"/>
          <w:szCs w:val="18"/>
          <w:lang w:eastAsia="nl-NL"/>
        </w:rPr>
        <w:t xml:space="preserve">is een </w:t>
      </w:r>
      <w:r w:rsidRPr="00FE7451">
        <w:rPr>
          <w:rFonts w:ascii="Verdana" w:hAnsi="Verdana" w:eastAsia="Times New Roman" w:cs="Arial"/>
          <w:sz w:val="18"/>
          <w:szCs w:val="18"/>
          <w:lang w:eastAsia="nl-NL"/>
        </w:rPr>
        <w:t xml:space="preserve">gerechtvaardigde beperking van de persoonlijke levenssfeer met het oog op </w:t>
      </w:r>
      <w:r>
        <w:rPr>
          <w:rFonts w:ascii="Verdana" w:hAnsi="Verdana" w:eastAsia="Times New Roman" w:cs="Arial"/>
          <w:sz w:val="18"/>
          <w:szCs w:val="18"/>
          <w:lang w:eastAsia="nl-NL"/>
        </w:rPr>
        <w:t xml:space="preserve">de cyberveiligheid van de entiteiten die onder het toepassingsbereik van de </w:t>
      </w:r>
      <w:proofErr w:type="spellStart"/>
      <w:r>
        <w:rPr>
          <w:rFonts w:ascii="Verdana" w:hAnsi="Verdana" w:eastAsia="Times New Roman" w:cs="Arial"/>
          <w:sz w:val="18"/>
          <w:szCs w:val="18"/>
          <w:lang w:eastAsia="nl-NL"/>
        </w:rPr>
        <w:t>Cbw</w:t>
      </w:r>
      <w:proofErr w:type="spellEnd"/>
      <w:r>
        <w:rPr>
          <w:rFonts w:ascii="Verdana" w:hAnsi="Verdana" w:eastAsia="Times New Roman" w:cs="Arial"/>
          <w:sz w:val="18"/>
          <w:szCs w:val="18"/>
          <w:lang w:eastAsia="nl-NL"/>
        </w:rPr>
        <w:t xml:space="preserve"> vallen. </w:t>
      </w:r>
      <w:r w:rsidRPr="00FE7451">
        <w:rPr>
          <w:rFonts w:ascii="Verdana" w:hAnsi="Verdana" w:eastAsia="Times New Roman" w:cs="Arial"/>
          <w:sz w:val="18"/>
          <w:szCs w:val="18"/>
          <w:lang w:eastAsia="nl-NL"/>
        </w:rPr>
        <w:t>De voorgestelde bevoegdheden zijn omkleed met voldoende waarborgen, zoals hierboven is uiteengezet.</w:t>
      </w:r>
    </w:p>
    <w:p w:rsidRPr="00FF46E3" w:rsidR="00C72DA6" w:rsidP="00C72DA6" w:rsidRDefault="00C72DA6" w14:paraId="79BD6AB4" w14:textId="77777777">
      <w:pPr>
        <w:pStyle w:val="Geenafstand"/>
        <w:rPr>
          <w:rFonts w:ascii="Verdana" w:hAnsi="Verdana"/>
          <w:sz w:val="18"/>
          <w:szCs w:val="18"/>
        </w:rPr>
      </w:pPr>
    </w:p>
    <w:p w:rsidRPr="00FF46E3" w:rsidR="00C72DA6" w:rsidP="00C72DA6" w:rsidRDefault="00C72DA6" w14:paraId="72B37CDD" w14:textId="54682E2F">
      <w:pPr>
        <w:pStyle w:val="Kop2"/>
      </w:pPr>
      <w:bookmarkStart w:name="_Toc198721108" w:id="137"/>
      <w:r w:rsidRPr="00FF46E3">
        <w:t>6.</w:t>
      </w:r>
      <w:r w:rsidR="00413E1E">
        <w:t>4</w:t>
      </w:r>
      <w:r w:rsidRPr="00FF46E3">
        <w:t xml:space="preserve"> </w:t>
      </w:r>
      <w:proofErr w:type="spellStart"/>
      <w:r w:rsidR="00BE641B">
        <w:t>Avg</w:t>
      </w:r>
      <w:bookmarkEnd w:id="137"/>
      <w:proofErr w:type="spellEnd"/>
    </w:p>
    <w:p w:rsidR="002903FF" w:rsidP="00C72DA6" w:rsidRDefault="002903FF" w14:paraId="473FDC4F" w14:textId="77777777">
      <w:pPr>
        <w:pStyle w:val="Geenafstand"/>
        <w:rPr>
          <w:rFonts w:ascii="Verdana" w:hAnsi="Verdana"/>
          <w:sz w:val="18"/>
          <w:szCs w:val="18"/>
        </w:rPr>
      </w:pPr>
    </w:p>
    <w:p w:rsidRPr="00FF46E3" w:rsidR="00C72DA6" w:rsidP="00C72DA6" w:rsidRDefault="00C72DA6" w14:paraId="6814D76F" w14:textId="05707B89">
      <w:pPr>
        <w:pStyle w:val="Geenafstand"/>
        <w:rPr>
          <w:rFonts w:ascii="Verdana" w:hAnsi="Verdana"/>
          <w:sz w:val="18"/>
          <w:szCs w:val="18"/>
        </w:rPr>
      </w:pPr>
      <w:r w:rsidRPr="00FF46E3">
        <w:rPr>
          <w:rFonts w:ascii="Verdana" w:hAnsi="Verdana"/>
          <w:sz w:val="18"/>
          <w:szCs w:val="18"/>
        </w:rPr>
        <w:t xml:space="preserve">De verwerking van persoonsgegevens door de Minister van Justitie en Veiligheid, het CSIRT en de bevoegde autoriteit moet in overeenstemming zijn met de </w:t>
      </w:r>
      <w:proofErr w:type="spellStart"/>
      <w:r w:rsidRPr="00FF46E3">
        <w:rPr>
          <w:rFonts w:ascii="Verdana" w:hAnsi="Verdana"/>
          <w:sz w:val="18"/>
          <w:szCs w:val="18"/>
        </w:rPr>
        <w:t>Avg</w:t>
      </w:r>
      <w:proofErr w:type="spellEnd"/>
      <w:r w:rsidRPr="00FF46E3">
        <w:rPr>
          <w:rFonts w:ascii="Verdana" w:hAnsi="Verdana"/>
          <w:sz w:val="18"/>
          <w:szCs w:val="18"/>
        </w:rPr>
        <w:t xml:space="preserve">, meer in het bijzonder </w:t>
      </w:r>
      <w:bookmarkStart w:name="_Hlk178863812" w:id="138"/>
      <w:r w:rsidRPr="00FF46E3">
        <w:rPr>
          <w:rFonts w:ascii="Verdana" w:hAnsi="Verdana"/>
          <w:sz w:val="18"/>
          <w:szCs w:val="18"/>
        </w:rPr>
        <w:t xml:space="preserve">de artikelen 5 (beginselen inzake verwerking van persoonsgegevens) en 6 (rechtmatigheid van de verwerking) van de </w:t>
      </w:r>
      <w:proofErr w:type="spellStart"/>
      <w:r w:rsidRPr="00FF46E3">
        <w:rPr>
          <w:rFonts w:ascii="Verdana" w:hAnsi="Verdana"/>
          <w:sz w:val="18"/>
          <w:szCs w:val="18"/>
        </w:rPr>
        <w:t>Avg</w:t>
      </w:r>
      <w:bookmarkEnd w:id="138"/>
      <w:proofErr w:type="spellEnd"/>
      <w:r w:rsidRPr="00FF46E3">
        <w:rPr>
          <w:rFonts w:ascii="Verdana" w:hAnsi="Verdana"/>
          <w:sz w:val="18"/>
          <w:szCs w:val="18"/>
        </w:rPr>
        <w:t xml:space="preserve">. In deze paragraaf volgt een toetsing aan deze artikelen uit de </w:t>
      </w:r>
      <w:proofErr w:type="spellStart"/>
      <w:r w:rsidRPr="00FF46E3">
        <w:rPr>
          <w:rFonts w:ascii="Verdana" w:hAnsi="Verdana"/>
          <w:sz w:val="18"/>
          <w:szCs w:val="18"/>
        </w:rPr>
        <w:t>Avg</w:t>
      </w:r>
      <w:proofErr w:type="spellEnd"/>
      <w:r w:rsidRPr="00FF46E3">
        <w:rPr>
          <w:rFonts w:ascii="Verdana" w:hAnsi="Verdana"/>
          <w:sz w:val="18"/>
          <w:szCs w:val="18"/>
        </w:rPr>
        <w:t xml:space="preserve">. </w:t>
      </w:r>
      <w:r>
        <w:rPr>
          <w:rFonts w:ascii="Verdana" w:hAnsi="Verdana"/>
          <w:sz w:val="18"/>
          <w:szCs w:val="18"/>
        </w:rPr>
        <w:t>De elementen uit deze artikelen vertonen overlap met de rechtspraak van het EHRM.</w:t>
      </w:r>
    </w:p>
    <w:p w:rsidRPr="00FF46E3" w:rsidR="00C72DA6" w:rsidP="00C72DA6" w:rsidRDefault="00C72DA6" w14:paraId="029998F7" w14:textId="77777777">
      <w:pPr>
        <w:pStyle w:val="Geenafstand"/>
        <w:rPr>
          <w:rFonts w:ascii="Verdana" w:hAnsi="Verdana"/>
          <w:sz w:val="18"/>
          <w:szCs w:val="18"/>
        </w:rPr>
      </w:pPr>
    </w:p>
    <w:p w:rsidRPr="00FF46E3" w:rsidR="00C72DA6" w:rsidP="00C3466E" w:rsidRDefault="00C72DA6" w14:paraId="598DF4D3" w14:textId="77F39C9C">
      <w:pPr>
        <w:pStyle w:val="Kop3"/>
      </w:pPr>
      <w:bookmarkStart w:name="_Toc198721109" w:id="139"/>
      <w:r w:rsidRPr="00FF46E3">
        <w:t>6.</w:t>
      </w:r>
      <w:r w:rsidR="00413E1E">
        <w:t>4</w:t>
      </w:r>
      <w:r w:rsidRPr="00FF46E3">
        <w:t>.1 Rechtmatigheid, behoorlijkheid en transparantie</w:t>
      </w:r>
      <w:bookmarkEnd w:id="139"/>
    </w:p>
    <w:p w:rsidRPr="00FF46E3" w:rsidR="00C72DA6" w:rsidP="00C72DA6" w:rsidRDefault="00C72DA6" w14:paraId="35F62C3B" w14:textId="77777777">
      <w:pPr>
        <w:pStyle w:val="Geenafstand"/>
        <w:rPr>
          <w:rFonts w:ascii="Verdana" w:hAnsi="Verdana"/>
          <w:sz w:val="18"/>
          <w:szCs w:val="18"/>
        </w:rPr>
      </w:pPr>
      <w:bookmarkStart w:name="_Hlk151638142" w:id="140"/>
    </w:p>
    <w:p w:rsidRPr="00FF46E3" w:rsidR="00C72DA6" w:rsidP="00C72DA6" w:rsidRDefault="00C72DA6" w14:paraId="400B9B4A" w14:textId="77777777">
      <w:pPr>
        <w:pStyle w:val="Geenafstand"/>
        <w:rPr>
          <w:rFonts w:ascii="Verdana" w:hAnsi="Verdana"/>
          <w:sz w:val="18"/>
          <w:szCs w:val="18"/>
        </w:rPr>
      </w:pPr>
      <w:bookmarkStart w:name="_Hlk178930303" w:id="141"/>
      <w:r w:rsidRPr="00FF46E3">
        <w:rPr>
          <w:rFonts w:ascii="Verdana" w:hAnsi="Verdana"/>
          <w:sz w:val="18"/>
          <w:szCs w:val="18"/>
        </w:rPr>
        <w:t xml:space="preserve">In artikel 5, eerste lid, onderdeel a, </w:t>
      </w:r>
      <w:proofErr w:type="spellStart"/>
      <w:r w:rsidRPr="00FF46E3">
        <w:rPr>
          <w:rFonts w:ascii="Verdana" w:hAnsi="Verdana"/>
          <w:sz w:val="18"/>
          <w:szCs w:val="18"/>
        </w:rPr>
        <w:t>Avg</w:t>
      </w:r>
      <w:proofErr w:type="spellEnd"/>
      <w:r w:rsidRPr="00FF46E3">
        <w:rPr>
          <w:rFonts w:ascii="Verdana" w:hAnsi="Verdana"/>
          <w:sz w:val="18"/>
          <w:szCs w:val="18"/>
        </w:rPr>
        <w:t xml:space="preserve"> is bepaald dat persoonsgegevens moeten worden verwerkt op een wijze die ten aanzien van de betrokkene rechtmatig, behoorlijk en transparant is. </w:t>
      </w:r>
    </w:p>
    <w:p w:rsidRPr="00FF46E3" w:rsidR="00C72DA6" w:rsidP="00C72DA6" w:rsidRDefault="00C72DA6" w14:paraId="18514724" w14:textId="77777777">
      <w:pPr>
        <w:pStyle w:val="Geenafstand"/>
        <w:rPr>
          <w:rFonts w:ascii="Verdana" w:hAnsi="Verdana"/>
          <w:sz w:val="18"/>
          <w:szCs w:val="18"/>
        </w:rPr>
      </w:pPr>
      <w:bookmarkStart w:name="_Hlk151639747" w:id="142"/>
      <w:bookmarkEnd w:id="141"/>
    </w:p>
    <w:bookmarkEnd w:id="140"/>
    <w:p w:rsidRPr="00FF46E3" w:rsidR="00C72DA6" w:rsidP="00C72DA6" w:rsidRDefault="00C72DA6" w14:paraId="01230114" w14:textId="77777777">
      <w:pPr>
        <w:pStyle w:val="Geenafstand"/>
        <w:rPr>
          <w:rFonts w:ascii="Verdana" w:hAnsi="Verdana"/>
          <w:i/>
          <w:iCs/>
          <w:sz w:val="18"/>
          <w:szCs w:val="18"/>
        </w:rPr>
      </w:pPr>
      <w:r w:rsidRPr="00FF46E3">
        <w:rPr>
          <w:rFonts w:ascii="Verdana" w:hAnsi="Verdana"/>
          <w:i/>
          <w:iCs/>
          <w:sz w:val="18"/>
          <w:szCs w:val="18"/>
        </w:rPr>
        <w:t>Rechtmatigheid</w:t>
      </w:r>
    </w:p>
    <w:p w:rsidRPr="00FF46E3" w:rsidR="00C72DA6" w:rsidP="00C72DA6" w:rsidRDefault="00C72DA6" w14:paraId="36ED1D4E" w14:textId="77777777">
      <w:pPr>
        <w:pStyle w:val="Geenafstand"/>
        <w:rPr>
          <w:rFonts w:ascii="Verdana" w:hAnsi="Verdana"/>
          <w:sz w:val="18"/>
          <w:szCs w:val="18"/>
        </w:rPr>
      </w:pPr>
      <w:r w:rsidRPr="00FF46E3">
        <w:rPr>
          <w:rFonts w:ascii="Verdana" w:hAnsi="Verdana"/>
          <w:sz w:val="18"/>
          <w:szCs w:val="18"/>
        </w:rPr>
        <w:t xml:space="preserve">Artikel 6, eerste lid, </w:t>
      </w:r>
      <w:proofErr w:type="spellStart"/>
      <w:r w:rsidRPr="00FF46E3">
        <w:rPr>
          <w:rFonts w:ascii="Verdana" w:hAnsi="Verdana"/>
          <w:sz w:val="18"/>
          <w:szCs w:val="18"/>
        </w:rPr>
        <w:t>Avg</w:t>
      </w:r>
      <w:proofErr w:type="spellEnd"/>
      <w:r w:rsidRPr="00FF46E3">
        <w:rPr>
          <w:rFonts w:ascii="Verdana" w:hAnsi="Verdana"/>
          <w:sz w:val="18"/>
          <w:szCs w:val="18"/>
        </w:rPr>
        <w:t xml:space="preserve"> moet worden beschouwd als de uitwerking en nadere invulling van het beginsel van rechtmatigheid zoals genoemd in artikel 5, eerste lid, onderdeel a, </w:t>
      </w:r>
      <w:proofErr w:type="spellStart"/>
      <w:r w:rsidRPr="00FF46E3">
        <w:rPr>
          <w:rFonts w:ascii="Verdana" w:hAnsi="Verdana"/>
          <w:sz w:val="18"/>
          <w:szCs w:val="18"/>
        </w:rPr>
        <w:t>Avg</w:t>
      </w:r>
      <w:proofErr w:type="spellEnd"/>
      <w:r w:rsidRPr="00FF46E3">
        <w:rPr>
          <w:rFonts w:ascii="Verdana" w:hAnsi="Verdana"/>
          <w:sz w:val="18"/>
          <w:szCs w:val="18"/>
        </w:rPr>
        <w:t xml:space="preserve">. Deze eerstgenoemde bepaling richt zich tot de verwerkingsverantwoordelijke en geeft de voorwaarden voor de rechtmatigheid van een verwerking. Voor de verwerkingen van persoonsgegevens door de Minister van Justitie en Veiligheid, het CSIRT en de bevoegde autoriteit kan de grondslag worden gevonden in artikel 6, eerste lid, onderdeel c, </w:t>
      </w:r>
      <w:proofErr w:type="spellStart"/>
      <w:r w:rsidRPr="00FF46E3">
        <w:rPr>
          <w:rFonts w:ascii="Verdana" w:hAnsi="Verdana"/>
          <w:sz w:val="18"/>
          <w:szCs w:val="18"/>
        </w:rPr>
        <w:t>Avg</w:t>
      </w:r>
      <w:proofErr w:type="spellEnd"/>
      <w:r w:rsidRPr="00FF46E3">
        <w:rPr>
          <w:rFonts w:ascii="Verdana" w:hAnsi="Verdana"/>
          <w:sz w:val="18"/>
          <w:szCs w:val="18"/>
        </w:rPr>
        <w:t xml:space="preserve">. Die verwerkingen zijn immers noodzakelijk om te voldoen aan een wettelijke verplichting die op deze verwerkingsverantwoordelijken rust. Voorts kan ook de grondslag worden gevonden in artikel 6, eerste lid, onderdeel e, </w:t>
      </w:r>
      <w:proofErr w:type="spellStart"/>
      <w:r w:rsidRPr="00FF46E3">
        <w:rPr>
          <w:rFonts w:ascii="Verdana" w:hAnsi="Verdana"/>
          <w:sz w:val="18"/>
          <w:szCs w:val="18"/>
        </w:rPr>
        <w:t>Avg</w:t>
      </w:r>
      <w:proofErr w:type="spellEnd"/>
      <w:r w:rsidRPr="00FF46E3">
        <w:rPr>
          <w:rFonts w:ascii="Verdana" w:hAnsi="Verdana"/>
          <w:sz w:val="18"/>
          <w:szCs w:val="18"/>
        </w:rPr>
        <w:t xml:space="preserve">, omdat deze verwerkingen noodzakelijk zijn voor de vervulling van een taak van algemeen belang of van een taak in het kader van de uitoefening van het openbaar gezag dat aan de verwerkingsverantwoordelijke is opgedragen. </w:t>
      </w:r>
    </w:p>
    <w:p w:rsidRPr="00FF46E3" w:rsidR="00C72DA6" w:rsidP="00C72DA6" w:rsidRDefault="00C72DA6" w14:paraId="418A064A" w14:textId="77777777">
      <w:pPr>
        <w:pStyle w:val="Geenafstand"/>
        <w:rPr>
          <w:rFonts w:ascii="Verdana" w:hAnsi="Verdana"/>
          <w:sz w:val="18"/>
          <w:szCs w:val="18"/>
        </w:rPr>
      </w:pPr>
    </w:p>
    <w:p w:rsidRPr="00FF46E3" w:rsidR="00C72DA6" w:rsidP="00C72DA6" w:rsidRDefault="00C72DA6" w14:paraId="672018BA" w14:textId="77777777">
      <w:pPr>
        <w:pStyle w:val="Geenafstand"/>
        <w:rPr>
          <w:rFonts w:ascii="Verdana" w:hAnsi="Verdana"/>
          <w:i/>
          <w:iCs/>
          <w:sz w:val="18"/>
          <w:szCs w:val="18"/>
        </w:rPr>
      </w:pPr>
      <w:bookmarkStart w:name="_Hlk178930296" w:id="143"/>
      <w:r w:rsidRPr="00FF46E3">
        <w:rPr>
          <w:rFonts w:ascii="Verdana" w:hAnsi="Verdana"/>
          <w:i/>
          <w:iCs/>
          <w:sz w:val="18"/>
          <w:szCs w:val="18"/>
        </w:rPr>
        <w:t>Behoorlijkheid/transparantie</w:t>
      </w:r>
    </w:p>
    <w:p w:rsidRPr="00FF46E3" w:rsidR="00C72DA6" w:rsidP="00C72DA6" w:rsidRDefault="00C72DA6" w14:paraId="55617B39" w14:textId="77777777">
      <w:pPr>
        <w:pStyle w:val="Geenafstand"/>
        <w:rPr>
          <w:rFonts w:ascii="Verdana" w:hAnsi="Verdana"/>
          <w:sz w:val="18"/>
          <w:szCs w:val="18"/>
        </w:rPr>
      </w:pPr>
      <w:r w:rsidRPr="00FF46E3">
        <w:rPr>
          <w:rFonts w:ascii="Verdana" w:hAnsi="Verdana"/>
          <w:sz w:val="18"/>
          <w:szCs w:val="18"/>
        </w:rPr>
        <w:t xml:space="preserve">Het vereiste van behoorlijkheid houdt in dat een betrokkene op de hoogte moet (kunnen) zijn van de verwerking van zijn persoonsgegevens, inclusief de wijze waarop deze gegevens worden verwerkt verzameld, bewaard en gebruikt. Hierop zijn een aantal uitzonderingen, zie de artikelen 13 en 14 </w:t>
      </w:r>
      <w:proofErr w:type="spellStart"/>
      <w:r w:rsidRPr="00FF46E3">
        <w:rPr>
          <w:rFonts w:ascii="Verdana" w:hAnsi="Verdana"/>
          <w:sz w:val="18"/>
          <w:szCs w:val="18"/>
        </w:rPr>
        <w:t>Avg</w:t>
      </w:r>
      <w:proofErr w:type="spellEnd"/>
      <w:r w:rsidRPr="00FF46E3">
        <w:rPr>
          <w:rFonts w:ascii="Verdana" w:hAnsi="Verdana"/>
          <w:sz w:val="18"/>
          <w:szCs w:val="18"/>
        </w:rPr>
        <w:t>.</w:t>
      </w:r>
    </w:p>
    <w:p w:rsidRPr="00FF46E3" w:rsidR="00C72DA6" w:rsidP="00C72DA6" w:rsidRDefault="00C72DA6" w14:paraId="17C129E1" w14:textId="77777777">
      <w:pPr>
        <w:pStyle w:val="Geenafstand"/>
        <w:rPr>
          <w:rFonts w:ascii="Verdana" w:hAnsi="Verdana"/>
          <w:sz w:val="18"/>
          <w:szCs w:val="18"/>
        </w:rPr>
      </w:pPr>
      <w:r w:rsidRPr="00FF46E3">
        <w:rPr>
          <w:rFonts w:ascii="Verdana" w:hAnsi="Verdana"/>
          <w:sz w:val="18"/>
          <w:szCs w:val="18"/>
        </w:rPr>
        <w:t>Het CSIRT en de bevoegde autoriteit zullen – gelet op de dubbele meldplicht – vaak de gegevens rechtstreeks van betrokkene zelf ontvangen. Dit geldt ook voor de gegevens van de medewerkers van de centrale contactpunten van andere lidstaten, die door deze contactpunten worden verzonden aan het Nederlandse centrale contactpunt (de Minister van Justitie en Veiligheid). Daarmee zijn deze betrokkenen op de hoogte van de verwerking en wordt voldaan aan het beginsel van behoorlijkheid.</w:t>
      </w:r>
    </w:p>
    <w:p w:rsidRPr="00FF46E3" w:rsidR="00C72DA6" w:rsidP="00C72DA6" w:rsidRDefault="00C72DA6" w14:paraId="68704CFD" w14:textId="57CC0BAD">
      <w:pPr>
        <w:pStyle w:val="Geenafstand"/>
        <w:rPr>
          <w:rFonts w:ascii="Verdana" w:hAnsi="Verdana"/>
          <w:sz w:val="18"/>
          <w:szCs w:val="18"/>
        </w:rPr>
      </w:pPr>
      <w:r w:rsidRPr="00FF46E3">
        <w:rPr>
          <w:rFonts w:ascii="Verdana" w:hAnsi="Verdana"/>
          <w:sz w:val="18"/>
          <w:szCs w:val="18"/>
        </w:rPr>
        <w:t xml:space="preserve">Er kan ook sprake zijn van de verwerking van persoonsgegevens die niet door de betrokkene zelf zijn verstrekt. In dergelijke gevallen geldt dat de verwerkingen van persoonsgegevens </w:t>
      </w:r>
      <w:r w:rsidR="004050AB">
        <w:rPr>
          <w:rFonts w:ascii="Verdana" w:hAnsi="Verdana"/>
          <w:sz w:val="18"/>
          <w:szCs w:val="18"/>
        </w:rPr>
        <w:t xml:space="preserve">voortvloeien uit een taak die </w:t>
      </w:r>
      <w:r w:rsidRPr="00FF46E3">
        <w:rPr>
          <w:rFonts w:ascii="Verdana" w:hAnsi="Verdana"/>
          <w:sz w:val="18"/>
          <w:szCs w:val="18"/>
        </w:rPr>
        <w:t xml:space="preserve">uitdrukkelijk </w:t>
      </w:r>
      <w:r w:rsidR="004050AB">
        <w:rPr>
          <w:rFonts w:ascii="Verdana" w:hAnsi="Verdana"/>
          <w:sz w:val="18"/>
          <w:szCs w:val="18"/>
        </w:rPr>
        <w:t>is</w:t>
      </w:r>
      <w:r w:rsidRPr="00FF46E3">
        <w:rPr>
          <w:rFonts w:ascii="Verdana" w:hAnsi="Verdana"/>
          <w:sz w:val="18"/>
          <w:szCs w:val="18"/>
        </w:rPr>
        <w:t xml:space="preserve"> voorgeschreven in de </w:t>
      </w:r>
      <w:proofErr w:type="spellStart"/>
      <w:r w:rsidRPr="00FF46E3">
        <w:rPr>
          <w:rFonts w:ascii="Verdana" w:hAnsi="Verdana"/>
          <w:sz w:val="18"/>
          <w:szCs w:val="18"/>
        </w:rPr>
        <w:t>Cbw</w:t>
      </w:r>
      <w:proofErr w:type="spellEnd"/>
      <w:r w:rsidRPr="00FF46E3">
        <w:rPr>
          <w:rFonts w:ascii="Verdana" w:hAnsi="Verdana"/>
          <w:sz w:val="18"/>
          <w:szCs w:val="18"/>
        </w:rPr>
        <w:t xml:space="preserve"> en dat in de </w:t>
      </w:r>
      <w:proofErr w:type="spellStart"/>
      <w:r w:rsidRPr="00FF46E3">
        <w:rPr>
          <w:rFonts w:ascii="Verdana" w:hAnsi="Verdana"/>
          <w:sz w:val="18"/>
          <w:szCs w:val="18"/>
        </w:rPr>
        <w:t>Cbw</w:t>
      </w:r>
      <w:proofErr w:type="spellEnd"/>
      <w:r w:rsidRPr="00FF46E3">
        <w:rPr>
          <w:rFonts w:ascii="Verdana" w:hAnsi="Verdana"/>
          <w:sz w:val="18"/>
          <w:szCs w:val="18"/>
        </w:rPr>
        <w:t xml:space="preserve"> voldoende waarborgen zijn opgenomen ter bescherming van de belangen van de betrokkene. </w:t>
      </w:r>
    </w:p>
    <w:bookmarkEnd w:id="143"/>
    <w:p w:rsidRPr="00FF46E3" w:rsidR="00C72DA6" w:rsidP="00C72DA6" w:rsidRDefault="00C72DA6" w14:paraId="277159C3" w14:textId="5C82AF88">
      <w:pPr>
        <w:pStyle w:val="Geenafstand"/>
        <w:rPr>
          <w:rFonts w:ascii="Verdana" w:hAnsi="Verdana"/>
          <w:sz w:val="18"/>
          <w:szCs w:val="18"/>
        </w:rPr>
      </w:pPr>
      <w:r w:rsidRPr="00FF46E3">
        <w:rPr>
          <w:rFonts w:ascii="Verdana" w:hAnsi="Verdana"/>
          <w:sz w:val="18"/>
          <w:szCs w:val="18"/>
        </w:rPr>
        <w:t xml:space="preserve">Transparantie kent verschillende vormen. Enerzijds houdt dit in dat het verwerkingsproces transparant is. Anderzijds houdt dit principe verband met het eerder besproken element van behoorlijkheid waardoor mensen wiens persoonsgegevens worden verwerkt dit kunnen weten. Het proces van de </w:t>
      </w:r>
      <w:r w:rsidRPr="00FF46E3">
        <w:rPr>
          <w:rFonts w:ascii="Verdana" w:hAnsi="Verdana"/>
          <w:sz w:val="18"/>
          <w:szCs w:val="18"/>
        </w:rPr>
        <w:lastRenderedPageBreak/>
        <w:t>verwerking van persoonsgegevens zal door de Minister van Justitie en Veiligheid (als centr</w:t>
      </w:r>
      <w:r w:rsidR="006B78AD">
        <w:rPr>
          <w:rFonts w:ascii="Verdana" w:hAnsi="Verdana"/>
          <w:sz w:val="18"/>
          <w:szCs w:val="18"/>
        </w:rPr>
        <w:t>a</w:t>
      </w:r>
      <w:r w:rsidRPr="00FF46E3">
        <w:rPr>
          <w:rFonts w:ascii="Verdana" w:hAnsi="Verdana"/>
          <w:sz w:val="18"/>
          <w:szCs w:val="18"/>
        </w:rPr>
        <w:t xml:space="preserve">al contactpunt en beheerder van het nationale register), het CSIRT en de bevoegde autoriteit in samenspraak met de functionaris gegevensbescherming worden ingericht. Daarmee wordt voldaan aan het element van transparantie. De </w:t>
      </w:r>
      <w:proofErr w:type="spellStart"/>
      <w:r w:rsidRPr="00FF46E3">
        <w:rPr>
          <w:rFonts w:ascii="Verdana" w:hAnsi="Verdana"/>
          <w:sz w:val="18"/>
          <w:szCs w:val="18"/>
        </w:rPr>
        <w:t>Cbw</w:t>
      </w:r>
      <w:proofErr w:type="spellEnd"/>
      <w:r w:rsidRPr="00FF46E3">
        <w:rPr>
          <w:rFonts w:ascii="Verdana" w:hAnsi="Verdana"/>
          <w:sz w:val="18"/>
          <w:szCs w:val="18"/>
        </w:rPr>
        <w:t xml:space="preserve"> voorziet in de wettelijke verplichting voor het CSIRT dan wel de bevoegde autoriteit om het publiek te (laten) informeren over significante incidenten, waardoor door dat incident getroffenen weten dat op hen betrekking hebbende persoonsgegevens kunnen zijn verwerkt. </w:t>
      </w:r>
    </w:p>
    <w:p w:rsidRPr="00FF46E3" w:rsidR="00C72DA6" w:rsidP="00C72DA6" w:rsidRDefault="00C72DA6" w14:paraId="428D4BF5" w14:textId="77777777">
      <w:pPr>
        <w:pStyle w:val="Geenafstand"/>
        <w:rPr>
          <w:rFonts w:ascii="Verdana" w:hAnsi="Verdana"/>
          <w:sz w:val="18"/>
          <w:szCs w:val="18"/>
        </w:rPr>
      </w:pPr>
    </w:p>
    <w:p w:rsidRPr="00FF46E3" w:rsidR="00C72DA6" w:rsidP="00C3466E" w:rsidRDefault="00C72DA6" w14:paraId="41A7BFBC" w14:textId="49E8C131">
      <w:pPr>
        <w:pStyle w:val="Kop3"/>
      </w:pPr>
      <w:bookmarkStart w:name="_Toc198721110" w:id="144"/>
      <w:r w:rsidRPr="00FF46E3">
        <w:t>6.</w:t>
      </w:r>
      <w:r w:rsidR="00413E1E">
        <w:t>4</w:t>
      </w:r>
      <w:r w:rsidRPr="00FF46E3">
        <w:t>.2 Doelbinding</w:t>
      </w:r>
      <w:bookmarkEnd w:id="144"/>
    </w:p>
    <w:p w:rsidRPr="00FF46E3" w:rsidR="00C72DA6" w:rsidP="00C72DA6" w:rsidRDefault="00C72DA6" w14:paraId="5B735EF2" w14:textId="77777777">
      <w:pPr>
        <w:pStyle w:val="Geenafstand"/>
        <w:rPr>
          <w:rFonts w:ascii="Verdana" w:hAnsi="Verdana"/>
          <w:i/>
          <w:iCs/>
          <w:sz w:val="18"/>
          <w:szCs w:val="18"/>
        </w:rPr>
      </w:pPr>
    </w:p>
    <w:p w:rsidRPr="00FF46E3" w:rsidR="00C72DA6" w:rsidP="00C72DA6" w:rsidRDefault="00C72DA6" w14:paraId="740E46F9" w14:textId="77777777">
      <w:pPr>
        <w:pStyle w:val="Geenafstand"/>
        <w:rPr>
          <w:rFonts w:ascii="Verdana" w:hAnsi="Verdana"/>
          <w:sz w:val="18"/>
          <w:szCs w:val="18"/>
        </w:rPr>
      </w:pPr>
      <w:bookmarkStart w:name="_Hlk178930281" w:id="145"/>
      <w:r w:rsidRPr="00FF46E3">
        <w:rPr>
          <w:rFonts w:ascii="Verdana" w:hAnsi="Verdana"/>
          <w:sz w:val="18"/>
          <w:szCs w:val="18"/>
        </w:rPr>
        <w:t xml:space="preserve">In artikel 5, eerste lid, onderdeel b, </w:t>
      </w:r>
      <w:proofErr w:type="spellStart"/>
      <w:r w:rsidRPr="00FF46E3">
        <w:rPr>
          <w:rFonts w:ascii="Verdana" w:hAnsi="Verdana"/>
          <w:sz w:val="18"/>
          <w:szCs w:val="18"/>
        </w:rPr>
        <w:t>Avg</w:t>
      </w:r>
      <w:proofErr w:type="spellEnd"/>
      <w:r w:rsidRPr="00FF46E3">
        <w:rPr>
          <w:rFonts w:ascii="Verdana" w:hAnsi="Verdana"/>
          <w:sz w:val="18"/>
          <w:szCs w:val="18"/>
        </w:rPr>
        <w:t xml:space="preserve"> is bepaald dat persoonsgegevens worden</w:t>
      </w:r>
      <w:r w:rsidRPr="00FF46E3">
        <w:rPr>
          <w:rFonts w:ascii="Verdana" w:hAnsi="Verdana"/>
        </w:rPr>
        <w:t xml:space="preserve"> </w:t>
      </w:r>
      <w:r w:rsidRPr="00FF46E3">
        <w:rPr>
          <w:rFonts w:ascii="Verdana" w:hAnsi="Verdana"/>
          <w:sz w:val="18"/>
          <w:szCs w:val="18"/>
        </w:rPr>
        <w:t xml:space="preserve">verzameld voor welbepaalde, uitdrukkelijk omschreven en gerechtvaardigde doeleinden en vervolgens </w:t>
      </w:r>
    </w:p>
    <w:p w:rsidRPr="00FF46E3" w:rsidR="00C72DA6" w:rsidP="00C72DA6" w:rsidRDefault="00C72DA6" w14:paraId="62C5AF39" w14:textId="77777777">
      <w:pPr>
        <w:pStyle w:val="Geenafstand"/>
        <w:rPr>
          <w:rFonts w:ascii="Verdana" w:hAnsi="Verdana"/>
          <w:sz w:val="18"/>
          <w:szCs w:val="18"/>
        </w:rPr>
      </w:pPr>
      <w:r w:rsidRPr="00FF46E3">
        <w:rPr>
          <w:rFonts w:ascii="Verdana" w:hAnsi="Verdana"/>
          <w:sz w:val="18"/>
          <w:szCs w:val="18"/>
        </w:rPr>
        <w:t xml:space="preserve">niet verder op een met die doeleinden onverenigbare wijze mogen worden verwerkt. Dit betreft het zogeheten </w:t>
      </w:r>
      <w:bookmarkStart w:name="_Hlk178930178" w:id="146"/>
      <w:r w:rsidRPr="00FF46E3">
        <w:rPr>
          <w:rFonts w:ascii="Verdana" w:hAnsi="Verdana"/>
          <w:sz w:val="18"/>
          <w:szCs w:val="18"/>
        </w:rPr>
        <w:t>doelbindingsbeginsel</w:t>
      </w:r>
      <w:bookmarkEnd w:id="146"/>
      <w:r w:rsidRPr="00FF46E3">
        <w:rPr>
          <w:rFonts w:ascii="Verdana" w:hAnsi="Verdana"/>
          <w:sz w:val="18"/>
          <w:szCs w:val="18"/>
        </w:rPr>
        <w:t xml:space="preserve">. </w:t>
      </w:r>
    </w:p>
    <w:bookmarkEnd w:id="145"/>
    <w:p w:rsidRPr="00FF46E3" w:rsidR="00C72DA6" w:rsidP="00C72DA6" w:rsidRDefault="00C72DA6" w14:paraId="54E005C8" w14:textId="77777777">
      <w:pPr>
        <w:pStyle w:val="Geenafstand"/>
        <w:rPr>
          <w:rFonts w:ascii="Verdana" w:hAnsi="Verdana"/>
          <w:sz w:val="18"/>
          <w:szCs w:val="18"/>
        </w:rPr>
      </w:pPr>
    </w:p>
    <w:p w:rsidRPr="00FF46E3" w:rsidR="00C72DA6" w:rsidP="00C72DA6" w:rsidRDefault="00C72DA6" w14:paraId="314AAEF6" w14:textId="435467B4">
      <w:pPr>
        <w:pStyle w:val="Geenafstand"/>
        <w:rPr>
          <w:rFonts w:ascii="Verdana" w:hAnsi="Verdana"/>
          <w:sz w:val="18"/>
          <w:szCs w:val="18"/>
        </w:rPr>
      </w:pPr>
      <w:r w:rsidRPr="00FF46E3">
        <w:rPr>
          <w:rFonts w:ascii="Verdana" w:hAnsi="Verdana"/>
          <w:sz w:val="18"/>
          <w:szCs w:val="18"/>
        </w:rPr>
        <w:t xml:space="preserve">De verwerking van persoonsgegevens in het kader van de </w:t>
      </w:r>
      <w:proofErr w:type="spellStart"/>
      <w:r w:rsidRPr="00FF46E3">
        <w:rPr>
          <w:rFonts w:ascii="Verdana" w:hAnsi="Verdana"/>
          <w:sz w:val="18"/>
          <w:szCs w:val="18"/>
        </w:rPr>
        <w:t>Cbw</w:t>
      </w:r>
      <w:proofErr w:type="spellEnd"/>
      <w:r w:rsidRPr="00FF46E3">
        <w:rPr>
          <w:rFonts w:ascii="Verdana" w:hAnsi="Verdana"/>
          <w:sz w:val="18"/>
          <w:szCs w:val="18"/>
        </w:rPr>
        <w:t xml:space="preserve"> geschiedt in het kader van de in de </w:t>
      </w:r>
      <w:proofErr w:type="spellStart"/>
      <w:r w:rsidRPr="00FF46E3">
        <w:rPr>
          <w:rFonts w:ascii="Verdana" w:hAnsi="Verdana"/>
          <w:sz w:val="18"/>
          <w:szCs w:val="18"/>
        </w:rPr>
        <w:t>Cbw</w:t>
      </w:r>
      <w:proofErr w:type="spellEnd"/>
      <w:r w:rsidRPr="00FF46E3">
        <w:rPr>
          <w:rFonts w:ascii="Verdana" w:hAnsi="Verdana"/>
          <w:sz w:val="18"/>
          <w:szCs w:val="18"/>
        </w:rPr>
        <w:t xml:space="preserve"> opgenomen doelen. De algemene doelen van de </w:t>
      </w:r>
      <w:proofErr w:type="spellStart"/>
      <w:r w:rsidRPr="00FF46E3">
        <w:rPr>
          <w:rFonts w:ascii="Verdana" w:hAnsi="Verdana"/>
          <w:sz w:val="18"/>
          <w:szCs w:val="18"/>
        </w:rPr>
        <w:t>Cbw</w:t>
      </w:r>
      <w:proofErr w:type="spellEnd"/>
      <w:r w:rsidRPr="00FF46E3">
        <w:rPr>
          <w:rFonts w:ascii="Verdana" w:hAnsi="Verdana"/>
          <w:sz w:val="18"/>
          <w:szCs w:val="18"/>
        </w:rPr>
        <w:t xml:space="preserve"> zijn opgenomen in artikel 2 </w:t>
      </w:r>
      <w:proofErr w:type="spellStart"/>
      <w:r w:rsidRPr="00FF46E3">
        <w:rPr>
          <w:rFonts w:ascii="Verdana" w:hAnsi="Verdana"/>
          <w:sz w:val="18"/>
          <w:szCs w:val="18"/>
        </w:rPr>
        <w:t>Cbw</w:t>
      </w:r>
      <w:proofErr w:type="spellEnd"/>
      <w:r w:rsidRPr="00FF46E3">
        <w:rPr>
          <w:rFonts w:ascii="Verdana" w:hAnsi="Verdana"/>
          <w:sz w:val="18"/>
          <w:szCs w:val="18"/>
        </w:rPr>
        <w:t xml:space="preserve">. In de diverse artikelen in de </w:t>
      </w:r>
      <w:proofErr w:type="spellStart"/>
      <w:r w:rsidRPr="00FF46E3">
        <w:rPr>
          <w:rFonts w:ascii="Verdana" w:hAnsi="Verdana"/>
          <w:sz w:val="18"/>
          <w:szCs w:val="18"/>
        </w:rPr>
        <w:t>Cbw</w:t>
      </w:r>
      <w:proofErr w:type="spellEnd"/>
      <w:r w:rsidRPr="00FF46E3">
        <w:rPr>
          <w:rFonts w:ascii="Verdana" w:hAnsi="Verdana"/>
          <w:sz w:val="18"/>
          <w:szCs w:val="18"/>
        </w:rPr>
        <w:t xml:space="preserve"> waarin de grondslag is geregeld voor het centrale contactpunt, het CSIRT en de bevoegde autoriteit om gegevens, waaronder persoonsgegevens, uit te wisselen zijn ook de doelen van die gegevensverwerking omschreven. Zie bijvoorbeeld artikel </w:t>
      </w:r>
      <w:r>
        <w:rPr>
          <w:rFonts w:ascii="Verdana" w:hAnsi="Verdana"/>
          <w:sz w:val="18"/>
          <w:szCs w:val="18"/>
        </w:rPr>
        <w:t>51</w:t>
      </w:r>
      <w:r w:rsidR="00B060AE">
        <w:rPr>
          <w:rFonts w:ascii="Verdana" w:hAnsi="Verdana"/>
          <w:sz w:val="18"/>
          <w:szCs w:val="18"/>
        </w:rPr>
        <w:t>, eerste lid,</w:t>
      </w:r>
      <w:r w:rsidRPr="00FF46E3">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waarin is bepaald dat de bevoegde autoriteit, het CSIRT en het centrale contactpunt met elkaar samen werken voor de doeltreffende en doelmatige uitoefening van hun taken uit hoofde van de </w:t>
      </w:r>
      <w:proofErr w:type="spellStart"/>
      <w:r w:rsidRPr="00FF46E3">
        <w:rPr>
          <w:rFonts w:ascii="Verdana" w:hAnsi="Verdana"/>
          <w:sz w:val="18"/>
          <w:szCs w:val="18"/>
        </w:rPr>
        <w:t>Cbw</w:t>
      </w:r>
      <w:proofErr w:type="spellEnd"/>
      <w:r w:rsidRPr="00FF46E3">
        <w:rPr>
          <w:rFonts w:ascii="Verdana" w:hAnsi="Verdana"/>
          <w:sz w:val="18"/>
          <w:szCs w:val="18"/>
        </w:rPr>
        <w:t xml:space="preserve"> en daartoe onderling alle daarvoor benodigde gegevens uitwisselen, waaronder persoonsgegevens. </w:t>
      </w:r>
    </w:p>
    <w:p w:rsidRPr="00FF46E3" w:rsidR="00C72DA6" w:rsidP="00C72DA6" w:rsidRDefault="00C72DA6" w14:paraId="1926DD06" w14:textId="77777777">
      <w:pPr>
        <w:pStyle w:val="Geenafstand"/>
        <w:rPr>
          <w:rFonts w:ascii="Verdana" w:hAnsi="Verdana"/>
          <w:sz w:val="18"/>
          <w:szCs w:val="18"/>
        </w:rPr>
      </w:pPr>
    </w:p>
    <w:p w:rsidRPr="00FF46E3" w:rsidR="00C72DA6" w:rsidP="00C3466E" w:rsidRDefault="00C72DA6" w14:paraId="02F9F7DD" w14:textId="01484A5F">
      <w:pPr>
        <w:pStyle w:val="Kop3"/>
      </w:pPr>
      <w:bookmarkStart w:name="_Toc198721111" w:id="147"/>
      <w:r w:rsidRPr="00FF46E3">
        <w:t>6.</w:t>
      </w:r>
      <w:r w:rsidR="00413E1E">
        <w:t>4</w:t>
      </w:r>
      <w:r w:rsidRPr="00FF46E3">
        <w:t>.3 Minimale gegevensverwerking</w:t>
      </w:r>
      <w:bookmarkEnd w:id="147"/>
    </w:p>
    <w:p w:rsidRPr="00FF46E3" w:rsidR="00C72DA6" w:rsidP="00C72DA6" w:rsidRDefault="00C72DA6" w14:paraId="4AA6941B" w14:textId="77777777">
      <w:pPr>
        <w:pStyle w:val="Geenafstand"/>
        <w:rPr>
          <w:rFonts w:ascii="Verdana" w:hAnsi="Verdana"/>
          <w:sz w:val="18"/>
          <w:szCs w:val="18"/>
        </w:rPr>
      </w:pPr>
    </w:p>
    <w:p w:rsidRPr="00FF46E3" w:rsidR="00C72DA6" w:rsidP="00C72DA6" w:rsidRDefault="00C72DA6" w14:paraId="738C99D6" w14:textId="048B34D3">
      <w:pPr>
        <w:pStyle w:val="Geenafstand"/>
        <w:rPr>
          <w:rFonts w:ascii="Verdana" w:hAnsi="Verdana"/>
          <w:sz w:val="18"/>
          <w:szCs w:val="18"/>
        </w:rPr>
      </w:pPr>
      <w:r w:rsidRPr="00FF46E3">
        <w:rPr>
          <w:rFonts w:ascii="Verdana" w:hAnsi="Verdana"/>
          <w:sz w:val="18"/>
          <w:szCs w:val="18"/>
        </w:rPr>
        <w:t xml:space="preserve">In </w:t>
      </w:r>
      <w:bookmarkStart w:name="_Hlk178930214" w:id="148"/>
      <w:r w:rsidRPr="00FF46E3">
        <w:rPr>
          <w:rFonts w:ascii="Verdana" w:hAnsi="Verdana"/>
          <w:sz w:val="18"/>
          <w:szCs w:val="18"/>
        </w:rPr>
        <w:t xml:space="preserve">artikel 5, eerste lid, onderdeel c, </w:t>
      </w:r>
      <w:proofErr w:type="spellStart"/>
      <w:r w:rsidRPr="00FF46E3">
        <w:rPr>
          <w:rFonts w:ascii="Verdana" w:hAnsi="Verdana"/>
          <w:sz w:val="18"/>
          <w:szCs w:val="18"/>
        </w:rPr>
        <w:t>Avg</w:t>
      </w:r>
      <w:proofErr w:type="spellEnd"/>
      <w:r w:rsidRPr="00FF46E3">
        <w:rPr>
          <w:rFonts w:ascii="Verdana" w:hAnsi="Verdana"/>
          <w:sz w:val="18"/>
          <w:szCs w:val="18"/>
        </w:rPr>
        <w:t xml:space="preserve"> </w:t>
      </w:r>
      <w:bookmarkStart w:name="_Hlk178930195" w:id="149"/>
      <w:bookmarkEnd w:id="148"/>
      <w:r w:rsidRPr="00FF46E3">
        <w:rPr>
          <w:rFonts w:ascii="Verdana" w:hAnsi="Verdana"/>
          <w:sz w:val="18"/>
          <w:szCs w:val="18"/>
        </w:rPr>
        <w:t xml:space="preserve">is bepaald dat persoonsgegevens toereikend moeten zijn, ter zake dienend en beperkt tot wat noodzakelijk is voor de doeleinden waarvoor zij worden verwerkt. </w:t>
      </w:r>
      <w:bookmarkEnd w:id="149"/>
      <w:r w:rsidRPr="00FF46E3">
        <w:rPr>
          <w:rFonts w:ascii="Verdana" w:hAnsi="Verdana"/>
          <w:sz w:val="18"/>
          <w:szCs w:val="18"/>
        </w:rPr>
        <w:t>Voor de bespreking hiervan wordt verwezen naar paragraaf 6.</w:t>
      </w:r>
      <w:r w:rsidR="00751CDD">
        <w:rPr>
          <w:rFonts w:ascii="Verdana" w:hAnsi="Verdana"/>
          <w:sz w:val="18"/>
          <w:szCs w:val="18"/>
        </w:rPr>
        <w:t>3.3.1</w:t>
      </w:r>
      <w:r w:rsidRPr="00FF46E3">
        <w:rPr>
          <w:rFonts w:ascii="Verdana" w:hAnsi="Verdana"/>
          <w:sz w:val="18"/>
          <w:szCs w:val="18"/>
        </w:rPr>
        <w:t xml:space="preserve">, waarin is ingegaan op de dringende maatschappelijke behoefte voor de verwerking van persoonsgegevens en de noodzaak van die verwerking. </w:t>
      </w:r>
    </w:p>
    <w:p w:rsidRPr="00FF46E3" w:rsidR="00C72DA6" w:rsidP="00C72DA6" w:rsidRDefault="00C72DA6" w14:paraId="73F6A944" w14:textId="77777777">
      <w:pPr>
        <w:pStyle w:val="Geenafstand"/>
        <w:rPr>
          <w:rFonts w:ascii="Verdana" w:hAnsi="Verdana"/>
          <w:sz w:val="18"/>
          <w:szCs w:val="18"/>
        </w:rPr>
      </w:pPr>
    </w:p>
    <w:p w:rsidRPr="00FF46E3" w:rsidR="00C72DA6" w:rsidP="00C3466E" w:rsidRDefault="00C72DA6" w14:paraId="58C87FBA" w14:textId="4D59E29F">
      <w:pPr>
        <w:pStyle w:val="Kop3"/>
      </w:pPr>
      <w:bookmarkStart w:name="_Toc198721112" w:id="150"/>
      <w:r w:rsidRPr="00FF46E3">
        <w:t>6.</w:t>
      </w:r>
      <w:r w:rsidR="00413E1E">
        <w:t>4</w:t>
      </w:r>
      <w:r w:rsidRPr="00FF46E3">
        <w:t>.4 Juistheid</w:t>
      </w:r>
      <w:bookmarkEnd w:id="150"/>
    </w:p>
    <w:p w:rsidRPr="00FF46E3" w:rsidR="00C72DA6" w:rsidP="00C72DA6" w:rsidRDefault="00C72DA6" w14:paraId="1ED8DD50" w14:textId="77777777">
      <w:pPr>
        <w:pStyle w:val="Geenafstand"/>
        <w:rPr>
          <w:rFonts w:ascii="Verdana" w:hAnsi="Verdana"/>
          <w:sz w:val="18"/>
          <w:szCs w:val="18"/>
        </w:rPr>
      </w:pPr>
    </w:p>
    <w:p w:rsidRPr="00FF46E3" w:rsidR="00C72DA6" w:rsidP="00C72DA6" w:rsidRDefault="00C72DA6" w14:paraId="00AEF845" w14:textId="77777777">
      <w:pPr>
        <w:pStyle w:val="Geenafstand"/>
        <w:rPr>
          <w:rFonts w:ascii="Verdana" w:hAnsi="Verdana"/>
          <w:sz w:val="18"/>
          <w:szCs w:val="18"/>
        </w:rPr>
      </w:pPr>
      <w:r w:rsidRPr="00FF46E3">
        <w:rPr>
          <w:rFonts w:ascii="Verdana" w:hAnsi="Verdana"/>
          <w:sz w:val="18"/>
          <w:szCs w:val="18"/>
        </w:rPr>
        <w:t xml:space="preserve">In </w:t>
      </w:r>
      <w:bookmarkStart w:name="_Hlk178930228" w:id="151"/>
      <w:r w:rsidRPr="00FF46E3">
        <w:rPr>
          <w:rFonts w:ascii="Verdana" w:hAnsi="Verdana"/>
          <w:sz w:val="18"/>
          <w:szCs w:val="18"/>
        </w:rPr>
        <w:t xml:space="preserve">artikel 5, eerste lid, onderdeel d, </w:t>
      </w:r>
      <w:proofErr w:type="spellStart"/>
      <w:r w:rsidRPr="00FF46E3">
        <w:rPr>
          <w:rFonts w:ascii="Verdana" w:hAnsi="Verdana"/>
          <w:sz w:val="18"/>
          <w:szCs w:val="18"/>
        </w:rPr>
        <w:t>Avg</w:t>
      </w:r>
      <w:proofErr w:type="spellEnd"/>
      <w:r w:rsidRPr="00FF46E3">
        <w:rPr>
          <w:rFonts w:ascii="Verdana" w:hAnsi="Verdana"/>
          <w:sz w:val="18"/>
          <w:szCs w:val="18"/>
        </w:rPr>
        <w:t xml:space="preserve"> </w:t>
      </w:r>
      <w:bookmarkEnd w:id="151"/>
      <w:r w:rsidRPr="00FF46E3">
        <w:rPr>
          <w:rFonts w:ascii="Verdana" w:hAnsi="Verdana"/>
          <w:sz w:val="18"/>
          <w:szCs w:val="18"/>
        </w:rPr>
        <w:t xml:space="preserve">is bepaald dat </w:t>
      </w:r>
      <w:bookmarkStart w:name="_Hlk178930253" w:id="152"/>
      <w:r w:rsidRPr="00FF46E3">
        <w:rPr>
          <w:rFonts w:ascii="Verdana" w:hAnsi="Verdana"/>
          <w:sz w:val="18"/>
          <w:szCs w:val="18"/>
        </w:rPr>
        <w:t xml:space="preserve">persoonsgegevens juist moeten zijn en zo nodig moeten worden geactualiseerd. Ook is hierin bepaald dat alle redelijke maatregelen moeten worden genomen om de persoonsgegevens die, gelet op de doeleinden waarvoor zij worden verwerkt, onjuist zijn, onverwijld te wissen of te rectificeren. </w:t>
      </w:r>
    </w:p>
    <w:bookmarkEnd w:id="152"/>
    <w:p w:rsidRPr="00FF46E3" w:rsidR="00C72DA6" w:rsidP="00C72DA6" w:rsidRDefault="00C72DA6" w14:paraId="53771701" w14:textId="77777777">
      <w:pPr>
        <w:pStyle w:val="Geenafstand"/>
        <w:rPr>
          <w:rFonts w:ascii="Verdana" w:hAnsi="Verdana"/>
          <w:sz w:val="18"/>
          <w:szCs w:val="18"/>
        </w:rPr>
      </w:pPr>
    </w:p>
    <w:p w:rsidRPr="00FF46E3" w:rsidR="00C72DA6" w:rsidP="00C72DA6" w:rsidRDefault="00C72DA6" w14:paraId="1ABA5416" w14:textId="1C94DD02">
      <w:pPr>
        <w:pStyle w:val="Geenafstand"/>
        <w:rPr>
          <w:rFonts w:ascii="Verdana" w:hAnsi="Verdana"/>
          <w:sz w:val="18"/>
          <w:szCs w:val="18"/>
        </w:rPr>
      </w:pPr>
      <w:r w:rsidRPr="00FF46E3">
        <w:rPr>
          <w:rFonts w:ascii="Verdana" w:hAnsi="Verdana"/>
          <w:sz w:val="18"/>
          <w:szCs w:val="18"/>
        </w:rPr>
        <w:t>Het CSIRT, de bevoegde autoriteit en de Minister van Justitie en Veiligheid (als centra</w:t>
      </w:r>
      <w:r w:rsidR="006B78AD">
        <w:rPr>
          <w:rFonts w:ascii="Verdana" w:hAnsi="Verdana"/>
          <w:sz w:val="18"/>
          <w:szCs w:val="18"/>
        </w:rPr>
        <w:t>a</w:t>
      </w:r>
      <w:r w:rsidRPr="00FF46E3">
        <w:rPr>
          <w:rFonts w:ascii="Verdana" w:hAnsi="Verdana"/>
          <w:sz w:val="18"/>
          <w:szCs w:val="18"/>
        </w:rPr>
        <w:t>l contactpunt en beheerder van het nationale register) moeten dus passende maatregelen nemen om de juistheid van de gegevens te borgen. Dit betekent dat er processen en procedures uitgewerkt moeten worden om fouten bij het verkrijgen van de gegevens te voorkomen en om de gegevens met enige regelmaat te controleren. Deze processen en procedures worden door de Minister van Justitie en Veiligheid, het CSIRT en de bevoegde autoriteit in samenspraak met de functionaris gegevensbescherming opgesteld.</w:t>
      </w:r>
    </w:p>
    <w:p w:rsidRPr="00FF46E3" w:rsidR="00C72DA6" w:rsidP="00C72DA6" w:rsidRDefault="00C72DA6" w14:paraId="7938A34F" w14:textId="77777777">
      <w:pPr>
        <w:pStyle w:val="Geenafstand"/>
        <w:rPr>
          <w:rFonts w:ascii="Verdana" w:hAnsi="Verdana"/>
          <w:sz w:val="18"/>
          <w:szCs w:val="18"/>
        </w:rPr>
      </w:pPr>
    </w:p>
    <w:p w:rsidRPr="00FF46E3" w:rsidR="00C72DA6" w:rsidP="00C3466E" w:rsidRDefault="00C72DA6" w14:paraId="0CDE0D4E" w14:textId="0C57CBE0">
      <w:pPr>
        <w:pStyle w:val="Kop3"/>
      </w:pPr>
      <w:bookmarkStart w:name="_Toc198721113" w:id="153"/>
      <w:r w:rsidRPr="00FF46E3">
        <w:t>6.</w:t>
      </w:r>
      <w:r w:rsidR="00413E1E">
        <w:t>4</w:t>
      </w:r>
      <w:r w:rsidRPr="00FF46E3">
        <w:t>.5 Opslagbeperking</w:t>
      </w:r>
      <w:bookmarkEnd w:id="153"/>
    </w:p>
    <w:p w:rsidRPr="00FF46E3" w:rsidR="00C72DA6" w:rsidP="00C72DA6" w:rsidRDefault="00C72DA6" w14:paraId="3DB129B3" w14:textId="77777777">
      <w:pPr>
        <w:pStyle w:val="Geenafstand"/>
        <w:rPr>
          <w:rFonts w:ascii="Verdana" w:hAnsi="Verdana"/>
          <w:sz w:val="18"/>
          <w:szCs w:val="18"/>
        </w:rPr>
      </w:pPr>
    </w:p>
    <w:p w:rsidRPr="00FF46E3" w:rsidR="00C72DA6" w:rsidP="00C72DA6" w:rsidRDefault="00C72DA6" w14:paraId="509992FD" w14:textId="27F91C7B">
      <w:pPr>
        <w:pStyle w:val="Geenafstand"/>
        <w:rPr>
          <w:rFonts w:ascii="Verdana" w:hAnsi="Verdana"/>
          <w:sz w:val="18"/>
          <w:szCs w:val="18"/>
        </w:rPr>
      </w:pPr>
      <w:bookmarkStart w:name="_Hlk178930270" w:id="154"/>
      <w:r w:rsidRPr="00FF46E3">
        <w:rPr>
          <w:rFonts w:ascii="Verdana" w:hAnsi="Verdana"/>
          <w:sz w:val="18"/>
          <w:szCs w:val="18"/>
        </w:rPr>
        <w:t xml:space="preserve">In artikel 5, eerste lid, onderdeel e, </w:t>
      </w:r>
      <w:proofErr w:type="spellStart"/>
      <w:r w:rsidRPr="00FF46E3">
        <w:rPr>
          <w:rFonts w:ascii="Verdana" w:hAnsi="Verdana"/>
          <w:sz w:val="18"/>
          <w:szCs w:val="18"/>
        </w:rPr>
        <w:t>Avg</w:t>
      </w:r>
      <w:proofErr w:type="spellEnd"/>
      <w:r w:rsidRPr="00FF46E3">
        <w:rPr>
          <w:rFonts w:ascii="Verdana" w:hAnsi="Verdana"/>
          <w:sz w:val="18"/>
          <w:szCs w:val="18"/>
        </w:rPr>
        <w:t xml:space="preserve"> is bepaald dat persoonsgegevens moeten worden bewaard in een vorm die het mogelijk maakt de betrokkenen niet langer te identificeren dan noodzakelijk is voor de doeleinden waarvoor de persoonsgegevens worden verwerkt. </w:t>
      </w:r>
      <w:r w:rsidR="004050AB">
        <w:rPr>
          <w:rFonts w:ascii="Verdana" w:hAnsi="Verdana"/>
          <w:sz w:val="18"/>
          <w:szCs w:val="18"/>
        </w:rPr>
        <w:t>Het</w:t>
      </w:r>
      <w:r w:rsidRPr="004050AB" w:rsidR="004050AB">
        <w:rPr>
          <w:rFonts w:ascii="Verdana" w:hAnsi="Verdana"/>
          <w:sz w:val="18"/>
          <w:szCs w:val="18"/>
        </w:rPr>
        <w:t xml:space="preserve"> CSIRT en de bevoegde autoriteit zullen voor verschillende processen, verschillende bewaartermijnen hanteren. Zo zal een CSIRT voor het proces rondom het melden van een incident een andere bewaartermijn hanteren dan voor het verzamelen en distribueren van dreigingsinformatie. Bij het bepalen van de bewaartermijnen zal enerzijds worden aangesloten bij de bestaande praktijk op grond van de </w:t>
      </w:r>
      <w:proofErr w:type="spellStart"/>
      <w:r w:rsidRPr="004050AB" w:rsidR="004050AB">
        <w:rPr>
          <w:rFonts w:ascii="Verdana" w:hAnsi="Verdana"/>
          <w:sz w:val="18"/>
          <w:szCs w:val="18"/>
        </w:rPr>
        <w:t>Wbni</w:t>
      </w:r>
      <w:proofErr w:type="spellEnd"/>
      <w:r w:rsidRPr="004050AB" w:rsidR="004050AB">
        <w:rPr>
          <w:rFonts w:ascii="Verdana" w:hAnsi="Verdana"/>
          <w:sz w:val="18"/>
          <w:szCs w:val="18"/>
        </w:rPr>
        <w:t xml:space="preserve"> en anderzijds bij de binnen een ministerie geldende uitgangspunten rondom selectie- en vernietiging van bescheiden. Ook zal naar de Archiefwet worden gekeken. De bewaartermijnen zullen periodiek worden geëvalueerd. </w:t>
      </w:r>
      <w:bookmarkEnd w:id="154"/>
    </w:p>
    <w:p w:rsidRPr="00FF46E3" w:rsidR="00C72DA6" w:rsidP="00C72DA6" w:rsidRDefault="00C72DA6" w14:paraId="2EA8E162" w14:textId="77777777">
      <w:pPr>
        <w:pStyle w:val="Geenafstand"/>
        <w:rPr>
          <w:rFonts w:ascii="Verdana" w:hAnsi="Verdana"/>
          <w:sz w:val="18"/>
          <w:szCs w:val="18"/>
        </w:rPr>
      </w:pPr>
    </w:p>
    <w:p w:rsidRPr="00FF46E3" w:rsidR="00C72DA6" w:rsidP="00C3466E" w:rsidRDefault="00C72DA6" w14:paraId="1FDB2E8A" w14:textId="1AC673B3">
      <w:pPr>
        <w:pStyle w:val="Kop3"/>
      </w:pPr>
      <w:bookmarkStart w:name="_Toc198721114" w:id="155"/>
      <w:r w:rsidRPr="00FF46E3">
        <w:t>6.</w:t>
      </w:r>
      <w:r w:rsidR="00413E1E">
        <w:t>4</w:t>
      </w:r>
      <w:r w:rsidRPr="00FF46E3">
        <w:t>.6 Integriteit en vertrouwelijkheid</w:t>
      </w:r>
      <w:bookmarkEnd w:id="155"/>
    </w:p>
    <w:p w:rsidRPr="00FF46E3" w:rsidR="00C72DA6" w:rsidP="00C72DA6" w:rsidRDefault="00C72DA6" w14:paraId="369537FA" w14:textId="77777777">
      <w:pPr>
        <w:pStyle w:val="Geenafstand"/>
        <w:rPr>
          <w:rFonts w:ascii="Verdana" w:hAnsi="Verdana"/>
          <w:sz w:val="18"/>
          <w:szCs w:val="18"/>
        </w:rPr>
      </w:pPr>
    </w:p>
    <w:p w:rsidRPr="00FF46E3" w:rsidR="00C72DA6" w:rsidP="00C72DA6" w:rsidRDefault="00C72DA6" w14:paraId="1591557A" w14:textId="4CFC886A">
      <w:pPr>
        <w:pStyle w:val="Geenafstand"/>
        <w:rPr>
          <w:rFonts w:ascii="Verdana" w:hAnsi="Verdana"/>
          <w:sz w:val="18"/>
          <w:szCs w:val="18"/>
        </w:rPr>
      </w:pPr>
      <w:r w:rsidRPr="00FF46E3">
        <w:rPr>
          <w:rFonts w:ascii="Verdana" w:hAnsi="Verdana"/>
          <w:sz w:val="18"/>
          <w:szCs w:val="18"/>
        </w:rPr>
        <w:t xml:space="preserve">In artikel 5, eerste lid, onderdeel f, </w:t>
      </w:r>
      <w:proofErr w:type="spellStart"/>
      <w:r w:rsidRPr="00FF46E3">
        <w:rPr>
          <w:rFonts w:ascii="Verdana" w:hAnsi="Verdana"/>
          <w:sz w:val="18"/>
          <w:szCs w:val="18"/>
        </w:rPr>
        <w:t>Avg</w:t>
      </w:r>
      <w:proofErr w:type="spellEnd"/>
      <w:r w:rsidRPr="00FF46E3">
        <w:rPr>
          <w:rFonts w:ascii="Verdana" w:hAnsi="Verdana"/>
          <w:sz w:val="18"/>
          <w:szCs w:val="18"/>
        </w:rPr>
        <w:t xml:space="preserve"> is bepaald </w:t>
      </w:r>
      <w:r w:rsidR="00E06A2B">
        <w:rPr>
          <w:rFonts w:ascii="Verdana" w:hAnsi="Verdana"/>
          <w:sz w:val="18"/>
          <w:szCs w:val="18"/>
        </w:rPr>
        <w:t>dat persoonsgegevens, d</w:t>
      </w:r>
      <w:r w:rsidRPr="00E06A2B" w:rsidR="00E06A2B">
        <w:rPr>
          <w:rFonts w:ascii="Verdana" w:hAnsi="Verdana"/>
          <w:sz w:val="18"/>
          <w:szCs w:val="18"/>
        </w:rPr>
        <w:t>oor het nemen van passende technische of organisatorische maatregelen</w:t>
      </w:r>
      <w:r w:rsidR="00E06A2B">
        <w:rPr>
          <w:rFonts w:ascii="Verdana" w:hAnsi="Verdana"/>
          <w:sz w:val="18"/>
          <w:szCs w:val="18"/>
        </w:rPr>
        <w:t>,</w:t>
      </w:r>
      <w:r w:rsidRPr="00E06A2B" w:rsidR="00E06A2B">
        <w:rPr>
          <w:rFonts w:ascii="Verdana" w:hAnsi="Verdana"/>
          <w:sz w:val="18"/>
          <w:szCs w:val="18"/>
        </w:rPr>
        <w:t xml:space="preserve"> op een dusdanige manier </w:t>
      </w:r>
      <w:r w:rsidR="00E06A2B">
        <w:rPr>
          <w:rFonts w:ascii="Verdana" w:hAnsi="Verdana"/>
          <w:sz w:val="18"/>
          <w:szCs w:val="18"/>
        </w:rPr>
        <w:t xml:space="preserve">moeten </w:t>
      </w:r>
      <w:r w:rsidRPr="00E06A2B" w:rsidR="00E06A2B">
        <w:rPr>
          <w:rFonts w:ascii="Verdana" w:hAnsi="Verdana"/>
          <w:sz w:val="18"/>
          <w:szCs w:val="18"/>
        </w:rPr>
        <w:t xml:space="preserve">worden verwerkt dat een passende beveiliging ervan gewaarborgd is, en dat zij onder meer beschermd </w:t>
      </w:r>
      <w:r w:rsidR="00BB6B4B">
        <w:rPr>
          <w:rFonts w:ascii="Verdana" w:hAnsi="Verdana"/>
          <w:sz w:val="18"/>
          <w:szCs w:val="18"/>
        </w:rPr>
        <w:t xml:space="preserve">moeten </w:t>
      </w:r>
      <w:r w:rsidRPr="00E06A2B" w:rsidR="00E06A2B">
        <w:rPr>
          <w:rFonts w:ascii="Verdana" w:hAnsi="Verdana"/>
          <w:sz w:val="18"/>
          <w:szCs w:val="18"/>
        </w:rPr>
        <w:t>zijn tegen ongeoorloofde of onrechtmatige verwerking en tegen onopzettelijk verlies, vernietiging of beschadiging</w:t>
      </w:r>
      <w:r w:rsidR="00E06A2B">
        <w:rPr>
          <w:rFonts w:ascii="Verdana" w:hAnsi="Verdana"/>
          <w:sz w:val="18"/>
          <w:szCs w:val="18"/>
        </w:rPr>
        <w:t xml:space="preserve">. </w:t>
      </w:r>
      <w:r w:rsidR="004050AB">
        <w:rPr>
          <w:rFonts w:ascii="Verdana" w:hAnsi="Verdana"/>
          <w:sz w:val="18"/>
          <w:szCs w:val="18"/>
        </w:rPr>
        <w:t xml:space="preserve">Ten aanzien van </w:t>
      </w:r>
      <w:proofErr w:type="spellStart"/>
      <w:r w:rsidR="00E06A2B">
        <w:rPr>
          <w:rFonts w:ascii="Verdana" w:hAnsi="Verdana"/>
          <w:sz w:val="18"/>
          <w:szCs w:val="18"/>
        </w:rPr>
        <w:t>CSIRT’s</w:t>
      </w:r>
      <w:proofErr w:type="spellEnd"/>
      <w:r w:rsidR="00E06A2B">
        <w:rPr>
          <w:rFonts w:ascii="Verdana" w:hAnsi="Verdana"/>
          <w:sz w:val="18"/>
          <w:szCs w:val="18"/>
        </w:rPr>
        <w:t xml:space="preserve"> geldt tevens dat zij moeten voldoen aan de (</w:t>
      </w:r>
      <w:proofErr w:type="spellStart"/>
      <w:r w:rsidR="00E06A2B">
        <w:rPr>
          <w:rFonts w:ascii="Verdana" w:hAnsi="Verdana"/>
          <w:sz w:val="18"/>
          <w:szCs w:val="18"/>
        </w:rPr>
        <w:t>beveiligings</w:t>
      </w:r>
      <w:proofErr w:type="spellEnd"/>
      <w:r w:rsidR="00E06A2B">
        <w:rPr>
          <w:rFonts w:ascii="Verdana" w:hAnsi="Verdana"/>
          <w:sz w:val="18"/>
          <w:szCs w:val="18"/>
        </w:rPr>
        <w:t>)eisen uit</w:t>
      </w:r>
      <w:r w:rsidR="004050AB">
        <w:rPr>
          <w:rFonts w:ascii="Verdana" w:hAnsi="Verdana"/>
          <w:sz w:val="18"/>
          <w:szCs w:val="18"/>
        </w:rPr>
        <w:t xml:space="preserve"> artikel 11, eerste lid, NIS2-richtlijn.</w:t>
      </w:r>
      <w:r w:rsidRPr="00FF46E3">
        <w:rPr>
          <w:rFonts w:ascii="Verdana" w:hAnsi="Verdana"/>
          <w:sz w:val="18"/>
          <w:szCs w:val="18"/>
        </w:rPr>
        <w:t xml:space="preserve"> </w:t>
      </w:r>
      <w:r w:rsidR="00E06A2B">
        <w:rPr>
          <w:rFonts w:ascii="Verdana" w:hAnsi="Verdana"/>
          <w:sz w:val="18"/>
          <w:szCs w:val="18"/>
        </w:rPr>
        <w:t>Ten aanzien van de bevoegde autoriteit geldt dat de vakminister is aangewezen als de bevoegde autoriteit van de sector waar hij beleidsverantwoordelijk voor is. Alle ministeries</w:t>
      </w:r>
      <w:r w:rsidR="00F66FBE">
        <w:rPr>
          <w:rFonts w:ascii="Verdana" w:hAnsi="Verdana"/>
          <w:sz w:val="18"/>
          <w:szCs w:val="18"/>
        </w:rPr>
        <w:t>, behalve het Ministerie van Defensie,</w:t>
      </w:r>
      <w:r w:rsidR="00E06A2B">
        <w:rPr>
          <w:rFonts w:ascii="Verdana" w:hAnsi="Verdana"/>
          <w:sz w:val="18"/>
          <w:szCs w:val="18"/>
        </w:rPr>
        <w:t xml:space="preserve"> zijn </w:t>
      </w:r>
      <w:r w:rsidRPr="00FF46E3">
        <w:rPr>
          <w:rFonts w:ascii="Verdana" w:hAnsi="Verdana"/>
          <w:sz w:val="18"/>
          <w:szCs w:val="18"/>
        </w:rPr>
        <w:t xml:space="preserve">essentiële entiteit in de zin van de </w:t>
      </w:r>
      <w:proofErr w:type="spellStart"/>
      <w:r w:rsidRPr="00FF46E3">
        <w:rPr>
          <w:rFonts w:ascii="Verdana" w:hAnsi="Verdana"/>
          <w:sz w:val="18"/>
          <w:szCs w:val="18"/>
        </w:rPr>
        <w:t>Cbw</w:t>
      </w:r>
      <w:proofErr w:type="spellEnd"/>
      <w:r w:rsidRPr="00FF46E3">
        <w:rPr>
          <w:rFonts w:ascii="Verdana" w:hAnsi="Verdana"/>
          <w:sz w:val="18"/>
          <w:szCs w:val="18"/>
        </w:rPr>
        <w:t xml:space="preserve"> en </w:t>
      </w:r>
      <w:r w:rsidR="00E06A2B">
        <w:rPr>
          <w:rFonts w:ascii="Verdana" w:hAnsi="Verdana"/>
          <w:sz w:val="18"/>
          <w:szCs w:val="18"/>
        </w:rPr>
        <w:t xml:space="preserve">moeten als gevolg daarvan voldoen aan de zorgplicht uit de </w:t>
      </w:r>
      <w:proofErr w:type="spellStart"/>
      <w:r w:rsidR="00E06A2B">
        <w:rPr>
          <w:rFonts w:ascii="Verdana" w:hAnsi="Verdana"/>
          <w:sz w:val="18"/>
          <w:szCs w:val="18"/>
        </w:rPr>
        <w:t>Cbw</w:t>
      </w:r>
      <w:proofErr w:type="spellEnd"/>
      <w:r w:rsidR="00E06A2B">
        <w:rPr>
          <w:rFonts w:ascii="Verdana" w:hAnsi="Verdana"/>
          <w:sz w:val="18"/>
          <w:szCs w:val="18"/>
        </w:rPr>
        <w:t>.</w:t>
      </w:r>
      <w:r w:rsidR="00E06A2B">
        <w:rPr>
          <w:rStyle w:val="Voetnootmarkering"/>
          <w:rFonts w:ascii="Verdana" w:hAnsi="Verdana"/>
          <w:sz w:val="18"/>
          <w:szCs w:val="18"/>
        </w:rPr>
        <w:footnoteReference w:id="65"/>
      </w:r>
      <w:r w:rsidR="00E06A2B">
        <w:rPr>
          <w:rFonts w:ascii="Verdana" w:hAnsi="Verdana"/>
          <w:sz w:val="18"/>
          <w:szCs w:val="18"/>
        </w:rPr>
        <w:t xml:space="preserve"> </w:t>
      </w:r>
    </w:p>
    <w:p w:rsidRPr="00FF46E3" w:rsidR="00C72DA6" w:rsidP="00C72DA6" w:rsidRDefault="00C72DA6" w14:paraId="0388F321" w14:textId="77777777">
      <w:pPr>
        <w:pStyle w:val="Geenafstand"/>
        <w:rPr>
          <w:rFonts w:ascii="Verdana" w:hAnsi="Verdana"/>
          <w:sz w:val="18"/>
          <w:szCs w:val="18"/>
        </w:rPr>
      </w:pPr>
    </w:p>
    <w:p w:rsidRPr="00FF46E3" w:rsidR="00C72DA6" w:rsidP="00C3466E" w:rsidRDefault="00C72DA6" w14:paraId="37E3E93E" w14:textId="70121909">
      <w:pPr>
        <w:pStyle w:val="Kop3"/>
      </w:pPr>
      <w:bookmarkStart w:name="_Toc198721115" w:id="156"/>
      <w:r w:rsidRPr="00FF46E3">
        <w:t>6.</w:t>
      </w:r>
      <w:r w:rsidR="00413E1E">
        <w:t>4</w:t>
      </w:r>
      <w:r w:rsidRPr="00FF46E3">
        <w:t>.7 Verantwoordingsplicht</w:t>
      </w:r>
      <w:bookmarkEnd w:id="156"/>
    </w:p>
    <w:p w:rsidRPr="00FF46E3" w:rsidR="00C72DA6" w:rsidP="00C72DA6" w:rsidRDefault="00C72DA6" w14:paraId="3D77C877" w14:textId="77777777">
      <w:pPr>
        <w:pStyle w:val="Geenafstand"/>
        <w:rPr>
          <w:rFonts w:ascii="Verdana" w:hAnsi="Verdana"/>
          <w:sz w:val="18"/>
          <w:szCs w:val="18"/>
        </w:rPr>
      </w:pPr>
    </w:p>
    <w:p w:rsidRPr="00FF46E3" w:rsidR="00C72DA6" w:rsidP="00C72DA6" w:rsidRDefault="00C72DA6" w14:paraId="37524802" w14:textId="15EF5F16">
      <w:pPr>
        <w:pStyle w:val="Geenafstand"/>
        <w:rPr>
          <w:rFonts w:ascii="Verdana" w:hAnsi="Verdana"/>
          <w:sz w:val="18"/>
          <w:szCs w:val="18"/>
        </w:rPr>
      </w:pPr>
      <w:r w:rsidRPr="00FF46E3">
        <w:rPr>
          <w:rFonts w:ascii="Verdana" w:hAnsi="Verdana"/>
          <w:sz w:val="18"/>
          <w:szCs w:val="18"/>
        </w:rPr>
        <w:t xml:space="preserve">In artikel 5, tweede lid, </w:t>
      </w:r>
      <w:proofErr w:type="spellStart"/>
      <w:r w:rsidRPr="00FF46E3">
        <w:rPr>
          <w:rFonts w:ascii="Verdana" w:hAnsi="Verdana"/>
          <w:sz w:val="18"/>
          <w:szCs w:val="18"/>
        </w:rPr>
        <w:t>Avg</w:t>
      </w:r>
      <w:proofErr w:type="spellEnd"/>
      <w:r w:rsidRPr="00FF46E3">
        <w:rPr>
          <w:rFonts w:ascii="Verdana" w:hAnsi="Verdana"/>
          <w:sz w:val="18"/>
          <w:szCs w:val="18"/>
        </w:rPr>
        <w:t xml:space="preserve"> is bepaald dat de verwerkingsverantwoordelijke verantwoordelijk is voor de naleving van artikel 5, eerste lid, </w:t>
      </w:r>
      <w:proofErr w:type="spellStart"/>
      <w:r w:rsidRPr="00FF46E3">
        <w:rPr>
          <w:rFonts w:ascii="Verdana" w:hAnsi="Verdana"/>
          <w:sz w:val="18"/>
          <w:szCs w:val="18"/>
        </w:rPr>
        <w:t>Avg</w:t>
      </w:r>
      <w:proofErr w:type="spellEnd"/>
      <w:r w:rsidRPr="00FF46E3">
        <w:rPr>
          <w:rFonts w:ascii="Verdana" w:hAnsi="Verdana"/>
          <w:sz w:val="18"/>
          <w:szCs w:val="18"/>
        </w:rPr>
        <w:t xml:space="preserve"> en deze kan aantonen. Voor de Minister van Justitie en Veiligheid (als centra</w:t>
      </w:r>
      <w:r w:rsidR="006B78AD">
        <w:rPr>
          <w:rFonts w:ascii="Verdana" w:hAnsi="Verdana"/>
          <w:sz w:val="18"/>
          <w:szCs w:val="18"/>
        </w:rPr>
        <w:t>a</w:t>
      </w:r>
      <w:r w:rsidRPr="00FF46E3">
        <w:rPr>
          <w:rFonts w:ascii="Verdana" w:hAnsi="Verdana"/>
          <w:sz w:val="18"/>
          <w:szCs w:val="18"/>
        </w:rPr>
        <w:t xml:space="preserve">l contactpunt en beheerder van het nationale register), het CSIRT en de bevoegde autoriteit betekent dit dat zij intern aan de functionaris gegevensbescherming en extern aan de </w:t>
      </w:r>
      <w:r w:rsidR="00173B13">
        <w:rPr>
          <w:rFonts w:ascii="Verdana" w:hAnsi="Verdana"/>
          <w:sz w:val="18"/>
          <w:szCs w:val="18"/>
        </w:rPr>
        <w:t xml:space="preserve">AP </w:t>
      </w:r>
      <w:r w:rsidRPr="00FF46E3">
        <w:rPr>
          <w:rFonts w:ascii="Verdana" w:hAnsi="Verdana"/>
          <w:sz w:val="18"/>
          <w:szCs w:val="18"/>
        </w:rPr>
        <w:t xml:space="preserve">moeten kunnen verantwoorden dat persoonsgegevens overeenkomstig de </w:t>
      </w:r>
      <w:proofErr w:type="spellStart"/>
      <w:r w:rsidRPr="00FF46E3">
        <w:rPr>
          <w:rFonts w:ascii="Verdana" w:hAnsi="Verdana"/>
          <w:sz w:val="18"/>
          <w:szCs w:val="18"/>
        </w:rPr>
        <w:t>Avg</w:t>
      </w:r>
      <w:proofErr w:type="spellEnd"/>
      <w:r w:rsidRPr="00FF46E3">
        <w:rPr>
          <w:rFonts w:ascii="Verdana" w:hAnsi="Verdana"/>
          <w:sz w:val="18"/>
          <w:szCs w:val="18"/>
        </w:rPr>
        <w:t xml:space="preserve"> zijn verwerkt. </w:t>
      </w:r>
    </w:p>
    <w:p w:rsidRPr="00FF46E3" w:rsidR="00C72DA6" w:rsidP="00C72DA6" w:rsidRDefault="00C72DA6" w14:paraId="6AA15934" w14:textId="77777777">
      <w:pPr>
        <w:pStyle w:val="Geenafstand"/>
        <w:rPr>
          <w:rFonts w:ascii="Verdana" w:hAnsi="Verdana"/>
          <w:sz w:val="18"/>
          <w:szCs w:val="18"/>
        </w:rPr>
      </w:pPr>
    </w:p>
    <w:p w:rsidRPr="00FF46E3" w:rsidR="00C72DA6" w:rsidP="00C72DA6" w:rsidRDefault="00C72DA6" w14:paraId="4AE80FFC" w14:textId="580ED7E6">
      <w:pPr>
        <w:pStyle w:val="Kop2"/>
      </w:pPr>
      <w:bookmarkStart w:name="_Toc198721116" w:id="157"/>
      <w:bookmarkEnd w:id="142"/>
      <w:r w:rsidRPr="00FF46E3">
        <w:t>6.</w:t>
      </w:r>
      <w:r w:rsidR="00413E1E">
        <w:t>5</w:t>
      </w:r>
      <w:r w:rsidRPr="00FF46E3">
        <w:t xml:space="preserve"> Verwerking bijzondere </w:t>
      </w:r>
      <w:r w:rsidR="006A3EED">
        <w:t xml:space="preserve">categorieën van </w:t>
      </w:r>
      <w:r w:rsidRPr="00FF46E3">
        <w:t>persoonsgegevens</w:t>
      </w:r>
      <w:bookmarkEnd w:id="157"/>
    </w:p>
    <w:p w:rsidRPr="00FF46E3" w:rsidR="00C72DA6" w:rsidP="00C72DA6" w:rsidRDefault="00C72DA6" w14:paraId="43BA0632" w14:textId="77777777">
      <w:pPr>
        <w:pStyle w:val="Geenafstand"/>
        <w:rPr>
          <w:rFonts w:ascii="Verdana" w:hAnsi="Verdana"/>
          <w:i/>
          <w:iCs/>
          <w:sz w:val="18"/>
          <w:szCs w:val="18"/>
        </w:rPr>
      </w:pPr>
    </w:p>
    <w:p w:rsidR="00C72DA6" w:rsidP="00C72DA6" w:rsidRDefault="00C72DA6" w14:paraId="528C8939" w14:textId="67E9CA55">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Pr>
          <w:rFonts w:ascii="Verdana" w:hAnsi="Verdana"/>
          <w:sz w:val="18"/>
          <w:szCs w:val="18"/>
        </w:rPr>
        <w:t xml:space="preserve"> bevat in artikel </w:t>
      </w:r>
      <w:r w:rsidR="005507B0">
        <w:rPr>
          <w:rFonts w:ascii="Verdana" w:hAnsi="Verdana"/>
          <w:sz w:val="18"/>
          <w:szCs w:val="18"/>
        </w:rPr>
        <w:t>64</w:t>
      </w:r>
      <w:r w:rsidRPr="00FF46E3" w:rsidR="005507B0">
        <w:rPr>
          <w:rFonts w:ascii="Verdana" w:hAnsi="Verdana"/>
          <w:sz w:val="18"/>
          <w:szCs w:val="18"/>
        </w:rPr>
        <w:t xml:space="preserve"> </w:t>
      </w:r>
      <w:r w:rsidRPr="00FF46E3">
        <w:rPr>
          <w:rFonts w:ascii="Verdana" w:hAnsi="Verdana"/>
          <w:sz w:val="18"/>
          <w:szCs w:val="18"/>
        </w:rPr>
        <w:t xml:space="preserve">een grondslag voor het CSIRT en de bevoegde autoriteit voor de verwerking van bijzondere </w:t>
      </w:r>
      <w:r>
        <w:rPr>
          <w:rFonts w:ascii="Verdana" w:hAnsi="Verdana"/>
          <w:sz w:val="18"/>
          <w:szCs w:val="18"/>
        </w:rPr>
        <w:t xml:space="preserve">categorieën van </w:t>
      </w:r>
      <w:r w:rsidRPr="00FF46E3">
        <w:rPr>
          <w:rFonts w:ascii="Verdana" w:hAnsi="Verdana"/>
          <w:sz w:val="18"/>
          <w:szCs w:val="18"/>
        </w:rPr>
        <w:t>persoonsgegevens</w:t>
      </w:r>
      <w:r>
        <w:rPr>
          <w:rFonts w:ascii="Verdana" w:hAnsi="Verdana"/>
          <w:sz w:val="18"/>
          <w:szCs w:val="18"/>
        </w:rPr>
        <w:t xml:space="preserve"> (hierna: bijzondere persoonsgegevens)</w:t>
      </w:r>
      <w:r w:rsidRPr="00FF46E3">
        <w:rPr>
          <w:rFonts w:ascii="Verdana" w:hAnsi="Verdana"/>
          <w:sz w:val="18"/>
          <w:szCs w:val="18"/>
        </w:rPr>
        <w:t xml:space="preserve">. Dit is noodzakelijk gelet op de in artikel 9, tweede lid, onderdeel g, van de </w:t>
      </w:r>
      <w:proofErr w:type="spellStart"/>
      <w:r w:rsidRPr="00FF46E3">
        <w:rPr>
          <w:rFonts w:ascii="Verdana" w:hAnsi="Verdana"/>
          <w:sz w:val="18"/>
          <w:szCs w:val="18"/>
        </w:rPr>
        <w:t>Avg</w:t>
      </w:r>
      <w:proofErr w:type="spellEnd"/>
      <w:r w:rsidRPr="00FF46E3">
        <w:rPr>
          <w:rFonts w:ascii="Verdana" w:hAnsi="Verdana"/>
          <w:sz w:val="18"/>
          <w:szCs w:val="18"/>
        </w:rPr>
        <w:t xml:space="preserve"> genoemde redenen van zwaarwegend algemeen belang, op grond van Unierecht of </w:t>
      </w:r>
      <w:proofErr w:type="spellStart"/>
      <w:r w:rsidRPr="00FF46E3">
        <w:rPr>
          <w:rFonts w:ascii="Verdana" w:hAnsi="Verdana"/>
          <w:sz w:val="18"/>
          <w:szCs w:val="18"/>
        </w:rPr>
        <w:t>lidstatelijk</w:t>
      </w:r>
      <w:proofErr w:type="spellEnd"/>
      <w:r w:rsidRPr="00FF46E3">
        <w:rPr>
          <w:rFonts w:ascii="Verdana" w:hAnsi="Verdana"/>
          <w:sz w:val="18"/>
          <w:szCs w:val="18"/>
        </w:rPr>
        <w:t xml:space="preserve">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w:t>
      </w:r>
      <w:r w:rsidR="00F678BC">
        <w:rPr>
          <w:rFonts w:ascii="Verdana" w:hAnsi="Verdana"/>
          <w:sz w:val="18"/>
          <w:szCs w:val="18"/>
        </w:rPr>
        <w:t xml:space="preserve">De noodzaak voor de verwerking van </w:t>
      </w:r>
      <w:r w:rsidRPr="005E3A35" w:rsidR="00F678BC">
        <w:rPr>
          <w:rFonts w:ascii="Verdana" w:hAnsi="Verdana"/>
          <w:sz w:val="18"/>
          <w:szCs w:val="18"/>
        </w:rPr>
        <w:t xml:space="preserve">bijzondere persoonsgegevens </w:t>
      </w:r>
      <w:r w:rsidR="00F678BC">
        <w:rPr>
          <w:rFonts w:ascii="Verdana" w:hAnsi="Verdana"/>
          <w:sz w:val="18"/>
          <w:szCs w:val="18"/>
        </w:rPr>
        <w:t>zal</w:t>
      </w:r>
      <w:r w:rsidRPr="005E3A35" w:rsidR="00F678BC">
        <w:rPr>
          <w:rFonts w:ascii="Verdana" w:hAnsi="Verdana"/>
          <w:sz w:val="18"/>
          <w:szCs w:val="18"/>
        </w:rPr>
        <w:t xml:space="preserve"> per geval </w:t>
      </w:r>
      <w:r w:rsidR="00F678BC">
        <w:rPr>
          <w:rFonts w:ascii="Verdana" w:hAnsi="Verdana"/>
          <w:sz w:val="18"/>
          <w:szCs w:val="18"/>
        </w:rPr>
        <w:t>w</w:t>
      </w:r>
      <w:r w:rsidRPr="005E3A35" w:rsidR="00F678BC">
        <w:rPr>
          <w:rFonts w:ascii="Verdana" w:hAnsi="Verdana"/>
          <w:sz w:val="18"/>
          <w:szCs w:val="18"/>
        </w:rPr>
        <w:t>ord</w:t>
      </w:r>
      <w:r w:rsidR="00F678BC">
        <w:rPr>
          <w:rFonts w:ascii="Verdana" w:hAnsi="Verdana"/>
          <w:sz w:val="18"/>
          <w:szCs w:val="18"/>
        </w:rPr>
        <w:t xml:space="preserve">en </w:t>
      </w:r>
      <w:r w:rsidRPr="005E3A35" w:rsidR="00F678BC">
        <w:rPr>
          <w:rFonts w:ascii="Verdana" w:hAnsi="Verdana"/>
          <w:sz w:val="18"/>
          <w:szCs w:val="18"/>
        </w:rPr>
        <w:t xml:space="preserve">beoordeeld in het licht van de zwaardere eisen die de </w:t>
      </w:r>
      <w:proofErr w:type="spellStart"/>
      <w:r w:rsidRPr="005E3A35" w:rsidR="00F678BC">
        <w:rPr>
          <w:rFonts w:ascii="Verdana" w:hAnsi="Verdana"/>
          <w:sz w:val="18"/>
          <w:szCs w:val="18"/>
        </w:rPr>
        <w:t>A</w:t>
      </w:r>
      <w:r w:rsidR="00F678BC">
        <w:rPr>
          <w:rFonts w:ascii="Verdana" w:hAnsi="Verdana"/>
          <w:sz w:val="18"/>
          <w:szCs w:val="18"/>
        </w:rPr>
        <w:t>vg</w:t>
      </w:r>
      <w:proofErr w:type="spellEnd"/>
      <w:r w:rsidRPr="005E3A35" w:rsidR="00F678BC">
        <w:rPr>
          <w:rFonts w:ascii="Verdana" w:hAnsi="Verdana"/>
          <w:sz w:val="18"/>
          <w:szCs w:val="18"/>
        </w:rPr>
        <w:t xml:space="preserve"> </w:t>
      </w:r>
      <w:r w:rsidR="00F678BC">
        <w:rPr>
          <w:rFonts w:ascii="Verdana" w:hAnsi="Verdana"/>
          <w:sz w:val="18"/>
          <w:szCs w:val="18"/>
        </w:rPr>
        <w:t xml:space="preserve">aan </w:t>
      </w:r>
      <w:r w:rsidRPr="005E3A35" w:rsidR="00F678BC">
        <w:rPr>
          <w:rFonts w:ascii="Verdana" w:hAnsi="Verdana"/>
          <w:sz w:val="18"/>
          <w:szCs w:val="18"/>
        </w:rPr>
        <w:t>deze verwerking stelt.</w:t>
      </w:r>
    </w:p>
    <w:p w:rsidR="00F678BC" w:rsidP="00C72DA6" w:rsidRDefault="00F678BC" w14:paraId="4A4B7806" w14:textId="77777777">
      <w:pPr>
        <w:pStyle w:val="Geenafstand"/>
        <w:rPr>
          <w:rFonts w:ascii="Verdana" w:hAnsi="Verdana"/>
          <w:sz w:val="18"/>
          <w:szCs w:val="18"/>
        </w:rPr>
      </w:pPr>
    </w:p>
    <w:p w:rsidRPr="00F678BC" w:rsidR="00F678BC" w:rsidP="00F678BC" w:rsidRDefault="00F678BC" w14:paraId="3D34FA8B" w14:textId="77777777">
      <w:pPr>
        <w:pStyle w:val="Geenafstand"/>
        <w:rPr>
          <w:rFonts w:ascii="Verdana" w:hAnsi="Verdana"/>
          <w:i/>
          <w:iCs/>
          <w:sz w:val="18"/>
          <w:szCs w:val="18"/>
        </w:rPr>
      </w:pPr>
      <w:r w:rsidRPr="00F678BC">
        <w:rPr>
          <w:rFonts w:ascii="Verdana" w:hAnsi="Verdana"/>
          <w:i/>
          <w:iCs/>
          <w:sz w:val="18"/>
          <w:szCs w:val="18"/>
        </w:rPr>
        <w:t>Verwerking bijzondere persoonsgegevens door het CSIRT</w:t>
      </w:r>
    </w:p>
    <w:p w:rsidR="003A5EF8" w:rsidP="00F678BC" w:rsidRDefault="00F678BC" w14:paraId="781542B3" w14:textId="4D62CAF6">
      <w:pPr>
        <w:pStyle w:val="Geenafstand"/>
        <w:rPr>
          <w:rFonts w:ascii="Verdana" w:hAnsi="Verdana"/>
          <w:sz w:val="18"/>
          <w:szCs w:val="18"/>
        </w:rPr>
      </w:pPr>
      <w:r w:rsidRPr="00F678BC">
        <w:rPr>
          <w:rFonts w:ascii="Verdana" w:hAnsi="Verdana"/>
          <w:sz w:val="18"/>
          <w:szCs w:val="18"/>
        </w:rPr>
        <w:t xml:space="preserve">Het CSIRT kan bij analyseren van informatie stuiten op bijzondere persoonsgegevens. </w:t>
      </w:r>
      <w:r w:rsidRPr="00F678BC" w:rsidR="003A5EF8">
        <w:rPr>
          <w:rFonts w:ascii="Verdana" w:hAnsi="Verdana"/>
          <w:sz w:val="18"/>
          <w:szCs w:val="18"/>
        </w:rPr>
        <w:t>Te denken valt aan een dataset die inloggegevens (</w:t>
      </w:r>
      <w:proofErr w:type="spellStart"/>
      <w:r w:rsidRPr="005C6524" w:rsidR="003A5EF8">
        <w:rPr>
          <w:rFonts w:ascii="Verdana" w:hAnsi="Verdana"/>
          <w:i/>
          <w:iCs/>
          <w:sz w:val="18"/>
          <w:szCs w:val="18"/>
        </w:rPr>
        <w:t>credentials</w:t>
      </w:r>
      <w:proofErr w:type="spellEnd"/>
      <w:r w:rsidRPr="00F678BC" w:rsidR="003A5EF8">
        <w:rPr>
          <w:rFonts w:ascii="Verdana" w:hAnsi="Verdana"/>
          <w:sz w:val="18"/>
          <w:szCs w:val="18"/>
        </w:rPr>
        <w:t xml:space="preserve">) bevat waarin ook </w:t>
      </w:r>
      <w:r w:rsidR="003A5EF8">
        <w:rPr>
          <w:rFonts w:ascii="Verdana" w:hAnsi="Verdana"/>
          <w:sz w:val="18"/>
          <w:szCs w:val="18"/>
        </w:rPr>
        <w:t>e-</w:t>
      </w:r>
      <w:r w:rsidRPr="00F678BC" w:rsidR="003A5EF8">
        <w:rPr>
          <w:rFonts w:ascii="Verdana" w:hAnsi="Verdana"/>
          <w:sz w:val="18"/>
          <w:szCs w:val="18"/>
        </w:rPr>
        <w:t>mailadressen zitten waaruit het lidmaatschap van een vakbond, vereniging voor LHBTI-rechten of politieke partij blijkt. Daarnaast kan het bijvoorbeeld voorkomen dat een server van een zorginstelling op het internet staat die medische gegevens bevat of andere bijzondere persoonsgegevens, zoals de dieetwensen van cliënten of patiënten waaruit de geloofsovertuiging kan worden afgeleid. Ook dergelijke data moet het CSIRT in het kader van haar taakuitoefening moeten kunnen analyseren. Er zijn geen categorieën van bijzondere persoonsgegevens die in dit verband bij voorbaat uitgesloten kunnen worden wegens gebrek aan relevantie.</w:t>
      </w:r>
    </w:p>
    <w:p w:rsidR="00521EC0" w:rsidP="00F678BC" w:rsidRDefault="00F678BC" w14:paraId="5D9DF20C" w14:textId="1594AF8E">
      <w:pPr>
        <w:pStyle w:val="Geenafstand"/>
        <w:rPr>
          <w:rFonts w:ascii="Verdana" w:hAnsi="Verdana"/>
          <w:sz w:val="18"/>
          <w:szCs w:val="18"/>
        </w:rPr>
      </w:pPr>
      <w:r w:rsidRPr="00F678BC">
        <w:rPr>
          <w:rFonts w:ascii="Verdana" w:hAnsi="Verdana"/>
          <w:sz w:val="18"/>
          <w:szCs w:val="18"/>
        </w:rPr>
        <w:t xml:space="preserve">Het is niet altijd mogelijk om </w:t>
      </w:r>
      <w:r w:rsidR="00936D08">
        <w:rPr>
          <w:rFonts w:ascii="Verdana" w:hAnsi="Verdana"/>
          <w:sz w:val="18"/>
          <w:szCs w:val="18"/>
        </w:rPr>
        <w:t>bijzondere persoonsgegevens</w:t>
      </w:r>
      <w:r w:rsidRPr="00F678BC">
        <w:rPr>
          <w:rFonts w:ascii="Verdana" w:hAnsi="Verdana"/>
          <w:sz w:val="18"/>
          <w:szCs w:val="18"/>
        </w:rPr>
        <w:t xml:space="preserve"> in geanonimiseerde of </w:t>
      </w:r>
      <w:proofErr w:type="spellStart"/>
      <w:r w:rsidRPr="00F678BC">
        <w:rPr>
          <w:rFonts w:ascii="Verdana" w:hAnsi="Verdana"/>
          <w:sz w:val="18"/>
          <w:szCs w:val="18"/>
        </w:rPr>
        <w:t>gepseudonimiseerde</w:t>
      </w:r>
      <w:proofErr w:type="spellEnd"/>
      <w:r w:rsidRPr="00F678BC">
        <w:rPr>
          <w:rFonts w:ascii="Verdana" w:hAnsi="Verdana"/>
          <w:sz w:val="18"/>
          <w:szCs w:val="18"/>
        </w:rPr>
        <w:t xml:space="preserve"> vorm te analyseren</w:t>
      </w:r>
      <w:r w:rsidR="003A5EF8">
        <w:rPr>
          <w:rFonts w:ascii="Verdana" w:hAnsi="Verdana"/>
          <w:sz w:val="18"/>
          <w:szCs w:val="18"/>
        </w:rPr>
        <w:t>, omdat zij dan</w:t>
      </w:r>
      <w:r w:rsidR="00521EC0">
        <w:rPr>
          <w:rFonts w:ascii="Verdana" w:hAnsi="Verdana"/>
          <w:sz w:val="18"/>
          <w:szCs w:val="18"/>
        </w:rPr>
        <w:t xml:space="preserve"> haar taken op grond van de </w:t>
      </w:r>
      <w:proofErr w:type="spellStart"/>
      <w:r w:rsidR="00521EC0">
        <w:rPr>
          <w:rFonts w:ascii="Verdana" w:hAnsi="Verdana"/>
          <w:sz w:val="18"/>
          <w:szCs w:val="18"/>
        </w:rPr>
        <w:t>Cbw</w:t>
      </w:r>
      <w:proofErr w:type="spellEnd"/>
      <w:r w:rsidR="00521EC0">
        <w:rPr>
          <w:rFonts w:ascii="Verdana" w:hAnsi="Verdana"/>
          <w:sz w:val="18"/>
          <w:szCs w:val="18"/>
        </w:rPr>
        <w:t xml:space="preserve"> </w:t>
      </w:r>
      <w:r w:rsidR="003A5EF8">
        <w:rPr>
          <w:rFonts w:ascii="Verdana" w:hAnsi="Verdana"/>
          <w:sz w:val="18"/>
          <w:szCs w:val="18"/>
        </w:rPr>
        <w:t>niet</w:t>
      </w:r>
      <w:r w:rsidR="00521EC0">
        <w:rPr>
          <w:rFonts w:ascii="Verdana" w:hAnsi="Verdana"/>
          <w:sz w:val="18"/>
          <w:szCs w:val="18"/>
        </w:rPr>
        <w:t xml:space="preserve"> meer kan uitoefenen. </w:t>
      </w:r>
      <w:r w:rsidR="00936D08">
        <w:rPr>
          <w:rFonts w:ascii="Verdana" w:hAnsi="Verdana"/>
          <w:sz w:val="18"/>
          <w:szCs w:val="18"/>
        </w:rPr>
        <w:t xml:space="preserve">Het anonimiseren of </w:t>
      </w:r>
      <w:proofErr w:type="spellStart"/>
      <w:r w:rsidR="00936D08">
        <w:rPr>
          <w:rFonts w:ascii="Verdana" w:hAnsi="Verdana"/>
          <w:sz w:val="18"/>
          <w:szCs w:val="18"/>
        </w:rPr>
        <w:t>pseudonimiseren</w:t>
      </w:r>
      <w:proofErr w:type="spellEnd"/>
      <w:r w:rsidR="00936D08">
        <w:rPr>
          <w:rFonts w:ascii="Verdana" w:hAnsi="Verdana"/>
          <w:sz w:val="18"/>
          <w:szCs w:val="18"/>
        </w:rPr>
        <w:t xml:space="preserve"> van bepaalde gegevens kan bijvoorbeeld ertoe leiden dat</w:t>
      </w:r>
      <w:r w:rsidR="00521EC0">
        <w:rPr>
          <w:rFonts w:ascii="Verdana" w:hAnsi="Verdana"/>
          <w:sz w:val="18"/>
          <w:szCs w:val="18"/>
        </w:rPr>
        <w:t xml:space="preserve"> niet </w:t>
      </w:r>
      <w:r w:rsidR="003A5EF8">
        <w:rPr>
          <w:rFonts w:ascii="Verdana" w:hAnsi="Verdana"/>
          <w:sz w:val="18"/>
          <w:szCs w:val="18"/>
        </w:rPr>
        <w:t xml:space="preserve">meer </w:t>
      </w:r>
      <w:r w:rsidR="00521EC0">
        <w:rPr>
          <w:rFonts w:ascii="Verdana" w:hAnsi="Verdana"/>
          <w:sz w:val="18"/>
          <w:szCs w:val="18"/>
        </w:rPr>
        <w:t xml:space="preserve">achterhaald </w:t>
      </w:r>
      <w:r w:rsidR="00936D08">
        <w:rPr>
          <w:rFonts w:ascii="Verdana" w:hAnsi="Verdana"/>
          <w:sz w:val="18"/>
          <w:szCs w:val="18"/>
        </w:rPr>
        <w:t xml:space="preserve">kan </w:t>
      </w:r>
      <w:r w:rsidR="00521EC0">
        <w:rPr>
          <w:rFonts w:ascii="Verdana" w:hAnsi="Verdana"/>
          <w:sz w:val="18"/>
          <w:szCs w:val="18"/>
        </w:rPr>
        <w:t xml:space="preserve">worden bij welke entiteit </w:t>
      </w:r>
      <w:r w:rsidR="00936D08">
        <w:rPr>
          <w:rFonts w:ascii="Verdana" w:hAnsi="Verdana"/>
          <w:sz w:val="18"/>
          <w:szCs w:val="18"/>
        </w:rPr>
        <w:t xml:space="preserve">dat gegeven hoort, waardoor een </w:t>
      </w:r>
      <w:r w:rsidR="003A5EF8">
        <w:rPr>
          <w:rFonts w:ascii="Verdana" w:hAnsi="Verdana"/>
          <w:sz w:val="18"/>
          <w:szCs w:val="18"/>
        </w:rPr>
        <w:t>entiteit</w:t>
      </w:r>
      <w:r w:rsidR="00936D08">
        <w:rPr>
          <w:rFonts w:ascii="Verdana" w:hAnsi="Verdana"/>
          <w:sz w:val="18"/>
          <w:szCs w:val="18"/>
        </w:rPr>
        <w:t xml:space="preserve"> bijvoorbeeld</w:t>
      </w:r>
      <w:r w:rsidR="003A5EF8">
        <w:rPr>
          <w:rFonts w:ascii="Verdana" w:hAnsi="Verdana"/>
          <w:sz w:val="18"/>
          <w:szCs w:val="18"/>
        </w:rPr>
        <w:t xml:space="preserve"> niet kan worden gewaarschuwd bij een cyberdreiging of -incident</w:t>
      </w:r>
      <w:r w:rsidR="00936D08">
        <w:rPr>
          <w:rFonts w:ascii="Verdana" w:hAnsi="Verdana"/>
          <w:sz w:val="18"/>
          <w:szCs w:val="18"/>
        </w:rPr>
        <w:t xml:space="preserve"> (indien dat geval zich voordoet)</w:t>
      </w:r>
      <w:r w:rsidR="00521EC0">
        <w:rPr>
          <w:rFonts w:ascii="Verdana" w:hAnsi="Verdana"/>
          <w:sz w:val="18"/>
          <w:szCs w:val="18"/>
        </w:rPr>
        <w:t xml:space="preserve">. </w:t>
      </w:r>
    </w:p>
    <w:p w:rsidRPr="00F678BC" w:rsidR="00F678BC" w:rsidP="00F678BC" w:rsidRDefault="00F678BC" w14:paraId="25268E01" w14:textId="77777777">
      <w:pPr>
        <w:pStyle w:val="Geenafstand"/>
        <w:rPr>
          <w:rFonts w:ascii="Verdana" w:hAnsi="Verdana"/>
          <w:sz w:val="18"/>
          <w:szCs w:val="18"/>
        </w:rPr>
      </w:pPr>
    </w:p>
    <w:p w:rsidRPr="00F678BC" w:rsidR="00F678BC" w:rsidP="00F678BC" w:rsidRDefault="00F678BC" w14:paraId="53228F9C" w14:textId="77777777">
      <w:pPr>
        <w:pStyle w:val="Geenafstand"/>
        <w:rPr>
          <w:rFonts w:ascii="Verdana" w:hAnsi="Verdana"/>
          <w:i/>
          <w:iCs/>
          <w:sz w:val="18"/>
          <w:szCs w:val="18"/>
        </w:rPr>
      </w:pPr>
      <w:r w:rsidRPr="00F678BC">
        <w:rPr>
          <w:rFonts w:ascii="Verdana" w:hAnsi="Verdana"/>
          <w:i/>
          <w:iCs/>
          <w:sz w:val="18"/>
          <w:szCs w:val="18"/>
        </w:rPr>
        <w:t>Verwerking bijzondere persoonsgegevens door bevoegde autoriteit</w:t>
      </w:r>
    </w:p>
    <w:p w:rsidRPr="00F678BC" w:rsidR="00F678BC" w:rsidP="00F678BC" w:rsidRDefault="00F678BC" w14:paraId="6FEC25F1" w14:textId="1B827EBD">
      <w:pPr>
        <w:pStyle w:val="Geenafstand"/>
        <w:rPr>
          <w:rFonts w:ascii="Verdana" w:hAnsi="Verdana"/>
          <w:sz w:val="18"/>
          <w:szCs w:val="18"/>
        </w:rPr>
      </w:pPr>
      <w:bookmarkStart w:name="_Hlk194394111" w:id="158"/>
      <w:r w:rsidRPr="00F678BC">
        <w:rPr>
          <w:rFonts w:ascii="Verdana" w:hAnsi="Verdana"/>
          <w:sz w:val="18"/>
          <w:szCs w:val="18"/>
        </w:rPr>
        <w:t xml:space="preserve">De bevoegde autoriteit kan bij het uitvoeren van bijvoorbeeld een audit of </w:t>
      </w:r>
      <w:r w:rsidR="002A4646">
        <w:rPr>
          <w:rFonts w:ascii="Verdana" w:hAnsi="Verdana"/>
          <w:sz w:val="18"/>
          <w:szCs w:val="18"/>
        </w:rPr>
        <w:t>beveiligings</w:t>
      </w:r>
      <w:r w:rsidRPr="00F678BC">
        <w:rPr>
          <w:rFonts w:ascii="Verdana" w:hAnsi="Verdana"/>
          <w:sz w:val="18"/>
          <w:szCs w:val="18"/>
        </w:rPr>
        <w:t xml:space="preserve">scan de beschikking krijgen over bijzondere persoonsgegevens. Dit kan met name voorkomen in de zorgsector, omdat in deze sector met medische gegevens van patiënten wordt gewerkt. Het is ook mogelijk dat de bevoegde autoriteit bijzondere persoonsgegevens verwerkt om vast te stellen welke </w:t>
      </w:r>
      <w:r w:rsidRPr="00F678BC">
        <w:rPr>
          <w:rFonts w:ascii="Verdana" w:hAnsi="Verdana"/>
          <w:sz w:val="18"/>
          <w:szCs w:val="18"/>
        </w:rPr>
        <w:lastRenderedPageBreak/>
        <w:t xml:space="preserve">gegevens in geval van een incidenten door onbevoegden zijn verkregen en wat de aard van die gegevens was, en of hieruit eventuele schade zou kunnen volgen. Het is niet altijd mogelijk om deze wettelijke taken uit te voeren als de desbetreffende bijzondere persoonsgegevens zijn geanonimiseerd of </w:t>
      </w:r>
      <w:proofErr w:type="spellStart"/>
      <w:r w:rsidRPr="00F678BC">
        <w:rPr>
          <w:rFonts w:ascii="Verdana" w:hAnsi="Verdana"/>
          <w:sz w:val="18"/>
          <w:szCs w:val="18"/>
        </w:rPr>
        <w:t>gepseudonimiseerd</w:t>
      </w:r>
      <w:proofErr w:type="spellEnd"/>
      <w:r w:rsidRPr="00F678BC">
        <w:rPr>
          <w:rFonts w:ascii="Verdana" w:hAnsi="Verdana"/>
          <w:sz w:val="18"/>
          <w:szCs w:val="18"/>
        </w:rPr>
        <w:t>. Ook hier geldt dat er geen categorieën van bijzondere persoonsgegevens zijn die in dit verband bij voorbaat uitgesloten kunnen worden wegens gebrek aan relevantie.</w:t>
      </w:r>
    </w:p>
    <w:bookmarkEnd w:id="158"/>
    <w:p w:rsidRPr="00C72DA6" w:rsidR="00C72DA6" w:rsidP="00C72DA6" w:rsidRDefault="00C72DA6" w14:paraId="4BFBF2B0" w14:textId="77777777">
      <w:pPr>
        <w:pStyle w:val="Geenafstand"/>
      </w:pPr>
    </w:p>
    <w:p w:rsidRPr="00FF46E3" w:rsidR="00641215" w:rsidP="00493EC7" w:rsidRDefault="005A5363" w14:paraId="0F1C2BAB" w14:textId="683C6E6E">
      <w:pPr>
        <w:pStyle w:val="Kop1"/>
      </w:pPr>
      <w:bookmarkStart w:name="_Toc198721117" w:id="159"/>
      <w:r w:rsidRPr="00FF46E3">
        <w:t>7</w:t>
      </w:r>
      <w:r w:rsidRPr="00FF46E3" w:rsidR="00641215">
        <w:t>. Verhouding tot nationale regelgeving</w:t>
      </w:r>
      <w:bookmarkEnd w:id="159"/>
    </w:p>
    <w:p w:rsidRPr="00FF46E3" w:rsidR="0001735A" w:rsidP="00945659" w:rsidRDefault="0001735A" w14:paraId="0503E4B1" w14:textId="77777777">
      <w:pPr>
        <w:pStyle w:val="Geenafstand"/>
        <w:rPr>
          <w:rFonts w:ascii="Verdana" w:hAnsi="Verdana"/>
          <w:sz w:val="18"/>
          <w:szCs w:val="18"/>
        </w:rPr>
      </w:pPr>
    </w:p>
    <w:p w:rsidRPr="00FF46E3" w:rsidR="00AD68A2" w:rsidP="00AD68A2" w:rsidRDefault="00AD68A2" w14:paraId="7CC068CC" w14:textId="71655B28">
      <w:pPr>
        <w:pStyle w:val="Kop2"/>
      </w:pPr>
      <w:bookmarkStart w:name="_Toc198721118" w:id="160"/>
      <w:bookmarkStart w:name="_Toc159854666" w:id="161"/>
      <w:bookmarkStart w:name="_Hlk169794800" w:id="162"/>
      <w:r w:rsidRPr="00FF46E3">
        <w:t>7.1 Inleiding</w:t>
      </w:r>
      <w:bookmarkEnd w:id="160"/>
    </w:p>
    <w:p w:rsidRPr="00FF46E3" w:rsidR="00AD68A2" w:rsidRDefault="00AD68A2" w14:paraId="032D5348" w14:textId="77777777">
      <w:pPr>
        <w:pStyle w:val="Geenafstand"/>
        <w:rPr>
          <w:rFonts w:ascii="Verdana" w:hAnsi="Verdana"/>
          <w:sz w:val="18"/>
          <w:szCs w:val="18"/>
        </w:rPr>
      </w:pPr>
    </w:p>
    <w:p w:rsidRPr="00FF46E3" w:rsidR="000E4DB3" w:rsidP="00AD68A2" w:rsidRDefault="000E4DB3" w14:paraId="1080B299" w14:textId="5196043C">
      <w:pPr>
        <w:pStyle w:val="Geenafstand"/>
        <w:rPr>
          <w:szCs w:val="18"/>
        </w:rPr>
      </w:pPr>
      <w:r w:rsidRPr="00FF46E3">
        <w:rPr>
          <w:rFonts w:ascii="Verdana" w:hAnsi="Verdana"/>
          <w:sz w:val="18"/>
          <w:szCs w:val="18"/>
        </w:rPr>
        <w:t>In deze paragraaf wordt beschreven welke verplichtingen er op grond van nationale wetgeving reeds gelden voor specifieke sectoren en wordt bezien hoe die verplichtingen zich verhouden tot de verplichtingen uit de NIS2-richtlijn. Daarbij wordt de wetgeving per ministerie bekeken.</w:t>
      </w:r>
      <w:bookmarkEnd w:id="161"/>
      <w:r w:rsidRPr="00FF46E3">
        <w:rPr>
          <w:rFonts w:ascii="Verdana" w:hAnsi="Verdana"/>
          <w:sz w:val="18"/>
          <w:szCs w:val="18"/>
        </w:rPr>
        <w:t xml:space="preserve"> </w:t>
      </w:r>
    </w:p>
    <w:bookmarkEnd w:id="109"/>
    <w:bookmarkEnd w:id="162"/>
    <w:p w:rsidRPr="00FF46E3" w:rsidR="008372C0" w:rsidP="00AD68A2" w:rsidRDefault="008372C0" w14:paraId="73BCEDED" w14:textId="77777777">
      <w:pPr>
        <w:pStyle w:val="Geenafstand"/>
        <w:rPr>
          <w:szCs w:val="18"/>
        </w:rPr>
      </w:pPr>
    </w:p>
    <w:p w:rsidRPr="00FF46E3" w:rsidR="00792141" w:rsidP="00945659" w:rsidRDefault="00792141" w14:paraId="6D1A5E82" w14:textId="58670EA2">
      <w:pPr>
        <w:pStyle w:val="Kop2"/>
      </w:pPr>
      <w:bookmarkStart w:name="_Toc198721119" w:id="163"/>
      <w:r w:rsidRPr="00FF46E3">
        <w:t>7.</w:t>
      </w:r>
      <w:r w:rsidRPr="00FF46E3" w:rsidR="00AD68A2">
        <w:t>2</w:t>
      </w:r>
      <w:r w:rsidRPr="00FF46E3">
        <w:t xml:space="preserve"> Ministerie van Binnenlandse Zaken en Koninkrijksrelaties</w:t>
      </w:r>
      <w:bookmarkStart w:name="_Hlk148551202" w:id="164"/>
      <w:bookmarkEnd w:id="163"/>
    </w:p>
    <w:p w:rsidR="006C08E2" w:rsidP="00945659" w:rsidRDefault="006C08E2" w14:paraId="36282B1B" w14:textId="77777777">
      <w:pPr>
        <w:pStyle w:val="Geenafstand"/>
        <w:rPr>
          <w:rFonts w:ascii="Verdana" w:hAnsi="Verdana"/>
          <w:sz w:val="18"/>
          <w:szCs w:val="18"/>
        </w:rPr>
      </w:pPr>
    </w:p>
    <w:p w:rsidRPr="00110E86" w:rsidR="00C513C4" w:rsidP="00945659" w:rsidRDefault="00C513C4" w14:paraId="6F4398E0" w14:textId="58F7673C">
      <w:pPr>
        <w:pStyle w:val="Geenafstand"/>
        <w:rPr>
          <w:rFonts w:ascii="Verdana" w:hAnsi="Verdana"/>
          <w:i/>
          <w:iCs/>
          <w:sz w:val="18"/>
          <w:szCs w:val="18"/>
        </w:rPr>
      </w:pPr>
      <w:r>
        <w:rPr>
          <w:rFonts w:ascii="Verdana" w:hAnsi="Verdana"/>
          <w:i/>
          <w:iCs/>
          <w:sz w:val="18"/>
          <w:szCs w:val="18"/>
        </w:rPr>
        <w:t>Inleiding</w:t>
      </w:r>
    </w:p>
    <w:p w:rsidR="00F23B84" w:rsidP="00945659" w:rsidRDefault="00F23B84" w14:paraId="4C66E2D6" w14:textId="7528BA6D">
      <w:pPr>
        <w:pStyle w:val="Geenafstand"/>
        <w:rPr>
          <w:rFonts w:ascii="Verdana" w:hAnsi="Verdana"/>
          <w:sz w:val="18"/>
          <w:szCs w:val="18"/>
        </w:rPr>
      </w:pPr>
      <w:r w:rsidRPr="00F23B84">
        <w:rPr>
          <w:rFonts w:ascii="Verdana" w:hAnsi="Verdana"/>
          <w:sz w:val="18"/>
          <w:szCs w:val="18"/>
        </w:rPr>
        <w:t xml:space="preserve">In verschillende wetten op het terrein van het </w:t>
      </w:r>
      <w:r w:rsidR="00F66FBE">
        <w:rPr>
          <w:rFonts w:ascii="Verdana" w:hAnsi="Verdana"/>
          <w:sz w:val="18"/>
          <w:szCs w:val="18"/>
        </w:rPr>
        <w:t>M</w:t>
      </w:r>
      <w:r w:rsidRPr="00F23B84">
        <w:rPr>
          <w:rFonts w:ascii="Verdana" w:hAnsi="Verdana"/>
          <w:sz w:val="18"/>
          <w:szCs w:val="18"/>
        </w:rPr>
        <w:t xml:space="preserve">inisterie van Binnenlandse Zaken en Koninkrijksrelaties zijn voor diverse vormen van (digitale) dienstverlening door de overheid verplichtingen opgenomen om maatregelen te nemen om de veiligheid en betrouwbaarheid van netwerk- en informatiesystemen te waarborgen. Dergelijke verplichtingen vertonen samenhang met de zorgplicht die de </w:t>
      </w:r>
      <w:proofErr w:type="spellStart"/>
      <w:r w:rsidRPr="00F23B84">
        <w:rPr>
          <w:rFonts w:ascii="Verdana" w:hAnsi="Verdana"/>
          <w:sz w:val="18"/>
          <w:szCs w:val="18"/>
        </w:rPr>
        <w:t>Cbw</w:t>
      </w:r>
      <w:proofErr w:type="spellEnd"/>
      <w:r w:rsidRPr="00F23B84">
        <w:rPr>
          <w:rFonts w:ascii="Verdana" w:hAnsi="Verdana"/>
          <w:sz w:val="18"/>
          <w:szCs w:val="18"/>
        </w:rPr>
        <w:t xml:space="preserve"> oplegt aan overheidsinstanties. In beginsel kunnen de specifieke verplichtingen uit de verschillende wetten naast de zorgplicht uit de </w:t>
      </w:r>
      <w:proofErr w:type="spellStart"/>
      <w:r w:rsidRPr="00F23B84">
        <w:rPr>
          <w:rFonts w:ascii="Verdana" w:hAnsi="Verdana"/>
          <w:sz w:val="18"/>
          <w:szCs w:val="18"/>
        </w:rPr>
        <w:t>Cbw</w:t>
      </w:r>
      <w:proofErr w:type="spellEnd"/>
      <w:r w:rsidRPr="00F23B84">
        <w:rPr>
          <w:rFonts w:ascii="Verdana" w:hAnsi="Verdana"/>
          <w:sz w:val="18"/>
          <w:szCs w:val="18"/>
        </w:rPr>
        <w:t xml:space="preserve"> functioneren. Deels kunnen zij als invulling van die zorgplicht worden gezien. Hierna zal kort op de Wet digitale overheid (hierna: </w:t>
      </w:r>
      <w:proofErr w:type="spellStart"/>
      <w:r w:rsidRPr="00F23B84">
        <w:rPr>
          <w:rFonts w:ascii="Verdana" w:hAnsi="Verdana"/>
          <w:sz w:val="18"/>
          <w:szCs w:val="18"/>
        </w:rPr>
        <w:t>Wdo</w:t>
      </w:r>
      <w:proofErr w:type="spellEnd"/>
      <w:r w:rsidRPr="00F23B84">
        <w:rPr>
          <w:rFonts w:ascii="Verdana" w:hAnsi="Verdana"/>
          <w:sz w:val="18"/>
          <w:szCs w:val="18"/>
        </w:rPr>
        <w:t xml:space="preserve">), de Wet basisregistratie personen (hierna: Wet </w:t>
      </w:r>
      <w:proofErr w:type="spellStart"/>
      <w:r w:rsidRPr="00F23B84">
        <w:rPr>
          <w:rFonts w:ascii="Verdana" w:hAnsi="Verdana"/>
          <w:sz w:val="18"/>
          <w:szCs w:val="18"/>
        </w:rPr>
        <w:t>brp</w:t>
      </w:r>
      <w:proofErr w:type="spellEnd"/>
      <w:r w:rsidRPr="00F23B84">
        <w:rPr>
          <w:rFonts w:ascii="Verdana" w:hAnsi="Verdana"/>
          <w:sz w:val="18"/>
          <w:szCs w:val="18"/>
        </w:rPr>
        <w:t xml:space="preserve">), de Wet algemene bepalingen </w:t>
      </w:r>
      <w:proofErr w:type="spellStart"/>
      <w:r w:rsidRPr="00F23B84">
        <w:rPr>
          <w:rFonts w:ascii="Verdana" w:hAnsi="Verdana"/>
          <w:sz w:val="18"/>
          <w:szCs w:val="18"/>
        </w:rPr>
        <w:t>burgerservicenummer</w:t>
      </w:r>
      <w:proofErr w:type="spellEnd"/>
      <w:r w:rsidRPr="00F23B84">
        <w:rPr>
          <w:rFonts w:ascii="Verdana" w:hAnsi="Verdana"/>
          <w:sz w:val="18"/>
          <w:szCs w:val="18"/>
        </w:rPr>
        <w:t xml:space="preserve"> (hierna: </w:t>
      </w:r>
      <w:proofErr w:type="spellStart"/>
      <w:r w:rsidRPr="00F23B84">
        <w:rPr>
          <w:rFonts w:ascii="Verdana" w:hAnsi="Verdana"/>
          <w:sz w:val="18"/>
          <w:szCs w:val="18"/>
        </w:rPr>
        <w:t>Wabb</w:t>
      </w:r>
      <w:proofErr w:type="spellEnd"/>
      <w:r w:rsidRPr="00F23B84">
        <w:rPr>
          <w:rFonts w:ascii="Verdana" w:hAnsi="Verdana"/>
          <w:sz w:val="18"/>
          <w:szCs w:val="18"/>
        </w:rPr>
        <w:t>) en de Paspoortwet worden ingegaan.</w:t>
      </w:r>
    </w:p>
    <w:p w:rsidR="005C6524" w:rsidP="000B0DE1" w:rsidRDefault="005C6524" w14:paraId="4AFE7CDB" w14:textId="77777777">
      <w:pPr>
        <w:pStyle w:val="Geenafstand"/>
        <w:rPr>
          <w:rFonts w:ascii="Verdana" w:hAnsi="Verdana"/>
          <w:i/>
          <w:iCs/>
          <w:sz w:val="18"/>
          <w:szCs w:val="18"/>
        </w:rPr>
      </w:pPr>
    </w:p>
    <w:p w:rsidRPr="00110E86" w:rsidR="000B0DE1" w:rsidP="000B0DE1" w:rsidRDefault="000B0DE1" w14:paraId="06642019" w14:textId="54BBFDA5">
      <w:pPr>
        <w:pStyle w:val="Geenafstand"/>
        <w:rPr>
          <w:rFonts w:ascii="Verdana" w:hAnsi="Verdana"/>
          <w:i/>
          <w:iCs/>
          <w:sz w:val="18"/>
          <w:szCs w:val="18"/>
        </w:rPr>
      </w:pPr>
      <w:r w:rsidRPr="00110E86">
        <w:rPr>
          <w:rFonts w:ascii="Verdana" w:hAnsi="Verdana"/>
          <w:i/>
          <w:iCs/>
          <w:sz w:val="18"/>
          <w:szCs w:val="18"/>
        </w:rPr>
        <w:t>Wet digitale overheid</w:t>
      </w:r>
    </w:p>
    <w:p w:rsidRPr="000B0DE1" w:rsidR="000B0DE1" w:rsidP="000B0DE1" w:rsidRDefault="000B0DE1" w14:paraId="4A300C6A" w14:textId="44D920C9">
      <w:pPr>
        <w:pStyle w:val="Geenafstand"/>
        <w:rPr>
          <w:rFonts w:ascii="Verdana" w:hAnsi="Verdana"/>
          <w:sz w:val="18"/>
          <w:szCs w:val="18"/>
        </w:rPr>
      </w:pPr>
      <w:r w:rsidRPr="000B0DE1">
        <w:rPr>
          <w:rFonts w:ascii="Verdana" w:hAnsi="Verdana"/>
          <w:sz w:val="18"/>
          <w:szCs w:val="18"/>
        </w:rPr>
        <w:t xml:space="preserve">Artikel 3, tweede lid, </w:t>
      </w:r>
      <w:proofErr w:type="spellStart"/>
      <w:r w:rsidRPr="000B0DE1">
        <w:rPr>
          <w:rFonts w:ascii="Verdana" w:hAnsi="Verdana"/>
          <w:sz w:val="18"/>
          <w:szCs w:val="18"/>
        </w:rPr>
        <w:t>Wdo</w:t>
      </w:r>
      <w:proofErr w:type="spellEnd"/>
      <w:r w:rsidRPr="000B0DE1">
        <w:rPr>
          <w:rFonts w:ascii="Verdana" w:hAnsi="Verdana"/>
          <w:sz w:val="18"/>
          <w:szCs w:val="18"/>
        </w:rPr>
        <w:t xml:space="preserve"> creëert de bevoegdheid om bij </w:t>
      </w:r>
      <w:proofErr w:type="spellStart"/>
      <w:r w:rsidR="00751CDD">
        <w:rPr>
          <w:rFonts w:ascii="Verdana" w:hAnsi="Verdana"/>
          <w:sz w:val="18"/>
          <w:szCs w:val="18"/>
        </w:rPr>
        <w:t>amvb</w:t>
      </w:r>
      <w:proofErr w:type="spellEnd"/>
      <w:r w:rsidRPr="000B0DE1">
        <w:rPr>
          <w:rFonts w:ascii="Verdana" w:hAnsi="Verdana"/>
          <w:sz w:val="18"/>
          <w:szCs w:val="18"/>
        </w:rPr>
        <w:t xml:space="preserve"> een standaard aan te wijzen, indien die standaard noodzakelijk en proportioneel is gelet op onder andere de beveiliging van het elektronisch verkeer. Artikel 5 </w:t>
      </w:r>
      <w:proofErr w:type="spellStart"/>
      <w:r w:rsidRPr="000B0DE1">
        <w:rPr>
          <w:rFonts w:ascii="Verdana" w:hAnsi="Verdana"/>
          <w:sz w:val="18"/>
          <w:szCs w:val="18"/>
        </w:rPr>
        <w:t>Wdo</w:t>
      </w:r>
      <w:proofErr w:type="spellEnd"/>
      <w:r w:rsidRPr="000B0DE1">
        <w:rPr>
          <w:rFonts w:ascii="Verdana" w:hAnsi="Verdana"/>
          <w:sz w:val="18"/>
          <w:szCs w:val="18"/>
        </w:rPr>
        <w:t xml:space="preserve"> bepaalt dat de </w:t>
      </w:r>
      <w:r w:rsidR="00D8291A">
        <w:rPr>
          <w:rFonts w:ascii="Verdana" w:hAnsi="Verdana"/>
          <w:sz w:val="18"/>
          <w:szCs w:val="18"/>
        </w:rPr>
        <w:t>M</w:t>
      </w:r>
      <w:r w:rsidRPr="000B0DE1">
        <w:rPr>
          <w:rFonts w:ascii="Verdana" w:hAnsi="Verdana"/>
          <w:sz w:val="18"/>
          <w:szCs w:val="18"/>
        </w:rPr>
        <w:t xml:space="preserve">inister van </w:t>
      </w:r>
      <w:r w:rsidRPr="00D8291A" w:rsidR="00D8291A">
        <w:rPr>
          <w:rFonts w:ascii="Verdana" w:hAnsi="Verdana"/>
          <w:sz w:val="18"/>
          <w:szCs w:val="18"/>
        </w:rPr>
        <w:t xml:space="preserve">Binnenlandse Zaken en Koninkrijksrelaties </w:t>
      </w:r>
      <w:r w:rsidRPr="000B0DE1">
        <w:rPr>
          <w:rFonts w:ascii="Verdana" w:hAnsi="Verdana"/>
          <w:sz w:val="18"/>
          <w:szCs w:val="18"/>
        </w:rPr>
        <w:t xml:space="preserve">zorgdraagt voor de inrichting, beschikbaarstelling, instandhouding, werking en beveiliging van de generieke digitale infrastructuur. Bij of krachtens </w:t>
      </w:r>
      <w:proofErr w:type="spellStart"/>
      <w:r w:rsidR="001C6BE6">
        <w:rPr>
          <w:rFonts w:ascii="Verdana" w:hAnsi="Verdana"/>
          <w:sz w:val="18"/>
          <w:szCs w:val="18"/>
        </w:rPr>
        <w:t>amvb</w:t>
      </w:r>
      <w:proofErr w:type="spellEnd"/>
      <w:r w:rsidR="00E90C2B">
        <w:rPr>
          <w:rFonts w:ascii="Verdana" w:hAnsi="Verdana"/>
          <w:sz w:val="18"/>
          <w:szCs w:val="18"/>
        </w:rPr>
        <w:t xml:space="preserve"> </w:t>
      </w:r>
      <w:r w:rsidRPr="000B0DE1">
        <w:rPr>
          <w:rFonts w:ascii="Verdana" w:hAnsi="Verdana"/>
          <w:sz w:val="18"/>
          <w:szCs w:val="18"/>
        </w:rPr>
        <w:t>kunnen daarvoor regels worden gesteld.</w:t>
      </w:r>
    </w:p>
    <w:p w:rsidRPr="000B0DE1" w:rsidR="000B0DE1" w:rsidP="000B0DE1" w:rsidRDefault="000B0DE1" w14:paraId="3059143A" w14:textId="2A8CAB3F">
      <w:pPr>
        <w:pStyle w:val="Geenafstand"/>
        <w:rPr>
          <w:rFonts w:ascii="Verdana" w:hAnsi="Verdana"/>
          <w:sz w:val="18"/>
          <w:szCs w:val="18"/>
        </w:rPr>
      </w:pPr>
      <w:r w:rsidRPr="000B0DE1">
        <w:rPr>
          <w:rFonts w:ascii="Verdana" w:hAnsi="Verdana"/>
          <w:sz w:val="18"/>
          <w:szCs w:val="18"/>
        </w:rPr>
        <w:t xml:space="preserve">Artikel 6 </w:t>
      </w:r>
      <w:proofErr w:type="spellStart"/>
      <w:r w:rsidRPr="000B0DE1">
        <w:rPr>
          <w:rFonts w:ascii="Verdana" w:hAnsi="Verdana"/>
          <w:sz w:val="18"/>
          <w:szCs w:val="18"/>
        </w:rPr>
        <w:t>Wdo</w:t>
      </w:r>
      <w:proofErr w:type="spellEnd"/>
      <w:r w:rsidRPr="000B0DE1">
        <w:rPr>
          <w:rFonts w:ascii="Verdana" w:hAnsi="Verdana"/>
          <w:sz w:val="18"/>
          <w:szCs w:val="18"/>
        </w:rPr>
        <w:t xml:space="preserve"> schrijft daarnaast voor dat bestuursorganen en aangewezen organisaties, volgens bij ministeriële regeling te stellen regels, bepalen voor welke door hen te verlenen elektronische diensten authenticatie of machtiging op een bepaald betrouwbaarheidsniveau vereist is. Bij elektronische dienstverlening waarvoor authenticatie op betrouwbaarheidsniveau substantieel of hoog vereist is, verlenen bestuursorganen en aangewezen organisaties uitsluitend toegang tot de dienstverlening indien gebruik wordt gemaakt van identificatiemiddelen die ten minste het voor de betreffende dienstverlening vereiste betrouwbaarheidsniveau hebben. Dit is uitgewerkt in de Regeling betrouwbaarheidsniveaus authenticatie elektronische dienstverlening.</w:t>
      </w:r>
    </w:p>
    <w:p w:rsidRPr="000B0DE1" w:rsidR="000B0DE1" w:rsidP="000B0DE1" w:rsidRDefault="000B0DE1" w14:paraId="6469C71D" w14:textId="4B5391D0">
      <w:pPr>
        <w:pStyle w:val="Geenafstand"/>
        <w:rPr>
          <w:rFonts w:ascii="Verdana" w:hAnsi="Verdana"/>
          <w:sz w:val="18"/>
          <w:szCs w:val="18"/>
        </w:rPr>
      </w:pPr>
      <w:r w:rsidRPr="000B0DE1">
        <w:rPr>
          <w:rFonts w:ascii="Verdana" w:hAnsi="Verdana"/>
          <w:sz w:val="18"/>
          <w:szCs w:val="18"/>
        </w:rPr>
        <w:t xml:space="preserve">In de toekomst zal ook artikel 4 </w:t>
      </w:r>
      <w:proofErr w:type="spellStart"/>
      <w:r w:rsidRPr="000B0DE1">
        <w:rPr>
          <w:rFonts w:ascii="Verdana" w:hAnsi="Verdana"/>
          <w:sz w:val="18"/>
          <w:szCs w:val="18"/>
        </w:rPr>
        <w:t>Wdo</w:t>
      </w:r>
      <w:proofErr w:type="spellEnd"/>
      <w:r w:rsidRPr="000B0DE1">
        <w:rPr>
          <w:rFonts w:ascii="Verdana" w:hAnsi="Verdana"/>
          <w:sz w:val="18"/>
          <w:szCs w:val="18"/>
        </w:rPr>
        <w:t xml:space="preserve"> in werking treden. Daarin is opgenomen dat bestuursorganen en aangewezen organisaties aan bij of krachtens </w:t>
      </w:r>
      <w:proofErr w:type="spellStart"/>
      <w:r w:rsidR="001C6BE6">
        <w:rPr>
          <w:rFonts w:ascii="Verdana" w:hAnsi="Verdana"/>
          <w:sz w:val="18"/>
          <w:szCs w:val="18"/>
        </w:rPr>
        <w:t>amvb</w:t>
      </w:r>
      <w:proofErr w:type="spellEnd"/>
      <w:r w:rsidRPr="000B0DE1">
        <w:rPr>
          <w:rFonts w:ascii="Verdana" w:hAnsi="Verdana"/>
          <w:sz w:val="18"/>
          <w:szCs w:val="18"/>
        </w:rPr>
        <w:t xml:space="preserve"> te stellen regels met betrekking tot onder de werking, betrouwbaarheid en beveiliging van de toegang tot elektronische diensten op verschillende betrouwbaarheidsniveaus moeten voldoen en dat ze een verklaring van een auditor moeten overleggen waaruit blijkt dat zij voldoen aan de genoemde vereisten. Bij of krachtens </w:t>
      </w:r>
      <w:proofErr w:type="spellStart"/>
      <w:r w:rsidR="001C6BE6">
        <w:rPr>
          <w:rFonts w:ascii="Verdana" w:hAnsi="Verdana"/>
          <w:sz w:val="18"/>
          <w:szCs w:val="18"/>
        </w:rPr>
        <w:t>amvb</w:t>
      </w:r>
      <w:proofErr w:type="spellEnd"/>
      <w:r w:rsidRPr="000B0DE1">
        <w:rPr>
          <w:rFonts w:ascii="Verdana" w:hAnsi="Verdana"/>
          <w:sz w:val="18"/>
          <w:szCs w:val="18"/>
        </w:rPr>
        <w:t xml:space="preserve"> worden regels gesteld over de wijze waarop bestuursorganen en aangewezen organisaties aantonen dat zij aan de regels voldoen. </w:t>
      </w:r>
    </w:p>
    <w:p w:rsidRPr="000B0DE1" w:rsidR="000B0DE1" w:rsidP="000B0DE1" w:rsidRDefault="000B0DE1" w14:paraId="49089FC4" w14:textId="5546FC16">
      <w:pPr>
        <w:pStyle w:val="Geenafstand"/>
        <w:rPr>
          <w:rFonts w:ascii="Verdana" w:hAnsi="Verdana"/>
          <w:sz w:val="18"/>
          <w:szCs w:val="18"/>
        </w:rPr>
      </w:pPr>
      <w:r w:rsidRPr="000B0DE1">
        <w:rPr>
          <w:rFonts w:ascii="Verdana" w:hAnsi="Verdana"/>
          <w:sz w:val="18"/>
          <w:szCs w:val="18"/>
        </w:rPr>
        <w:t xml:space="preserve">Na inwerkingtreding van artikel 9 </w:t>
      </w:r>
      <w:proofErr w:type="spellStart"/>
      <w:r w:rsidRPr="000B0DE1">
        <w:rPr>
          <w:rFonts w:ascii="Verdana" w:hAnsi="Verdana"/>
          <w:sz w:val="18"/>
          <w:szCs w:val="18"/>
        </w:rPr>
        <w:t>Wdo</w:t>
      </w:r>
      <w:proofErr w:type="spellEnd"/>
      <w:r w:rsidRPr="000B0DE1">
        <w:rPr>
          <w:rFonts w:ascii="Verdana" w:hAnsi="Verdana"/>
          <w:sz w:val="18"/>
          <w:szCs w:val="18"/>
        </w:rPr>
        <w:t xml:space="preserve"> kan de </w:t>
      </w:r>
      <w:r w:rsidR="00D8291A">
        <w:rPr>
          <w:rFonts w:ascii="Verdana" w:hAnsi="Verdana"/>
          <w:sz w:val="18"/>
          <w:szCs w:val="18"/>
        </w:rPr>
        <w:t>M</w:t>
      </w:r>
      <w:r w:rsidRPr="000B0DE1">
        <w:rPr>
          <w:rFonts w:ascii="Verdana" w:hAnsi="Verdana"/>
          <w:sz w:val="18"/>
          <w:szCs w:val="18"/>
        </w:rPr>
        <w:t xml:space="preserve">inister van </w:t>
      </w:r>
      <w:r w:rsidR="00E34430">
        <w:rPr>
          <w:rFonts w:ascii="Verdana" w:hAnsi="Verdana"/>
          <w:sz w:val="18"/>
          <w:szCs w:val="18"/>
        </w:rPr>
        <w:t>Binnenlandse Zaken en Koninkrijksrelaties</w:t>
      </w:r>
      <w:r w:rsidRPr="000B0DE1">
        <w:rPr>
          <w:rFonts w:ascii="Verdana" w:hAnsi="Verdana"/>
          <w:sz w:val="18"/>
          <w:szCs w:val="18"/>
        </w:rPr>
        <w:t xml:space="preserve"> een publiek identificatiemiddel aanwijzen als toegelaten identificatiemiddel voor natuurlijke personen of een privaat identificatiemiddel door verlening van een erkenning toelaten indien wordt voldaan aan de bij of krachtens </w:t>
      </w:r>
      <w:proofErr w:type="spellStart"/>
      <w:r w:rsidR="001C6BE6">
        <w:rPr>
          <w:rFonts w:ascii="Verdana" w:hAnsi="Verdana"/>
          <w:sz w:val="18"/>
          <w:szCs w:val="18"/>
        </w:rPr>
        <w:t>amvb</w:t>
      </w:r>
      <w:proofErr w:type="spellEnd"/>
      <w:r w:rsidRPr="000B0DE1">
        <w:rPr>
          <w:rFonts w:ascii="Verdana" w:hAnsi="Verdana"/>
          <w:sz w:val="18"/>
          <w:szCs w:val="18"/>
        </w:rPr>
        <w:t xml:space="preserve"> gestelde eisen met betrekking tot de werking, beveiliging en betrouwbaarheid. Dit is uitgewerkt in het Besluit identificatiemiddelen voor natuurlijke personen </w:t>
      </w:r>
      <w:proofErr w:type="spellStart"/>
      <w:r w:rsidRPr="000B0DE1">
        <w:rPr>
          <w:rFonts w:ascii="Verdana" w:hAnsi="Verdana"/>
          <w:sz w:val="18"/>
          <w:szCs w:val="18"/>
        </w:rPr>
        <w:t>Wdo</w:t>
      </w:r>
      <w:proofErr w:type="spellEnd"/>
      <w:r w:rsidRPr="000B0DE1">
        <w:rPr>
          <w:rFonts w:ascii="Verdana" w:hAnsi="Verdana"/>
          <w:sz w:val="18"/>
          <w:szCs w:val="18"/>
        </w:rPr>
        <w:t xml:space="preserve">. </w:t>
      </w:r>
    </w:p>
    <w:p w:rsidR="000B0DE1" w:rsidP="000B0DE1" w:rsidRDefault="000B0DE1" w14:paraId="267EE850" w14:textId="6AE6022F">
      <w:pPr>
        <w:pStyle w:val="Geenafstand"/>
        <w:rPr>
          <w:rFonts w:ascii="Verdana" w:hAnsi="Verdana"/>
          <w:sz w:val="18"/>
          <w:szCs w:val="18"/>
        </w:rPr>
      </w:pPr>
      <w:r w:rsidRPr="000B0DE1">
        <w:rPr>
          <w:rFonts w:ascii="Verdana" w:hAnsi="Verdana"/>
          <w:sz w:val="18"/>
          <w:szCs w:val="18"/>
        </w:rPr>
        <w:lastRenderedPageBreak/>
        <w:t xml:space="preserve">De verplicht toe te passen standaarden, de verplichte betrouwbaarheidsniveaus en de eisen aan onder meer beveiliging van elektronische diensten en infrastructuur vertonen samenhang met de zorgplicht onder de </w:t>
      </w:r>
      <w:proofErr w:type="spellStart"/>
      <w:r w:rsidRPr="000B0DE1">
        <w:rPr>
          <w:rFonts w:ascii="Verdana" w:hAnsi="Verdana"/>
          <w:sz w:val="18"/>
          <w:szCs w:val="18"/>
        </w:rPr>
        <w:t>Cbw</w:t>
      </w:r>
      <w:proofErr w:type="spellEnd"/>
      <w:r w:rsidRPr="000B0DE1">
        <w:rPr>
          <w:rFonts w:ascii="Verdana" w:hAnsi="Verdana"/>
          <w:sz w:val="18"/>
          <w:szCs w:val="18"/>
        </w:rPr>
        <w:t>. Zij kunnen gedeeltelijk worden gezien als specifieke invulling van die zorgplicht.</w:t>
      </w:r>
    </w:p>
    <w:p w:rsidR="00520312" w:rsidP="000B0DE1" w:rsidRDefault="00520312" w14:paraId="2551062A" w14:textId="77777777">
      <w:pPr>
        <w:pStyle w:val="Geenafstand"/>
        <w:rPr>
          <w:rFonts w:ascii="Verdana" w:hAnsi="Verdana"/>
          <w:sz w:val="18"/>
          <w:szCs w:val="18"/>
        </w:rPr>
      </w:pPr>
    </w:p>
    <w:p w:rsidRPr="00561267" w:rsidR="00520312" w:rsidP="00520312" w:rsidRDefault="00520312" w14:paraId="0E2BEB76" w14:textId="77777777">
      <w:pPr>
        <w:pStyle w:val="Geenafstand"/>
        <w:rPr>
          <w:rFonts w:ascii="Verdana" w:hAnsi="Verdana"/>
          <w:i/>
          <w:iCs/>
          <w:sz w:val="18"/>
          <w:szCs w:val="18"/>
          <w:lang w:eastAsia="nl-NL"/>
        </w:rPr>
      </w:pPr>
      <w:r w:rsidRPr="00561267">
        <w:rPr>
          <w:rFonts w:ascii="Verdana" w:hAnsi="Verdana"/>
          <w:i/>
          <w:iCs/>
          <w:sz w:val="18"/>
          <w:szCs w:val="18"/>
          <w:lang w:eastAsia="nl-NL"/>
        </w:rPr>
        <w:t>Wet basisregistratie personen</w:t>
      </w:r>
    </w:p>
    <w:p w:rsidR="00520312" w:rsidP="00520312" w:rsidRDefault="00520312" w14:paraId="45F4C637" w14:textId="276AE573">
      <w:pPr>
        <w:pStyle w:val="Geenafstand"/>
        <w:rPr>
          <w:rFonts w:ascii="Verdana" w:hAnsi="Verdana"/>
          <w:sz w:val="18"/>
          <w:szCs w:val="18"/>
          <w:lang w:eastAsia="nl-NL"/>
        </w:rPr>
      </w:pPr>
      <w:r w:rsidRPr="00405862">
        <w:rPr>
          <w:rFonts w:ascii="Verdana" w:hAnsi="Verdana"/>
          <w:sz w:val="18"/>
          <w:szCs w:val="18"/>
          <w:lang w:eastAsia="nl-NL"/>
        </w:rPr>
        <w:t xml:space="preserve">De Wet </w:t>
      </w:r>
      <w:proofErr w:type="spellStart"/>
      <w:r w:rsidRPr="00405862">
        <w:rPr>
          <w:rFonts w:ascii="Verdana" w:hAnsi="Verdana"/>
          <w:sz w:val="18"/>
          <w:szCs w:val="18"/>
          <w:lang w:eastAsia="nl-NL"/>
        </w:rPr>
        <w:t>brp</w:t>
      </w:r>
      <w:proofErr w:type="spellEnd"/>
      <w:r w:rsidRPr="00405862">
        <w:rPr>
          <w:rFonts w:ascii="Verdana" w:hAnsi="Verdana"/>
          <w:sz w:val="18"/>
          <w:szCs w:val="18"/>
          <w:lang w:eastAsia="nl-NL"/>
        </w:rPr>
        <w:t xml:space="preserve"> bepaalt dat bij </w:t>
      </w:r>
      <w:proofErr w:type="spellStart"/>
      <w:r w:rsidR="00D8291A">
        <w:rPr>
          <w:rFonts w:ascii="Verdana" w:hAnsi="Verdana"/>
          <w:sz w:val="18"/>
          <w:szCs w:val="18"/>
          <w:lang w:eastAsia="nl-NL"/>
        </w:rPr>
        <w:t>amvb</w:t>
      </w:r>
      <w:proofErr w:type="spellEnd"/>
      <w:r w:rsidRPr="00405862">
        <w:rPr>
          <w:rFonts w:ascii="Verdana" w:hAnsi="Verdana"/>
          <w:sz w:val="18"/>
          <w:szCs w:val="18"/>
          <w:lang w:eastAsia="nl-NL"/>
        </w:rPr>
        <w:t xml:space="preserve"> regels worden gesteld omtrent de technische en administratieve inrichting en werking en de beveiliging van de basisregistratie personen (artikel 1.10, eerste lid, onderdeel a, Wet </w:t>
      </w:r>
      <w:proofErr w:type="spellStart"/>
      <w:r w:rsidRPr="00405862">
        <w:rPr>
          <w:rFonts w:ascii="Verdana" w:hAnsi="Verdana"/>
          <w:sz w:val="18"/>
          <w:szCs w:val="18"/>
          <w:lang w:eastAsia="nl-NL"/>
        </w:rPr>
        <w:t>brp</w:t>
      </w:r>
      <w:proofErr w:type="spellEnd"/>
      <w:r w:rsidRPr="00405862">
        <w:rPr>
          <w:rFonts w:ascii="Verdana" w:hAnsi="Verdana"/>
          <w:sz w:val="18"/>
          <w:szCs w:val="18"/>
          <w:lang w:eastAsia="nl-NL"/>
        </w:rPr>
        <w:t xml:space="preserve">). Deze regels zijn opgenomen in het Besluit basisregistratie personen (hierna: Besluit </w:t>
      </w:r>
      <w:proofErr w:type="spellStart"/>
      <w:r w:rsidRPr="00405862">
        <w:rPr>
          <w:rFonts w:ascii="Verdana" w:hAnsi="Verdana"/>
          <w:sz w:val="18"/>
          <w:szCs w:val="18"/>
          <w:lang w:eastAsia="nl-NL"/>
        </w:rPr>
        <w:t>brp</w:t>
      </w:r>
      <w:proofErr w:type="spellEnd"/>
      <w:r w:rsidRPr="00405862">
        <w:rPr>
          <w:rFonts w:ascii="Verdana" w:hAnsi="Verdana"/>
          <w:sz w:val="18"/>
          <w:szCs w:val="18"/>
          <w:lang w:eastAsia="nl-NL"/>
        </w:rPr>
        <w:t xml:space="preserve">), waarin is bepaald dat zowel het college van burgemeester en wethouders als de minister verantwoordelijk zijn voor het nemen van passende technische en organisatorische maatregelen ter beveiliging van de in de basisregistratie opgenomen gegevens (artikel 6, eerste en tweede lid, Besluit </w:t>
      </w:r>
      <w:proofErr w:type="spellStart"/>
      <w:r w:rsidRPr="00405862">
        <w:rPr>
          <w:rFonts w:ascii="Verdana" w:hAnsi="Verdana"/>
          <w:sz w:val="18"/>
          <w:szCs w:val="18"/>
          <w:lang w:eastAsia="nl-NL"/>
        </w:rPr>
        <w:t>brp</w:t>
      </w:r>
      <w:proofErr w:type="spellEnd"/>
      <w:r w:rsidRPr="00405862">
        <w:rPr>
          <w:rFonts w:ascii="Verdana" w:hAnsi="Verdana"/>
          <w:sz w:val="18"/>
          <w:szCs w:val="18"/>
          <w:lang w:eastAsia="nl-NL"/>
        </w:rPr>
        <w:t xml:space="preserve">). Daarnaast geldt de verplichting om periodiek een onderzoek te doen naar onder andere de beveiliging van de basisregistratie (artikel 4.3, eerste lid, Wet </w:t>
      </w:r>
      <w:proofErr w:type="spellStart"/>
      <w:r w:rsidRPr="00405862">
        <w:rPr>
          <w:rFonts w:ascii="Verdana" w:hAnsi="Verdana"/>
          <w:sz w:val="18"/>
          <w:szCs w:val="18"/>
          <w:lang w:eastAsia="nl-NL"/>
        </w:rPr>
        <w:t>brp</w:t>
      </w:r>
      <w:proofErr w:type="spellEnd"/>
      <w:r w:rsidRPr="00405862">
        <w:rPr>
          <w:rFonts w:ascii="Verdana" w:hAnsi="Verdana"/>
          <w:sz w:val="18"/>
          <w:szCs w:val="18"/>
          <w:lang w:eastAsia="nl-NL"/>
        </w:rPr>
        <w:t xml:space="preserve">). Deze vereisten hebben raakvlakken met de zorgplicht die in de </w:t>
      </w:r>
      <w:proofErr w:type="spellStart"/>
      <w:r w:rsidRPr="00405862">
        <w:rPr>
          <w:rFonts w:ascii="Verdana" w:hAnsi="Verdana"/>
          <w:sz w:val="18"/>
          <w:szCs w:val="18"/>
          <w:lang w:eastAsia="nl-NL"/>
        </w:rPr>
        <w:t>Cbw</w:t>
      </w:r>
      <w:proofErr w:type="spellEnd"/>
      <w:r w:rsidRPr="00405862">
        <w:rPr>
          <w:rFonts w:ascii="Verdana" w:hAnsi="Verdana"/>
          <w:sz w:val="18"/>
          <w:szCs w:val="18"/>
          <w:lang w:eastAsia="nl-NL"/>
        </w:rPr>
        <w:t xml:space="preserve"> is opgenomen.</w:t>
      </w:r>
    </w:p>
    <w:p w:rsidR="00520312" w:rsidP="00520312" w:rsidRDefault="00520312" w14:paraId="6E626833" w14:textId="77777777">
      <w:pPr>
        <w:pStyle w:val="Geenafstand"/>
        <w:rPr>
          <w:rFonts w:ascii="Verdana" w:hAnsi="Verdana"/>
          <w:sz w:val="18"/>
          <w:szCs w:val="18"/>
          <w:lang w:eastAsia="nl-NL"/>
        </w:rPr>
      </w:pPr>
    </w:p>
    <w:p w:rsidRPr="00561267" w:rsidR="00520312" w:rsidP="00520312" w:rsidRDefault="00520312" w14:paraId="03497EE0" w14:textId="77777777">
      <w:pPr>
        <w:pStyle w:val="Geenafstand"/>
        <w:rPr>
          <w:rFonts w:ascii="Verdana" w:hAnsi="Verdana"/>
          <w:i/>
          <w:iCs/>
          <w:sz w:val="18"/>
          <w:szCs w:val="18"/>
          <w:lang w:eastAsia="nl-NL"/>
        </w:rPr>
      </w:pPr>
      <w:r w:rsidRPr="00561267">
        <w:rPr>
          <w:rFonts w:ascii="Verdana" w:hAnsi="Verdana"/>
          <w:i/>
          <w:iCs/>
          <w:sz w:val="18"/>
          <w:szCs w:val="18"/>
          <w:lang w:eastAsia="nl-NL"/>
        </w:rPr>
        <w:t xml:space="preserve">Wet algemene bepalingen </w:t>
      </w:r>
      <w:proofErr w:type="spellStart"/>
      <w:r w:rsidRPr="00561267">
        <w:rPr>
          <w:rFonts w:ascii="Verdana" w:hAnsi="Verdana"/>
          <w:i/>
          <w:iCs/>
          <w:sz w:val="18"/>
          <w:szCs w:val="18"/>
          <w:lang w:eastAsia="nl-NL"/>
        </w:rPr>
        <w:t>burgerservicenummer</w:t>
      </w:r>
      <w:proofErr w:type="spellEnd"/>
    </w:p>
    <w:p w:rsidR="00520312" w:rsidP="00520312" w:rsidRDefault="00520312" w14:paraId="359508FA" w14:textId="0BC742A9">
      <w:pPr>
        <w:pStyle w:val="Geenafstand"/>
        <w:rPr>
          <w:rFonts w:ascii="Verdana" w:hAnsi="Verdana"/>
          <w:sz w:val="18"/>
          <w:szCs w:val="18"/>
          <w:shd w:val="clear" w:color="auto" w:fill="FFFFFF"/>
        </w:rPr>
      </w:pPr>
      <w:r w:rsidRPr="00405862">
        <w:rPr>
          <w:rFonts w:ascii="Verdana" w:hAnsi="Verdana"/>
          <w:sz w:val="18"/>
          <w:szCs w:val="18"/>
        </w:rPr>
        <w:t xml:space="preserve">De Wet algemene bepalingen </w:t>
      </w:r>
      <w:proofErr w:type="spellStart"/>
      <w:r w:rsidRPr="00405862">
        <w:rPr>
          <w:rFonts w:ascii="Verdana" w:hAnsi="Verdana"/>
          <w:sz w:val="18"/>
          <w:szCs w:val="18"/>
        </w:rPr>
        <w:t>burgerservicenummer</w:t>
      </w:r>
      <w:proofErr w:type="spellEnd"/>
      <w:r w:rsidRPr="00405862">
        <w:rPr>
          <w:rFonts w:ascii="Verdana" w:hAnsi="Verdana"/>
          <w:sz w:val="18"/>
          <w:szCs w:val="18"/>
        </w:rPr>
        <w:t xml:space="preserve"> bepaalt dat de </w:t>
      </w:r>
      <w:r w:rsidR="00E34430">
        <w:rPr>
          <w:rFonts w:ascii="Verdana" w:hAnsi="Verdana"/>
          <w:sz w:val="18"/>
          <w:szCs w:val="18"/>
        </w:rPr>
        <w:t>M</w:t>
      </w:r>
      <w:r w:rsidRPr="00405862">
        <w:rPr>
          <w:rFonts w:ascii="Verdana" w:hAnsi="Verdana"/>
          <w:sz w:val="18"/>
          <w:szCs w:val="18"/>
        </w:rPr>
        <w:t xml:space="preserve">inister van </w:t>
      </w:r>
      <w:r w:rsidR="00E34430">
        <w:rPr>
          <w:rFonts w:ascii="Verdana" w:hAnsi="Verdana"/>
          <w:sz w:val="18"/>
          <w:szCs w:val="18"/>
        </w:rPr>
        <w:t>Binnenlandse Zaken en Koninkrijksrelaties</w:t>
      </w:r>
      <w:r w:rsidRPr="00405862">
        <w:rPr>
          <w:rFonts w:ascii="Verdana" w:hAnsi="Verdana"/>
          <w:sz w:val="18"/>
          <w:szCs w:val="18"/>
        </w:rPr>
        <w:t xml:space="preserve"> zorgdraagt voor de inrichting en instandhouding van een beheervoorziening en dat bij of krachtens </w:t>
      </w:r>
      <w:proofErr w:type="spellStart"/>
      <w:r w:rsidR="001C6BE6">
        <w:rPr>
          <w:rFonts w:ascii="Verdana" w:hAnsi="Verdana"/>
          <w:sz w:val="18"/>
          <w:szCs w:val="18"/>
        </w:rPr>
        <w:t>amvb</w:t>
      </w:r>
      <w:proofErr w:type="spellEnd"/>
      <w:r w:rsidRPr="00405862">
        <w:rPr>
          <w:rFonts w:ascii="Verdana" w:hAnsi="Verdana"/>
          <w:sz w:val="18"/>
          <w:szCs w:val="18"/>
        </w:rPr>
        <w:t xml:space="preserve"> nadere regels gesteld worden met betrekking tot de inrichting, de instandhouding, de werking en de beveiliging van die beheervoorziening (artikel 3, eerste en derde lid, </w:t>
      </w:r>
      <w:proofErr w:type="spellStart"/>
      <w:r w:rsidRPr="00405862">
        <w:rPr>
          <w:rFonts w:ascii="Verdana" w:hAnsi="Verdana"/>
          <w:sz w:val="18"/>
          <w:szCs w:val="18"/>
        </w:rPr>
        <w:t>Wabb</w:t>
      </w:r>
      <w:proofErr w:type="spellEnd"/>
      <w:r w:rsidRPr="00405862">
        <w:rPr>
          <w:rFonts w:ascii="Verdana" w:hAnsi="Verdana"/>
          <w:sz w:val="18"/>
          <w:szCs w:val="18"/>
        </w:rPr>
        <w:t xml:space="preserve">). Ook moeten bij of krachtens </w:t>
      </w:r>
      <w:proofErr w:type="spellStart"/>
      <w:r w:rsidR="001C6BE6">
        <w:rPr>
          <w:rFonts w:ascii="Verdana" w:hAnsi="Verdana"/>
          <w:sz w:val="18"/>
          <w:szCs w:val="18"/>
        </w:rPr>
        <w:t>amvb</w:t>
      </w:r>
      <w:proofErr w:type="spellEnd"/>
      <w:r w:rsidRPr="00405862">
        <w:rPr>
          <w:rFonts w:ascii="Verdana" w:hAnsi="Verdana"/>
          <w:sz w:val="18"/>
          <w:szCs w:val="18"/>
        </w:rPr>
        <w:t xml:space="preserve"> regels worden gesteld betreffende </w:t>
      </w:r>
      <w:r w:rsidRPr="00405862">
        <w:rPr>
          <w:rFonts w:ascii="Verdana" w:hAnsi="Verdana"/>
          <w:sz w:val="18"/>
          <w:szCs w:val="18"/>
          <w:shd w:val="clear" w:color="auto" w:fill="FFFFFF"/>
        </w:rPr>
        <w:t xml:space="preserve">de beveiliging van de technische voorzieningen waarmee de gebruikers kunnen aansluiten op de beheervoorziening (artikel 16, derde lid, </w:t>
      </w:r>
      <w:proofErr w:type="spellStart"/>
      <w:r w:rsidRPr="00405862">
        <w:rPr>
          <w:rFonts w:ascii="Verdana" w:hAnsi="Verdana"/>
          <w:sz w:val="18"/>
          <w:szCs w:val="18"/>
          <w:shd w:val="clear" w:color="auto" w:fill="FFFFFF"/>
        </w:rPr>
        <w:t>Wabb</w:t>
      </w:r>
      <w:proofErr w:type="spellEnd"/>
      <w:r w:rsidRPr="00405862">
        <w:rPr>
          <w:rFonts w:ascii="Verdana" w:hAnsi="Verdana"/>
          <w:sz w:val="18"/>
          <w:szCs w:val="18"/>
          <w:shd w:val="clear" w:color="auto" w:fill="FFFFFF"/>
        </w:rPr>
        <w:t xml:space="preserve">). In artikel 5, eerste en tweede lid, Besluit </w:t>
      </w:r>
      <w:proofErr w:type="spellStart"/>
      <w:r w:rsidRPr="00405862">
        <w:rPr>
          <w:rFonts w:ascii="Verdana" w:hAnsi="Verdana"/>
          <w:sz w:val="18"/>
          <w:szCs w:val="18"/>
          <w:shd w:val="clear" w:color="auto" w:fill="FFFFFF"/>
        </w:rPr>
        <w:t>burgerservicenummer</w:t>
      </w:r>
      <w:proofErr w:type="spellEnd"/>
      <w:r w:rsidRPr="00405862">
        <w:rPr>
          <w:rFonts w:ascii="Verdana" w:hAnsi="Verdana"/>
          <w:sz w:val="18"/>
          <w:szCs w:val="18"/>
          <w:shd w:val="clear" w:color="auto" w:fill="FFFFFF"/>
        </w:rPr>
        <w:t xml:space="preserve"> is bepaald dat de </w:t>
      </w:r>
      <w:r w:rsidR="00D8291A">
        <w:rPr>
          <w:rFonts w:ascii="Verdana" w:hAnsi="Verdana"/>
          <w:sz w:val="18"/>
          <w:szCs w:val="18"/>
        </w:rPr>
        <w:t>M</w:t>
      </w:r>
      <w:r w:rsidRPr="000B0DE1" w:rsidR="00D8291A">
        <w:rPr>
          <w:rFonts w:ascii="Verdana" w:hAnsi="Verdana"/>
          <w:sz w:val="18"/>
          <w:szCs w:val="18"/>
        </w:rPr>
        <w:t xml:space="preserve">inister van </w:t>
      </w:r>
      <w:r w:rsidRPr="00D8291A" w:rsidR="00D8291A">
        <w:rPr>
          <w:rFonts w:ascii="Verdana" w:hAnsi="Verdana"/>
          <w:sz w:val="18"/>
          <w:szCs w:val="18"/>
        </w:rPr>
        <w:t>Binnenlandse Zaken en Koninkrijksrelaties</w:t>
      </w:r>
      <w:r w:rsidRPr="00405862">
        <w:rPr>
          <w:rFonts w:ascii="Verdana" w:hAnsi="Verdana"/>
          <w:sz w:val="18"/>
          <w:szCs w:val="18"/>
          <w:shd w:val="clear" w:color="auto" w:fill="FFFFFF"/>
        </w:rPr>
        <w:t xml:space="preserve"> zorgdraagt voor de nodige maatregelen van technische en organisatorische aard ter beveiliging van de in het nummerregister opgenomen gegevens tegen verlies of aantasting van deze gegevens en tegen onbevoegde kennisneming, opneming, wijziging, verwijdering of verstrekking van deze gegevens, alsmede tegen onbevoegd gebruik en belemmering van de goede werking van de voorzieningen, bedoeld in </w:t>
      </w:r>
      <w:r w:rsidRPr="001357E8" w:rsidR="009956FD">
        <w:rPr>
          <w:rFonts w:ascii="Verdana" w:hAnsi="Verdana"/>
          <w:sz w:val="18"/>
          <w:szCs w:val="18"/>
        </w:rPr>
        <w:t xml:space="preserve">artikel 3, eerste lid, </w:t>
      </w:r>
      <w:proofErr w:type="spellStart"/>
      <w:r w:rsidRPr="001357E8" w:rsidR="009956FD">
        <w:rPr>
          <w:rFonts w:ascii="Verdana" w:hAnsi="Verdana"/>
          <w:sz w:val="18"/>
          <w:szCs w:val="18"/>
        </w:rPr>
        <w:t>Wabb</w:t>
      </w:r>
      <w:proofErr w:type="spellEnd"/>
      <w:r w:rsidRPr="001357E8">
        <w:rPr>
          <w:rFonts w:ascii="Verdana" w:hAnsi="Verdana"/>
          <w:sz w:val="18"/>
          <w:szCs w:val="18"/>
          <w:shd w:val="clear" w:color="auto" w:fill="FFFFFF"/>
        </w:rPr>
        <w:t>.</w:t>
      </w:r>
      <w:r w:rsidRPr="00405862">
        <w:rPr>
          <w:rFonts w:ascii="Verdana" w:hAnsi="Verdana"/>
          <w:sz w:val="18"/>
          <w:szCs w:val="18"/>
          <w:shd w:val="clear" w:color="auto" w:fill="FFFFFF"/>
        </w:rPr>
        <w:br/>
        <w:t xml:space="preserve">Daarnaast bepaalt artikel 17, zesde lid, </w:t>
      </w:r>
      <w:proofErr w:type="spellStart"/>
      <w:r w:rsidRPr="00405862">
        <w:rPr>
          <w:rFonts w:ascii="Verdana" w:hAnsi="Verdana"/>
          <w:sz w:val="18"/>
          <w:szCs w:val="18"/>
          <w:shd w:val="clear" w:color="auto" w:fill="FFFFFF"/>
        </w:rPr>
        <w:t>Wabb</w:t>
      </w:r>
      <w:proofErr w:type="spellEnd"/>
      <w:r w:rsidRPr="00405862">
        <w:rPr>
          <w:rFonts w:ascii="Verdana" w:hAnsi="Verdana"/>
          <w:sz w:val="18"/>
          <w:szCs w:val="18"/>
          <w:shd w:val="clear" w:color="auto" w:fill="FFFFFF"/>
        </w:rPr>
        <w:t xml:space="preserve"> dat bij of krachtens </w:t>
      </w:r>
      <w:proofErr w:type="spellStart"/>
      <w:r w:rsidR="001C6BE6">
        <w:rPr>
          <w:rFonts w:ascii="Verdana" w:hAnsi="Verdana"/>
          <w:sz w:val="18"/>
          <w:szCs w:val="18"/>
          <w:shd w:val="clear" w:color="auto" w:fill="FFFFFF"/>
        </w:rPr>
        <w:t>amvb</w:t>
      </w:r>
      <w:proofErr w:type="spellEnd"/>
      <w:r w:rsidRPr="00405862">
        <w:rPr>
          <w:rFonts w:ascii="Verdana" w:hAnsi="Verdana"/>
          <w:sz w:val="18"/>
          <w:szCs w:val="18"/>
          <w:shd w:val="clear" w:color="auto" w:fill="FFFFFF"/>
        </w:rPr>
        <w:t xml:space="preserve"> nadere regels worden gesteld met betrekking tot de inrichting, de instandhouding, de werking en de beveiliging van de sectorale berichtenvoorziening. De </w:t>
      </w:r>
      <w:r w:rsidR="00E34430">
        <w:rPr>
          <w:rFonts w:ascii="Verdana" w:hAnsi="Verdana"/>
          <w:sz w:val="18"/>
          <w:szCs w:val="18"/>
          <w:shd w:val="clear" w:color="auto" w:fill="FFFFFF"/>
        </w:rPr>
        <w:t>M</w:t>
      </w:r>
      <w:r w:rsidRPr="00405862">
        <w:rPr>
          <w:rFonts w:ascii="Verdana" w:hAnsi="Verdana"/>
          <w:sz w:val="18"/>
          <w:szCs w:val="18"/>
          <w:shd w:val="clear" w:color="auto" w:fill="FFFFFF"/>
        </w:rPr>
        <w:t xml:space="preserve">inister van </w:t>
      </w:r>
      <w:r w:rsidRPr="00E34430" w:rsidR="00E34430">
        <w:rPr>
          <w:rFonts w:ascii="Verdana" w:hAnsi="Verdana"/>
          <w:sz w:val="18"/>
          <w:szCs w:val="18"/>
          <w:shd w:val="clear" w:color="auto" w:fill="FFFFFF"/>
        </w:rPr>
        <w:t>Binnenlandse Zaken en Koninkrijksrelaties</w:t>
      </w:r>
      <w:r w:rsidRPr="00405862">
        <w:rPr>
          <w:rFonts w:ascii="Verdana" w:hAnsi="Verdana"/>
          <w:sz w:val="18"/>
          <w:szCs w:val="18"/>
          <w:shd w:val="clear" w:color="auto" w:fill="FFFFFF"/>
        </w:rPr>
        <w:t xml:space="preserve"> verricht eens per drie jaar een onderzoek naar de inrichting, de werking en de beveiliging van de beheervoorziening en de sectorale berichtenvoorziening (artikel 21, eerste en derde lid, </w:t>
      </w:r>
      <w:proofErr w:type="spellStart"/>
      <w:r w:rsidRPr="00405862">
        <w:rPr>
          <w:rFonts w:ascii="Verdana" w:hAnsi="Verdana"/>
          <w:sz w:val="18"/>
          <w:szCs w:val="18"/>
          <w:shd w:val="clear" w:color="auto" w:fill="FFFFFF"/>
        </w:rPr>
        <w:t>Wabb</w:t>
      </w:r>
      <w:proofErr w:type="spellEnd"/>
      <w:r w:rsidRPr="00405862">
        <w:rPr>
          <w:rFonts w:ascii="Verdana" w:hAnsi="Verdana"/>
          <w:sz w:val="18"/>
          <w:szCs w:val="18"/>
          <w:shd w:val="clear" w:color="auto" w:fill="FFFFFF"/>
        </w:rPr>
        <w:t>).</w:t>
      </w:r>
      <w:r w:rsidRPr="00405862">
        <w:rPr>
          <w:rFonts w:ascii="Verdana" w:hAnsi="Verdana"/>
          <w:sz w:val="18"/>
          <w:szCs w:val="18"/>
          <w:shd w:val="clear" w:color="auto" w:fill="FFFFFF"/>
        </w:rPr>
        <w:br/>
        <w:t xml:space="preserve">Ook voor de </w:t>
      </w:r>
      <w:proofErr w:type="spellStart"/>
      <w:r w:rsidRPr="00405862">
        <w:rPr>
          <w:rFonts w:ascii="Verdana" w:hAnsi="Verdana"/>
          <w:sz w:val="18"/>
          <w:szCs w:val="18"/>
          <w:shd w:val="clear" w:color="auto" w:fill="FFFFFF"/>
        </w:rPr>
        <w:t>Wabb</w:t>
      </w:r>
      <w:proofErr w:type="spellEnd"/>
      <w:r w:rsidRPr="00405862">
        <w:rPr>
          <w:rFonts w:ascii="Verdana" w:hAnsi="Verdana"/>
          <w:sz w:val="18"/>
          <w:szCs w:val="18"/>
          <w:shd w:val="clear" w:color="auto" w:fill="FFFFFF"/>
        </w:rPr>
        <w:t xml:space="preserve"> en de daarop gebaseerde regelgeving wordt niet verwacht dat de </w:t>
      </w:r>
      <w:proofErr w:type="spellStart"/>
      <w:r w:rsidRPr="00405862">
        <w:rPr>
          <w:rFonts w:ascii="Verdana" w:hAnsi="Verdana"/>
          <w:sz w:val="18"/>
          <w:szCs w:val="18"/>
          <w:shd w:val="clear" w:color="auto" w:fill="FFFFFF"/>
        </w:rPr>
        <w:t>Cbw</w:t>
      </w:r>
      <w:proofErr w:type="spellEnd"/>
      <w:r w:rsidRPr="00405862">
        <w:rPr>
          <w:rFonts w:ascii="Verdana" w:hAnsi="Verdana"/>
          <w:sz w:val="18"/>
          <w:szCs w:val="18"/>
          <w:shd w:val="clear" w:color="auto" w:fill="FFFFFF"/>
        </w:rPr>
        <w:t xml:space="preserve"> tot botsende verplichtingen zal leiden.</w:t>
      </w:r>
    </w:p>
    <w:p w:rsidR="00520312" w:rsidP="00520312" w:rsidRDefault="00520312" w14:paraId="3730370A" w14:textId="77777777">
      <w:pPr>
        <w:pStyle w:val="Geenafstand"/>
        <w:rPr>
          <w:rFonts w:ascii="Verdana" w:hAnsi="Verdana"/>
          <w:sz w:val="18"/>
          <w:szCs w:val="18"/>
          <w:shd w:val="clear" w:color="auto" w:fill="FFFFFF"/>
        </w:rPr>
      </w:pPr>
    </w:p>
    <w:p w:rsidRPr="00D8291A" w:rsidR="00520312" w:rsidP="00520312" w:rsidRDefault="00520312" w14:paraId="6731E4D4" w14:textId="77777777">
      <w:pPr>
        <w:pStyle w:val="Geenafstand"/>
        <w:rPr>
          <w:rFonts w:ascii="Verdana" w:hAnsi="Verdana"/>
          <w:i/>
          <w:iCs/>
          <w:sz w:val="18"/>
          <w:szCs w:val="18"/>
          <w:shd w:val="clear" w:color="auto" w:fill="FFFFFF"/>
        </w:rPr>
      </w:pPr>
      <w:r w:rsidRPr="00D8291A">
        <w:rPr>
          <w:rFonts w:ascii="Verdana" w:hAnsi="Verdana"/>
          <w:i/>
          <w:iCs/>
          <w:sz w:val="18"/>
          <w:szCs w:val="18"/>
          <w:shd w:val="clear" w:color="auto" w:fill="FFFFFF"/>
        </w:rPr>
        <w:t>Paspoortwet</w:t>
      </w:r>
    </w:p>
    <w:p w:rsidR="00520312" w:rsidP="00520312" w:rsidRDefault="00520312" w14:paraId="2E090790" w14:textId="25D89FA2">
      <w:pPr>
        <w:pStyle w:val="Geenafstand"/>
        <w:rPr>
          <w:rFonts w:ascii="Verdana" w:hAnsi="Verdana"/>
          <w:sz w:val="18"/>
          <w:szCs w:val="18"/>
          <w:shd w:val="clear" w:color="auto" w:fill="FFFFFF"/>
        </w:rPr>
      </w:pPr>
      <w:r w:rsidRPr="00520312">
        <w:rPr>
          <w:rFonts w:ascii="Verdana" w:hAnsi="Verdana"/>
          <w:sz w:val="18"/>
          <w:szCs w:val="18"/>
          <w:shd w:val="clear" w:color="auto" w:fill="FFFFFF"/>
        </w:rPr>
        <w:t xml:space="preserve">De </w:t>
      </w:r>
      <w:r w:rsidR="00E34430">
        <w:rPr>
          <w:rFonts w:ascii="Verdana" w:hAnsi="Verdana"/>
          <w:sz w:val="18"/>
          <w:szCs w:val="18"/>
          <w:shd w:val="clear" w:color="auto" w:fill="FFFFFF"/>
        </w:rPr>
        <w:t>M</w:t>
      </w:r>
      <w:r w:rsidRPr="00520312">
        <w:rPr>
          <w:rFonts w:ascii="Verdana" w:hAnsi="Verdana"/>
          <w:sz w:val="18"/>
          <w:szCs w:val="18"/>
          <w:shd w:val="clear" w:color="auto" w:fill="FFFFFF"/>
        </w:rPr>
        <w:t xml:space="preserve">inister van </w:t>
      </w:r>
      <w:r w:rsidRPr="00E34430" w:rsidR="00E34430">
        <w:rPr>
          <w:rFonts w:ascii="Verdana" w:hAnsi="Verdana"/>
          <w:sz w:val="18"/>
          <w:szCs w:val="18"/>
          <w:shd w:val="clear" w:color="auto" w:fill="FFFFFF"/>
        </w:rPr>
        <w:t>Binnenlandse Zaken en Koninkrijksrelaties</w:t>
      </w:r>
      <w:r w:rsidRPr="00520312">
        <w:rPr>
          <w:rFonts w:ascii="Verdana" w:hAnsi="Verdana"/>
          <w:sz w:val="18"/>
          <w:szCs w:val="18"/>
          <w:shd w:val="clear" w:color="auto" w:fill="FFFFFF"/>
        </w:rPr>
        <w:t xml:space="preserve"> treft maatregelen voor het beheer en de beveiliging van het register vermiste of vervallen reisdocumenten en stelt regels met betrekking tot het beheer, de beveiliging en de betrouwbaarheid van het basisregister reisdocumenten (artikel 4a, negende lid, en artikel 4c, derde lid, Paspoortwet). Daarnaast worden bij of krachtens </w:t>
      </w:r>
      <w:proofErr w:type="spellStart"/>
      <w:r w:rsidR="001C6BE6">
        <w:rPr>
          <w:rFonts w:ascii="Verdana" w:hAnsi="Verdana"/>
          <w:sz w:val="18"/>
          <w:szCs w:val="18"/>
          <w:shd w:val="clear" w:color="auto" w:fill="FFFFFF"/>
        </w:rPr>
        <w:t>amvb</w:t>
      </w:r>
      <w:proofErr w:type="spellEnd"/>
      <w:r w:rsidRPr="00520312">
        <w:rPr>
          <w:rFonts w:ascii="Verdana" w:hAnsi="Verdana"/>
          <w:sz w:val="18"/>
          <w:szCs w:val="18"/>
          <w:shd w:val="clear" w:color="auto" w:fill="FFFFFF"/>
        </w:rPr>
        <w:t xml:space="preserve"> regels gesteld over de beveiliging van het aanvraag- en uitgifteproces (artikel 28, vierde lid, Paspoortwet). Dit is nader uitgewerkt in het Paspoortbesluit, de Paspoortuitvoeringsregeling buitenland 2001, de Paspoortuitvoeringsregeling Marechaussee 2001, de Paspoortuitvoeringsregeling Nederland 2001 en de Paspoortuitvoeringsregeling Caribische landen. Ook hierbij zijn er raakvlakken met de zorgplicht in de </w:t>
      </w:r>
      <w:proofErr w:type="spellStart"/>
      <w:r w:rsidRPr="00520312">
        <w:rPr>
          <w:rFonts w:ascii="Verdana" w:hAnsi="Verdana"/>
          <w:sz w:val="18"/>
          <w:szCs w:val="18"/>
          <w:shd w:val="clear" w:color="auto" w:fill="FFFFFF"/>
        </w:rPr>
        <w:t>Cbw</w:t>
      </w:r>
      <w:proofErr w:type="spellEnd"/>
      <w:r w:rsidRPr="00520312">
        <w:rPr>
          <w:rFonts w:ascii="Verdana" w:hAnsi="Verdana"/>
          <w:sz w:val="18"/>
          <w:szCs w:val="18"/>
          <w:shd w:val="clear" w:color="auto" w:fill="FFFFFF"/>
        </w:rPr>
        <w:t>.</w:t>
      </w:r>
    </w:p>
    <w:p w:rsidR="00520312" w:rsidP="00520312" w:rsidRDefault="00520312" w14:paraId="2444D0BE" w14:textId="77777777">
      <w:pPr>
        <w:pStyle w:val="Geenafstand"/>
        <w:rPr>
          <w:rFonts w:ascii="Verdana" w:hAnsi="Verdana"/>
          <w:sz w:val="18"/>
          <w:szCs w:val="18"/>
          <w:shd w:val="clear" w:color="auto" w:fill="FFFFFF"/>
        </w:rPr>
      </w:pPr>
    </w:p>
    <w:p w:rsidRPr="00FF46E3" w:rsidR="0001735A" w:rsidP="00945659" w:rsidRDefault="005A5363" w14:paraId="357EE5C3" w14:textId="6A79159C">
      <w:pPr>
        <w:pStyle w:val="Kop2"/>
      </w:pPr>
      <w:bookmarkStart w:name="_Toc198721120" w:id="165"/>
      <w:bookmarkEnd w:id="164"/>
      <w:r w:rsidRPr="00FF46E3">
        <w:t>7</w:t>
      </w:r>
      <w:r w:rsidRPr="00FF46E3" w:rsidR="0001735A">
        <w:t>.</w:t>
      </w:r>
      <w:r w:rsidRPr="00FF46E3" w:rsidR="00AD68A2">
        <w:t>3</w:t>
      </w:r>
      <w:r w:rsidRPr="00FF46E3" w:rsidR="0001735A">
        <w:t xml:space="preserve"> Ministerie van Economische Zaken</w:t>
      </w:r>
      <w:bookmarkStart w:name="_Hlk148551217" w:id="166"/>
      <w:bookmarkEnd w:id="165"/>
    </w:p>
    <w:bookmarkEnd w:id="166"/>
    <w:p w:rsidRPr="00FF46E3" w:rsidR="0001735A" w:rsidP="00945659" w:rsidRDefault="0001735A" w14:paraId="5965BB7F" w14:textId="77777777">
      <w:pPr>
        <w:pStyle w:val="Geenafstand"/>
        <w:rPr>
          <w:rFonts w:ascii="Verdana" w:hAnsi="Verdana"/>
          <w:sz w:val="18"/>
          <w:szCs w:val="18"/>
        </w:rPr>
      </w:pPr>
    </w:p>
    <w:p w:rsidRPr="00FF46E3" w:rsidR="0017260F" w:rsidP="00945659" w:rsidRDefault="0017260F" w14:paraId="32B40053" w14:textId="1A14B8DD">
      <w:pPr>
        <w:pStyle w:val="Geenafstand"/>
        <w:rPr>
          <w:rFonts w:ascii="Verdana" w:hAnsi="Verdana"/>
          <w:i/>
          <w:iCs/>
          <w:sz w:val="18"/>
          <w:szCs w:val="18"/>
        </w:rPr>
      </w:pPr>
      <w:r w:rsidRPr="00FF46E3">
        <w:rPr>
          <w:rFonts w:ascii="Verdana" w:hAnsi="Verdana"/>
          <w:i/>
          <w:iCs/>
          <w:sz w:val="18"/>
          <w:szCs w:val="18"/>
        </w:rPr>
        <w:t>Wet bevordering digitale weerbaarheid bedrijven</w:t>
      </w:r>
    </w:p>
    <w:p w:rsidRPr="00FF46E3" w:rsidR="0017260F" w:rsidP="00945659" w:rsidRDefault="007058A2" w14:paraId="31536261" w14:textId="38F751B7">
      <w:pPr>
        <w:pStyle w:val="Geenafstand"/>
        <w:rPr>
          <w:rFonts w:ascii="Verdana" w:hAnsi="Verdana"/>
          <w:sz w:val="18"/>
          <w:szCs w:val="18"/>
        </w:rPr>
      </w:pPr>
      <w:r w:rsidRPr="007058A2">
        <w:rPr>
          <w:rFonts w:ascii="Verdana" w:hAnsi="Verdana"/>
          <w:sz w:val="18"/>
          <w:szCs w:val="18"/>
        </w:rPr>
        <w:t xml:space="preserve">De Wet bevordering digitale weerbaarheid bedrijven (hierna: </w:t>
      </w:r>
      <w:proofErr w:type="spellStart"/>
      <w:r w:rsidRPr="007058A2">
        <w:rPr>
          <w:rFonts w:ascii="Verdana" w:hAnsi="Verdana"/>
          <w:sz w:val="18"/>
          <w:szCs w:val="18"/>
        </w:rPr>
        <w:t>Wbdwb</w:t>
      </w:r>
      <w:proofErr w:type="spellEnd"/>
      <w:r w:rsidRPr="007058A2">
        <w:rPr>
          <w:rFonts w:ascii="Verdana" w:hAnsi="Verdana"/>
          <w:sz w:val="18"/>
          <w:szCs w:val="18"/>
        </w:rPr>
        <w:t xml:space="preserve">) </w:t>
      </w:r>
      <w:r w:rsidRPr="00FF46E3" w:rsidR="0017260F">
        <w:rPr>
          <w:rFonts w:ascii="Verdana" w:hAnsi="Verdana"/>
          <w:sz w:val="18"/>
          <w:szCs w:val="18"/>
        </w:rPr>
        <w:t xml:space="preserve">legt de taken en bevoegdheden van de Minister van Economische Zaken </w:t>
      </w:r>
      <w:r>
        <w:rPr>
          <w:rFonts w:ascii="Verdana" w:hAnsi="Verdana"/>
          <w:sz w:val="18"/>
          <w:szCs w:val="18"/>
        </w:rPr>
        <w:t xml:space="preserve">vast </w:t>
      </w:r>
      <w:r w:rsidRPr="00FF46E3" w:rsidR="0017260F">
        <w:rPr>
          <w:rFonts w:ascii="Verdana" w:hAnsi="Verdana"/>
          <w:sz w:val="18"/>
          <w:szCs w:val="18"/>
        </w:rPr>
        <w:t xml:space="preserve">op het gebied van de verbetering van de digitale weerbaarheid van het niet-vitale bedrijfsleven in Nederland. De taken zijn onder meer: het verwerken en verspreiden van informatie over kwetsbaarheden, dreigingen en incidenten aan bedrijven en het samenwerken met andere bestuursorganen en organisaties op het gebied van digitale weerbaarheid. Tevens regelt </w:t>
      </w:r>
      <w:r>
        <w:rPr>
          <w:rFonts w:ascii="Verdana" w:hAnsi="Verdana"/>
          <w:sz w:val="18"/>
          <w:szCs w:val="18"/>
        </w:rPr>
        <w:t>die wet de</w:t>
      </w:r>
      <w:r w:rsidRPr="00FF46E3" w:rsidR="0017260F">
        <w:rPr>
          <w:rFonts w:ascii="Verdana" w:hAnsi="Verdana"/>
          <w:sz w:val="18"/>
          <w:szCs w:val="18"/>
        </w:rPr>
        <w:t xml:space="preserve"> rechtstreekse informatie-uitwisseling tussen </w:t>
      </w:r>
      <w:r>
        <w:rPr>
          <w:rFonts w:ascii="Verdana" w:hAnsi="Verdana"/>
          <w:sz w:val="18"/>
          <w:szCs w:val="18"/>
        </w:rPr>
        <w:t xml:space="preserve">de Minister van Justitie en </w:t>
      </w:r>
      <w:r>
        <w:rPr>
          <w:rFonts w:ascii="Verdana" w:hAnsi="Verdana"/>
          <w:sz w:val="18"/>
          <w:szCs w:val="18"/>
        </w:rPr>
        <w:lastRenderedPageBreak/>
        <w:t xml:space="preserve">Veiligheid (in de praktijk: </w:t>
      </w:r>
      <w:r w:rsidRPr="00FF46E3" w:rsidR="0017260F">
        <w:rPr>
          <w:rFonts w:ascii="Verdana" w:hAnsi="Verdana"/>
          <w:sz w:val="18"/>
          <w:szCs w:val="18"/>
        </w:rPr>
        <w:t>het NCSC</w:t>
      </w:r>
      <w:r>
        <w:rPr>
          <w:rFonts w:ascii="Verdana" w:hAnsi="Verdana"/>
          <w:sz w:val="18"/>
          <w:szCs w:val="18"/>
        </w:rPr>
        <w:t>)</w:t>
      </w:r>
      <w:r w:rsidRPr="00FF46E3" w:rsidR="0017260F">
        <w:rPr>
          <w:rFonts w:ascii="Verdana" w:hAnsi="Verdana"/>
          <w:sz w:val="18"/>
          <w:szCs w:val="18"/>
        </w:rPr>
        <w:t xml:space="preserve"> en het CSIRT voor digitale diensten. Ten slotte voorziet </w:t>
      </w:r>
      <w:r>
        <w:rPr>
          <w:rFonts w:ascii="Verdana" w:hAnsi="Verdana"/>
          <w:sz w:val="18"/>
          <w:szCs w:val="18"/>
        </w:rPr>
        <w:t>die wet</w:t>
      </w:r>
      <w:r w:rsidRPr="00FF46E3" w:rsidR="0017260F">
        <w:rPr>
          <w:rFonts w:ascii="Verdana" w:hAnsi="Verdana"/>
          <w:sz w:val="18"/>
          <w:szCs w:val="18"/>
        </w:rPr>
        <w:t xml:space="preserve"> in de voorwaarden waaronder vertrouwelijke gegevens die bij de Minister van </w:t>
      </w:r>
      <w:r w:rsidRPr="00FF46E3" w:rsidR="00866C2E">
        <w:rPr>
          <w:rFonts w:ascii="Verdana" w:hAnsi="Verdana"/>
          <w:sz w:val="18"/>
          <w:szCs w:val="18"/>
        </w:rPr>
        <w:t>Economische Zaken</w:t>
      </w:r>
      <w:r w:rsidRPr="00FF46E3" w:rsidR="0017260F">
        <w:rPr>
          <w:rFonts w:ascii="Verdana" w:hAnsi="Verdana"/>
          <w:sz w:val="18"/>
          <w:szCs w:val="18"/>
        </w:rPr>
        <w:t xml:space="preserve"> berusten, verstrekt mogen worden aan derden.</w:t>
      </w:r>
    </w:p>
    <w:p w:rsidRPr="00FF46E3" w:rsidR="00F12F81" w:rsidP="007058A2" w:rsidRDefault="0017260F" w14:paraId="7B33EAE4" w14:textId="4BA938DB">
      <w:pPr>
        <w:pStyle w:val="Geenafstand"/>
        <w:rPr>
          <w:rFonts w:ascii="Verdana" w:hAnsi="Verdana"/>
          <w:sz w:val="18"/>
          <w:szCs w:val="18"/>
        </w:rPr>
      </w:pPr>
      <w:r w:rsidRPr="00FF46E3">
        <w:rPr>
          <w:rFonts w:ascii="Verdana" w:hAnsi="Verdana"/>
          <w:sz w:val="18"/>
          <w:szCs w:val="18"/>
        </w:rPr>
        <w:t xml:space="preserve">Vanwege de verwevenheid van </w:t>
      </w:r>
      <w:r w:rsidR="007058A2">
        <w:rPr>
          <w:rFonts w:ascii="Verdana" w:hAnsi="Verdana"/>
          <w:sz w:val="18"/>
          <w:szCs w:val="18"/>
        </w:rPr>
        <w:t xml:space="preserve">de </w:t>
      </w:r>
      <w:proofErr w:type="spellStart"/>
      <w:r w:rsidR="007058A2">
        <w:rPr>
          <w:rFonts w:ascii="Verdana" w:hAnsi="Verdana"/>
          <w:sz w:val="18"/>
          <w:szCs w:val="18"/>
        </w:rPr>
        <w:t>Wbdwb</w:t>
      </w:r>
      <w:proofErr w:type="spellEnd"/>
      <w:r w:rsidRPr="00FF46E3">
        <w:rPr>
          <w:rFonts w:ascii="Verdana" w:hAnsi="Verdana"/>
          <w:sz w:val="18"/>
          <w:szCs w:val="18"/>
        </w:rPr>
        <w:t xml:space="preserve"> met de </w:t>
      </w:r>
      <w:proofErr w:type="spellStart"/>
      <w:r w:rsidRPr="00FF46E3">
        <w:rPr>
          <w:rFonts w:ascii="Verdana" w:hAnsi="Verdana"/>
          <w:sz w:val="18"/>
          <w:szCs w:val="18"/>
        </w:rPr>
        <w:t>Wbni</w:t>
      </w:r>
      <w:proofErr w:type="spellEnd"/>
      <w:r w:rsidRPr="00FF46E3">
        <w:rPr>
          <w:rFonts w:ascii="Verdana" w:hAnsi="Verdana"/>
          <w:sz w:val="18"/>
          <w:szCs w:val="18"/>
        </w:rPr>
        <w:t xml:space="preserve"> en </w:t>
      </w:r>
      <w:r w:rsidR="002903FF">
        <w:rPr>
          <w:rFonts w:ascii="Verdana" w:hAnsi="Verdana"/>
          <w:sz w:val="18"/>
          <w:szCs w:val="18"/>
        </w:rPr>
        <w:t xml:space="preserve">het feit dat </w:t>
      </w:r>
      <w:r w:rsidR="007058A2">
        <w:rPr>
          <w:rFonts w:ascii="Verdana" w:hAnsi="Verdana"/>
          <w:sz w:val="18"/>
          <w:szCs w:val="18"/>
        </w:rPr>
        <w:t>d</w:t>
      </w:r>
      <w:r w:rsidR="00F12F81">
        <w:rPr>
          <w:rFonts w:ascii="Verdana" w:hAnsi="Verdana"/>
          <w:sz w:val="18"/>
          <w:szCs w:val="18"/>
        </w:rPr>
        <w:t xml:space="preserve">e laatstgenoemde wet met de komst van de </w:t>
      </w:r>
      <w:proofErr w:type="spellStart"/>
      <w:r w:rsidR="00F12F81">
        <w:rPr>
          <w:rFonts w:ascii="Verdana" w:hAnsi="Verdana"/>
          <w:sz w:val="18"/>
          <w:szCs w:val="18"/>
        </w:rPr>
        <w:t>Cbw</w:t>
      </w:r>
      <w:proofErr w:type="spellEnd"/>
      <w:r w:rsidR="00F12F81">
        <w:rPr>
          <w:rFonts w:ascii="Verdana" w:hAnsi="Verdana"/>
          <w:sz w:val="18"/>
          <w:szCs w:val="18"/>
        </w:rPr>
        <w:t xml:space="preserve"> komt te vervallen</w:t>
      </w:r>
      <w:r w:rsidRPr="00FF46E3">
        <w:rPr>
          <w:rFonts w:ascii="Verdana" w:hAnsi="Verdana"/>
          <w:sz w:val="18"/>
          <w:szCs w:val="18"/>
        </w:rPr>
        <w:t xml:space="preserve">, dient </w:t>
      </w:r>
      <w:r w:rsidR="007058A2">
        <w:rPr>
          <w:rFonts w:ascii="Verdana" w:hAnsi="Verdana"/>
          <w:sz w:val="18"/>
          <w:szCs w:val="18"/>
        </w:rPr>
        <w:t xml:space="preserve">de </w:t>
      </w:r>
      <w:proofErr w:type="spellStart"/>
      <w:r w:rsidR="007058A2">
        <w:rPr>
          <w:rFonts w:ascii="Verdana" w:hAnsi="Verdana"/>
          <w:sz w:val="18"/>
          <w:szCs w:val="18"/>
        </w:rPr>
        <w:t>Wbdwb</w:t>
      </w:r>
      <w:proofErr w:type="spellEnd"/>
      <w:r w:rsidRPr="00FF46E3">
        <w:rPr>
          <w:rFonts w:ascii="Verdana" w:hAnsi="Verdana"/>
          <w:sz w:val="18"/>
          <w:szCs w:val="18"/>
        </w:rPr>
        <w:t xml:space="preserve"> </w:t>
      </w:r>
      <w:r w:rsidRPr="00FF46E3" w:rsidR="00866C2E">
        <w:rPr>
          <w:rFonts w:ascii="Verdana" w:hAnsi="Verdana"/>
          <w:sz w:val="18"/>
          <w:szCs w:val="18"/>
        </w:rPr>
        <w:t xml:space="preserve">te worden aangepast aan de </w:t>
      </w:r>
      <w:proofErr w:type="spellStart"/>
      <w:r w:rsidR="007058A2">
        <w:rPr>
          <w:rFonts w:ascii="Verdana" w:hAnsi="Verdana"/>
          <w:sz w:val="18"/>
          <w:szCs w:val="18"/>
        </w:rPr>
        <w:t>Cbw</w:t>
      </w:r>
      <w:proofErr w:type="spellEnd"/>
      <w:r w:rsidRPr="00FF46E3">
        <w:rPr>
          <w:rFonts w:ascii="Verdana" w:hAnsi="Verdana"/>
          <w:sz w:val="18"/>
          <w:szCs w:val="18"/>
        </w:rPr>
        <w:t xml:space="preserve">. </w:t>
      </w:r>
      <w:r w:rsidR="00F12F81">
        <w:rPr>
          <w:rFonts w:ascii="Verdana" w:hAnsi="Verdana"/>
          <w:sz w:val="18"/>
          <w:szCs w:val="18"/>
        </w:rPr>
        <w:t xml:space="preserve">Dit wordt geregeld in artikel </w:t>
      </w:r>
      <w:r w:rsidR="005507B0">
        <w:rPr>
          <w:rFonts w:ascii="Verdana" w:hAnsi="Verdana"/>
          <w:sz w:val="18"/>
          <w:szCs w:val="18"/>
        </w:rPr>
        <w:t xml:space="preserve">100 </w:t>
      </w:r>
      <w:proofErr w:type="spellStart"/>
      <w:r w:rsidR="00F12F81">
        <w:rPr>
          <w:rFonts w:ascii="Verdana" w:hAnsi="Verdana"/>
          <w:sz w:val="18"/>
          <w:szCs w:val="18"/>
        </w:rPr>
        <w:t>Cbw</w:t>
      </w:r>
      <w:proofErr w:type="spellEnd"/>
      <w:r w:rsidR="00F12F81">
        <w:rPr>
          <w:rFonts w:ascii="Verdana" w:hAnsi="Verdana"/>
          <w:sz w:val="18"/>
          <w:szCs w:val="18"/>
        </w:rPr>
        <w:t xml:space="preserve">. </w:t>
      </w:r>
      <w:r w:rsidRPr="00FF46E3">
        <w:rPr>
          <w:rFonts w:ascii="Verdana" w:hAnsi="Verdana"/>
          <w:sz w:val="18"/>
          <w:szCs w:val="18"/>
        </w:rPr>
        <w:t xml:space="preserve">Daarbij </w:t>
      </w:r>
      <w:r w:rsidR="00F12F81">
        <w:rPr>
          <w:rFonts w:ascii="Verdana" w:hAnsi="Verdana"/>
          <w:sz w:val="18"/>
          <w:szCs w:val="18"/>
        </w:rPr>
        <w:t>is</w:t>
      </w:r>
      <w:r w:rsidRPr="00FF46E3">
        <w:rPr>
          <w:rFonts w:ascii="Verdana" w:hAnsi="Verdana"/>
          <w:sz w:val="18"/>
          <w:szCs w:val="18"/>
        </w:rPr>
        <w:t xml:space="preserve"> het uitgangspunt </w:t>
      </w:r>
      <w:r w:rsidR="00F12F81">
        <w:rPr>
          <w:rFonts w:ascii="Verdana" w:hAnsi="Verdana"/>
          <w:sz w:val="18"/>
          <w:szCs w:val="18"/>
        </w:rPr>
        <w:t xml:space="preserve">dat </w:t>
      </w:r>
      <w:r w:rsidRPr="00FF46E3">
        <w:rPr>
          <w:rFonts w:ascii="Verdana" w:hAnsi="Verdana"/>
          <w:sz w:val="18"/>
          <w:szCs w:val="18"/>
        </w:rPr>
        <w:t xml:space="preserve">het bestaand beleid beleidsneutraal </w:t>
      </w:r>
      <w:r w:rsidR="00F12F81">
        <w:rPr>
          <w:rFonts w:ascii="Verdana" w:hAnsi="Verdana"/>
          <w:sz w:val="18"/>
          <w:szCs w:val="18"/>
        </w:rPr>
        <w:t>wordt omgezet</w:t>
      </w:r>
      <w:r w:rsidRPr="00FF46E3">
        <w:rPr>
          <w:rFonts w:ascii="Verdana" w:hAnsi="Verdana"/>
          <w:sz w:val="18"/>
          <w:szCs w:val="18"/>
        </w:rPr>
        <w:t xml:space="preserve"> en </w:t>
      </w:r>
      <w:r w:rsidR="002903FF">
        <w:rPr>
          <w:rFonts w:ascii="Verdana" w:hAnsi="Verdana"/>
          <w:sz w:val="18"/>
          <w:szCs w:val="18"/>
        </w:rPr>
        <w:t xml:space="preserve">dat </w:t>
      </w:r>
      <w:r w:rsidRPr="00FF46E3">
        <w:rPr>
          <w:rFonts w:ascii="Verdana" w:hAnsi="Verdana"/>
          <w:sz w:val="18"/>
          <w:szCs w:val="18"/>
        </w:rPr>
        <w:t xml:space="preserve">de informatiepositie van de Minister van </w:t>
      </w:r>
      <w:r w:rsidRPr="00FF46E3" w:rsidR="00866C2E">
        <w:rPr>
          <w:rFonts w:ascii="Verdana" w:hAnsi="Verdana"/>
          <w:sz w:val="18"/>
          <w:szCs w:val="18"/>
        </w:rPr>
        <w:t>Economische Zaken</w:t>
      </w:r>
      <w:r w:rsidRPr="00FF46E3" w:rsidR="00534B84">
        <w:rPr>
          <w:rFonts w:ascii="Verdana" w:hAnsi="Verdana"/>
          <w:sz w:val="18"/>
          <w:szCs w:val="18"/>
        </w:rPr>
        <w:t xml:space="preserve"> </w:t>
      </w:r>
      <w:r w:rsidRPr="00FF46E3">
        <w:rPr>
          <w:rFonts w:ascii="Verdana" w:hAnsi="Verdana"/>
          <w:sz w:val="18"/>
          <w:szCs w:val="18"/>
        </w:rPr>
        <w:t xml:space="preserve">die </w:t>
      </w:r>
      <w:r w:rsidR="00F12F81">
        <w:rPr>
          <w:rFonts w:ascii="Verdana" w:hAnsi="Verdana"/>
          <w:sz w:val="18"/>
          <w:szCs w:val="18"/>
        </w:rPr>
        <w:t xml:space="preserve">de </w:t>
      </w:r>
      <w:proofErr w:type="spellStart"/>
      <w:r w:rsidR="00F12F81">
        <w:rPr>
          <w:rFonts w:ascii="Verdana" w:hAnsi="Verdana"/>
          <w:sz w:val="18"/>
          <w:szCs w:val="18"/>
        </w:rPr>
        <w:t>Wbdwb</w:t>
      </w:r>
      <w:proofErr w:type="spellEnd"/>
      <w:r w:rsidR="00F12F81">
        <w:rPr>
          <w:rFonts w:ascii="Verdana" w:hAnsi="Verdana"/>
          <w:sz w:val="18"/>
          <w:szCs w:val="18"/>
        </w:rPr>
        <w:t xml:space="preserve"> aan hem</w:t>
      </w:r>
      <w:r w:rsidRPr="00FF46E3">
        <w:rPr>
          <w:rFonts w:ascii="Verdana" w:hAnsi="Verdana"/>
          <w:sz w:val="18"/>
          <w:szCs w:val="18"/>
        </w:rPr>
        <w:t xml:space="preserve"> toekent, </w:t>
      </w:r>
      <w:r w:rsidR="00F12F81">
        <w:rPr>
          <w:rFonts w:ascii="Verdana" w:hAnsi="Verdana"/>
          <w:sz w:val="18"/>
          <w:szCs w:val="18"/>
        </w:rPr>
        <w:t>wordt</w:t>
      </w:r>
      <w:r w:rsidRPr="00FF46E3">
        <w:rPr>
          <w:rFonts w:ascii="Verdana" w:hAnsi="Verdana"/>
          <w:sz w:val="18"/>
          <w:szCs w:val="18"/>
        </w:rPr>
        <w:t xml:space="preserve"> behouden.</w:t>
      </w:r>
    </w:p>
    <w:p w:rsidRPr="00FF46E3" w:rsidR="0017260F" w:rsidP="00945659" w:rsidRDefault="0017260F" w14:paraId="6CF3F505" w14:textId="77777777">
      <w:pPr>
        <w:pStyle w:val="Geenafstand"/>
        <w:rPr>
          <w:rFonts w:ascii="Verdana" w:hAnsi="Verdana"/>
          <w:sz w:val="18"/>
          <w:szCs w:val="18"/>
        </w:rPr>
      </w:pPr>
    </w:p>
    <w:p w:rsidRPr="00FF46E3" w:rsidR="0001735A" w:rsidP="00945659" w:rsidRDefault="0001735A" w14:paraId="6857D5EE" w14:textId="2928EDE6">
      <w:pPr>
        <w:pStyle w:val="Geenafstand"/>
        <w:rPr>
          <w:rFonts w:ascii="Verdana" w:hAnsi="Verdana"/>
          <w:i/>
          <w:iCs/>
          <w:sz w:val="18"/>
          <w:szCs w:val="18"/>
        </w:rPr>
      </w:pPr>
      <w:r w:rsidRPr="00FF46E3">
        <w:rPr>
          <w:rFonts w:ascii="Verdana" w:hAnsi="Verdana"/>
          <w:i/>
          <w:iCs/>
          <w:sz w:val="18"/>
          <w:szCs w:val="18"/>
        </w:rPr>
        <w:t>Post</w:t>
      </w:r>
    </w:p>
    <w:p w:rsidRPr="00FF46E3" w:rsidR="00095F27" w:rsidP="00945659" w:rsidRDefault="0001735A" w14:paraId="775B986D" w14:textId="2CB1AF51">
      <w:pPr>
        <w:pStyle w:val="Geenafstand"/>
        <w:rPr>
          <w:rFonts w:ascii="Verdana" w:hAnsi="Verdana"/>
          <w:sz w:val="18"/>
          <w:szCs w:val="18"/>
        </w:rPr>
      </w:pPr>
      <w:r w:rsidRPr="00FF46E3">
        <w:rPr>
          <w:rFonts w:ascii="Verdana" w:hAnsi="Verdana"/>
          <w:sz w:val="18"/>
          <w:szCs w:val="18"/>
        </w:rPr>
        <w:t xml:space="preserve">Voor belangrijke entiteiten in de sector post zijn er in de op hen van toepassing zijnde wetgeving (Postwet 2009) geen zorgplicht, meldplicht of andere met </w:t>
      </w:r>
      <w:r w:rsidRPr="00FF46E3" w:rsidR="00866C2E">
        <w:rPr>
          <w:rFonts w:ascii="Verdana" w:hAnsi="Verdana"/>
          <w:sz w:val="18"/>
          <w:szCs w:val="18"/>
        </w:rPr>
        <w:t xml:space="preserve">de </w:t>
      </w:r>
      <w:proofErr w:type="spellStart"/>
      <w:r w:rsidRPr="00FF46E3" w:rsidR="00866C2E">
        <w:rPr>
          <w:rFonts w:ascii="Verdana" w:hAnsi="Verdana"/>
          <w:sz w:val="18"/>
          <w:szCs w:val="18"/>
        </w:rPr>
        <w:t>Cbw</w:t>
      </w:r>
      <w:proofErr w:type="spellEnd"/>
      <w:r w:rsidRPr="00FF46E3" w:rsidR="004A5163">
        <w:rPr>
          <w:rFonts w:ascii="Verdana" w:hAnsi="Verdana"/>
          <w:sz w:val="18"/>
          <w:szCs w:val="18"/>
        </w:rPr>
        <w:t xml:space="preserve"> </w:t>
      </w:r>
      <w:r w:rsidRPr="00FF46E3">
        <w:rPr>
          <w:rFonts w:ascii="Verdana" w:hAnsi="Verdana"/>
          <w:sz w:val="18"/>
          <w:szCs w:val="18"/>
        </w:rPr>
        <w:t>soortgelijke verplichtingen geregeld. Er is dus geen sprake van botsende verplichtingen.</w:t>
      </w:r>
    </w:p>
    <w:p w:rsidRPr="00FF46E3" w:rsidR="008372C0" w:rsidP="00945659" w:rsidRDefault="008372C0" w14:paraId="46992E97" w14:textId="77777777">
      <w:pPr>
        <w:pStyle w:val="Geenafstand"/>
        <w:rPr>
          <w:rFonts w:ascii="Verdana" w:hAnsi="Verdana"/>
          <w:sz w:val="18"/>
          <w:szCs w:val="18"/>
        </w:rPr>
      </w:pPr>
    </w:p>
    <w:p w:rsidRPr="00FF46E3" w:rsidR="0067790F" w:rsidP="00945659" w:rsidRDefault="0067790F" w14:paraId="5615CA96" w14:textId="34A4E082">
      <w:pPr>
        <w:pStyle w:val="Geenafstand"/>
        <w:rPr>
          <w:rFonts w:ascii="Verdana" w:hAnsi="Verdana"/>
          <w:i/>
          <w:iCs/>
          <w:sz w:val="18"/>
          <w:szCs w:val="18"/>
        </w:rPr>
      </w:pPr>
      <w:r w:rsidRPr="00FF46E3">
        <w:rPr>
          <w:rFonts w:ascii="Verdana" w:hAnsi="Verdana"/>
          <w:i/>
          <w:iCs/>
          <w:sz w:val="18"/>
          <w:szCs w:val="18"/>
        </w:rPr>
        <w:t>Ruimtevaart</w:t>
      </w:r>
    </w:p>
    <w:p w:rsidRPr="00FF46E3" w:rsidR="0067790F" w:rsidP="00945659" w:rsidRDefault="00866C2E" w14:paraId="02C21627" w14:textId="5C20C9D2">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67790F">
        <w:rPr>
          <w:rFonts w:ascii="Verdana" w:hAnsi="Verdana"/>
          <w:sz w:val="18"/>
          <w:szCs w:val="18"/>
        </w:rPr>
        <w:t xml:space="preserve"> voorziet in een meldplicht en zorgplicht op het gebied van cyber</w:t>
      </w:r>
      <w:r w:rsidRPr="00FF46E3" w:rsidR="00207832">
        <w:rPr>
          <w:rFonts w:ascii="Verdana" w:hAnsi="Verdana"/>
          <w:sz w:val="18"/>
          <w:szCs w:val="18"/>
        </w:rPr>
        <w:t>beveiliging</w:t>
      </w:r>
      <w:r w:rsidRPr="00FF46E3" w:rsidR="0067790F">
        <w:rPr>
          <w:rFonts w:ascii="Verdana" w:hAnsi="Verdana"/>
          <w:sz w:val="18"/>
          <w:szCs w:val="18"/>
        </w:rPr>
        <w:t xml:space="preserve">. Entiteiten waarop de Wet ruimtevaartactiviteiten van toepassing is, zullen ook onder de sector ruimtevaart van </w:t>
      </w: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67790F">
        <w:rPr>
          <w:rFonts w:ascii="Verdana" w:hAnsi="Verdana"/>
          <w:sz w:val="18"/>
          <w:szCs w:val="18"/>
        </w:rPr>
        <w:t xml:space="preserve"> vallen. </w:t>
      </w:r>
      <w:r w:rsidRPr="00FF46E3">
        <w:rPr>
          <w:rFonts w:ascii="Verdana" w:hAnsi="Verdana"/>
          <w:sz w:val="18"/>
          <w:szCs w:val="18"/>
        </w:rPr>
        <w:t>Artikel 10, tweede lid,</w:t>
      </w:r>
      <w:r w:rsidRPr="00FF46E3" w:rsidR="0067790F">
        <w:rPr>
          <w:rFonts w:ascii="Verdana" w:hAnsi="Verdana"/>
          <w:sz w:val="18"/>
          <w:szCs w:val="18"/>
        </w:rPr>
        <w:t xml:space="preserve"> Wet ruimtevaartactiviteiten bevat de verplichting voor vergunninghouders om een voorval dat gevaar kan opleveren voor de veiligheid van personen en goederen, de bescherming van het milieu in de ruimte, de bescherming van de openbare orde of de veiligheid van de staat, of anderszins schade kan opleveren, te melden aan de </w:t>
      </w:r>
      <w:r w:rsidRPr="00FF46E3" w:rsidR="00207832">
        <w:rPr>
          <w:rFonts w:ascii="Verdana" w:hAnsi="Verdana"/>
          <w:sz w:val="18"/>
          <w:szCs w:val="18"/>
        </w:rPr>
        <w:t>M</w:t>
      </w:r>
      <w:r w:rsidRPr="00FF46E3" w:rsidR="0067790F">
        <w:rPr>
          <w:rFonts w:ascii="Verdana" w:hAnsi="Verdana"/>
          <w:sz w:val="18"/>
          <w:szCs w:val="18"/>
        </w:rPr>
        <w:t>inister</w:t>
      </w:r>
      <w:r w:rsidRPr="00FF46E3" w:rsidR="00207832">
        <w:t xml:space="preserve"> </w:t>
      </w:r>
      <w:r w:rsidRPr="00FF46E3" w:rsidR="00207832">
        <w:rPr>
          <w:rFonts w:ascii="Verdana" w:hAnsi="Verdana"/>
          <w:sz w:val="18"/>
          <w:szCs w:val="18"/>
        </w:rPr>
        <w:t>van Economische Zaken</w:t>
      </w:r>
      <w:r w:rsidRPr="00FF46E3" w:rsidR="0067790F">
        <w:rPr>
          <w:rFonts w:ascii="Verdana" w:hAnsi="Verdana"/>
          <w:sz w:val="18"/>
          <w:szCs w:val="18"/>
        </w:rPr>
        <w:t xml:space="preserve">. De meldplicht die </w:t>
      </w: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67790F">
        <w:rPr>
          <w:rFonts w:ascii="Verdana" w:hAnsi="Verdana"/>
          <w:sz w:val="18"/>
          <w:szCs w:val="18"/>
        </w:rPr>
        <w:t xml:space="preserve"> regelt staat deze verplichting niet in de weg. Zij leidt er slechts toe dat in bepaalde gevallen zal moeten worden gemeld aan het CSIRT en de toezichthoudende instantie onder </w:t>
      </w: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67790F">
        <w:rPr>
          <w:rFonts w:ascii="Verdana" w:hAnsi="Verdana"/>
          <w:sz w:val="18"/>
          <w:szCs w:val="18"/>
        </w:rPr>
        <w:t>.</w:t>
      </w:r>
    </w:p>
    <w:p w:rsidRPr="00FF46E3" w:rsidR="0067790F" w:rsidP="00945659" w:rsidRDefault="0067790F" w14:paraId="0D6DAFEA" w14:textId="4EC09750">
      <w:pPr>
        <w:pStyle w:val="Geenafstand"/>
        <w:rPr>
          <w:rFonts w:ascii="Verdana" w:hAnsi="Verdana"/>
          <w:sz w:val="18"/>
          <w:szCs w:val="18"/>
          <w:lang w:eastAsia="nl-NL"/>
        </w:rPr>
      </w:pPr>
      <w:r w:rsidRPr="00FF46E3">
        <w:rPr>
          <w:rFonts w:ascii="Verdana" w:hAnsi="Verdana"/>
          <w:sz w:val="18"/>
          <w:szCs w:val="18"/>
        </w:rPr>
        <w:t>Een zorgplicht op het punt van cyber</w:t>
      </w:r>
      <w:r w:rsidRPr="00FF46E3" w:rsidR="00207832">
        <w:rPr>
          <w:rFonts w:ascii="Verdana" w:hAnsi="Verdana"/>
          <w:sz w:val="18"/>
          <w:szCs w:val="18"/>
        </w:rPr>
        <w:t>beveiliging</w:t>
      </w:r>
      <w:r w:rsidRPr="00FF46E3">
        <w:rPr>
          <w:rFonts w:ascii="Verdana" w:hAnsi="Verdana"/>
          <w:sz w:val="18"/>
          <w:szCs w:val="18"/>
        </w:rPr>
        <w:t xml:space="preserve"> is niet geregeld in de Wet ruimtevaartactiviteiten. Wel bepaalt artikel 3, derde lid, Wet ruimtevaartactiviteiten dat aan een vergunning</w:t>
      </w:r>
      <w:r w:rsidRPr="00FF46E3" w:rsidR="00207832">
        <w:rPr>
          <w:rFonts w:ascii="Verdana" w:hAnsi="Verdana"/>
          <w:sz w:val="18"/>
          <w:szCs w:val="18"/>
        </w:rPr>
        <w:t xml:space="preserve"> </w:t>
      </w:r>
      <w:r w:rsidRPr="00FF46E3">
        <w:rPr>
          <w:rFonts w:ascii="Verdana" w:hAnsi="Verdana"/>
          <w:sz w:val="18"/>
          <w:szCs w:val="18"/>
        </w:rPr>
        <w:t xml:space="preserve">voorschriften en beperkingen kunnen worden verbonden met het oog op veiligheid van personen en goederen, bescherming van het milieu in de </w:t>
      </w:r>
      <w:r w:rsidRPr="00FF46E3" w:rsidR="004057D2">
        <w:rPr>
          <w:rFonts w:ascii="Verdana" w:hAnsi="Verdana"/>
          <w:sz w:val="18"/>
          <w:szCs w:val="18"/>
        </w:rPr>
        <w:t>kosmische</w:t>
      </w:r>
      <w:r w:rsidRPr="00FF46E3">
        <w:rPr>
          <w:rFonts w:ascii="Verdana" w:hAnsi="Verdana"/>
          <w:sz w:val="18"/>
          <w:szCs w:val="18"/>
        </w:rPr>
        <w:t xml:space="preserve"> ruimte, financiële zekerheid, bescherming van de openbare orde, veiligheid van de staat en het kunnen voldoen aan de internationale verplichtingen van de staat. Deze aan een vergunning verbonden voorschriften en beperkingen kunnen entiteiten helpen in het voldoen aan de zorgplicht uit </w:t>
      </w:r>
      <w:r w:rsidRPr="00FF46E3" w:rsidR="00866C2E">
        <w:rPr>
          <w:rFonts w:ascii="Verdana" w:hAnsi="Verdana"/>
          <w:sz w:val="18"/>
          <w:szCs w:val="18"/>
        </w:rPr>
        <w:t xml:space="preserve">de </w:t>
      </w:r>
      <w:proofErr w:type="spellStart"/>
      <w:r w:rsidRPr="00FF46E3" w:rsidR="00866C2E">
        <w:rPr>
          <w:rFonts w:ascii="Verdana" w:hAnsi="Verdana"/>
          <w:sz w:val="18"/>
          <w:szCs w:val="18"/>
        </w:rPr>
        <w:t>Cbw</w:t>
      </w:r>
      <w:proofErr w:type="spellEnd"/>
      <w:r w:rsidRPr="00FF46E3">
        <w:rPr>
          <w:rFonts w:ascii="Verdana" w:hAnsi="Verdana"/>
          <w:sz w:val="18"/>
          <w:szCs w:val="18"/>
        </w:rPr>
        <w:t>.</w:t>
      </w:r>
      <w:r w:rsidRPr="00FF46E3" w:rsidR="00EA661F">
        <w:rPr>
          <w:rFonts w:ascii="Verdana" w:hAnsi="Verdana"/>
          <w:sz w:val="18"/>
          <w:szCs w:val="18"/>
        </w:rPr>
        <w:t xml:space="preserve"> </w:t>
      </w:r>
    </w:p>
    <w:p w:rsidRPr="00FF46E3" w:rsidR="0067790F" w:rsidP="00945659" w:rsidRDefault="0067790F" w14:paraId="44964DA0" w14:textId="77777777">
      <w:pPr>
        <w:pStyle w:val="Geenafstand"/>
        <w:rPr>
          <w:rFonts w:ascii="Verdana" w:hAnsi="Verdana"/>
          <w:i/>
          <w:iCs/>
          <w:sz w:val="18"/>
          <w:szCs w:val="18"/>
        </w:rPr>
      </w:pPr>
    </w:p>
    <w:p w:rsidRPr="00FF46E3" w:rsidR="00254A26" w:rsidP="00945659" w:rsidRDefault="00765C91" w14:paraId="6E0BD0DD" w14:textId="04749D9C">
      <w:pPr>
        <w:pStyle w:val="Kop2"/>
      </w:pPr>
      <w:bookmarkStart w:name="_Toc198721121" w:id="167"/>
      <w:bookmarkStart w:name="_Hlk148551245" w:id="168"/>
      <w:r w:rsidRPr="00FF46E3">
        <w:t>7.</w:t>
      </w:r>
      <w:r w:rsidRPr="00FF46E3" w:rsidR="00AD68A2">
        <w:t>4</w:t>
      </w:r>
      <w:r w:rsidRPr="00FF46E3">
        <w:t xml:space="preserve"> </w:t>
      </w:r>
      <w:r w:rsidRPr="00FF46E3" w:rsidR="00254A26">
        <w:t>Ministerie van Financiën</w:t>
      </w:r>
      <w:bookmarkEnd w:id="167"/>
    </w:p>
    <w:bookmarkEnd w:id="168"/>
    <w:p w:rsidRPr="00FF46E3" w:rsidR="00034038" w:rsidP="00945659" w:rsidRDefault="00034038" w14:paraId="7740438A" w14:textId="77777777">
      <w:pPr>
        <w:pStyle w:val="Geenafstand"/>
        <w:rPr>
          <w:rFonts w:ascii="Verdana" w:hAnsi="Verdana"/>
          <w:sz w:val="18"/>
          <w:szCs w:val="18"/>
        </w:rPr>
      </w:pPr>
    </w:p>
    <w:p w:rsidRPr="00FF46E3" w:rsidR="001079CB" w:rsidP="00945659" w:rsidRDefault="00325993" w14:paraId="22FC516F" w14:textId="0E209E6B">
      <w:pPr>
        <w:pStyle w:val="Geenafstand"/>
        <w:rPr>
          <w:rFonts w:ascii="Verdana" w:hAnsi="Verdana"/>
          <w:sz w:val="18"/>
          <w:szCs w:val="18"/>
        </w:rPr>
      </w:pPr>
      <w:r w:rsidRPr="00FF46E3">
        <w:rPr>
          <w:rFonts w:ascii="Verdana" w:hAnsi="Verdana"/>
          <w:sz w:val="18"/>
          <w:szCs w:val="18"/>
        </w:rPr>
        <w:t xml:space="preserve">Voor de financiële sector geldt een lex specialis: de </w:t>
      </w:r>
      <w:r w:rsidR="009754FB">
        <w:rPr>
          <w:rFonts w:ascii="Verdana" w:hAnsi="Verdana"/>
          <w:sz w:val="18"/>
          <w:szCs w:val="18"/>
        </w:rPr>
        <w:t>DORA</w:t>
      </w:r>
      <w:r w:rsidRPr="00FF46E3">
        <w:rPr>
          <w:rFonts w:ascii="Verdana" w:hAnsi="Verdana"/>
          <w:sz w:val="18"/>
          <w:szCs w:val="18"/>
        </w:rPr>
        <w:t xml:space="preserve">. Deze verordening is nader toegelicht </w:t>
      </w:r>
      <w:r w:rsidRPr="00FF46E3" w:rsidR="002C6E25">
        <w:rPr>
          <w:rFonts w:ascii="Verdana" w:hAnsi="Verdana"/>
          <w:sz w:val="18"/>
          <w:szCs w:val="18"/>
        </w:rPr>
        <w:t>in paragraaf</w:t>
      </w:r>
      <w:r w:rsidRPr="00FF46E3">
        <w:rPr>
          <w:rFonts w:ascii="Verdana" w:hAnsi="Verdana"/>
          <w:sz w:val="18"/>
          <w:szCs w:val="18"/>
        </w:rPr>
        <w:t xml:space="preserve"> 2.</w:t>
      </w:r>
      <w:r w:rsidR="00751CDD">
        <w:rPr>
          <w:rFonts w:ascii="Verdana" w:hAnsi="Verdana"/>
          <w:sz w:val="18"/>
          <w:szCs w:val="18"/>
        </w:rPr>
        <w:t>4</w:t>
      </w:r>
      <w:r w:rsidRPr="00FF46E3">
        <w:rPr>
          <w:rFonts w:ascii="Verdana" w:hAnsi="Verdana"/>
          <w:sz w:val="18"/>
          <w:szCs w:val="18"/>
        </w:rPr>
        <w:t>.</w:t>
      </w:r>
    </w:p>
    <w:p w:rsidRPr="00FF46E3" w:rsidR="00141162" w:rsidP="00945659" w:rsidRDefault="00141162" w14:paraId="7810760F" w14:textId="633B7A95">
      <w:pPr>
        <w:pStyle w:val="Geenafstand"/>
        <w:rPr>
          <w:rFonts w:ascii="Verdana" w:hAnsi="Verdana"/>
          <w:sz w:val="18"/>
          <w:szCs w:val="18"/>
        </w:rPr>
      </w:pPr>
    </w:p>
    <w:p w:rsidRPr="00FF46E3" w:rsidR="00792141" w:rsidP="00945659" w:rsidRDefault="00765C91" w14:paraId="38221569" w14:textId="172F3F32">
      <w:pPr>
        <w:pStyle w:val="Kop2"/>
      </w:pPr>
      <w:bookmarkStart w:name="_Toc198721122" w:id="169"/>
      <w:bookmarkStart w:name="_Hlk179378711" w:id="170"/>
      <w:r w:rsidRPr="00FF46E3">
        <w:t>7.</w:t>
      </w:r>
      <w:r w:rsidRPr="00FF46E3" w:rsidR="00AD68A2">
        <w:t>5</w:t>
      </w:r>
      <w:r w:rsidRPr="00FF46E3" w:rsidR="00792141">
        <w:t xml:space="preserve"> Ministerie van Infrastructuur en Waterstaat</w:t>
      </w:r>
      <w:bookmarkEnd w:id="169"/>
    </w:p>
    <w:p w:rsidRPr="00FF46E3" w:rsidR="00765C91" w:rsidP="00945659" w:rsidRDefault="00765C91" w14:paraId="5854946C" w14:textId="77777777">
      <w:pPr>
        <w:pStyle w:val="Geenafstand"/>
        <w:rPr>
          <w:rFonts w:ascii="Verdana" w:hAnsi="Verdana"/>
          <w:sz w:val="18"/>
          <w:szCs w:val="18"/>
        </w:rPr>
      </w:pPr>
    </w:p>
    <w:p w:rsidRPr="00FF46E3" w:rsidR="009D62AE" w:rsidP="00945659" w:rsidRDefault="009D62AE" w14:paraId="1C979F20" w14:textId="77777777">
      <w:pPr>
        <w:pStyle w:val="Geenafstand"/>
        <w:rPr>
          <w:rFonts w:ascii="Verdana" w:hAnsi="Verdana"/>
          <w:sz w:val="18"/>
          <w:szCs w:val="18"/>
        </w:rPr>
      </w:pPr>
      <w:r w:rsidRPr="00FF46E3">
        <w:rPr>
          <w:rFonts w:ascii="Verdana" w:hAnsi="Verdana"/>
          <w:i/>
          <w:iCs/>
          <w:sz w:val="18"/>
          <w:szCs w:val="18"/>
        </w:rPr>
        <w:t>Luchtvaart, scheepvaart, spoor en weg</w:t>
      </w:r>
    </w:p>
    <w:p w:rsidRPr="00FF46E3" w:rsidR="009D62AE" w:rsidP="00945659" w:rsidRDefault="009D62AE" w14:paraId="7FC0494A" w14:textId="2084FC6C">
      <w:pPr>
        <w:pStyle w:val="Geenafstand"/>
        <w:rPr>
          <w:rFonts w:ascii="Verdana" w:hAnsi="Verdana"/>
          <w:sz w:val="18"/>
          <w:szCs w:val="18"/>
        </w:rPr>
      </w:pPr>
      <w:r w:rsidRPr="00FF46E3">
        <w:rPr>
          <w:rFonts w:ascii="Verdana" w:hAnsi="Verdana"/>
          <w:sz w:val="18"/>
          <w:szCs w:val="18"/>
        </w:rPr>
        <w:t xml:space="preserve">Voor de vervoerssector </w:t>
      </w:r>
      <w:r w:rsidRPr="00FF46E3" w:rsidR="00AD6C39">
        <w:rPr>
          <w:rFonts w:ascii="Verdana" w:hAnsi="Verdana"/>
          <w:sz w:val="18"/>
          <w:szCs w:val="18"/>
        </w:rPr>
        <w:t xml:space="preserve">(luchtvaart, scheepvaart, spoor en weg) </w:t>
      </w:r>
      <w:r w:rsidRPr="00FF46E3">
        <w:rPr>
          <w:rFonts w:ascii="Verdana" w:hAnsi="Verdana"/>
          <w:sz w:val="18"/>
          <w:szCs w:val="18"/>
        </w:rPr>
        <w:t>is er geen sprake van botsing van bestaande wetgeving met de uit de NIS2-richtlijn voortvloeiende verplichtingen.</w:t>
      </w:r>
    </w:p>
    <w:p w:rsidRPr="00FF46E3" w:rsidR="009D62AE" w:rsidP="00945659" w:rsidRDefault="009D62AE" w14:paraId="0EC8A4B5" w14:textId="77777777">
      <w:pPr>
        <w:pStyle w:val="Geenafstand"/>
        <w:rPr>
          <w:rFonts w:ascii="Verdana" w:hAnsi="Verdana"/>
          <w:i/>
          <w:iCs/>
          <w:sz w:val="18"/>
          <w:szCs w:val="18"/>
        </w:rPr>
      </w:pPr>
    </w:p>
    <w:p w:rsidRPr="00FF46E3" w:rsidR="009D62AE" w:rsidP="00945659" w:rsidRDefault="009D62AE" w14:paraId="42635AF1" w14:textId="77777777">
      <w:pPr>
        <w:pStyle w:val="Geenafstand"/>
        <w:rPr>
          <w:rFonts w:ascii="Verdana" w:hAnsi="Verdana"/>
          <w:i/>
          <w:iCs/>
          <w:sz w:val="18"/>
          <w:szCs w:val="18"/>
        </w:rPr>
      </w:pPr>
      <w:r w:rsidRPr="00FF46E3">
        <w:rPr>
          <w:rFonts w:ascii="Verdana" w:hAnsi="Verdana"/>
          <w:i/>
          <w:iCs/>
          <w:sz w:val="18"/>
          <w:szCs w:val="18"/>
        </w:rPr>
        <w:t>Drinkwater</w:t>
      </w:r>
    </w:p>
    <w:p w:rsidRPr="00FF46E3" w:rsidR="009D62AE" w:rsidP="00945659" w:rsidRDefault="009D62AE" w14:paraId="78A4A950" w14:textId="4FD8DEBB">
      <w:pPr>
        <w:pStyle w:val="Geenafstand"/>
        <w:rPr>
          <w:rFonts w:ascii="Verdana" w:hAnsi="Verdana"/>
          <w:sz w:val="18"/>
          <w:szCs w:val="18"/>
        </w:rPr>
      </w:pPr>
      <w:bookmarkStart w:name="_Hlk144114675" w:id="171"/>
      <w:r w:rsidRPr="00FF46E3">
        <w:rPr>
          <w:rFonts w:ascii="Verdana" w:hAnsi="Verdana"/>
          <w:sz w:val="18"/>
          <w:szCs w:val="18"/>
        </w:rPr>
        <w:t xml:space="preserve">De </w:t>
      </w:r>
      <w:r w:rsidRPr="00FF46E3" w:rsidR="006F7F9A">
        <w:rPr>
          <w:rFonts w:ascii="Verdana" w:hAnsi="Verdana"/>
          <w:sz w:val="18"/>
          <w:szCs w:val="18"/>
        </w:rPr>
        <w:t xml:space="preserve">zogeheten </w:t>
      </w:r>
      <w:r w:rsidRPr="00FF46E3">
        <w:rPr>
          <w:rFonts w:ascii="Verdana" w:hAnsi="Verdana"/>
          <w:sz w:val="18"/>
          <w:szCs w:val="18"/>
        </w:rPr>
        <w:t>Drinkwaterrichtlijn</w:t>
      </w:r>
      <w:r w:rsidRPr="00FF46E3" w:rsidR="006F7F9A">
        <w:rPr>
          <w:rStyle w:val="Voetnootmarkering"/>
          <w:rFonts w:ascii="Verdana" w:hAnsi="Verdana"/>
          <w:sz w:val="18"/>
          <w:szCs w:val="18"/>
        </w:rPr>
        <w:footnoteReference w:id="66"/>
      </w:r>
      <w:r w:rsidRPr="00FF46E3">
        <w:rPr>
          <w:rFonts w:ascii="Verdana" w:hAnsi="Verdana"/>
          <w:sz w:val="18"/>
          <w:szCs w:val="18"/>
        </w:rPr>
        <w:t xml:space="preserve"> verplicht tot een </w:t>
      </w:r>
      <w:proofErr w:type="spellStart"/>
      <w:r w:rsidRPr="000E397D">
        <w:rPr>
          <w:rFonts w:ascii="Verdana" w:hAnsi="Verdana"/>
          <w:i/>
          <w:iCs/>
          <w:sz w:val="18"/>
          <w:szCs w:val="18"/>
        </w:rPr>
        <w:t>all</w:t>
      </w:r>
      <w:proofErr w:type="spellEnd"/>
      <w:r w:rsidRPr="000E397D">
        <w:rPr>
          <w:rFonts w:ascii="Verdana" w:hAnsi="Verdana"/>
          <w:i/>
          <w:iCs/>
          <w:sz w:val="18"/>
          <w:szCs w:val="18"/>
        </w:rPr>
        <w:t xml:space="preserve"> hazard</w:t>
      </w:r>
      <w:r w:rsidRPr="00FF46E3">
        <w:rPr>
          <w:rFonts w:ascii="Verdana" w:hAnsi="Verdana"/>
          <w:sz w:val="18"/>
          <w:szCs w:val="18"/>
        </w:rPr>
        <w:t>-risicoanalyse en tot risicobeheer, (herstel)maatregelen, meldingen bij verstoringen en informatieplichten aan het publiek. De NIS1-richtlijn bevatte een zorgplicht specifiek voor cyber</w:t>
      </w:r>
      <w:r w:rsidRPr="00FF46E3" w:rsidR="00AD45C9">
        <w:rPr>
          <w:rFonts w:ascii="Verdana" w:hAnsi="Verdana"/>
          <w:sz w:val="18"/>
          <w:szCs w:val="18"/>
        </w:rPr>
        <w:t>beveiliging</w:t>
      </w:r>
      <w:r w:rsidRPr="00FF46E3">
        <w:rPr>
          <w:rFonts w:ascii="Verdana" w:hAnsi="Verdana"/>
          <w:sz w:val="18"/>
          <w:szCs w:val="18"/>
        </w:rPr>
        <w:t>, met een (herstel)maatregelplicht en meldings- en informatieplichten. De samenloop van de NIS1-richtlijn en de Drinkwaterrichtlijn is niet verder geregeld in nationale wet</w:t>
      </w:r>
      <w:r w:rsidRPr="00FF46E3" w:rsidR="006F7F9A">
        <w:rPr>
          <w:rFonts w:ascii="Verdana" w:hAnsi="Verdana"/>
          <w:sz w:val="18"/>
          <w:szCs w:val="18"/>
        </w:rPr>
        <w:t>geving</w:t>
      </w:r>
      <w:r w:rsidRPr="00FF46E3">
        <w:rPr>
          <w:rFonts w:ascii="Verdana" w:hAnsi="Verdana"/>
          <w:sz w:val="18"/>
          <w:szCs w:val="18"/>
        </w:rPr>
        <w:t>, omdat de</w:t>
      </w:r>
      <w:r w:rsidRPr="00FF46E3" w:rsidR="00AD45C9">
        <w:rPr>
          <w:rFonts w:ascii="Verdana" w:hAnsi="Verdana"/>
          <w:sz w:val="18"/>
          <w:szCs w:val="18"/>
        </w:rPr>
        <w:t xml:space="preserve"> NIS1-richtlijn</w:t>
      </w:r>
      <w:r w:rsidRPr="00FF46E3">
        <w:rPr>
          <w:rFonts w:ascii="Verdana" w:hAnsi="Verdana"/>
          <w:sz w:val="18"/>
          <w:szCs w:val="18"/>
        </w:rPr>
        <w:t xml:space="preserve"> beperkt is tot cyber</w:t>
      </w:r>
      <w:r w:rsidRPr="00FF46E3" w:rsidR="00AD45C9">
        <w:rPr>
          <w:rFonts w:ascii="Verdana" w:hAnsi="Verdana"/>
          <w:sz w:val="18"/>
          <w:szCs w:val="18"/>
        </w:rPr>
        <w:t>beveiliging</w:t>
      </w:r>
      <w:r w:rsidRPr="00FF46E3">
        <w:rPr>
          <w:rFonts w:ascii="Verdana" w:hAnsi="Verdana"/>
          <w:sz w:val="18"/>
          <w:szCs w:val="18"/>
        </w:rPr>
        <w:t xml:space="preserve"> en omdat aan de verplichtingen op uitvoeringsniveau op een geïntegreerde en samenhangende wijze uitvoering kon worden gegeven</w:t>
      </w:r>
      <w:r w:rsidRPr="00FF46E3" w:rsidR="00AD45C9">
        <w:rPr>
          <w:rFonts w:ascii="Verdana" w:hAnsi="Verdana"/>
          <w:sz w:val="18"/>
          <w:szCs w:val="18"/>
        </w:rPr>
        <w:t>. Dit laatste kon</w:t>
      </w:r>
      <w:r w:rsidRPr="00FF46E3">
        <w:rPr>
          <w:rFonts w:ascii="Verdana" w:hAnsi="Verdana"/>
          <w:sz w:val="18"/>
          <w:szCs w:val="18"/>
        </w:rPr>
        <w:t xml:space="preserve"> door toepassing van een eigen </w:t>
      </w:r>
      <w:proofErr w:type="spellStart"/>
      <w:r w:rsidRPr="00FF46E3">
        <w:rPr>
          <w:rFonts w:ascii="Verdana" w:hAnsi="Verdana"/>
          <w:sz w:val="18"/>
          <w:szCs w:val="18"/>
        </w:rPr>
        <w:t>procesautomatiseringsnorm</w:t>
      </w:r>
      <w:proofErr w:type="spellEnd"/>
      <w:r w:rsidRPr="00FF46E3">
        <w:rPr>
          <w:rFonts w:ascii="Verdana" w:hAnsi="Verdana"/>
          <w:sz w:val="18"/>
          <w:szCs w:val="18"/>
        </w:rPr>
        <w:t xml:space="preserve"> en integratie in het toezicht door de eigenaar, de verstoringsrisicoanalyse en de verstoringsparagraaf van het leveringsplan.</w:t>
      </w:r>
      <w:bookmarkEnd w:id="171"/>
    </w:p>
    <w:p w:rsidRPr="00FF46E3" w:rsidR="009D62AE" w:rsidP="00945659" w:rsidRDefault="009D62AE" w14:paraId="60005321" w14:textId="55C993D8">
      <w:pPr>
        <w:pStyle w:val="Geenafstand"/>
        <w:rPr>
          <w:rFonts w:ascii="Verdana" w:hAnsi="Verdana"/>
          <w:sz w:val="18"/>
          <w:szCs w:val="18"/>
        </w:rPr>
      </w:pPr>
      <w:r w:rsidRPr="00FF46E3">
        <w:rPr>
          <w:rFonts w:ascii="Verdana" w:hAnsi="Verdana"/>
          <w:sz w:val="18"/>
          <w:szCs w:val="18"/>
        </w:rPr>
        <w:lastRenderedPageBreak/>
        <w:t xml:space="preserve">De NIS2-richtlijn kent een </w:t>
      </w:r>
      <w:proofErr w:type="spellStart"/>
      <w:r w:rsidRPr="000E397D">
        <w:rPr>
          <w:rFonts w:ascii="Verdana" w:hAnsi="Verdana"/>
          <w:i/>
          <w:iCs/>
          <w:sz w:val="18"/>
          <w:szCs w:val="18"/>
        </w:rPr>
        <w:t>all</w:t>
      </w:r>
      <w:proofErr w:type="spellEnd"/>
      <w:r w:rsidRPr="000E397D">
        <w:rPr>
          <w:rFonts w:ascii="Verdana" w:hAnsi="Verdana"/>
          <w:i/>
          <w:iCs/>
          <w:sz w:val="18"/>
          <w:szCs w:val="18"/>
        </w:rPr>
        <w:t xml:space="preserve"> hazard</w:t>
      </w:r>
      <w:r w:rsidRPr="00FF46E3">
        <w:rPr>
          <w:rFonts w:ascii="Verdana" w:hAnsi="Verdana"/>
          <w:sz w:val="18"/>
          <w:szCs w:val="18"/>
        </w:rPr>
        <w:t>-karakter en treedt naar de opvatting van de regering niet terug voor de Drinkwaterrichtlijn, omdat deze laatste geen specifieke eisen kent voor cyberbeveiliging. De verplichtingen uit de NIS2-richtlijn zijn dus van toepassing naast die van de Drinkwaterrichtlijn.</w:t>
      </w:r>
      <w:bookmarkStart w:name="_Hlk144137312" w:id="172"/>
      <w:r w:rsidRPr="00FF46E3">
        <w:rPr>
          <w:rFonts w:ascii="Verdana" w:hAnsi="Verdana"/>
          <w:sz w:val="18"/>
          <w:szCs w:val="18"/>
        </w:rPr>
        <w:t xml:space="preserve"> Het is daarom zaak </w:t>
      </w:r>
      <w:r w:rsidRPr="00FF46E3" w:rsidR="00AD45C9">
        <w:rPr>
          <w:rFonts w:ascii="Verdana" w:hAnsi="Verdana"/>
          <w:sz w:val="18"/>
          <w:szCs w:val="18"/>
        </w:rPr>
        <w:t xml:space="preserve">om </w:t>
      </w:r>
      <w:r w:rsidRPr="00FF46E3">
        <w:rPr>
          <w:rFonts w:ascii="Verdana" w:hAnsi="Verdana"/>
          <w:sz w:val="18"/>
          <w:szCs w:val="18"/>
        </w:rPr>
        <w:t xml:space="preserve">op nationaal niveau de samenloop te regelen op een wijze die recht doet aan de richtlijnverplichtingen en die een doelmatige en samenhangende uitvoering mogelijk maakt. De samenloop van de verplichtingen van de omzettingsregelgeving speelt echter op verschillende niveaus van regelgeving: bij de NIS2-richtlijn worden de verplichtingen vooral op het niveau van de wet in formele zin geregeld, terwijl de verplichtingen op grond van de Drinkwaterrichtlijn vooral op het niveau van een </w:t>
      </w:r>
      <w:proofErr w:type="spellStart"/>
      <w:r w:rsidRPr="00FF46E3" w:rsidR="006F7F9A">
        <w:rPr>
          <w:rFonts w:ascii="Verdana" w:hAnsi="Verdana"/>
          <w:sz w:val="18"/>
          <w:szCs w:val="18"/>
        </w:rPr>
        <w:t>amvb</w:t>
      </w:r>
      <w:proofErr w:type="spellEnd"/>
      <w:r w:rsidRPr="00FF46E3">
        <w:rPr>
          <w:rFonts w:ascii="Verdana" w:hAnsi="Verdana"/>
          <w:sz w:val="18"/>
          <w:szCs w:val="18"/>
        </w:rPr>
        <w:t xml:space="preserve"> zijn geregeld (het Drinkwaterbesluit). Het is daarom van belang dat op wetsniveau afstemming mogelijk wordt gemaakt met soortgelijke verplichtingen van de Drinkwaterrichtlijn.</w:t>
      </w:r>
      <w:bookmarkEnd w:id="172"/>
      <w:r w:rsidRPr="00FF46E3">
        <w:rPr>
          <w:rFonts w:ascii="Verdana" w:hAnsi="Verdana"/>
          <w:sz w:val="18"/>
          <w:szCs w:val="18"/>
        </w:rPr>
        <w:t xml:space="preserve"> </w:t>
      </w:r>
      <w:r w:rsidRPr="00FF46E3" w:rsidR="00866C2E">
        <w:rPr>
          <w:rFonts w:ascii="Verdana" w:hAnsi="Verdana"/>
          <w:sz w:val="18"/>
          <w:szCs w:val="18"/>
        </w:rPr>
        <w:t xml:space="preserve">De </w:t>
      </w:r>
      <w:proofErr w:type="spellStart"/>
      <w:r w:rsidRPr="00FF46E3" w:rsidR="00866C2E">
        <w:rPr>
          <w:rFonts w:ascii="Verdana" w:hAnsi="Verdana"/>
          <w:sz w:val="18"/>
          <w:szCs w:val="18"/>
        </w:rPr>
        <w:t>Cbw</w:t>
      </w:r>
      <w:proofErr w:type="spellEnd"/>
      <w:r w:rsidRPr="00FF46E3">
        <w:rPr>
          <w:rFonts w:ascii="Verdana" w:hAnsi="Verdana"/>
          <w:sz w:val="18"/>
          <w:szCs w:val="18"/>
        </w:rPr>
        <w:t xml:space="preserve"> voorziet in een daartoe strekkende grondslag</w:t>
      </w:r>
      <w:r w:rsidRPr="00FF46E3" w:rsidR="00866C2E">
        <w:rPr>
          <w:rFonts w:ascii="Verdana" w:hAnsi="Verdana"/>
          <w:sz w:val="18"/>
          <w:szCs w:val="18"/>
        </w:rPr>
        <w:t xml:space="preserve"> in</w:t>
      </w:r>
      <w:r w:rsidRPr="00FF46E3">
        <w:rPr>
          <w:rFonts w:ascii="Verdana" w:hAnsi="Verdana"/>
          <w:sz w:val="18"/>
          <w:szCs w:val="18"/>
        </w:rPr>
        <w:t xml:space="preserve"> artikel </w:t>
      </w:r>
      <w:r w:rsidR="009956FD">
        <w:rPr>
          <w:rFonts w:ascii="Verdana" w:hAnsi="Verdana"/>
          <w:sz w:val="18"/>
          <w:szCs w:val="18"/>
        </w:rPr>
        <w:t>21</w:t>
      </w:r>
      <w:r w:rsidRPr="00FF46E3">
        <w:rPr>
          <w:rFonts w:ascii="Verdana" w:hAnsi="Verdana"/>
          <w:sz w:val="18"/>
          <w:szCs w:val="18"/>
        </w:rPr>
        <w:t xml:space="preserve">, </w:t>
      </w:r>
      <w:r w:rsidR="009956FD">
        <w:rPr>
          <w:rFonts w:ascii="Verdana" w:hAnsi="Verdana"/>
          <w:sz w:val="18"/>
          <w:szCs w:val="18"/>
        </w:rPr>
        <w:t>vijfde</w:t>
      </w:r>
      <w:r w:rsidRPr="00FF46E3" w:rsidR="009956FD">
        <w:rPr>
          <w:rFonts w:ascii="Verdana" w:hAnsi="Verdana"/>
          <w:sz w:val="18"/>
          <w:szCs w:val="18"/>
        </w:rPr>
        <w:t xml:space="preserve"> </w:t>
      </w:r>
      <w:r w:rsidRPr="00FF46E3">
        <w:rPr>
          <w:rFonts w:ascii="Verdana" w:hAnsi="Verdana"/>
          <w:sz w:val="18"/>
          <w:szCs w:val="18"/>
        </w:rPr>
        <w:t>lid.</w:t>
      </w:r>
    </w:p>
    <w:p w:rsidRPr="00FF46E3" w:rsidR="009D62AE" w:rsidP="00945659" w:rsidRDefault="009D62AE" w14:paraId="0781F694" w14:textId="77777777">
      <w:pPr>
        <w:pStyle w:val="Geenafstand"/>
        <w:rPr>
          <w:rFonts w:ascii="Verdana" w:hAnsi="Verdana"/>
          <w:sz w:val="18"/>
          <w:szCs w:val="18"/>
        </w:rPr>
      </w:pPr>
    </w:p>
    <w:p w:rsidRPr="00FF46E3" w:rsidR="009D62AE" w:rsidP="00945659" w:rsidRDefault="009D62AE" w14:paraId="1FDD3A39" w14:textId="77777777">
      <w:pPr>
        <w:pStyle w:val="Geenafstand"/>
        <w:rPr>
          <w:rFonts w:ascii="Verdana" w:hAnsi="Verdana"/>
          <w:i/>
          <w:iCs/>
          <w:sz w:val="18"/>
          <w:szCs w:val="18"/>
        </w:rPr>
      </w:pPr>
      <w:bookmarkStart w:name="_Hlk160797171" w:id="173"/>
      <w:r w:rsidRPr="00FF46E3">
        <w:rPr>
          <w:rFonts w:ascii="Verdana" w:hAnsi="Verdana"/>
          <w:i/>
          <w:iCs/>
          <w:sz w:val="18"/>
          <w:szCs w:val="18"/>
        </w:rPr>
        <w:t>Afvalwater</w:t>
      </w:r>
    </w:p>
    <w:p w:rsidRPr="00FF46E3" w:rsidR="009D62AE" w:rsidP="00945659" w:rsidRDefault="009D62AE" w14:paraId="050F67DD" w14:textId="35D1062A">
      <w:pPr>
        <w:pStyle w:val="Geenafstand"/>
        <w:rPr>
          <w:rFonts w:ascii="Verdana" w:hAnsi="Verdana"/>
          <w:sz w:val="18"/>
          <w:szCs w:val="18"/>
        </w:rPr>
      </w:pPr>
      <w:bookmarkStart w:name="_Hlk169791360" w:id="174"/>
      <w:r w:rsidRPr="00FF46E3">
        <w:rPr>
          <w:rFonts w:ascii="Verdana" w:hAnsi="Verdana"/>
          <w:sz w:val="18"/>
          <w:szCs w:val="18"/>
        </w:rPr>
        <w:t>Voor de sector afvalwater is er op dit moment geen wetgeving op het gebied van cyber</w:t>
      </w:r>
      <w:r w:rsidRPr="00FF46E3" w:rsidR="00AD6C39">
        <w:rPr>
          <w:rFonts w:ascii="Verdana" w:hAnsi="Verdana"/>
          <w:sz w:val="18"/>
          <w:szCs w:val="18"/>
        </w:rPr>
        <w:t>beveiliging</w:t>
      </w:r>
      <w:r w:rsidRPr="00FF46E3">
        <w:rPr>
          <w:rFonts w:ascii="Verdana" w:hAnsi="Verdana"/>
          <w:sz w:val="18"/>
          <w:szCs w:val="18"/>
        </w:rPr>
        <w:t xml:space="preserve"> van toepassing. </w:t>
      </w:r>
      <w:bookmarkEnd w:id="174"/>
      <w:r w:rsidRPr="00FF46E3" w:rsidR="00AD45C9">
        <w:rPr>
          <w:rFonts w:ascii="Verdana" w:hAnsi="Verdana"/>
          <w:sz w:val="18"/>
          <w:szCs w:val="18"/>
        </w:rPr>
        <w:t>Er is voor wat betreft de uit de NIS2-richtlijn voortvloeiende verplichtingen dan ook geen sprake van botsing met bestaande verplichtingen.</w:t>
      </w:r>
      <w:r w:rsidRPr="00FF46E3">
        <w:rPr>
          <w:rFonts w:ascii="Verdana" w:hAnsi="Verdana"/>
          <w:sz w:val="18"/>
          <w:szCs w:val="18"/>
        </w:rPr>
        <w:t xml:space="preserve"> </w:t>
      </w:r>
    </w:p>
    <w:bookmarkEnd w:id="173"/>
    <w:p w:rsidRPr="00FF46E3" w:rsidR="009D62AE" w:rsidP="00945659" w:rsidRDefault="009D62AE" w14:paraId="1F0186AD" w14:textId="77777777">
      <w:pPr>
        <w:pStyle w:val="Geenafstand"/>
        <w:rPr>
          <w:rFonts w:ascii="Verdana" w:hAnsi="Verdana"/>
          <w:sz w:val="18"/>
          <w:szCs w:val="18"/>
        </w:rPr>
      </w:pPr>
    </w:p>
    <w:p w:rsidRPr="00FF46E3" w:rsidR="009D62AE" w:rsidP="00945659" w:rsidRDefault="009D62AE" w14:paraId="18984AF4" w14:textId="77777777">
      <w:pPr>
        <w:pStyle w:val="Geenafstand"/>
        <w:rPr>
          <w:rFonts w:ascii="Verdana" w:hAnsi="Verdana"/>
          <w:sz w:val="18"/>
          <w:szCs w:val="18"/>
        </w:rPr>
      </w:pPr>
      <w:r w:rsidRPr="00FF46E3">
        <w:rPr>
          <w:rFonts w:ascii="Verdana" w:hAnsi="Verdana"/>
          <w:i/>
          <w:iCs/>
          <w:sz w:val="18"/>
          <w:szCs w:val="18"/>
        </w:rPr>
        <w:t>Chemie</w:t>
      </w:r>
    </w:p>
    <w:p w:rsidRPr="00FF46E3" w:rsidR="009D62AE" w:rsidP="00945659" w:rsidRDefault="009D62AE" w14:paraId="25803DA5" w14:textId="204BF5B9">
      <w:pPr>
        <w:pStyle w:val="Geenafstand"/>
        <w:rPr>
          <w:rFonts w:ascii="Verdana" w:hAnsi="Verdana"/>
          <w:sz w:val="18"/>
          <w:szCs w:val="18"/>
        </w:rPr>
      </w:pPr>
      <w:bookmarkStart w:name="_Hlk160797250" w:id="175"/>
      <w:r w:rsidRPr="00FF46E3">
        <w:rPr>
          <w:rFonts w:ascii="Verdana" w:hAnsi="Verdana"/>
          <w:sz w:val="18"/>
          <w:szCs w:val="18"/>
        </w:rPr>
        <w:t>Voor de sector</w:t>
      </w:r>
      <w:r w:rsidRPr="00FF46E3" w:rsidR="00AD45C9">
        <w:rPr>
          <w:rFonts w:ascii="Verdana" w:hAnsi="Verdana"/>
          <w:sz w:val="18"/>
          <w:szCs w:val="18"/>
        </w:rPr>
        <w:t xml:space="preserve"> chemie</w:t>
      </w:r>
      <w:r w:rsidRPr="00FF46E3">
        <w:rPr>
          <w:rFonts w:ascii="Verdana" w:hAnsi="Verdana"/>
          <w:sz w:val="18"/>
          <w:szCs w:val="18"/>
        </w:rPr>
        <w:t xml:space="preserve"> is er geen sprake van botsing van bestaande wetgeving met de uit de NIS2-richtlijn voortvloeiende verplichtingen.</w:t>
      </w:r>
      <w:r w:rsidRPr="00A33E10" w:rsidR="00A33E10">
        <w:rPr>
          <w:rFonts w:ascii="Verdana" w:hAnsi="Verdana"/>
          <w:sz w:val="18"/>
          <w:szCs w:val="18"/>
        </w:rPr>
        <w:t xml:space="preserve"> </w:t>
      </w:r>
      <w:r w:rsidRPr="005709A6" w:rsidR="005709A6">
        <w:rPr>
          <w:rFonts w:ascii="Verdana" w:hAnsi="Verdana"/>
          <w:sz w:val="18"/>
          <w:szCs w:val="18"/>
        </w:rPr>
        <w:t xml:space="preserve">Bestaande wetgeving, zoals de Omgevingswet waarin onder meer de </w:t>
      </w:r>
      <w:r w:rsidR="005709A6">
        <w:rPr>
          <w:rFonts w:ascii="Verdana" w:hAnsi="Verdana"/>
          <w:sz w:val="18"/>
          <w:szCs w:val="18"/>
        </w:rPr>
        <w:t xml:space="preserve">zogeheten </w:t>
      </w:r>
      <w:proofErr w:type="spellStart"/>
      <w:r w:rsidR="005709A6">
        <w:rPr>
          <w:rFonts w:ascii="Verdana" w:hAnsi="Verdana"/>
          <w:sz w:val="18"/>
          <w:szCs w:val="18"/>
        </w:rPr>
        <w:t>Seveso</w:t>
      </w:r>
      <w:proofErr w:type="spellEnd"/>
      <w:r w:rsidR="005709A6">
        <w:rPr>
          <w:rFonts w:ascii="Verdana" w:hAnsi="Verdana"/>
          <w:sz w:val="18"/>
          <w:szCs w:val="18"/>
        </w:rPr>
        <w:t>-richtlijn</w:t>
      </w:r>
      <w:r w:rsidR="005709A6">
        <w:rPr>
          <w:rStyle w:val="Voetnootmarkering"/>
          <w:rFonts w:ascii="Verdana" w:hAnsi="Verdana"/>
          <w:sz w:val="18"/>
          <w:szCs w:val="18"/>
        </w:rPr>
        <w:footnoteReference w:id="67"/>
      </w:r>
      <w:r w:rsidR="005709A6">
        <w:rPr>
          <w:rFonts w:ascii="Verdana" w:hAnsi="Verdana"/>
          <w:sz w:val="18"/>
          <w:szCs w:val="18"/>
        </w:rPr>
        <w:t xml:space="preserve"> </w:t>
      </w:r>
      <w:r w:rsidRPr="005709A6" w:rsidR="005709A6">
        <w:rPr>
          <w:rFonts w:ascii="Verdana" w:hAnsi="Verdana"/>
          <w:sz w:val="18"/>
          <w:szCs w:val="18"/>
        </w:rPr>
        <w:t>is omgezet, zie</w:t>
      </w:r>
      <w:r w:rsidR="005709A6">
        <w:rPr>
          <w:rFonts w:ascii="Verdana" w:hAnsi="Verdana"/>
          <w:sz w:val="18"/>
          <w:szCs w:val="18"/>
        </w:rPr>
        <w:t>t</w:t>
      </w:r>
      <w:r w:rsidRPr="005709A6" w:rsidR="005709A6">
        <w:rPr>
          <w:rFonts w:ascii="Verdana" w:hAnsi="Verdana"/>
          <w:sz w:val="18"/>
          <w:szCs w:val="18"/>
        </w:rPr>
        <w:t xml:space="preserve"> niet op de cyberbeveiliging van deze entiteiten.</w:t>
      </w:r>
      <w:r w:rsidR="005709A6">
        <w:rPr>
          <w:rFonts w:ascii="Verdana" w:hAnsi="Verdana"/>
          <w:sz w:val="18"/>
          <w:szCs w:val="18"/>
        </w:rPr>
        <w:t xml:space="preserve"> </w:t>
      </w:r>
      <w:r w:rsidR="00A33E10">
        <w:rPr>
          <w:rFonts w:ascii="Verdana" w:hAnsi="Verdana"/>
          <w:sz w:val="18"/>
          <w:szCs w:val="18"/>
        </w:rPr>
        <w:t xml:space="preserve">De NIS2-richtlijn kent een </w:t>
      </w:r>
      <w:proofErr w:type="spellStart"/>
      <w:r w:rsidR="00A33E10">
        <w:rPr>
          <w:rFonts w:ascii="Verdana" w:hAnsi="Verdana"/>
          <w:i/>
          <w:iCs/>
          <w:sz w:val="18"/>
          <w:szCs w:val="18"/>
        </w:rPr>
        <w:t>all</w:t>
      </w:r>
      <w:proofErr w:type="spellEnd"/>
      <w:r w:rsidR="00A33E10">
        <w:rPr>
          <w:rFonts w:ascii="Verdana" w:hAnsi="Verdana"/>
          <w:i/>
          <w:iCs/>
          <w:sz w:val="18"/>
          <w:szCs w:val="18"/>
        </w:rPr>
        <w:t xml:space="preserve"> hazard</w:t>
      </w:r>
      <w:r w:rsidR="00A33E10">
        <w:rPr>
          <w:rFonts w:ascii="Verdana" w:hAnsi="Verdana"/>
          <w:sz w:val="18"/>
          <w:szCs w:val="18"/>
        </w:rPr>
        <w:t xml:space="preserve">-karakter en treedt naar de opvatting van de regering niet terug voor de bedrijven waarop tevens de </w:t>
      </w:r>
      <w:proofErr w:type="spellStart"/>
      <w:r w:rsidR="00A33E10">
        <w:rPr>
          <w:rFonts w:ascii="Verdana" w:hAnsi="Verdana"/>
          <w:sz w:val="18"/>
          <w:szCs w:val="18"/>
        </w:rPr>
        <w:t>Seveso</w:t>
      </w:r>
      <w:proofErr w:type="spellEnd"/>
      <w:r w:rsidR="00A33E10">
        <w:rPr>
          <w:rFonts w:ascii="Verdana" w:hAnsi="Verdana"/>
          <w:sz w:val="18"/>
          <w:szCs w:val="18"/>
        </w:rPr>
        <w:t xml:space="preserve">-richtlijn van toepassing is, omdat deze laatste geen specifieke eisen kent voor cyberbeveiliging. De verplichtingen uit de NIS2-richtlijn zijn dus van toepassing naast de </w:t>
      </w:r>
      <w:proofErr w:type="spellStart"/>
      <w:r w:rsidR="00A33E10">
        <w:rPr>
          <w:rFonts w:ascii="Verdana" w:hAnsi="Verdana"/>
          <w:sz w:val="18"/>
          <w:szCs w:val="18"/>
        </w:rPr>
        <w:t>Seveso</w:t>
      </w:r>
      <w:proofErr w:type="spellEnd"/>
      <w:r w:rsidR="00A33E10">
        <w:rPr>
          <w:rFonts w:ascii="Verdana" w:hAnsi="Verdana"/>
          <w:sz w:val="18"/>
          <w:szCs w:val="18"/>
        </w:rPr>
        <w:t xml:space="preserve">-richtlijn en de </w:t>
      </w:r>
      <w:proofErr w:type="spellStart"/>
      <w:r w:rsidR="00A33E10">
        <w:rPr>
          <w:rFonts w:ascii="Verdana" w:hAnsi="Verdana"/>
          <w:sz w:val="18"/>
          <w:szCs w:val="18"/>
        </w:rPr>
        <w:t>Seveso</w:t>
      </w:r>
      <w:proofErr w:type="spellEnd"/>
      <w:r w:rsidR="00A33E10">
        <w:rPr>
          <w:rFonts w:ascii="Verdana" w:hAnsi="Verdana"/>
          <w:sz w:val="18"/>
          <w:szCs w:val="18"/>
        </w:rPr>
        <w:t xml:space="preserve"> toezichthouder is niet belast met het toezicht op de cyberbeveiliging.</w:t>
      </w:r>
    </w:p>
    <w:bookmarkEnd w:id="175"/>
    <w:p w:rsidRPr="00FF46E3" w:rsidR="009D62AE" w:rsidP="00945659" w:rsidRDefault="009D62AE" w14:paraId="43C9B5F6" w14:textId="77777777">
      <w:pPr>
        <w:pStyle w:val="Geenafstand"/>
        <w:rPr>
          <w:rFonts w:ascii="Verdana" w:hAnsi="Verdana"/>
          <w:sz w:val="18"/>
          <w:szCs w:val="18"/>
        </w:rPr>
      </w:pPr>
    </w:p>
    <w:p w:rsidRPr="00FF46E3" w:rsidR="009D62AE" w:rsidP="00945659" w:rsidRDefault="009D62AE" w14:paraId="2C568219" w14:textId="77777777">
      <w:pPr>
        <w:pStyle w:val="Geenafstand"/>
        <w:rPr>
          <w:rFonts w:ascii="Verdana" w:hAnsi="Verdana"/>
          <w:sz w:val="18"/>
          <w:szCs w:val="18"/>
        </w:rPr>
      </w:pPr>
      <w:bookmarkStart w:name="_Hlk146623088" w:id="176"/>
      <w:r w:rsidRPr="00FF46E3">
        <w:rPr>
          <w:rFonts w:ascii="Verdana" w:hAnsi="Verdana"/>
          <w:i/>
          <w:iCs/>
          <w:sz w:val="18"/>
          <w:szCs w:val="18"/>
        </w:rPr>
        <w:t>Plaats- en tijdsbepaling</w:t>
      </w:r>
    </w:p>
    <w:p w:rsidR="009D62AE" w:rsidP="00945659" w:rsidRDefault="009D62AE" w14:paraId="0DC9C9DC" w14:textId="51460356">
      <w:pPr>
        <w:pStyle w:val="Geenafstand"/>
        <w:rPr>
          <w:rFonts w:ascii="Verdana" w:hAnsi="Verdana"/>
          <w:sz w:val="18"/>
          <w:szCs w:val="18"/>
        </w:rPr>
      </w:pPr>
      <w:r w:rsidRPr="00FF46E3">
        <w:rPr>
          <w:rFonts w:ascii="Verdana" w:hAnsi="Verdana"/>
          <w:sz w:val="18"/>
          <w:szCs w:val="18"/>
        </w:rPr>
        <w:t xml:space="preserve">Voor wat betreft de sector plaats- en tijdsbepaling met behulp van satellieten vallen er geen entiteiten onder de beleidsverantwoordelijkheid van de </w:t>
      </w:r>
      <w:r w:rsidRPr="00FF46E3" w:rsidR="006E6544">
        <w:rPr>
          <w:rFonts w:ascii="Verdana" w:hAnsi="Verdana"/>
          <w:sz w:val="18"/>
          <w:szCs w:val="18"/>
        </w:rPr>
        <w:t>M</w:t>
      </w:r>
      <w:r w:rsidRPr="00FF46E3">
        <w:rPr>
          <w:rFonts w:ascii="Verdana" w:hAnsi="Verdana"/>
          <w:sz w:val="18"/>
          <w:szCs w:val="18"/>
        </w:rPr>
        <w:t xml:space="preserve">inister van Infrastructuur en Waterstaat als bevoegde autoriteit in de zin van de NIS2-richtlijn. De instanties die zich in Nederland bezighouden met plaats- en tijdsbepaling (het </w:t>
      </w:r>
      <w:proofErr w:type="spellStart"/>
      <w:r w:rsidRPr="00FF46E3">
        <w:rPr>
          <w:rFonts w:ascii="Verdana" w:hAnsi="Verdana"/>
          <w:sz w:val="18"/>
          <w:szCs w:val="18"/>
        </w:rPr>
        <w:t>Galileo</w:t>
      </w:r>
      <w:proofErr w:type="spellEnd"/>
      <w:r w:rsidRPr="00FF46E3">
        <w:rPr>
          <w:rFonts w:ascii="Verdana" w:hAnsi="Verdana"/>
          <w:sz w:val="18"/>
          <w:szCs w:val="18"/>
        </w:rPr>
        <w:t xml:space="preserve"> Reference Center in Noordwijk en het </w:t>
      </w:r>
      <w:proofErr w:type="spellStart"/>
      <w:r w:rsidRPr="00FF46E3">
        <w:rPr>
          <w:rFonts w:ascii="Verdana" w:hAnsi="Verdana"/>
          <w:sz w:val="18"/>
          <w:szCs w:val="18"/>
        </w:rPr>
        <w:t>Galileo</w:t>
      </w:r>
      <w:proofErr w:type="spellEnd"/>
      <w:r w:rsidRPr="00FF46E3">
        <w:rPr>
          <w:rFonts w:ascii="Verdana" w:hAnsi="Verdana"/>
          <w:sz w:val="18"/>
          <w:szCs w:val="18"/>
        </w:rPr>
        <w:t xml:space="preserve"> Sensor Station op Bonaire) vallen qua operationele verantwoordelijkheid onder het EU-agentschap voor het ruimtevaartprogramma (EUSPA).</w:t>
      </w:r>
      <w:bookmarkEnd w:id="176"/>
    </w:p>
    <w:p w:rsidR="00532261" w:rsidP="00945659" w:rsidRDefault="00532261" w14:paraId="61164D2B" w14:textId="77777777">
      <w:pPr>
        <w:pStyle w:val="Geenafstand"/>
        <w:rPr>
          <w:rFonts w:ascii="Verdana" w:hAnsi="Verdana"/>
          <w:sz w:val="18"/>
          <w:szCs w:val="18"/>
        </w:rPr>
      </w:pPr>
    </w:p>
    <w:p w:rsidRPr="00532261" w:rsidR="00532261" w:rsidP="00532261" w:rsidRDefault="00532261" w14:paraId="7517A541" w14:textId="66DC9595">
      <w:pPr>
        <w:pStyle w:val="Geenafstand"/>
        <w:rPr>
          <w:rFonts w:ascii="Verdana" w:hAnsi="Verdana"/>
          <w:i/>
          <w:iCs/>
          <w:sz w:val="18"/>
          <w:szCs w:val="18"/>
        </w:rPr>
      </w:pPr>
      <w:r w:rsidRPr="00532261">
        <w:rPr>
          <w:rFonts w:ascii="Verdana" w:hAnsi="Verdana"/>
          <w:i/>
          <w:iCs/>
          <w:sz w:val="18"/>
          <w:szCs w:val="18"/>
        </w:rPr>
        <w:t>Waterschappen</w:t>
      </w:r>
    </w:p>
    <w:p w:rsidR="00532261" w:rsidP="00532261" w:rsidRDefault="00532261" w14:paraId="57EDA36D" w14:textId="7AACC619">
      <w:pPr>
        <w:pStyle w:val="Geenafstand"/>
        <w:rPr>
          <w:rFonts w:ascii="Verdana" w:hAnsi="Verdana"/>
          <w:sz w:val="18"/>
          <w:szCs w:val="18"/>
        </w:rPr>
      </w:pPr>
      <w:r w:rsidRPr="00532261">
        <w:rPr>
          <w:rFonts w:ascii="Verdana" w:hAnsi="Verdana"/>
          <w:sz w:val="18"/>
          <w:szCs w:val="18"/>
        </w:rPr>
        <w:t>Waterschappen hebben verschillende verantwoordelijkheden. E</w:t>
      </w:r>
      <w:r>
        <w:rPr>
          <w:rFonts w:ascii="Verdana" w:hAnsi="Verdana"/>
          <w:sz w:val="18"/>
          <w:szCs w:val="18"/>
        </w:rPr>
        <w:t>én</w:t>
      </w:r>
      <w:r w:rsidRPr="00532261">
        <w:rPr>
          <w:rFonts w:ascii="Verdana" w:hAnsi="Verdana"/>
          <w:sz w:val="18"/>
          <w:szCs w:val="18"/>
        </w:rPr>
        <w:t xml:space="preserve"> van hun belangrijkste verantwoordelijkheden, het keren en het beheren van de waterkwantiteit, is niet als sector opgenomen in de NIS2-richtlijn. Het voornemen is om deze sector bij lagere regelgeving op grond van artikel 7</w:t>
      </w:r>
      <w:r w:rsidR="004C30C3">
        <w:rPr>
          <w:rFonts w:ascii="Verdana" w:hAnsi="Verdana"/>
          <w:sz w:val="18"/>
          <w:szCs w:val="18"/>
        </w:rPr>
        <w:t>, eerste lid,</w:t>
      </w:r>
      <w:r w:rsidRPr="00532261">
        <w:rPr>
          <w:rFonts w:ascii="Verdana" w:hAnsi="Verdana"/>
          <w:sz w:val="18"/>
          <w:szCs w:val="18"/>
        </w:rPr>
        <w:t xml:space="preserve"> </w:t>
      </w:r>
      <w:proofErr w:type="spellStart"/>
      <w:r w:rsidRPr="00532261">
        <w:rPr>
          <w:rFonts w:ascii="Verdana" w:hAnsi="Verdana"/>
          <w:sz w:val="18"/>
          <w:szCs w:val="18"/>
        </w:rPr>
        <w:t>Wwke</w:t>
      </w:r>
      <w:proofErr w:type="spellEnd"/>
      <w:r w:rsidRPr="00532261">
        <w:rPr>
          <w:rFonts w:ascii="Verdana" w:hAnsi="Verdana"/>
          <w:sz w:val="18"/>
          <w:szCs w:val="18"/>
        </w:rPr>
        <w:t xml:space="preserve"> aan te wijzen, zodat waterschappen ook voor deze essentiële dienst als kritieke entiteiten en ook voor die taak als essentiële entiteiten worden beschouwd.</w:t>
      </w:r>
    </w:p>
    <w:bookmarkEnd w:id="170"/>
    <w:p w:rsidR="00937476" w:rsidP="00945659" w:rsidRDefault="00937476" w14:paraId="6B4FE3AC" w14:textId="77777777">
      <w:pPr>
        <w:pStyle w:val="Geenafstand"/>
        <w:rPr>
          <w:rFonts w:ascii="Verdana" w:hAnsi="Verdana"/>
          <w:sz w:val="18"/>
          <w:szCs w:val="18"/>
        </w:rPr>
      </w:pPr>
    </w:p>
    <w:p w:rsidRPr="00FF46E3" w:rsidR="00937476" w:rsidP="00937476" w:rsidRDefault="00937476" w14:paraId="052731F4" w14:textId="7AA92370">
      <w:pPr>
        <w:pStyle w:val="Kop2"/>
      </w:pPr>
      <w:bookmarkStart w:name="_Toc198721123" w:id="177"/>
      <w:r>
        <w:t xml:space="preserve">7.6 </w:t>
      </w:r>
      <w:r w:rsidRPr="00937476">
        <w:t>Ministerie van Klimaat en Groene Groei</w:t>
      </w:r>
      <w:bookmarkEnd w:id="177"/>
    </w:p>
    <w:p w:rsidR="00792141" w:rsidP="00945659" w:rsidRDefault="00792141" w14:paraId="190A7DD3" w14:textId="77777777">
      <w:pPr>
        <w:pStyle w:val="Geenafstand"/>
        <w:rPr>
          <w:rFonts w:ascii="Verdana" w:hAnsi="Verdana"/>
          <w:b/>
          <w:bCs/>
          <w:sz w:val="18"/>
          <w:szCs w:val="18"/>
        </w:rPr>
      </w:pPr>
    </w:p>
    <w:p w:rsidRPr="009F6541" w:rsidR="00FE3A7C" w:rsidP="00FE3A7C" w:rsidRDefault="00FE3A7C" w14:paraId="09F5805F" w14:textId="77777777">
      <w:pPr>
        <w:pStyle w:val="Geenafstand"/>
        <w:rPr>
          <w:rFonts w:ascii="Verdana" w:hAnsi="Verdana"/>
          <w:sz w:val="18"/>
          <w:szCs w:val="18"/>
        </w:rPr>
      </w:pPr>
      <w:r w:rsidRPr="009F6541">
        <w:rPr>
          <w:rFonts w:ascii="Verdana" w:hAnsi="Verdana"/>
          <w:i/>
          <w:iCs/>
          <w:sz w:val="18"/>
          <w:szCs w:val="18"/>
        </w:rPr>
        <w:t>Energie</w:t>
      </w:r>
    </w:p>
    <w:p w:rsidRPr="009F6541" w:rsidR="00FE3A7C" w:rsidP="00FE3A7C" w:rsidRDefault="00FE3A7C" w14:paraId="2A4A78D5" w14:textId="16260251">
      <w:pPr>
        <w:pStyle w:val="Geenafstand"/>
        <w:rPr>
          <w:rFonts w:ascii="Verdana" w:hAnsi="Verdana"/>
          <w:sz w:val="18"/>
          <w:szCs w:val="18"/>
        </w:rPr>
      </w:pPr>
      <w:r w:rsidRPr="009F6541">
        <w:rPr>
          <w:rFonts w:ascii="Verdana" w:hAnsi="Verdana"/>
          <w:sz w:val="18"/>
          <w:szCs w:val="18"/>
        </w:rPr>
        <w:t xml:space="preserve">De </w:t>
      </w:r>
      <w:proofErr w:type="spellStart"/>
      <w:r w:rsidRPr="009F6541">
        <w:rPr>
          <w:rFonts w:ascii="Verdana" w:hAnsi="Verdana"/>
          <w:sz w:val="18"/>
          <w:szCs w:val="18"/>
        </w:rPr>
        <w:t>Cbw</w:t>
      </w:r>
      <w:proofErr w:type="spellEnd"/>
      <w:r w:rsidRPr="009F6541">
        <w:rPr>
          <w:rFonts w:ascii="Verdana" w:hAnsi="Verdana"/>
          <w:sz w:val="18"/>
          <w:szCs w:val="18"/>
        </w:rPr>
        <w:t xml:space="preserve"> voorziet in een meldplicht en </w:t>
      </w:r>
      <w:r>
        <w:rPr>
          <w:rFonts w:ascii="Verdana" w:hAnsi="Verdana"/>
          <w:sz w:val="18"/>
          <w:szCs w:val="18"/>
        </w:rPr>
        <w:t>zorgplicht</w:t>
      </w:r>
      <w:r w:rsidRPr="009F6541">
        <w:rPr>
          <w:rFonts w:ascii="Verdana" w:hAnsi="Verdana"/>
          <w:sz w:val="18"/>
          <w:szCs w:val="18"/>
        </w:rPr>
        <w:t xml:space="preserve"> op het gebied van cyberbeveiliging. Op de entiteiten uit de sector energie, </w:t>
      </w:r>
      <w:proofErr w:type="spellStart"/>
      <w:r w:rsidRPr="009F6541">
        <w:rPr>
          <w:rFonts w:ascii="Verdana" w:hAnsi="Verdana"/>
          <w:sz w:val="18"/>
          <w:szCs w:val="18"/>
        </w:rPr>
        <w:t>subsector</w:t>
      </w:r>
      <w:r>
        <w:rPr>
          <w:rFonts w:ascii="Verdana" w:hAnsi="Verdana"/>
          <w:sz w:val="18"/>
          <w:szCs w:val="18"/>
        </w:rPr>
        <w:t>en</w:t>
      </w:r>
      <w:proofErr w:type="spellEnd"/>
      <w:r w:rsidRPr="009F6541">
        <w:rPr>
          <w:rFonts w:ascii="Verdana" w:hAnsi="Verdana"/>
          <w:sz w:val="18"/>
          <w:szCs w:val="18"/>
        </w:rPr>
        <w:t xml:space="preserve"> elektriciteit en gas, zijn momenteel de Elektriciteitswet 1998 en de Gaswet van toepassing. De Elektriciteitswet 1998 (artikel 16, eerste lid, onderdeel q) en de Gaswet (artikel 10, negende lid) bevatten de taak voor netbeheerders om hun netten te beschermen tegen invloeden van buitenaf. Cyberbeveiliging is daar onderdeel van. De zorgplicht uit de </w:t>
      </w:r>
      <w:proofErr w:type="spellStart"/>
      <w:r w:rsidRPr="009F6541">
        <w:rPr>
          <w:rFonts w:ascii="Verdana" w:hAnsi="Verdana"/>
          <w:sz w:val="18"/>
          <w:szCs w:val="18"/>
        </w:rPr>
        <w:t>Cbw</w:t>
      </w:r>
      <w:proofErr w:type="spellEnd"/>
      <w:r w:rsidRPr="009F6541">
        <w:rPr>
          <w:rFonts w:ascii="Verdana" w:hAnsi="Verdana"/>
          <w:sz w:val="18"/>
          <w:szCs w:val="18"/>
        </w:rPr>
        <w:t xml:space="preserve"> en de uitwerking daarvan bij </w:t>
      </w:r>
      <w:proofErr w:type="spellStart"/>
      <w:r w:rsidRPr="009F6541">
        <w:rPr>
          <w:rFonts w:ascii="Verdana" w:hAnsi="Verdana"/>
          <w:sz w:val="18"/>
          <w:szCs w:val="18"/>
        </w:rPr>
        <w:t>amvb</w:t>
      </w:r>
      <w:proofErr w:type="spellEnd"/>
      <w:r w:rsidRPr="009F6541">
        <w:rPr>
          <w:rFonts w:ascii="Verdana" w:hAnsi="Verdana"/>
          <w:sz w:val="18"/>
          <w:szCs w:val="18"/>
        </w:rPr>
        <w:t xml:space="preserve"> kunnen gezien worden als instructie aan de netbeheerders hoe zij op het gebied van cyberbeveiliging invulling geven aan hun taak op grond van de Elektriciteitswet 1998 en de </w:t>
      </w:r>
      <w:r w:rsidRPr="009F6541">
        <w:rPr>
          <w:rFonts w:ascii="Verdana" w:hAnsi="Verdana"/>
          <w:sz w:val="18"/>
          <w:szCs w:val="18"/>
        </w:rPr>
        <w:lastRenderedPageBreak/>
        <w:t>Gaswet. Een meldplicht op het punt van cyberbeveiliging is niet geregeld in deze wetten. Er is dus geen sprake van botsende verplichtingen. </w:t>
      </w:r>
    </w:p>
    <w:p w:rsidRPr="009F6541" w:rsidR="00FE3A7C" w:rsidP="00FE3A7C" w:rsidRDefault="000F43EE" w14:paraId="7FD30B77" w14:textId="0ED42D05">
      <w:pPr>
        <w:pStyle w:val="Geenafstand"/>
        <w:rPr>
          <w:rFonts w:ascii="Verdana" w:hAnsi="Verdana"/>
          <w:sz w:val="18"/>
          <w:szCs w:val="18"/>
        </w:rPr>
      </w:pPr>
      <w:r>
        <w:rPr>
          <w:rFonts w:ascii="Verdana" w:hAnsi="Verdana"/>
          <w:sz w:val="18"/>
          <w:szCs w:val="18"/>
        </w:rPr>
        <w:t>Met ingang van 1 januari 2026 treedt de Energiewet, met uitzondering van enkele artikelen, in werking.</w:t>
      </w:r>
      <w:r w:rsidRPr="00DD5AE6">
        <w:rPr>
          <w:rStyle w:val="Voetnootmarkering"/>
          <w:rFonts w:ascii="Verdana" w:hAnsi="Verdana"/>
          <w:bCs/>
          <w:sz w:val="18"/>
          <w:szCs w:val="18"/>
        </w:rPr>
        <w:footnoteReference w:id="68"/>
      </w:r>
      <w:r>
        <w:rPr>
          <w:rFonts w:ascii="Verdana" w:hAnsi="Verdana"/>
          <w:sz w:val="18"/>
          <w:szCs w:val="18"/>
        </w:rPr>
        <w:t xml:space="preserve"> Die wet strekt </w:t>
      </w:r>
      <w:r w:rsidRPr="009A7DC0">
        <w:rPr>
          <w:rFonts w:ascii="Verdana" w:hAnsi="Verdana"/>
          <w:sz w:val="18"/>
          <w:szCs w:val="18"/>
        </w:rPr>
        <w:t>ter vervanging van de Elektriciteitswet 1998 en de Gaswet</w:t>
      </w:r>
      <w:r>
        <w:rPr>
          <w:rFonts w:ascii="Verdana" w:hAnsi="Verdana"/>
          <w:sz w:val="18"/>
          <w:szCs w:val="18"/>
        </w:rPr>
        <w:t xml:space="preserve">. </w:t>
      </w:r>
      <w:r w:rsidRPr="009F6541" w:rsidR="00FE3A7C">
        <w:rPr>
          <w:rFonts w:ascii="Verdana" w:hAnsi="Verdana"/>
          <w:sz w:val="18"/>
          <w:szCs w:val="18"/>
        </w:rPr>
        <w:t>De Energiewet bevat enkele (deels nieuwe) voorschriften die raken aan cyberbeveiliging. Ten eerste bevat artikel 3.18 Energiewet een nieuwe grondslag voor nadere regels ten behoeve van de bescherming van vitale processen. Dat artikel draagt onder andere bij aan het vergroten van de cyber weerbaarheid. Gedelegeerde regelgeving op grond van artikel 3.18 Energiewet bevat specifieke regels voor systeembeheerders en kan worden betrokken bij de invulling van de zorgplicht en de beoordeling of een essentiële entiteit aan de zorgplicht voldoet. Ten tweede regelt artikel 3.74 Energiewet de kwaliteitsborging en calamiteitenplannen van netbeheerders (</w:t>
      </w:r>
      <w:r w:rsidR="00FE3A7C">
        <w:rPr>
          <w:rFonts w:ascii="Verdana" w:hAnsi="Verdana"/>
          <w:sz w:val="18"/>
          <w:szCs w:val="18"/>
        </w:rPr>
        <w:t xml:space="preserve">in </w:t>
      </w:r>
      <w:proofErr w:type="spellStart"/>
      <w:r w:rsidR="00FE3A7C">
        <w:rPr>
          <w:rFonts w:ascii="Verdana" w:hAnsi="Verdana"/>
          <w:sz w:val="18"/>
          <w:szCs w:val="18"/>
        </w:rPr>
        <w:t>casu</w:t>
      </w:r>
      <w:proofErr w:type="spellEnd"/>
      <w:r w:rsidRPr="009F6541" w:rsidR="00FE3A7C">
        <w:rPr>
          <w:rFonts w:ascii="Verdana" w:hAnsi="Verdana"/>
          <w:sz w:val="18"/>
          <w:szCs w:val="18"/>
        </w:rPr>
        <w:t xml:space="preserve"> transmissie- en distributiesysteembeheerders). Het in kaart brengen van risico’s voor de betrouwbaarheid van de uitvoering van de wettelijke taken is hier onderdeel van. Om dubbele lasten te voorkomen kunnen entiteiten documenten</w:t>
      </w:r>
      <w:r w:rsidR="00FE3A7C">
        <w:rPr>
          <w:rFonts w:ascii="Verdana" w:hAnsi="Verdana"/>
          <w:sz w:val="18"/>
          <w:szCs w:val="18"/>
        </w:rPr>
        <w:t>,</w:t>
      </w:r>
      <w:r w:rsidRPr="009F6541" w:rsidR="00FE3A7C">
        <w:rPr>
          <w:rFonts w:ascii="Verdana" w:hAnsi="Verdana"/>
          <w:sz w:val="18"/>
          <w:szCs w:val="18"/>
        </w:rPr>
        <w:t xml:space="preserve"> opgesteld op grond van andere wet- en regelgeving zoals de concept Energiewet, tevens gebruiken voor de uitvoering van verplichtingen op grond van de</w:t>
      </w:r>
      <w:r w:rsidR="00FE3A7C">
        <w:rPr>
          <w:rFonts w:ascii="Verdana" w:hAnsi="Verdana"/>
          <w:sz w:val="18"/>
          <w:szCs w:val="18"/>
        </w:rPr>
        <w:t xml:space="preserve"> </w:t>
      </w:r>
      <w:proofErr w:type="spellStart"/>
      <w:r w:rsidR="00FE3A7C">
        <w:rPr>
          <w:rFonts w:ascii="Verdana" w:hAnsi="Verdana"/>
          <w:sz w:val="18"/>
          <w:szCs w:val="18"/>
        </w:rPr>
        <w:t>Cbw</w:t>
      </w:r>
      <w:proofErr w:type="spellEnd"/>
      <w:r w:rsidRPr="009F6541" w:rsidR="00FE3A7C">
        <w:rPr>
          <w:rFonts w:ascii="Verdana" w:hAnsi="Verdana"/>
          <w:sz w:val="18"/>
          <w:szCs w:val="18"/>
        </w:rPr>
        <w:t xml:space="preserve">, waarmee de administratieve lasten voor entiteiten tot het minimale worden beperkt. Deze exacte verhouding tussen de verplichting uit </w:t>
      </w:r>
      <w:r w:rsidR="00FE3A7C">
        <w:rPr>
          <w:rFonts w:ascii="Verdana" w:hAnsi="Verdana"/>
          <w:sz w:val="18"/>
          <w:szCs w:val="18"/>
        </w:rPr>
        <w:t xml:space="preserve">de </w:t>
      </w:r>
      <w:proofErr w:type="spellStart"/>
      <w:r w:rsidR="00FE3A7C">
        <w:rPr>
          <w:rFonts w:ascii="Verdana" w:hAnsi="Verdana"/>
          <w:sz w:val="18"/>
          <w:szCs w:val="18"/>
        </w:rPr>
        <w:t>Cbw</w:t>
      </w:r>
      <w:proofErr w:type="spellEnd"/>
      <w:r w:rsidRPr="009F6541" w:rsidR="00FE3A7C">
        <w:rPr>
          <w:rFonts w:ascii="Verdana" w:hAnsi="Verdana"/>
          <w:sz w:val="18"/>
          <w:szCs w:val="18"/>
        </w:rPr>
        <w:t xml:space="preserve"> en het kwaliteitsplan wordt bepaald door de toezichthoudende autoriteit. Ten derde besteedt de Energiewet ook expliciet aandacht aan de beveiliging en bescherming van gegevens die binnen het energiesysteem worden verzameld, gebruikt en verstrekt. Betrokken partijen moeten passende en evenredige technische en organisatorische maatregelen nemen om optredende risico’s voor de beveiliging en bescherming van gegevens te beheersen (artikel 4.3 en 4.21) en daarnaast inbreuken op de beveiliging melden (artikel 4.4 en 4.22). Naast de netbeheerders vallen bijvoorbeeld ook meetbedrijven, gesloten distributiesysteembeheerders en de gegevensuitwisselingsentiteit onder deze verplichtingen. Hierbij bestaat enig risico op overlap in toezicht en onnodige regeldruk, omdat </w:t>
      </w:r>
      <w:r w:rsidR="00FE3A7C">
        <w:rPr>
          <w:rFonts w:ascii="Verdana" w:hAnsi="Verdana"/>
          <w:sz w:val="18"/>
          <w:szCs w:val="18"/>
        </w:rPr>
        <w:t xml:space="preserve">de </w:t>
      </w:r>
      <w:proofErr w:type="spellStart"/>
      <w:r w:rsidR="00FE3A7C">
        <w:rPr>
          <w:rFonts w:ascii="Verdana" w:hAnsi="Verdana"/>
          <w:sz w:val="18"/>
          <w:szCs w:val="18"/>
        </w:rPr>
        <w:t>Cbw</w:t>
      </w:r>
      <w:proofErr w:type="spellEnd"/>
      <w:r w:rsidR="00FE3A7C">
        <w:rPr>
          <w:rFonts w:ascii="Verdana" w:hAnsi="Verdana"/>
          <w:sz w:val="18"/>
          <w:szCs w:val="18"/>
        </w:rPr>
        <w:t xml:space="preserve"> </w:t>
      </w:r>
      <w:r w:rsidRPr="009F6541" w:rsidR="00FE3A7C">
        <w:rPr>
          <w:rFonts w:ascii="Verdana" w:hAnsi="Verdana"/>
          <w:sz w:val="18"/>
          <w:szCs w:val="18"/>
        </w:rPr>
        <w:t xml:space="preserve">ook cybersecurityrisico’s en misbruik van gegevens beoogt tegen te gaan. In </w:t>
      </w:r>
      <w:r>
        <w:rPr>
          <w:rFonts w:ascii="Verdana" w:hAnsi="Verdana"/>
          <w:sz w:val="18"/>
          <w:szCs w:val="18"/>
        </w:rPr>
        <w:t xml:space="preserve">de </w:t>
      </w:r>
      <w:r w:rsidRPr="009F6541" w:rsidR="00FE3A7C">
        <w:rPr>
          <w:rFonts w:ascii="Verdana" w:hAnsi="Verdana"/>
          <w:sz w:val="18"/>
          <w:szCs w:val="18"/>
        </w:rPr>
        <w:t xml:space="preserve">Energiewet is daarom de keuze </w:t>
      </w:r>
      <w:r w:rsidR="00FE3A7C">
        <w:rPr>
          <w:rFonts w:ascii="Verdana" w:hAnsi="Verdana"/>
          <w:sz w:val="18"/>
          <w:szCs w:val="18"/>
        </w:rPr>
        <w:t xml:space="preserve">gemaakt </w:t>
      </w:r>
      <w:r w:rsidRPr="009F6541" w:rsidR="00FE3A7C">
        <w:rPr>
          <w:rFonts w:ascii="Verdana" w:hAnsi="Verdana"/>
          <w:sz w:val="18"/>
          <w:szCs w:val="18"/>
        </w:rPr>
        <w:t xml:space="preserve">om zowel het melden van inbreuken als het toezien op dit specifieke onderdeel bij de </w:t>
      </w:r>
      <w:r w:rsidR="00FE3A7C">
        <w:rPr>
          <w:rFonts w:ascii="Verdana" w:hAnsi="Verdana"/>
          <w:sz w:val="18"/>
          <w:szCs w:val="18"/>
        </w:rPr>
        <w:t>M</w:t>
      </w:r>
      <w:r w:rsidRPr="009F6541" w:rsidR="00FE3A7C">
        <w:rPr>
          <w:rFonts w:ascii="Verdana" w:hAnsi="Verdana"/>
          <w:sz w:val="18"/>
          <w:szCs w:val="18"/>
        </w:rPr>
        <w:t xml:space="preserve">inister van Klimaat en Groene Groei te beleggen. Dit heeft tot gevolg dat de Rijksinspectie Digitale Infrastructuur </w:t>
      </w:r>
      <w:r w:rsidR="00FE3A7C">
        <w:rPr>
          <w:rFonts w:ascii="Verdana" w:hAnsi="Verdana"/>
          <w:sz w:val="18"/>
          <w:szCs w:val="18"/>
        </w:rPr>
        <w:t xml:space="preserve">(hierna: RDI) </w:t>
      </w:r>
      <w:r w:rsidRPr="009F6541" w:rsidR="00FE3A7C">
        <w:rPr>
          <w:rFonts w:ascii="Verdana" w:hAnsi="Verdana"/>
          <w:sz w:val="18"/>
          <w:szCs w:val="18"/>
        </w:rPr>
        <w:t xml:space="preserve">toezicht zal houden op de genoemde wetsartikelen in </w:t>
      </w:r>
      <w:r>
        <w:rPr>
          <w:rFonts w:ascii="Verdana" w:hAnsi="Verdana"/>
          <w:sz w:val="18"/>
          <w:szCs w:val="18"/>
        </w:rPr>
        <w:t>de</w:t>
      </w:r>
      <w:r w:rsidRPr="009F6541" w:rsidR="00FE3A7C">
        <w:rPr>
          <w:rFonts w:ascii="Verdana" w:hAnsi="Verdana"/>
          <w:sz w:val="18"/>
          <w:szCs w:val="18"/>
        </w:rPr>
        <w:t xml:space="preserve"> Energiewet. Op deze manier wordt beschikbare expertise inzake cybersecurity doelmatig en doeltreffend ingezet en komen meldingen binnen bij één toezichthouder, die de risico’s en implicaties goed kan inschatten, zodat ook de regeldruk en toezichtlasten worden beperkt. </w:t>
      </w:r>
    </w:p>
    <w:p w:rsidRPr="009F6541" w:rsidR="00FE3A7C" w:rsidP="00FE3A7C" w:rsidRDefault="00FE3A7C" w14:paraId="5E6BCCCA" w14:textId="77777777">
      <w:pPr>
        <w:pStyle w:val="Geenafstand"/>
        <w:rPr>
          <w:rFonts w:ascii="Verdana" w:hAnsi="Verdana"/>
          <w:sz w:val="18"/>
          <w:szCs w:val="18"/>
        </w:rPr>
      </w:pPr>
    </w:p>
    <w:p w:rsidRPr="008E14C6" w:rsidR="00FE3A7C" w:rsidP="00FE3A7C" w:rsidRDefault="00B711AD" w14:paraId="689C4543" w14:textId="7530D863">
      <w:pPr>
        <w:pStyle w:val="Geenafstand"/>
        <w:rPr>
          <w:rFonts w:ascii="Verdana" w:hAnsi="Verdana" w:cs="Calibri"/>
          <w:i/>
          <w:iCs/>
          <w:sz w:val="18"/>
          <w:szCs w:val="18"/>
        </w:rPr>
      </w:pPr>
      <w:bookmarkStart w:name="_Hlk182223675" w:id="178"/>
      <w:proofErr w:type="spellStart"/>
      <w:r w:rsidRPr="008E14C6">
        <w:rPr>
          <w:rFonts w:ascii="Verdana" w:hAnsi="Verdana" w:cs="Calibri"/>
          <w:i/>
          <w:iCs/>
          <w:sz w:val="18"/>
          <w:szCs w:val="18"/>
        </w:rPr>
        <w:t>Netcode</w:t>
      </w:r>
      <w:proofErr w:type="spellEnd"/>
      <w:r w:rsidRPr="008E14C6">
        <w:rPr>
          <w:rFonts w:ascii="Verdana" w:hAnsi="Verdana" w:cs="Calibri"/>
          <w:i/>
          <w:iCs/>
          <w:sz w:val="18"/>
          <w:szCs w:val="18"/>
        </w:rPr>
        <w:t xml:space="preserve"> </w:t>
      </w:r>
    </w:p>
    <w:p w:rsidRPr="009F6541" w:rsidR="00FE3A7C" w:rsidP="00B711AD" w:rsidRDefault="00FE3A7C" w14:paraId="4E19FA0C" w14:textId="46CF14F0">
      <w:pPr>
        <w:pStyle w:val="Geenafstand"/>
        <w:rPr>
          <w:rFonts w:ascii="Verdana" w:hAnsi="Verdana" w:eastAsia="Times New Roman" w:cstheme="minorHAnsi"/>
          <w:sz w:val="18"/>
          <w:szCs w:val="18"/>
          <w:lang w:eastAsia="nl-NL"/>
        </w:rPr>
      </w:pPr>
      <w:r w:rsidRPr="009F6541">
        <w:rPr>
          <w:rFonts w:ascii="Verdana" w:hAnsi="Verdana" w:cs="Calibri"/>
          <w:sz w:val="18"/>
          <w:szCs w:val="18"/>
        </w:rPr>
        <w:t xml:space="preserve">Specifiek voor de elektriciteitssector wordt, naast de </w:t>
      </w:r>
      <w:proofErr w:type="spellStart"/>
      <w:r>
        <w:rPr>
          <w:rFonts w:ascii="Verdana" w:hAnsi="Verdana" w:cs="Calibri"/>
          <w:sz w:val="18"/>
          <w:szCs w:val="18"/>
        </w:rPr>
        <w:t>Cbw</w:t>
      </w:r>
      <w:proofErr w:type="spellEnd"/>
      <w:r w:rsidRPr="009F6541">
        <w:rPr>
          <w:rFonts w:ascii="Verdana" w:hAnsi="Verdana" w:cs="Calibri"/>
          <w:sz w:val="18"/>
          <w:szCs w:val="18"/>
        </w:rPr>
        <w:t xml:space="preserve">, verder gewerkt </w:t>
      </w:r>
      <w:r w:rsidR="0031119F">
        <w:rPr>
          <w:rFonts w:ascii="Verdana" w:hAnsi="Verdana" w:cs="Calibri"/>
          <w:sz w:val="18"/>
          <w:szCs w:val="18"/>
        </w:rPr>
        <w:t xml:space="preserve">aan </w:t>
      </w:r>
      <w:r w:rsidRPr="009F6541">
        <w:rPr>
          <w:rFonts w:ascii="Verdana" w:hAnsi="Verdana" w:cs="Calibri"/>
          <w:sz w:val="18"/>
          <w:szCs w:val="18"/>
          <w:lang w:eastAsia="nl-NL"/>
        </w:rPr>
        <w:t xml:space="preserve">de implementatie van de </w:t>
      </w:r>
      <w:r w:rsidR="00B711AD">
        <w:rPr>
          <w:rFonts w:ascii="Verdana" w:hAnsi="Verdana" w:cs="Calibri"/>
          <w:sz w:val="18"/>
          <w:szCs w:val="18"/>
          <w:lang w:eastAsia="nl-NL"/>
        </w:rPr>
        <w:t xml:space="preserve">Gedelegeerde Verordening van de Commissie </w:t>
      </w:r>
      <w:r w:rsidRPr="00B711AD" w:rsidR="00B711AD">
        <w:rPr>
          <w:rFonts w:ascii="Verdana" w:hAnsi="Verdana" w:cs="Calibri"/>
          <w:sz w:val="18"/>
          <w:szCs w:val="18"/>
          <w:lang w:eastAsia="nl-NL"/>
        </w:rPr>
        <w:t>van 11 maart 2024</w:t>
      </w:r>
      <w:r w:rsidR="00B711AD">
        <w:rPr>
          <w:rFonts w:ascii="Verdana" w:hAnsi="Verdana" w:cs="Calibri"/>
          <w:sz w:val="18"/>
          <w:szCs w:val="18"/>
          <w:lang w:eastAsia="nl-NL"/>
        </w:rPr>
        <w:t xml:space="preserve"> </w:t>
      </w:r>
      <w:r w:rsidRPr="00B711AD" w:rsidR="00B711AD">
        <w:rPr>
          <w:rFonts w:ascii="Verdana" w:hAnsi="Verdana" w:cs="Calibri"/>
          <w:sz w:val="18"/>
          <w:szCs w:val="18"/>
          <w:lang w:eastAsia="nl-NL"/>
        </w:rPr>
        <w:t xml:space="preserve">tot aanvulling van Verordening (EU) 2019/943 van het Europees Parlement en de Raad door middel van de vaststelling van een </w:t>
      </w:r>
      <w:proofErr w:type="spellStart"/>
      <w:r w:rsidRPr="00B711AD" w:rsidR="00B711AD">
        <w:rPr>
          <w:rFonts w:ascii="Verdana" w:hAnsi="Verdana" w:cs="Calibri"/>
          <w:sz w:val="18"/>
          <w:szCs w:val="18"/>
          <w:lang w:eastAsia="nl-NL"/>
        </w:rPr>
        <w:t>netcode</w:t>
      </w:r>
      <w:proofErr w:type="spellEnd"/>
      <w:r w:rsidRPr="00B711AD" w:rsidR="00B711AD">
        <w:rPr>
          <w:rFonts w:ascii="Verdana" w:hAnsi="Verdana" w:cs="Calibri"/>
          <w:sz w:val="18"/>
          <w:szCs w:val="18"/>
          <w:lang w:eastAsia="nl-NL"/>
        </w:rPr>
        <w:t xml:space="preserve"> inzake sectorspecifieke regels voor met cyberbeveiliging samenhangende aspecten van grensoverschrijdende elektriciteitsstromen</w:t>
      </w:r>
      <w:r w:rsidR="0031119F">
        <w:rPr>
          <w:rFonts w:ascii="Verdana" w:hAnsi="Verdana" w:cs="Calibri"/>
          <w:sz w:val="18"/>
          <w:szCs w:val="18"/>
          <w:lang w:eastAsia="nl-NL"/>
        </w:rPr>
        <w:t xml:space="preserve"> (hierna: </w:t>
      </w:r>
      <w:proofErr w:type="spellStart"/>
      <w:r w:rsidR="0031119F">
        <w:rPr>
          <w:rFonts w:ascii="Verdana" w:hAnsi="Verdana" w:cs="Calibri"/>
          <w:sz w:val="18"/>
          <w:szCs w:val="18"/>
          <w:lang w:eastAsia="nl-NL"/>
        </w:rPr>
        <w:t>Netcode</w:t>
      </w:r>
      <w:proofErr w:type="spellEnd"/>
      <w:r w:rsidR="0031119F">
        <w:rPr>
          <w:rFonts w:ascii="Verdana" w:hAnsi="Verdana" w:cs="Calibri"/>
          <w:sz w:val="18"/>
          <w:szCs w:val="18"/>
          <w:lang w:eastAsia="nl-NL"/>
        </w:rPr>
        <w:t>)</w:t>
      </w:r>
      <w:r w:rsidR="00B711AD">
        <w:rPr>
          <w:rFonts w:ascii="Verdana" w:hAnsi="Verdana" w:cs="Calibri"/>
          <w:sz w:val="18"/>
          <w:szCs w:val="18"/>
          <w:lang w:eastAsia="nl-NL"/>
        </w:rPr>
        <w:t xml:space="preserve">. </w:t>
      </w:r>
      <w:r w:rsidR="0031119F">
        <w:rPr>
          <w:rFonts w:ascii="Verdana" w:hAnsi="Verdana" w:cs="Calibri"/>
          <w:sz w:val="18"/>
          <w:szCs w:val="18"/>
          <w:lang w:eastAsia="nl-NL"/>
        </w:rPr>
        <w:t xml:space="preserve">De </w:t>
      </w:r>
      <w:proofErr w:type="spellStart"/>
      <w:r w:rsidR="0031119F">
        <w:rPr>
          <w:rFonts w:ascii="Verdana" w:hAnsi="Verdana" w:cs="Calibri"/>
          <w:sz w:val="18"/>
          <w:szCs w:val="18"/>
          <w:lang w:eastAsia="nl-NL"/>
        </w:rPr>
        <w:t>Netcode</w:t>
      </w:r>
      <w:proofErr w:type="spellEnd"/>
      <w:r w:rsidR="0031119F">
        <w:rPr>
          <w:rFonts w:ascii="Verdana" w:hAnsi="Verdana" w:cs="Calibri"/>
          <w:sz w:val="18"/>
          <w:szCs w:val="18"/>
          <w:lang w:eastAsia="nl-NL"/>
        </w:rPr>
        <w:t xml:space="preserve"> </w:t>
      </w:r>
      <w:r w:rsidRPr="009F6541">
        <w:rPr>
          <w:rFonts w:ascii="Verdana" w:hAnsi="Verdana" w:cs="Calibri"/>
          <w:sz w:val="18"/>
          <w:szCs w:val="18"/>
        </w:rPr>
        <w:t xml:space="preserve">heeft tot doel </w:t>
      </w:r>
      <w:r w:rsidRPr="009F6541">
        <w:rPr>
          <w:rFonts w:ascii="Verdana" w:hAnsi="Verdana"/>
          <w:sz w:val="18"/>
          <w:szCs w:val="18"/>
        </w:rPr>
        <w:t xml:space="preserve">de bescherming van kritieke infrastructuren in de elektriciteitssector te verbeteren tegen cyberaanvallen en -dreigingen. De </w:t>
      </w:r>
      <w:proofErr w:type="spellStart"/>
      <w:r w:rsidR="0031119F">
        <w:rPr>
          <w:rFonts w:ascii="Verdana" w:hAnsi="Verdana"/>
          <w:sz w:val="18"/>
          <w:szCs w:val="18"/>
        </w:rPr>
        <w:t>Netcode</w:t>
      </w:r>
      <w:proofErr w:type="spellEnd"/>
      <w:r w:rsidRPr="009F6541">
        <w:rPr>
          <w:rFonts w:ascii="Verdana" w:hAnsi="Verdana"/>
          <w:sz w:val="18"/>
          <w:szCs w:val="18"/>
        </w:rPr>
        <w:t xml:space="preserve"> bevordert tevens de internationale samenwerking en informatie-uitwisseling tussen lidstaten, nationale en Europese instanties, en overige stakeholders en entiteiten. Omzetting in nationaal recht is voor de werking niet nodig.</w:t>
      </w:r>
      <w:r w:rsidR="00B711AD">
        <w:rPr>
          <w:rFonts w:ascii="Verdana" w:hAnsi="Verdana"/>
          <w:sz w:val="18"/>
          <w:szCs w:val="18"/>
        </w:rPr>
        <w:t xml:space="preserve"> Het is de verwachting dat </w:t>
      </w:r>
      <w:r w:rsidR="0031119F">
        <w:rPr>
          <w:rFonts w:ascii="Verdana" w:hAnsi="Verdana"/>
          <w:sz w:val="18"/>
          <w:szCs w:val="18"/>
        </w:rPr>
        <w:t xml:space="preserve">de </w:t>
      </w:r>
      <w:proofErr w:type="spellStart"/>
      <w:r w:rsidR="0031119F">
        <w:rPr>
          <w:rFonts w:ascii="Verdana" w:hAnsi="Verdana"/>
          <w:sz w:val="18"/>
          <w:szCs w:val="18"/>
        </w:rPr>
        <w:t>Netcode</w:t>
      </w:r>
      <w:proofErr w:type="spellEnd"/>
      <w:r w:rsidR="00B711AD">
        <w:rPr>
          <w:rFonts w:ascii="Verdana" w:hAnsi="Verdana"/>
          <w:sz w:val="18"/>
          <w:szCs w:val="18"/>
        </w:rPr>
        <w:t xml:space="preserve"> con</w:t>
      </w:r>
      <w:r w:rsidRPr="009F6541">
        <w:rPr>
          <w:rFonts w:ascii="Verdana" w:hAnsi="Verdana"/>
          <w:sz w:val="18"/>
          <w:szCs w:val="18"/>
        </w:rPr>
        <w:t>creter is</w:t>
      </w:r>
      <w:r w:rsidR="00B711AD">
        <w:rPr>
          <w:rFonts w:ascii="Verdana" w:hAnsi="Verdana"/>
          <w:sz w:val="18"/>
          <w:szCs w:val="18"/>
        </w:rPr>
        <w:t xml:space="preserve"> dan de </w:t>
      </w:r>
      <w:proofErr w:type="spellStart"/>
      <w:r w:rsidR="00B711AD">
        <w:rPr>
          <w:rFonts w:ascii="Verdana" w:hAnsi="Verdana"/>
          <w:sz w:val="18"/>
          <w:szCs w:val="18"/>
        </w:rPr>
        <w:t>Cbw</w:t>
      </w:r>
      <w:proofErr w:type="spellEnd"/>
      <w:r w:rsidRPr="009F6541">
        <w:rPr>
          <w:rFonts w:ascii="Verdana" w:hAnsi="Verdana"/>
          <w:sz w:val="18"/>
          <w:szCs w:val="18"/>
        </w:rPr>
        <w:t xml:space="preserve">. </w:t>
      </w:r>
      <w:r w:rsidR="00B711AD">
        <w:rPr>
          <w:rFonts w:ascii="Verdana" w:hAnsi="Verdana"/>
          <w:sz w:val="18"/>
          <w:szCs w:val="18"/>
        </w:rPr>
        <w:t xml:space="preserve">Zo is in </w:t>
      </w:r>
      <w:r w:rsidRPr="009F6541">
        <w:rPr>
          <w:rFonts w:ascii="Verdana" w:hAnsi="Verdana"/>
          <w:sz w:val="18"/>
          <w:szCs w:val="18"/>
        </w:rPr>
        <w:t xml:space="preserve">overweging 3 </w:t>
      </w:r>
      <w:r w:rsidR="00B711AD">
        <w:rPr>
          <w:rFonts w:ascii="Verdana" w:hAnsi="Verdana"/>
          <w:sz w:val="18"/>
          <w:szCs w:val="18"/>
        </w:rPr>
        <w:t xml:space="preserve">van </w:t>
      </w:r>
      <w:r w:rsidR="0031119F">
        <w:rPr>
          <w:rFonts w:ascii="Verdana" w:hAnsi="Verdana"/>
          <w:sz w:val="18"/>
          <w:szCs w:val="18"/>
        </w:rPr>
        <w:t xml:space="preserve">de </w:t>
      </w:r>
      <w:proofErr w:type="spellStart"/>
      <w:r w:rsidR="0031119F">
        <w:rPr>
          <w:rFonts w:ascii="Verdana" w:hAnsi="Verdana"/>
          <w:sz w:val="18"/>
          <w:szCs w:val="18"/>
        </w:rPr>
        <w:t>Netcode</w:t>
      </w:r>
      <w:proofErr w:type="spellEnd"/>
      <w:r w:rsidR="0031119F">
        <w:rPr>
          <w:rFonts w:ascii="Verdana" w:hAnsi="Verdana"/>
          <w:sz w:val="18"/>
          <w:szCs w:val="18"/>
        </w:rPr>
        <w:t xml:space="preserve"> </w:t>
      </w:r>
      <w:r w:rsidR="00B711AD">
        <w:rPr>
          <w:rFonts w:ascii="Verdana" w:hAnsi="Verdana"/>
          <w:sz w:val="18"/>
          <w:szCs w:val="18"/>
        </w:rPr>
        <w:t xml:space="preserve">aangegeven dat </w:t>
      </w:r>
      <w:r w:rsidRPr="009F6541">
        <w:rPr>
          <w:rFonts w:ascii="Verdana" w:hAnsi="Verdana"/>
          <w:sz w:val="18"/>
          <w:szCs w:val="18"/>
        </w:rPr>
        <w:t xml:space="preserve">het de bepalingen van de NIS2-richtlijn aanvult </w:t>
      </w:r>
      <w:r w:rsidRPr="009F6541">
        <w:rPr>
          <w:rFonts w:ascii="Verdana" w:hAnsi="Verdana" w:cs="Calibri"/>
          <w:sz w:val="18"/>
          <w:szCs w:val="18"/>
        </w:rPr>
        <w:t>en concretere bindende grensoverschrijdende cybersecurityvoorschriften vast</w:t>
      </w:r>
      <w:r w:rsidR="00B711AD">
        <w:rPr>
          <w:rFonts w:ascii="Verdana" w:hAnsi="Verdana" w:cs="Calibri"/>
          <w:sz w:val="18"/>
          <w:szCs w:val="18"/>
        </w:rPr>
        <w:t>stelt</w:t>
      </w:r>
      <w:r w:rsidRPr="009F6541">
        <w:rPr>
          <w:rFonts w:ascii="Verdana" w:hAnsi="Verdana" w:cs="Calibri"/>
          <w:sz w:val="18"/>
          <w:szCs w:val="18"/>
        </w:rPr>
        <w:t xml:space="preserve"> voor elektriciteitsentiteiten die, wanneer zij mikpunt worden van een cyberaanval, een risico vormen voor de stabiliteit van het Europese elektriciteitsnet. Aan de hand van vaste drempelwaarden worden kritieke en hoog impact entiteiten </w:t>
      </w:r>
      <w:r w:rsidR="00B711AD">
        <w:rPr>
          <w:rFonts w:ascii="Verdana" w:hAnsi="Verdana" w:cs="Calibri"/>
          <w:sz w:val="18"/>
          <w:szCs w:val="18"/>
        </w:rPr>
        <w:t>geïdentificeerd</w:t>
      </w:r>
      <w:r w:rsidRPr="009F6541">
        <w:rPr>
          <w:rFonts w:ascii="Verdana" w:hAnsi="Verdana" w:cs="Calibri"/>
          <w:sz w:val="18"/>
          <w:szCs w:val="18"/>
        </w:rPr>
        <w:t xml:space="preserve"> die gedigitaliseerde processen uitvoeren met een kritieke of grote impact op grensoverschrijdende elektriciteitsstromen. </w:t>
      </w:r>
      <w:r w:rsidRPr="009F6541">
        <w:rPr>
          <w:rFonts w:ascii="Verdana" w:hAnsi="Verdana"/>
          <w:sz w:val="18"/>
          <w:szCs w:val="18"/>
        </w:rPr>
        <w:t xml:space="preserve">Naar verwachting zullen grote elektriciteitsproducenten en distributeurs onder de </w:t>
      </w:r>
      <w:proofErr w:type="spellStart"/>
      <w:r w:rsidR="0031119F">
        <w:rPr>
          <w:rFonts w:ascii="Verdana" w:hAnsi="Verdana"/>
          <w:sz w:val="18"/>
          <w:szCs w:val="18"/>
        </w:rPr>
        <w:t>N</w:t>
      </w:r>
      <w:r w:rsidR="00B711AD">
        <w:rPr>
          <w:rFonts w:ascii="Verdana" w:hAnsi="Verdana"/>
          <w:sz w:val="18"/>
          <w:szCs w:val="18"/>
        </w:rPr>
        <w:t>etcode</w:t>
      </w:r>
      <w:proofErr w:type="spellEnd"/>
      <w:r w:rsidR="00B711AD">
        <w:rPr>
          <w:rFonts w:ascii="Verdana" w:hAnsi="Verdana"/>
          <w:sz w:val="18"/>
          <w:szCs w:val="18"/>
        </w:rPr>
        <w:t xml:space="preserve"> </w:t>
      </w:r>
      <w:r w:rsidRPr="009F6541">
        <w:rPr>
          <w:rFonts w:ascii="Verdana" w:hAnsi="Verdana"/>
          <w:sz w:val="18"/>
          <w:szCs w:val="18"/>
        </w:rPr>
        <w:t xml:space="preserve">vallen. In lijn met de </w:t>
      </w:r>
      <w:proofErr w:type="spellStart"/>
      <w:r w:rsidRPr="009F6541">
        <w:rPr>
          <w:rFonts w:ascii="Verdana" w:hAnsi="Verdana"/>
          <w:sz w:val="18"/>
          <w:szCs w:val="18"/>
        </w:rPr>
        <w:t>C</w:t>
      </w:r>
      <w:r w:rsidR="00B711AD">
        <w:rPr>
          <w:rFonts w:ascii="Verdana" w:hAnsi="Verdana"/>
          <w:sz w:val="18"/>
          <w:szCs w:val="18"/>
        </w:rPr>
        <w:t>bw</w:t>
      </w:r>
      <w:proofErr w:type="spellEnd"/>
      <w:r w:rsidR="00B711AD">
        <w:rPr>
          <w:rFonts w:ascii="Verdana" w:hAnsi="Verdana"/>
          <w:sz w:val="18"/>
          <w:szCs w:val="18"/>
        </w:rPr>
        <w:t xml:space="preserve"> moeten</w:t>
      </w:r>
      <w:r w:rsidRPr="009F6541">
        <w:rPr>
          <w:rFonts w:ascii="Verdana" w:hAnsi="Verdana"/>
          <w:sz w:val="18"/>
          <w:szCs w:val="18"/>
        </w:rPr>
        <w:t xml:space="preserve"> deze entiteiten diverse maatregelen nemen op het gebied van cyberbeveiliging, </w:t>
      </w:r>
      <w:r w:rsidR="00B711AD">
        <w:rPr>
          <w:rFonts w:ascii="Verdana" w:hAnsi="Verdana"/>
          <w:sz w:val="18"/>
          <w:szCs w:val="18"/>
        </w:rPr>
        <w:t xml:space="preserve">moeten zij cyberincidenten melden en hebben zij </w:t>
      </w:r>
      <w:r w:rsidRPr="009F6541">
        <w:rPr>
          <w:rFonts w:ascii="Verdana" w:hAnsi="Verdana" w:eastAsia="Times New Roman" w:cstheme="minorHAnsi"/>
          <w:sz w:val="18"/>
          <w:szCs w:val="18"/>
          <w:lang w:eastAsia="nl-NL"/>
        </w:rPr>
        <w:t>recht</w:t>
      </w:r>
      <w:r w:rsidR="00B711AD">
        <w:rPr>
          <w:rFonts w:ascii="Verdana" w:hAnsi="Verdana" w:eastAsia="Times New Roman" w:cstheme="minorHAnsi"/>
          <w:sz w:val="18"/>
          <w:szCs w:val="18"/>
          <w:lang w:eastAsia="nl-NL"/>
        </w:rPr>
        <w:t xml:space="preserve"> op bijstand v</w:t>
      </w:r>
      <w:r w:rsidRPr="009F6541">
        <w:rPr>
          <w:rFonts w:ascii="Verdana" w:hAnsi="Verdana" w:eastAsia="Times New Roman" w:cstheme="minorHAnsi"/>
          <w:sz w:val="18"/>
          <w:szCs w:val="18"/>
          <w:lang w:eastAsia="nl-NL"/>
        </w:rPr>
        <w:t xml:space="preserve">an een CSIRT. </w:t>
      </w:r>
    </w:p>
    <w:bookmarkEnd w:id="178"/>
    <w:p w:rsidRPr="009F6541" w:rsidR="00FE3A7C" w:rsidP="00FE3A7C" w:rsidRDefault="00FE3A7C" w14:paraId="559A8EFA" w14:textId="77777777">
      <w:pPr>
        <w:pStyle w:val="Geenafstand"/>
        <w:rPr>
          <w:rFonts w:ascii="Verdana" w:hAnsi="Verdana"/>
          <w:sz w:val="18"/>
          <w:szCs w:val="18"/>
        </w:rPr>
      </w:pPr>
    </w:p>
    <w:p w:rsidR="00C603BA" w:rsidP="00FE3A7C" w:rsidRDefault="00C603BA" w14:paraId="40D74AEE" w14:textId="77777777">
      <w:pPr>
        <w:pStyle w:val="Geenafstand"/>
        <w:rPr>
          <w:rFonts w:ascii="Verdana" w:hAnsi="Verdana"/>
          <w:i/>
          <w:iCs/>
          <w:sz w:val="18"/>
          <w:szCs w:val="18"/>
        </w:rPr>
      </w:pPr>
    </w:p>
    <w:p w:rsidR="00C603BA" w:rsidP="00FE3A7C" w:rsidRDefault="00C603BA" w14:paraId="3FD8EB32" w14:textId="77777777">
      <w:pPr>
        <w:pStyle w:val="Geenafstand"/>
        <w:rPr>
          <w:rFonts w:ascii="Verdana" w:hAnsi="Verdana"/>
          <w:i/>
          <w:iCs/>
          <w:sz w:val="18"/>
          <w:szCs w:val="18"/>
        </w:rPr>
      </w:pPr>
    </w:p>
    <w:p w:rsidRPr="009F6541" w:rsidR="00FE3A7C" w:rsidP="00FE3A7C" w:rsidRDefault="00FE3A7C" w14:paraId="256BE6E3" w14:textId="1E626567">
      <w:pPr>
        <w:pStyle w:val="Geenafstand"/>
        <w:rPr>
          <w:rFonts w:ascii="Verdana" w:hAnsi="Verdana"/>
          <w:sz w:val="18"/>
          <w:szCs w:val="18"/>
        </w:rPr>
      </w:pPr>
      <w:r w:rsidRPr="00AE5A45">
        <w:rPr>
          <w:rFonts w:ascii="Verdana" w:hAnsi="Verdana"/>
          <w:i/>
          <w:iCs/>
          <w:sz w:val="18"/>
          <w:szCs w:val="18"/>
        </w:rPr>
        <w:lastRenderedPageBreak/>
        <w:t>Warmtewet</w:t>
      </w:r>
    </w:p>
    <w:p w:rsidRPr="009F6541" w:rsidR="00FE3A7C" w:rsidP="00FE3A7C" w:rsidRDefault="00FE3A7C" w14:paraId="378552AE" w14:textId="66E32BAA">
      <w:pPr>
        <w:pStyle w:val="Geenafstand"/>
        <w:rPr>
          <w:rFonts w:ascii="Verdana" w:hAnsi="Verdana"/>
          <w:sz w:val="18"/>
          <w:szCs w:val="18"/>
        </w:rPr>
      </w:pPr>
      <w:r w:rsidRPr="009F6541">
        <w:rPr>
          <w:rFonts w:ascii="Verdana" w:hAnsi="Verdana"/>
          <w:sz w:val="18"/>
          <w:szCs w:val="18"/>
        </w:rPr>
        <w:t xml:space="preserve">Op de entiteiten uit de sector energie, </w:t>
      </w:r>
      <w:proofErr w:type="spellStart"/>
      <w:r w:rsidRPr="009F6541">
        <w:rPr>
          <w:rFonts w:ascii="Verdana" w:hAnsi="Verdana"/>
          <w:sz w:val="18"/>
          <w:szCs w:val="18"/>
        </w:rPr>
        <w:t>subsector</w:t>
      </w:r>
      <w:proofErr w:type="spellEnd"/>
      <w:r w:rsidRPr="009F6541">
        <w:rPr>
          <w:rFonts w:ascii="Verdana" w:hAnsi="Verdana"/>
          <w:sz w:val="18"/>
          <w:szCs w:val="18"/>
        </w:rPr>
        <w:t xml:space="preserve"> stadsverwarming- en koeling, is de Warmtewet van toepassing. De Warmtewet is summier in het kader van een (cyber)weerbaarheidsverplichting. Op basis van artikel 2, eerste lid, Warmtewet zijn warmteleveranciers gehouden tot zorg voor een betrouwbare levering. De zorgplicht in de </w:t>
      </w:r>
      <w:proofErr w:type="spellStart"/>
      <w:r w:rsidRPr="009F6541">
        <w:rPr>
          <w:rFonts w:ascii="Verdana" w:hAnsi="Verdana"/>
          <w:sz w:val="18"/>
          <w:szCs w:val="18"/>
        </w:rPr>
        <w:t>Cbw</w:t>
      </w:r>
      <w:proofErr w:type="spellEnd"/>
      <w:r w:rsidRPr="009F6541">
        <w:rPr>
          <w:rFonts w:ascii="Verdana" w:hAnsi="Verdana"/>
          <w:sz w:val="18"/>
          <w:szCs w:val="18"/>
        </w:rPr>
        <w:t xml:space="preserve"> kan gezien worden als instructie aan de warmteleveranciers hoe zij op het gebied van cyberveiligheid invulling geven aan hun taak op grond van artikel 2, eerste lid, Warmtewet.</w:t>
      </w:r>
    </w:p>
    <w:p w:rsidRPr="009F6541" w:rsidR="00FE3A7C" w:rsidP="00FE3A7C" w:rsidRDefault="00FE3A7C" w14:paraId="10C1AA3E" w14:textId="77777777">
      <w:pPr>
        <w:pStyle w:val="Geenafstand"/>
        <w:rPr>
          <w:rFonts w:ascii="Verdana" w:hAnsi="Verdana"/>
          <w:sz w:val="18"/>
          <w:szCs w:val="18"/>
        </w:rPr>
      </w:pPr>
    </w:p>
    <w:p w:rsidRPr="00AE5A45" w:rsidR="00FE3A7C" w:rsidP="00FE3A7C" w:rsidRDefault="00FE3A7C" w14:paraId="70ACB582" w14:textId="77777777">
      <w:pPr>
        <w:pStyle w:val="Geenafstand"/>
        <w:rPr>
          <w:rFonts w:ascii="Verdana" w:hAnsi="Verdana"/>
          <w:i/>
          <w:iCs/>
          <w:sz w:val="18"/>
          <w:szCs w:val="18"/>
        </w:rPr>
      </w:pPr>
      <w:r w:rsidRPr="00AE5A45">
        <w:rPr>
          <w:rFonts w:ascii="Verdana" w:hAnsi="Verdana"/>
          <w:i/>
          <w:iCs/>
          <w:sz w:val="18"/>
          <w:szCs w:val="18"/>
        </w:rPr>
        <w:t>Wet collectieve warmtevoorziening</w:t>
      </w:r>
    </w:p>
    <w:p w:rsidR="00FE3A7C" w:rsidP="008B502C" w:rsidRDefault="008B502C" w14:paraId="0C64B9E7" w14:textId="4CB1CD45">
      <w:pPr>
        <w:pStyle w:val="Geenafstand"/>
        <w:rPr>
          <w:rFonts w:ascii="Verdana" w:hAnsi="Verdana"/>
          <w:i/>
          <w:iCs/>
          <w:sz w:val="18"/>
          <w:szCs w:val="18"/>
        </w:rPr>
      </w:pPr>
      <w:r w:rsidRPr="00861469">
        <w:rPr>
          <w:rFonts w:ascii="Verdana" w:hAnsi="Verdana"/>
          <w:sz w:val="18"/>
          <w:szCs w:val="18"/>
        </w:rPr>
        <w:t xml:space="preserve">Het voorstel van wet houdende regels omtrent productie, transport en levering van warmte (Wet collectieve warmte) (hierna: </w:t>
      </w:r>
      <w:proofErr w:type="spellStart"/>
      <w:r w:rsidRPr="00861469">
        <w:rPr>
          <w:rFonts w:ascii="Verdana" w:hAnsi="Verdana"/>
          <w:sz w:val="18"/>
          <w:szCs w:val="18"/>
        </w:rPr>
        <w:t>Wcw</w:t>
      </w:r>
      <w:proofErr w:type="spellEnd"/>
      <w:r w:rsidRPr="00861469">
        <w:rPr>
          <w:rFonts w:ascii="Verdana" w:hAnsi="Verdana"/>
          <w:sz w:val="18"/>
          <w:szCs w:val="18"/>
        </w:rPr>
        <w:t xml:space="preserve">) is bij koninklijke boodschap van 18 juni 2024 ingediend </w:t>
      </w:r>
      <w:r>
        <w:rPr>
          <w:rFonts w:ascii="Verdana" w:hAnsi="Verdana"/>
          <w:sz w:val="18"/>
          <w:szCs w:val="18"/>
        </w:rPr>
        <w:t>bij de Tweede Kamer.</w:t>
      </w:r>
      <w:r w:rsidRPr="00F92AE1">
        <w:rPr>
          <w:rStyle w:val="Voetnootmarkering"/>
          <w:rFonts w:ascii="Verdana" w:hAnsi="Verdana"/>
          <w:bCs/>
          <w:sz w:val="18"/>
          <w:szCs w:val="18"/>
        </w:rPr>
        <w:footnoteReference w:id="69"/>
      </w:r>
      <w:r>
        <w:rPr>
          <w:rFonts w:ascii="Verdana" w:hAnsi="Verdana"/>
          <w:sz w:val="18"/>
          <w:szCs w:val="18"/>
        </w:rPr>
        <w:t xml:space="preserve"> De </w:t>
      </w:r>
      <w:proofErr w:type="spellStart"/>
      <w:r>
        <w:rPr>
          <w:rFonts w:ascii="Verdana" w:hAnsi="Verdana"/>
          <w:sz w:val="18"/>
          <w:szCs w:val="18"/>
        </w:rPr>
        <w:t>Wcw</w:t>
      </w:r>
      <w:proofErr w:type="spellEnd"/>
      <w:r>
        <w:rPr>
          <w:rFonts w:ascii="Verdana" w:hAnsi="Verdana"/>
          <w:sz w:val="18"/>
          <w:szCs w:val="18"/>
        </w:rPr>
        <w:t xml:space="preserve"> bevat een bepaling die </w:t>
      </w:r>
      <w:r w:rsidRPr="009F6541" w:rsidR="00FE3A7C">
        <w:rPr>
          <w:rFonts w:ascii="Verdana" w:hAnsi="Verdana"/>
          <w:sz w:val="18"/>
          <w:szCs w:val="18"/>
        </w:rPr>
        <w:t>beheerders van collectieve warmtevoorzieningen verplicht de veiligheid van de collectieve warmtevoorziening op een doelmatige wijze te waarborgen. De meld</w:t>
      </w:r>
      <w:r w:rsidR="00AE5A45">
        <w:rPr>
          <w:rFonts w:ascii="Verdana" w:hAnsi="Verdana"/>
          <w:sz w:val="18"/>
          <w:szCs w:val="18"/>
        </w:rPr>
        <w:t xml:space="preserve">plicht en zorgplicht uit de </w:t>
      </w:r>
      <w:proofErr w:type="spellStart"/>
      <w:r w:rsidR="00AE5A45">
        <w:rPr>
          <w:rFonts w:ascii="Verdana" w:hAnsi="Verdana"/>
          <w:sz w:val="18"/>
          <w:szCs w:val="18"/>
        </w:rPr>
        <w:t>Cbw</w:t>
      </w:r>
      <w:proofErr w:type="spellEnd"/>
      <w:r w:rsidR="00AE5A45">
        <w:rPr>
          <w:rFonts w:ascii="Verdana" w:hAnsi="Verdana"/>
          <w:sz w:val="18"/>
          <w:szCs w:val="18"/>
        </w:rPr>
        <w:t xml:space="preserve"> </w:t>
      </w:r>
      <w:r w:rsidRPr="009F6541" w:rsidR="00FE3A7C">
        <w:rPr>
          <w:rFonts w:ascii="Verdana" w:hAnsi="Verdana"/>
          <w:sz w:val="18"/>
          <w:szCs w:val="18"/>
        </w:rPr>
        <w:t xml:space="preserve">kunnen gezien worden als instructie aan de beheerders van collectieve warmtevoorzieningen hoe zij op het gebied van cyberveiligheid invulling geven aan hun taak op grond van de toekomstige </w:t>
      </w:r>
      <w:proofErr w:type="spellStart"/>
      <w:r w:rsidRPr="009F6541" w:rsidR="00FE3A7C">
        <w:rPr>
          <w:rFonts w:ascii="Verdana" w:hAnsi="Verdana"/>
          <w:sz w:val="18"/>
          <w:szCs w:val="18"/>
        </w:rPr>
        <w:t>Wcw</w:t>
      </w:r>
      <w:proofErr w:type="spellEnd"/>
      <w:r w:rsidRPr="009F6541" w:rsidR="00FE3A7C">
        <w:rPr>
          <w:rFonts w:ascii="Verdana" w:hAnsi="Verdana"/>
          <w:sz w:val="18"/>
          <w:szCs w:val="18"/>
        </w:rPr>
        <w:t xml:space="preserve">. Een meldplicht ten behoeve van de cyberweerbaarheid is niet geregeld in de </w:t>
      </w:r>
      <w:proofErr w:type="spellStart"/>
      <w:r w:rsidRPr="009F6541" w:rsidR="00FE3A7C">
        <w:rPr>
          <w:rFonts w:ascii="Verdana" w:hAnsi="Verdana"/>
          <w:sz w:val="18"/>
          <w:szCs w:val="18"/>
        </w:rPr>
        <w:t>Wcw</w:t>
      </w:r>
      <w:proofErr w:type="spellEnd"/>
      <w:r w:rsidRPr="009F6541" w:rsidR="00FE3A7C">
        <w:rPr>
          <w:rFonts w:ascii="Verdana" w:hAnsi="Verdana"/>
          <w:sz w:val="18"/>
          <w:szCs w:val="18"/>
        </w:rPr>
        <w:t>.</w:t>
      </w:r>
    </w:p>
    <w:p w:rsidRPr="00FF46E3" w:rsidR="00FE3A7C" w:rsidP="00945659" w:rsidRDefault="00FE3A7C" w14:paraId="3C8CB903" w14:textId="77777777">
      <w:pPr>
        <w:pStyle w:val="Geenafstand"/>
        <w:rPr>
          <w:rFonts w:ascii="Verdana" w:hAnsi="Verdana"/>
          <w:b/>
          <w:bCs/>
          <w:sz w:val="18"/>
          <w:szCs w:val="18"/>
        </w:rPr>
      </w:pPr>
    </w:p>
    <w:p w:rsidRPr="00FF46E3" w:rsidR="00792141" w:rsidP="00945659" w:rsidRDefault="00792141" w14:paraId="1628C6E4" w14:textId="09A8CA54">
      <w:pPr>
        <w:pStyle w:val="Kop2"/>
      </w:pPr>
      <w:bookmarkStart w:name="_Toc198721124" w:id="179"/>
      <w:r w:rsidRPr="00FF46E3">
        <w:t>7.</w:t>
      </w:r>
      <w:r w:rsidR="00F641CA">
        <w:t>7</w:t>
      </w:r>
      <w:r w:rsidRPr="00FF46E3">
        <w:t xml:space="preserve"> </w:t>
      </w:r>
      <w:bookmarkStart w:name="_Hlk148551254" w:id="180"/>
      <w:r w:rsidRPr="00C05AFD" w:rsidR="00C05AFD">
        <w:t>Ministerie van Landbouw, Visserij, Voedselzekerheid en Natuur</w:t>
      </w:r>
      <w:bookmarkEnd w:id="179"/>
    </w:p>
    <w:bookmarkEnd w:id="180"/>
    <w:p w:rsidRPr="00FF46E3" w:rsidR="00792141" w:rsidP="00945659" w:rsidRDefault="00792141" w14:paraId="2B5E5156" w14:textId="2D623432">
      <w:pPr>
        <w:pStyle w:val="Geenafstand"/>
        <w:rPr>
          <w:rFonts w:ascii="Verdana" w:hAnsi="Verdana"/>
          <w:sz w:val="18"/>
          <w:szCs w:val="18"/>
        </w:rPr>
      </w:pPr>
    </w:p>
    <w:p w:rsidRPr="00FF46E3" w:rsidR="004F5F0A" w:rsidP="00945659" w:rsidRDefault="004F5F0A" w14:paraId="0B0D02EE" w14:textId="1A2C0C25">
      <w:pPr>
        <w:pStyle w:val="Geenafstand"/>
        <w:rPr>
          <w:rFonts w:ascii="Verdana" w:hAnsi="Verdana"/>
          <w:sz w:val="18"/>
          <w:szCs w:val="18"/>
        </w:rPr>
      </w:pPr>
      <w:r w:rsidRPr="00FF46E3">
        <w:rPr>
          <w:rFonts w:ascii="Verdana" w:hAnsi="Verdana"/>
          <w:sz w:val="18"/>
          <w:szCs w:val="18"/>
        </w:rPr>
        <w:t xml:space="preserve">Artikel 19 van de Verordening (EG) </w:t>
      </w:r>
      <w:r w:rsidRPr="00FF46E3" w:rsidR="00552513">
        <w:rPr>
          <w:rFonts w:ascii="Verdana" w:hAnsi="Verdana"/>
          <w:sz w:val="18"/>
          <w:szCs w:val="18"/>
        </w:rPr>
        <w:t xml:space="preserve">Nr. </w:t>
      </w:r>
      <w:r w:rsidRPr="00FF46E3">
        <w:rPr>
          <w:rFonts w:ascii="Verdana" w:hAnsi="Verdana"/>
          <w:sz w:val="18"/>
          <w:szCs w:val="18"/>
        </w:rPr>
        <w:t>178/2002</w:t>
      </w:r>
      <w:r w:rsidRPr="00FF46E3" w:rsidR="00F65EB0">
        <w:rPr>
          <w:rFonts w:ascii="Verdana" w:hAnsi="Verdana"/>
          <w:sz w:val="18"/>
          <w:szCs w:val="18"/>
        </w:rPr>
        <w:t>,</w:t>
      </w:r>
      <w:r w:rsidRPr="00FF46E3" w:rsidR="00F65EB0">
        <w:rPr>
          <w:rStyle w:val="Voetnootmarkering"/>
          <w:rFonts w:ascii="Verdana" w:hAnsi="Verdana"/>
          <w:sz w:val="18"/>
          <w:szCs w:val="18"/>
        </w:rPr>
        <w:footnoteReference w:id="70"/>
      </w:r>
      <w:r w:rsidRPr="00FF46E3">
        <w:rPr>
          <w:rFonts w:ascii="Verdana" w:hAnsi="Verdana"/>
          <w:sz w:val="18"/>
          <w:szCs w:val="18"/>
        </w:rPr>
        <w:t xml:space="preserve"> </w:t>
      </w:r>
      <w:r w:rsidRPr="00FF46E3" w:rsidR="00F65EB0">
        <w:rPr>
          <w:rFonts w:ascii="Verdana" w:hAnsi="Verdana"/>
          <w:sz w:val="18"/>
          <w:szCs w:val="18"/>
        </w:rPr>
        <w:t xml:space="preserve">over levensmiddelen, </w:t>
      </w:r>
      <w:r w:rsidRPr="00FF46E3">
        <w:rPr>
          <w:rFonts w:ascii="Verdana" w:hAnsi="Verdana"/>
          <w:sz w:val="18"/>
          <w:szCs w:val="18"/>
        </w:rPr>
        <w:t>verplicht exploitanten van een levensmiddelenbedrijf melding te doen bij de bevoegde autoriteit (</w:t>
      </w:r>
      <w:r w:rsidRPr="00FF46E3" w:rsidR="00413E5F">
        <w:rPr>
          <w:rFonts w:ascii="Verdana" w:hAnsi="Verdana"/>
          <w:sz w:val="18"/>
          <w:szCs w:val="18"/>
        </w:rPr>
        <w:t xml:space="preserve">de </w:t>
      </w:r>
      <w:r w:rsidRPr="00FF46E3">
        <w:rPr>
          <w:rFonts w:ascii="Verdana" w:hAnsi="Verdana"/>
          <w:sz w:val="18"/>
          <w:szCs w:val="18"/>
        </w:rPr>
        <w:t>Nederlandse Voedsel- en Warenautoriteit) als hij van mening is of redenen heeft om aan te nemen dat een levensmiddel dat hij ingevoerd</w:t>
      </w:r>
      <w:r w:rsidRPr="00FF46E3" w:rsidR="00F65EB0">
        <w:rPr>
          <w:rFonts w:ascii="Verdana" w:hAnsi="Verdana"/>
          <w:sz w:val="18"/>
          <w:szCs w:val="18"/>
        </w:rPr>
        <w:t>,</w:t>
      </w:r>
      <w:r w:rsidRPr="00FF46E3">
        <w:rPr>
          <w:rFonts w:ascii="Verdana" w:hAnsi="Verdana"/>
          <w:sz w:val="18"/>
          <w:szCs w:val="18"/>
        </w:rPr>
        <w:t xml:space="preserve"> geproduceerd, verwerkt, vervaardigd of gedistribueerd heeft niet aan de voedselveiligheidsvoorschriften voldoet. Voor een deel van de entiteiten uit de levensmiddelenindustrie kan er daarom sprake zijn van een </w:t>
      </w:r>
      <w:r w:rsidRPr="00FF46E3" w:rsidR="00413E5F">
        <w:rPr>
          <w:rFonts w:ascii="Verdana" w:hAnsi="Verdana"/>
          <w:sz w:val="18"/>
          <w:szCs w:val="18"/>
        </w:rPr>
        <w:t xml:space="preserve">dubbele </w:t>
      </w:r>
      <w:r w:rsidRPr="00FF46E3">
        <w:rPr>
          <w:rFonts w:ascii="Verdana" w:hAnsi="Verdana"/>
          <w:sz w:val="18"/>
          <w:szCs w:val="18"/>
        </w:rPr>
        <w:t>meldplicht</w:t>
      </w:r>
      <w:r w:rsidRPr="00FF46E3" w:rsidR="00231FBD">
        <w:rPr>
          <w:rFonts w:ascii="Verdana" w:hAnsi="Verdana"/>
          <w:sz w:val="18"/>
          <w:szCs w:val="18"/>
        </w:rPr>
        <w:t xml:space="preserve"> </w:t>
      </w:r>
      <w:r w:rsidRPr="00FF46E3">
        <w:rPr>
          <w:rFonts w:ascii="Verdana" w:hAnsi="Verdana"/>
          <w:sz w:val="18"/>
          <w:szCs w:val="18"/>
        </w:rPr>
        <w:t xml:space="preserve">wanneer deze verplichting het gevolg is van een </w:t>
      </w:r>
      <w:proofErr w:type="spellStart"/>
      <w:r w:rsidRPr="00FF46E3">
        <w:rPr>
          <w:rFonts w:ascii="Verdana" w:hAnsi="Verdana"/>
          <w:sz w:val="18"/>
          <w:szCs w:val="18"/>
        </w:rPr>
        <w:t>meldplichtig</w:t>
      </w:r>
      <w:proofErr w:type="spellEnd"/>
      <w:r w:rsidRPr="00FF46E3">
        <w:rPr>
          <w:rFonts w:ascii="Verdana" w:hAnsi="Verdana"/>
          <w:sz w:val="18"/>
          <w:szCs w:val="18"/>
        </w:rPr>
        <w:t xml:space="preserve"> incident dat voortkomt uit de NIS2-</w:t>
      </w:r>
      <w:r w:rsidRPr="00FF46E3" w:rsidR="00660FCF">
        <w:rPr>
          <w:rFonts w:ascii="Verdana" w:hAnsi="Verdana"/>
          <w:sz w:val="18"/>
          <w:szCs w:val="18"/>
        </w:rPr>
        <w:t>r</w:t>
      </w:r>
      <w:r w:rsidRPr="00FF46E3">
        <w:rPr>
          <w:rFonts w:ascii="Verdana" w:hAnsi="Verdana"/>
          <w:sz w:val="18"/>
          <w:szCs w:val="18"/>
        </w:rPr>
        <w:t xml:space="preserve">ichtlijn. </w:t>
      </w:r>
    </w:p>
    <w:p w:rsidRPr="00FF46E3" w:rsidR="008372C0" w:rsidP="00945659" w:rsidRDefault="008372C0" w14:paraId="5FB8D852" w14:textId="77777777">
      <w:pPr>
        <w:pStyle w:val="Geenafstand"/>
        <w:rPr>
          <w:rFonts w:ascii="Verdana" w:hAnsi="Verdana"/>
          <w:sz w:val="18"/>
          <w:szCs w:val="18"/>
        </w:rPr>
      </w:pPr>
    </w:p>
    <w:p w:rsidRPr="00FF46E3" w:rsidR="00765C91" w:rsidP="00945659" w:rsidRDefault="00552513" w14:paraId="2B792321" w14:textId="4D10F4F9">
      <w:pPr>
        <w:pStyle w:val="Geenafstand"/>
        <w:rPr>
          <w:rFonts w:ascii="Verdana" w:hAnsi="Verdana"/>
          <w:sz w:val="18"/>
          <w:szCs w:val="18"/>
        </w:rPr>
      </w:pPr>
      <w:r w:rsidRPr="00FF46E3">
        <w:rPr>
          <w:rFonts w:ascii="Verdana" w:hAnsi="Verdana"/>
          <w:sz w:val="18"/>
          <w:szCs w:val="18"/>
        </w:rPr>
        <w:t>Artikel 5 van</w:t>
      </w:r>
      <w:r w:rsidRPr="00FF46E3" w:rsidR="004F5F0A">
        <w:rPr>
          <w:rFonts w:ascii="Verdana" w:hAnsi="Verdana"/>
          <w:sz w:val="18"/>
          <w:szCs w:val="18"/>
        </w:rPr>
        <w:t xml:space="preserve"> de Verordening (EG) </w:t>
      </w:r>
      <w:r w:rsidRPr="00FF46E3">
        <w:rPr>
          <w:rFonts w:ascii="Verdana" w:hAnsi="Verdana"/>
          <w:sz w:val="18"/>
          <w:szCs w:val="18"/>
        </w:rPr>
        <w:t xml:space="preserve">Nr. </w:t>
      </w:r>
      <w:r w:rsidRPr="00FF46E3" w:rsidR="004F5F0A">
        <w:rPr>
          <w:rFonts w:ascii="Verdana" w:hAnsi="Verdana"/>
          <w:sz w:val="18"/>
          <w:szCs w:val="18"/>
        </w:rPr>
        <w:t>852/2004,</w:t>
      </w:r>
      <w:r w:rsidRPr="00FF46E3">
        <w:rPr>
          <w:rStyle w:val="Voetnootmarkering"/>
          <w:rFonts w:ascii="Verdana" w:hAnsi="Verdana"/>
          <w:sz w:val="18"/>
          <w:szCs w:val="18"/>
        </w:rPr>
        <w:footnoteReference w:id="71"/>
      </w:r>
      <w:r w:rsidRPr="00FF46E3" w:rsidR="004F5F0A">
        <w:rPr>
          <w:rFonts w:ascii="Verdana" w:hAnsi="Verdana"/>
          <w:sz w:val="18"/>
          <w:szCs w:val="18"/>
        </w:rPr>
        <w:t xml:space="preserve"> </w:t>
      </w:r>
      <w:r w:rsidRPr="00FF46E3">
        <w:rPr>
          <w:rFonts w:ascii="Verdana" w:hAnsi="Verdana"/>
          <w:sz w:val="18"/>
          <w:szCs w:val="18"/>
        </w:rPr>
        <w:t xml:space="preserve">over levensmiddelenhygiëne, verplicht </w:t>
      </w:r>
      <w:r w:rsidRPr="00FF46E3" w:rsidR="004F5F0A">
        <w:rPr>
          <w:rFonts w:ascii="Verdana" w:hAnsi="Verdana"/>
          <w:sz w:val="18"/>
          <w:szCs w:val="18"/>
        </w:rPr>
        <w:t xml:space="preserve">exploitanten van levensmiddelenbedrijven zorg te dragen voor de invoering, uitvoering en handhaving van een of meer permanente procedures die gebaseerd zijn op de HACCP-beginselen. </w:t>
      </w:r>
      <w:r w:rsidRPr="00FF46E3">
        <w:rPr>
          <w:rFonts w:ascii="Verdana" w:hAnsi="Verdana"/>
          <w:sz w:val="18"/>
          <w:szCs w:val="18"/>
        </w:rPr>
        <w:t xml:space="preserve">HACCP staat voor </w:t>
      </w:r>
      <w:r w:rsidRPr="000E397D">
        <w:rPr>
          <w:rFonts w:ascii="Verdana" w:hAnsi="Verdana"/>
          <w:i/>
          <w:iCs/>
          <w:sz w:val="18"/>
          <w:szCs w:val="18"/>
        </w:rPr>
        <w:t xml:space="preserve">Hazard Analysis </w:t>
      </w:r>
      <w:proofErr w:type="spellStart"/>
      <w:r w:rsidRPr="000E397D">
        <w:rPr>
          <w:rFonts w:ascii="Verdana" w:hAnsi="Verdana"/>
          <w:i/>
          <w:iCs/>
          <w:sz w:val="18"/>
          <w:szCs w:val="18"/>
        </w:rPr>
        <w:t>and</w:t>
      </w:r>
      <w:proofErr w:type="spellEnd"/>
      <w:r w:rsidRPr="000E397D">
        <w:rPr>
          <w:rFonts w:ascii="Verdana" w:hAnsi="Verdana"/>
          <w:i/>
          <w:iCs/>
          <w:sz w:val="18"/>
          <w:szCs w:val="18"/>
        </w:rPr>
        <w:t xml:space="preserve"> Critical Control Points</w:t>
      </w:r>
      <w:r w:rsidRPr="00FF46E3">
        <w:rPr>
          <w:rFonts w:ascii="Verdana" w:hAnsi="Verdana"/>
          <w:sz w:val="18"/>
          <w:szCs w:val="18"/>
        </w:rPr>
        <w:t xml:space="preserve"> en is een risico-inventarisatie voor voedingsmiddelen. </w:t>
      </w:r>
      <w:r w:rsidRPr="00FF46E3" w:rsidR="004F5F0A">
        <w:rPr>
          <w:rFonts w:ascii="Verdana" w:hAnsi="Verdana"/>
          <w:sz w:val="18"/>
          <w:szCs w:val="18"/>
        </w:rPr>
        <w:t>In de praktijk kunnen entiteiten onder die verplichting al passende en evenredige technische, beveiligings-, en organisatorische maatregelen ten behoeve van een aantal processen hebben genomen</w:t>
      </w:r>
      <w:r w:rsidRPr="00FF46E3" w:rsidR="003A5DFC">
        <w:rPr>
          <w:rFonts w:ascii="Verdana" w:hAnsi="Verdana"/>
          <w:sz w:val="18"/>
          <w:szCs w:val="18"/>
        </w:rPr>
        <w:t>,</w:t>
      </w:r>
      <w:r w:rsidRPr="00FF46E3" w:rsidR="004F5F0A">
        <w:rPr>
          <w:rFonts w:ascii="Verdana" w:hAnsi="Verdana"/>
          <w:sz w:val="18"/>
          <w:szCs w:val="18"/>
        </w:rPr>
        <w:t xml:space="preserve"> die ook voortkomen uit de NIS2-richtlijn. </w:t>
      </w:r>
    </w:p>
    <w:p w:rsidRPr="00FF46E3" w:rsidR="00765C91" w:rsidP="00945659" w:rsidRDefault="00765C91" w14:paraId="4B1C1F64" w14:textId="77777777">
      <w:pPr>
        <w:pStyle w:val="Geenafstand"/>
        <w:rPr>
          <w:rFonts w:ascii="Verdana" w:hAnsi="Verdana"/>
          <w:sz w:val="18"/>
          <w:szCs w:val="18"/>
        </w:rPr>
      </w:pPr>
    </w:p>
    <w:p w:rsidRPr="00FF46E3" w:rsidR="008B78CF" w:rsidP="00945659" w:rsidRDefault="005A5363" w14:paraId="6AB4D6C4" w14:textId="066D42E5">
      <w:pPr>
        <w:pStyle w:val="Kop2"/>
      </w:pPr>
      <w:bookmarkStart w:name="_Toc198721125" w:id="181"/>
      <w:r w:rsidRPr="00FF46E3">
        <w:t>7</w:t>
      </w:r>
      <w:r w:rsidRPr="00FF46E3" w:rsidR="00F247A7">
        <w:t>.</w:t>
      </w:r>
      <w:r w:rsidR="00F641CA">
        <w:t>8</w:t>
      </w:r>
      <w:r w:rsidRPr="00FF46E3" w:rsidR="00F247A7">
        <w:t xml:space="preserve"> </w:t>
      </w:r>
      <w:r w:rsidRPr="00FF46E3" w:rsidR="008B78CF">
        <w:t>Ministerie van Onderwijs, Cultuur en Wetenschap</w:t>
      </w:r>
      <w:bookmarkEnd w:id="181"/>
    </w:p>
    <w:p w:rsidRPr="00FF46E3" w:rsidR="00765C91" w:rsidP="00945659" w:rsidRDefault="00765C91" w14:paraId="21996D8D" w14:textId="77777777">
      <w:pPr>
        <w:pStyle w:val="Geenafstand"/>
        <w:rPr>
          <w:rFonts w:ascii="Verdana" w:hAnsi="Verdana"/>
          <w:sz w:val="18"/>
          <w:szCs w:val="18"/>
        </w:rPr>
      </w:pPr>
    </w:p>
    <w:p w:rsidR="008B78CF" w:rsidP="00945659" w:rsidRDefault="00AF4F2E" w14:paraId="33CC3C09" w14:textId="6700B7D6">
      <w:pPr>
        <w:pStyle w:val="Geenafstand"/>
        <w:rPr>
          <w:rFonts w:ascii="Verdana" w:hAnsi="Verdana"/>
          <w:b/>
          <w:bCs/>
          <w:sz w:val="18"/>
          <w:szCs w:val="18"/>
        </w:rPr>
      </w:pPr>
      <w:r w:rsidRPr="00FF46E3">
        <w:rPr>
          <w:rFonts w:ascii="Verdana" w:hAnsi="Verdana"/>
          <w:sz w:val="18"/>
          <w:szCs w:val="18"/>
        </w:rPr>
        <w:t>Het hoger onderwijs kent op het gebied van informatiebeveiliging geen sectorspecifieke wet- en regelgeving.</w:t>
      </w:r>
      <w:r w:rsidRPr="00FF46E3">
        <w:rPr>
          <w:rFonts w:ascii="Verdana" w:hAnsi="Verdana"/>
          <w:b/>
          <w:bCs/>
          <w:sz w:val="18"/>
          <w:szCs w:val="18"/>
        </w:rPr>
        <w:t xml:space="preserve"> </w:t>
      </w:r>
    </w:p>
    <w:p w:rsidR="00212A1A" w:rsidP="00945659" w:rsidRDefault="00212A1A" w14:paraId="4981A655" w14:textId="77777777">
      <w:pPr>
        <w:pStyle w:val="Geenafstand"/>
        <w:rPr>
          <w:rFonts w:ascii="Verdana" w:hAnsi="Verdana"/>
          <w:b/>
          <w:bCs/>
          <w:sz w:val="18"/>
          <w:szCs w:val="18"/>
        </w:rPr>
      </w:pPr>
    </w:p>
    <w:p w:rsidRPr="00FF46E3" w:rsidR="00212A1A" w:rsidP="00212A1A" w:rsidRDefault="00212A1A" w14:paraId="70A0306F" w14:textId="2FD38B2D">
      <w:pPr>
        <w:pStyle w:val="Kop2"/>
      </w:pPr>
      <w:bookmarkStart w:name="_Toc198721126" w:id="182"/>
      <w:r w:rsidRPr="00FF46E3">
        <w:t>7.</w:t>
      </w:r>
      <w:r>
        <w:t>9</w:t>
      </w:r>
      <w:r w:rsidRPr="00FF46E3">
        <w:t xml:space="preserve"> Ministerie van </w:t>
      </w:r>
      <w:r w:rsidRPr="00212A1A">
        <w:t>Sociale Zaken en Werkgelegenheid</w:t>
      </w:r>
      <w:bookmarkEnd w:id="182"/>
    </w:p>
    <w:p w:rsidR="00212A1A" w:rsidP="00945659" w:rsidRDefault="00212A1A" w14:paraId="356A1DEC" w14:textId="77777777">
      <w:pPr>
        <w:pStyle w:val="Geenafstand"/>
        <w:rPr>
          <w:rFonts w:ascii="Verdana" w:hAnsi="Verdana"/>
          <w:b/>
          <w:bCs/>
          <w:sz w:val="18"/>
          <w:szCs w:val="18"/>
        </w:rPr>
      </w:pPr>
    </w:p>
    <w:p w:rsidRPr="00212A1A" w:rsidR="00212A1A" w:rsidP="00212A1A" w:rsidRDefault="00212A1A" w14:paraId="7EC32F2C" w14:textId="77777777">
      <w:pPr>
        <w:pStyle w:val="Geenafstand"/>
        <w:rPr>
          <w:rFonts w:ascii="Verdana" w:hAnsi="Verdana"/>
          <w:sz w:val="18"/>
          <w:szCs w:val="18"/>
        </w:rPr>
      </w:pPr>
      <w:r w:rsidRPr="00212A1A">
        <w:rPr>
          <w:rFonts w:ascii="Verdana" w:hAnsi="Verdana"/>
          <w:sz w:val="18"/>
          <w:szCs w:val="18"/>
        </w:rPr>
        <w:t xml:space="preserve">In de Wet structuur uitvoeringsorganisatie werk en inkomen (SUWI) is in artikel 76 geregeld dat het Uitvoeringsinstituut werknemersverzekeringen (hierna: UWV) en de Sociale verzekeringsbank (hierna: SVB) op de voet van de ter zake voor de Rijksdienst geldende voorschriften zorg dragen voor de nodige technische en organisatorische voorzieningen ter beveiliging van hun gegevens tegen verlies of aantasting en tegen onbevoegde kennisneming, wijziging en verstrekking van die gegevens. </w:t>
      </w:r>
    </w:p>
    <w:p w:rsidRPr="00212A1A" w:rsidR="00212A1A" w:rsidP="00212A1A" w:rsidRDefault="00212A1A" w14:paraId="20F5A33F" w14:textId="77777777">
      <w:pPr>
        <w:pStyle w:val="Geenafstand"/>
        <w:rPr>
          <w:rFonts w:ascii="Verdana" w:hAnsi="Verdana"/>
          <w:sz w:val="18"/>
          <w:szCs w:val="18"/>
        </w:rPr>
      </w:pPr>
    </w:p>
    <w:p w:rsidRPr="00212A1A" w:rsidR="00212A1A" w:rsidP="00212A1A" w:rsidRDefault="00212A1A" w14:paraId="0A846FE5" w14:textId="0D6A7B85">
      <w:pPr>
        <w:pStyle w:val="Geenafstand"/>
        <w:rPr>
          <w:rFonts w:ascii="Verdana" w:hAnsi="Verdana"/>
          <w:sz w:val="18"/>
          <w:szCs w:val="18"/>
        </w:rPr>
      </w:pPr>
      <w:r w:rsidRPr="00212A1A">
        <w:rPr>
          <w:rFonts w:ascii="Verdana" w:hAnsi="Verdana"/>
          <w:sz w:val="18"/>
          <w:szCs w:val="18"/>
        </w:rPr>
        <w:lastRenderedPageBreak/>
        <w:t xml:space="preserve">In artikel 5.22 Regeling SUWI is bepaald dat </w:t>
      </w:r>
      <w:r>
        <w:rPr>
          <w:rFonts w:ascii="Verdana" w:hAnsi="Verdana"/>
          <w:sz w:val="18"/>
          <w:szCs w:val="18"/>
        </w:rPr>
        <w:t xml:space="preserve">het </w:t>
      </w:r>
      <w:r w:rsidRPr="00212A1A">
        <w:rPr>
          <w:rFonts w:ascii="Verdana" w:hAnsi="Verdana"/>
          <w:sz w:val="18"/>
          <w:szCs w:val="18"/>
        </w:rPr>
        <w:t xml:space="preserve">UWV, </w:t>
      </w:r>
      <w:r>
        <w:rPr>
          <w:rFonts w:ascii="Verdana" w:hAnsi="Verdana"/>
          <w:sz w:val="18"/>
          <w:szCs w:val="18"/>
        </w:rPr>
        <w:t xml:space="preserve">de </w:t>
      </w:r>
      <w:r w:rsidRPr="00212A1A">
        <w:rPr>
          <w:rFonts w:ascii="Verdana" w:hAnsi="Verdana"/>
          <w:sz w:val="18"/>
          <w:szCs w:val="18"/>
        </w:rPr>
        <w:t xml:space="preserve">SVB en het Inlichtingenbureau, bedoeld in artikel 1, onderdeel m, Wet structuur uitvoeringsorganisatie werk en inkomen jaarlijks rapporteren over de opzet en werking van het stelsel van maatregelen en procedures, gericht op het waarborgen van een exclusieve, integere, beschikbare en controleerbare gegevensverwerking. Daarbij is ook bepaald dat deze rapportage vergezeld wordt van een oordeel van een tot de Nederlandse Orde van Register EDP-Auditors toegelaten persoon of van een verklaring van getrouwheid van een dergelijke persoon. </w:t>
      </w:r>
    </w:p>
    <w:p w:rsidRPr="00212A1A" w:rsidR="00212A1A" w:rsidP="00212A1A" w:rsidRDefault="00212A1A" w14:paraId="15C56D06" w14:textId="77777777">
      <w:pPr>
        <w:pStyle w:val="Geenafstand"/>
        <w:rPr>
          <w:rFonts w:ascii="Verdana" w:hAnsi="Verdana"/>
          <w:sz w:val="18"/>
          <w:szCs w:val="18"/>
        </w:rPr>
      </w:pPr>
    </w:p>
    <w:p w:rsidRPr="00212A1A" w:rsidR="00212A1A" w:rsidP="00212A1A" w:rsidRDefault="00212A1A" w14:paraId="48499B39" w14:textId="377F64C0">
      <w:pPr>
        <w:pStyle w:val="Geenafstand"/>
        <w:rPr>
          <w:rFonts w:ascii="Verdana" w:hAnsi="Verdana"/>
          <w:sz w:val="18"/>
          <w:szCs w:val="18"/>
        </w:rPr>
      </w:pPr>
      <w:r w:rsidRPr="00212A1A">
        <w:rPr>
          <w:rFonts w:ascii="Verdana" w:hAnsi="Verdana"/>
          <w:sz w:val="18"/>
          <w:szCs w:val="18"/>
        </w:rPr>
        <w:t>In artikel 6.4 Regeling SUWI is geregeld dat het UWV, de SVB, de colleges van burgemeester en wethouders, het Inlichtingenbureau en op de gezamenlijke elektronische voorzieningen SUWI (</w:t>
      </w:r>
      <w:proofErr w:type="spellStart"/>
      <w:r w:rsidRPr="00212A1A">
        <w:rPr>
          <w:rFonts w:ascii="Verdana" w:hAnsi="Verdana"/>
          <w:sz w:val="18"/>
          <w:szCs w:val="18"/>
        </w:rPr>
        <w:t>GeVS</w:t>
      </w:r>
      <w:proofErr w:type="spellEnd"/>
      <w:r w:rsidRPr="00212A1A">
        <w:rPr>
          <w:rFonts w:ascii="Verdana" w:hAnsi="Verdana"/>
          <w:sz w:val="18"/>
          <w:szCs w:val="18"/>
        </w:rPr>
        <w:t xml:space="preserve">) aangesloten niet SUWI-partijen zorg dragen voor de beveiliging van de gegevensuitwisselingen die plaatsvinden in het kader van de </w:t>
      </w:r>
      <w:proofErr w:type="spellStart"/>
      <w:r w:rsidRPr="00212A1A">
        <w:rPr>
          <w:rFonts w:ascii="Verdana" w:hAnsi="Verdana"/>
          <w:sz w:val="18"/>
          <w:szCs w:val="18"/>
        </w:rPr>
        <w:t>GeVS</w:t>
      </w:r>
      <w:proofErr w:type="spellEnd"/>
      <w:r w:rsidRPr="00212A1A">
        <w:rPr>
          <w:rFonts w:ascii="Verdana" w:hAnsi="Verdana"/>
          <w:sz w:val="18"/>
          <w:szCs w:val="18"/>
        </w:rPr>
        <w:t xml:space="preserve">, tegen inbreuk op de beschikbaarheid, integriteit en vertrouwelijkheid. Hierop is ook de jaarlijkse rapportage en audit conform artikel 5.22 Regeling SUWI van toepassing. Verder is in bijlage </w:t>
      </w:r>
      <w:r>
        <w:rPr>
          <w:rFonts w:ascii="Verdana" w:hAnsi="Verdana"/>
          <w:sz w:val="18"/>
          <w:szCs w:val="18"/>
        </w:rPr>
        <w:t xml:space="preserve">I van de Regeling SUWI </w:t>
      </w:r>
      <w:r w:rsidRPr="00212A1A">
        <w:rPr>
          <w:rFonts w:ascii="Verdana" w:hAnsi="Verdana"/>
          <w:sz w:val="18"/>
          <w:szCs w:val="18"/>
        </w:rPr>
        <w:t xml:space="preserve">bepaald dat </w:t>
      </w:r>
      <w:r>
        <w:rPr>
          <w:rFonts w:ascii="Verdana" w:hAnsi="Verdana"/>
          <w:sz w:val="18"/>
          <w:szCs w:val="18"/>
        </w:rPr>
        <w:t xml:space="preserve">het </w:t>
      </w:r>
      <w:r w:rsidRPr="00212A1A">
        <w:rPr>
          <w:rFonts w:ascii="Verdana" w:hAnsi="Verdana"/>
          <w:sz w:val="18"/>
          <w:szCs w:val="18"/>
        </w:rPr>
        <w:t xml:space="preserve">UWV, </w:t>
      </w:r>
      <w:r>
        <w:rPr>
          <w:rFonts w:ascii="Verdana" w:hAnsi="Verdana"/>
          <w:sz w:val="18"/>
          <w:szCs w:val="18"/>
        </w:rPr>
        <w:t xml:space="preserve">de </w:t>
      </w:r>
      <w:r w:rsidRPr="00212A1A">
        <w:rPr>
          <w:rFonts w:ascii="Verdana" w:hAnsi="Verdana"/>
          <w:sz w:val="18"/>
          <w:szCs w:val="18"/>
        </w:rPr>
        <w:t xml:space="preserve">SVB en gemeenten middels de Verantwoordingsrichtlijn Privacy &amp; Beveiliging </w:t>
      </w:r>
      <w:proofErr w:type="spellStart"/>
      <w:r w:rsidRPr="00212A1A">
        <w:rPr>
          <w:rFonts w:ascii="Verdana" w:hAnsi="Verdana"/>
          <w:sz w:val="18"/>
          <w:szCs w:val="18"/>
        </w:rPr>
        <w:t>GeVS</w:t>
      </w:r>
      <w:proofErr w:type="spellEnd"/>
      <w:r w:rsidRPr="00212A1A">
        <w:rPr>
          <w:rFonts w:ascii="Verdana" w:hAnsi="Verdana"/>
          <w:sz w:val="18"/>
          <w:szCs w:val="18"/>
        </w:rPr>
        <w:t xml:space="preserve"> gezamenlijke afspraken maken over de te hanteren normen, criteria en vormvereisten van de rapportage en de audit over de gegevensuitwisseling via de </w:t>
      </w:r>
      <w:proofErr w:type="spellStart"/>
      <w:r w:rsidRPr="00212A1A">
        <w:rPr>
          <w:rFonts w:ascii="Verdana" w:hAnsi="Verdana"/>
          <w:sz w:val="18"/>
          <w:szCs w:val="18"/>
        </w:rPr>
        <w:t>GeVS</w:t>
      </w:r>
      <w:proofErr w:type="spellEnd"/>
      <w:r w:rsidRPr="00212A1A">
        <w:rPr>
          <w:rFonts w:ascii="Verdana" w:hAnsi="Verdana"/>
          <w:sz w:val="18"/>
          <w:szCs w:val="18"/>
        </w:rPr>
        <w:t>.</w:t>
      </w:r>
    </w:p>
    <w:p w:rsidRPr="00FF46E3" w:rsidR="00964108" w:rsidP="00945659" w:rsidRDefault="00964108" w14:paraId="470F37FD" w14:textId="77777777">
      <w:pPr>
        <w:pStyle w:val="Geenafstand"/>
        <w:rPr>
          <w:rFonts w:ascii="Verdana" w:hAnsi="Verdana"/>
          <w:b/>
          <w:bCs/>
          <w:sz w:val="18"/>
          <w:szCs w:val="18"/>
        </w:rPr>
      </w:pPr>
    </w:p>
    <w:p w:rsidRPr="00FF46E3" w:rsidR="00A17FA4" w:rsidP="00945659" w:rsidRDefault="005A5363" w14:paraId="7D9F5704" w14:textId="684431E6">
      <w:pPr>
        <w:pStyle w:val="Kop2"/>
      </w:pPr>
      <w:bookmarkStart w:name="_Toc198721127" w:id="183"/>
      <w:bookmarkStart w:name="_Hlk158385626" w:id="184"/>
      <w:r w:rsidRPr="00FF46E3">
        <w:t>7</w:t>
      </w:r>
      <w:r w:rsidRPr="00FF46E3" w:rsidR="00DF434B">
        <w:t>.</w:t>
      </w:r>
      <w:r w:rsidR="00212A1A">
        <w:t>10</w:t>
      </w:r>
      <w:r w:rsidRPr="00FF46E3" w:rsidR="00A17FA4">
        <w:t xml:space="preserve"> Ministerie van Volksgezondheid, Welzijn en Sport</w:t>
      </w:r>
      <w:bookmarkStart w:name="_Hlk148551263" w:id="185"/>
      <w:bookmarkEnd w:id="183"/>
    </w:p>
    <w:bookmarkEnd w:id="185"/>
    <w:p w:rsidRPr="00FF46E3" w:rsidR="0009144B" w:rsidP="00945659" w:rsidRDefault="0009144B" w14:paraId="54548998" w14:textId="77777777">
      <w:pPr>
        <w:pStyle w:val="Geenafstand"/>
        <w:rPr>
          <w:rFonts w:ascii="Verdana" w:hAnsi="Verdana"/>
          <w:i/>
          <w:iCs/>
          <w:sz w:val="18"/>
          <w:szCs w:val="18"/>
        </w:rPr>
      </w:pPr>
    </w:p>
    <w:p w:rsidRPr="00FF46E3" w:rsidR="00F50A8D" w:rsidP="009A3AE7" w:rsidRDefault="00F50A8D" w14:paraId="24FCAD19" w14:textId="430A5079">
      <w:pPr>
        <w:pStyle w:val="Geenafstand"/>
        <w:rPr>
          <w:rFonts w:ascii="Verdana" w:hAnsi="Verdana" w:cs="Arial"/>
          <w:sz w:val="18"/>
          <w:szCs w:val="18"/>
          <w:u w:val="single"/>
        </w:rPr>
      </w:pPr>
      <w:r w:rsidRPr="00FF46E3">
        <w:rPr>
          <w:rFonts w:ascii="Verdana" w:hAnsi="Verdana"/>
          <w:i/>
          <w:iCs/>
          <w:sz w:val="18"/>
          <w:szCs w:val="18"/>
        </w:rPr>
        <w:t>Sector gezondheidszorg</w:t>
      </w:r>
      <w:r w:rsidRPr="00FF46E3">
        <w:rPr>
          <w:rFonts w:ascii="Verdana" w:hAnsi="Verdana"/>
          <w:i/>
          <w:iCs/>
          <w:sz w:val="18"/>
          <w:szCs w:val="18"/>
        </w:rPr>
        <w:br/>
      </w:r>
      <w:r w:rsidRPr="00FF46E3">
        <w:rPr>
          <w:rFonts w:ascii="Verdana" w:hAnsi="Verdana"/>
          <w:sz w:val="18"/>
          <w:szCs w:val="18"/>
        </w:rPr>
        <w:t xml:space="preserve">Er </w:t>
      </w:r>
      <w:r w:rsidRPr="00FF46E3" w:rsidR="00022162">
        <w:rPr>
          <w:rFonts w:ascii="Verdana" w:hAnsi="Verdana"/>
          <w:sz w:val="18"/>
          <w:szCs w:val="18"/>
        </w:rPr>
        <w:t xml:space="preserve">is </w:t>
      </w:r>
      <w:r w:rsidRPr="00FF46E3">
        <w:rPr>
          <w:rFonts w:ascii="Verdana" w:hAnsi="Verdana"/>
          <w:sz w:val="18"/>
          <w:szCs w:val="18"/>
        </w:rPr>
        <w:t>diverse sectorspecifieke wetgeving op de sector gezondheidszorg van toepassing die ziet op kwaliteit van diensten en producten (zorgplicht) en op het melden van incidenten of onvolkomenheden (meldplicht) aan de Inspectie Gezondheidszorg en Jeugd (</w:t>
      </w:r>
      <w:r w:rsidR="000F1F84">
        <w:rPr>
          <w:rFonts w:ascii="Verdana" w:hAnsi="Verdana"/>
          <w:sz w:val="18"/>
          <w:szCs w:val="18"/>
        </w:rPr>
        <w:t xml:space="preserve">hierna: </w:t>
      </w:r>
      <w:r w:rsidRPr="00FF46E3">
        <w:rPr>
          <w:rFonts w:ascii="Verdana" w:hAnsi="Verdana"/>
          <w:sz w:val="18"/>
          <w:szCs w:val="18"/>
        </w:rPr>
        <w:t xml:space="preserve">IGJ). </w:t>
      </w:r>
      <w:r w:rsidRPr="00FF46E3">
        <w:rPr>
          <w:rFonts w:ascii="Verdana" w:hAnsi="Verdana" w:cs="Arial"/>
          <w:sz w:val="18"/>
          <w:szCs w:val="18"/>
        </w:rPr>
        <w:t>Daarnaast heeft de IGJ</w:t>
      </w:r>
      <w:r w:rsidRPr="00FF46E3">
        <w:rPr>
          <w:rFonts w:ascii="Verdana" w:hAnsi="Verdana" w:cs="Arial"/>
          <w:b/>
          <w:bCs/>
          <w:sz w:val="18"/>
          <w:szCs w:val="18"/>
        </w:rPr>
        <w:t xml:space="preserve"> </w:t>
      </w:r>
      <w:r w:rsidRPr="00FF46E3">
        <w:rPr>
          <w:rFonts w:ascii="Verdana" w:hAnsi="Verdana" w:cs="Arial"/>
          <w:sz w:val="18"/>
          <w:szCs w:val="18"/>
        </w:rPr>
        <w:t xml:space="preserve">het toezicht op de naleving van wetgeving en is </w:t>
      </w:r>
      <w:r w:rsidR="00DD504C">
        <w:rPr>
          <w:rFonts w:ascii="Verdana" w:hAnsi="Verdana" w:cs="Arial"/>
          <w:sz w:val="18"/>
          <w:szCs w:val="18"/>
        </w:rPr>
        <w:t xml:space="preserve">de IGJ </w:t>
      </w:r>
      <w:r w:rsidRPr="00FF46E3">
        <w:rPr>
          <w:rFonts w:ascii="Verdana" w:hAnsi="Verdana" w:cs="Arial"/>
          <w:sz w:val="18"/>
          <w:szCs w:val="18"/>
        </w:rPr>
        <w:t xml:space="preserve">bevoegd tot inzage van gegevens over de gezondheid van proefpersonen of patiënten en het vorderen van inlichtingen ter zake. De desbetreffende beroepsbeoefenaar </w:t>
      </w:r>
      <w:r w:rsidR="00751CDD">
        <w:rPr>
          <w:rFonts w:ascii="Verdana" w:hAnsi="Verdana" w:cs="Arial"/>
          <w:sz w:val="18"/>
          <w:szCs w:val="18"/>
        </w:rPr>
        <w:t xml:space="preserve">die </w:t>
      </w:r>
      <w:r w:rsidRPr="00FF46E3">
        <w:rPr>
          <w:rFonts w:ascii="Verdana" w:hAnsi="Verdana" w:cs="Arial"/>
          <w:sz w:val="18"/>
          <w:szCs w:val="18"/>
        </w:rPr>
        <w:t>uit hoofde van ambt, beroep of overeenkomst tot geheimhouding van het dossier en de daarin opgenomen persoonsgegevens verplicht is, kan deze verplichting (in afwijking van </w:t>
      </w:r>
      <w:hyperlink w:history="1" r:id="rId8">
        <w:r w:rsidRPr="00FF46E3">
          <w:rPr>
            <w:rStyle w:val="Hyperlink"/>
            <w:rFonts w:ascii="Verdana" w:hAnsi="Verdana" w:cs="Arial"/>
            <w:color w:val="auto"/>
            <w:sz w:val="18"/>
            <w:szCs w:val="18"/>
            <w:u w:val="none"/>
          </w:rPr>
          <w:t xml:space="preserve">artikel 5:20, tweede lid, </w:t>
        </w:r>
        <w:proofErr w:type="spellStart"/>
        <w:r w:rsidRPr="00FF46E3" w:rsidR="0009144B">
          <w:rPr>
            <w:rStyle w:val="Hyperlink"/>
            <w:rFonts w:ascii="Verdana" w:hAnsi="Verdana" w:cs="Arial"/>
            <w:color w:val="auto"/>
            <w:sz w:val="18"/>
            <w:szCs w:val="18"/>
            <w:u w:val="none"/>
          </w:rPr>
          <w:t>Awb</w:t>
        </w:r>
        <w:proofErr w:type="spellEnd"/>
      </w:hyperlink>
      <w:r w:rsidRPr="00FF46E3">
        <w:rPr>
          <w:rFonts w:ascii="Verdana" w:hAnsi="Verdana" w:cs="Arial"/>
          <w:sz w:val="18"/>
          <w:szCs w:val="18"/>
        </w:rPr>
        <w:t>) niet inroepen tegenover de toezichthouder.</w:t>
      </w:r>
    </w:p>
    <w:p w:rsidRPr="00FF46E3" w:rsidR="00F50A8D" w:rsidP="00945659" w:rsidRDefault="00F50A8D" w14:paraId="0C895A9F" w14:textId="0B8DB9BF">
      <w:pPr>
        <w:pStyle w:val="Geenafstand"/>
        <w:rPr>
          <w:rFonts w:ascii="Verdana" w:hAnsi="Verdana"/>
          <w:sz w:val="18"/>
          <w:szCs w:val="18"/>
        </w:rPr>
      </w:pPr>
      <w:r w:rsidRPr="00FF46E3">
        <w:rPr>
          <w:rFonts w:ascii="Verdana" w:hAnsi="Verdana"/>
          <w:sz w:val="18"/>
          <w:szCs w:val="18"/>
        </w:rPr>
        <w:t>Voorts geldt de meldplicht voor datalekken bij de</w:t>
      </w:r>
      <w:r w:rsidR="00173B13">
        <w:rPr>
          <w:rFonts w:ascii="Verdana" w:hAnsi="Verdana"/>
          <w:sz w:val="18"/>
          <w:szCs w:val="18"/>
        </w:rPr>
        <w:t xml:space="preserve"> AP</w:t>
      </w:r>
      <w:r w:rsidRPr="00FF46E3">
        <w:rPr>
          <w:rFonts w:ascii="Verdana" w:hAnsi="Verdana"/>
          <w:sz w:val="18"/>
          <w:szCs w:val="18"/>
        </w:rPr>
        <w:t xml:space="preserve">. Met </w:t>
      </w:r>
      <w:r w:rsidRPr="00FF46E3" w:rsidR="00604685">
        <w:rPr>
          <w:rFonts w:ascii="Verdana" w:hAnsi="Verdana"/>
          <w:sz w:val="18"/>
          <w:szCs w:val="18"/>
        </w:rPr>
        <w:t xml:space="preserve">de </w:t>
      </w:r>
      <w:proofErr w:type="spellStart"/>
      <w:r w:rsidRPr="00FF46E3" w:rsidR="00604685">
        <w:rPr>
          <w:rFonts w:ascii="Verdana" w:hAnsi="Verdana"/>
          <w:sz w:val="18"/>
          <w:szCs w:val="18"/>
        </w:rPr>
        <w:t>Cbw</w:t>
      </w:r>
      <w:proofErr w:type="spellEnd"/>
      <w:r w:rsidRPr="00FF46E3">
        <w:rPr>
          <w:rFonts w:ascii="Verdana" w:hAnsi="Verdana"/>
          <w:sz w:val="18"/>
          <w:szCs w:val="18"/>
        </w:rPr>
        <w:t xml:space="preserve"> </w:t>
      </w:r>
      <w:r w:rsidR="00FE0AFF">
        <w:rPr>
          <w:rFonts w:ascii="Verdana" w:hAnsi="Verdana"/>
          <w:sz w:val="18"/>
          <w:szCs w:val="18"/>
        </w:rPr>
        <w:t>geldt</w:t>
      </w:r>
      <w:r w:rsidRPr="00FF46E3">
        <w:rPr>
          <w:rFonts w:ascii="Verdana" w:hAnsi="Verdana"/>
          <w:sz w:val="18"/>
          <w:szCs w:val="18"/>
        </w:rPr>
        <w:t xml:space="preserve"> voor de entiteiten in de zorg </w:t>
      </w:r>
      <w:r w:rsidR="00FE0AFF">
        <w:rPr>
          <w:rFonts w:ascii="Verdana" w:hAnsi="Verdana"/>
          <w:sz w:val="18"/>
          <w:szCs w:val="18"/>
        </w:rPr>
        <w:t xml:space="preserve">voortaan </w:t>
      </w:r>
      <w:r w:rsidRPr="00FF46E3">
        <w:rPr>
          <w:rFonts w:ascii="Verdana" w:hAnsi="Verdana"/>
          <w:sz w:val="18"/>
          <w:szCs w:val="18"/>
        </w:rPr>
        <w:t xml:space="preserve">ook een meldplicht die specifiek ziet op cyberincidenten. </w:t>
      </w:r>
    </w:p>
    <w:p w:rsidRPr="00FF46E3" w:rsidR="00F50A8D" w:rsidP="00945659" w:rsidRDefault="00F50A8D" w14:paraId="3D36FDB3" w14:textId="4BD10BAF">
      <w:pPr>
        <w:pStyle w:val="Geenafstand"/>
        <w:rPr>
          <w:rFonts w:ascii="Verdana" w:hAnsi="Verdana"/>
          <w:i/>
          <w:iCs/>
          <w:sz w:val="18"/>
          <w:szCs w:val="18"/>
        </w:rPr>
      </w:pPr>
    </w:p>
    <w:p w:rsidRPr="00FF46E3" w:rsidR="00F50A8D" w:rsidP="00945659" w:rsidRDefault="00F50A8D" w14:paraId="01AF822A" w14:textId="77777777">
      <w:pPr>
        <w:pStyle w:val="Geenafstand"/>
        <w:rPr>
          <w:rFonts w:ascii="Verdana" w:hAnsi="Verdana"/>
          <w:i/>
          <w:iCs/>
          <w:sz w:val="18"/>
          <w:szCs w:val="18"/>
        </w:rPr>
      </w:pPr>
      <w:r w:rsidRPr="00FF46E3">
        <w:rPr>
          <w:rFonts w:ascii="Verdana" w:hAnsi="Verdana"/>
          <w:i/>
          <w:iCs/>
          <w:sz w:val="18"/>
          <w:szCs w:val="18"/>
        </w:rPr>
        <w:t>Zorgaanbieder</w:t>
      </w:r>
    </w:p>
    <w:p w:rsidRPr="00FF46E3" w:rsidR="00F50A8D" w:rsidP="00945659" w:rsidRDefault="00F50A8D" w14:paraId="45213955" w14:textId="571B79C6">
      <w:pPr>
        <w:pStyle w:val="Geenafstand"/>
        <w:rPr>
          <w:rFonts w:ascii="Verdana" w:hAnsi="Verdana"/>
          <w:sz w:val="18"/>
          <w:szCs w:val="18"/>
        </w:rPr>
      </w:pPr>
      <w:r w:rsidRPr="00FF46E3">
        <w:rPr>
          <w:rFonts w:ascii="Verdana" w:hAnsi="Verdana"/>
          <w:sz w:val="18"/>
          <w:szCs w:val="18"/>
        </w:rPr>
        <w:t xml:space="preserve">Op het gebied van de informatiebeveiliging in de zorg is er sectorspecifieke wet- en regelgeving. Op grond van de Wet </w:t>
      </w:r>
      <w:r w:rsidRPr="00FF46E3" w:rsidR="00945659">
        <w:rPr>
          <w:rFonts w:ascii="Verdana" w:hAnsi="Verdana"/>
          <w:sz w:val="18"/>
          <w:szCs w:val="18"/>
        </w:rPr>
        <w:t xml:space="preserve">aanvullende bepalingen verwerking persoonsgegevens in de zorg en het Besluit elektronische gegevensuitwisseling door zorgaanbieders </w:t>
      </w:r>
      <w:r w:rsidRPr="00FF46E3">
        <w:rPr>
          <w:rFonts w:ascii="Verdana" w:hAnsi="Verdana"/>
          <w:sz w:val="18"/>
          <w:szCs w:val="18"/>
        </w:rPr>
        <w:t xml:space="preserve">gelden er aanvullende bepalingen </w:t>
      </w:r>
      <w:r w:rsidRPr="00FF46E3" w:rsidR="00945659">
        <w:rPr>
          <w:rFonts w:ascii="Verdana" w:hAnsi="Verdana"/>
          <w:sz w:val="18"/>
          <w:szCs w:val="18"/>
        </w:rPr>
        <w:t>ten aanzien van</w:t>
      </w:r>
      <w:r w:rsidRPr="00FF46E3">
        <w:rPr>
          <w:rFonts w:ascii="Verdana" w:hAnsi="Verdana"/>
          <w:sz w:val="18"/>
          <w:szCs w:val="18"/>
        </w:rPr>
        <w:t xml:space="preserve"> verwerking persoonsgegevens in de zorg</w:t>
      </w:r>
      <w:r w:rsidRPr="00FF46E3" w:rsidR="00945659">
        <w:rPr>
          <w:rFonts w:ascii="Verdana" w:hAnsi="Verdana"/>
          <w:sz w:val="18"/>
          <w:szCs w:val="18"/>
        </w:rPr>
        <w:t>.</w:t>
      </w:r>
      <w:r w:rsidRPr="00FF46E3">
        <w:rPr>
          <w:rFonts w:ascii="Verdana" w:hAnsi="Verdana"/>
          <w:sz w:val="18"/>
          <w:szCs w:val="18"/>
        </w:rPr>
        <w:t xml:space="preserve"> Op grond van de Wet kwaliteit, klachten en geschillen zorg geldt voor zorgaanbieders een verplichting om kwalitatief goede zorg te leveren en om te voldoen aan de beveiligingsvoorschriften NEN7510. </w:t>
      </w:r>
    </w:p>
    <w:p w:rsidRPr="00FF46E3" w:rsidR="00F50A8D" w:rsidP="00945659" w:rsidRDefault="00F50A8D" w14:paraId="16444A9D" w14:textId="77777777">
      <w:pPr>
        <w:pStyle w:val="Geenafstand"/>
        <w:rPr>
          <w:rFonts w:ascii="Verdana" w:hAnsi="Verdana"/>
          <w:i/>
          <w:iCs/>
          <w:sz w:val="18"/>
          <w:szCs w:val="18"/>
        </w:rPr>
      </w:pPr>
    </w:p>
    <w:p w:rsidRPr="00FF46E3" w:rsidR="00F50A8D" w:rsidP="00945659" w:rsidRDefault="00F50A8D" w14:paraId="54EF3131" w14:textId="77777777">
      <w:pPr>
        <w:pStyle w:val="Geenafstand"/>
        <w:rPr>
          <w:rFonts w:ascii="Verdana" w:hAnsi="Verdana"/>
          <w:i/>
          <w:iCs/>
          <w:sz w:val="18"/>
          <w:szCs w:val="18"/>
        </w:rPr>
      </w:pPr>
      <w:r w:rsidRPr="00FF46E3">
        <w:rPr>
          <w:rFonts w:ascii="Verdana" w:hAnsi="Verdana"/>
          <w:i/>
          <w:iCs/>
          <w:sz w:val="18"/>
          <w:szCs w:val="18"/>
        </w:rPr>
        <w:t xml:space="preserve">Farmaceutische entiteiten </w:t>
      </w:r>
    </w:p>
    <w:p w:rsidRPr="00FF46E3" w:rsidR="00F50A8D" w:rsidP="00945659" w:rsidRDefault="00F50A8D" w14:paraId="7F5E9A32" w14:textId="4EEC77DA">
      <w:pPr>
        <w:pStyle w:val="Geenafstand"/>
        <w:rPr>
          <w:rFonts w:ascii="Verdana" w:hAnsi="Verdana"/>
          <w:sz w:val="18"/>
          <w:szCs w:val="18"/>
        </w:rPr>
      </w:pPr>
      <w:r w:rsidRPr="00FF46E3">
        <w:rPr>
          <w:rFonts w:ascii="Verdana" w:hAnsi="Verdana"/>
          <w:sz w:val="18"/>
          <w:szCs w:val="18"/>
        </w:rPr>
        <w:t xml:space="preserve">In de Geneesmiddelenwet is vastgesteld wat onder een geneesmiddel wordt verstaan en staat hoe een medicijn mag worden geproduceerd en verhandeld. Hiervoor is een fabrikantenvergunning nodig. Geneesmiddelen worden door de fabrikant slechts afgeleverd aan andere fabrikanten, groothandelaren en aan de degenen die bevoegd zijn de desbetreffende geneesmiddelen ter hand te stellen. </w:t>
      </w:r>
    </w:p>
    <w:p w:rsidRPr="00FF46E3" w:rsidR="00F50A8D" w:rsidP="00945659" w:rsidRDefault="00F50A8D" w14:paraId="6B4E5C5C" w14:textId="77777777">
      <w:pPr>
        <w:pStyle w:val="Geenafstand"/>
        <w:rPr>
          <w:rFonts w:ascii="Verdana" w:hAnsi="Verdana" w:eastAsia="Calibri" w:cs="Times New Roman"/>
          <w:sz w:val="18"/>
          <w:szCs w:val="18"/>
        </w:rPr>
      </w:pPr>
      <w:bookmarkStart w:name="_Hlk160637998" w:id="186"/>
    </w:p>
    <w:p w:rsidRPr="00FF46E3" w:rsidR="006602AA" w:rsidP="00945659" w:rsidRDefault="00F50A8D" w14:paraId="268FE6AC" w14:textId="58F38F96">
      <w:pPr>
        <w:pStyle w:val="Geenafstand"/>
        <w:rPr>
          <w:rFonts w:ascii="Verdana" w:hAnsi="Verdana"/>
          <w:i/>
          <w:iCs/>
          <w:sz w:val="18"/>
          <w:szCs w:val="18"/>
        </w:rPr>
      </w:pPr>
      <w:r w:rsidRPr="00FF46E3">
        <w:rPr>
          <w:rFonts w:ascii="Verdana" w:hAnsi="Verdana"/>
          <w:i/>
          <w:iCs/>
          <w:sz w:val="18"/>
          <w:szCs w:val="18"/>
        </w:rPr>
        <w:t>Onderzoek naar de ontwikkeling van geneesmiddelen</w:t>
      </w:r>
    </w:p>
    <w:p w:rsidRPr="00FF46E3" w:rsidR="00F50A8D" w:rsidP="00945659" w:rsidRDefault="00F50A8D" w14:paraId="2811BBF3" w14:textId="2B40653B">
      <w:pPr>
        <w:pStyle w:val="Geenafstand"/>
        <w:rPr>
          <w:rFonts w:ascii="Verdana" w:hAnsi="Verdana" w:cs="Arial"/>
          <w:sz w:val="18"/>
          <w:szCs w:val="18"/>
        </w:rPr>
      </w:pPr>
      <w:r w:rsidRPr="00FF46E3">
        <w:rPr>
          <w:rFonts w:ascii="Verdana" w:hAnsi="Verdana" w:eastAsia="Times New Roman"/>
          <w:sz w:val="18"/>
          <w:szCs w:val="18"/>
        </w:rPr>
        <w:t>In de NIS2</w:t>
      </w:r>
      <w:r w:rsidRPr="00FF46E3" w:rsidR="006602AA">
        <w:rPr>
          <w:rFonts w:ascii="Verdana" w:hAnsi="Verdana" w:eastAsia="Times New Roman"/>
          <w:sz w:val="18"/>
          <w:szCs w:val="18"/>
        </w:rPr>
        <w:t>-richtlijn</w:t>
      </w:r>
      <w:r w:rsidRPr="00FF46E3">
        <w:rPr>
          <w:rFonts w:ascii="Verdana" w:hAnsi="Verdana" w:eastAsia="Times New Roman"/>
          <w:sz w:val="18"/>
          <w:szCs w:val="18"/>
        </w:rPr>
        <w:t xml:space="preserve"> wordt</w:t>
      </w:r>
      <w:r w:rsidRPr="00FF46E3" w:rsidR="006602AA">
        <w:rPr>
          <w:rFonts w:ascii="Verdana" w:hAnsi="Verdana" w:eastAsia="Times New Roman"/>
          <w:sz w:val="18"/>
          <w:szCs w:val="18"/>
        </w:rPr>
        <w:t xml:space="preserve"> de</w:t>
      </w:r>
      <w:r w:rsidRPr="00FF46E3">
        <w:rPr>
          <w:rFonts w:ascii="Verdana" w:hAnsi="Verdana" w:eastAsia="Times New Roman"/>
          <w:sz w:val="18"/>
          <w:szCs w:val="18"/>
        </w:rPr>
        <w:t xml:space="preserve"> </w:t>
      </w:r>
      <w:proofErr w:type="spellStart"/>
      <w:r w:rsidRPr="00FF46E3">
        <w:rPr>
          <w:rFonts w:ascii="Verdana" w:hAnsi="Verdana" w:eastAsia="Times New Roman"/>
          <w:sz w:val="18"/>
          <w:szCs w:val="18"/>
        </w:rPr>
        <w:t>subsector</w:t>
      </w:r>
      <w:proofErr w:type="spellEnd"/>
      <w:r w:rsidRPr="00FF46E3">
        <w:rPr>
          <w:rFonts w:ascii="Verdana" w:hAnsi="Verdana" w:eastAsia="Times New Roman"/>
          <w:sz w:val="18"/>
          <w:szCs w:val="18"/>
        </w:rPr>
        <w:t xml:space="preserve"> onderzoek naar geneesmiddelen genoemd welke in Nederland voor het preklinische onderzoek is vastgelegd in de </w:t>
      </w:r>
      <w:r w:rsidRPr="00FF46E3" w:rsidR="00945659">
        <w:rPr>
          <w:rFonts w:ascii="Verdana" w:hAnsi="Verdana" w:eastAsia="Times New Roman"/>
          <w:sz w:val="18"/>
          <w:szCs w:val="18"/>
        </w:rPr>
        <w:t>W</w:t>
      </w:r>
      <w:r w:rsidRPr="00FF46E3">
        <w:rPr>
          <w:rFonts w:ascii="Verdana" w:hAnsi="Verdana" w:eastAsia="Times New Roman"/>
          <w:sz w:val="18"/>
          <w:szCs w:val="18"/>
        </w:rPr>
        <w:t xml:space="preserve">et op de dierproeven en voor klinisch onderzoek </w:t>
      </w:r>
      <w:r w:rsidR="00EC5FEF">
        <w:rPr>
          <w:rFonts w:ascii="Verdana" w:hAnsi="Verdana" w:eastAsia="Times New Roman"/>
          <w:sz w:val="18"/>
          <w:szCs w:val="18"/>
        </w:rPr>
        <w:t xml:space="preserve">is </w:t>
      </w:r>
      <w:r w:rsidRPr="00FF46E3">
        <w:rPr>
          <w:rFonts w:ascii="Verdana" w:hAnsi="Verdana" w:eastAsia="Times New Roman"/>
          <w:sz w:val="18"/>
          <w:szCs w:val="18"/>
        </w:rPr>
        <w:t xml:space="preserve">geïmplementeerd in de </w:t>
      </w:r>
      <w:r w:rsidRPr="00FF46E3" w:rsidR="00945659">
        <w:rPr>
          <w:rFonts w:ascii="Verdana" w:hAnsi="Verdana" w:eastAsia="Times New Roman"/>
          <w:sz w:val="18"/>
          <w:szCs w:val="18"/>
        </w:rPr>
        <w:t>W</w:t>
      </w:r>
      <w:r w:rsidRPr="00FF46E3">
        <w:rPr>
          <w:rFonts w:ascii="Verdana" w:hAnsi="Verdana" w:eastAsia="Times New Roman"/>
          <w:sz w:val="18"/>
          <w:szCs w:val="18"/>
        </w:rPr>
        <w:t>et medisch</w:t>
      </w:r>
      <w:r w:rsidRPr="00FF46E3" w:rsidR="00945659">
        <w:rPr>
          <w:rFonts w:ascii="Verdana" w:hAnsi="Verdana" w:eastAsia="Times New Roman"/>
          <w:sz w:val="18"/>
          <w:szCs w:val="18"/>
        </w:rPr>
        <w:t>-</w:t>
      </w:r>
      <w:r w:rsidRPr="00FF46E3">
        <w:rPr>
          <w:rFonts w:ascii="Verdana" w:hAnsi="Verdana" w:eastAsia="Times New Roman"/>
          <w:sz w:val="18"/>
          <w:szCs w:val="18"/>
        </w:rPr>
        <w:t xml:space="preserve">wetenschappelijk onderzoek met mensen. </w:t>
      </w:r>
    </w:p>
    <w:bookmarkEnd w:id="186"/>
    <w:p w:rsidRPr="00FF46E3" w:rsidR="00F50A8D" w:rsidP="00945659" w:rsidRDefault="00F50A8D" w14:paraId="4B64172B" w14:textId="77777777">
      <w:pPr>
        <w:pStyle w:val="Geenafstand"/>
        <w:rPr>
          <w:rFonts w:ascii="Verdana" w:hAnsi="Verdana"/>
          <w:i/>
          <w:iCs/>
          <w:sz w:val="18"/>
          <w:szCs w:val="18"/>
        </w:rPr>
      </w:pPr>
    </w:p>
    <w:p w:rsidRPr="00FF46E3" w:rsidR="00945659" w:rsidP="00945659" w:rsidRDefault="00F50A8D" w14:paraId="370AA3B6" w14:textId="08418F13">
      <w:pPr>
        <w:pStyle w:val="Geenafstand"/>
        <w:rPr>
          <w:rFonts w:ascii="Verdana" w:hAnsi="Verdana" w:eastAsia="Times New Roman"/>
          <w:sz w:val="18"/>
          <w:szCs w:val="18"/>
        </w:rPr>
      </w:pPr>
      <w:r w:rsidRPr="00FF46E3">
        <w:rPr>
          <w:rFonts w:ascii="Verdana" w:hAnsi="Verdana"/>
          <w:i/>
          <w:iCs/>
          <w:sz w:val="18"/>
          <w:szCs w:val="18"/>
        </w:rPr>
        <w:t>Medische hulpmiddelen</w:t>
      </w:r>
      <w:r w:rsidRPr="00FF46E3">
        <w:rPr>
          <w:rFonts w:ascii="Verdana" w:hAnsi="Verdana"/>
          <w:i/>
          <w:iCs/>
          <w:sz w:val="18"/>
          <w:szCs w:val="18"/>
        </w:rPr>
        <w:br/>
      </w:r>
      <w:r w:rsidRPr="00FF46E3">
        <w:rPr>
          <w:rFonts w:ascii="Verdana" w:hAnsi="Verdana"/>
          <w:sz w:val="18"/>
          <w:szCs w:val="18"/>
        </w:rPr>
        <w:t xml:space="preserve">Voor entiteiten die medische hulpmiddelen vervaardigen geldt op dit moment sectorspecifieke regelgeving die ziet op </w:t>
      </w:r>
      <w:r w:rsidRPr="00FF46E3" w:rsidR="00817FFA">
        <w:rPr>
          <w:rFonts w:ascii="Verdana" w:hAnsi="Verdana"/>
          <w:sz w:val="18"/>
          <w:szCs w:val="18"/>
        </w:rPr>
        <w:t xml:space="preserve">de </w:t>
      </w:r>
      <w:r w:rsidRPr="00FF46E3">
        <w:rPr>
          <w:rFonts w:ascii="Verdana" w:hAnsi="Verdana"/>
          <w:sz w:val="18"/>
          <w:szCs w:val="18"/>
        </w:rPr>
        <w:t xml:space="preserve">kwaliteit en de werking van medische hulpmiddelen en het melden van </w:t>
      </w:r>
      <w:r w:rsidRPr="00FF46E3">
        <w:rPr>
          <w:rFonts w:ascii="Verdana" w:hAnsi="Verdana"/>
          <w:sz w:val="18"/>
          <w:szCs w:val="18"/>
        </w:rPr>
        <w:lastRenderedPageBreak/>
        <w:t xml:space="preserve">incidenten. Dit is vastgelegd in </w:t>
      </w:r>
      <w:bookmarkStart w:name="_Hlk169792838" w:id="187"/>
      <w:r w:rsidRPr="00FF46E3" w:rsidR="00817FFA">
        <w:rPr>
          <w:rFonts w:ascii="Verdana" w:hAnsi="Verdana"/>
          <w:sz w:val="18"/>
          <w:szCs w:val="18"/>
        </w:rPr>
        <w:t>de Verordening (EU) 2017/745,</w:t>
      </w:r>
      <w:bookmarkEnd w:id="187"/>
      <w:r w:rsidRPr="00FF46E3">
        <w:rPr>
          <w:rFonts w:ascii="Verdana" w:hAnsi="Verdana"/>
          <w:bCs/>
          <w:sz w:val="18"/>
          <w:szCs w:val="18"/>
          <w:vertAlign w:val="superscript"/>
        </w:rPr>
        <w:footnoteReference w:id="72"/>
      </w:r>
      <w:r w:rsidRPr="00FF46E3" w:rsidR="00817FFA">
        <w:rPr>
          <w:rFonts w:ascii="Verdana" w:hAnsi="Verdana"/>
          <w:sz w:val="18"/>
          <w:szCs w:val="18"/>
        </w:rPr>
        <w:t xml:space="preserve"> over medische hulpmiddelen</w:t>
      </w:r>
      <w:r w:rsidR="005D6C9A">
        <w:rPr>
          <w:rFonts w:ascii="Verdana" w:hAnsi="Verdana"/>
          <w:sz w:val="18"/>
          <w:szCs w:val="18"/>
        </w:rPr>
        <w:t xml:space="preserve">, en Verordening (EU) </w:t>
      </w:r>
      <w:r w:rsidRPr="005D6C9A" w:rsidR="005D6C9A">
        <w:rPr>
          <w:rFonts w:ascii="Verdana" w:hAnsi="Verdana"/>
          <w:sz w:val="18"/>
          <w:szCs w:val="18"/>
        </w:rPr>
        <w:t>2017/746</w:t>
      </w:r>
      <w:r w:rsidR="005D6C9A">
        <w:rPr>
          <w:rStyle w:val="Voetnootmarkering"/>
          <w:rFonts w:ascii="Verdana" w:hAnsi="Verdana"/>
          <w:sz w:val="18"/>
          <w:szCs w:val="18"/>
        </w:rPr>
        <w:footnoteReference w:id="73"/>
      </w:r>
      <w:r w:rsidR="005D6C9A">
        <w:rPr>
          <w:rFonts w:ascii="Verdana" w:hAnsi="Verdana"/>
          <w:sz w:val="18"/>
          <w:szCs w:val="18"/>
        </w:rPr>
        <w:t xml:space="preserve">, over </w:t>
      </w:r>
      <w:r w:rsidRPr="005D6C9A" w:rsidR="005D6C9A">
        <w:rPr>
          <w:rFonts w:ascii="Verdana" w:hAnsi="Verdana"/>
          <w:sz w:val="18"/>
          <w:szCs w:val="18"/>
        </w:rPr>
        <w:t>medische hulpmiddelen voor in-vitrodiagnostiek</w:t>
      </w:r>
      <w:r w:rsidRPr="00FF46E3" w:rsidR="00817FFA">
        <w:rPr>
          <w:rFonts w:ascii="Verdana" w:hAnsi="Verdana"/>
          <w:sz w:val="18"/>
          <w:szCs w:val="18"/>
        </w:rPr>
        <w:t>. De</w:t>
      </w:r>
      <w:r w:rsidRPr="00FF46E3">
        <w:rPr>
          <w:rFonts w:ascii="Verdana" w:hAnsi="Verdana"/>
          <w:sz w:val="18"/>
          <w:szCs w:val="18"/>
        </w:rPr>
        <w:t xml:space="preserve"> Wet medische hulpmiddelen</w:t>
      </w:r>
      <w:r w:rsidRPr="00FF46E3" w:rsidR="00817FFA">
        <w:rPr>
          <w:rFonts w:ascii="Verdana" w:hAnsi="Verdana"/>
          <w:sz w:val="18"/>
          <w:szCs w:val="18"/>
        </w:rPr>
        <w:t xml:space="preserve"> strekt</w:t>
      </w:r>
      <w:r w:rsidRPr="00FF46E3" w:rsidR="0052486A">
        <w:rPr>
          <w:rFonts w:ascii="Verdana" w:hAnsi="Verdana"/>
          <w:sz w:val="18"/>
          <w:szCs w:val="18"/>
        </w:rPr>
        <w:t xml:space="preserve"> </w:t>
      </w:r>
      <w:r w:rsidRPr="00FF46E3" w:rsidR="00817FFA">
        <w:rPr>
          <w:rFonts w:ascii="Verdana" w:hAnsi="Verdana"/>
          <w:sz w:val="18"/>
          <w:szCs w:val="18"/>
        </w:rPr>
        <w:t>ter uitvoering van die verordening</w:t>
      </w:r>
      <w:r w:rsidR="00BA26E3">
        <w:rPr>
          <w:rFonts w:ascii="Verdana" w:hAnsi="Verdana"/>
          <w:sz w:val="18"/>
          <w:szCs w:val="18"/>
        </w:rPr>
        <w:t>en</w:t>
      </w:r>
      <w:r w:rsidRPr="00FF46E3">
        <w:rPr>
          <w:rFonts w:ascii="Verdana" w:hAnsi="Verdana"/>
          <w:sz w:val="18"/>
          <w:szCs w:val="18"/>
        </w:rPr>
        <w:t xml:space="preserve">. </w:t>
      </w:r>
      <w:r w:rsidRPr="00FF46E3" w:rsidR="00817FFA">
        <w:rPr>
          <w:rFonts w:ascii="Verdana" w:hAnsi="Verdana"/>
          <w:sz w:val="18"/>
          <w:szCs w:val="18"/>
        </w:rPr>
        <w:t xml:space="preserve">Deze wet stelt eisen aan de marktdeelnemers (fabrikanten, distributeurs, importeurs, Europees gemachtigden, aangemelde instanties en zorginstellingen die zelf hulpmiddelen maken). </w:t>
      </w:r>
      <w:r w:rsidRPr="00FF46E3">
        <w:rPr>
          <w:rFonts w:ascii="Verdana" w:hAnsi="Verdana" w:eastAsia="Times New Roman"/>
          <w:sz w:val="18"/>
          <w:szCs w:val="18"/>
        </w:rPr>
        <w:t xml:space="preserve">Meldingen van incidenten met medische hulpmiddelen dienen door </w:t>
      </w:r>
      <w:r w:rsidRPr="00FF46E3" w:rsidR="00817FFA">
        <w:rPr>
          <w:rFonts w:ascii="Verdana" w:hAnsi="Verdana" w:eastAsia="Times New Roman"/>
          <w:sz w:val="18"/>
          <w:szCs w:val="18"/>
        </w:rPr>
        <w:t xml:space="preserve">een </w:t>
      </w:r>
      <w:r w:rsidRPr="00FF46E3">
        <w:rPr>
          <w:rFonts w:ascii="Verdana" w:hAnsi="Verdana" w:eastAsia="Times New Roman"/>
          <w:sz w:val="18"/>
          <w:szCs w:val="18"/>
        </w:rPr>
        <w:t xml:space="preserve">fabrikant gemeld te worden bij </w:t>
      </w:r>
      <w:r w:rsidRPr="00FF46E3" w:rsidR="00817FFA">
        <w:rPr>
          <w:rFonts w:ascii="Verdana" w:hAnsi="Verdana" w:eastAsia="Times New Roman"/>
          <w:sz w:val="18"/>
          <w:szCs w:val="18"/>
        </w:rPr>
        <w:t xml:space="preserve">de </w:t>
      </w:r>
      <w:r w:rsidRPr="00FF46E3">
        <w:rPr>
          <w:rFonts w:ascii="Verdana" w:hAnsi="Verdana" w:eastAsia="Times New Roman"/>
          <w:sz w:val="18"/>
          <w:szCs w:val="18"/>
        </w:rPr>
        <w:t>IGJ.</w:t>
      </w:r>
    </w:p>
    <w:bookmarkEnd w:id="110"/>
    <w:p w:rsidRPr="00FF46E3" w:rsidR="00F50A8D" w:rsidP="00945659" w:rsidRDefault="00F50A8D" w14:paraId="3B6BA7CA" w14:textId="77777777">
      <w:pPr>
        <w:pStyle w:val="Geenafstand"/>
        <w:rPr>
          <w:rFonts w:ascii="Verdana" w:hAnsi="Verdana"/>
          <w:i/>
          <w:iCs/>
          <w:sz w:val="18"/>
          <w:szCs w:val="18"/>
        </w:rPr>
      </w:pPr>
    </w:p>
    <w:p w:rsidRPr="00FF46E3" w:rsidR="00DF434B" w:rsidP="00493EC7" w:rsidRDefault="005A5363" w14:paraId="3673B55D" w14:textId="2751860B">
      <w:pPr>
        <w:pStyle w:val="Kop1"/>
      </w:pPr>
      <w:bookmarkStart w:name="_Toc198721128" w:id="189"/>
      <w:bookmarkEnd w:id="184"/>
      <w:r w:rsidRPr="00FF46E3">
        <w:t>8</w:t>
      </w:r>
      <w:r w:rsidRPr="00FF46E3" w:rsidR="00DF434B">
        <w:t>. Gevolgen</w:t>
      </w:r>
      <w:bookmarkEnd w:id="189"/>
    </w:p>
    <w:p w:rsidRPr="00FF46E3" w:rsidR="00DF434B" w:rsidP="003537DE" w:rsidRDefault="00DF434B" w14:paraId="10018F46" w14:textId="77777777">
      <w:pPr>
        <w:pStyle w:val="Geenafstand"/>
        <w:rPr>
          <w:rFonts w:ascii="Verdana" w:hAnsi="Verdana"/>
          <w:b/>
          <w:bCs/>
          <w:sz w:val="18"/>
          <w:szCs w:val="18"/>
        </w:rPr>
      </w:pPr>
    </w:p>
    <w:p w:rsidRPr="00FF46E3" w:rsidR="00DF434B" w:rsidP="00473B2B" w:rsidRDefault="005A5363" w14:paraId="26E225C8" w14:textId="753F2AC8">
      <w:pPr>
        <w:pStyle w:val="Kop2"/>
        <w:rPr>
          <w:szCs w:val="18"/>
        </w:rPr>
      </w:pPr>
      <w:bookmarkStart w:name="_Toc198721129" w:id="190"/>
      <w:r w:rsidRPr="00FF46E3">
        <w:rPr>
          <w:szCs w:val="18"/>
        </w:rPr>
        <w:t>8</w:t>
      </w:r>
      <w:r w:rsidRPr="00FF46E3" w:rsidR="00DF434B">
        <w:rPr>
          <w:szCs w:val="18"/>
        </w:rPr>
        <w:t>.1 Gevolgen voor burgers en bedrijven</w:t>
      </w:r>
      <w:bookmarkEnd w:id="190"/>
    </w:p>
    <w:p w:rsidRPr="00FF46E3" w:rsidR="008C4500" w:rsidP="00592683" w:rsidRDefault="008C4500" w14:paraId="132C2E11" w14:textId="04DEFA1C">
      <w:pPr>
        <w:pStyle w:val="Geenafstand"/>
        <w:rPr>
          <w:rFonts w:ascii="Verdana" w:hAnsi="Verdana"/>
          <w:sz w:val="18"/>
          <w:szCs w:val="18"/>
        </w:rPr>
      </w:pPr>
    </w:p>
    <w:p w:rsidRPr="00FF46E3" w:rsidR="008C4500" w:rsidP="00C3466E" w:rsidRDefault="005A5363" w14:paraId="0E6F4887" w14:textId="016238EF">
      <w:pPr>
        <w:pStyle w:val="Kop3"/>
        <w:rPr>
          <w:rFonts w:eastAsiaTheme="minorHAnsi"/>
        </w:rPr>
      </w:pPr>
      <w:bookmarkStart w:name="_Toc198721130" w:id="191"/>
      <w:r w:rsidRPr="00FF46E3">
        <w:rPr>
          <w:rFonts w:eastAsiaTheme="minorHAnsi"/>
        </w:rPr>
        <w:t xml:space="preserve">8.1.1 </w:t>
      </w:r>
      <w:r w:rsidRPr="00FF46E3" w:rsidR="008C4500">
        <w:rPr>
          <w:rFonts w:eastAsiaTheme="minorHAnsi"/>
        </w:rPr>
        <w:t>Inleiding</w:t>
      </w:r>
      <w:bookmarkEnd w:id="191"/>
    </w:p>
    <w:p w:rsidRPr="00FF46E3" w:rsidR="008C4500" w:rsidP="00592683" w:rsidRDefault="008C4500" w14:paraId="5E3E0CDA" w14:textId="77777777">
      <w:pPr>
        <w:pStyle w:val="Geenafstand"/>
        <w:rPr>
          <w:rFonts w:ascii="Verdana" w:hAnsi="Verdana"/>
          <w:sz w:val="18"/>
          <w:szCs w:val="18"/>
        </w:rPr>
      </w:pPr>
    </w:p>
    <w:p w:rsidR="000C4283" w:rsidP="00592683" w:rsidRDefault="00604685" w14:paraId="581EB3B3" w14:textId="2E79589F">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8C4500">
        <w:rPr>
          <w:rFonts w:ascii="Verdana" w:hAnsi="Verdana"/>
          <w:sz w:val="18"/>
          <w:szCs w:val="18"/>
        </w:rPr>
        <w:t xml:space="preserve"> </w:t>
      </w:r>
      <w:r w:rsidR="009D7E8C">
        <w:rPr>
          <w:rFonts w:ascii="Verdana" w:hAnsi="Verdana"/>
          <w:sz w:val="18"/>
          <w:szCs w:val="18"/>
        </w:rPr>
        <w:t>bevat</w:t>
      </w:r>
      <w:r w:rsidRPr="00FF46E3" w:rsidR="008C4500">
        <w:rPr>
          <w:rFonts w:ascii="Verdana" w:hAnsi="Verdana"/>
          <w:sz w:val="18"/>
          <w:szCs w:val="18"/>
        </w:rPr>
        <w:t xml:space="preserve"> verplichtingen voor</w:t>
      </w:r>
      <w:r w:rsidR="009D7E8C">
        <w:rPr>
          <w:rFonts w:ascii="Verdana" w:hAnsi="Verdana"/>
          <w:sz w:val="18"/>
          <w:szCs w:val="18"/>
        </w:rPr>
        <w:t xml:space="preserve"> entiteiten</w:t>
      </w:r>
      <w:r w:rsidRPr="00FF46E3" w:rsidR="00C66CC2">
        <w:rPr>
          <w:rFonts w:ascii="Verdana" w:hAnsi="Verdana"/>
          <w:sz w:val="18"/>
          <w:szCs w:val="18"/>
        </w:rPr>
        <w:t xml:space="preserve"> die essentiële entiteit</w:t>
      </w:r>
      <w:r w:rsidR="009D7E8C">
        <w:rPr>
          <w:rFonts w:ascii="Verdana" w:hAnsi="Verdana"/>
          <w:sz w:val="18"/>
          <w:szCs w:val="18"/>
        </w:rPr>
        <w:t xml:space="preserve"> of</w:t>
      </w:r>
      <w:r w:rsidRPr="00FF46E3" w:rsidR="00C66CC2">
        <w:rPr>
          <w:rFonts w:ascii="Verdana" w:hAnsi="Verdana"/>
          <w:sz w:val="18"/>
          <w:szCs w:val="18"/>
        </w:rPr>
        <w:t xml:space="preserve"> belangrijke entiteit</w:t>
      </w:r>
      <w:r w:rsidR="009D7E8C">
        <w:rPr>
          <w:rFonts w:ascii="Verdana" w:hAnsi="Verdana"/>
          <w:sz w:val="18"/>
          <w:szCs w:val="18"/>
        </w:rPr>
        <w:t xml:space="preserve"> zijn, of als zodanig zijn aangewezen</w:t>
      </w:r>
      <w:r w:rsidR="000C4283">
        <w:rPr>
          <w:rFonts w:ascii="Verdana" w:hAnsi="Verdana"/>
          <w:sz w:val="18"/>
          <w:szCs w:val="18"/>
        </w:rPr>
        <w:t>,</w:t>
      </w:r>
      <w:r w:rsidR="009D7E8C">
        <w:rPr>
          <w:rFonts w:ascii="Verdana" w:hAnsi="Verdana"/>
          <w:sz w:val="18"/>
          <w:szCs w:val="18"/>
        </w:rPr>
        <w:t xml:space="preserve"> en voor</w:t>
      </w:r>
      <w:r w:rsidRPr="00FF46E3" w:rsidR="00C66CC2">
        <w:rPr>
          <w:rFonts w:ascii="Verdana" w:hAnsi="Verdana"/>
          <w:sz w:val="18"/>
          <w:szCs w:val="18"/>
        </w:rPr>
        <w:t xml:space="preserve"> entiteiten die domeinnaamregistratiediensten verlenen.</w:t>
      </w:r>
      <w:r w:rsidRPr="009D7E8C" w:rsidR="009D7E8C">
        <w:rPr>
          <w:rFonts w:ascii="Verdana" w:hAnsi="Verdana"/>
          <w:sz w:val="18"/>
          <w:szCs w:val="18"/>
        </w:rPr>
        <w:t xml:space="preserve"> </w:t>
      </w:r>
      <w:r w:rsidRPr="00FF46E3" w:rsidR="009D7E8C">
        <w:rPr>
          <w:rFonts w:ascii="Verdana" w:hAnsi="Verdana"/>
          <w:sz w:val="18"/>
          <w:szCs w:val="18"/>
        </w:rPr>
        <w:t xml:space="preserve">De door de </w:t>
      </w:r>
      <w:proofErr w:type="spellStart"/>
      <w:r w:rsidRPr="00FF46E3" w:rsidR="009D7E8C">
        <w:rPr>
          <w:rFonts w:ascii="Verdana" w:hAnsi="Verdana"/>
          <w:sz w:val="18"/>
          <w:szCs w:val="18"/>
        </w:rPr>
        <w:t>Cbw</w:t>
      </w:r>
      <w:proofErr w:type="spellEnd"/>
      <w:r w:rsidRPr="00FF46E3" w:rsidR="009D7E8C">
        <w:rPr>
          <w:rFonts w:ascii="Verdana" w:hAnsi="Verdana"/>
          <w:sz w:val="18"/>
          <w:szCs w:val="18"/>
        </w:rPr>
        <w:t xml:space="preserve"> veroorzaakte regeldruk bestaat uit een stijging van administratieve lasten en inhoudelijke nalevingskosten </w:t>
      </w:r>
      <w:r w:rsidR="000C4283">
        <w:rPr>
          <w:rFonts w:ascii="Verdana" w:hAnsi="Verdana"/>
          <w:sz w:val="18"/>
          <w:szCs w:val="18"/>
        </w:rPr>
        <w:t>voor deze entiteiten</w:t>
      </w:r>
      <w:r w:rsidRPr="00FF46E3" w:rsidR="009D7E8C">
        <w:rPr>
          <w:rFonts w:ascii="Verdana" w:hAnsi="Verdana"/>
          <w:sz w:val="18"/>
          <w:szCs w:val="18"/>
        </w:rPr>
        <w:t>.</w:t>
      </w:r>
      <w:r w:rsidR="000C4283">
        <w:rPr>
          <w:rFonts w:ascii="Verdana" w:hAnsi="Verdana"/>
          <w:sz w:val="18"/>
          <w:szCs w:val="18"/>
        </w:rPr>
        <w:t xml:space="preserve"> Momenteel is de schatting dat de </w:t>
      </w:r>
      <w:proofErr w:type="spellStart"/>
      <w:r w:rsidR="000C4283">
        <w:rPr>
          <w:rFonts w:ascii="Verdana" w:hAnsi="Verdana"/>
          <w:sz w:val="18"/>
          <w:szCs w:val="18"/>
        </w:rPr>
        <w:t>Cbw</w:t>
      </w:r>
      <w:proofErr w:type="spellEnd"/>
      <w:r w:rsidR="000C4283">
        <w:rPr>
          <w:rFonts w:ascii="Verdana" w:hAnsi="Verdana"/>
          <w:sz w:val="18"/>
          <w:szCs w:val="18"/>
        </w:rPr>
        <w:t xml:space="preserve"> van toepassing zal zijn op </w:t>
      </w:r>
      <w:r w:rsidRPr="00FF46E3" w:rsidR="000C4283">
        <w:rPr>
          <w:rFonts w:ascii="Verdana" w:hAnsi="Verdana"/>
          <w:sz w:val="18"/>
          <w:szCs w:val="18"/>
        </w:rPr>
        <w:t>8.100 entiteiten</w:t>
      </w:r>
      <w:r w:rsidR="000C4283">
        <w:rPr>
          <w:rFonts w:ascii="Verdana" w:hAnsi="Verdana"/>
          <w:sz w:val="18"/>
          <w:szCs w:val="18"/>
        </w:rPr>
        <w:t xml:space="preserve">. </w:t>
      </w:r>
      <w:r w:rsidRPr="00E8248D" w:rsidR="000C4283">
        <w:rPr>
          <w:rFonts w:ascii="Verdana" w:hAnsi="Verdana"/>
          <w:sz w:val="18"/>
          <w:szCs w:val="18"/>
        </w:rPr>
        <w:t>Overheids</w:t>
      </w:r>
      <w:r w:rsidR="000C4283">
        <w:rPr>
          <w:rFonts w:ascii="Verdana" w:hAnsi="Verdana"/>
          <w:sz w:val="18"/>
          <w:szCs w:val="18"/>
        </w:rPr>
        <w:t>instanties</w:t>
      </w:r>
      <w:r w:rsidRPr="00E8248D" w:rsidR="000C4283">
        <w:rPr>
          <w:rFonts w:ascii="Verdana" w:hAnsi="Verdana"/>
          <w:sz w:val="18"/>
          <w:szCs w:val="18"/>
        </w:rPr>
        <w:t xml:space="preserve"> </w:t>
      </w:r>
      <w:r w:rsidR="000C4283">
        <w:rPr>
          <w:rFonts w:ascii="Verdana" w:hAnsi="Verdana"/>
          <w:sz w:val="18"/>
          <w:szCs w:val="18"/>
        </w:rPr>
        <w:t>zijn</w:t>
      </w:r>
      <w:r w:rsidRPr="00E8248D" w:rsidR="000C4283">
        <w:rPr>
          <w:rFonts w:ascii="Verdana" w:hAnsi="Verdana"/>
          <w:sz w:val="18"/>
          <w:szCs w:val="18"/>
        </w:rPr>
        <w:t xml:space="preserve"> hierbij niet meegerekend, want zij vallen niet onder de regeldruktoets</w:t>
      </w:r>
      <w:r w:rsidRPr="00810570" w:rsidR="000C4283">
        <w:rPr>
          <w:rFonts w:ascii="Verdana" w:hAnsi="Verdana"/>
          <w:sz w:val="18"/>
          <w:szCs w:val="18"/>
        </w:rPr>
        <w:t>.</w:t>
      </w:r>
    </w:p>
    <w:p w:rsidR="000C4283" w:rsidP="00592683" w:rsidRDefault="000C4283" w14:paraId="6021CDEB" w14:textId="77777777">
      <w:pPr>
        <w:pStyle w:val="Geenafstand"/>
        <w:rPr>
          <w:rFonts w:ascii="Verdana" w:hAnsi="Verdana"/>
          <w:sz w:val="18"/>
          <w:szCs w:val="18"/>
        </w:rPr>
      </w:pPr>
    </w:p>
    <w:p w:rsidRPr="00FF46E3" w:rsidR="008C4500" w:rsidP="00592683" w:rsidRDefault="000C4283" w14:paraId="0D7FEEAD" w14:textId="1E4881AC">
      <w:pPr>
        <w:pStyle w:val="Geenafstand"/>
        <w:rPr>
          <w:rFonts w:ascii="Verdana" w:hAnsi="Verdana"/>
          <w:sz w:val="18"/>
          <w:szCs w:val="18"/>
        </w:rPr>
      </w:pPr>
      <w:r>
        <w:rPr>
          <w:rFonts w:ascii="Verdana" w:hAnsi="Verdana"/>
          <w:sz w:val="18"/>
          <w:szCs w:val="18"/>
        </w:rPr>
        <w:t xml:space="preserve">Een klein deel van de entiteiten die onder het toepassingsbereik van de </w:t>
      </w:r>
      <w:proofErr w:type="spellStart"/>
      <w:r>
        <w:rPr>
          <w:rFonts w:ascii="Verdana" w:hAnsi="Verdana"/>
          <w:sz w:val="18"/>
          <w:szCs w:val="18"/>
        </w:rPr>
        <w:t>Cbw</w:t>
      </w:r>
      <w:proofErr w:type="spellEnd"/>
      <w:r>
        <w:rPr>
          <w:rFonts w:ascii="Verdana" w:hAnsi="Verdana"/>
          <w:sz w:val="18"/>
          <w:szCs w:val="18"/>
        </w:rPr>
        <w:t xml:space="preserve"> vallen, vallen onder het toepassingsbereik van de </w:t>
      </w:r>
      <w:proofErr w:type="spellStart"/>
      <w:r>
        <w:rPr>
          <w:rFonts w:ascii="Verdana" w:hAnsi="Verdana"/>
          <w:sz w:val="18"/>
          <w:szCs w:val="18"/>
        </w:rPr>
        <w:t>Wbni</w:t>
      </w:r>
      <w:proofErr w:type="spellEnd"/>
      <w:r>
        <w:rPr>
          <w:rFonts w:ascii="Verdana" w:hAnsi="Verdana"/>
          <w:sz w:val="18"/>
          <w:szCs w:val="18"/>
        </w:rPr>
        <w:t xml:space="preserve">, die bij de inwerkingtreding van de </w:t>
      </w:r>
      <w:proofErr w:type="spellStart"/>
      <w:r>
        <w:rPr>
          <w:rFonts w:ascii="Verdana" w:hAnsi="Verdana"/>
          <w:sz w:val="18"/>
          <w:szCs w:val="18"/>
        </w:rPr>
        <w:t>Cbw</w:t>
      </w:r>
      <w:proofErr w:type="spellEnd"/>
      <w:r>
        <w:rPr>
          <w:rFonts w:ascii="Verdana" w:hAnsi="Verdana"/>
          <w:sz w:val="18"/>
          <w:szCs w:val="18"/>
        </w:rPr>
        <w:t xml:space="preserve"> komt te vervallen. </w:t>
      </w:r>
      <w:r w:rsidRPr="00FF46E3">
        <w:rPr>
          <w:rFonts w:ascii="Verdana" w:hAnsi="Verdana"/>
          <w:sz w:val="18"/>
          <w:szCs w:val="18"/>
        </w:rPr>
        <w:t xml:space="preserve">Voor deze organisaties zal de toename in regeldruk als gevolg van de </w:t>
      </w:r>
      <w:proofErr w:type="spellStart"/>
      <w:r w:rsidRPr="00FF46E3">
        <w:rPr>
          <w:rFonts w:ascii="Verdana" w:hAnsi="Verdana"/>
          <w:sz w:val="18"/>
          <w:szCs w:val="18"/>
        </w:rPr>
        <w:t>Cbw</w:t>
      </w:r>
      <w:proofErr w:type="spellEnd"/>
      <w:r w:rsidRPr="00FF46E3">
        <w:rPr>
          <w:rFonts w:ascii="Verdana" w:hAnsi="Verdana"/>
          <w:sz w:val="18"/>
          <w:szCs w:val="18"/>
        </w:rPr>
        <w:t xml:space="preserve"> beperkter zijn dan </w:t>
      </w:r>
      <w:r w:rsidR="007E4E0B">
        <w:rPr>
          <w:rFonts w:ascii="Verdana" w:hAnsi="Verdana"/>
          <w:sz w:val="18"/>
          <w:szCs w:val="18"/>
        </w:rPr>
        <w:t>voor de organisaties</w:t>
      </w:r>
      <w:r w:rsidRPr="00FF46E3">
        <w:rPr>
          <w:rFonts w:ascii="Verdana" w:hAnsi="Verdana"/>
          <w:sz w:val="18"/>
          <w:szCs w:val="18"/>
        </w:rPr>
        <w:t xml:space="preserve"> die op dit moment niet onder de </w:t>
      </w:r>
      <w:proofErr w:type="spellStart"/>
      <w:r w:rsidRPr="00FF46E3">
        <w:rPr>
          <w:rFonts w:ascii="Verdana" w:hAnsi="Verdana"/>
          <w:sz w:val="18"/>
          <w:szCs w:val="18"/>
        </w:rPr>
        <w:t>Wbni</w:t>
      </w:r>
      <w:proofErr w:type="spellEnd"/>
      <w:r w:rsidRPr="00FF46E3">
        <w:rPr>
          <w:rFonts w:ascii="Verdana" w:hAnsi="Verdana"/>
          <w:sz w:val="18"/>
          <w:szCs w:val="18"/>
        </w:rPr>
        <w:t xml:space="preserve"> vallen. Het aantal organisaties dat onder de </w:t>
      </w:r>
      <w:proofErr w:type="spellStart"/>
      <w:r w:rsidRPr="00FF46E3">
        <w:rPr>
          <w:rFonts w:ascii="Verdana" w:hAnsi="Verdana"/>
          <w:sz w:val="18"/>
          <w:szCs w:val="18"/>
        </w:rPr>
        <w:t>Cbw</w:t>
      </w:r>
      <w:proofErr w:type="spellEnd"/>
      <w:r w:rsidRPr="00FF46E3">
        <w:rPr>
          <w:rFonts w:ascii="Verdana" w:hAnsi="Verdana"/>
          <w:sz w:val="18"/>
          <w:szCs w:val="18"/>
        </w:rPr>
        <w:t xml:space="preserve"> valt is van significant groter dan onder de </w:t>
      </w:r>
      <w:proofErr w:type="spellStart"/>
      <w:r w:rsidRPr="00FF46E3">
        <w:rPr>
          <w:rFonts w:ascii="Verdana" w:hAnsi="Verdana"/>
          <w:sz w:val="18"/>
          <w:szCs w:val="18"/>
        </w:rPr>
        <w:t>Wbni</w:t>
      </w:r>
      <w:proofErr w:type="spellEnd"/>
      <w:r w:rsidRPr="00FF46E3">
        <w:rPr>
          <w:rFonts w:ascii="Verdana" w:hAnsi="Verdana"/>
          <w:sz w:val="18"/>
          <w:szCs w:val="18"/>
        </w:rPr>
        <w:t xml:space="preserve">. </w:t>
      </w:r>
    </w:p>
    <w:p w:rsidRPr="00FF46E3" w:rsidR="008C4500" w:rsidP="00592683" w:rsidRDefault="008C4500" w14:paraId="318B0482" w14:textId="77777777">
      <w:pPr>
        <w:pStyle w:val="Geenafstand"/>
        <w:rPr>
          <w:rFonts w:ascii="Verdana" w:hAnsi="Verdana"/>
          <w:sz w:val="18"/>
          <w:szCs w:val="18"/>
        </w:rPr>
      </w:pPr>
    </w:p>
    <w:p w:rsidRPr="00FF46E3" w:rsidR="008C4500" w:rsidP="00592683" w:rsidRDefault="00604685" w14:paraId="7FF41067" w14:textId="29754766">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8C4500">
        <w:rPr>
          <w:rFonts w:ascii="Verdana" w:hAnsi="Verdana"/>
          <w:sz w:val="18"/>
          <w:szCs w:val="18"/>
        </w:rPr>
        <w:t xml:space="preserve"> heeft geen gevolgen voor de regeldruk voor burgers</w:t>
      </w:r>
      <w:r w:rsidR="004233F5">
        <w:rPr>
          <w:rFonts w:ascii="Verdana" w:hAnsi="Verdana"/>
          <w:sz w:val="18"/>
          <w:szCs w:val="18"/>
        </w:rPr>
        <w:t xml:space="preserve">, evenmin voor organisaties en bedrijven die geen essentiële entiteit, belangrijke entiteit of entiteit die domeinnaamregistratiediensten verleent, in de zin van de </w:t>
      </w:r>
      <w:proofErr w:type="spellStart"/>
      <w:r w:rsidR="004233F5">
        <w:rPr>
          <w:rFonts w:ascii="Verdana" w:hAnsi="Verdana"/>
          <w:sz w:val="18"/>
          <w:szCs w:val="18"/>
        </w:rPr>
        <w:t>Cbw</w:t>
      </w:r>
      <w:proofErr w:type="spellEnd"/>
      <w:r w:rsidR="004233F5">
        <w:rPr>
          <w:rFonts w:ascii="Verdana" w:hAnsi="Verdana"/>
          <w:sz w:val="18"/>
          <w:szCs w:val="18"/>
        </w:rPr>
        <w:t xml:space="preserve"> zijn</w:t>
      </w:r>
      <w:r w:rsidRPr="00FF46E3" w:rsidR="008C4500">
        <w:rPr>
          <w:rFonts w:ascii="Verdana" w:hAnsi="Verdana"/>
          <w:sz w:val="18"/>
          <w:szCs w:val="18"/>
        </w:rPr>
        <w:t>.</w:t>
      </w:r>
    </w:p>
    <w:p w:rsidRPr="00FF46E3" w:rsidR="008C4500" w:rsidP="00592683" w:rsidRDefault="008C4500" w14:paraId="6B7D4B24" w14:textId="77777777">
      <w:pPr>
        <w:pStyle w:val="Geenafstand"/>
        <w:rPr>
          <w:rFonts w:ascii="Verdana" w:hAnsi="Verdana"/>
          <w:sz w:val="18"/>
          <w:szCs w:val="18"/>
        </w:rPr>
      </w:pPr>
    </w:p>
    <w:p w:rsidRPr="00FF46E3" w:rsidR="004233F5" w:rsidP="00592683" w:rsidRDefault="004233F5" w14:paraId="4F95CA8E" w14:textId="5B718AA0">
      <w:pPr>
        <w:pStyle w:val="Geenafstand"/>
        <w:rPr>
          <w:rFonts w:ascii="Verdana" w:hAnsi="Verdana"/>
          <w:sz w:val="18"/>
          <w:szCs w:val="18"/>
        </w:rPr>
      </w:pPr>
      <w:r>
        <w:rPr>
          <w:rFonts w:ascii="Verdana" w:hAnsi="Verdana"/>
          <w:sz w:val="18"/>
          <w:szCs w:val="18"/>
        </w:rPr>
        <w:t xml:space="preserve">In de volgende paragrafen wordt ingegaan op de regeldruk van de zorgplicht, </w:t>
      </w:r>
      <w:proofErr w:type="spellStart"/>
      <w:r>
        <w:rPr>
          <w:rFonts w:ascii="Verdana" w:hAnsi="Verdana"/>
          <w:sz w:val="18"/>
          <w:szCs w:val="18"/>
        </w:rPr>
        <w:t>governanceverplichtingen</w:t>
      </w:r>
      <w:proofErr w:type="spellEnd"/>
      <w:r>
        <w:rPr>
          <w:rFonts w:ascii="Verdana" w:hAnsi="Verdana"/>
          <w:sz w:val="18"/>
          <w:szCs w:val="18"/>
        </w:rPr>
        <w:t xml:space="preserve">, meldplicht en registratieplicht. Ook wordt ingegaan op de </w:t>
      </w:r>
      <w:proofErr w:type="spellStart"/>
      <w:r>
        <w:rPr>
          <w:rFonts w:ascii="Verdana" w:hAnsi="Verdana"/>
          <w:sz w:val="18"/>
          <w:szCs w:val="18"/>
        </w:rPr>
        <w:t>toezichtslasten</w:t>
      </w:r>
      <w:proofErr w:type="spellEnd"/>
      <w:r>
        <w:rPr>
          <w:rFonts w:ascii="Verdana" w:hAnsi="Verdana"/>
          <w:sz w:val="18"/>
          <w:szCs w:val="18"/>
        </w:rPr>
        <w:t xml:space="preserve"> en de eenmalige kennisnamekosten.</w:t>
      </w:r>
    </w:p>
    <w:p w:rsidRPr="00FF46E3" w:rsidR="000503B3" w:rsidP="00592683" w:rsidRDefault="000503B3" w14:paraId="0D7004C3" w14:textId="77777777">
      <w:pPr>
        <w:pStyle w:val="Geenafstand"/>
        <w:rPr>
          <w:rFonts w:ascii="Verdana" w:hAnsi="Verdana"/>
          <w:sz w:val="18"/>
          <w:szCs w:val="18"/>
        </w:rPr>
      </w:pPr>
    </w:p>
    <w:p w:rsidRPr="00FF46E3" w:rsidR="000503B3" w:rsidP="00592683" w:rsidRDefault="000503B3" w14:paraId="005F1621" w14:textId="65CAC125">
      <w:pPr>
        <w:pStyle w:val="Geenafstand"/>
        <w:rPr>
          <w:rFonts w:ascii="Verdana" w:hAnsi="Verdana"/>
          <w:sz w:val="18"/>
          <w:szCs w:val="18"/>
        </w:rPr>
      </w:pPr>
      <w:r w:rsidRPr="00FF46E3">
        <w:rPr>
          <w:rFonts w:ascii="Verdana" w:hAnsi="Verdana"/>
          <w:sz w:val="18"/>
          <w:szCs w:val="18"/>
        </w:rPr>
        <w:t xml:space="preserve">De NIS2-richtlijn wordt </w:t>
      </w:r>
      <w:r w:rsidR="0026751F">
        <w:rPr>
          <w:rFonts w:ascii="Verdana" w:hAnsi="Verdana"/>
          <w:sz w:val="18"/>
          <w:szCs w:val="18"/>
        </w:rPr>
        <w:t>geïmplementeerd</w:t>
      </w:r>
      <w:r w:rsidRPr="00FF46E3">
        <w:rPr>
          <w:rFonts w:ascii="Verdana" w:hAnsi="Verdana"/>
          <w:sz w:val="18"/>
          <w:szCs w:val="18"/>
        </w:rPr>
        <w:t xml:space="preserve"> in de </w:t>
      </w:r>
      <w:proofErr w:type="spellStart"/>
      <w:r w:rsidRPr="00FF46E3">
        <w:rPr>
          <w:rFonts w:ascii="Verdana" w:hAnsi="Verdana"/>
          <w:sz w:val="18"/>
          <w:szCs w:val="18"/>
        </w:rPr>
        <w:t>Cbw</w:t>
      </w:r>
      <w:proofErr w:type="spellEnd"/>
      <w:r w:rsidR="0026751F">
        <w:rPr>
          <w:rFonts w:ascii="Verdana" w:hAnsi="Verdana"/>
          <w:sz w:val="18"/>
          <w:szCs w:val="18"/>
        </w:rPr>
        <w:t xml:space="preserve"> en de daarbij behorende lagere regelgeving</w:t>
      </w:r>
      <w:r w:rsidRPr="00FF46E3">
        <w:rPr>
          <w:rFonts w:ascii="Verdana" w:hAnsi="Verdana"/>
          <w:sz w:val="18"/>
          <w:szCs w:val="18"/>
        </w:rPr>
        <w:t xml:space="preserve">. </w:t>
      </w:r>
      <w:r w:rsidR="0026751F">
        <w:rPr>
          <w:rFonts w:ascii="Verdana" w:hAnsi="Verdana"/>
          <w:sz w:val="18"/>
          <w:szCs w:val="18"/>
        </w:rPr>
        <w:t xml:space="preserve">Van de zaken die bij </w:t>
      </w:r>
      <w:proofErr w:type="spellStart"/>
      <w:r w:rsidR="0026751F">
        <w:rPr>
          <w:rFonts w:ascii="Verdana" w:hAnsi="Verdana"/>
          <w:sz w:val="18"/>
          <w:szCs w:val="18"/>
        </w:rPr>
        <w:t>amvb</w:t>
      </w:r>
      <w:proofErr w:type="spellEnd"/>
      <w:r w:rsidR="0026751F">
        <w:rPr>
          <w:rFonts w:ascii="Verdana" w:hAnsi="Verdana"/>
          <w:sz w:val="18"/>
          <w:szCs w:val="18"/>
        </w:rPr>
        <w:t xml:space="preserve"> worden geregeld, </w:t>
      </w:r>
      <w:r w:rsidR="00CF04C8">
        <w:rPr>
          <w:rFonts w:ascii="Verdana" w:hAnsi="Verdana"/>
          <w:sz w:val="18"/>
          <w:szCs w:val="18"/>
        </w:rPr>
        <w:t xml:space="preserve">zoals onder meer de zorgplicht, </w:t>
      </w:r>
      <w:r w:rsidR="004233F5">
        <w:rPr>
          <w:rFonts w:ascii="Verdana" w:hAnsi="Verdana"/>
          <w:sz w:val="18"/>
          <w:szCs w:val="18"/>
        </w:rPr>
        <w:t xml:space="preserve">wordt in de nota van toelichting </w:t>
      </w:r>
      <w:r w:rsidR="006467C3">
        <w:rPr>
          <w:rFonts w:ascii="Verdana" w:hAnsi="Verdana"/>
          <w:sz w:val="18"/>
          <w:szCs w:val="18"/>
        </w:rPr>
        <w:t xml:space="preserve">op </w:t>
      </w:r>
      <w:r w:rsidR="004233F5">
        <w:rPr>
          <w:rFonts w:ascii="Verdana" w:hAnsi="Verdana"/>
          <w:sz w:val="18"/>
          <w:szCs w:val="18"/>
        </w:rPr>
        <w:t xml:space="preserve">de </w:t>
      </w:r>
      <w:proofErr w:type="spellStart"/>
      <w:r w:rsidR="004233F5">
        <w:rPr>
          <w:rFonts w:ascii="Verdana" w:hAnsi="Verdana"/>
          <w:sz w:val="18"/>
          <w:szCs w:val="18"/>
        </w:rPr>
        <w:t>amvb</w:t>
      </w:r>
      <w:proofErr w:type="spellEnd"/>
      <w:r w:rsidR="004233F5">
        <w:rPr>
          <w:rFonts w:ascii="Verdana" w:hAnsi="Verdana"/>
          <w:sz w:val="18"/>
          <w:szCs w:val="18"/>
        </w:rPr>
        <w:t xml:space="preserve"> ingegaan op</w:t>
      </w:r>
      <w:r w:rsidR="0026751F">
        <w:rPr>
          <w:rFonts w:ascii="Verdana" w:hAnsi="Verdana"/>
          <w:sz w:val="18"/>
          <w:szCs w:val="18"/>
        </w:rPr>
        <w:t xml:space="preserve"> </w:t>
      </w:r>
      <w:r w:rsidRPr="00FF46E3">
        <w:rPr>
          <w:rFonts w:ascii="Verdana" w:hAnsi="Verdana"/>
          <w:sz w:val="18"/>
          <w:szCs w:val="18"/>
        </w:rPr>
        <w:t>de regeldrukkosten</w:t>
      </w:r>
      <w:r w:rsidR="00CF04C8">
        <w:rPr>
          <w:rFonts w:ascii="Verdana" w:hAnsi="Verdana"/>
          <w:sz w:val="18"/>
          <w:szCs w:val="18"/>
        </w:rPr>
        <w:t>.</w:t>
      </w:r>
      <w:r w:rsidR="004233F5">
        <w:rPr>
          <w:rFonts w:ascii="Verdana" w:hAnsi="Verdana"/>
          <w:sz w:val="18"/>
          <w:szCs w:val="18"/>
        </w:rPr>
        <w:t xml:space="preserve"> </w:t>
      </w:r>
    </w:p>
    <w:p w:rsidRPr="00FF46E3" w:rsidR="008C4500" w:rsidP="00592683" w:rsidRDefault="008C4500" w14:paraId="24BFE7C4" w14:textId="77777777">
      <w:pPr>
        <w:pStyle w:val="Geenafstand"/>
        <w:rPr>
          <w:rFonts w:ascii="Verdana" w:hAnsi="Verdana"/>
          <w:sz w:val="18"/>
          <w:szCs w:val="18"/>
        </w:rPr>
      </w:pPr>
    </w:p>
    <w:p w:rsidRPr="00FF46E3" w:rsidR="003A6E46" w:rsidP="00C3466E" w:rsidRDefault="003A6E46" w14:paraId="1EFE2306" w14:textId="4FD070AB">
      <w:pPr>
        <w:pStyle w:val="Kop3"/>
      </w:pPr>
      <w:bookmarkStart w:name="_Toc198721131" w:id="192"/>
      <w:r w:rsidRPr="00FF46E3">
        <w:t>8.1.2 Zorgplicht</w:t>
      </w:r>
      <w:bookmarkEnd w:id="192"/>
    </w:p>
    <w:p w:rsidRPr="00FF46E3" w:rsidR="003A6E46" w:rsidP="00592683" w:rsidRDefault="003A6E46" w14:paraId="16926CD5" w14:textId="77777777">
      <w:pPr>
        <w:pStyle w:val="Geenafstand"/>
        <w:rPr>
          <w:rFonts w:ascii="Verdana" w:hAnsi="Verdana"/>
          <w:sz w:val="18"/>
          <w:szCs w:val="18"/>
        </w:rPr>
      </w:pPr>
    </w:p>
    <w:p w:rsidRPr="00FF46E3" w:rsidR="001D419F" w:rsidP="00592683" w:rsidRDefault="00D627FC" w14:paraId="5FB04533" w14:textId="35367EB5">
      <w:pPr>
        <w:pStyle w:val="Geenafstand"/>
        <w:rPr>
          <w:rFonts w:ascii="Verdana" w:hAnsi="Verdana"/>
          <w:sz w:val="18"/>
          <w:szCs w:val="18"/>
        </w:rPr>
      </w:pPr>
      <w:r w:rsidRPr="00FF46E3">
        <w:rPr>
          <w:rFonts w:ascii="Verdana" w:hAnsi="Verdana"/>
          <w:sz w:val="18"/>
          <w:szCs w:val="18"/>
        </w:rPr>
        <w:t xml:space="preserve">Op grond van </w:t>
      </w:r>
      <w:r w:rsidR="00A97EEE">
        <w:rPr>
          <w:rFonts w:ascii="Verdana" w:hAnsi="Verdana"/>
          <w:sz w:val="18"/>
          <w:szCs w:val="18"/>
        </w:rPr>
        <w:t xml:space="preserve">artikel </w:t>
      </w:r>
      <w:r w:rsidR="009956FD">
        <w:rPr>
          <w:rFonts w:ascii="Verdana" w:hAnsi="Verdana"/>
          <w:sz w:val="18"/>
          <w:szCs w:val="18"/>
        </w:rPr>
        <w:t>21</w:t>
      </w:r>
      <w:r w:rsidRPr="00FF46E3" w:rsidR="009956FD">
        <w:rPr>
          <w:rFonts w:ascii="Verdana" w:hAnsi="Verdana"/>
          <w:sz w:val="18"/>
          <w:szCs w:val="18"/>
        </w:rPr>
        <w:t xml:space="preserve"> </w:t>
      </w:r>
      <w:proofErr w:type="spellStart"/>
      <w:r w:rsidRPr="00FF46E3" w:rsidR="00604685">
        <w:rPr>
          <w:rFonts w:ascii="Verdana" w:hAnsi="Verdana"/>
          <w:sz w:val="18"/>
          <w:szCs w:val="18"/>
        </w:rPr>
        <w:t>Cbw</w:t>
      </w:r>
      <w:proofErr w:type="spellEnd"/>
      <w:r w:rsidRPr="00FF46E3">
        <w:rPr>
          <w:rFonts w:ascii="Verdana" w:hAnsi="Verdana"/>
          <w:sz w:val="18"/>
          <w:szCs w:val="18"/>
        </w:rPr>
        <w:t xml:space="preserve"> moeten essentiële entiteiten en belangrijke e</w:t>
      </w:r>
      <w:r w:rsidRPr="00FF46E3" w:rsidR="003A6E46">
        <w:rPr>
          <w:rFonts w:ascii="Verdana" w:hAnsi="Verdana"/>
          <w:sz w:val="18"/>
          <w:szCs w:val="18"/>
        </w:rPr>
        <w:t xml:space="preserve">ntiteiten passende en evenredige technische, operationele en organisatorische maatregelen </w:t>
      </w:r>
      <w:r w:rsidRPr="00FF46E3" w:rsidR="00682080">
        <w:rPr>
          <w:rFonts w:ascii="Verdana" w:hAnsi="Verdana"/>
          <w:sz w:val="18"/>
          <w:szCs w:val="18"/>
        </w:rPr>
        <w:t xml:space="preserve">nemen </w:t>
      </w:r>
      <w:r w:rsidRPr="00FF46E3" w:rsidR="003A6E46">
        <w:rPr>
          <w:rFonts w:ascii="Verdana" w:hAnsi="Verdana"/>
          <w:sz w:val="18"/>
          <w:szCs w:val="18"/>
        </w:rPr>
        <w:t>om de risico</w:t>
      </w:r>
      <w:r w:rsidR="00D91960">
        <w:rPr>
          <w:rFonts w:ascii="Verdana" w:hAnsi="Verdana"/>
          <w:sz w:val="18"/>
          <w:szCs w:val="18"/>
        </w:rPr>
        <w:t>’</w:t>
      </w:r>
      <w:r w:rsidRPr="00FF46E3" w:rsidR="003A6E46">
        <w:rPr>
          <w:rFonts w:ascii="Verdana" w:hAnsi="Verdana"/>
          <w:sz w:val="18"/>
          <w:szCs w:val="18"/>
        </w:rPr>
        <w:t>s voor de beveiliging van de netwerk- en informatiesystemen</w:t>
      </w:r>
      <w:r w:rsidRPr="00FF46E3" w:rsidR="00682080">
        <w:rPr>
          <w:rFonts w:ascii="Verdana" w:hAnsi="Verdana"/>
          <w:sz w:val="18"/>
          <w:szCs w:val="18"/>
        </w:rPr>
        <w:t xml:space="preserve"> te beheersen</w:t>
      </w:r>
      <w:r w:rsidRPr="00FF46E3" w:rsidR="003A6E46">
        <w:rPr>
          <w:rFonts w:ascii="Verdana" w:hAnsi="Verdana"/>
          <w:sz w:val="18"/>
          <w:szCs w:val="18"/>
        </w:rPr>
        <w:t xml:space="preserve">. </w:t>
      </w:r>
    </w:p>
    <w:p w:rsidRPr="00FF46E3" w:rsidR="005F5C1A" w:rsidP="00592683" w:rsidRDefault="005F5C1A" w14:paraId="7C3FACC7" w14:textId="77777777">
      <w:pPr>
        <w:pStyle w:val="Geenafstand"/>
        <w:rPr>
          <w:rFonts w:ascii="Verdana" w:hAnsi="Verdana"/>
          <w:sz w:val="18"/>
          <w:szCs w:val="18"/>
        </w:rPr>
      </w:pPr>
    </w:p>
    <w:p w:rsidR="00676EA2" w:rsidP="00676EA2" w:rsidRDefault="00AD5182" w14:paraId="333C03EE" w14:textId="1497E6C4">
      <w:pPr>
        <w:pStyle w:val="Geenafstand"/>
        <w:rPr>
          <w:rFonts w:ascii="Verdana" w:hAnsi="Verdana"/>
          <w:sz w:val="18"/>
          <w:szCs w:val="18"/>
        </w:rPr>
      </w:pPr>
      <w:r w:rsidRPr="00C04770">
        <w:rPr>
          <w:rFonts w:ascii="Verdana" w:hAnsi="Verdana"/>
          <w:sz w:val="18"/>
          <w:szCs w:val="18"/>
        </w:rPr>
        <w:t xml:space="preserve">De maatregelen worden nader geconcretiseerd in een </w:t>
      </w:r>
      <w:proofErr w:type="spellStart"/>
      <w:r w:rsidRPr="00C04770">
        <w:rPr>
          <w:rFonts w:ascii="Verdana" w:hAnsi="Verdana"/>
          <w:sz w:val="18"/>
          <w:szCs w:val="18"/>
        </w:rPr>
        <w:t>amvb</w:t>
      </w:r>
      <w:proofErr w:type="spellEnd"/>
      <w:r w:rsidRPr="00C04770">
        <w:rPr>
          <w:rFonts w:ascii="Verdana" w:hAnsi="Verdana"/>
          <w:sz w:val="18"/>
          <w:szCs w:val="18"/>
        </w:rPr>
        <w:t xml:space="preserve">. </w:t>
      </w:r>
      <w:r w:rsidRPr="00C04770" w:rsidR="005F5C1A">
        <w:rPr>
          <w:rFonts w:ascii="Verdana" w:hAnsi="Verdana"/>
          <w:sz w:val="18"/>
          <w:szCs w:val="18"/>
        </w:rPr>
        <w:t xml:space="preserve">Om die reden zal in </w:t>
      </w:r>
      <w:r w:rsidRPr="00C04770" w:rsidR="003E0C50">
        <w:rPr>
          <w:rFonts w:ascii="Verdana" w:hAnsi="Verdana"/>
          <w:sz w:val="18"/>
          <w:szCs w:val="18"/>
        </w:rPr>
        <w:t xml:space="preserve">de nota van toelichting van </w:t>
      </w:r>
      <w:r w:rsidRPr="00C04770" w:rsidR="005F5C1A">
        <w:rPr>
          <w:rFonts w:ascii="Verdana" w:hAnsi="Verdana"/>
          <w:sz w:val="18"/>
          <w:szCs w:val="18"/>
        </w:rPr>
        <w:t>d</w:t>
      </w:r>
      <w:r w:rsidRPr="00C04770" w:rsidR="0026751F">
        <w:rPr>
          <w:rFonts w:ascii="Verdana" w:hAnsi="Verdana"/>
          <w:sz w:val="18"/>
          <w:szCs w:val="18"/>
        </w:rPr>
        <w:t>i</w:t>
      </w:r>
      <w:r w:rsidRPr="00C04770" w:rsidR="005F5C1A">
        <w:rPr>
          <w:rFonts w:ascii="Verdana" w:hAnsi="Verdana"/>
          <w:sz w:val="18"/>
          <w:szCs w:val="18"/>
        </w:rPr>
        <w:t xml:space="preserve">e </w:t>
      </w:r>
      <w:proofErr w:type="spellStart"/>
      <w:r w:rsidRPr="00C04770" w:rsidR="005F5C1A">
        <w:rPr>
          <w:rFonts w:ascii="Verdana" w:hAnsi="Verdana"/>
          <w:sz w:val="18"/>
          <w:szCs w:val="18"/>
        </w:rPr>
        <w:t>amvb</w:t>
      </w:r>
      <w:proofErr w:type="spellEnd"/>
      <w:r w:rsidRPr="00C04770" w:rsidR="005F5C1A">
        <w:rPr>
          <w:rFonts w:ascii="Verdana" w:hAnsi="Verdana"/>
          <w:sz w:val="18"/>
          <w:szCs w:val="18"/>
        </w:rPr>
        <w:t xml:space="preserve"> eveneens nader worden ingegaan op de nalevingskosten die voortvloeien uit de uitwerking van de zorgplicht. Dit </w:t>
      </w:r>
      <w:r w:rsidRPr="00C04770">
        <w:rPr>
          <w:rFonts w:ascii="Verdana" w:hAnsi="Verdana"/>
          <w:sz w:val="18"/>
          <w:szCs w:val="18"/>
        </w:rPr>
        <w:t xml:space="preserve">kan onder meer </w:t>
      </w:r>
      <w:r w:rsidRPr="00C04770" w:rsidR="005F5C1A">
        <w:rPr>
          <w:rFonts w:ascii="Verdana" w:hAnsi="Verdana"/>
          <w:sz w:val="18"/>
          <w:szCs w:val="18"/>
        </w:rPr>
        <w:t xml:space="preserve">afhankelijk zijn van de mate waarin de </w:t>
      </w:r>
      <w:r w:rsidRPr="00C04770" w:rsidR="0026751F">
        <w:rPr>
          <w:rFonts w:ascii="Verdana" w:hAnsi="Verdana"/>
          <w:sz w:val="18"/>
          <w:szCs w:val="18"/>
        </w:rPr>
        <w:t>maatregelen</w:t>
      </w:r>
      <w:r w:rsidRPr="00C04770" w:rsidR="005F5C1A">
        <w:rPr>
          <w:rFonts w:ascii="Verdana" w:hAnsi="Verdana"/>
          <w:sz w:val="18"/>
          <w:szCs w:val="18"/>
        </w:rPr>
        <w:t xml:space="preserve"> overeenkomen met </w:t>
      </w:r>
      <w:r w:rsidRPr="00C04770" w:rsidR="0026751F">
        <w:rPr>
          <w:rFonts w:ascii="Verdana" w:hAnsi="Verdana"/>
          <w:sz w:val="18"/>
          <w:szCs w:val="18"/>
        </w:rPr>
        <w:t>de maatregelen die entiteiten</w:t>
      </w:r>
      <w:r w:rsidRPr="00C04770" w:rsidR="005F5C1A">
        <w:rPr>
          <w:rFonts w:ascii="Verdana" w:hAnsi="Verdana"/>
          <w:sz w:val="18"/>
          <w:szCs w:val="18"/>
        </w:rPr>
        <w:t xml:space="preserve"> reeds </w:t>
      </w:r>
      <w:r w:rsidRPr="00C04770" w:rsidR="0026751F">
        <w:rPr>
          <w:rFonts w:ascii="Verdana" w:hAnsi="Verdana"/>
          <w:sz w:val="18"/>
          <w:szCs w:val="18"/>
        </w:rPr>
        <w:t>toepassen</w:t>
      </w:r>
      <w:r w:rsidRPr="00C04770">
        <w:rPr>
          <w:rFonts w:ascii="Verdana" w:hAnsi="Verdana"/>
          <w:sz w:val="18"/>
          <w:szCs w:val="18"/>
        </w:rPr>
        <w:t xml:space="preserve">, bijvoorbeeld omdat ze reeds onder de </w:t>
      </w:r>
      <w:proofErr w:type="spellStart"/>
      <w:r w:rsidRPr="00C04770">
        <w:rPr>
          <w:rFonts w:ascii="Verdana" w:hAnsi="Verdana"/>
          <w:sz w:val="18"/>
          <w:szCs w:val="18"/>
        </w:rPr>
        <w:t>Wbni</w:t>
      </w:r>
      <w:proofErr w:type="spellEnd"/>
      <w:r w:rsidRPr="00C04770">
        <w:rPr>
          <w:rFonts w:ascii="Verdana" w:hAnsi="Verdana"/>
          <w:sz w:val="18"/>
          <w:szCs w:val="18"/>
        </w:rPr>
        <w:t xml:space="preserve"> vallen</w:t>
      </w:r>
      <w:r w:rsidRPr="00C04770" w:rsidR="005F5C1A">
        <w:rPr>
          <w:rFonts w:ascii="Verdana" w:hAnsi="Verdana"/>
          <w:sz w:val="18"/>
          <w:szCs w:val="18"/>
        </w:rPr>
        <w:t xml:space="preserve">. </w:t>
      </w:r>
      <w:r w:rsidRPr="00C04770" w:rsidR="002D0FA9">
        <w:rPr>
          <w:rFonts w:ascii="Verdana" w:hAnsi="Verdana"/>
          <w:sz w:val="18"/>
          <w:szCs w:val="18"/>
        </w:rPr>
        <w:t>Paragraaf 5.</w:t>
      </w:r>
      <w:r w:rsidRPr="00C04770">
        <w:rPr>
          <w:rFonts w:ascii="Verdana" w:hAnsi="Verdana"/>
          <w:sz w:val="18"/>
          <w:szCs w:val="18"/>
        </w:rPr>
        <w:t>2</w:t>
      </w:r>
      <w:r w:rsidRPr="00C04770" w:rsidR="002D0FA9">
        <w:rPr>
          <w:rFonts w:ascii="Verdana" w:hAnsi="Verdana"/>
          <w:sz w:val="18"/>
          <w:szCs w:val="18"/>
        </w:rPr>
        <w:t xml:space="preserve"> gaat nader</w:t>
      </w:r>
      <w:r w:rsidRPr="00C04770">
        <w:rPr>
          <w:rFonts w:ascii="Verdana" w:hAnsi="Verdana"/>
          <w:sz w:val="18"/>
          <w:szCs w:val="18"/>
        </w:rPr>
        <w:t xml:space="preserve"> in</w:t>
      </w:r>
      <w:r w:rsidRPr="00C04770" w:rsidR="002D0FA9">
        <w:rPr>
          <w:rFonts w:ascii="Verdana" w:hAnsi="Verdana"/>
          <w:sz w:val="18"/>
          <w:szCs w:val="18"/>
        </w:rPr>
        <w:t xml:space="preserve"> op </w:t>
      </w:r>
      <w:r w:rsidRPr="00C04770">
        <w:rPr>
          <w:rFonts w:ascii="Verdana" w:hAnsi="Verdana"/>
          <w:sz w:val="18"/>
          <w:szCs w:val="18"/>
        </w:rPr>
        <w:t>de zorgplicht</w:t>
      </w:r>
      <w:r w:rsidRPr="00C04770" w:rsidR="002D0FA9">
        <w:rPr>
          <w:rFonts w:ascii="Verdana" w:hAnsi="Verdana"/>
          <w:sz w:val="18"/>
          <w:szCs w:val="18"/>
        </w:rPr>
        <w:t>.</w:t>
      </w:r>
      <w:r w:rsidR="00676EA2">
        <w:rPr>
          <w:rFonts w:ascii="Verdana" w:hAnsi="Verdana"/>
          <w:sz w:val="18"/>
          <w:szCs w:val="18"/>
        </w:rPr>
        <w:t xml:space="preserve"> </w:t>
      </w:r>
    </w:p>
    <w:p w:rsidR="007467E8" w:rsidP="00676EA2" w:rsidRDefault="007467E8" w14:paraId="4ED6B4C4" w14:textId="77777777">
      <w:pPr>
        <w:pStyle w:val="Geenafstand"/>
        <w:rPr>
          <w:rFonts w:ascii="Verdana" w:hAnsi="Verdana"/>
          <w:sz w:val="18"/>
          <w:szCs w:val="18"/>
        </w:rPr>
      </w:pPr>
    </w:p>
    <w:p w:rsidR="007467E8" w:rsidP="007467E8" w:rsidRDefault="007467E8" w14:paraId="13A229A2" w14:textId="77777777">
      <w:pPr>
        <w:pStyle w:val="Geenafstand"/>
        <w:rPr>
          <w:rFonts w:ascii="Verdana" w:hAnsi="Verdana"/>
          <w:sz w:val="18"/>
          <w:szCs w:val="18"/>
        </w:rPr>
      </w:pPr>
      <w:r w:rsidRPr="00C04770">
        <w:rPr>
          <w:rFonts w:ascii="Verdana" w:hAnsi="Verdana"/>
          <w:sz w:val="18"/>
          <w:szCs w:val="18"/>
        </w:rPr>
        <w:lastRenderedPageBreak/>
        <w:t>Een deel van de entiteiten zal reeds in meer of mindere mate investeringen hebben gedaan op het gebied van beveiliging van hun systemen om zodoende incidenten en – als gevolg daarvan – mogelijk grote schadeposten zoveel mogelijk proberen te voorkomen. Deze entiteiten zullen minder inhoudelijke nalevingskosten ervaren dan de entiteiten dat nog niet hebben gedaan. De laatstgenoemde entiteiten kunnen een aanzienlijke regeldruk ervaren bij het implementeren van de zorgplichtmaatregelen.</w:t>
      </w:r>
    </w:p>
    <w:p w:rsidR="00676EA2" w:rsidP="00676EA2" w:rsidRDefault="00676EA2" w14:paraId="34049928" w14:textId="77777777">
      <w:pPr>
        <w:pStyle w:val="Geenafstand"/>
        <w:rPr>
          <w:rFonts w:ascii="Verdana" w:hAnsi="Verdana"/>
          <w:sz w:val="18"/>
          <w:szCs w:val="18"/>
        </w:rPr>
      </w:pPr>
    </w:p>
    <w:p w:rsidRPr="00FF46E3" w:rsidR="00676EA2" w:rsidP="00676EA2" w:rsidRDefault="00676EA2" w14:paraId="63AF2247" w14:textId="6B0F4BAB">
      <w:pPr>
        <w:pStyle w:val="Geenafstand"/>
        <w:rPr>
          <w:rFonts w:ascii="Verdana" w:hAnsi="Verdana"/>
          <w:sz w:val="18"/>
          <w:szCs w:val="18"/>
        </w:rPr>
      </w:pPr>
      <w:r w:rsidRPr="001E33D7">
        <w:rPr>
          <w:rFonts w:ascii="Verdana" w:hAnsi="Verdana"/>
          <w:sz w:val="18"/>
          <w:szCs w:val="18"/>
        </w:rPr>
        <w:t xml:space="preserve">Voor entiteiten die niet reeds onder de </w:t>
      </w:r>
      <w:proofErr w:type="spellStart"/>
      <w:r w:rsidRPr="001E33D7">
        <w:rPr>
          <w:rFonts w:ascii="Verdana" w:hAnsi="Verdana"/>
          <w:sz w:val="18"/>
          <w:szCs w:val="18"/>
        </w:rPr>
        <w:t>Wbni</w:t>
      </w:r>
      <w:proofErr w:type="spellEnd"/>
      <w:r w:rsidRPr="001E33D7">
        <w:rPr>
          <w:rFonts w:ascii="Verdana" w:hAnsi="Verdana"/>
          <w:sz w:val="18"/>
          <w:szCs w:val="18"/>
        </w:rPr>
        <w:t xml:space="preserve"> vallen is de schatting dat zij een toename van 22% aan ICT-beveiligingskosten nodig hebben om aan de zorgplicht te voldoen. Dit percentage is opgenomen in de impact assessment van de NIS2-richtlijn, opgesteld door de Europese Commissie, waarbij wel wordt opgemerkt dat de impact assessment is geschreven op basis van het originele voorstel van de Europese Commissie, dat op sommige punten afwijkt van de uiteindelijk aangenomen richtlijn. Voor entiteiten die reeds onder de </w:t>
      </w:r>
      <w:proofErr w:type="spellStart"/>
      <w:r w:rsidRPr="001E33D7">
        <w:rPr>
          <w:rFonts w:ascii="Verdana" w:hAnsi="Verdana"/>
          <w:sz w:val="18"/>
          <w:szCs w:val="18"/>
        </w:rPr>
        <w:t>Wbni</w:t>
      </w:r>
      <w:proofErr w:type="spellEnd"/>
      <w:r w:rsidRPr="001E33D7">
        <w:rPr>
          <w:rFonts w:ascii="Verdana" w:hAnsi="Verdana"/>
          <w:sz w:val="18"/>
          <w:szCs w:val="18"/>
        </w:rPr>
        <w:t xml:space="preserve"> vielen, is de schatting</w:t>
      </w:r>
      <w:r w:rsidRPr="001E33D7" w:rsidR="00550B25">
        <w:rPr>
          <w:rFonts w:ascii="Verdana" w:hAnsi="Verdana"/>
          <w:sz w:val="18"/>
          <w:szCs w:val="18"/>
        </w:rPr>
        <w:t xml:space="preserve"> van de</w:t>
      </w:r>
      <w:r w:rsidR="00EC5FEF">
        <w:rPr>
          <w:rFonts w:ascii="Verdana" w:hAnsi="Verdana"/>
          <w:sz w:val="18"/>
          <w:szCs w:val="18"/>
        </w:rPr>
        <w:t xml:space="preserve"> Europese</w:t>
      </w:r>
      <w:r w:rsidRPr="001E33D7" w:rsidR="00550B25">
        <w:rPr>
          <w:rFonts w:ascii="Verdana" w:hAnsi="Verdana"/>
          <w:sz w:val="18"/>
          <w:szCs w:val="18"/>
        </w:rPr>
        <w:t xml:space="preserve"> </w:t>
      </w:r>
      <w:r w:rsidR="00EC5FEF">
        <w:rPr>
          <w:rFonts w:ascii="Verdana" w:hAnsi="Verdana"/>
          <w:sz w:val="18"/>
          <w:szCs w:val="18"/>
        </w:rPr>
        <w:t>C</w:t>
      </w:r>
      <w:r w:rsidRPr="001E33D7" w:rsidR="00550B25">
        <w:rPr>
          <w:rFonts w:ascii="Verdana" w:hAnsi="Verdana"/>
          <w:sz w:val="18"/>
          <w:szCs w:val="18"/>
        </w:rPr>
        <w:t>ommissie</w:t>
      </w:r>
      <w:r w:rsidRPr="001E33D7">
        <w:rPr>
          <w:rFonts w:ascii="Verdana" w:hAnsi="Verdana"/>
          <w:sz w:val="18"/>
          <w:szCs w:val="18"/>
        </w:rPr>
        <w:t xml:space="preserve"> dat zij een toename van maximaal 12% aan ICT-beveiligingskosten nodig hebben om aan de zorgplicht te voldoen.</w:t>
      </w:r>
      <w:r w:rsidRPr="001E33D7" w:rsidR="001E33D7">
        <w:rPr>
          <w:rStyle w:val="Voetnootmarkering"/>
          <w:rFonts w:ascii="Verdana" w:hAnsi="Verdana"/>
          <w:sz w:val="18"/>
          <w:szCs w:val="18"/>
        </w:rPr>
        <w:footnoteReference w:id="74"/>
      </w:r>
      <w:r w:rsidR="008265E7">
        <w:rPr>
          <w:rFonts w:ascii="Verdana" w:hAnsi="Verdana"/>
          <w:sz w:val="18"/>
          <w:szCs w:val="18"/>
        </w:rPr>
        <w:t xml:space="preserve"> </w:t>
      </w:r>
    </w:p>
    <w:p w:rsidRPr="00FF46E3" w:rsidR="001D419F" w:rsidP="00592683" w:rsidRDefault="001D419F" w14:paraId="45C99322" w14:textId="62115578">
      <w:pPr>
        <w:pStyle w:val="Geenafstand"/>
        <w:rPr>
          <w:rFonts w:ascii="Verdana" w:hAnsi="Verdana"/>
          <w:sz w:val="18"/>
          <w:szCs w:val="18"/>
        </w:rPr>
      </w:pPr>
    </w:p>
    <w:p w:rsidR="00E04B59" w:rsidP="00592683" w:rsidRDefault="003A6E46" w14:paraId="09E85BF4" w14:textId="54F96941">
      <w:pPr>
        <w:pStyle w:val="Geenafstand"/>
        <w:rPr>
          <w:rFonts w:ascii="Verdana" w:hAnsi="Verdana"/>
          <w:sz w:val="18"/>
          <w:szCs w:val="18"/>
        </w:rPr>
      </w:pPr>
      <w:r w:rsidRPr="00FF46E3">
        <w:rPr>
          <w:rFonts w:ascii="Verdana" w:hAnsi="Verdana"/>
          <w:sz w:val="18"/>
          <w:szCs w:val="18"/>
        </w:rPr>
        <w:t xml:space="preserve">Ook zonder wetgeving </w:t>
      </w:r>
      <w:r w:rsidRPr="00FF46E3" w:rsidR="00D627FC">
        <w:rPr>
          <w:rFonts w:ascii="Verdana" w:hAnsi="Verdana"/>
          <w:sz w:val="18"/>
          <w:szCs w:val="18"/>
        </w:rPr>
        <w:t xml:space="preserve">zullen </w:t>
      </w:r>
      <w:r w:rsidR="00A97EEE">
        <w:rPr>
          <w:rFonts w:ascii="Verdana" w:hAnsi="Verdana"/>
          <w:sz w:val="18"/>
          <w:szCs w:val="18"/>
        </w:rPr>
        <w:t xml:space="preserve">essentiële </w:t>
      </w:r>
      <w:r w:rsidRPr="00FF46E3">
        <w:rPr>
          <w:rFonts w:ascii="Verdana" w:hAnsi="Verdana"/>
          <w:sz w:val="18"/>
          <w:szCs w:val="18"/>
        </w:rPr>
        <w:t xml:space="preserve">entiteiten </w:t>
      </w:r>
      <w:r w:rsidR="00A97EEE">
        <w:rPr>
          <w:rFonts w:ascii="Verdana" w:hAnsi="Verdana"/>
          <w:sz w:val="18"/>
          <w:szCs w:val="18"/>
        </w:rPr>
        <w:t xml:space="preserve">en belangrijke entiteiten </w:t>
      </w:r>
      <w:r w:rsidRPr="00FF46E3">
        <w:rPr>
          <w:rFonts w:ascii="Verdana" w:hAnsi="Verdana"/>
          <w:sz w:val="18"/>
          <w:szCs w:val="18"/>
        </w:rPr>
        <w:t xml:space="preserve">veelal al beveiligingsmaatregelen </w:t>
      </w:r>
      <w:r w:rsidRPr="00FF46E3" w:rsidR="00D627FC">
        <w:rPr>
          <w:rFonts w:ascii="Verdana" w:hAnsi="Verdana"/>
          <w:sz w:val="18"/>
          <w:szCs w:val="18"/>
        </w:rPr>
        <w:t xml:space="preserve">hebben </w:t>
      </w:r>
      <w:r w:rsidRPr="00FF46E3">
        <w:rPr>
          <w:rFonts w:ascii="Verdana" w:hAnsi="Verdana"/>
          <w:sz w:val="18"/>
          <w:szCs w:val="18"/>
        </w:rPr>
        <w:t xml:space="preserve">getroffen, zijnde een combinatie van technische, operationele en organisatorische maatregelen. </w:t>
      </w:r>
      <w:r w:rsidRPr="00FF46E3" w:rsidR="00D627FC">
        <w:rPr>
          <w:rFonts w:ascii="Verdana" w:hAnsi="Verdana"/>
          <w:sz w:val="18"/>
          <w:szCs w:val="18"/>
        </w:rPr>
        <w:t>V</w:t>
      </w:r>
      <w:r w:rsidRPr="00FF46E3">
        <w:rPr>
          <w:rFonts w:ascii="Verdana" w:hAnsi="Verdana"/>
          <w:sz w:val="18"/>
          <w:szCs w:val="18"/>
        </w:rPr>
        <w:t xml:space="preserve">oor de continuïteit van hun eigen bedrijfsvoering is het </w:t>
      </w:r>
      <w:r w:rsidRPr="00FF46E3" w:rsidR="00D627FC">
        <w:rPr>
          <w:rFonts w:ascii="Verdana" w:hAnsi="Verdana"/>
          <w:sz w:val="18"/>
          <w:szCs w:val="18"/>
        </w:rPr>
        <w:t xml:space="preserve">immers </w:t>
      </w:r>
      <w:r w:rsidRPr="00FF46E3">
        <w:rPr>
          <w:rFonts w:ascii="Verdana" w:hAnsi="Verdana"/>
          <w:sz w:val="18"/>
          <w:szCs w:val="18"/>
        </w:rPr>
        <w:t xml:space="preserve">cruciaal dat maatregelen worden getroffen op het gebied van netwerk- en informatiebeveiliging. Zonder maatregelen </w:t>
      </w:r>
      <w:r w:rsidRPr="00FF46E3" w:rsidR="0064149B">
        <w:rPr>
          <w:rFonts w:ascii="Verdana" w:hAnsi="Verdana"/>
          <w:sz w:val="18"/>
          <w:szCs w:val="18"/>
        </w:rPr>
        <w:t>zijn entiteiten</w:t>
      </w:r>
      <w:r w:rsidRPr="00FF46E3">
        <w:rPr>
          <w:rFonts w:ascii="Verdana" w:hAnsi="Verdana"/>
          <w:sz w:val="18"/>
          <w:szCs w:val="18"/>
        </w:rPr>
        <w:t xml:space="preserve"> kwetsbaar voor dreigingen, zoals cybercrime, stroomstoringen en menselijke fouten. Daarbij zouden entiteiten een risico kunnen lopen waarbij hun eigen (cruciale) werkprocessen in gevaar komen.</w:t>
      </w:r>
    </w:p>
    <w:p w:rsidRPr="00FF46E3" w:rsidR="00E04B59" w:rsidP="00592683" w:rsidRDefault="00E04B59" w14:paraId="2043857A" w14:textId="77777777">
      <w:pPr>
        <w:pStyle w:val="Geenafstand"/>
        <w:rPr>
          <w:rFonts w:ascii="Verdana" w:hAnsi="Verdana"/>
          <w:sz w:val="18"/>
          <w:szCs w:val="18"/>
        </w:rPr>
      </w:pPr>
    </w:p>
    <w:p w:rsidRPr="00FF46E3" w:rsidR="002D0FA9" w:rsidP="00C3466E" w:rsidRDefault="002D0FA9" w14:paraId="2DE65C2C" w14:textId="6E8284A6">
      <w:pPr>
        <w:pStyle w:val="Kop3"/>
        <w:rPr>
          <w:rFonts w:eastAsiaTheme="minorHAnsi"/>
        </w:rPr>
      </w:pPr>
      <w:bookmarkStart w:name="_Toc198721132" w:id="193"/>
      <w:r w:rsidRPr="00FF46E3">
        <w:rPr>
          <w:rFonts w:eastAsiaTheme="minorHAnsi"/>
        </w:rPr>
        <w:t>8.1.</w:t>
      </w:r>
      <w:r w:rsidR="004D6FB1">
        <w:rPr>
          <w:rFonts w:eastAsiaTheme="minorHAnsi"/>
        </w:rPr>
        <w:t>3</w:t>
      </w:r>
      <w:r w:rsidRPr="00FF46E3">
        <w:rPr>
          <w:rFonts w:eastAsiaTheme="minorHAnsi"/>
        </w:rPr>
        <w:t xml:space="preserve"> </w:t>
      </w:r>
      <w:proofErr w:type="spellStart"/>
      <w:r w:rsidRPr="00FF46E3">
        <w:rPr>
          <w:rFonts w:eastAsiaTheme="minorHAnsi"/>
        </w:rPr>
        <w:t>Governance</w:t>
      </w:r>
      <w:bookmarkEnd w:id="193"/>
      <w:proofErr w:type="spellEnd"/>
    </w:p>
    <w:p w:rsidRPr="00FF46E3" w:rsidR="002D0FA9" w:rsidP="002D0FA9" w:rsidRDefault="002D0FA9" w14:paraId="796ADE0C" w14:textId="77777777">
      <w:pPr>
        <w:pStyle w:val="Geenafstand"/>
        <w:rPr>
          <w:rFonts w:ascii="Verdana" w:hAnsi="Verdana"/>
          <w:sz w:val="18"/>
          <w:szCs w:val="18"/>
        </w:rPr>
      </w:pPr>
    </w:p>
    <w:p w:rsidR="009D7D50" w:rsidP="002D0FA9" w:rsidRDefault="009D7D50" w14:paraId="48B4632F" w14:textId="44D6BC8F">
      <w:pPr>
        <w:pStyle w:val="Geenafstand"/>
        <w:rPr>
          <w:rFonts w:ascii="Verdana" w:hAnsi="Verdana"/>
          <w:sz w:val="18"/>
          <w:szCs w:val="18"/>
        </w:rPr>
      </w:pPr>
      <w:r>
        <w:rPr>
          <w:rFonts w:ascii="Verdana" w:hAnsi="Verdana"/>
          <w:sz w:val="18"/>
          <w:szCs w:val="18"/>
        </w:rPr>
        <w:t xml:space="preserve">Artikel </w:t>
      </w:r>
      <w:r w:rsidR="009956FD">
        <w:rPr>
          <w:rFonts w:ascii="Verdana" w:hAnsi="Verdana"/>
          <w:sz w:val="18"/>
          <w:szCs w:val="18"/>
        </w:rPr>
        <w:t xml:space="preserve">24 </w:t>
      </w:r>
      <w:proofErr w:type="spellStart"/>
      <w:r>
        <w:rPr>
          <w:rFonts w:ascii="Verdana" w:hAnsi="Verdana"/>
          <w:sz w:val="18"/>
          <w:szCs w:val="18"/>
        </w:rPr>
        <w:t>Cbw</w:t>
      </w:r>
      <w:proofErr w:type="spellEnd"/>
      <w:r>
        <w:rPr>
          <w:rFonts w:ascii="Verdana" w:hAnsi="Verdana"/>
          <w:sz w:val="18"/>
          <w:szCs w:val="18"/>
        </w:rPr>
        <w:t xml:space="preserve"> bevat </w:t>
      </w:r>
      <w:r w:rsidRPr="00FF46E3" w:rsidR="002D0FA9">
        <w:rPr>
          <w:rFonts w:ascii="Verdana" w:hAnsi="Verdana"/>
          <w:sz w:val="18"/>
          <w:szCs w:val="18"/>
        </w:rPr>
        <w:t xml:space="preserve">verplichtingen in het kader van </w:t>
      </w:r>
      <w:proofErr w:type="spellStart"/>
      <w:r w:rsidRPr="00FF46E3" w:rsidR="002D0FA9">
        <w:rPr>
          <w:rFonts w:ascii="Verdana" w:hAnsi="Verdana"/>
          <w:sz w:val="18"/>
          <w:szCs w:val="18"/>
        </w:rPr>
        <w:t>governance</w:t>
      </w:r>
      <w:proofErr w:type="spellEnd"/>
      <w:r w:rsidR="002D0FA9">
        <w:rPr>
          <w:rFonts w:ascii="Verdana" w:hAnsi="Verdana"/>
          <w:sz w:val="18"/>
          <w:szCs w:val="18"/>
        </w:rPr>
        <w:t>,</w:t>
      </w:r>
      <w:r w:rsidRPr="00FF46E3" w:rsidR="002D0FA9">
        <w:rPr>
          <w:rFonts w:ascii="Verdana" w:hAnsi="Verdana"/>
          <w:sz w:val="18"/>
          <w:szCs w:val="18"/>
        </w:rPr>
        <w:t xml:space="preserve"> die regeldruk kunnen veroorzaken. </w:t>
      </w:r>
    </w:p>
    <w:p w:rsidR="009D7D50" w:rsidP="002D0FA9" w:rsidRDefault="009D7D50" w14:paraId="3E7085F0" w14:textId="77777777">
      <w:pPr>
        <w:pStyle w:val="Geenafstand"/>
        <w:rPr>
          <w:rFonts w:ascii="Verdana" w:hAnsi="Verdana"/>
          <w:sz w:val="18"/>
          <w:szCs w:val="18"/>
        </w:rPr>
      </w:pPr>
    </w:p>
    <w:p w:rsidRPr="00FF46E3" w:rsidR="002D0FA9" w:rsidP="002D0FA9" w:rsidRDefault="002D0FA9" w14:paraId="13D558F0" w14:textId="51F4FBE6">
      <w:pPr>
        <w:pStyle w:val="Geenafstand"/>
        <w:rPr>
          <w:rFonts w:ascii="Verdana" w:hAnsi="Verdana"/>
          <w:sz w:val="18"/>
          <w:szCs w:val="18"/>
        </w:rPr>
      </w:pPr>
      <w:r w:rsidRPr="00FF46E3">
        <w:rPr>
          <w:rFonts w:ascii="Verdana" w:hAnsi="Verdana"/>
          <w:sz w:val="18"/>
          <w:szCs w:val="18"/>
        </w:rPr>
        <w:t xml:space="preserve">Allereerst </w:t>
      </w:r>
      <w:r>
        <w:rPr>
          <w:rFonts w:ascii="Verdana" w:hAnsi="Verdana"/>
          <w:sz w:val="18"/>
          <w:szCs w:val="18"/>
        </w:rPr>
        <w:t xml:space="preserve">moet het bestuur van een essentiële entiteit en belangrijke entiteit </w:t>
      </w:r>
      <w:r w:rsidRPr="00FF46E3">
        <w:rPr>
          <w:rFonts w:ascii="Verdana" w:hAnsi="Verdana"/>
          <w:sz w:val="18"/>
          <w:szCs w:val="18"/>
        </w:rPr>
        <w:t xml:space="preserve">de beveiligingsmaatregelen die in het kader van de zorgplicht genomen worden, goedkeuren en toezien op de uitvoering </w:t>
      </w:r>
      <w:r>
        <w:rPr>
          <w:rFonts w:ascii="Verdana" w:hAnsi="Verdana"/>
          <w:sz w:val="18"/>
          <w:szCs w:val="18"/>
        </w:rPr>
        <w:t>daar</w:t>
      </w:r>
      <w:r w:rsidRPr="00FF46E3">
        <w:rPr>
          <w:rFonts w:ascii="Verdana" w:hAnsi="Verdana"/>
          <w:sz w:val="18"/>
          <w:szCs w:val="18"/>
        </w:rPr>
        <w:t>van. Aanvullend op de regeldruk beschreven bij zorgplicht, zal dit nog een administratieve last voor de besturen van entiteiten zijn.</w:t>
      </w:r>
    </w:p>
    <w:p w:rsidRPr="00FF46E3" w:rsidR="002D0FA9" w:rsidP="002D0FA9" w:rsidRDefault="002D0FA9" w14:paraId="7AC1BC49" w14:textId="77777777">
      <w:pPr>
        <w:pStyle w:val="Geenafstand"/>
        <w:rPr>
          <w:rFonts w:ascii="Verdana" w:hAnsi="Verdana"/>
          <w:sz w:val="18"/>
          <w:szCs w:val="18"/>
        </w:rPr>
      </w:pPr>
    </w:p>
    <w:p w:rsidRPr="00FF46E3" w:rsidR="002D0FA9" w:rsidP="002D0FA9" w:rsidRDefault="002D0FA9" w14:paraId="75613933" w14:textId="7D0C80E7">
      <w:pPr>
        <w:pStyle w:val="Geenafstand"/>
        <w:rPr>
          <w:rFonts w:ascii="Verdana" w:hAnsi="Verdana"/>
          <w:sz w:val="18"/>
          <w:szCs w:val="18"/>
        </w:rPr>
      </w:pPr>
      <w:r w:rsidRPr="00FF46E3">
        <w:rPr>
          <w:rFonts w:ascii="Verdana" w:hAnsi="Verdana"/>
          <w:sz w:val="18"/>
          <w:szCs w:val="18"/>
        </w:rPr>
        <w:t xml:space="preserve">Ten tweede dienen de leden van het bestuur van de entiteiten te beschikken over kennis en vaardigheden om tot een goed besluit betreffende de </w:t>
      </w:r>
      <w:r w:rsidRPr="009A32B1">
        <w:rPr>
          <w:rFonts w:ascii="Verdana" w:hAnsi="Verdana"/>
          <w:sz w:val="18"/>
          <w:szCs w:val="18"/>
        </w:rPr>
        <w:t xml:space="preserve">beveiligingsmaatregelen te komen. Dit kan bijvoorbeeld worden aangetoond door middel van een certificaat van deelname aan een relevante training. </w:t>
      </w:r>
      <w:r w:rsidRPr="009A32B1" w:rsidR="006B24FD">
        <w:rPr>
          <w:rFonts w:ascii="Verdana" w:hAnsi="Verdana"/>
          <w:sz w:val="18"/>
          <w:szCs w:val="18"/>
        </w:rPr>
        <w:t xml:space="preserve">Er bestaat de mogelijkheid om de vereisten aan de training nader te duiden </w:t>
      </w:r>
      <w:r w:rsidR="00E15B24">
        <w:rPr>
          <w:rFonts w:ascii="Verdana" w:hAnsi="Verdana"/>
          <w:sz w:val="18"/>
          <w:szCs w:val="18"/>
        </w:rPr>
        <w:t>bij</w:t>
      </w:r>
      <w:r w:rsidRPr="009A32B1" w:rsidR="006B24FD">
        <w:rPr>
          <w:rFonts w:ascii="Verdana" w:hAnsi="Verdana"/>
          <w:sz w:val="18"/>
          <w:szCs w:val="18"/>
        </w:rPr>
        <w:t xml:space="preserve"> </w:t>
      </w:r>
      <w:proofErr w:type="spellStart"/>
      <w:r w:rsidRPr="009A32B1" w:rsidR="006B24FD">
        <w:rPr>
          <w:rFonts w:ascii="Verdana" w:hAnsi="Verdana"/>
          <w:sz w:val="18"/>
          <w:szCs w:val="18"/>
        </w:rPr>
        <w:t>amvb</w:t>
      </w:r>
      <w:proofErr w:type="spellEnd"/>
      <w:r w:rsidRPr="009A32B1" w:rsidR="006B24FD">
        <w:rPr>
          <w:rFonts w:ascii="Verdana" w:hAnsi="Verdana"/>
          <w:sz w:val="18"/>
          <w:szCs w:val="18"/>
        </w:rPr>
        <w:t>. Indien hiervan gebruik wordt gemaakt, zullen ook de bijbehorende geschatte kosten berekend worden.</w:t>
      </w:r>
    </w:p>
    <w:p w:rsidRPr="00FF46E3" w:rsidR="002D0FA9" w:rsidP="002D0FA9" w:rsidRDefault="002D0FA9" w14:paraId="2DDC3CF5" w14:textId="77777777">
      <w:pPr>
        <w:pStyle w:val="Geenafstand"/>
        <w:rPr>
          <w:rFonts w:ascii="Verdana" w:hAnsi="Verdana"/>
          <w:sz w:val="18"/>
          <w:szCs w:val="18"/>
        </w:rPr>
      </w:pPr>
    </w:p>
    <w:p w:rsidRPr="00FF46E3" w:rsidR="008C4500" w:rsidP="00C3466E" w:rsidRDefault="003A6E46" w14:paraId="4D41A313" w14:textId="75E1B9E5">
      <w:pPr>
        <w:pStyle w:val="Kop3"/>
        <w:rPr>
          <w:rFonts w:eastAsiaTheme="minorHAnsi"/>
        </w:rPr>
      </w:pPr>
      <w:bookmarkStart w:name="_Toc198721133" w:id="194"/>
      <w:r w:rsidRPr="00FF46E3">
        <w:rPr>
          <w:rFonts w:eastAsiaTheme="minorHAnsi"/>
        </w:rPr>
        <w:t>8.1.</w:t>
      </w:r>
      <w:r w:rsidR="004D6FB1">
        <w:rPr>
          <w:rFonts w:eastAsiaTheme="minorHAnsi"/>
        </w:rPr>
        <w:t>4</w:t>
      </w:r>
      <w:r w:rsidRPr="00FF46E3">
        <w:rPr>
          <w:rFonts w:eastAsiaTheme="minorHAnsi"/>
        </w:rPr>
        <w:t xml:space="preserve"> </w:t>
      </w:r>
      <w:r w:rsidRPr="00FF46E3" w:rsidR="008C4500">
        <w:rPr>
          <w:rFonts w:eastAsiaTheme="minorHAnsi"/>
        </w:rPr>
        <w:t>Meldplicht</w:t>
      </w:r>
      <w:bookmarkEnd w:id="194"/>
    </w:p>
    <w:p w:rsidRPr="00FF46E3" w:rsidR="008C4500" w:rsidP="00592683" w:rsidRDefault="008C4500" w14:paraId="6A19E133" w14:textId="77777777">
      <w:pPr>
        <w:pStyle w:val="Geenafstand"/>
        <w:rPr>
          <w:rFonts w:ascii="Verdana" w:hAnsi="Verdana"/>
          <w:sz w:val="18"/>
          <w:szCs w:val="18"/>
        </w:rPr>
      </w:pPr>
    </w:p>
    <w:p w:rsidRPr="00FF46E3" w:rsidR="008C4500" w:rsidP="00592683" w:rsidRDefault="009D7D50" w14:paraId="7DE13E6F" w14:textId="63BA1EA5">
      <w:pPr>
        <w:pStyle w:val="Geenafstand"/>
        <w:rPr>
          <w:rFonts w:ascii="Verdana" w:hAnsi="Verdana"/>
          <w:sz w:val="18"/>
          <w:szCs w:val="18"/>
        </w:rPr>
      </w:pPr>
      <w:r>
        <w:rPr>
          <w:rFonts w:ascii="Verdana" w:hAnsi="Verdana"/>
          <w:sz w:val="18"/>
          <w:szCs w:val="18"/>
        </w:rPr>
        <w:t xml:space="preserve">Op grond van artikel </w:t>
      </w:r>
      <w:r w:rsidR="009956FD">
        <w:rPr>
          <w:rFonts w:ascii="Verdana" w:hAnsi="Verdana"/>
          <w:sz w:val="18"/>
          <w:szCs w:val="18"/>
        </w:rPr>
        <w:t xml:space="preserve">25 </w:t>
      </w:r>
      <w:proofErr w:type="spellStart"/>
      <w:r>
        <w:rPr>
          <w:rFonts w:ascii="Verdana" w:hAnsi="Verdana"/>
          <w:sz w:val="18"/>
          <w:szCs w:val="18"/>
        </w:rPr>
        <w:t>Cbw</w:t>
      </w:r>
      <w:proofErr w:type="spellEnd"/>
      <w:r>
        <w:rPr>
          <w:rFonts w:ascii="Verdana" w:hAnsi="Verdana"/>
          <w:sz w:val="18"/>
          <w:szCs w:val="18"/>
        </w:rPr>
        <w:t xml:space="preserve"> moeten essentiële entiteiten en belangrijke entiteiten significante incidenten melden bij het CSIRT en de toezichthoudende instantie. </w:t>
      </w:r>
      <w:r w:rsidRPr="00FF46E3" w:rsidR="008C4500">
        <w:rPr>
          <w:rFonts w:ascii="Verdana" w:hAnsi="Verdana"/>
          <w:sz w:val="18"/>
          <w:szCs w:val="18"/>
        </w:rPr>
        <w:t>De meldplicht is een informatieverplichting en daarmee een administratieve last.</w:t>
      </w:r>
    </w:p>
    <w:p w:rsidR="009D7D50" w:rsidP="00592683" w:rsidRDefault="009D7D50" w14:paraId="3435983E" w14:textId="3B5D0CCA">
      <w:pPr>
        <w:pStyle w:val="Geenafstand"/>
        <w:rPr>
          <w:rFonts w:ascii="Verdana" w:hAnsi="Verdana"/>
          <w:sz w:val="18"/>
          <w:szCs w:val="18"/>
        </w:rPr>
      </w:pPr>
    </w:p>
    <w:p w:rsidRPr="00FF46E3" w:rsidR="00FC4847" w:rsidP="00592683" w:rsidRDefault="009D7D50" w14:paraId="36952A7E" w14:textId="4DE7CB05">
      <w:pPr>
        <w:pStyle w:val="Geenafstand"/>
        <w:rPr>
          <w:rFonts w:ascii="Verdana" w:hAnsi="Verdana"/>
          <w:sz w:val="18"/>
          <w:szCs w:val="18"/>
        </w:rPr>
      </w:pPr>
      <w:r>
        <w:rPr>
          <w:rFonts w:ascii="Verdana" w:hAnsi="Verdana"/>
          <w:sz w:val="18"/>
          <w:szCs w:val="18"/>
        </w:rPr>
        <w:t>Het u</w:t>
      </w:r>
      <w:r w:rsidRPr="00FF46E3" w:rsidR="008C4500">
        <w:rPr>
          <w:rFonts w:ascii="Verdana" w:hAnsi="Verdana"/>
          <w:sz w:val="18"/>
          <w:szCs w:val="18"/>
        </w:rPr>
        <w:t xml:space="preserve">itgangspunt is </w:t>
      </w:r>
      <w:r w:rsidR="00B82215">
        <w:rPr>
          <w:rFonts w:ascii="Verdana" w:hAnsi="Verdana"/>
          <w:sz w:val="18"/>
          <w:szCs w:val="18"/>
        </w:rPr>
        <w:t xml:space="preserve">dat </w:t>
      </w:r>
      <w:r w:rsidRPr="00FF46E3" w:rsidR="008C4500">
        <w:rPr>
          <w:rFonts w:ascii="Verdana" w:hAnsi="Verdana"/>
          <w:sz w:val="18"/>
          <w:szCs w:val="18"/>
        </w:rPr>
        <w:t>de meldplicht op een lastenluwe manier</w:t>
      </w:r>
      <w:r w:rsidR="00B82215">
        <w:rPr>
          <w:rFonts w:ascii="Verdana" w:hAnsi="Verdana"/>
          <w:sz w:val="18"/>
          <w:szCs w:val="18"/>
        </w:rPr>
        <w:t xml:space="preserve"> wordt ingericht</w:t>
      </w:r>
      <w:r w:rsidRPr="00FF46E3" w:rsidR="008C4500">
        <w:rPr>
          <w:rFonts w:ascii="Verdana" w:hAnsi="Verdana"/>
          <w:sz w:val="18"/>
          <w:szCs w:val="18"/>
        </w:rPr>
        <w:t xml:space="preserve">. Er wordt naar gestreefd </w:t>
      </w:r>
      <w:r w:rsidR="00B82215">
        <w:rPr>
          <w:rFonts w:ascii="Verdana" w:hAnsi="Verdana"/>
          <w:sz w:val="18"/>
          <w:szCs w:val="18"/>
        </w:rPr>
        <w:t>het meldportaal</w:t>
      </w:r>
      <w:r w:rsidRPr="00FF46E3" w:rsidR="008C4500">
        <w:rPr>
          <w:rFonts w:ascii="Verdana" w:hAnsi="Verdana"/>
          <w:sz w:val="18"/>
          <w:szCs w:val="18"/>
        </w:rPr>
        <w:t xml:space="preserve"> technisch zó in te richten</w:t>
      </w:r>
      <w:r w:rsidR="00B82215">
        <w:rPr>
          <w:rFonts w:ascii="Verdana" w:hAnsi="Verdana"/>
          <w:sz w:val="18"/>
          <w:szCs w:val="18"/>
        </w:rPr>
        <w:t>,</w:t>
      </w:r>
      <w:r w:rsidRPr="00FF46E3" w:rsidR="008C4500">
        <w:rPr>
          <w:rFonts w:ascii="Verdana" w:hAnsi="Verdana"/>
          <w:sz w:val="18"/>
          <w:szCs w:val="18"/>
        </w:rPr>
        <w:t xml:space="preserve"> dat het verspreiden van de benodigde informatie maar één handeling vergt, hetgeen de administratieve lasten reduceert.</w:t>
      </w:r>
      <w:r w:rsidRPr="00FF46E3" w:rsidR="00221F36">
        <w:rPr>
          <w:rFonts w:ascii="Verdana" w:hAnsi="Verdana"/>
          <w:sz w:val="18"/>
          <w:szCs w:val="18"/>
        </w:rPr>
        <w:t xml:space="preserve"> </w:t>
      </w:r>
      <w:r w:rsidRPr="002E7D7D" w:rsidR="00FC4847">
        <w:rPr>
          <w:rFonts w:ascii="Verdana" w:hAnsi="Verdana"/>
          <w:sz w:val="18"/>
          <w:szCs w:val="18"/>
        </w:rPr>
        <w:t xml:space="preserve">Naast de lasten heeft het doen van een melding ook voordelen voor de meldende entiteit. Zo kan er bijstand geleverd worden door het CSIRT in de vorm van </w:t>
      </w:r>
      <w:r w:rsidRPr="002E7D7D" w:rsidR="00221F36">
        <w:rPr>
          <w:rFonts w:ascii="Verdana" w:hAnsi="Verdana"/>
          <w:sz w:val="18"/>
          <w:szCs w:val="18"/>
        </w:rPr>
        <w:t xml:space="preserve">informatieverstrekking of technische ondersteuning. </w:t>
      </w:r>
    </w:p>
    <w:p w:rsidRPr="00FF46E3" w:rsidR="008C4500" w:rsidP="00592683" w:rsidRDefault="008C4500" w14:paraId="7305A242" w14:textId="77777777">
      <w:pPr>
        <w:pStyle w:val="Geenafstand"/>
        <w:rPr>
          <w:rFonts w:ascii="Verdana" w:hAnsi="Verdana"/>
          <w:sz w:val="18"/>
          <w:szCs w:val="18"/>
        </w:rPr>
      </w:pPr>
    </w:p>
    <w:p w:rsidRPr="00FF46E3" w:rsidR="008C4500" w:rsidP="00592683" w:rsidRDefault="008C4500" w14:paraId="3EE98545" w14:textId="74508CA7">
      <w:pPr>
        <w:pStyle w:val="Geenafstand"/>
        <w:rPr>
          <w:rFonts w:ascii="Verdana" w:hAnsi="Verdana"/>
          <w:sz w:val="18"/>
          <w:szCs w:val="18"/>
        </w:rPr>
      </w:pPr>
      <w:r w:rsidRPr="00FF46E3">
        <w:rPr>
          <w:rFonts w:ascii="Verdana" w:hAnsi="Verdana"/>
          <w:sz w:val="18"/>
          <w:szCs w:val="18"/>
        </w:rPr>
        <w:t xml:space="preserve">Per sector kan nadere invulling worden gegeven aan de parameters die bepalen wanneer incidenten </w:t>
      </w:r>
      <w:proofErr w:type="spellStart"/>
      <w:r w:rsidRPr="00FF46E3">
        <w:rPr>
          <w:rFonts w:ascii="Verdana" w:hAnsi="Verdana"/>
          <w:sz w:val="18"/>
          <w:szCs w:val="18"/>
        </w:rPr>
        <w:t>meldplichtig</w:t>
      </w:r>
      <w:proofErr w:type="spellEnd"/>
      <w:r w:rsidRPr="00FF46E3">
        <w:rPr>
          <w:rFonts w:ascii="Verdana" w:hAnsi="Verdana"/>
          <w:sz w:val="18"/>
          <w:szCs w:val="18"/>
        </w:rPr>
        <w:t xml:space="preserve"> zijn. Daarmee beïnvloeden deze parameters ook de regeldruk voor entiteiten. Naar verwachting zal de meldplicht niet leiden tot een groot aantal meldingen voor entiteiten, </w:t>
      </w:r>
      <w:r w:rsidR="00B82215">
        <w:rPr>
          <w:rFonts w:ascii="Verdana" w:hAnsi="Verdana"/>
          <w:sz w:val="18"/>
          <w:szCs w:val="18"/>
        </w:rPr>
        <w:t>omdat</w:t>
      </w:r>
      <w:r w:rsidRPr="00FF46E3" w:rsidR="00B82215">
        <w:rPr>
          <w:rFonts w:ascii="Verdana" w:hAnsi="Verdana"/>
          <w:sz w:val="18"/>
          <w:szCs w:val="18"/>
        </w:rPr>
        <w:t xml:space="preserve"> </w:t>
      </w:r>
      <w:r w:rsidRPr="00FF46E3">
        <w:rPr>
          <w:rFonts w:ascii="Verdana" w:hAnsi="Verdana"/>
          <w:sz w:val="18"/>
          <w:szCs w:val="18"/>
        </w:rPr>
        <w:t xml:space="preserve">alleen significante incidenten dienen te worden gemeld. </w:t>
      </w:r>
      <w:r w:rsidR="00B82215">
        <w:rPr>
          <w:rFonts w:ascii="Verdana" w:hAnsi="Verdana"/>
          <w:sz w:val="18"/>
          <w:szCs w:val="18"/>
        </w:rPr>
        <w:t>Dat zijn</w:t>
      </w:r>
      <w:r w:rsidRPr="00FF46E3">
        <w:rPr>
          <w:rFonts w:ascii="Verdana" w:hAnsi="Verdana"/>
          <w:sz w:val="18"/>
          <w:szCs w:val="18"/>
        </w:rPr>
        <w:t xml:space="preserve"> incidenten die een ernstige operationele verstoring van de diensten of financiële verliezen voor de betrokken entiteit veroorzaakt of kan veroorzaken, of aanzienlijke materiële of immateriële schade veroorzaakt dat andere natuurlijke of rechtspersonen heeft getroffen of kan treffen. </w:t>
      </w:r>
      <w:r w:rsidRPr="00FF46E3" w:rsidR="005727A3">
        <w:rPr>
          <w:rFonts w:ascii="Verdana" w:hAnsi="Verdana"/>
          <w:sz w:val="18"/>
          <w:szCs w:val="18"/>
        </w:rPr>
        <w:t xml:space="preserve">Op basis van een inschatting van het NCSC op basis van de huidige aantal incidenten is de </w:t>
      </w:r>
      <w:r w:rsidRPr="00FF46E3">
        <w:rPr>
          <w:rFonts w:ascii="Verdana" w:hAnsi="Verdana"/>
          <w:sz w:val="18"/>
          <w:szCs w:val="18"/>
        </w:rPr>
        <w:t>verwachting</w:t>
      </w:r>
      <w:r w:rsidRPr="00FF46E3" w:rsidR="0024368C">
        <w:rPr>
          <w:rFonts w:ascii="Verdana" w:hAnsi="Verdana"/>
          <w:sz w:val="18"/>
          <w:szCs w:val="18"/>
        </w:rPr>
        <w:t xml:space="preserve"> </w:t>
      </w:r>
      <w:r w:rsidRPr="00FF46E3">
        <w:rPr>
          <w:rFonts w:ascii="Verdana" w:hAnsi="Verdana"/>
          <w:sz w:val="18"/>
          <w:szCs w:val="18"/>
        </w:rPr>
        <w:t xml:space="preserve">dat </w:t>
      </w:r>
      <w:r w:rsidRPr="00FF46E3" w:rsidR="005727A3">
        <w:rPr>
          <w:rFonts w:ascii="Verdana" w:hAnsi="Verdana"/>
          <w:sz w:val="18"/>
          <w:szCs w:val="18"/>
        </w:rPr>
        <w:t xml:space="preserve">er circa </w:t>
      </w:r>
      <w:r w:rsidRPr="00FF46E3">
        <w:rPr>
          <w:rFonts w:ascii="Verdana" w:hAnsi="Verdana"/>
          <w:sz w:val="18"/>
          <w:szCs w:val="18"/>
        </w:rPr>
        <w:t>1</w:t>
      </w:r>
      <w:r w:rsidRPr="00FF46E3" w:rsidR="00373AE1">
        <w:rPr>
          <w:rFonts w:ascii="Verdana" w:hAnsi="Verdana"/>
          <w:sz w:val="18"/>
          <w:szCs w:val="18"/>
        </w:rPr>
        <w:t>.</w:t>
      </w:r>
      <w:r w:rsidRPr="00FF46E3">
        <w:rPr>
          <w:rFonts w:ascii="Verdana" w:hAnsi="Verdana"/>
          <w:sz w:val="18"/>
          <w:szCs w:val="18"/>
        </w:rPr>
        <w:t>000 incidenten per jaar onder de meldplicht zullen vallen</w:t>
      </w:r>
      <w:r w:rsidRPr="00FF46E3" w:rsidR="00373AE1">
        <w:rPr>
          <w:rFonts w:ascii="Verdana" w:hAnsi="Verdana"/>
          <w:sz w:val="18"/>
          <w:szCs w:val="18"/>
        </w:rPr>
        <w:t>, onder voorbehoud van de nader te bepalen parameters</w:t>
      </w:r>
      <w:r w:rsidRPr="00FF46E3">
        <w:rPr>
          <w:rFonts w:ascii="Verdana" w:hAnsi="Verdana"/>
          <w:sz w:val="18"/>
          <w:szCs w:val="18"/>
        </w:rPr>
        <w:t>.</w:t>
      </w:r>
    </w:p>
    <w:p w:rsidRPr="00FF46E3" w:rsidR="008C4500" w:rsidP="00592683" w:rsidRDefault="008C4500" w14:paraId="4927ED58" w14:textId="77777777">
      <w:pPr>
        <w:pStyle w:val="Geenafstand"/>
        <w:rPr>
          <w:rFonts w:ascii="Verdana" w:hAnsi="Verdana"/>
          <w:sz w:val="18"/>
          <w:szCs w:val="18"/>
        </w:rPr>
      </w:pPr>
    </w:p>
    <w:p w:rsidRPr="00FF46E3" w:rsidR="008C4500" w:rsidP="00592683" w:rsidRDefault="008C4500" w14:paraId="1FAA8C9F" w14:textId="2346BB31">
      <w:pPr>
        <w:pStyle w:val="Geenafstand"/>
        <w:rPr>
          <w:rFonts w:ascii="Verdana" w:hAnsi="Verdana"/>
          <w:sz w:val="18"/>
          <w:szCs w:val="18"/>
        </w:rPr>
      </w:pPr>
      <w:r w:rsidRPr="00FF46E3">
        <w:rPr>
          <w:rFonts w:ascii="Verdana" w:hAnsi="Verdana"/>
          <w:sz w:val="18"/>
          <w:szCs w:val="18"/>
        </w:rPr>
        <w:t xml:space="preserve">Voor het verrichten van een melding zal het veelal gaan om </w:t>
      </w:r>
      <w:r w:rsidR="00B82215">
        <w:rPr>
          <w:rFonts w:ascii="Verdana" w:hAnsi="Verdana"/>
          <w:sz w:val="18"/>
          <w:szCs w:val="18"/>
        </w:rPr>
        <w:t xml:space="preserve">de volgende </w:t>
      </w:r>
      <w:r w:rsidRPr="00FF46E3">
        <w:rPr>
          <w:rFonts w:ascii="Verdana" w:hAnsi="Verdana"/>
          <w:sz w:val="18"/>
          <w:szCs w:val="18"/>
        </w:rPr>
        <w:t>handelingen</w:t>
      </w:r>
      <w:r w:rsidR="00B82215">
        <w:rPr>
          <w:rFonts w:ascii="Verdana" w:hAnsi="Verdana"/>
          <w:sz w:val="18"/>
          <w:szCs w:val="18"/>
        </w:rPr>
        <w:t>. Nadat de entiteit kennis heeft genomen van het significante incident, zal een</w:t>
      </w:r>
      <w:r w:rsidRPr="00FF46E3">
        <w:rPr>
          <w:rFonts w:ascii="Verdana" w:hAnsi="Verdana"/>
          <w:sz w:val="18"/>
          <w:szCs w:val="18"/>
        </w:rPr>
        <w:t xml:space="preserve"> schriftelijk</w:t>
      </w:r>
      <w:r w:rsidR="00B82215">
        <w:rPr>
          <w:rFonts w:ascii="Verdana" w:hAnsi="Verdana"/>
          <w:sz w:val="18"/>
          <w:szCs w:val="18"/>
        </w:rPr>
        <w:t>e</w:t>
      </w:r>
      <w:r w:rsidRPr="00FF46E3">
        <w:rPr>
          <w:rFonts w:ascii="Verdana" w:hAnsi="Verdana"/>
          <w:sz w:val="18"/>
          <w:szCs w:val="18"/>
        </w:rPr>
        <w:t xml:space="preserve"> en eventueel telefonisch</w:t>
      </w:r>
      <w:r w:rsidR="00B82215">
        <w:rPr>
          <w:rFonts w:ascii="Verdana" w:hAnsi="Verdana"/>
          <w:sz w:val="18"/>
          <w:szCs w:val="18"/>
        </w:rPr>
        <w:t xml:space="preserve">e vroegtijdige waarschuwing moeten worden gedaan. Verder moet de entiteit informatie verzamelen en verstrekken aan het CSIRT en de toezichthoudende instantie. </w:t>
      </w:r>
      <w:r w:rsidR="008B30F0">
        <w:rPr>
          <w:rFonts w:ascii="Verdana" w:hAnsi="Verdana"/>
          <w:sz w:val="18"/>
          <w:szCs w:val="18"/>
        </w:rPr>
        <w:t xml:space="preserve">Nadat het incident is afgehandeld, moet een eindverslag worden ingediend. </w:t>
      </w:r>
      <w:r w:rsidRPr="00FF46E3">
        <w:rPr>
          <w:rFonts w:ascii="Verdana" w:hAnsi="Verdana"/>
          <w:sz w:val="18"/>
          <w:szCs w:val="18"/>
        </w:rPr>
        <w:t xml:space="preserve">De tijd die het </w:t>
      </w:r>
      <w:r w:rsidR="008B30F0">
        <w:rPr>
          <w:rFonts w:ascii="Verdana" w:hAnsi="Verdana"/>
          <w:sz w:val="18"/>
          <w:szCs w:val="18"/>
        </w:rPr>
        <w:t xml:space="preserve">de </w:t>
      </w:r>
      <w:r w:rsidRPr="00FF46E3">
        <w:rPr>
          <w:rFonts w:ascii="Verdana" w:hAnsi="Verdana"/>
          <w:sz w:val="18"/>
          <w:szCs w:val="18"/>
        </w:rPr>
        <w:t xml:space="preserve">entiteiten zal kosten om een melding en vervolghandelingen te doen onder de meldplicht zal verschillen per incident en zal onder andere afhankelijk zijn van </w:t>
      </w:r>
      <w:r w:rsidR="008B30F0">
        <w:rPr>
          <w:rFonts w:ascii="Verdana" w:hAnsi="Verdana"/>
          <w:sz w:val="18"/>
          <w:szCs w:val="18"/>
        </w:rPr>
        <w:t>de ernst en complexiteit van het significante incident</w:t>
      </w:r>
      <w:r w:rsidRPr="00FF46E3">
        <w:rPr>
          <w:rFonts w:ascii="Verdana" w:hAnsi="Verdana"/>
          <w:sz w:val="18"/>
          <w:szCs w:val="18"/>
        </w:rPr>
        <w:t xml:space="preserve">. </w:t>
      </w:r>
      <w:r w:rsidR="008B30F0">
        <w:rPr>
          <w:rFonts w:ascii="Verdana" w:hAnsi="Verdana"/>
          <w:sz w:val="18"/>
          <w:szCs w:val="18"/>
        </w:rPr>
        <w:t>Omdat het gaat om</w:t>
      </w:r>
      <w:r w:rsidRPr="00FF46E3">
        <w:rPr>
          <w:rFonts w:ascii="Verdana" w:hAnsi="Verdana"/>
          <w:sz w:val="18"/>
          <w:szCs w:val="18"/>
        </w:rPr>
        <w:t xml:space="preserve"> grootschalige of complexe incidenten</w:t>
      </w:r>
      <w:r w:rsidR="008B30F0">
        <w:rPr>
          <w:rFonts w:ascii="Verdana" w:hAnsi="Verdana"/>
          <w:sz w:val="18"/>
          <w:szCs w:val="18"/>
        </w:rPr>
        <w:t xml:space="preserve"> wordt ingeschat dat</w:t>
      </w:r>
      <w:r w:rsidRPr="00FF46E3">
        <w:rPr>
          <w:rFonts w:ascii="Verdana" w:hAnsi="Verdana"/>
          <w:sz w:val="18"/>
          <w:szCs w:val="18"/>
        </w:rPr>
        <w:t xml:space="preserve"> de melding en extra vervolghandelingen gemiddeld </w:t>
      </w:r>
      <w:r w:rsidRPr="00FF46E3" w:rsidR="00373AE1">
        <w:rPr>
          <w:rFonts w:ascii="Verdana" w:hAnsi="Verdana"/>
          <w:sz w:val="18"/>
          <w:szCs w:val="18"/>
        </w:rPr>
        <w:t xml:space="preserve">480 </w:t>
      </w:r>
      <w:r w:rsidRPr="00FF46E3">
        <w:rPr>
          <w:rFonts w:ascii="Verdana" w:hAnsi="Verdana"/>
          <w:sz w:val="18"/>
          <w:szCs w:val="18"/>
        </w:rPr>
        <w:t xml:space="preserve">minuten </w:t>
      </w:r>
      <w:r w:rsidR="008B30F0">
        <w:rPr>
          <w:rFonts w:ascii="Verdana" w:hAnsi="Verdana"/>
          <w:sz w:val="18"/>
          <w:szCs w:val="18"/>
        </w:rPr>
        <w:t>kosten</w:t>
      </w:r>
      <w:r w:rsidRPr="00FF46E3">
        <w:rPr>
          <w:rFonts w:ascii="Verdana" w:hAnsi="Verdana"/>
          <w:sz w:val="18"/>
          <w:szCs w:val="18"/>
        </w:rPr>
        <w:t xml:space="preserve"> per incident. </w:t>
      </w:r>
      <w:r w:rsidR="008B30F0">
        <w:rPr>
          <w:rFonts w:ascii="Verdana" w:hAnsi="Verdana"/>
          <w:sz w:val="18"/>
          <w:szCs w:val="18"/>
        </w:rPr>
        <w:t>Dit omvat</w:t>
      </w:r>
      <w:r w:rsidRPr="00FF46E3">
        <w:rPr>
          <w:rFonts w:ascii="Verdana" w:hAnsi="Verdana"/>
          <w:sz w:val="18"/>
          <w:szCs w:val="18"/>
        </w:rPr>
        <w:t xml:space="preserve"> </w:t>
      </w:r>
      <w:r w:rsidRPr="00FF46E3" w:rsidR="00373AE1">
        <w:rPr>
          <w:rFonts w:ascii="Verdana" w:hAnsi="Verdana"/>
          <w:sz w:val="18"/>
          <w:szCs w:val="18"/>
        </w:rPr>
        <w:t xml:space="preserve">380 </w:t>
      </w:r>
      <w:r w:rsidRPr="00FF46E3">
        <w:rPr>
          <w:rFonts w:ascii="Verdana" w:hAnsi="Verdana"/>
          <w:sz w:val="18"/>
          <w:szCs w:val="18"/>
        </w:rPr>
        <w:t xml:space="preserve">minuten voor het </w:t>
      </w:r>
      <w:r w:rsidR="008B30F0">
        <w:rPr>
          <w:rFonts w:ascii="Verdana" w:hAnsi="Verdana"/>
          <w:sz w:val="18"/>
          <w:szCs w:val="18"/>
        </w:rPr>
        <w:t>doen</w:t>
      </w:r>
      <w:r w:rsidRPr="00FF46E3" w:rsidR="008B30F0">
        <w:rPr>
          <w:rFonts w:ascii="Verdana" w:hAnsi="Verdana"/>
          <w:sz w:val="18"/>
          <w:szCs w:val="18"/>
        </w:rPr>
        <w:t xml:space="preserve"> </w:t>
      </w:r>
      <w:r w:rsidRPr="00FF46E3">
        <w:rPr>
          <w:rFonts w:ascii="Verdana" w:hAnsi="Verdana"/>
          <w:sz w:val="18"/>
          <w:szCs w:val="18"/>
        </w:rPr>
        <w:t xml:space="preserve">van de </w:t>
      </w:r>
      <w:r w:rsidR="008B30F0">
        <w:rPr>
          <w:rFonts w:ascii="Verdana" w:hAnsi="Verdana"/>
          <w:sz w:val="18"/>
          <w:szCs w:val="18"/>
        </w:rPr>
        <w:t>vroegtijdige waarschuwing, melding, update, initiële beoordeling, eventueel tussentijds verslag, eventueel voortgangsverslag</w:t>
      </w:r>
      <w:r w:rsidRPr="00FF46E3">
        <w:rPr>
          <w:rFonts w:ascii="Verdana" w:hAnsi="Verdana"/>
          <w:sz w:val="18"/>
          <w:szCs w:val="18"/>
        </w:rPr>
        <w:t xml:space="preserve"> en eindverslag en </w:t>
      </w:r>
      <w:r w:rsidRPr="00FF46E3" w:rsidR="00373AE1">
        <w:rPr>
          <w:rFonts w:ascii="Verdana" w:hAnsi="Verdana"/>
          <w:sz w:val="18"/>
          <w:szCs w:val="18"/>
        </w:rPr>
        <w:t>10</w:t>
      </w:r>
      <w:r w:rsidRPr="00FF46E3">
        <w:rPr>
          <w:rFonts w:ascii="Verdana" w:hAnsi="Verdana"/>
          <w:sz w:val="18"/>
          <w:szCs w:val="18"/>
        </w:rPr>
        <w:t xml:space="preserve">0 minuten voor extra handelingen op het verzoek van </w:t>
      </w:r>
      <w:r w:rsidRPr="00FF46E3" w:rsidR="003F2C12">
        <w:rPr>
          <w:rFonts w:ascii="Verdana" w:hAnsi="Verdana"/>
          <w:sz w:val="18"/>
          <w:szCs w:val="18"/>
        </w:rPr>
        <w:t xml:space="preserve">het </w:t>
      </w:r>
      <w:r w:rsidRPr="00FF46E3">
        <w:rPr>
          <w:rFonts w:ascii="Verdana" w:hAnsi="Verdana"/>
          <w:sz w:val="18"/>
          <w:szCs w:val="18"/>
        </w:rPr>
        <w:t xml:space="preserve">CSIRT of </w:t>
      </w:r>
      <w:r w:rsidRPr="00FF46E3" w:rsidR="003F2C12">
        <w:rPr>
          <w:rFonts w:ascii="Verdana" w:hAnsi="Verdana"/>
          <w:sz w:val="18"/>
          <w:szCs w:val="18"/>
        </w:rPr>
        <w:t>de toezichthoudende instantie</w:t>
      </w:r>
      <w:r w:rsidRPr="00FF46E3">
        <w:rPr>
          <w:rFonts w:ascii="Verdana" w:hAnsi="Verdana"/>
          <w:sz w:val="18"/>
          <w:szCs w:val="18"/>
        </w:rPr>
        <w:t>.</w:t>
      </w:r>
      <w:r w:rsidRPr="00FF46E3" w:rsidR="00EA661F">
        <w:rPr>
          <w:rFonts w:ascii="Verdana" w:hAnsi="Verdana"/>
          <w:sz w:val="18"/>
          <w:szCs w:val="18"/>
        </w:rPr>
        <w:t xml:space="preserve"> </w:t>
      </w:r>
      <w:r w:rsidRPr="00FF46E3" w:rsidR="0024368C">
        <w:rPr>
          <w:rFonts w:ascii="Verdana" w:hAnsi="Verdana"/>
          <w:sz w:val="18"/>
          <w:szCs w:val="18"/>
        </w:rPr>
        <w:t xml:space="preserve">Deze inschatting is op basis van de huidige </w:t>
      </w:r>
      <w:proofErr w:type="spellStart"/>
      <w:r w:rsidRPr="00FF46E3" w:rsidR="0024368C">
        <w:rPr>
          <w:rFonts w:ascii="Verdana" w:hAnsi="Verdana"/>
          <w:sz w:val="18"/>
          <w:szCs w:val="18"/>
        </w:rPr>
        <w:t>Wbni</w:t>
      </w:r>
      <w:proofErr w:type="spellEnd"/>
      <w:r w:rsidRPr="00FF46E3" w:rsidR="0024368C">
        <w:rPr>
          <w:rFonts w:ascii="Verdana" w:hAnsi="Verdana"/>
          <w:sz w:val="18"/>
          <w:szCs w:val="18"/>
        </w:rPr>
        <w:t xml:space="preserve"> gemaakt en afgestemd met NCSC.</w:t>
      </w:r>
    </w:p>
    <w:p w:rsidRPr="00FF46E3" w:rsidR="00953D82" w:rsidP="00592683" w:rsidRDefault="00953D82" w14:paraId="11195A6B" w14:textId="77777777">
      <w:pPr>
        <w:pStyle w:val="Geenafstand"/>
        <w:rPr>
          <w:rFonts w:ascii="Verdana" w:hAnsi="Verdana"/>
          <w:sz w:val="18"/>
          <w:szCs w:val="18"/>
        </w:rPr>
      </w:pPr>
    </w:p>
    <w:p w:rsidRPr="00FF46E3" w:rsidR="008C4500" w:rsidP="00592683" w:rsidRDefault="008C4500" w14:paraId="6CE18075" w14:textId="5DC9A2BC">
      <w:pPr>
        <w:pStyle w:val="Geenafstand"/>
        <w:rPr>
          <w:rFonts w:ascii="Verdana" w:hAnsi="Verdana"/>
          <w:sz w:val="18"/>
          <w:szCs w:val="18"/>
        </w:rPr>
      </w:pPr>
      <w:r w:rsidRPr="007D3E8F">
        <w:rPr>
          <w:rFonts w:ascii="Verdana" w:hAnsi="Verdana"/>
          <w:sz w:val="18"/>
          <w:szCs w:val="18"/>
        </w:rPr>
        <w:t xml:space="preserve">Als uurtarief wordt € </w:t>
      </w:r>
      <w:r w:rsidRPr="007D3E8F" w:rsidR="008F60A2">
        <w:rPr>
          <w:rFonts w:ascii="Verdana" w:hAnsi="Verdana"/>
          <w:sz w:val="18"/>
          <w:szCs w:val="18"/>
        </w:rPr>
        <w:t xml:space="preserve">54 </w:t>
      </w:r>
      <w:r w:rsidRPr="007D3E8F">
        <w:rPr>
          <w:rFonts w:ascii="Verdana" w:hAnsi="Verdana"/>
          <w:sz w:val="18"/>
          <w:szCs w:val="18"/>
        </w:rPr>
        <w:t xml:space="preserve">gehanteerd, een gangbaar tarief voor </w:t>
      </w:r>
      <w:r w:rsidRPr="007D3E8F" w:rsidR="00110EB7">
        <w:rPr>
          <w:rFonts w:ascii="Verdana" w:hAnsi="Verdana"/>
          <w:sz w:val="18"/>
          <w:szCs w:val="18"/>
        </w:rPr>
        <w:t xml:space="preserve">theoretisch opgeleide </w:t>
      </w:r>
      <w:r w:rsidRPr="007D3E8F">
        <w:rPr>
          <w:rFonts w:ascii="Verdana" w:hAnsi="Verdana"/>
          <w:sz w:val="18"/>
          <w:szCs w:val="18"/>
        </w:rPr>
        <w:t>kenniswerkers</w:t>
      </w:r>
      <w:r w:rsidR="00B16263">
        <w:rPr>
          <w:rFonts w:ascii="Verdana" w:hAnsi="Verdana"/>
          <w:sz w:val="18"/>
          <w:szCs w:val="18"/>
        </w:rPr>
        <w:t>.</w:t>
      </w:r>
      <w:r w:rsidRPr="007D3E8F">
        <w:rPr>
          <w:rFonts w:ascii="Verdana" w:hAnsi="Verdana"/>
          <w:sz w:val="18"/>
          <w:szCs w:val="18"/>
          <w:vertAlign w:val="superscript"/>
        </w:rPr>
        <w:footnoteReference w:id="75"/>
      </w:r>
      <w:r w:rsidRPr="007D3E8F">
        <w:rPr>
          <w:rFonts w:ascii="Verdana" w:hAnsi="Verdana"/>
          <w:sz w:val="18"/>
          <w:szCs w:val="18"/>
        </w:rPr>
        <w:t xml:space="preserve"> Voor een entiteiten </w:t>
      </w:r>
      <w:r w:rsidRPr="007D3E8F" w:rsidR="00110EB7">
        <w:rPr>
          <w:rFonts w:ascii="Verdana" w:hAnsi="Verdana"/>
          <w:sz w:val="18"/>
          <w:szCs w:val="18"/>
        </w:rPr>
        <w:t xml:space="preserve">die niet onder de </w:t>
      </w:r>
      <w:proofErr w:type="spellStart"/>
      <w:r w:rsidRPr="007D3E8F" w:rsidR="00110EB7">
        <w:rPr>
          <w:rFonts w:ascii="Verdana" w:hAnsi="Verdana"/>
          <w:sz w:val="18"/>
          <w:szCs w:val="18"/>
        </w:rPr>
        <w:t>Wbni</w:t>
      </w:r>
      <w:proofErr w:type="spellEnd"/>
      <w:r w:rsidRPr="007D3E8F" w:rsidR="00110EB7">
        <w:rPr>
          <w:rFonts w:ascii="Verdana" w:hAnsi="Verdana"/>
          <w:sz w:val="18"/>
          <w:szCs w:val="18"/>
        </w:rPr>
        <w:t xml:space="preserve"> vallen en onder de </w:t>
      </w:r>
      <w:proofErr w:type="spellStart"/>
      <w:r w:rsidRPr="007D3E8F" w:rsidR="00110EB7">
        <w:rPr>
          <w:rFonts w:ascii="Verdana" w:hAnsi="Verdana"/>
          <w:sz w:val="18"/>
          <w:szCs w:val="18"/>
        </w:rPr>
        <w:t>Cbw</w:t>
      </w:r>
      <w:proofErr w:type="spellEnd"/>
      <w:r w:rsidRPr="007D3E8F" w:rsidR="00110EB7">
        <w:rPr>
          <w:rFonts w:ascii="Verdana" w:hAnsi="Verdana"/>
          <w:sz w:val="18"/>
          <w:szCs w:val="18"/>
        </w:rPr>
        <w:t xml:space="preserve"> gaan vallen, </w:t>
      </w:r>
      <w:r w:rsidRPr="007D3E8F">
        <w:rPr>
          <w:rFonts w:ascii="Verdana" w:hAnsi="Verdana"/>
          <w:sz w:val="18"/>
          <w:szCs w:val="18"/>
        </w:rPr>
        <w:t xml:space="preserve">is de meldplicht bij </w:t>
      </w:r>
      <w:r w:rsidRPr="007D3E8F" w:rsidR="008B30F0">
        <w:rPr>
          <w:rFonts w:ascii="Verdana" w:hAnsi="Verdana"/>
          <w:sz w:val="18"/>
          <w:szCs w:val="18"/>
        </w:rPr>
        <w:t xml:space="preserve">significante </w:t>
      </w:r>
      <w:r w:rsidRPr="007D3E8F">
        <w:rPr>
          <w:rFonts w:ascii="Verdana" w:hAnsi="Verdana"/>
          <w:sz w:val="18"/>
          <w:szCs w:val="18"/>
        </w:rPr>
        <w:t xml:space="preserve">incidenten nieuw. </w:t>
      </w:r>
      <w:r w:rsidRPr="007D3E8F" w:rsidR="00110EB7">
        <w:rPr>
          <w:rFonts w:ascii="Verdana" w:hAnsi="Verdana"/>
          <w:sz w:val="18"/>
          <w:szCs w:val="18"/>
        </w:rPr>
        <w:t xml:space="preserve">Voor nieuwe entiteiten </w:t>
      </w:r>
      <w:r w:rsidRPr="007D3E8F">
        <w:rPr>
          <w:rFonts w:ascii="Verdana" w:hAnsi="Verdana"/>
          <w:sz w:val="18"/>
          <w:szCs w:val="18"/>
        </w:rPr>
        <w:t xml:space="preserve">bedragen de administratieve lasten per melding </w:t>
      </w:r>
      <w:r w:rsidRPr="007D3E8F" w:rsidR="00373AE1">
        <w:rPr>
          <w:rFonts w:ascii="Verdana" w:hAnsi="Verdana"/>
          <w:sz w:val="18"/>
          <w:szCs w:val="18"/>
        </w:rPr>
        <w:t xml:space="preserve">480 </w:t>
      </w:r>
      <w:r w:rsidRPr="007D3E8F">
        <w:rPr>
          <w:rFonts w:ascii="Verdana" w:hAnsi="Verdana"/>
          <w:sz w:val="18"/>
          <w:szCs w:val="18"/>
        </w:rPr>
        <w:t>minuten (€</w:t>
      </w:r>
      <w:r w:rsidRPr="007D3E8F" w:rsidR="00B10548">
        <w:rPr>
          <w:rFonts w:ascii="Verdana" w:hAnsi="Verdana"/>
          <w:sz w:val="18"/>
          <w:szCs w:val="18"/>
        </w:rPr>
        <w:t>54 * (480 min / 60) = € 432</w:t>
      </w:r>
      <w:r w:rsidRPr="007D3E8F">
        <w:rPr>
          <w:rFonts w:ascii="Verdana" w:hAnsi="Verdana"/>
          <w:sz w:val="18"/>
          <w:szCs w:val="18"/>
        </w:rPr>
        <w:t>)</w:t>
      </w:r>
      <w:r w:rsidRPr="007D3E8F" w:rsidR="00110EB7">
        <w:rPr>
          <w:rFonts w:ascii="Verdana" w:hAnsi="Verdana"/>
          <w:sz w:val="18"/>
          <w:szCs w:val="18"/>
        </w:rPr>
        <w:t xml:space="preserve">. Voor entiteiten die reeds </w:t>
      </w:r>
      <w:r w:rsidRPr="007D3E8F">
        <w:rPr>
          <w:rFonts w:ascii="Verdana" w:hAnsi="Verdana"/>
          <w:sz w:val="18"/>
          <w:szCs w:val="18"/>
        </w:rPr>
        <w:t xml:space="preserve">onder de </w:t>
      </w:r>
      <w:proofErr w:type="spellStart"/>
      <w:r w:rsidRPr="007D3E8F">
        <w:rPr>
          <w:rFonts w:ascii="Verdana" w:hAnsi="Verdana"/>
          <w:sz w:val="18"/>
          <w:szCs w:val="18"/>
        </w:rPr>
        <w:t>Wbni</w:t>
      </w:r>
      <w:proofErr w:type="spellEnd"/>
      <w:r w:rsidRPr="007D3E8F">
        <w:rPr>
          <w:rFonts w:ascii="Verdana" w:hAnsi="Verdana"/>
          <w:sz w:val="18"/>
          <w:szCs w:val="18"/>
        </w:rPr>
        <w:t xml:space="preserve"> </w:t>
      </w:r>
      <w:r w:rsidRPr="007D3E8F" w:rsidR="003F2C12">
        <w:rPr>
          <w:rFonts w:ascii="Verdana" w:hAnsi="Verdana"/>
          <w:sz w:val="18"/>
          <w:szCs w:val="18"/>
        </w:rPr>
        <w:t xml:space="preserve">vallen </w:t>
      </w:r>
      <w:r w:rsidRPr="007D3E8F" w:rsidR="00110EB7">
        <w:rPr>
          <w:rFonts w:ascii="Verdana" w:hAnsi="Verdana"/>
          <w:sz w:val="18"/>
          <w:szCs w:val="18"/>
        </w:rPr>
        <w:t xml:space="preserve">wordt </w:t>
      </w:r>
      <w:r w:rsidRPr="007D3E8F" w:rsidR="00373AE1">
        <w:rPr>
          <w:rFonts w:ascii="Verdana" w:hAnsi="Verdana"/>
          <w:sz w:val="18"/>
          <w:szCs w:val="18"/>
        </w:rPr>
        <w:t>een kleinere toename verwacht</w:t>
      </w:r>
      <w:r w:rsidRPr="007D3E8F" w:rsidR="00110EB7">
        <w:rPr>
          <w:rFonts w:ascii="Verdana" w:hAnsi="Verdana"/>
          <w:sz w:val="18"/>
          <w:szCs w:val="18"/>
        </w:rPr>
        <w:t xml:space="preserve"> in</w:t>
      </w:r>
      <w:r w:rsidRPr="007D3E8F" w:rsidR="00373AE1">
        <w:rPr>
          <w:rFonts w:ascii="Verdana" w:hAnsi="Verdana"/>
          <w:sz w:val="18"/>
          <w:szCs w:val="18"/>
        </w:rPr>
        <w:t xml:space="preserve"> regeldrukkosten</w:t>
      </w:r>
      <w:r w:rsidRPr="007D3E8F" w:rsidR="00110EB7">
        <w:rPr>
          <w:rFonts w:ascii="Verdana" w:hAnsi="Verdana"/>
          <w:sz w:val="18"/>
          <w:szCs w:val="18"/>
        </w:rPr>
        <w:t>,</w:t>
      </w:r>
      <w:r w:rsidRPr="007D3E8F" w:rsidR="00373AE1">
        <w:rPr>
          <w:rFonts w:ascii="Verdana" w:hAnsi="Verdana"/>
          <w:sz w:val="18"/>
          <w:szCs w:val="18"/>
        </w:rPr>
        <w:t xml:space="preserve"> 180 minuten per melding (€ </w:t>
      </w:r>
      <w:r w:rsidRPr="007D3E8F" w:rsidR="00B10548">
        <w:rPr>
          <w:rFonts w:ascii="Verdana" w:hAnsi="Verdana"/>
          <w:sz w:val="18"/>
          <w:szCs w:val="18"/>
        </w:rPr>
        <w:t>54 * (180 min / 60) = € 162</w:t>
      </w:r>
      <w:r w:rsidRPr="007D3E8F" w:rsidR="00373AE1">
        <w:rPr>
          <w:rFonts w:ascii="Verdana" w:hAnsi="Verdana"/>
          <w:sz w:val="18"/>
          <w:szCs w:val="18"/>
        </w:rPr>
        <w:t>)</w:t>
      </w:r>
      <w:r w:rsidRPr="007D3E8F">
        <w:rPr>
          <w:rFonts w:ascii="Verdana" w:hAnsi="Verdana"/>
          <w:sz w:val="18"/>
          <w:szCs w:val="18"/>
        </w:rPr>
        <w:t>. Als rekenvoorbeeld</w:t>
      </w:r>
      <w:r w:rsidRPr="007D3E8F" w:rsidR="00110EB7">
        <w:rPr>
          <w:rFonts w:ascii="Verdana" w:hAnsi="Verdana"/>
          <w:sz w:val="18"/>
          <w:szCs w:val="18"/>
        </w:rPr>
        <w:t xml:space="preserve"> voor het totaal</w:t>
      </w:r>
      <w:r w:rsidRPr="007D3E8F">
        <w:rPr>
          <w:rFonts w:ascii="Verdana" w:hAnsi="Verdana"/>
          <w:sz w:val="18"/>
          <w:szCs w:val="18"/>
        </w:rPr>
        <w:t xml:space="preserve">, wanneer uitgegaan wordt van 1.000 meldingen per jaar, waaronder 900 meldingen vanuit nieuwe entiteiten en 100 vanuit entiteiten die </w:t>
      </w:r>
      <w:r w:rsidRPr="007D3E8F" w:rsidR="003F2C12">
        <w:rPr>
          <w:rFonts w:ascii="Verdana" w:hAnsi="Verdana"/>
          <w:sz w:val="18"/>
          <w:szCs w:val="18"/>
        </w:rPr>
        <w:t xml:space="preserve">nu </w:t>
      </w:r>
      <w:r w:rsidRPr="007D3E8F">
        <w:rPr>
          <w:rFonts w:ascii="Verdana" w:hAnsi="Verdana"/>
          <w:sz w:val="18"/>
          <w:szCs w:val="18"/>
        </w:rPr>
        <w:t xml:space="preserve">al onder de </w:t>
      </w:r>
      <w:proofErr w:type="spellStart"/>
      <w:r w:rsidRPr="007D3E8F">
        <w:rPr>
          <w:rFonts w:ascii="Verdana" w:hAnsi="Verdana"/>
          <w:sz w:val="18"/>
          <w:szCs w:val="18"/>
        </w:rPr>
        <w:t>Wbni</w:t>
      </w:r>
      <w:proofErr w:type="spellEnd"/>
      <w:r w:rsidRPr="007D3E8F">
        <w:rPr>
          <w:rFonts w:ascii="Verdana" w:hAnsi="Verdana"/>
          <w:sz w:val="18"/>
          <w:szCs w:val="18"/>
        </w:rPr>
        <w:t xml:space="preserve"> </w:t>
      </w:r>
      <w:r w:rsidRPr="007D3E8F" w:rsidR="003F2C12">
        <w:rPr>
          <w:rFonts w:ascii="Verdana" w:hAnsi="Verdana"/>
          <w:sz w:val="18"/>
          <w:szCs w:val="18"/>
        </w:rPr>
        <w:t>vallen</w:t>
      </w:r>
      <w:r w:rsidRPr="007D3E8F">
        <w:rPr>
          <w:rFonts w:ascii="Verdana" w:hAnsi="Verdana"/>
          <w:sz w:val="18"/>
          <w:szCs w:val="18"/>
        </w:rPr>
        <w:t xml:space="preserve">, zou dit neerkomen op structurele jaarlijkse regeldrukkosten van (900 x € </w:t>
      </w:r>
      <w:r w:rsidRPr="007D3E8F" w:rsidR="00B10548">
        <w:rPr>
          <w:rFonts w:ascii="Verdana" w:hAnsi="Verdana"/>
          <w:sz w:val="18"/>
          <w:szCs w:val="18"/>
        </w:rPr>
        <w:t>432</w:t>
      </w:r>
      <w:r w:rsidRPr="007D3E8F">
        <w:rPr>
          <w:rFonts w:ascii="Verdana" w:hAnsi="Verdana"/>
          <w:sz w:val="18"/>
          <w:szCs w:val="18"/>
        </w:rPr>
        <w:t xml:space="preserve">) + (100 x € </w:t>
      </w:r>
      <w:r w:rsidRPr="007D3E8F" w:rsidR="00B10548">
        <w:rPr>
          <w:rFonts w:ascii="Verdana" w:hAnsi="Verdana"/>
          <w:sz w:val="18"/>
          <w:szCs w:val="18"/>
        </w:rPr>
        <w:t>162</w:t>
      </w:r>
      <w:r w:rsidRPr="007D3E8F">
        <w:rPr>
          <w:rFonts w:ascii="Verdana" w:hAnsi="Verdana"/>
          <w:sz w:val="18"/>
          <w:szCs w:val="18"/>
        </w:rPr>
        <w:t xml:space="preserve">) </w:t>
      </w:r>
      <w:r w:rsidRPr="007D3E8F" w:rsidR="003F2C12">
        <w:rPr>
          <w:rFonts w:ascii="Verdana" w:hAnsi="Verdana"/>
          <w:sz w:val="18"/>
          <w:szCs w:val="18"/>
        </w:rPr>
        <w:t xml:space="preserve">= </w:t>
      </w:r>
      <w:r w:rsidRPr="007D3E8F">
        <w:rPr>
          <w:rFonts w:ascii="Verdana" w:hAnsi="Verdana"/>
          <w:sz w:val="18"/>
          <w:szCs w:val="18"/>
        </w:rPr>
        <w:t xml:space="preserve">€ </w:t>
      </w:r>
      <w:r w:rsidRPr="007D3E8F" w:rsidR="00373AE1">
        <w:rPr>
          <w:rFonts w:ascii="Verdana" w:hAnsi="Verdana"/>
          <w:sz w:val="18"/>
          <w:szCs w:val="18"/>
        </w:rPr>
        <w:t>4</w:t>
      </w:r>
      <w:r w:rsidRPr="007D3E8F" w:rsidR="00B10548">
        <w:rPr>
          <w:rFonts w:ascii="Verdana" w:hAnsi="Verdana"/>
          <w:sz w:val="18"/>
          <w:szCs w:val="18"/>
        </w:rPr>
        <w:t>05</w:t>
      </w:r>
      <w:r w:rsidRPr="007D3E8F">
        <w:rPr>
          <w:rFonts w:ascii="Verdana" w:hAnsi="Verdana"/>
          <w:sz w:val="18"/>
          <w:szCs w:val="18"/>
        </w:rPr>
        <w:t>.000.</w:t>
      </w:r>
    </w:p>
    <w:p w:rsidRPr="00FF46E3" w:rsidR="00953D82" w:rsidP="00592683" w:rsidRDefault="00953D82" w14:paraId="2F7E6C16" w14:textId="77777777">
      <w:pPr>
        <w:pStyle w:val="Geenafstand"/>
        <w:rPr>
          <w:rFonts w:ascii="Verdana" w:hAnsi="Verdana"/>
          <w:sz w:val="18"/>
          <w:szCs w:val="18"/>
        </w:rPr>
      </w:pPr>
    </w:p>
    <w:p w:rsidRPr="00FF46E3" w:rsidR="008C4500" w:rsidP="00592683" w:rsidRDefault="008C4500" w14:paraId="2209FA66" w14:textId="0048DEA1">
      <w:pPr>
        <w:pStyle w:val="Geenafstand"/>
        <w:rPr>
          <w:rFonts w:ascii="Verdana" w:hAnsi="Verdana"/>
          <w:sz w:val="18"/>
          <w:szCs w:val="18"/>
        </w:rPr>
      </w:pPr>
      <w:r w:rsidRPr="00FF46E3">
        <w:rPr>
          <w:rFonts w:ascii="Verdana" w:hAnsi="Verdana"/>
          <w:sz w:val="18"/>
          <w:szCs w:val="18"/>
        </w:rPr>
        <w:t>Aanvullend op het voorgaande zijn entiteiten ook verplicht de ontvangers van hun diensten in kennis te stellen van significante incidenten die deze diensten kunnen verstoren. De regeldrukkosten hiervan kunnen afhankelijk zijn van het aantal ontvangers.</w:t>
      </w:r>
    </w:p>
    <w:p w:rsidRPr="00FF46E3" w:rsidR="008C4500" w:rsidP="00592683" w:rsidRDefault="008C4500" w14:paraId="06917360" w14:textId="77777777">
      <w:pPr>
        <w:pStyle w:val="Geenafstand"/>
        <w:rPr>
          <w:rFonts w:ascii="Verdana" w:hAnsi="Verdana"/>
          <w:sz w:val="18"/>
          <w:szCs w:val="18"/>
        </w:rPr>
      </w:pPr>
    </w:p>
    <w:p w:rsidRPr="00FF46E3" w:rsidR="008C4500" w:rsidP="00C3466E" w:rsidRDefault="003B674F" w14:paraId="218549A0" w14:textId="77162F4F">
      <w:pPr>
        <w:pStyle w:val="Kop3"/>
        <w:rPr>
          <w:rFonts w:eastAsiaTheme="minorHAnsi"/>
        </w:rPr>
      </w:pPr>
      <w:bookmarkStart w:name="_Toc198721134" w:id="195"/>
      <w:r w:rsidRPr="00FF46E3">
        <w:rPr>
          <w:rFonts w:eastAsiaTheme="minorHAnsi"/>
        </w:rPr>
        <w:t>8.1.</w:t>
      </w:r>
      <w:r w:rsidR="004D6FB1">
        <w:rPr>
          <w:rFonts w:eastAsiaTheme="minorHAnsi"/>
        </w:rPr>
        <w:t>5</w:t>
      </w:r>
      <w:r w:rsidRPr="00FF46E3">
        <w:rPr>
          <w:rFonts w:eastAsiaTheme="minorHAnsi"/>
        </w:rPr>
        <w:t xml:space="preserve"> </w:t>
      </w:r>
      <w:r w:rsidRPr="00FF46E3" w:rsidR="008C4500">
        <w:rPr>
          <w:rFonts w:eastAsiaTheme="minorHAnsi"/>
        </w:rPr>
        <w:t>Registratieplicht</w:t>
      </w:r>
      <w:bookmarkEnd w:id="195"/>
    </w:p>
    <w:p w:rsidRPr="00FF46E3" w:rsidR="008C4500" w:rsidP="00592683" w:rsidRDefault="008C4500" w14:paraId="11665273" w14:textId="77777777">
      <w:pPr>
        <w:pStyle w:val="Geenafstand"/>
        <w:rPr>
          <w:rFonts w:ascii="Verdana" w:hAnsi="Verdana"/>
          <w:sz w:val="18"/>
          <w:szCs w:val="18"/>
        </w:rPr>
      </w:pPr>
    </w:p>
    <w:p w:rsidRPr="00FF46E3" w:rsidR="008C4500" w:rsidP="00592683" w:rsidRDefault="008C4500" w14:paraId="1D75B8A8" w14:textId="63B9354D">
      <w:pPr>
        <w:pStyle w:val="Geenafstand"/>
        <w:rPr>
          <w:rFonts w:ascii="Verdana" w:hAnsi="Verdana"/>
          <w:sz w:val="18"/>
          <w:szCs w:val="18"/>
        </w:rPr>
      </w:pPr>
      <w:r w:rsidRPr="00FF46E3">
        <w:rPr>
          <w:rFonts w:ascii="Verdana" w:hAnsi="Verdana"/>
          <w:sz w:val="18"/>
          <w:szCs w:val="18"/>
        </w:rPr>
        <w:t xml:space="preserve">Entiteiten die onder de reikwijdte van </w:t>
      </w:r>
      <w:r w:rsidRPr="00FF46E3" w:rsidR="00604685">
        <w:rPr>
          <w:rFonts w:ascii="Verdana" w:hAnsi="Verdana"/>
          <w:sz w:val="18"/>
          <w:szCs w:val="18"/>
        </w:rPr>
        <w:t xml:space="preserve">de </w:t>
      </w:r>
      <w:proofErr w:type="spellStart"/>
      <w:r w:rsidRPr="00FF46E3" w:rsidR="00604685">
        <w:rPr>
          <w:rFonts w:ascii="Verdana" w:hAnsi="Verdana"/>
          <w:sz w:val="18"/>
          <w:szCs w:val="18"/>
        </w:rPr>
        <w:t>Cbw</w:t>
      </w:r>
      <w:proofErr w:type="spellEnd"/>
      <w:r w:rsidRPr="00FF46E3">
        <w:rPr>
          <w:rFonts w:ascii="Verdana" w:hAnsi="Verdana"/>
          <w:sz w:val="18"/>
          <w:szCs w:val="18"/>
        </w:rPr>
        <w:t xml:space="preserve"> vallen dienen zich te registreren bij </w:t>
      </w:r>
      <w:r w:rsidR="00D3513F">
        <w:rPr>
          <w:rFonts w:ascii="Verdana" w:hAnsi="Verdana"/>
          <w:sz w:val="18"/>
          <w:szCs w:val="18"/>
        </w:rPr>
        <w:t>de Minister van Justitie en Veiligheid</w:t>
      </w:r>
      <w:r w:rsidRPr="00FF46E3">
        <w:rPr>
          <w:rFonts w:ascii="Verdana" w:hAnsi="Verdana"/>
          <w:sz w:val="18"/>
          <w:szCs w:val="18"/>
        </w:rPr>
        <w:t xml:space="preserve">. Dit betreft een administratieve last. Hierbij moeten contactgegevens en IP-bereiken worden opgegeven, alsmede de sector en lidstaten waarin de entiteit opereert. Ook dienen wijzigingen </w:t>
      </w:r>
      <w:r w:rsidR="00D3513F">
        <w:rPr>
          <w:rFonts w:ascii="Verdana" w:hAnsi="Verdana"/>
          <w:sz w:val="18"/>
          <w:szCs w:val="18"/>
        </w:rPr>
        <w:t>hiervan</w:t>
      </w:r>
      <w:r w:rsidRPr="00FF46E3">
        <w:rPr>
          <w:rFonts w:ascii="Verdana" w:hAnsi="Verdana"/>
          <w:sz w:val="18"/>
          <w:szCs w:val="18"/>
        </w:rPr>
        <w:t xml:space="preserve"> binnen twee weken te worden doorgegeven.</w:t>
      </w:r>
    </w:p>
    <w:p w:rsidRPr="00FF46E3" w:rsidR="00B67D01" w:rsidP="00592683" w:rsidRDefault="00B67D01" w14:paraId="3ABF434F" w14:textId="77777777">
      <w:pPr>
        <w:pStyle w:val="Geenafstand"/>
        <w:rPr>
          <w:rFonts w:ascii="Verdana" w:hAnsi="Verdana"/>
          <w:sz w:val="18"/>
          <w:szCs w:val="18"/>
        </w:rPr>
      </w:pPr>
    </w:p>
    <w:p w:rsidRPr="00FF46E3" w:rsidR="008C4500" w:rsidP="00592683" w:rsidRDefault="008C4500" w14:paraId="4839C552" w14:textId="0E53546B">
      <w:pPr>
        <w:pStyle w:val="Geenafstand"/>
        <w:rPr>
          <w:rFonts w:ascii="Verdana" w:hAnsi="Verdana"/>
          <w:sz w:val="18"/>
          <w:szCs w:val="18"/>
        </w:rPr>
      </w:pPr>
      <w:r w:rsidRPr="00FF46E3">
        <w:rPr>
          <w:rFonts w:ascii="Verdana" w:hAnsi="Verdana"/>
          <w:sz w:val="18"/>
          <w:szCs w:val="18"/>
        </w:rPr>
        <w:t xml:space="preserve">Het uitgangspunt is dat de registratieprocedure zo wordt ingericht, dat de regeldruk geminimaliseerd is. Voor de eerste registratie wordt ingeschat dat entiteiten maximaal 2 uur nodig hebben (€ </w:t>
      </w:r>
      <w:r w:rsidR="00B10548">
        <w:rPr>
          <w:rFonts w:ascii="Verdana" w:hAnsi="Verdana"/>
          <w:sz w:val="18"/>
          <w:szCs w:val="18"/>
        </w:rPr>
        <w:t xml:space="preserve">54 </w:t>
      </w:r>
      <w:r w:rsidR="0078010D">
        <w:rPr>
          <w:rFonts w:ascii="Verdana" w:hAnsi="Verdana"/>
          <w:sz w:val="18"/>
          <w:szCs w:val="18"/>
        </w:rPr>
        <w:t>×</w:t>
      </w:r>
      <w:r w:rsidR="00B10548">
        <w:rPr>
          <w:rFonts w:ascii="Verdana" w:hAnsi="Verdana"/>
          <w:sz w:val="18"/>
          <w:szCs w:val="18"/>
        </w:rPr>
        <w:t xml:space="preserve"> </w:t>
      </w:r>
      <w:r w:rsidR="0078010D">
        <w:rPr>
          <w:rFonts w:ascii="Verdana" w:hAnsi="Verdana"/>
          <w:sz w:val="18"/>
          <w:szCs w:val="18"/>
        </w:rPr>
        <w:t>2 uur</w:t>
      </w:r>
      <w:r w:rsidR="00B10548">
        <w:rPr>
          <w:rFonts w:ascii="Verdana" w:hAnsi="Verdana"/>
          <w:sz w:val="18"/>
          <w:szCs w:val="18"/>
        </w:rPr>
        <w:t xml:space="preserve"> = €</w:t>
      </w:r>
      <w:r w:rsidR="0078010D">
        <w:rPr>
          <w:rFonts w:ascii="Verdana" w:hAnsi="Verdana"/>
          <w:sz w:val="18"/>
          <w:szCs w:val="18"/>
        </w:rPr>
        <w:t xml:space="preserve"> </w:t>
      </w:r>
      <w:r w:rsidR="00B10548">
        <w:rPr>
          <w:rFonts w:ascii="Verdana" w:hAnsi="Verdana"/>
          <w:sz w:val="18"/>
          <w:szCs w:val="18"/>
        </w:rPr>
        <w:t>108</w:t>
      </w:r>
      <w:r w:rsidRPr="00FF46E3">
        <w:rPr>
          <w:rFonts w:ascii="Verdana" w:hAnsi="Verdana"/>
          <w:sz w:val="18"/>
          <w:szCs w:val="18"/>
        </w:rPr>
        <w:t xml:space="preserve">). Latere wijzigingen worden geschat op 30 minuten per wijziging (€ </w:t>
      </w:r>
      <w:r w:rsidR="00B10548">
        <w:rPr>
          <w:rFonts w:ascii="Verdana" w:hAnsi="Verdana"/>
          <w:sz w:val="18"/>
          <w:szCs w:val="18"/>
        </w:rPr>
        <w:t xml:space="preserve">54 </w:t>
      </w:r>
      <w:r w:rsidR="0078010D">
        <w:rPr>
          <w:rFonts w:ascii="Verdana" w:hAnsi="Verdana"/>
          <w:sz w:val="18"/>
          <w:szCs w:val="18"/>
        </w:rPr>
        <w:t>×</w:t>
      </w:r>
      <w:r w:rsidR="00B10548">
        <w:rPr>
          <w:rFonts w:ascii="Verdana" w:hAnsi="Verdana"/>
          <w:sz w:val="18"/>
          <w:szCs w:val="18"/>
        </w:rPr>
        <w:t xml:space="preserve"> 0,5</w:t>
      </w:r>
      <w:r w:rsidR="0078010D">
        <w:rPr>
          <w:rFonts w:ascii="Verdana" w:hAnsi="Verdana"/>
          <w:sz w:val="18"/>
          <w:szCs w:val="18"/>
        </w:rPr>
        <w:t xml:space="preserve"> uur</w:t>
      </w:r>
      <w:r w:rsidR="00B10548">
        <w:rPr>
          <w:rFonts w:ascii="Verdana" w:hAnsi="Verdana"/>
          <w:sz w:val="18"/>
          <w:szCs w:val="18"/>
        </w:rPr>
        <w:t xml:space="preserve"> = € 27</w:t>
      </w:r>
      <w:r w:rsidRPr="00FF46E3">
        <w:rPr>
          <w:rFonts w:ascii="Verdana" w:hAnsi="Verdana"/>
          <w:sz w:val="18"/>
          <w:szCs w:val="18"/>
        </w:rPr>
        <w:t>).</w:t>
      </w:r>
    </w:p>
    <w:p w:rsidRPr="00FF46E3" w:rsidR="00B67D01" w:rsidP="00592683" w:rsidRDefault="00B67D01" w14:paraId="6E24095E" w14:textId="77777777">
      <w:pPr>
        <w:pStyle w:val="Geenafstand"/>
        <w:rPr>
          <w:rFonts w:ascii="Verdana" w:hAnsi="Verdana"/>
          <w:sz w:val="18"/>
          <w:szCs w:val="18"/>
        </w:rPr>
      </w:pPr>
    </w:p>
    <w:p w:rsidR="008C4500" w:rsidP="00592683" w:rsidRDefault="008C4500" w14:paraId="04652040" w14:textId="029A53D2">
      <w:pPr>
        <w:pStyle w:val="Geenafstand"/>
        <w:rPr>
          <w:rFonts w:ascii="Verdana" w:hAnsi="Verdana"/>
          <w:sz w:val="18"/>
          <w:szCs w:val="18"/>
        </w:rPr>
      </w:pPr>
      <w:r w:rsidRPr="00FF46E3">
        <w:rPr>
          <w:rFonts w:ascii="Verdana" w:hAnsi="Verdana"/>
          <w:sz w:val="18"/>
          <w:szCs w:val="18"/>
        </w:rPr>
        <w:t xml:space="preserve">Uitgaande van </w:t>
      </w:r>
      <w:r w:rsidRPr="00FF46E3" w:rsidR="00373AE1">
        <w:rPr>
          <w:rFonts w:ascii="Verdana" w:hAnsi="Verdana"/>
          <w:sz w:val="18"/>
          <w:szCs w:val="18"/>
        </w:rPr>
        <w:t>8</w:t>
      </w:r>
      <w:r w:rsidRPr="00FF46E3">
        <w:rPr>
          <w:rFonts w:ascii="Verdana" w:hAnsi="Verdana"/>
          <w:sz w:val="18"/>
          <w:szCs w:val="18"/>
        </w:rPr>
        <w:t>.</w:t>
      </w:r>
      <w:r w:rsidRPr="00FF46E3" w:rsidR="00373AE1">
        <w:rPr>
          <w:rFonts w:ascii="Verdana" w:hAnsi="Verdana"/>
          <w:sz w:val="18"/>
          <w:szCs w:val="18"/>
        </w:rPr>
        <w:t>100</w:t>
      </w:r>
      <w:r w:rsidRPr="00FF46E3">
        <w:rPr>
          <w:rFonts w:ascii="Verdana" w:hAnsi="Verdana"/>
          <w:sz w:val="18"/>
          <w:szCs w:val="18"/>
        </w:rPr>
        <w:t xml:space="preserve"> eerste registraties van entiteiten, betekent dit eenmalige regeldrukkosten van </w:t>
      </w:r>
      <w:r w:rsidRPr="00FF46E3" w:rsidR="00373AE1">
        <w:rPr>
          <w:rFonts w:ascii="Verdana" w:hAnsi="Verdana"/>
          <w:sz w:val="18"/>
          <w:szCs w:val="18"/>
        </w:rPr>
        <w:t>8</w:t>
      </w:r>
      <w:r w:rsidRPr="00FF46E3">
        <w:rPr>
          <w:rFonts w:ascii="Verdana" w:hAnsi="Verdana"/>
          <w:sz w:val="18"/>
          <w:szCs w:val="18"/>
        </w:rPr>
        <w:t>.</w:t>
      </w:r>
      <w:r w:rsidRPr="00FF46E3" w:rsidR="00373AE1">
        <w:rPr>
          <w:rFonts w:ascii="Verdana" w:hAnsi="Verdana"/>
          <w:sz w:val="18"/>
          <w:szCs w:val="18"/>
        </w:rPr>
        <w:t xml:space="preserve">100 </w:t>
      </w:r>
      <w:r w:rsidR="0078010D">
        <w:rPr>
          <w:rFonts w:ascii="Verdana" w:hAnsi="Verdana"/>
          <w:sz w:val="18"/>
          <w:szCs w:val="18"/>
        </w:rPr>
        <w:t>×</w:t>
      </w:r>
      <w:r w:rsidRPr="00FF46E3">
        <w:rPr>
          <w:rFonts w:ascii="Verdana" w:hAnsi="Verdana"/>
          <w:sz w:val="18"/>
          <w:szCs w:val="18"/>
        </w:rPr>
        <w:t xml:space="preserve"> € </w:t>
      </w:r>
      <w:r w:rsidR="00B10548">
        <w:rPr>
          <w:rFonts w:ascii="Verdana" w:hAnsi="Verdana"/>
          <w:sz w:val="18"/>
          <w:szCs w:val="18"/>
        </w:rPr>
        <w:t>108</w:t>
      </w:r>
      <w:r w:rsidRPr="00FF46E3" w:rsidR="00B10548">
        <w:rPr>
          <w:rFonts w:ascii="Verdana" w:hAnsi="Verdana"/>
          <w:sz w:val="18"/>
          <w:szCs w:val="18"/>
        </w:rPr>
        <w:t xml:space="preserve"> </w:t>
      </w:r>
      <w:r w:rsidRPr="00FF46E3">
        <w:rPr>
          <w:rFonts w:ascii="Verdana" w:hAnsi="Verdana"/>
          <w:sz w:val="18"/>
          <w:szCs w:val="18"/>
        </w:rPr>
        <w:t xml:space="preserve">= € </w:t>
      </w:r>
      <w:r w:rsidR="00B10548">
        <w:rPr>
          <w:rFonts w:ascii="Verdana" w:hAnsi="Verdana"/>
          <w:sz w:val="18"/>
          <w:szCs w:val="18"/>
        </w:rPr>
        <w:t>874.800</w:t>
      </w:r>
      <w:r w:rsidRPr="00FF46E3">
        <w:rPr>
          <w:rFonts w:ascii="Verdana" w:hAnsi="Verdana"/>
          <w:sz w:val="18"/>
          <w:szCs w:val="18"/>
        </w:rPr>
        <w:t xml:space="preserve">. </w:t>
      </w:r>
      <w:r w:rsidR="00FF5804">
        <w:rPr>
          <w:rFonts w:ascii="Verdana" w:hAnsi="Verdana"/>
          <w:sz w:val="18"/>
          <w:szCs w:val="18"/>
        </w:rPr>
        <w:t xml:space="preserve">Indien uitgegaan wordt van </w:t>
      </w:r>
      <w:r w:rsidRPr="00FF46E3">
        <w:rPr>
          <w:rFonts w:ascii="Verdana" w:hAnsi="Verdana"/>
          <w:sz w:val="18"/>
          <w:szCs w:val="18"/>
        </w:rPr>
        <w:t xml:space="preserve">1.000 wijzigingen per jaar, geeft </w:t>
      </w:r>
      <w:r w:rsidR="00FF5804">
        <w:rPr>
          <w:rFonts w:ascii="Verdana" w:hAnsi="Verdana"/>
          <w:sz w:val="18"/>
          <w:szCs w:val="18"/>
        </w:rPr>
        <w:t xml:space="preserve">dit </w:t>
      </w:r>
      <w:r w:rsidRPr="00FF46E3">
        <w:rPr>
          <w:rFonts w:ascii="Verdana" w:hAnsi="Verdana"/>
          <w:sz w:val="18"/>
          <w:szCs w:val="18"/>
        </w:rPr>
        <w:t xml:space="preserve">structurele jaarlijkse regeldrukkosten van 1.000 x € </w:t>
      </w:r>
      <w:r w:rsidR="00B10548">
        <w:rPr>
          <w:rFonts w:ascii="Verdana" w:hAnsi="Verdana"/>
          <w:sz w:val="18"/>
          <w:szCs w:val="18"/>
        </w:rPr>
        <w:t>27</w:t>
      </w:r>
      <w:r w:rsidRPr="00FF46E3" w:rsidR="00B10548">
        <w:rPr>
          <w:rFonts w:ascii="Verdana" w:hAnsi="Verdana"/>
          <w:sz w:val="18"/>
          <w:szCs w:val="18"/>
        </w:rPr>
        <w:t xml:space="preserve"> </w:t>
      </w:r>
      <w:r w:rsidRPr="00FF46E3">
        <w:rPr>
          <w:rFonts w:ascii="Verdana" w:hAnsi="Verdana"/>
          <w:sz w:val="18"/>
          <w:szCs w:val="18"/>
        </w:rPr>
        <w:t xml:space="preserve">= € </w:t>
      </w:r>
      <w:r w:rsidR="00B10548">
        <w:rPr>
          <w:rFonts w:ascii="Verdana" w:hAnsi="Verdana"/>
          <w:sz w:val="18"/>
          <w:szCs w:val="18"/>
        </w:rPr>
        <w:t>27</w:t>
      </w:r>
      <w:r w:rsidRPr="00FF46E3">
        <w:rPr>
          <w:rFonts w:ascii="Verdana" w:hAnsi="Verdana"/>
          <w:sz w:val="18"/>
          <w:szCs w:val="18"/>
        </w:rPr>
        <w:t>.000.</w:t>
      </w:r>
    </w:p>
    <w:p w:rsidRPr="00FF46E3" w:rsidR="00C603BA" w:rsidP="00592683" w:rsidRDefault="00C603BA" w14:paraId="13E8A0AD" w14:textId="77777777">
      <w:pPr>
        <w:pStyle w:val="Geenafstand"/>
        <w:rPr>
          <w:rFonts w:ascii="Verdana" w:hAnsi="Verdana"/>
          <w:sz w:val="18"/>
          <w:szCs w:val="18"/>
        </w:rPr>
      </w:pPr>
    </w:p>
    <w:p w:rsidRPr="00FF46E3" w:rsidR="00261467" w:rsidP="00592683" w:rsidRDefault="00261467" w14:paraId="5502A7E5" w14:textId="77777777">
      <w:pPr>
        <w:pStyle w:val="Geenafstand"/>
        <w:rPr>
          <w:rFonts w:ascii="Verdana" w:hAnsi="Verdana"/>
          <w:sz w:val="18"/>
          <w:szCs w:val="18"/>
        </w:rPr>
      </w:pPr>
    </w:p>
    <w:p w:rsidRPr="00FF46E3" w:rsidR="00852DF9" w:rsidP="00C3466E" w:rsidRDefault="00852DF9" w14:paraId="23AB1577" w14:textId="78108BE6">
      <w:pPr>
        <w:pStyle w:val="Kop3"/>
        <w:rPr>
          <w:rFonts w:eastAsiaTheme="minorHAnsi"/>
        </w:rPr>
      </w:pPr>
      <w:bookmarkStart w:name="_Toc198721135" w:id="196"/>
      <w:r w:rsidRPr="00FF46E3">
        <w:rPr>
          <w:rFonts w:eastAsiaTheme="minorHAnsi"/>
        </w:rPr>
        <w:t>8.1.</w:t>
      </w:r>
      <w:r w:rsidRPr="00FF46E3" w:rsidR="00093432">
        <w:t>6</w:t>
      </w:r>
      <w:r w:rsidRPr="00FF46E3">
        <w:rPr>
          <w:rFonts w:eastAsiaTheme="minorHAnsi"/>
        </w:rPr>
        <w:t xml:space="preserve"> Overige verplichtingen</w:t>
      </w:r>
      <w:bookmarkEnd w:id="196"/>
    </w:p>
    <w:p w:rsidRPr="00FF46E3" w:rsidR="00852DF9" w:rsidP="00852DF9" w:rsidRDefault="00852DF9" w14:paraId="75633265" w14:textId="77777777">
      <w:pPr>
        <w:pStyle w:val="Geenafstand"/>
        <w:rPr>
          <w:rFonts w:ascii="Verdana" w:hAnsi="Verdana"/>
          <w:sz w:val="18"/>
          <w:szCs w:val="18"/>
        </w:rPr>
      </w:pPr>
    </w:p>
    <w:p w:rsidRPr="00FF46E3" w:rsidR="00852DF9" w:rsidP="00852DF9" w:rsidRDefault="00852DF9" w14:paraId="7991476C" w14:textId="47B48417">
      <w:pPr>
        <w:pStyle w:val="Geenafstand"/>
        <w:rPr>
          <w:rFonts w:ascii="Verdana" w:hAnsi="Verdana"/>
          <w:sz w:val="18"/>
          <w:szCs w:val="18"/>
        </w:rPr>
      </w:pPr>
      <w:r w:rsidRPr="00FF46E3">
        <w:rPr>
          <w:rFonts w:ascii="Verdana" w:hAnsi="Verdana"/>
          <w:sz w:val="18"/>
          <w:szCs w:val="18"/>
        </w:rPr>
        <w:t xml:space="preserve">Tenslotte zijn er nog enkele andere verplichtingen in </w:t>
      </w:r>
      <w:r w:rsidRPr="00FF46E3" w:rsidR="00604685">
        <w:rPr>
          <w:rFonts w:ascii="Verdana" w:hAnsi="Verdana"/>
          <w:sz w:val="18"/>
          <w:szCs w:val="18"/>
        </w:rPr>
        <w:t xml:space="preserve">de </w:t>
      </w:r>
      <w:proofErr w:type="spellStart"/>
      <w:r w:rsidRPr="00FF46E3" w:rsidR="00604685">
        <w:rPr>
          <w:rFonts w:ascii="Verdana" w:hAnsi="Verdana"/>
          <w:sz w:val="18"/>
          <w:szCs w:val="18"/>
        </w:rPr>
        <w:t>Cbw</w:t>
      </w:r>
      <w:proofErr w:type="spellEnd"/>
      <w:r w:rsidRPr="00FF46E3">
        <w:rPr>
          <w:rFonts w:ascii="Verdana" w:hAnsi="Verdana"/>
          <w:sz w:val="18"/>
          <w:szCs w:val="18"/>
        </w:rPr>
        <w:t xml:space="preserve"> die voor specifieke entiteiten tot extra regeldruk kunnen leiden, welke hieronder uitgewerkt worden.</w:t>
      </w:r>
    </w:p>
    <w:p w:rsidRPr="00FF46E3" w:rsidR="00852DF9" w:rsidP="00852DF9" w:rsidRDefault="00852DF9" w14:paraId="556DE874" w14:textId="77777777">
      <w:pPr>
        <w:pStyle w:val="Geenafstand"/>
        <w:rPr>
          <w:rFonts w:ascii="Verdana" w:hAnsi="Verdana"/>
          <w:sz w:val="18"/>
          <w:szCs w:val="18"/>
        </w:rPr>
      </w:pPr>
    </w:p>
    <w:p w:rsidRPr="00FF46E3" w:rsidR="00852DF9" w:rsidP="00852DF9" w:rsidRDefault="00852DF9" w14:paraId="747B8B78" w14:textId="026EA6BC">
      <w:pPr>
        <w:pStyle w:val="Geenafstand"/>
        <w:rPr>
          <w:rFonts w:ascii="Verdana" w:hAnsi="Verdana"/>
          <w:sz w:val="18"/>
          <w:szCs w:val="18"/>
        </w:rPr>
      </w:pPr>
      <w:r w:rsidRPr="00FF46E3">
        <w:rPr>
          <w:rFonts w:ascii="Verdana" w:hAnsi="Verdana"/>
          <w:sz w:val="18"/>
          <w:szCs w:val="18"/>
        </w:rPr>
        <w:t xml:space="preserve">Voor </w:t>
      </w:r>
      <w:r w:rsidR="009956FD">
        <w:rPr>
          <w:rFonts w:ascii="Verdana" w:hAnsi="Verdana"/>
          <w:sz w:val="18"/>
          <w:szCs w:val="18"/>
        </w:rPr>
        <w:t xml:space="preserve">de in artikel 42 </w:t>
      </w:r>
      <w:proofErr w:type="spellStart"/>
      <w:r w:rsidR="009956FD">
        <w:rPr>
          <w:rFonts w:ascii="Verdana" w:hAnsi="Verdana"/>
          <w:sz w:val="18"/>
          <w:szCs w:val="18"/>
        </w:rPr>
        <w:t>Cbw</w:t>
      </w:r>
      <w:proofErr w:type="spellEnd"/>
      <w:r w:rsidR="009956FD">
        <w:rPr>
          <w:rFonts w:ascii="Verdana" w:hAnsi="Verdana"/>
          <w:sz w:val="18"/>
          <w:szCs w:val="18"/>
        </w:rPr>
        <w:t xml:space="preserve"> bedoelde entiteiten</w:t>
      </w:r>
      <w:r w:rsidRPr="00FF46E3">
        <w:rPr>
          <w:rFonts w:ascii="Verdana" w:hAnsi="Verdana"/>
          <w:sz w:val="18"/>
          <w:szCs w:val="18"/>
        </w:rPr>
        <w:t xml:space="preserve"> geldt </w:t>
      </w:r>
      <w:r w:rsidR="009956FD">
        <w:rPr>
          <w:rFonts w:ascii="Verdana" w:hAnsi="Verdana"/>
          <w:sz w:val="18"/>
          <w:szCs w:val="18"/>
        </w:rPr>
        <w:t>de</w:t>
      </w:r>
      <w:r w:rsidRPr="00FF46E3">
        <w:rPr>
          <w:rFonts w:ascii="Verdana" w:hAnsi="Verdana"/>
          <w:sz w:val="18"/>
          <w:szCs w:val="18"/>
        </w:rPr>
        <w:t xml:space="preserve"> verplichting om een vertegenwoordiger in de </w:t>
      </w:r>
      <w:r w:rsidRPr="00FF46E3" w:rsidR="00733ABA">
        <w:rPr>
          <w:rFonts w:ascii="Verdana" w:hAnsi="Verdana"/>
          <w:sz w:val="18"/>
          <w:szCs w:val="18"/>
        </w:rPr>
        <w:t>EU</w:t>
      </w:r>
      <w:r w:rsidRPr="00FF46E3">
        <w:rPr>
          <w:rFonts w:ascii="Verdana" w:hAnsi="Verdana"/>
          <w:sz w:val="18"/>
          <w:szCs w:val="18"/>
        </w:rPr>
        <w:t xml:space="preserve"> aan te wijzen. Indien zij een vertegenwoordiger in Nederland aanwijzen, dan vallen zij onder Nederlandse jurisdictie. De regeldrukkosten hiervan zijn afhankelijk van de overeenkomst die deze entiteiten met een vertegenwoordiger sluiten. Er kan geen inschatting worden gemaakt hoeveel bedrijven deze constructie nodig zullen hebben omdat zij geen vestiging hebben.</w:t>
      </w:r>
    </w:p>
    <w:p w:rsidRPr="00FF46E3" w:rsidR="00852DF9" w:rsidP="00852DF9" w:rsidRDefault="00852DF9" w14:paraId="42A278EC" w14:textId="77777777">
      <w:pPr>
        <w:pStyle w:val="Geenafstand"/>
        <w:rPr>
          <w:rFonts w:ascii="Verdana" w:hAnsi="Verdana"/>
          <w:sz w:val="18"/>
          <w:szCs w:val="18"/>
        </w:rPr>
      </w:pPr>
    </w:p>
    <w:p w:rsidRPr="00FF46E3" w:rsidR="00852DF9" w:rsidP="00852DF9" w:rsidRDefault="00852DF9" w14:paraId="6E05D929" w14:textId="648A94A6">
      <w:pPr>
        <w:pStyle w:val="Geenafstand"/>
        <w:rPr>
          <w:rFonts w:ascii="Verdana" w:hAnsi="Verdana"/>
          <w:sz w:val="18"/>
          <w:szCs w:val="18"/>
        </w:rPr>
      </w:pPr>
      <w:r w:rsidRPr="00FF46E3">
        <w:rPr>
          <w:rFonts w:ascii="Verdana" w:hAnsi="Verdana"/>
          <w:sz w:val="18"/>
          <w:szCs w:val="18"/>
        </w:rPr>
        <w:t xml:space="preserve">Voor registers van topleveldomeinnamen en entiteiten die domeinnaamregistratiediensten verlenen, bestaat een aanvullende verplichting in de vorm van het bijhouden van een database met domeinnaamregistratiegegevens. De uit </w:t>
      </w:r>
      <w:r w:rsidR="004D6FB1">
        <w:rPr>
          <w:rFonts w:ascii="Verdana" w:hAnsi="Verdana"/>
          <w:sz w:val="18"/>
          <w:szCs w:val="18"/>
        </w:rPr>
        <w:t xml:space="preserve">de </w:t>
      </w:r>
      <w:proofErr w:type="spellStart"/>
      <w:r w:rsidR="004D6FB1">
        <w:rPr>
          <w:rFonts w:ascii="Verdana" w:hAnsi="Verdana"/>
          <w:sz w:val="18"/>
          <w:szCs w:val="18"/>
        </w:rPr>
        <w:t>Cbw</w:t>
      </w:r>
      <w:proofErr w:type="spellEnd"/>
      <w:r w:rsidRPr="00FF46E3">
        <w:rPr>
          <w:rFonts w:ascii="Verdana" w:hAnsi="Verdana"/>
          <w:sz w:val="18"/>
          <w:szCs w:val="18"/>
        </w:rPr>
        <w:t xml:space="preserve"> voortkomende verplichtingen dienen te worden opgenomen in de werkprocessen van deze entiteiten. Het aanpassen van de werkprocessen zal voornamelijk eenmalige regeldrukkosten veroorzaken. Aanvullend zullen deze entiteiten toegang moeten verschaffen aan partijen die daar een rechtmatig verzoek toe doen, wat structurele regeldrukkosten op zal leveren, afhankelijk van het aantal verzoeken dat wordt ingediend.</w:t>
      </w:r>
    </w:p>
    <w:p w:rsidRPr="00FF46E3" w:rsidR="00852DF9" w:rsidP="00852DF9" w:rsidRDefault="00852DF9" w14:paraId="7168FB85" w14:textId="77777777">
      <w:pPr>
        <w:pStyle w:val="Geenafstand"/>
        <w:rPr>
          <w:rFonts w:ascii="Verdana" w:hAnsi="Verdana"/>
          <w:sz w:val="18"/>
          <w:szCs w:val="18"/>
        </w:rPr>
      </w:pPr>
    </w:p>
    <w:p w:rsidR="00E04B59" w:rsidP="00852DF9" w:rsidRDefault="004D6FB1" w14:paraId="015228F8" w14:textId="10546E6C">
      <w:pPr>
        <w:pStyle w:val="Geenafstand"/>
        <w:rPr>
          <w:rFonts w:ascii="Verdana" w:hAnsi="Verdana"/>
          <w:i/>
          <w:iCs/>
          <w:sz w:val="18"/>
          <w:szCs w:val="18"/>
        </w:rPr>
      </w:pPr>
      <w:r>
        <w:rPr>
          <w:rFonts w:ascii="Verdana" w:hAnsi="Verdana"/>
          <w:sz w:val="18"/>
          <w:szCs w:val="18"/>
        </w:rPr>
        <w:t>E</w:t>
      </w:r>
      <w:r w:rsidRPr="00FF46E3" w:rsidR="00221F36">
        <w:rPr>
          <w:rFonts w:ascii="Verdana" w:hAnsi="Verdana"/>
          <w:sz w:val="18"/>
          <w:szCs w:val="18"/>
        </w:rPr>
        <w:t>ssentiële entiteiten</w:t>
      </w:r>
      <w:r w:rsidRPr="00FF46E3" w:rsidR="00852DF9">
        <w:rPr>
          <w:rFonts w:ascii="Verdana" w:hAnsi="Verdana"/>
          <w:sz w:val="18"/>
          <w:szCs w:val="18"/>
        </w:rPr>
        <w:t xml:space="preserve"> </w:t>
      </w:r>
      <w:r>
        <w:rPr>
          <w:rFonts w:ascii="Verdana" w:hAnsi="Verdana"/>
          <w:sz w:val="18"/>
          <w:szCs w:val="18"/>
        </w:rPr>
        <w:t xml:space="preserve">en belangrijke entiteiten </w:t>
      </w:r>
      <w:r w:rsidRPr="00FF46E3" w:rsidR="00852DF9">
        <w:rPr>
          <w:rFonts w:ascii="Verdana" w:hAnsi="Verdana"/>
          <w:sz w:val="18"/>
          <w:szCs w:val="18"/>
        </w:rPr>
        <w:t>kunnen in het geval van</w:t>
      </w:r>
      <w:r w:rsidRPr="00FF46E3" w:rsidR="00221F36">
        <w:rPr>
          <w:rFonts w:ascii="Verdana" w:hAnsi="Verdana"/>
          <w:sz w:val="18"/>
          <w:szCs w:val="18"/>
        </w:rPr>
        <w:t xml:space="preserve"> niet-significante</w:t>
      </w:r>
      <w:r w:rsidRPr="00FF46E3" w:rsidR="00852DF9">
        <w:rPr>
          <w:rFonts w:ascii="Verdana" w:hAnsi="Verdana"/>
          <w:sz w:val="18"/>
          <w:szCs w:val="18"/>
        </w:rPr>
        <w:t xml:space="preserve"> </w:t>
      </w:r>
      <w:r w:rsidRPr="00FF46E3" w:rsidR="00221F36">
        <w:rPr>
          <w:rFonts w:ascii="Verdana" w:hAnsi="Verdana"/>
          <w:sz w:val="18"/>
          <w:szCs w:val="18"/>
        </w:rPr>
        <w:t>(bijna</w:t>
      </w:r>
      <w:r w:rsidR="003808E3">
        <w:rPr>
          <w:rFonts w:ascii="Verdana" w:hAnsi="Verdana"/>
          <w:sz w:val="18"/>
          <w:szCs w:val="18"/>
        </w:rPr>
        <w:t>-</w:t>
      </w:r>
      <w:r w:rsidRPr="00FF46E3" w:rsidR="00221F36">
        <w:rPr>
          <w:rFonts w:ascii="Verdana" w:hAnsi="Verdana"/>
          <w:sz w:val="18"/>
          <w:szCs w:val="18"/>
        </w:rPr>
        <w:t>)</w:t>
      </w:r>
      <w:r w:rsidRPr="00FF46E3" w:rsidR="00852DF9">
        <w:rPr>
          <w:rFonts w:ascii="Verdana" w:hAnsi="Verdana"/>
          <w:sz w:val="18"/>
          <w:szCs w:val="18"/>
        </w:rPr>
        <w:t>incident</w:t>
      </w:r>
      <w:r w:rsidRPr="00FF46E3" w:rsidR="00221F36">
        <w:rPr>
          <w:rFonts w:ascii="Verdana" w:hAnsi="Verdana"/>
          <w:sz w:val="18"/>
          <w:szCs w:val="18"/>
        </w:rPr>
        <w:t>en of cyberdreigingen</w:t>
      </w:r>
      <w:r w:rsidRPr="00FF46E3" w:rsidR="00852DF9">
        <w:rPr>
          <w:rFonts w:ascii="Verdana" w:hAnsi="Verdana"/>
          <w:sz w:val="18"/>
          <w:szCs w:val="18"/>
        </w:rPr>
        <w:t xml:space="preserve"> alsnog besluiten een vrijwillige melding te maken.</w:t>
      </w:r>
      <w:r w:rsidRPr="00FF46E3" w:rsidR="00221F36">
        <w:rPr>
          <w:rFonts w:ascii="Verdana" w:hAnsi="Verdana"/>
          <w:sz w:val="18"/>
          <w:szCs w:val="18"/>
        </w:rPr>
        <w:t xml:space="preserve"> Ook entiteiten die niet onder de reikwijdte van dit wetvoorstel vallen kunnen een vrijwillige melding doen.</w:t>
      </w:r>
      <w:r w:rsidRPr="00FF46E3" w:rsidR="00852DF9">
        <w:rPr>
          <w:rFonts w:ascii="Verdana" w:hAnsi="Verdana"/>
          <w:sz w:val="18"/>
          <w:szCs w:val="18"/>
        </w:rPr>
        <w:t xml:space="preserve"> </w:t>
      </w:r>
      <w:r w:rsidRPr="00FF46E3" w:rsidR="00221F36">
        <w:rPr>
          <w:rFonts w:ascii="Verdana" w:hAnsi="Verdana"/>
          <w:sz w:val="18"/>
          <w:szCs w:val="18"/>
        </w:rPr>
        <w:t>In deze gevallen is er dus sprake van een vrijwillige regeldruk</w:t>
      </w:r>
      <w:r w:rsidRPr="00FF46E3" w:rsidR="006F0F75">
        <w:rPr>
          <w:rFonts w:ascii="Verdana" w:hAnsi="Verdana"/>
          <w:sz w:val="18"/>
          <w:szCs w:val="18"/>
        </w:rPr>
        <w:t>, vergelijkbaar met de eerder beschreven regeldrukkosten voor het doen van meldingen</w:t>
      </w:r>
      <w:r w:rsidRPr="00FF46E3" w:rsidR="00852DF9">
        <w:rPr>
          <w:rFonts w:ascii="Verdana" w:hAnsi="Verdana"/>
          <w:sz w:val="18"/>
          <w:szCs w:val="18"/>
        </w:rPr>
        <w:t>.</w:t>
      </w:r>
      <w:r w:rsidRPr="00FF46E3" w:rsidR="007B15E2">
        <w:rPr>
          <w:rFonts w:ascii="Verdana" w:hAnsi="Verdana"/>
          <w:sz w:val="18"/>
          <w:szCs w:val="18"/>
        </w:rPr>
        <w:t xml:space="preserve"> </w:t>
      </w:r>
      <w:r w:rsidRPr="00FF46E3" w:rsidR="006F0F75">
        <w:rPr>
          <w:rFonts w:ascii="Verdana" w:hAnsi="Verdana"/>
          <w:sz w:val="18"/>
          <w:szCs w:val="18"/>
        </w:rPr>
        <w:t>Na het doen van een dergelijke melding kan een CSIRT op verzoek besluiten bijstand te verlenen. Daarmee zal in de meeste gevallen de voordelen van een vrijwillige melding groter zijn dan de lasten.</w:t>
      </w:r>
    </w:p>
    <w:p w:rsidRPr="00FF46E3" w:rsidR="00E04B59" w:rsidP="00852DF9" w:rsidRDefault="00E04B59" w14:paraId="3EA51D86" w14:textId="77777777">
      <w:pPr>
        <w:pStyle w:val="Geenafstand"/>
        <w:rPr>
          <w:rFonts w:ascii="Verdana" w:hAnsi="Verdana"/>
          <w:i/>
          <w:iCs/>
          <w:sz w:val="18"/>
          <w:szCs w:val="18"/>
        </w:rPr>
      </w:pPr>
    </w:p>
    <w:p w:rsidRPr="00FF46E3" w:rsidR="008C4500" w:rsidP="00C3466E" w:rsidRDefault="003B674F" w14:paraId="3692F8D0" w14:textId="758E5B14">
      <w:pPr>
        <w:pStyle w:val="Kop3"/>
        <w:rPr>
          <w:rFonts w:eastAsiaTheme="minorHAnsi"/>
        </w:rPr>
      </w:pPr>
      <w:bookmarkStart w:name="_Toc198721136" w:id="197"/>
      <w:r w:rsidRPr="00FF46E3">
        <w:rPr>
          <w:rFonts w:eastAsiaTheme="minorHAnsi"/>
        </w:rPr>
        <w:t>8</w:t>
      </w:r>
      <w:r w:rsidRPr="00FF46E3" w:rsidR="005A5363">
        <w:rPr>
          <w:rFonts w:eastAsiaTheme="minorHAnsi"/>
        </w:rPr>
        <w:t>.1.</w:t>
      </w:r>
      <w:r w:rsidRPr="00FF46E3" w:rsidR="00093432">
        <w:rPr>
          <w:rFonts w:eastAsiaTheme="minorHAnsi"/>
        </w:rPr>
        <w:t>7</w:t>
      </w:r>
      <w:r w:rsidRPr="00FF46E3" w:rsidR="005A5363">
        <w:rPr>
          <w:rFonts w:eastAsiaTheme="minorHAnsi"/>
        </w:rPr>
        <w:t xml:space="preserve"> </w:t>
      </w:r>
      <w:r w:rsidRPr="00FF46E3" w:rsidR="008C4500">
        <w:rPr>
          <w:rFonts w:eastAsiaTheme="minorHAnsi"/>
        </w:rPr>
        <w:t>Toezichtlasten</w:t>
      </w:r>
      <w:bookmarkEnd w:id="197"/>
    </w:p>
    <w:p w:rsidRPr="00FF46E3" w:rsidR="008C4500" w:rsidP="00592683" w:rsidRDefault="008C4500" w14:paraId="3F601AEE" w14:textId="77777777">
      <w:pPr>
        <w:pStyle w:val="Geenafstand"/>
        <w:rPr>
          <w:rFonts w:ascii="Verdana" w:hAnsi="Verdana"/>
          <w:sz w:val="18"/>
          <w:szCs w:val="18"/>
        </w:rPr>
      </w:pPr>
    </w:p>
    <w:p w:rsidRPr="00405FCE" w:rsidR="00405FCE" w:rsidP="00405FCE" w:rsidRDefault="00405FCE" w14:paraId="4466303E" w14:textId="71490C85">
      <w:pPr>
        <w:pStyle w:val="Geenafstand"/>
        <w:rPr>
          <w:rFonts w:ascii="Verdana" w:hAnsi="Verdana"/>
          <w:sz w:val="18"/>
          <w:szCs w:val="18"/>
        </w:rPr>
      </w:pPr>
      <w:r w:rsidRPr="00405FCE">
        <w:rPr>
          <w:rFonts w:ascii="Verdana" w:hAnsi="Verdana"/>
          <w:sz w:val="18"/>
          <w:szCs w:val="18"/>
        </w:rPr>
        <w:t xml:space="preserve">De </w:t>
      </w:r>
      <w:proofErr w:type="spellStart"/>
      <w:r w:rsidRPr="00405FCE">
        <w:rPr>
          <w:rFonts w:ascii="Verdana" w:hAnsi="Verdana"/>
          <w:sz w:val="18"/>
          <w:szCs w:val="18"/>
        </w:rPr>
        <w:t>Cbw</w:t>
      </w:r>
      <w:proofErr w:type="spellEnd"/>
      <w:r w:rsidRPr="00405FCE">
        <w:rPr>
          <w:rFonts w:ascii="Verdana" w:hAnsi="Verdana"/>
          <w:sz w:val="18"/>
          <w:szCs w:val="18"/>
        </w:rPr>
        <w:t xml:space="preserve"> geeft de toezichthouder de bevoegdheid om een kritieke entiteit te onderwerpen aan steekproefsgewijze of ad hoc audits. Een steekproefsgewijze audit zal </w:t>
      </w:r>
      <w:r>
        <w:rPr>
          <w:rFonts w:ascii="Verdana" w:hAnsi="Verdana"/>
          <w:sz w:val="18"/>
          <w:szCs w:val="18"/>
        </w:rPr>
        <w:t>naar schatting</w:t>
      </w:r>
      <w:r w:rsidRPr="00405FCE">
        <w:rPr>
          <w:rFonts w:ascii="Verdana" w:hAnsi="Verdana"/>
          <w:sz w:val="18"/>
          <w:szCs w:val="18"/>
        </w:rPr>
        <w:t xml:space="preserve"> eens in de vier jaar uitgevoerd worden. Uitgaande van een risico-gebaseerde aanpak, zal een toezichthouder redelijke grond hebben om een ad hoc audit uit te willen voeren. In het geval van een steekproefsgewijze audit kan uitgegaan worden van een gemiddelde audit van complex moeilijkheidsniveau door een toezichthouder, hiervoor wordt standaard 540 minuten gerekend. Uitgaande van een uurtarief van € 54 komt dit uit op een minimale toezichtlast van (€ 54 </w:t>
      </w:r>
      <w:r w:rsidR="00696C87">
        <w:rPr>
          <w:rFonts w:ascii="Verdana" w:hAnsi="Verdana"/>
          <w:sz w:val="18"/>
          <w:szCs w:val="18"/>
        </w:rPr>
        <w:t>x</w:t>
      </w:r>
      <w:r w:rsidRPr="00405FCE">
        <w:rPr>
          <w:rFonts w:ascii="Verdana" w:hAnsi="Verdana"/>
          <w:sz w:val="18"/>
          <w:szCs w:val="18"/>
        </w:rPr>
        <w:t xml:space="preserve"> (540 min / 60) = ) € 486 per vier jaar per entiteit. Uitgaande van een inspectiecyclus van vier jaar (2.025 entiteiten per jaar) zou dit jaarlijks op een totaal van € 984.150 uitkomen. Als entiteiten reeds passende weerbaarheidsmaatregelen hebben genomen zal dit het meest voorkomende scenario zijn.</w:t>
      </w:r>
    </w:p>
    <w:p w:rsidRPr="00405FCE" w:rsidR="00405FCE" w:rsidP="00405FCE" w:rsidRDefault="00405FCE" w14:paraId="1F5581A2" w14:textId="77777777">
      <w:pPr>
        <w:pStyle w:val="Geenafstand"/>
        <w:rPr>
          <w:rFonts w:ascii="Verdana" w:hAnsi="Verdana"/>
          <w:sz w:val="18"/>
          <w:szCs w:val="18"/>
        </w:rPr>
      </w:pPr>
    </w:p>
    <w:p w:rsidR="00405FCE" w:rsidP="00405FCE" w:rsidRDefault="00405FCE" w14:paraId="2EB0CB2B" w14:textId="69FF18CA">
      <w:pPr>
        <w:pStyle w:val="Geenafstand"/>
        <w:rPr>
          <w:rFonts w:ascii="Verdana" w:hAnsi="Verdana"/>
          <w:sz w:val="18"/>
          <w:szCs w:val="18"/>
        </w:rPr>
      </w:pPr>
      <w:r w:rsidRPr="00405FCE">
        <w:rPr>
          <w:rFonts w:ascii="Verdana" w:hAnsi="Verdana"/>
          <w:sz w:val="18"/>
          <w:szCs w:val="18"/>
        </w:rPr>
        <w:t xml:space="preserve">In het geval van een ad hoc audit (op basis van een concrete aanleiding) kan er uitgegaan worden van correcties die moeten worden aangebracht als gevolg van de inspectie of audit. Hiervoor wordt een standaardtijdsbepaling van 480 minuten gerekend. Ook kan er in dit geval extra informatie opgevraagd worden door de toezichthouder als bewijs van uitvoering van beveiligingsbeleid. Hiervoor wordt 120 minuten gerekend. Uitgaande van een uurtarief van € 54 komt dit uit op een mogelijke maximale incidentele </w:t>
      </w:r>
      <w:proofErr w:type="spellStart"/>
      <w:r w:rsidRPr="00405FCE">
        <w:rPr>
          <w:rFonts w:ascii="Verdana" w:hAnsi="Verdana"/>
          <w:sz w:val="18"/>
          <w:szCs w:val="18"/>
        </w:rPr>
        <w:t>toezichtslast</w:t>
      </w:r>
      <w:proofErr w:type="spellEnd"/>
      <w:r w:rsidRPr="00405FCE">
        <w:rPr>
          <w:rFonts w:ascii="Verdana" w:hAnsi="Verdana"/>
          <w:sz w:val="18"/>
          <w:szCs w:val="18"/>
        </w:rPr>
        <w:t xml:space="preserve"> van (€ 54 </w:t>
      </w:r>
      <w:r w:rsidR="00696C87">
        <w:rPr>
          <w:rFonts w:ascii="Verdana" w:hAnsi="Verdana"/>
          <w:sz w:val="18"/>
          <w:szCs w:val="18"/>
        </w:rPr>
        <w:t>x</w:t>
      </w:r>
      <w:r w:rsidRPr="00405FCE">
        <w:rPr>
          <w:rFonts w:ascii="Verdana" w:hAnsi="Verdana"/>
          <w:sz w:val="18"/>
          <w:szCs w:val="18"/>
        </w:rPr>
        <w:t xml:space="preserve"> (540 min + 480 min + 12</w:t>
      </w:r>
      <w:r w:rsidR="00696C87">
        <w:rPr>
          <w:rFonts w:ascii="Verdana" w:hAnsi="Verdana"/>
          <w:sz w:val="18"/>
          <w:szCs w:val="18"/>
        </w:rPr>
        <w:t>0</w:t>
      </w:r>
      <w:r w:rsidRPr="00405FCE">
        <w:rPr>
          <w:rFonts w:ascii="Verdana" w:hAnsi="Verdana"/>
          <w:sz w:val="18"/>
          <w:szCs w:val="18"/>
        </w:rPr>
        <w:t xml:space="preserve"> min / 60) = ) € 1.026 per entiteit. De totale regeldrukkosten van deze variant zijn niet vooraf vast te stellen omdat dit afhankelijk is van naleving door entiteiten en de grootte van het risico op verstoring van de continuïteit.</w:t>
      </w:r>
    </w:p>
    <w:p w:rsidRPr="00FF46E3" w:rsidR="00B67D01" w:rsidP="00592683" w:rsidRDefault="00B67D01" w14:paraId="5EC74ECA" w14:textId="77777777">
      <w:pPr>
        <w:pStyle w:val="Geenafstand"/>
        <w:rPr>
          <w:rFonts w:ascii="Verdana" w:hAnsi="Verdana"/>
          <w:sz w:val="18"/>
          <w:szCs w:val="18"/>
        </w:rPr>
      </w:pPr>
    </w:p>
    <w:p w:rsidRPr="00FF46E3" w:rsidR="008C4500" w:rsidP="00592683" w:rsidRDefault="00734ED2" w14:paraId="49C6075A" w14:textId="5BB0F0F3">
      <w:pPr>
        <w:pStyle w:val="Geenafstand"/>
        <w:rPr>
          <w:rFonts w:ascii="Verdana" w:hAnsi="Verdana"/>
          <w:sz w:val="18"/>
          <w:szCs w:val="18"/>
        </w:rPr>
      </w:pPr>
      <w:r>
        <w:rPr>
          <w:rFonts w:ascii="Verdana" w:hAnsi="Verdana"/>
          <w:sz w:val="18"/>
          <w:szCs w:val="18"/>
        </w:rPr>
        <w:t>D</w:t>
      </w:r>
      <w:r w:rsidRPr="00FF46E3" w:rsidR="008C4500">
        <w:rPr>
          <w:rFonts w:ascii="Verdana" w:hAnsi="Verdana"/>
          <w:sz w:val="18"/>
          <w:szCs w:val="18"/>
        </w:rPr>
        <w:t xml:space="preserve">e </w:t>
      </w:r>
      <w:r w:rsidRPr="00FF46E3" w:rsidR="003F2C12">
        <w:rPr>
          <w:rFonts w:ascii="Verdana" w:hAnsi="Verdana"/>
          <w:sz w:val="18"/>
          <w:szCs w:val="18"/>
        </w:rPr>
        <w:t xml:space="preserve">toezichthoudende instanties </w:t>
      </w:r>
      <w:r>
        <w:rPr>
          <w:rFonts w:ascii="Verdana" w:hAnsi="Verdana"/>
          <w:sz w:val="18"/>
          <w:szCs w:val="18"/>
        </w:rPr>
        <w:t xml:space="preserve">kunnen essentiële entiteiten en belangrijke entiteiten verplichten </w:t>
      </w:r>
      <w:r w:rsidR="004D6FB1">
        <w:rPr>
          <w:rFonts w:ascii="Verdana" w:hAnsi="Verdana"/>
          <w:sz w:val="18"/>
          <w:szCs w:val="18"/>
        </w:rPr>
        <w:t xml:space="preserve">tot het uitvoeren van een audit </w:t>
      </w:r>
      <w:r w:rsidR="00696C87">
        <w:rPr>
          <w:rFonts w:ascii="Verdana" w:hAnsi="Verdana"/>
          <w:sz w:val="18"/>
          <w:szCs w:val="18"/>
        </w:rPr>
        <w:t xml:space="preserve">door een onafhankelijke </w:t>
      </w:r>
      <w:r w:rsidR="00877E93">
        <w:rPr>
          <w:rFonts w:ascii="Verdana" w:hAnsi="Verdana"/>
          <w:sz w:val="18"/>
          <w:szCs w:val="18"/>
        </w:rPr>
        <w:t>en</w:t>
      </w:r>
      <w:r w:rsidR="00696C87">
        <w:rPr>
          <w:rFonts w:ascii="Verdana" w:hAnsi="Verdana"/>
          <w:sz w:val="18"/>
          <w:szCs w:val="18"/>
        </w:rPr>
        <w:t xml:space="preserve"> gekwalificeerde deskundige </w:t>
      </w:r>
      <w:r w:rsidR="004D6FB1">
        <w:rPr>
          <w:rFonts w:ascii="Verdana" w:hAnsi="Verdana"/>
          <w:sz w:val="18"/>
          <w:szCs w:val="18"/>
        </w:rPr>
        <w:t xml:space="preserve">of </w:t>
      </w:r>
      <w:r w:rsidR="00EB0DBC">
        <w:rPr>
          <w:rFonts w:ascii="Verdana" w:hAnsi="Verdana"/>
          <w:sz w:val="18"/>
          <w:szCs w:val="18"/>
        </w:rPr>
        <w:t xml:space="preserve">besluiten om </w:t>
      </w:r>
      <w:r w:rsidR="004D6FB1">
        <w:rPr>
          <w:rFonts w:ascii="Verdana" w:hAnsi="Verdana"/>
          <w:sz w:val="18"/>
          <w:szCs w:val="18"/>
        </w:rPr>
        <w:t>over te gaan tot het uitvoeren van een beveiligingsscan</w:t>
      </w:r>
      <w:r w:rsidRPr="00FF46E3" w:rsidR="008C4500">
        <w:rPr>
          <w:rFonts w:ascii="Verdana" w:hAnsi="Verdana"/>
          <w:sz w:val="18"/>
          <w:szCs w:val="18"/>
        </w:rPr>
        <w:t>, met als doel om kwetsbaarheden en risico</w:t>
      </w:r>
      <w:r w:rsidR="00D91960">
        <w:rPr>
          <w:rFonts w:ascii="Verdana" w:hAnsi="Verdana"/>
          <w:sz w:val="18"/>
          <w:szCs w:val="18"/>
        </w:rPr>
        <w:t>’</w:t>
      </w:r>
      <w:r w:rsidRPr="00FF46E3" w:rsidR="008C4500">
        <w:rPr>
          <w:rFonts w:ascii="Verdana" w:hAnsi="Verdana"/>
          <w:sz w:val="18"/>
          <w:szCs w:val="18"/>
        </w:rPr>
        <w:t>s voor de beveiliging van de netwerk- en informatiesystemen te identificeren en inzicht te krijgen in de effectiviteit van genomen beheersmaatregelen. De regeldrukkosten van de inzet van dergelijke instrumenten hangen af van de omvang en reikwijdte waarmee het instrument wordt ingezet.</w:t>
      </w:r>
    </w:p>
    <w:p w:rsidRPr="00FF46E3" w:rsidR="00B67D01" w:rsidP="00592683" w:rsidRDefault="00B67D01" w14:paraId="031BCDCD" w14:textId="77777777">
      <w:pPr>
        <w:pStyle w:val="Geenafstand"/>
        <w:rPr>
          <w:rFonts w:ascii="Verdana" w:hAnsi="Verdana"/>
          <w:sz w:val="18"/>
          <w:szCs w:val="18"/>
        </w:rPr>
      </w:pPr>
    </w:p>
    <w:p w:rsidRPr="00FF46E3" w:rsidR="008C4500" w:rsidP="00592683" w:rsidRDefault="008C4500" w14:paraId="4D14EFEC" w14:textId="6EC24E43">
      <w:pPr>
        <w:pStyle w:val="Geenafstand"/>
        <w:rPr>
          <w:rFonts w:ascii="Verdana" w:hAnsi="Verdana"/>
          <w:sz w:val="18"/>
          <w:szCs w:val="18"/>
        </w:rPr>
      </w:pPr>
      <w:r w:rsidRPr="00FF46E3">
        <w:rPr>
          <w:rFonts w:ascii="Verdana" w:hAnsi="Verdana"/>
          <w:sz w:val="18"/>
          <w:szCs w:val="18"/>
        </w:rPr>
        <w:t xml:space="preserve">De </w:t>
      </w:r>
      <w:r w:rsidRPr="00FF46E3" w:rsidR="003F2C12">
        <w:rPr>
          <w:rFonts w:ascii="Verdana" w:hAnsi="Verdana"/>
          <w:sz w:val="18"/>
          <w:szCs w:val="18"/>
        </w:rPr>
        <w:t xml:space="preserve">toezichthoudende instantie </w:t>
      </w:r>
      <w:r w:rsidRPr="00FF46E3">
        <w:rPr>
          <w:rFonts w:ascii="Verdana" w:hAnsi="Verdana"/>
          <w:sz w:val="18"/>
          <w:szCs w:val="18"/>
        </w:rPr>
        <w:t>kan daarnaast bij essentiële entiteiten een controlefunctionaris aanstellen</w:t>
      </w:r>
      <w:r w:rsidR="006A5C3B">
        <w:rPr>
          <w:rFonts w:ascii="Verdana" w:hAnsi="Verdana"/>
          <w:sz w:val="18"/>
          <w:szCs w:val="18"/>
        </w:rPr>
        <w:t xml:space="preserve"> </w:t>
      </w:r>
      <w:r w:rsidR="00D72DE4">
        <w:rPr>
          <w:rFonts w:ascii="Verdana" w:hAnsi="Verdana"/>
          <w:sz w:val="18"/>
          <w:szCs w:val="18"/>
        </w:rPr>
        <w:t xml:space="preserve">en op basis van de </w:t>
      </w:r>
      <w:proofErr w:type="spellStart"/>
      <w:r w:rsidR="00D72DE4">
        <w:rPr>
          <w:rFonts w:ascii="Verdana" w:hAnsi="Verdana"/>
          <w:sz w:val="18"/>
          <w:szCs w:val="18"/>
        </w:rPr>
        <w:t>Awb</w:t>
      </w:r>
      <w:proofErr w:type="spellEnd"/>
      <w:r w:rsidR="00D72DE4">
        <w:rPr>
          <w:rFonts w:ascii="Verdana" w:hAnsi="Verdana"/>
          <w:sz w:val="18"/>
          <w:szCs w:val="18"/>
        </w:rPr>
        <w:t xml:space="preserve"> onderwerpen aan </w:t>
      </w:r>
      <w:r w:rsidRPr="00FF46E3">
        <w:rPr>
          <w:rFonts w:ascii="Verdana" w:hAnsi="Verdana"/>
          <w:sz w:val="18"/>
          <w:szCs w:val="18"/>
        </w:rPr>
        <w:t>(steekproefsgewijze) inspecties en verzoeken om informatie, gegevens, documenten en bewijzen van uitvoering van het cyberbeveiligingsbeleid.</w:t>
      </w:r>
      <w:r w:rsidR="00D72DE4">
        <w:rPr>
          <w:rFonts w:ascii="Verdana" w:hAnsi="Verdana"/>
          <w:sz w:val="18"/>
          <w:szCs w:val="18"/>
        </w:rPr>
        <w:t xml:space="preserve"> De bevoegdheden uit de </w:t>
      </w:r>
      <w:proofErr w:type="spellStart"/>
      <w:r w:rsidR="00D72DE4">
        <w:rPr>
          <w:rFonts w:ascii="Verdana" w:hAnsi="Verdana"/>
          <w:sz w:val="18"/>
          <w:szCs w:val="18"/>
        </w:rPr>
        <w:t>Awb</w:t>
      </w:r>
      <w:proofErr w:type="spellEnd"/>
      <w:r w:rsidR="00D72DE4">
        <w:rPr>
          <w:rFonts w:ascii="Verdana" w:hAnsi="Verdana"/>
          <w:sz w:val="18"/>
          <w:szCs w:val="18"/>
        </w:rPr>
        <w:t xml:space="preserve"> zijn van toepassing op alle entiteiten.</w:t>
      </w:r>
      <w:r w:rsidRPr="00FF46E3">
        <w:rPr>
          <w:rFonts w:ascii="Verdana" w:hAnsi="Verdana"/>
          <w:sz w:val="18"/>
          <w:szCs w:val="18"/>
        </w:rPr>
        <w:t xml:space="preserve"> Het is niet vast te stellen hoe vaak de </w:t>
      </w:r>
      <w:r w:rsidRPr="00FF46E3" w:rsidR="003F2C12">
        <w:rPr>
          <w:rFonts w:ascii="Verdana" w:hAnsi="Verdana"/>
          <w:sz w:val="18"/>
          <w:szCs w:val="18"/>
        </w:rPr>
        <w:t>toezichthoudende instantie d</w:t>
      </w:r>
      <w:r w:rsidR="004D6FB1">
        <w:rPr>
          <w:rFonts w:ascii="Verdana" w:hAnsi="Verdana"/>
          <w:sz w:val="18"/>
          <w:szCs w:val="18"/>
        </w:rPr>
        <w:t>it</w:t>
      </w:r>
      <w:r w:rsidRPr="00FF46E3" w:rsidR="003F2C12">
        <w:rPr>
          <w:rFonts w:ascii="Verdana" w:hAnsi="Verdana"/>
          <w:sz w:val="18"/>
          <w:szCs w:val="18"/>
        </w:rPr>
        <w:t xml:space="preserve"> instrument zal inzetten</w:t>
      </w:r>
      <w:r w:rsidRPr="00FF46E3">
        <w:rPr>
          <w:rFonts w:ascii="Verdana" w:hAnsi="Verdana"/>
          <w:sz w:val="18"/>
          <w:szCs w:val="18"/>
        </w:rPr>
        <w:t xml:space="preserve">. De regeldrukkosten van deze </w:t>
      </w:r>
      <w:r w:rsidRPr="00FF46E3" w:rsidR="00AD20FC">
        <w:rPr>
          <w:rFonts w:ascii="Verdana" w:hAnsi="Verdana"/>
          <w:sz w:val="18"/>
          <w:szCs w:val="18"/>
        </w:rPr>
        <w:t>inzet hangt ook af van de omvang van die inzet</w:t>
      </w:r>
      <w:r w:rsidRPr="00FF46E3">
        <w:rPr>
          <w:rFonts w:ascii="Verdana" w:hAnsi="Verdana"/>
          <w:sz w:val="18"/>
          <w:szCs w:val="18"/>
        </w:rPr>
        <w:t>.</w:t>
      </w:r>
    </w:p>
    <w:p w:rsidRPr="00FF46E3" w:rsidR="003F2C12" w:rsidP="00592683" w:rsidRDefault="003F2C12" w14:paraId="75E75DE2" w14:textId="77777777">
      <w:pPr>
        <w:pStyle w:val="Geenafstand"/>
        <w:rPr>
          <w:rFonts w:ascii="Verdana" w:hAnsi="Verdana"/>
          <w:sz w:val="18"/>
          <w:szCs w:val="18"/>
        </w:rPr>
      </w:pPr>
    </w:p>
    <w:p w:rsidRPr="00FF46E3" w:rsidR="008C4500" w:rsidP="00592683" w:rsidRDefault="008C4500" w14:paraId="3744FD9D" w14:textId="43558814">
      <w:pPr>
        <w:pStyle w:val="Geenafstand"/>
        <w:rPr>
          <w:rFonts w:ascii="Verdana" w:hAnsi="Verdana"/>
          <w:sz w:val="18"/>
          <w:szCs w:val="18"/>
        </w:rPr>
      </w:pPr>
      <w:r w:rsidRPr="00FF46E3">
        <w:rPr>
          <w:rFonts w:ascii="Verdana" w:hAnsi="Verdana"/>
          <w:sz w:val="18"/>
          <w:szCs w:val="18"/>
        </w:rPr>
        <w:t xml:space="preserve">Voor belangrijke entiteiten gelden vergelijkbare verplichtingen, echter kunnen de verplichtingen alleen achteraf worden toegepast. Achteraf wil zeggen dat de </w:t>
      </w:r>
      <w:r w:rsidRPr="00FF46E3" w:rsidR="003F2C12">
        <w:rPr>
          <w:rFonts w:ascii="Verdana" w:hAnsi="Verdana"/>
          <w:sz w:val="18"/>
          <w:szCs w:val="18"/>
        </w:rPr>
        <w:t xml:space="preserve">toezichthoudende instantie </w:t>
      </w:r>
      <w:r w:rsidRPr="00FF46E3">
        <w:rPr>
          <w:rFonts w:ascii="Verdana" w:hAnsi="Verdana"/>
          <w:sz w:val="18"/>
          <w:szCs w:val="18"/>
        </w:rPr>
        <w:t xml:space="preserve">informatie moet hebben dat een belangrijke entiteit zich </w:t>
      </w:r>
      <w:r w:rsidRPr="00FF46E3" w:rsidR="00226F9A">
        <w:rPr>
          <w:rFonts w:ascii="Verdana" w:hAnsi="Verdana"/>
          <w:sz w:val="18"/>
          <w:szCs w:val="18"/>
        </w:rPr>
        <w:t xml:space="preserve">mogelijk </w:t>
      </w:r>
      <w:r w:rsidRPr="00FF46E3">
        <w:rPr>
          <w:rFonts w:ascii="Verdana" w:hAnsi="Verdana"/>
          <w:sz w:val="18"/>
          <w:szCs w:val="18"/>
        </w:rPr>
        <w:t>niet aan de uit deze wet voortkomende verplichtingen houdt, alvorens de</w:t>
      </w:r>
      <w:r w:rsidRPr="00FF46E3" w:rsidR="00AD20FC">
        <w:rPr>
          <w:rFonts w:ascii="Verdana" w:hAnsi="Verdana"/>
          <w:sz w:val="18"/>
          <w:szCs w:val="18"/>
        </w:rPr>
        <w:t>ze instrumenten</w:t>
      </w:r>
      <w:r w:rsidRPr="00FF46E3">
        <w:rPr>
          <w:rFonts w:ascii="Verdana" w:hAnsi="Verdana"/>
          <w:sz w:val="18"/>
          <w:szCs w:val="18"/>
        </w:rPr>
        <w:t xml:space="preserve"> worden ingezet.</w:t>
      </w:r>
    </w:p>
    <w:p w:rsidRPr="00FF46E3" w:rsidR="00B67D01" w:rsidP="00592683" w:rsidRDefault="00B67D01" w14:paraId="6964E19A" w14:textId="77777777">
      <w:pPr>
        <w:pStyle w:val="Geenafstand"/>
        <w:rPr>
          <w:rFonts w:ascii="Verdana" w:hAnsi="Verdana"/>
          <w:sz w:val="18"/>
          <w:szCs w:val="18"/>
        </w:rPr>
      </w:pPr>
    </w:p>
    <w:p w:rsidRPr="00FF46E3" w:rsidR="008C4500" w:rsidP="00C3466E" w:rsidRDefault="005A5363" w14:paraId="51DC5C26" w14:textId="1980821F">
      <w:pPr>
        <w:pStyle w:val="Kop3"/>
        <w:rPr>
          <w:rFonts w:eastAsiaTheme="minorHAnsi"/>
        </w:rPr>
      </w:pPr>
      <w:bookmarkStart w:name="_Toc198721137" w:id="198"/>
      <w:r w:rsidRPr="00FF46E3">
        <w:rPr>
          <w:rFonts w:eastAsiaTheme="minorHAnsi"/>
        </w:rPr>
        <w:t>8.1.</w:t>
      </w:r>
      <w:r w:rsidRPr="00FF46E3" w:rsidR="00093432">
        <w:t>8</w:t>
      </w:r>
      <w:r w:rsidRPr="00FF46E3">
        <w:rPr>
          <w:rFonts w:eastAsiaTheme="minorHAnsi"/>
        </w:rPr>
        <w:t xml:space="preserve"> </w:t>
      </w:r>
      <w:r w:rsidRPr="00FF46E3" w:rsidR="008C4500">
        <w:rPr>
          <w:rFonts w:eastAsiaTheme="minorHAnsi"/>
        </w:rPr>
        <w:t>Eenmalige kennisnamekosten</w:t>
      </w:r>
      <w:bookmarkEnd w:id="198"/>
    </w:p>
    <w:p w:rsidRPr="00FF46E3" w:rsidR="008C4500" w:rsidP="00592683" w:rsidRDefault="008C4500" w14:paraId="0DC80FED" w14:textId="77777777">
      <w:pPr>
        <w:pStyle w:val="Geenafstand"/>
        <w:rPr>
          <w:rFonts w:ascii="Verdana" w:hAnsi="Verdana"/>
          <w:sz w:val="18"/>
          <w:szCs w:val="18"/>
        </w:rPr>
      </w:pPr>
    </w:p>
    <w:p w:rsidRPr="00FF46E3" w:rsidR="008C4500" w:rsidP="00592683" w:rsidRDefault="00A73D4E" w14:paraId="4F179CB6" w14:textId="2789FE1B">
      <w:pPr>
        <w:pStyle w:val="Geenafstand"/>
        <w:rPr>
          <w:rFonts w:ascii="Verdana" w:hAnsi="Verdana"/>
          <w:sz w:val="18"/>
          <w:szCs w:val="18"/>
        </w:rPr>
      </w:pPr>
      <w:r>
        <w:rPr>
          <w:rFonts w:ascii="Verdana" w:hAnsi="Verdana"/>
          <w:sz w:val="18"/>
          <w:szCs w:val="18"/>
        </w:rPr>
        <w:t>Essentiële entiteiten, belangrijke entiteiten en entiteiten die domeinnaamregistratiediensten verlenen</w:t>
      </w:r>
      <w:r w:rsidRPr="00FF46E3" w:rsidR="008C4500">
        <w:rPr>
          <w:rFonts w:ascii="Verdana" w:hAnsi="Verdana"/>
          <w:sz w:val="18"/>
          <w:szCs w:val="18"/>
        </w:rPr>
        <w:t xml:space="preserve"> zullen eenmalig tijd </w:t>
      </w:r>
      <w:r>
        <w:rPr>
          <w:rFonts w:ascii="Verdana" w:hAnsi="Verdana"/>
          <w:sz w:val="18"/>
          <w:szCs w:val="18"/>
        </w:rPr>
        <w:t xml:space="preserve">moeten </w:t>
      </w:r>
      <w:r w:rsidRPr="00FF46E3" w:rsidR="008C4500">
        <w:rPr>
          <w:rFonts w:ascii="Verdana" w:hAnsi="Verdana"/>
          <w:sz w:val="18"/>
          <w:szCs w:val="18"/>
        </w:rPr>
        <w:t xml:space="preserve">besteden aan het verdiepen in en kennisnemen van de </w:t>
      </w:r>
      <w:proofErr w:type="spellStart"/>
      <w:r w:rsidRPr="00FF46E3" w:rsidR="00ED232D">
        <w:rPr>
          <w:rFonts w:ascii="Verdana" w:hAnsi="Verdana"/>
          <w:sz w:val="18"/>
          <w:szCs w:val="18"/>
        </w:rPr>
        <w:t>Cbw</w:t>
      </w:r>
      <w:proofErr w:type="spellEnd"/>
      <w:r w:rsidRPr="00FF46E3" w:rsidR="008C4500">
        <w:rPr>
          <w:rFonts w:ascii="Verdana" w:hAnsi="Verdana"/>
          <w:sz w:val="18"/>
          <w:szCs w:val="18"/>
        </w:rPr>
        <w:t xml:space="preserve">. Entiteiten zullen hier naar schatting 16 uur (2 werkdagen) voor nodig hebben. Uitgaande van een uurtarief van € </w:t>
      </w:r>
      <w:r w:rsidR="008F60A2">
        <w:rPr>
          <w:rFonts w:ascii="Verdana" w:hAnsi="Verdana"/>
          <w:sz w:val="18"/>
          <w:szCs w:val="18"/>
        </w:rPr>
        <w:t>54</w:t>
      </w:r>
      <w:r w:rsidRPr="00FF46E3" w:rsidR="008C4500">
        <w:rPr>
          <w:rFonts w:ascii="Verdana" w:hAnsi="Verdana"/>
          <w:sz w:val="18"/>
          <w:szCs w:val="18"/>
        </w:rPr>
        <w:t xml:space="preserve"> komt dit uit op € </w:t>
      </w:r>
      <w:r w:rsidR="008F60A2">
        <w:rPr>
          <w:rFonts w:ascii="Verdana" w:hAnsi="Verdana"/>
          <w:sz w:val="18"/>
          <w:szCs w:val="18"/>
        </w:rPr>
        <w:t>864</w:t>
      </w:r>
      <w:r w:rsidRPr="00FF46E3" w:rsidR="008F60A2">
        <w:rPr>
          <w:rFonts w:ascii="Verdana" w:hAnsi="Verdana"/>
          <w:sz w:val="18"/>
          <w:szCs w:val="18"/>
        </w:rPr>
        <w:t xml:space="preserve"> </w:t>
      </w:r>
      <w:r>
        <w:rPr>
          <w:rFonts w:ascii="Verdana" w:hAnsi="Verdana"/>
          <w:sz w:val="18"/>
          <w:szCs w:val="18"/>
        </w:rPr>
        <w:t xml:space="preserve">per entiteit aan </w:t>
      </w:r>
      <w:r w:rsidRPr="00FF46E3" w:rsidR="008C4500">
        <w:rPr>
          <w:rFonts w:ascii="Verdana" w:hAnsi="Verdana"/>
          <w:sz w:val="18"/>
          <w:szCs w:val="18"/>
        </w:rPr>
        <w:t>eenmalige kennisnamekosten.</w:t>
      </w:r>
      <w:r w:rsidR="00BB6463">
        <w:rPr>
          <w:rFonts w:ascii="Verdana" w:hAnsi="Verdana"/>
          <w:sz w:val="18"/>
          <w:szCs w:val="18"/>
        </w:rPr>
        <w:t xml:space="preserve"> Vermenigvuldigd met het aantal betrokken organisaties (8.100) komt dit uit op een totaal van € </w:t>
      </w:r>
      <w:r w:rsidR="008F60A2">
        <w:rPr>
          <w:rFonts w:ascii="Verdana" w:hAnsi="Verdana"/>
          <w:sz w:val="18"/>
          <w:szCs w:val="18"/>
        </w:rPr>
        <w:t>6.998.400</w:t>
      </w:r>
      <w:r w:rsidR="00BB6463">
        <w:rPr>
          <w:rFonts w:ascii="Verdana" w:hAnsi="Verdana"/>
          <w:sz w:val="18"/>
          <w:szCs w:val="18"/>
        </w:rPr>
        <w:t>,-.</w:t>
      </w:r>
    </w:p>
    <w:p w:rsidRPr="00FF46E3" w:rsidR="00B67D01" w:rsidP="00592683" w:rsidRDefault="00B67D01" w14:paraId="5A048843" w14:textId="77777777">
      <w:pPr>
        <w:pStyle w:val="Geenafstand"/>
        <w:rPr>
          <w:rFonts w:ascii="Verdana" w:hAnsi="Verdana"/>
          <w:sz w:val="18"/>
          <w:szCs w:val="18"/>
        </w:rPr>
      </w:pPr>
    </w:p>
    <w:p w:rsidRPr="00FF46E3" w:rsidR="00DF434B" w:rsidP="00093432" w:rsidRDefault="009B6F2B" w14:paraId="321AFF55" w14:textId="0558D391">
      <w:pPr>
        <w:pStyle w:val="Kop2"/>
      </w:pPr>
      <w:bookmarkStart w:name="_Toc198721138" w:id="199"/>
      <w:r w:rsidRPr="00FF46E3">
        <w:t>8</w:t>
      </w:r>
      <w:r w:rsidRPr="00FF46E3" w:rsidR="00DF434B">
        <w:t>.</w:t>
      </w:r>
      <w:r w:rsidR="00614A01">
        <w:t>2</w:t>
      </w:r>
      <w:r w:rsidRPr="00FF46E3" w:rsidR="00DF434B">
        <w:t xml:space="preserve"> Financiële gevolgen voor de overheid</w:t>
      </w:r>
      <w:bookmarkEnd w:id="199"/>
    </w:p>
    <w:p w:rsidRPr="00FF46E3" w:rsidR="007D1B33" w:rsidP="00DA034C" w:rsidRDefault="007D1B33" w14:paraId="0A251FE3" w14:textId="77777777">
      <w:pPr>
        <w:pStyle w:val="Geenafstand"/>
        <w:rPr>
          <w:rFonts w:ascii="Verdana" w:hAnsi="Verdana"/>
          <w:sz w:val="18"/>
          <w:szCs w:val="18"/>
        </w:rPr>
      </w:pPr>
    </w:p>
    <w:p w:rsidRPr="00FF46E3" w:rsidR="00DA034C" w:rsidP="00DA034C" w:rsidRDefault="00604685" w14:paraId="29C81FA6" w14:textId="770C77A5">
      <w:pPr>
        <w:pStyle w:val="Geenafstand"/>
        <w:rPr>
          <w:rFonts w:ascii="Verdana" w:hAnsi="Verdana"/>
          <w:sz w:val="18"/>
          <w:szCs w:val="18"/>
        </w:rPr>
      </w:pPr>
      <w:r w:rsidRPr="00FF46E3">
        <w:rPr>
          <w:rFonts w:ascii="Verdana" w:hAnsi="Verdana"/>
          <w:sz w:val="18"/>
          <w:szCs w:val="18"/>
        </w:rPr>
        <w:t xml:space="preserve">De </w:t>
      </w:r>
      <w:proofErr w:type="spellStart"/>
      <w:r w:rsidRPr="00FF46E3">
        <w:rPr>
          <w:rFonts w:ascii="Verdana" w:hAnsi="Verdana"/>
          <w:sz w:val="18"/>
          <w:szCs w:val="18"/>
        </w:rPr>
        <w:t>Cbw</w:t>
      </w:r>
      <w:proofErr w:type="spellEnd"/>
      <w:r w:rsidRPr="00FF46E3" w:rsidR="00DA034C">
        <w:rPr>
          <w:rFonts w:ascii="Verdana" w:hAnsi="Verdana"/>
          <w:sz w:val="18"/>
          <w:szCs w:val="18"/>
        </w:rPr>
        <w:t xml:space="preserve"> ziet op een significante uitbreiding van zowel taken als scope van doelgroepen. Dit zal leiden tot extra financiële uitgaven. Een </w:t>
      </w:r>
      <w:r w:rsidRPr="00FF46E3" w:rsidR="00AD20FC">
        <w:rPr>
          <w:rFonts w:ascii="Verdana" w:hAnsi="Verdana"/>
          <w:sz w:val="18"/>
          <w:szCs w:val="18"/>
        </w:rPr>
        <w:t xml:space="preserve">van de </w:t>
      </w:r>
      <w:r w:rsidRPr="00FF46E3" w:rsidR="00DA034C">
        <w:rPr>
          <w:rFonts w:ascii="Verdana" w:hAnsi="Verdana"/>
          <w:sz w:val="18"/>
          <w:szCs w:val="18"/>
        </w:rPr>
        <w:t>belangrijkste tak</w:t>
      </w:r>
      <w:r w:rsidRPr="00FF46E3" w:rsidR="00AD20FC">
        <w:rPr>
          <w:rFonts w:ascii="Verdana" w:hAnsi="Verdana"/>
          <w:sz w:val="18"/>
          <w:szCs w:val="18"/>
        </w:rPr>
        <w:t>en</w:t>
      </w:r>
      <w:r w:rsidRPr="00FF46E3" w:rsidR="00DA034C">
        <w:rPr>
          <w:rFonts w:ascii="Verdana" w:hAnsi="Verdana"/>
          <w:sz w:val="18"/>
          <w:szCs w:val="18"/>
        </w:rPr>
        <w:t xml:space="preserve"> voor de </w:t>
      </w:r>
      <w:r w:rsidR="00841F9C">
        <w:rPr>
          <w:rFonts w:ascii="Verdana" w:hAnsi="Verdana"/>
          <w:sz w:val="18"/>
          <w:szCs w:val="18"/>
        </w:rPr>
        <w:t>r</w:t>
      </w:r>
      <w:r w:rsidRPr="00FF46E3" w:rsidR="00DA034C">
        <w:rPr>
          <w:rFonts w:ascii="Verdana" w:hAnsi="Verdana"/>
          <w:sz w:val="18"/>
          <w:szCs w:val="18"/>
        </w:rPr>
        <w:t>ijksoverheid houd</w:t>
      </w:r>
      <w:r w:rsidRPr="00FF46E3" w:rsidR="00AD20FC">
        <w:rPr>
          <w:rFonts w:ascii="Verdana" w:hAnsi="Verdana"/>
          <w:sz w:val="18"/>
          <w:szCs w:val="18"/>
        </w:rPr>
        <w:t>t</w:t>
      </w:r>
      <w:r w:rsidRPr="00FF46E3" w:rsidR="00DA034C">
        <w:rPr>
          <w:rFonts w:ascii="Verdana" w:hAnsi="Verdana"/>
          <w:sz w:val="18"/>
          <w:szCs w:val="18"/>
        </w:rPr>
        <w:t xml:space="preserve"> verband met de verplichting om essentiële </w:t>
      </w:r>
      <w:r w:rsidRPr="00FF46E3" w:rsidR="00AD20FC">
        <w:rPr>
          <w:rFonts w:ascii="Verdana" w:hAnsi="Verdana"/>
          <w:sz w:val="18"/>
          <w:szCs w:val="18"/>
        </w:rPr>
        <w:t xml:space="preserve">entiteiten </w:t>
      </w:r>
      <w:r w:rsidRPr="00FF46E3" w:rsidR="00DA034C">
        <w:rPr>
          <w:rFonts w:ascii="Verdana" w:hAnsi="Verdana"/>
          <w:sz w:val="18"/>
          <w:szCs w:val="18"/>
        </w:rPr>
        <w:t xml:space="preserve">en belangrijke entiteiten te ondersteunen, waaronder middels het aanwijzen van een CSIRT. Hiervoor moet specifieke kennis worden uitgebreid en in termen van capaciteit worden versterkt. </w:t>
      </w:r>
      <w:r w:rsidRPr="00FF46E3" w:rsidR="00A473C0">
        <w:rPr>
          <w:rFonts w:ascii="Verdana" w:hAnsi="Verdana"/>
          <w:sz w:val="18"/>
          <w:szCs w:val="18"/>
        </w:rPr>
        <w:t>Zowel</w:t>
      </w:r>
      <w:r w:rsidRPr="00FF46E3" w:rsidR="006207CF">
        <w:rPr>
          <w:rFonts w:ascii="Verdana" w:hAnsi="Verdana"/>
          <w:sz w:val="18"/>
          <w:szCs w:val="18"/>
        </w:rPr>
        <w:t xml:space="preserve"> bij de </w:t>
      </w:r>
      <w:r w:rsidR="00841F9C">
        <w:rPr>
          <w:rFonts w:ascii="Verdana" w:hAnsi="Verdana"/>
          <w:sz w:val="18"/>
          <w:szCs w:val="18"/>
        </w:rPr>
        <w:t>r</w:t>
      </w:r>
      <w:r w:rsidRPr="00FF46E3" w:rsidR="006207CF">
        <w:rPr>
          <w:rFonts w:ascii="Verdana" w:hAnsi="Verdana"/>
          <w:sz w:val="18"/>
          <w:szCs w:val="18"/>
        </w:rPr>
        <w:t xml:space="preserve">ijksoverheid als bij de </w:t>
      </w:r>
      <w:proofErr w:type="spellStart"/>
      <w:r w:rsidRPr="00FF46E3" w:rsidR="006207CF">
        <w:rPr>
          <w:rFonts w:ascii="Verdana" w:hAnsi="Verdana"/>
          <w:sz w:val="18"/>
          <w:szCs w:val="18"/>
        </w:rPr>
        <w:t>CSIRT</w:t>
      </w:r>
      <w:r w:rsidR="00F12F81">
        <w:rPr>
          <w:rFonts w:ascii="Verdana" w:hAnsi="Verdana"/>
          <w:sz w:val="18"/>
          <w:szCs w:val="18"/>
        </w:rPr>
        <w:t>’</w:t>
      </w:r>
      <w:r w:rsidRPr="00FF46E3" w:rsidR="006207CF">
        <w:rPr>
          <w:rFonts w:ascii="Verdana" w:hAnsi="Verdana"/>
          <w:sz w:val="18"/>
          <w:szCs w:val="18"/>
        </w:rPr>
        <w:t>s</w:t>
      </w:r>
      <w:proofErr w:type="spellEnd"/>
      <w:r w:rsidR="003808E3">
        <w:rPr>
          <w:rFonts w:ascii="Verdana" w:hAnsi="Verdana"/>
          <w:sz w:val="18"/>
          <w:szCs w:val="18"/>
        </w:rPr>
        <w:t>.</w:t>
      </w:r>
      <w:r w:rsidRPr="00FF46E3" w:rsidR="006207CF">
        <w:rPr>
          <w:rFonts w:ascii="Verdana" w:hAnsi="Verdana"/>
          <w:sz w:val="18"/>
          <w:szCs w:val="18"/>
        </w:rPr>
        <w:t xml:space="preserve"> Deze specialistische kennis is nu al schaars en duur, en zal met de komst van deze wet nog schaarser en duurder worden. </w:t>
      </w:r>
      <w:r w:rsidRPr="00FF46E3" w:rsidR="00DA034C">
        <w:rPr>
          <w:rFonts w:ascii="Verdana" w:hAnsi="Verdana"/>
          <w:sz w:val="18"/>
          <w:szCs w:val="18"/>
        </w:rPr>
        <w:t>Ook op het gebied van toezicht worden er veranderingen doorgevoerd met financiële gevolgen. Zo moet de capaciteit voor toezicht groeien vanwege de toename aan entiteiten</w:t>
      </w:r>
      <w:r w:rsidRPr="00FF46E3" w:rsidR="007D1B33">
        <w:rPr>
          <w:rFonts w:ascii="Verdana" w:hAnsi="Verdana"/>
          <w:sz w:val="18"/>
          <w:szCs w:val="18"/>
        </w:rPr>
        <w:t>.</w:t>
      </w:r>
      <w:r w:rsidRPr="00FF46E3" w:rsidR="00DA034C">
        <w:rPr>
          <w:rFonts w:ascii="Verdana" w:hAnsi="Verdana"/>
          <w:sz w:val="18"/>
          <w:szCs w:val="18"/>
        </w:rPr>
        <w:t xml:space="preserve"> </w:t>
      </w:r>
      <w:r w:rsidRPr="00FF46E3" w:rsidR="007D1B33">
        <w:rPr>
          <w:rFonts w:ascii="Verdana" w:hAnsi="Verdana"/>
          <w:sz w:val="18"/>
          <w:szCs w:val="18"/>
        </w:rPr>
        <w:t>O</w:t>
      </w:r>
      <w:r w:rsidRPr="00FF46E3" w:rsidR="00DA034C">
        <w:rPr>
          <w:rFonts w:ascii="Verdana" w:hAnsi="Verdana"/>
          <w:sz w:val="18"/>
          <w:szCs w:val="18"/>
        </w:rPr>
        <w:t xml:space="preserve">ok is er voor essentiële entiteiten straks sprake van toezicht vooraf. Het vervullen van deze verplichtingen zal veelal een intensivering zijn van het huidige beleid ter bescherming van de vitale infrastructuur. </w:t>
      </w:r>
    </w:p>
    <w:p w:rsidRPr="00FF46E3" w:rsidR="00DA034C" w:rsidP="00DA034C" w:rsidRDefault="00DA034C" w14:paraId="3FBE65D4" w14:textId="77777777">
      <w:pPr>
        <w:pStyle w:val="Geenafstand"/>
        <w:rPr>
          <w:rFonts w:ascii="Verdana" w:hAnsi="Verdana"/>
          <w:sz w:val="18"/>
          <w:szCs w:val="18"/>
        </w:rPr>
      </w:pPr>
    </w:p>
    <w:p w:rsidRPr="00FF46E3" w:rsidR="00DA034C" w:rsidP="00DA034C" w:rsidRDefault="00DA034C" w14:paraId="7D72D966" w14:textId="2E188FFE">
      <w:pPr>
        <w:pStyle w:val="Geenafstand"/>
        <w:rPr>
          <w:rFonts w:ascii="Verdana" w:hAnsi="Verdana"/>
          <w:sz w:val="18"/>
          <w:szCs w:val="18"/>
        </w:rPr>
      </w:pPr>
      <w:r w:rsidRPr="00FF46E3">
        <w:rPr>
          <w:rFonts w:ascii="Verdana" w:hAnsi="Verdana"/>
          <w:sz w:val="18"/>
          <w:szCs w:val="18"/>
        </w:rPr>
        <w:t>De kosten vallen grotendeels neer bij de verantwoordelijke departementen. Zij hebben op basis van hun sectorverantwoordelijkheid een coördinerende rol richting entiteiten om samenwerking, informatiedeling, de identificatie van risico</w:t>
      </w:r>
      <w:r w:rsidR="00D91960">
        <w:rPr>
          <w:rFonts w:ascii="Verdana" w:hAnsi="Verdana"/>
          <w:sz w:val="18"/>
          <w:szCs w:val="18"/>
        </w:rPr>
        <w:t>’</w:t>
      </w:r>
      <w:r w:rsidRPr="00FF46E3">
        <w:rPr>
          <w:rFonts w:ascii="Verdana" w:hAnsi="Verdana"/>
          <w:sz w:val="18"/>
          <w:szCs w:val="18"/>
        </w:rPr>
        <w:t>s en de handhaving van de voorschriften van de NIS</w:t>
      </w:r>
      <w:r w:rsidR="003808E3">
        <w:rPr>
          <w:rFonts w:ascii="Verdana" w:hAnsi="Verdana"/>
          <w:sz w:val="18"/>
          <w:szCs w:val="18"/>
        </w:rPr>
        <w:t>2</w:t>
      </w:r>
      <w:r w:rsidRPr="00FF46E3">
        <w:rPr>
          <w:rFonts w:ascii="Verdana" w:hAnsi="Verdana"/>
          <w:sz w:val="18"/>
          <w:szCs w:val="18"/>
        </w:rPr>
        <w:t>-richtlijn te bevorderen. Hier zijn consequenties aan verbonden met betrekking tot capaciteit en middelen, zowel voor de departementen</w:t>
      </w:r>
      <w:r w:rsidRPr="00FF46E3" w:rsidR="001A25FA">
        <w:rPr>
          <w:rFonts w:ascii="Verdana" w:hAnsi="Verdana"/>
          <w:sz w:val="18"/>
          <w:szCs w:val="18"/>
        </w:rPr>
        <w:t xml:space="preserve">, </w:t>
      </w:r>
      <w:proofErr w:type="spellStart"/>
      <w:r w:rsidRPr="00FF46E3" w:rsidR="001A25FA">
        <w:rPr>
          <w:rFonts w:ascii="Verdana" w:hAnsi="Verdana"/>
          <w:sz w:val="18"/>
          <w:szCs w:val="18"/>
        </w:rPr>
        <w:t>CSIRT</w:t>
      </w:r>
      <w:r w:rsidRPr="00FF46E3" w:rsidR="00AD20FC">
        <w:rPr>
          <w:rFonts w:ascii="Verdana" w:hAnsi="Verdana"/>
          <w:sz w:val="18"/>
          <w:szCs w:val="18"/>
        </w:rPr>
        <w:t>’</w:t>
      </w:r>
      <w:r w:rsidRPr="00FF46E3" w:rsidR="007D1B33">
        <w:rPr>
          <w:rFonts w:ascii="Verdana" w:hAnsi="Verdana"/>
          <w:sz w:val="18"/>
          <w:szCs w:val="18"/>
        </w:rPr>
        <w:t>s</w:t>
      </w:r>
      <w:proofErr w:type="spellEnd"/>
      <w:r w:rsidRPr="00FF46E3" w:rsidR="001A25FA">
        <w:rPr>
          <w:rFonts w:ascii="Verdana" w:hAnsi="Verdana"/>
          <w:sz w:val="18"/>
          <w:szCs w:val="18"/>
        </w:rPr>
        <w:t>,</w:t>
      </w:r>
      <w:r w:rsidRPr="00FF46E3">
        <w:rPr>
          <w:rFonts w:ascii="Verdana" w:hAnsi="Verdana"/>
          <w:sz w:val="18"/>
          <w:szCs w:val="18"/>
        </w:rPr>
        <w:t xml:space="preserve"> als de sectorale toezichthouders. Wegens variatie in sectorale omvang en diepgang, wisselende specificiteit van complementaire sectorale wetgeving en uiteenlopende kosten voor capaciteitsvergroting verschillen de budgettaire gevolgen sterk per departement.</w:t>
      </w:r>
    </w:p>
    <w:p w:rsidRPr="00FF46E3" w:rsidR="006D7F2C" w:rsidP="00DA034C" w:rsidRDefault="006D7F2C" w14:paraId="480394AA" w14:textId="77777777">
      <w:pPr>
        <w:pStyle w:val="Geenafstand"/>
        <w:rPr>
          <w:rFonts w:ascii="Verdana" w:hAnsi="Verdana"/>
          <w:sz w:val="18"/>
          <w:szCs w:val="18"/>
        </w:rPr>
      </w:pPr>
    </w:p>
    <w:p w:rsidR="006D7F2C" w:rsidP="00DA034C" w:rsidRDefault="006D7F2C" w14:paraId="44E509B3" w14:textId="02B9B1FE">
      <w:pPr>
        <w:pStyle w:val="Geenafstand"/>
        <w:rPr>
          <w:rFonts w:ascii="Verdana" w:hAnsi="Verdana"/>
          <w:sz w:val="18"/>
          <w:szCs w:val="18"/>
        </w:rPr>
      </w:pPr>
      <w:r w:rsidRPr="00FF46E3">
        <w:rPr>
          <w:rFonts w:ascii="Verdana" w:hAnsi="Verdana"/>
          <w:sz w:val="18"/>
          <w:szCs w:val="18"/>
        </w:rPr>
        <w:t>Conform de regels van de budgetdiscipline dienen de budgettaire gevolgen te worden ingepast op de begrotingen van de verantwoordelijke departementen. In onderstaande tabel zijn de budgettaire gevolgen geraamd</w:t>
      </w:r>
      <w:r w:rsidR="00DC7473">
        <w:rPr>
          <w:rFonts w:ascii="Verdana" w:hAnsi="Verdana"/>
          <w:sz w:val="18"/>
          <w:szCs w:val="18"/>
        </w:rPr>
        <w:t xml:space="preserve"> zoals verwerkt in de </w:t>
      </w:r>
      <w:r w:rsidR="000F6E4B">
        <w:rPr>
          <w:rFonts w:ascii="Verdana" w:hAnsi="Verdana"/>
          <w:sz w:val="18"/>
          <w:szCs w:val="18"/>
        </w:rPr>
        <w:t>M</w:t>
      </w:r>
      <w:r w:rsidR="00DC7473">
        <w:rPr>
          <w:rFonts w:ascii="Verdana" w:hAnsi="Verdana"/>
          <w:sz w:val="18"/>
          <w:szCs w:val="18"/>
        </w:rPr>
        <w:t>iljoenennota 2025</w:t>
      </w:r>
      <w:r w:rsidRPr="00FF46E3">
        <w:rPr>
          <w:rFonts w:ascii="Verdana" w:hAnsi="Verdana"/>
          <w:sz w:val="18"/>
          <w:szCs w:val="18"/>
        </w:rPr>
        <w:t xml:space="preserve">. Deze bedragen zijn inclusief de budgettaire gevolgen horende bij de </w:t>
      </w:r>
      <w:proofErr w:type="spellStart"/>
      <w:r w:rsidRPr="00FF46E3" w:rsidR="00B52460">
        <w:rPr>
          <w:rFonts w:ascii="Verdana" w:hAnsi="Verdana"/>
          <w:sz w:val="18"/>
          <w:szCs w:val="18"/>
        </w:rPr>
        <w:t>Wwke</w:t>
      </w:r>
      <w:proofErr w:type="spellEnd"/>
      <w:r w:rsidRPr="00FF46E3">
        <w:rPr>
          <w:rFonts w:ascii="Verdana" w:hAnsi="Verdana"/>
          <w:sz w:val="18"/>
          <w:szCs w:val="18"/>
        </w:rPr>
        <w:t>.</w:t>
      </w:r>
    </w:p>
    <w:p w:rsidR="00C603BA" w:rsidP="00DA034C" w:rsidRDefault="00C603BA" w14:paraId="72201369" w14:textId="77777777">
      <w:pPr>
        <w:pStyle w:val="Geenafstand"/>
        <w:rPr>
          <w:rFonts w:ascii="Verdana" w:hAnsi="Verdana"/>
          <w:sz w:val="18"/>
          <w:szCs w:val="18"/>
        </w:rPr>
      </w:pPr>
    </w:p>
    <w:p w:rsidR="00C603BA" w:rsidP="00DA034C" w:rsidRDefault="00C603BA" w14:paraId="2C5839B9" w14:textId="77777777">
      <w:pPr>
        <w:pStyle w:val="Geenafstand"/>
        <w:rPr>
          <w:rFonts w:ascii="Verdana" w:hAnsi="Verdana"/>
          <w:sz w:val="18"/>
          <w:szCs w:val="18"/>
        </w:rPr>
      </w:pPr>
    </w:p>
    <w:p w:rsidR="00C603BA" w:rsidP="00DA034C" w:rsidRDefault="00C603BA" w14:paraId="74EFD475" w14:textId="77777777">
      <w:pPr>
        <w:pStyle w:val="Geenafstand"/>
        <w:rPr>
          <w:rFonts w:ascii="Verdana" w:hAnsi="Verdana"/>
          <w:sz w:val="18"/>
          <w:szCs w:val="18"/>
        </w:rPr>
      </w:pPr>
    </w:p>
    <w:p w:rsidR="00C603BA" w:rsidP="00DA034C" w:rsidRDefault="00C603BA" w14:paraId="06AE8B32" w14:textId="77777777">
      <w:pPr>
        <w:pStyle w:val="Geenafstand"/>
        <w:rPr>
          <w:rFonts w:ascii="Verdana" w:hAnsi="Verdana"/>
          <w:sz w:val="18"/>
          <w:szCs w:val="18"/>
        </w:rPr>
      </w:pPr>
    </w:p>
    <w:p w:rsidR="00C603BA" w:rsidP="00DA034C" w:rsidRDefault="00C603BA" w14:paraId="4123787C" w14:textId="77777777">
      <w:pPr>
        <w:pStyle w:val="Geenafstand"/>
        <w:rPr>
          <w:rFonts w:ascii="Verdana" w:hAnsi="Verdana"/>
          <w:sz w:val="18"/>
          <w:szCs w:val="18"/>
        </w:rPr>
      </w:pPr>
    </w:p>
    <w:p w:rsidR="00C603BA" w:rsidP="00DA034C" w:rsidRDefault="00C603BA" w14:paraId="7A81D99A" w14:textId="77777777">
      <w:pPr>
        <w:pStyle w:val="Geenafstand"/>
        <w:rPr>
          <w:rFonts w:ascii="Verdana" w:hAnsi="Verdana"/>
          <w:sz w:val="18"/>
          <w:szCs w:val="18"/>
        </w:rPr>
      </w:pPr>
    </w:p>
    <w:p w:rsidR="00C603BA" w:rsidP="00DA034C" w:rsidRDefault="00C603BA" w14:paraId="4545B473" w14:textId="77777777">
      <w:pPr>
        <w:pStyle w:val="Geenafstand"/>
        <w:rPr>
          <w:rFonts w:ascii="Verdana" w:hAnsi="Verdana"/>
          <w:sz w:val="18"/>
          <w:szCs w:val="18"/>
        </w:rPr>
      </w:pPr>
    </w:p>
    <w:p w:rsidR="00C603BA" w:rsidP="00DA034C" w:rsidRDefault="00C603BA" w14:paraId="121C1095" w14:textId="77777777">
      <w:pPr>
        <w:pStyle w:val="Geenafstand"/>
        <w:rPr>
          <w:rFonts w:ascii="Verdana" w:hAnsi="Verdana"/>
          <w:sz w:val="18"/>
          <w:szCs w:val="18"/>
        </w:rPr>
      </w:pPr>
    </w:p>
    <w:p w:rsidRPr="00FF46E3" w:rsidR="00C603BA" w:rsidP="00DA034C" w:rsidRDefault="00C603BA" w14:paraId="0A41812A" w14:textId="77777777">
      <w:pPr>
        <w:pStyle w:val="Geenafstand"/>
        <w:rPr>
          <w:rFonts w:ascii="Verdana" w:hAnsi="Verdana"/>
          <w:sz w:val="18"/>
          <w:szCs w:val="18"/>
        </w:rPr>
      </w:pPr>
    </w:p>
    <w:p w:rsidRPr="00FF46E3" w:rsidR="006D7F2C" w:rsidP="00DA034C" w:rsidRDefault="006D7F2C" w14:paraId="2E4DE0DB" w14:textId="77777777">
      <w:pPr>
        <w:pStyle w:val="Geenafstand"/>
        <w:rPr>
          <w:rFonts w:ascii="Verdana" w:hAnsi="Verdana"/>
          <w:sz w:val="18"/>
          <w:szCs w:val="18"/>
        </w:rPr>
      </w:pPr>
    </w:p>
    <w:p w:rsidR="006D7F2C" w:rsidP="006D7F2C" w:rsidRDefault="006D7F2C" w14:paraId="340FD893" w14:textId="445545EE">
      <w:pPr>
        <w:pStyle w:val="Bijschrift"/>
        <w:keepNext/>
        <w:spacing w:after="0"/>
        <w:rPr>
          <w:rFonts w:ascii="Verdana" w:hAnsi="Verdana"/>
          <w:color w:val="auto"/>
        </w:rPr>
      </w:pPr>
      <w:r w:rsidRPr="00FF46E3">
        <w:rPr>
          <w:rFonts w:ascii="Verdana" w:hAnsi="Verdana"/>
          <w:color w:val="auto"/>
        </w:rPr>
        <w:t xml:space="preserve">Tabel </w:t>
      </w:r>
      <w:r w:rsidRPr="00FF46E3" w:rsidR="0011282A">
        <w:rPr>
          <w:rFonts w:ascii="Verdana" w:hAnsi="Verdana"/>
          <w:color w:val="auto"/>
        </w:rPr>
        <w:fldChar w:fldCharType="begin"/>
      </w:r>
      <w:r w:rsidRPr="00FF46E3" w:rsidR="0011282A">
        <w:rPr>
          <w:rFonts w:ascii="Verdana" w:hAnsi="Verdana"/>
          <w:color w:val="auto"/>
        </w:rPr>
        <w:instrText xml:space="preserve"> SEQ Tabel \* ARABIC </w:instrText>
      </w:r>
      <w:r w:rsidRPr="00FF46E3" w:rsidR="0011282A">
        <w:rPr>
          <w:rFonts w:ascii="Verdana" w:hAnsi="Verdana"/>
          <w:color w:val="auto"/>
        </w:rPr>
        <w:fldChar w:fldCharType="separate"/>
      </w:r>
      <w:r w:rsidR="003201F3">
        <w:rPr>
          <w:rFonts w:ascii="Verdana" w:hAnsi="Verdana"/>
          <w:noProof/>
          <w:color w:val="auto"/>
        </w:rPr>
        <w:t>1</w:t>
      </w:r>
      <w:r w:rsidRPr="00FF46E3" w:rsidR="0011282A">
        <w:rPr>
          <w:rFonts w:ascii="Verdana" w:hAnsi="Verdana"/>
          <w:noProof/>
          <w:color w:val="auto"/>
        </w:rPr>
        <w:fldChar w:fldCharType="end"/>
      </w:r>
      <w:r w:rsidRPr="00FF46E3">
        <w:rPr>
          <w:rFonts w:ascii="Verdana" w:hAnsi="Verdana"/>
          <w:color w:val="auto"/>
        </w:rPr>
        <w:t>: budgettaire gevolgen per departement</w:t>
      </w:r>
    </w:p>
    <w:p w:rsidRPr="0029566C" w:rsidR="0029566C" w:rsidP="0029566C" w:rsidRDefault="0029566C" w14:paraId="5C85C455" w14:textId="77777777">
      <w:pPr>
        <w:pStyle w:val="Geenafstand"/>
        <w:rPr>
          <w:rFonts w:ascii="Verdana" w:hAnsi="Verdana"/>
          <w:sz w:val="18"/>
          <w:szCs w:val="18"/>
        </w:rPr>
      </w:pPr>
    </w:p>
    <w:tbl>
      <w:tblPr>
        <w:tblStyle w:val="Tabelraster"/>
        <w:tblW w:w="0" w:type="auto"/>
        <w:tblInd w:w="-5" w:type="dxa"/>
        <w:tblLayout w:type="fixed"/>
        <w:tblLook w:val="04A0" w:firstRow="1" w:lastRow="0" w:firstColumn="1" w:lastColumn="0" w:noHBand="0" w:noVBand="1"/>
      </w:tblPr>
      <w:tblGrid>
        <w:gridCol w:w="3686"/>
        <w:gridCol w:w="689"/>
        <w:gridCol w:w="690"/>
        <w:gridCol w:w="689"/>
        <w:gridCol w:w="690"/>
        <w:gridCol w:w="690"/>
        <w:gridCol w:w="1088"/>
      </w:tblGrid>
      <w:tr w:rsidRPr="00FF46E3" w:rsidR="0029566C" w:rsidTr="0029566C" w14:paraId="0684F0DF" w14:textId="77777777">
        <w:trPr>
          <w:trHeight w:val="170"/>
        </w:trPr>
        <w:tc>
          <w:tcPr>
            <w:tcW w:w="3686" w:type="dxa"/>
            <w:shd w:val="clear" w:color="auto" w:fill="DEEAF6" w:themeFill="accent1" w:themeFillTint="33"/>
          </w:tcPr>
          <w:p w:rsidRPr="00FF46E3" w:rsidR="006D7F2C" w:rsidP="00B71106" w:rsidRDefault="006D7F2C" w14:paraId="5EF43F8A" w14:textId="77777777">
            <w:pPr>
              <w:pStyle w:val="Geenafstand"/>
              <w:rPr>
                <w:rFonts w:ascii="Verdana" w:hAnsi="Verdana"/>
                <w:sz w:val="14"/>
                <w:szCs w:val="14"/>
              </w:rPr>
            </w:pPr>
            <w:bookmarkStart w:name="_Hlk178959082" w:id="200"/>
            <w:r w:rsidRPr="00FF46E3">
              <w:rPr>
                <w:rFonts w:ascii="Verdana" w:hAnsi="Verdana"/>
                <w:sz w:val="14"/>
                <w:szCs w:val="14"/>
              </w:rPr>
              <w:t>(in mln. €)</w:t>
            </w:r>
          </w:p>
        </w:tc>
        <w:tc>
          <w:tcPr>
            <w:tcW w:w="689" w:type="dxa"/>
            <w:shd w:val="clear" w:color="auto" w:fill="DEEAF6" w:themeFill="accent1" w:themeFillTint="33"/>
          </w:tcPr>
          <w:p w:rsidRPr="00FF46E3" w:rsidR="006D7F2C" w:rsidP="00B71106" w:rsidRDefault="006D7F2C" w14:paraId="5B367D8D" w14:textId="77777777">
            <w:pPr>
              <w:pStyle w:val="Geenafstand"/>
              <w:rPr>
                <w:rFonts w:ascii="Verdana" w:hAnsi="Verdana"/>
                <w:sz w:val="14"/>
                <w:szCs w:val="14"/>
              </w:rPr>
            </w:pPr>
            <w:r w:rsidRPr="00FF46E3">
              <w:rPr>
                <w:rFonts w:ascii="Verdana" w:hAnsi="Verdana"/>
                <w:sz w:val="14"/>
                <w:szCs w:val="14"/>
              </w:rPr>
              <w:t>2024</w:t>
            </w:r>
          </w:p>
        </w:tc>
        <w:tc>
          <w:tcPr>
            <w:tcW w:w="690" w:type="dxa"/>
            <w:shd w:val="clear" w:color="auto" w:fill="DEEAF6" w:themeFill="accent1" w:themeFillTint="33"/>
          </w:tcPr>
          <w:p w:rsidRPr="00FF46E3" w:rsidR="006D7F2C" w:rsidP="00B71106" w:rsidRDefault="006D7F2C" w14:paraId="547B840E" w14:textId="77777777">
            <w:pPr>
              <w:pStyle w:val="Geenafstand"/>
              <w:rPr>
                <w:rFonts w:ascii="Verdana" w:hAnsi="Verdana"/>
                <w:sz w:val="14"/>
                <w:szCs w:val="14"/>
              </w:rPr>
            </w:pPr>
            <w:r w:rsidRPr="00FF46E3">
              <w:rPr>
                <w:rFonts w:ascii="Verdana" w:hAnsi="Verdana"/>
                <w:sz w:val="14"/>
                <w:szCs w:val="14"/>
              </w:rPr>
              <w:t>2025</w:t>
            </w:r>
          </w:p>
        </w:tc>
        <w:tc>
          <w:tcPr>
            <w:tcW w:w="689" w:type="dxa"/>
            <w:shd w:val="clear" w:color="auto" w:fill="DEEAF6" w:themeFill="accent1" w:themeFillTint="33"/>
          </w:tcPr>
          <w:p w:rsidRPr="00FF46E3" w:rsidR="006D7F2C" w:rsidP="00B71106" w:rsidRDefault="006D7F2C" w14:paraId="2185F444" w14:textId="77777777">
            <w:pPr>
              <w:pStyle w:val="Geenafstand"/>
              <w:rPr>
                <w:rFonts w:ascii="Verdana" w:hAnsi="Verdana"/>
                <w:sz w:val="14"/>
                <w:szCs w:val="14"/>
              </w:rPr>
            </w:pPr>
            <w:r w:rsidRPr="00FF46E3">
              <w:rPr>
                <w:rFonts w:ascii="Verdana" w:hAnsi="Verdana"/>
                <w:sz w:val="14"/>
                <w:szCs w:val="14"/>
              </w:rPr>
              <w:t>2026</w:t>
            </w:r>
          </w:p>
        </w:tc>
        <w:tc>
          <w:tcPr>
            <w:tcW w:w="690" w:type="dxa"/>
            <w:shd w:val="clear" w:color="auto" w:fill="DEEAF6" w:themeFill="accent1" w:themeFillTint="33"/>
          </w:tcPr>
          <w:p w:rsidRPr="00FF46E3" w:rsidR="006D7F2C" w:rsidP="00B71106" w:rsidRDefault="006D7F2C" w14:paraId="2AF88CC0" w14:textId="77777777">
            <w:pPr>
              <w:pStyle w:val="Geenafstand"/>
              <w:rPr>
                <w:rFonts w:ascii="Verdana" w:hAnsi="Verdana"/>
                <w:sz w:val="14"/>
                <w:szCs w:val="14"/>
              </w:rPr>
            </w:pPr>
            <w:r w:rsidRPr="00FF46E3">
              <w:rPr>
                <w:rFonts w:ascii="Verdana" w:hAnsi="Verdana"/>
                <w:sz w:val="14"/>
                <w:szCs w:val="14"/>
              </w:rPr>
              <w:t>2027</w:t>
            </w:r>
          </w:p>
        </w:tc>
        <w:tc>
          <w:tcPr>
            <w:tcW w:w="690" w:type="dxa"/>
            <w:shd w:val="clear" w:color="auto" w:fill="DEEAF6" w:themeFill="accent1" w:themeFillTint="33"/>
          </w:tcPr>
          <w:p w:rsidRPr="00FF46E3" w:rsidR="006D7F2C" w:rsidP="00B71106" w:rsidRDefault="006D7F2C" w14:paraId="1C3C767F" w14:textId="77777777">
            <w:pPr>
              <w:pStyle w:val="Geenafstand"/>
              <w:rPr>
                <w:rFonts w:ascii="Verdana" w:hAnsi="Verdana"/>
                <w:sz w:val="14"/>
                <w:szCs w:val="14"/>
              </w:rPr>
            </w:pPr>
            <w:r w:rsidRPr="00FF46E3">
              <w:rPr>
                <w:rFonts w:ascii="Verdana" w:hAnsi="Verdana"/>
                <w:sz w:val="14"/>
                <w:szCs w:val="14"/>
              </w:rPr>
              <w:t>2028</w:t>
            </w:r>
          </w:p>
        </w:tc>
        <w:tc>
          <w:tcPr>
            <w:tcW w:w="1088" w:type="dxa"/>
            <w:shd w:val="clear" w:color="auto" w:fill="DEEAF6" w:themeFill="accent1" w:themeFillTint="33"/>
          </w:tcPr>
          <w:p w:rsidRPr="00FF46E3" w:rsidR="006D7F2C" w:rsidP="00B71106" w:rsidRDefault="006D7F2C" w14:paraId="569AAA52" w14:textId="77777777">
            <w:pPr>
              <w:pStyle w:val="Geenafstand"/>
              <w:rPr>
                <w:rFonts w:ascii="Verdana" w:hAnsi="Verdana"/>
                <w:sz w:val="14"/>
                <w:szCs w:val="14"/>
              </w:rPr>
            </w:pPr>
            <w:r w:rsidRPr="00FF46E3">
              <w:rPr>
                <w:rFonts w:ascii="Verdana" w:hAnsi="Verdana"/>
                <w:sz w:val="14"/>
                <w:szCs w:val="14"/>
              </w:rPr>
              <w:t>Structureel</w:t>
            </w:r>
          </w:p>
        </w:tc>
      </w:tr>
      <w:tr w:rsidRPr="00FF46E3" w:rsidR="0029566C" w:rsidTr="0029566C" w14:paraId="43C6AC5B" w14:textId="77777777">
        <w:trPr>
          <w:trHeight w:val="170"/>
        </w:trPr>
        <w:tc>
          <w:tcPr>
            <w:tcW w:w="3686" w:type="dxa"/>
          </w:tcPr>
          <w:p w:rsidRPr="00FF46E3" w:rsidR="006D7F2C" w:rsidP="00B71106" w:rsidRDefault="00EE3B30" w14:paraId="35194FC3" w14:textId="69C667FE">
            <w:pPr>
              <w:pStyle w:val="Geenafstand"/>
              <w:rPr>
                <w:rFonts w:ascii="Verdana" w:hAnsi="Verdana"/>
                <w:sz w:val="14"/>
                <w:szCs w:val="14"/>
              </w:rPr>
            </w:pPr>
            <w:r>
              <w:rPr>
                <w:rFonts w:ascii="Verdana" w:hAnsi="Verdana"/>
                <w:sz w:val="14"/>
                <w:szCs w:val="14"/>
              </w:rPr>
              <w:t>Economische Zaken en Klimaat</w:t>
            </w:r>
          </w:p>
        </w:tc>
        <w:tc>
          <w:tcPr>
            <w:tcW w:w="689" w:type="dxa"/>
          </w:tcPr>
          <w:p w:rsidRPr="00FF46E3" w:rsidR="006D7F2C" w:rsidP="00B71106" w:rsidRDefault="006D7F2C" w14:paraId="2715C0E3" w14:textId="77777777">
            <w:pPr>
              <w:pStyle w:val="Geenafstand"/>
              <w:rPr>
                <w:rFonts w:ascii="Verdana" w:hAnsi="Verdana"/>
                <w:sz w:val="14"/>
                <w:szCs w:val="14"/>
              </w:rPr>
            </w:pPr>
            <w:r w:rsidRPr="00FF46E3">
              <w:rPr>
                <w:rFonts w:ascii="Verdana" w:hAnsi="Verdana"/>
                <w:sz w:val="14"/>
                <w:szCs w:val="14"/>
              </w:rPr>
              <w:t>7,30</w:t>
            </w:r>
          </w:p>
        </w:tc>
        <w:tc>
          <w:tcPr>
            <w:tcW w:w="690" w:type="dxa"/>
          </w:tcPr>
          <w:p w:rsidRPr="00FF46E3" w:rsidR="006D7F2C" w:rsidP="00B71106" w:rsidRDefault="006D7F2C" w14:paraId="08957E2A" w14:textId="68436DB3">
            <w:pPr>
              <w:pStyle w:val="Geenafstand"/>
              <w:rPr>
                <w:rFonts w:ascii="Verdana" w:hAnsi="Verdana"/>
                <w:sz w:val="14"/>
                <w:szCs w:val="14"/>
              </w:rPr>
            </w:pPr>
          </w:p>
        </w:tc>
        <w:tc>
          <w:tcPr>
            <w:tcW w:w="689" w:type="dxa"/>
          </w:tcPr>
          <w:p w:rsidRPr="00FF46E3" w:rsidR="006D7F2C" w:rsidP="00B71106" w:rsidRDefault="006D7F2C" w14:paraId="6A15BF7D" w14:textId="7DD460D6">
            <w:pPr>
              <w:pStyle w:val="Geenafstand"/>
              <w:rPr>
                <w:rFonts w:ascii="Verdana" w:hAnsi="Verdana"/>
                <w:sz w:val="14"/>
                <w:szCs w:val="14"/>
              </w:rPr>
            </w:pPr>
          </w:p>
        </w:tc>
        <w:tc>
          <w:tcPr>
            <w:tcW w:w="690" w:type="dxa"/>
          </w:tcPr>
          <w:p w:rsidRPr="00FF46E3" w:rsidR="006D7F2C" w:rsidP="00B71106" w:rsidRDefault="006D7F2C" w14:paraId="5F5FFB05" w14:textId="5793F8C3">
            <w:pPr>
              <w:pStyle w:val="Geenafstand"/>
              <w:rPr>
                <w:rFonts w:ascii="Verdana" w:hAnsi="Verdana"/>
                <w:sz w:val="14"/>
                <w:szCs w:val="14"/>
              </w:rPr>
            </w:pPr>
          </w:p>
        </w:tc>
        <w:tc>
          <w:tcPr>
            <w:tcW w:w="690" w:type="dxa"/>
          </w:tcPr>
          <w:p w:rsidRPr="00FF46E3" w:rsidR="006D7F2C" w:rsidP="00B71106" w:rsidRDefault="006D7F2C" w14:paraId="002DDC24" w14:textId="62BB36F7">
            <w:pPr>
              <w:pStyle w:val="Geenafstand"/>
              <w:rPr>
                <w:rFonts w:ascii="Verdana" w:hAnsi="Verdana"/>
                <w:sz w:val="14"/>
                <w:szCs w:val="14"/>
              </w:rPr>
            </w:pPr>
          </w:p>
        </w:tc>
        <w:tc>
          <w:tcPr>
            <w:tcW w:w="1088" w:type="dxa"/>
          </w:tcPr>
          <w:p w:rsidRPr="00FF46E3" w:rsidR="006D7F2C" w:rsidP="00B71106" w:rsidRDefault="006D7F2C" w14:paraId="7A630513" w14:textId="433891AC">
            <w:pPr>
              <w:pStyle w:val="Geenafstand"/>
              <w:rPr>
                <w:rFonts w:ascii="Verdana" w:hAnsi="Verdana"/>
                <w:sz w:val="14"/>
                <w:szCs w:val="14"/>
              </w:rPr>
            </w:pPr>
          </w:p>
        </w:tc>
      </w:tr>
      <w:tr w:rsidRPr="00FF46E3" w:rsidR="0029566C" w:rsidTr="0029566C" w14:paraId="4D026F09" w14:textId="77777777">
        <w:trPr>
          <w:trHeight w:val="170"/>
        </w:trPr>
        <w:tc>
          <w:tcPr>
            <w:tcW w:w="3686" w:type="dxa"/>
          </w:tcPr>
          <w:p w:rsidRPr="00FF46E3" w:rsidR="00F941A8" w:rsidP="00B71106" w:rsidRDefault="00EE3B30" w14:paraId="45F8FC4B" w14:textId="64E8EC10">
            <w:pPr>
              <w:pStyle w:val="Geenafstand"/>
              <w:rPr>
                <w:rFonts w:ascii="Verdana" w:hAnsi="Verdana"/>
                <w:sz w:val="14"/>
                <w:szCs w:val="14"/>
              </w:rPr>
            </w:pPr>
            <w:r w:rsidRPr="00EE3B30">
              <w:rPr>
                <w:rFonts w:ascii="Verdana" w:hAnsi="Verdana"/>
                <w:sz w:val="14"/>
                <w:szCs w:val="14"/>
              </w:rPr>
              <w:t>Economische Zaken</w:t>
            </w:r>
          </w:p>
        </w:tc>
        <w:tc>
          <w:tcPr>
            <w:tcW w:w="689" w:type="dxa"/>
          </w:tcPr>
          <w:p w:rsidRPr="00FF46E3" w:rsidR="00F941A8" w:rsidP="00B71106" w:rsidRDefault="00F941A8" w14:paraId="7BF3AF85" w14:textId="77777777">
            <w:pPr>
              <w:pStyle w:val="Geenafstand"/>
              <w:rPr>
                <w:rFonts w:ascii="Verdana" w:hAnsi="Verdana"/>
                <w:sz w:val="14"/>
                <w:szCs w:val="14"/>
              </w:rPr>
            </w:pPr>
          </w:p>
        </w:tc>
        <w:tc>
          <w:tcPr>
            <w:tcW w:w="690" w:type="dxa"/>
          </w:tcPr>
          <w:p w:rsidRPr="00FF46E3" w:rsidR="00F941A8" w:rsidP="00B71106" w:rsidRDefault="00F941A8" w14:paraId="4EA17F32" w14:textId="34B1C1D1">
            <w:pPr>
              <w:pStyle w:val="Geenafstand"/>
              <w:rPr>
                <w:rFonts w:ascii="Verdana" w:hAnsi="Verdana"/>
                <w:sz w:val="14"/>
                <w:szCs w:val="14"/>
              </w:rPr>
            </w:pPr>
            <w:r>
              <w:rPr>
                <w:rFonts w:ascii="Verdana" w:hAnsi="Verdana"/>
                <w:sz w:val="14"/>
                <w:szCs w:val="14"/>
              </w:rPr>
              <w:t>9,30</w:t>
            </w:r>
          </w:p>
        </w:tc>
        <w:tc>
          <w:tcPr>
            <w:tcW w:w="689" w:type="dxa"/>
          </w:tcPr>
          <w:p w:rsidRPr="00FF46E3" w:rsidR="00F941A8" w:rsidP="00B71106" w:rsidRDefault="00F941A8" w14:paraId="24998100" w14:textId="130FCB81">
            <w:pPr>
              <w:pStyle w:val="Geenafstand"/>
              <w:rPr>
                <w:rFonts w:ascii="Verdana" w:hAnsi="Verdana"/>
                <w:sz w:val="14"/>
                <w:szCs w:val="14"/>
              </w:rPr>
            </w:pPr>
            <w:r>
              <w:rPr>
                <w:rFonts w:ascii="Verdana" w:hAnsi="Verdana"/>
                <w:sz w:val="14"/>
                <w:szCs w:val="14"/>
              </w:rPr>
              <w:t>12,33</w:t>
            </w:r>
          </w:p>
        </w:tc>
        <w:tc>
          <w:tcPr>
            <w:tcW w:w="690" w:type="dxa"/>
          </w:tcPr>
          <w:p w:rsidRPr="00FF46E3" w:rsidR="00F941A8" w:rsidP="00B71106" w:rsidRDefault="00F941A8" w14:paraId="2FF69CB1" w14:textId="3AC380DF">
            <w:pPr>
              <w:pStyle w:val="Geenafstand"/>
              <w:rPr>
                <w:rFonts w:ascii="Verdana" w:hAnsi="Verdana"/>
                <w:sz w:val="14"/>
                <w:szCs w:val="14"/>
              </w:rPr>
            </w:pPr>
            <w:r>
              <w:rPr>
                <w:rFonts w:ascii="Verdana" w:hAnsi="Verdana"/>
                <w:sz w:val="14"/>
                <w:szCs w:val="14"/>
              </w:rPr>
              <w:t>12,39</w:t>
            </w:r>
          </w:p>
        </w:tc>
        <w:tc>
          <w:tcPr>
            <w:tcW w:w="690" w:type="dxa"/>
          </w:tcPr>
          <w:p w:rsidRPr="00FF46E3" w:rsidR="00F941A8" w:rsidP="00B71106" w:rsidRDefault="00F941A8" w14:paraId="22E5F4EA" w14:textId="41F2B5F6">
            <w:pPr>
              <w:pStyle w:val="Geenafstand"/>
              <w:rPr>
                <w:rFonts w:ascii="Verdana" w:hAnsi="Verdana"/>
                <w:sz w:val="14"/>
                <w:szCs w:val="14"/>
              </w:rPr>
            </w:pPr>
            <w:r>
              <w:rPr>
                <w:rFonts w:ascii="Verdana" w:hAnsi="Verdana"/>
                <w:sz w:val="14"/>
                <w:szCs w:val="14"/>
              </w:rPr>
              <w:t>12,91</w:t>
            </w:r>
          </w:p>
        </w:tc>
        <w:tc>
          <w:tcPr>
            <w:tcW w:w="1088" w:type="dxa"/>
          </w:tcPr>
          <w:p w:rsidRPr="00FF46E3" w:rsidR="00F941A8" w:rsidP="00B71106" w:rsidRDefault="00F941A8" w14:paraId="6AF17AD7" w14:textId="534C77E5">
            <w:pPr>
              <w:pStyle w:val="Geenafstand"/>
              <w:rPr>
                <w:rFonts w:ascii="Verdana" w:hAnsi="Verdana"/>
                <w:sz w:val="14"/>
                <w:szCs w:val="14"/>
              </w:rPr>
            </w:pPr>
            <w:r>
              <w:rPr>
                <w:rFonts w:ascii="Verdana" w:hAnsi="Verdana"/>
                <w:sz w:val="14"/>
                <w:szCs w:val="14"/>
              </w:rPr>
              <w:t>12,91</w:t>
            </w:r>
          </w:p>
        </w:tc>
      </w:tr>
      <w:tr w:rsidRPr="00FF46E3" w:rsidR="0029566C" w:rsidTr="0029566C" w14:paraId="79D9AD8F" w14:textId="77777777">
        <w:trPr>
          <w:trHeight w:val="170"/>
        </w:trPr>
        <w:tc>
          <w:tcPr>
            <w:tcW w:w="3686" w:type="dxa"/>
          </w:tcPr>
          <w:p w:rsidRPr="00FF46E3" w:rsidR="00F941A8" w:rsidP="00B71106" w:rsidRDefault="00EE3B30" w14:paraId="4DD94653" w14:textId="43500582">
            <w:pPr>
              <w:pStyle w:val="Geenafstand"/>
              <w:rPr>
                <w:rFonts w:ascii="Verdana" w:hAnsi="Verdana"/>
                <w:sz w:val="14"/>
                <w:szCs w:val="14"/>
              </w:rPr>
            </w:pPr>
            <w:r w:rsidRPr="00EE3B30">
              <w:rPr>
                <w:rFonts w:ascii="Verdana" w:hAnsi="Verdana"/>
                <w:sz w:val="14"/>
                <w:szCs w:val="14"/>
              </w:rPr>
              <w:t>Klimaat en Groene Groei</w:t>
            </w:r>
          </w:p>
        </w:tc>
        <w:tc>
          <w:tcPr>
            <w:tcW w:w="689" w:type="dxa"/>
          </w:tcPr>
          <w:p w:rsidRPr="00FF46E3" w:rsidR="00F941A8" w:rsidP="00B71106" w:rsidRDefault="00F941A8" w14:paraId="236BBE83" w14:textId="77777777">
            <w:pPr>
              <w:pStyle w:val="Geenafstand"/>
              <w:rPr>
                <w:rFonts w:ascii="Verdana" w:hAnsi="Verdana"/>
                <w:sz w:val="14"/>
                <w:szCs w:val="14"/>
              </w:rPr>
            </w:pPr>
          </w:p>
        </w:tc>
        <w:tc>
          <w:tcPr>
            <w:tcW w:w="690" w:type="dxa"/>
          </w:tcPr>
          <w:p w:rsidRPr="00FF46E3" w:rsidR="00F941A8" w:rsidP="00B71106" w:rsidRDefault="00F941A8" w14:paraId="777871B1" w14:textId="4BFD44E8">
            <w:pPr>
              <w:pStyle w:val="Geenafstand"/>
              <w:rPr>
                <w:rFonts w:ascii="Verdana" w:hAnsi="Verdana"/>
                <w:sz w:val="14"/>
                <w:szCs w:val="14"/>
              </w:rPr>
            </w:pPr>
            <w:r w:rsidRPr="00F941A8">
              <w:rPr>
                <w:rFonts w:ascii="Verdana" w:hAnsi="Verdana"/>
                <w:sz w:val="14"/>
                <w:szCs w:val="14"/>
              </w:rPr>
              <w:t>7,02</w:t>
            </w:r>
          </w:p>
        </w:tc>
        <w:tc>
          <w:tcPr>
            <w:tcW w:w="689" w:type="dxa"/>
          </w:tcPr>
          <w:p w:rsidRPr="00FF46E3" w:rsidR="00F941A8" w:rsidP="00B71106" w:rsidRDefault="00F941A8" w14:paraId="62AE85CA" w14:textId="24E2A702">
            <w:pPr>
              <w:pStyle w:val="Geenafstand"/>
              <w:rPr>
                <w:rFonts w:ascii="Verdana" w:hAnsi="Verdana"/>
                <w:sz w:val="14"/>
                <w:szCs w:val="14"/>
              </w:rPr>
            </w:pPr>
            <w:r w:rsidRPr="00F941A8">
              <w:rPr>
                <w:rFonts w:ascii="Verdana" w:hAnsi="Verdana"/>
                <w:sz w:val="14"/>
                <w:szCs w:val="14"/>
              </w:rPr>
              <w:t>9,84</w:t>
            </w:r>
          </w:p>
        </w:tc>
        <w:tc>
          <w:tcPr>
            <w:tcW w:w="690" w:type="dxa"/>
          </w:tcPr>
          <w:p w:rsidRPr="00FF46E3" w:rsidR="00F941A8" w:rsidP="00B71106" w:rsidRDefault="00F941A8" w14:paraId="5C4F8533" w14:textId="3F81B2AB">
            <w:pPr>
              <w:pStyle w:val="Geenafstand"/>
              <w:rPr>
                <w:rFonts w:ascii="Verdana" w:hAnsi="Verdana"/>
                <w:sz w:val="14"/>
                <w:szCs w:val="14"/>
              </w:rPr>
            </w:pPr>
            <w:r w:rsidRPr="00F941A8">
              <w:rPr>
                <w:rFonts w:ascii="Verdana" w:hAnsi="Verdana"/>
                <w:sz w:val="14"/>
                <w:szCs w:val="14"/>
              </w:rPr>
              <w:t>9,78</w:t>
            </w:r>
          </w:p>
        </w:tc>
        <w:tc>
          <w:tcPr>
            <w:tcW w:w="690" w:type="dxa"/>
          </w:tcPr>
          <w:p w:rsidRPr="00FF46E3" w:rsidR="00F941A8" w:rsidP="00B71106" w:rsidRDefault="00F941A8" w14:paraId="71B5E82A" w14:textId="1488457A">
            <w:pPr>
              <w:pStyle w:val="Geenafstand"/>
              <w:rPr>
                <w:rFonts w:ascii="Verdana" w:hAnsi="Verdana"/>
                <w:sz w:val="14"/>
                <w:szCs w:val="14"/>
              </w:rPr>
            </w:pPr>
            <w:r w:rsidRPr="00F941A8">
              <w:rPr>
                <w:rFonts w:ascii="Verdana" w:hAnsi="Verdana"/>
                <w:sz w:val="14"/>
                <w:szCs w:val="14"/>
              </w:rPr>
              <w:t>9,26</w:t>
            </w:r>
          </w:p>
        </w:tc>
        <w:tc>
          <w:tcPr>
            <w:tcW w:w="1088" w:type="dxa"/>
          </w:tcPr>
          <w:p w:rsidRPr="00FF46E3" w:rsidR="00F941A8" w:rsidP="00B71106" w:rsidRDefault="00F941A8" w14:paraId="6A989003" w14:textId="3C26AB26">
            <w:pPr>
              <w:pStyle w:val="Geenafstand"/>
              <w:rPr>
                <w:rFonts w:ascii="Verdana" w:hAnsi="Verdana"/>
                <w:sz w:val="14"/>
                <w:szCs w:val="14"/>
              </w:rPr>
            </w:pPr>
            <w:r w:rsidRPr="00F941A8">
              <w:rPr>
                <w:rFonts w:ascii="Verdana" w:hAnsi="Verdana"/>
                <w:sz w:val="14"/>
                <w:szCs w:val="14"/>
              </w:rPr>
              <w:t>9,26</w:t>
            </w:r>
          </w:p>
        </w:tc>
      </w:tr>
      <w:bookmarkEnd w:id="200"/>
      <w:tr w:rsidRPr="00FF46E3" w:rsidR="0029566C" w:rsidTr="0029566C" w14:paraId="09C1BAAC" w14:textId="77777777">
        <w:trPr>
          <w:trHeight w:val="170"/>
        </w:trPr>
        <w:tc>
          <w:tcPr>
            <w:tcW w:w="3686" w:type="dxa"/>
          </w:tcPr>
          <w:p w:rsidRPr="00FF46E3" w:rsidR="00A84A8A" w:rsidP="00A84A8A" w:rsidRDefault="00EE3B30" w14:paraId="37CEEA10" w14:textId="601A0EE9">
            <w:pPr>
              <w:pStyle w:val="Geenafstand"/>
              <w:rPr>
                <w:rFonts w:ascii="Verdana" w:hAnsi="Verdana"/>
                <w:sz w:val="14"/>
                <w:szCs w:val="14"/>
              </w:rPr>
            </w:pPr>
            <w:r w:rsidRPr="00EE3B30">
              <w:rPr>
                <w:rFonts w:ascii="Verdana" w:hAnsi="Verdana"/>
                <w:sz w:val="14"/>
                <w:szCs w:val="14"/>
              </w:rPr>
              <w:t>Infrastructuur en Waterstaat</w:t>
            </w:r>
          </w:p>
        </w:tc>
        <w:tc>
          <w:tcPr>
            <w:tcW w:w="689" w:type="dxa"/>
          </w:tcPr>
          <w:p w:rsidRPr="00FF46E3" w:rsidR="00A84A8A" w:rsidP="00A84A8A" w:rsidRDefault="00A84A8A" w14:paraId="17F63AD6" w14:textId="77777777">
            <w:pPr>
              <w:pStyle w:val="Geenafstand"/>
              <w:rPr>
                <w:rFonts w:ascii="Verdana" w:hAnsi="Verdana"/>
                <w:sz w:val="14"/>
                <w:szCs w:val="14"/>
              </w:rPr>
            </w:pPr>
            <w:r w:rsidRPr="00FF46E3">
              <w:rPr>
                <w:rFonts w:ascii="Verdana" w:hAnsi="Verdana"/>
                <w:sz w:val="14"/>
                <w:szCs w:val="14"/>
              </w:rPr>
              <w:t>0,00</w:t>
            </w:r>
          </w:p>
        </w:tc>
        <w:tc>
          <w:tcPr>
            <w:tcW w:w="690" w:type="dxa"/>
          </w:tcPr>
          <w:p w:rsidRPr="00FF46E3" w:rsidR="00A84A8A" w:rsidP="00A84A8A" w:rsidRDefault="00A84A8A" w14:paraId="5C3BE11B" w14:textId="77777777">
            <w:pPr>
              <w:pStyle w:val="Geenafstand"/>
              <w:rPr>
                <w:rFonts w:ascii="Verdana" w:hAnsi="Verdana"/>
                <w:sz w:val="14"/>
                <w:szCs w:val="14"/>
              </w:rPr>
            </w:pPr>
            <w:r w:rsidRPr="00FF46E3">
              <w:rPr>
                <w:rFonts w:ascii="Verdana" w:hAnsi="Verdana"/>
                <w:sz w:val="14"/>
                <w:szCs w:val="14"/>
              </w:rPr>
              <w:t>11,90</w:t>
            </w:r>
          </w:p>
        </w:tc>
        <w:tc>
          <w:tcPr>
            <w:tcW w:w="689" w:type="dxa"/>
          </w:tcPr>
          <w:p w:rsidRPr="00FF46E3" w:rsidR="00A84A8A" w:rsidP="00A84A8A" w:rsidRDefault="00A84A8A" w14:paraId="0037BFF3" w14:textId="77777777">
            <w:pPr>
              <w:pStyle w:val="Geenafstand"/>
              <w:rPr>
                <w:rFonts w:ascii="Verdana" w:hAnsi="Verdana"/>
                <w:sz w:val="14"/>
                <w:szCs w:val="14"/>
              </w:rPr>
            </w:pPr>
            <w:r w:rsidRPr="00FF46E3">
              <w:rPr>
                <w:rFonts w:ascii="Verdana" w:hAnsi="Verdana"/>
                <w:sz w:val="14"/>
                <w:szCs w:val="14"/>
              </w:rPr>
              <w:t>13,40</w:t>
            </w:r>
          </w:p>
        </w:tc>
        <w:tc>
          <w:tcPr>
            <w:tcW w:w="690" w:type="dxa"/>
          </w:tcPr>
          <w:p w:rsidRPr="00FF46E3" w:rsidR="00A84A8A" w:rsidP="00A84A8A" w:rsidRDefault="00A84A8A" w14:paraId="75CB7968" w14:textId="77777777">
            <w:pPr>
              <w:pStyle w:val="Geenafstand"/>
              <w:rPr>
                <w:rFonts w:ascii="Verdana" w:hAnsi="Verdana"/>
                <w:sz w:val="14"/>
                <w:szCs w:val="14"/>
              </w:rPr>
            </w:pPr>
            <w:r w:rsidRPr="00FF46E3">
              <w:rPr>
                <w:rFonts w:ascii="Verdana" w:hAnsi="Verdana"/>
                <w:sz w:val="14"/>
                <w:szCs w:val="14"/>
              </w:rPr>
              <w:t>15,00</w:t>
            </w:r>
          </w:p>
        </w:tc>
        <w:tc>
          <w:tcPr>
            <w:tcW w:w="690" w:type="dxa"/>
          </w:tcPr>
          <w:p w:rsidRPr="00FF46E3" w:rsidR="00A84A8A" w:rsidP="00A84A8A" w:rsidRDefault="00A84A8A" w14:paraId="19FD8A77" w14:textId="77777777">
            <w:pPr>
              <w:pStyle w:val="Geenafstand"/>
              <w:rPr>
                <w:rFonts w:ascii="Verdana" w:hAnsi="Verdana"/>
                <w:sz w:val="14"/>
                <w:szCs w:val="14"/>
              </w:rPr>
            </w:pPr>
            <w:r w:rsidRPr="00FF46E3">
              <w:rPr>
                <w:rFonts w:ascii="Verdana" w:hAnsi="Verdana"/>
                <w:sz w:val="14"/>
                <w:szCs w:val="14"/>
              </w:rPr>
              <w:t>16,50</w:t>
            </w:r>
          </w:p>
        </w:tc>
        <w:tc>
          <w:tcPr>
            <w:tcW w:w="1088" w:type="dxa"/>
          </w:tcPr>
          <w:p w:rsidRPr="00FF46E3" w:rsidR="00A84A8A" w:rsidP="00A84A8A" w:rsidRDefault="00A84A8A" w14:paraId="2EB5A683" w14:textId="77777777">
            <w:pPr>
              <w:pStyle w:val="Geenafstand"/>
              <w:rPr>
                <w:rFonts w:ascii="Verdana" w:hAnsi="Verdana"/>
                <w:sz w:val="14"/>
                <w:szCs w:val="14"/>
              </w:rPr>
            </w:pPr>
            <w:r w:rsidRPr="00FF46E3">
              <w:rPr>
                <w:rFonts w:ascii="Verdana" w:hAnsi="Verdana"/>
                <w:sz w:val="14"/>
                <w:szCs w:val="14"/>
              </w:rPr>
              <w:t>18,00</w:t>
            </w:r>
          </w:p>
        </w:tc>
      </w:tr>
      <w:tr w:rsidRPr="00FF46E3" w:rsidR="0029566C" w:rsidTr="0029566C" w14:paraId="2CA06C6F" w14:textId="77777777">
        <w:trPr>
          <w:trHeight w:val="170"/>
        </w:trPr>
        <w:tc>
          <w:tcPr>
            <w:tcW w:w="3686" w:type="dxa"/>
          </w:tcPr>
          <w:p w:rsidRPr="00FF46E3" w:rsidR="00A84A8A" w:rsidP="00A84A8A" w:rsidRDefault="00EE3B30" w14:paraId="68230C1C" w14:textId="40432979">
            <w:pPr>
              <w:pStyle w:val="Geenafstand"/>
              <w:rPr>
                <w:rFonts w:ascii="Verdana" w:hAnsi="Verdana"/>
                <w:sz w:val="14"/>
                <w:szCs w:val="14"/>
              </w:rPr>
            </w:pPr>
            <w:r w:rsidRPr="00EE3B30">
              <w:rPr>
                <w:rFonts w:ascii="Verdana" w:hAnsi="Verdana"/>
                <w:sz w:val="14"/>
                <w:szCs w:val="14"/>
              </w:rPr>
              <w:t>Volksgezondheid, Welzijn en Sport</w:t>
            </w:r>
          </w:p>
        </w:tc>
        <w:tc>
          <w:tcPr>
            <w:tcW w:w="689" w:type="dxa"/>
          </w:tcPr>
          <w:p w:rsidRPr="00FF46E3" w:rsidR="00A84A8A" w:rsidP="00A84A8A" w:rsidRDefault="00A84A8A" w14:paraId="23946DC8" w14:textId="77777777">
            <w:pPr>
              <w:pStyle w:val="Geenafstand"/>
              <w:rPr>
                <w:rFonts w:ascii="Verdana" w:hAnsi="Verdana"/>
                <w:sz w:val="14"/>
                <w:szCs w:val="14"/>
              </w:rPr>
            </w:pPr>
            <w:r w:rsidRPr="00FF46E3">
              <w:rPr>
                <w:rFonts w:ascii="Verdana" w:hAnsi="Verdana"/>
                <w:sz w:val="14"/>
                <w:szCs w:val="14"/>
              </w:rPr>
              <w:t>5,07</w:t>
            </w:r>
          </w:p>
        </w:tc>
        <w:tc>
          <w:tcPr>
            <w:tcW w:w="690" w:type="dxa"/>
          </w:tcPr>
          <w:p w:rsidRPr="00FF46E3" w:rsidR="00A84A8A" w:rsidP="00A84A8A" w:rsidRDefault="00A84A8A" w14:paraId="104462CF" w14:textId="77777777">
            <w:pPr>
              <w:pStyle w:val="Geenafstand"/>
              <w:rPr>
                <w:rFonts w:ascii="Verdana" w:hAnsi="Verdana"/>
                <w:sz w:val="14"/>
                <w:szCs w:val="14"/>
              </w:rPr>
            </w:pPr>
            <w:r w:rsidRPr="00FF46E3">
              <w:rPr>
                <w:rFonts w:ascii="Verdana" w:hAnsi="Verdana"/>
                <w:sz w:val="14"/>
                <w:szCs w:val="14"/>
              </w:rPr>
              <w:t>8,11</w:t>
            </w:r>
          </w:p>
        </w:tc>
        <w:tc>
          <w:tcPr>
            <w:tcW w:w="689" w:type="dxa"/>
          </w:tcPr>
          <w:p w:rsidRPr="00FF46E3" w:rsidR="00A84A8A" w:rsidP="00A84A8A" w:rsidRDefault="00A84A8A" w14:paraId="2A8F47D0" w14:textId="77777777">
            <w:pPr>
              <w:pStyle w:val="Geenafstand"/>
              <w:rPr>
                <w:rFonts w:ascii="Verdana" w:hAnsi="Verdana"/>
                <w:sz w:val="14"/>
                <w:szCs w:val="14"/>
              </w:rPr>
            </w:pPr>
            <w:r w:rsidRPr="00FF46E3">
              <w:rPr>
                <w:rFonts w:ascii="Verdana" w:hAnsi="Verdana"/>
                <w:sz w:val="14"/>
                <w:szCs w:val="14"/>
              </w:rPr>
              <w:t>8,11</w:t>
            </w:r>
          </w:p>
        </w:tc>
        <w:tc>
          <w:tcPr>
            <w:tcW w:w="690" w:type="dxa"/>
          </w:tcPr>
          <w:p w:rsidRPr="00FF46E3" w:rsidR="00A84A8A" w:rsidP="00A84A8A" w:rsidRDefault="00A84A8A" w14:paraId="55C2BB45" w14:textId="77777777">
            <w:pPr>
              <w:pStyle w:val="Geenafstand"/>
              <w:rPr>
                <w:rFonts w:ascii="Verdana" w:hAnsi="Verdana"/>
                <w:sz w:val="14"/>
                <w:szCs w:val="14"/>
              </w:rPr>
            </w:pPr>
            <w:r w:rsidRPr="00FF46E3">
              <w:rPr>
                <w:rFonts w:ascii="Verdana" w:hAnsi="Verdana"/>
                <w:sz w:val="14"/>
                <w:szCs w:val="14"/>
              </w:rPr>
              <w:t>8,04</w:t>
            </w:r>
          </w:p>
        </w:tc>
        <w:tc>
          <w:tcPr>
            <w:tcW w:w="690" w:type="dxa"/>
          </w:tcPr>
          <w:p w:rsidRPr="00FF46E3" w:rsidR="00A84A8A" w:rsidP="00A84A8A" w:rsidRDefault="00A84A8A" w14:paraId="2A973590" w14:textId="77777777">
            <w:pPr>
              <w:pStyle w:val="Geenafstand"/>
              <w:rPr>
                <w:rFonts w:ascii="Verdana" w:hAnsi="Verdana"/>
                <w:sz w:val="14"/>
                <w:szCs w:val="14"/>
              </w:rPr>
            </w:pPr>
            <w:r w:rsidRPr="00FF46E3">
              <w:rPr>
                <w:rFonts w:ascii="Verdana" w:hAnsi="Verdana"/>
                <w:sz w:val="14"/>
                <w:szCs w:val="14"/>
              </w:rPr>
              <w:t>8,04</w:t>
            </w:r>
          </w:p>
        </w:tc>
        <w:tc>
          <w:tcPr>
            <w:tcW w:w="1088" w:type="dxa"/>
          </w:tcPr>
          <w:p w:rsidRPr="00FF46E3" w:rsidR="00A84A8A" w:rsidP="00A84A8A" w:rsidRDefault="00A84A8A" w14:paraId="05EE9395" w14:textId="77777777">
            <w:pPr>
              <w:pStyle w:val="Geenafstand"/>
              <w:rPr>
                <w:rFonts w:ascii="Verdana" w:hAnsi="Verdana"/>
                <w:sz w:val="14"/>
                <w:szCs w:val="14"/>
              </w:rPr>
            </w:pPr>
            <w:r w:rsidRPr="00FF46E3">
              <w:rPr>
                <w:rFonts w:ascii="Verdana" w:hAnsi="Verdana"/>
                <w:sz w:val="14"/>
                <w:szCs w:val="14"/>
              </w:rPr>
              <w:t>8,04</w:t>
            </w:r>
          </w:p>
        </w:tc>
      </w:tr>
      <w:tr w:rsidRPr="00FF46E3" w:rsidR="0029566C" w:rsidTr="0029566C" w14:paraId="52A013C4" w14:textId="77777777">
        <w:trPr>
          <w:trHeight w:val="170"/>
        </w:trPr>
        <w:tc>
          <w:tcPr>
            <w:tcW w:w="3686" w:type="dxa"/>
          </w:tcPr>
          <w:p w:rsidRPr="00FF46E3" w:rsidR="00A84A8A" w:rsidP="00A84A8A" w:rsidRDefault="00EE3B30" w14:paraId="216CA5BC" w14:textId="494C22BC">
            <w:pPr>
              <w:pStyle w:val="Geenafstand"/>
              <w:rPr>
                <w:rFonts w:ascii="Verdana" w:hAnsi="Verdana"/>
                <w:sz w:val="14"/>
                <w:szCs w:val="14"/>
              </w:rPr>
            </w:pPr>
            <w:r w:rsidRPr="00EE3B30">
              <w:rPr>
                <w:rFonts w:ascii="Verdana" w:hAnsi="Verdana"/>
                <w:sz w:val="14"/>
                <w:szCs w:val="14"/>
              </w:rPr>
              <w:t>Binnenlandse Zaken en Koninkrijksrelaties</w:t>
            </w:r>
          </w:p>
        </w:tc>
        <w:tc>
          <w:tcPr>
            <w:tcW w:w="689" w:type="dxa"/>
          </w:tcPr>
          <w:p w:rsidRPr="00FF46E3" w:rsidR="00A84A8A" w:rsidP="00A84A8A" w:rsidRDefault="00A84A8A" w14:paraId="601ED4BE" w14:textId="77777777">
            <w:pPr>
              <w:pStyle w:val="Geenafstand"/>
              <w:rPr>
                <w:rFonts w:ascii="Verdana" w:hAnsi="Verdana"/>
                <w:sz w:val="14"/>
                <w:szCs w:val="14"/>
              </w:rPr>
            </w:pPr>
            <w:r w:rsidRPr="00FF46E3">
              <w:rPr>
                <w:rFonts w:ascii="Verdana" w:hAnsi="Verdana"/>
                <w:sz w:val="14"/>
                <w:szCs w:val="14"/>
              </w:rPr>
              <w:t>2,54</w:t>
            </w:r>
          </w:p>
        </w:tc>
        <w:tc>
          <w:tcPr>
            <w:tcW w:w="690" w:type="dxa"/>
          </w:tcPr>
          <w:p w:rsidRPr="00FF46E3" w:rsidR="00A84A8A" w:rsidP="00A84A8A" w:rsidRDefault="00A84A8A" w14:paraId="19D466C0" w14:textId="49C11CD2">
            <w:pPr>
              <w:pStyle w:val="Geenafstand"/>
              <w:rPr>
                <w:rFonts w:ascii="Verdana" w:hAnsi="Verdana"/>
                <w:sz w:val="14"/>
                <w:szCs w:val="14"/>
              </w:rPr>
            </w:pPr>
            <w:r>
              <w:rPr>
                <w:rFonts w:ascii="Verdana" w:hAnsi="Verdana"/>
                <w:sz w:val="14"/>
                <w:szCs w:val="14"/>
              </w:rPr>
              <w:t>7</w:t>
            </w:r>
            <w:r w:rsidRPr="00FF46E3">
              <w:rPr>
                <w:rFonts w:ascii="Verdana" w:hAnsi="Verdana"/>
                <w:sz w:val="14"/>
                <w:szCs w:val="14"/>
              </w:rPr>
              <w:t>,</w:t>
            </w:r>
            <w:r>
              <w:rPr>
                <w:rFonts w:ascii="Verdana" w:hAnsi="Verdana"/>
                <w:sz w:val="14"/>
                <w:szCs w:val="14"/>
              </w:rPr>
              <w:t>0</w:t>
            </w:r>
            <w:r w:rsidRPr="00FF46E3">
              <w:rPr>
                <w:rFonts w:ascii="Verdana" w:hAnsi="Verdana"/>
                <w:sz w:val="14"/>
                <w:szCs w:val="14"/>
              </w:rPr>
              <w:t>6</w:t>
            </w:r>
          </w:p>
        </w:tc>
        <w:tc>
          <w:tcPr>
            <w:tcW w:w="689" w:type="dxa"/>
          </w:tcPr>
          <w:p w:rsidRPr="00FF46E3" w:rsidR="00A84A8A" w:rsidP="00A84A8A" w:rsidRDefault="00A84A8A" w14:paraId="0476928B" w14:textId="77777777">
            <w:pPr>
              <w:pStyle w:val="Geenafstand"/>
              <w:rPr>
                <w:rFonts w:ascii="Verdana" w:hAnsi="Verdana"/>
                <w:sz w:val="14"/>
                <w:szCs w:val="14"/>
              </w:rPr>
            </w:pPr>
            <w:r w:rsidRPr="00FF46E3">
              <w:rPr>
                <w:rFonts w:ascii="Verdana" w:hAnsi="Verdana"/>
                <w:sz w:val="14"/>
                <w:szCs w:val="14"/>
              </w:rPr>
              <w:t>7,26</w:t>
            </w:r>
          </w:p>
        </w:tc>
        <w:tc>
          <w:tcPr>
            <w:tcW w:w="690" w:type="dxa"/>
          </w:tcPr>
          <w:p w:rsidRPr="00FF46E3" w:rsidR="00A84A8A" w:rsidP="00A84A8A" w:rsidRDefault="00A84A8A" w14:paraId="53E09A37" w14:textId="77777777">
            <w:pPr>
              <w:pStyle w:val="Geenafstand"/>
              <w:rPr>
                <w:rFonts w:ascii="Verdana" w:hAnsi="Verdana"/>
                <w:sz w:val="14"/>
                <w:szCs w:val="14"/>
              </w:rPr>
            </w:pPr>
            <w:r w:rsidRPr="00FF46E3">
              <w:rPr>
                <w:rFonts w:ascii="Verdana" w:hAnsi="Verdana"/>
                <w:sz w:val="14"/>
                <w:szCs w:val="14"/>
              </w:rPr>
              <w:t>7,46</w:t>
            </w:r>
          </w:p>
        </w:tc>
        <w:tc>
          <w:tcPr>
            <w:tcW w:w="690" w:type="dxa"/>
          </w:tcPr>
          <w:p w:rsidRPr="00FF46E3" w:rsidR="00A84A8A" w:rsidP="00A84A8A" w:rsidRDefault="00A84A8A" w14:paraId="6A8900E7" w14:textId="77777777">
            <w:pPr>
              <w:pStyle w:val="Geenafstand"/>
              <w:rPr>
                <w:rFonts w:ascii="Verdana" w:hAnsi="Verdana"/>
                <w:sz w:val="14"/>
                <w:szCs w:val="14"/>
              </w:rPr>
            </w:pPr>
            <w:r w:rsidRPr="00FF46E3">
              <w:rPr>
                <w:rFonts w:ascii="Verdana" w:hAnsi="Verdana"/>
                <w:sz w:val="14"/>
                <w:szCs w:val="14"/>
              </w:rPr>
              <w:t>7,56</w:t>
            </w:r>
          </w:p>
        </w:tc>
        <w:tc>
          <w:tcPr>
            <w:tcW w:w="1088" w:type="dxa"/>
          </w:tcPr>
          <w:p w:rsidRPr="00FF46E3" w:rsidR="00A84A8A" w:rsidP="00A84A8A" w:rsidRDefault="00A84A8A" w14:paraId="24F47E5A" w14:textId="77777777">
            <w:pPr>
              <w:pStyle w:val="Geenafstand"/>
              <w:rPr>
                <w:rFonts w:ascii="Verdana" w:hAnsi="Verdana"/>
                <w:sz w:val="14"/>
                <w:szCs w:val="14"/>
              </w:rPr>
            </w:pPr>
            <w:r w:rsidRPr="00FF46E3">
              <w:rPr>
                <w:rFonts w:ascii="Verdana" w:hAnsi="Verdana"/>
                <w:sz w:val="14"/>
                <w:szCs w:val="14"/>
              </w:rPr>
              <w:t>7,56</w:t>
            </w:r>
          </w:p>
        </w:tc>
      </w:tr>
      <w:tr w:rsidRPr="00FF46E3" w:rsidR="0029566C" w:rsidTr="0029566C" w14:paraId="66E96FCF" w14:textId="77777777">
        <w:trPr>
          <w:trHeight w:val="170"/>
        </w:trPr>
        <w:tc>
          <w:tcPr>
            <w:tcW w:w="3686" w:type="dxa"/>
          </w:tcPr>
          <w:p w:rsidRPr="00FF46E3" w:rsidR="00A84A8A" w:rsidP="00A84A8A" w:rsidRDefault="00EE3B30" w14:paraId="62233492" w14:textId="4CEDB6E0">
            <w:pPr>
              <w:pStyle w:val="Geenafstand"/>
              <w:rPr>
                <w:rFonts w:ascii="Verdana" w:hAnsi="Verdana"/>
                <w:sz w:val="14"/>
                <w:szCs w:val="14"/>
              </w:rPr>
            </w:pPr>
            <w:r w:rsidRPr="00EE3B30">
              <w:rPr>
                <w:rFonts w:ascii="Verdana" w:hAnsi="Verdana"/>
                <w:sz w:val="14"/>
                <w:szCs w:val="14"/>
              </w:rPr>
              <w:t>Onderwijs, Cultuur en Wetenschap</w:t>
            </w:r>
          </w:p>
        </w:tc>
        <w:tc>
          <w:tcPr>
            <w:tcW w:w="689" w:type="dxa"/>
          </w:tcPr>
          <w:p w:rsidRPr="00FF46E3" w:rsidR="00A84A8A" w:rsidP="00A84A8A" w:rsidRDefault="00A84A8A" w14:paraId="7BA4B43B" w14:textId="77777777">
            <w:pPr>
              <w:pStyle w:val="Geenafstand"/>
              <w:rPr>
                <w:rFonts w:ascii="Verdana" w:hAnsi="Verdana"/>
                <w:sz w:val="14"/>
                <w:szCs w:val="14"/>
              </w:rPr>
            </w:pPr>
            <w:r w:rsidRPr="00FF46E3">
              <w:rPr>
                <w:rFonts w:ascii="Verdana" w:hAnsi="Verdana"/>
                <w:sz w:val="14"/>
                <w:szCs w:val="14"/>
              </w:rPr>
              <w:t>2,14</w:t>
            </w:r>
          </w:p>
        </w:tc>
        <w:tc>
          <w:tcPr>
            <w:tcW w:w="690" w:type="dxa"/>
          </w:tcPr>
          <w:p w:rsidRPr="00FF46E3" w:rsidR="00A84A8A" w:rsidP="00A84A8A" w:rsidRDefault="000F6E4B" w14:paraId="78A32A8D" w14:textId="24E39CA3">
            <w:pPr>
              <w:pStyle w:val="Geenafstand"/>
              <w:rPr>
                <w:rFonts w:ascii="Verdana" w:hAnsi="Verdana"/>
                <w:sz w:val="14"/>
                <w:szCs w:val="14"/>
              </w:rPr>
            </w:pPr>
            <w:r>
              <w:rPr>
                <w:rFonts w:ascii="Verdana" w:hAnsi="Verdana"/>
                <w:sz w:val="14"/>
                <w:szCs w:val="14"/>
              </w:rPr>
              <w:t>2,30</w:t>
            </w:r>
          </w:p>
        </w:tc>
        <w:tc>
          <w:tcPr>
            <w:tcW w:w="689" w:type="dxa"/>
          </w:tcPr>
          <w:p w:rsidRPr="00FF46E3" w:rsidR="00A84A8A" w:rsidP="00A84A8A" w:rsidRDefault="000F6E4B" w14:paraId="26A44B73" w14:textId="7C5D2D15">
            <w:pPr>
              <w:pStyle w:val="Geenafstand"/>
              <w:rPr>
                <w:rFonts w:ascii="Verdana" w:hAnsi="Verdana"/>
                <w:sz w:val="14"/>
                <w:szCs w:val="14"/>
              </w:rPr>
            </w:pPr>
            <w:r>
              <w:rPr>
                <w:rFonts w:ascii="Verdana" w:hAnsi="Verdana"/>
                <w:sz w:val="14"/>
                <w:szCs w:val="14"/>
              </w:rPr>
              <w:t>4,09</w:t>
            </w:r>
          </w:p>
        </w:tc>
        <w:tc>
          <w:tcPr>
            <w:tcW w:w="690" w:type="dxa"/>
          </w:tcPr>
          <w:p w:rsidRPr="00FF46E3" w:rsidR="00A84A8A" w:rsidP="00A84A8A" w:rsidRDefault="000F6E4B" w14:paraId="07EF47BC" w14:textId="4C4BAFE4">
            <w:pPr>
              <w:pStyle w:val="Geenafstand"/>
              <w:rPr>
                <w:rFonts w:ascii="Verdana" w:hAnsi="Verdana"/>
                <w:sz w:val="14"/>
                <w:szCs w:val="14"/>
              </w:rPr>
            </w:pPr>
            <w:r>
              <w:rPr>
                <w:rFonts w:ascii="Verdana" w:hAnsi="Verdana"/>
                <w:sz w:val="14"/>
                <w:szCs w:val="14"/>
              </w:rPr>
              <w:t>4,09</w:t>
            </w:r>
          </w:p>
        </w:tc>
        <w:tc>
          <w:tcPr>
            <w:tcW w:w="690" w:type="dxa"/>
          </w:tcPr>
          <w:p w:rsidRPr="00FF46E3" w:rsidR="00A84A8A" w:rsidP="00A84A8A" w:rsidRDefault="000F6E4B" w14:paraId="019F9952" w14:textId="2975805B">
            <w:pPr>
              <w:pStyle w:val="Geenafstand"/>
              <w:rPr>
                <w:rFonts w:ascii="Verdana" w:hAnsi="Verdana"/>
                <w:sz w:val="14"/>
                <w:szCs w:val="14"/>
              </w:rPr>
            </w:pPr>
            <w:r>
              <w:rPr>
                <w:rFonts w:ascii="Verdana" w:hAnsi="Verdana"/>
                <w:sz w:val="14"/>
                <w:szCs w:val="14"/>
              </w:rPr>
              <w:t>4,09</w:t>
            </w:r>
          </w:p>
        </w:tc>
        <w:tc>
          <w:tcPr>
            <w:tcW w:w="1088" w:type="dxa"/>
          </w:tcPr>
          <w:p w:rsidRPr="00FF46E3" w:rsidR="00A84A8A" w:rsidP="00A84A8A" w:rsidRDefault="000F6E4B" w14:paraId="62C97DBC" w14:textId="7568C966">
            <w:pPr>
              <w:pStyle w:val="Geenafstand"/>
              <w:rPr>
                <w:rFonts w:ascii="Verdana" w:hAnsi="Verdana"/>
                <w:sz w:val="14"/>
                <w:szCs w:val="14"/>
              </w:rPr>
            </w:pPr>
            <w:r>
              <w:rPr>
                <w:rFonts w:ascii="Verdana" w:hAnsi="Verdana"/>
                <w:sz w:val="14"/>
                <w:szCs w:val="14"/>
              </w:rPr>
              <w:t>3,59</w:t>
            </w:r>
          </w:p>
        </w:tc>
      </w:tr>
      <w:tr w:rsidRPr="00FF46E3" w:rsidR="0029566C" w:rsidTr="0029566C" w14:paraId="486FF609" w14:textId="77777777">
        <w:trPr>
          <w:trHeight w:val="170"/>
        </w:trPr>
        <w:tc>
          <w:tcPr>
            <w:tcW w:w="3686" w:type="dxa"/>
          </w:tcPr>
          <w:p w:rsidRPr="00FF46E3" w:rsidR="00A84A8A" w:rsidP="00A84A8A" w:rsidRDefault="00EE3B30" w14:paraId="24734DB0" w14:textId="3BCEE2F8">
            <w:pPr>
              <w:pStyle w:val="Geenafstand"/>
              <w:rPr>
                <w:rFonts w:ascii="Verdana" w:hAnsi="Verdana"/>
                <w:sz w:val="14"/>
                <w:szCs w:val="14"/>
              </w:rPr>
            </w:pPr>
            <w:r w:rsidRPr="00EE3B30">
              <w:rPr>
                <w:rFonts w:ascii="Verdana" w:hAnsi="Verdana"/>
                <w:sz w:val="14"/>
                <w:szCs w:val="14"/>
              </w:rPr>
              <w:t>Landbouw, Visserij, Voedselzekerheid en Natuur</w:t>
            </w:r>
          </w:p>
        </w:tc>
        <w:tc>
          <w:tcPr>
            <w:tcW w:w="689" w:type="dxa"/>
          </w:tcPr>
          <w:p w:rsidRPr="00FF46E3" w:rsidR="00A84A8A" w:rsidP="00A84A8A" w:rsidRDefault="00A84A8A" w14:paraId="76782B95" w14:textId="77777777">
            <w:pPr>
              <w:pStyle w:val="Geenafstand"/>
              <w:rPr>
                <w:rFonts w:ascii="Verdana" w:hAnsi="Verdana"/>
                <w:sz w:val="14"/>
                <w:szCs w:val="14"/>
              </w:rPr>
            </w:pPr>
            <w:r w:rsidRPr="00FF46E3">
              <w:rPr>
                <w:rFonts w:ascii="Verdana" w:hAnsi="Verdana"/>
                <w:sz w:val="14"/>
                <w:szCs w:val="14"/>
              </w:rPr>
              <w:t>0,70</w:t>
            </w:r>
          </w:p>
        </w:tc>
        <w:tc>
          <w:tcPr>
            <w:tcW w:w="690" w:type="dxa"/>
          </w:tcPr>
          <w:p w:rsidRPr="00FF46E3" w:rsidR="00A84A8A" w:rsidP="00A84A8A" w:rsidRDefault="00A84A8A" w14:paraId="7B2CDA60" w14:textId="77777777">
            <w:pPr>
              <w:pStyle w:val="Geenafstand"/>
              <w:rPr>
                <w:rFonts w:ascii="Verdana" w:hAnsi="Verdana"/>
                <w:sz w:val="14"/>
                <w:szCs w:val="14"/>
              </w:rPr>
            </w:pPr>
            <w:r w:rsidRPr="00FF46E3">
              <w:rPr>
                <w:rFonts w:ascii="Verdana" w:hAnsi="Verdana"/>
                <w:sz w:val="14"/>
                <w:szCs w:val="14"/>
              </w:rPr>
              <w:t>5,10</w:t>
            </w:r>
          </w:p>
        </w:tc>
        <w:tc>
          <w:tcPr>
            <w:tcW w:w="689" w:type="dxa"/>
          </w:tcPr>
          <w:p w:rsidRPr="00FF46E3" w:rsidR="00A84A8A" w:rsidP="00A84A8A" w:rsidRDefault="00A84A8A" w14:paraId="02C2A0C5" w14:textId="77777777">
            <w:pPr>
              <w:pStyle w:val="Geenafstand"/>
              <w:rPr>
                <w:rFonts w:ascii="Verdana" w:hAnsi="Verdana"/>
                <w:sz w:val="14"/>
                <w:szCs w:val="14"/>
              </w:rPr>
            </w:pPr>
            <w:r w:rsidRPr="00FF46E3">
              <w:rPr>
                <w:rFonts w:ascii="Verdana" w:hAnsi="Verdana"/>
                <w:sz w:val="14"/>
                <w:szCs w:val="14"/>
              </w:rPr>
              <w:t>5,80</w:t>
            </w:r>
          </w:p>
        </w:tc>
        <w:tc>
          <w:tcPr>
            <w:tcW w:w="690" w:type="dxa"/>
          </w:tcPr>
          <w:p w:rsidRPr="00FF46E3" w:rsidR="00A84A8A" w:rsidP="00A84A8A" w:rsidRDefault="00A84A8A" w14:paraId="7F9E5DD6" w14:textId="77777777">
            <w:pPr>
              <w:pStyle w:val="Geenafstand"/>
              <w:rPr>
                <w:rFonts w:ascii="Verdana" w:hAnsi="Verdana"/>
                <w:sz w:val="14"/>
                <w:szCs w:val="14"/>
              </w:rPr>
            </w:pPr>
            <w:r w:rsidRPr="00FF46E3">
              <w:rPr>
                <w:rFonts w:ascii="Verdana" w:hAnsi="Verdana"/>
                <w:sz w:val="14"/>
                <w:szCs w:val="14"/>
              </w:rPr>
              <w:t>6,80</w:t>
            </w:r>
          </w:p>
        </w:tc>
        <w:tc>
          <w:tcPr>
            <w:tcW w:w="690" w:type="dxa"/>
          </w:tcPr>
          <w:p w:rsidRPr="00FF46E3" w:rsidR="00A84A8A" w:rsidP="00A84A8A" w:rsidRDefault="00A84A8A" w14:paraId="7982C464" w14:textId="77777777">
            <w:pPr>
              <w:pStyle w:val="Geenafstand"/>
              <w:rPr>
                <w:rFonts w:ascii="Verdana" w:hAnsi="Verdana"/>
                <w:sz w:val="14"/>
                <w:szCs w:val="14"/>
              </w:rPr>
            </w:pPr>
            <w:r w:rsidRPr="00FF46E3">
              <w:rPr>
                <w:rFonts w:ascii="Verdana" w:hAnsi="Verdana"/>
                <w:sz w:val="14"/>
                <w:szCs w:val="14"/>
              </w:rPr>
              <w:t>6,80</w:t>
            </w:r>
          </w:p>
        </w:tc>
        <w:tc>
          <w:tcPr>
            <w:tcW w:w="1088" w:type="dxa"/>
          </w:tcPr>
          <w:p w:rsidRPr="00FF46E3" w:rsidR="00A84A8A" w:rsidP="00A84A8A" w:rsidRDefault="00A84A8A" w14:paraId="28B52598" w14:textId="77777777">
            <w:pPr>
              <w:pStyle w:val="Geenafstand"/>
              <w:rPr>
                <w:rFonts w:ascii="Verdana" w:hAnsi="Verdana"/>
                <w:sz w:val="14"/>
                <w:szCs w:val="14"/>
              </w:rPr>
            </w:pPr>
            <w:r w:rsidRPr="00FF46E3">
              <w:rPr>
                <w:rFonts w:ascii="Verdana" w:hAnsi="Verdana"/>
                <w:sz w:val="14"/>
                <w:szCs w:val="14"/>
              </w:rPr>
              <w:t>6,80</w:t>
            </w:r>
          </w:p>
        </w:tc>
      </w:tr>
      <w:tr w:rsidRPr="00FF46E3" w:rsidR="0029566C" w:rsidTr="0029566C" w14:paraId="0C420F79" w14:textId="77777777">
        <w:trPr>
          <w:trHeight w:val="170"/>
        </w:trPr>
        <w:tc>
          <w:tcPr>
            <w:tcW w:w="3686" w:type="dxa"/>
          </w:tcPr>
          <w:p w:rsidRPr="00FF46E3" w:rsidR="00A84A8A" w:rsidP="00A84A8A" w:rsidRDefault="00EE3B30" w14:paraId="0A3E8B7E" w14:textId="0DB8E4C7">
            <w:pPr>
              <w:pStyle w:val="Geenafstand"/>
              <w:rPr>
                <w:rFonts w:ascii="Verdana" w:hAnsi="Verdana"/>
                <w:sz w:val="14"/>
                <w:szCs w:val="14"/>
              </w:rPr>
            </w:pPr>
            <w:r>
              <w:rPr>
                <w:rFonts w:ascii="Verdana" w:hAnsi="Verdana"/>
                <w:sz w:val="14"/>
                <w:szCs w:val="14"/>
              </w:rPr>
              <w:t>Justitie en Veiligheid</w:t>
            </w:r>
          </w:p>
        </w:tc>
        <w:tc>
          <w:tcPr>
            <w:tcW w:w="689" w:type="dxa"/>
          </w:tcPr>
          <w:p w:rsidRPr="00FF46E3" w:rsidR="00A84A8A" w:rsidP="00A84A8A" w:rsidRDefault="00A84A8A" w14:paraId="1C7A1A8C" w14:textId="77777777">
            <w:pPr>
              <w:pStyle w:val="Geenafstand"/>
              <w:rPr>
                <w:rFonts w:ascii="Verdana" w:hAnsi="Verdana"/>
                <w:sz w:val="14"/>
                <w:szCs w:val="14"/>
              </w:rPr>
            </w:pPr>
            <w:r w:rsidRPr="00FF46E3">
              <w:rPr>
                <w:rFonts w:ascii="Verdana" w:hAnsi="Verdana"/>
                <w:sz w:val="14"/>
                <w:szCs w:val="14"/>
              </w:rPr>
              <w:t>3,64</w:t>
            </w:r>
          </w:p>
        </w:tc>
        <w:tc>
          <w:tcPr>
            <w:tcW w:w="690" w:type="dxa"/>
          </w:tcPr>
          <w:p w:rsidRPr="00FF46E3" w:rsidR="00A84A8A" w:rsidP="00A84A8A" w:rsidRDefault="00A84A8A" w14:paraId="13592210" w14:textId="77777777">
            <w:pPr>
              <w:pStyle w:val="Geenafstand"/>
              <w:rPr>
                <w:rFonts w:ascii="Verdana" w:hAnsi="Verdana"/>
                <w:sz w:val="14"/>
                <w:szCs w:val="14"/>
              </w:rPr>
            </w:pPr>
            <w:r w:rsidRPr="00FF46E3">
              <w:rPr>
                <w:rFonts w:ascii="Verdana" w:hAnsi="Verdana"/>
                <w:sz w:val="14"/>
                <w:szCs w:val="14"/>
              </w:rPr>
              <w:t>6,37</w:t>
            </w:r>
          </w:p>
        </w:tc>
        <w:tc>
          <w:tcPr>
            <w:tcW w:w="689" w:type="dxa"/>
          </w:tcPr>
          <w:p w:rsidRPr="00FF46E3" w:rsidR="00A84A8A" w:rsidP="00A84A8A" w:rsidRDefault="00A84A8A" w14:paraId="5D7C71F0" w14:textId="77777777">
            <w:pPr>
              <w:pStyle w:val="Geenafstand"/>
              <w:rPr>
                <w:rFonts w:ascii="Verdana" w:hAnsi="Verdana"/>
                <w:sz w:val="14"/>
                <w:szCs w:val="14"/>
              </w:rPr>
            </w:pPr>
            <w:r w:rsidRPr="00FF46E3">
              <w:rPr>
                <w:rFonts w:ascii="Verdana" w:hAnsi="Verdana"/>
                <w:sz w:val="14"/>
                <w:szCs w:val="14"/>
              </w:rPr>
              <w:t>9,00</w:t>
            </w:r>
          </w:p>
        </w:tc>
        <w:tc>
          <w:tcPr>
            <w:tcW w:w="690" w:type="dxa"/>
          </w:tcPr>
          <w:p w:rsidRPr="00FF46E3" w:rsidR="00A84A8A" w:rsidP="00A84A8A" w:rsidRDefault="00A84A8A" w14:paraId="0A2BF1E3" w14:textId="77777777">
            <w:pPr>
              <w:pStyle w:val="Geenafstand"/>
              <w:rPr>
                <w:rFonts w:ascii="Verdana" w:hAnsi="Verdana"/>
                <w:sz w:val="14"/>
                <w:szCs w:val="14"/>
              </w:rPr>
            </w:pPr>
            <w:r w:rsidRPr="00FF46E3">
              <w:rPr>
                <w:rFonts w:ascii="Verdana" w:hAnsi="Verdana"/>
                <w:sz w:val="14"/>
                <w:szCs w:val="14"/>
              </w:rPr>
              <w:t>10,68</w:t>
            </w:r>
          </w:p>
        </w:tc>
        <w:tc>
          <w:tcPr>
            <w:tcW w:w="690" w:type="dxa"/>
          </w:tcPr>
          <w:p w:rsidRPr="00FF46E3" w:rsidR="00A84A8A" w:rsidP="00A84A8A" w:rsidRDefault="00A84A8A" w14:paraId="52EB41F1" w14:textId="77777777">
            <w:pPr>
              <w:pStyle w:val="Geenafstand"/>
              <w:rPr>
                <w:rFonts w:ascii="Verdana" w:hAnsi="Verdana"/>
                <w:sz w:val="14"/>
                <w:szCs w:val="14"/>
              </w:rPr>
            </w:pPr>
            <w:r w:rsidRPr="00FF46E3">
              <w:rPr>
                <w:rFonts w:ascii="Verdana" w:hAnsi="Verdana"/>
                <w:sz w:val="14"/>
                <w:szCs w:val="14"/>
              </w:rPr>
              <w:t>13,92</w:t>
            </w:r>
          </w:p>
        </w:tc>
        <w:tc>
          <w:tcPr>
            <w:tcW w:w="1088" w:type="dxa"/>
          </w:tcPr>
          <w:p w:rsidRPr="00FF46E3" w:rsidR="00A84A8A" w:rsidP="00A84A8A" w:rsidRDefault="00A84A8A" w14:paraId="264DA866" w14:textId="77777777">
            <w:pPr>
              <w:pStyle w:val="Geenafstand"/>
              <w:rPr>
                <w:rFonts w:ascii="Verdana" w:hAnsi="Verdana"/>
                <w:sz w:val="14"/>
                <w:szCs w:val="14"/>
              </w:rPr>
            </w:pPr>
            <w:r w:rsidRPr="00FF46E3">
              <w:rPr>
                <w:rFonts w:ascii="Verdana" w:hAnsi="Verdana"/>
                <w:sz w:val="14"/>
                <w:szCs w:val="14"/>
              </w:rPr>
              <w:t>15,17</w:t>
            </w:r>
          </w:p>
        </w:tc>
      </w:tr>
      <w:tr w:rsidRPr="00FF46E3" w:rsidR="0029566C" w:rsidTr="0029566C" w14:paraId="47A56C97" w14:textId="77777777">
        <w:trPr>
          <w:trHeight w:val="170"/>
        </w:trPr>
        <w:tc>
          <w:tcPr>
            <w:tcW w:w="3686" w:type="dxa"/>
          </w:tcPr>
          <w:p w:rsidRPr="00FF46E3" w:rsidR="00A84A8A" w:rsidP="00A84A8A" w:rsidRDefault="00A84A8A" w14:paraId="5D585432" w14:textId="7C03BC95">
            <w:pPr>
              <w:pStyle w:val="Geenafstand"/>
              <w:rPr>
                <w:rFonts w:ascii="Verdana" w:hAnsi="Verdana"/>
                <w:sz w:val="14"/>
                <w:szCs w:val="14"/>
              </w:rPr>
            </w:pPr>
            <w:r w:rsidRPr="00FF46E3">
              <w:rPr>
                <w:rFonts w:ascii="Verdana" w:hAnsi="Verdana"/>
                <w:sz w:val="14"/>
                <w:szCs w:val="14"/>
              </w:rPr>
              <w:t>Fin</w:t>
            </w:r>
            <w:r w:rsidR="00EE3B30">
              <w:rPr>
                <w:rFonts w:ascii="Verdana" w:hAnsi="Verdana"/>
                <w:sz w:val="14"/>
                <w:szCs w:val="14"/>
              </w:rPr>
              <w:t>anciën</w:t>
            </w:r>
          </w:p>
        </w:tc>
        <w:tc>
          <w:tcPr>
            <w:tcW w:w="689" w:type="dxa"/>
          </w:tcPr>
          <w:p w:rsidRPr="00FF46E3" w:rsidR="00A84A8A" w:rsidP="00A84A8A" w:rsidRDefault="00A84A8A" w14:paraId="20A2E7B2" w14:textId="77777777">
            <w:pPr>
              <w:pStyle w:val="Geenafstand"/>
              <w:rPr>
                <w:rFonts w:ascii="Verdana" w:hAnsi="Verdana"/>
                <w:sz w:val="14"/>
                <w:szCs w:val="14"/>
              </w:rPr>
            </w:pPr>
            <w:r w:rsidRPr="00FF46E3">
              <w:rPr>
                <w:rFonts w:ascii="Verdana" w:hAnsi="Verdana"/>
                <w:sz w:val="14"/>
                <w:szCs w:val="14"/>
              </w:rPr>
              <w:t>0,00</w:t>
            </w:r>
          </w:p>
        </w:tc>
        <w:tc>
          <w:tcPr>
            <w:tcW w:w="690" w:type="dxa"/>
          </w:tcPr>
          <w:p w:rsidRPr="00FF46E3" w:rsidR="00A84A8A" w:rsidP="00A84A8A" w:rsidRDefault="00A84A8A" w14:paraId="249F4FDD" w14:textId="77777777">
            <w:pPr>
              <w:pStyle w:val="Geenafstand"/>
              <w:rPr>
                <w:rFonts w:ascii="Verdana" w:hAnsi="Verdana"/>
                <w:sz w:val="14"/>
                <w:szCs w:val="14"/>
              </w:rPr>
            </w:pPr>
            <w:r w:rsidRPr="00FF46E3">
              <w:rPr>
                <w:rFonts w:ascii="Verdana" w:hAnsi="Verdana"/>
                <w:sz w:val="14"/>
                <w:szCs w:val="14"/>
              </w:rPr>
              <w:t>1,20</w:t>
            </w:r>
          </w:p>
        </w:tc>
        <w:tc>
          <w:tcPr>
            <w:tcW w:w="689" w:type="dxa"/>
          </w:tcPr>
          <w:p w:rsidRPr="00FF46E3" w:rsidR="00A84A8A" w:rsidP="00A84A8A" w:rsidRDefault="00A84A8A" w14:paraId="0EC78D9B" w14:textId="77777777">
            <w:pPr>
              <w:pStyle w:val="Geenafstand"/>
              <w:rPr>
                <w:rFonts w:ascii="Verdana" w:hAnsi="Verdana"/>
                <w:sz w:val="14"/>
                <w:szCs w:val="14"/>
              </w:rPr>
            </w:pPr>
            <w:r w:rsidRPr="00FF46E3">
              <w:rPr>
                <w:rFonts w:ascii="Verdana" w:hAnsi="Verdana"/>
                <w:sz w:val="14"/>
                <w:szCs w:val="14"/>
              </w:rPr>
              <w:t>1,30</w:t>
            </w:r>
          </w:p>
        </w:tc>
        <w:tc>
          <w:tcPr>
            <w:tcW w:w="690" w:type="dxa"/>
          </w:tcPr>
          <w:p w:rsidRPr="00FF46E3" w:rsidR="00A84A8A" w:rsidP="00A84A8A" w:rsidRDefault="00A84A8A" w14:paraId="18902F41" w14:textId="77777777">
            <w:pPr>
              <w:pStyle w:val="Geenafstand"/>
              <w:rPr>
                <w:rFonts w:ascii="Verdana" w:hAnsi="Verdana"/>
                <w:sz w:val="14"/>
                <w:szCs w:val="14"/>
              </w:rPr>
            </w:pPr>
            <w:r w:rsidRPr="00FF46E3">
              <w:rPr>
                <w:rFonts w:ascii="Verdana" w:hAnsi="Verdana"/>
                <w:sz w:val="14"/>
                <w:szCs w:val="14"/>
              </w:rPr>
              <w:t>1,40</w:t>
            </w:r>
          </w:p>
        </w:tc>
        <w:tc>
          <w:tcPr>
            <w:tcW w:w="690" w:type="dxa"/>
          </w:tcPr>
          <w:p w:rsidRPr="00FF46E3" w:rsidR="00A84A8A" w:rsidP="00A84A8A" w:rsidRDefault="00A84A8A" w14:paraId="6E719013" w14:textId="77777777">
            <w:pPr>
              <w:pStyle w:val="Geenafstand"/>
              <w:rPr>
                <w:rFonts w:ascii="Verdana" w:hAnsi="Verdana"/>
                <w:sz w:val="14"/>
                <w:szCs w:val="14"/>
              </w:rPr>
            </w:pPr>
            <w:r w:rsidRPr="00FF46E3">
              <w:rPr>
                <w:rFonts w:ascii="Verdana" w:hAnsi="Verdana"/>
                <w:sz w:val="14"/>
                <w:szCs w:val="14"/>
              </w:rPr>
              <w:t>1,50</w:t>
            </w:r>
          </w:p>
        </w:tc>
        <w:tc>
          <w:tcPr>
            <w:tcW w:w="1088" w:type="dxa"/>
          </w:tcPr>
          <w:p w:rsidRPr="00FF46E3" w:rsidR="00A84A8A" w:rsidP="00A84A8A" w:rsidRDefault="00A84A8A" w14:paraId="15B12357" w14:textId="77777777">
            <w:pPr>
              <w:pStyle w:val="Geenafstand"/>
              <w:rPr>
                <w:rFonts w:ascii="Verdana" w:hAnsi="Verdana"/>
                <w:sz w:val="14"/>
                <w:szCs w:val="14"/>
              </w:rPr>
            </w:pPr>
            <w:r w:rsidRPr="00FF46E3">
              <w:rPr>
                <w:rFonts w:ascii="Verdana" w:hAnsi="Verdana"/>
                <w:sz w:val="14"/>
                <w:szCs w:val="14"/>
              </w:rPr>
              <w:t>1,50</w:t>
            </w:r>
          </w:p>
        </w:tc>
      </w:tr>
      <w:tr w:rsidRPr="00FF46E3" w:rsidR="0029566C" w:rsidTr="0029566C" w14:paraId="790DB9D8" w14:textId="77777777">
        <w:trPr>
          <w:trHeight w:val="170"/>
        </w:trPr>
        <w:tc>
          <w:tcPr>
            <w:tcW w:w="3686" w:type="dxa"/>
          </w:tcPr>
          <w:p w:rsidRPr="00FF46E3" w:rsidR="00A84A8A" w:rsidP="00A84A8A" w:rsidRDefault="00A84A8A" w14:paraId="3043A83C" w14:textId="77777777">
            <w:pPr>
              <w:pStyle w:val="Geenafstand"/>
              <w:rPr>
                <w:rFonts w:ascii="Verdana" w:hAnsi="Verdana"/>
                <w:b/>
                <w:bCs/>
                <w:sz w:val="14"/>
                <w:szCs w:val="14"/>
              </w:rPr>
            </w:pPr>
            <w:r w:rsidRPr="00FF46E3">
              <w:rPr>
                <w:rFonts w:ascii="Verdana" w:hAnsi="Verdana"/>
                <w:b/>
                <w:bCs/>
                <w:sz w:val="14"/>
                <w:szCs w:val="14"/>
              </w:rPr>
              <w:t>Totaal</w:t>
            </w:r>
          </w:p>
        </w:tc>
        <w:tc>
          <w:tcPr>
            <w:tcW w:w="689" w:type="dxa"/>
          </w:tcPr>
          <w:p w:rsidRPr="00FF46E3" w:rsidR="00A84A8A" w:rsidP="00A84A8A" w:rsidRDefault="00A84A8A" w14:paraId="2E99D54C" w14:textId="77777777">
            <w:pPr>
              <w:pStyle w:val="Geenafstand"/>
              <w:rPr>
                <w:rFonts w:ascii="Verdana" w:hAnsi="Verdana"/>
                <w:b/>
                <w:bCs/>
                <w:sz w:val="14"/>
                <w:szCs w:val="14"/>
              </w:rPr>
            </w:pPr>
            <w:r w:rsidRPr="00FF46E3">
              <w:rPr>
                <w:rFonts w:ascii="Verdana" w:hAnsi="Verdana"/>
                <w:b/>
                <w:bCs/>
                <w:sz w:val="14"/>
                <w:szCs w:val="14"/>
              </w:rPr>
              <w:t>21,39</w:t>
            </w:r>
          </w:p>
        </w:tc>
        <w:tc>
          <w:tcPr>
            <w:tcW w:w="690" w:type="dxa"/>
          </w:tcPr>
          <w:p w:rsidRPr="00FF46E3" w:rsidR="00A84A8A" w:rsidP="00A84A8A" w:rsidRDefault="00A84A8A" w14:paraId="5E9893BB" w14:textId="2E69BFA7">
            <w:pPr>
              <w:pStyle w:val="Geenafstand"/>
              <w:rPr>
                <w:rFonts w:ascii="Verdana" w:hAnsi="Verdana"/>
                <w:b/>
                <w:bCs/>
                <w:sz w:val="14"/>
                <w:szCs w:val="14"/>
              </w:rPr>
            </w:pPr>
            <w:r w:rsidRPr="00FF46E3">
              <w:rPr>
                <w:rFonts w:ascii="Verdana" w:hAnsi="Verdana"/>
                <w:b/>
                <w:bCs/>
                <w:sz w:val="14"/>
                <w:szCs w:val="14"/>
              </w:rPr>
              <w:t>5</w:t>
            </w:r>
            <w:r w:rsidR="000F2964">
              <w:rPr>
                <w:rFonts w:ascii="Verdana" w:hAnsi="Verdana"/>
                <w:b/>
                <w:bCs/>
                <w:sz w:val="14"/>
                <w:szCs w:val="14"/>
              </w:rPr>
              <w:t>8,36</w:t>
            </w:r>
          </w:p>
        </w:tc>
        <w:tc>
          <w:tcPr>
            <w:tcW w:w="689" w:type="dxa"/>
          </w:tcPr>
          <w:p w:rsidRPr="00FF46E3" w:rsidR="00A84A8A" w:rsidP="00A84A8A" w:rsidRDefault="000F2964" w14:paraId="1E6865F2" w14:textId="641E3150">
            <w:pPr>
              <w:pStyle w:val="Geenafstand"/>
              <w:rPr>
                <w:rFonts w:ascii="Verdana" w:hAnsi="Verdana"/>
                <w:b/>
                <w:bCs/>
                <w:sz w:val="14"/>
                <w:szCs w:val="14"/>
              </w:rPr>
            </w:pPr>
            <w:r>
              <w:rPr>
                <w:rFonts w:ascii="Verdana" w:hAnsi="Verdana"/>
                <w:b/>
                <w:bCs/>
                <w:sz w:val="14"/>
                <w:szCs w:val="14"/>
              </w:rPr>
              <w:t>71,13</w:t>
            </w:r>
          </w:p>
        </w:tc>
        <w:tc>
          <w:tcPr>
            <w:tcW w:w="690" w:type="dxa"/>
          </w:tcPr>
          <w:p w:rsidRPr="00FF46E3" w:rsidR="00A84A8A" w:rsidP="00A84A8A" w:rsidRDefault="000F2964" w14:paraId="261BB5CE" w14:textId="75519BEF">
            <w:pPr>
              <w:pStyle w:val="Geenafstand"/>
              <w:rPr>
                <w:rFonts w:ascii="Verdana" w:hAnsi="Verdana"/>
                <w:b/>
                <w:bCs/>
                <w:sz w:val="14"/>
                <w:szCs w:val="14"/>
              </w:rPr>
            </w:pPr>
            <w:r>
              <w:rPr>
                <w:rFonts w:ascii="Verdana" w:hAnsi="Verdana"/>
                <w:b/>
                <w:bCs/>
                <w:sz w:val="14"/>
                <w:szCs w:val="14"/>
              </w:rPr>
              <w:t>75,64</w:t>
            </w:r>
          </w:p>
        </w:tc>
        <w:tc>
          <w:tcPr>
            <w:tcW w:w="690" w:type="dxa"/>
          </w:tcPr>
          <w:p w:rsidRPr="00FF46E3" w:rsidR="00A84A8A" w:rsidP="00A84A8A" w:rsidRDefault="000F2964" w14:paraId="101A5EDB" w14:textId="2405DFFC">
            <w:pPr>
              <w:pStyle w:val="Geenafstand"/>
              <w:rPr>
                <w:rFonts w:ascii="Verdana" w:hAnsi="Verdana"/>
                <w:b/>
                <w:bCs/>
                <w:sz w:val="14"/>
                <w:szCs w:val="14"/>
              </w:rPr>
            </w:pPr>
            <w:r>
              <w:rPr>
                <w:rFonts w:ascii="Verdana" w:hAnsi="Verdana"/>
                <w:b/>
                <w:bCs/>
                <w:sz w:val="14"/>
                <w:szCs w:val="14"/>
              </w:rPr>
              <w:t>80,58</w:t>
            </w:r>
          </w:p>
        </w:tc>
        <w:tc>
          <w:tcPr>
            <w:tcW w:w="1088" w:type="dxa"/>
          </w:tcPr>
          <w:p w:rsidRPr="00FF46E3" w:rsidR="00A84A8A" w:rsidP="00A84A8A" w:rsidRDefault="000F2964" w14:paraId="5EB5A1D1" w14:textId="4E1C6308">
            <w:pPr>
              <w:pStyle w:val="Geenafstand"/>
              <w:rPr>
                <w:rFonts w:ascii="Verdana" w:hAnsi="Verdana"/>
                <w:b/>
                <w:bCs/>
                <w:sz w:val="14"/>
                <w:szCs w:val="14"/>
              </w:rPr>
            </w:pPr>
            <w:r>
              <w:rPr>
                <w:rFonts w:ascii="Verdana" w:hAnsi="Verdana"/>
                <w:b/>
                <w:bCs/>
                <w:sz w:val="14"/>
                <w:szCs w:val="14"/>
              </w:rPr>
              <w:t>82,83</w:t>
            </w:r>
          </w:p>
        </w:tc>
      </w:tr>
    </w:tbl>
    <w:p w:rsidRPr="00FF46E3" w:rsidR="006D7F2C" w:rsidP="00DA034C" w:rsidRDefault="006D7F2C" w14:paraId="38ABDB7B" w14:textId="77777777">
      <w:pPr>
        <w:pStyle w:val="Geenafstand"/>
        <w:rPr>
          <w:rFonts w:ascii="Verdana" w:hAnsi="Verdana"/>
          <w:sz w:val="18"/>
          <w:szCs w:val="18"/>
        </w:rPr>
      </w:pPr>
    </w:p>
    <w:p w:rsidR="00B776E6" w:rsidP="00DA034C" w:rsidRDefault="006D7F2C" w14:paraId="7A013B9E" w14:textId="77777777">
      <w:pPr>
        <w:pStyle w:val="Geenafstand"/>
        <w:rPr>
          <w:rFonts w:ascii="Verdana" w:hAnsi="Verdana"/>
          <w:sz w:val="18"/>
          <w:szCs w:val="18"/>
        </w:rPr>
      </w:pPr>
      <w:r w:rsidRPr="00FF46E3">
        <w:rPr>
          <w:rFonts w:ascii="Verdana" w:hAnsi="Verdana"/>
          <w:sz w:val="18"/>
          <w:szCs w:val="18"/>
        </w:rPr>
        <w:t xml:space="preserve">De kosten voor het </w:t>
      </w:r>
      <w:r w:rsidR="00F66FBE">
        <w:rPr>
          <w:rFonts w:ascii="Verdana" w:hAnsi="Verdana"/>
          <w:sz w:val="18"/>
          <w:szCs w:val="18"/>
        </w:rPr>
        <w:t>M</w:t>
      </w:r>
      <w:r w:rsidRPr="00FF46E3">
        <w:rPr>
          <w:rFonts w:ascii="Verdana" w:hAnsi="Verdana"/>
          <w:sz w:val="18"/>
          <w:szCs w:val="18"/>
        </w:rPr>
        <w:t>inisterie van I</w:t>
      </w:r>
      <w:r w:rsidRPr="00FF46E3" w:rsidR="00454E04">
        <w:rPr>
          <w:rFonts w:ascii="Verdana" w:hAnsi="Verdana"/>
          <w:sz w:val="18"/>
          <w:szCs w:val="18"/>
        </w:rPr>
        <w:t xml:space="preserve">nfrastructuur </w:t>
      </w:r>
      <w:r w:rsidRPr="00FF46E3">
        <w:rPr>
          <w:rFonts w:ascii="Verdana" w:hAnsi="Verdana"/>
          <w:sz w:val="18"/>
          <w:szCs w:val="18"/>
        </w:rPr>
        <w:t>en</w:t>
      </w:r>
      <w:r w:rsidRPr="00FF46E3" w:rsidR="00454E04">
        <w:rPr>
          <w:rFonts w:ascii="Verdana" w:hAnsi="Verdana"/>
          <w:sz w:val="18"/>
          <w:szCs w:val="18"/>
        </w:rPr>
        <w:t xml:space="preserve"> </w:t>
      </w:r>
      <w:r w:rsidRPr="00FF46E3">
        <w:rPr>
          <w:rFonts w:ascii="Verdana" w:hAnsi="Verdana"/>
          <w:sz w:val="18"/>
          <w:szCs w:val="18"/>
        </w:rPr>
        <w:t>W</w:t>
      </w:r>
      <w:r w:rsidRPr="00FF46E3" w:rsidR="00454E04">
        <w:rPr>
          <w:rFonts w:ascii="Verdana" w:hAnsi="Verdana"/>
          <w:sz w:val="18"/>
          <w:szCs w:val="18"/>
        </w:rPr>
        <w:t>aterstaat</w:t>
      </w:r>
      <w:r w:rsidRPr="00FF46E3">
        <w:rPr>
          <w:rFonts w:ascii="Verdana" w:hAnsi="Verdana"/>
          <w:sz w:val="18"/>
          <w:szCs w:val="18"/>
        </w:rPr>
        <w:t xml:space="preserve"> </w:t>
      </w:r>
      <w:r w:rsidR="00DC7473">
        <w:rPr>
          <w:rFonts w:ascii="Verdana" w:hAnsi="Verdana"/>
          <w:sz w:val="18"/>
          <w:szCs w:val="18"/>
        </w:rPr>
        <w:t>zijn</w:t>
      </w:r>
      <w:r w:rsidRPr="00FF46E3">
        <w:rPr>
          <w:rFonts w:ascii="Verdana" w:hAnsi="Verdana"/>
          <w:sz w:val="18"/>
          <w:szCs w:val="18"/>
        </w:rPr>
        <w:t xml:space="preserve"> bij Miljoenennota 2025 binnen de begroting </w:t>
      </w:r>
      <w:r w:rsidR="00DC7473">
        <w:rPr>
          <w:rFonts w:ascii="Verdana" w:hAnsi="Verdana"/>
          <w:sz w:val="18"/>
          <w:szCs w:val="18"/>
        </w:rPr>
        <w:t>opgenomen</w:t>
      </w:r>
      <w:r w:rsidRPr="00FF46E3">
        <w:rPr>
          <w:rFonts w:ascii="Verdana" w:hAnsi="Verdana"/>
          <w:sz w:val="18"/>
          <w:szCs w:val="18"/>
        </w:rPr>
        <w:t xml:space="preserve">. </w:t>
      </w:r>
    </w:p>
    <w:p w:rsidR="000F2964" w:rsidP="000F2964" w:rsidRDefault="000F2964" w14:paraId="6DA34ACD" w14:textId="77777777">
      <w:pPr>
        <w:pStyle w:val="Geenafstand"/>
        <w:rPr>
          <w:rFonts w:ascii="Verdana" w:hAnsi="Verdana"/>
          <w:sz w:val="18"/>
          <w:szCs w:val="18"/>
        </w:rPr>
      </w:pPr>
    </w:p>
    <w:p w:rsidR="000F2964" w:rsidP="000F2964" w:rsidRDefault="000F2964" w14:paraId="75FB3088" w14:textId="25DEC11D">
      <w:pPr>
        <w:pStyle w:val="Geenafstand"/>
        <w:rPr>
          <w:rFonts w:ascii="Verdana" w:hAnsi="Verdana"/>
          <w:sz w:val="18"/>
          <w:szCs w:val="18"/>
        </w:rPr>
      </w:pPr>
      <w:r w:rsidRPr="00B776E6">
        <w:rPr>
          <w:rFonts w:ascii="Verdana" w:hAnsi="Verdana"/>
          <w:sz w:val="18"/>
          <w:szCs w:val="18"/>
        </w:rPr>
        <w:t xml:space="preserve">Voor het </w:t>
      </w:r>
      <w:r>
        <w:rPr>
          <w:rFonts w:ascii="Verdana" w:hAnsi="Verdana"/>
          <w:sz w:val="18"/>
          <w:szCs w:val="18"/>
        </w:rPr>
        <w:t>M</w:t>
      </w:r>
      <w:r w:rsidRPr="00B776E6">
        <w:rPr>
          <w:rFonts w:ascii="Verdana" w:hAnsi="Verdana"/>
          <w:sz w:val="18"/>
          <w:szCs w:val="18"/>
        </w:rPr>
        <w:t xml:space="preserve">inisterie van Onderwijs, Cultuur en Wetenschap geldt dat </w:t>
      </w:r>
      <w:r>
        <w:rPr>
          <w:rFonts w:ascii="Verdana" w:hAnsi="Verdana"/>
          <w:sz w:val="18"/>
          <w:szCs w:val="18"/>
        </w:rPr>
        <w:t xml:space="preserve">de budgettaire gevolgen voor de rol van het CSIRT en het inrichten van het toezicht reeds zijn verwerkt in de Voorjaarsnota 2025. Deze kosten zijn opgenomen in tabel 1. Er wordt </w:t>
      </w:r>
      <w:r w:rsidRPr="00B776E6">
        <w:rPr>
          <w:rFonts w:ascii="Verdana" w:hAnsi="Verdana"/>
          <w:sz w:val="18"/>
          <w:szCs w:val="18"/>
        </w:rPr>
        <w:t xml:space="preserve">nader onderzocht </w:t>
      </w:r>
      <w:r>
        <w:rPr>
          <w:rFonts w:ascii="Verdana" w:hAnsi="Verdana"/>
          <w:sz w:val="18"/>
          <w:szCs w:val="18"/>
        </w:rPr>
        <w:t xml:space="preserve">welke financiële implicaties er zijn verbonden aan de uitvoering van de </w:t>
      </w:r>
      <w:proofErr w:type="spellStart"/>
      <w:r>
        <w:rPr>
          <w:rFonts w:ascii="Verdana" w:hAnsi="Verdana"/>
          <w:sz w:val="18"/>
          <w:szCs w:val="18"/>
        </w:rPr>
        <w:t>Cbw</w:t>
      </w:r>
      <w:proofErr w:type="spellEnd"/>
      <w:r>
        <w:rPr>
          <w:rFonts w:ascii="Verdana" w:hAnsi="Verdana"/>
          <w:sz w:val="18"/>
          <w:szCs w:val="18"/>
        </w:rPr>
        <w:t xml:space="preserve"> wanneer de Minister van Onderwijs, Cultuur en Wetenschap gebruik maakt van de bevoegdheid om hbo- en wo-instellingen via een aanwijzing onder de reikwijdte van de </w:t>
      </w:r>
      <w:proofErr w:type="spellStart"/>
      <w:r>
        <w:rPr>
          <w:rFonts w:ascii="Verdana" w:hAnsi="Verdana"/>
          <w:sz w:val="18"/>
          <w:szCs w:val="18"/>
        </w:rPr>
        <w:t>Cbw</w:t>
      </w:r>
      <w:proofErr w:type="spellEnd"/>
      <w:r>
        <w:rPr>
          <w:rFonts w:ascii="Verdana" w:hAnsi="Verdana"/>
          <w:sz w:val="18"/>
          <w:szCs w:val="18"/>
        </w:rPr>
        <w:t xml:space="preserve"> te brengen. </w:t>
      </w:r>
    </w:p>
    <w:p w:rsidR="00B776E6" w:rsidP="00DA034C" w:rsidRDefault="00B776E6" w14:paraId="20695C5A" w14:textId="77777777">
      <w:pPr>
        <w:pStyle w:val="Geenafstand"/>
        <w:rPr>
          <w:rFonts w:ascii="Verdana" w:hAnsi="Verdana"/>
          <w:sz w:val="18"/>
          <w:szCs w:val="18"/>
        </w:rPr>
      </w:pPr>
    </w:p>
    <w:p w:rsidR="006D7F2C" w:rsidP="00DA034C" w:rsidRDefault="006D7F2C" w14:paraId="14067ABB" w14:textId="0975F3DD">
      <w:pPr>
        <w:pStyle w:val="Geenafstand"/>
        <w:rPr>
          <w:rFonts w:ascii="Verdana" w:hAnsi="Verdana"/>
          <w:sz w:val="18"/>
          <w:szCs w:val="18"/>
        </w:rPr>
      </w:pPr>
      <w:r w:rsidRPr="00FF46E3">
        <w:rPr>
          <w:rFonts w:ascii="Verdana" w:hAnsi="Verdana"/>
          <w:sz w:val="18"/>
          <w:szCs w:val="18"/>
        </w:rPr>
        <w:t xml:space="preserve">Voor </w:t>
      </w:r>
      <w:r w:rsidRPr="00FF46E3" w:rsidR="00454E04">
        <w:rPr>
          <w:rFonts w:ascii="Verdana" w:hAnsi="Verdana"/>
          <w:sz w:val="18"/>
          <w:szCs w:val="18"/>
        </w:rPr>
        <w:t xml:space="preserve">het </w:t>
      </w:r>
      <w:r w:rsidR="00F66FBE">
        <w:rPr>
          <w:rFonts w:ascii="Verdana" w:hAnsi="Verdana"/>
          <w:sz w:val="18"/>
          <w:szCs w:val="18"/>
        </w:rPr>
        <w:t>M</w:t>
      </w:r>
      <w:r w:rsidRPr="00FF46E3" w:rsidR="00454E04">
        <w:rPr>
          <w:rFonts w:ascii="Verdana" w:hAnsi="Verdana"/>
          <w:sz w:val="18"/>
          <w:szCs w:val="18"/>
        </w:rPr>
        <w:t xml:space="preserve">inisterie van </w:t>
      </w:r>
      <w:r w:rsidRPr="00FF46E3">
        <w:rPr>
          <w:rFonts w:ascii="Verdana" w:hAnsi="Verdana"/>
          <w:sz w:val="18"/>
          <w:szCs w:val="18"/>
        </w:rPr>
        <w:t>B</w:t>
      </w:r>
      <w:r w:rsidRPr="00FF46E3" w:rsidR="00454E04">
        <w:rPr>
          <w:rFonts w:ascii="Verdana" w:hAnsi="Verdana"/>
          <w:sz w:val="18"/>
          <w:szCs w:val="18"/>
        </w:rPr>
        <w:t xml:space="preserve">innenlandse </w:t>
      </w:r>
      <w:r w:rsidRPr="00FF46E3">
        <w:rPr>
          <w:rFonts w:ascii="Verdana" w:hAnsi="Verdana"/>
          <w:sz w:val="18"/>
          <w:szCs w:val="18"/>
        </w:rPr>
        <w:t>Z</w:t>
      </w:r>
      <w:r w:rsidRPr="00FF46E3" w:rsidR="00454E04">
        <w:rPr>
          <w:rFonts w:ascii="Verdana" w:hAnsi="Verdana"/>
          <w:sz w:val="18"/>
          <w:szCs w:val="18"/>
        </w:rPr>
        <w:t xml:space="preserve">aken en </w:t>
      </w:r>
      <w:r w:rsidRPr="00FF46E3">
        <w:rPr>
          <w:rFonts w:ascii="Verdana" w:hAnsi="Verdana"/>
          <w:sz w:val="18"/>
          <w:szCs w:val="18"/>
        </w:rPr>
        <w:t>K</w:t>
      </w:r>
      <w:r w:rsidRPr="00FF46E3" w:rsidR="00454E04">
        <w:rPr>
          <w:rFonts w:ascii="Verdana" w:hAnsi="Verdana"/>
          <w:sz w:val="18"/>
          <w:szCs w:val="18"/>
        </w:rPr>
        <w:t>oninkrijksrelaties</w:t>
      </w:r>
      <w:r w:rsidRPr="00FF46E3">
        <w:rPr>
          <w:rFonts w:ascii="Verdana" w:hAnsi="Verdana"/>
          <w:sz w:val="18"/>
          <w:szCs w:val="18"/>
        </w:rPr>
        <w:t xml:space="preserve"> geldt dat de kosten van </w:t>
      </w:r>
      <w:r w:rsidRPr="00FF46E3" w:rsidR="00454E04">
        <w:rPr>
          <w:rFonts w:ascii="Verdana" w:hAnsi="Verdana"/>
          <w:sz w:val="18"/>
          <w:szCs w:val="18"/>
        </w:rPr>
        <w:t xml:space="preserve">de </w:t>
      </w:r>
      <w:proofErr w:type="spellStart"/>
      <w:r w:rsidRPr="00FF46E3" w:rsidR="00454E04">
        <w:rPr>
          <w:rFonts w:ascii="Verdana" w:hAnsi="Verdana"/>
          <w:sz w:val="18"/>
          <w:szCs w:val="18"/>
        </w:rPr>
        <w:t>Cbw</w:t>
      </w:r>
      <w:proofErr w:type="spellEnd"/>
      <w:r w:rsidRPr="00FF46E3">
        <w:rPr>
          <w:rFonts w:ascii="Verdana" w:hAnsi="Verdana"/>
          <w:sz w:val="18"/>
          <w:szCs w:val="18"/>
        </w:rPr>
        <w:t xml:space="preserve"> en van de </w:t>
      </w:r>
      <w:r w:rsidRPr="009A7FB9" w:rsidR="009A7FB9">
        <w:rPr>
          <w:rFonts w:ascii="Verdana" w:hAnsi="Verdana"/>
          <w:sz w:val="18"/>
          <w:szCs w:val="18"/>
        </w:rPr>
        <w:t>Binnenlandse Zaken en Koninkrijksrelaties</w:t>
      </w:r>
      <w:r w:rsidRPr="00FF46E3">
        <w:rPr>
          <w:rFonts w:ascii="Verdana" w:hAnsi="Verdana"/>
          <w:sz w:val="18"/>
          <w:szCs w:val="18"/>
        </w:rPr>
        <w:t xml:space="preserve">-gerelateerde kosten voor </w:t>
      </w:r>
      <w:r w:rsidR="009A7FB9">
        <w:rPr>
          <w:rFonts w:ascii="Verdana" w:hAnsi="Verdana"/>
          <w:sz w:val="18"/>
          <w:szCs w:val="18"/>
        </w:rPr>
        <w:t xml:space="preserve">de </w:t>
      </w:r>
      <w:proofErr w:type="spellStart"/>
      <w:r w:rsidR="009A7FB9">
        <w:rPr>
          <w:rFonts w:ascii="Verdana" w:hAnsi="Verdana"/>
          <w:sz w:val="18"/>
          <w:szCs w:val="18"/>
        </w:rPr>
        <w:t>Wwke</w:t>
      </w:r>
      <w:proofErr w:type="spellEnd"/>
      <w:r w:rsidRPr="00FF46E3">
        <w:rPr>
          <w:rFonts w:ascii="Verdana" w:hAnsi="Verdana"/>
          <w:sz w:val="18"/>
          <w:szCs w:val="18"/>
        </w:rPr>
        <w:t xml:space="preserve"> worden gedekt binnen de </w:t>
      </w:r>
      <w:r w:rsidR="00DC7473">
        <w:rPr>
          <w:rFonts w:ascii="Verdana" w:hAnsi="Verdana"/>
          <w:sz w:val="18"/>
          <w:szCs w:val="18"/>
        </w:rPr>
        <w:t>beleids</w:t>
      </w:r>
      <w:r w:rsidRPr="00FF46E3">
        <w:rPr>
          <w:rFonts w:ascii="Verdana" w:hAnsi="Verdana"/>
          <w:sz w:val="18"/>
          <w:szCs w:val="18"/>
        </w:rPr>
        <w:t>artikelen 6 en 7</w:t>
      </w:r>
      <w:r w:rsidR="00DC7473">
        <w:rPr>
          <w:rFonts w:ascii="Verdana" w:hAnsi="Verdana"/>
          <w:sz w:val="18"/>
          <w:szCs w:val="18"/>
        </w:rPr>
        <w:t xml:space="preserve"> van de begroting van </w:t>
      </w:r>
      <w:r w:rsidR="009A7FB9">
        <w:rPr>
          <w:rFonts w:ascii="Verdana" w:hAnsi="Verdana"/>
          <w:sz w:val="18"/>
          <w:szCs w:val="18"/>
        </w:rPr>
        <w:t xml:space="preserve">het Ministerie van </w:t>
      </w:r>
      <w:r w:rsidRPr="00FF46E3" w:rsidR="00DC7473">
        <w:rPr>
          <w:rFonts w:ascii="Verdana" w:hAnsi="Verdana"/>
          <w:sz w:val="18"/>
          <w:szCs w:val="18"/>
        </w:rPr>
        <w:t>Binnenlandse Zaken en Koninkrijksrelaties</w:t>
      </w:r>
      <w:r w:rsidRPr="00FF46E3">
        <w:rPr>
          <w:rFonts w:ascii="Verdana" w:hAnsi="Verdana"/>
          <w:sz w:val="18"/>
          <w:szCs w:val="18"/>
        </w:rPr>
        <w:t xml:space="preserve"> </w:t>
      </w:r>
      <w:r w:rsidR="00DC7473">
        <w:rPr>
          <w:rFonts w:ascii="Verdana" w:hAnsi="Verdana"/>
          <w:sz w:val="18"/>
          <w:szCs w:val="18"/>
        </w:rPr>
        <w:t xml:space="preserve">als onderdeel </w:t>
      </w:r>
      <w:r w:rsidRPr="00FF46E3">
        <w:rPr>
          <w:rFonts w:ascii="Verdana" w:hAnsi="Verdana"/>
          <w:sz w:val="18"/>
          <w:szCs w:val="18"/>
        </w:rPr>
        <w:t xml:space="preserve">van </w:t>
      </w:r>
      <w:r w:rsidR="00B81A06">
        <w:rPr>
          <w:rFonts w:ascii="Verdana" w:hAnsi="Verdana"/>
          <w:sz w:val="18"/>
          <w:szCs w:val="18"/>
        </w:rPr>
        <w:t>h</w:t>
      </w:r>
      <w:r w:rsidRPr="00FF46E3">
        <w:rPr>
          <w:rFonts w:ascii="Verdana" w:hAnsi="Verdana"/>
          <w:sz w:val="18"/>
          <w:szCs w:val="18"/>
        </w:rPr>
        <w:t>oofdstuk 7</w:t>
      </w:r>
      <w:r w:rsidR="0095498E">
        <w:rPr>
          <w:rFonts w:ascii="Verdana" w:hAnsi="Verdana"/>
          <w:sz w:val="18"/>
          <w:szCs w:val="18"/>
        </w:rPr>
        <w:t xml:space="preserve"> </w:t>
      </w:r>
      <w:r w:rsidR="00582CAD">
        <w:rPr>
          <w:rFonts w:ascii="Verdana" w:hAnsi="Verdana"/>
          <w:sz w:val="18"/>
          <w:szCs w:val="18"/>
        </w:rPr>
        <w:t>van de Rijksbegroting</w:t>
      </w:r>
      <w:r w:rsidRPr="00FF46E3" w:rsidR="0002693B">
        <w:rPr>
          <w:rFonts w:ascii="Verdana" w:hAnsi="Verdana"/>
          <w:sz w:val="18"/>
          <w:szCs w:val="18"/>
        </w:rPr>
        <w:t>.</w:t>
      </w:r>
    </w:p>
    <w:p w:rsidR="00CD0773" w:rsidP="00DA034C" w:rsidRDefault="00CD0773" w14:paraId="08F8091B" w14:textId="77777777">
      <w:pPr>
        <w:pStyle w:val="Geenafstand"/>
        <w:rPr>
          <w:rFonts w:ascii="Verdana" w:hAnsi="Verdana"/>
          <w:sz w:val="18"/>
          <w:szCs w:val="18"/>
        </w:rPr>
      </w:pPr>
    </w:p>
    <w:p w:rsidRPr="00FF46E3" w:rsidR="00CD0773" w:rsidP="00DA034C" w:rsidRDefault="00CD0773" w14:paraId="4F60B9DE" w14:textId="7256A746">
      <w:pPr>
        <w:pStyle w:val="Geenafstand"/>
        <w:rPr>
          <w:rFonts w:ascii="Verdana" w:hAnsi="Verdana"/>
          <w:sz w:val="18"/>
          <w:szCs w:val="18"/>
        </w:rPr>
      </w:pPr>
      <w:r w:rsidRPr="00CD0773">
        <w:rPr>
          <w:rFonts w:ascii="Verdana" w:hAnsi="Verdana"/>
          <w:sz w:val="18"/>
          <w:szCs w:val="18"/>
        </w:rPr>
        <w:t xml:space="preserve">Conform artikel 2 Financiële-verhoudingswet behoren de financiële gevolgen voor provincies en gemeenten in kaart te worden gebracht. De omvang van deze gevolgen is voor een belangrijk deel afhankelijk van de nadere uitwerking van de verplichtingen bij of krachtens </w:t>
      </w:r>
      <w:proofErr w:type="spellStart"/>
      <w:r w:rsidRPr="00CD0773">
        <w:rPr>
          <w:rFonts w:ascii="Verdana" w:hAnsi="Verdana"/>
          <w:sz w:val="18"/>
          <w:szCs w:val="18"/>
        </w:rPr>
        <w:t>amvb</w:t>
      </w:r>
      <w:proofErr w:type="spellEnd"/>
      <w:r w:rsidRPr="00CD0773">
        <w:rPr>
          <w:rFonts w:ascii="Verdana" w:hAnsi="Verdana"/>
          <w:sz w:val="18"/>
          <w:szCs w:val="18"/>
        </w:rPr>
        <w:t xml:space="preserve">. Daarom zal er in de toelichting op de nadere regelgeving worden </w:t>
      </w:r>
      <w:r>
        <w:rPr>
          <w:rFonts w:ascii="Verdana" w:hAnsi="Verdana"/>
          <w:sz w:val="18"/>
          <w:szCs w:val="18"/>
        </w:rPr>
        <w:t>in</w:t>
      </w:r>
      <w:r w:rsidRPr="00CD0773">
        <w:rPr>
          <w:rFonts w:ascii="Verdana" w:hAnsi="Verdana"/>
          <w:sz w:val="18"/>
          <w:szCs w:val="18"/>
        </w:rPr>
        <w:t>gegaan</w:t>
      </w:r>
      <w:r>
        <w:rPr>
          <w:rFonts w:ascii="Verdana" w:hAnsi="Verdana"/>
          <w:sz w:val="18"/>
          <w:szCs w:val="18"/>
        </w:rPr>
        <w:t xml:space="preserve"> op die financiële gevolgen</w:t>
      </w:r>
      <w:r w:rsidRPr="00CD0773">
        <w:rPr>
          <w:rFonts w:ascii="Verdana" w:hAnsi="Verdana"/>
          <w:sz w:val="18"/>
          <w:szCs w:val="18"/>
        </w:rPr>
        <w:t>.</w:t>
      </w:r>
    </w:p>
    <w:p w:rsidRPr="00FF46E3" w:rsidR="00E04B59" w:rsidP="00DA034C" w:rsidRDefault="00E04B59" w14:paraId="636095A4" w14:textId="77777777">
      <w:pPr>
        <w:pStyle w:val="Geenafstand"/>
        <w:rPr>
          <w:rFonts w:ascii="Verdana" w:hAnsi="Verdana"/>
          <w:sz w:val="18"/>
          <w:szCs w:val="18"/>
        </w:rPr>
      </w:pPr>
    </w:p>
    <w:p w:rsidRPr="00FF46E3" w:rsidR="00DA034C" w:rsidP="00DA034C" w:rsidRDefault="00DA034C" w14:paraId="58695227" w14:textId="2FE276E1">
      <w:pPr>
        <w:pStyle w:val="Geenafstand"/>
        <w:rPr>
          <w:rFonts w:ascii="Verdana" w:hAnsi="Verdana"/>
          <w:sz w:val="18"/>
          <w:szCs w:val="18"/>
        </w:rPr>
      </w:pPr>
      <w:r w:rsidRPr="00FF46E3">
        <w:rPr>
          <w:rFonts w:ascii="Verdana" w:hAnsi="Verdana"/>
          <w:sz w:val="18"/>
          <w:szCs w:val="18"/>
        </w:rPr>
        <w:t xml:space="preserve">Hierbij dient opgemerkt te worden dat de ingeschatte uitgaven voor de uitvoering van </w:t>
      </w:r>
      <w:r w:rsidRPr="00FF46E3" w:rsidR="00604685">
        <w:rPr>
          <w:rFonts w:ascii="Verdana" w:hAnsi="Verdana"/>
          <w:sz w:val="18"/>
          <w:szCs w:val="18"/>
        </w:rPr>
        <w:t xml:space="preserve">de </w:t>
      </w:r>
      <w:proofErr w:type="spellStart"/>
      <w:r w:rsidRPr="00FF46E3" w:rsidR="00604685">
        <w:rPr>
          <w:rFonts w:ascii="Verdana" w:hAnsi="Verdana"/>
          <w:sz w:val="18"/>
          <w:szCs w:val="18"/>
        </w:rPr>
        <w:t>Cbw</w:t>
      </w:r>
      <w:proofErr w:type="spellEnd"/>
      <w:r w:rsidRPr="00FF46E3">
        <w:rPr>
          <w:rFonts w:ascii="Verdana" w:hAnsi="Verdana"/>
          <w:sz w:val="18"/>
          <w:szCs w:val="18"/>
        </w:rPr>
        <w:t xml:space="preserve"> gebaseerd zijn op het op dit moment verwachte aantal entiteiten dat onder de reikwijdte van de </w:t>
      </w:r>
      <w:r w:rsidRPr="00FF46E3" w:rsidR="00604685">
        <w:rPr>
          <w:rFonts w:ascii="Verdana" w:hAnsi="Verdana"/>
          <w:sz w:val="18"/>
          <w:szCs w:val="18"/>
        </w:rPr>
        <w:t>NIS2-</w:t>
      </w:r>
      <w:r w:rsidRPr="00FF46E3">
        <w:rPr>
          <w:rFonts w:ascii="Verdana" w:hAnsi="Verdana"/>
          <w:sz w:val="18"/>
          <w:szCs w:val="18"/>
        </w:rPr>
        <w:t xml:space="preserve">richtlijn komt te vallen. </w:t>
      </w:r>
      <w:r w:rsidRPr="00FF46E3" w:rsidR="001A25FA">
        <w:rPr>
          <w:rFonts w:ascii="Verdana" w:hAnsi="Verdana"/>
          <w:sz w:val="18"/>
          <w:szCs w:val="18"/>
        </w:rPr>
        <w:t xml:space="preserve">Op basis hiervan hebben de verantwoordelijke departementen een raming opgenomen in hun begrotingen. Naar gelang de implementatie van </w:t>
      </w:r>
      <w:r w:rsidRPr="00FF46E3" w:rsidR="00606E4E">
        <w:rPr>
          <w:rFonts w:ascii="Verdana" w:hAnsi="Verdana"/>
          <w:sz w:val="18"/>
          <w:szCs w:val="18"/>
        </w:rPr>
        <w:t xml:space="preserve">de </w:t>
      </w:r>
      <w:proofErr w:type="spellStart"/>
      <w:r w:rsidRPr="00FF46E3" w:rsidR="00606E4E">
        <w:rPr>
          <w:rFonts w:ascii="Verdana" w:hAnsi="Verdana"/>
          <w:sz w:val="18"/>
          <w:szCs w:val="18"/>
        </w:rPr>
        <w:t>Cbw</w:t>
      </w:r>
      <w:proofErr w:type="spellEnd"/>
      <w:r w:rsidRPr="00FF46E3" w:rsidR="001A25FA">
        <w:rPr>
          <w:rFonts w:ascii="Verdana" w:hAnsi="Verdana"/>
          <w:sz w:val="18"/>
          <w:szCs w:val="18"/>
        </w:rPr>
        <w:t xml:space="preserve"> vordert kunnen meer betrouwbare ramingen worden gemaakt en bijstellingen nodig blijken te zijn.</w:t>
      </w:r>
      <w:r w:rsidRPr="00FF46E3" w:rsidR="00E17FB3">
        <w:rPr>
          <w:rFonts w:ascii="Verdana" w:hAnsi="Verdana"/>
          <w:sz w:val="18"/>
          <w:szCs w:val="18"/>
        </w:rPr>
        <w:t xml:space="preserve"> Bijvoorbeeld door voorgestelde wijzingen vanuit de consultatie</w:t>
      </w:r>
      <w:r w:rsidR="00DC7473">
        <w:rPr>
          <w:rFonts w:ascii="Verdana" w:hAnsi="Verdana"/>
          <w:sz w:val="18"/>
          <w:szCs w:val="18"/>
        </w:rPr>
        <w:t xml:space="preserve"> op de </w:t>
      </w:r>
      <w:proofErr w:type="spellStart"/>
      <w:r w:rsidR="00DC7473">
        <w:rPr>
          <w:rFonts w:ascii="Verdana" w:hAnsi="Verdana"/>
          <w:sz w:val="18"/>
          <w:szCs w:val="18"/>
        </w:rPr>
        <w:t>amvb</w:t>
      </w:r>
      <w:proofErr w:type="spellEnd"/>
      <w:r w:rsidRPr="00FF46E3" w:rsidR="00E17FB3">
        <w:rPr>
          <w:rFonts w:ascii="Verdana" w:hAnsi="Verdana"/>
          <w:sz w:val="18"/>
          <w:szCs w:val="18"/>
        </w:rPr>
        <w:t xml:space="preserve"> of een uitvoeringstoets.</w:t>
      </w:r>
    </w:p>
    <w:p w:rsidRPr="00FF46E3" w:rsidR="009049B9" w:rsidP="00592683" w:rsidRDefault="009049B9" w14:paraId="47D97054" w14:textId="77777777">
      <w:pPr>
        <w:pStyle w:val="Geenafstand"/>
        <w:rPr>
          <w:rFonts w:ascii="Verdana" w:hAnsi="Verdana"/>
          <w:b/>
          <w:bCs/>
          <w:sz w:val="18"/>
          <w:szCs w:val="18"/>
        </w:rPr>
      </w:pPr>
    </w:p>
    <w:p w:rsidRPr="00FF46E3" w:rsidR="0096220C" w:rsidP="00493EC7" w:rsidRDefault="009B6F2B" w14:paraId="36B8CB86" w14:textId="7C3DE3D4">
      <w:pPr>
        <w:pStyle w:val="Kop1"/>
      </w:pPr>
      <w:bookmarkStart w:name="_Toc198721139" w:id="201"/>
      <w:r w:rsidRPr="00FF46E3">
        <w:t>9</w:t>
      </w:r>
      <w:r w:rsidRPr="00FF46E3" w:rsidR="0096220C">
        <w:t>. Advie</w:t>
      </w:r>
      <w:r w:rsidR="00885EE2">
        <w:t>zen,</w:t>
      </w:r>
      <w:r w:rsidRPr="00FF46E3" w:rsidR="0096220C">
        <w:t xml:space="preserve"> consultatie</w:t>
      </w:r>
      <w:r w:rsidR="00885EE2">
        <w:t xml:space="preserve"> en uitvoerings</w:t>
      </w:r>
      <w:r w:rsidR="00622B38">
        <w:t>- en handhaafbaarheids</w:t>
      </w:r>
      <w:r w:rsidR="00885EE2">
        <w:t>toetsen</w:t>
      </w:r>
      <w:bookmarkEnd w:id="201"/>
    </w:p>
    <w:p w:rsidRPr="00FF46E3" w:rsidR="0096220C" w:rsidP="00DD28BC" w:rsidRDefault="0096220C" w14:paraId="3C1A261E" w14:textId="77777777">
      <w:pPr>
        <w:pStyle w:val="Geenafstand"/>
        <w:rPr>
          <w:rFonts w:ascii="Verdana" w:hAnsi="Verdana"/>
          <w:sz w:val="18"/>
          <w:szCs w:val="18"/>
        </w:rPr>
      </w:pPr>
    </w:p>
    <w:p w:rsidRPr="00FF46E3" w:rsidR="00A450AE" w:rsidP="00A450AE" w:rsidRDefault="00A450AE" w14:paraId="6415D9D2" w14:textId="77777777">
      <w:pPr>
        <w:pStyle w:val="Kop2"/>
      </w:pPr>
      <w:bookmarkStart w:name="_Toc198721140" w:id="202"/>
      <w:bookmarkStart w:name="_Hlk148604476" w:id="203"/>
      <w:r w:rsidRPr="00FF46E3">
        <w:t>9.1 Inleiding</w:t>
      </w:r>
      <w:bookmarkEnd w:id="202"/>
    </w:p>
    <w:p w:rsidRPr="00FF46E3" w:rsidR="00A450AE" w:rsidP="00A450AE" w:rsidRDefault="00A450AE" w14:paraId="35523C55" w14:textId="77777777">
      <w:pPr>
        <w:pStyle w:val="Geenafstand"/>
        <w:rPr>
          <w:rFonts w:ascii="Verdana" w:hAnsi="Verdana"/>
          <w:sz w:val="18"/>
          <w:szCs w:val="18"/>
        </w:rPr>
      </w:pPr>
    </w:p>
    <w:p w:rsidR="00A450AE" w:rsidP="00A450AE" w:rsidRDefault="00A450AE" w14:paraId="2EE16A10" w14:textId="3A99B885">
      <w:pPr>
        <w:pStyle w:val="Geenafstand"/>
        <w:rPr>
          <w:rFonts w:ascii="Verdana" w:hAnsi="Verdana"/>
          <w:sz w:val="18"/>
          <w:szCs w:val="18"/>
        </w:rPr>
      </w:pPr>
      <w:r w:rsidRPr="00FF46E3">
        <w:rPr>
          <w:rFonts w:ascii="Verdana" w:hAnsi="Verdana"/>
          <w:sz w:val="18"/>
          <w:szCs w:val="18"/>
        </w:rPr>
        <w:t xml:space="preserve">Een eerdere versie van dit wetsvoorstel </w:t>
      </w:r>
      <w:r w:rsidR="00520E3F">
        <w:rPr>
          <w:rFonts w:ascii="Verdana" w:hAnsi="Verdana"/>
          <w:sz w:val="18"/>
          <w:szCs w:val="18"/>
        </w:rPr>
        <w:t xml:space="preserve">is voor advies voorgelegd aan de </w:t>
      </w:r>
      <w:r w:rsidR="00173B13">
        <w:rPr>
          <w:rFonts w:ascii="Verdana" w:hAnsi="Verdana"/>
          <w:sz w:val="18"/>
          <w:szCs w:val="18"/>
        </w:rPr>
        <w:t>AP</w:t>
      </w:r>
      <w:r w:rsidR="00287F39">
        <w:rPr>
          <w:rFonts w:ascii="Verdana" w:hAnsi="Verdana"/>
          <w:sz w:val="18"/>
          <w:szCs w:val="18"/>
        </w:rPr>
        <w:t xml:space="preserve"> </w:t>
      </w:r>
      <w:r w:rsidR="00520E3F">
        <w:rPr>
          <w:rFonts w:ascii="Verdana" w:hAnsi="Verdana"/>
          <w:sz w:val="18"/>
          <w:szCs w:val="18"/>
        </w:rPr>
        <w:t xml:space="preserve">en het </w:t>
      </w:r>
      <w:r w:rsidRPr="00423871" w:rsidR="00520E3F">
        <w:rPr>
          <w:rFonts w:ascii="Verdana" w:hAnsi="Verdana"/>
          <w:sz w:val="18"/>
          <w:szCs w:val="18"/>
        </w:rPr>
        <w:t>Adviescollege toetsing regeldruk</w:t>
      </w:r>
      <w:r w:rsidR="00287F39">
        <w:rPr>
          <w:rFonts w:ascii="Verdana" w:hAnsi="Verdana"/>
          <w:sz w:val="18"/>
          <w:szCs w:val="18"/>
        </w:rPr>
        <w:t xml:space="preserve"> (hierna: ATR)</w:t>
      </w:r>
      <w:r w:rsidR="00520E3F">
        <w:rPr>
          <w:rFonts w:ascii="Verdana" w:hAnsi="Verdana"/>
          <w:sz w:val="18"/>
          <w:szCs w:val="18"/>
        </w:rPr>
        <w:t>,</w:t>
      </w:r>
      <w:r w:rsidRPr="00FF46E3">
        <w:rPr>
          <w:rFonts w:ascii="Verdana" w:hAnsi="Verdana"/>
          <w:sz w:val="18"/>
          <w:szCs w:val="18"/>
        </w:rPr>
        <w:t xml:space="preserve"> opengesteld voor consultatie op </w:t>
      </w:r>
      <w:hyperlink w:history="1" r:id="rId9">
        <w:r w:rsidRPr="003808E3" w:rsidR="003808E3">
          <w:rPr>
            <w:rStyle w:val="Hyperlink"/>
            <w:rFonts w:ascii="Verdana" w:hAnsi="Verdana"/>
            <w:sz w:val="18"/>
            <w:szCs w:val="18"/>
          </w:rPr>
          <w:t>www.internetconsultatie</w:t>
        </w:r>
        <w:r w:rsidRPr="00CD0700" w:rsidR="003808E3">
          <w:rPr>
            <w:rStyle w:val="Hyperlink"/>
            <w:rFonts w:ascii="Verdana" w:hAnsi="Verdana"/>
            <w:sz w:val="18"/>
            <w:szCs w:val="18"/>
          </w:rPr>
          <w:t>.nl</w:t>
        </w:r>
      </w:hyperlink>
      <w:r w:rsidRPr="00FF46E3">
        <w:rPr>
          <w:rFonts w:ascii="Verdana" w:hAnsi="Verdana"/>
          <w:sz w:val="18"/>
          <w:szCs w:val="18"/>
        </w:rPr>
        <w:t xml:space="preserve">. en voor commentaar toegezonden aan belangenorganisaties en entiteiten. </w:t>
      </w:r>
      <w:r w:rsidR="00885EE2">
        <w:rPr>
          <w:rFonts w:ascii="Verdana" w:hAnsi="Verdana"/>
          <w:sz w:val="18"/>
          <w:szCs w:val="18"/>
        </w:rPr>
        <w:t xml:space="preserve">Daarnaast hebben de betrokken vakdepartementen uitvoeringstoetsen laten uitvoeren op het wetsvoorstel. </w:t>
      </w:r>
      <w:r w:rsidRPr="00FF46E3">
        <w:rPr>
          <w:rFonts w:ascii="Verdana" w:hAnsi="Verdana"/>
          <w:sz w:val="18"/>
          <w:szCs w:val="18"/>
        </w:rPr>
        <w:t xml:space="preserve">Hieronder volgt een globale bespreking van de </w:t>
      </w:r>
      <w:r w:rsidR="00520E3F">
        <w:rPr>
          <w:rFonts w:ascii="Verdana" w:hAnsi="Verdana"/>
          <w:sz w:val="18"/>
          <w:szCs w:val="18"/>
        </w:rPr>
        <w:t>adviezen</w:t>
      </w:r>
      <w:r w:rsidR="00885EE2">
        <w:rPr>
          <w:rFonts w:ascii="Verdana" w:hAnsi="Verdana"/>
          <w:sz w:val="18"/>
          <w:szCs w:val="18"/>
        </w:rPr>
        <w:t>, de</w:t>
      </w:r>
      <w:r w:rsidR="00520E3F">
        <w:rPr>
          <w:rFonts w:ascii="Verdana" w:hAnsi="Verdana"/>
          <w:sz w:val="18"/>
          <w:szCs w:val="18"/>
        </w:rPr>
        <w:t xml:space="preserve"> </w:t>
      </w:r>
      <w:r w:rsidRPr="00FF46E3">
        <w:rPr>
          <w:rFonts w:ascii="Verdana" w:hAnsi="Verdana"/>
          <w:sz w:val="18"/>
          <w:szCs w:val="18"/>
        </w:rPr>
        <w:t>reacties</w:t>
      </w:r>
      <w:r w:rsidR="00885EE2">
        <w:rPr>
          <w:rFonts w:ascii="Verdana" w:hAnsi="Verdana"/>
          <w:sz w:val="18"/>
          <w:szCs w:val="18"/>
        </w:rPr>
        <w:t xml:space="preserve"> uit de consultatie en de beoordeling van de uitvoeringstoetsen</w:t>
      </w:r>
      <w:r w:rsidRPr="00FF46E3">
        <w:rPr>
          <w:rFonts w:ascii="Verdana" w:hAnsi="Verdana"/>
          <w:sz w:val="18"/>
          <w:szCs w:val="18"/>
        </w:rPr>
        <w:t>.</w:t>
      </w:r>
    </w:p>
    <w:p w:rsidRPr="00FF46E3" w:rsidR="00A450AE" w:rsidP="00A450AE" w:rsidRDefault="00A450AE" w14:paraId="18AEB1D8" w14:textId="77777777">
      <w:pPr>
        <w:pStyle w:val="Geenafstand"/>
        <w:rPr>
          <w:rFonts w:ascii="Verdana" w:hAnsi="Verdana"/>
          <w:sz w:val="18"/>
          <w:szCs w:val="18"/>
        </w:rPr>
      </w:pPr>
    </w:p>
    <w:p w:rsidR="00A450AE" w:rsidP="00A450AE" w:rsidRDefault="00A450AE" w14:paraId="00E970A2" w14:textId="77777777">
      <w:pPr>
        <w:pStyle w:val="Geenafstand"/>
        <w:rPr>
          <w:rFonts w:ascii="Verdana" w:hAnsi="Verdana"/>
          <w:sz w:val="18"/>
          <w:szCs w:val="18"/>
        </w:rPr>
      </w:pPr>
      <w:r w:rsidRPr="00FF46E3">
        <w:rPr>
          <w:rFonts w:ascii="Verdana" w:hAnsi="Verdana"/>
          <w:sz w:val="18"/>
          <w:szCs w:val="18"/>
        </w:rPr>
        <w:t>Waar de nummers van de besproken artikelen verschillen, worden de artikelen van die eerdere versie als volgt aangeduid: ([artikelnummer] oud).</w:t>
      </w:r>
    </w:p>
    <w:p w:rsidR="00C603BA" w:rsidP="00A450AE" w:rsidRDefault="00C603BA" w14:paraId="6C51A2C0" w14:textId="77777777">
      <w:pPr>
        <w:pStyle w:val="Geenafstand"/>
        <w:rPr>
          <w:rFonts w:ascii="Verdana" w:hAnsi="Verdana"/>
          <w:sz w:val="18"/>
          <w:szCs w:val="18"/>
        </w:rPr>
      </w:pPr>
    </w:p>
    <w:p w:rsidR="00C603BA" w:rsidP="00A450AE" w:rsidRDefault="00C603BA" w14:paraId="5871264A" w14:textId="77777777">
      <w:pPr>
        <w:pStyle w:val="Geenafstand"/>
        <w:rPr>
          <w:rFonts w:ascii="Verdana" w:hAnsi="Verdana"/>
          <w:sz w:val="18"/>
          <w:szCs w:val="18"/>
        </w:rPr>
      </w:pPr>
    </w:p>
    <w:p w:rsidR="00520E3F" w:rsidP="00A450AE" w:rsidRDefault="00520E3F" w14:paraId="11350B3D" w14:textId="77777777">
      <w:pPr>
        <w:pStyle w:val="Geenafstand"/>
        <w:rPr>
          <w:rFonts w:ascii="Verdana" w:hAnsi="Verdana"/>
          <w:sz w:val="18"/>
          <w:szCs w:val="18"/>
        </w:rPr>
      </w:pPr>
    </w:p>
    <w:p w:rsidRPr="00627CD8" w:rsidR="00627CD8" w:rsidP="00627CD8" w:rsidRDefault="00520E3F" w14:paraId="641CDC03" w14:textId="263311CA">
      <w:pPr>
        <w:pStyle w:val="Kop2"/>
      </w:pPr>
      <w:bookmarkStart w:name="_Toc198721141" w:id="204"/>
      <w:r w:rsidRPr="00FF46E3">
        <w:t>9.</w:t>
      </w:r>
      <w:r>
        <w:t>2</w:t>
      </w:r>
      <w:r w:rsidRPr="00FF46E3">
        <w:t xml:space="preserve"> Advies </w:t>
      </w:r>
      <w:r w:rsidR="00E42315">
        <w:t>AP</w:t>
      </w:r>
      <w:bookmarkEnd w:id="204"/>
    </w:p>
    <w:p w:rsidRPr="00FF46E3" w:rsidR="00520E3F" w:rsidP="00520E3F" w:rsidRDefault="00520E3F" w14:paraId="3C94F1D2" w14:textId="77777777">
      <w:pPr>
        <w:pStyle w:val="Geenafstand"/>
        <w:rPr>
          <w:rFonts w:ascii="Verdana" w:hAnsi="Verdana"/>
          <w:sz w:val="18"/>
          <w:szCs w:val="18"/>
        </w:rPr>
      </w:pPr>
    </w:p>
    <w:p w:rsidR="00520E3F" w:rsidP="00520E3F" w:rsidRDefault="00520E3F" w14:paraId="44BB3902" w14:textId="77777777">
      <w:pPr>
        <w:pStyle w:val="Geenafstand"/>
        <w:rPr>
          <w:rFonts w:ascii="Verdana" w:hAnsi="Verdana"/>
          <w:sz w:val="18"/>
          <w:szCs w:val="18"/>
        </w:rPr>
      </w:pPr>
      <w:r w:rsidRPr="00FF46E3">
        <w:rPr>
          <w:rFonts w:ascii="Verdana" w:hAnsi="Verdana"/>
          <w:sz w:val="18"/>
          <w:szCs w:val="18"/>
        </w:rPr>
        <w:t xml:space="preserve">De AP wijst in haar advies erop dat artikel 35, tweede lid, NIS2-richtlijn niet juist dan wel niet volledig is geïmplementeerd in het </w:t>
      </w:r>
      <w:proofErr w:type="spellStart"/>
      <w:r w:rsidRPr="00FF46E3">
        <w:rPr>
          <w:rFonts w:ascii="Verdana" w:hAnsi="Verdana"/>
          <w:sz w:val="18"/>
          <w:szCs w:val="18"/>
        </w:rPr>
        <w:t>concept-wetsvoorstel</w:t>
      </w:r>
      <w:proofErr w:type="spellEnd"/>
      <w:r w:rsidRPr="00FF46E3">
        <w:rPr>
          <w:rFonts w:ascii="Verdana" w:hAnsi="Verdana"/>
          <w:sz w:val="18"/>
          <w:szCs w:val="18"/>
        </w:rPr>
        <w:t xml:space="preserve">, zodat aanvulling van de wettekst en de toelichting op dit punt noodzakelijk is. Naar aanleiding van deze reactie van de AP is in artikel </w:t>
      </w:r>
      <w:r>
        <w:rPr>
          <w:rFonts w:ascii="Verdana" w:hAnsi="Verdana"/>
          <w:sz w:val="18"/>
          <w:szCs w:val="18"/>
        </w:rPr>
        <w:t>58</w:t>
      </w:r>
      <w:r w:rsidRPr="00FF46E3">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w:t>
      </w:r>
      <w:r w:rsidRPr="00FF46E3">
        <w:rPr>
          <w:rFonts w:ascii="Verdana" w:hAnsi="Verdana"/>
          <w:sz w:val="18"/>
          <w:szCs w:val="18"/>
        </w:rPr>
        <w:t xml:space="preserve">een derde lid ingevoegd ter implementatie van artikel 35, tweede lid, NIS2-richtlijn en is de artikelsgewijze toelichting op artikel </w:t>
      </w:r>
      <w:r>
        <w:rPr>
          <w:rFonts w:ascii="Verdana" w:hAnsi="Verdana"/>
          <w:sz w:val="18"/>
          <w:szCs w:val="18"/>
        </w:rPr>
        <w:t>58</w:t>
      </w:r>
      <w:r w:rsidRPr="00FF46E3">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w:t>
      </w:r>
      <w:r w:rsidRPr="00FF46E3">
        <w:rPr>
          <w:rFonts w:ascii="Verdana" w:hAnsi="Verdana"/>
          <w:sz w:val="18"/>
          <w:szCs w:val="18"/>
        </w:rPr>
        <w:t xml:space="preserve">op dit punt aangevuld. </w:t>
      </w:r>
    </w:p>
    <w:p w:rsidR="00520E3F" w:rsidP="00520E3F" w:rsidRDefault="00520E3F" w14:paraId="5D86D8CB" w14:textId="77777777">
      <w:pPr>
        <w:pStyle w:val="Geenafstand"/>
        <w:rPr>
          <w:rFonts w:ascii="Verdana" w:hAnsi="Verdana"/>
          <w:sz w:val="18"/>
          <w:szCs w:val="18"/>
        </w:rPr>
      </w:pPr>
    </w:p>
    <w:p w:rsidR="00186876" w:rsidP="00520E3F" w:rsidRDefault="00520E3F" w14:paraId="695AAFC3" w14:textId="3C415934">
      <w:pPr>
        <w:pStyle w:val="Geenafstand"/>
        <w:rPr>
          <w:rFonts w:ascii="Verdana" w:hAnsi="Verdana"/>
          <w:sz w:val="18"/>
          <w:szCs w:val="18"/>
        </w:rPr>
      </w:pPr>
      <w:r w:rsidRPr="00380D11">
        <w:rPr>
          <w:rFonts w:ascii="Verdana" w:hAnsi="Verdana"/>
          <w:sz w:val="18"/>
          <w:szCs w:val="18"/>
        </w:rPr>
        <w:t xml:space="preserve">Daarnaast concludeert de AP in haar advies dat – gelet op de vereisten </w:t>
      </w:r>
      <w:r w:rsidR="008F5E32">
        <w:rPr>
          <w:rFonts w:ascii="Verdana" w:hAnsi="Verdana"/>
          <w:sz w:val="18"/>
          <w:szCs w:val="18"/>
        </w:rPr>
        <w:t>uit</w:t>
      </w:r>
      <w:r w:rsidRPr="00380D11">
        <w:rPr>
          <w:rFonts w:ascii="Verdana" w:hAnsi="Verdana"/>
          <w:sz w:val="18"/>
          <w:szCs w:val="18"/>
        </w:rPr>
        <w:t xml:space="preserve"> de </w:t>
      </w:r>
      <w:proofErr w:type="spellStart"/>
      <w:r w:rsidRPr="00380D11">
        <w:rPr>
          <w:rFonts w:ascii="Verdana" w:hAnsi="Verdana"/>
          <w:sz w:val="18"/>
          <w:szCs w:val="18"/>
        </w:rPr>
        <w:t>Avg</w:t>
      </w:r>
      <w:proofErr w:type="spellEnd"/>
      <w:r w:rsidRPr="00380D11">
        <w:rPr>
          <w:rFonts w:ascii="Verdana" w:hAnsi="Verdana"/>
          <w:sz w:val="18"/>
          <w:szCs w:val="18"/>
        </w:rPr>
        <w:t xml:space="preserve"> – uit het wetsvoorstel niet blijkt welke persoonsgegevens uitgewisseld kunnen worden in het kader van de samenwerking tussen verschillende instanties als bedoeld in de artikelen 52, eerste en tweede lid, 53, 55, eerste lid, 56 en 57 </w:t>
      </w:r>
      <w:proofErr w:type="spellStart"/>
      <w:r w:rsidRPr="00380D11">
        <w:rPr>
          <w:rFonts w:ascii="Verdana" w:hAnsi="Verdana"/>
          <w:sz w:val="18"/>
          <w:szCs w:val="18"/>
        </w:rPr>
        <w:t>Cbw</w:t>
      </w:r>
      <w:proofErr w:type="spellEnd"/>
      <w:r w:rsidRPr="00380D11">
        <w:rPr>
          <w:rFonts w:ascii="Verdana" w:hAnsi="Verdana"/>
          <w:sz w:val="18"/>
          <w:szCs w:val="18"/>
        </w:rPr>
        <w:t xml:space="preserve"> </w:t>
      </w:r>
      <w:r w:rsidRPr="00380D11" w:rsidR="005507B0">
        <w:rPr>
          <w:rFonts w:ascii="Verdana" w:hAnsi="Verdana"/>
          <w:sz w:val="18"/>
          <w:szCs w:val="18"/>
        </w:rPr>
        <w:t xml:space="preserve">(oud) </w:t>
      </w:r>
      <w:r w:rsidRPr="00380D11">
        <w:rPr>
          <w:rFonts w:ascii="Verdana" w:hAnsi="Verdana"/>
          <w:sz w:val="18"/>
          <w:szCs w:val="18"/>
        </w:rPr>
        <w:t xml:space="preserve">dan wel dat een dwingende delegatiegrondslag ontbreekt om dit in nadere regelgeving te bepalen, terwijl dit wel noodzakelijk is. </w:t>
      </w:r>
      <w:r w:rsidRPr="00380D11" w:rsidR="00BE6773">
        <w:rPr>
          <w:rFonts w:ascii="Verdana" w:hAnsi="Verdana"/>
          <w:sz w:val="18"/>
          <w:szCs w:val="18"/>
        </w:rPr>
        <w:t xml:space="preserve">Dit advies wordt niet gevolgd. Voor een CSIRT is het </w:t>
      </w:r>
      <w:r w:rsidRPr="00380D11" w:rsidR="00380D11">
        <w:rPr>
          <w:rFonts w:ascii="Verdana" w:hAnsi="Verdana"/>
          <w:sz w:val="18"/>
          <w:szCs w:val="18"/>
        </w:rPr>
        <w:t xml:space="preserve">bijvoorbeeld </w:t>
      </w:r>
      <w:r w:rsidRPr="00380D11" w:rsidR="00BE6773">
        <w:rPr>
          <w:rFonts w:ascii="Verdana" w:hAnsi="Verdana"/>
          <w:sz w:val="18"/>
          <w:szCs w:val="18"/>
        </w:rPr>
        <w:t xml:space="preserve">niet mogelijk om van tevoren te zien welke persoonsgegevens zich bevinden in dreigings- en incidentinformatie. Daardoor is het niet mogelijk dit vooraf te identificeren. Door dit wel te specificeren kan dit een belemmering vormen voor de wettelijke taakuitvoering van </w:t>
      </w:r>
      <w:r w:rsidRPr="00380D11" w:rsidR="00380D11">
        <w:rPr>
          <w:rFonts w:ascii="Verdana" w:hAnsi="Verdana"/>
          <w:sz w:val="18"/>
          <w:szCs w:val="18"/>
        </w:rPr>
        <w:t>een</w:t>
      </w:r>
      <w:r w:rsidRPr="00380D11" w:rsidR="00BE6773">
        <w:rPr>
          <w:rFonts w:ascii="Verdana" w:hAnsi="Verdana"/>
          <w:sz w:val="18"/>
          <w:szCs w:val="18"/>
        </w:rPr>
        <w:t xml:space="preserve"> CSIRT.</w:t>
      </w:r>
    </w:p>
    <w:p w:rsidR="00186876" w:rsidP="00520E3F" w:rsidRDefault="00186876" w14:paraId="6B6FC0AB" w14:textId="77777777">
      <w:pPr>
        <w:pStyle w:val="Geenafstand"/>
        <w:rPr>
          <w:rFonts w:ascii="Verdana" w:hAnsi="Verdana"/>
          <w:sz w:val="18"/>
          <w:szCs w:val="18"/>
        </w:rPr>
      </w:pPr>
    </w:p>
    <w:p w:rsidR="00520E3F" w:rsidP="00520E3F" w:rsidRDefault="00520E3F" w14:paraId="1937C023" w14:textId="7C9ED0FB">
      <w:pPr>
        <w:pStyle w:val="Geenafstand"/>
        <w:rPr>
          <w:rFonts w:ascii="Verdana" w:hAnsi="Verdana"/>
          <w:sz w:val="18"/>
          <w:szCs w:val="18"/>
        </w:rPr>
      </w:pPr>
      <w:r>
        <w:rPr>
          <w:rFonts w:ascii="Verdana" w:hAnsi="Verdana"/>
          <w:sz w:val="18"/>
          <w:szCs w:val="18"/>
        </w:rPr>
        <w:t>Ten aanzien van bijzondere</w:t>
      </w:r>
      <w:r w:rsidR="00186876">
        <w:rPr>
          <w:rFonts w:ascii="Verdana" w:hAnsi="Verdana"/>
          <w:sz w:val="18"/>
          <w:szCs w:val="18"/>
        </w:rPr>
        <w:t xml:space="preserve"> categorieën van</w:t>
      </w:r>
      <w:r>
        <w:rPr>
          <w:rFonts w:ascii="Verdana" w:hAnsi="Verdana"/>
          <w:sz w:val="18"/>
          <w:szCs w:val="18"/>
        </w:rPr>
        <w:t xml:space="preserve"> persoonsgegevens wijst de AP op de noodzaak om bij </w:t>
      </w:r>
      <w:proofErr w:type="spellStart"/>
      <w:r>
        <w:rPr>
          <w:rFonts w:ascii="Verdana" w:hAnsi="Verdana"/>
          <w:sz w:val="18"/>
          <w:szCs w:val="18"/>
        </w:rPr>
        <w:t>amvb</w:t>
      </w:r>
      <w:proofErr w:type="spellEnd"/>
      <w:r>
        <w:rPr>
          <w:rFonts w:ascii="Verdana" w:hAnsi="Verdana"/>
          <w:sz w:val="18"/>
          <w:szCs w:val="18"/>
        </w:rPr>
        <w:t xml:space="preserve"> dwingend te bepalen welke categorieën van bijzondere persoonsgegevens verwerkt kunnen worden door het CSIRT </w:t>
      </w:r>
      <w:r w:rsidR="00186876">
        <w:rPr>
          <w:rFonts w:ascii="Verdana" w:hAnsi="Verdana"/>
          <w:sz w:val="18"/>
          <w:szCs w:val="18"/>
        </w:rPr>
        <w:t>en</w:t>
      </w:r>
      <w:r>
        <w:rPr>
          <w:rFonts w:ascii="Verdana" w:hAnsi="Verdana"/>
          <w:sz w:val="18"/>
          <w:szCs w:val="18"/>
        </w:rPr>
        <w:t xml:space="preserve"> de bevoegde autoriteit</w:t>
      </w:r>
      <w:r w:rsidR="00186876">
        <w:rPr>
          <w:rFonts w:ascii="Verdana" w:hAnsi="Verdana"/>
          <w:sz w:val="18"/>
          <w:szCs w:val="18"/>
        </w:rPr>
        <w:t>,</w:t>
      </w:r>
      <w:r>
        <w:rPr>
          <w:rFonts w:ascii="Verdana" w:hAnsi="Verdana"/>
          <w:sz w:val="18"/>
          <w:szCs w:val="18"/>
        </w:rPr>
        <w:t xml:space="preserve"> als dat noodzakelijk is voor hun taakuitoefening als bedoeld in </w:t>
      </w:r>
      <w:r w:rsidRPr="003E4FF2">
        <w:rPr>
          <w:rFonts w:ascii="Verdana" w:hAnsi="Verdana"/>
          <w:sz w:val="18"/>
          <w:szCs w:val="18"/>
        </w:rPr>
        <w:t xml:space="preserve">artikel 64a, tweede lid, </w:t>
      </w:r>
      <w:proofErr w:type="spellStart"/>
      <w:r w:rsidRPr="003E4FF2">
        <w:rPr>
          <w:rFonts w:ascii="Verdana" w:hAnsi="Verdana"/>
          <w:sz w:val="18"/>
          <w:szCs w:val="18"/>
        </w:rPr>
        <w:t>Cbw</w:t>
      </w:r>
      <w:proofErr w:type="spellEnd"/>
      <w:r w:rsidRPr="003E4FF2">
        <w:rPr>
          <w:rFonts w:ascii="Verdana" w:hAnsi="Verdana"/>
          <w:sz w:val="18"/>
          <w:szCs w:val="18"/>
        </w:rPr>
        <w:t xml:space="preserve">. </w:t>
      </w:r>
      <w:r w:rsidRPr="003E4FF2" w:rsidR="00F60355">
        <w:rPr>
          <w:rFonts w:ascii="Verdana" w:hAnsi="Verdana"/>
          <w:sz w:val="18"/>
          <w:szCs w:val="18"/>
        </w:rPr>
        <w:t>Naar aanleiding van dit advies is</w:t>
      </w:r>
      <w:r w:rsidRPr="003E4FF2">
        <w:rPr>
          <w:rFonts w:ascii="Verdana" w:hAnsi="Verdana"/>
          <w:sz w:val="18"/>
          <w:szCs w:val="18"/>
        </w:rPr>
        <w:t xml:space="preserve"> artikel </w:t>
      </w:r>
      <w:r w:rsidRPr="003E4FF2" w:rsidR="009956FD">
        <w:rPr>
          <w:rFonts w:ascii="Verdana" w:hAnsi="Verdana"/>
          <w:sz w:val="18"/>
          <w:szCs w:val="18"/>
        </w:rPr>
        <w:t xml:space="preserve">64 </w:t>
      </w:r>
      <w:proofErr w:type="spellStart"/>
      <w:r w:rsidRPr="003E4FF2">
        <w:rPr>
          <w:rFonts w:ascii="Verdana" w:hAnsi="Verdana"/>
          <w:sz w:val="18"/>
          <w:szCs w:val="18"/>
        </w:rPr>
        <w:t>Cbw</w:t>
      </w:r>
      <w:proofErr w:type="spellEnd"/>
      <w:r w:rsidRPr="003E4FF2">
        <w:rPr>
          <w:rFonts w:ascii="Verdana" w:hAnsi="Verdana"/>
          <w:sz w:val="18"/>
          <w:szCs w:val="18"/>
        </w:rPr>
        <w:t xml:space="preserve"> </w:t>
      </w:r>
      <w:r w:rsidRPr="003E4FF2" w:rsidR="009956FD">
        <w:rPr>
          <w:rFonts w:ascii="Verdana" w:hAnsi="Verdana"/>
          <w:sz w:val="18"/>
          <w:szCs w:val="18"/>
        </w:rPr>
        <w:t>(64a oud)</w:t>
      </w:r>
      <w:r w:rsidR="00622E9B">
        <w:rPr>
          <w:rFonts w:ascii="Verdana" w:hAnsi="Verdana"/>
          <w:sz w:val="18"/>
          <w:szCs w:val="18"/>
        </w:rPr>
        <w:t xml:space="preserve"> zodanig aangepast dat bij wet is bepaald welke categorieën van bijzondere persoonsgegevens verwerkt kunnen worden. </w:t>
      </w:r>
    </w:p>
    <w:p w:rsidR="00520E3F" w:rsidP="00520E3F" w:rsidRDefault="00520E3F" w14:paraId="0AD2B0C5" w14:textId="77777777">
      <w:pPr>
        <w:pStyle w:val="Geenafstand"/>
        <w:rPr>
          <w:rFonts w:ascii="Verdana" w:hAnsi="Verdana"/>
          <w:sz w:val="18"/>
          <w:szCs w:val="18"/>
        </w:rPr>
      </w:pPr>
    </w:p>
    <w:p w:rsidRPr="00EE0BD7" w:rsidR="00520E3F" w:rsidP="00520E3F" w:rsidRDefault="00520E3F" w14:paraId="1B25C66D" w14:textId="23F39470">
      <w:pPr>
        <w:pStyle w:val="Geenafstand"/>
        <w:rPr>
          <w:rFonts w:ascii="Verdana" w:hAnsi="Verdana"/>
          <w:sz w:val="18"/>
          <w:szCs w:val="18"/>
        </w:rPr>
      </w:pPr>
      <w:r>
        <w:rPr>
          <w:rFonts w:ascii="Verdana" w:hAnsi="Verdana"/>
          <w:sz w:val="18"/>
          <w:szCs w:val="18"/>
        </w:rPr>
        <w:t xml:space="preserve">Ten aanzien van bewaartermijnen acht de AP het wenselijk als dergelijke termijnen worden bepaald. Gelet op deze reactie is in artikel </w:t>
      </w:r>
      <w:r w:rsidR="009956FD">
        <w:rPr>
          <w:rFonts w:ascii="Verdana" w:hAnsi="Verdana"/>
          <w:sz w:val="18"/>
          <w:szCs w:val="18"/>
        </w:rPr>
        <w:t>65</w:t>
      </w:r>
      <w:r w:rsidR="00622E9B">
        <w:rPr>
          <w:rFonts w:ascii="Verdana" w:hAnsi="Verdana"/>
          <w:sz w:val="18"/>
          <w:szCs w:val="18"/>
        </w:rPr>
        <w:t>, eerste lid,</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een delegatiegrondslag opgenomen </w:t>
      </w:r>
      <w:r w:rsidRPr="00607D82">
        <w:rPr>
          <w:rFonts w:ascii="Verdana" w:hAnsi="Verdana"/>
          <w:sz w:val="18"/>
          <w:szCs w:val="18"/>
        </w:rPr>
        <w:t xml:space="preserve">om </w:t>
      </w:r>
      <w:r w:rsidRPr="00607D82" w:rsidR="00622E9B">
        <w:rPr>
          <w:rFonts w:ascii="Verdana" w:hAnsi="Verdana"/>
          <w:sz w:val="18"/>
          <w:szCs w:val="18"/>
        </w:rPr>
        <w:t xml:space="preserve">in lagere regelgeving </w:t>
      </w:r>
      <w:r w:rsidRPr="00607D82">
        <w:rPr>
          <w:rFonts w:ascii="Verdana" w:hAnsi="Verdana"/>
          <w:sz w:val="18"/>
          <w:szCs w:val="18"/>
        </w:rPr>
        <w:t>regels te stellen over de bewaartermijnen</w:t>
      </w:r>
      <w:r w:rsidR="00622E9B">
        <w:rPr>
          <w:rFonts w:ascii="Verdana" w:hAnsi="Verdana"/>
          <w:sz w:val="18"/>
          <w:szCs w:val="18"/>
        </w:rPr>
        <w:t xml:space="preserve"> van persoonsgegevens, niet zijnde bijzondere categorieën van persoonsgegevens</w:t>
      </w:r>
      <w:r w:rsidRPr="00607D82">
        <w:rPr>
          <w:rFonts w:ascii="Verdana" w:hAnsi="Verdana"/>
          <w:sz w:val="18"/>
          <w:szCs w:val="18"/>
        </w:rPr>
        <w:t>.</w:t>
      </w:r>
      <w:r w:rsidR="00622E9B">
        <w:rPr>
          <w:rFonts w:ascii="Verdana" w:hAnsi="Verdana"/>
          <w:sz w:val="18"/>
          <w:szCs w:val="18"/>
        </w:rPr>
        <w:t xml:space="preserve"> Ten aanzien van </w:t>
      </w:r>
      <w:r w:rsidR="001F172D">
        <w:rPr>
          <w:rFonts w:ascii="Verdana" w:hAnsi="Verdana"/>
          <w:sz w:val="18"/>
          <w:szCs w:val="18"/>
        </w:rPr>
        <w:t>de bijzondere categorieën van persoonsgegevens die door de bevoegde autoriteit worden verwerkt,</w:t>
      </w:r>
      <w:r w:rsidR="00622E9B">
        <w:rPr>
          <w:rFonts w:ascii="Verdana" w:hAnsi="Verdana"/>
          <w:sz w:val="18"/>
          <w:szCs w:val="18"/>
        </w:rPr>
        <w:t xml:space="preserve"> is in artikel 65,</w:t>
      </w:r>
      <w:r w:rsidR="00C42001">
        <w:rPr>
          <w:rFonts w:ascii="Verdana" w:hAnsi="Verdana"/>
          <w:sz w:val="18"/>
          <w:szCs w:val="18"/>
        </w:rPr>
        <w:t xml:space="preserve"> tweede lid, </w:t>
      </w:r>
      <w:proofErr w:type="spellStart"/>
      <w:r w:rsidR="00C42001">
        <w:rPr>
          <w:rFonts w:ascii="Verdana" w:hAnsi="Verdana"/>
          <w:sz w:val="18"/>
          <w:szCs w:val="18"/>
        </w:rPr>
        <w:t>Cbw</w:t>
      </w:r>
      <w:proofErr w:type="spellEnd"/>
      <w:r w:rsidR="00C42001">
        <w:rPr>
          <w:rFonts w:ascii="Verdana" w:hAnsi="Verdana"/>
          <w:sz w:val="18"/>
          <w:szCs w:val="18"/>
        </w:rPr>
        <w:t xml:space="preserve"> bepaald dat deze door de bevoegde autoriteit niet langer worden bewaard dan noodzakelijk voor de uitvoering van </w:t>
      </w:r>
      <w:r w:rsidR="005507B0">
        <w:rPr>
          <w:rFonts w:ascii="Verdana" w:hAnsi="Verdana"/>
          <w:sz w:val="18"/>
          <w:szCs w:val="18"/>
        </w:rPr>
        <w:t xml:space="preserve">haar </w:t>
      </w:r>
      <w:r w:rsidR="00C42001">
        <w:rPr>
          <w:rFonts w:ascii="Verdana" w:hAnsi="Verdana"/>
          <w:sz w:val="18"/>
          <w:szCs w:val="18"/>
        </w:rPr>
        <w:t xml:space="preserve">taken op grond van de </w:t>
      </w:r>
      <w:proofErr w:type="spellStart"/>
      <w:r w:rsidR="00C42001">
        <w:rPr>
          <w:rFonts w:ascii="Verdana" w:hAnsi="Verdana"/>
          <w:sz w:val="18"/>
          <w:szCs w:val="18"/>
        </w:rPr>
        <w:t>Cbw</w:t>
      </w:r>
      <w:proofErr w:type="spellEnd"/>
      <w:r w:rsidR="00C42001">
        <w:rPr>
          <w:rFonts w:ascii="Verdana" w:hAnsi="Verdana"/>
          <w:sz w:val="18"/>
          <w:szCs w:val="18"/>
        </w:rPr>
        <w:t xml:space="preserve">, doch uiterlijk binnen 60 maanden na de eerste verwerking worden verwijderd. </w:t>
      </w:r>
      <w:r w:rsidR="001F172D">
        <w:rPr>
          <w:rFonts w:ascii="Verdana" w:hAnsi="Verdana"/>
          <w:sz w:val="18"/>
          <w:szCs w:val="18"/>
        </w:rPr>
        <w:t xml:space="preserve">Ten aanzien van de bijzondere categorieën van persoonsgegevens die door het CSIRT worden verwerkt, is in artikel 65, derde lid, </w:t>
      </w:r>
      <w:proofErr w:type="spellStart"/>
      <w:r w:rsidR="001F172D">
        <w:rPr>
          <w:rFonts w:ascii="Verdana" w:hAnsi="Verdana"/>
          <w:sz w:val="18"/>
          <w:szCs w:val="18"/>
        </w:rPr>
        <w:t>Cbw</w:t>
      </w:r>
      <w:proofErr w:type="spellEnd"/>
      <w:r w:rsidR="001F172D">
        <w:rPr>
          <w:rFonts w:ascii="Verdana" w:hAnsi="Verdana"/>
          <w:sz w:val="18"/>
          <w:szCs w:val="18"/>
        </w:rPr>
        <w:t xml:space="preserve"> bepaald dat deze door het CSIRT niet langer worden bewaard dan noodzakelijk voor de uitvoering van </w:t>
      </w:r>
      <w:r w:rsidR="005507B0">
        <w:rPr>
          <w:rFonts w:ascii="Verdana" w:hAnsi="Verdana"/>
          <w:sz w:val="18"/>
          <w:szCs w:val="18"/>
        </w:rPr>
        <w:t xml:space="preserve">haar </w:t>
      </w:r>
      <w:r w:rsidR="001F172D">
        <w:rPr>
          <w:rFonts w:ascii="Verdana" w:hAnsi="Verdana"/>
          <w:sz w:val="18"/>
          <w:szCs w:val="18"/>
        </w:rPr>
        <w:t xml:space="preserve">taken op grond van de </w:t>
      </w:r>
      <w:proofErr w:type="spellStart"/>
      <w:r w:rsidR="001F172D">
        <w:rPr>
          <w:rFonts w:ascii="Verdana" w:hAnsi="Verdana"/>
          <w:sz w:val="18"/>
          <w:szCs w:val="18"/>
        </w:rPr>
        <w:t>Cbw</w:t>
      </w:r>
      <w:proofErr w:type="spellEnd"/>
      <w:r w:rsidR="001F172D">
        <w:rPr>
          <w:rFonts w:ascii="Verdana" w:hAnsi="Verdana"/>
          <w:sz w:val="18"/>
          <w:szCs w:val="18"/>
        </w:rPr>
        <w:t>, doch uiterlijk binnen 12 maanden na de eerste verwerking worden verwijderd.</w:t>
      </w:r>
      <w:r w:rsidR="00622E9B">
        <w:rPr>
          <w:rFonts w:ascii="Verdana" w:hAnsi="Verdana"/>
          <w:sz w:val="18"/>
          <w:szCs w:val="18"/>
        </w:rPr>
        <w:t xml:space="preserve"> </w:t>
      </w:r>
    </w:p>
    <w:p w:rsidR="008F0F83" w:rsidP="00520E3F" w:rsidRDefault="008F0F83" w14:paraId="1B09C818" w14:textId="338B8A28">
      <w:pPr>
        <w:pStyle w:val="Geenafstand"/>
        <w:rPr>
          <w:rFonts w:ascii="Verdana" w:hAnsi="Verdana"/>
          <w:sz w:val="18"/>
          <w:szCs w:val="18"/>
        </w:rPr>
      </w:pPr>
    </w:p>
    <w:p w:rsidRPr="00EE0BD7" w:rsidR="008F0F83" w:rsidP="00520E3F" w:rsidRDefault="008F0F83" w14:paraId="28F447E1" w14:textId="7BAB537E">
      <w:pPr>
        <w:pStyle w:val="Geenafstand"/>
        <w:rPr>
          <w:rFonts w:ascii="Verdana" w:hAnsi="Verdana"/>
          <w:sz w:val="18"/>
          <w:szCs w:val="18"/>
        </w:rPr>
      </w:pPr>
      <w:r w:rsidRPr="00EE0BD7">
        <w:rPr>
          <w:rFonts w:ascii="Verdana" w:hAnsi="Verdana"/>
          <w:sz w:val="18"/>
          <w:szCs w:val="18"/>
        </w:rPr>
        <w:t xml:space="preserve">Ook adviseert de AP om te definiëren wat wordt verstaan onder vertrouwelijke gegevens als bedoeld in artikel </w:t>
      </w:r>
      <w:r w:rsidR="009956FD">
        <w:rPr>
          <w:rFonts w:ascii="Verdana" w:hAnsi="Verdana"/>
          <w:sz w:val="18"/>
          <w:szCs w:val="18"/>
        </w:rPr>
        <w:t xml:space="preserve">66 </w:t>
      </w:r>
      <w:proofErr w:type="spellStart"/>
      <w:r w:rsidRPr="00EE0BD7">
        <w:rPr>
          <w:rFonts w:ascii="Verdana" w:hAnsi="Verdana"/>
          <w:sz w:val="18"/>
          <w:szCs w:val="18"/>
        </w:rPr>
        <w:t>Cbw</w:t>
      </w:r>
      <w:proofErr w:type="spellEnd"/>
      <w:r w:rsidR="009956FD">
        <w:rPr>
          <w:rFonts w:ascii="Verdana" w:hAnsi="Verdana"/>
          <w:sz w:val="18"/>
          <w:szCs w:val="18"/>
        </w:rPr>
        <w:t xml:space="preserve"> (</w:t>
      </w:r>
      <w:r w:rsidRPr="00EE0BD7" w:rsidR="009956FD">
        <w:rPr>
          <w:rFonts w:ascii="Verdana" w:hAnsi="Verdana"/>
          <w:sz w:val="18"/>
          <w:szCs w:val="18"/>
        </w:rPr>
        <w:t>65 oud)</w:t>
      </w:r>
      <w:r>
        <w:rPr>
          <w:rFonts w:ascii="Verdana" w:hAnsi="Verdana"/>
          <w:sz w:val="18"/>
          <w:szCs w:val="18"/>
        </w:rPr>
        <w:t>,</w:t>
      </w:r>
      <w:r w:rsidRPr="00EE0BD7">
        <w:rPr>
          <w:rFonts w:ascii="Verdana" w:hAnsi="Verdana"/>
          <w:sz w:val="18"/>
          <w:szCs w:val="18"/>
        </w:rPr>
        <w:t xml:space="preserve"> dan wel een grondslag op te nemen die dwingend voorschrijft om in gedelegeerde regelgeving te bepalen welke gegevens dit zijn. Dit advies wordt niet gevolgd. Door vertrouwelijke gegevens te definiëren is de kans aanzienlijk dat daarmee de NIS2-richtlijn onjuist of onvolledig wordt geïmplementeerd. De definitie zal immers een clausulering impliceren, terwijl de richtlijn die clausulering niet bevat of beoogd. Wel is naar aanleiding van dit advies </w:t>
      </w:r>
      <w:r>
        <w:rPr>
          <w:rFonts w:ascii="Verdana" w:hAnsi="Verdana"/>
          <w:sz w:val="18"/>
          <w:szCs w:val="18"/>
        </w:rPr>
        <w:t xml:space="preserve">de artikelsgewijze toelichting op artikel </w:t>
      </w:r>
      <w:r w:rsidR="009956FD">
        <w:rPr>
          <w:rFonts w:ascii="Verdana" w:hAnsi="Verdana"/>
          <w:sz w:val="18"/>
          <w:szCs w:val="18"/>
        </w:rPr>
        <w:t xml:space="preserve">66 </w:t>
      </w:r>
      <w:proofErr w:type="spellStart"/>
      <w:r>
        <w:rPr>
          <w:rFonts w:ascii="Verdana" w:hAnsi="Verdana"/>
          <w:sz w:val="18"/>
          <w:szCs w:val="18"/>
        </w:rPr>
        <w:t>Cbw</w:t>
      </w:r>
      <w:proofErr w:type="spellEnd"/>
      <w:r>
        <w:rPr>
          <w:rFonts w:ascii="Verdana" w:hAnsi="Verdana"/>
          <w:sz w:val="18"/>
          <w:szCs w:val="18"/>
        </w:rPr>
        <w:t>, waarin de context en enkele voorbeelden van vertrouwelijke gegevens staan, op punten aangescherpt</w:t>
      </w:r>
      <w:r w:rsidRPr="00EE0BD7">
        <w:rPr>
          <w:rFonts w:ascii="Verdana" w:hAnsi="Verdana"/>
          <w:sz w:val="18"/>
          <w:szCs w:val="18"/>
        </w:rPr>
        <w:t>.</w:t>
      </w:r>
    </w:p>
    <w:p w:rsidRPr="00EE0BD7" w:rsidR="00520E3F" w:rsidP="00520E3F" w:rsidRDefault="00520E3F" w14:paraId="34B983B1" w14:textId="77777777">
      <w:pPr>
        <w:pStyle w:val="Geenafstand"/>
        <w:rPr>
          <w:rFonts w:ascii="Verdana" w:hAnsi="Verdana"/>
          <w:sz w:val="18"/>
          <w:szCs w:val="18"/>
        </w:rPr>
      </w:pPr>
    </w:p>
    <w:p w:rsidRPr="00FF46E3" w:rsidR="00520E3F" w:rsidP="00520E3F" w:rsidRDefault="00520E3F" w14:paraId="4BFDF125" w14:textId="60B462AA">
      <w:pPr>
        <w:pStyle w:val="Kop2"/>
      </w:pPr>
      <w:bookmarkStart w:name="_Toc198721142" w:id="205"/>
      <w:r w:rsidRPr="00FF46E3">
        <w:t>9.</w:t>
      </w:r>
      <w:r>
        <w:t>3</w:t>
      </w:r>
      <w:r w:rsidRPr="00FF46E3">
        <w:t xml:space="preserve"> Advies </w:t>
      </w:r>
      <w:r w:rsidR="00E42315">
        <w:t>ATR</w:t>
      </w:r>
      <w:bookmarkEnd w:id="205"/>
    </w:p>
    <w:p w:rsidRPr="00FF46E3" w:rsidR="00520E3F" w:rsidP="00520E3F" w:rsidRDefault="00520E3F" w14:paraId="6818FC18" w14:textId="77777777">
      <w:pPr>
        <w:pStyle w:val="Geenafstand"/>
        <w:rPr>
          <w:rFonts w:ascii="Verdana" w:hAnsi="Verdana"/>
          <w:sz w:val="18"/>
          <w:szCs w:val="18"/>
        </w:rPr>
      </w:pPr>
    </w:p>
    <w:p w:rsidRPr="00FF46E3" w:rsidR="00520E3F" w:rsidP="00520E3F" w:rsidRDefault="00520E3F" w14:paraId="1D574192" w14:textId="2861BE1D">
      <w:pPr>
        <w:pStyle w:val="Geenafstand"/>
        <w:rPr>
          <w:rFonts w:ascii="Verdana" w:hAnsi="Verdana"/>
          <w:sz w:val="18"/>
          <w:szCs w:val="18"/>
        </w:rPr>
      </w:pPr>
      <w:bookmarkStart w:name="_Hlk173924943" w:id="206"/>
      <w:bookmarkStart w:name="_Hlk173924871" w:id="207"/>
      <w:r w:rsidRPr="00FF46E3">
        <w:rPr>
          <w:rFonts w:ascii="Verdana" w:hAnsi="Verdana"/>
          <w:sz w:val="18"/>
          <w:szCs w:val="18"/>
        </w:rPr>
        <w:t xml:space="preserve">Het ATR adviseert om het nut en noodzaak in de toelichting </w:t>
      </w:r>
      <w:r w:rsidR="006467C3">
        <w:rPr>
          <w:rFonts w:ascii="Verdana" w:hAnsi="Verdana"/>
          <w:sz w:val="18"/>
          <w:szCs w:val="18"/>
        </w:rPr>
        <w:t>op</w:t>
      </w:r>
      <w:r w:rsidRPr="00FF46E3" w:rsidR="006467C3">
        <w:rPr>
          <w:rFonts w:ascii="Verdana" w:hAnsi="Verdana"/>
          <w:sz w:val="18"/>
          <w:szCs w:val="18"/>
        </w:rPr>
        <w:t xml:space="preserve"> </w:t>
      </w:r>
      <w:r w:rsidRPr="00FF46E3">
        <w:rPr>
          <w:rFonts w:ascii="Verdana" w:hAnsi="Verdana"/>
          <w:sz w:val="18"/>
          <w:szCs w:val="18"/>
        </w:rPr>
        <w:t xml:space="preserve">het voorstel beter te onderbouwen door te verduidelijken waar en in welke mate de bestaande wetgeving tekort schiet op het punt van toegenomen dreigingen. </w:t>
      </w:r>
      <w:bookmarkEnd w:id="206"/>
      <w:r w:rsidRPr="00FF46E3">
        <w:rPr>
          <w:rFonts w:ascii="Verdana" w:hAnsi="Verdana"/>
          <w:sz w:val="18"/>
          <w:szCs w:val="18"/>
        </w:rPr>
        <w:t xml:space="preserve">Naar aanleiding hiervan is </w:t>
      </w:r>
      <w:r w:rsidR="00FB47B0">
        <w:rPr>
          <w:rFonts w:ascii="Verdana" w:hAnsi="Verdana"/>
          <w:sz w:val="18"/>
          <w:szCs w:val="18"/>
        </w:rPr>
        <w:t xml:space="preserve">punt 1 in </w:t>
      </w:r>
      <w:r w:rsidRPr="00FF46E3">
        <w:rPr>
          <w:rFonts w:ascii="Verdana" w:hAnsi="Verdana"/>
          <w:sz w:val="18"/>
          <w:szCs w:val="18"/>
        </w:rPr>
        <w:t xml:space="preserve">hoofdstuk 4 aangevuld. </w:t>
      </w:r>
    </w:p>
    <w:bookmarkEnd w:id="207"/>
    <w:p w:rsidRPr="00FF46E3" w:rsidR="00520E3F" w:rsidP="00520E3F" w:rsidRDefault="00520E3F" w14:paraId="377B48D1" w14:textId="77777777">
      <w:pPr>
        <w:pStyle w:val="Geenafstand"/>
        <w:rPr>
          <w:rFonts w:ascii="Verdana" w:hAnsi="Verdana"/>
          <w:sz w:val="18"/>
          <w:szCs w:val="18"/>
        </w:rPr>
      </w:pPr>
    </w:p>
    <w:p w:rsidRPr="00FF46E3" w:rsidR="00520E3F" w:rsidP="00520E3F" w:rsidRDefault="00520E3F" w14:paraId="0FA55E68" w14:textId="2080C0BE">
      <w:pPr>
        <w:pStyle w:val="Geenafstand"/>
        <w:rPr>
          <w:rFonts w:ascii="Verdana" w:hAnsi="Verdana"/>
          <w:sz w:val="18"/>
          <w:szCs w:val="18"/>
        </w:rPr>
      </w:pPr>
      <w:r w:rsidRPr="00FF46E3">
        <w:rPr>
          <w:rFonts w:ascii="Verdana" w:hAnsi="Verdana"/>
          <w:sz w:val="18"/>
          <w:szCs w:val="18"/>
        </w:rPr>
        <w:t xml:space="preserve">Het ATR adviseert om in de toelichting van de implementatiewetgeving te verduidelijken of, en zo ja, waar en waarom wordt gekozen voor zwaardere eisen dan de minimumeisen van de richtlijnen. Op dit moment is er geen aanleiding om te kiezen voor zwaardere eisen dan de minimumeisen van de richtlijn. Ook in de consultatiereacties zijn zorgen over het stellen van eventuele zwaardere eisen geuit. Naar aanleiding hiervan is de passage over mogelijke extra eisen onder </w:t>
      </w:r>
      <w:r w:rsidR="005A20EC">
        <w:rPr>
          <w:rFonts w:ascii="Verdana" w:hAnsi="Verdana"/>
          <w:sz w:val="18"/>
          <w:szCs w:val="18"/>
        </w:rPr>
        <w:t xml:space="preserve">de </w:t>
      </w:r>
      <w:r w:rsidRPr="00FF46E3">
        <w:rPr>
          <w:rFonts w:ascii="Verdana" w:hAnsi="Verdana"/>
          <w:sz w:val="18"/>
          <w:szCs w:val="18"/>
        </w:rPr>
        <w:t xml:space="preserve">zorgplicht </w:t>
      </w:r>
      <w:r w:rsidR="005A20EC">
        <w:rPr>
          <w:rFonts w:ascii="Verdana" w:hAnsi="Verdana"/>
          <w:sz w:val="18"/>
          <w:szCs w:val="18"/>
        </w:rPr>
        <w:t>in de paragraaf over de zorgplicht (thans paragraaf 5.2) verwijderd</w:t>
      </w:r>
      <w:r w:rsidRPr="00FF46E3">
        <w:rPr>
          <w:rFonts w:ascii="Verdana" w:hAnsi="Verdana"/>
          <w:sz w:val="18"/>
          <w:szCs w:val="18"/>
        </w:rPr>
        <w:t>.</w:t>
      </w:r>
    </w:p>
    <w:p w:rsidRPr="00FF46E3" w:rsidR="00520E3F" w:rsidP="00520E3F" w:rsidRDefault="00520E3F" w14:paraId="56238582" w14:textId="77777777">
      <w:pPr>
        <w:pStyle w:val="Geenafstand"/>
        <w:rPr>
          <w:rFonts w:ascii="Verdana" w:hAnsi="Verdana"/>
          <w:sz w:val="18"/>
          <w:szCs w:val="18"/>
        </w:rPr>
      </w:pPr>
    </w:p>
    <w:p w:rsidRPr="00FF46E3" w:rsidR="00520E3F" w:rsidP="00520E3F" w:rsidRDefault="00520E3F" w14:paraId="2BC5C23D" w14:textId="77F437AE">
      <w:pPr>
        <w:pStyle w:val="Geenafstand"/>
        <w:rPr>
          <w:rFonts w:ascii="Verdana" w:hAnsi="Verdana"/>
          <w:sz w:val="18"/>
          <w:szCs w:val="18"/>
        </w:rPr>
      </w:pPr>
      <w:r w:rsidRPr="00FF46E3">
        <w:rPr>
          <w:rFonts w:ascii="Verdana" w:hAnsi="Verdana"/>
          <w:sz w:val="18"/>
          <w:szCs w:val="18"/>
        </w:rPr>
        <w:t xml:space="preserve">Het ATR adviseert om een </w:t>
      </w:r>
      <w:r w:rsidR="00E600FF">
        <w:rPr>
          <w:rFonts w:ascii="Verdana" w:hAnsi="Verdana"/>
          <w:sz w:val="18"/>
          <w:szCs w:val="18"/>
        </w:rPr>
        <w:t>mkb</w:t>
      </w:r>
      <w:r w:rsidRPr="00FF46E3">
        <w:rPr>
          <w:rFonts w:ascii="Verdana" w:hAnsi="Verdana"/>
          <w:sz w:val="18"/>
          <w:szCs w:val="18"/>
        </w:rPr>
        <w:t xml:space="preserve">-toets uit te laten voeren voor de lagere regelgeving waarmee de verplichtingen nader worden uitgewerkt. Conform het advies van de ATR wordt een </w:t>
      </w:r>
      <w:r w:rsidR="00E600FF">
        <w:rPr>
          <w:rFonts w:ascii="Verdana" w:hAnsi="Verdana"/>
          <w:sz w:val="18"/>
          <w:szCs w:val="18"/>
        </w:rPr>
        <w:t>mkb</w:t>
      </w:r>
      <w:r w:rsidRPr="00FF46E3">
        <w:rPr>
          <w:rFonts w:ascii="Verdana" w:hAnsi="Verdana"/>
          <w:sz w:val="18"/>
          <w:szCs w:val="18"/>
        </w:rPr>
        <w:t>-toets uitgevoerd</w:t>
      </w:r>
      <w:r w:rsidR="00714BF6">
        <w:rPr>
          <w:rFonts w:ascii="Verdana" w:hAnsi="Verdana"/>
          <w:sz w:val="18"/>
          <w:szCs w:val="18"/>
        </w:rPr>
        <w:t xml:space="preserve"> op de </w:t>
      </w:r>
      <w:proofErr w:type="spellStart"/>
      <w:r w:rsidR="002E7D7D">
        <w:rPr>
          <w:rFonts w:ascii="Verdana" w:hAnsi="Verdana"/>
          <w:sz w:val="18"/>
          <w:szCs w:val="18"/>
        </w:rPr>
        <w:t>a</w:t>
      </w:r>
      <w:r w:rsidR="00714BF6">
        <w:rPr>
          <w:rFonts w:ascii="Verdana" w:hAnsi="Verdana"/>
          <w:sz w:val="18"/>
          <w:szCs w:val="18"/>
        </w:rPr>
        <w:t>mvb</w:t>
      </w:r>
      <w:proofErr w:type="spellEnd"/>
      <w:r w:rsidRPr="00FF46E3">
        <w:rPr>
          <w:rFonts w:ascii="Verdana" w:hAnsi="Verdana"/>
          <w:sz w:val="18"/>
          <w:szCs w:val="18"/>
        </w:rPr>
        <w:t>.</w:t>
      </w:r>
    </w:p>
    <w:p w:rsidRPr="00FF46E3" w:rsidR="00520E3F" w:rsidP="00520E3F" w:rsidRDefault="00520E3F" w14:paraId="5CB97B38" w14:textId="77777777">
      <w:pPr>
        <w:pStyle w:val="Geenafstand"/>
        <w:rPr>
          <w:rFonts w:ascii="Verdana" w:hAnsi="Verdana"/>
          <w:sz w:val="18"/>
          <w:szCs w:val="18"/>
        </w:rPr>
      </w:pPr>
    </w:p>
    <w:p w:rsidRPr="00FF46E3" w:rsidR="00520E3F" w:rsidP="00520E3F" w:rsidRDefault="00520E3F" w14:paraId="52B9041C" w14:textId="53557CFE">
      <w:pPr>
        <w:pStyle w:val="Geenafstand"/>
        <w:rPr>
          <w:rFonts w:ascii="Verdana" w:hAnsi="Verdana"/>
          <w:sz w:val="18"/>
          <w:szCs w:val="18"/>
        </w:rPr>
      </w:pPr>
      <w:r w:rsidRPr="00FF46E3">
        <w:rPr>
          <w:rFonts w:ascii="Verdana" w:hAnsi="Verdana"/>
          <w:sz w:val="18"/>
          <w:szCs w:val="18"/>
        </w:rPr>
        <w:t>Het ATR adviseert te waarborgen dat organisaties weten wat de verplichtingen precies inhouden en hoe die nageleefd moeten worden. E</w:t>
      </w:r>
      <w:r>
        <w:rPr>
          <w:rFonts w:ascii="Verdana" w:hAnsi="Verdana"/>
          <w:sz w:val="18"/>
          <w:szCs w:val="18"/>
        </w:rPr>
        <w:t>é</w:t>
      </w:r>
      <w:r w:rsidRPr="00FF46E3">
        <w:rPr>
          <w:rFonts w:ascii="Verdana" w:hAnsi="Verdana"/>
          <w:sz w:val="18"/>
          <w:szCs w:val="18"/>
        </w:rPr>
        <w:t xml:space="preserve">n van de uitgangspunten van de </w:t>
      </w:r>
      <w:r>
        <w:rPr>
          <w:rFonts w:ascii="Verdana" w:hAnsi="Verdana"/>
          <w:sz w:val="18"/>
          <w:szCs w:val="18"/>
        </w:rPr>
        <w:t xml:space="preserve">memorie van toelichting </w:t>
      </w:r>
      <w:r w:rsidR="006467C3">
        <w:rPr>
          <w:rFonts w:ascii="Verdana" w:hAnsi="Verdana"/>
          <w:sz w:val="18"/>
          <w:szCs w:val="18"/>
        </w:rPr>
        <w:t xml:space="preserve">op </w:t>
      </w:r>
      <w:r>
        <w:rPr>
          <w:rFonts w:ascii="Verdana" w:hAnsi="Verdana"/>
          <w:sz w:val="18"/>
          <w:szCs w:val="18"/>
        </w:rPr>
        <w:t>dit wetsvoorstel</w:t>
      </w:r>
      <w:r w:rsidRPr="00FF46E3">
        <w:rPr>
          <w:rFonts w:ascii="Verdana" w:hAnsi="Verdana"/>
          <w:sz w:val="18"/>
          <w:szCs w:val="18"/>
        </w:rPr>
        <w:t xml:space="preserve"> is dat de</w:t>
      </w:r>
      <w:r>
        <w:rPr>
          <w:rFonts w:ascii="Verdana" w:hAnsi="Verdana"/>
          <w:sz w:val="18"/>
          <w:szCs w:val="18"/>
        </w:rPr>
        <w:t>ze</w:t>
      </w:r>
      <w:r w:rsidRPr="00FF46E3">
        <w:rPr>
          <w:rFonts w:ascii="Verdana" w:hAnsi="Verdana"/>
          <w:sz w:val="18"/>
          <w:szCs w:val="18"/>
        </w:rPr>
        <w:t xml:space="preserve"> leesbaar en te begrijpen moet zijn voor entiteiten die nog onbekend zijn met cyberbeveiliging. </w:t>
      </w:r>
      <w:r>
        <w:rPr>
          <w:rFonts w:ascii="Verdana" w:hAnsi="Verdana"/>
          <w:sz w:val="18"/>
          <w:szCs w:val="18"/>
        </w:rPr>
        <w:t xml:space="preserve">Bij het opstellen daarvan is hier telkens aandacht aan besteed. </w:t>
      </w:r>
      <w:r w:rsidRPr="00FF46E3">
        <w:rPr>
          <w:rFonts w:ascii="Verdana" w:hAnsi="Verdana"/>
          <w:sz w:val="18"/>
          <w:szCs w:val="18"/>
        </w:rPr>
        <w:t xml:space="preserve">Daarnaast </w:t>
      </w:r>
      <w:r>
        <w:rPr>
          <w:rFonts w:ascii="Verdana" w:hAnsi="Verdana"/>
          <w:sz w:val="18"/>
          <w:szCs w:val="18"/>
        </w:rPr>
        <w:t>worden er</w:t>
      </w:r>
      <w:r w:rsidRPr="00FF46E3">
        <w:rPr>
          <w:rFonts w:ascii="Verdana" w:hAnsi="Verdana"/>
          <w:sz w:val="18"/>
          <w:szCs w:val="18"/>
        </w:rPr>
        <w:t xml:space="preserve"> handreikingen </w:t>
      </w:r>
      <w:r>
        <w:rPr>
          <w:rFonts w:ascii="Verdana" w:hAnsi="Verdana"/>
          <w:sz w:val="18"/>
          <w:szCs w:val="18"/>
        </w:rPr>
        <w:t xml:space="preserve">gepubliceerd </w:t>
      </w:r>
      <w:r w:rsidRPr="00FF46E3">
        <w:rPr>
          <w:rFonts w:ascii="Verdana" w:hAnsi="Verdana"/>
          <w:sz w:val="18"/>
          <w:szCs w:val="18"/>
        </w:rPr>
        <w:t>die begeleiding kunnen bieden in het implementeren van de verschillende vereisten die de</w:t>
      </w:r>
      <w:r>
        <w:rPr>
          <w:rFonts w:ascii="Verdana" w:hAnsi="Verdana"/>
          <w:sz w:val="18"/>
          <w:szCs w:val="18"/>
        </w:rPr>
        <w:t xml:space="preserve"> </w:t>
      </w:r>
      <w:proofErr w:type="spellStart"/>
      <w:r>
        <w:rPr>
          <w:rFonts w:ascii="Verdana" w:hAnsi="Verdana"/>
          <w:sz w:val="18"/>
          <w:szCs w:val="18"/>
        </w:rPr>
        <w:t>Cbw</w:t>
      </w:r>
      <w:proofErr w:type="spellEnd"/>
      <w:r w:rsidRPr="00FF46E3">
        <w:rPr>
          <w:rFonts w:ascii="Verdana" w:hAnsi="Verdana"/>
          <w:sz w:val="18"/>
          <w:szCs w:val="18"/>
        </w:rPr>
        <w:t xml:space="preserve"> bevat.</w:t>
      </w:r>
      <w:r w:rsidR="008265E7">
        <w:rPr>
          <w:rFonts w:ascii="Verdana" w:hAnsi="Verdana"/>
          <w:sz w:val="18"/>
          <w:szCs w:val="18"/>
        </w:rPr>
        <w:t xml:space="preserve"> </w:t>
      </w:r>
    </w:p>
    <w:p w:rsidRPr="00FF46E3" w:rsidR="00520E3F" w:rsidP="00520E3F" w:rsidRDefault="00520E3F" w14:paraId="1EDF8E2D" w14:textId="77777777">
      <w:pPr>
        <w:pStyle w:val="Geenafstand"/>
        <w:rPr>
          <w:rFonts w:ascii="Verdana" w:hAnsi="Verdana"/>
          <w:sz w:val="18"/>
          <w:szCs w:val="18"/>
        </w:rPr>
      </w:pPr>
    </w:p>
    <w:p w:rsidRPr="00FF46E3" w:rsidR="00520E3F" w:rsidP="00520E3F" w:rsidRDefault="00520E3F" w14:paraId="015E0C53" w14:textId="0214F1D2">
      <w:pPr>
        <w:pStyle w:val="Geenafstand"/>
        <w:rPr>
          <w:rFonts w:ascii="Verdana" w:hAnsi="Verdana"/>
          <w:sz w:val="18"/>
          <w:szCs w:val="18"/>
        </w:rPr>
      </w:pPr>
      <w:r w:rsidRPr="00642D90">
        <w:rPr>
          <w:rFonts w:ascii="Verdana" w:hAnsi="Verdana"/>
          <w:sz w:val="18"/>
          <w:szCs w:val="18"/>
        </w:rPr>
        <w:t>Het ATR adviseert om een jaar na</w:t>
      </w:r>
      <w:r w:rsidR="00E2402B">
        <w:rPr>
          <w:rFonts w:ascii="Verdana" w:hAnsi="Verdana"/>
          <w:sz w:val="18"/>
          <w:szCs w:val="18"/>
        </w:rPr>
        <w:t xml:space="preserve"> de</w:t>
      </w:r>
      <w:r w:rsidRPr="00642D90">
        <w:rPr>
          <w:rFonts w:ascii="Verdana" w:hAnsi="Verdana"/>
          <w:sz w:val="18"/>
          <w:szCs w:val="18"/>
        </w:rPr>
        <w:t xml:space="preserve"> inwerkingtreding van de</w:t>
      </w:r>
      <w:r w:rsidR="00E2402B">
        <w:rPr>
          <w:rFonts w:ascii="Verdana" w:hAnsi="Verdana"/>
          <w:sz w:val="18"/>
          <w:szCs w:val="18"/>
        </w:rPr>
        <w:t xml:space="preserve"> </w:t>
      </w:r>
      <w:proofErr w:type="spellStart"/>
      <w:r w:rsidR="00E2402B">
        <w:rPr>
          <w:rFonts w:ascii="Verdana" w:hAnsi="Verdana"/>
          <w:sz w:val="18"/>
          <w:szCs w:val="18"/>
        </w:rPr>
        <w:t>Cbw</w:t>
      </w:r>
      <w:proofErr w:type="spellEnd"/>
      <w:r w:rsidRPr="00642D90">
        <w:rPr>
          <w:rFonts w:ascii="Verdana" w:hAnsi="Verdana"/>
          <w:sz w:val="18"/>
          <w:szCs w:val="18"/>
        </w:rPr>
        <w:t xml:space="preserve"> een invoeringstoets uit te voeren.</w:t>
      </w:r>
      <w:r w:rsidRPr="00642D90" w:rsidR="0044006C">
        <w:rPr>
          <w:rFonts w:ascii="Verdana" w:hAnsi="Verdana"/>
          <w:sz w:val="18"/>
          <w:szCs w:val="18"/>
        </w:rPr>
        <w:t xml:space="preserve"> Naar aanleiding van dit advies is een evaluatiebepaling opgenomen in de </w:t>
      </w:r>
      <w:proofErr w:type="spellStart"/>
      <w:r w:rsidRPr="00642D90" w:rsidR="0044006C">
        <w:rPr>
          <w:rFonts w:ascii="Verdana" w:hAnsi="Verdana"/>
          <w:sz w:val="18"/>
          <w:szCs w:val="18"/>
        </w:rPr>
        <w:t>Cbw</w:t>
      </w:r>
      <w:proofErr w:type="spellEnd"/>
      <w:r w:rsidRPr="00642D90" w:rsidR="0044006C">
        <w:rPr>
          <w:rFonts w:ascii="Verdana" w:hAnsi="Verdana"/>
          <w:sz w:val="18"/>
          <w:szCs w:val="18"/>
        </w:rPr>
        <w:t xml:space="preserve"> (artikel </w:t>
      </w:r>
      <w:r w:rsidR="00F64E49">
        <w:rPr>
          <w:rFonts w:ascii="Verdana" w:hAnsi="Verdana"/>
          <w:sz w:val="18"/>
          <w:szCs w:val="18"/>
        </w:rPr>
        <w:t>94</w:t>
      </w:r>
      <w:r w:rsidRPr="00642D90" w:rsidR="00F64E49">
        <w:rPr>
          <w:rFonts w:ascii="Verdana" w:hAnsi="Verdana"/>
          <w:sz w:val="18"/>
          <w:szCs w:val="18"/>
        </w:rPr>
        <w:t xml:space="preserve"> </w:t>
      </w:r>
      <w:proofErr w:type="spellStart"/>
      <w:r w:rsidRPr="00642D90" w:rsidR="0044006C">
        <w:rPr>
          <w:rFonts w:ascii="Verdana" w:hAnsi="Verdana"/>
          <w:sz w:val="18"/>
          <w:szCs w:val="18"/>
        </w:rPr>
        <w:t>Cbw</w:t>
      </w:r>
      <w:proofErr w:type="spellEnd"/>
      <w:r w:rsidRPr="00642D90" w:rsidR="0044006C">
        <w:rPr>
          <w:rFonts w:ascii="Verdana" w:hAnsi="Verdana"/>
          <w:sz w:val="18"/>
          <w:szCs w:val="18"/>
        </w:rPr>
        <w:t>)</w:t>
      </w:r>
      <w:r w:rsidRPr="00642D90" w:rsidR="00614A01">
        <w:rPr>
          <w:rFonts w:ascii="Verdana" w:hAnsi="Verdana"/>
          <w:sz w:val="18"/>
          <w:szCs w:val="18"/>
        </w:rPr>
        <w:t>, met dien verstande dat niet is gekozen voor de door het ATR geadviseerde termijn van één jaar</w:t>
      </w:r>
      <w:r w:rsidRPr="00642D90" w:rsidR="0044006C">
        <w:rPr>
          <w:rFonts w:ascii="Verdana" w:hAnsi="Verdana"/>
          <w:sz w:val="18"/>
          <w:szCs w:val="18"/>
        </w:rPr>
        <w:t xml:space="preserve">. </w:t>
      </w:r>
      <w:r w:rsidR="00E2402B">
        <w:rPr>
          <w:rFonts w:ascii="Verdana" w:hAnsi="Verdana"/>
          <w:sz w:val="18"/>
          <w:szCs w:val="18"/>
        </w:rPr>
        <w:t xml:space="preserve">Kort na de </w:t>
      </w:r>
      <w:r w:rsidRPr="00E2402B" w:rsidR="00E2402B">
        <w:rPr>
          <w:rFonts w:ascii="Verdana" w:hAnsi="Verdana"/>
          <w:sz w:val="18"/>
          <w:szCs w:val="18"/>
        </w:rPr>
        <w:t xml:space="preserve">inwerkingtreding </w:t>
      </w:r>
      <w:r w:rsidR="00E2402B">
        <w:rPr>
          <w:rFonts w:ascii="Verdana" w:hAnsi="Verdana"/>
          <w:sz w:val="18"/>
          <w:szCs w:val="18"/>
        </w:rPr>
        <w:t xml:space="preserve">van de </w:t>
      </w:r>
      <w:proofErr w:type="spellStart"/>
      <w:r w:rsidR="00E2402B">
        <w:rPr>
          <w:rFonts w:ascii="Verdana" w:hAnsi="Verdana"/>
          <w:sz w:val="18"/>
          <w:szCs w:val="18"/>
        </w:rPr>
        <w:t>Cbw</w:t>
      </w:r>
      <w:proofErr w:type="spellEnd"/>
      <w:r w:rsidR="00E2402B">
        <w:rPr>
          <w:rFonts w:ascii="Verdana" w:hAnsi="Verdana"/>
          <w:sz w:val="18"/>
          <w:szCs w:val="18"/>
        </w:rPr>
        <w:t xml:space="preserve"> kan </w:t>
      </w:r>
      <w:r w:rsidRPr="00E2402B" w:rsidR="00E2402B">
        <w:rPr>
          <w:rFonts w:ascii="Verdana" w:hAnsi="Verdana"/>
          <w:sz w:val="18"/>
          <w:szCs w:val="18"/>
        </w:rPr>
        <w:t xml:space="preserve">nog geen diepgaand beeld </w:t>
      </w:r>
      <w:r w:rsidR="00E2402B">
        <w:rPr>
          <w:rFonts w:ascii="Verdana" w:hAnsi="Verdana"/>
          <w:sz w:val="18"/>
          <w:szCs w:val="18"/>
        </w:rPr>
        <w:t xml:space="preserve">worden gekregen </w:t>
      </w:r>
      <w:r w:rsidRPr="00E2402B" w:rsidR="00E2402B">
        <w:rPr>
          <w:rFonts w:ascii="Verdana" w:hAnsi="Verdana"/>
          <w:sz w:val="18"/>
          <w:szCs w:val="18"/>
        </w:rPr>
        <w:t xml:space="preserve">van de effecten van de wet, omdat er nog te weinig ervaring </w:t>
      </w:r>
      <w:r w:rsidR="00E2402B">
        <w:rPr>
          <w:rFonts w:ascii="Verdana" w:hAnsi="Verdana"/>
          <w:sz w:val="18"/>
          <w:szCs w:val="18"/>
        </w:rPr>
        <w:t xml:space="preserve">mee zal zijn </w:t>
      </w:r>
      <w:r w:rsidRPr="00E2402B" w:rsidR="00E2402B">
        <w:rPr>
          <w:rFonts w:ascii="Verdana" w:hAnsi="Verdana"/>
          <w:sz w:val="18"/>
          <w:szCs w:val="18"/>
        </w:rPr>
        <w:t xml:space="preserve">opgedaan en dus </w:t>
      </w:r>
      <w:r w:rsidR="00E2402B">
        <w:rPr>
          <w:rFonts w:ascii="Verdana" w:hAnsi="Verdana"/>
          <w:sz w:val="18"/>
          <w:szCs w:val="18"/>
        </w:rPr>
        <w:t xml:space="preserve">ook </w:t>
      </w:r>
      <w:r w:rsidRPr="00E2402B" w:rsidR="00E2402B">
        <w:rPr>
          <w:rFonts w:ascii="Verdana" w:hAnsi="Verdana"/>
          <w:sz w:val="18"/>
          <w:szCs w:val="18"/>
        </w:rPr>
        <w:t xml:space="preserve">geen gegevens kunnen worden geleverd. Daarom </w:t>
      </w:r>
      <w:r w:rsidR="00E2402B">
        <w:rPr>
          <w:rFonts w:ascii="Verdana" w:hAnsi="Verdana"/>
          <w:sz w:val="18"/>
          <w:szCs w:val="18"/>
        </w:rPr>
        <w:t>is</w:t>
      </w:r>
      <w:r w:rsidRPr="00E2402B" w:rsidR="00E2402B">
        <w:rPr>
          <w:rFonts w:ascii="Verdana" w:hAnsi="Verdana"/>
          <w:sz w:val="18"/>
          <w:szCs w:val="18"/>
        </w:rPr>
        <w:t xml:space="preserve"> gekozen voor een evaluatietermijn van vijf jaar. De evaluatie wordt om de vijf jaar herhaald. In de evaluatie van de </w:t>
      </w:r>
      <w:proofErr w:type="spellStart"/>
      <w:r w:rsidRPr="00E2402B" w:rsidR="00E2402B">
        <w:rPr>
          <w:rFonts w:ascii="Verdana" w:hAnsi="Verdana"/>
          <w:sz w:val="18"/>
          <w:szCs w:val="18"/>
        </w:rPr>
        <w:t>Cbw</w:t>
      </w:r>
      <w:proofErr w:type="spellEnd"/>
      <w:r w:rsidRPr="00E2402B" w:rsidR="00E2402B">
        <w:rPr>
          <w:rFonts w:ascii="Verdana" w:hAnsi="Verdana"/>
          <w:sz w:val="18"/>
          <w:szCs w:val="18"/>
        </w:rPr>
        <w:t xml:space="preserve"> wordt in ieder geval de werking van de </w:t>
      </w:r>
      <w:proofErr w:type="spellStart"/>
      <w:r w:rsidRPr="00E2402B" w:rsidR="00E2402B">
        <w:rPr>
          <w:rFonts w:ascii="Verdana" w:hAnsi="Verdana"/>
          <w:sz w:val="18"/>
          <w:szCs w:val="18"/>
        </w:rPr>
        <w:t>Cbw</w:t>
      </w:r>
      <w:proofErr w:type="spellEnd"/>
      <w:r w:rsidRPr="00E2402B" w:rsidR="00E2402B">
        <w:rPr>
          <w:rFonts w:ascii="Verdana" w:hAnsi="Verdana"/>
          <w:sz w:val="18"/>
          <w:szCs w:val="18"/>
        </w:rPr>
        <w:t xml:space="preserve"> in de praktijk, met bijzondere aandacht voor de gevolgen voor de doelgroep en de uitvoering, meegenomen.</w:t>
      </w:r>
    </w:p>
    <w:p w:rsidRPr="00FF46E3" w:rsidR="00520E3F" w:rsidP="00520E3F" w:rsidRDefault="00520E3F" w14:paraId="100B7391" w14:textId="77777777">
      <w:pPr>
        <w:pStyle w:val="Geenafstand"/>
        <w:rPr>
          <w:rFonts w:ascii="Verdana" w:hAnsi="Verdana"/>
          <w:sz w:val="18"/>
          <w:szCs w:val="18"/>
        </w:rPr>
      </w:pPr>
    </w:p>
    <w:p w:rsidRPr="00C47325" w:rsidR="00520E3F" w:rsidP="00520E3F" w:rsidRDefault="00520E3F" w14:paraId="225D49FC" w14:textId="4EC8C800">
      <w:pPr>
        <w:pStyle w:val="Geenafstand"/>
        <w:rPr>
          <w:rFonts w:ascii="Verdana" w:hAnsi="Verdana"/>
          <w:sz w:val="18"/>
          <w:szCs w:val="18"/>
        </w:rPr>
      </w:pPr>
      <w:r w:rsidRPr="00FF46E3">
        <w:rPr>
          <w:rFonts w:ascii="Verdana" w:hAnsi="Verdana"/>
          <w:sz w:val="18"/>
          <w:szCs w:val="18"/>
        </w:rPr>
        <w:t xml:space="preserve">Het ATR adviseert om inzicht te geven in de orde van grootte van de regeldrukgevolgen van die zaken die nog bij </w:t>
      </w:r>
      <w:proofErr w:type="spellStart"/>
      <w:r w:rsidRPr="00FF46E3">
        <w:rPr>
          <w:rFonts w:ascii="Verdana" w:hAnsi="Verdana"/>
          <w:sz w:val="18"/>
          <w:szCs w:val="18"/>
        </w:rPr>
        <w:t>amvb</w:t>
      </w:r>
      <w:proofErr w:type="spellEnd"/>
      <w:r w:rsidRPr="00FF46E3">
        <w:rPr>
          <w:rFonts w:ascii="Verdana" w:hAnsi="Verdana"/>
          <w:sz w:val="18"/>
          <w:szCs w:val="18"/>
        </w:rPr>
        <w:t xml:space="preserve"> worden geregeld. De NIS2-richtlijn wordt geïmplementeerd in de </w:t>
      </w:r>
      <w:proofErr w:type="spellStart"/>
      <w:r w:rsidRPr="00FF46E3">
        <w:rPr>
          <w:rFonts w:ascii="Verdana" w:hAnsi="Verdana"/>
          <w:sz w:val="18"/>
          <w:szCs w:val="18"/>
        </w:rPr>
        <w:t>Cbw</w:t>
      </w:r>
      <w:proofErr w:type="spellEnd"/>
      <w:r w:rsidRPr="00FF46E3">
        <w:rPr>
          <w:rFonts w:ascii="Verdana" w:hAnsi="Verdana"/>
          <w:sz w:val="18"/>
          <w:szCs w:val="18"/>
        </w:rPr>
        <w:t xml:space="preserve"> en </w:t>
      </w:r>
      <w:r>
        <w:rPr>
          <w:rFonts w:ascii="Verdana" w:hAnsi="Verdana"/>
          <w:sz w:val="18"/>
          <w:szCs w:val="18"/>
        </w:rPr>
        <w:t xml:space="preserve">in de </w:t>
      </w:r>
      <w:r w:rsidRPr="00FF46E3">
        <w:rPr>
          <w:rFonts w:ascii="Verdana" w:hAnsi="Verdana"/>
          <w:sz w:val="18"/>
          <w:szCs w:val="18"/>
        </w:rPr>
        <w:t>aan die wet onderliggende</w:t>
      </w:r>
      <w:r w:rsidRPr="00C47325">
        <w:rPr>
          <w:rFonts w:ascii="Verdana" w:hAnsi="Verdana"/>
          <w:sz w:val="18"/>
          <w:szCs w:val="18"/>
        </w:rPr>
        <w:t xml:space="preserve"> </w:t>
      </w:r>
      <w:proofErr w:type="spellStart"/>
      <w:r w:rsidRPr="00C47325">
        <w:rPr>
          <w:rFonts w:ascii="Verdana" w:hAnsi="Verdana"/>
          <w:sz w:val="18"/>
          <w:szCs w:val="18"/>
        </w:rPr>
        <w:t>amvb</w:t>
      </w:r>
      <w:proofErr w:type="spellEnd"/>
      <w:r w:rsidRPr="00C47325">
        <w:rPr>
          <w:rFonts w:ascii="Verdana" w:hAnsi="Verdana"/>
          <w:sz w:val="18"/>
          <w:szCs w:val="18"/>
        </w:rPr>
        <w:t xml:space="preserve">. </w:t>
      </w:r>
      <w:r>
        <w:rPr>
          <w:rFonts w:ascii="Verdana" w:hAnsi="Verdana"/>
          <w:sz w:val="18"/>
          <w:szCs w:val="18"/>
        </w:rPr>
        <w:t xml:space="preserve">In de nota van toelichting </w:t>
      </w:r>
      <w:r w:rsidR="006467C3">
        <w:rPr>
          <w:rFonts w:ascii="Verdana" w:hAnsi="Verdana"/>
          <w:sz w:val="18"/>
          <w:szCs w:val="18"/>
        </w:rPr>
        <w:t xml:space="preserve">op </w:t>
      </w:r>
      <w:r>
        <w:rPr>
          <w:rFonts w:ascii="Verdana" w:hAnsi="Verdana"/>
          <w:sz w:val="18"/>
          <w:szCs w:val="18"/>
        </w:rPr>
        <w:t xml:space="preserve">de </w:t>
      </w:r>
      <w:proofErr w:type="spellStart"/>
      <w:r>
        <w:rPr>
          <w:rFonts w:ascii="Verdana" w:hAnsi="Verdana"/>
          <w:sz w:val="18"/>
          <w:szCs w:val="18"/>
        </w:rPr>
        <w:t>amvb</w:t>
      </w:r>
      <w:proofErr w:type="spellEnd"/>
      <w:r>
        <w:rPr>
          <w:rFonts w:ascii="Verdana" w:hAnsi="Verdana"/>
          <w:sz w:val="18"/>
          <w:szCs w:val="18"/>
        </w:rPr>
        <w:t xml:space="preserve"> wordt ingegaan op de regeldrukkosten</w:t>
      </w:r>
      <w:r w:rsidRPr="00C47325">
        <w:rPr>
          <w:rFonts w:ascii="Verdana" w:hAnsi="Verdana"/>
          <w:sz w:val="18"/>
          <w:szCs w:val="18"/>
        </w:rPr>
        <w:t xml:space="preserve">. </w:t>
      </w:r>
    </w:p>
    <w:p w:rsidRPr="00C47325" w:rsidR="00520E3F" w:rsidP="00520E3F" w:rsidRDefault="00520E3F" w14:paraId="6FEC1263" w14:textId="77777777">
      <w:pPr>
        <w:pStyle w:val="Geenafstand"/>
        <w:rPr>
          <w:rFonts w:ascii="Verdana" w:hAnsi="Verdana"/>
          <w:sz w:val="18"/>
          <w:szCs w:val="18"/>
        </w:rPr>
      </w:pPr>
    </w:p>
    <w:p w:rsidRPr="00FF46E3" w:rsidR="00520E3F" w:rsidP="00A450AE" w:rsidRDefault="00520E3F" w14:paraId="6DBB797C" w14:textId="301D2D32">
      <w:pPr>
        <w:pStyle w:val="Geenafstand"/>
        <w:rPr>
          <w:rFonts w:ascii="Verdana" w:hAnsi="Verdana"/>
          <w:sz w:val="18"/>
          <w:szCs w:val="18"/>
        </w:rPr>
      </w:pPr>
      <w:r w:rsidRPr="00C47325">
        <w:rPr>
          <w:rFonts w:ascii="Verdana" w:hAnsi="Verdana"/>
          <w:sz w:val="18"/>
          <w:szCs w:val="18"/>
        </w:rPr>
        <w:t xml:space="preserve">Het ATR adviseert de beschrijving en de berekening van de regeldrukgevolgen aan te vullen met de nog ontbrekende elementen, conform de </w:t>
      </w:r>
      <w:proofErr w:type="spellStart"/>
      <w:r w:rsidRPr="00C47325">
        <w:rPr>
          <w:rFonts w:ascii="Verdana" w:hAnsi="Verdana"/>
          <w:sz w:val="18"/>
          <w:szCs w:val="18"/>
        </w:rPr>
        <w:t>Rijksbrede</w:t>
      </w:r>
      <w:proofErr w:type="spellEnd"/>
      <w:r w:rsidRPr="00C47325">
        <w:rPr>
          <w:rFonts w:ascii="Verdana" w:hAnsi="Verdana"/>
          <w:sz w:val="18"/>
          <w:szCs w:val="18"/>
        </w:rPr>
        <w:t xml:space="preserve"> methodiek.</w:t>
      </w:r>
    </w:p>
    <w:p w:rsidRPr="00FF46E3" w:rsidR="00A450AE" w:rsidP="00A450AE" w:rsidRDefault="00A450AE" w14:paraId="16929D11" w14:textId="77777777">
      <w:pPr>
        <w:pStyle w:val="Geenafstand"/>
        <w:rPr>
          <w:rFonts w:ascii="Verdana" w:hAnsi="Verdana"/>
          <w:sz w:val="18"/>
          <w:szCs w:val="18"/>
        </w:rPr>
      </w:pPr>
    </w:p>
    <w:p w:rsidRPr="00FF46E3" w:rsidR="00A450AE" w:rsidP="00A450AE" w:rsidRDefault="00A450AE" w14:paraId="11A06115" w14:textId="6A5BB0C7">
      <w:pPr>
        <w:pStyle w:val="Kop2"/>
      </w:pPr>
      <w:bookmarkStart w:name="_Toc198721143" w:id="208"/>
      <w:r w:rsidRPr="00FF46E3">
        <w:t>9.</w:t>
      </w:r>
      <w:r w:rsidR="00520E3F">
        <w:t>4</w:t>
      </w:r>
      <w:r w:rsidRPr="00FF46E3">
        <w:t xml:space="preserve"> Samenloop</w:t>
      </w:r>
      <w:bookmarkEnd w:id="208"/>
    </w:p>
    <w:p w:rsidRPr="00FF46E3" w:rsidR="00A450AE" w:rsidP="00A450AE" w:rsidRDefault="00A450AE" w14:paraId="50B921AE" w14:textId="77777777">
      <w:pPr>
        <w:pStyle w:val="Geenafstand"/>
        <w:rPr>
          <w:rFonts w:ascii="Verdana" w:hAnsi="Verdana"/>
          <w:i/>
          <w:iCs/>
          <w:sz w:val="18"/>
          <w:szCs w:val="18"/>
        </w:rPr>
      </w:pPr>
    </w:p>
    <w:p w:rsidRPr="00FF46E3" w:rsidR="00A450AE" w:rsidP="00A450AE" w:rsidRDefault="00A450AE" w14:paraId="6F1CBF37" w14:textId="080299B6">
      <w:pPr>
        <w:pStyle w:val="Geenafstand"/>
        <w:rPr>
          <w:rFonts w:ascii="Verdana" w:hAnsi="Verdana"/>
          <w:sz w:val="18"/>
          <w:szCs w:val="18"/>
        </w:rPr>
      </w:pPr>
      <w:r w:rsidRPr="00FF46E3">
        <w:rPr>
          <w:rFonts w:ascii="Verdana" w:hAnsi="Verdana"/>
          <w:sz w:val="18"/>
          <w:szCs w:val="18"/>
        </w:rPr>
        <w:t>In diverse consultatiereacties, waaronder die van de Vereniging van Nederlandse Gemeenten (hierna: VNG), wordt aandacht gevraagd voor entiteiten die onder meerdere sectoren vallen</w:t>
      </w:r>
      <w:r w:rsidR="003E236D">
        <w:rPr>
          <w:rFonts w:ascii="Verdana" w:hAnsi="Verdana"/>
          <w:sz w:val="18"/>
          <w:szCs w:val="18"/>
        </w:rPr>
        <w:t xml:space="preserve"> omdat zij voldoen aan meerdere definities uit de bijlage</w:t>
      </w:r>
      <w:r w:rsidR="000E2DA7">
        <w:rPr>
          <w:rFonts w:ascii="Verdana" w:hAnsi="Verdana"/>
          <w:sz w:val="18"/>
          <w:szCs w:val="18"/>
        </w:rPr>
        <w:t>n</w:t>
      </w:r>
      <w:r w:rsidR="003E236D">
        <w:rPr>
          <w:rFonts w:ascii="Verdana" w:hAnsi="Verdana"/>
          <w:sz w:val="18"/>
          <w:szCs w:val="18"/>
        </w:rPr>
        <w:t xml:space="preserve"> van de </w:t>
      </w:r>
      <w:proofErr w:type="spellStart"/>
      <w:r w:rsidR="003E236D">
        <w:rPr>
          <w:rFonts w:ascii="Verdana" w:hAnsi="Verdana"/>
          <w:sz w:val="18"/>
          <w:szCs w:val="18"/>
        </w:rPr>
        <w:t>Cbw</w:t>
      </w:r>
      <w:proofErr w:type="spellEnd"/>
      <w:r w:rsidRPr="00FF46E3">
        <w:rPr>
          <w:rFonts w:ascii="Verdana" w:hAnsi="Verdana"/>
          <w:sz w:val="18"/>
          <w:szCs w:val="18"/>
        </w:rPr>
        <w:t>.</w:t>
      </w:r>
      <w:r w:rsidR="003E236D">
        <w:rPr>
          <w:rFonts w:ascii="Verdana" w:hAnsi="Verdana"/>
          <w:sz w:val="18"/>
          <w:szCs w:val="18"/>
        </w:rPr>
        <w:t xml:space="preserve"> Dit kan betekenen dat entiteiten onder de verantwoordelijkheid vallen van verschillende ministers, en daarmee te maken kunnen krijgen met verschillende </w:t>
      </w:r>
      <w:proofErr w:type="spellStart"/>
      <w:r w:rsidR="003E236D">
        <w:rPr>
          <w:rFonts w:ascii="Verdana" w:hAnsi="Verdana"/>
          <w:sz w:val="18"/>
          <w:szCs w:val="18"/>
        </w:rPr>
        <w:t>CSIRT</w:t>
      </w:r>
      <w:r w:rsidR="0031005A">
        <w:rPr>
          <w:rFonts w:ascii="Verdana" w:hAnsi="Verdana"/>
          <w:sz w:val="18"/>
          <w:szCs w:val="18"/>
        </w:rPr>
        <w:t>’</w:t>
      </w:r>
      <w:r w:rsidR="003E236D">
        <w:rPr>
          <w:rFonts w:ascii="Verdana" w:hAnsi="Verdana"/>
          <w:sz w:val="18"/>
          <w:szCs w:val="18"/>
        </w:rPr>
        <w:t>s</w:t>
      </w:r>
      <w:proofErr w:type="spellEnd"/>
      <w:r w:rsidR="003E236D">
        <w:rPr>
          <w:rFonts w:ascii="Verdana" w:hAnsi="Verdana"/>
          <w:sz w:val="18"/>
          <w:szCs w:val="18"/>
        </w:rPr>
        <w:t xml:space="preserve">, toezichthouders en lagere regelgeving. In </w:t>
      </w:r>
      <w:r w:rsidR="00294B3D">
        <w:rPr>
          <w:rFonts w:ascii="Verdana" w:hAnsi="Verdana"/>
          <w:sz w:val="18"/>
          <w:szCs w:val="18"/>
        </w:rPr>
        <w:t>paragraaf</w:t>
      </w:r>
      <w:r w:rsidR="003E236D">
        <w:rPr>
          <w:rFonts w:ascii="Verdana" w:hAnsi="Verdana"/>
          <w:sz w:val="18"/>
          <w:szCs w:val="18"/>
        </w:rPr>
        <w:t xml:space="preserve"> </w:t>
      </w:r>
      <w:r w:rsidR="000A6CDA">
        <w:rPr>
          <w:rFonts w:ascii="Verdana" w:hAnsi="Verdana"/>
          <w:sz w:val="18"/>
          <w:szCs w:val="18"/>
        </w:rPr>
        <w:t>5.6.</w:t>
      </w:r>
      <w:r w:rsidR="00556DDC">
        <w:rPr>
          <w:rFonts w:ascii="Verdana" w:hAnsi="Verdana"/>
          <w:sz w:val="18"/>
          <w:szCs w:val="18"/>
        </w:rPr>
        <w:t>8</w:t>
      </w:r>
      <w:r w:rsidR="003E236D">
        <w:rPr>
          <w:rFonts w:ascii="Verdana" w:hAnsi="Verdana"/>
          <w:sz w:val="18"/>
          <w:szCs w:val="18"/>
        </w:rPr>
        <w:t xml:space="preserve"> is daarom opgenomen </w:t>
      </w:r>
      <w:r w:rsidR="00E236AF">
        <w:rPr>
          <w:rFonts w:ascii="Verdana" w:hAnsi="Verdana"/>
          <w:sz w:val="18"/>
          <w:szCs w:val="18"/>
        </w:rPr>
        <w:t>toezichthouders onderling werkafspraken maken om ervoor te zorgen dat zij doeltreffen</w:t>
      </w:r>
      <w:r w:rsidR="000E2DA7">
        <w:rPr>
          <w:rFonts w:ascii="Verdana" w:hAnsi="Verdana"/>
          <w:sz w:val="18"/>
          <w:szCs w:val="18"/>
        </w:rPr>
        <w:t>d</w:t>
      </w:r>
      <w:r w:rsidR="00E236AF">
        <w:rPr>
          <w:rFonts w:ascii="Verdana" w:hAnsi="Verdana"/>
          <w:sz w:val="18"/>
          <w:szCs w:val="18"/>
        </w:rPr>
        <w:t xml:space="preserve"> en doelmatig uitvoering geven aan hun taken. Eenzelfde passage is opgenomen voor </w:t>
      </w:r>
      <w:proofErr w:type="spellStart"/>
      <w:r w:rsidR="00E236AF">
        <w:rPr>
          <w:rFonts w:ascii="Verdana" w:hAnsi="Verdana"/>
          <w:sz w:val="18"/>
          <w:szCs w:val="18"/>
        </w:rPr>
        <w:t>CSIRT</w:t>
      </w:r>
      <w:r w:rsidR="0031005A">
        <w:rPr>
          <w:rFonts w:ascii="Verdana" w:hAnsi="Verdana"/>
          <w:sz w:val="18"/>
          <w:szCs w:val="18"/>
        </w:rPr>
        <w:t>’</w:t>
      </w:r>
      <w:r w:rsidR="00E236AF">
        <w:rPr>
          <w:rFonts w:ascii="Verdana" w:hAnsi="Verdana"/>
          <w:sz w:val="18"/>
          <w:szCs w:val="18"/>
        </w:rPr>
        <w:t>s</w:t>
      </w:r>
      <w:proofErr w:type="spellEnd"/>
      <w:r w:rsidR="00E236AF">
        <w:rPr>
          <w:rFonts w:ascii="Verdana" w:hAnsi="Verdana"/>
          <w:sz w:val="18"/>
          <w:szCs w:val="18"/>
        </w:rPr>
        <w:t>.</w:t>
      </w:r>
    </w:p>
    <w:p w:rsidRPr="00FF46E3" w:rsidR="00A450AE" w:rsidP="00A450AE" w:rsidRDefault="00A450AE" w14:paraId="0F696746" w14:textId="77777777">
      <w:pPr>
        <w:pStyle w:val="Geenafstand"/>
        <w:rPr>
          <w:rFonts w:ascii="Verdana" w:hAnsi="Verdana"/>
          <w:sz w:val="18"/>
          <w:szCs w:val="18"/>
        </w:rPr>
      </w:pPr>
    </w:p>
    <w:p w:rsidRPr="00FF46E3" w:rsidR="00A450AE" w:rsidP="00A450AE" w:rsidRDefault="00A450AE" w14:paraId="59ABA904" w14:textId="009078FF">
      <w:pPr>
        <w:pStyle w:val="Kop2"/>
      </w:pPr>
      <w:bookmarkStart w:name="_Toc198721144" w:id="209"/>
      <w:r w:rsidRPr="00FF46E3">
        <w:t>9.</w:t>
      </w:r>
      <w:r w:rsidR="00520E3F">
        <w:t>5</w:t>
      </w:r>
      <w:r w:rsidRPr="00FF46E3">
        <w:t xml:space="preserve"> Toepassingsbereik</w:t>
      </w:r>
      <w:bookmarkEnd w:id="209"/>
    </w:p>
    <w:p w:rsidRPr="00FF46E3" w:rsidR="00A450AE" w:rsidP="00A450AE" w:rsidRDefault="00A450AE" w14:paraId="297FEE53" w14:textId="77777777">
      <w:pPr>
        <w:pStyle w:val="Geenafstand"/>
        <w:rPr>
          <w:rFonts w:ascii="Verdana" w:hAnsi="Verdana"/>
          <w:sz w:val="18"/>
          <w:szCs w:val="18"/>
        </w:rPr>
      </w:pPr>
    </w:p>
    <w:p w:rsidRPr="00A450AE" w:rsidR="00A450AE" w:rsidP="00A450AE" w:rsidRDefault="00A450AE" w14:paraId="2BE6A0E6" w14:textId="77777777">
      <w:pPr>
        <w:pStyle w:val="Geenafstand"/>
        <w:rPr>
          <w:rFonts w:ascii="Verdana" w:hAnsi="Verdana"/>
          <w:i/>
          <w:iCs/>
          <w:sz w:val="18"/>
          <w:szCs w:val="18"/>
        </w:rPr>
      </w:pPr>
      <w:r w:rsidRPr="00FF46E3">
        <w:rPr>
          <w:rFonts w:ascii="Verdana" w:hAnsi="Verdana"/>
          <w:i/>
          <w:iCs/>
          <w:sz w:val="18"/>
          <w:szCs w:val="18"/>
        </w:rPr>
        <w:t>Algemeen</w:t>
      </w:r>
    </w:p>
    <w:p w:rsidRPr="00FF46E3" w:rsidR="00A450AE" w:rsidP="00A450AE" w:rsidRDefault="00A450AE" w14:paraId="49B75A9E" w14:textId="3A8044F1">
      <w:pPr>
        <w:pStyle w:val="Geenafstand"/>
        <w:rPr>
          <w:rFonts w:ascii="Verdana" w:hAnsi="Verdana"/>
          <w:sz w:val="18"/>
          <w:szCs w:val="18"/>
        </w:rPr>
      </w:pPr>
      <w:r w:rsidRPr="00FF46E3">
        <w:rPr>
          <w:rFonts w:ascii="Verdana" w:hAnsi="Verdana"/>
          <w:sz w:val="18"/>
          <w:szCs w:val="18"/>
        </w:rPr>
        <w:t xml:space="preserve">In de consultatie hebben verschillende </w:t>
      </w:r>
      <w:r w:rsidR="00C1500B">
        <w:rPr>
          <w:rFonts w:ascii="Verdana" w:hAnsi="Verdana"/>
          <w:sz w:val="18"/>
          <w:szCs w:val="18"/>
        </w:rPr>
        <w:t>organisaties</w:t>
      </w:r>
      <w:r w:rsidRPr="00FF46E3" w:rsidR="00C1500B">
        <w:rPr>
          <w:rFonts w:ascii="Verdana" w:hAnsi="Verdana"/>
          <w:sz w:val="18"/>
          <w:szCs w:val="18"/>
        </w:rPr>
        <w:t xml:space="preserve"> </w:t>
      </w:r>
      <w:r w:rsidRPr="00FF46E3">
        <w:rPr>
          <w:rFonts w:ascii="Verdana" w:hAnsi="Verdana"/>
          <w:sz w:val="18"/>
          <w:szCs w:val="18"/>
        </w:rPr>
        <w:t xml:space="preserve">gevraagd naar welke entiteiten er precies onder het toepassingsbereik van de </w:t>
      </w:r>
      <w:proofErr w:type="spellStart"/>
      <w:r w:rsidRPr="00FF46E3">
        <w:rPr>
          <w:rFonts w:ascii="Verdana" w:hAnsi="Verdana"/>
          <w:sz w:val="18"/>
          <w:szCs w:val="18"/>
        </w:rPr>
        <w:t>Cbw</w:t>
      </w:r>
      <w:proofErr w:type="spellEnd"/>
      <w:r w:rsidRPr="00FF46E3">
        <w:rPr>
          <w:rFonts w:ascii="Verdana" w:hAnsi="Verdana"/>
          <w:sz w:val="18"/>
          <w:szCs w:val="18"/>
        </w:rPr>
        <w:t xml:space="preserve"> vallen. </w:t>
      </w:r>
      <w:r w:rsidR="00800F0B">
        <w:rPr>
          <w:rFonts w:ascii="Verdana" w:hAnsi="Verdana"/>
          <w:sz w:val="18"/>
          <w:szCs w:val="18"/>
        </w:rPr>
        <w:t>De</w:t>
      </w:r>
      <w:r w:rsidRPr="00FF46E3">
        <w:rPr>
          <w:rFonts w:ascii="Verdana" w:hAnsi="Verdana"/>
          <w:sz w:val="18"/>
          <w:szCs w:val="18"/>
        </w:rPr>
        <w:t xml:space="preserve"> reactie hierop is als volgt. Deze memorie van toelichting kan alleen een algemene toelichting geven op het toepassingsbereik van de </w:t>
      </w:r>
      <w:proofErr w:type="spellStart"/>
      <w:r w:rsidRPr="00FF46E3">
        <w:rPr>
          <w:rFonts w:ascii="Verdana" w:hAnsi="Verdana"/>
          <w:sz w:val="18"/>
          <w:szCs w:val="18"/>
        </w:rPr>
        <w:t>Cbw</w:t>
      </w:r>
      <w:proofErr w:type="spellEnd"/>
      <w:r w:rsidRPr="00FF46E3">
        <w:rPr>
          <w:rFonts w:ascii="Verdana" w:hAnsi="Verdana"/>
          <w:sz w:val="18"/>
          <w:szCs w:val="18"/>
        </w:rPr>
        <w:t xml:space="preserve">; het is niet mogelijk om hier in te gaan op specifieke gevallen. </w:t>
      </w:r>
    </w:p>
    <w:p w:rsidRPr="00FF46E3" w:rsidR="00A450AE" w:rsidP="00A450AE" w:rsidRDefault="00A450AE" w14:paraId="1A1C28AE" w14:textId="77777777">
      <w:pPr>
        <w:pStyle w:val="Geenafstand"/>
        <w:rPr>
          <w:rFonts w:ascii="Verdana" w:hAnsi="Verdana"/>
          <w:sz w:val="18"/>
          <w:szCs w:val="18"/>
        </w:rPr>
      </w:pPr>
    </w:p>
    <w:p w:rsidRPr="000F058E" w:rsidR="00A450AE" w:rsidP="00A450AE" w:rsidRDefault="00A450AE" w14:paraId="4551676A" w14:textId="77777777">
      <w:pPr>
        <w:pStyle w:val="Geenafstand"/>
        <w:rPr>
          <w:rFonts w:ascii="Verdana" w:hAnsi="Verdana"/>
          <w:i/>
          <w:iCs/>
          <w:sz w:val="18"/>
          <w:szCs w:val="18"/>
        </w:rPr>
      </w:pPr>
      <w:r w:rsidRPr="00FF46E3">
        <w:rPr>
          <w:rFonts w:ascii="Verdana" w:hAnsi="Verdana"/>
          <w:i/>
          <w:iCs/>
          <w:sz w:val="18"/>
          <w:szCs w:val="18"/>
        </w:rPr>
        <w:t>Gemeenten en gemeenschappelijke regelingen</w:t>
      </w:r>
    </w:p>
    <w:p w:rsidRPr="00FF46E3" w:rsidR="00A450AE" w:rsidP="00A450AE" w:rsidRDefault="00A450AE" w14:paraId="5EF91CEE" w14:textId="251ECF8B">
      <w:pPr>
        <w:pStyle w:val="Geenafstand"/>
        <w:rPr>
          <w:rFonts w:ascii="Verdana" w:hAnsi="Verdana"/>
          <w:sz w:val="18"/>
          <w:szCs w:val="18"/>
        </w:rPr>
      </w:pPr>
      <w:r w:rsidRPr="00FF46E3">
        <w:rPr>
          <w:rFonts w:ascii="Verdana" w:hAnsi="Verdana"/>
          <w:sz w:val="18"/>
          <w:szCs w:val="18"/>
        </w:rPr>
        <w:t xml:space="preserve">Volgens </w:t>
      </w:r>
      <w:proofErr w:type="spellStart"/>
      <w:r w:rsidRPr="00FF46E3">
        <w:rPr>
          <w:rFonts w:ascii="Verdana" w:hAnsi="Verdana"/>
          <w:sz w:val="18"/>
          <w:szCs w:val="18"/>
        </w:rPr>
        <w:t>Omni</w:t>
      </w:r>
      <w:proofErr w:type="spellEnd"/>
      <w:r w:rsidRPr="00FF46E3">
        <w:rPr>
          <w:rFonts w:ascii="Verdana" w:hAnsi="Verdana"/>
          <w:sz w:val="18"/>
          <w:szCs w:val="18"/>
        </w:rPr>
        <w:t xml:space="preserve">-U Services B.V. </w:t>
      </w:r>
      <w:r w:rsidR="007A08F2">
        <w:rPr>
          <w:rFonts w:ascii="Verdana" w:hAnsi="Verdana"/>
          <w:sz w:val="18"/>
          <w:szCs w:val="18"/>
        </w:rPr>
        <w:t xml:space="preserve">(hierna: </w:t>
      </w:r>
      <w:proofErr w:type="spellStart"/>
      <w:r w:rsidR="007A08F2">
        <w:rPr>
          <w:rFonts w:ascii="Verdana" w:hAnsi="Verdana"/>
          <w:sz w:val="18"/>
          <w:szCs w:val="18"/>
        </w:rPr>
        <w:t>Omni</w:t>
      </w:r>
      <w:proofErr w:type="spellEnd"/>
      <w:r w:rsidR="007A08F2">
        <w:rPr>
          <w:rFonts w:ascii="Verdana" w:hAnsi="Verdana"/>
          <w:sz w:val="18"/>
          <w:szCs w:val="18"/>
        </w:rPr>
        <w:t xml:space="preserve">-U) </w:t>
      </w:r>
      <w:r w:rsidRPr="00FF46E3">
        <w:rPr>
          <w:rFonts w:ascii="Verdana" w:hAnsi="Verdana"/>
          <w:sz w:val="18"/>
          <w:szCs w:val="18"/>
        </w:rPr>
        <w:t xml:space="preserve">worden door de toevoeging van gemeenten en gemeenschappelijke regelingen aan bijlage 1 van de </w:t>
      </w:r>
      <w:proofErr w:type="spellStart"/>
      <w:r w:rsidRPr="00FF46E3">
        <w:rPr>
          <w:rFonts w:ascii="Verdana" w:hAnsi="Verdana"/>
          <w:sz w:val="18"/>
          <w:szCs w:val="18"/>
        </w:rPr>
        <w:t>Cbw</w:t>
      </w:r>
      <w:proofErr w:type="spellEnd"/>
      <w:r w:rsidRPr="00FF46E3">
        <w:rPr>
          <w:rFonts w:ascii="Verdana" w:hAnsi="Verdana"/>
          <w:sz w:val="18"/>
          <w:szCs w:val="18"/>
        </w:rPr>
        <w:t xml:space="preserve">, gemeenten bestempeld als essentiële entiteit terwijl dat uit de NIS2-richtlijn niet zou blijken. Bovendien lijkt artikel 8, eerste lid, onderdeel h, </w:t>
      </w:r>
      <w:proofErr w:type="spellStart"/>
      <w:r w:rsidRPr="00FF46E3">
        <w:rPr>
          <w:rFonts w:ascii="Verdana" w:hAnsi="Verdana"/>
          <w:sz w:val="18"/>
          <w:szCs w:val="18"/>
        </w:rPr>
        <w:t>Cbw</w:t>
      </w:r>
      <w:proofErr w:type="spellEnd"/>
      <w:r w:rsidRPr="00FF46E3">
        <w:rPr>
          <w:rFonts w:ascii="Verdana" w:hAnsi="Verdana"/>
          <w:sz w:val="18"/>
          <w:szCs w:val="18"/>
        </w:rPr>
        <w:t xml:space="preserve"> in strijd te zijn met artikel 3, eerste lid, NIS2-richtlijn, waaruit zou volgen dat alleen de centrale overheid en grote regionale overheden als essentiële entiteiten worden bestempeld. De organisatie stelt dat andere overheidsentiteiten daarmee als belangrijk zouden moeten worden geclassificeerd, onder verwijzing naar artikel 3, tweede lid, NIS2-richtlijn. </w:t>
      </w:r>
      <w:r w:rsidR="00800F0B">
        <w:rPr>
          <w:rFonts w:ascii="Verdana" w:hAnsi="Verdana"/>
          <w:sz w:val="18"/>
          <w:szCs w:val="18"/>
        </w:rPr>
        <w:t>Hierover wordt het volgende toegelicht.</w:t>
      </w:r>
      <w:r w:rsidRPr="00FF46E3">
        <w:rPr>
          <w:rFonts w:ascii="Verdana" w:hAnsi="Verdana"/>
          <w:sz w:val="18"/>
          <w:szCs w:val="18"/>
        </w:rPr>
        <w:t xml:space="preserve"> Hoewel gemeenten en gemeenschappelijke regelingen niet in de bijlagen van de NIS2-richtlijn staan, zijn deze wel toegevoegd aan bijlage 1 van de </w:t>
      </w:r>
      <w:proofErr w:type="spellStart"/>
      <w:r w:rsidRPr="00FF46E3">
        <w:rPr>
          <w:rFonts w:ascii="Verdana" w:hAnsi="Verdana"/>
          <w:sz w:val="18"/>
          <w:szCs w:val="18"/>
        </w:rPr>
        <w:t>Cbw</w:t>
      </w:r>
      <w:proofErr w:type="spellEnd"/>
      <w:r w:rsidRPr="00FF46E3">
        <w:rPr>
          <w:rFonts w:ascii="Verdana" w:hAnsi="Verdana"/>
          <w:sz w:val="18"/>
          <w:szCs w:val="18"/>
        </w:rPr>
        <w:t>, omdat gebruik is gemaakt van de in artikel 2, vijfde lid, onderdeel a, NIS2-richtlijn opgenomen mogelijkheid voor lidstaten om overheidsinstanties op lokaal niveau onder het toepassingsbereik van de NIS2-richtlijn te plaatsen. De richtlijn schrijft niet voor of zulke overheidsinstanties als essentiële entiteit of als belangrijke entiteit aangemerkt moeten worden. De lidstaten hebben daarin dus beleidsruimte.</w:t>
      </w:r>
      <w:r w:rsidR="00C1500B">
        <w:rPr>
          <w:rFonts w:ascii="Verdana" w:hAnsi="Verdana"/>
          <w:sz w:val="18"/>
          <w:szCs w:val="18"/>
        </w:rPr>
        <w:t xml:space="preserve"> </w:t>
      </w:r>
      <w:r w:rsidRPr="00C1500B" w:rsidR="00C1500B">
        <w:rPr>
          <w:rFonts w:ascii="Verdana" w:hAnsi="Verdana"/>
          <w:sz w:val="18"/>
          <w:szCs w:val="18"/>
        </w:rPr>
        <w:t>Deze overheidsinstanties leveren diensten die vallen onder andere essentiële sectoren uit</w:t>
      </w:r>
      <w:r w:rsidR="008D57CE">
        <w:rPr>
          <w:rFonts w:ascii="Verdana" w:hAnsi="Verdana"/>
          <w:sz w:val="18"/>
          <w:szCs w:val="18"/>
        </w:rPr>
        <w:t xml:space="preserve"> de</w:t>
      </w:r>
      <w:r w:rsidRPr="00C1500B" w:rsidR="00C1500B">
        <w:rPr>
          <w:rFonts w:ascii="Verdana" w:hAnsi="Verdana"/>
          <w:sz w:val="18"/>
          <w:szCs w:val="18"/>
        </w:rPr>
        <w:t xml:space="preserve"> bijlage</w:t>
      </w:r>
      <w:r w:rsidR="008D57CE">
        <w:rPr>
          <w:rFonts w:ascii="Verdana" w:hAnsi="Verdana"/>
          <w:sz w:val="18"/>
          <w:szCs w:val="18"/>
        </w:rPr>
        <w:t xml:space="preserve"> van de NIS2-richtlijn</w:t>
      </w:r>
      <w:r w:rsidRPr="00C1500B" w:rsidR="00C1500B">
        <w:rPr>
          <w:rFonts w:ascii="Verdana" w:hAnsi="Verdana"/>
          <w:sz w:val="18"/>
          <w:szCs w:val="18"/>
        </w:rPr>
        <w:t xml:space="preserve">, daarmee </w:t>
      </w:r>
      <w:r w:rsidR="00494FF1">
        <w:rPr>
          <w:rFonts w:ascii="Verdana" w:hAnsi="Verdana"/>
          <w:sz w:val="18"/>
          <w:szCs w:val="18"/>
        </w:rPr>
        <w:t xml:space="preserve">worden zij </w:t>
      </w:r>
      <w:r w:rsidRPr="00C1500B" w:rsidR="00C1500B">
        <w:rPr>
          <w:rFonts w:ascii="Verdana" w:hAnsi="Verdana"/>
          <w:sz w:val="18"/>
          <w:szCs w:val="18"/>
        </w:rPr>
        <w:t>als essentiële entiteiten aangemerkt.</w:t>
      </w:r>
      <w:r w:rsidR="0095498E">
        <w:rPr>
          <w:rFonts w:ascii="Verdana" w:hAnsi="Verdana"/>
          <w:sz w:val="18"/>
          <w:szCs w:val="18"/>
        </w:rPr>
        <w:t xml:space="preserve"> </w:t>
      </w:r>
      <w:r w:rsidRPr="00FF46E3">
        <w:rPr>
          <w:rFonts w:ascii="Verdana" w:hAnsi="Verdana"/>
          <w:sz w:val="18"/>
          <w:szCs w:val="18"/>
        </w:rPr>
        <w:t>In paragraaf 5.1.</w:t>
      </w:r>
      <w:r w:rsidR="008D57CE">
        <w:rPr>
          <w:rFonts w:ascii="Verdana" w:hAnsi="Verdana"/>
          <w:sz w:val="18"/>
          <w:szCs w:val="18"/>
        </w:rPr>
        <w:t>2</w:t>
      </w:r>
      <w:r w:rsidRPr="00FF46E3">
        <w:rPr>
          <w:rFonts w:ascii="Verdana" w:hAnsi="Verdana"/>
          <w:sz w:val="18"/>
          <w:szCs w:val="18"/>
        </w:rPr>
        <w:t xml:space="preserve"> is</w:t>
      </w:r>
      <w:r w:rsidR="0005795C">
        <w:rPr>
          <w:rFonts w:ascii="Verdana" w:hAnsi="Verdana"/>
          <w:sz w:val="18"/>
          <w:szCs w:val="18"/>
        </w:rPr>
        <w:t xml:space="preserve"> nader</w:t>
      </w:r>
      <w:r w:rsidRPr="00FF46E3">
        <w:rPr>
          <w:rFonts w:ascii="Verdana" w:hAnsi="Verdana"/>
          <w:sz w:val="18"/>
          <w:szCs w:val="18"/>
        </w:rPr>
        <w:t xml:space="preserve"> toegelicht waarom de keuze is gemaakt om deze overheidsinstanties aan te merken als essentiële entiteit. </w:t>
      </w:r>
    </w:p>
    <w:p w:rsidRPr="00FF46E3" w:rsidR="00A450AE" w:rsidP="00A450AE" w:rsidRDefault="00A450AE" w14:paraId="15D7C4FC" w14:textId="77777777">
      <w:pPr>
        <w:pStyle w:val="Geenafstand"/>
        <w:rPr>
          <w:rFonts w:ascii="Verdana" w:hAnsi="Verdana"/>
          <w:sz w:val="18"/>
          <w:szCs w:val="18"/>
        </w:rPr>
      </w:pPr>
    </w:p>
    <w:p w:rsidRPr="000F058E" w:rsidR="00A450AE" w:rsidP="00A450AE" w:rsidRDefault="00A450AE" w14:paraId="11ACA7F4" w14:textId="77777777">
      <w:pPr>
        <w:pStyle w:val="Geenafstand"/>
        <w:rPr>
          <w:rFonts w:ascii="Verdana" w:hAnsi="Verdana"/>
          <w:i/>
          <w:iCs/>
          <w:sz w:val="18"/>
          <w:szCs w:val="18"/>
        </w:rPr>
      </w:pPr>
      <w:r w:rsidRPr="000F058E">
        <w:rPr>
          <w:rFonts w:ascii="Verdana" w:hAnsi="Verdana"/>
          <w:i/>
          <w:iCs/>
          <w:sz w:val="18"/>
          <w:szCs w:val="18"/>
        </w:rPr>
        <w:t>Onderzoeksorganisaties</w:t>
      </w:r>
    </w:p>
    <w:p w:rsidRPr="00FF46E3" w:rsidR="00A450AE" w:rsidP="00A450AE" w:rsidRDefault="00A450AE" w14:paraId="27B3FC28" w14:textId="66AEF8F6">
      <w:pPr>
        <w:pStyle w:val="Geenafstand"/>
        <w:rPr>
          <w:rFonts w:ascii="Verdana" w:hAnsi="Verdana"/>
          <w:sz w:val="18"/>
          <w:szCs w:val="18"/>
        </w:rPr>
      </w:pPr>
      <w:proofErr w:type="spellStart"/>
      <w:r w:rsidRPr="00FF46E3">
        <w:rPr>
          <w:rFonts w:ascii="Verdana" w:hAnsi="Verdana"/>
          <w:sz w:val="18"/>
          <w:szCs w:val="18"/>
        </w:rPr>
        <w:t>Omni</w:t>
      </w:r>
      <w:proofErr w:type="spellEnd"/>
      <w:r w:rsidRPr="00FF46E3">
        <w:rPr>
          <w:rFonts w:ascii="Verdana" w:hAnsi="Verdana"/>
          <w:sz w:val="18"/>
          <w:szCs w:val="18"/>
        </w:rPr>
        <w:t xml:space="preserve">-U geeft aan dat een specificatie is toegevoegd aan de soort entiteit onderzoeksorganisaties. Die specificatie staat niet in bijlage II van de NIS2-richtlijn. </w:t>
      </w:r>
      <w:proofErr w:type="spellStart"/>
      <w:r w:rsidRPr="00FF46E3">
        <w:rPr>
          <w:rFonts w:ascii="Verdana" w:hAnsi="Verdana"/>
          <w:sz w:val="18"/>
          <w:szCs w:val="18"/>
        </w:rPr>
        <w:t>Omni</w:t>
      </w:r>
      <w:proofErr w:type="spellEnd"/>
      <w:r w:rsidRPr="00FF46E3">
        <w:rPr>
          <w:rFonts w:ascii="Verdana" w:hAnsi="Verdana"/>
          <w:sz w:val="18"/>
          <w:szCs w:val="18"/>
        </w:rPr>
        <w:t xml:space="preserve">-U vraagt of hiermee organisaties worden uitgesloten die mogelijk wel onder het toepassingsbereik van de NIS2-richtlijn zouden moeten vallen. </w:t>
      </w:r>
      <w:r w:rsidR="00800F0B">
        <w:rPr>
          <w:rFonts w:ascii="Verdana" w:hAnsi="Verdana"/>
          <w:sz w:val="18"/>
          <w:szCs w:val="18"/>
        </w:rPr>
        <w:t>De toelichting hierop is</w:t>
      </w:r>
      <w:r w:rsidRPr="00FF46E3">
        <w:rPr>
          <w:rFonts w:ascii="Verdana" w:hAnsi="Verdana"/>
          <w:sz w:val="18"/>
          <w:szCs w:val="18"/>
        </w:rPr>
        <w:t xml:space="preserve"> dat de specificatie volgt uit artikel 6, onderdeel 41, NIS2-richtlijn. </w:t>
      </w:r>
    </w:p>
    <w:p w:rsidRPr="00FF46E3" w:rsidR="00A450AE" w:rsidP="00A450AE" w:rsidRDefault="00A450AE" w14:paraId="3EDD4D11" w14:textId="77777777">
      <w:pPr>
        <w:pStyle w:val="Geenafstand"/>
        <w:rPr>
          <w:rFonts w:ascii="Verdana" w:hAnsi="Verdana"/>
          <w:sz w:val="18"/>
          <w:szCs w:val="18"/>
        </w:rPr>
      </w:pPr>
    </w:p>
    <w:p w:rsidR="003E1206" w:rsidP="003E1206" w:rsidRDefault="003E1206" w14:paraId="65DEEA9B" w14:textId="77777777">
      <w:pPr>
        <w:pStyle w:val="Geenafstand"/>
        <w:rPr>
          <w:rFonts w:ascii="Verdana" w:hAnsi="Verdana"/>
          <w:i/>
          <w:iCs/>
          <w:sz w:val="18"/>
          <w:szCs w:val="18"/>
        </w:rPr>
      </w:pPr>
      <w:r>
        <w:rPr>
          <w:rFonts w:ascii="Verdana" w:hAnsi="Verdana"/>
          <w:i/>
          <w:iCs/>
          <w:sz w:val="18"/>
          <w:szCs w:val="18"/>
        </w:rPr>
        <w:t>Onderwijsinstellingen</w:t>
      </w:r>
    </w:p>
    <w:p w:rsidRPr="00D6193A" w:rsidR="00D6193A" w:rsidP="00D6193A" w:rsidRDefault="00D6193A" w14:paraId="39F5FC6D" w14:textId="6191E250">
      <w:pPr>
        <w:pStyle w:val="Geenafstand"/>
        <w:rPr>
          <w:rFonts w:ascii="Verdana" w:hAnsi="Verdana"/>
          <w:sz w:val="18"/>
          <w:szCs w:val="18"/>
        </w:rPr>
      </w:pPr>
      <w:r w:rsidRPr="00D6193A">
        <w:rPr>
          <w:rFonts w:ascii="Verdana" w:hAnsi="Verdana"/>
          <w:sz w:val="18"/>
          <w:szCs w:val="18"/>
        </w:rPr>
        <w:t xml:space="preserve">Universiteiten van Nederland en Vereniging Hogescholen wijzen op artikel 2, vijfde lid, onderdeel b, NIS2-richtlijn. Hierin is bepaald dat lidstaten kunnen bepalen dat de NIS2-richtlijn van toepassing is op onderwijsinstellingen, met name wanneer zij kritieke onderzoeksactiviteiten verrichten. Universiteiten van Nederland en Vereniging Hogescholen vragen naar het in de </w:t>
      </w:r>
      <w:proofErr w:type="spellStart"/>
      <w:r w:rsidRPr="00D6193A">
        <w:rPr>
          <w:rFonts w:ascii="Verdana" w:hAnsi="Verdana"/>
          <w:sz w:val="18"/>
          <w:szCs w:val="18"/>
        </w:rPr>
        <w:t>Cbw</w:t>
      </w:r>
      <w:proofErr w:type="spellEnd"/>
      <w:r w:rsidRPr="00D6193A">
        <w:rPr>
          <w:rFonts w:ascii="Verdana" w:hAnsi="Verdana"/>
          <w:sz w:val="18"/>
          <w:szCs w:val="18"/>
        </w:rPr>
        <w:t xml:space="preserve"> opnemen van de zinsnede “met name wanneer zij kritieke onderzoeksactiviteiten verrichten” en de door de EU bedoelde interpretatie van wat kritische onderzoeksactiviteiten zijn. Er is geen aanleiding gezien om de bedoelde zinsnede en interpretatie op te nemen in de </w:t>
      </w:r>
      <w:proofErr w:type="spellStart"/>
      <w:r w:rsidRPr="00D6193A">
        <w:rPr>
          <w:rFonts w:ascii="Verdana" w:hAnsi="Verdana"/>
          <w:sz w:val="18"/>
          <w:szCs w:val="18"/>
        </w:rPr>
        <w:t>Cbw</w:t>
      </w:r>
      <w:proofErr w:type="spellEnd"/>
      <w:r w:rsidRPr="00D6193A">
        <w:rPr>
          <w:rFonts w:ascii="Verdana" w:hAnsi="Verdana"/>
          <w:sz w:val="18"/>
          <w:szCs w:val="18"/>
        </w:rPr>
        <w:t>, omdat dit geen juridische meerwaarde bevat en bovendien</w:t>
      </w:r>
      <w:r w:rsidR="00A732A0">
        <w:rPr>
          <w:rFonts w:ascii="Verdana" w:hAnsi="Verdana"/>
          <w:sz w:val="18"/>
          <w:szCs w:val="18"/>
        </w:rPr>
        <w:t xml:space="preserve"> kan leiden</w:t>
      </w:r>
      <w:r w:rsidRPr="00D6193A">
        <w:rPr>
          <w:rFonts w:ascii="Verdana" w:hAnsi="Verdana"/>
          <w:sz w:val="18"/>
          <w:szCs w:val="18"/>
        </w:rPr>
        <w:t xml:space="preserve"> tot onduidelijkheden.</w:t>
      </w:r>
      <w:r w:rsidR="0095498E">
        <w:rPr>
          <w:rFonts w:ascii="Verdana" w:hAnsi="Verdana"/>
          <w:sz w:val="18"/>
          <w:szCs w:val="18"/>
        </w:rPr>
        <w:t xml:space="preserve"> </w:t>
      </w:r>
    </w:p>
    <w:p w:rsidRPr="00AF5493" w:rsidR="003E1206" w:rsidP="00D6193A" w:rsidRDefault="00D6193A" w14:paraId="779CD996" w14:textId="6DD1A50D">
      <w:pPr>
        <w:pStyle w:val="Geenafstand"/>
        <w:rPr>
          <w:rFonts w:ascii="Verdana" w:hAnsi="Verdana"/>
          <w:sz w:val="18"/>
          <w:szCs w:val="18"/>
        </w:rPr>
      </w:pPr>
      <w:r w:rsidRPr="00D6193A">
        <w:rPr>
          <w:rFonts w:ascii="Verdana" w:hAnsi="Verdana"/>
          <w:sz w:val="18"/>
          <w:szCs w:val="18"/>
        </w:rPr>
        <w:t xml:space="preserve">De Nederlandse Federatie van Universitair Medische Centra vraagt naar het opnemen van de mogelijkheid om academische ziekenhuizen aan te wijzen in de artikelen </w:t>
      </w:r>
      <w:r w:rsidR="003726E1">
        <w:rPr>
          <w:rFonts w:ascii="Verdana" w:hAnsi="Verdana"/>
          <w:sz w:val="18"/>
          <w:szCs w:val="18"/>
        </w:rPr>
        <w:t>11</w:t>
      </w:r>
      <w:r w:rsidRPr="00D6193A" w:rsidR="003726E1">
        <w:rPr>
          <w:rFonts w:ascii="Verdana" w:hAnsi="Verdana"/>
          <w:sz w:val="18"/>
          <w:szCs w:val="18"/>
        </w:rPr>
        <w:t xml:space="preserve"> </w:t>
      </w:r>
      <w:r w:rsidRPr="00D6193A">
        <w:rPr>
          <w:rFonts w:ascii="Verdana" w:hAnsi="Verdana"/>
          <w:sz w:val="18"/>
          <w:szCs w:val="18"/>
        </w:rPr>
        <w:t xml:space="preserve">en 13 </w:t>
      </w:r>
      <w:proofErr w:type="spellStart"/>
      <w:r w:rsidRPr="00D6193A">
        <w:rPr>
          <w:rFonts w:ascii="Verdana" w:hAnsi="Verdana"/>
          <w:sz w:val="18"/>
          <w:szCs w:val="18"/>
        </w:rPr>
        <w:t>Cbw</w:t>
      </w:r>
      <w:proofErr w:type="spellEnd"/>
      <w:r w:rsidR="003726E1">
        <w:rPr>
          <w:rFonts w:ascii="Verdana" w:hAnsi="Verdana"/>
          <w:sz w:val="18"/>
          <w:szCs w:val="18"/>
        </w:rPr>
        <w:t xml:space="preserve"> </w:t>
      </w:r>
      <w:r w:rsidRPr="00D6193A" w:rsidR="003726E1">
        <w:rPr>
          <w:rFonts w:ascii="Verdana" w:hAnsi="Verdana"/>
          <w:sz w:val="18"/>
          <w:szCs w:val="18"/>
        </w:rPr>
        <w:t>(11 en 14 oud)</w:t>
      </w:r>
      <w:r w:rsidRPr="00D6193A">
        <w:rPr>
          <w:rFonts w:ascii="Verdana" w:hAnsi="Verdana"/>
          <w:sz w:val="18"/>
          <w:szCs w:val="18"/>
        </w:rPr>
        <w:t xml:space="preserve">. De reactie hierop is als volgt. Academische ziekenhuizen zijn als zorgaanbieder werkzaam op het gebied van de patiëntenzorg en staan mede ten dienste van het wetenschappelijk geneeskundig onderwijs en onderzoek aan de universiteiten waaraan zij zijn verbonden. Zij vervullen mede topklinische en topreferentiefuncties in de gezondheidszorg. Voorts verlenen zij medewerking aan de opleiding tot medisch specialist. Een academisch ziekenhuis is zodanig niet een onderwijsinstelling als bedoeld in artikel 1.1, onderdeel g, Wet op het hoger onderwijs en wetenschappelijke onderzoek. Academische ziekenhuizen vallen vanuit de sector gezondheidszorg al onder de </w:t>
      </w:r>
      <w:proofErr w:type="spellStart"/>
      <w:r w:rsidRPr="00D6193A">
        <w:rPr>
          <w:rFonts w:ascii="Verdana" w:hAnsi="Verdana"/>
          <w:sz w:val="18"/>
          <w:szCs w:val="18"/>
        </w:rPr>
        <w:t>Cbw</w:t>
      </w:r>
      <w:proofErr w:type="spellEnd"/>
      <w:r w:rsidRPr="00D6193A">
        <w:rPr>
          <w:rFonts w:ascii="Verdana" w:hAnsi="Verdana"/>
          <w:sz w:val="18"/>
          <w:szCs w:val="18"/>
        </w:rPr>
        <w:t xml:space="preserve">. Er is daarom geen aanleiding om academische ziekenhuizen aan te kunnen wijzen onder de </w:t>
      </w:r>
      <w:proofErr w:type="spellStart"/>
      <w:r w:rsidRPr="00D6193A">
        <w:rPr>
          <w:rFonts w:ascii="Verdana" w:hAnsi="Verdana"/>
          <w:sz w:val="18"/>
          <w:szCs w:val="18"/>
        </w:rPr>
        <w:t>Cbw</w:t>
      </w:r>
      <w:proofErr w:type="spellEnd"/>
      <w:r w:rsidRPr="00D6193A">
        <w:rPr>
          <w:rFonts w:ascii="Verdana" w:hAnsi="Verdana"/>
          <w:sz w:val="18"/>
          <w:szCs w:val="18"/>
        </w:rPr>
        <w:t>. De academische ziekenhuizen werken binnen het Universitair Medisch Centrum samen met universiteiten met een faculteit geneeskunde. Het is van belang dat binnen dit samenwerkingsverband onderlinge afspraken worden gemaakt om voor een passend niveau van informatiebeveiliging te zorgen.</w:t>
      </w:r>
    </w:p>
    <w:p w:rsidR="003E1206" w:rsidP="00A450AE" w:rsidRDefault="003E1206" w14:paraId="10D259AD" w14:textId="77777777">
      <w:pPr>
        <w:pStyle w:val="Geenafstand"/>
        <w:rPr>
          <w:rFonts w:ascii="Verdana" w:hAnsi="Verdana"/>
          <w:i/>
          <w:iCs/>
          <w:sz w:val="18"/>
          <w:szCs w:val="18"/>
        </w:rPr>
      </w:pPr>
    </w:p>
    <w:p w:rsidRPr="000F058E" w:rsidR="00A450AE" w:rsidP="00A450AE" w:rsidRDefault="00A450AE" w14:paraId="4AE26A67" w14:textId="26FB46A8">
      <w:pPr>
        <w:pStyle w:val="Geenafstand"/>
        <w:rPr>
          <w:rFonts w:ascii="Verdana" w:hAnsi="Verdana"/>
          <w:i/>
          <w:iCs/>
          <w:sz w:val="18"/>
          <w:szCs w:val="18"/>
        </w:rPr>
      </w:pPr>
      <w:r w:rsidRPr="00FF46E3">
        <w:rPr>
          <w:rFonts w:ascii="Verdana" w:hAnsi="Verdana"/>
          <w:i/>
          <w:iCs/>
          <w:sz w:val="18"/>
          <w:szCs w:val="18"/>
        </w:rPr>
        <w:t xml:space="preserve">Andere sectoren </w:t>
      </w:r>
    </w:p>
    <w:p w:rsidRPr="00FF46E3" w:rsidR="00A450AE" w:rsidP="00A450AE" w:rsidRDefault="00A450AE" w14:paraId="6B18DA77" w14:textId="06630D59">
      <w:pPr>
        <w:pStyle w:val="Geenafstand"/>
        <w:rPr>
          <w:rFonts w:ascii="Verdana" w:hAnsi="Verdana"/>
          <w:sz w:val="18"/>
          <w:szCs w:val="18"/>
        </w:rPr>
      </w:pPr>
      <w:r w:rsidRPr="00FF46E3">
        <w:rPr>
          <w:rFonts w:ascii="Verdana" w:hAnsi="Verdana"/>
          <w:sz w:val="18"/>
          <w:szCs w:val="18"/>
        </w:rPr>
        <w:t xml:space="preserve">De Unie van Waterschappen wijst erop dat de sectoren </w:t>
      </w:r>
      <w:r w:rsidRPr="00561267">
        <w:rPr>
          <w:rFonts w:ascii="Verdana" w:hAnsi="Verdana"/>
          <w:i/>
          <w:iCs/>
          <w:sz w:val="18"/>
          <w:szCs w:val="18"/>
        </w:rPr>
        <w:t>keren en beheren waterkwantiteit</w:t>
      </w:r>
      <w:r w:rsidRPr="00FF46E3">
        <w:rPr>
          <w:rFonts w:ascii="Verdana" w:hAnsi="Verdana"/>
          <w:sz w:val="18"/>
          <w:szCs w:val="18"/>
        </w:rPr>
        <w:t xml:space="preserve"> en </w:t>
      </w:r>
      <w:r w:rsidRPr="00561267">
        <w:rPr>
          <w:rFonts w:ascii="Verdana" w:hAnsi="Verdana"/>
          <w:i/>
          <w:iCs/>
          <w:sz w:val="18"/>
          <w:szCs w:val="18"/>
        </w:rPr>
        <w:t>opslag, productie en verwerking nucleair materiaal</w:t>
      </w:r>
      <w:r w:rsidRPr="00FF46E3">
        <w:rPr>
          <w:rFonts w:ascii="Verdana" w:hAnsi="Verdana"/>
          <w:sz w:val="18"/>
          <w:szCs w:val="18"/>
        </w:rPr>
        <w:t xml:space="preserve"> niet staan vermeld in de </w:t>
      </w:r>
      <w:proofErr w:type="spellStart"/>
      <w:r w:rsidRPr="00FF46E3">
        <w:rPr>
          <w:rFonts w:ascii="Verdana" w:hAnsi="Verdana"/>
          <w:sz w:val="18"/>
          <w:szCs w:val="18"/>
        </w:rPr>
        <w:t>Cbw</w:t>
      </w:r>
      <w:proofErr w:type="spellEnd"/>
      <w:r w:rsidRPr="00FF46E3">
        <w:rPr>
          <w:rFonts w:ascii="Verdana" w:hAnsi="Verdana"/>
          <w:sz w:val="18"/>
          <w:szCs w:val="18"/>
        </w:rPr>
        <w:t xml:space="preserve">. </w:t>
      </w:r>
      <w:r w:rsidR="00800F0B">
        <w:rPr>
          <w:rFonts w:ascii="Verdana" w:hAnsi="Verdana"/>
          <w:sz w:val="18"/>
          <w:szCs w:val="18"/>
        </w:rPr>
        <w:t>De toelichting hierop is dat de</w:t>
      </w:r>
      <w:r w:rsidRPr="00FF46E3">
        <w:rPr>
          <w:rFonts w:ascii="Verdana" w:hAnsi="Verdana"/>
          <w:sz w:val="18"/>
          <w:szCs w:val="18"/>
        </w:rPr>
        <w:t xml:space="preserve"> NIS2-richtlijn alleen van toepassing </w:t>
      </w:r>
      <w:r w:rsidR="00800F0B">
        <w:rPr>
          <w:rFonts w:ascii="Verdana" w:hAnsi="Verdana"/>
          <w:sz w:val="18"/>
          <w:szCs w:val="18"/>
        </w:rPr>
        <w:t xml:space="preserve">is </w:t>
      </w:r>
      <w:r w:rsidRPr="00FF46E3">
        <w:rPr>
          <w:rFonts w:ascii="Verdana" w:hAnsi="Verdana"/>
          <w:sz w:val="18"/>
          <w:szCs w:val="18"/>
        </w:rPr>
        <w:t xml:space="preserve">op de sectoren </w:t>
      </w:r>
      <w:r>
        <w:rPr>
          <w:rFonts w:ascii="Verdana" w:hAnsi="Verdana"/>
          <w:sz w:val="18"/>
          <w:szCs w:val="18"/>
        </w:rPr>
        <w:t>uit</w:t>
      </w:r>
      <w:r w:rsidRPr="00FF46E3">
        <w:rPr>
          <w:rFonts w:ascii="Verdana" w:hAnsi="Verdana"/>
          <w:sz w:val="18"/>
          <w:szCs w:val="18"/>
        </w:rPr>
        <w:t xml:space="preserve"> de bijlagen van de </w:t>
      </w:r>
      <w:r>
        <w:rPr>
          <w:rFonts w:ascii="Verdana" w:hAnsi="Verdana"/>
          <w:sz w:val="18"/>
          <w:szCs w:val="18"/>
        </w:rPr>
        <w:t>NIS2-</w:t>
      </w:r>
      <w:r w:rsidRPr="00FF46E3">
        <w:rPr>
          <w:rFonts w:ascii="Verdana" w:hAnsi="Verdana"/>
          <w:sz w:val="18"/>
          <w:szCs w:val="18"/>
        </w:rPr>
        <w:t xml:space="preserve">richtlijn. De </w:t>
      </w:r>
      <w:r>
        <w:rPr>
          <w:rFonts w:ascii="Verdana" w:hAnsi="Verdana"/>
          <w:sz w:val="18"/>
          <w:szCs w:val="18"/>
        </w:rPr>
        <w:t xml:space="preserve">genoemde </w:t>
      </w:r>
      <w:r w:rsidRPr="00FF46E3">
        <w:rPr>
          <w:rFonts w:ascii="Verdana" w:hAnsi="Verdana"/>
          <w:sz w:val="18"/>
          <w:szCs w:val="18"/>
        </w:rPr>
        <w:t xml:space="preserve">sectoren zijn daarin niet opgenomen, waardoor de NIS2-richtlijn niet van toepassing </w:t>
      </w:r>
      <w:r>
        <w:rPr>
          <w:rFonts w:ascii="Verdana" w:hAnsi="Verdana"/>
          <w:sz w:val="18"/>
          <w:szCs w:val="18"/>
        </w:rPr>
        <w:t>is</w:t>
      </w:r>
      <w:r w:rsidRPr="00FF46E3">
        <w:rPr>
          <w:rFonts w:ascii="Verdana" w:hAnsi="Verdana"/>
          <w:sz w:val="18"/>
          <w:szCs w:val="18"/>
        </w:rPr>
        <w:t xml:space="preserve"> op deze sectoren.</w:t>
      </w:r>
      <w:r w:rsidRPr="00B54A72" w:rsidR="00B54A72">
        <w:t xml:space="preserve"> </w:t>
      </w:r>
      <w:r w:rsidRPr="00B54A72" w:rsidR="00B54A72">
        <w:rPr>
          <w:rFonts w:ascii="Verdana" w:hAnsi="Verdana"/>
          <w:sz w:val="18"/>
          <w:szCs w:val="18"/>
        </w:rPr>
        <w:t>Wel kunnen deze sectoren worden aangewezen op grond van artikel 7</w:t>
      </w:r>
      <w:r w:rsidR="004C30C3">
        <w:rPr>
          <w:rFonts w:ascii="Verdana" w:hAnsi="Verdana"/>
          <w:sz w:val="18"/>
          <w:szCs w:val="18"/>
        </w:rPr>
        <w:t>, eerste lid,</w:t>
      </w:r>
      <w:r w:rsidRPr="00B54A72" w:rsidR="00B54A72">
        <w:rPr>
          <w:rFonts w:ascii="Verdana" w:hAnsi="Verdana"/>
          <w:sz w:val="18"/>
          <w:szCs w:val="18"/>
        </w:rPr>
        <w:t xml:space="preserve"> </w:t>
      </w:r>
      <w:proofErr w:type="spellStart"/>
      <w:r w:rsidRPr="00B54A72" w:rsidR="00B54A72">
        <w:rPr>
          <w:rFonts w:ascii="Verdana" w:hAnsi="Verdana"/>
          <w:sz w:val="18"/>
          <w:szCs w:val="18"/>
        </w:rPr>
        <w:t>Wwke</w:t>
      </w:r>
      <w:proofErr w:type="spellEnd"/>
      <w:r w:rsidRPr="00B54A72" w:rsidR="00B54A72">
        <w:rPr>
          <w:rFonts w:ascii="Verdana" w:hAnsi="Verdana"/>
          <w:sz w:val="18"/>
          <w:szCs w:val="18"/>
        </w:rPr>
        <w:t xml:space="preserve">, </w:t>
      </w:r>
      <w:r w:rsidR="00A05BD7">
        <w:rPr>
          <w:rFonts w:ascii="Verdana" w:hAnsi="Verdana"/>
          <w:sz w:val="18"/>
          <w:szCs w:val="18"/>
        </w:rPr>
        <w:t xml:space="preserve">waarbinnen kritieke entiteiten kunnen worden aangewezen op grond van artikel 6, eerste lid, </w:t>
      </w:r>
      <w:proofErr w:type="spellStart"/>
      <w:r w:rsidR="00A05BD7">
        <w:rPr>
          <w:rFonts w:ascii="Verdana" w:hAnsi="Verdana"/>
          <w:sz w:val="18"/>
          <w:szCs w:val="18"/>
        </w:rPr>
        <w:t>Wwke</w:t>
      </w:r>
      <w:proofErr w:type="spellEnd"/>
      <w:r w:rsidR="00A05BD7">
        <w:rPr>
          <w:rFonts w:ascii="Verdana" w:hAnsi="Verdana"/>
          <w:sz w:val="18"/>
          <w:szCs w:val="18"/>
        </w:rPr>
        <w:t xml:space="preserve">. Kritieke entiteiten in de zin van de </w:t>
      </w:r>
      <w:proofErr w:type="spellStart"/>
      <w:r w:rsidR="00A05BD7">
        <w:rPr>
          <w:rFonts w:ascii="Verdana" w:hAnsi="Verdana"/>
          <w:sz w:val="18"/>
          <w:szCs w:val="18"/>
        </w:rPr>
        <w:t>Wwke</w:t>
      </w:r>
      <w:proofErr w:type="spellEnd"/>
      <w:r w:rsidR="00A05BD7">
        <w:rPr>
          <w:rFonts w:ascii="Verdana" w:hAnsi="Verdana"/>
          <w:sz w:val="18"/>
          <w:szCs w:val="18"/>
        </w:rPr>
        <w:t xml:space="preserve"> zijn op grond van artikel </w:t>
      </w:r>
      <w:r w:rsidR="00564EEF">
        <w:rPr>
          <w:rFonts w:ascii="Verdana" w:hAnsi="Verdana"/>
          <w:sz w:val="18"/>
          <w:szCs w:val="18"/>
        </w:rPr>
        <w:t>8</w:t>
      </w:r>
      <w:r w:rsidR="00A05BD7">
        <w:rPr>
          <w:rFonts w:ascii="Verdana" w:hAnsi="Verdana"/>
          <w:sz w:val="18"/>
          <w:szCs w:val="18"/>
        </w:rPr>
        <w:t xml:space="preserve">, eerste lid, onderdeel i, </w:t>
      </w:r>
      <w:proofErr w:type="spellStart"/>
      <w:r w:rsidR="00A05BD7">
        <w:rPr>
          <w:rFonts w:ascii="Verdana" w:hAnsi="Verdana"/>
          <w:sz w:val="18"/>
          <w:szCs w:val="18"/>
        </w:rPr>
        <w:t>Cbw</w:t>
      </w:r>
      <w:proofErr w:type="spellEnd"/>
      <w:r w:rsidRPr="00B54A72" w:rsidR="00B54A72">
        <w:rPr>
          <w:rFonts w:ascii="Verdana" w:hAnsi="Verdana"/>
          <w:sz w:val="18"/>
          <w:szCs w:val="18"/>
        </w:rPr>
        <w:t xml:space="preserve"> van rechtswege essentiële entiteiten </w:t>
      </w:r>
      <w:r w:rsidR="00A05BD7">
        <w:rPr>
          <w:rFonts w:ascii="Verdana" w:hAnsi="Verdana"/>
          <w:sz w:val="18"/>
          <w:szCs w:val="18"/>
        </w:rPr>
        <w:t xml:space="preserve">in de zin van de </w:t>
      </w:r>
      <w:proofErr w:type="spellStart"/>
      <w:r w:rsidR="00A05BD7">
        <w:rPr>
          <w:rFonts w:ascii="Verdana" w:hAnsi="Verdana"/>
          <w:sz w:val="18"/>
          <w:szCs w:val="18"/>
        </w:rPr>
        <w:t>Cbw</w:t>
      </w:r>
      <w:proofErr w:type="spellEnd"/>
      <w:r w:rsidRPr="00B54A72" w:rsidR="00B54A72">
        <w:rPr>
          <w:rFonts w:ascii="Verdana" w:hAnsi="Verdana"/>
          <w:sz w:val="18"/>
          <w:szCs w:val="18"/>
        </w:rPr>
        <w:t>.</w:t>
      </w:r>
    </w:p>
    <w:p w:rsidR="00A450AE" w:rsidP="00A450AE" w:rsidRDefault="00A450AE" w14:paraId="1C6FD594" w14:textId="7DEC6646">
      <w:pPr>
        <w:pStyle w:val="Geenafstand"/>
        <w:rPr>
          <w:rFonts w:ascii="Verdana" w:hAnsi="Verdana"/>
          <w:sz w:val="18"/>
          <w:szCs w:val="18"/>
        </w:rPr>
      </w:pPr>
      <w:bookmarkStart w:name="_Hlk174522535" w:id="210"/>
      <w:r w:rsidRPr="009E421C">
        <w:rPr>
          <w:rFonts w:ascii="Verdana" w:hAnsi="Verdana"/>
          <w:sz w:val="18"/>
          <w:szCs w:val="18"/>
        </w:rPr>
        <w:t xml:space="preserve">Een </w:t>
      </w:r>
      <w:r>
        <w:rPr>
          <w:rFonts w:ascii="Verdana" w:hAnsi="Verdana"/>
          <w:sz w:val="18"/>
          <w:szCs w:val="18"/>
        </w:rPr>
        <w:t>organisatie</w:t>
      </w:r>
      <w:r w:rsidRPr="009E421C">
        <w:rPr>
          <w:rFonts w:ascii="Verdana" w:hAnsi="Verdana"/>
          <w:sz w:val="18"/>
          <w:szCs w:val="18"/>
        </w:rPr>
        <w:t xml:space="preserve"> vraagt of voor de </w:t>
      </w:r>
      <w:proofErr w:type="spellStart"/>
      <w:r w:rsidRPr="009E421C">
        <w:rPr>
          <w:rFonts w:ascii="Verdana" w:hAnsi="Verdana"/>
          <w:sz w:val="18"/>
          <w:szCs w:val="18"/>
        </w:rPr>
        <w:t>subsector</w:t>
      </w:r>
      <w:proofErr w:type="spellEnd"/>
      <w:r w:rsidRPr="009E421C">
        <w:rPr>
          <w:rFonts w:ascii="Verdana" w:hAnsi="Verdana"/>
          <w:sz w:val="18"/>
          <w:szCs w:val="18"/>
        </w:rPr>
        <w:t xml:space="preserve"> vervaardiging van medische hulpmiddelen en medische hulpmiddelen voor in-vitrodiagnostiek onder de </w:t>
      </w:r>
      <w:proofErr w:type="spellStart"/>
      <w:r w:rsidR="00FF7ABA">
        <w:rPr>
          <w:rFonts w:ascii="Verdana" w:hAnsi="Verdana"/>
          <w:sz w:val="18"/>
          <w:szCs w:val="18"/>
        </w:rPr>
        <w:t>Cbw</w:t>
      </w:r>
      <w:proofErr w:type="spellEnd"/>
      <w:r w:rsidRPr="009E421C" w:rsidR="00FF7ABA">
        <w:rPr>
          <w:rFonts w:ascii="Verdana" w:hAnsi="Verdana"/>
          <w:sz w:val="18"/>
          <w:szCs w:val="18"/>
        </w:rPr>
        <w:t xml:space="preserve"> </w:t>
      </w:r>
      <w:r w:rsidRPr="009E421C">
        <w:rPr>
          <w:rFonts w:ascii="Verdana" w:hAnsi="Verdana"/>
          <w:sz w:val="18"/>
          <w:szCs w:val="18"/>
        </w:rPr>
        <w:t xml:space="preserve">uitsluitend </w:t>
      </w:r>
      <w:r w:rsidR="00D65544">
        <w:rPr>
          <w:rFonts w:ascii="Verdana" w:hAnsi="Verdana"/>
          <w:sz w:val="18"/>
          <w:szCs w:val="18"/>
        </w:rPr>
        <w:t>“</w:t>
      </w:r>
      <w:r w:rsidRPr="009E421C">
        <w:rPr>
          <w:rFonts w:ascii="Verdana" w:hAnsi="Verdana"/>
          <w:sz w:val="18"/>
          <w:szCs w:val="18"/>
        </w:rPr>
        <w:t>fabrikanten</w:t>
      </w:r>
      <w:r w:rsidR="00D65544">
        <w:rPr>
          <w:rFonts w:ascii="Verdana" w:hAnsi="Verdana"/>
          <w:sz w:val="18"/>
          <w:szCs w:val="18"/>
        </w:rPr>
        <w:t>”</w:t>
      </w:r>
      <w:r w:rsidRPr="009E421C">
        <w:rPr>
          <w:rFonts w:ascii="Verdana" w:hAnsi="Verdana"/>
          <w:sz w:val="18"/>
          <w:szCs w:val="18"/>
        </w:rPr>
        <w:t xml:space="preserve"> worden verstaan zoals gedefinieerd in Verordening (EU) 2017/745 en Verordening (EU) 2017/746. Dat klopt. De distribiteur of importeur van een medisch hulpmiddel valt niet onder de NIS2. Hierdoor kunnen de verplichtingen van de fabrikant niet overgaan op een distribiteur of importeur. Wel worden deze partijen gezien als onderdeel van de toeleveringsketen. Dat betekent dat de entiteit die onder de </w:t>
      </w:r>
      <w:proofErr w:type="spellStart"/>
      <w:r w:rsidRPr="009E421C">
        <w:rPr>
          <w:rFonts w:ascii="Verdana" w:hAnsi="Verdana"/>
          <w:sz w:val="18"/>
          <w:szCs w:val="18"/>
        </w:rPr>
        <w:t>Cbw</w:t>
      </w:r>
      <w:proofErr w:type="spellEnd"/>
      <w:r w:rsidRPr="009E421C">
        <w:rPr>
          <w:rFonts w:ascii="Verdana" w:hAnsi="Verdana"/>
          <w:sz w:val="18"/>
          <w:szCs w:val="18"/>
        </w:rPr>
        <w:t xml:space="preserve"> valt, in dit geval de fabrikant, verantwoordelijk is om erop toe te zien dat de netwerk- en informatiesystemen van de toeleveranciers een voldoende beveiligingsniveau hebben.</w:t>
      </w:r>
    </w:p>
    <w:p w:rsidRPr="0059261E" w:rsidR="00765006" w:rsidP="00765006" w:rsidRDefault="00746C34" w14:paraId="4472ACDA" w14:textId="74EB80E1">
      <w:pPr>
        <w:spacing w:after="0" w:line="240" w:lineRule="auto"/>
        <w:rPr>
          <w:rFonts w:ascii="Verdana" w:hAnsi="Verdana" w:eastAsia="Times New Roman" w:cs="Aptos"/>
          <w:sz w:val="18"/>
          <w:szCs w:val="18"/>
        </w:rPr>
      </w:pPr>
      <w:r>
        <w:rPr>
          <w:rFonts w:ascii="Verdana" w:hAnsi="Verdana" w:eastAsia="Times New Roman" w:cs="Aptos"/>
          <w:sz w:val="18"/>
          <w:szCs w:val="18"/>
        </w:rPr>
        <w:t>Een</w:t>
      </w:r>
      <w:r w:rsidRPr="0059261E" w:rsidR="00765006">
        <w:rPr>
          <w:rFonts w:ascii="Verdana" w:hAnsi="Verdana" w:eastAsia="Times New Roman" w:cs="Aptos"/>
          <w:sz w:val="18"/>
          <w:szCs w:val="18"/>
        </w:rPr>
        <w:t xml:space="preserve"> aantal partijen </w:t>
      </w:r>
      <w:r>
        <w:rPr>
          <w:rFonts w:ascii="Verdana" w:hAnsi="Verdana" w:eastAsia="Times New Roman" w:cs="Aptos"/>
          <w:sz w:val="18"/>
          <w:szCs w:val="18"/>
        </w:rPr>
        <w:t>uit</w:t>
      </w:r>
      <w:r w:rsidRPr="0059261E" w:rsidR="00765006">
        <w:rPr>
          <w:rFonts w:ascii="Verdana" w:hAnsi="Verdana" w:eastAsia="Times New Roman" w:cs="Aptos"/>
          <w:sz w:val="18"/>
          <w:szCs w:val="18"/>
        </w:rPr>
        <w:t xml:space="preserve"> de energiesector</w:t>
      </w:r>
      <w:r>
        <w:rPr>
          <w:rFonts w:ascii="Verdana" w:hAnsi="Verdana" w:eastAsia="Times New Roman" w:cs="Aptos"/>
          <w:sz w:val="18"/>
          <w:szCs w:val="18"/>
        </w:rPr>
        <w:t>, waaronder</w:t>
      </w:r>
      <w:r w:rsidRPr="0059261E" w:rsidR="00765006">
        <w:rPr>
          <w:rFonts w:ascii="Verdana" w:hAnsi="Verdana" w:eastAsia="Times New Roman" w:cs="Aptos"/>
          <w:sz w:val="18"/>
          <w:szCs w:val="18"/>
        </w:rPr>
        <w:t xml:space="preserve"> E</w:t>
      </w:r>
      <w:r w:rsidR="007A08F2">
        <w:rPr>
          <w:rFonts w:ascii="Verdana" w:hAnsi="Verdana" w:eastAsia="Times New Roman" w:cs="Aptos"/>
          <w:sz w:val="18"/>
          <w:szCs w:val="18"/>
        </w:rPr>
        <w:t>-</w:t>
      </w:r>
      <w:proofErr w:type="spellStart"/>
      <w:r w:rsidR="007A08F2">
        <w:rPr>
          <w:rFonts w:ascii="Verdana" w:hAnsi="Verdana" w:eastAsia="Times New Roman" w:cs="Aptos"/>
          <w:sz w:val="18"/>
          <w:szCs w:val="18"/>
        </w:rPr>
        <w:t>M</w:t>
      </w:r>
      <w:r w:rsidRPr="0059261E" w:rsidR="00765006">
        <w:rPr>
          <w:rFonts w:ascii="Verdana" w:hAnsi="Verdana" w:eastAsia="Times New Roman" w:cs="Aptos"/>
          <w:sz w:val="18"/>
          <w:szCs w:val="18"/>
        </w:rPr>
        <w:t>obility</w:t>
      </w:r>
      <w:proofErr w:type="spellEnd"/>
      <w:r w:rsidR="007A08F2">
        <w:rPr>
          <w:rFonts w:ascii="Verdana" w:hAnsi="Verdana" w:eastAsia="Times New Roman" w:cs="Aptos"/>
          <w:sz w:val="18"/>
          <w:szCs w:val="18"/>
        </w:rPr>
        <w:t xml:space="preserve"> Consulting</w:t>
      </w:r>
      <w:r>
        <w:rPr>
          <w:rFonts w:ascii="Verdana" w:hAnsi="Verdana" w:eastAsia="Times New Roman" w:cs="Aptos"/>
          <w:sz w:val="18"/>
          <w:szCs w:val="18"/>
        </w:rPr>
        <w:t>,</w:t>
      </w:r>
      <w:r w:rsidRPr="0059261E" w:rsidR="00765006">
        <w:rPr>
          <w:rFonts w:ascii="Verdana" w:hAnsi="Verdana" w:eastAsia="Times New Roman" w:cs="Aptos"/>
          <w:sz w:val="18"/>
          <w:szCs w:val="18"/>
        </w:rPr>
        <w:t xml:space="preserve"> </w:t>
      </w:r>
      <w:r>
        <w:rPr>
          <w:rFonts w:ascii="Verdana" w:hAnsi="Verdana" w:eastAsia="Times New Roman" w:cs="Aptos"/>
          <w:sz w:val="18"/>
          <w:szCs w:val="18"/>
        </w:rPr>
        <w:t>vragen</w:t>
      </w:r>
      <w:r w:rsidRPr="0059261E" w:rsidR="00765006">
        <w:rPr>
          <w:rFonts w:ascii="Verdana" w:hAnsi="Verdana" w:eastAsia="Times New Roman" w:cs="Aptos"/>
          <w:sz w:val="18"/>
          <w:szCs w:val="18"/>
        </w:rPr>
        <w:t xml:space="preserve"> of </w:t>
      </w:r>
      <w:r w:rsidR="00765006">
        <w:rPr>
          <w:rFonts w:ascii="Verdana" w:hAnsi="Verdana" w:eastAsia="Times New Roman" w:cs="Aptos"/>
          <w:sz w:val="18"/>
          <w:szCs w:val="18"/>
        </w:rPr>
        <w:t xml:space="preserve">de </w:t>
      </w:r>
      <w:proofErr w:type="spellStart"/>
      <w:r w:rsidR="00765006">
        <w:rPr>
          <w:rFonts w:ascii="Verdana" w:hAnsi="Verdana" w:eastAsia="Times New Roman" w:cs="Aptos"/>
          <w:sz w:val="18"/>
          <w:szCs w:val="18"/>
        </w:rPr>
        <w:t>Cbw</w:t>
      </w:r>
      <w:proofErr w:type="spellEnd"/>
      <w:r w:rsidR="00765006">
        <w:rPr>
          <w:rFonts w:ascii="Verdana" w:hAnsi="Verdana" w:eastAsia="Times New Roman" w:cs="Aptos"/>
          <w:sz w:val="18"/>
          <w:szCs w:val="18"/>
        </w:rPr>
        <w:t xml:space="preserve"> niet ook van toepassing zou moeten zijn op </w:t>
      </w:r>
      <w:r>
        <w:rPr>
          <w:rFonts w:ascii="Verdana" w:hAnsi="Verdana" w:eastAsia="Times New Roman" w:cs="Aptos"/>
          <w:sz w:val="18"/>
          <w:szCs w:val="18"/>
        </w:rPr>
        <w:t>“</w:t>
      </w:r>
      <w:r w:rsidRPr="0059261E" w:rsidR="00765006">
        <w:rPr>
          <w:rFonts w:ascii="Verdana" w:hAnsi="Verdana" w:eastAsia="Times New Roman" w:cs="Aptos"/>
          <w:sz w:val="18"/>
          <w:szCs w:val="18"/>
        </w:rPr>
        <w:t>laaddienstverlener</w:t>
      </w:r>
      <w:r w:rsidR="00765006">
        <w:rPr>
          <w:rFonts w:ascii="Verdana" w:hAnsi="Verdana" w:eastAsia="Times New Roman" w:cs="Aptos"/>
          <w:sz w:val="18"/>
          <w:szCs w:val="18"/>
        </w:rPr>
        <w:t>s</w:t>
      </w:r>
      <w:r>
        <w:rPr>
          <w:rFonts w:ascii="Verdana" w:hAnsi="Verdana" w:eastAsia="Times New Roman" w:cs="Aptos"/>
          <w:sz w:val="18"/>
          <w:szCs w:val="18"/>
        </w:rPr>
        <w:t>”</w:t>
      </w:r>
      <w:r w:rsidR="00765006">
        <w:rPr>
          <w:rFonts w:ascii="Verdana" w:hAnsi="Verdana" w:eastAsia="Times New Roman" w:cs="Aptos"/>
          <w:sz w:val="18"/>
          <w:szCs w:val="18"/>
        </w:rPr>
        <w:t xml:space="preserve">, gezien </w:t>
      </w:r>
      <w:r w:rsidRPr="0059261E" w:rsidR="00765006">
        <w:rPr>
          <w:rFonts w:ascii="Verdana" w:hAnsi="Verdana" w:eastAsia="Times New Roman" w:cs="Aptos"/>
          <w:sz w:val="18"/>
          <w:szCs w:val="18"/>
        </w:rPr>
        <w:t xml:space="preserve">het </w:t>
      </w:r>
      <w:r w:rsidR="00765006">
        <w:rPr>
          <w:rFonts w:ascii="Verdana" w:hAnsi="Verdana" w:eastAsia="Times New Roman" w:cs="Aptos"/>
          <w:sz w:val="18"/>
          <w:szCs w:val="18"/>
        </w:rPr>
        <w:t xml:space="preserve">de </w:t>
      </w:r>
      <w:r w:rsidRPr="0059261E" w:rsidR="00765006">
        <w:rPr>
          <w:rFonts w:ascii="Verdana" w:hAnsi="Verdana" w:eastAsia="Times New Roman" w:cs="Aptos"/>
          <w:sz w:val="18"/>
          <w:szCs w:val="18"/>
        </w:rPr>
        <w:t xml:space="preserve">mogelijke impact </w:t>
      </w:r>
      <w:r w:rsidR="00765006">
        <w:rPr>
          <w:rFonts w:ascii="Verdana" w:hAnsi="Verdana" w:eastAsia="Times New Roman" w:cs="Aptos"/>
          <w:sz w:val="18"/>
          <w:szCs w:val="18"/>
        </w:rPr>
        <w:t xml:space="preserve">van incidenten bij deze dienstverleners </w:t>
      </w:r>
      <w:r w:rsidRPr="0059261E" w:rsidR="00765006">
        <w:rPr>
          <w:rFonts w:ascii="Verdana" w:hAnsi="Verdana" w:eastAsia="Times New Roman" w:cs="Aptos"/>
          <w:sz w:val="18"/>
          <w:szCs w:val="18"/>
        </w:rPr>
        <w:t>op het elektriciteitsnet</w:t>
      </w:r>
      <w:r w:rsidR="00765006">
        <w:rPr>
          <w:rFonts w:ascii="Verdana" w:hAnsi="Verdana" w:eastAsia="Times New Roman" w:cs="Aptos"/>
          <w:sz w:val="18"/>
          <w:szCs w:val="18"/>
        </w:rPr>
        <w:t>.</w:t>
      </w:r>
      <w:r w:rsidRPr="0059261E" w:rsidR="00765006">
        <w:rPr>
          <w:rFonts w:ascii="Verdana" w:hAnsi="Verdana" w:eastAsia="Times New Roman" w:cs="Aptos"/>
          <w:sz w:val="18"/>
          <w:szCs w:val="18"/>
        </w:rPr>
        <w:t xml:space="preserve"> Na gesprekken met de sector is geconcludeerd dat de </w:t>
      </w:r>
      <w:r w:rsidR="006865A9">
        <w:rPr>
          <w:rFonts w:ascii="Verdana" w:hAnsi="Verdana" w:eastAsia="Times New Roman" w:cs="Aptos"/>
          <w:sz w:val="18"/>
          <w:szCs w:val="18"/>
        </w:rPr>
        <w:t>“</w:t>
      </w:r>
      <w:r w:rsidRPr="0059261E" w:rsidR="00765006">
        <w:rPr>
          <w:rFonts w:ascii="Verdana" w:hAnsi="Verdana" w:eastAsia="Times New Roman" w:cs="Aptos"/>
          <w:sz w:val="18"/>
          <w:szCs w:val="18"/>
        </w:rPr>
        <w:t>laaddienstverleners</w:t>
      </w:r>
      <w:r w:rsidR="006865A9">
        <w:rPr>
          <w:rFonts w:ascii="Verdana" w:hAnsi="Verdana" w:eastAsia="Times New Roman" w:cs="Aptos"/>
          <w:sz w:val="18"/>
          <w:szCs w:val="18"/>
        </w:rPr>
        <w:t>”</w:t>
      </w:r>
      <w:r w:rsidRPr="0059261E" w:rsidR="00765006">
        <w:rPr>
          <w:rFonts w:ascii="Verdana" w:hAnsi="Verdana" w:eastAsia="Times New Roman" w:cs="Aptos"/>
          <w:sz w:val="18"/>
          <w:szCs w:val="18"/>
        </w:rPr>
        <w:t xml:space="preserve"> binnen de laadpaalinfrastructuur onder de sector vervoer vallen</w:t>
      </w:r>
      <w:r w:rsidR="006865A9">
        <w:rPr>
          <w:rFonts w:ascii="Verdana" w:hAnsi="Verdana" w:eastAsia="Times New Roman" w:cs="Aptos"/>
          <w:sz w:val="18"/>
          <w:szCs w:val="18"/>
        </w:rPr>
        <w:t xml:space="preserve"> en daarbinnen onder de</w:t>
      </w:r>
      <w:r w:rsidRPr="0059261E" w:rsidR="00765006">
        <w:rPr>
          <w:rFonts w:ascii="Verdana" w:hAnsi="Verdana" w:eastAsia="Times New Roman" w:cs="Aptos"/>
          <w:sz w:val="18"/>
          <w:szCs w:val="18"/>
        </w:rPr>
        <w:t xml:space="preserve"> </w:t>
      </w:r>
      <w:proofErr w:type="spellStart"/>
      <w:r w:rsidRPr="0059261E" w:rsidR="00765006">
        <w:rPr>
          <w:rFonts w:ascii="Verdana" w:hAnsi="Verdana" w:eastAsia="Times New Roman" w:cs="Aptos"/>
          <w:sz w:val="18"/>
          <w:szCs w:val="18"/>
        </w:rPr>
        <w:t>subsector</w:t>
      </w:r>
      <w:proofErr w:type="spellEnd"/>
      <w:r w:rsidRPr="0059261E" w:rsidR="00765006">
        <w:rPr>
          <w:rFonts w:ascii="Verdana" w:hAnsi="Verdana" w:eastAsia="Times New Roman" w:cs="Aptos"/>
          <w:sz w:val="18"/>
          <w:szCs w:val="18"/>
        </w:rPr>
        <w:t xml:space="preserve"> weg als </w:t>
      </w:r>
      <w:r w:rsidR="006865A9">
        <w:rPr>
          <w:rFonts w:ascii="Verdana" w:hAnsi="Verdana" w:eastAsia="Times New Roman" w:cs="Aptos"/>
          <w:sz w:val="18"/>
          <w:szCs w:val="18"/>
        </w:rPr>
        <w:t>e</w:t>
      </w:r>
      <w:r w:rsidRPr="0059261E" w:rsidR="00765006">
        <w:rPr>
          <w:rFonts w:ascii="Verdana" w:hAnsi="Verdana" w:eastAsia="Times New Roman" w:cs="Aptos"/>
          <w:sz w:val="18"/>
          <w:szCs w:val="18"/>
        </w:rPr>
        <w:t xml:space="preserve">xploitanten van intelligente vervoerssystemen (ITS) als bedoeld in artikel 4, onderdeel 1, Richtlijn 2010/40/EU van het Europees Parlement en de Raad. Daarmee vallen zij onder de </w:t>
      </w:r>
      <w:proofErr w:type="spellStart"/>
      <w:r w:rsidR="00670979">
        <w:rPr>
          <w:rFonts w:ascii="Verdana" w:hAnsi="Verdana" w:eastAsia="Times New Roman" w:cs="Aptos"/>
          <w:sz w:val="18"/>
          <w:szCs w:val="18"/>
        </w:rPr>
        <w:t>Cbw</w:t>
      </w:r>
      <w:proofErr w:type="spellEnd"/>
      <w:r w:rsidR="00765006">
        <w:rPr>
          <w:rFonts w:ascii="Verdana" w:hAnsi="Verdana" w:eastAsia="Times New Roman" w:cs="Aptos"/>
          <w:sz w:val="18"/>
          <w:szCs w:val="18"/>
        </w:rPr>
        <w:t>,</w:t>
      </w:r>
      <w:r w:rsidRPr="0059261E" w:rsidR="00765006">
        <w:rPr>
          <w:rFonts w:ascii="Verdana" w:hAnsi="Verdana" w:eastAsia="Times New Roman" w:cs="Aptos"/>
          <w:sz w:val="18"/>
          <w:szCs w:val="18"/>
        </w:rPr>
        <w:t xml:space="preserve"> mits zij </w:t>
      </w:r>
      <w:r w:rsidR="00765006">
        <w:rPr>
          <w:rFonts w:ascii="Verdana" w:hAnsi="Verdana" w:eastAsia="Times New Roman" w:cs="Aptos"/>
          <w:sz w:val="18"/>
          <w:szCs w:val="18"/>
        </w:rPr>
        <w:t xml:space="preserve">ook </w:t>
      </w:r>
      <w:r w:rsidRPr="0059261E" w:rsidR="00765006">
        <w:rPr>
          <w:rFonts w:ascii="Verdana" w:hAnsi="Verdana" w:eastAsia="Times New Roman" w:cs="Aptos"/>
          <w:sz w:val="18"/>
          <w:szCs w:val="18"/>
        </w:rPr>
        <w:t xml:space="preserve">voldoen aan de omvangscriteria die voortvloeien uit de NIS2-richtlijn. </w:t>
      </w:r>
    </w:p>
    <w:p w:rsidRPr="000E32D7" w:rsidR="00B61A00" w:rsidP="00B61A00" w:rsidRDefault="00B61A00" w14:paraId="59BF0C01" w14:textId="3637FF8E">
      <w:pPr>
        <w:pStyle w:val="Geenafstand"/>
        <w:rPr>
          <w:rFonts w:ascii="Verdana" w:hAnsi="Verdana"/>
          <w:sz w:val="18"/>
          <w:szCs w:val="18"/>
        </w:rPr>
      </w:pPr>
      <w:r w:rsidRPr="000E32D7">
        <w:rPr>
          <w:rFonts w:ascii="Verdana" w:hAnsi="Verdana"/>
          <w:sz w:val="18"/>
          <w:szCs w:val="18"/>
        </w:rPr>
        <w:t xml:space="preserve">De Dutch Datacenter Association (DDA) geeft </w:t>
      </w:r>
      <w:r>
        <w:rPr>
          <w:rFonts w:ascii="Verdana" w:hAnsi="Verdana"/>
          <w:sz w:val="18"/>
          <w:szCs w:val="18"/>
        </w:rPr>
        <w:t>aan dat</w:t>
      </w:r>
      <w:r w:rsidRPr="000E32D7">
        <w:rPr>
          <w:rFonts w:ascii="Verdana" w:hAnsi="Verdana"/>
          <w:sz w:val="18"/>
          <w:szCs w:val="18"/>
        </w:rPr>
        <w:t xml:space="preserve"> de definitie van een datacenter en de diensten die een datacenter levert</w:t>
      </w:r>
      <w:r>
        <w:rPr>
          <w:rFonts w:ascii="Verdana" w:hAnsi="Verdana"/>
          <w:sz w:val="18"/>
          <w:szCs w:val="18"/>
        </w:rPr>
        <w:t>, onduidelijk is</w:t>
      </w:r>
      <w:r w:rsidRPr="000E32D7">
        <w:rPr>
          <w:rFonts w:ascii="Verdana" w:hAnsi="Verdana"/>
          <w:sz w:val="18"/>
          <w:szCs w:val="18"/>
        </w:rPr>
        <w:t xml:space="preserve">. Vele datacenters in Nederland verhuren faciliteiten als ruimte, koeling en stroom aan klanten. Deze klanten plaatsen hun servers in de gebouwen van de datacenter operator. Deze datacentereigenaren hebben dus geen zeggenschap over de ICT in het datacenter. Dit roept onduidelijkheden op ten aanzien van de </w:t>
      </w:r>
      <w:r>
        <w:rPr>
          <w:rFonts w:ascii="Verdana" w:hAnsi="Verdana"/>
          <w:sz w:val="18"/>
          <w:szCs w:val="18"/>
        </w:rPr>
        <w:t>zorgplicht, aldus DDA</w:t>
      </w:r>
      <w:r w:rsidRPr="000E32D7">
        <w:rPr>
          <w:rFonts w:ascii="Verdana" w:hAnsi="Verdana"/>
          <w:sz w:val="18"/>
          <w:szCs w:val="18"/>
        </w:rPr>
        <w:t xml:space="preserve">. </w:t>
      </w:r>
      <w:r>
        <w:rPr>
          <w:rFonts w:ascii="Verdana" w:hAnsi="Verdana"/>
          <w:sz w:val="18"/>
          <w:szCs w:val="18"/>
        </w:rPr>
        <w:t xml:space="preserve">De reactie hierop is als volgt. </w:t>
      </w:r>
      <w:r w:rsidRPr="000E32D7">
        <w:rPr>
          <w:rFonts w:ascii="Verdana" w:hAnsi="Verdana"/>
          <w:sz w:val="18"/>
          <w:szCs w:val="18"/>
        </w:rPr>
        <w:t xml:space="preserve">De beveiligingsmaatregelen die entiteiten moeten treffen op grond van de </w:t>
      </w:r>
      <w:proofErr w:type="spellStart"/>
      <w:r>
        <w:rPr>
          <w:rFonts w:ascii="Verdana" w:hAnsi="Verdana"/>
          <w:sz w:val="18"/>
          <w:szCs w:val="18"/>
        </w:rPr>
        <w:t>C</w:t>
      </w:r>
      <w:r w:rsidRPr="000E32D7">
        <w:rPr>
          <w:rFonts w:ascii="Verdana" w:hAnsi="Verdana"/>
          <w:sz w:val="18"/>
          <w:szCs w:val="18"/>
        </w:rPr>
        <w:t>bw</w:t>
      </w:r>
      <w:proofErr w:type="spellEnd"/>
      <w:r w:rsidRPr="000E32D7">
        <w:rPr>
          <w:rFonts w:ascii="Verdana" w:hAnsi="Verdana"/>
          <w:sz w:val="18"/>
          <w:szCs w:val="18"/>
        </w:rPr>
        <w:t xml:space="preserve"> betreffen “haar werkzaamheden of voor het verlenen van haar diensten”</w:t>
      </w:r>
      <w:r>
        <w:rPr>
          <w:rFonts w:ascii="Verdana" w:hAnsi="Verdana"/>
          <w:sz w:val="18"/>
          <w:szCs w:val="18"/>
        </w:rPr>
        <w:t>. Zie</w:t>
      </w:r>
      <w:r w:rsidRPr="000E32D7">
        <w:rPr>
          <w:rFonts w:ascii="Verdana" w:hAnsi="Verdana"/>
          <w:sz w:val="18"/>
          <w:szCs w:val="18"/>
        </w:rPr>
        <w:t xml:space="preserve"> artikel </w:t>
      </w:r>
      <w:r w:rsidR="003726E1">
        <w:rPr>
          <w:rFonts w:ascii="Verdana" w:hAnsi="Verdana"/>
          <w:sz w:val="18"/>
          <w:szCs w:val="18"/>
        </w:rPr>
        <w:t>21</w:t>
      </w:r>
      <w:r w:rsidRPr="000E32D7">
        <w:rPr>
          <w:rFonts w:ascii="Verdana" w:hAnsi="Verdana"/>
          <w:sz w:val="18"/>
          <w:szCs w:val="18"/>
        </w:rPr>
        <w:t>, eerste lid</w:t>
      </w:r>
      <w:r>
        <w:rPr>
          <w:rFonts w:ascii="Verdana" w:hAnsi="Verdana"/>
          <w:sz w:val="18"/>
          <w:szCs w:val="18"/>
        </w:rPr>
        <w:t xml:space="preserve">, </w:t>
      </w:r>
      <w:proofErr w:type="spellStart"/>
      <w:r>
        <w:rPr>
          <w:rFonts w:ascii="Verdana" w:hAnsi="Verdana"/>
          <w:sz w:val="18"/>
          <w:szCs w:val="18"/>
        </w:rPr>
        <w:t>Cbw</w:t>
      </w:r>
      <w:proofErr w:type="spellEnd"/>
      <w:r w:rsidRPr="000E32D7">
        <w:rPr>
          <w:rFonts w:ascii="Verdana" w:hAnsi="Verdana"/>
          <w:sz w:val="18"/>
          <w:szCs w:val="18"/>
        </w:rPr>
        <w:t xml:space="preserve"> (23, eerste lid</w:t>
      </w:r>
      <w:r w:rsidR="00204DD1">
        <w:rPr>
          <w:rFonts w:ascii="Verdana" w:hAnsi="Verdana"/>
          <w:sz w:val="18"/>
          <w:szCs w:val="18"/>
        </w:rPr>
        <w:t>,</w:t>
      </w:r>
      <w:r>
        <w:rPr>
          <w:rFonts w:ascii="Verdana" w:hAnsi="Verdana"/>
          <w:sz w:val="18"/>
          <w:szCs w:val="18"/>
        </w:rPr>
        <w:t xml:space="preserve"> oud</w:t>
      </w:r>
      <w:r w:rsidRPr="000E32D7">
        <w:rPr>
          <w:rFonts w:ascii="Verdana" w:hAnsi="Verdana"/>
          <w:sz w:val="18"/>
          <w:szCs w:val="18"/>
        </w:rPr>
        <w:t xml:space="preserve">). Indien klanten van aanbieders van datacenters zelf bepaalde activiteiten uitvoeren in een datacenter maar deze niet als dienst afnemen van de aanbieder, dan valt dit buiten de zorgplicht van de aanbieder van de datacenter. </w:t>
      </w:r>
    </w:p>
    <w:p w:rsidRPr="000E32D7" w:rsidR="00B61A00" w:rsidP="00B61A00" w:rsidRDefault="00B61A00" w14:paraId="1D28FC5E" w14:textId="59C916FC">
      <w:pPr>
        <w:pStyle w:val="Geenafstand"/>
        <w:rPr>
          <w:rFonts w:ascii="Verdana" w:hAnsi="Verdana"/>
          <w:sz w:val="18"/>
          <w:szCs w:val="18"/>
        </w:rPr>
      </w:pPr>
      <w:r w:rsidRPr="000E32D7">
        <w:rPr>
          <w:rFonts w:ascii="Verdana" w:hAnsi="Verdana"/>
          <w:sz w:val="18"/>
          <w:szCs w:val="18"/>
        </w:rPr>
        <w:t>Schiphol is van mening dat de term “aanbieders van netwerken voor de levering van inhoud” ambigue is. Het transporteren van data is ook</w:t>
      </w:r>
      <w:r>
        <w:rPr>
          <w:rFonts w:ascii="Verdana" w:hAnsi="Verdana"/>
          <w:sz w:val="18"/>
          <w:szCs w:val="18"/>
        </w:rPr>
        <w:t xml:space="preserve"> een</w:t>
      </w:r>
      <w:r w:rsidRPr="000E32D7">
        <w:rPr>
          <w:rFonts w:ascii="Verdana" w:hAnsi="Verdana"/>
          <w:sz w:val="18"/>
          <w:szCs w:val="18"/>
        </w:rPr>
        <w:t xml:space="preserve"> vorm van inhoud</w:t>
      </w:r>
      <w:r>
        <w:rPr>
          <w:rFonts w:ascii="Verdana" w:hAnsi="Verdana"/>
          <w:sz w:val="18"/>
          <w:szCs w:val="18"/>
        </w:rPr>
        <w:t>. Schiphol</w:t>
      </w:r>
      <w:r w:rsidRPr="000E32D7">
        <w:rPr>
          <w:rFonts w:ascii="Verdana" w:hAnsi="Verdana"/>
          <w:sz w:val="18"/>
          <w:szCs w:val="18"/>
        </w:rPr>
        <w:t xml:space="preserve"> vraagt of een internet</w:t>
      </w:r>
      <w:r>
        <w:rPr>
          <w:rFonts w:ascii="Verdana" w:hAnsi="Verdana"/>
          <w:sz w:val="18"/>
          <w:szCs w:val="18"/>
        </w:rPr>
        <w:t xml:space="preserve"> </w:t>
      </w:r>
      <w:r w:rsidRPr="000E32D7">
        <w:rPr>
          <w:rFonts w:ascii="Verdana" w:hAnsi="Verdana"/>
          <w:sz w:val="18"/>
          <w:szCs w:val="18"/>
        </w:rPr>
        <w:t>service provider</w:t>
      </w:r>
      <w:r>
        <w:rPr>
          <w:rFonts w:ascii="Verdana" w:hAnsi="Verdana"/>
          <w:sz w:val="18"/>
          <w:szCs w:val="18"/>
        </w:rPr>
        <w:t xml:space="preserve"> (hierna: ISP</w:t>
      </w:r>
      <w:r w:rsidRPr="000E32D7">
        <w:rPr>
          <w:rFonts w:ascii="Verdana" w:hAnsi="Verdana"/>
          <w:sz w:val="18"/>
          <w:szCs w:val="18"/>
        </w:rPr>
        <w:t xml:space="preserve">) ook onder deze dienst valt. </w:t>
      </w:r>
      <w:r>
        <w:rPr>
          <w:rFonts w:ascii="Verdana" w:hAnsi="Verdana"/>
          <w:sz w:val="18"/>
          <w:szCs w:val="18"/>
        </w:rPr>
        <w:t xml:space="preserve">De reactie hierop is als volgt. </w:t>
      </w:r>
      <w:r w:rsidRPr="000E32D7">
        <w:rPr>
          <w:rFonts w:ascii="Verdana" w:hAnsi="Verdana"/>
          <w:sz w:val="18"/>
          <w:szCs w:val="18"/>
        </w:rPr>
        <w:t xml:space="preserve">Een </w:t>
      </w:r>
      <w:r>
        <w:rPr>
          <w:rFonts w:ascii="Verdana" w:hAnsi="Verdana"/>
          <w:sz w:val="18"/>
          <w:szCs w:val="18"/>
        </w:rPr>
        <w:t>ISP</w:t>
      </w:r>
      <w:r w:rsidRPr="000E32D7">
        <w:rPr>
          <w:rFonts w:ascii="Verdana" w:hAnsi="Verdana"/>
          <w:sz w:val="18"/>
          <w:szCs w:val="18"/>
        </w:rPr>
        <w:t xml:space="preserve"> kan verschillende diensten aanbieden, maar een veelvoorkomende dienst die </w:t>
      </w:r>
      <w:proofErr w:type="spellStart"/>
      <w:r w:rsidRPr="000E32D7">
        <w:rPr>
          <w:rFonts w:ascii="Verdana" w:hAnsi="Verdana"/>
          <w:sz w:val="18"/>
          <w:szCs w:val="18"/>
        </w:rPr>
        <w:t>ISP</w:t>
      </w:r>
      <w:r w:rsidR="00D91960">
        <w:rPr>
          <w:rFonts w:ascii="Verdana" w:hAnsi="Verdana"/>
          <w:sz w:val="18"/>
          <w:szCs w:val="18"/>
        </w:rPr>
        <w:t>’</w:t>
      </w:r>
      <w:r w:rsidRPr="000E32D7">
        <w:rPr>
          <w:rFonts w:ascii="Verdana" w:hAnsi="Verdana"/>
          <w:sz w:val="18"/>
          <w:szCs w:val="18"/>
        </w:rPr>
        <w:t>s</w:t>
      </w:r>
      <w:proofErr w:type="spellEnd"/>
      <w:r w:rsidRPr="000E32D7">
        <w:rPr>
          <w:rFonts w:ascii="Verdana" w:hAnsi="Verdana"/>
          <w:sz w:val="18"/>
          <w:szCs w:val="18"/>
        </w:rPr>
        <w:t xml:space="preserve"> aanbieden is het verlenen van toegang tot het internet</w:t>
      </w:r>
      <w:r>
        <w:rPr>
          <w:rFonts w:ascii="Verdana" w:hAnsi="Verdana"/>
          <w:sz w:val="18"/>
          <w:szCs w:val="18"/>
        </w:rPr>
        <w:t>:</w:t>
      </w:r>
      <w:r w:rsidRPr="000E32D7">
        <w:rPr>
          <w:rFonts w:ascii="Verdana" w:hAnsi="Verdana"/>
          <w:sz w:val="18"/>
          <w:szCs w:val="18"/>
        </w:rPr>
        <w:t xml:space="preserve"> de internettoegangsdienst. Dit is een dienst die valt onder een (openbare) elektronische communicatiedienst zoals gedefinieerd in de </w:t>
      </w:r>
      <w:proofErr w:type="spellStart"/>
      <w:r w:rsidRPr="000E32D7">
        <w:rPr>
          <w:rFonts w:ascii="Verdana" w:hAnsi="Verdana"/>
          <w:sz w:val="18"/>
          <w:szCs w:val="18"/>
        </w:rPr>
        <w:t>T</w:t>
      </w:r>
      <w:r>
        <w:rPr>
          <w:rFonts w:ascii="Verdana" w:hAnsi="Verdana"/>
          <w:sz w:val="18"/>
          <w:szCs w:val="18"/>
        </w:rPr>
        <w:t>w</w:t>
      </w:r>
      <w:r w:rsidRPr="000E32D7">
        <w:rPr>
          <w:rFonts w:ascii="Verdana" w:hAnsi="Verdana"/>
          <w:sz w:val="18"/>
          <w:szCs w:val="18"/>
        </w:rPr>
        <w:t>.</w:t>
      </w:r>
      <w:proofErr w:type="spellEnd"/>
      <w:r w:rsidRPr="000E32D7">
        <w:rPr>
          <w:rFonts w:ascii="Verdana" w:hAnsi="Verdana"/>
          <w:sz w:val="18"/>
          <w:szCs w:val="18"/>
        </w:rPr>
        <w:t xml:space="preserve"> Het verlenen van toegang tot het internet valt niet onder de definitie van een “netwerk voor de levering van inhoud”. </w:t>
      </w:r>
    </w:p>
    <w:p w:rsidRPr="000E32D7" w:rsidR="00B61A00" w:rsidP="00B61A00" w:rsidRDefault="00B61A00" w14:paraId="34BC136D" w14:textId="707DDB2B">
      <w:pPr>
        <w:pStyle w:val="Geenafstand"/>
        <w:rPr>
          <w:rFonts w:ascii="Verdana" w:hAnsi="Verdana"/>
          <w:sz w:val="18"/>
          <w:szCs w:val="18"/>
        </w:rPr>
      </w:pPr>
      <w:r w:rsidRPr="000E32D7">
        <w:rPr>
          <w:rFonts w:ascii="Verdana" w:hAnsi="Verdana"/>
          <w:sz w:val="18"/>
          <w:szCs w:val="18"/>
        </w:rPr>
        <w:t xml:space="preserve">HVG </w:t>
      </w:r>
      <w:proofErr w:type="spellStart"/>
      <w:r w:rsidRPr="000E32D7">
        <w:rPr>
          <w:rFonts w:ascii="Verdana" w:hAnsi="Verdana"/>
          <w:sz w:val="18"/>
          <w:szCs w:val="18"/>
        </w:rPr>
        <w:t>Law</w:t>
      </w:r>
      <w:proofErr w:type="spellEnd"/>
      <w:r w:rsidRPr="000E32D7">
        <w:rPr>
          <w:rFonts w:ascii="Verdana" w:hAnsi="Verdana"/>
          <w:sz w:val="18"/>
          <w:szCs w:val="18"/>
        </w:rPr>
        <w:t xml:space="preserve">, EY accountants &amp; EY adviseurs vraagt om een nadere toelichting van de definities van de digitale sectoren, met name aangaande aanbieders van beheerde diensten en aanbieders van beheerde beveiligingsdiensten. </w:t>
      </w:r>
      <w:r>
        <w:rPr>
          <w:rFonts w:ascii="Verdana" w:hAnsi="Verdana"/>
          <w:sz w:val="18"/>
          <w:szCs w:val="18"/>
        </w:rPr>
        <w:t xml:space="preserve">De reactie hierop is als volgt. In de </w:t>
      </w:r>
      <w:proofErr w:type="spellStart"/>
      <w:r>
        <w:rPr>
          <w:rFonts w:ascii="Verdana" w:hAnsi="Verdana"/>
          <w:sz w:val="18"/>
          <w:szCs w:val="18"/>
        </w:rPr>
        <w:t>Cbw</w:t>
      </w:r>
      <w:proofErr w:type="spellEnd"/>
      <w:r>
        <w:rPr>
          <w:rFonts w:ascii="Verdana" w:hAnsi="Verdana"/>
          <w:sz w:val="18"/>
          <w:szCs w:val="18"/>
        </w:rPr>
        <w:t xml:space="preserve"> wordt </w:t>
      </w:r>
      <w:r w:rsidRPr="000E32D7">
        <w:rPr>
          <w:rFonts w:ascii="Verdana" w:hAnsi="Verdana"/>
          <w:sz w:val="18"/>
          <w:szCs w:val="18"/>
        </w:rPr>
        <w:t xml:space="preserve">geen nadere uitwerking </w:t>
      </w:r>
      <w:r>
        <w:rPr>
          <w:rFonts w:ascii="Verdana" w:hAnsi="Verdana"/>
          <w:sz w:val="18"/>
          <w:szCs w:val="18"/>
        </w:rPr>
        <w:t>gegeven aan de bedoelde</w:t>
      </w:r>
      <w:r w:rsidRPr="000E32D7">
        <w:rPr>
          <w:rFonts w:ascii="Verdana" w:hAnsi="Verdana"/>
          <w:sz w:val="18"/>
          <w:szCs w:val="18"/>
        </w:rPr>
        <w:t xml:space="preserve"> definities. Door </w:t>
      </w:r>
      <w:r>
        <w:rPr>
          <w:rFonts w:ascii="Verdana" w:hAnsi="Verdana"/>
          <w:sz w:val="18"/>
          <w:szCs w:val="18"/>
        </w:rPr>
        <w:t xml:space="preserve">de </w:t>
      </w:r>
      <w:r w:rsidRPr="000E32D7">
        <w:rPr>
          <w:rFonts w:ascii="Verdana" w:hAnsi="Verdana"/>
          <w:sz w:val="18"/>
          <w:szCs w:val="18"/>
        </w:rPr>
        <w:t xml:space="preserve">opname in de </w:t>
      </w:r>
      <w:r>
        <w:rPr>
          <w:rFonts w:ascii="Verdana" w:hAnsi="Verdana"/>
          <w:sz w:val="18"/>
          <w:szCs w:val="18"/>
        </w:rPr>
        <w:t>NIS2-</w:t>
      </w:r>
      <w:r w:rsidRPr="000E32D7">
        <w:rPr>
          <w:rFonts w:ascii="Verdana" w:hAnsi="Verdana"/>
          <w:sz w:val="18"/>
          <w:szCs w:val="18"/>
        </w:rPr>
        <w:t xml:space="preserve">richtlijn zijn deze </w:t>
      </w:r>
      <w:r>
        <w:rPr>
          <w:rFonts w:ascii="Verdana" w:hAnsi="Verdana"/>
          <w:sz w:val="18"/>
          <w:szCs w:val="18"/>
        </w:rPr>
        <w:t xml:space="preserve">immers </w:t>
      </w:r>
      <w:r w:rsidRPr="000E32D7">
        <w:rPr>
          <w:rFonts w:ascii="Verdana" w:hAnsi="Verdana"/>
          <w:sz w:val="18"/>
          <w:szCs w:val="18"/>
        </w:rPr>
        <w:t xml:space="preserve">Europeesrechtelijk geharmoniseerd. </w:t>
      </w:r>
      <w:r w:rsidRPr="00CA2296">
        <w:rPr>
          <w:rFonts w:ascii="Verdana" w:hAnsi="Verdana"/>
          <w:sz w:val="18"/>
          <w:szCs w:val="18"/>
        </w:rPr>
        <w:t xml:space="preserve">Indien blijkt dat er in de praktijk onduidelijkheid is of blijft bestaan, zal worden bezien hoe deze zo goed mogelijk kan worden weggenomen. Met het oog op Europese harmonisatie is het daarbij wenselijk om met betrekking tot uitleg van de definities in internationaal verband afstemming te zoeken, bij andere lidstaten, de Europese Commissie of </w:t>
      </w:r>
      <w:proofErr w:type="spellStart"/>
      <w:r w:rsidRPr="00CA2296">
        <w:rPr>
          <w:rFonts w:ascii="Verdana" w:hAnsi="Verdana"/>
          <w:sz w:val="18"/>
          <w:szCs w:val="18"/>
        </w:rPr>
        <w:t>Enisa</w:t>
      </w:r>
      <w:proofErr w:type="spellEnd"/>
      <w:r w:rsidRPr="00CA2296">
        <w:rPr>
          <w:rFonts w:ascii="Verdana" w:hAnsi="Verdana"/>
          <w:sz w:val="18"/>
          <w:szCs w:val="18"/>
        </w:rPr>
        <w:t>.</w:t>
      </w:r>
      <w:r w:rsidRPr="000E32D7">
        <w:rPr>
          <w:rFonts w:ascii="Verdana" w:hAnsi="Verdana"/>
          <w:sz w:val="18"/>
          <w:szCs w:val="18"/>
        </w:rPr>
        <w:t xml:space="preserve"> </w:t>
      </w:r>
      <w:r w:rsidR="00CB1D0A">
        <w:rPr>
          <w:rFonts w:ascii="Verdana" w:hAnsi="Verdana"/>
          <w:sz w:val="18"/>
          <w:szCs w:val="18"/>
        </w:rPr>
        <w:t>M</w:t>
      </w:r>
      <w:r w:rsidRPr="000E32D7">
        <w:rPr>
          <w:rFonts w:ascii="Verdana" w:hAnsi="Verdana"/>
          <w:sz w:val="18"/>
          <w:szCs w:val="18"/>
        </w:rPr>
        <w:t xml:space="preserve">et betrekking </w:t>
      </w:r>
      <w:r>
        <w:rPr>
          <w:rFonts w:ascii="Verdana" w:hAnsi="Verdana"/>
          <w:sz w:val="18"/>
          <w:szCs w:val="18"/>
        </w:rPr>
        <w:t>tot</w:t>
      </w:r>
      <w:r w:rsidRPr="000E32D7">
        <w:rPr>
          <w:rFonts w:ascii="Verdana" w:hAnsi="Verdana"/>
          <w:sz w:val="18"/>
          <w:szCs w:val="18"/>
        </w:rPr>
        <w:t xml:space="preserve"> aanbieders van beheerde diensten en beheerde beveiligingsdiensten </w:t>
      </w:r>
      <w:r w:rsidR="00CB1D0A">
        <w:rPr>
          <w:rFonts w:ascii="Verdana" w:hAnsi="Verdana"/>
          <w:sz w:val="18"/>
          <w:szCs w:val="18"/>
        </w:rPr>
        <w:t>wordt</w:t>
      </w:r>
      <w:r w:rsidRPr="000E32D7">
        <w:rPr>
          <w:rFonts w:ascii="Verdana" w:hAnsi="Verdana"/>
          <w:sz w:val="18"/>
          <w:szCs w:val="18"/>
        </w:rPr>
        <w:t xml:space="preserve"> opgemerkt dat een aanbieder van een beheerde beveiligingsdienst ook altijd een aanbieder van een beheerde dienst is. </w:t>
      </w:r>
    </w:p>
    <w:p w:rsidRPr="00FF46E3" w:rsidR="00A450AE" w:rsidP="00A450AE" w:rsidRDefault="00A450AE" w14:paraId="09613CED" w14:textId="77777777">
      <w:pPr>
        <w:pStyle w:val="Geenafstand"/>
        <w:rPr>
          <w:rFonts w:ascii="Verdana" w:hAnsi="Verdana" w:cstheme="minorHAnsi"/>
          <w:sz w:val="18"/>
          <w:szCs w:val="18"/>
        </w:rPr>
      </w:pPr>
    </w:p>
    <w:p w:rsidRPr="00913C78" w:rsidR="00A450AE" w:rsidP="00A450AE" w:rsidRDefault="00A450AE" w14:paraId="726AFF60" w14:textId="77777777">
      <w:pPr>
        <w:pStyle w:val="Geenafstand"/>
        <w:rPr>
          <w:rFonts w:ascii="Verdana" w:hAnsi="Verdana"/>
          <w:sz w:val="18"/>
          <w:szCs w:val="18"/>
        </w:rPr>
      </w:pPr>
      <w:bookmarkStart w:name="_Hlk174537987" w:id="211"/>
      <w:bookmarkEnd w:id="210"/>
      <w:r w:rsidRPr="00913C78">
        <w:rPr>
          <w:rFonts w:ascii="Verdana" w:hAnsi="Verdana"/>
          <w:i/>
          <w:iCs/>
          <w:sz w:val="18"/>
          <w:szCs w:val="18"/>
        </w:rPr>
        <w:t>Voornaamste economische activiteit</w:t>
      </w:r>
    </w:p>
    <w:p w:rsidRPr="00FF46E3" w:rsidR="00A450AE" w:rsidP="00A450AE" w:rsidRDefault="00A450AE" w14:paraId="0DD3F752" w14:textId="775E51BD">
      <w:pPr>
        <w:pStyle w:val="Geenafstand"/>
        <w:rPr>
          <w:rFonts w:ascii="Verdana" w:hAnsi="Verdana"/>
          <w:sz w:val="18"/>
          <w:szCs w:val="18"/>
        </w:rPr>
      </w:pPr>
      <w:r w:rsidRPr="00913C78">
        <w:rPr>
          <w:rFonts w:ascii="Verdana" w:hAnsi="Verdana"/>
          <w:sz w:val="18"/>
          <w:szCs w:val="18"/>
        </w:rPr>
        <w:t xml:space="preserve">Ter implementatie van het bepaalde hierover in de NIS2-richtlijn is in de bijlagen van de </w:t>
      </w:r>
      <w:proofErr w:type="spellStart"/>
      <w:r w:rsidRPr="00913C78">
        <w:rPr>
          <w:rFonts w:ascii="Verdana" w:hAnsi="Verdana"/>
          <w:sz w:val="18"/>
          <w:szCs w:val="18"/>
        </w:rPr>
        <w:t>Cbw</w:t>
      </w:r>
      <w:proofErr w:type="spellEnd"/>
      <w:r w:rsidRPr="00913C78">
        <w:rPr>
          <w:rFonts w:ascii="Verdana" w:hAnsi="Verdana"/>
          <w:sz w:val="18"/>
          <w:szCs w:val="18"/>
        </w:rPr>
        <w:t xml:space="preserve"> geregeld dat de </w:t>
      </w:r>
      <w:proofErr w:type="spellStart"/>
      <w:r w:rsidRPr="00913C78">
        <w:rPr>
          <w:rFonts w:ascii="Verdana" w:hAnsi="Verdana"/>
          <w:sz w:val="18"/>
          <w:szCs w:val="18"/>
        </w:rPr>
        <w:t>Cbw</w:t>
      </w:r>
      <w:proofErr w:type="spellEnd"/>
      <w:r w:rsidRPr="00913C78">
        <w:rPr>
          <w:rFonts w:ascii="Verdana" w:hAnsi="Verdana"/>
          <w:sz w:val="18"/>
          <w:szCs w:val="18"/>
        </w:rPr>
        <w:t xml:space="preserve"> niet van toepassing is op</w:t>
      </w:r>
      <w:r w:rsidRPr="00B4390C">
        <w:rPr>
          <w:rFonts w:ascii="Verdana" w:hAnsi="Verdana"/>
          <w:sz w:val="18"/>
          <w:szCs w:val="18"/>
        </w:rPr>
        <w:t xml:space="preserve"> entiteiten binnen de sectoren drinkwater, afvalwater en afvalstoffenbeheer wanneer de genoemde activiteiten “niet hun voornaamste economische activiteit is” of een vergelijkbare formulering. </w:t>
      </w:r>
      <w:r w:rsidRPr="00913C78" w:rsidR="00B019FB">
        <w:rPr>
          <w:rFonts w:ascii="Verdana" w:hAnsi="Verdana"/>
          <w:sz w:val="18"/>
          <w:szCs w:val="18"/>
        </w:rPr>
        <w:t xml:space="preserve">Het Verbond van Nederlandse Ondernemingen </w:t>
      </w:r>
      <w:r w:rsidRPr="00913C78" w:rsidR="00D91960">
        <w:rPr>
          <w:rFonts w:ascii="Verdana" w:hAnsi="Verdana"/>
          <w:sz w:val="18"/>
          <w:szCs w:val="18"/>
        </w:rPr>
        <w:t>–</w:t>
      </w:r>
      <w:r w:rsidRPr="00913C78" w:rsidR="00B019FB">
        <w:rPr>
          <w:rFonts w:ascii="Verdana" w:hAnsi="Verdana"/>
          <w:sz w:val="18"/>
          <w:szCs w:val="18"/>
        </w:rPr>
        <w:t xml:space="preserve"> Nederlands Christelijk Werkgeversverbond (hierna: </w:t>
      </w:r>
      <w:r w:rsidRPr="00B4390C">
        <w:rPr>
          <w:rFonts w:ascii="Verdana" w:hAnsi="Verdana"/>
          <w:sz w:val="18"/>
          <w:szCs w:val="18"/>
        </w:rPr>
        <w:t>VNO-NCW</w:t>
      </w:r>
      <w:r w:rsidRPr="00B4390C" w:rsidR="00B019FB">
        <w:rPr>
          <w:rFonts w:ascii="Verdana" w:hAnsi="Verdana"/>
          <w:sz w:val="18"/>
          <w:szCs w:val="18"/>
        </w:rPr>
        <w:t>)</w:t>
      </w:r>
      <w:r w:rsidRPr="00B4390C">
        <w:rPr>
          <w:rFonts w:ascii="Verdana" w:hAnsi="Verdana"/>
          <w:sz w:val="18"/>
          <w:szCs w:val="18"/>
        </w:rPr>
        <w:t xml:space="preserve"> en de Koninklijke Vereniging MKB-Nederland (hierna: MKB-Nederland)</w:t>
      </w:r>
      <w:r w:rsidRPr="00B4390C" w:rsidDel="00110429">
        <w:rPr>
          <w:rFonts w:ascii="Verdana" w:hAnsi="Verdana"/>
          <w:sz w:val="18"/>
          <w:szCs w:val="18"/>
        </w:rPr>
        <w:t xml:space="preserve"> </w:t>
      </w:r>
      <w:r w:rsidRPr="00B4390C">
        <w:rPr>
          <w:rFonts w:ascii="Verdana" w:hAnsi="Verdana"/>
          <w:sz w:val="18"/>
          <w:szCs w:val="18"/>
        </w:rPr>
        <w:t xml:space="preserve">vragen of dit verder kan worden geconcretiseerd. De mate waarin een bedrijf een bepaalde activiteit uitvoert is voor entiteiten in overige sectoren niet relevant om te bepalen of de entiteit onder de </w:t>
      </w:r>
      <w:proofErr w:type="spellStart"/>
      <w:r w:rsidRPr="00B4390C">
        <w:rPr>
          <w:rFonts w:ascii="Verdana" w:hAnsi="Verdana"/>
          <w:sz w:val="18"/>
          <w:szCs w:val="18"/>
        </w:rPr>
        <w:t>Cbw</w:t>
      </w:r>
      <w:proofErr w:type="spellEnd"/>
      <w:r w:rsidRPr="00B4390C">
        <w:rPr>
          <w:rFonts w:ascii="Verdana" w:hAnsi="Verdana"/>
          <w:sz w:val="18"/>
          <w:szCs w:val="18"/>
        </w:rPr>
        <w:t xml:space="preserve"> valt. Wel kan een bedrijf bij de toepassing van de zorgplicht een </w:t>
      </w:r>
      <w:proofErr w:type="spellStart"/>
      <w:r w:rsidRPr="00B4390C">
        <w:rPr>
          <w:rFonts w:ascii="Verdana" w:hAnsi="Verdana"/>
          <w:sz w:val="18"/>
          <w:szCs w:val="18"/>
        </w:rPr>
        <w:t>risicogebaseerde</w:t>
      </w:r>
      <w:proofErr w:type="spellEnd"/>
      <w:r w:rsidRPr="00B4390C">
        <w:rPr>
          <w:rFonts w:ascii="Verdana" w:hAnsi="Verdana"/>
          <w:sz w:val="18"/>
          <w:szCs w:val="18"/>
        </w:rPr>
        <w:t xml:space="preserve"> benadering hanteren, waarbij de maatregelen die zij treffen voor de beveiliging van hun netwerk- en informatiesystemen passend en evenredig zijn aan de risico</w:t>
      </w:r>
      <w:r w:rsidRPr="00B4390C" w:rsidR="00D91960">
        <w:rPr>
          <w:rFonts w:ascii="Verdana" w:hAnsi="Verdana"/>
          <w:sz w:val="18"/>
          <w:szCs w:val="18"/>
        </w:rPr>
        <w:t>’</w:t>
      </w:r>
      <w:r w:rsidRPr="00B4390C">
        <w:rPr>
          <w:rFonts w:ascii="Verdana" w:hAnsi="Verdana"/>
          <w:sz w:val="18"/>
          <w:szCs w:val="18"/>
        </w:rPr>
        <w:t>s voor hun dienstverlening.</w:t>
      </w:r>
    </w:p>
    <w:bookmarkEnd w:id="211"/>
    <w:p w:rsidRPr="00FF46E3" w:rsidR="00A450AE" w:rsidP="00A450AE" w:rsidRDefault="00A450AE" w14:paraId="17C3B891" w14:textId="77777777">
      <w:pPr>
        <w:pStyle w:val="Geenafstand"/>
        <w:rPr>
          <w:rFonts w:ascii="Verdana" w:hAnsi="Verdana"/>
          <w:i/>
          <w:iCs/>
          <w:sz w:val="18"/>
          <w:szCs w:val="18"/>
        </w:rPr>
      </w:pPr>
    </w:p>
    <w:p w:rsidR="00A450AE" w:rsidP="00A450AE" w:rsidRDefault="00A450AE" w14:paraId="4A8C59DB" w14:textId="77777777">
      <w:pPr>
        <w:pStyle w:val="Geenafstand"/>
        <w:rPr>
          <w:rFonts w:ascii="Verdana" w:hAnsi="Verdana"/>
          <w:i/>
          <w:iCs/>
          <w:sz w:val="18"/>
          <w:szCs w:val="18"/>
        </w:rPr>
      </w:pPr>
      <w:bookmarkStart w:name="_Hlk174617147" w:id="212"/>
      <w:bookmarkStart w:name="_Hlk174538094" w:id="213"/>
      <w:r>
        <w:rPr>
          <w:rFonts w:ascii="Verdana" w:hAnsi="Verdana"/>
          <w:i/>
          <w:iCs/>
          <w:sz w:val="18"/>
          <w:szCs w:val="18"/>
        </w:rPr>
        <w:t>Complexe bedrijfsstructuren</w:t>
      </w:r>
    </w:p>
    <w:p w:rsidRPr="00107914" w:rsidR="00A450AE" w:rsidP="00A450AE" w:rsidRDefault="00A450AE" w14:paraId="056015D5" w14:textId="7CB1F748">
      <w:pPr>
        <w:pStyle w:val="Geenafstand"/>
        <w:rPr>
          <w:rFonts w:ascii="Verdana" w:hAnsi="Verdana"/>
          <w:sz w:val="18"/>
          <w:szCs w:val="18"/>
        </w:rPr>
      </w:pPr>
      <w:r>
        <w:rPr>
          <w:rFonts w:ascii="Verdana" w:hAnsi="Verdana"/>
          <w:sz w:val="18"/>
          <w:szCs w:val="18"/>
        </w:rPr>
        <w:t xml:space="preserve">In verschillende reacties wordt gevraagd naar de toepassing van de </w:t>
      </w:r>
      <w:proofErr w:type="spellStart"/>
      <w:r>
        <w:rPr>
          <w:rFonts w:ascii="Verdana" w:hAnsi="Verdana"/>
          <w:sz w:val="18"/>
          <w:szCs w:val="18"/>
        </w:rPr>
        <w:t>Cbw</w:t>
      </w:r>
      <w:proofErr w:type="spellEnd"/>
      <w:r>
        <w:rPr>
          <w:rFonts w:ascii="Verdana" w:hAnsi="Verdana"/>
          <w:sz w:val="18"/>
          <w:szCs w:val="18"/>
        </w:rPr>
        <w:t xml:space="preserve"> op bedrijven met complexe bedrijfsstructuren, bijvoorbeeld als organisaties bestaan uit meerdere rechtspersonen. Om te bepalen of een organisatie binnen een dergelijke structuur onder de </w:t>
      </w:r>
      <w:proofErr w:type="spellStart"/>
      <w:r>
        <w:rPr>
          <w:rFonts w:ascii="Verdana" w:hAnsi="Verdana"/>
          <w:sz w:val="18"/>
          <w:szCs w:val="18"/>
        </w:rPr>
        <w:t>Cbw</w:t>
      </w:r>
      <w:proofErr w:type="spellEnd"/>
      <w:r>
        <w:rPr>
          <w:rFonts w:ascii="Verdana" w:hAnsi="Verdana"/>
          <w:sz w:val="18"/>
          <w:szCs w:val="18"/>
        </w:rPr>
        <w:t xml:space="preserve"> valt, moet een organisatie als eerste vaststellen of zij voldoen aan de definitie van entiteit, zoals gedefinieerd in artikel 1 </w:t>
      </w:r>
      <w:proofErr w:type="spellStart"/>
      <w:r>
        <w:rPr>
          <w:rFonts w:ascii="Verdana" w:hAnsi="Verdana"/>
          <w:sz w:val="18"/>
          <w:szCs w:val="18"/>
        </w:rPr>
        <w:t>Cbw</w:t>
      </w:r>
      <w:proofErr w:type="spellEnd"/>
      <w:r>
        <w:rPr>
          <w:rFonts w:ascii="Verdana" w:hAnsi="Verdana"/>
          <w:sz w:val="18"/>
          <w:szCs w:val="18"/>
        </w:rPr>
        <w:t xml:space="preserve">. Zoals hierboven aangegeven kan vervolgens op basis van de omvang van de entiteit en de definities uit de bijlage worden bepaald of een entiteit van rechtswege onder de </w:t>
      </w:r>
      <w:proofErr w:type="spellStart"/>
      <w:r>
        <w:rPr>
          <w:rFonts w:ascii="Verdana" w:hAnsi="Verdana"/>
          <w:sz w:val="18"/>
          <w:szCs w:val="18"/>
        </w:rPr>
        <w:t>Cbw</w:t>
      </w:r>
      <w:proofErr w:type="spellEnd"/>
      <w:r>
        <w:rPr>
          <w:rFonts w:ascii="Verdana" w:hAnsi="Verdana"/>
          <w:sz w:val="18"/>
          <w:szCs w:val="18"/>
        </w:rPr>
        <w:t xml:space="preserve"> valt. Om vast te stellen of er sprake is van een verbonden of partneronderneming, dient gebruik te worden gemaakt van de Aanbeveling 2003/361/EG. De gegevens van verbonden of partnerondernemingen worden meegeteld voor het bepalen van de omvang van een organisatie, maar van elke entiteit moet zelfstandig worden bepaald of deze onder de </w:t>
      </w:r>
      <w:proofErr w:type="spellStart"/>
      <w:r>
        <w:rPr>
          <w:rFonts w:ascii="Verdana" w:hAnsi="Verdana"/>
          <w:sz w:val="18"/>
          <w:szCs w:val="18"/>
        </w:rPr>
        <w:t>Cbw</w:t>
      </w:r>
      <w:proofErr w:type="spellEnd"/>
      <w:r>
        <w:rPr>
          <w:rFonts w:ascii="Verdana" w:hAnsi="Verdana"/>
          <w:sz w:val="18"/>
          <w:szCs w:val="18"/>
        </w:rPr>
        <w:t xml:space="preserve"> valt. Binnen een groep van ondernemingen kunnen dus meerdere entiteiten bestaan die een essentiële entiteit of belangrijke entiteit zijn en moeten voldoen aan de verplichtingen uit de </w:t>
      </w:r>
      <w:proofErr w:type="spellStart"/>
      <w:r>
        <w:rPr>
          <w:rFonts w:ascii="Verdana" w:hAnsi="Verdana"/>
          <w:sz w:val="18"/>
          <w:szCs w:val="18"/>
        </w:rPr>
        <w:t>Cbw</w:t>
      </w:r>
      <w:proofErr w:type="spellEnd"/>
      <w:r>
        <w:rPr>
          <w:rFonts w:ascii="Verdana" w:hAnsi="Verdana"/>
          <w:sz w:val="18"/>
          <w:szCs w:val="18"/>
        </w:rPr>
        <w:t>.</w:t>
      </w:r>
    </w:p>
    <w:p w:rsidRPr="00FF46E3" w:rsidR="001128F0" w:rsidP="001128F0" w:rsidRDefault="001128F0" w14:paraId="5DB7D126" w14:textId="3BF9D1DF">
      <w:pPr>
        <w:pStyle w:val="Geenafstand"/>
        <w:rPr>
          <w:rFonts w:ascii="Verdana" w:hAnsi="Verdana"/>
          <w:sz w:val="18"/>
          <w:szCs w:val="18"/>
        </w:rPr>
      </w:pPr>
      <w:r>
        <w:rPr>
          <w:rFonts w:ascii="Verdana" w:hAnsi="Verdana"/>
          <w:sz w:val="18"/>
          <w:szCs w:val="18"/>
        </w:rPr>
        <w:t>In diverse consultatiereacties wordt</w:t>
      </w:r>
      <w:r w:rsidR="00F12F81">
        <w:rPr>
          <w:rFonts w:ascii="Verdana" w:hAnsi="Verdana"/>
          <w:sz w:val="18"/>
          <w:szCs w:val="18"/>
        </w:rPr>
        <w:t xml:space="preserve"> </w:t>
      </w:r>
      <w:r>
        <w:rPr>
          <w:rFonts w:ascii="Verdana" w:hAnsi="Verdana"/>
          <w:sz w:val="18"/>
          <w:szCs w:val="18"/>
        </w:rPr>
        <w:t>gevraagd</w:t>
      </w:r>
      <w:r w:rsidRPr="00FF46E3">
        <w:rPr>
          <w:rFonts w:ascii="Verdana" w:hAnsi="Verdana"/>
          <w:sz w:val="18"/>
          <w:szCs w:val="18"/>
        </w:rPr>
        <w:t xml:space="preserve"> naar de toepassing van overweging 16 </w:t>
      </w:r>
      <w:r w:rsidR="00DF67C4">
        <w:rPr>
          <w:rFonts w:ascii="Verdana" w:hAnsi="Verdana"/>
          <w:sz w:val="18"/>
          <w:szCs w:val="18"/>
        </w:rPr>
        <w:t xml:space="preserve">van de </w:t>
      </w:r>
      <w:r>
        <w:rPr>
          <w:rFonts w:ascii="Verdana" w:hAnsi="Verdana"/>
          <w:sz w:val="18"/>
          <w:szCs w:val="18"/>
        </w:rPr>
        <w:t>NIS2-</w:t>
      </w:r>
      <w:r w:rsidRPr="00FF46E3">
        <w:rPr>
          <w:rFonts w:ascii="Verdana" w:hAnsi="Verdana"/>
          <w:sz w:val="18"/>
          <w:szCs w:val="18"/>
        </w:rPr>
        <w:t xml:space="preserve">richtlijn, waarin staat dat lidstaten bij het toepassen van de Aanbeveling 2003/361/EG rekening kunnen houden met de mate van onafhankelijkheid die er tussen de netwerk- en informatiesystemen van verbonden of partnerondernemingen bestaat. In </w:t>
      </w:r>
      <w:r>
        <w:rPr>
          <w:rFonts w:ascii="Verdana" w:hAnsi="Verdana"/>
          <w:sz w:val="18"/>
          <w:szCs w:val="18"/>
        </w:rPr>
        <w:t xml:space="preserve">de </w:t>
      </w:r>
      <w:proofErr w:type="spellStart"/>
      <w:r>
        <w:rPr>
          <w:rFonts w:ascii="Verdana" w:hAnsi="Verdana"/>
          <w:sz w:val="18"/>
          <w:szCs w:val="18"/>
        </w:rPr>
        <w:t>Cbw</w:t>
      </w:r>
      <w:proofErr w:type="spellEnd"/>
      <w:r w:rsidRPr="00FF46E3">
        <w:rPr>
          <w:rFonts w:ascii="Verdana" w:hAnsi="Verdana"/>
          <w:sz w:val="18"/>
          <w:szCs w:val="18"/>
        </w:rPr>
        <w:t xml:space="preserve"> is hier geen verdere invulling aan gegeven.</w:t>
      </w:r>
    </w:p>
    <w:p w:rsidR="00A450AE" w:rsidP="00A450AE" w:rsidRDefault="00A450AE" w14:paraId="523235BD" w14:textId="77777777">
      <w:pPr>
        <w:pStyle w:val="Geenafstand"/>
        <w:rPr>
          <w:rFonts w:ascii="Verdana" w:hAnsi="Verdana"/>
          <w:sz w:val="18"/>
          <w:szCs w:val="18"/>
        </w:rPr>
      </w:pPr>
    </w:p>
    <w:bookmarkEnd w:id="212"/>
    <w:p w:rsidRPr="002E712D" w:rsidR="00A450AE" w:rsidP="00A450AE" w:rsidRDefault="00A450AE" w14:paraId="6B4477B0" w14:textId="77777777">
      <w:pPr>
        <w:pStyle w:val="Geenafstand"/>
        <w:rPr>
          <w:rFonts w:ascii="Verdana" w:hAnsi="Verdana"/>
          <w:i/>
          <w:iCs/>
          <w:sz w:val="18"/>
          <w:szCs w:val="18"/>
        </w:rPr>
      </w:pPr>
      <w:r>
        <w:rPr>
          <w:rFonts w:ascii="Verdana" w:hAnsi="Verdana"/>
          <w:i/>
          <w:iCs/>
          <w:sz w:val="18"/>
          <w:szCs w:val="18"/>
        </w:rPr>
        <w:t>Jurisdictie</w:t>
      </w:r>
    </w:p>
    <w:bookmarkEnd w:id="213"/>
    <w:p w:rsidRPr="00FF46E3" w:rsidR="00A450AE" w:rsidP="00A450AE" w:rsidRDefault="00A450AE" w14:paraId="3CB08796" w14:textId="187ADD1C">
      <w:pPr>
        <w:pStyle w:val="Geenafstand"/>
        <w:rPr>
          <w:rFonts w:ascii="Verdana" w:hAnsi="Verdana"/>
          <w:sz w:val="18"/>
          <w:szCs w:val="18"/>
        </w:rPr>
      </w:pPr>
      <w:r>
        <w:rPr>
          <w:rFonts w:ascii="Verdana" w:hAnsi="Verdana"/>
          <w:sz w:val="18"/>
          <w:szCs w:val="18"/>
        </w:rPr>
        <w:t xml:space="preserve">In </w:t>
      </w:r>
      <w:r w:rsidR="00800F0B">
        <w:rPr>
          <w:rFonts w:ascii="Verdana" w:hAnsi="Verdana"/>
          <w:sz w:val="18"/>
          <w:szCs w:val="18"/>
        </w:rPr>
        <w:t xml:space="preserve">diverse </w:t>
      </w:r>
      <w:r>
        <w:rPr>
          <w:rFonts w:ascii="Verdana" w:hAnsi="Verdana"/>
          <w:sz w:val="18"/>
          <w:szCs w:val="18"/>
        </w:rPr>
        <w:t xml:space="preserve">consultatiereacties wordt gevraagd naar </w:t>
      </w:r>
      <w:r w:rsidRPr="00FF46E3">
        <w:rPr>
          <w:rFonts w:ascii="Verdana" w:hAnsi="Verdana"/>
          <w:sz w:val="18"/>
          <w:szCs w:val="18"/>
        </w:rPr>
        <w:t xml:space="preserve">de jurisdictie </w:t>
      </w:r>
      <w:r>
        <w:rPr>
          <w:rFonts w:ascii="Verdana" w:hAnsi="Verdana"/>
          <w:sz w:val="18"/>
          <w:szCs w:val="18"/>
        </w:rPr>
        <w:t>ten aanzien van</w:t>
      </w:r>
      <w:r w:rsidRPr="00FF46E3">
        <w:rPr>
          <w:rFonts w:ascii="Verdana" w:hAnsi="Verdana"/>
          <w:sz w:val="18"/>
          <w:szCs w:val="18"/>
        </w:rPr>
        <w:t xml:space="preserve"> </w:t>
      </w:r>
      <w:r>
        <w:rPr>
          <w:rFonts w:ascii="Verdana" w:hAnsi="Verdana"/>
          <w:sz w:val="18"/>
          <w:szCs w:val="18"/>
        </w:rPr>
        <w:t xml:space="preserve">een </w:t>
      </w:r>
      <w:r w:rsidRPr="00FF46E3">
        <w:rPr>
          <w:rFonts w:ascii="Verdana" w:hAnsi="Verdana"/>
          <w:sz w:val="18"/>
          <w:szCs w:val="18"/>
        </w:rPr>
        <w:t xml:space="preserve">entiteit of verschillende entiteiten </w:t>
      </w:r>
      <w:r>
        <w:rPr>
          <w:rFonts w:ascii="Verdana" w:hAnsi="Verdana"/>
          <w:sz w:val="18"/>
          <w:szCs w:val="18"/>
        </w:rPr>
        <w:t xml:space="preserve">die </w:t>
      </w:r>
      <w:r w:rsidRPr="00FF46E3">
        <w:rPr>
          <w:rFonts w:ascii="Verdana" w:hAnsi="Verdana"/>
          <w:sz w:val="18"/>
          <w:szCs w:val="18"/>
        </w:rPr>
        <w:t>binnen een groep ondernemingen actief is</w:t>
      </w:r>
      <w:r>
        <w:rPr>
          <w:rFonts w:ascii="Verdana" w:hAnsi="Verdana"/>
          <w:sz w:val="18"/>
          <w:szCs w:val="18"/>
        </w:rPr>
        <w:t xml:space="preserve"> of zijn</w:t>
      </w:r>
      <w:r w:rsidRPr="00FF46E3">
        <w:rPr>
          <w:rFonts w:ascii="Verdana" w:hAnsi="Verdana"/>
          <w:sz w:val="18"/>
          <w:szCs w:val="18"/>
        </w:rPr>
        <w:t xml:space="preserve"> in meerdere lidstaten. </w:t>
      </w:r>
      <w:r w:rsidR="005931F0">
        <w:rPr>
          <w:rFonts w:ascii="Verdana" w:hAnsi="Verdana"/>
          <w:sz w:val="18"/>
          <w:szCs w:val="18"/>
        </w:rPr>
        <w:t>Hierover wordt het volgende toegelicht.</w:t>
      </w:r>
      <w:r>
        <w:rPr>
          <w:rFonts w:ascii="Verdana" w:hAnsi="Verdana"/>
          <w:sz w:val="18"/>
          <w:szCs w:val="18"/>
        </w:rPr>
        <w:t xml:space="preserve"> A</w:t>
      </w:r>
      <w:r w:rsidRPr="00FF46E3">
        <w:rPr>
          <w:rFonts w:ascii="Verdana" w:hAnsi="Verdana"/>
          <w:sz w:val="18"/>
          <w:szCs w:val="18"/>
        </w:rPr>
        <w:t>rtikel 26 NIS2-richtlijn</w:t>
      </w:r>
      <w:r>
        <w:rPr>
          <w:rFonts w:ascii="Verdana" w:hAnsi="Verdana"/>
          <w:sz w:val="18"/>
          <w:szCs w:val="18"/>
        </w:rPr>
        <w:t xml:space="preserve"> gaat over de jurisdictie en </w:t>
      </w:r>
      <w:r w:rsidRPr="00FF46E3">
        <w:rPr>
          <w:rFonts w:ascii="Verdana" w:hAnsi="Verdana"/>
          <w:sz w:val="18"/>
          <w:szCs w:val="18"/>
        </w:rPr>
        <w:t xml:space="preserve">is geïmplementeerd in artikel 4 </w:t>
      </w:r>
      <w:proofErr w:type="spellStart"/>
      <w:r w:rsidRPr="00FF46E3">
        <w:rPr>
          <w:rFonts w:ascii="Verdana" w:hAnsi="Verdana"/>
          <w:sz w:val="18"/>
          <w:szCs w:val="18"/>
        </w:rPr>
        <w:t>Cbw</w:t>
      </w:r>
      <w:proofErr w:type="spellEnd"/>
      <w:r w:rsidRPr="00FF46E3">
        <w:rPr>
          <w:rFonts w:ascii="Verdana" w:hAnsi="Verdana"/>
          <w:sz w:val="18"/>
          <w:szCs w:val="18"/>
        </w:rPr>
        <w:t xml:space="preserve">. Indien een lidstaat jurisdictie heeft over een entiteit, moet </w:t>
      </w:r>
      <w:r>
        <w:rPr>
          <w:rFonts w:ascii="Verdana" w:hAnsi="Verdana"/>
          <w:sz w:val="18"/>
          <w:szCs w:val="18"/>
        </w:rPr>
        <w:t>die</w:t>
      </w:r>
      <w:r w:rsidRPr="00FF46E3">
        <w:rPr>
          <w:rFonts w:ascii="Verdana" w:hAnsi="Verdana"/>
          <w:sz w:val="18"/>
          <w:szCs w:val="18"/>
        </w:rPr>
        <w:t xml:space="preserve"> entiteit ook in die lidstaat voldoen aan de daar geldende wetgeving. </w:t>
      </w:r>
    </w:p>
    <w:p w:rsidRPr="00FF46E3" w:rsidR="00A450AE" w:rsidP="00A450AE" w:rsidRDefault="00A450AE" w14:paraId="5B4E47A7" w14:textId="77777777">
      <w:pPr>
        <w:pStyle w:val="Geenafstand"/>
        <w:rPr>
          <w:rFonts w:ascii="Verdana" w:hAnsi="Verdana"/>
          <w:sz w:val="18"/>
          <w:szCs w:val="18"/>
        </w:rPr>
      </w:pPr>
      <w:r w:rsidRPr="00FF46E3">
        <w:rPr>
          <w:rFonts w:ascii="Verdana" w:hAnsi="Verdana"/>
          <w:sz w:val="18"/>
          <w:szCs w:val="18"/>
        </w:rPr>
        <w:t xml:space="preserve"> </w:t>
      </w:r>
    </w:p>
    <w:p w:rsidRPr="00E71D88" w:rsidR="00A450AE" w:rsidP="00A450AE" w:rsidRDefault="00A450AE" w14:paraId="560B802F" w14:textId="77777777">
      <w:pPr>
        <w:pStyle w:val="Geenafstand"/>
        <w:rPr>
          <w:rFonts w:ascii="Verdana" w:hAnsi="Verdana"/>
          <w:i/>
          <w:iCs/>
          <w:sz w:val="18"/>
          <w:szCs w:val="18"/>
        </w:rPr>
      </w:pPr>
      <w:r w:rsidRPr="00E71D88">
        <w:rPr>
          <w:rFonts w:ascii="Verdana" w:hAnsi="Verdana"/>
          <w:i/>
          <w:iCs/>
          <w:sz w:val="18"/>
          <w:szCs w:val="18"/>
        </w:rPr>
        <w:t>Veiligheidsregio’s</w:t>
      </w:r>
    </w:p>
    <w:p w:rsidRPr="00FF46E3" w:rsidR="00A450AE" w:rsidP="00A450AE" w:rsidRDefault="00A450AE" w14:paraId="12417D7E" w14:textId="7DDBBD40">
      <w:pPr>
        <w:pStyle w:val="Geenafstand"/>
        <w:rPr>
          <w:rFonts w:ascii="Verdana" w:hAnsi="Verdana"/>
          <w:sz w:val="18"/>
          <w:szCs w:val="18"/>
        </w:rPr>
      </w:pPr>
      <w:r w:rsidRPr="00E71D88">
        <w:rPr>
          <w:rFonts w:ascii="Verdana" w:hAnsi="Verdana"/>
          <w:sz w:val="18"/>
          <w:szCs w:val="18"/>
        </w:rPr>
        <w:t>In een consultatiereactie wordt gevraagd naar de positie van de veiligheidsregio</w:t>
      </w:r>
      <w:r w:rsidRPr="00E71D88" w:rsidR="00D91960">
        <w:rPr>
          <w:rFonts w:ascii="Verdana" w:hAnsi="Verdana"/>
          <w:sz w:val="18"/>
          <w:szCs w:val="18"/>
        </w:rPr>
        <w:t>’</w:t>
      </w:r>
      <w:r w:rsidRPr="00E71D88">
        <w:rPr>
          <w:rFonts w:ascii="Verdana" w:hAnsi="Verdana"/>
          <w:sz w:val="18"/>
          <w:szCs w:val="18"/>
        </w:rPr>
        <w:t xml:space="preserve">s onder de </w:t>
      </w:r>
      <w:proofErr w:type="spellStart"/>
      <w:r w:rsidRPr="00E71D88">
        <w:rPr>
          <w:rFonts w:ascii="Verdana" w:hAnsi="Verdana"/>
          <w:sz w:val="18"/>
          <w:szCs w:val="18"/>
        </w:rPr>
        <w:t>Cbw</w:t>
      </w:r>
      <w:proofErr w:type="spellEnd"/>
      <w:r w:rsidRPr="00E71D88">
        <w:rPr>
          <w:rFonts w:ascii="Verdana" w:hAnsi="Verdana"/>
          <w:sz w:val="18"/>
          <w:szCs w:val="18"/>
        </w:rPr>
        <w:t xml:space="preserve"> en in een andere consultatiereactie wordt voorgesteld om de veiligheidsregio</w:t>
      </w:r>
      <w:r w:rsidRPr="00E71D88" w:rsidR="00D91960">
        <w:rPr>
          <w:rFonts w:ascii="Verdana" w:hAnsi="Verdana"/>
          <w:sz w:val="18"/>
          <w:szCs w:val="18"/>
        </w:rPr>
        <w:t>’</w:t>
      </w:r>
      <w:r w:rsidRPr="00E71D88">
        <w:rPr>
          <w:rFonts w:ascii="Verdana" w:hAnsi="Verdana"/>
          <w:sz w:val="18"/>
          <w:szCs w:val="18"/>
        </w:rPr>
        <w:t xml:space="preserve">s onder het toepassingsbereik van de </w:t>
      </w:r>
      <w:proofErr w:type="spellStart"/>
      <w:r w:rsidRPr="00E71D88">
        <w:rPr>
          <w:rFonts w:ascii="Verdana" w:hAnsi="Verdana"/>
          <w:sz w:val="18"/>
          <w:szCs w:val="18"/>
        </w:rPr>
        <w:t>Cbw</w:t>
      </w:r>
      <w:proofErr w:type="spellEnd"/>
      <w:r w:rsidRPr="00E71D88">
        <w:rPr>
          <w:rFonts w:ascii="Verdana" w:hAnsi="Verdana"/>
          <w:sz w:val="18"/>
          <w:szCs w:val="18"/>
        </w:rPr>
        <w:t xml:space="preserve"> te laten vallen. </w:t>
      </w:r>
      <w:r w:rsidRPr="00E71D88" w:rsidR="00800F0B">
        <w:rPr>
          <w:rFonts w:ascii="Verdana" w:hAnsi="Verdana"/>
          <w:sz w:val="18"/>
          <w:szCs w:val="18"/>
        </w:rPr>
        <w:t>Als reactie hierop wordt gewezen</w:t>
      </w:r>
      <w:r w:rsidRPr="00E71D88">
        <w:rPr>
          <w:rFonts w:ascii="Verdana" w:hAnsi="Verdana"/>
          <w:sz w:val="18"/>
          <w:szCs w:val="18"/>
        </w:rPr>
        <w:t xml:space="preserve"> op artikel 5 </w:t>
      </w:r>
      <w:proofErr w:type="spellStart"/>
      <w:r w:rsidRPr="00E71D88">
        <w:rPr>
          <w:rFonts w:ascii="Verdana" w:hAnsi="Verdana"/>
          <w:sz w:val="18"/>
          <w:szCs w:val="18"/>
        </w:rPr>
        <w:t>Cbw</w:t>
      </w:r>
      <w:proofErr w:type="spellEnd"/>
      <w:r w:rsidRPr="00E71D88">
        <w:rPr>
          <w:rFonts w:ascii="Verdana" w:hAnsi="Verdana"/>
          <w:sz w:val="18"/>
          <w:szCs w:val="18"/>
        </w:rPr>
        <w:t>, waarin artikel 2, zevende lid, NIS2-richtlijn is geïmplementeerd. Uit artikel 5</w:t>
      </w:r>
      <w:r w:rsidR="00204DD1">
        <w:rPr>
          <w:rFonts w:ascii="Verdana" w:hAnsi="Verdana"/>
          <w:sz w:val="18"/>
          <w:szCs w:val="18"/>
        </w:rPr>
        <w:t>, eerste lid,</w:t>
      </w:r>
      <w:r w:rsidRPr="00E71D88">
        <w:rPr>
          <w:rFonts w:ascii="Verdana" w:hAnsi="Verdana"/>
          <w:sz w:val="18"/>
          <w:szCs w:val="18"/>
        </w:rPr>
        <w:t xml:space="preserve"> </w:t>
      </w:r>
      <w:proofErr w:type="spellStart"/>
      <w:r w:rsidRPr="00E71D88">
        <w:rPr>
          <w:rFonts w:ascii="Verdana" w:hAnsi="Verdana"/>
          <w:sz w:val="18"/>
          <w:szCs w:val="18"/>
        </w:rPr>
        <w:t>Cbw</w:t>
      </w:r>
      <w:proofErr w:type="spellEnd"/>
      <w:r w:rsidRPr="00E71D88">
        <w:rPr>
          <w:rFonts w:ascii="Verdana" w:hAnsi="Verdana"/>
          <w:sz w:val="18"/>
          <w:szCs w:val="18"/>
        </w:rPr>
        <w:t xml:space="preserve"> volgt dat de </w:t>
      </w:r>
      <w:proofErr w:type="spellStart"/>
      <w:r w:rsidRPr="00E71D88">
        <w:rPr>
          <w:rFonts w:ascii="Verdana" w:hAnsi="Verdana"/>
          <w:sz w:val="18"/>
          <w:szCs w:val="18"/>
        </w:rPr>
        <w:t>Cbw</w:t>
      </w:r>
      <w:proofErr w:type="spellEnd"/>
      <w:r w:rsidRPr="00E71D88">
        <w:rPr>
          <w:rFonts w:ascii="Verdana" w:hAnsi="Verdana"/>
          <w:sz w:val="18"/>
          <w:szCs w:val="18"/>
        </w:rPr>
        <w:t xml:space="preserve"> niet van toepassing is op de veiligheidsregio’s, omdat zij in hoofdzaak activiteiten uitvoeren op het gebied van openbare veiligheid. De NIS2-richtlijn biedt op dit punt niet de beleidsruimte voor lidstaten om hiervan af te wijken.</w:t>
      </w:r>
      <w:r>
        <w:rPr>
          <w:rFonts w:ascii="Verdana" w:hAnsi="Verdana"/>
          <w:sz w:val="18"/>
          <w:szCs w:val="18"/>
        </w:rPr>
        <w:t xml:space="preserve"> </w:t>
      </w:r>
    </w:p>
    <w:p w:rsidRPr="00FF46E3" w:rsidR="00A450AE" w:rsidP="00A450AE" w:rsidRDefault="00A450AE" w14:paraId="75780C42" w14:textId="77777777">
      <w:pPr>
        <w:pStyle w:val="Geenafstand"/>
        <w:rPr>
          <w:rFonts w:ascii="Verdana" w:hAnsi="Verdana"/>
          <w:i/>
          <w:iCs/>
          <w:sz w:val="18"/>
          <w:szCs w:val="18"/>
        </w:rPr>
      </w:pPr>
    </w:p>
    <w:p w:rsidRPr="00FF46E3" w:rsidR="00A450AE" w:rsidP="00A450AE" w:rsidRDefault="00A450AE" w14:paraId="197B36BE" w14:textId="77777777">
      <w:pPr>
        <w:pStyle w:val="Geenafstand"/>
        <w:rPr>
          <w:rFonts w:ascii="Verdana" w:hAnsi="Verdana"/>
          <w:sz w:val="18"/>
          <w:szCs w:val="18"/>
        </w:rPr>
      </w:pPr>
      <w:r w:rsidRPr="00FF46E3">
        <w:rPr>
          <w:rFonts w:ascii="Verdana" w:hAnsi="Verdana"/>
          <w:i/>
          <w:iCs/>
          <w:sz w:val="18"/>
          <w:szCs w:val="18"/>
        </w:rPr>
        <w:t xml:space="preserve">Samenhang met </w:t>
      </w:r>
      <w:proofErr w:type="spellStart"/>
      <w:r w:rsidRPr="00FF46E3">
        <w:rPr>
          <w:rFonts w:ascii="Verdana" w:hAnsi="Verdana"/>
          <w:i/>
          <w:iCs/>
          <w:sz w:val="18"/>
          <w:szCs w:val="18"/>
        </w:rPr>
        <w:t>Wwke</w:t>
      </w:r>
      <w:proofErr w:type="spellEnd"/>
      <w:r w:rsidRPr="00FF46E3">
        <w:rPr>
          <w:rFonts w:ascii="Verdana" w:hAnsi="Verdana"/>
          <w:sz w:val="18"/>
          <w:szCs w:val="18"/>
        </w:rPr>
        <w:t xml:space="preserve"> </w:t>
      </w:r>
    </w:p>
    <w:p w:rsidR="00A450AE" w:rsidP="00A450AE" w:rsidRDefault="00A450AE" w14:paraId="26EFC6C1" w14:textId="245393FC">
      <w:pPr>
        <w:pStyle w:val="Geenafstand"/>
        <w:rPr>
          <w:rFonts w:ascii="Verdana" w:hAnsi="Verdana"/>
          <w:sz w:val="18"/>
          <w:szCs w:val="18"/>
        </w:rPr>
      </w:pPr>
      <w:r w:rsidRPr="00FF46E3">
        <w:rPr>
          <w:rFonts w:ascii="Verdana" w:hAnsi="Verdana"/>
          <w:sz w:val="18"/>
          <w:szCs w:val="18"/>
        </w:rPr>
        <w:t xml:space="preserve">Diverse consultatiereacties hebben betrekking op de samenhang tussen </w:t>
      </w:r>
      <w:r>
        <w:rPr>
          <w:rFonts w:ascii="Verdana" w:hAnsi="Verdana"/>
          <w:sz w:val="18"/>
          <w:szCs w:val="18"/>
        </w:rPr>
        <w:t xml:space="preserve">de </w:t>
      </w:r>
      <w:proofErr w:type="spellStart"/>
      <w:r>
        <w:rPr>
          <w:rFonts w:ascii="Verdana" w:hAnsi="Verdana"/>
          <w:sz w:val="18"/>
          <w:szCs w:val="18"/>
        </w:rPr>
        <w:t>Cbw</w:t>
      </w:r>
      <w:proofErr w:type="spellEnd"/>
      <w:r>
        <w:rPr>
          <w:rFonts w:ascii="Verdana" w:hAnsi="Verdana"/>
          <w:sz w:val="18"/>
          <w:szCs w:val="18"/>
        </w:rPr>
        <w:t xml:space="preserve"> en de </w:t>
      </w:r>
      <w:proofErr w:type="spellStart"/>
      <w:r>
        <w:rPr>
          <w:rFonts w:ascii="Verdana" w:hAnsi="Verdana"/>
          <w:sz w:val="18"/>
          <w:szCs w:val="18"/>
        </w:rPr>
        <w:t>Wwke</w:t>
      </w:r>
      <w:proofErr w:type="spellEnd"/>
      <w:r w:rsidRPr="00FF46E3">
        <w:rPr>
          <w:rFonts w:ascii="Verdana" w:hAnsi="Verdana"/>
          <w:sz w:val="18"/>
          <w:szCs w:val="18"/>
        </w:rPr>
        <w:t>. Zo vraagt KPN</w:t>
      </w:r>
      <w:r w:rsidR="00B019FB">
        <w:rPr>
          <w:rFonts w:ascii="Verdana" w:hAnsi="Verdana"/>
          <w:sz w:val="18"/>
          <w:szCs w:val="18"/>
        </w:rPr>
        <w:t xml:space="preserve"> B.V.</w:t>
      </w:r>
      <w:r w:rsidRPr="00FF46E3">
        <w:rPr>
          <w:rFonts w:ascii="Verdana" w:hAnsi="Verdana"/>
          <w:sz w:val="18"/>
          <w:szCs w:val="18"/>
        </w:rPr>
        <w:t xml:space="preserve"> naar de verhouding tussen de verplichtingen uit de </w:t>
      </w:r>
      <w:proofErr w:type="spellStart"/>
      <w:r w:rsidRPr="00FF46E3">
        <w:rPr>
          <w:rFonts w:ascii="Verdana" w:hAnsi="Verdana"/>
          <w:sz w:val="18"/>
          <w:szCs w:val="18"/>
        </w:rPr>
        <w:t>Cbw</w:t>
      </w:r>
      <w:proofErr w:type="spellEnd"/>
      <w:r w:rsidRPr="00FF46E3">
        <w:rPr>
          <w:rFonts w:ascii="Verdana" w:hAnsi="Verdana"/>
          <w:sz w:val="18"/>
          <w:szCs w:val="18"/>
        </w:rPr>
        <w:t xml:space="preserve"> en de </w:t>
      </w:r>
      <w:proofErr w:type="spellStart"/>
      <w:r w:rsidRPr="00FF46E3">
        <w:rPr>
          <w:rFonts w:ascii="Verdana" w:hAnsi="Verdana"/>
          <w:sz w:val="18"/>
          <w:szCs w:val="18"/>
        </w:rPr>
        <w:t>Wwke</w:t>
      </w:r>
      <w:proofErr w:type="spellEnd"/>
      <w:r w:rsidRPr="00FF46E3">
        <w:rPr>
          <w:rFonts w:ascii="Verdana" w:hAnsi="Verdana"/>
          <w:sz w:val="18"/>
          <w:szCs w:val="18"/>
        </w:rPr>
        <w:t xml:space="preserve">. In </w:t>
      </w:r>
      <w:r w:rsidR="003C6F3B">
        <w:rPr>
          <w:rFonts w:ascii="Verdana" w:hAnsi="Verdana"/>
          <w:sz w:val="18"/>
          <w:szCs w:val="18"/>
        </w:rPr>
        <w:t>paragraaf 2.3 is toegelicht</w:t>
      </w:r>
      <w:r w:rsidRPr="00FF46E3">
        <w:rPr>
          <w:rFonts w:ascii="Verdana" w:hAnsi="Verdana"/>
          <w:sz w:val="18"/>
          <w:szCs w:val="18"/>
        </w:rPr>
        <w:t xml:space="preserve"> dat een incident betrekking kan hebben op zowel de netwerk- en informatiesystemen als op andere fysieke aspecten die de essentiële dienstverlening kan raken, en in dit geval dus de verplichtingen van beide wetten gelden. Voor </w:t>
      </w:r>
      <w:r>
        <w:rPr>
          <w:rFonts w:ascii="Verdana" w:hAnsi="Verdana"/>
          <w:sz w:val="18"/>
          <w:szCs w:val="18"/>
        </w:rPr>
        <w:t>entiteiten</w:t>
      </w:r>
      <w:r w:rsidRPr="00FF46E3">
        <w:rPr>
          <w:rFonts w:ascii="Verdana" w:hAnsi="Verdana"/>
          <w:sz w:val="18"/>
          <w:szCs w:val="18"/>
        </w:rPr>
        <w:t xml:space="preserve"> in de sector digitale infrastructuur geldt echter dat de </w:t>
      </w:r>
      <w:proofErr w:type="spellStart"/>
      <w:r w:rsidRPr="00FF46E3">
        <w:rPr>
          <w:rFonts w:ascii="Verdana" w:hAnsi="Verdana"/>
          <w:sz w:val="18"/>
          <w:szCs w:val="18"/>
        </w:rPr>
        <w:t>Cbw</w:t>
      </w:r>
      <w:proofErr w:type="spellEnd"/>
      <w:r w:rsidRPr="00FF46E3">
        <w:rPr>
          <w:rFonts w:ascii="Verdana" w:hAnsi="Verdana"/>
          <w:sz w:val="18"/>
          <w:szCs w:val="18"/>
        </w:rPr>
        <w:t xml:space="preserve"> </w:t>
      </w:r>
      <w:r w:rsidRPr="00FF46E3">
        <w:rPr>
          <w:rFonts w:ascii="Verdana" w:hAnsi="Verdana"/>
          <w:i/>
          <w:iCs/>
          <w:sz w:val="18"/>
          <w:szCs w:val="18"/>
        </w:rPr>
        <w:t>lex specialis</w:t>
      </w:r>
      <w:r w:rsidRPr="00FF46E3">
        <w:rPr>
          <w:rFonts w:ascii="Verdana" w:hAnsi="Verdana"/>
          <w:sz w:val="18"/>
          <w:szCs w:val="18"/>
        </w:rPr>
        <w:t xml:space="preserve"> is op de </w:t>
      </w:r>
      <w:proofErr w:type="spellStart"/>
      <w:r w:rsidRPr="00FF46E3">
        <w:rPr>
          <w:rFonts w:ascii="Verdana" w:hAnsi="Verdana"/>
          <w:sz w:val="18"/>
          <w:szCs w:val="18"/>
        </w:rPr>
        <w:t>Wwke</w:t>
      </w:r>
      <w:proofErr w:type="spellEnd"/>
      <w:r w:rsidRPr="00FF46E3">
        <w:rPr>
          <w:rFonts w:ascii="Verdana" w:hAnsi="Verdana"/>
          <w:sz w:val="18"/>
          <w:szCs w:val="18"/>
        </w:rPr>
        <w:t xml:space="preserve">, en dat daarmee onder andere de zorgplicht en meldplicht uit de </w:t>
      </w:r>
      <w:proofErr w:type="spellStart"/>
      <w:r w:rsidRPr="00FF46E3">
        <w:rPr>
          <w:rFonts w:ascii="Verdana" w:hAnsi="Verdana"/>
          <w:sz w:val="18"/>
          <w:szCs w:val="18"/>
        </w:rPr>
        <w:t>Cbw</w:t>
      </w:r>
      <w:proofErr w:type="spellEnd"/>
      <w:r w:rsidRPr="00FF46E3">
        <w:rPr>
          <w:rFonts w:ascii="Verdana" w:hAnsi="Verdana"/>
          <w:sz w:val="18"/>
          <w:szCs w:val="18"/>
        </w:rPr>
        <w:t xml:space="preserve"> voorgaan op de zorgplicht en meldplicht uit de </w:t>
      </w:r>
      <w:proofErr w:type="spellStart"/>
      <w:r w:rsidRPr="00FF46E3">
        <w:rPr>
          <w:rFonts w:ascii="Verdana" w:hAnsi="Verdana"/>
          <w:sz w:val="18"/>
          <w:szCs w:val="18"/>
        </w:rPr>
        <w:t>Wwke</w:t>
      </w:r>
      <w:proofErr w:type="spellEnd"/>
      <w:r w:rsidRPr="00FF46E3">
        <w:rPr>
          <w:rFonts w:ascii="Verdana" w:hAnsi="Verdana"/>
          <w:sz w:val="18"/>
          <w:szCs w:val="18"/>
        </w:rPr>
        <w:t xml:space="preserve">. Entiteiten in de sector digitale infrastructuur hoeven dus enkel aan deze verplichtingen uit de </w:t>
      </w:r>
      <w:proofErr w:type="spellStart"/>
      <w:r w:rsidRPr="00FF46E3">
        <w:rPr>
          <w:rFonts w:ascii="Verdana" w:hAnsi="Verdana"/>
          <w:sz w:val="18"/>
          <w:szCs w:val="18"/>
        </w:rPr>
        <w:t>Cbw</w:t>
      </w:r>
      <w:proofErr w:type="spellEnd"/>
      <w:r w:rsidRPr="00FF46E3">
        <w:rPr>
          <w:rFonts w:ascii="Verdana" w:hAnsi="Verdana"/>
          <w:sz w:val="18"/>
          <w:szCs w:val="18"/>
        </w:rPr>
        <w:t xml:space="preserve"> te voldoen. Dit staat ook toegelicht in de </w:t>
      </w:r>
      <w:r w:rsidR="005931F0">
        <w:rPr>
          <w:rFonts w:ascii="Verdana" w:hAnsi="Verdana"/>
          <w:sz w:val="18"/>
          <w:szCs w:val="18"/>
        </w:rPr>
        <w:t xml:space="preserve">memorie van toelichting op het wetsvoorstel </w:t>
      </w:r>
      <w:proofErr w:type="spellStart"/>
      <w:r w:rsidR="005931F0">
        <w:rPr>
          <w:rFonts w:ascii="Verdana" w:hAnsi="Verdana"/>
          <w:sz w:val="18"/>
          <w:szCs w:val="18"/>
        </w:rPr>
        <w:t>Wwke</w:t>
      </w:r>
      <w:proofErr w:type="spellEnd"/>
      <w:r w:rsidRPr="00FF46E3">
        <w:rPr>
          <w:rFonts w:ascii="Verdana" w:hAnsi="Verdana"/>
          <w:sz w:val="18"/>
          <w:szCs w:val="18"/>
        </w:rPr>
        <w:t xml:space="preserve">. KPN </w:t>
      </w:r>
      <w:r w:rsidR="00B019FB">
        <w:rPr>
          <w:rFonts w:ascii="Verdana" w:hAnsi="Verdana"/>
          <w:sz w:val="18"/>
          <w:szCs w:val="18"/>
        </w:rPr>
        <w:t xml:space="preserve">B.V. </w:t>
      </w:r>
      <w:r w:rsidRPr="00FF46E3">
        <w:rPr>
          <w:rFonts w:ascii="Verdana" w:hAnsi="Verdana"/>
          <w:sz w:val="18"/>
          <w:szCs w:val="18"/>
        </w:rPr>
        <w:t>vraagt daarnaast om verwijdering van de zinsnede “verstoring van andere fysieke aspecten die de essentiële dienstverlening raken” uit paragraaf 2.3.</w:t>
      </w:r>
      <w:r w:rsidR="005931F0">
        <w:rPr>
          <w:rFonts w:ascii="Verdana" w:hAnsi="Verdana"/>
          <w:sz w:val="18"/>
          <w:szCs w:val="18"/>
        </w:rPr>
        <w:t xml:space="preserve"> Dit is niet mogelijk.</w:t>
      </w:r>
      <w:r w:rsidRPr="00FF46E3">
        <w:rPr>
          <w:rFonts w:ascii="Verdana" w:hAnsi="Verdana"/>
          <w:sz w:val="18"/>
          <w:szCs w:val="18"/>
        </w:rPr>
        <w:t xml:space="preserve"> Uit artikel 21, tweede lid</w:t>
      </w:r>
      <w:r w:rsidR="005931F0">
        <w:rPr>
          <w:rFonts w:ascii="Verdana" w:hAnsi="Verdana"/>
          <w:sz w:val="18"/>
          <w:szCs w:val="18"/>
        </w:rPr>
        <w:t>, NIS2-</w:t>
      </w:r>
      <w:r w:rsidRPr="00FF46E3">
        <w:rPr>
          <w:rFonts w:ascii="Verdana" w:hAnsi="Verdana"/>
          <w:sz w:val="18"/>
          <w:szCs w:val="18"/>
        </w:rPr>
        <w:t xml:space="preserve">richtlijn volgt </w:t>
      </w:r>
      <w:r w:rsidR="005931F0">
        <w:rPr>
          <w:rFonts w:ascii="Verdana" w:hAnsi="Verdana"/>
          <w:sz w:val="18"/>
          <w:szCs w:val="18"/>
        </w:rPr>
        <w:t>immers</w:t>
      </w:r>
      <w:r w:rsidRPr="00FF46E3">
        <w:rPr>
          <w:rFonts w:ascii="Verdana" w:hAnsi="Verdana"/>
          <w:sz w:val="18"/>
          <w:szCs w:val="18"/>
        </w:rPr>
        <w:t xml:space="preserve"> dat de zorgplicht ook betrekking heeft op deze aspecten. Verwijdering zou daarmee leiden tot onvolledige implementatie van de </w:t>
      </w:r>
      <w:r w:rsidR="005931F0">
        <w:rPr>
          <w:rFonts w:ascii="Verdana" w:hAnsi="Verdana"/>
          <w:sz w:val="18"/>
          <w:szCs w:val="18"/>
        </w:rPr>
        <w:t>NIS2-</w:t>
      </w:r>
      <w:r w:rsidRPr="00FF46E3">
        <w:rPr>
          <w:rFonts w:ascii="Verdana" w:hAnsi="Verdana"/>
          <w:sz w:val="18"/>
          <w:szCs w:val="18"/>
        </w:rPr>
        <w:t xml:space="preserve">richtlijn. </w:t>
      </w:r>
    </w:p>
    <w:p w:rsidR="000E32D7" w:rsidP="00A450AE" w:rsidRDefault="000E32D7" w14:paraId="6B6218AD" w14:textId="77777777">
      <w:pPr>
        <w:pStyle w:val="Geenafstand"/>
        <w:rPr>
          <w:rFonts w:ascii="Verdana" w:hAnsi="Verdana"/>
          <w:sz w:val="18"/>
          <w:szCs w:val="18"/>
        </w:rPr>
      </w:pPr>
    </w:p>
    <w:p w:rsidRPr="00997087" w:rsidR="000E32D7" w:rsidP="00CA2296" w:rsidRDefault="007C25B5" w14:paraId="5E7E2058" w14:textId="61E456AA">
      <w:pPr>
        <w:pStyle w:val="Kop2"/>
      </w:pPr>
      <w:bookmarkStart w:name="_Toc198721145" w:id="214"/>
      <w:r>
        <w:t>9.6 D</w:t>
      </w:r>
      <w:r w:rsidRPr="00997087" w:rsidR="000E32D7">
        <w:t>igitale sector</w:t>
      </w:r>
      <w:bookmarkEnd w:id="214"/>
    </w:p>
    <w:p w:rsidR="007C25B5" w:rsidP="000E32D7" w:rsidRDefault="007C25B5" w14:paraId="62A06FD9" w14:textId="77777777">
      <w:pPr>
        <w:pStyle w:val="Geenafstand"/>
        <w:rPr>
          <w:rFonts w:ascii="Verdana" w:hAnsi="Verdana"/>
          <w:sz w:val="18"/>
          <w:szCs w:val="18"/>
        </w:rPr>
      </w:pPr>
    </w:p>
    <w:p w:rsidR="007C25B5" w:rsidP="000E32D7" w:rsidRDefault="007C25B5" w14:paraId="49C8027B" w14:textId="7D1C1B7B">
      <w:pPr>
        <w:pStyle w:val="Geenafstand"/>
        <w:rPr>
          <w:rFonts w:ascii="Verdana" w:hAnsi="Verdana"/>
          <w:sz w:val="18"/>
          <w:szCs w:val="18"/>
        </w:rPr>
      </w:pPr>
      <w:r>
        <w:rPr>
          <w:rFonts w:ascii="Verdana" w:hAnsi="Verdana"/>
          <w:sz w:val="18"/>
          <w:szCs w:val="18"/>
        </w:rPr>
        <w:t>Een groot aantal consultatiereacties zien op de digitale sector. Deze reacties worden in deze paragraaf behandeld.</w:t>
      </w:r>
    </w:p>
    <w:p w:rsidR="002E1557" w:rsidP="000E32D7" w:rsidRDefault="002E1557" w14:paraId="652AC879" w14:textId="77777777">
      <w:pPr>
        <w:pStyle w:val="Geenafstand"/>
        <w:rPr>
          <w:rFonts w:ascii="Verdana" w:hAnsi="Verdana"/>
          <w:sz w:val="18"/>
          <w:szCs w:val="18"/>
        </w:rPr>
      </w:pPr>
    </w:p>
    <w:p w:rsidRPr="00CA2296" w:rsidR="000E32D7" w:rsidP="00C3466E" w:rsidRDefault="00CA2296" w14:paraId="3A381F24" w14:textId="01A7C6C0">
      <w:pPr>
        <w:pStyle w:val="Kop3"/>
      </w:pPr>
      <w:bookmarkStart w:name="_Toc198721146" w:id="215"/>
      <w:r>
        <w:t>9.6.</w:t>
      </w:r>
      <w:r w:rsidR="00B61A00">
        <w:t>1</w:t>
      </w:r>
      <w:r>
        <w:t xml:space="preserve"> </w:t>
      </w:r>
      <w:r w:rsidRPr="00CA2296" w:rsidR="000E32D7">
        <w:t xml:space="preserve">Wijziging </w:t>
      </w:r>
      <w:r w:rsidRPr="00CA2296" w:rsidR="006313E0">
        <w:t>T</w:t>
      </w:r>
      <w:r w:rsidRPr="00CA2296" w:rsidR="000E32D7">
        <w:t>elecommunicatiewet</w:t>
      </w:r>
      <w:bookmarkEnd w:id="215"/>
    </w:p>
    <w:p w:rsidR="00CA2296" w:rsidP="000E32D7" w:rsidRDefault="00CA2296" w14:paraId="354FC78D" w14:textId="77777777">
      <w:pPr>
        <w:pStyle w:val="Geenafstand"/>
        <w:rPr>
          <w:rFonts w:ascii="Verdana" w:hAnsi="Verdana"/>
          <w:sz w:val="18"/>
          <w:szCs w:val="18"/>
        </w:rPr>
      </w:pPr>
    </w:p>
    <w:p w:rsidRPr="000E32D7" w:rsidR="000E32D7" w:rsidP="000E32D7" w:rsidRDefault="00114EE7" w14:paraId="68CA6AA4" w14:textId="632EFB73">
      <w:pPr>
        <w:pStyle w:val="Geenafstand"/>
        <w:rPr>
          <w:rFonts w:ascii="Verdana" w:hAnsi="Verdana"/>
          <w:sz w:val="18"/>
          <w:szCs w:val="18"/>
        </w:rPr>
      </w:pPr>
      <w:r>
        <w:rPr>
          <w:rFonts w:ascii="Verdana" w:hAnsi="Verdana"/>
          <w:sz w:val="18"/>
          <w:szCs w:val="18"/>
        </w:rPr>
        <w:t>In een consultatiereactie is gereageerd op de voorgestelde</w:t>
      </w:r>
      <w:r w:rsidRPr="000E32D7" w:rsidR="000E32D7">
        <w:rPr>
          <w:rFonts w:ascii="Verdana" w:hAnsi="Verdana"/>
          <w:sz w:val="18"/>
          <w:szCs w:val="18"/>
        </w:rPr>
        <w:t xml:space="preserve"> wijziging van de Telecommunicatiewet</w:t>
      </w:r>
      <w:r>
        <w:rPr>
          <w:rFonts w:ascii="Verdana" w:hAnsi="Verdana"/>
          <w:sz w:val="18"/>
          <w:szCs w:val="18"/>
        </w:rPr>
        <w:t xml:space="preserve"> (hierna: </w:t>
      </w:r>
      <w:proofErr w:type="spellStart"/>
      <w:r>
        <w:rPr>
          <w:rFonts w:ascii="Verdana" w:hAnsi="Verdana"/>
          <w:sz w:val="18"/>
          <w:szCs w:val="18"/>
        </w:rPr>
        <w:t>Tw</w:t>
      </w:r>
      <w:proofErr w:type="spellEnd"/>
      <w:r>
        <w:rPr>
          <w:rFonts w:ascii="Verdana" w:hAnsi="Verdana"/>
          <w:sz w:val="18"/>
          <w:szCs w:val="18"/>
        </w:rPr>
        <w:t>)</w:t>
      </w:r>
      <w:r w:rsidRPr="000E32D7" w:rsidR="000E32D7">
        <w:rPr>
          <w:rFonts w:ascii="Verdana" w:hAnsi="Verdana"/>
          <w:sz w:val="18"/>
          <w:szCs w:val="18"/>
        </w:rPr>
        <w:t xml:space="preserve">. De </w:t>
      </w:r>
      <w:proofErr w:type="spellStart"/>
      <w:r w:rsidRPr="000E32D7" w:rsidR="000E32D7">
        <w:rPr>
          <w:rFonts w:ascii="Verdana" w:hAnsi="Verdana"/>
          <w:sz w:val="18"/>
          <w:szCs w:val="18"/>
        </w:rPr>
        <w:t>T</w:t>
      </w:r>
      <w:r w:rsidR="00711564">
        <w:rPr>
          <w:rFonts w:ascii="Verdana" w:hAnsi="Verdana"/>
          <w:sz w:val="18"/>
          <w:szCs w:val="18"/>
        </w:rPr>
        <w:t>w</w:t>
      </w:r>
      <w:proofErr w:type="spellEnd"/>
      <w:r w:rsidRPr="000E32D7" w:rsidR="000E32D7">
        <w:rPr>
          <w:rFonts w:ascii="Verdana" w:hAnsi="Verdana"/>
          <w:sz w:val="18"/>
          <w:szCs w:val="18"/>
        </w:rPr>
        <w:t xml:space="preserve"> behoudt een zorgplicht die qua reikwijdte vergelijkbaar is met (en dus niet gelijk is aan) de beveiliging van diensten zoals voorzien in het huidige artikel 11a.1, eerste lid, en die verschilt van de reikwijdte van de zorgplicht uit de </w:t>
      </w:r>
      <w:proofErr w:type="spellStart"/>
      <w:r w:rsidR="00711564">
        <w:rPr>
          <w:rFonts w:ascii="Verdana" w:hAnsi="Verdana"/>
          <w:sz w:val="18"/>
          <w:szCs w:val="18"/>
        </w:rPr>
        <w:t>Cbw</w:t>
      </w:r>
      <w:proofErr w:type="spellEnd"/>
      <w:r w:rsidRPr="000E32D7" w:rsidR="000E32D7">
        <w:rPr>
          <w:rFonts w:ascii="Verdana" w:hAnsi="Verdana"/>
          <w:sz w:val="18"/>
          <w:szCs w:val="18"/>
        </w:rPr>
        <w:t xml:space="preserve">. </w:t>
      </w:r>
      <w:r w:rsidR="00711564">
        <w:rPr>
          <w:rFonts w:ascii="Verdana" w:hAnsi="Verdana"/>
          <w:sz w:val="18"/>
          <w:szCs w:val="18"/>
        </w:rPr>
        <w:t>In de hiervoor bedoelde consultatiereactie wordt</w:t>
      </w:r>
      <w:r w:rsidRPr="000E32D7" w:rsidR="000E32D7">
        <w:rPr>
          <w:rFonts w:ascii="Verdana" w:hAnsi="Verdana"/>
          <w:sz w:val="18"/>
          <w:szCs w:val="18"/>
        </w:rPr>
        <w:t xml:space="preserve"> bezwaar </w:t>
      </w:r>
      <w:r w:rsidR="00711564">
        <w:rPr>
          <w:rFonts w:ascii="Verdana" w:hAnsi="Verdana"/>
          <w:sz w:val="18"/>
          <w:szCs w:val="18"/>
        </w:rPr>
        <w:t xml:space="preserve">gemaakt </w:t>
      </w:r>
      <w:r w:rsidRPr="000E32D7" w:rsidR="000E32D7">
        <w:rPr>
          <w:rFonts w:ascii="Verdana" w:hAnsi="Verdana"/>
          <w:sz w:val="18"/>
          <w:szCs w:val="18"/>
        </w:rPr>
        <w:t xml:space="preserve">tegen dit voorstel, omdat de artikelen 40 en 41 </w:t>
      </w:r>
      <w:r w:rsidR="00711564">
        <w:rPr>
          <w:rFonts w:ascii="Verdana" w:hAnsi="Verdana"/>
          <w:sz w:val="18"/>
          <w:szCs w:val="18"/>
        </w:rPr>
        <w:t xml:space="preserve">van de </w:t>
      </w:r>
      <w:r w:rsidRPr="000E32D7" w:rsidR="000E32D7">
        <w:rPr>
          <w:rFonts w:ascii="Verdana" w:hAnsi="Verdana"/>
          <w:sz w:val="18"/>
          <w:szCs w:val="18"/>
        </w:rPr>
        <w:t>Richtlijn (EU) 2018/1972</w:t>
      </w:r>
      <w:r w:rsidRPr="000E397D" w:rsidR="00711564">
        <w:rPr>
          <w:rStyle w:val="Voetnootmarkering"/>
          <w:rFonts w:ascii="Verdana" w:hAnsi="Verdana"/>
          <w:sz w:val="18"/>
          <w:szCs w:val="18"/>
        </w:rPr>
        <w:footnoteReference w:id="76"/>
      </w:r>
      <w:r w:rsidR="00711564">
        <w:rPr>
          <w:rFonts w:ascii="Verdana" w:hAnsi="Verdana"/>
          <w:sz w:val="18"/>
          <w:szCs w:val="18"/>
        </w:rPr>
        <w:t>, ook wel de</w:t>
      </w:r>
      <w:r w:rsidRPr="000E32D7" w:rsidR="000E32D7">
        <w:rPr>
          <w:rFonts w:ascii="Verdana" w:hAnsi="Verdana"/>
          <w:sz w:val="18"/>
          <w:szCs w:val="18"/>
        </w:rPr>
        <w:t xml:space="preserve"> Telecomcode</w:t>
      </w:r>
      <w:r w:rsidR="00711564">
        <w:rPr>
          <w:rFonts w:ascii="Verdana" w:hAnsi="Verdana"/>
          <w:sz w:val="18"/>
          <w:szCs w:val="18"/>
        </w:rPr>
        <w:t xml:space="preserve"> genoemd, </w:t>
      </w:r>
      <w:r w:rsidRPr="000E32D7" w:rsidR="000E32D7">
        <w:rPr>
          <w:rFonts w:ascii="Verdana" w:hAnsi="Verdana"/>
          <w:sz w:val="18"/>
          <w:szCs w:val="18"/>
        </w:rPr>
        <w:t>worden geschrapt. Dit roept de vraag op wat de zorgplicht voor telecomaanbieders nu precies zal inhouden</w:t>
      </w:r>
      <w:r w:rsidR="00711564">
        <w:rPr>
          <w:rFonts w:ascii="Verdana" w:hAnsi="Verdana"/>
          <w:sz w:val="18"/>
          <w:szCs w:val="18"/>
        </w:rPr>
        <w:t xml:space="preserve"> en of er niet</w:t>
      </w:r>
      <w:r w:rsidRPr="000E32D7" w:rsidR="000E32D7">
        <w:rPr>
          <w:rFonts w:ascii="Verdana" w:hAnsi="Verdana"/>
          <w:sz w:val="18"/>
          <w:szCs w:val="18"/>
        </w:rPr>
        <w:t xml:space="preserve"> sprake </w:t>
      </w:r>
      <w:r w:rsidR="00711564">
        <w:rPr>
          <w:rFonts w:ascii="Verdana" w:hAnsi="Verdana"/>
          <w:sz w:val="18"/>
          <w:szCs w:val="18"/>
        </w:rPr>
        <w:t xml:space="preserve">is </w:t>
      </w:r>
      <w:r w:rsidRPr="000E32D7" w:rsidR="000E32D7">
        <w:rPr>
          <w:rFonts w:ascii="Verdana" w:hAnsi="Verdana"/>
          <w:sz w:val="18"/>
          <w:szCs w:val="18"/>
        </w:rPr>
        <w:t xml:space="preserve">van een dubbele zorgplicht. Deze onduidelijkheid is onwenselijk en </w:t>
      </w:r>
      <w:r w:rsidR="00711564">
        <w:rPr>
          <w:rFonts w:ascii="Verdana" w:hAnsi="Verdana"/>
          <w:sz w:val="18"/>
          <w:szCs w:val="18"/>
        </w:rPr>
        <w:t>daarom moeten</w:t>
      </w:r>
      <w:r w:rsidRPr="000E32D7" w:rsidR="000E32D7">
        <w:rPr>
          <w:rFonts w:ascii="Verdana" w:hAnsi="Verdana"/>
          <w:sz w:val="18"/>
          <w:szCs w:val="18"/>
        </w:rPr>
        <w:t xml:space="preserve"> de betreffende artikelen in de </w:t>
      </w:r>
      <w:proofErr w:type="spellStart"/>
      <w:r w:rsidR="00711564">
        <w:rPr>
          <w:rFonts w:ascii="Verdana" w:hAnsi="Verdana"/>
          <w:sz w:val="18"/>
          <w:szCs w:val="18"/>
        </w:rPr>
        <w:t>Tw</w:t>
      </w:r>
      <w:proofErr w:type="spellEnd"/>
      <w:r w:rsidR="00711564">
        <w:rPr>
          <w:rFonts w:ascii="Verdana" w:hAnsi="Verdana"/>
          <w:sz w:val="18"/>
          <w:szCs w:val="18"/>
        </w:rPr>
        <w:t xml:space="preserve"> worden geschrapt, aldus deze consultatiereactie</w:t>
      </w:r>
      <w:r w:rsidRPr="000E32D7" w:rsidR="000E32D7">
        <w:rPr>
          <w:rFonts w:ascii="Verdana" w:hAnsi="Verdana"/>
          <w:sz w:val="18"/>
          <w:szCs w:val="18"/>
        </w:rPr>
        <w:t>.</w:t>
      </w:r>
      <w:r w:rsidR="006313E0">
        <w:rPr>
          <w:rFonts w:ascii="Verdana" w:hAnsi="Verdana"/>
          <w:sz w:val="18"/>
          <w:szCs w:val="18"/>
        </w:rPr>
        <w:t xml:space="preserve"> </w:t>
      </w:r>
      <w:r w:rsidR="00711564">
        <w:rPr>
          <w:rFonts w:ascii="Verdana" w:hAnsi="Verdana"/>
          <w:sz w:val="18"/>
          <w:szCs w:val="18"/>
        </w:rPr>
        <w:t xml:space="preserve">De reactie hierop is als volgt. De voorgestelde verwijdering van de bedoelde artikelen uit de </w:t>
      </w:r>
      <w:proofErr w:type="spellStart"/>
      <w:r w:rsidR="00711564">
        <w:rPr>
          <w:rFonts w:ascii="Verdana" w:hAnsi="Verdana"/>
          <w:sz w:val="18"/>
          <w:szCs w:val="18"/>
        </w:rPr>
        <w:t>Tw</w:t>
      </w:r>
      <w:proofErr w:type="spellEnd"/>
      <w:r w:rsidRPr="000E32D7" w:rsidR="000E32D7">
        <w:rPr>
          <w:rFonts w:ascii="Verdana" w:hAnsi="Verdana"/>
          <w:sz w:val="18"/>
          <w:szCs w:val="18"/>
        </w:rPr>
        <w:t xml:space="preserve"> wordt niet overgenomen. </w:t>
      </w:r>
      <w:r w:rsidR="00711564">
        <w:rPr>
          <w:rFonts w:ascii="Verdana" w:hAnsi="Verdana"/>
          <w:sz w:val="18"/>
          <w:szCs w:val="18"/>
        </w:rPr>
        <w:t>Zoals ook i</w:t>
      </w:r>
      <w:r w:rsidRPr="000E32D7" w:rsidR="000E32D7">
        <w:rPr>
          <w:rFonts w:ascii="Verdana" w:hAnsi="Verdana"/>
          <w:sz w:val="18"/>
          <w:szCs w:val="18"/>
        </w:rPr>
        <w:t xml:space="preserve">n de artikelsgewijze toelichting op artikel </w:t>
      </w:r>
      <w:r w:rsidR="00204DD1">
        <w:rPr>
          <w:rFonts w:ascii="Verdana" w:hAnsi="Verdana"/>
          <w:sz w:val="18"/>
          <w:szCs w:val="18"/>
        </w:rPr>
        <w:t>99</w:t>
      </w:r>
      <w:r w:rsidRPr="000E32D7" w:rsidR="00204DD1">
        <w:rPr>
          <w:rFonts w:ascii="Verdana" w:hAnsi="Verdana"/>
          <w:sz w:val="18"/>
          <w:szCs w:val="18"/>
        </w:rPr>
        <w:t xml:space="preserve"> </w:t>
      </w:r>
      <w:proofErr w:type="spellStart"/>
      <w:r w:rsidR="00711564">
        <w:rPr>
          <w:rFonts w:ascii="Verdana" w:hAnsi="Verdana"/>
          <w:sz w:val="18"/>
          <w:szCs w:val="18"/>
        </w:rPr>
        <w:t>Cbw</w:t>
      </w:r>
      <w:proofErr w:type="spellEnd"/>
      <w:r w:rsidRPr="000E32D7" w:rsidR="003726E1">
        <w:rPr>
          <w:rFonts w:ascii="Verdana" w:hAnsi="Verdana"/>
          <w:sz w:val="18"/>
          <w:szCs w:val="18"/>
        </w:rPr>
        <w:t xml:space="preserve"> (</w:t>
      </w:r>
      <w:r w:rsidR="003726E1">
        <w:rPr>
          <w:rFonts w:ascii="Verdana" w:hAnsi="Verdana"/>
          <w:sz w:val="18"/>
          <w:szCs w:val="18"/>
        </w:rPr>
        <w:t xml:space="preserve">89 </w:t>
      </w:r>
      <w:r w:rsidRPr="000E32D7" w:rsidR="003726E1">
        <w:rPr>
          <w:rFonts w:ascii="Verdana" w:hAnsi="Verdana"/>
          <w:sz w:val="18"/>
          <w:szCs w:val="18"/>
        </w:rPr>
        <w:t>oud)</w:t>
      </w:r>
      <w:r w:rsidR="00711564">
        <w:rPr>
          <w:rFonts w:ascii="Verdana" w:hAnsi="Verdana"/>
          <w:sz w:val="18"/>
          <w:szCs w:val="18"/>
        </w:rPr>
        <w:t xml:space="preserve"> </w:t>
      </w:r>
      <w:r w:rsidRPr="000E32D7" w:rsidR="000E32D7">
        <w:rPr>
          <w:rFonts w:ascii="Verdana" w:hAnsi="Verdana"/>
          <w:sz w:val="18"/>
          <w:szCs w:val="18"/>
        </w:rPr>
        <w:t>is toegelicht</w:t>
      </w:r>
      <w:r w:rsidR="00711564">
        <w:rPr>
          <w:rFonts w:ascii="Verdana" w:hAnsi="Verdana"/>
          <w:sz w:val="18"/>
          <w:szCs w:val="18"/>
        </w:rPr>
        <w:t>, is</w:t>
      </w:r>
      <w:r w:rsidRPr="000E32D7" w:rsidR="000E32D7">
        <w:rPr>
          <w:rFonts w:ascii="Verdana" w:hAnsi="Verdana"/>
          <w:sz w:val="18"/>
          <w:szCs w:val="18"/>
        </w:rPr>
        <w:t xml:space="preserve"> de formulering van de zorgplicht</w:t>
      </w:r>
      <w:r w:rsidR="00711564">
        <w:rPr>
          <w:rFonts w:ascii="Verdana" w:hAnsi="Verdana"/>
          <w:sz w:val="18"/>
          <w:szCs w:val="18"/>
        </w:rPr>
        <w:t xml:space="preserve"> uit de </w:t>
      </w:r>
      <w:proofErr w:type="spellStart"/>
      <w:r w:rsidR="00711564">
        <w:rPr>
          <w:rFonts w:ascii="Verdana" w:hAnsi="Verdana"/>
          <w:sz w:val="18"/>
          <w:szCs w:val="18"/>
        </w:rPr>
        <w:t>Tw</w:t>
      </w:r>
      <w:proofErr w:type="spellEnd"/>
      <w:r w:rsidR="00711564">
        <w:rPr>
          <w:rFonts w:ascii="Verdana" w:hAnsi="Verdana"/>
          <w:sz w:val="18"/>
          <w:szCs w:val="18"/>
        </w:rPr>
        <w:t xml:space="preserve"> anders dan de formulering van de zorgplicht uit de </w:t>
      </w:r>
      <w:proofErr w:type="spellStart"/>
      <w:r w:rsidR="00711564">
        <w:rPr>
          <w:rFonts w:ascii="Verdana" w:hAnsi="Verdana"/>
          <w:sz w:val="18"/>
          <w:szCs w:val="18"/>
        </w:rPr>
        <w:t>Cbw</w:t>
      </w:r>
      <w:proofErr w:type="spellEnd"/>
      <w:r w:rsidRPr="000E32D7" w:rsidR="000E32D7">
        <w:rPr>
          <w:rFonts w:ascii="Verdana" w:hAnsi="Verdana"/>
          <w:sz w:val="18"/>
          <w:szCs w:val="18"/>
        </w:rPr>
        <w:t xml:space="preserve">. De </w:t>
      </w:r>
      <w:r w:rsidR="00711564">
        <w:rPr>
          <w:rFonts w:ascii="Verdana" w:hAnsi="Verdana"/>
          <w:sz w:val="18"/>
          <w:szCs w:val="18"/>
        </w:rPr>
        <w:t xml:space="preserve">zorgplicht uit de </w:t>
      </w:r>
      <w:proofErr w:type="spellStart"/>
      <w:r w:rsidR="00711564">
        <w:rPr>
          <w:rFonts w:ascii="Verdana" w:hAnsi="Verdana"/>
          <w:sz w:val="18"/>
          <w:szCs w:val="18"/>
        </w:rPr>
        <w:t>Tw</w:t>
      </w:r>
      <w:proofErr w:type="spellEnd"/>
      <w:r w:rsidRPr="000E32D7" w:rsidR="000E32D7">
        <w:rPr>
          <w:rFonts w:ascii="Verdana" w:hAnsi="Verdana"/>
          <w:sz w:val="18"/>
          <w:szCs w:val="18"/>
        </w:rPr>
        <w:t xml:space="preserve"> heeft een bredere reikwijdte, omdat deze ziet op de totale beveiliging van de openbare elektronische communicatienetwerken en de openbare elektronische communicatiediensten, en niet alleen op de netwerk- en informatiesystemen. </w:t>
      </w:r>
      <w:r w:rsidR="00711564">
        <w:rPr>
          <w:rFonts w:ascii="Verdana" w:hAnsi="Verdana"/>
          <w:sz w:val="18"/>
          <w:szCs w:val="18"/>
        </w:rPr>
        <w:t>Het is daarom noodzakelijk</w:t>
      </w:r>
      <w:r w:rsidRPr="000E32D7" w:rsidR="000E32D7">
        <w:rPr>
          <w:rFonts w:ascii="Verdana" w:hAnsi="Verdana"/>
          <w:sz w:val="18"/>
          <w:szCs w:val="18"/>
        </w:rPr>
        <w:t xml:space="preserve"> om </w:t>
      </w:r>
      <w:r w:rsidR="00711564">
        <w:rPr>
          <w:rFonts w:ascii="Verdana" w:hAnsi="Verdana"/>
          <w:sz w:val="18"/>
          <w:szCs w:val="18"/>
        </w:rPr>
        <w:t>de</w:t>
      </w:r>
      <w:r w:rsidRPr="000E32D7" w:rsidR="000E32D7">
        <w:rPr>
          <w:rFonts w:ascii="Verdana" w:hAnsi="Verdana"/>
          <w:sz w:val="18"/>
          <w:szCs w:val="18"/>
        </w:rPr>
        <w:t xml:space="preserve"> zorgplicht in de</w:t>
      </w:r>
      <w:r w:rsidR="00711564">
        <w:rPr>
          <w:rFonts w:ascii="Verdana" w:hAnsi="Verdana"/>
          <w:sz w:val="18"/>
          <w:szCs w:val="18"/>
        </w:rPr>
        <w:t xml:space="preserve"> </w:t>
      </w:r>
      <w:proofErr w:type="spellStart"/>
      <w:r w:rsidR="00711564">
        <w:rPr>
          <w:rFonts w:ascii="Verdana" w:hAnsi="Verdana"/>
          <w:sz w:val="18"/>
          <w:szCs w:val="18"/>
        </w:rPr>
        <w:t>Tw</w:t>
      </w:r>
      <w:proofErr w:type="spellEnd"/>
      <w:r w:rsidRPr="000E32D7" w:rsidR="000E32D7">
        <w:rPr>
          <w:rFonts w:ascii="Verdana" w:hAnsi="Verdana"/>
          <w:sz w:val="18"/>
          <w:szCs w:val="18"/>
        </w:rPr>
        <w:t xml:space="preserve"> te behouden. </w:t>
      </w:r>
    </w:p>
    <w:p w:rsidRPr="000E32D7" w:rsidR="000E32D7" w:rsidP="000E32D7" w:rsidRDefault="000E32D7" w14:paraId="3869FE54" w14:textId="2318E88D">
      <w:pPr>
        <w:pStyle w:val="Geenafstand"/>
        <w:rPr>
          <w:rFonts w:ascii="Verdana" w:hAnsi="Verdana"/>
          <w:sz w:val="18"/>
          <w:szCs w:val="18"/>
        </w:rPr>
      </w:pPr>
      <w:r w:rsidRPr="000E32D7">
        <w:rPr>
          <w:rFonts w:ascii="Verdana" w:hAnsi="Verdana"/>
          <w:sz w:val="18"/>
          <w:szCs w:val="18"/>
        </w:rPr>
        <w:t xml:space="preserve">Daarnaast </w:t>
      </w:r>
      <w:r w:rsidR="00711564">
        <w:rPr>
          <w:rFonts w:ascii="Verdana" w:hAnsi="Verdana"/>
          <w:sz w:val="18"/>
          <w:szCs w:val="18"/>
        </w:rPr>
        <w:t>klopt het dat middels</w:t>
      </w:r>
      <w:r w:rsidRPr="000E32D7">
        <w:rPr>
          <w:rFonts w:ascii="Verdana" w:hAnsi="Verdana"/>
          <w:sz w:val="18"/>
          <w:szCs w:val="18"/>
        </w:rPr>
        <w:t xml:space="preserve"> de NIS2-richtlijn de artikelen 40 en 41 Telecomcode </w:t>
      </w:r>
      <w:r w:rsidR="00711564">
        <w:rPr>
          <w:rFonts w:ascii="Verdana" w:hAnsi="Verdana"/>
          <w:sz w:val="18"/>
          <w:szCs w:val="18"/>
        </w:rPr>
        <w:t xml:space="preserve">komen te vervallen, </w:t>
      </w:r>
      <w:r w:rsidRPr="000E32D7">
        <w:rPr>
          <w:rFonts w:ascii="Verdana" w:hAnsi="Verdana"/>
          <w:sz w:val="18"/>
          <w:szCs w:val="18"/>
        </w:rPr>
        <w:t xml:space="preserve">maar dit is niet gebeurd voor artikel 108 Telecomcode waarin is geregeld dat lidstaten alle noodzakelijke maatregelen nemen om de beschikbaarheid van spraakcommunicatiediensten en internettoegangsdiensten die worden geleverd via openbare elektronische communicatienetwerken, zo volledig mogelijk te waarborgen in geval van door calamiteit veroorzaakte netwerkuitval of in geval van overmacht. Hierbij moeten de lidstaten er ook voor zorgen dat aanbieders van spraakcommunicatiediensten alle nodige maatregelen nemen om een ononderbroken toegang tot de noodhulpdiensten en een ononderbroken transmissie van waarschuwingen aan het publiek te waarborgen. Deze is in de huidige </w:t>
      </w:r>
      <w:proofErr w:type="spellStart"/>
      <w:r w:rsidRPr="000E32D7">
        <w:rPr>
          <w:rFonts w:ascii="Verdana" w:hAnsi="Verdana"/>
          <w:sz w:val="18"/>
          <w:szCs w:val="18"/>
        </w:rPr>
        <w:t>T</w:t>
      </w:r>
      <w:r w:rsidR="00711564">
        <w:rPr>
          <w:rFonts w:ascii="Verdana" w:hAnsi="Verdana"/>
          <w:sz w:val="18"/>
          <w:szCs w:val="18"/>
        </w:rPr>
        <w:t>w</w:t>
      </w:r>
      <w:proofErr w:type="spellEnd"/>
      <w:r w:rsidRPr="000E32D7">
        <w:rPr>
          <w:rFonts w:ascii="Verdana" w:hAnsi="Verdana"/>
          <w:sz w:val="18"/>
          <w:szCs w:val="18"/>
        </w:rPr>
        <w:t xml:space="preserve"> geïmplementeerd in artikel 11a.1, tweede lid en wordt na inwerkingtreding van de </w:t>
      </w:r>
      <w:proofErr w:type="spellStart"/>
      <w:r w:rsidRPr="000E32D7">
        <w:rPr>
          <w:rFonts w:ascii="Verdana" w:hAnsi="Verdana"/>
          <w:sz w:val="18"/>
          <w:szCs w:val="18"/>
        </w:rPr>
        <w:t>C</w:t>
      </w:r>
      <w:r w:rsidR="00711564">
        <w:rPr>
          <w:rFonts w:ascii="Verdana" w:hAnsi="Verdana"/>
          <w:sz w:val="18"/>
          <w:szCs w:val="18"/>
        </w:rPr>
        <w:t>bw</w:t>
      </w:r>
      <w:proofErr w:type="spellEnd"/>
      <w:r w:rsidRPr="000E32D7">
        <w:rPr>
          <w:rFonts w:ascii="Verdana" w:hAnsi="Verdana"/>
          <w:sz w:val="18"/>
          <w:szCs w:val="18"/>
        </w:rPr>
        <w:t xml:space="preserve"> artikel 11a.1, derde lid. </w:t>
      </w:r>
    </w:p>
    <w:p w:rsidR="00B61A00" w:rsidP="000E32D7" w:rsidRDefault="00B61A00" w14:paraId="1CE555BD" w14:textId="77777777">
      <w:pPr>
        <w:pStyle w:val="Geenafstand"/>
        <w:rPr>
          <w:rFonts w:ascii="Verdana" w:hAnsi="Verdana"/>
          <w:sz w:val="18"/>
          <w:szCs w:val="18"/>
        </w:rPr>
      </w:pPr>
    </w:p>
    <w:p w:rsidRPr="000E32D7" w:rsidR="000E32D7" w:rsidP="000E32D7" w:rsidRDefault="000E32D7" w14:paraId="554EB3CE" w14:textId="75E83C6B">
      <w:pPr>
        <w:pStyle w:val="Geenafstand"/>
        <w:rPr>
          <w:rFonts w:ascii="Verdana" w:hAnsi="Verdana"/>
          <w:sz w:val="18"/>
          <w:szCs w:val="18"/>
        </w:rPr>
      </w:pPr>
      <w:r w:rsidRPr="000E32D7">
        <w:rPr>
          <w:rFonts w:ascii="Verdana" w:hAnsi="Verdana"/>
          <w:sz w:val="18"/>
          <w:szCs w:val="18"/>
        </w:rPr>
        <w:t xml:space="preserve">BTG merkt met betrekking tot de wijziging van de </w:t>
      </w:r>
      <w:proofErr w:type="spellStart"/>
      <w:r w:rsidR="00711564">
        <w:rPr>
          <w:rFonts w:ascii="Verdana" w:hAnsi="Verdana"/>
          <w:sz w:val="18"/>
          <w:szCs w:val="18"/>
        </w:rPr>
        <w:t>Tw</w:t>
      </w:r>
      <w:proofErr w:type="spellEnd"/>
      <w:r w:rsidRPr="000E32D7">
        <w:rPr>
          <w:rFonts w:ascii="Verdana" w:hAnsi="Verdana"/>
          <w:sz w:val="18"/>
          <w:szCs w:val="18"/>
        </w:rPr>
        <w:t xml:space="preserve"> op dat ten behoeve van artikel </w:t>
      </w:r>
      <w:r w:rsidR="00204DD1">
        <w:rPr>
          <w:rFonts w:ascii="Verdana" w:hAnsi="Verdana"/>
          <w:sz w:val="18"/>
          <w:szCs w:val="18"/>
        </w:rPr>
        <w:t xml:space="preserve">99 </w:t>
      </w:r>
      <w:proofErr w:type="spellStart"/>
      <w:r w:rsidR="003726E1">
        <w:rPr>
          <w:rFonts w:ascii="Verdana" w:hAnsi="Verdana"/>
          <w:sz w:val="18"/>
          <w:szCs w:val="18"/>
        </w:rPr>
        <w:t>Cbw</w:t>
      </w:r>
      <w:proofErr w:type="spellEnd"/>
      <w:r w:rsidRPr="000E32D7" w:rsidR="003726E1">
        <w:rPr>
          <w:rFonts w:ascii="Verdana" w:hAnsi="Verdana"/>
          <w:sz w:val="18"/>
          <w:szCs w:val="18"/>
        </w:rPr>
        <w:t xml:space="preserve"> </w:t>
      </w:r>
      <w:r w:rsidRPr="000E32D7">
        <w:rPr>
          <w:rFonts w:ascii="Verdana" w:hAnsi="Verdana"/>
          <w:sz w:val="18"/>
          <w:szCs w:val="18"/>
        </w:rPr>
        <w:t>(89</w:t>
      </w:r>
      <w:r w:rsidR="003726E1">
        <w:rPr>
          <w:rFonts w:ascii="Verdana" w:hAnsi="Verdana"/>
          <w:sz w:val="18"/>
          <w:szCs w:val="18"/>
        </w:rPr>
        <w:t xml:space="preserve"> oud</w:t>
      </w:r>
      <w:r w:rsidRPr="000E32D7">
        <w:rPr>
          <w:rFonts w:ascii="Verdana" w:hAnsi="Verdana"/>
          <w:sz w:val="18"/>
          <w:szCs w:val="18"/>
        </w:rPr>
        <w:t>) meer richtlijnen dienen te komen voor de passende en evenredige technische, operationele en organisatorische maatregelen om de risico</w:t>
      </w:r>
      <w:r w:rsidR="00D91960">
        <w:rPr>
          <w:rFonts w:ascii="Verdana" w:hAnsi="Verdana"/>
          <w:sz w:val="18"/>
          <w:szCs w:val="18"/>
        </w:rPr>
        <w:t>’</w:t>
      </w:r>
      <w:r w:rsidRPr="000E32D7">
        <w:rPr>
          <w:rFonts w:ascii="Verdana" w:hAnsi="Verdana"/>
          <w:sz w:val="18"/>
          <w:szCs w:val="18"/>
        </w:rPr>
        <w:t xml:space="preserve">s voor de beveiliging van de diensten te beheersen. De maatregelen die hier genoemd staan, dienen verduidelijking te krijgen. Er wordt genoemd dat er rekening gehouden dient te worden met desbetreffende Europese en </w:t>
      </w:r>
      <w:r w:rsidR="00711564">
        <w:rPr>
          <w:rFonts w:ascii="Verdana" w:hAnsi="Verdana"/>
          <w:sz w:val="18"/>
          <w:szCs w:val="18"/>
        </w:rPr>
        <w:t>i</w:t>
      </w:r>
      <w:r w:rsidRPr="000E32D7">
        <w:rPr>
          <w:rFonts w:ascii="Verdana" w:hAnsi="Verdana"/>
          <w:sz w:val="18"/>
          <w:szCs w:val="18"/>
        </w:rPr>
        <w:t>nternationale normen, maar dit is heel globaal. Hierbij adviseert BTG ook het gebruik van specifieke Europese en internationale normen als kader te benoemen met als doel inconsistenties en onduidelijkheid te voorkomen.</w:t>
      </w:r>
    </w:p>
    <w:p w:rsidRPr="000E32D7" w:rsidR="000E32D7" w:rsidP="000E32D7" w:rsidRDefault="000E32D7" w14:paraId="1CCDD90B" w14:textId="04663AF7">
      <w:pPr>
        <w:pStyle w:val="Geenafstand"/>
        <w:rPr>
          <w:rFonts w:ascii="Verdana" w:hAnsi="Verdana"/>
          <w:sz w:val="18"/>
          <w:szCs w:val="18"/>
        </w:rPr>
      </w:pPr>
      <w:r w:rsidRPr="000E32D7">
        <w:rPr>
          <w:rFonts w:ascii="Verdana" w:hAnsi="Verdana"/>
          <w:sz w:val="18"/>
          <w:szCs w:val="18"/>
        </w:rPr>
        <w:t xml:space="preserve">Artikel </w:t>
      </w:r>
      <w:r w:rsidR="00204DD1">
        <w:rPr>
          <w:rFonts w:ascii="Verdana" w:hAnsi="Verdana"/>
          <w:sz w:val="18"/>
          <w:szCs w:val="18"/>
        </w:rPr>
        <w:t>99</w:t>
      </w:r>
      <w:r w:rsidRPr="000E32D7" w:rsidR="00204DD1">
        <w:rPr>
          <w:rFonts w:ascii="Verdana" w:hAnsi="Verdana"/>
          <w:sz w:val="18"/>
          <w:szCs w:val="18"/>
        </w:rPr>
        <w:t xml:space="preserve"> </w:t>
      </w:r>
      <w:proofErr w:type="spellStart"/>
      <w:r w:rsidRPr="000E32D7">
        <w:rPr>
          <w:rFonts w:ascii="Verdana" w:hAnsi="Verdana"/>
          <w:sz w:val="18"/>
          <w:szCs w:val="18"/>
        </w:rPr>
        <w:t>Cbw</w:t>
      </w:r>
      <w:proofErr w:type="spellEnd"/>
      <w:r w:rsidRPr="000E32D7">
        <w:rPr>
          <w:rFonts w:ascii="Verdana" w:hAnsi="Verdana"/>
          <w:sz w:val="18"/>
          <w:szCs w:val="18"/>
        </w:rPr>
        <w:t xml:space="preserve"> </w:t>
      </w:r>
      <w:r w:rsidRPr="000E32D7" w:rsidR="003726E1">
        <w:rPr>
          <w:rFonts w:ascii="Verdana" w:hAnsi="Verdana"/>
          <w:sz w:val="18"/>
          <w:szCs w:val="18"/>
        </w:rPr>
        <w:t>(</w:t>
      </w:r>
      <w:r w:rsidR="003726E1">
        <w:rPr>
          <w:rFonts w:ascii="Verdana" w:hAnsi="Verdana"/>
          <w:sz w:val="18"/>
          <w:szCs w:val="18"/>
        </w:rPr>
        <w:t xml:space="preserve">89 </w:t>
      </w:r>
      <w:r w:rsidRPr="000E32D7" w:rsidR="003726E1">
        <w:rPr>
          <w:rFonts w:ascii="Verdana" w:hAnsi="Verdana"/>
          <w:sz w:val="18"/>
          <w:szCs w:val="18"/>
        </w:rPr>
        <w:t xml:space="preserve">oud) </w:t>
      </w:r>
      <w:r w:rsidRPr="000E32D7">
        <w:rPr>
          <w:rFonts w:ascii="Verdana" w:hAnsi="Verdana"/>
          <w:sz w:val="18"/>
          <w:szCs w:val="18"/>
        </w:rPr>
        <w:t xml:space="preserve">is </w:t>
      </w:r>
      <w:r w:rsidR="00711564">
        <w:rPr>
          <w:rFonts w:ascii="Verdana" w:hAnsi="Verdana"/>
          <w:sz w:val="18"/>
          <w:szCs w:val="18"/>
        </w:rPr>
        <w:t xml:space="preserve">als volgt </w:t>
      </w:r>
      <w:r w:rsidRPr="000E32D7">
        <w:rPr>
          <w:rFonts w:ascii="Verdana" w:hAnsi="Verdana"/>
          <w:sz w:val="18"/>
          <w:szCs w:val="18"/>
        </w:rPr>
        <w:t>aangepast</w:t>
      </w:r>
      <w:r w:rsidR="00711564">
        <w:rPr>
          <w:rFonts w:ascii="Verdana" w:hAnsi="Verdana"/>
          <w:sz w:val="18"/>
          <w:szCs w:val="18"/>
        </w:rPr>
        <w:t>.</w:t>
      </w:r>
      <w:r w:rsidRPr="000E32D7">
        <w:rPr>
          <w:rFonts w:ascii="Verdana" w:hAnsi="Verdana"/>
          <w:sz w:val="18"/>
          <w:szCs w:val="18"/>
        </w:rPr>
        <w:t xml:space="preserve"> De verwijzing in artikel 11a.1, eerste lid</w:t>
      </w:r>
      <w:r w:rsidR="00711564">
        <w:rPr>
          <w:rFonts w:ascii="Verdana" w:hAnsi="Verdana"/>
          <w:sz w:val="18"/>
          <w:szCs w:val="18"/>
        </w:rPr>
        <w:t xml:space="preserve">, </w:t>
      </w:r>
      <w:proofErr w:type="spellStart"/>
      <w:r w:rsidR="00711564">
        <w:rPr>
          <w:rFonts w:ascii="Verdana" w:hAnsi="Verdana"/>
          <w:sz w:val="18"/>
          <w:szCs w:val="18"/>
        </w:rPr>
        <w:t>Tw</w:t>
      </w:r>
      <w:proofErr w:type="spellEnd"/>
      <w:r w:rsidRPr="000E32D7">
        <w:rPr>
          <w:rFonts w:ascii="Verdana" w:hAnsi="Verdana"/>
          <w:sz w:val="18"/>
          <w:szCs w:val="18"/>
        </w:rPr>
        <w:t xml:space="preserve"> naar de Europese en internationale normen is geschrapt</w:t>
      </w:r>
      <w:r w:rsidR="00746C5D">
        <w:rPr>
          <w:rFonts w:ascii="Verdana" w:hAnsi="Verdana"/>
          <w:sz w:val="18"/>
          <w:szCs w:val="18"/>
        </w:rPr>
        <w:t>. D</w:t>
      </w:r>
      <w:r w:rsidRPr="000E32D7">
        <w:rPr>
          <w:rFonts w:ascii="Verdana" w:hAnsi="Verdana"/>
          <w:sz w:val="18"/>
          <w:szCs w:val="18"/>
        </w:rPr>
        <w:t>e huidige laatste zin uit artikel 11a.1, eerste lid</w:t>
      </w:r>
      <w:r w:rsidR="00746C5D">
        <w:rPr>
          <w:rFonts w:ascii="Verdana" w:hAnsi="Verdana"/>
          <w:sz w:val="18"/>
          <w:szCs w:val="18"/>
        </w:rPr>
        <w:t xml:space="preserve">, </w:t>
      </w:r>
      <w:proofErr w:type="spellStart"/>
      <w:r w:rsidR="00746C5D">
        <w:rPr>
          <w:rFonts w:ascii="Verdana" w:hAnsi="Verdana"/>
          <w:sz w:val="18"/>
          <w:szCs w:val="18"/>
        </w:rPr>
        <w:t>Tw</w:t>
      </w:r>
      <w:proofErr w:type="spellEnd"/>
      <w:r w:rsidRPr="000E32D7">
        <w:rPr>
          <w:rFonts w:ascii="Verdana" w:hAnsi="Verdana"/>
          <w:sz w:val="18"/>
          <w:szCs w:val="18"/>
        </w:rPr>
        <w:t xml:space="preserve"> is in de bepaling opgenomen, namelijk: </w:t>
      </w:r>
      <w:r w:rsidR="00746C5D">
        <w:rPr>
          <w:rFonts w:ascii="Verdana" w:hAnsi="Verdana"/>
          <w:sz w:val="18"/>
          <w:szCs w:val="18"/>
        </w:rPr>
        <w:t>“</w:t>
      </w:r>
      <w:r w:rsidRPr="000E32D7">
        <w:rPr>
          <w:rFonts w:ascii="Verdana" w:hAnsi="Verdana"/>
          <w:sz w:val="18"/>
          <w:szCs w:val="18"/>
        </w:rPr>
        <w:t>Deze maatregelen zorgen, gezien de stand van de techniek, voor een veiligheidsniveau dat is afgestemd op de risico</w:t>
      </w:r>
      <w:r w:rsidR="00D91960">
        <w:rPr>
          <w:rFonts w:ascii="Verdana" w:hAnsi="Verdana"/>
          <w:sz w:val="18"/>
          <w:szCs w:val="18"/>
        </w:rPr>
        <w:t>’</w:t>
      </w:r>
      <w:r w:rsidRPr="000E32D7">
        <w:rPr>
          <w:rFonts w:ascii="Verdana" w:hAnsi="Verdana"/>
          <w:sz w:val="18"/>
          <w:szCs w:val="18"/>
        </w:rPr>
        <w:t>s die zich voordoen.</w:t>
      </w:r>
      <w:r w:rsidR="00746C5D">
        <w:rPr>
          <w:rFonts w:ascii="Verdana" w:hAnsi="Verdana"/>
          <w:sz w:val="18"/>
          <w:szCs w:val="18"/>
        </w:rPr>
        <w:t>”</w:t>
      </w:r>
      <w:r w:rsidRPr="000E32D7">
        <w:rPr>
          <w:rFonts w:ascii="Verdana" w:hAnsi="Verdana"/>
          <w:sz w:val="18"/>
          <w:szCs w:val="18"/>
        </w:rPr>
        <w:t xml:space="preserve"> Hierdoor is de formulering van artikel 11a.1, eerste lid</w:t>
      </w:r>
      <w:r w:rsidR="00746C5D">
        <w:rPr>
          <w:rFonts w:ascii="Verdana" w:hAnsi="Verdana"/>
          <w:sz w:val="18"/>
          <w:szCs w:val="18"/>
        </w:rPr>
        <w:t xml:space="preserve">, </w:t>
      </w:r>
      <w:proofErr w:type="spellStart"/>
      <w:r w:rsidR="00746C5D">
        <w:rPr>
          <w:rFonts w:ascii="Verdana" w:hAnsi="Verdana"/>
          <w:sz w:val="18"/>
          <w:szCs w:val="18"/>
        </w:rPr>
        <w:t>Tw</w:t>
      </w:r>
      <w:proofErr w:type="spellEnd"/>
      <w:r w:rsidRPr="000E32D7">
        <w:rPr>
          <w:rFonts w:ascii="Verdana" w:hAnsi="Verdana"/>
          <w:sz w:val="18"/>
          <w:szCs w:val="18"/>
        </w:rPr>
        <w:t xml:space="preserve"> hetzelfde als die bij de implementatie van de Telecomcode in de </w:t>
      </w:r>
      <w:proofErr w:type="spellStart"/>
      <w:r w:rsidRPr="000E32D7">
        <w:rPr>
          <w:rFonts w:ascii="Verdana" w:hAnsi="Verdana"/>
          <w:sz w:val="18"/>
          <w:szCs w:val="18"/>
        </w:rPr>
        <w:t>T</w:t>
      </w:r>
      <w:r w:rsidR="00746C5D">
        <w:rPr>
          <w:rFonts w:ascii="Verdana" w:hAnsi="Verdana"/>
          <w:sz w:val="18"/>
          <w:szCs w:val="18"/>
        </w:rPr>
        <w:t>w</w:t>
      </w:r>
      <w:proofErr w:type="spellEnd"/>
      <w:r w:rsidRPr="000E32D7">
        <w:rPr>
          <w:rFonts w:ascii="Verdana" w:hAnsi="Verdana"/>
          <w:sz w:val="18"/>
          <w:szCs w:val="18"/>
        </w:rPr>
        <w:t xml:space="preserve"> was geregeld maar waarbij alleen de verwijzingen naar aanbieders van openbare elektronische communicatienetwerken en de beveiliging van netwerken is </w:t>
      </w:r>
      <w:r w:rsidR="00711564">
        <w:rPr>
          <w:rFonts w:ascii="Verdana" w:hAnsi="Verdana"/>
          <w:sz w:val="18"/>
          <w:szCs w:val="18"/>
        </w:rPr>
        <w:t>verwijderd</w:t>
      </w:r>
      <w:r w:rsidRPr="000E32D7">
        <w:rPr>
          <w:rFonts w:ascii="Verdana" w:hAnsi="Verdana"/>
          <w:sz w:val="18"/>
          <w:szCs w:val="18"/>
        </w:rPr>
        <w:t xml:space="preserve">. </w:t>
      </w:r>
    </w:p>
    <w:p w:rsidR="00114EE7" w:rsidP="000E32D7" w:rsidRDefault="00114EE7" w14:paraId="59326426" w14:textId="77777777">
      <w:pPr>
        <w:pStyle w:val="Geenafstand"/>
        <w:rPr>
          <w:rFonts w:ascii="Verdana" w:hAnsi="Verdana"/>
          <w:sz w:val="18"/>
          <w:szCs w:val="18"/>
        </w:rPr>
      </w:pPr>
    </w:p>
    <w:p w:rsidRPr="000E32D7" w:rsidR="000E32D7" w:rsidP="00C3466E" w:rsidRDefault="00114EE7" w14:paraId="200C3C7C" w14:textId="6551606A">
      <w:pPr>
        <w:pStyle w:val="Kop3"/>
      </w:pPr>
      <w:bookmarkStart w:name="_Toc198721147" w:id="216"/>
      <w:r>
        <w:t>9.6.</w:t>
      </w:r>
      <w:r w:rsidR="00B61A00">
        <w:t>2</w:t>
      </w:r>
      <w:r>
        <w:t xml:space="preserve"> </w:t>
      </w:r>
      <w:r w:rsidRPr="000E32D7" w:rsidR="000E32D7">
        <w:t>Database met domeinregistratiegegevens</w:t>
      </w:r>
      <w:bookmarkEnd w:id="216"/>
    </w:p>
    <w:p w:rsidR="00114EE7" w:rsidP="000E32D7" w:rsidRDefault="00114EE7" w14:paraId="6F5D3708" w14:textId="77777777">
      <w:pPr>
        <w:pStyle w:val="Geenafstand"/>
        <w:rPr>
          <w:rFonts w:ascii="Verdana" w:hAnsi="Verdana"/>
          <w:sz w:val="18"/>
          <w:szCs w:val="18"/>
        </w:rPr>
      </w:pPr>
    </w:p>
    <w:p w:rsidRPr="00375BAC" w:rsidR="00375BAC" w:rsidP="000E32D7" w:rsidRDefault="00375BAC" w14:paraId="385A6CF1" w14:textId="6FD8718F">
      <w:pPr>
        <w:pStyle w:val="Geenafstand"/>
        <w:rPr>
          <w:rFonts w:ascii="Verdana" w:hAnsi="Verdana"/>
          <w:i/>
          <w:iCs/>
          <w:sz w:val="18"/>
          <w:szCs w:val="18"/>
        </w:rPr>
      </w:pPr>
      <w:r>
        <w:rPr>
          <w:rFonts w:ascii="Verdana" w:hAnsi="Verdana"/>
          <w:i/>
          <w:iCs/>
          <w:sz w:val="18"/>
          <w:szCs w:val="18"/>
        </w:rPr>
        <w:t>Inleiding</w:t>
      </w:r>
    </w:p>
    <w:p w:rsidRPr="000E32D7" w:rsidR="000E32D7" w:rsidP="000E32D7" w:rsidRDefault="00114EE7" w14:paraId="10793173" w14:textId="1F0FB333">
      <w:pPr>
        <w:pStyle w:val="Geenafstand"/>
        <w:rPr>
          <w:rFonts w:ascii="Verdana" w:hAnsi="Verdana"/>
          <w:sz w:val="18"/>
          <w:szCs w:val="18"/>
        </w:rPr>
      </w:pPr>
      <w:r>
        <w:rPr>
          <w:rFonts w:ascii="Verdana" w:hAnsi="Verdana"/>
          <w:sz w:val="18"/>
          <w:szCs w:val="18"/>
        </w:rPr>
        <w:t>Op</w:t>
      </w:r>
      <w:r w:rsidRPr="000E32D7" w:rsidR="000E32D7">
        <w:rPr>
          <w:rFonts w:ascii="Verdana" w:hAnsi="Verdana"/>
          <w:sz w:val="18"/>
          <w:szCs w:val="18"/>
        </w:rPr>
        <w:t xml:space="preserve"> de </w:t>
      </w:r>
      <w:proofErr w:type="spellStart"/>
      <w:r>
        <w:rPr>
          <w:rFonts w:ascii="Verdana" w:hAnsi="Verdana"/>
          <w:sz w:val="18"/>
          <w:szCs w:val="18"/>
        </w:rPr>
        <w:t>Cbw</w:t>
      </w:r>
      <w:proofErr w:type="spellEnd"/>
      <w:r>
        <w:rPr>
          <w:rFonts w:ascii="Verdana" w:hAnsi="Verdana"/>
          <w:sz w:val="18"/>
          <w:szCs w:val="18"/>
        </w:rPr>
        <w:t>-</w:t>
      </w:r>
      <w:r w:rsidRPr="000E32D7" w:rsidR="000E32D7">
        <w:rPr>
          <w:rFonts w:ascii="Verdana" w:hAnsi="Verdana"/>
          <w:sz w:val="18"/>
          <w:szCs w:val="18"/>
        </w:rPr>
        <w:t xml:space="preserve">artikelen over </w:t>
      </w:r>
      <w:r>
        <w:rPr>
          <w:rFonts w:ascii="Verdana" w:hAnsi="Verdana"/>
          <w:sz w:val="18"/>
          <w:szCs w:val="18"/>
        </w:rPr>
        <w:t xml:space="preserve">een </w:t>
      </w:r>
      <w:r w:rsidRPr="000E32D7" w:rsidR="000E32D7">
        <w:rPr>
          <w:rFonts w:ascii="Verdana" w:hAnsi="Verdana"/>
          <w:sz w:val="18"/>
          <w:szCs w:val="18"/>
        </w:rPr>
        <w:t xml:space="preserve">database met domeinregistratiegegevens zijn meerdere reacties gekomen, waaronder van Stichting Brein, SIDN, Vereniging van </w:t>
      </w:r>
      <w:proofErr w:type="spellStart"/>
      <w:r w:rsidRPr="000E32D7" w:rsidR="000E32D7">
        <w:rPr>
          <w:rFonts w:ascii="Verdana" w:hAnsi="Verdana"/>
          <w:sz w:val="18"/>
          <w:szCs w:val="18"/>
        </w:rPr>
        <w:t>Registrars</w:t>
      </w:r>
      <w:proofErr w:type="spellEnd"/>
      <w:r w:rsidRPr="000E32D7" w:rsidR="000E32D7">
        <w:rPr>
          <w:rFonts w:ascii="Verdana" w:hAnsi="Verdana"/>
          <w:sz w:val="18"/>
          <w:szCs w:val="18"/>
        </w:rPr>
        <w:t xml:space="preserve">, </w:t>
      </w:r>
      <w:proofErr w:type="spellStart"/>
      <w:r w:rsidRPr="000E32D7" w:rsidR="000E32D7">
        <w:rPr>
          <w:rFonts w:ascii="Verdana" w:hAnsi="Verdana"/>
          <w:sz w:val="18"/>
          <w:szCs w:val="18"/>
        </w:rPr>
        <w:t>Ripe</w:t>
      </w:r>
      <w:proofErr w:type="spellEnd"/>
      <w:r w:rsidRPr="000E32D7" w:rsidR="000E32D7">
        <w:rPr>
          <w:rFonts w:ascii="Verdana" w:hAnsi="Verdana"/>
          <w:sz w:val="18"/>
          <w:szCs w:val="18"/>
        </w:rPr>
        <w:t xml:space="preserve"> RCC,</w:t>
      </w:r>
      <w:r w:rsidR="006313E0">
        <w:rPr>
          <w:rFonts w:ascii="Verdana" w:hAnsi="Verdana"/>
          <w:sz w:val="18"/>
          <w:szCs w:val="18"/>
        </w:rPr>
        <w:t xml:space="preserve"> </w:t>
      </w:r>
      <w:proofErr w:type="spellStart"/>
      <w:r w:rsidRPr="000E32D7" w:rsidR="000E32D7">
        <w:rPr>
          <w:rFonts w:ascii="Verdana" w:hAnsi="Verdana"/>
          <w:sz w:val="18"/>
          <w:szCs w:val="18"/>
        </w:rPr>
        <w:t>Realtime</w:t>
      </w:r>
      <w:proofErr w:type="spellEnd"/>
      <w:r w:rsidRPr="000E32D7" w:rsidR="000E32D7">
        <w:rPr>
          <w:rFonts w:ascii="Verdana" w:hAnsi="Verdana"/>
          <w:sz w:val="18"/>
          <w:szCs w:val="18"/>
        </w:rPr>
        <w:t xml:space="preserve"> Register, </w:t>
      </w:r>
      <w:proofErr w:type="spellStart"/>
      <w:r w:rsidRPr="000E32D7" w:rsidR="000E32D7">
        <w:rPr>
          <w:rFonts w:ascii="Verdana" w:hAnsi="Verdana"/>
          <w:sz w:val="18"/>
          <w:szCs w:val="18"/>
        </w:rPr>
        <w:t>Metaregistrars</w:t>
      </w:r>
      <w:proofErr w:type="spellEnd"/>
      <w:r w:rsidRPr="000E32D7" w:rsidR="000E32D7">
        <w:rPr>
          <w:rFonts w:ascii="Verdana" w:hAnsi="Verdana"/>
          <w:sz w:val="18"/>
          <w:szCs w:val="18"/>
        </w:rPr>
        <w:t xml:space="preserve">, ICANN Business </w:t>
      </w:r>
      <w:proofErr w:type="spellStart"/>
      <w:r w:rsidRPr="000E32D7" w:rsidR="000E32D7">
        <w:rPr>
          <w:rFonts w:ascii="Verdana" w:hAnsi="Verdana"/>
          <w:sz w:val="18"/>
          <w:szCs w:val="18"/>
        </w:rPr>
        <w:t>Constituency</w:t>
      </w:r>
      <w:proofErr w:type="spellEnd"/>
      <w:r w:rsidRPr="000E32D7" w:rsidR="000E32D7">
        <w:rPr>
          <w:rFonts w:ascii="Verdana" w:hAnsi="Verdana"/>
          <w:sz w:val="18"/>
          <w:szCs w:val="18"/>
        </w:rPr>
        <w:t xml:space="preserve">, </w:t>
      </w:r>
      <w:proofErr w:type="spellStart"/>
      <w:r w:rsidRPr="000E32D7" w:rsidR="000E32D7">
        <w:rPr>
          <w:rFonts w:ascii="Verdana" w:hAnsi="Verdana"/>
          <w:sz w:val="18"/>
          <w:szCs w:val="18"/>
        </w:rPr>
        <w:t>Coalition</w:t>
      </w:r>
      <w:proofErr w:type="spellEnd"/>
      <w:r w:rsidRPr="000E32D7" w:rsidR="000E32D7">
        <w:rPr>
          <w:rFonts w:ascii="Verdana" w:hAnsi="Verdana"/>
          <w:sz w:val="18"/>
          <w:szCs w:val="18"/>
        </w:rPr>
        <w:t xml:space="preserve"> </w:t>
      </w:r>
      <w:proofErr w:type="spellStart"/>
      <w:r w:rsidRPr="000E32D7" w:rsidR="000E32D7">
        <w:rPr>
          <w:rFonts w:ascii="Verdana" w:hAnsi="Verdana"/>
          <w:sz w:val="18"/>
          <w:szCs w:val="18"/>
        </w:rPr>
        <w:t>for</w:t>
      </w:r>
      <w:proofErr w:type="spellEnd"/>
      <w:r w:rsidRPr="000E32D7" w:rsidR="000E32D7">
        <w:rPr>
          <w:rFonts w:ascii="Verdana" w:hAnsi="Verdana"/>
          <w:sz w:val="18"/>
          <w:szCs w:val="18"/>
        </w:rPr>
        <w:t xml:space="preserve"> Online Accountability en de Messaging, Malware </w:t>
      </w:r>
      <w:proofErr w:type="spellStart"/>
      <w:r w:rsidRPr="000E32D7" w:rsidR="000E32D7">
        <w:rPr>
          <w:rFonts w:ascii="Verdana" w:hAnsi="Verdana"/>
          <w:sz w:val="18"/>
          <w:szCs w:val="18"/>
        </w:rPr>
        <w:t>and</w:t>
      </w:r>
      <w:proofErr w:type="spellEnd"/>
      <w:r w:rsidRPr="000E32D7" w:rsidR="000E32D7">
        <w:rPr>
          <w:rFonts w:ascii="Verdana" w:hAnsi="Verdana"/>
          <w:sz w:val="18"/>
          <w:szCs w:val="18"/>
        </w:rPr>
        <w:t xml:space="preserve"> Mobile Anti-</w:t>
      </w:r>
      <w:proofErr w:type="spellStart"/>
      <w:r w:rsidRPr="000E32D7" w:rsidR="000E32D7">
        <w:rPr>
          <w:rFonts w:ascii="Verdana" w:hAnsi="Verdana"/>
          <w:sz w:val="18"/>
          <w:szCs w:val="18"/>
        </w:rPr>
        <w:t>Abuse</w:t>
      </w:r>
      <w:proofErr w:type="spellEnd"/>
      <w:r w:rsidRPr="000E32D7" w:rsidR="000E32D7">
        <w:rPr>
          <w:rFonts w:ascii="Verdana" w:hAnsi="Verdana"/>
          <w:sz w:val="18"/>
          <w:szCs w:val="18"/>
        </w:rPr>
        <w:t xml:space="preserve"> </w:t>
      </w:r>
      <w:proofErr w:type="spellStart"/>
      <w:r w:rsidRPr="000E32D7" w:rsidR="000E32D7">
        <w:rPr>
          <w:rFonts w:ascii="Verdana" w:hAnsi="Verdana"/>
          <w:sz w:val="18"/>
          <w:szCs w:val="18"/>
        </w:rPr>
        <w:t>Working</w:t>
      </w:r>
      <w:proofErr w:type="spellEnd"/>
      <w:r w:rsidRPr="000E32D7" w:rsidR="000E32D7">
        <w:rPr>
          <w:rFonts w:ascii="Verdana" w:hAnsi="Verdana"/>
          <w:sz w:val="18"/>
          <w:szCs w:val="18"/>
        </w:rPr>
        <w:t xml:space="preserve"> </w:t>
      </w:r>
      <w:proofErr w:type="spellStart"/>
      <w:r w:rsidRPr="000E32D7" w:rsidR="000E32D7">
        <w:rPr>
          <w:rFonts w:ascii="Verdana" w:hAnsi="Verdana"/>
          <w:sz w:val="18"/>
          <w:szCs w:val="18"/>
        </w:rPr>
        <w:t>group</w:t>
      </w:r>
      <w:proofErr w:type="spellEnd"/>
      <w:r w:rsidRPr="000E32D7" w:rsidR="000E32D7">
        <w:rPr>
          <w:rFonts w:ascii="Verdana" w:hAnsi="Verdana"/>
          <w:sz w:val="18"/>
          <w:szCs w:val="18"/>
        </w:rPr>
        <w:t xml:space="preserve">. </w:t>
      </w:r>
    </w:p>
    <w:p w:rsidR="006313E0" w:rsidP="000E32D7" w:rsidRDefault="006313E0" w14:paraId="17B9BE1D" w14:textId="77777777">
      <w:pPr>
        <w:pStyle w:val="Geenafstand"/>
        <w:rPr>
          <w:rFonts w:ascii="Verdana" w:hAnsi="Verdana"/>
          <w:sz w:val="18"/>
          <w:szCs w:val="18"/>
        </w:rPr>
      </w:pPr>
    </w:p>
    <w:p w:rsidRPr="00CA2296" w:rsidR="000E32D7" w:rsidP="000E32D7" w:rsidRDefault="000E32D7" w14:paraId="146AB86F" w14:textId="5DBC313C">
      <w:pPr>
        <w:pStyle w:val="Geenafstand"/>
        <w:rPr>
          <w:rFonts w:ascii="Verdana" w:hAnsi="Verdana"/>
          <w:i/>
          <w:iCs/>
          <w:sz w:val="18"/>
          <w:szCs w:val="18"/>
        </w:rPr>
      </w:pPr>
      <w:r w:rsidRPr="00CA2296">
        <w:rPr>
          <w:rFonts w:ascii="Verdana" w:hAnsi="Verdana"/>
          <w:i/>
          <w:iCs/>
          <w:sz w:val="18"/>
          <w:szCs w:val="18"/>
        </w:rPr>
        <w:t>Verificatie registratiegegevens</w:t>
      </w:r>
    </w:p>
    <w:p w:rsidRPr="000E32D7" w:rsidR="000E32D7" w:rsidP="000E32D7" w:rsidRDefault="00114EE7" w14:paraId="5D3241E1" w14:textId="6ADBE9AF">
      <w:pPr>
        <w:pStyle w:val="Geenafstand"/>
        <w:rPr>
          <w:rFonts w:ascii="Verdana" w:hAnsi="Verdana"/>
          <w:sz w:val="18"/>
          <w:szCs w:val="18"/>
        </w:rPr>
      </w:pPr>
      <w:r>
        <w:rPr>
          <w:rFonts w:ascii="Verdana" w:hAnsi="Verdana"/>
          <w:sz w:val="18"/>
          <w:szCs w:val="18"/>
        </w:rPr>
        <w:t xml:space="preserve">Diverse </w:t>
      </w:r>
      <w:r w:rsidR="00D456D6">
        <w:rPr>
          <w:rFonts w:ascii="Verdana" w:hAnsi="Verdana"/>
          <w:sz w:val="18"/>
          <w:szCs w:val="18"/>
        </w:rPr>
        <w:t>consultatiereacties</w:t>
      </w:r>
      <w:r>
        <w:rPr>
          <w:rFonts w:ascii="Verdana" w:hAnsi="Verdana"/>
          <w:sz w:val="18"/>
          <w:szCs w:val="18"/>
        </w:rPr>
        <w:t xml:space="preserve"> gaan</w:t>
      </w:r>
      <w:r w:rsidRPr="000E32D7" w:rsidR="000E32D7">
        <w:rPr>
          <w:rFonts w:ascii="Verdana" w:hAnsi="Verdana"/>
          <w:sz w:val="18"/>
          <w:szCs w:val="18"/>
        </w:rPr>
        <w:t xml:space="preserve"> over het wel of niet expliciet vaststellen van verificatiemethodes in </w:t>
      </w:r>
      <w:r>
        <w:rPr>
          <w:rFonts w:ascii="Verdana" w:hAnsi="Verdana"/>
          <w:sz w:val="18"/>
          <w:szCs w:val="18"/>
        </w:rPr>
        <w:t xml:space="preserve">de </w:t>
      </w:r>
      <w:proofErr w:type="spellStart"/>
      <w:r>
        <w:rPr>
          <w:rFonts w:ascii="Verdana" w:hAnsi="Verdana"/>
          <w:sz w:val="18"/>
          <w:szCs w:val="18"/>
        </w:rPr>
        <w:t>Cbw</w:t>
      </w:r>
      <w:proofErr w:type="spellEnd"/>
      <w:r w:rsidRPr="000E32D7" w:rsidR="000E32D7">
        <w:rPr>
          <w:rFonts w:ascii="Verdana" w:hAnsi="Verdana"/>
          <w:sz w:val="18"/>
          <w:szCs w:val="18"/>
        </w:rPr>
        <w:t xml:space="preserve">. </w:t>
      </w:r>
      <w:r w:rsidR="009D082F">
        <w:rPr>
          <w:rFonts w:ascii="Verdana" w:hAnsi="Verdana"/>
          <w:sz w:val="18"/>
          <w:szCs w:val="18"/>
        </w:rPr>
        <w:t>Er</w:t>
      </w:r>
      <w:r w:rsidRPr="000E32D7" w:rsidR="000E32D7">
        <w:rPr>
          <w:rFonts w:ascii="Verdana" w:hAnsi="Verdana"/>
          <w:sz w:val="18"/>
          <w:szCs w:val="18"/>
        </w:rPr>
        <w:t xml:space="preserve"> zijn verschillende verificatiemethodes aangedragen voor het verifiëren van domeinnaamregistratiegegevens. Deze procedures zullen in overleg met de sector worden ingevuld. Er wordt momenteel met verschillende lidstaten gezamenlijk gewerkt aan een document om op dit punt tot afspraken voor minimumharmonisatie voor mogelijke verificatiemethodes te komen. Hiermee kan niet worden voorkomen dat er lidstaten zijn die van deze afspraken af gaan wijken. Voor de Nederlandse implementatie zullen vervolgens (zoals voorgesteld in één van de consultatiereactie</w:t>
      </w:r>
      <w:r w:rsidR="009D082F">
        <w:rPr>
          <w:rFonts w:ascii="Verdana" w:hAnsi="Verdana"/>
          <w:sz w:val="18"/>
          <w:szCs w:val="18"/>
        </w:rPr>
        <w:t>s</w:t>
      </w:r>
      <w:r w:rsidRPr="000E32D7" w:rsidR="000E32D7">
        <w:rPr>
          <w:rFonts w:ascii="Verdana" w:hAnsi="Verdana"/>
          <w:sz w:val="18"/>
          <w:szCs w:val="18"/>
        </w:rPr>
        <w:t xml:space="preserve">) samen met belanghebbende partijen eenduidige verificatiemethodes worden gekozen, die gebaseerd zijn op het eerder genoemde Europese </w:t>
      </w:r>
      <w:r w:rsidR="00E2191C">
        <w:rPr>
          <w:rFonts w:ascii="Verdana" w:hAnsi="Verdana"/>
          <w:sz w:val="18"/>
          <w:szCs w:val="18"/>
        </w:rPr>
        <w:t>afstemming</w:t>
      </w:r>
      <w:r w:rsidRPr="000E32D7" w:rsidR="000E32D7">
        <w:rPr>
          <w:rFonts w:ascii="Verdana" w:hAnsi="Verdana"/>
          <w:sz w:val="18"/>
          <w:szCs w:val="18"/>
        </w:rPr>
        <w:t xml:space="preserve">. Indien noodzakelijk geacht kunnen bij ministeriële regeling eisen aan verificatiemethodes worden gesteld die de benodigde duidelijkheid verschaffen. </w:t>
      </w:r>
    </w:p>
    <w:p w:rsidRPr="000E32D7" w:rsidR="000E32D7" w:rsidP="000E32D7" w:rsidRDefault="000E32D7" w14:paraId="2CB4B688" w14:textId="3A6A5B52">
      <w:pPr>
        <w:pStyle w:val="Geenafstand"/>
        <w:rPr>
          <w:rFonts w:ascii="Verdana" w:hAnsi="Verdana"/>
          <w:sz w:val="18"/>
          <w:szCs w:val="18"/>
        </w:rPr>
      </w:pPr>
      <w:r w:rsidRPr="000E32D7">
        <w:rPr>
          <w:rFonts w:ascii="Verdana" w:hAnsi="Verdana"/>
          <w:sz w:val="18"/>
          <w:szCs w:val="18"/>
        </w:rPr>
        <w:t xml:space="preserve">Zoals de NIS2-richtlijn voorschrijft dienen de registers voor topleveldomeinnamen en entiteiten die domeinnaamregistratiediensten verlenen door middel van beleidslijnen en procedures ervoor zorgen dat de het register op te nemen informatie juist en volledig is. Uit overweging 111 </w:t>
      </w:r>
      <w:r w:rsidR="00DF67C4">
        <w:rPr>
          <w:rFonts w:ascii="Verdana" w:hAnsi="Verdana"/>
          <w:sz w:val="18"/>
          <w:szCs w:val="18"/>
        </w:rPr>
        <w:t xml:space="preserve">van de </w:t>
      </w:r>
      <w:r w:rsidRPr="000E32D7">
        <w:rPr>
          <w:rFonts w:ascii="Verdana" w:hAnsi="Verdana"/>
          <w:sz w:val="18"/>
          <w:szCs w:val="18"/>
        </w:rPr>
        <w:t xml:space="preserve">NIS2-richtlijn moeten topleveldomeinnamen en de entiteiten die domeinnaamregistratiediensten verlenen onder meer ten minste één van de manieren om met de domeinnaamhouder contact op te nemen, verifiëren. De informatie die deze entiteiten registreren is opgesomd in artikel 49, tweede lid, </w:t>
      </w:r>
      <w:proofErr w:type="spellStart"/>
      <w:r w:rsidR="009D082F">
        <w:rPr>
          <w:rFonts w:ascii="Verdana" w:hAnsi="Verdana"/>
          <w:sz w:val="18"/>
          <w:szCs w:val="18"/>
        </w:rPr>
        <w:t>Cbw</w:t>
      </w:r>
      <w:proofErr w:type="spellEnd"/>
      <w:r w:rsidRPr="000E32D7">
        <w:rPr>
          <w:rFonts w:ascii="Verdana" w:hAnsi="Verdana"/>
          <w:sz w:val="18"/>
          <w:szCs w:val="18"/>
        </w:rPr>
        <w:t>.</w:t>
      </w:r>
    </w:p>
    <w:p w:rsidRPr="000E32D7" w:rsidR="000E32D7" w:rsidP="000E32D7" w:rsidRDefault="000E32D7" w14:paraId="2F3D84D3" w14:textId="77777777">
      <w:pPr>
        <w:pStyle w:val="Geenafstand"/>
        <w:rPr>
          <w:rFonts w:ascii="Verdana" w:hAnsi="Verdana"/>
          <w:sz w:val="18"/>
          <w:szCs w:val="18"/>
        </w:rPr>
      </w:pPr>
      <w:r w:rsidRPr="000E32D7">
        <w:rPr>
          <w:rFonts w:ascii="Verdana" w:hAnsi="Verdana"/>
          <w:sz w:val="18"/>
          <w:szCs w:val="18"/>
        </w:rPr>
        <w:t xml:space="preserve">Er zijn daarnaast vragen gesteld welke nationale regels leidend zijn betreffende verificatieprocedures voor entiteiten die domeinregistratiediensten verlenen in verschillende lidstaten. Het doel van de afspraken tussen de lidstaten over verificatieprocedures is om minimumharmonisatie te bewerkstelligen. De Nederlandse inzet hierbij is om samen te werken met de registers voor topleveldomeinnamen en de toezichthouders zodat er goed rekening kan worden gehouden met de uitvoeringspraktijk. </w:t>
      </w:r>
    </w:p>
    <w:p w:rsidR="00114EE7" w:rsidP="000E32D7" w:rsidRDefault="00114EE7" w14:paraId="29E07415" w14:textId="77777777">
      <w:pPr>
        <w:pStyle w:val="Geenafstand"/>
        <w:rPr>
          <w:rFonts w:ascii="Verdana" w:hAnsi="Verdana"/>
          <w:sz w:val="18"/>
          <w:szCs w:val="18"/>
        </w:rPr>
      </w:pPr>
    </w:p>
    <w:p w:rsidRPr="00CA2296" w:rsidR="000E32D7" w:rsidP="000E32D7" w:rsidRDefault="000E32D7" w14:paraId="661D5C9B" w14:textId="6AF3E68C">
      <w:pPr>
        <w:pStyle w:val="Geenafstand"/>
        <w:rPr>
          <w:rFonts w:ascii="Verdana" w:hAnsi="Verdana"/>
          <w:i/>
          <w:iCs/>
          <w:sz w:val="18"/>
          <w:szCs w:val="18"/>
        </w:rPr>
      </w:pPr>
      <w:r w:rsidRPr="00CA2296">
        <w:rPr>
          <w:rFonts w:ascii="Verdana" w:hAnsi="Verdana"/>
          <w:i/>
          <w:iCs/>
          <w:sz w:val="18"/>
          <w:szCs w:val="18"/>
        </w:rPr>
        <w:t>Privacy- en proxydiensten</w:t>
      </w:r>
    </w:p>
    <w:p w:rsidRPr="000E32D7" w:rsidR="000E32D7" w:rsidP="000E32D7" w:rsidRDefault="00E2191C" w14:paraId="0F768ADE" w14:textId="7DECB931">
      <w:pPr>
        <w:pStyle w:val="Geenafstand"/>
        <w:rPr>
          <w:rFonts w:ascii="Verdana" w:hAnsi="Verdana"/>
          <w:sz w:val="18"/>
          <w:szCs w:val="18"/>
        </w:rPr>
      </w:pPr>
      <w:r>
        <w:rPr>
          <w:rFonts w:ascii="Verdana" w:hAnsi="Verdana"/>
          <w:sz w:val="18"/>
          <w:szCs w:val="18"/>
        </w:rPr>
        <w:t>Er is</w:t>
      </w:r>
      <w:r w:rsidRPr="000E32D7" w:rsidR="000E32D7">
        <w:rPr>
          <w:rFonts w:ascii="Verdana" w:hAnsi="Verdana"/>
          <w:sz w:val="18"/>
          <w:szCs w:val="18"/>
        </w:rPr>
        <w:t xml:space="preserve"> door verschillende partijen aangegeven dat het onduidelijk is </w:t>
      </w:r>
      <w:r>
        <w:rPr>
          <w:rFonts w:ascii="Verdana" w:hAnsi="Verdana"/>
          <w:sz w:val="18"/>
          <w:szCs w:val="18"/>
        </w:rPr>
        <w:t>of</w:t>
      </w:r>
      <w:r w:rsidRPr="000E32D7" w:rsidR="000E32D7">
        <w:rPr>
          <w:rFonts w:ascii="Verdana" w:hAnsi="Verdana"/>
          <w:sz w:val="18"/>
          <w:szCs w:val="18"/>
        </w:rPr>
        <w:t xml:space="preserve"> aanbieders van privacy- en proxy-registratiediensten als entiteiten die domeinnaamdiensten verlenen</w:t>
      </w:r>
      <w:r>
        <w:rPr>
          <w:rFonts w:ascii="Verdana" w:hAnsi="Verdana"/>
          <w:sz w:val="18"/>
          <w:szCs w:val="18"/>
        </w:rPr>
        <w:t>,</w:t>
      </w:r>
      <w:r w:rsidRPr="000E32D7" w:rsidR="000E32D7">
        <w:rPr>
          <w:rFonts w:ascii="Verdana" w:hAnsi="Verdana"/>
          <w:sz w:val="18"/>
          <w:szCs w:val="18"/>
        </w:rPr>
        <w:t xml:space="preserve"> ook contactgegevens van de domeinnaamhouder moeten verstrekken aan een legitieme </w:t>
      </w:r>
      <w:proofErr w:type="spellStart"/>
      <w:r w:rsidRPr="000E32D7" w:rsidR="000E32D7">
        <w:rPr>
          <w:rFonts w:ascii="Verdana" w:hAnsi="Verdana"/>
          <w:sz w:val="18"/>
          <w:szCs w:val="18"/>
        </w:rPr>
        <w:t>toegangvragende</w:t>
      </w:r>
      <w:proofErr w:type="spellEnd"/>
      <w:r w:rsidRPr="000E32D7" w:rsidR="000E32D7">
        <w:rPr>
          <w:rFonts w:ascii="Verdana" w:hAnsi="Verdana"/>
          <w:sz w:val="18"/>
          <w:szCs w:val="18"/>
        </w:rPr>
        <w:t xml:space="preserve"> partij. Het is onvoldoende om slechts gegevens van de betreffende privacy- of proxy-registratiedienstverlener te geven bij een gemotiveerd verzoek van een legitieme partij. De gegevens van de desbetreffende houder dienen geregistreerd te worden. De artikelsgewijze toelichting op artikel 49 (50</w:t>
      </w:r>
      <w:r w:rsidR="003726E1">
        <w:rPr>
          <w:rFonts w:ascii="Verdana" w:hAnsi="Verdana"/>
          <w:sz w:val="18"/>
          <w:szCs w:val="18"/>
        </w:rPr>
        <w:t xml:space="preserve"> oud</w:t>
      </w:r>
      <w:r w:rsidRPr="000E32D7" w:rsidR="000E32D7">
        <w:rPr>
          <w:rFonts w:ascii="Verdana" w:hAnsi="Verdana"/>
          <w:sz w:val="18"/>
          <w:szCs w:val="18"/>
        </w:rPr>
        <w:t xml:space="preserve">) is hierop aangevuld. </w:t>
      </w:r>
    </w:p>
    <w:p w:rsidR="00114EE7" w:rsidP="000E32D7" w:rsidRDefault="00114EE7" w14:paraId="2A786523" w14:textId="77777777">
      <w:pPr>
        <w:pStyle w:val="Geenafstand"/>
        <w:rPr>
          <w:rFonts w:ascii="Verdana" w:hAnsi="Verdana"/>
          <w:sz w:val="18"/>
          <w:szCs w:val="18"/>
        </w:rPr>
      </w:pPr>
    </w:p>
    <w:p w:rsidRPr="000E32D7" w:rsidR="000E32D7" w:rsidP="000E32D7" w:rsidRDefault="000E32D7" w14:paraId="51BA10FB" w14:textId="02344645">
      <w:pPr>
        <w:pStyle w:val="Geenafstand"/>
        <w:rPr>
          <w:rFonts w:ascii="Verdana" w:hAnsi="Verdana"/>
          <w:sz w:val="18"/>
          <w:szCs w:val="18"/>
        </w:rPr>
      </w:pPr>
      <w:r w:rsidRPr="00CA2296">
        <w:rPr>
          <w:rFonts w:ascii="Verdana" w:hAnsi="Verdana"/>
          <w:i/>
          <w:iCs/>
          <w:sz w:val="18"/>
          <w:szCs w:val="18"/>
        </w:rPr>
        <w:t>Bulkregistraties</w:t>
      </w:r>
      <w:r w:rsidRPr="000E32D7">
        <w:rPr>
          <w:rFonts w:ascii="Verdana" w:hAnsi="Verdana"/>
          <w:sz w:val="18"/>
          <w:szCs w:val="18"/>
        </w:rPr>
        <w:t xml:space="preserve"> </w:t>
      </w:r>
    </w:p>
    <w:p w:rsidRPr="000E32D7" w:rsidR="000E32D7" w:rsidP="000E32D7" w:rsidRDefault="009D082F" w14:paraId="6A2A5F13" w14:textId="4020633C">
      <w:pPr>
        <w:pStyle w:val="Geenafstand"/>
        <w:rPr>
          <w:rFonts w:ascii="Verdana" w:hAnsi="Verdana"/>
          <w:sz w:val="18"/>
          <w:szCs w:val="18"/>
        </w:rPr>
      </w:pPr>
      <w:r>
        <w:rPr>
          <w:rFonts w:ascii="Verdana" w:hAnsi="Verdana"/>
          <w:sz w:val="18"/>
          <w:szCs w:val="18"/>
        </w:rPr>
        <w:t>In een aantal consultatiereacties</w:t>
      </w:r>
      <w:r w:rsidRPr="000E32D7" w:rsidR="000E32D7">
        <w:rPr>
          <w:rFonts w:ascii="Verdana" w:hAnsi="Verdana"/>
          <w:sz w:val="18"/>
          <w:szCs w:val="18"/>
        </w:rPr>
        <w:t xml:space="preserve"> is opgebracht dat bulkregistraties door gebruik van algoritmes, software of automatische protocollen expliciet uitgesloten moeten worden. Dit punt is niet overgenomen, omdat een gedegen verificatieproces het geautomatiseerd registreren van domeinnamen door algoritmes (bulkregistraties) kan mitigeren.</w:t>
      </w:r>
    </w:p>
    <w:p w:rsidRPr="000E32D7" w:rsidR="000E32D7" w:rsidP="000E32D7" w:rsidRDefault="009D082F" w14:paraId="493A857D" w14:textId="23827634">
      <w:pPr>
        <w:pStyle w:val="Geenafstand"/>
        <w:rPr>
          <w:rFonts w:ascii="Verdana" w:hAnsi="Verdana"/>
          <w:sz w:val="18"/>
          <w:szCs w:val="18"/>
        </w:rPr>
      </w:pPr>
      <w:r>
        <w:rPr>
          <w:rFonts w:ascii="Verdana" w:hAnsi="Verdana"/>
          <w:sz w:val="18"/>
          <w:szCs w:val="18"/>
        </w:rPr>
        <w:t>Een aantal organisaties wijst</w:t>
      </w:r>
      <w:r w:rsidRPr="000E32D7" w:rsidR="000E32D7">
        <w:rPr>
          <w:rFonts w:ascii="Verdana" w:hAnsi="Verdana"/>
          <w:sz w:val="18"/>
          <w:szCs w:val="18"/>
        </w:rPr>
        <w:t xml:space="preserve"> op het feit dat het openbaren van bepaalde verificatieprocedures, zoals beschreven in artikel 49, derde lid</w:t>
      </w:r>
      <w:r>
        <w:rPr>
          <w:rFonts w:ascii="Verdana" w:hAnsi="Verdana"/>
          <w:sz w:val="18"/>
          <w:szCs w:val="18"/>
        </w:rPr>
        <w:t xml:space="preserve">, </w:t>
      </w:r>
      <w:proofErr w:type="spellStart"/>
      <w:r>
        <w:rPr>
          <w:rFonts w:ascii="Verdana" w:hAnsi="Verdana"/>
          <w:sz w:val="18"/>
          <w:szCs w:val="18"/>
        </w:rPr>
        <w:t>Cbw</w:t>
      </w:r>
      <w:proofErr w:type="spellEnd"/>
      <w:r w:rsidRPr="000E32D7" w:rsidR="000E32D7">
        <w:rPr>
          <w:rFonts w:ascii="Verdana" w:hAnsi="Verdana"/>
          <w:sz w:val="18"/>
          <w:szCs w:val="18"/>
        </w:rPr>
        <w:t xml:space="preserve"> (50, derde lid</w:t>
      </w:r>
      <w:r w:rsidR="00204DD1">
        <w:rPr>
          <w:rFonts w:ascii="Verdana" w:hAnsi="Verdana"/>
          <w:sz w:val="18"/>
          <w:szCs w:val="18"/>
        </w:rPr>
        <w:t>,</w:t>
      </w:r>
      <w:r>
        <w:rPr>
          <w:rFonts w:ascii="Verdana" w:hAnsi="Verdana"/>
          <w:sz w:val="18"/>
          <w:szCs w:val="18"/>
        </w:rPr>
        <w:t xml:space="preserve"> oud</w:t>
      </w:r>
      <w:r w:rsidRPr="000E32D7" w:rsidR="000E32D7">
        <w:rPr>
          <w:rFonts w:ascii="Verdana" w:hAnsi="Verdana"/>
          <w:sz w:val="18"/>
          <w:szCs w:val="18"/>
        </w:rPr>
        <w:t>) kan leiden tot het uitbuiten van deze informatie. Dit punt is begrijpelijk. Echter stelt artikel 49, derde lid,</w:t>
      </w:r>
      <w:r>
        <w:rPr>
          <w:rFonts w:ascii="Verdana" w:hAnsi="Verdana"/>
          <w:sz w:val="18"/>
          <w:szCs w:val="18"/>
        </w:rPr>
        <w:t xml:space="preserve"> </w:t>
      </w:r>
      <w:proofErr w:type="spellStart"/>
      <w:r>
        <w:rPr>
          <w:rFonts w:ascii="Verdana" w:hAnsi="Verdana"/>
          <w:sz w:val="18"/>
          <w:szCs w:val="18"/>
        </w:rPr>
        <w:t>Cbw</w:t>
      </w:r>
      <w:proofErr w:type="spellEnd"/>
      <w:r w:rsidRPr="000E32D7" w:rsidR="000E32D7">
        <w:rPr>
          <w:rFonts w:ascii="Verdana" w:hAnsi="Verdana"/>
          <w:sz w:val="18"/>
          <w:szCs w:val="18"/>
        </w:rPr>
        <w:t xml:space="preserve"> niet vast tot op welk detailniveau deze procedures moet worden uitgewerkt en hierdoor kan specifieke gevoelige informatie achterwege blijven.</w:t>
      </w:r>
    </w:p>
    <w:p w:rsidRPr="000E32D7" w:rsidR="000E32D7" w:rsidP="000E32D7" w:rsidRDefault="000E32D7" w14:paraId="651FDFF4" w14:textId="5EFD6E7F">
      <w:pPr>
        <w:pStyle w:val="Geenafstand"/>
        <w:rPr>
          <w:rFonts w:ascii="Verdana" w:hAnsi="Verdana"/>
          <w:sz w:val="18"/>
          <w:szCs w:val="18"/>
        </w:rPr>
      </w:pPr>
      <w:r w:rsidRPr="000E32D7">
        <w:rPr>
          <w:rFonts w:ascii="Verdana" w:hAnsi="Verdana"/>
          <w:sz w:val="18"/>
          <w:szCs w:val="18"/>
        </w:rPr>
        <w:t xml:space="preserve">Daarnaast is ingebracht om een zogeheten </w:t>
      </w:r>
      <w:proofErr w:type="spellStart"/>
      <w:r w:rsidRPr="000E32D7">
        <w:rPr>
          <w:rFonts w:ascii="Verdana" w:hAnsi="Verdana"/>
          <w:sz w:val="18"/>
          <w:szCs w:val="18"/>
        </w:rPr>
        <w:t>Thick</w:t>
      </w:r>
      <w:proofErr w:type="spellEnd"/>
      <w:r w:rsidRPr="000E32D7">
        <w:rPr>
          <w:rFonts w:ascii="Verdana" w:hAnsi="Verdana"/>
          <w:sz w:val="18"/>
          <w:szCs w:val="18"/>
        </w:rPr>
        <w:t xml:space="preserve"> WHOIS</w:t>
      </w:r>
      <w:r w:rsidR="00D65544">
        <w:rPr>
          <w:rFonts w:ascii="Verdana" w:hAnsi="Verdana"/>
          <w:sz w:val="18"/>
          <w:szCs w:val="18"/>
        </w:rPr>
        <w:t>-</w:t>
      </w:r>
      <w:r w:rsidRPr="000E32D7">
        <w:rPr>
          <w:rFonts w:ascii="Verdana" w:hAnsi="Verdana"/>
          <w:sz w:val="18"/>
          <w:szCs w:val="18"/>
        </w:rPr>
        <w:t xml:space="preserve">model van topleveldomeinnaamregisters aan het houden. Dit punt wordt niet overgenomen. In Nederland is het .nl-topleveldomein al naar dit model ingericht, zonder dat dit model verplicht is. Daarnaast schrijft de NIS2-richtlijn het gebruik van een bepaalde techniek niet voor. Het doel van de NIS2-richtlijn is om de database met juiste en volledige domeinnamen te vullen. </w:t>
      </w:r>
    </w:p>
    <w:p w:rsidRPr="000E32D7" w:rsidR="000E32D7" w:rsidP="000E32D7" w:rsidRDefault="000E32D7" w14:paraId="6D6469D1" w14:textId="77777777">
      <w:pPr>
        <w:pStyle w:val="Geenafstand"/>
        <w:rPr>
          <w:rFonts w:ascii="Verdana" w:hAnsi="Verdana"/>
          <w:sz w:val="18"/>
          <w:szCs w:val="18"/>
        </w:rPr>
      </w:pPr>
    </w:p>
    <w:p w:rsidRPr="00723091" w:rsidR="00CA2296" w:rsidP="000E32D7" w:rsidRDefault="000E32D7" w14:paraId="50FA0E7F" w14:textId="77777777">
      <w:pPr>
        <w:pStyle w:val="Geenafstand"/>
        <w:rPr>
          <w:rFonts w:ascii="Verdana" w:hAnsi="Verdana"/>
          <w:i/>
          <w:iCs/>
          <w:sz w:val="18"/>
          <w:szCs w:val="18"/>
        </w:rPr>
      </w:pPr>
      <w:r w:rsidRPr="00723091">
        <w:rPr>
          <w:rFonts w:ascii="Verdana" w:hAnsi="Verdana"/>
          <w:i/>
          <w:iCs/>
          <w:sz w:val="18"/>
          <w:szCs w:val="18"/>
        </w:rPr>
        <w:t xml:space="preserve">Betaling </w:t>
      </w:r>
    </w:p>
    <w:p w:rsidRPr="000E32D7" w:rsidR="000E32D7" w:rsidP="000E32D7" w:rsidRDefault="000E32D7" w14:paraId="33785765" w14:textId="3C3B6A3C">
      <w:pPr>
        <w:pStyle w:val="Geenafstand"/>
        <w:rPr>
          <w:rFonts w:ascii="Verdana" w:hAnsi="Verdana"/>
          <w:sz w:val="18"/>
          <w:szCs w:val="18"/>
        </w:rPr>
      </w:pPr>
      <w:r w:rsidRPr="000E32D7">
        <w:rPr>
          <w:rFonts w:ascii="Verdana" w:hAnsi="Verdana"/>
          <w:sz w:val="18"/>
          <w:szCs w:val="18"/>
        </w:rPr>
        <w:t>Een punt uit de consultatie betrof gratis toegang tot de gegevens uit de database</w:t>
      </w:r>
      <w:r w:rsidR="00204DD1">
        <w:rPr>
          <w:rFonts w:ascii="Verdana" w:hAnsi="Verdana"/>
          <w:sz w:val="18"/>
          <w:szCs w:val="18"/>
        </w:rPr>
        <w:t>,</w:t>
      </w:r>
      <w:r w:rsidRPr="000E32D7">
        <w:rPr>
          <w:rFonts w:ascii="Verdana" w:hAnsi="Verdana"/>
          <w:sz w:val="18"/>
          <w:szCs w:val="18"/>
        </w:rPr>
        <w:t xml:space="preserve"> bedoeld in artikel 49</w:t>
      </w:r>
      <w:r w:rsidR="001907D8">
        <w:rPr>
          <w:rFonts w:ascii="Verdana" w:hAnsi="Verdana"/>
          <w:sz w:val="18"/>
          <w:szCs w:val="18"/>
        </w:rPr>
        <w:t xml:space="preserve"> </w:t>
      </w:r>
      <w:proofErr w:type="spellStart"/>
      <w:r w:rsidR="001907D8">
        <w:rPr>
          <w:rFonts w:ascii="Verdana" w:hAnsi="Verdana"/>
          <w:sz w:val="18"/>
          <w:szCs w:val="18"/>
        </w:rPr>
        <w:t>Cbw</w:t>
      </w:r>
      <w:proofErr w:type="spellEnd"/>
      <w:r w:rsidRPr="000E32D7">
        <w:rPr>
          <w:rFonts w:ascii="Verdana" w:hAnsi="Verdana"/>
          <w:sz w:val="18"/>
          <w:szCs w:val="18"/>
        </w:rPr>
        <w:t>. Dit punt wordt niet overgenomen omdat kosteloze verstrekking niet een uit de NIS2-richtlijn vloeiende verplichting</w:t>
      </w:r>
      <w:r w:rsidR="00CD331F">
        <w:rPr>
          <w:rFonts w:ascii="Verdana" w:hAnsi="Verdana"/>
          <w:sz w:val="18"/>
          <w:szCs w:val="18"/>
        </w:rPr>
        <w:t xml:space="preserve"> is</w:t>
      </w:r>
      <w:r w:rsidRPr="000E32D7">
        <w:rPr>
          <w:rFonts w:ascii="Verdana" w:hAnsi="Verdana"/>
          <w:sz w:val="18"/>
          <w:szCs w:val="18"/>
        </w:rPr>
        <w:t>.</w:t>
      </w:r>
    </w:p>
    <w:p w:rsidRPr="000E32D7" w:rsidR="000E32D7" w:rsidP="000E32D7" w:rsidRDefault="000E32D7" w14:paraId="2ABD7D02" w14:textId="77777777">
      <w:pPr>
        <w:pStyle w:val="Geenafstand"/>
        <w:rPr>
          <w:rFonts w:ascii="Verdana" w:hAnsi="Verdana"/>
          <w:sz w:val="18"/>
          <w:szCs w:val="18"/>
        </w:rPr>
      </w:pPr>
    </w:p>
    <w:p w:rsidRPr="00723091" w:rsidR="000E32D7" w:rsidP="000E32D7" w:rsidRDefault="000E32D7" w14:paraId="42717BDC" w14:textId="77777777">
      <w:pPr>
        <w:pStyle w:val="Geenafstand"/>
        <w:rPr>
          <w:rFonts w:ascii="Verdana" w:hAnsi="Verdana"/>
          <w:i/>
          <w:iCs/>
          <w:sz w:val="18"/>
          <w:szCs w:val="18"/>
        </w:rPr>
      </w:pPr>
      <w:r w:rsidRPr="00723091">
        <w:rPr>
          <w:rFonts w:ascii="Verdana" w:hAnsi="Verdana"/>
          <w:i/>
          <w:iCs/>
          <w:sz w:val="18"/>
          <w:szCs w:val="18"/>
        </w:rPr>
        <w:t xml:space="preserve">Dubbel verifiëren </w:t>
      </w:r>
    </w:p>
    <w:p w:rsidRPr="000E32D7" w:rsidR="000E32D7" w:rsidP="000E32D7" w:rsidRDefault="000E32D7" w14:paraId="16A9815D" w14:textId="0B0EC66A">
      <w:pPr>
        <w:pStyle w:val="Geenafstand"/>
        <w:rPr>
          <w:rFonts w:ascii="Verdana" w:hAnsi="Verdana"/>
          <w:sz w:val="18"/>
          <w:szCs w:val="18"/>
        </w:rPr>
      </w:pPr>
      <w:r w:rsidRPr="000E32D7">
        <w:rPr>
          <w:rFonts w:ascii="Verdana" w:hAnsi="Verdana"/>
          <w:sz w:val="18"/>
          <w:szCs w:val="18"/>
        </w:rPr>
        <w:t xml:space="preserve">Een ingebracht punt betreft het aanvullen van artikel 49, vijfde lid, </w:t>
      </w:r>
      <w:proofErr w:type="spellStart"/>
      <w:r w:rsidR="003726E1">
        <w:rPr>
          <w:rFonts w:ascii="Verdana" w:hAnsi="Verdana"/>
          <w:sz w:val="18"/>
          <w:szCs w:val="18"/>
        </w:rPr>
        <w:t>Cbw</w:t>
      </w:r>
      <w:proofErr w:type="spellEnd"/>
      <w:r w:rsidR="003726E1">
        <w:rPr>
          <w:rFonts w:ascii="Verdana" w:hAnsi="Verdana"/>
          <w:sz w:val="18"/>
          <w:szCs w:val="18"/>
        </w:rPr>
        <w:t xml:space="preserve"> </w:t>
      </w:r>
      <w:r w:rsidRPr="000E32D7">
        <w:rPr>
          <w:rFonts w:ascii="Verdana" w:hAnsi="Verdana"/>
          <w:sz w:val="18"/>
          <w:szCs w:val="18"/>
        </w:rPr>
        <w:t>(50, vijfde lid</w:t>
      </w:r>
      <w:r w:rsidR="00204DD1">
        <w:rPr>
          <w:rFonts w:ascii="Verdana" w:hAnsi="Verdana"/>
          <w:sz w:val="18"/>
          <w:szCs w:val="18"/>
        </w:rPr>
        <w:t>,</w:t>
      </w:r>
      <w:r w:rsidR="003726E1">
        <w:rPr>
          <w:rFonts w:ascii="Verdana" w:hAnsi="Verdana"/>
          <w:sz w:val="18"/>
          <w:szCs w:val="18"/>
        </w:rPr>
        <w:t xml:space="preserve"> oud</w:t>
      </w:r>
      <w:r w:rsidRPr="000E32D7">
        <w:rPr>
          <w:rFonts w:ascii="Verdana" w:hAnsi="Verdana"/>
          <w:sz w:val="18"/>
          <w:szCs w:val="18"/>
        </w:rPr>
        <w:t xml:space="preserve">) met voorschriften die tot doel hebben het voorkomen dat domeinnaamregistratiegegevens dubbel worden verzameld. De suggestie die gedaan wordt is om hierbij ook meermaals verifiëren op te nemen. Dit punt wordt meegenomen in het kader van de praktische uitwerking van de verificatiemethodes. </w:t>
      </w:r>
    </w:p>
    <w:p w:rsidRPr="000E32D7" w:rsidR="000E32D7" w:rsidP="000E32D7" w:rsidRDefault="000E32D7" w14:paraId="7FD48979" w14:textId="77777777">
      <w:pPr>
        <w:pStyle w:val="Geenafstand"/>
        <w:rPr>
          <w:rFonts w:ascii="Verdana" w:hAnsi="Verdana"/>
          <w:sz w:val="18"/>
          <w:szCs w:val="18"/>
        </w:rPr>
      </w:pPr>
    </w:p>
    <w:p w:rsidRPr="00723091" w:rsidR="000E32D7" w:rsidP="000E32D7" w:rsidRDefault="000E32D7" w14:paraId="17AAEC1B" w14:textId="77777777">
      <w:pPr>
        <w:pStyle w:val="Geenafstand"/>
        <w:rPr>
          <w:rFonts w:ascii="Verdana" w:hAnsi="Verdana"/>
          <w:i/>
          <w:iCs/>
          <w:sz w:val="18"/>
          <w:szCs w:val="18"/>
        </w:rPr>
      </w:pPr>
      <w:r w:rsidRPr="00723091">
        <w:rPr>
          <w:rFonts w:ascii="Verdana" w:hAnsi="Verdana"/>
          <w:i/>
          <w:iCs/>
          <w:sz w:val="18"/>
          <w:szCs w:val="18"/>
        </w:rPr>
        <w:t>Toegang tot welke gegevens</w:t>
      </w:r>
    </w:p>
    <w:p w:rsidRPr="000E32D7" w:rsidR="000E32D7" w:rsidP="000E32D7" w:rsidRDefault="000E32D7" w14:paraId="1330991C" w14:textId="610DAFFA">
      <w:pPr>
        <w:pStyle w:val="Geenafstand"/>
        <w:rPr>
          <w:rFonts w:ascii="Verdana" w:hAnsi="Verdana"/>
          <w:sz w:val="18"/>
          <w:szCs w:val="18"/>
        </w:rPr>
      </w:pPr>
      <w:r w:rsidRPr="000E32D7">
        <w:rPr>
          <w:rFonts w:ascii="Verdana" w:hAnsi="Verdana"/>
          <w:sz w:val="18"/>
          <w:szCs w:val="18"/>
        </w:rPr>
        <w:t xml:space="preserve">Een opgebracht punt in de consultatie betreft welke gegevens opgevraagd mogen worden bij een verzoek om toegang tot specifieke domeinnaamregistratiegegevens. De gegevens die middels artikel 50 </w:t>
      </w:r>
      <w:proofErr w:type="spellStart"/>
      <w:r w:rsidR="003726E1">
        <w:rPr>
          <w:rFonts w:ascii="Verdana" w:hAnsi="Verdana"/>
          <w:sz w:val="18"/>
          <w:szCs w:val="18"/>
        </w:rPr>
        <w:t>Cbw</w:t>
      </w:r>
      <w:proofErr w:type="spellEnd"/>
      <w:r w:rsidR="003726E1">
        <w:rPr>
          <w:rFonts w:ascii="Verdana" w:hAnsi="Verdana"/>
          <w:sz w:val="18"/>
          <w:szCs w:val="18"/>
        </w:rPr>
        <w:t xml:space="preserve"> </w:t>
      </w:r>
      <w:r w:rsidRPr="000E32D7">
        <w:rPr>
          <w:rFonts w:ascii="Verdana" w:hAnsi="Verdana"/>
          <w:sz w:val="18"/>
          <w:szCs w:val="18"/>
        </w:rPr>
        <w:t>(</w:t>
      </w:r>
      <w:r w:rsidR="003726E1">
        <w:rPr>
          <w:rFonts w:ascii="Verdana" w:hAnsi="Verdana"/>
          <w:sz w:val="18"/>
          <w:szCs w:val="18"/>
        </w:rPr>
        <w:t xml:space="preserve">51 </w:t>
      </w:r>
      <w:r w:rsidRPr="000E32D7">
        <w:rPr>
          <w:rFonts w:ascii="Verdana" w:hAnsi="Verdana"/>
          <w:sz w:val="18"/>
          <w:szCs w:val="18"/>
        </w:rPr>
        <w:t>oud) kunnen worden opgevraagd, gaat uitsluitend om gegevens zoals beschreven in artikel 49, tweede lid</w:t>
      </w:r>
      <w:r w:rsidR="003726E1">
        <w:rPr>
          <w:rFonts w:ascii="Verdana" w:hAnsi="Verdana"/>
          <w:sz w:val="18"/>
          <w:szCs w:val="18"/>
        </w:rPr>
        <w:t xml:space="preserve">, </w:t>
      </w:r>
      <w:proofErr w:type="spellStart"/>
      <w:r w:rsidR="003726E1">
        <w:rPr>
          <w:rFonts w:ascii="Verdana" w:hAnsi="Verdana"/>
          <w:sz w:val="18"/>
          <w:szCs w:val="18"/>
        </w:rPr>
        <w:t>Cbw</w:t>
      </w:r>
      <w:proofErr w:type="spellEnd"/>
      <w:r w:rsidRPr="000E32D7">
        <w:rPr>
          <w:rFonts w:ascii="Verdana" w:hAnsi="Verdana"/>
          <w:sz w:val="18"/>
          <w:szCs w:val="18"/>
        </w:rPr>
        <w:t xml:space="preserve"> (50, tweede lid</w:t>
      </w:r>
      <w:r w:rsidR="00204DD1">
        <w:rPr>
          <w:rFonts w:ascii="Verdana" w:hAnsi="Verdana"/>
          <w:sz w:val="18"/>
          <w:szCs w:val="18"/>
        </w:rPr>
        <w:t>,</w:t>
      </w:r>
      <w:r w:rsidR="003726E1">
        <w:rPr>
          <w:rFonts w:ascii="Verdana" w:hAnsi="Verdana"/>
          <w:sz w:val="18"/>
          <w:szCs w:val="18"/>
        </w:rPr>
        <w:t xml:space="preserve"> oud</w:t>
      </w:r>
      <w:r w:rsidRPr="000E32D7">
        <w:rPr>
          <w:rFonts w:ascii="Verdana" w:hAnsi="Verdana"/>
          <w:sz w:val="18"/>
          <w:szCs w:val="18"/>
        </w:rPr>
        <w:t>).</w:t>
      </w:r>
    </w:p>
    <w:p w:rsidRPr="000E32D7" w:rsidR="000E32D7" w:rsidP="000E32D7" w:rsidRDefault="000E32D7" w14:paraId="4A6E7DB8" w14:textId="77777777">
      <w:pPr>
        <w:pStyle w:val="Geenafstand"/>
        <w:rPr>
          <w:rFonts w:ascii="Verdana" w:hAnsi="Verdana"/>
          <w:sz w:val="18"/>
          <w:szCs w:val="18"/>
        </w:rPr>
      </w:pPr>
    </w:p>
    <w:p w:rsidRPr="00723091" w:rsidR="000E32D7" w:rsidP="000E32D7" w:rsidRDefault="000E32D7" w14:paraId="0BD9DEAD" w14:textId="77777777">
      <w:pPr>
        <w:pStyle w:val="Geenafstand"/>
        <w:rPr>
          <w:rFonts w:ascii="Verdana" w:hAnsi="Verdana"/>
          <w:i/>
          <w:iCs/>
          <w:sz w:val="18"/>
          <w:szCs w:val="18"/>
        </w:rPr>
      </w:pPr>
      <w:r w:rsidRPr="00723091">
        <w:rPr>
          <w:rFonts w:ascii="Verdana" w:hAnsi="Verdana"/>
          <w:i/>
          <w:iCs/>
          <w:sz w:val="18"/>
          <w:szCs w:val="18"/>
        </w:rPr>
        <w:t>Openbaarmaking gegevens</w:t>
      </w:r>
    </w:p>
    <w:p w:rsidRPr="00FF46E3" w:rsidR="000E32D7" w:rsidP="000E32D7" w:rsidRDefault="001C17E7" w14:paraId="38CCE037" w14:textId="74547F20">
      <w:pPr>
        <w:pStyle w:val="Geenafstand"/>
        <w:rPr>
          <w:rFonts w:ascii="Verdana" w:hAnsi="Verdana"/>
          <w:sz w:val="18"/>
          <w:szCs w:val="18"/>
        </w:rPr>
      </w:pPr>
      <w:r>
        <w:rPr>
          <w:rFonts w:ascii="Verdana" w:hAnsi="Verdana"/>
          <w:sz w:val="18"/>
          <w:szCs w:val="18"/>
        </w:rPr>
        <w:t>Over</w:t>
      </w:r>
      <w:r w:rsidRPr="000E32D7" w:rsidR="000E32D7">
        <w:rPr>
          <w:rFonts w:ascii="Verdana" w:hAnsi="Verdana"/>
          <w:sz w:val="18"/>
          <w:szCs w:val="18"/>
        </w:rPr>
        <w:t xml:space="preserve"> de handhaafbaarheid van het openbaar maken van gegevens is een vraag gesteld wanneer het openbaar maken van de registraties, bedoeld in </w:t>
      </w:r>
      <w:r w:rsidR="003726E1">
        <w:rPr>
          <w:rFonts w:ascii="Verdana" w:hAnsi="Verdana"/>
          <w:sz w:val="18"/>
          <w:szCs w:val="18"/>
        </w:rPr>
        <w:t xml:space="preserve">artikel </w:t>
      </w:r>
      <w:r w:rsidRPr="000E32D7" w:rsidR="000E32D7">
        <w:rPr>
          <w:rFonts w:ascii="Verdana" w:hAnsi="Verdana"/>
          <w:sz w:val="18"/>
          <w:szCs w:val="18"/>
        </w:rPr>
        <w:t>49, vierde lid</w:t>
      </w:r>
      <w:r w:rsidR="003726E1">
        <w:rPr>
          <w:rFonts w:ascii="Verdana" w:hAnsi="Verdana"/>
          <w:sz w:val="18"/>
          <w:szCs w:val="18"/>
        </w:rPr>
        <w:t xml:space="preserve">, </w:t>
      </w:r>
      <w:proofErr w:type="spellStart"/>
      <w:r w:rsidR="003726E1">
        <w:rPr>
          <w:rFonts w:ascii="Verdana" w:hAnsi="Verdana"/>
          <w:sz w:val="18"/>
          <w:szCs w:val="18"/>
        </w:rPr>
        <w:t>Cbw</w:t>
      </w:r>
      <w:proofErr w:type="spellEnd"/>
      <w:r w:rsidR="003726E1">
        <w:rPr>
          <w:rFonts w:ascii="Verdana" w:hAnsi="Verdana"/>
          <w:sz w:val="18"/>
          <w:szCs w:val="18"/>
        </w:rPr>
        <w:t xml:space="preserve"> (</w:t>
      </w:r>
      <w:r w:rsidRPr="000E32D7" w:rsidR="003726E1">
        <w:rPr>
          <w:rFonts w:ascii="Verdana" w:hAnsi="Verdana"/>
          <w:sz w:val="18"/>
          <w:szCs w:val="18"/>
        </w:rPr>
        <w:t>50, vierde lid</w:t>
      </w:r>
      <w:r w:rsidR="00204DD1">
        <w:rPr>
          <w:rFonts w:ascii="Verdana" w:hAnsi="Verdana"/>
          <w:sz w:val="18"/>
          <w:szCs w:val="18"/>
        </w:rPr>
        <w:t>,</w:t>
      </w:r>
      <w:r w:rsidR="003726E1">
        <w:rPr>
          <w:rFonts w:ascii="Verdana" w:hAnsi="Verdana"/>
          <w:sz w:val="18"/>
          <w:szCs w:val="18"/>
        </w:rPr>
        <w:t xml:space="preserve"> oud</w:t>
      </w:r>
      <w:r w:rsidRPr="000E32D7" w:rsidR="000E32D7">
        <w:rPr>
          <w:rFonts w:ascii="Verdana" w:hAnsi="Verdana"/>
          <w:sz w:val="18"/>
          <w:szCs w:val="18"/>
        </w:rPr>
        <w:t>) verplicht is. De openbaarmaking dient onverwijld na de registratie van een domeinnaam plaats te vinden.</w:t>
      </w:r>
    </w:p>
    <w:p w:rsidRPr="00FF46E3" w:rsidR="00A450AE" w:rsidP="00A450AE" w:rsidRDefault="00A450AE" w14:paraId="57A8A8A3" w14:textId="77777777">
      <w:pPr>
        <w:pStyle w:val="Geenafstand"/>
        <w:rPr>
          <w:rFonts w:ascii="Verdana" w:hAnsi="Verdana"/>
          <w:sz w:val="18"/>
          <w:szCs w:val="18"/>
        </w:rPr>
      </w:pPr>
    </w:p>
    <w:p w:rsidRPr="00FF46E3" w:rsidR="00A450AE" w:rsidP="00A450AE" w:rsidRDefault="00A450AE" w14:paraId="7C5A5CD6" w14:textId="0155BFFB">
      <w:pPr>
        <w:pStyle w:val="Kop2"/>
      </w:pPr>
      <w:bookmarkStart w:name="_Toc198721148" w:id="217"/>
      <w:bookmarkStart w:name="_Hlk170890915" w:id="218"/>
      <w:r w:rsidRPr="00FF46E3">
        <w:t>9.</w:t>
      </w:r>
      <w:r w:rsidR="00CB13D7">
        <w:t>7</w:t>
      </w:r>
      <w:r w:rsidRPr="00FF46E3">
        <w:t xml:space="preserve"> Zorgplicht</w:t>
      </w:r>
      <w:bookmarkEnd w:id="217"/>
    </w:p>
    <w:p w:rsidRPr="00FF46E3" w:rsidR="00A450AE" w:rsidP="00A450AE" w:rsidRDefault="00A450AE" w14:paraId="31A885F7" w14:textId="77777777">
      <w:pPr>
        <w:pStyle w:val="Geenafstand"/>
        <w:rPr>
          <w:rFonts w:ascii="Verdana" w:hAnsi="Verdana"/>
          <w:sz w:val="18"/>
          <w:szCs w:val="18"/>
        </w:rPr>
      </w:pPr>
    </w:p>
    <w:p w:rsidRPr="00FF46E3" w:rsidR="00A450AE" w:rsidP="00A450AE" w:rsidRDefault="00A450AE" w14:paraId="292810E6" w14:textId="77777777">
      <w:pPr>
        <w:pStyle w:val="Geenafstand"/>
        <w:rPr>
          <w:rFonts w:ascii="Verdana" w:hAnsi="Verdana"/>
          <w:i/>
          <w:iCs/>
          <w:sz w:val="18"/>
          <w:szCs w:val="18"/>
        </w:rPr>
      </w:pPr>
      <w:bookmarkStart w:name="_Hlk174530776" w:id="219"/>
      <w:r w:rsidRPr="00FF46E3">
        <w:rPr>
          <w:rFonts w:ascii="Verdana" w:hAnsi="Verdana"/>
          <w:i/>
          <w:iCs/>
          <w:sz w:val="18"/>
          <w:szCs w:val="18"/>
        </w:rPr>
        <w:t>Maatregelen in het kader van de zorgplicht</w:t>
      </w:r>
    </w:p>
    <w:p w:rsidRPr="00FF46E3" w:rsidR="00A450AE" w:rsidP="00A450AE" w:rsidRDefault="00A450AE" w14:paraId="011D1BEE" w14:textId="48E79490">
      <w:pPr>
        <w:pStyle w:val="Geenafstand"/>
        <w:rPr>
          <w:rFonts w:ascii="Verdana" w:hAnsi="Verdana"/>
          <w:sz w:val="18"/>
          <w:szCs w:val="18"/>
        </w:rPr>
      </w:pPr>
      <w:r w:rsidRPr="00FF46E3">
        <w:rPr>
          <w:rFonts w:ascii="Verdana" w:hAnsi="Verdana"/>
          <w:sz w:val="18"/>
          <w:szCs w:val="18"/>
        </w:rPr>
        <w:t xml:space="preserve">Meerdere consultatiereacties gaan over </w:t>
      </w:r>
      <w:r w:rsidR="000E0295">
        <w:rPr>
          <w:rFonts w:ascii="Verdana" w:hAnsi="Verdana"/>
          <w:sz w:val="18"/>
          <w:szCs w:val="18"/>
        </w:rPr>
        <w:t xml:space="preserve">de onduidelijkheid over </w:t>
      </w:r>
      <w:r w:rsidRPr="00FF46E3">
        <w:rPr>
          <w:rFonts w:ascii="Verdana" w:hAnsi="Verdana"/>
          <w:sz w:val="18"/>
          <w:szCs w:val="18"/>
        </w:rPr>
        <w:t xml:space="preserve">de maatregelen die essentiële entiteiten en belangrijke entiteiten moeten nemen in het kader van de zorgplicht. Daarnaast wordt in meerdere consultatiereacties ervoor gepleit om de zorgplicht te beperken tot alleen de maatregelen die worden voorgeschreven door de NIS2-richtlijn. </w:t>
      </w:r>
      <w:r w:rsidR="005931F0">
        <w:rPr>
          <w:rFonts w:ascii="Verdana" w:hAnsi="Verdana"/>
          <w:sz w:val="18"/>
          <w:szCs w:val="18"/>
        </w:rPr>
        <w:t>Hierop wordt als volgt gereageerd</w:t>
      </w:r>
      <w:r w:rsidRPr="00FF46E3">
        <w:rPr>
          <w:rFonts w:ascii="Verdana" w:hAnsi="Verdana"/>
          <w:sz w:val="18"/>
          <w:szCs w:val="18"/>
        </w:rPr>
        <w:t xml:space="preserve">. </w:t>
      </w:r>
      <w:bookmarkStart w:name="_Hlk174550234" w:id="220"/>
      <w:r w:rsidRPr="00FF46E3">
        <w:rPr>
          <w:rFonts w:ascii="Verdana" w:hAnsi="Verdana"/>
          <w:sz w:val="18"/>
          <w:szCs w:val="18"/>
        </w:rPr>
        <w:t xml:space="preserve">Onder de </w:t>
      </w:r>
      <w:proofErr w:type="spellStart"/>
      <w:r w:rsidRPr="00FF46E3">
        <w:rPr>
          <w:rFonts w:ascii="Verdana" w:hAnsi="Verdana"/>
          <w:sz w:val="18"/>
          <w:szCs w:val="18"/>
        </w:rPr>
        <w:t>Cbw</w:t>
      </w:r>
      <w:proofErr w:type="spellEnd"/>
      <w:r w:rsidRPr="00FF46E3">
        <w:rPr>
          <w:rFonts w:ascii="Verdana" w:hAnsi="Verdana"/>
          <w:sz w:val="18"/>
          <w:szCs w:val="18"/>
        </w:rPr>
        <w:t xml:space="preserve"> komt één </w:t>
      </w:r>
      <w:proofErr w:type="spellStart"/>
      <w:r w:rsidRPr="00FF46E3">
        <w:rPr>
          <w:rFonts w:ascii="Verdana" w:hAnsi="Verdana"/>
          <w:sz w:val="18"/>
          <w:szCs w:val="18"/>
        </w:rPr>
        <w:t>amvb</w:t>
      </w:r>
      <w:proofErr w:type="spellEnd"/>
      <w:r w:rsidRPr="00FF46E3">
        <w:rPr>
          <w:rFonts w:ascii="Verdana" w:hAnsi="Verdana"/>
          <w:sz w:val="18"/>
          <w:szCs w:val="18"/>
        </w:rPr>
        <w:t xml:space="preserve"> waarin regels worden gesteld </w:t>
      </w:r>
      <w:r w:rsidR="001128F0">
        <w:rPr>
          <w:rFonts w:ascii="Verdana" w:hAnsi="Verdana"/>
          <w:sz w:val="18"/>
          <w:szCs w:val="18"/>
        </w:rPr>
        <w:t>ter nadere invulling van</w:t>
      </w:r>
      <w:r w:rsidRPr="00FF46E3">
        <w:rPr>
          <w:rFonts w:ascii="Verdana" w:hAnsi="Verdana"/>
          <w:sz w:val="18"/>
          <w:szCs w:val="18"/>
        </w:rPr>
        <w:t xml:space="preserve"> de maatregelen die essentiële entiteiten en belangrijke entiteiten in het kader van de zorgplicht moeten nemen. In het kader van de implementatie van de NIS2-richtlijn zullen geen andere maatregelen worden voorgeschreven dan die worden voorgeschreven in artikel 21, tweede lid, NIS2-richtlijn</w:t>
      </w:r>
      <w:r w:rsidR="00E53AE7">
        <w:rPr>
          <w:rFonts w:ascii="Verdana" w:hAnsi="Verdana"/>
          <w:sz w:val="18"/>
          <w:szCs w:val="18"/>
        </w:rPr>
        <w:t xml:space="preserve">. De zorgplichtmaatregelen zijn </w:t>
      </w:r>
      <w:r w:rsidR="003726E1">
        <w:rPr>
          <w:rFonts w:ascii="Verdana" w:hAnsi="Verdana"/>
          <w:sz w:val="18"/>
          <w:szCs w:val="18"/>
        </w:rPr>
        <w:t>in verband met de hiervoor bedoelde</w:t>
      </w:r>
      <w:r w:rsidR="00E53AE7">
        <w:rPr>
          <w:rFonts w:ascii="Verdana" w:hAnsi="Verdana"/>
          <w:sz w:val="18"/>
          <w:szCs w:val="18"/>
        </w:rPr>
        <w:t xml:space="preserve"> consultatiereacties opgenomen in </w:t>
      </w:r>
      <w:r w:rsidR="007C186B">
        <w:rPr>
          <w:rFonts w:ascii="Verdana" w:hAnsi="Verdana"/>
          <w:sz w:val="18"/>
          <w:szCs w:val="18"/>
        </w:rPr>
        <w:t xml:space="preserve">artikel </w:t>
      </w:r>
      <w:r w:rsidR="003726E1">
        <w:rPr>
          <w:rFonts w:ascii="Verdana" w:hAnsi="Verdana"/>
          <w:sz w:val="18"/>
          <w:szCs w:val="18"/>
        </w:rPr>
        <w:t>21</w:t>
      </w:r>
      <w:r w:rsidR="007C186B">
        <w:rPr>
          <w:rFonts w:ascii="Verdana" w:hAnsi="Verdana"/>
          <w:sz w:val="18"/>
          <w:szCs w:val="18"/>
        </w:rPr>
        <w:t xml:space="preserve"> </w:t>
      </w:r>
      <w:proofErr w:type="spellStart"/>
      <w:r w:rsidR="007C186B">
        <w:rPr>
          <w:rFonts w:ascii="Verdana" w:hAnsi="Verdana"/>
          <w:sz w:val="18"/>
          <w:szCs w:val="18"/>
        </w:rPr>
        <w:t>Cbw</w:t>
      </w:r>
      <w:proofErr w:type="spellEnd"/>
      <w:r w:rsidRPr="00FF46E3">
        <w:rPr>
          <w:rFonts w:ascii="Verdana" w:hAnsi="Verdana"/>
          <w:sz w:val="18"/>
          <w:szCs w:val="18"/>
        </w:rPr>
        <w:t xml:space="preserve">. Voor een nadere toelichting </w:t>
      </w:r>
      <w:r w:rsidR="00AC6DEE">
        <w:rPr>
          <w:rFonts w:ascii="Verdana" w:hAnsi="Verdana"/>
          <w:sz w:val="18"/>
          <w:szCs w:val="18"/>
        </w:rPr>
        <w:t xml:space="preserve">op de maatregelen </w:t>
      </w:r>
      <w:r w:rsidR="00C72553">
        <w:rPr>
          <w:rFonts w:ascii="Verdana" w:hAnsi="Verdana"/>
          <w:sz w:val="18"/>
          <w:szCs w:val="18"/>
        </w:rPr>
        <w:t>wordt verwezen</w:t>
      </w:r>
      <w:r w:rsidR="00AC6DEE">
        <w:rPr>
          <w:rFonts w:ascii="Verdana" w:hAnsi="Verdana"/>
          <w:sz w:val="18"/>
          <w:szCs w:val="18"/>
        </w:rPr>
        <w:t xml:space="preserve"> naar </w:t>
      </w:r>
      <w:r w:rsidRPr="00FF46E3">
        <w:rPr>
          <w:rFonts w:ascii="Verdana" w:hAnsi="Verdana"/>
          <w:sz w:val="18"/>
          <w:szCs w:val="18"/>
        </w:rPr>
        <w:t>paragraaf 5.</w:t>
      </w:r>
      <w:r w:rsidR="00AC6DEE">
        <w:rPr>
          <w:rFonts w:ascii="Verdana" w:hAnsi="Verdana"/>
          <w:sz w:val="18"/>
          <w:szCs w:val="18"/>
        </w:rPr>
        <w:t>2.3</w:t>
      </w:r>
      <w:r w:rsidRPr="00FF46E3">
        <w:rPr>
          <w:rFonts w:ascii="Verdana" w:hAnsi="Verdana"/>
          <w:sz w:val="18"/>
          <w:szCs w:val="18"/>
        </w:rPr>
        <w:t xml:space="preserve">. De hiervoor bedoelde </w:t>
      </w:r>
      <w:proofErr w:type="spellStart"/>
      <w:r w:rsidRPr="00FF46E3">
        <w:rPr>
          <w:rFonts w:ascii="Verdana" w:hAnsi="Verdana"/>
          <w:sz w:val="18"/>
          <w:szCs w:val="18"/>
        </w:rPr>
        <w:t>amvb</w:t>
      </w:r>
      <w:proofErr w:type="spellEnd"/>
      <w:r w:rsidRPr="00FF46E3">
        <w:rPr>
          <w:rFonts w:ascii="Verdana" w:hAnsi="Verdana"/>
          <w:sz w:val="18"/>
          <w:szCs w:val="18"/>
        </w:rPr>
        <w:t xml:space="preserve"> zal daarnaast een delegatiegrondslag bevatten om bij ministeriële regeling van de minister die het aangaat, indien nodig, sectorspecifieke regels te stellen over de maatregelen.</w:t>
      </w:r>
      <w:r w:rsidR="001960FD">
        <w:rPr>
          <w:rFonts w:ascii="Verdana" w:hAnsi="Verdana"/>
          <w:sz w:val="18"/>
          <w:szCs w:val="18"/>
        </w:rPr>
        <w:t xml:space="preserve"> Die regels blijven binnen het kader van de bepaling, maar kunnen de maatregelen wel nader concretiseren.</w:t>
      </w:r>
      <w:r w:rsidRPr="00FF46E3">
        <w:rPr>
          <w:rFonts w:ascii="Verdana" w:hAnsi="Verdana"/>
          <w:sz w:val="18"/>
          <w:szCs w:val="18"/>
        </w:rPr>
        <w:t xml:space="preserve"> </w:t>
      </w:r>
    </w:p>
    <w:bookmarkEnd w:id="219"/>
    <w:bookmarkEnd w:id="220"/>
    <w:p w:rsidR="00B61A00" w:rsidP="00A450AE" w:rsidRDefault="000E32D7" w14:paraId="0525BB02" w14:textId="18022A6A">
      <w:pPr>
        <w:pStyle w:val="Geenafstand"/>
        <w:rPr>
          <w:rFonts w:ascii="Verdana" w:hAnsi="Verdana"/>
          <w:sz w:val="18"/>
          <w:szCs w:val="18"/>
        </w:rPr>
      </w:pPr>
      <w:r w:rsidRPr="00CB1D0A">
        <w:rPr>
          <w:rFonts w:ascii="Verdana" w:hAnsi="Verdana"/>
          <w:sz w:val="18"/>
          <w:szCs w:val="18"/>
        </w:rPr>
        <w:t xml:space="preserve">Voor de sectoren digitale infrastructuur </w:t>
      </w:r>
      <w:r w:rsidRPr="00AC212B" w:rsidR="00B61A00">
        <w:rPr>
          <w:rFonts w:ascii="Verdana" w:hAnsi="Verdana"/>
          <w:sz w:val="18"/>
          <w:szCs w:val="18"/>
        </w:rPr>
        <w:t>(</w:t>
      </w:r>
      <w:r w:rsidRPr="00CB1D0A">
        <w:rPr>
          <w:rFonts w:ascii="Verdana" w:hAnsi="Verdana"/>
          <w:sz w:val="18"/>
          <w:szCs w:val="18"/>
        </w:rPr>
        <w:t>met uitzondering van internetknooppunten en openbare elektronische communicatienetwerken en -diensten</w:t>
      </w:r>
      <w:r w:rsidRPr="00AC212B" w:rsidR="00B61A00">
        <w:rPr>
          <w:rFonts w:ascii="Verdana" w:hAnsi="Verdana"/>
          <w:sz w:val="18"/>
          <w:szCs w:val="18"/>
        </w:rPr>
        <w:t>)</w:t>
      </w:r>
      <w:r w:rsidRPr="00AC212B" w:rsidR="001B4017">
        <w:rPr>
          <w:rFonts w:ascii="Verdana" w:hAnsi="Verdana"/>
          <w:sz w:val="18"/>
          <w:szCs w:val="18"/>
        </w:rPr>
        <w:t>,</w:t>
      </w:r>
      <w:r w:rsidRPr="00CB1D0A">
        <w:rPr>
          <w:rFonts w:ascii="Verdana" w:hAnsi="Verdana"/>
          <w:sz w:val="18"/>
          <w:szCs w:val="18"/>
        </w:rPr>
        <w:t xml:space="preserve"> beheer van ICT-diensten </w:t>
      </w:r>
      <w:r w:rsidRPr="00AC212B" w:rsidR="001B4017">
        <w:rPr>
          <w:rFonts w:ascii="Verdana" w:hAnsi="Verdana"/>
          <w:sz w:val="18"/>
          <w:szCs w:val="18"/>
        </w:rPr>
        <w:t xml:space="preserve">(business-to-business) </w:t>
      </w:r>
      <w:r w:rsidRPr="00CB1D0A">
        <w:rPr>
          <w:rFonts w:ascii="Verdana" w:hAnsi="Verdana"/>
          <w:sz w:val="18"/>
          <w:szCs w:val="18"/>
        </w:rPr>
        <w:t xml:space="preserve">en digitale aanbieders </w:t>
      </w:r>
      <w:r w:rsidR="00CB1D0A">
        <w:rPr>
          <w:rFonts w:ascii="Verdana" w:hAnsi="Verdana"/>
          <w:sz w:val="18"/>
          <w:szCs w:val="18"/>
        </w:rPr>
        <w:t>zijn</w:t>
      </w:r>
      <w:r w:rsidRPr="00CB1D0A" w:rsidR="001B4017">
        <w:rPr>
          <w:rFonts w:ascii="Verdana" w:hAnsi="Verdana"/>
          <w:sz w:val="18"/>
          <w:szCs w:val="18"/>
        </w:rPr>
        <w:t xml:space="preserve"> de drempelwaarde</w:t>
      </w:r>
      <w:r w:rsidR="00A12DB6">
        <w:rPr>
          <w:rFonts w:ascii="Verdana" w:hAnsi="Verdana"/>
          <w:sz w:val="18"/>
          <w:szCs w:val="18"/>
        </w:rPr>
        <w:t>n</w:t>
      </w:r>
      <w:r w:rsidRPr="00CB1D0A" w:rsidR="001B4017">
        <w:rPr>
          <w:rFonts w:ascii="Verdana" w:hAnsi="Verdana"/>
          <w:sz w:val="18"/>
          <w:szCs w:val="18"/>
        </w:rPr>
        <w:t xml:space="preserve"> van de meldplicht alsmede de beveiligingsmaatregelen</w:t>
      </w:r>
      <w:r w:rsidR="00CB1D0A">
        <w:rPr>
          <w:rFonts w:ascii="Verdana" w:hAnsi="Verdana"/>
          <w:sz w:val="18"/>
          <w:szCs w:val="18"/>
        </w:rPr>
        <w:t xml:space="preserve"> in het kader van de zorgplicht</w:t>
      </w:r>
      <w:r w:rsidRPr="00CB1D0A" w:rsidR="001B4017">
        <w:rPr>
          <w:rFonts w:ascii="Verdana" w:hAnsi="Verdana"/>
          <w:sz w:val="18"/>
          <w:szCs w:val="18"/>
        </w:rPr>
        <w:t xml:space="preserve"> ingevuld middels Europese uitvoeringshandelingen.</w:t>
      </w:r>
      <w:r w:rsidRPr="00CB1D0A" w:rsidR="001B4017">
        <w:rPr>
          <w:rStyle w:val="Voetnootmarkering"/>
          <w:rFonts w:ascii="Verdana" w:hAnsi="Verdana"/>
          <w:sz w:val="18"/>
          <w:szCs w:val="18"/>
        </w:rPr>
        <w:footnoteReference w:id="77"/>
      </w:r>
      <w:r w:rsidRPr="00CB1D0A">
        <w:rPr>
          <w:rFonts w:ascii="Verdana" w:hAnsi="Verdana"/>
          <w:sz w:val="18"/>
          <w:szCs w:val="18"/>
        </w:rPr>
        <w:t xml:space="preserve"> </w:t>
      </w:r>
      <w:r w:rsidRPr="00AC212B" w:rsidR="001B4017">
        <w:rPr>
          <w:rFonts w:ascii="Verdana" w:hAnsi="Verdana"/>
          <w:sz w:val="18"/>
          <w:szCs w:val="18"/>
        </w:rPr>
        <w:t>Er kan echter</w:t>
      </w:r>
      <w:r w:rsidRPr="00CB1D0A">
        <w:rPr>
          <w:rFonts w:ascii="Verdana" w:hAnsi="Verdana"/>
          <w:sz w:val="18"/>
          <w:szCs w:val="18"/>
        </w:rPr>
        <w:t xml:space="preserve"> niet worden uitgesloten dat in de toekomst op nationaal niveau, bijvoorbeeld in het kader van nationale veiligheid, alsnog nadere of aanvullende maatregelen voor deze sectoren noodzakelijk kunnen zijn. Derhalve is de delegatiegrondslag</w:t>
      </w:r>
      <w:r w:rsidRPr="00AC212B" w:rsidR="001B4017">
        <w:rPr>
          <w:rFonts w:ascii="Verdana" w:hAnsi="Verdana"/>
          <w:sz w:val="18"/>
          <w:szCs w:val="18"/>
        </w:rPr>
        <w:t xml:space="preserve">, opgenomen in artikel </w:t>
      </w:r>
      <w:r w:rsidR="003726E1">
        <w:rPr>
          <w:rFonts w:ascii="Verdana" w:hAnsi="Verdana"/>
          <w:sz w:val="18"/>
          <w:szCs w:val="18"/>
        </w:rPr>
        <w:t>21</w:t>
      </w:r>
      <w:r w:rsidRPr="00AC212B" w:rsidR="001B4017">
        <w:rPr>
          <w:rFonts w:ascii="Verdana" w:hAnsi="Verdana"/>
          <w:sz w:val="18"/>
          <w:szCs w:val="18"/>
        </w:rPr>
        <w:t xml:space="preserve">, </w:t>
      </w:r>
      <w:r w:rsidR="003726E1">
        <w:rPr>
          <w:rFonts w:ascii="Verdana" w:hAnsi="Verdana"/>
          <w:sz w:val="18"/>
          <w:szCs w:val="18"/>
        </w:rPr>
        <w:t>vijfde</w:t>
      </w:r>
      <w:r w:rsidRPr="00AC212B" w:rsidR="001B4017">
        <w:rPr>
          <w:rFonts w:ascii="Verdana" w:hAnsi="Verdana"/>
          <w:sz w:val="18"/>
          <w:szCs w:val="18"/>
        </w:rPr>
        <w:t xml:space="preserve"> lid, </w:t>
      </w:r>
      <w:proofErr w:type="spellStart"/>
      <w:r w:rsidRPr="00AC212B" w:rsidR="001B4017">
        <w:rPr>
          <w:rFonts w:ascii="Verdana" w:hAnsi="Verdana"/>
          <w:sz w:val="18"/>
          <w:szCs w:val="18"/>
        </w:rPr>
        <w:t>Cbw</w:t>
      </w:r>
      <w:proofErr w:type="spellEnd"/>
      <w:r w:rsidRPr="00AC212B" w:rsidR="001B4017">
        <w:rPr>
          <w:rFonts w:ascii="Verdana" w:hAnsi="Verdana"/>
          <w:sz w:val="18"/>
          <w:szCs w:val="18"/>
        </w:rPr>
        <w:t>,</w:t>
      </w:r>
      <w:r w:rsidR="008265E7">
        <w:rPr>
          <w:rFonts w:ascii="Verdana" w:hAnsi="Verdana"/>
          <w:sz w:val="18"/>
          <w:szCs w:val="18"/>
        </w:rPr>
        <w:t xml:space="preserve"> </w:t>
      </w:r>
      <w:r w:rsidRPr="00CB1D0A">
        <w:rPr>
          <w:rFonts w:ascii="Verdana" w:hAnsi="Verdana"/>
          <w:sz w:val="18"/>
          <w:szCs w:val="18"/>
        </w:rPr>
        <w:t xml:space="preserve">om regels te kunnen stellen ook </w:t>
      </w:r>
      <w:r w:rsidRPr="00AC212B" w:rsidR="001B4017">
        <w:rPr>
          <w:rFonts w:ascii="Verdana" w:hAnsi="Verdana"/>
          <w:sz w:val="18"/>
          <w:szCs w:val="18"/>
        </w:rPr>
        <w:t xml:space="preserve">van toepassing </w:t>
      </w:r>
      <w:r w:rsidRPr="00CB1D0A">
        <w:rPr>
          <w:rFonts w:ascii="Verdana" w:hAnsi="Verdana"/>
          <w:sz w:val="18"/>
          <w:szCs w:val="18"/>
        </w:rPr>
        <w:t>voor entiteiten die binnen de reikwijdte van de uitvoeringsverordening vallen. Dit is in lijn met de minimumharmonisatie die de NIS2-richtlijn op grond van artikel 5 NIS2-richtlijn nastreeft.</w:t>
      </w:r>
    </w:p>
    <w:p w:rsidRPr="00B82196" w:rsidR="00706717" w:rsidP="00A450AE" w:rsidRDefault="00706717" w14:paraId="239823DE" w14:textId="5ADC00A9">
      <w:pPr>
        <w:pStyle w:val="Geenafstand"/>
        <w:rPr>
          <w:rFonts w:ascii="Verdana" w:hAnsi="Verdana"/>
          <w:sz w:val="18"/>
          <w:szCs w:val="18"/>
        </w:rPr>
      </w:pPr>
      <w:r w:rsidRPr="001F5FF2">
        <w:rPr>
          <w:rFonts w:ascii="Verdana" w:hAnsi="Verdana"/>
          <w:sz w:val="18"/>
          <w:szCs w:val="18"/>
        </w:rPr>
        <w:t>Meerdere partijen, waaronder VNO</w:t>
      </w:r>
      <w:r>
        <w:rPr>
          <w:rFonts w:ascii="Verdana" w:hAnsi="Verdana"/>
          <w:sz w:val="18"/>
          <w:szCs w:val="18"/>
        </w:rPr>
        <w:t>-</w:t>
      </w:r>
      <w:r w:rsidRPr="001F5FF2">
        <w:rPr>
          <w:rFonts w:ascii="Verdana" w:hAnsi="Verdana"/>
          <w:sz w:val="18"/>
          <w:szCs w:val="18"/>
        </w:rPr>
        <w:t xml:space="preserve">NCW en </w:t>
      </w:r>
      <w:r w:rsidR="006A14A5">
        <w:rPr>
          <w:rFonts w:ascii="Verdana" w:hAnsi="Verdana"/>
          <w:sz w:val="18"/>
          <w:szCs w:val="18"/>
        </w:rPr>
        <w:t xml:space="preserve">Cyberveilig Nederland (hierna: </w:t>
      </w:r>
      <w:r w:rsidRPr="001F5FF2">
        <w:rPr>
          <w:rFonts w:ascii="Verdana" w:hAnsi="Verdana"/>
          <w:sz w:val="18"/>
          <w:szCs w:val="18"/>
        </w:rPr>
        <w:t>CVNL</w:t>
      </w:r>
      <w:r w:rsidR="006A14A5">
        <w:rPr>
          <w:rFonts w:ascii="Verdana" w:hAnsi="Verdana"/>
          <w:sz w:val="18"/>
          <w:szCs w:val="18"/>
        </w:rPr>
        <w:t>),</w:t>
      </w:r>
      <w:r w:rsidRPr="001F5FF2">
        <w:rPr>
          <w:rFonts w:ascii="Verdana" w:hAnsi="Verdana"/>
          <w:sz w:val="18"/>
          <w:szCs w:val="18"/>
        </w:rPr>
        <w:t xml:space="preserve"> hebben in het kader van de beveiliging van de toeleveringsketen gevraagd naar de samenhang van NIS2-richtlijn met andere Europese regelgeving</w:t>
      </w:r>
      <w:bookmarkStart w:name="_Hlk180674142" w:id="221"/>
      <w:r w:rsidRPr="001F5FF2">
        <w:rPr>
          <w:rFonts w:ascii="Verdana" w:hAnsi="Verdana"/>
          <w:sz w:val="18"/>
          <w:szCs w:val="18"/>
        </w:rPr>
        <w:t xml:space="preserve">, zoals de </w:t>
      </w:r>
      <w:r w:rsidR="001C5C93">
        <w:rPr>
          <w:rFonts w:ascii="Verdana" w:hAnsi="Verdana"/>
          <w:sz w:val="18"/>
          <w:szCs w:val="18"/>
        </w:rPr>
        <w:t xml:space="preserve">zogeheten </w:t>
      </w:r>
      <w:bookmarkStart w:name="_Hlk181274190" w:id="222"/>
      <w:r w:rsidR="001C5C93">
        <w:rPr>
          <w:rFonts w:ascii="Verdana" w:hAnsi="Verdana"/>
          <w:sz w:val="18"/>
          <w:szCs w:val="18"/>
        </w:rPr>
        <w:t>Verordening cyberweerbaarheid</w:t>
      </w:r>
      <w:r w:rsidR="001C5C93">
        <w:rPr>
          <w:rStyle w:val="Voetnootmarkering"/>
          <w:rFonts w:ascii="Verdana" w:hAnsi="Verdana"/>
          <w:sz w:val="18"/>
          <w:szCs w:val="18"/>
        </w:rPr>
        <w:footnoteReference w:id="78"/>
      </w:r>
      <w:r w:rsidR="001C5C93">
        <w:rPr>
          <w:rFonts w:ascii="Verdana" w:hAnsi="Verdana"/>
          <w:sz w:val="18"/>
          <w:szCs w:val="18"/>
        </w:rPr>
        <w:t xml:space="preserve"> (</w:t>
      </w:r>
      <w:r w:rsidRPr="00AC212B">
        <w:rPr>
          <w:rFonts w:ascii="Verdana" w:hAnsi="Verdana"/>
          <w:i/>
          <w:iCs/>
          <w:sz w:val="18"/>
          <w:szCs w:val="18"/>
        </w:rPr>
        <w:t xml:space="preserve">Cyber </w:t>
      </w:r>
      <w:proofErr w:type="spellStart"/>
      <w:r w:rsidRPr="00AC212B">
        <w:rPr>
          <w:rFonts w:ascii="Verdana" w:hAnsi="Verdana"/>
          <w:i/>
          <w:iCs/>
          <w:sz w:val="18"/>
          <w:szCs w:val="18"/>
        </w:rPr>
        <w:t>Resilience</w:t>
      </w:r>
      <w:proofErr w:type="spellEnd"/>
      <w:r w:rsidRPr="00AC212B">
        <w:rPr>
          <w:rFonts w:ascii="Verdana" w:hAnsi="Verdana"/>
          <w:i/>
          <w:iCs/>
          <w:sz w:val="18"/>
          <w:szCs w:val="18"/>
        </w:rPr>
        <w:t xml:space="preserve"> Act</w:t>
      </w:r>
      <w:bookmarkEnd w:id="222"/>
      <w:r w:rsidRPr="001F5FF2">
        <w:rPr>
          <w:rFonts w:ascii="Verdana" w:hAnsi="Verdana"/>
          <w:sz w:val="18"/>
          <w:szCs w:val="18"/>
        </w:rPr>
        <w:t xml:space="preserve">) en </w:t>
      </w:r>
      <w:bookmarkStart w:name="_Hlk181274208" w:id="224"/>
      <w:r w:rsidRPr="001F5FF2">
        <w:rPr>
          <w:rFonts w:ascii="Verdana" w:hAnsi="Verdana"/>
          <w:sz w:val="18"/>
          <w:szCs w:val="18"/>
        </w:rPr>
        <w:t xml:space="preserve">de </w:t>
      </w:r>
      <w:r w:rsidR="004F68C4">
        <w:rPr>
          <w:rFonts w:ascii="Verdana" w:hAnsi="Verdana"/>
          <w:sz w:val="18"/>
          <w:szCs w:val="18"/>
        </w:rPr>
        <w:t xml:space="preserve">zogeheten </w:t>
      </w:r>
      <w:r w:rsidRPr="001F5FF2">
        <w:rPr>
          <w:rFonts w:ascii="Verdana" w:hAnsi="Verdana"/>
          <w:sz w:val="18"/>
          <w:szCs w:val="18"/>
        </w:rPr>
        <w:t>Radioapparatenrichtlijn</w:t>
      </w:r>
      <w:r w:rsidR="004F68C4">
        <w:rPr>
          <w:rStyle w:val="Voetnootmarkering"/>
          <w:rFonts w:ascii="Verdana" w:hAnsi="Verdana"/>
          <w:sz w:val="18"/>
          <w:szCs w:val="18"/>
        </w:rPr>
        <w:footnoteReference w:id="79"/>
      </w:r>
      <w:bookmarkEnd w:id="224"/>
      <w:r w:rsidRPr="001F5FF2">
        <w:rPr>
          <w:rFonts w:ascii="Verdana" w:hAnsi="Verdana"/>
          <w:sz w:val="18"/>
          <w:szCs w:val="18"/>
        </w:rPr>
        <w:t>.</w:t>
      </w:r>
      <w:bookmarkEnd w:id="221"/>
      <w:r w:rsidRPr="001F5FF2">
        <w:rPr>
          <w:rFonts w:ascii="Verdana" w:hAnsi="Verdana"/>
          <w:sz w:val="18"/>
          <w:szCs w:val="18"/>
        </w:rPr>
        <w:t xml:space="preserve"> </w:t>
      </w:r>
      <w:r w:rsidR="00C72553">
        <w:rPr>
          <w:rFonts w:ascii="Verdana" w:hAnsi="Verdana"/>
          <w:sz w:val="18"/>
          <w:szCs w:val="18"/>
        </w:rPr>
        <w:t xml:space="preserve">Naar aanleiding van deze reacties is de artikelsgewijze toelichting op artikel </w:t>
      </w:r>
      <w:r w:rsidR="003726E1">
        <w:rPr>
          <w:rFonts w:ascii="Verdana" w:hAnsi="Verdana"/>
          <w:sz w:val="18"/>
          <w:szCs w:val="18"/>
        </w:rPr>
        <w:t>21</w:t>
      </w:r>
      <w:r w:rsidR="00C72553">
        <w:rPr>
          <w:rFonts w:ascii="Verdana" w:hAnsi="Verdana"/>
          <w:sz w:val="18"/>
          <w:szCs w:val="18"/>
        </w:rPr>
        <w:t xml:space="preserve"> </w:t>
      </w:r>
      <w:proofErr w:type="spellStart"/>
      <w:r w:rsidR="00C72553">
        <w:rPr>
          <w:rFonts w:ascii="Verdana" w:hAnsi="Verdana"/>
          <w:sz w:val="18"/>
          <w:szCs w:val="18"/>
        </w:rPr>
        <w:t>Cbw</w:t>
      </w:r>
      <w:proofErr w:type="spellEnd"/>
      <w:r w:rsidR="00C72553">
        <w:rPr>
          <w:rFonts w:ascii="Verdana" w:hAnsi="Verdana"/>
          <w:sz w:val="18"/>
          <w:szCs w:val="18"/>
        </w:rPr>
        <w:t xml:space="preserve"> aangevuld.</w:t>
      </w:r>
      <w:r w:rsidRPr="001C5C93" w:rsidR="001C5C93">
        <w:t xml:space="preserve"> </w:t>
      </w:r>
    </w:p>
    <w:p w:rsidRPr="00FF46E3" w:rsidR="00706717" w:rsidP="00A450AE" w:rsidRDefault="00706717" w14:paraId="57464B29" w14:textId="77777777">
      <w:pPr>
        <w:pStyle w:val="Geenafstand"/>
        <w:rPr>
          <w:rFonts w:ascii="Verdana" w:hAnsi="Verdana"/>
          <w:b/>
          <w:bCs/>
          <w:sz w:val="18"/>
          <w:szCs w:val="18"/>
        </w:rPr>
      </w:pPr>
    </w:p>
    <w:p w:rsidRPr="00FF46E3" w:rsidR="00A450AE" w:rsidP="00A450AE" w:rsidRDefault="00A450AE" w14:paraId="28A22429" w14:textId="77777777">
      <w:pPr>
        <w:pStyle w:val="Geenafstand"/>
        <w:rPr>
          <w:rFonts w:ascii="Verdana" w:hAnsi="Verdana"/>
          <w:i/>
          <w:iCs/>
          <w:sz w:val="18"/>
          <w:szCs w:val="18"/>
        </w:rPr>
      </w:pPr>
      <w:r w:rsidRPr="00FF46E3">
        <w:rPr>
          <w:rFonts w:ascii="Verdana" w:hAnsi="Verdana"/>
          <w:i/>
          <w:iCs/>
          <w:sz w:val="18"/>
          <w:szCs w:val="18"/>
        </w:rPr>
        <w:t>Bestaande normenkaders of certificering</w:t>
      </w:r>
    </w:p>
    <w:p w:rsidRPr="00FF46E3" w:rsidR="00A450AE" w:rsidP="00A450AE" w:rsidRDefault="00A450AE" w14:paraId="6F51F73B" w14:textId="6E96BC34">
      <w:pPr>
        <w:pStyle w:val="Geenafstand"/>
        <w:rPr>
          <w:rFonts w:ascii="Verdana" w:hAnsi="Verdana"/>
          <w:sz w:val="18"/>
          <w:szCs w:val="18"/>
        </w:rPr>
      </w:pPr>
      <w:r w:rsidRPr="00FF46E3">
        <w:rPr>
          <w:rFonts w:ascii="Verdana" w:hAnsi="Verdana"/>
          <w:sz w:val="18"/>
          <w:szCs w:val="18"/>
        </w:rPr>
        <w:t xml:space="preserve">Uit de consultatiereacties van diverse organisaties, waaronder </w:t>
      </w:r>
      <w:r w:rsidR="00B019FB">
        <w:rPr>
          <w:rFonts w:ascii="Verdana" w:hAnsi="Verdana"/>
          <w:sz w:val="18"/>
          <w:szCs w:val="18"/>
        </w:rPr>
        <w:t>International Business Machines Corporation</w:t>
      </w:r>
      <w:r w:rsidRPr="00FF46E3" w:rsidR="00B019FB">
        <w:rPr>
          <w:rFonts w:ascii="Verdana" w:hAnsi="Verdana"/>
          <w:sz w:val="18"/>
          <w:szCs w:val="18"/>
        </w:rPr>
        <w:t xml:space="preserve"> </w:t>
      </w:r>
      <w:r w:rsidR="00B019FB">
        <w:rPr>
          <w:rFonts w:ascii="Verdana" w:hAnsi="Verdana"/>
          <w:sz w:val="18"/>
          <w:szCs w:val="18"/>
        </w:rPr>
        <w:t xml:space="preserve">(hierna: </w:t>
      </w:r>
      <w:r w:rsidRPr="00FF46E3">
        <w:rPr>
          <w:rFonts w:ascii="Verdana" w:hAnsi="Verdana"/>
          <w:sz w:val="18"/>
          <w:szCs w:val="18"/>
        </w:rPr>
        <w:t>IBM</w:t>
      </w:r>
      <w:r w:rsidR="00B019FB">
        <w:rPr>
          <w:rFonts w:ascii="Verdana" w:hAnsi="Verdana"/>
          <w:sz w:val="18"/>
          <w:szCs w:val="18"/>
        </w:rPr>
        <w:t>)</w:t>
      </w:r>
      <w:r w:rsidRPr="00FF46E3">
        <w:rPr>
          <w:rFonts w:ascii="Verdana" w:hAnsi="Verdana"/>
          <w:sz w:val="18"/>
          <w:szCs w:val="18"/>
        </w:rPr>
        <w:t xml:space="preserve">, FME, </w:t>
      </w:r>
      <w:r w:rsidR="006A14A5">
        <w:rPr>
          <w:rFonts w:ascii="Verdana" w:hAnsi="Verdana"/>
          <w:sz w:val="18"/>
          <w:szCs w:val="18"/>
        </w:rPr>
        <w:t>CVNL</w:t>
      </w:r>
      <w:r w:rsidRPr="00FF46E3">
        <w:rPr>
          <w:rFonts w:ascii="Verdana" w:hAnsi="Verdana"/>
          <w:sz w:val="18"/>
          <w:szCs w:val="18"/>
        </w:rPr>
        <w:t xml:space="preserve">, Dutch Cloud Community, </w:t>
      </w:r>
      <w:r w:rsidRPr="00FF46E3" w:rsidR="00B019FB">
        <w:rPr>
          <w:rFonts w:ascii="Verdana" w:hAnsi="Verdana"/>
          <w:sz w:val="18"/>
          <w:szCs w:val="18"/>
        </w:rPr>
        <w:t xml:space="preserve">Huawei Technologies (Netherlands) B.V. (hierna: Huawei) </w:t>
      </w:r>
      <w:r w:rsidRPr="00FF46E3">
        <w:rPr>
          <w:rFonts w:ascii="Verdana" w:hAnsi="Verdana"/>
          <w:sz w:val="18"/>
          <w:szCs w:val="18"/>
        </w:rPr>
        <w:t xml:space="preserve">en </w:t>
      </w:r>
      <w:r w:rsidR="00B019FB">
        <w:rPr>
          <w:rFonts w:ascii="Verdana" w:hAnsi="Verdana"/>
          <w:sz w:val="18"/>
          <w:szCs w:val="18"/>
        </w:rPr>
        <w:t>het Verbond van Handelaren in Chemische Producten (</w:t>
      </w:r>
      <w:r w:rsidRPr="00FF46E3">
        <w:rPr>
          <w:rFonts w:ascii="Verdana" w:hAnsi="Verdana"/>
          <w:sz w:val="18"/>
          <w:szCs w:val="18"/>
        </w:rPr>
        <w:t>VHCP</w:t>
      </w:r>
      <w:r w:rsidR="00B019FB">
        <w:rPr>
          <w:rFonts w:ascii="Verdana" w:hAnsi="Verdana"/>
          <w:sz w:val="18"/>
          <w:szCs w:val="18"/>
        </w:rPr>
        <w:t>)</w:t>
      </w:r>
      <w:r w:rsidRPr="00FF46E3">
        <w:rPr>
          <w:rFonts w:ascii="Verdana" w:hAnsi="Verdana"/>
          <w:sz w:val="18"/>
          <w:szCs w:val="18"/>
        </w:rPr>
        <w:t xml:space="preserve">, blijkt dat er behoefte is aan het in de </w:t>
      </w:r>
      <w:proofErr w:type="spellStart"/>
      <w:r w:rsidRPr="00FF46E3">
        <w:rPr>
          <w:rFonts w:ascii="Verdana" w:hAnsi="Verdana"/>
          <w:sz w:val="18"/>
          <w:szCs w:val="18"/>
        </w:rPr>
        <w:t>Cbw</w:t>
      </w:r>
      <w:proofErr w:type="spellEnd"/>
      <w:r w:rsidRPr="00FF46E3">
        <w:rPr>
          <w:rFonts w:ascii="Verdana" w:hAnsi="Verdana"/>
          <w:sz w:val="18"/>
          <w:szCs w:val="18"/>
        </w:rPr>
        <w:t xml:space="preserve"> of onderliggende regelgeving expliciet verwijzen naar of het erkennen van bestaande normenkaders of certificering. </w:t>
      </w:r>
      <w:r w:rsidR="00AC212B">
        <w:rPr>
          <w:rFonts w:ascii="Verdana" w:hAnsi="Verdana"/>
          <w:sz w:val="18"/>
          <w:szCs w:val="18"/>
        </w:rPr>
        <w:t>De reactie hierop is als volgt. H</w:t>
      </w:r>
      <w:r w:rsidRPr="00FF46E3">
        <w:rPr>
          <w:rFonts w:ascii="Verdana" w:hAnsi="Verdana"/>
          <w:sz w:val="18"/>
          <w:szCs w:val="18"/>
        </w:rPr>
        <w:t xml:space="preserve">et door entiteiten hanteren van een eigen normenkader </w:t>
      </w:r>
      <w:r w:rsidR="00AC212B">
        <w:rPr>
          <w:rFonts w:ascii="Verdana" w:hAnsi="Verdana"/>
          <w:sz w:val="18"/>
          <w:szCs w:val="18"/>
        </w:rPr>
        <w:t xml:space="preserve">kan </w:t>
      </w:r>
      <w:r w:rsidRPr="00FF46E3">
        <w:rPr>
          <w:rFonts w:ascii="Verdana" w:hAnsi="Verdana"/>
          <w:sz w:val="18"/>
          <w:szCs w:val="18"/>
        </w:rPr>
        <w:t>in belangrijke mate bijdragen aan een succesvolle aanpak van de cyberveiligheid. Een dergelijk normenkader geeft entiteiten houvast bij het beheersen van de risico</w:t>
      </w:r>
      <w:r w:rsidR="00D91960">
        <w:rPr>
          <w:rFonts w:ascii="Verdana" w:hAnsi="Verdana"/>
          <w:sz w:val="18"/>
          <w:szCs w:val="18"/>
        </w:rPr>
        <w:t>’</w:t>
      </w:r>
      <w:r w:rsidRPr="00FF46E3">
        <w:rPr>
          <w:rFonts w:ascii="Verdana" w:hAnsi="Verdana"/>
          <w:sz w:val="18"/>
          <w:szCs w:val="18"/>
        </w:rPr>
        <w:t xml:space="preserve">s met betrekking tot de beveiliging van hun netwerk- en informatiesystemen. Het voldoen aan een eigen normenkader betekent niet per definitie dat een entiteit voldoet aan de maatregelen die bij of krachtens de </w:t>
      </w:r>
      <w:proofErr w:type="spellStart"/>
      <w:r w:rsidRPr="00FF46E3">
        <w:rPr>
          <w:rFonts w:ascii="Verdana" w:hAnsi="Verdana"/>
          <w:sz w:val="18"/>
          <w:szCs w:val="18"/>
        </w:rPr>
        <w:t>Cbw</w:t>
      </w:r>
      <w:proofErr w:type="spellEnd"/>
      <w:r w:rsidRPr="00FF46E3">
        <w:rPr>
          <w:rFonts w:ascii="Verdana" w:hAnsi="Verdana"/>
          <w:sz w:val="18"/>
          <w:szCs w:val="18"/>
        </w:rPr>
        <w:t xml:space="preserve"> worden voorgeschreven. Wel </w:t>
      </w:r>
      <w:r w:rsidR="005931F0">
        <w:rPr>
          <w:rFonts w:ascii="Verdana" w:hAnsi="Verdana"/>
          <w:sz w:val="18"/>
          <w:szCs w:val="18"/>
        </w:rPr>
        <w:t>wordt</w:t>
      </w:r>
      <w:r w:rsidRPr="00FF46E3">
        <w:rPr>
          <w:rFonts w:ascii="Verdana" w:hAnsi="Verdana"/>
          <w:sz w:val="18"/>
          <w:szCs w:val="18"/>
        </w:rPr>
        <w:t xml:space="preserve"> daarbij op</w:t>
      </w:r>
      <w:r w:rsidR="005931F0">
        <w:rPr>
          <w:rFonts w:ascii="Verdana" w:hAnsi="Verdana"/>
          <w:sz w:val="18"/>
          <w:szCs w:val="18"/>
        </w:rPr>
        <w:t>gemerkt</w:t>
      </w:r>
      <w:r w:rsidRPr="00FF46E3">
        <w:rPr>
          <w:rFonts w:ascii="Verdana" w:hAnsi="Verdana"/>
          <w:sz w:val="18"/>
          <w:szCs w:val="18"/>
        </w:rPr>
        <w:t xml:space="preserve"> dat bij vaststellen van de maatregelen in lagere regelgeving nadrukkelijk rekening zal worden gehouden met bestaande normenkaders. Datzelfde geldt ook voor de door </w:t>
      </w:r>
      <w:proofErr w:type="spellStart"/>
      <w:r w:rsidRPr="00FF46E3">
        <w:rPr>
          <w:rFonts w:ascii="Verdana" w:hAnsi="Verdana"/>
          <w:sz w:val="18"/>
          <w:szCs w:val="18"/>
        </w:rPr>
        <w:t>Enisa</w:t>
      </w:r>
      <w:proofErr w:type="spellEnd"/>
      <w:r w:rsidRPr="00FF46E3">
        <w:rPr>
          <w:rFonts w:ascii="Verdana" w:hAnsi="Verdana"/>
          <w:sz w:val="18"/>
          <w:szCs w:val="18"/>
        </w:rPr>
        <w:t xml:space="preserve"> krachtens artikel 25 NIS2-richtlijn op te stellen richtsnoeren over technische gebieden die in het kader van de zorgplicht in acht </w:t>
      </w:r>
      <w:r w:rsidR="00706717">
        <w:rPr>
          <w:rFonts w:ascii="Verdana" w:hAnsi="Verdana"/>
          <w:sz w:val="18"/>
          <w:szCs w:val="18"/>
        </w:rPr>
        <w:t>kunnen</w:t>
      </w:r>
      <w:r w:rsidRPr="00FF46E3" w:rsidR="00706717">
        <w:rPr>
          <w:rFonts w:ascii="Verdana" w:hAnsi="Verdana"/>
          <w:sz w:val="18"/>
          <w:szCs w:val="18"/>
        </w:rPr>
        <w:t xml:space="preserve"> </w:t>
      </w:r>
      <w:r w:rsidRPr="00FF46E3">
        <w:rPr>
          <w:rFonts w:ascii="Verdana" w:hAnsi="Verdana"/>
          <w:sz w:val="18"/>
          <w:szCs w:val="18"/>
        </w:rPr>
        <w:t>worden genomen én over de daarover reeds bestaande nationale en internationale normen. Met dat laatste wordt ook bevorderd dat partijen die Europees opereren zoveel als mogelijk te maken krijgen met een eenduidige invulling van de zorgplicht binnen de diverse lidstaten.</w:t>
      </w:r>
    </w:p>
    <w:p w:rsidRPr="00FF46E3" w:rsidR="00A450AE" w:rsidP="00A450AE" w:rsidRDefault="00A450AE" w14:paraId="3686976F" w14:textId="77777777">
      <w:pPr>
        <w:pStyle w:val="Geenafstand"/>
        <w:rPr>
          <w:rFonts w:ascii="Verdana" w:hAnsi="Verdana"/>
          <w:sz w:val="18"/>
          <w:szCs w:val="18"/>
        </w:rPr>
      </w:pPr>
    </w:p>
    <w:p w:rsidRPr="00FF46E3" w:rsidR="00A450AE" w:rsidP="00A450AE" w:rsidRDefault="00A450AE" w14:paraId="646C40AF" w14:textId="77777777">
      <w:pPr>
        <w:pStyle w:val="Geenafstand"/>
        <w:rPr>
          <w:rFonts w:ascii="Verdana" w:hAnsi="Verdana"/>
          <w:i/>
          <w:iCs/>
          <w:sz w:val="18"/>
          <w:szCs w:val="18"/>
        </w:rPr>
      </w:pPr>
      <w:r w:rsidRPr="00FF46E3">
        <w:rPr>
          <w:rFonts w:ascii="Verdana" w:hAnsi="Verdana"/>
          <w:i/>
          <w:iCs/>
          <w:sz w:val="18"/>
          <w:szCs w:val="18"/>
        </w:rPr>
        <w:t>NEN7510</w:t>
      </w:r>
    </w:p>
    <w:p w:rsidR="00A450AE" w:rsidP="00A450AE" w:rsidRDefault="00A450AE" w14:paraId="27FA5EBB" w14:textId="191B4AA6">
      <w:pPr>
        <w:pStyle w:val="Geenafstand"/>
        <w:rPr>
          <w:rFonts w:ascii="Verdana" w:hAnsi="Verdana"/>
          <w:sz w:val="18"/>
          <w:szCs w:val="18"/>
        </w:rPr>
      </w:pPr>
      <w:r w:rsidRPr="00FF46E3">
        <w:rPr>
          <w:rFonts w:ascii="Verdana" w:hAnsi="Verdana"/>
          <w:sz w:val="18"/>
          <w:szCs w:val="18"/>
        </w:rPr>
        <w:t xml:space="preserve">De Nederlandse Vereniging van Ziekenhuizen, </w:t>
      </w:r>
      <w:bookmarkStart w:name="_Hlk174532139" w:id="225"/>
      <w:r w:rsidR="00B019FB">
        <w:rPr>
          <w:rFonts w:ascii="Verdana" w:hAnsi="Verdana"/>
          <w:sz w:val="18"/>
          <w:szCs w:val="18"/>
        </w:rPr>
        <w:t>d</w:t>
      </w:r>
      <w:r w:rsidRPr="00B019FB" w:rsidR="00B019FB">
        <w:rPr>
          <w:rFonts w:ascii="Verdana" w:hAnsi="Verdana"/>
          <w:sz w:val="18"/>
          <w:szCs w:val="18"/>
        </w:rPr>
        <w:t xml:space="preserve">e Stichting Samenwerkende ICT-leveranciers in de Zorg (SILIZO), </w:t>
      </w:r>
      <w:r w:rsidR="00B019FB">
        <w:rPr>
          <w:rFonts w:ascii="Verdana" w:hAnsi="Verdana"/>
          <w:sz w:val="18"/>
          <w:szCs w:val="18"/>
        </w:rPr>
        <w:t xml:space="preserve">de </w:t>
      </w:r>
      <w:r w:rsidRPr="00B019FB" w:rsidR="00B019FB">
        <w:rPr>
          <w:rFonts w:ascii="Verdana" w:hAnsi="Verdana"/>
          <w:sz w:val="18"/>
          <w:szCs w:val="18"/>
        </w:rPr>
        <w:t>Nederlandse Vereniging van Organisaties voor ICT in de Zorg (OIZ)</w:t>
      </w:r>
      <w:r w:rsidR="00B019FB">
        <w:rPr>
          <w:rFonts w:ascii="Verdana" w:hAnsi="Verdana"/>
          <w:sz w:val="18"/>
          <w:szCs w:val="18"/>
        </w:rPr>
        <w:t>,</w:t>
      </w:r>
      <w:r w:rsidRPr="00B019FB" w:rsidR="00B019FB">
        <w:rPr>
          <w:rFonts w:ascii="Verdana" w:hAnsi="Verdana"/>
          <w:sz w:val="18"/>
          <w:szCs w:val="18"/>
        </w:rPr>
        <w:t xml:space="preserve"> </w:t>
      </w:r>
      <w:proofErr w:type="spellStart"/>
      <w:r w:rsidRPr="00B019FB" w:rsidR="00B019FB">
        <w:rPr>
          <w:rFonts w:ascii="Verdana" w:hAnsi="Verdana"/>
          <w:sz w:val="18"/>
          <w:szCs w:val="18"/>
        </w:rPr>
        <w:t>NedXis</w:t>
      </w:r>
      <w:proofErr w:type="spellEnd"/>
      <w:r w:rsidRPr="00FF46E3">
        <w:rPr>
          <w:rFonts w:ascii="Verdana" w:hAnsi="Verdana"/>
          <w:sz w:val="18"/>
          <w:szCs w:val="18"/>
        </w:rPr>
        <w:t xml:space="preserve"> en </w:t>
      </w:r>
      <w:r>
        <w:rPr>
          <w:rFonts w:ascii="Verdana" w:hAnsi="Verdana"/>
          <w:sz w:val="18"/>
          <w:szCs w:val="18"/>
        </w:rPr>
        <w:t xml:space="preserve">de </w:t>
      </w:r>
      <w:r w:rsidRPr="00336748">
        <w:rPr>
          <w:rFonts w:ascii="Verdana" w:hAnsi="Verdana"/>
          <w:sz w:val="18"/>
          <w:szCs w:val="18"/>
        </w:rPr>
        <w:t>Nederlandse Federatie van Universitaire Medische Centra</w:t>
      </w:r>
      <w:r w:rsidRPr="00FF46E3">
        <w:rPr>
          <w:rFonts w:ascii="Verdana" w:hAnsi="Verdana"/>
          <w:sz w:val="18"/>
          <w:szCs w:val="18"/>
        </w:rPr>
        <w:t xml:space="preserve"> </w:t>
      </w:r>
      <w:bookmarkEnd w:id="225"/>
      <w:r w:rsidRPr="00FF46E3">
        <w:rPr>
          <w:rFonts w:ascii="Verdana" w:hAnsi="Verdana"/>
          <w:sz w:val="18"/>
          <w:szCs w:val="18"/>
        </w:rPr>
        <w:t xml:space="preserve">vragen in het aandacht voor het binnen de zorgsector voldoen aan de zorgplicht op grond van de </w:t>
      </w:r>
      <w:proofErr w:type="spellStart"/>
      <w:r w:rsidRPr="00FF46E3">
        <w:rPr>
          <w:rFonts w:ascii="Verdana" w:hAnsi="Verdana"/>
          <w:sz w:val="18"/>
          <w:szCs w:val="18"/>
        </w:rPr>
        <w:t>Cbw</w:t>
      </w:r>
      <w:proofErr w:type="spellEnd"/>
      <w:r w:rsidRPr="00FF46E3">
        <w:rPr>
          <w:rFonts w:ascii="Verdana" w:hAnsi="Verdana"/>
          <w:sz w:val="18"/>
          <w:szCs w:val="18"/>
        </w:rPr>
        <w:t xml:space="preserve"> en NEN7510. </w:t>
      </w:r>
      <w:r w:rsidR="005931F0">
        <w:rPr>
          <w:rFonts w:ascii="Verdana" w:hAnsi="Verdana"/>
          <w:sz w:val="18"/>
          <w:szCs w:val="18"/>
        </w:rPr>
        <w:t>Hierover wordt het volgende toegelicht.</w:t>
      </w:r>
      <w:r w:rsidRPr="00FF46E3">
        <w:rPr>
          <w:rFonts w:ascii="Verdana" w:hAnsi="Verdana"/>
          <w:sz w:val="18"/>
          <w:szCs w:val="18"/>
        </w:rPr>
        <w:t xml:space="preserve"> </w:t>
      </w:r>
      <w:r w:rsidR="00C54B2F">
        <w:rPr>
          <w:rFonts w:ascii="Verdana" w:hAnsi="Verdana"/>
          <w:sz w:val="18"/>
          <w:szCs w:val="18"/>
        </w:rPr>
        <w:t xml:space="preserve">Met de herziening </w:t>
      </w:r>
      <w:r w:rsidRPr="00FF46E3">
        <w:rPr>
          <w:rFonts w:ascii="Verdana" w:hAnsi="Verdana"/>
          <w:sz w:val="18"/>
          <w:szCs w:val="18"/>
        </w:rPr>
        <w:t>van de NEN7510</w:t>
      </w:r>
      <w:r w:rsidR="00C54B2F">
        <w:rPr>
          <w:rFonts w:ascii="Verdana" w:hAnsi="Verdana"/>
          <w:sz w:val="18"/>
          <w:szCs w:val="18"/>
        </w:rPr>
        <w:t xml:space="preserve"> is</w:t>
      </w:r>
      <w:r w:rsidRPr="00FF46E3">
        <w:rPr>
          <w:rFonts w:ascii="Verdana" w:hAnsi="Verdana"/>
          <w:sz w:val="18"/>
          <w:szCs w:val="18"/>
        </w:rPr>
        <w:t xml:space="preserve"> aangesloten op de maatregelen in het kader van de zorgplicht van de </w:t>
      </w:r>
      <w:proofErr w:type="spellStart"/>
      <w:r w:rsidRPr="00FF46E3">
        <w:rPr>
          <w:rFonts w:ascii="Verdana" w:hAnsi="Verdana"/>
          <w:sz w:val="18"/>
          <w:szCs w:val="18"/>
        </w:rPr>
        <w:t>Cbw</w:t>
      </w:r>
      <w:proofErr w:type="spellEnd"/>
      <w:r w:rsidRPr="00FF46E3">
        <w:rPr>
          <w:rFonts w:ascii="Verdana" w:hAnsi="Verdana"/>
          <w:sz w:val="18"/>
          <w:szCs w:val="18"/>
        </w:rPr>
        <w:t xml:space="preserve">. Daarnaast zal in een ministeriële regeling van de Minister van Volksgezondheid, Welzijn en Sport krachtens de </w:t>
      </w:r>
      <w:proofErr w:type="spellStart"/>
      <w:r w:rsidRPr="00FF46E3">
        <w:rPr>
          <w:rFonts w:ascii="Verdana" w:hAnsi="Verdana"/>
          <w:sz w:val="18"/>
          <w:szCs w:val="18"/>
        </w:rPr>
        <w:t>Cbw</w:t>
      </w:r>
      <w:proofErr w:type="spellEnd"/>
      <w:r w:rsidRPr="00FF46E3">
        <w:rPr>
          <w:rFonts w:ascii="Verdana" w:hAnsi="Verdana"/>
          <w:sz w:val="18"/>
          <w:szCs w:val="18"/>
        </w:rPr>
        <w:t xml:space="preserve"> worden verwezen naar sectorale normen zoals de NEN7510</w:t>
      </w:r>
      <w:r w:rsidR="00ED5DC0">
        <w:rPr>
          <w:rFonts w:ascii="Verdana" w:hAnsi="Verdana"/>
          <w:sz w:val="18"/>
          <w:szCs w:val="18"/>
        </w:rPr>
        <w:t xml:space="preserve"> en de ISO-normen</w:t>
      </w:r>
      <w:r w:rsidRPr="00FF46E3">
        <w:rPr>
          <w:rFonts w:ascii="Verdana" w:hAnsi="Verdana"/>
          <w:sz w:val="18"/>
          <w:szCs w:val="18"/>
        </w:rPr>
        <w:t xml:space="preserve">. </w:t>
      </w:r>
    </w:p>
    <w:p w:rsidR="00B05F8A" w:rsidP="00A450AE" w:rsidRDefault="00B05F8A" w14:paraId="050AAEA3" w14:textId="77777777">
      <w:pPr>
        <w:pStyle w:val="Geenafstand"/>
        <w:rPr>
          <w:rFonts w:ascii="Verdana" w:hAnsi="Verdana"/>
          <w:sz w:val="18"/>
          <w:szCs w:val="18"/>
        </w:rPr>
      </w:pPr>
    </w:p>
    <w:p w:rsidRPr="00723091" w:rsidR="00B05F8A" w:rsidP="00A450AE" w:rsidRDefault="00B05F8A" w14:paraId="23F121B1" w14:textId="6C64BBB3">
      <w:pPr>
        <w:pStyle w:val="Geenafstand"/>
        <w:rPr>
          <w:rFonts w:ascii="Verdana" w:hAnsi="Verdana"/>
          <w:i/>
          <w:iCs/>
          <w:sz w:val="18"/>
          <w:szCs w:val="18"/>
        </w:rPr>
      </w:pPr>
      <w:r>
        <w:rPr>
          <w:rFonts w:ascii="Verdana" w:hAnsi="Verdana"/>
          <w:i/>
          <w:iCs/>
          <w:sz w:val="18"/>
          <w:szCs w:val="18"/>
        </w:rPr>
        <w:t>Toekomstbestendigheid</w:t>
      </w:r>
    </w:p>
    <w:p w:rsidRPr="00FF46E3" w:rsidR="00B05F8A" w:rsidP="00A450AE" w:rsidRDefault="00B05F8A" w14:paraId="007A3D20" w14:textId="66A9BF20">
      <w:pPr>
        <w:pStyle w:val="Geenafstand"/>
        <w:rPr>
          <w:rFonts w:ascii="Verdana" w:hAnsi="Verdana"/>
          <w:sz w:val="18"/>
          <w:szCs w:val="18"/>
        </w:rPr>
      </w:pPr>
      <w:r w:rsidRPr="000E32D7">
        <w:rPr>
          <w:rFonts w:ascii="Verdana" w:hAnsi="Verdana"/>
          <w:sz w:val="18"/>
          <w:szCs w:val="18"/>
        </w:rPr>
        <w:t xml:space="preserve">Cisco </w:t>
      </w:r>
      <w:r>
        <w:rPr>
          <w:rFonts w:ascii="Verdana" w:hAnsi="Verdana"/>
          <w:sz w:val="18"/>
          <w:szCs w:val="18"/>
        </w:rPr>
        <w:t>geeft aan</w:t>
      </w:r>
      <w:r w:rsidRPr="000E32D7">
        <w:rPr>
          <w:rFonts w:ascii="Verdana" w:hAnsi="Verdana"/>
          <w:sz w:val="18"/>
          <w:szCs w:val="18"/>
        </w:rPr>
        <w:t xml:space="preserve"> dat de NIS2-richtlijn en daarmee de </w:t>
      </w:r>
      <w:proofErr w:type="spellStart"/>
      <w:r w:rsidRPr="000E32D7">
        <w:rPr>
          <w:rFonts w:ascii="Verdana" w:hAnsi="Verdana"/>
          <w:sz w:val="18"/>
          <w:szCs w:val="18"/>
        </w:rPr>
        <w:t>Cbw</w:t>
      </w:r>
      <w:proofErr w:type="spellEnd"/>
      <w:r w:rsidRPr="000E32D7">
        <w:rPr>
          <w:rFonts w:ascii="Verdana" w:hAnsi="Verdana"/>
          <w:sz w:val="18"/>
          <w:szCs w:val="18"/>
        </w:rPr>
        <w:t xml:space="preserve"> niet toekomstbestendig zijn als gevolg van de opkom</w:t>
      </w:r>
      <w:r>
        <w:rPr>
          <w:rFonts w:ascii="Verdana" w:hAnsi="Verdana"/>
          <w:sz w:val="18"/>
          <w:szCs w:val="18"/>
        </w:rPr>
        <w:t>s</w:t>
      </w:r>
      <w:r w:rsidRPr="000E32D7">
        <w:rPr>
          <w:rFonts w:ascii="Verdana" w:hAnsi="Verdana"/>
          <w:sz w:val="18"/>
          <w:szCs w:val="18"/>
        </w:rPr>
        <w:t xml:space="preserve">t van generatieve </w:t>
      </w:r>
      <w:r>
        <w:rPr>
          <w:rFonts w:ascii="Verdana" w:hAnsi="Verdana"/>
          <w:sz w:val="18"/>
          <w:szCs w:val="18"/>
        </w:rPr>
        <w:t>kunstmatige intelligentie</w:t>
      </w:r>
      <w:r w:rsidRPr="000E32D7">
        <w:rPr>
          <w:rFonts w:ascii="Verdana" w:hAnsi="Verdana"/>
          <w:sz w:val="18"/>
          <w:szCs w:val="18"/>
        </w:rPr>
        <w:t>.</w:t>
      </w:r>
      <w:r>
        <w:rPr>
          <w:rFonts w:ascii="Verdana" w:hAnsi="Verdana"/>
          <w:sz w:val="18"/>
          <w:szCs w:val="18"/>
        </w:rPr>
        <w:t xml:space="preserve"> De reactie hierop is als volgt. Essentiële entiteiten en belangrijke entiteiten moeten</w:t>
      </w:r>
      <w:r w:rsidRPr="000E32D7">
        <w:rPr>
          <w:rFonts w:ascii="Verdana" w:hAnsi="Verdana"/>
          <w:sz w:val="18"/>
          <w:szCs w:val="18"/>
        </w:rPr>
        <w:t xml:space="preserve"> bij het maken van hun risicobeoordeling en het treffen van mitigerende maatregelen ook rekening houden met nieuwe technologieën of nieuwe vormen van dreigingen. Dat geldt dus ook voor generatieve </w:t>
      </w:r>
      <w:r>
        <w:rPr>
          <w:rFonts w:ascii="Verdana" w:hAnsi="Verdana"/>
          <w:sz w:val="18"/>
          <w:szCs w:val="18"/>
        </w:rPr>
        <w:t>kunstmatige intelligentie</w:t>
      </w:r>
      <w:r w:rsidRPr="000E32D7">
        <w:rPr>
          <w:rFonts w:ascii="Verdana" w:hAnsi="Verdana"/>
          <w:sz w:val="18"/>
          <w:szCs w:val="18"/>
        </w:rPr>
        <w:t>.</w:t>
      </w:r>
      <w:r w:rsidR="008265E7">
        <w:rPr>
          <w:rFonts w:ascii="Verdana" w:hAnsi="Verdana"/>
          <w:sz w:val="18"/>
          <w:szCs w:val="18"/>
        </w:rPr>
        <w:t xml:space="preserve"> </w:t>
      </w:r>
    </w:p>
    <w:p w:rsidRPr="00FF46E3" w:rsidR="00A450AE" w:rsidP="00A450AE" w:rsidRDefault="00A450AE" w14:paraId="4B10E7A7" w14:textId="77777777">
      <w:pPr>
        <w:pStyle w:val="Geenafstand"/>
        <w:rPr>
          <w:rFonts w:ascii="Verdana" w:hAnsi="Verdana"/>
          <w:sz w:val="18"/>
          <w:szCs w:val="18"/>
        </w:rPr>
      </w:pPr>
    </w:p>
    <w:p w:rsidRPr="00FF46E3" w:rsidR="00A450AE" w:rsidP="00A450AE" w:rsidRDefault="00A450AE" w14:paraId="6293C297" w14:textId="1916167A">
      <w:pPr>
        <w:pStyle w:val="Kop2"/>
      </w:pPr>
      <w:bookmarkStart w:name="_Toc198721149" w:id="226"/>
      <w:bookmarkEnd w:id="218"/>
      <w:r w:rsidRPr="00FF46E3">
        <w:t>9.</w:t>
      </w:r>
      <w:r w:rsidR="00CB13D7">
        <w:t>8</w:t>
      </w:r>
      <w:r w:rsidRPr="00FF46E3">
        <w:t xml:space="preserve"> </w:t>
      </w:r>
      <w:proofErr w:type="spellStart"/>
      <w:r w:rsidRPr="00FF46E3">
        <w:t>Governance</w:t>
      </w:r>
      <w:bookmarkEnd w:id="226"/>
      <w:proofErr w:type="spellEnd"/>
    </w:p>
    <w:p w:rsidRPr="00FF46E3" w:rsidR="00A450AE" w:rsidP="00A450AE" w:rsidRDefault="00A450AE" w14:paraId="599CFB49" w14:textId="77777777">
      <w:pPr>
        <w:pStyle w:val="Geenafstand"/>
        <w:rPr>
          <w:rFonts w:ascii="Verdana" w:hAnsi="Verdana"/>
          <w:sz w:val="18"/>
          <w:szCs w:val="18"/>
        </w:rPr>
      </w:pPr>
    </w:p>
    <w:p w:rsidRPr="00FF46E3" w:rsidR="00A450AE" w:rsidP="00A450AE" w:rsidRDefault="00A450AE" w14:paraId="766116F4" w14:textId="05C42D54">
      <w:pPr>
        <w:pStyle w:val="Geenafstand"/>
        <w:rPr>
          <w:rFonts w:ascii="Verdana" w:hAnsi="Verdana"/>
          <w:sz w:val="18"/>
          <w:szCs w:val="18"/>
        </w:rPr>
      </w:pPr>
      <w:r w:rsidRPr="00FF46E3">
        <w:rPr>
          <w:rFonts w:ascii="Verdana" w:hAnsi="Verdana"/>
          <w:sz w:val="18"/>
          <w:szCs w:val="18"/>
        </w:rPr>
        <w:t xml:space="preserve">Uit een aantal consultatiereacties, waaronder die van de </w:t>
      </w:r>
      <w:r w:rsidRPr="00FF46E3" w:rsidR="00B019FB">
        <w:rPr>
          <w:rFonts w:ascii="Verdana" w:hAnsi="Verdana"/>
          <w:sz w:val="18"/>
          <w:szCs w:val="18"/>
        </w:rPr>
        <w:t>Koninklijke Vereniging van Nederlandse Reders (hierna: KVNR)</w:t>
      </w:r>
      <w:r w:rsidRPr="00FF46E3">
        <w:rPr>
          <w:rFonts w:ascii="Verdana" w:hAnsi="Verdana"/>
          <w:sz w:val="18"/>
          <w:szCs w:val="18"/>
        </w:rPr>
        <w:t xml:space="preserve">, </w:t>
      </w:r>
      <w:proofErr w:type="spellStart"/>
      <w:r w:rsidRPr="00FF46E3" w:rsidR="0082029B">
        <w:rPr>
          <w:rFonts w:ascii="Verdana" w:hAnsi="Verdana"/>
          <w:sz w:val="18"/>
          <w:szCs w:val="18"/>
        </w:rPr>
        <w:t>N</w:t>
      </w:r>
      <w:r w:rsidR="0082029B">
        <w:rPr>
          <w:rFonts w:ascii="Verdana" w:hAnsi="Verdana"/>
          <w:sz w:val="18"/>
          <w:szCs w:val="18"/>
        </w:rPr>
        <w:t>L</w:t>
      </w:r>
      <w:r w:rsidRPr="00FF46E3" w:rsidR="0082029B">
        <w:rPr>
          <w:rFonts w:ascii="Verdana" w:hAnsi="Verdana"/>
          <w:sz w:val="18"/>
          <w:szCs w:val="18"/>
        </w:rPr>
        <w:t>digital</w:t>
      </w:r>
      <w:proofErr w:type="spellEnd"/>
      <w:r w:rsidRPr="00FF46E3">
        <w:rPr>
          <w:rFonts w:ascii="Verdana" w:hAnsi="Verdana"/>
          <w:sz w:val="18"/>
          <w:szCs w:val="18"/>
        </w:rPr>
        <w:t xml:space="preserve">, </w:t>
      </w:r>
      <w:proofErr w:type="spellStart"/>
      <w:r w:rsidRPr="00FF46E3">
        <w:rPr>
          <w:rFonts w:ascii="Verdana" w:hAnsi="Verdana"/>
          <w:sz w:val="18"/>
          <w:szCs w:val="18"/>
        </w:rPr>
        <w:t>Vewin</w:t>
      </w:r>
      <w:proofErr w:type="spellEnd"/>
      <w:r w:rsidRPr="00FF46E3">
        <w:rPr>
          <w:rFonts w:ascii="Verdana" w:hAnsi="Verdana"/>
          <w:sz w:val="18"/>
          <w:szCs w:val="18"/>
        </w:rPr>
        <w:t xml:space="preserve"> en </w:t>
      </w:r>
      <w:r w:rsidR="00B019FB">
        <w:rPr>
          <w:rFonts w:ascii="Verdana" w:hAnsi="Verdana"/>
          <w:sz w:val="18"/>
          <w:szCs w:val="18"/>
        </w:rPr>
        <w:t xml:space="preserve">de </w:t>
      </w:r>
      <w:r w:rsidRPr="00FF46E3">
        <w:rPr>
          <w:rFonts w:ascii="Verdana" w:hAnsi="Verdana"/>
          <w:sz w:val="18"/>
          <w:szCs w:val="18"/>
        </w:rPr>
        <w:t xml:space="preserve">Vereniging Energie-Nederland, blijkt dat in de eerdere versie van dit wetsvoorstel het onvoldoende duidelijk is wat onder het bestuur, bedoeld in artikel </w:t>
      </w:r>
      <w:r w:rsidR="00204DD1">
        <w:rPr>
          <w:rFonts w:ascii="Verdana" w:hAnsi="Verdana"/>
          <w:sz w:val="18"/>
          <w:szCs w:val="18"/>
        </w:rPr>
        <w:t>24</w:t>
      </w:r>
      <w:r w:rsidRPr="00FF46E3" w:rsidR="00204DD1">
        <w:rPr>
          <w:rFonts w:ascii="Verdana" w:hAnsi="Verdana"/>
          <w:sz w:val="18"/>
          <w:szCs w:val="18"/>
        </w:rPr>
        <w:t xml:space="preserve"> </w:t>
      </w:r>
      <w:proofErr w:type="spellStart"/>
      <w:r w:rsidRPr="00FF46E3">
        <w:rPr>
          <w:rFonts w:ascii="Verdana" w:hAnsi="Verdana"/>
          <w:sz w:val="18"/>
          <w:szCs w:val="18"/>
        </w:rPr>
        <w:t>Cbw</w:t>
      </w:r>
      <w:proofErr w:type="spellEnd"/>
      <w:r w:rsidR="00204DD1">
        <w:rPr>
          <w:rFonts w:ascii="Verdana" w:hAnsi="Verdana"/>
          <w:sz w:val="18"/>
          <w:szCs w:val="18"/>
        </w:rPr>
        <w:t xml:space="preserve"> (26 oud)</w:t>
      </w:r>
      <w:r w:rsidRPr="00FF46E3">
        <w:rPr>
          <w:rFonts w:ascii="Verdana" w:hAnsi="Verdana"/>
          <w:sz w:val="18"/>
          <w:szCs w:val="18"/>
        </w:rPr>
        <w:t xml:space="preserve">, moet worden verstaan. Naar aanleiding van deze reacties </w:t>
      </w:r>
      <w:r w:rsidR="005931F0">
        <w:rPr>
          <w:rFonts w:ascii="Verdana" w:hAnsi="Verdana"/>
          <w:sz w:val="18"/>
          <w:szCs w:val="18"/>
        </w:rPr>
        <w:t>is</w:t>
      </w:r>
      <w:r w:rsidRPr="00FF46E3">
        <w:rPr>
          <w:rFonts w:ascii="Verdana" w:hAnsi="Verdana"/>
          <w:sz w:val="18"/>
          <w:szCs w:val="18"/>
        </w:rPr>
        <w:t xml:space="preserve"> in paragraaf 5.</w:t>
      </w:r>
      <w:r w:rsidR="00C72553">
        <w:rPr>
          <w:rFonts w:ascii="Verdana" w:hAnsi="Verdana"/>
          <w:sz w:val="18"/>
          <w:szCs w:val="18"/>
        </w:rPr>
        <w:t>3</w:t>
      </w:r>
      <w:r w:rsidR="0069259D">
        <w:rPr>
          <w:rFonts w:ascii="Verdana" w:hAnsi="Verdana"/>
          <w:sz w:val="18"/>
          <w:szCs w:val="18"/>
        </w:rPr>
        <w:t>.3</w:t>
      </w:r>
      <w:r w:rsidRPr="00FF46E3">
        <w:rPr>
          <w:rFonts w:ascii="Verdana" w:hAnsi="Verdana"/>
          <w:sz w:val="18"/>
          <w:szCs w:val="18"/>
        </w:rPr>
        <w:t xml:space="preserve"> voor de verschillende private rechtsvormen die het Nederlandse rechtsstelsel kent, gespecificeerd op wie de verplichtingen van artikel </w:t>
      </w:r>
      <w:r w:rsidR="0069259D">
        <w:rPr>
          <w:rFonts w:ascii="Verdana" w:hAnsi="Verdana"/>
          <w:sz w:val="18"/>
          <w:szCs w:val="18"/>
        </w:rPr>
        <w:t xml:space="preserve">24 </w:t>
      </w:r>
      <w:proofErr w:type="spellStart"/>
      <w:r w:rsidR="0069259D">
        <w:rPr>
          <w:rFonts w:ascii="Verdana" w:hAnsi="Verdana"/>
          <w:sz w:val="18"/>
          <w:szCs w:val="18"/>
        </w:rPr>
        <w:t>Cbw</w:t>
      </w:r>
      <w:proofErr w:type="spellEnd"/>
      <w:r>
        <w:rPr>
          <w:rFonts w:ascii="Verdana" w:hAnsi="Verdana"/>
          <w:sz w:val="18"/>
          <w:szCs w:val="18"/>
        </w:rPr>
        <w:t xml:space="preserve"> (</w:t>
      </w:r>
      <w:r w:rsidRPr="00FF46E3">
        <w:rPr>
          <w:rFonts w:ascii="Verdana" w:hAnsi="Verdana"/>
          <w:sz w:val="18"/>
          <w:szCs w:val="18"/>
        </w:rPr>
        <w:t>26</w:t>
      </w:r>
      <w:r>
        <w:rPr>
          <w:rFonts w:ascii="Verdana" w:hAnsi="Verdana"/>
          <w:sz w:val="18"/>
          <w:szCs w:val="18"/>
        </w:rPr>
        <w:t xml:space="preserve"> oud)</w:t>
      </w:r>
      <w:r w:rsidRPr="00FF46E3">
        <w:rPr>
          <w:rFonts w:ascii="Verdana" w:hAnsi="Verdana"/>
          <w:sz w:val="18"/>
          <w:szCs w:val="18"/>
        </w:rPr>
        <w:t xml:space="preserve"> rusten. </w:t>
      </w:r>
    </w:p>
    <w:p w:rsidRPr="00FF46E3" w:rsidR="00A450AE" w:rsidP="00A450AE" w:rsidRDefault="00A450AE" w14:paraId="05BA7D04" w14:textId="77777777">
      <w:pPr>
        <w:pStyle w:val="Geenafstand"/>
        <w:rPr>
          <w:rFonts w:ascii="Verdana" w:hAnsi="Verdana"/>
          <w:sz w:val="18"/>
          <w:szCs w:val="18"/>
        </w:rPr>
      </w:pPr>
    </w:p>
    <w:p w:rsidR="00B62BCF" w:rsidP="00A450AE" w:rsidRDefault="00153D1E" w14:paraId="7B3BD83A" w14:textId="1F90EE8D">
      <w:pPr>
        <w:pStyle w:val="Geenafstand"/>
        <w:rPr>
          <w:rFonts w:ascii="Verdana" w:hAnsi="Verdana"/>
          <w:sz w:val="18"/>
          <w:szCs w:val="18"/>
        </w:rPr>
      </w:pPr>
      <w:r>
        <w:rPr>
          <w:rFonts w:ascii="Verdana" w:hAnsi="Verdana"/>
          <w:sz w:val="18"/>
          <w:szCs w:val="18"/>
        </w:rPr>
        <w:t>Volgens</w:t>
      </w:r>
      <w:r w:rsidRPr="009B2226" w:rsidR="009B2226">
        <w:rPr>
          <w:rFonts w:ascii="Verdana" w:hAnsi="Verdana"/>
          <w:sz w:val="18"/>
          <w:szCs w:val="18"/>
        </w:rPr>
        <w:t xml:space="preserve"> de VNG, het Interprovinciaal Overleg (IPO) en de Unie van Waterschappen </w:t>
      </w:r>
      <w:r>
        <w:rPr>
          <w:rFonts w:ascii="Verdana" w:hAnsi="Verdana"/>
          <w:sz w:val="18"/>
          <w:szCs w:val="18"/>
        </w:rPr>
        <w:t>merkt</w:t>
      </w:r>
      <w:r w:rsidRPr="009B2226" w:rsidR="009B2226">
        <w:rPr>
          <w:rFonts w:ascii="Verdana" w:hAnsi="Verdana"/>
          <w:sz w:val="18"/>
          <w:szCs w:val="18"/>
        </w:rPr>
        <w:t xml:space="preserve"> het wetsvoorstel onterecht de ambtelijke leiding aan als het bestuur van overheidsinstanties. Zo geeft de </w:t>
      </w:r>
      <w:r w:rsidR="0031005A">
        <w:rPr>
          <w:rFonts w:ascii="Verdana" w:hAnsi="Verdana"/>
          <w:sz w:val="18"/>
          <w:szCs w:val="18"/>
        </w:rPr>
        <w:t>Unie van Waterschappen</w:t>
      </w:r>
      <w:r w:rsidRPr="009B2226" w:rsidR="009B2226">
        <w:rPr>
          <w:rFonts w:ascii="Verdana" w:hAnsi="Verdana"/>
          <w:sz w:val="18"/>
          <w:szCs w:val="18"/>
        </w:rPr>
        <w:t xml:space="preserve"> aan dat de ambtelijke leiding voor haar taakuitvoering afhankelijk is van </w:t>
      </w:r>
      <w:r>
        <w:rPr>
          <w:rFonts w:ascii="Verdana" w:hAnsi="Verdana"/>
          <w:sz w:val="18"/>
          <w:szCs w:val="18"/>
        </w:rPr>
        <w:t xml:space="preserve">de </w:t>
      </w:r>
      <w:r w:rsidRPr="009B2226" w:rsidR="009B2226">
        <w:rPr>
          <w:rFonts w:ascii="Verdana" w:hAnsi="Verdana"/>
          <w:sz w:val="18"/>
          <w:szCs w:val="18"/>
        </w:rPr>
        <w:t xml:space="preserve">financiering van het bestuur van het waterschap. </w:t>
      </w:r>
      <w:r>
        <w:rPr>
          <w:rFonts w:ascii="Verdana" w:hAnsi="Verdana"/>
          <w:sz w:val="18"/>
          <w:szCs w:val="18"/>
        </w:rPr>
        <w:t xml:space="preserve">Naar aanleiding van deze reacties is artikel </w:t>
      </w:r>
      <w:r w:rsidR="00723091">
        <w:rPr>
          <w:rFonts w:ascii="Verdana" w:hAnsi="Verdana"/>
          <w:sz w:val="18"/>
          <w:szCs w:val="18"/>
        </w:rPr>
        <w:t>24</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zodanig gewijzigd, dat de </w:t>
      </w:r>
      <w:proofErr w:type="spellStart"/>
      <w:r>
        <w:rPr>
          <w:rFonts w:ascii="Verdana" w:hAnsi="Verdana"/>
          <w:sz w:val="18"/>
          <w:szCs w:val="18"/>
        </w:rPr>
        <w:t>governanceverplichtingen</w:t>
      </w:r>
      <w:proofErr w:type="spellEnd"/>
      <w:r>
        <w:rPr>
          <w:rFonts w:ascii="Verdana" w:hAnsi="Verdana"/>
          <w:sz w:val="18"/>
          <w:szCs w:val="18"/>
        </w:rPr>
        <w:t xml:space="preserve"> gelden voor de politieke leiding van overheidsinstanties.</w:t>
      </w:r>
    </w:p>
    <w:p w:rsidRPr="00FF46E3" w:rsidR="00A450AE" w:rsidP="00A450AE" w:rsidRDefault="009B2226" w14:paraId="6BC69F73" w14:textId="35A928DE">
      <w:pPr>
        <w:pStyle w:val="Geenafstand"/>
        <w:rPr>
          <w:rFonts w:ascii="Verdana" w:hAnsi="Verdana"/>
          <w:b/>
          <w:bCs/>
          <w:sz w:val="18"/>
          <w:szCs w:val="18"/>
        </w:rPr>
      </w:pPr>
      <w:r w:rsidRPr="009B2226">
        <w:rPr>
          <w:rFonts w:ascii="Verdana" w:hAnsi="Verdana"/>
          <w:sz w:val="18"/>
          <w:szCs w:val="18"/>
        </w:rPr>
        <w:t xml:space="preserve"> </w:t>
      </w:r>
    </w:p>
    <w:p w:rsidRPr="00FF46E3" w:rsidR="00A450AE" w:rsidP="00A450AE" w:rsidRDefault="00A450AE" w14:paraId="3DDFEB6D" w14:textId="161C5E1C">
      <w:pPr>
        <w:pStyle w:val="Kop2"/>
      </w:pPr>
      <w:bookmarkStart w:name="_Toc198721150" w:id="227"/>
      <w:r w:rsidRPr="00FF46E3">
        <w:t>9.</w:t>
      </w:r>
      <w:r w:rsidR="00CB13D7">
        <w:t>9</w:t>
      </w:r>
      <w:r w:rsidRPr="00FF46E3">
        <w:t xml:space="preserve"> Meldplicht</w:t>
      </w:r>
      <w:bookmarkEnd w:id="227"/>
    </w:p>
    <w:p w:rsidRPr="00FF46E3" w:rsidR="00A450AE" w:rsidP="00A450AE" w:rsidRDefault="00A450AE" w14:paraId="525776C2" w14:textId="77777777">
      <w:pPr>
        <w:pStyle w:val="Geenafstand"/>
        <w:rPr>
          <w:rFonts w:ascii="Verdana" w:hAnsi="Verdana"/>
          <w:b/>
          <w:bCs/>
          <w:sz w:val="18"/>
          <w:szCs w:val="18"/>
        </w:rPr>
      </w:pPr>
    </w:p>
    <w:p w:rsidRPr="000F058E" w:rsidR="00A450AE" w:rsidP="00A450AE" w:rsidRDefault="00A450AE" w14:paraId="0073D93B" w14:textId="77777777">
      <w:pPr>
        <w:pStyle w:val="Geenafstand"/>
        <w:rPr>
          <w:rFonts w:ascii="Verdana" w:hAnsi="Verdana"/>
          <w:i/>
          <w:iCs/>
          <w:sz w:val="18"/>
          <w:szCs w:val="18"/>
        </w:rPr>
      </w:pPr>
      <w:r w:rsidRPr="00FF46E3">
        <w:rPr>
          <w:rFonts w:ascii="Verdana" w:hAnsi="Verdana"/>
          <w:i/>
          <w:iCs/>
          <w:sz w:val="18"/>
          <w:szCs w:val="18"/>
        </w:rPr>
        <w:t>Definities</w:t>
      </w:r>
    </w:p>
    <w:p w:rsidRPr="00FF46E3" w:rsidR="00A450AE" w:rsidP="00A450AE" w:rsidRDefault="00A450AE" w14:paraId="77615D5C" w14:textId="59530534">
      <w:pPr>
        <w:pStyle w:val="Geenafstand"/>
        <w:rPr>
          <w:rFonts w:ascii="Verdana" w:hAnsi="Verdana"/>
          <w:sz w:val="18"/>
          <w:szCs w:val="18"/>
        </w:rPr>
      </w:pPr>
      <w:r w:rsidRPr="00FF46E3">
        <w:rPr>
          <w:rFonts w:ascii="Verdana" w:hAnsi="Verdana"/>
          <w:sz w:val="18"/>
          <w:szCs w:val="18"/>
        </w:rPr>
        <w:t>Uit enkele consultatiereacties, waaronder die van De Nederlandse ggz, de N.V. Nederlandse Spoorwegen (hierna: de NS)</w:t>
      </w:r>
      <w:r w:rsidR="00B019FB">
        <w:rPr>
          <w:rFonts w:ascii="Verdana" w:hAnsi="Verdana"/>
          <w:sz w:val="18"/>
          <w:szCs w:val="18"/>
        </w:rPr>
        <w:t xml:space="preserve"> </w:t>
      </w:r>
      <w:r w:rsidRPr="00FF46E3">
        <w:rPr>
          <w:rFonts w:ascii="Verdana" w:hAnsi="Verdana"/>
          <w:sz w:val="18"/>
          <w:szCs w:val="18"/>
        </w:rPr>
        <w:t xml:space="preserve">en Stichting Connect2Trust, blijkt dat onduidelijkheid bestaat over enkele definities, waaronder die van significante incidenten en significante cyberdreigingen, en welke incidenten moeten worden gemeld. Naar aanleiding van deze reacties is </w:t>
      </w:r>
      <w:r w:rsidR="00CA611F">
        <w:rPr>
          <w:rFonts w:ascii="Verdana" w:hAnsi="Verdana"/>
          <w:sz w:val="18"/>
          <w:szCs w:val="18"/>
        </w:rPr>
        <w:t xml:space="preserve">in artikel 1 </w:t>
      </w:r>
      <w:proofErr w:type="spellStart"/>
      <w:r w:rsidR="00CA611F">
        <w:rPr>
          <w:rFonts w:ascii="Verdana" w:hAnsi="Verdana"/>
          <w:sz w:val="18"/>
          <w:szCs w:val="18"/>
        </w:rPr>
        <w:t>Cbw</w:t>
      </w:r>
      <w:proofErr w:type="spellEnd"/>
      <w:r w:rsidR="00CA611F">
        <w:rPr>
          <w:rFonts w:ascii="Verdana" w:hAnsi="Verdana"/>
          <w:sz w:val="18"/>
          <w:szCs w:val="18"/>
        </w:rPr>
        <w:t xml:space="preserve"> ten aanzien van enkele begrippen (waaronder de hiervoor genoemde begrippen) de dynamische verwijzing naar de definitie van die begrippen in artikel 6 NIS2-richtlijn verwijderd en zijn de definities uitgeschreven. </w:t>
      </w:r>
      <w:r w:rsidR="0076477F">
        <w:rPr>
          <w:rFonts w:ascii="Verdana" w:hAnsi="Verdana"/>
          <w:sz w:val="18"/>
          <w:szCs w:val="18"/>
        </w:rPr>
        <w:t xml:space="preserve">Daarnaast is </w:t>
      </w:r>
      <w:r w:rsidR="00C72553">
        <w:rPr>
          <w:rFonts w:ascii="Verdana" w:hAnsi="Verdana"/>
          <w:sz w:val="18"/>
          <w:szCs w:val="18"/>
        </w:rPr>
        <w:t xml:space="preserve">de paragraaf over de meldplicht (thans </w:t>
      </w:r>
      <w:r w:rsidRPr="00FF46E3">
        <w:rPr>
          <w:rFonts w:ascii="Verdana" w:hAnsi="Verdana"/>
          <w:sz w:val="18"/>
          <w:szCs w:val="18"/>
        </w:rPr>
        <w:t>paragraaf 5.</w:t>
      </w:r>
      <w:r w:rsidR="001C6BE6">
        <w:rPr>
          <w:rFonts w:ascii="Verdana" w:hAnsi="Verdana"/>
          <w:sz w:val="18"/>
          <w:szCs w:val="18"/>
        </w:rPr>
        <w:t>4</w:t>
      </w:r>
      <w:r w:rsidR="00C72553">
        <w:rPr>
          <w:rFonts w:ascii="Verdana" w:hAnsi="Verdana"/>
          <w:sz w:val="18"/>
          <w:szCs w:val="18"/>
        </w:rPr>
        <w:t>)</w:t>
      </w:r>
      <w:r w:rsidRPr="00FF46E3">
        <w:rPr>
          <w:rFonts w:ascii="Verdana" w:hAnsi="Verdana"/>
          <w:sz w:val="18"/>
          <w:szCs w:val="18"/>
        </w:rPr>
        <w:t xml:space="preserve"> aangevuld, waarin wordt benadrukt dat de meldplicht alleen ziet op significante incidenten. </w:t>
      </w:r>
    </w:p>
    <w:p w:rsidRPr="00FF46E3" w:rsidR="00A450AE" w:rsidP="00A450AE" w:rsidRDefault="00A450AE" w14:paraId="6D4783B6" w14:textId="77777777">
      <w:pPr>
        <w:pStyle w:val="Geenafstand"/>
        <w:rPr>
          <w:rFonts w:ascii="Verdana" w:hAnsi="Verdana"/>
          <w:sz w:val="18"/>
          <w:szCs w:val="18"/>
        </w:rPr>
      </w:pPr>
    </w:p>
    <w:p w:rsidRPr="00FF46E3" w:rsidR="00A450AE" w:rsidP="00A450AE" w:rsidRDefault="00A450AE" w14:paraId="6B94DB12" w14:textId="77777777">
      <w:pPr>
        <w:pStyle w:val="Geenafstand"/>
        <w:rPr>
          <w:rFonts w:ascii="Verdana" w:hAnsi="Verdana"/>
          <w:i/>
          <w:iCs/>
          <w:sz w:val="18"/>
          <w:szCs w:val="18"/>
        </w:rPr>
      </w:pPr>
      <w:r w:rsidRPr="00FF46E3">
        <w:rPr>
          <w:rFonts w:ascii="Verdana" w:hAnsi="Verdana"/>
          <w:i/>
          <w:iCs/>
          <w:sz w:val="18"/>
          <w:szCs w:val="18"/>
        </w:rPr>
        <w:t>Significant incident</w:t>
      </w:r>
    </w:p>
    <w:p w:rsidRPr="00FF46E3" w:rsidR="00A450AE" w:rsidP="00A450AE" w:rsidRDefault="00A450AE" w14:paraId="48A5286A" w14:textId="7FC965EA">
      <w:pPr>
        <w:pStyle w:val="Geenafstand"/>
        <w:rPr>
          <w:rFonts w:ascii="Verdana" w:hAnsi="Verdana"/>
          <w:sz w:val="18"/>
          <w:szCs w:val="18"/>
        </w:rPr>
      </w:pPr>
      <w:r w:rsidRPr="00FF46E3">
        <w:rPr>
          <w:rFonts w:ascii="Verdana" w:hAnsi="Verdana"/>
          <w:sz w:val="18"/>
          <w:szCs w:val="18"/>
        </w:rPr>
        <w:t xml:space="preserve">In meerdere reacties, waaronder die van </w:t>
      </w:r>
      <w:proofErr w:type="spellStart"/>
      <w:r w:rsidRPr="00FF46E3" w:rsidR="0082029B">
        <w:rPr>
          <w:rFonts w:ascii="Verdana" w:hAnsi="Verdana"/>
          <w:sz w:val="18"/>
          <w:szCs w:val="18"/>
        </w:rPr>
        <w:t>N</w:t>
      </w:r>
      <w:r w:rsidR="0082029B">
        <w:rPr>
          <w:rFonts w:ascii="Verdana" w:hAnsi="Verdana"/>
          <w:sz w:val="18"/>
          <w:szCs w:val="18"/>
        </w:rPr>
        <w:t>L</w:t>
      </w:r>
      <w:r w:rsidRPr="00FF46E3" w:rsidR="0082029B">
        <w:rPr>
          <w:rFonts w:ascii="Verdana" w:hAnsi="Verdana"/>
          <w:sz w:val="18"/>
          <w:szCs w:val="18"/>
        </w:rPr>
        <w:t>connect</w:t>
      </w:r>
      <w:proofErr w:type="spellEnd"/>
      <w:r w:rsidRPr="00FF46E3">
        <w:rPr>
          <w:rFonts w:ascii="Verdana" w:hAnsi="Verdana"/>
          <w:sz w:val="18"/>
          <w:szCs w:val="18"/>
        </w:rPr>
        <w:t>, KPN</w:t>
      </w:r>
      <w:r w:rsidR="00B019FB">
        <w:rPr>
          <w:rFonts w:ascii="Verdana" w:hAnsi="Verdana"/>
          <w:sz w:val="18"/>
          <w:szCs w:val="18"/>
        </w:rPr>
        <w:t xml:space="preserve"> B.V.</w:t>
      </w:r>
      <w:r w:rsidRPr="00FF46E3">
        <w:rPr>
          <w:rFonts w:ascii="Verdana" w:hAnsi="Verdana"/>
          <w:sz w:val="18"/>
          <w:szCs w:val="18"/>
        </w:rPr>
        <w:t xml:space="preserve">, IBM, </w:t>
      </w:r>
      <w:r w:rsidR="006A14A5">
        <w:rPr>
          <w:rFonts w:ascii="Verdana" w:hAnsi="Verdana"/>
          <w:sz w:val="18"/>
          <w:szCs w:val="18"/>
        </w:rPr>
        <w:t>CVNL</w:t>
      </w:r>
      <w:r w:rsidRPr="00FF46E3">
        <w:rPr>
          <w:rFonts w:ascii="Verdana" w:hAnsi="Verdana"/>
          <w:sz w:val="18"/>
          <w:szCs w:val="18"/>
        </w:rPr>
        <w:t xml:space="preserve">, VNO-NCW, MKB Nederland, </w:t>
      </w:r>
      <w:r w:rsidR="00B019FB">
        <w:rPr>
          <w:rFonts w:ascii="Verdana" w:hAnsi="Verdana"/>
          <w:sz w:val="18"/>
          <w:szCs w:val="18"/>
        </w:rPr>
        <w:t>de koninklijke Vereniging van de Nederlandse Chemische Industrie (</w:t>
      </w:r>
      <w:r w:rsidRPr="00FF46E3" w:rsidR="00B019FB">
        <w:rPr>
          <w:rFonts w:ascii="Verdana" w:hAnsi="Verdana"/>
          <w:sz w:val="18"/>
          <w:szCs w:val="18"/>
        </w:rPr>
        <w:t>VNCI</w:t>
      </w:r>
      <w:r w:rsidR="00B019FB">
        <w:rPr>
          <w:rFonts w:ascii="Verdana" w:hAnsi="Verdana"/>
          <w:sz w:val="18"/>
          <w:szCs w:val="18"/>
        </w:rPr>
        <w:t>)</w:t>
      </w:r>
      <w:r w:rsidRPr="00FF46E3" w:rsidR="00B019FB">
        <w:rPr>
          <w:rFonts w:ascii="Verdana" w:hAnsi="Verdana"/>
          <w:sz w:val="18"/>
          <w:szCs w:val="18"/>
        </w:rPr>
        <w:t>, KVNR en</w:t>
      </w:r>
      <w:r w:rsidR="00B019FB">
        <w:rPr>
          <w:rFonts w:ascii="Verdana" w:hAnsi="Verdana"/>
          <w:sz w:val="18"/>
          <w:szCs w:val="18"/>
        </w:rPr>
        <w:t xml:space="preserve"> </w:t>
      </w:r>
      <w:r w:rsidR="00287F39">
        <w:rPr>
          <w:rFonts w:ascii="Verdana" w:hAnsi="Verdana"/>
          <w:sz w:val="18"/>
          <w:szCs w:val="18"/>
        </w:rPr>
        <w:t xml:space="preserve">het </w:t>
      </w:r>
      <w:r w:rsidRPr="00865D95" w:rsidR="00B019FB">
        <w:rPr>
          <w:rFonts w:ascii="Verdana" w:hAnsi="Verdana"/>
          <w:sz w:val="18"/>
          <w:szCs w:val="18"/>
        </w:rPr>
        <w:t>Centraal Bureau Levensmiddelenhandel</w:t>
      </w:r>
      <w:r w:rsidRPr="00FF46E3">
        <w:rPr>
          <w:rFonts w:ascii="Verdana" w:hAnsi="Verdana"/>
          <w:sz w:val="18"/>
          <w:szCs w:val="18"/>
        </w:rPr>
        <w:t xml:space="preserve">, wordt aandacht gevraagd voor de criteria om vast te stellen wanneer sprake is van een significant incident. In reactie hierop </w:t>
      </w:r>
      <w:r w:rsidR="005931F0">
        <w:rPr>
          <w:rFonts w:ascii="Verdana" w:hAnsi="Verdana"/>
          <w:sz w:val="18"/>
          <w:szCs w:val="18"/>
        </w:rPr>
        <w:t>wordt</w:t>
      </w:r>
      <w:r w:rsidRPr="00FF46E3">
        <w:rPr>
          <w:rFonts w:ascii="Verdana" w:hAnsi="Verdana"/>
          <w:sz w:val="18"/>
          <w:szCs w:val="18"/>
        </w:rPr>
        <w:t xml:space="preserve"> ten eerste </w:t>
      </w:r>
      <w:r w:rsidR="005931F0">
        <w:rPr>
          <w:rFonts w:ascii="Verdana" w:hAnsi="Verdana"/>
          <w:sz w:val="18"/>
          <w:szCs w:val="18"/>
        </w:rPr>
        <w:t xml:space="preserve">gewezen </w:t>
      </w:r>
      <w:r w:rsidRPr="00FF46E3">
        <w:rPr>
          <w:rFonts w:ascii="Verdana" w:hAnsi="Verdana"/>
          <w:sz w:val="18"/>
          <w:szCs w:val="18"/>
        </w:rPr>
        <w:t xml:space="preserve">op artikel </w:t>
      </w:r>
      <w:r w:rsidR="00913C78">
        <w:rPr>
          <w:rFonts w:ascii="Verdana" w:hAnsi="Verdana"/>
          <w:sz w:val="18"/>
          <w:szCs w:val="18"/>
        </w:rPr>
        <w:t>25</w:t>
      </w:r>
      <w:r w:rsidR="00A12DB6">
        <w:rPr>
          <w:rFonts w:ascii="Verdana" w:hAnsi="Verdana"/>
          <w:sz w:val="18"/>
          <w:szCs w:val="18"/>
        </w:rPr>
        <w:t>, tweede lid,</w:t>
      </w:r>
      <w:r w:rsidRPr="00FF46E3" w:rsidR="00913C78">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waarin is bepaald welke parameters gelden voor het aannemen van een dergelijk incident. </w:t>
      </w:r>
      <w:r w:rsidRPr="00FF46E3" w:rsidR="00A12DB6">
        <w:rPr>
          <w:rFonts w:ascii="Verdana" w:hAnsi="Verdana"/>
          <w:sz w:val="18"/>
          <w:szCs w:val="18"/>
        </w:rPr>
        <w:t xml:space="preserve">Daarnaast </w:t>
      </w:r>
      <w:r w:rsidR="00A12DB6">
        <w:rPr>
          <w:rFonts w:ascii="Verdana" w:hAnsi="Verdana"/>
          <w:sz w:val="18"/>
          <w:szCs w:val="18"/>
        </w:rPr>
        <w:t>wordt gewezen op</w:t>
      </w:r>
      <w:r w:rsidRPr="00FF46E3" w:rsidR="00A12DB6">
        <w:rPr>
          <w:rFonts w:ascii="Verdana" w:hAnsi="Verdana"/>
          <w:sz w:val="18"/>
          <w:szCs w:val="18"/>
        </w:rPr>
        <w:t xml:space="preserve"> artikel </w:t>
      </w:r>
      <w:r w:rsidR="00A12DB6">
        <w:rPr>
          <w:rFonts w:ascii="Verdana" w:hAnsi="Verdana"/>
          <w:sz w:val="18"/>
          <w:szCs w:val="18"/>
        </w:rPr>
        <w:t>25, derde lid,</w:t>
      </w:r>
      <w:r w:rsidRPr="00FF46E3" w:rsidR="00A12DB6">
        <w:rPr>
          <w:rFonts w:ascii="Verdana" w:hAnsi="Verdana"/>
          <w:sz w:val="18"/>
          <w:szCs w:val="18"/>
        </w:rPr>
        <w:t xml:space="preserve"> </w:t>
      </w:r>
      <w:proofErr w:type="spellStart"/>
      <w:r w:rsidRPr="00FF46E3" w:rsidR="00A12DB6">
        <w:rPr>
          <w:rFonts w:ascii="Verdana" w:hAnsi="Verdana"/>
          <w:sz w:val="18"/>
          <w:szCs w:val="18"/>
        </w:rPr>
        <w:t>Cbw</w:t>
      </w:r>
      <w:proofErr w:type="spellEnd"/>
      <w:r w:rsidR="00A12DB6">
        <w:rPr>
          <w:rFonts w:ascii="Verdana" w:hAnsi="Verdana"/>
          <w:sz w:val="18"/>
          <w:szCs w:val="18"/>
        </w:rPr>
        <w:t xml:space="preserve">, waarin is bepaald dat </w:t>
      </w:r>
      <w:r w:rsidRPr="00A12DB6" w:rsidR="00A12DB6">
        <w:rPr>
          <w:rFonts w:ascii="Verdana" w:hAnsi="Verdana"/>
          <w:sz w:val="18"/>
          <w:szCs w:val="18"/>
        </w:rPr>
        <w:t xml:space="preserve">bij of krachtens </w:t>
      </w:r>
      <w:proofErr w:type="spellStart"/>
      <w:r w:rsidR="00841F9C">
        <w:rPr>
          <w:rFonts w:ascii="Verdana" w:hAnsi="Verdana"/>
          <w:sz w:val="18"/>
          <w:szCs w:val="18"/>
        </w:rPr>
        <w:t>amvb</w:t>
      </w:r>
      <w:proofErr w:type="spellEnd"/>
      <w:r w:rsidRPr="00A12DB6" w:rsidR="00A12DB6">
        <w:rPr>
          <w:rFonts w:ascii="Verdana" w:hAnsi="Verdana"/>
          <w:sz w:val="18"/>
          <w:szCs w:val="18"/>
        </w:rPr>
        <w:t xml:space="preserve"> de criteria worden vastgesteld op basis waarvan wordt bepaald of sprake is van een significant incident als bedoeld in artikel 25, tweede lid, </w:t>
      </w:r>
      <w:proofErr w:type="spellStart"/>
      <w:r w:rsidRPr="00A12DB6" w:rsidR="00A12DB6">
        <w:rPr>
          <w:rFonts w:ascii="Verdana" w:hAnsi="Verdana"/>
          <w:sz w:val="18"/>
          <w:szCs w:val="18"/>
        </w:rPr>
        <w:t>Cbw</w:t>
      </w:r>
      <w:proofErr w:type="spellEnd"/>
      <w:r w:rsidRPr="00A12DB6" w:rsidR="00A12DB6">
        <w:rPr>
          <w:rFonts w:ascii="Verdana" w:hAnsi="Verdana"/>
          <w:sz w:val="18"/>
          <w:szCs w:val="18"/>
        </w:rPr>
        <w:t xml:space="preserve">, waarbij onderscheid kan worden gemaakt tussen sectoren, </w:t>
      </w:r>
      <w:proofErr w:type="spellStart"/>
      <w:r w:rsidRPr="00A12DB6" w:rsidR="00A12DB6">
        <w:rPr>
          <w:rFonts w:ascii="Verdana" w:hAnsi="Verdana"/>
          <w:sz w:val="18"/>
          <w:szCs w:val="18"/>
        </w:rPr>
        <w:t>subsectoren</w:t>
      </w:r>
      <w:proofErr w:type="spellEnd"/>
      <w:r w:rsidRPr="00A12DB6" w:rsidR="00A12DB6">
        <w:rPr>
          <w:rFonts w:ascii="Verdana" w:hAnsi="Verdana"/>
          <w:sz w:val="18"/>
          <w:szCs w:val="18"/>
        </w:rPr>
        <w:t xml:space="preserve"> en soorten entiteit. Die criteria staan ook bekend als drempelwaarden.</w:t>
      </w:r>
      <w:r w:rsidR="00A12DB6">
        <w:rPr>
          <w:rFonts w:ascii="Verdana" w:hAnsi="Verdana"/>
          <w:sz w:val="18"/>
          <w:szCs w:val="18"/>
        </w:rPr>
        <w:t xml:space="preserve"> </w:t>
      </w:r>
      <w:r w:rsidRPr="00FF46E3">
        <w:rPr>
          <w:rFonts w:ascii="Verdana" w:hAnsi="Verdana"/>
          <w:sz w:val="18"/>
          <w:szCs w:val="18"/>
        </w:rPr>
        <w:t xml:space="preserve">Bij het bepalen van de drempelwaarden zal </w:t>
      </w:r>
      <w:r w:rsidR="005F25B1">
        <w:rPr>
          <w:rFonts w:ascii="Verdana" w:hAnsi="Verdana"/>
          <w:sz w:val="18"/>
          <w:szCs w:val="18"/>
        </w:rPr>
        <w:t xml:space="preserve">voor zover mogelijk gestreefd worden naar harmonisering met andere </w:t>
      </w:r>
      <w:r w:rsidR="00E82B1D">
        <w:rPr>
          <w:rFonts w:ascii="Verdana" w:hAnsi="Verdana"/>
          <w:sz w:val="18"/>
          <w:szCs w:val="18"/>
        </w:rPr>
        <w:t>l</w:t>
      </w:r>
      <w:r w:rsidR="005F25B1">
        <w:rPr>
          <w:rFonts w:ascii="Verdana" w:hAnsi="Verdana"/>
          <w:sz w:val="18"/>
          <w:szCs w:val="18"/>
        </w:rPr>
        <w:t>idstaten.</w:t>
      </w:r>
      <w:r w:rsidR="008265E7">
        <w:rPr>
          <w:rFonts w:ascii="Verdana" w:hAnsi="Verdana"/>
          <w:sz w:val="18"/>
          <w:szCs w:val="18"/>
        </w:rPr>
        <w:t xml:space="preserve"> </w:t>
      </w:r>
    </w:p>
    <w:p w:rsidRPr="00FF46E3" w:rsidR="00A450AE" w:rsidP="00A450AE" w:rsidRDefault="00A450AE" w14:paraId="030C537D" w14:textId="77777777">
      <w:pPr>
        <w:pStyle w:val="Geenafstand"/>
        <w:rPr>
          <w:rFonts w:ascii="Verdana" w:hAnsi="Verdana"/>
          <w:sz w:val="18"/>
          <w:szCs w:val="18"/>
        </w:rPr>
      </w:pPr>
    </w:p>
    <w:p w:rsidRPr="00FF46E3" w:rsidR="00A450AE" w:rsidP="00A450AE" w:rsidRDefault="00A450AE" w14:paraId="0AEB81E2" w14:textId="77777777">
      <w:pPr>
        <w:pStyle w:val="Geenafstand"/>
        <w:rPr>
          <w:rFonts w:ascii="Verdana" w:hAnsi="Verdana"/>
          <w:sz w:val="18"/>
          <w:szCs w:val="18"/>
        </w:rPr>
      </w:pPr>
      <w:r w:rsidRPr="00FF46E3">
        <w:rPr>
          <w:rFonts w:ascii="Verdana" w:hAnsi="Verdana"/>
          <w:i/>
          <w:iCs/>
          <w:sz w:val="18"/>
          <w:szCs w:val="18"/>
        </w:rPr>
        <w:t>Meldportaal</w:t>
      </w:r>
    </w:p>
    <w:p w:rsidRPr="00FF46E3" w:rsidR="00A450AE" w:rsidP="00A450AE" w:rsidRDefault="00A450AE" w14:paraId="07E279AC" w14:textId="01AB62DA">
      <w:pPr>
        <w:pStyle w:val="Geenafstand"/>
        <w:rPr>
          <w:rFonts w:ascii="Verdana" w:hAnsi="Verdana"/>
          <w:sz w:val="18"/>
          <w:szCs w:val="18"/>
        </w:rPr>
      </w:pPr>
      <w:r w:rsidRPr="00FF46E3">
        <w:rPr>
          <w:rFonts w:ascii="Verdana" w:hAnsi="Verdana"/>
          <w:sz w:val="18"/>
          <w:szCs w:val="18"/>
        </w:rPr>
        <w:t xml:space="preserve">Meerdere partijen, waaronder Netbeheer Nederland, de Nederlandse Vereniging </w:t>
      </w:r>
      <w:r w:rsidR="00C54B2F">
        <w:rPr>
          <w:rFonts w:ascii="Verdana" w:hAnsi="Verdana"/>
          <w:sz w:val="18"/>
          <w:szCs w:val="18"/>
        </w:rPr>
        <w:t>van</w:t>
      </w:r>
      <w:r w:rsidRPr="00FF46E3">
        <w:rPr>
          <w:rFonts w:ascii="Verdana" w:hAnsi="Verdana"/>
          <w:sz w:val="18"/>
          <w:szCs w:val="18"/>
        </w:rPr>
        <w:t xml:space="preserve"> Ziekenhuizen en de Unie van Waterschappen, vragen naar de totstandkoming van één meldportaal voor meldingen die entiteiten moeten doen op grond van verschillende wetgeving. Het op deze wijze voldoen aan de in meerdere wetten geregelde meldplichten heeft de aandacht, maar op dit moment is het (technisch) niet mogelijk om een dergelijk meldportaal te maken.</w:t>
      </w:r>
      <w:r w:rsidRPr="00FF46E3" w:rsidDel="000C1621">
        <w:rPr>
          <w:rFonts w:ascii="Verdana" w:hAnsi="Verdana"/>
          <w:sz w:val="18"/>
          <w:szCs w:val="18"/>
        </w:rPr>
        <w:t xml:space="preserve"> </w:t>
      </w:r>
    </w:p>
    <w:p w:rsidRPr="00FF46E3" w:rsidR="00A450AE" w:rsidP="00A450AE" w:rsidRDefault="00A450AE" w14:paraId="1662794B" w14:textId="77777777">
      <w:pPr>
        <w:pStyle w:val="Geenafstand"/>
        <w:rPr>
          <w:rFonts w:ascii="Verdana" w:hAnsi="Verdana"/>
          <w:sz w:val="18"/>
          <w:szCs w:val="18"/>
        </w:rPr>
      </w:pPr>
    </w:p>
    <w:p w:rsidRPr="004E2F60" w:rsidR="005931F0" w:rsidP="00A450AE" w:rsidRDefault="005931F0" w14:paraId="4E968A6D" w14:textId="4C4C1416">
      <w:pPr>
        <w:pStyle w:val="Geenafstand"/>
        <w:rPr>
          <w:rFonts w:ascii="Verdana" w:hAnsi="Verdana"/>
          <w:i/>
          <w:iCs/>
          <w:sz w:val="18"/>
          <w:szCs w:val="18"/>
        </w:rPr>
      </w:pPr>
      <w:r>
        <w:rPr>
          <w:rFonts w:ascii="Verdana" w:hAnsi="Verdana"/>
          <w:i/>
          <w:iCs/>
          <w:sz w:val="18"/>
          <w:szCs w:val="18"/>
        </w:rPr>
        <w:t>Termijn van 24 uur</w:t>
      </w:r>
    </w:p>
    <w:p w:rsidRPr="00FF46E3" w:rsidR="00A450AE" w:rsidP="00A450AE" w:rsidRDefault="00A450AE" w14:paraId="10BF91B6" w14:textId="11613D07">
      <w:pPr>
        <w:pStyle w:val="Geenafstand"/>
        <w:rPr>
          <w:rFonts w:ascii="Verdana" w:hAnsi="Verdana"/>
          <w:sz w:val="18"/>
          <w:szCs w:val="18"/>
        </w:rPr>
      </w:pPr>
      <w:r w:rsidRPr="00FF46E3">
        <w:rPr>
          <w:rFonts w:ascii="Verdana" w:hAnsi="Verdana"/>
          <w:sz w:val="18"/>
          <w:szCs w:val="18"/>
        </w:rPr>
        <w:t xml:space="preserve">Enkele organisaties, waaronder </w:t>
      </w:r>
      <w:r w:rsidR="0042077A">
        <w:rPr>
          <w:rFonts w:ascii="Verdana" w:hAnsi="Verdana"/>
          <w:sz w:val="18"/>
          <w:szCs w:val="18"/>
        </w:rPr>
        <w:t>de Branchevereniging ICT en Telecommunicatie Grootgebruikers (</w:t>
      </w:r>
      <w:r w:rsidR="00287F39">
        <w:rPr>
          <w:rFonts w:ascii="Verdana" w:hAnsi="Verdana"/>
          <w:sz w:val="18"/>
          <w:szCs w:val="18"/>
        </w:rPr>
        <w:t xml:space="preserve">hierna: </w:t>
      </w:r>
      <w:r w:rsidRPr="00FF46E3" w:rsidR="0042077A">
        <w:rPr>
          <w:rFonts w:ascii="Verdana" w:hAnsi="Verdana"/>
          <w:sz w:val="18"/>
          <w:szCs w:val="18"/>
        </w:rPr>
        <w:t>BTG</w:t>
      </w:r>
      <w:r w:rsidR="0042077A">
        <w:rPr>
          <w:rFonts w:ascii="Verdana" w:hAnsi="Verdana"/>
          <w:sz w:val="18"/>
          <w:szCs w:val="18"/>
        </w:rPr>
        <w:t>)</w:t>
      </w:r>
      <w:r w:rsidRPr="00FF46E3" w:rsidR="0042077A">
        <w:rPr>
          <w:rFonts w:ascii="Verdana" w:hAnsi="Verdana"/>
          <w:sz w:val="18"/>
          <w:szCs w:val="18"/>
        </w:rPr>
        <w:t xml:space="preserve"> en Cisco</w:t>
      </w:r>
      <w:r w:rsidR="0042077A">
        <w:rPr>
          <w:rFonts w:ascii="Verdana" w:hAnsi="Verdana"/>
          <w:sz w:val="18"/>
          <w:szCs w:val="18"/>
        </w:rPr>
        <w:t xml:space="preserve"> Systems International</w:t>
      </w:r>
      <w:r w:rsidRPr="00FF46E3">
        <w:rPr>
          <w:rFonts w:ascii="Verdana" w:hAnsi="Verdana"/>
          <w:sz w:val="18"/>
          <w:szCs w:val="18"/>
        </w:rPr>
        <w:t xml:space="preserve">, geven aan dat de termijn van 24 uur te kort is. </w:t>
      </w:r>
      <w:r w:rsidR="005931F0">
        <w:rPr>
          <w:rFonts w:ascii="Verdana" w:hAnsi="Verdana"/>
          <w:sz w:val="18"/>
          <w:szCs w:val="18"/>
        </w:rPr>
        <w:t>In reactie hierop wordt benadrukt</w:t>
      </w:r>
      <w:r>
        <w:rPr>
          <w:rFonts w:ascii="Verdana" w:hAnsi="Verdana"/>
          <w:sz w:val="18"/>
          <w:szCs w:val="18"/>
        </w:rPr>
        <w:t xml:space="preserve"> dat </w:t>
      </w:r>
      <w:r w:rsidRPr="00FF46E3">
        <w:rPr>
          <w:rFonts w:ascii="Verdana" w:hAnsi="Verdana"/>
          <w:sz w:val="18"/>
          <w:szCs w:val="18"/>
        </w:rPr>
        <w:t xml:space="preserve">die termijn dwingend wordt bepaald door de NIS2-richtlijn. Daarnaast </w:t>
      </w:r>
      <w:r w:rsidR="005931F0">
        <w:rPr>
          <w:rFonts w:ascii="Verdana" w:hAnsi="Verdana"/>
          <w:sz w:val="18"/>
          <w:szCs w:val="18"/>
        </w:rPr>
        <w:t>wordt hierbij opgemerkt</w:t>
      </w:r>
      <w:r w:rsidRPr="00FF46E3">
        <w:rPr>
          <w:rFonts w:ascii="Verdana" w:hAnsi="Verdana"/>
          <w:sz w:val="18"/>
          <w:szCs w:val="18"/>
        </w:rPr>
        <w:t xml:space="preserve"> dat deze termijn gaat lopen vanaf het moment dat kennis is gekregen van het significante incident én dat het een vroegtijdige waarschuwing betreft, waarbij nog niet alle informatie voorhanden hoeft te zijn.</w:t>
      </w:r>
    </w:p>
    <w:p w:rsidRPr="00FF46E3" w:rsidR="00A450AE" w:rsidP="00A450AE" w:rsidRDefault="00A450AE" w14:paraId="2045A459" w14:textId="77777777">
      <w:pPr>
        <w:pStyle w:val="Geenafstand"/>
        <w:rPr>
          <w:rFonts w:ascii="Verdana" w:hAnsi="Verdana"/>
          <w:sz w:val="18"/>
          <w:szCs w:val="18"/>
        </w:rPr>
      </w:pPr>
    </w:p>
    <w:p w:rsidRPr="004E2F60" w:rsidR="005931F0" w:rsidP="00A450AE" w:rsidRDefault="005931F0" w14:paraId="52E792E8" w14:textId="677E9CA9">
      <w:pPr>
        <w:pStyle w:val="Geenafstand"/>
        <w:rPr>
          <w:rFonts w:ascii="Verdana" w:hAnsi="Verdana"/>
          <w:i/>
          <w:iCs/>
          <w:sz w:val="18"/>
          <w:szCs w:val="18"/>
        </w:rPr>
      </w:pPr>
      <w:r>
        <w:rPr>
          <w:rFonts w:ascii="Verdana" w:hAnsi="Verdana"/>
          <w:i/>
          <w:iCs/>
          <w:sz w:val="18"/>
          <w:szCs w:val="18"/>
        </w:rPr>
        <w:t>Foutieve meldingen</w:t>
      </w:r>
    </w:p>
    <w:p w:rsidR="00A450AE" w:rsidP="00A450AE" w:rsidRDefault="0082029B" w14:paraId="2ABEAAC6" w14:textId="08A6B027">
      <w:pPr>
        <w:pStyle w:val="Geenafstand"/>
        <w:rPr>
          <w:rFonts w:ascii="Verdana" w:hAnsi="Verdana"/>
          <w:sz w:val="18"/>
          <w:szCs w:val="18"/>
        </w:rPr>
      </w:pPr>
      <w:proofErr w:type="spellStart"/>
      <w:r w:rsidRPr="00FF46E3">
        <w:rPr>
          <w:rFonts w:ascii="Verdana" w:hAnsi="Verdana"/>
          <w:sz w:val="18"/>
          <w:szCs w:val="18"/>
        </w:rPr>
        <w:t>N</w:t>
      </w:r>
      <w:r>
        <w:rPr>
          <w:rFonts w:ascii="Verdana" w:hAnsi="Verdana"/>
          <w:sz w:val="18"/>
          <w:szCs w:val="18"/>
        </w:rPr>
        <w:t>L</w:t>
      </w:r>
      <w:r w:rsidRPr="00FF46E3">
        <w:rPr>
          <w:rFonts w:ascii="Verdana" w:hAnsi="Verdana"/>
          <w:sz w:val="18"/>
          <w:szCs w:val="18"/>
        </w:rPr>
        <w:t>digital</w:t>
      </w:r>
      <w:proofErr w:type="spellEnd"/>
      <w:r w:rsidRPr="00FF46E3" w:rsidR="00A450AE">
        <w:rPr>
          <w:rFonts w:ascii="Verdana" w:hAnsi="Verdana"/>
          <w:sz w:val="18"/>
          <w:szCs w:val="18"/>
        </w:rPr>
        <w:t xml:space="preserve"> vraagt zich af hoe omgegaan wordt met foutieve meldingen. Het CSIRT voert een triageproces uit waarbij elke melding bekeken wordt. Er wordt beoordeeld of een melding ziet op een significant incident en dus verder behandeld moet worden.</w:t>
      </w:r>
      <w:r w:rsidRPr="00FF46E3" w:rsidR="00A450AE">
        <w:rPr>
          <w:rFonts w:ascii="Verdana" w:hAnsi="Verdana"/>
          <w:sz w:val="18"/>
          <w:szCs w:val="18"/>
        </w:rPr>
        <w:br/>
      </w:r>
    </w:p>
    <w:p w:rsidRPr="000F058E" w:rsidR="005931F0" w:rsidP="005931F0" w:rsidRDefault="005931F0" w14:paraId="2006BE99" w14:textId="77777777">
      <w:pPr>
        <w:pStyle w:val="Geenafstand"/>
        <w:rPr>
          <w:rFonts w:ascii="Verdana" w:hAnsi="Verdana"/>
          <w:i/>
          <w:iCs/>
          <w:sz w:val="18"/>
          <w:szCs w:val="18"/>
        </w:rPr>
      </w:pPr>
      <w:bookmarkStart w:name="_Hlk174532316" w:id="228"/>
      <w:r w:rsidRPr="00FF46E3">
        <w:rPr>
          <w:rFonts w:ascii="Verdana" w:hAnsi="Verdana"/>
          <w:i/>
          <w:iCs/>
          <w:sz w:val="18"/>
          <w:szCs w:val="18"/>
        </w:rPr>
        <w:t>Overig</w:t>
      </w:r>
    </w:p>
    <w:bookmarkEnd w:id="228"/>
    <w:p w:rsidR="00127D14" w:rsidP="00A450AE" w:rsidRDefault="003E322E" w14:paraId="47DDBB86" w14:textId="2B601342">
      <w:pPr>
        <w:pStyle w:val="Geenafstand"/>
        <w:rPr>
          <w:rFonts w:ascii="Verdana" w:hAnsi="Verdana"/>
          <w:sz w:val="18"/>
          <w:szCs w:val="18"/>
        </w:rPr>
      </w:pPr>
      <w:r w:rsidRPr="003E322E">
        <w:rPr>
          <w:rFonts w:ascii="Verdana" w:hAnsi="Verdana"/>
          <w:sz w:val="18"/>
          <w:szCs w:val="18"/>
        </w:rPr>
        <w:t>De Vereniging van Zorgaanbieders voor Zorgcommunicatie</w:t>
      </w:r>
      <w:r w:rsidR="00FC4796">
        <w:rPr>
          <w:rFonts w:ascii="Verdana" w:hAnsi="Verdana"/>
          <w:sz w:val="18"/>
          <w:szCs w:val="18"/>
        </w:rPr>
        <w:t xml:space="preserve"> (hierna: VZVZ)</w:t>
      </w:r>
      <w:r w:rsidRPr="003E322E">
        <w:rPr>
          <w:rFonts w:ascii="Verdana" w:hAnsi="Verdana"/>
          <w:sz w:val="18"/>
          <w:szCs w:val="18"/>
        </w:rPr>
        <w:t xml:space="preserve"> geeft aan </w:t>
      </w:r>
      <w:r>
        <w:rPr>
          <w:rFonts w:ascii="Verdana" w:hAnsi="Verdana"/>
          <w:sz w:val="18"/>
          <w:szCs w:val="18"/>
        </w:rPr>
        <w:t>problemen te hebben met</w:t>
      </w:r>
      <w:r w:rsidRPr="003E322E">
        <w:rPr>
          <w:rFonts w:ascii="Verdana" w:hAnsi="Verdana"/>
          <w:sz w:val="18"/>
          <w:szCs w:val="18"/>
        </w:rPr>
        <w:t xml:space="preserve"> de huidige indeling van sectoren, waarbij zij niet onder de </w:t>
      </w:r>
      <w:r>
        <w:rPr>
          <w:rFonts w:ascii="Verdana" w:hAnsi="Verdana"/>
          <w:sz w:val="18"/>
          <w:szCs w:val="18"/>
        </w:rPr>
        <w:t xml:space="preserve">sector gezondheidszorg </w:t>
      </w:r>
      <w:r w:rsidRPr="003E322E">
        <w:rPr>
          <w:rFonts w:ascii="Verdana" w:hAnsi="Verdana"/>
          <w:sz w:val="18"/>
          <w:szCs w:val="18"/>
        </w:rPr>
        <w:t>val</w:t>
      </w:r>
      <w:r>
        <w:rPr>
          <w:rFonts w:ascii="Verdana" w:hAnsi="Verdana"/>
          <w:sz w:val="18"/>
          <w:szCs w:val="18"/>
        </w:rPr>
        <w:t xml:space="preserve">t, </w:t>
      </w:r>
      <w:r w:rsidRPr="003E322E">
        <w:rPr>
          <w:rFonts w:ascii="Verdana" w:hAnsi="Verdana"/>
          <w:sz w:val="18"/>
          <w:szCs w:val="18"/>
        </w:rPr>
        <w:t xml:space="preserve">maar mogelijk in één van de andere sectoren die </w:t>
      </w:r>
      <w:r>
        <w:rPr>
          <w:rFonts w:ascii="Verdana" w:hAnsi="Verdana"/>
          <w:sz w:val="18"/>
          <w:szCs w:val="18"/>
        </w:rPr>
        <w:t>raakt</w:t>
      </w:r>
      <w:r w:rsidRPr="003E322E">
        <w:rPr>
          <w:rFonts w:ascii="Verdana" w:hAnsi="Verdana"/>
          <w:sz w:val="18"/>
          <w:szCs w:val="18"/>
        </w:rPr>
        <w:t xml:space="preserve"> aan digitale dienstverlening. </w:t>
      </w:r>
      <w:r w:rsidR="00FC4796">
        <w:rPr>
          <w:rFonts w:ascii="Verdana" w:hAnsi="Verdana"/>
          <w:sz w:val="18"/>
          <w:szCs w:val="18"/>
        </w:rPr>
        <w:t>VZVZ</w:t>
      </w:r>
      <w:r w:rsidRPr="003E322E">
        <w:rPr>
          <w:rFonts w:ascii="Verdana" w:hAnsi="Verdana"/>
          <w:sz w:val="18"/>
          <w:szCs w:val="18"/>
        </w:rPr>
        <w:t xml:space="preserve"> geeft aan een centrale rol te spelen in de zorgketen, opgericht door en uitsluitend werkend voor zorgaanbieders en patiënten. Daarnaast geeft </w:t>
      </w:r>
      <w:r w:rsidR="00FC4796">
        <w:rPr>
          <w:rFonts w:ascii="Verdana" w:hAnsi="Verdana"/>
          <w:sz w:val="18"/>
          <w:szCs w:val="18"/>
        </w:rPr>
        <w:t>VZVZ</w:t>
      </w:r>
      <w:r w:rsidRPr="003E322E" w:rsidR="00FC4796">
        <w:rPr>
          <w:rFonts w:ascii="Verdana" w:hAnsi="Verdana"/>
          <w:sz w:val="18"/>
          <w:szCs w:val="18"/>
        </w:rPr>
        <w:t xml:space="preserve"> </w:t>
      </w:r>
      <w:r w:rsidRPr="003E322E">
        <w:rPr>
          <w:rFonts w:ascii="Verdana" w:hAnsi="Verdana"/>
          <w:sz w:val="18"/>
          <w:szCs w:val="18"/>
        </w:rPr>
        <w:t xml:space="preserve">aan dat </w:t>
      </w:r>
      <w:r>
        <w:rPr>
          <w:rFonts w:ascii="Verdana" w:hAnsi="Verdana"/>
          <w:sz w:val="18"/>
          <w:szCs w:val="18"/>
        </w:rPr>
        <w:t>zij</w:t>
      </w:r>
      <w:r w:rsidRPr="003E322E">
        <w:rPr>
          <w:rFonts w:ascii="Verdana" w:hAnsi="Verdana"/>
          <w:sz w:val="18"/>
          <w:szCs w:val="18"/>
        </w:rPr>
        <w:t xml:space="preserve"> momenteel al aangesloten is bij het sectorale CSIRT voor de zorg (Z-CERT), al wettelijk verplicht is te voldoen aan de NEN7510 op basis van het </w:t>
      </w:r>
      <w:r w:rsidRPr="00FC4796" w:rsidR="00FC4796">
        <w:rPr>
          <w:rFonts w:ascii="Verdana" w:hAnsi="Verdana"/>
          <w:sz w:val="18"/>
          <w:szCs w:val="18"/>
        </w:rPr>
        <w:t xml:space="preserve">Besluit elektronische gegevensverwerking door zorgaanbieders </w:t>
      </w:r>
      <w:r w:rsidRPr="003E322E">
        <w:rPr>
          <w:rFonts w:ascii="Verdana" w:hAnsi="Verdana"/>
          <w:sz w:val="18"/>
          <w:szCs w:val="18"/>
        </w:rPr>
        <w:t xml:space="preserve">en dat </w:t>
      </w:r>
      <w:r w:rsidR="00FC4796">
        <w:rPr>
          <w:rFonts w:ascii="Verdana" w:hAnsi="Verdana"/>
          <w:sz w:val="18"/>
          <w:szCs w:val="18"/>
        </w:rPr>
        <w:t>zij</w:t>
      </w:r>
      <w:r w:rsidRPr="003E322E">
        <w:rPr>
          <w:rFonts w:ascii="Verdana" w:hAnsi="Verdana"/>
          <w:sz w:val="18"/>
          <w:szCs w:val="18"/>
        </w:rPr>
        <w:t xml:space="preserve"> op basis van de</w:t>
      </w:r>
      <w:r w:rsidR="00FC4796">
        <w:rPr>
          <w:rFonts w:ascii="Verdana" w:hAnsi="Verdana"/>
          <w:sz w:val="18"/>
          <w:szCs w:val="18"/>
        </w:rPr>
        <w:t xml:space="preserve"> </w:t>
      </w:r>
      <w:r w:rsidRPr="00FC4796" w:rsidR="00FC4796">
        <w:rPr>
          <w:rFonts w:ascii="Verdana" w:hAnsi="Verdana"/>
          <w:sz w:val="18"/>
          <w:szCs w:val="18"/>
        </w:rPr>
        <w:t>Wet aanvullende bepalingen verwerking persoonsgegevens in de zorg</w:t>
      </w:r>
      <w:r w:rsidR="00FC4796">
        <w:rPr>
          <w:rFonts w:ascii="Verdana" w:hAnsi="Verdana"/>
          <w:sz w:val="18"/>
          <w:szCs w:val="18"/>
        </w:rPr>
        <w:t xml:space="preserve"> </w:t>
      </w:r>
      <w:r w:rsidRPr="003E322E">
        <w:rPr>
          <w:rFonts w:ascii="Verdana" w:hAnsi="Verdana"/>
          <w:sz w:val="18"/>
          <w:szCs w:val="18"/>
        </w:rPr>
        <w:t>al onder het toezicht van de IGJ valt. VZVZ signaleert hier problemen met bijvoorbeeld een mogelijk dubbele meldplicht, onduidelijkheid rondom verantwoordelijkheden van toezichthouders en een negatief effect op informatiedeling bij incidenten.</w:t>
      </w:r>
      <w:r w:rsidR="00D61017">
        <w:rPr>
          <w:rFonts w:ascii="Verdana" w:hAnsi="Verdana"/>
          <w:sz w:val="18"/>
          <w:szCs w:val="18"/>
        </w:rPr>
        <w:t xml:space="preserve"> </w:t>
      </w:r>
      <w:r w:rsidRPr="003E322E">
        <w:rPr>
          <w:rFonts w:ascii="Verdana" w:hAnsi="Verdana"/>
          <w:sz w:val="18"/>
          <w:szCs w:val="18"/>
        </w:rPr>
        <w:t xml:space="preserve">Om deze redenen geeft VZVZ aan </w:t>
      </w:r>
      <w:r w:rsidR="00FC4796">
        <w:rPr>
          <w:rFonts w:ascii="Verdana" w:hAnsi="Verdana"/>
          <w:sz w:val="18"/>
          <w:szCs w:val="18"/>
        </w:rPr>
        <w:t xml:space="preserve">graag te willen zien dat zij </w:t>
      </w:r>
      <w:r w:rsidRPr="003E322E">
        <w:rPr>
          <w:rFonts w:ascii="Verdana" w:hAnsi="Verdana"/>
          <w:sz w:val="18"/>
          <w:szCs w:val="18"/>
        </w:rPr>
        <w:t xml:space="preserve">als ICT-leverancier </w:t>
      </w:r>
      <w:r w:rsidR="00FC4796">
        <w:rPr>
          <w:rFonts w:ascii="Verdana" w:hAnsi="Verdana"/>
          <w:sz w:val="18"/>
          <w:szCs w:val="18"/>
        </w:rPr>
        <w:t xml:space="preserve">wordt </w:t>
      </w:r>
      <w:r w:rsidRPr="003E322E">
        <w:rPr>
          <w:rFonts w:ascii="Verdana" w:hAnsi="Verdana"/>
          <w:sz w:val="18"/>
          <w:szCs w:val="18"/>
        </w:rPr>
        <w:t>gekoppeld aan de sector gezondheidszorg in plaats van de sector digitale infrastructuur.</w:t>
      </w:r>
      <w:r w:rsidR="00FC4796">
        <w:rPr>
          <w:rFonts w:ascii="Verdana" w:hAnsi="Verdana"/>
          <w:sz w:val="18"/>
          <w:szCs w:val="18"/>
        </w:rPr>
        <w:t xml:space="preserve"> De reactie hierop is als volgt. </w:t>
      </w:r>
      <w:r>
        <w:rPr>
          <w:rFonts w:ascii="Verdana" w:hAnsi="Verdana"/>
          <w:sz w:val="18"/>
          <w:szCs w:val="18"/>
        </w:rPr>
        <w:t>De NIS2-</w:t>
      </w:r>
      <w:r w:rsidRPr="003E322E">
        <w:rPr>
          <w:rFonts w:ascii="Verdana" w:hAnsi="Verdana"/>
          <w:sz w:val="18"/>
          <w:szCs w:val="18"/>
        </w:rPr>
        <w:t>richtlijn heeft een indeling gemaakt van de verschillende sectoren. Het is niet mogelijk om</w:t>
      </w:r>
      <w:r w:rsidR="00FC4796">
        <w:rPr>
          <w:rFonts w:ascii="Verdana" w:hAnsi="Verdana"/>
          <w:sz w:val="18"/>
          <w:szCs w:val="18"/>
        </w:rPr>
        <w:t xml:space="preserve"> hiervan af te wijken. </w:t>
      </w:r>
      <w:r w:rsidRPr="00127D14">
        <w:rPr>
          <w:rFonts w:ascii="Verdana" w:hAnsi="Verdana"/>
          <w:sz w:val="18"/>
          <w:szCs w:val="18"/>
        </w:rPr>
        <w:t xml:space="preserve">Met betrekking tot </w:t>
      </w:r>
      <w:r w:rsidRPr="00127D14" w:rsidR="009E00AD">
        <w:rPr>
          <w:rFonts w:ascii="Verdana" w:hAnsi="Verdana"/>
          <w:sz w:val="18"/>
          <w:szCs w:val="18"/>
        </w:rPr>
        <w:t xml:space="preserve">het punt over de meldplicht </w:t>
      </w:r>
      <w:r w:rsidR="00127D14">
        <w:rPr>
          <w:rFonts w:ascii="Verdana" w:hAnsi="Verdana"/>
          <w:sz w:val="18"/>
          <w:szCs w:val="18"/>
        </w:rPr>
        <w:t xml:space="preserve">is de reactie als volgt. </w:t>
      </w:r>
      <w:r w:rsidRPr="00127D14" w:rsidR="009E00AD">
        <w:rPr>
          <w:rFonts w:ascii="Verdana" w:hAnsi="Verdana"/>
          <w:sz w:val="18"/>
          <w:szCs w:val="18"/>
        </w:rPr>
        <w:t>Er word</w:t>
      </w:r>
      <w:r w:rsidRPr="00127D14" w:rsidR="002B79AF">
        <w:rPr>
          <w:rFonts w:ascii="Verdana" w:hAnsi="Verdana"/>
          <w:sz w:val="18"/>
          <w:szCs w:val="18"/>
        </w:rPr>
        <w:t>t gestreefd naar het technisch zó in</w:t>
      </w:r>
      <w:r w:rsidRPr="00127D14" w:rsidR="009E00AD">
        <w:rPr>
          <w:rFonts w:ascii="Verdana" w:hAnsi="Verdana"/>
          <w:sz w:val="18"/>
          <w:szCs w:val="18"/>
        </w:rPr>
        <w:t xml:space="preserve">richten </w:t>
      </w:r>
      <w:r w:rsidRPr="00127D14" w:rsidR="002B79AF">
        <w:rPr>
          <w:rFonts w:ascii="Verdana" w:hAnsi="Verdana"/>
          <w:sz w:val="18"/>
          <w:szCs w:val="18"/>
        </w:rPr>
        <w:t>van het meldportaal, dat het verspreiden van de benodigde informatie maar één handeling vergt, hetgeen de administratieve lasten reduceert.</w:t>
      </w:r>
    </w:p>
    <w:p w:rsidRPr="00FF46E3" w:rsidR="00A450AE" w:rsidP="00A450AE" w:rsidRDefault="00A450AE" w14:paraId="3B88B859" w14:textId="1D5E5B35">
      <w:pPr>
        <w:pStyle w:val="Geenafstand"/>
        <w:rPr>
          <w:rFonts w:ascii="Verdana" w:hAnsi="Verdana"/>
          <w:sz w:val="18"/>
          <w:szCs w:val="18"/>
        </w:rPr>
      </w:pPr>
      <w:r w:rsidRPr="00FF46E3">
        <w:rPr>
          <w:rFonts w:ascii="Verdana" w:hAnsi="Verdana"/>
          <w:sz w:val="18"/>
          <w:szCs w:val="18"/>
        </w:rPr>
        <w:t xml:space="preserve">De NS geeft aan dat de zinsnede “onverwijld of, indien dat niet mogelijk is” in de artikelen </w:t>
      </w:r>
      <w:r w:rsidR="00913C78">
        <w:rPr>
          <w:rFonts w:ascii="Verdana" w:hAnsi="Verdana"/>
          <w:sz w:val="18"/>
          <w:szCs w:val="18"/>
        </w:rPr>
        <w:t>26</w:t>
      </w:r>
      <w:r w:rsidRPr="00FF46E3" w:rsidR="00913C78">
        <w:rPr>
          <w:rFonts w:ascii="Verdana" w:hAnsi="Verdana"/>
          <w:sz w:val="18"/>
          <w:szCs w:val="18"/>
        </w:rPr>
        <w:t xml:space="preserve"> </w:t>
      </w:r>
      <w:r w:rsidRPr="00FF46E3">
        <w:rPr>
          <w:rFonts w:ascii="Verdana" w:hAnsi="Verdana"/>
          <w:sz w:val="18"/>
          <w:szCs w:val="18"/>
        </w:rPr>
        <w:t xml:space="preserve">en </w:t>
      </w:r>
      <w:r w:rsidR="00913C78">
        <w:rPr>
          <w:rFonts w:ascii="Verdana" w:hAnsi="Verdana"/>
          <w:sz w:val="18"/>
          <w:szCs w:val="18"/>
        </w:rPr>
        <w:t>27</w:t>
      </w:r>
      <w:r w:rsidRPr="00FF46E3" w:rsidR="00913C78">
        <w:rPr>
          <w:rFonts w:ascii="Verdana" w:hAnsi="Verdana"/>
          <w:sz w:val="18"/>
          <w:szCs w:val="18"/>
        </w:rPr>
        <w:t xml:space="preserve"> </w:t>
      </w:r>
      <w:proofErr w:type="spellStart"/>
      <w:r w:rsidR="00204DD1">
        <w:rPr>
          <w:rFonts w:ascii="Verdana" w:hAnsi="Verdana"/>
          <w:sz w:val="18"/>
          <w:szCs w:val="18"/>
        </w:rPr>
        <w:t>Cbw</w:t>
      </w:r>
      <w:proofErr w:type="spellEnd"/>
      <w:r w:rsidR="00204DD1">
        <w:rPr>
          <w:rFonts w:ascii="Verdana" w:hAnsi="Verdana"/>
          <w:sz w:val="18"/>
          <w:szCs w:val="18"/>
        </w:rPr>
        <w:t xml:space="preserve"> </w:t>
      </w:r>
      <w:r w:rsidRPr="00FF46E3">
        <w:rPr>
          <w:rFonts w:ascii="Verdana" w:hAnsi="Verdana"/>
          <w:sz w:val="18"/>
          <w:szCs w:val="18"/>
        </w:rPr>
        <w:t xml:space="preserve">(28 en 29 oud) een striktere verplichting is dan de zinsnede “onverwijld en in elk geval” in artikel 23 NIS2-richtlijn. In reactie hierop </w:t>
      </w:r>
      <w:r w:rsidR="005931F0">
        <w:rPr>
          <w:rFonts w:ascii="Verdana" w:hAnsi="Verdana"/>
          <w:sz w:val="18"/>
          <w:szCs w:val="18"/>
        </w:rPr>
        <w:t xml:space="preserve">wordt </w:t>
      </w:r>
      <w:r w:rsidRPr="00FF46E3">
        <w:rPr>
          <w:rFonts w:ascii="Verdana" w:hAnsi="Verdana"/>
          <w:sz w:val="18"/>
          <w:szCs w:val="18"/>
        </w:rPr>
        <w:t>benadruk</w:t>
      </w:r>
      <w:r w:rsidR="005931F0">
        <w:rPr>
          <w:rFonts w:ascii="Verdana" w:hAnsi="Verdana"/>
          <w:sz w:val="18"/>
          <w:szCs w:val="18"/>
        </w:rPr>
        <w:t>t</w:t>
      </w:r>
      <w:r w:rsidRPr="00FF46E3">
        <w:rPr>
          <w:rFonts w:ascii="Verdana" w:hAnsi="Verdana"/>
          <w:sz w:val="18"/>
          <w:szCs w:val="18"/>
        </w:rPr>
        <w:t xml:space="preserve"> dat geen sprake is van een striktere verplichting. </w:t>
      </w:r>
      <w:r w:rsidR="005931F0">
        <w:rPr>
          <w:rFonts w:ascii="Verdana" w:hAnsi="Verdana"/>
          <w:sz w:val="18"/>
          <w:szCs w:val="18"/>
        </w:rPr>
        <w:t>Er is</w:t>
      </w:r>
      <w:r w:rsidRPr="00FF46E3">
        <w:rPr>
          <w:rFonts w:ascii="Verdana" w:hAnsi="Verdana"/>
          <w:sz w:val="18"/>
          <w:szCs w:val="18"/>
        </w:rPr>
        <w:t xml:space="preserve"> gekozen voor de formulering “onverwijld of, indien dat niet mogelijk is”, zodat duidelijk is dat een entiteit de daarin opgenomen handelingen onverwijld moet uitvoeren. Indien dat niet lukt, dan moet een entiteit dat binnen de daarin aangegeven termijn doen. Een passage als “onverwijld en in elk geval” zou bij strikte lezing immers betekenen dat een entiteit tweemaal de verplichting zou moeten uitvoeren. Dat is niet de bedoeling. Naar aanleiding van deze consultatiereactie is de artikelsgewijze toelichting </w:t>
      </w:r>
      <w:r w:rsidR="00204DD1">
        <w:rPr>
          <w:rFonts w:ascii="Verdana" w:hAnsi="Verdana"/>
          <w:sz w:val="18"/>
          <w:szCs w:val="18"/>
        </w:rPr>
        <w:t>op</w:t>
      </w:r>
      <w:r w:rsidRPr="00FF46E3" w:rsidR="00204DD1">
        <w:rPr>
          <w:rFonts w:ascii="Verdana" w:hAnsi="Verdana"/>
          <w:sz w:val="18"/>
          <w:szCs w:val="18"/>
        </w:rPr>
        <w:t xml:space="preserve"> </w:t>
      </w:r>
      <w:r w:rsidRPr="00FF46E3">
        <w:rPr>
          <w:rFonts w:ascii="Verdana" w:hAnsi="Verdana"/>
          <w:sz w:val="18"/>
          <w:szCs w:val="18"/>
        </w:rPr>
        <w:t xml:space="preserve">de artikelen </w:t>
      </w:r>
      <w:r w:rsidR="00913C78">
        <w:rPr>
          <w:rFonts w:ascii="Verdana" w:hAnsi="Verdana"/>
          <w:sz w:val="18"/>
          <w:szCs w:val="18"/>
        </w:rPr>
        <w:t>26</w:t>
      </w:r>
      <w:r w:rsidRPr="00FF46E3" w:rsidR="00913C78">
        <w:rPr>
          <w:rFonts w:ascii="Verdana" w:hAnsi="Verdana"/>
          <w:sz w:val="18"/>
          <w:szCs w:val="18"/>
        </w:rPr>
        <w:t xml:space="preserve"> </w:t>
      </w:r>
      <w:r w:rsidRPr="00FF46E3">
        <w:rPr>
          <w:rFonts w:ascii="Verdana" w:hAnsi="Verdana"/>
          <w:sz w:val="18"/>
          <w:szCs w:val="18"/>
        </w:rPr>
        <w:t xml:space="preserve">en </w:t>
      </w:r>
      <w:r w:rsidR="00913C78">
        <w:rPr>
          <w:rFonts w:ascii="Verdana" w:hAnsi="Verdana"/>
          <w:sz w:val="18"/>
          <w:szCs w:val="18"/>
        </w:rPr>
        <w:t>27</w:t>
      </w:r>
      <w:r w:rsidR="00204DD1">
        <w:rPr>
          <w:rFonts w:ascii="Verdana" w:hAnsi="Verdana"/>
          <w:sz w:val="18"/>
          <w:szCs w:val="18"/>
        </w:rPr>
        <w:t xml:space="preserve"> </w:t>
      </w:r>
      <w:proofErr w:type="spellStart"/>
      <w:r w:rsidR="00204DD1">
        <w:rPr>
          <w:rFonts w:ascii="Verdana" w:hAnsi="Verdana"/>
          <w:sz w:val="18"/>
          <w:szCs w:val="18"/>
        </w:rPr>
        <w:t>Cbw</w:t>
      </w:r>
      <w:proofErr w:type="spellEnd"/>
      <w:r w:rsidRPr="00FF46E3" w:rsidR="00913C78">
        <w:rPr>
          <w:rFonts w:ascii="Verdana" w:hAnsi="Verdana"/>
          <w:sz w:val="18"/>
          <w:szCs w:val="18"/>
        </w:rPr>
        <w:t xml:space="preserve"> </w:t>
      </w:r>
      <w:r w:rsidRPr="00FF46E3">
        <w:rPr>
          <w:rFonts w:ascii="Verdana" w:hAnsi="Verdana"/>
          <w:sz w:val="18"/>
          <w:szCs w:val="18"/>
        </w:rPr>
        <w:t xml:space="preserve">(28 en 29 oud) aangevuld. </w:t>
      </w:r>
    </w:p>
    <w:p w:rsidRPr="00714F17" w:rsidR="00CB1D0A" w:rsidP="00714F17" w:rsidRDefault="003B1835" w14:paraId="3960B61E" w14:textId="084266AA">
      <w:pPr>
        <w:pStyle w:val="Geenafstand"/>
        <w:rPr>
          <w:rFonts w:ascii="Verdana" w:hAnsi="Verdana"/>
          <w:sz w:val="18"/>
          <w:szCs w:val="18"/>
        </w:rPr>
      </w:pPr>
      <w:r w:rsidRPr="00714F17">
        <w:rPr>
          <w:rFonts w:ascii="Verdana" w:hAnsi="Verdana"/>
          <w:sz w:val="18"/>
          <w:szCs w:val="18"/>
        </w:rPr>
        <w:t xml:space="preserve">CVNL pleit ervoor om de meldplicht, onder andere voor de cybersecuritysector, nader uit te werken op Europees niveau en niet bij </w:t>
      </w:r>
      <w:proofErr w:type="spellStart"/>
      <w:r w:rsidRPr="00714F17">
        <w:rPr>
          <w:rFonts w:ascii="Verdana" w:hAnsi="Verdana"/>
          <w:sz w:val="18"/>
          <w:szCs w:val="18"/>
        </w:rPr>
        <w:t>amvb</w:t>
      </w:r>
      <w:proofErr w:type="spellEnd"/>
      <w:r w:rsidRPr="00714F17">
        <w:rPr>
          <w:rFonts w:ascii="Verdana" w:hAnsi="Verdana"/>
          <w:sz w:val="18"/>
          <w:szCs w:val="18"/>
        </w:rPr>
        <w:t xml:space="preserve">. De reactie hierop is als volgt. Voor de sectoren digitale infrastructuur (met uitzondering van openbare elektronische communicatienetwerken en -diensten en internetknooppunten), beheer van ICT-diensten </w:t>
      </w:r>
      <w:r w:rsidRPr="00AC212B">
        <w:rPr>
          <w:rFonts w:ascii="Verdana" w:hAnsi="Verdana"/>
          <w:sz w:val="18"/>
          <w:szCs w:val="18"/>
        </w:rPr>
        <w:t xml:space="preserve">(business-to-business) </w:t>
      </w:r>
      <w:r w:rsidRPr="00714F17">
        <w:rPr>
          <w:rFonts w:ascii="Verdana" w:hAnsi="Verdana"/>
          <w:sz w:val="18"/>
          <w:szCs w:val="18"/>
        </w:rPr>
        <w:t xml:space="preserve">en digitale aanbieders </w:t>
      </w:r>
      <w:r w:rsidR="00CB1D0A">
        <w:rPr>
          <w:rFonts w:ascii="Verdana" w:hAnsi="Verdana"/>
          <w:sz w:val="18"/>
          <w:szCs w:val="18"/>
        </w:rPr>
        <w:t>zijn</w:t>
      </w:r>
      <w:r w:rsidRPr="00714F17">
        <w:rPr>
          <w:rFonts w:ascii="Verdana" w:hAnsi="Verdana"/>
          <w:sz w:val="18"/>
          <w:szCs w:val="18"/>
        </w:rPr>
        <w:t xml:space="preserve"> de drempelwaarde</w:t>
      </w:r>
      <w:r w:rsidR="00A12DB6">
        <w:rPr>
          <w:rFonts w:ascii="Verdana" w:hAnsi="Verdana"/>
          <w:sz w:val="18"/>
          <w:szCs w:val="18"/>
        </w:rPr>
        <w:t>n</w:t>
      </w:r>
      <w:r w:rsidRPr="00714F17">
        <w:rPr>
          <w:rFonts w:ascii="Verdana" w:hAnsi="Verdana"/>
          <w:sz w:val="18"/>
          <w:szCs w:val="18"/>
        </w:rPr>
        <w:t xml:space="preserve"> van de meldplicht alsmede de beveiligingsmaatregelen ingevuld middels Europese uitvoeringshandelingen.</w:t>
      </w:r>
      <w:r w:rsidRPr="00714F17" w:rsidR="00477DCA">
        <w:rPr>
          <w:rStyle w:val="Voetnootmarkering"/>
          <w:rFonts w:ascii="Verdana" w:hAnsi="Verdana"/>
          <w:sz w:val="18"/>
          <w:szCs w:val="18"/>
        </w:rPr>
        <w:footnoteReference w:id="80"/>
      </w:r>
      <w:r w:rsidRPr="00714F17">
        <w:rPr>
          <w:rFonts w:ascii="Verdana" w:hAnsi="Verdana"/>
          <w:sz w:val="18"/>
          <w:szCs w:val="18"/>
        </w:rPr>
        <w:t xml:space="preserve"> </w:t>
      </w:r>
    </w:p>
    <w:p w:rsidRPr="00714F17" w:rsidR="00A450AE" w:rsidP="00714F17" w:rsidRDefault="00A450AE" w14:paraId="0714FC1D" w14:textId="77777777">
      <w:pPr>
        <w:pStyle w:val="Geenafstand"/>
        <w:rPr>
          <w:rFonts w:ascii="Verdana" w:hAnsi="Verdana"/>
          <w:b/>
          <w:bCs/>
          <w:sz w:val="18"/>
          <w:szCs w:val="18"/>
        </w:rPr>
      </w:pPr>
    </w:p>
    <w:p w:rsidRPr="00FF46E3" w:rsidR="00A450AE" w:rsidP="00A450AE" w:rsidRDefault="00A450AE" w14:paraId="4B18867A" w14:textId="44361149">
      <w:pPr>
        <w:pStyle w:val="Kop2"/>
      </w:pPr>
      <w:bookmarkStart w:name="_Toc198721151" w:id="229"/>
      <w:r w:rsidRPr="00FF46E3">
        <w:t>9.</w:t>
      </w:r>
      <w:r w:rsidR="00CB13D7">
        <w:t>10</w:t>
      </w:r>
      <w:r w:rsidRPr="00FF46E3">
        <w:t xml:space="preserve"> </w:t>
      </w:r>
      <w:r w:rsidR="009C49CE">
        <w:t>Gegevens</w:t>
      </w:r>
      <w:bookmarkEnd w:id="229"/>
    </w:p>
    <w:p w:rsidRPr="00FF46E3" w:rsidR="00A450AE" w:rsidP="00A450AE" w:rsidRDefault="00A450AE" w14:paraId="06EBDB07" w14:textId="77777777">
      <w:pPr>
        <w:pStyle w:val="Geenafstand"/>
        <w:rPr>
          <w:rFonts w:ascii="Verdana" w:hAnsi="Verdana"/>
          <w:sz w:val="18"/>
          <w:szCs w:val="18"/>
        </w:rPr>
      </w:pPr>
    </w:p>
    <w:p w:rsidR="00215152" w:rsidP="00A450AE" w:rsidRDefault="00215152" w14:paraId="0A072B65" w14:textId="6DACF089">
      <w:pPr>
        <w:pStyle w:val="Geenafstand"/>
        <w:rPr>
          <w:rFonts w:ascii="Verdana" w:hAnsi="Verdana"/>
          <w:sz w:val="18"/>
          <w:szCs w:val="18"/>
        </w:rPr>
      </w:pPr>
      <w:r>
        <w:rPr>
          <w:rFonts w:ascii="Verdana" w:hAnsi="Verdana"/>
          <w:sz w:val="18"/>
          <w:szCs w:val="18"/>
        </w:rPr>
        <w:t xml:space="preserve">Meerdere organisaties </w:t>
      </w:r>
      <w:r w:rsidR="00153D1E">
        <w:rPr>
          <w:rFonts w:ascii="Verdana" w:hAnsi="Verdana"/>
          <w:sz w:val="18"/>
          <w:szCs w:val="18"/>
        </w:rPr>
        <w:t>vragen naar</w:t>
      </w:r>
      <w:r>
        <w:rPr>
          <w:rFonts w:ascii="Verdana" w:hAnsi="Verdana"/>
          <w:sz w:val="18"/>
          <w:szCs w:val="18"/>
        </w:rPr>
        <w:t xml:space="preserve"> wat wordt verstaan onder vertrouwelijke gegevens als bedoeld in artikel </w:t>
      </w:r>
      <w:r w:rsidR="00913C78">
        <w:rPr>
          <w:rFonts w:ascii="Verdana" w:hAnsi="Verdana"/>
          <w:sz w:val="18"/>
          <w:szCs w:val="18"/>
        </w:rPr>
        <w:t xml:space="preserve">66 </w:t>
      </w:r>
      <w:proofErr w:type="spellStart"/>
      <w:r>
        <w:rPr>
          <w:rFonts w:ascii="Verdana" w:hAnsi="Verdana"/>
          <w:sz w:val="18"/>
          <w:szCs w:val="18"/>
        </w:rPr>
        <w:t>Cbw</w:t>
      </w:r>
      <w:proofErr w:type="spellEnd"/>
      <w:r>
        <w:rPr>
          <w:rFonts w:ascii="Verdana" w:hAnsi="Verdana"/>
          <w:sz w:val="18"/>
          <w:szCs w:val="18"/>
        </w:rPr>
        <w:t xml:space="preserve"> </w:t>
      </w:r>
      <w:r w:rsidR="00913C78">
        <w:rPr>
          <w:rFonts w:ascii="Verdana" w:hAnsi="Verdana"/>
          <w:sz w:val="18"/>
          <w:szCs w:val="18"/>
        </w:rPr>
        <w:t xml:space="preserve">(65 oud) </w:t>
      </w:r>
      <w:r>
        <w:rPr>
          <w:rFonts w:ascii="Verdana" w:hAnsi="Verdana"/>
          <w:sz w:val="18"/>
          <w:szCs w:val="18"/>
        </w:rPr>
        <w:t>en hoe de vertrouwelijkheid van die gegevens wordt geborgd. Voor wat betreft het nader duiden van vertrouwelijke gegevens</w:t>
      </w:r>
      <w:r w:rsidR="008E7F21">
        <w:rPr>
          <w:rFonts w:ascii="Verdana" w:hAnsi="Verdana"/>
          <w:sz w:val="18"/>
          <w:szCs w:val="18"/>
        </w:rPr>
        <w:t xml:space="preserve"> is </w:t>
      </w:r>
      <w:r w:rsidR="005571D3">
        <w:rPr>
          <w:rFonts w:ascii="Verdana" w:hAnsi="Verdana"/>
          <w:sz w:val="18"/>
          <w:szCs w:val="18"/>
        </w:rPr>
        <w:t xml:space="preserve">ervoor gekozen om in </w:t>
      </w:r>
      <w:r w:rsidR="00153D1E">
        <w:rPr>
          <w:rFonts w:ascii="Verdana" w:hAnsi="Verdana"/>
          <w:sz w:val="18"/>
          <w:szCs w:val="18"/>
        </w:rPr>
        <w:t xml:space="preserve">de </w:t>
      </w:r>
      <w:proofErr w:type="spellStart"/>
      <w:r w:rsidR="00153D1E">
        <w:rPr>
          <w:rFonts w:ascii="Verdana" w:hAnsi="Verdana"/>
          <w:sz w:val="18"/>
          <w:szCs w:val="18"/>
        </w:rPr>
        <w:t>Cbw</w:t>
      </w:r>
      <w:proofErr w:type="spellEnd"/>
      <w:r w:rsidR="005571D3">
        <w:rPr>
          <w:rFonts w:ascii="Verdana" w:hAnsi="Verdana"/>
          <w:sz w:val="18"/>
          <w:szCs w:val="18"/>
        </w:rPr>
        <w:t xml:space="preserve"> geen definitie op te nemen van vertrouwelijke gegevens. </w:t>
      </w:r>
      <w:r w:rsidR="008E7F21">
        <w:rPr>
          <w:rFonts w:ascii="Verdana" w:hAnsi="Verdana"/>
          <w:sz w:val="18"/>
          <w:szCs w:val="18"/>
        </w:rPr>
        <w:t>V</w:t>
      </w:r>
      <w:r w:rsidR="005571D3">
        <w:rPr>
          <w:rFonts w:ascii="Verdana" w:hAnsi="Verdana"/>
          <w:sz w:val="18"/>
          <w:szCs w:val="18"/>
        </w:rPr>
        <w:t xml:space="preserve">oor </w:t>
      </w:r>
      <w:r w:rsidR="008E7F21">
        <w:rPr>
          <w:rFonts w:ascii="Verdana" w:hAnsi="Verdana"/>
          <w:sz w:val="18"/>
          <w:szCs w:val="18"/>
        </w:rPr>
        <w:t xml:space="preserve">de </w:t>
      </w:r>
      <w:r w:rsidR="005571D3">
        <w:rPr>
          <w:rFonts w:ascii="Verdana" w:hAnsi="Verdana"/>
          <w:sz w:val="18"/>
          <w:szCs w:val="18"/>
        </w:rPr>
        <w:t xml:space="preserve">onderbouwing </w:t>
      </w:r>
      <w:r w:rsidR="008E7F21">
        <w:rPr>
          <w:rFonts w:ascii="Verdana" w:hAnsi="Verdana"/>
          <w:sz w:val="18"/>
          <w:szCs w:val="18"/>
        </w:rPr>
        <w:t xml:space="preserve">wordt verwezen </w:t>
      </w:r>
      <w:r w:rsidR="005571D3">
        <w:rPr>
          <w:rFonts w:ascii="Verdana" w:hAnsi="Verdana"/>
          <w:sz w:val="18"/>
          <w:szCs w:val="18"/>
        </w:rPr>
        <w:t xml:space="preserve">naar </w:t>
      </w:r>
      <w:r w:rsidR="008E7F21">
        <w:rPr>
          <w:rFonts w:ascii="Verdana" w:hAnsi="Verdana"/>
          <w:sz w:val="18"/>
          <w:szCs w:val="18"/>
        </w:rPr>
        <w:t xml:space="preserve">de </w:t>
      </w:r>
      <w:r w:rsidR="005571D3">
        <w:rPr>
          <w:rFonts w:ascii="Verdana" w:hAnsi="Verdana"/>
          <w:sz w:val="18"/>
          <w:szCs w:val="18"/>
        </w:rPr>
        <w:t xml:space="preserve">reactie op het advies van de AP. Daarnaast </w:t>
      </w:r>
      <w:r w:rsidR="008E7F21">
        <w:rPr>
          <w:rFonts w:ascii="Verdana" w:hAnsi="Verdana"/>
          <w:sz w:val="18"/>
          <w:szCs w:val="18"/>
        </w:rPr>
        <w:t xml:space="preserve">wordt verwezen </w:t>
      </w:r>
      <w:r w:rsidR="005571D3">
        <w:rPr>
          <w:rFonts w:ascii="Verdana" w:hAnsi="Verdana"/>
          <w:sz w:val="18"/>
          <w:szCs w:val="18"/>
        </w:rPr>
        <w:t xml:space="preserve">naar de artikelsgewijze toelichting </w:t>
      </w:r>
      <w:r w:rsidR="00204DD1">
        <w:rPr>
          <w:rFonts w:ascii="Verdana" w:hAnsi="Verdana"/>
          <w:sz w:val="18"/>
          <w:szCs w:val="18"/>
        </w:rPr>
        <w:t xml:space="preserve">op </w:t>
      </w:r>
      <w:r w:rsidR="005571D3">
        <w:rPr>
          <w:rFonts w:ascii="Verdana" w:hAnsi="Verdana"/>
          <w:sz w:val="18"/>
          <w:szCs w:val="18"/>
        </w:rPr>
        <w:t xml:space="preserve">artikel </w:t>
      </w:r>
      <w:r w:rsidR="00913C78">
        <w:rPr>
          <w:rFonts w:ascii="Verdana" w:hAnsi="Verdana"/>
          <w:sz w:val="18"/>
          <w:szCs w:val="18"/>
        </w:rPr>
        <w:t xml:space="preserve">66 </w:t>
      </w:r>
      <w:proofErr w:type="spellStart"/>
      <w:r w:rsidR="005571D3">
        <w:rPr>
          <w:rFonts w:ascii="Verdana" w:hAnsi="Verdana"/>
          <w:sz w:val="18"/>
          <w:szCs w:val="18"/>
        </w:rPr>
        <w:t>Cbw</w:t>
      </w:r>
      <w:proofErr w:type="spellEnd"/>
      <w:r w:rsidR="005571D3">
        <w:rPr>
          <w:rFonts w:ascii="Verdana" w:hAnsi="Verdana"/>
          <w:sz w:val="18"/>
          <w:szCs w:val="18"/>
        </w:rPr>
        <w:t xml:space="preserve"> voor een toelichting</w:t>
      </w:r>
      <w:r w:rsidR="004B5C46">
        <w:rPr>
          <w:rFonts w:ascii="Verdana" w:hAnsi="Verdana"/>
          <w:sz w:val="18"/>
          <w:szCs w:val="18"/>
        </w:rPr>
        <w:t>, inclusief</w:t>
      </w:r>
      <w:r w:rsidR="005571D3">
        <w:rPr>
          <w:rFonts w:ascii="Verdana" w:hAnsi="Verdana"/>
          <w:sz w:val="18"/>
          <w:szCs w:val="18"/>
        </w:rPr>
        <w:t xml:space="preserve"> voorbeelden van vertrouwelijke gegevens. </w:t>
      </w:r>
      <w:r>
        <w:rPr>
          <w:rFonts w:ascii="Verdana" w:hAnsi="Verdana"/>
          <w:sz w:val="18"/>
          <w:szCs w:val="18"/>
        </w:rPr>
        <w:t xml:space="preserve">Voor wat betreft het waarborgen van de vertrouwelijkheid van de desbetreffende gegevens </w:t>
      </w:r>
      <w:r w:rsidR="008E7F21">
        <w:rPr>
          <w:rFonts w:ascii="Verdana" w:hAnsi="Verdana"/>
          <w:sz w:val="18"/>
          <w:szCs w:val="18"/>
        </w:rPr>
        <w:t xml:space="preserve">wordt opgemerkt </w:t>
      </w:r>
      <w:r w:rsidR="00C566E7">
        <w:rPr>
          <w:rFonts w:ascii="Verdana" w:hAnsi="Verdana"/>
          <w:sz w:val="18"/>
          <w:szCs w:val="18"/>
        </w:rPr>
        <w:t>dat dat het verstrekken van vertrouwelijke gegevens door een CSIRT slechts ter uitvoering van haar taken aan derden kan verstrekken in</w:t>
      </w:r>
      <w:r w:rsidRPr="00C566E7" w:rsidR="00C566E7">
        <w:rPr>
          <w:rFonts w:ascii="Verdana" w:hAnsi="Verdana"/>
          <w:sz w:val="18"/>
          <w:szCs w:val="18"/>
        </w:rPr>
        <w:t>dien aldaar de geheimhouding van de gegevens voldoende is gewaarborgd</w:t>
      </w:r>
      <w:r w:rsidR="009C49CE">
        <w:rPr>
          <w:rFonts w:ascii="Verdana" w:hAnsi="Verdana"/>
          <w:sz w:val="18"/>
          <w:szCs w:val="18"/>
        </w:rPr>
        <w:t>.</w:t>
      </w:r>
    </w:p>
    <w:p w:rsidR="009C49CE" w:rsidP="00A450AE" w:rsidRDefault="009C49CE" w14:paraId="61777383" w14:textId="77777777">
      <w:pPr>
        <w:pStyle w:val="Geenafstand"/>
        <w:rPr>
          <w:rFonts w:ascii="Verdana" w:hAnsi="Verdana"/>
          <w:sz w:val="18"/>
          <w:szCs w:val="18"/>
        </w:rPr>
      </w:pPr>
    </w:p>
    <w:p w:rsidRPr="00FF46E3" w:rsidR="009C49CE" w:rsidP="00A450AE" w:rsidRDefault="009C49CE" w14:paraId="4E733F16" w14:textId="5E122D64">
      <w:pPr>
        <w:pStyle w:val="Geenafstand"/>
        <w:rPr>
          <w:rFonts w:ascii="Verdana" w:hAnsi="Verdana"/>
          <w:sz w:val="18"/>
          <w:szCs w:val="18"/>
        </w:rPr>
      </w:pPr>
      <w:r w:rsidRPr="009C49CE">
        <w:rPr>
          <w:rFonts w:ascii="Verdana" w:hAnsi="Verdana"/>
          <w:sz w:val="18"/>
          <w:szCs w:val="18"/>
        </w:rPr>
        <w:t xml:space="preserve">Het IPO heeft een aantal vragen gesteld over het verwerken van persoonsgegevens. </w:t>
      </w:r>
      <w:r>
        <w:rPr>
          <w:rFonts w:ascii="Verdana" w:hAnsi="Verdana"/>
          <w:sz w:val="18"/>
          <w:szCs w:val="18"/>
        </w:rPr>
        <w:t xml:space="preserve">Hierover wordt toegelicht dat </w:t>
      </w:r>
      <w:r w:rsidRPr="009C49CE">
        <w:rPr>
          <w:rFonts w:ascii="Verdana" w:hAnsi="Verdana"/>
          <w:sz w:val="18"/>
          <w:szCs w:val="18"/>
        </w:rPr>
        <w:t xml:space="preserve">de </w:t>
      </w:r>
      <w:proofErr w:type="spellStart"/>
      <w:r w:rsidRPr="009C49CE">
        <w:rPr>
          <w:rFonts w:ascii="Verdana" w:hAnsi="Verdana"/>
          <w:sz w:val="18"/>
          <w:szCs w:val="18"/>
        </w:rPr>
        <w:t>A</w:t>
      </w:r>
      <w:r>
        <w:rPr>
          <w:rFonts w:ascii="Verdana" w:hAnsi="Verdana"/>
          <w:sz w:val="18"/>
          <w:szCs w:val="18"/>
        </w:rPr>
        <w:t>vg</w:t>
      </w:r>
      <w:proofErr w:type="spellEnd"/>
      <w:r w:rsidRPr="009C49CE">
        <w:rPr>
          <w:rFonts w:ascii="Verdana" w:hAnsi="Verdana"/>
          <w:sz w:val="18"/>
          <w:szCs w:val="18"/>
        </w:rPr>
        <w:t xml:space="preserve"> van toepassing is op het verwerken van persoonsgegevens op basis van de wettelijke taken uit de </w:t>
      </w:r>
      <w:proofErr w:type="spellStart"/>
      <w:r>
        <w:rPr>
          <w:rFonts w:ascii="Verdana" w:hAnsi="Verdana"/>
          <w:sz w:val="18"/>
          <w:szCs w:val="18"/>
        </w:rPr>
        <w:t>C</w:t>
      </w:r>
      <w:r w:rsidRPr="009C49CE">
        <w:rPr>
          <w:rFonts w:ascii="Verdana" w:hAnsi="Verdana"/>
          <w:sz w:val="18"/>
          <w:szCs w:val="18"/>
        </w:rPr>
        <w:t>bw</w:t>
      </w:r>
      <w:proofErr w:type="spellEnd"/>
      <w:r w:rsidRPr="009C49CE">
        <w:rPr>
          <w:rFonts w:ascii="Verdana" w:hAnsi="Verdana"/>
          <w:sz w:val="18"/>
          <w:szCs w:val="18"/>
        </w:rPr>
        <w:t xml:space="preserve">. De </w:t>
      </w:r>
      <w:proofErr w:type="spellStart"/>
      <w:r>
        <w:rPr>
          <w:rFonts w:ascii="Verdana" w:hAnsi="Verdana"/>
          <w:sz w:val="18"/>
          <w:szCs w:val="18"/>
        </w:rPr>
        <w:t>C</w:t>
      </w:r>
      <w:r w:rsidRPr="009C49CE">
        <w:rPr>
          <w:rFonts w:ascii="Verdana" w:hAnsi="Verdana"/>
          <w:sz w:val="18"/>
          <w:szCs w:val="18"/>
        </w:rPr>
        <w:t>bw</w:t>
      </w:r>
      <w:proofErr w:type="spellEnd"/>
      <w:r w:rsidRPr="009C49CE">
        <w:rPr>
          <w:rFonts w:ascii="Verdana" w:hAnsi="Verdana"/>
          <w:sz w:val="18"/>
          <w:szCs w:val="18"/>
        </w:rPr>
        <w:t xml:space="preserve"> kent duidelijke doelen en wettelijke taken toe aan de </w:t>
      </w:r>
      <w:proofErr w:type="spellStart"/>
      <w:r w:rsidRPr="009C49CE">
        <w:rPr>
          <w:rFonts w:ascii="Verdana" w:hAnsi="Verdana"/>
          <w:sz w:val="18"/>
          <w:szCs w:val="18"/>
        </w:rPr>
        <w:t>CSIRT</w:t>
      </w:r>
      <w:r w:rsidR="00D91960">
        <w:rPr>
          <w:rFonts w:ascii="Verdana" w:hAnsi="Verdana"/>
          <w:sz w:val="18"/>
          <w:szCs w:val="18"/>
        </w:rPr>
        <w:t>’</w:t>
      </w:r>
      <w:r w:rsidRPr="009C49CE">
        <w:rPr>
          <w:rFonts w:ascii="Verdana" w:hAnsi="Verdana"/>
          <w:sz w:val="18"/>
          <w:szCs w:val="18"/>
        </w:rPr>
        <w:t>s</w:t>
      </w:r>
      <w:proofErr w:type="spellEnd"/>
      <w:r w:rsidRPr="009C49CE">
        <w:rPr>
          <w:rFonts w:ascii="Verdana" w:hAnsi="Verdana"/>
          <w:sz w:val="18"/>
          <w:szCs w:val="18"/>
        </w:rPr>
        <w:t xml:space="preserve"> en bevoegde autoriteiten. Daarmee kan op basis van de </w:t>
      </w:r>
      <w:proofErr w:type="spellStart"/>
      <w:r w:rsidRPr="009C49CE">
        <w:rPr>
          <w:rFonts w:ascii="Verdana" w:hAnsi="Verdana"/>
          <w:sz w:val="18"/>
          <w:szCs w:val="18"/>
        </w:rPr>
        <w:t>A</w:t>
      </w:r>
      <w:r>
        <w:rPr>
          <w:rFonts w:ascii="Verdana" w:hAnsi="Verdana"/>
          <w:sz w:val="18"/>
          <w:szCs w:val="18"/>
        </w:rPr>
        <w:t>vg</w:t>
      </w:r>
      <w:proofErr w:type="spellEnd"/>
      <w:r w:rsidRPr="009C49CE">
        <w:rPr>
          <w:rFonts w:ascii="Verdana" w:hAnsi="Verdana"/>
          <w:sz w:val="18"/>
          <w:szCs w:val="18"/>
        </w:rPr>
        <w:t xml:space="preserve"> een goede DPIA worden uitgevoerd op het verwerken van persoonsgegevens door de verwerkingsverantwoordelijke.</w:t>
      </w:r>
    </w:p>
    <w:p w:rsidRPr="00FF46E3" w:rsidR="00A450AE" w:rsidP="00A450AE" w:rsidRDefault="00A450AE" w14:paraId="6F223C35" w14:textId="77777777">
      <w:pPr>
        <w:pStyle w:val="Geenafstand"/>
        <w:rPr>
          <w:rFonts w:ascii="Verdana" w:hAnsi="Verdana"/>
          <w:sz w:val="18"/>
          <w:szCs w:val="18"/>
        </w:rPr>
      </w:pPr>
    </w:p>
    <w:p w:rsidRPr="00FF46E3" w:rsidR="00A450AE" w:rsidP="00A450AE" w:rsidRDefault="00A450AE" w14:paraId="0F6CC1CE" w14:textId="4AAB72D9">
      <w:pPr>
        <w:pStyle w:val="Kop2"/>
      </w:pPr>
      <w:bookmarkStart w:name="_Toc198721152" w:id="230"/>
      <w:r w:rsidRPr="00FF46E3">
        <w:t>9.</w:t>
      </w:r>
      <w:r w:rsidR="00CB13D7">
        <w:t>11</w:t>
      </w:r>
      <w:r w:rsidRPr="00FF46E3">
        <w:t xml:space="preserve"> CSIRT</w:t>
      </w:r>
      <w:bookmarkEnd w:id="230"/>
    </w:p>
    <w:p w:rsidRPr="00FF46E3" w:rsidR="00A450AE" w:rsidP="00A450AE" w:rsidRDefault="00A450AE" w14:paraId="5A53BBC0" w14:textId="77777777">
      <w:pPr>
        <w:pStyle w:val="Geenafstand"/>
        <w:rPr>
          <w:rFonts w:ascii="Verdana" w:hAnsi="Verdana"/>
          <w:sz w:val="18"/>
          <w:szCs w:val="18"/>
        </w:rPr>
      </w:pPr>
    </w:p>
    <w:p w:rsidRPr="00FF46E3" w:rsidR="00A450AE" w:rsidP="00A450AE" w:rsidRDefault="00A450AE" w14:paraId="59568C44" w14:textId="77777777">
      <w:pPr>
        <w:pStyle w:val="Geenafstand"/>
        <w:rPr>
          <w:rFonts w:ascii="Verdana" w:hAnsi="Verdana"/>
          <w:i/>
          <w:iCs/>
          <w:sz w:val="18"/>
          <w:szCs w:val="18"/>
        </w:rPr>
      </w:pPr>
      <w:r w:rsidRPr="00FF46E3">
        <w:rPr>
          <w:rFonts w:ascii="Verdana" w:hAnsi="Verdana"/>
          <w:i/>
          <w:iCs/>
          <w:sz w:val="18"/>
          <w:szCs w:val="18"/>
        </w:rPr>
        <w:t>Taken van het CSIRT</w:t>
      </w:r>
    </w:p>
    <w:p w:rsidRPr="00FF46E3" w:rsidR="00A450AE" w:rsidP="00A450AE" w:rsidRDefault="00A450AE" w14:paraId="684FEC89" w14:textId="4A657D00">
      <w:pPr>
        <w:pStyle w:val="Geenafstand"/>
        <w:rPr>
          <w:rFonts w:ascii="Verdana" w:hAnsi="Verdana"/>
          <w:sz w:val="18"/>
          <w:szCs w:val="18"/>
        </w:rPr>
      </w:pPr>
      <w:r w:rsidRPr="00FF46E3">
        <w:rPr>
          <w:rFonts w:ascii="Verdana" w:hAnsi="Verdana"/>
          <w:sz w:val="18"/>
          <w:szCs w:val="18"/>
        </w:rPr>
        <w:t xml:space="preserve">Meerdere organisaties, waaronder </w:t>
      </w:r>
      <w:r w:rsidR="006A14A5">
        <w:rPr>
          <w:rFonts w:ascii="Verdana" w:hAnsi="Verdana"/>
          <w:sz w:val="18"/>
          <w:szCs w:val="18"/>
        </w:rPr>
        <w:t>CVNL</w:t>
      </w:r>
      <w:r w:rsidRPr="00FF46E3">
        <w:rPr>
          <w:rFonts w:ascii="Verdana" w:hAnsi="Verdana"/>
          <w:sz w:val="18"/>
          <w:szCs w:val="18"/>
        </w:rPr>
        <w:t xml:space="preserve">, VNO-NCW, MKB-Nederland en KVNR, hebben vragen gesteld over de taken van een CSIRT. </w:t>
      </w:r>
      <w:proofErr w:type="spellStart"/>
      <w:r w:rsidRPr="00FF46E3">
        <w:rPr>
          <w:rFonts w:ascii="Verdana" w:hAnsi="Verdana"/>
          <w:sz w:val="18"/>
          <w:szCs w:val="18"/>
        </w:rPr>
        <w:t>InEen</w:t>
      </w:r>
      <w:proofErr w:type="spellEnd"/>
      <w:r w:rsidRPr="00FF46E3">
        <w:rPr>
          <w:rFonts w:ascii="Verdana" w:hAnsi="Verdana"/>
          <w:sz w:val="18"/>
          <w:szCs w:val="18"/>
        </w:rPr>
        <w:t xml:space="preserve"> vraagt naar het verruimen van het takenpakket van Z-CERT. De taken van een CSIRT zijn opgenomen in artikel </w:t>
      </w:r>
      <w:r>
        <w:rPr>
          <w:rFonts w:ascii="Verdana" w:hAnsi="Verdana"/>
          <w:sz w:val="18"/>
          <w:szCs w:val="18"/>
        </w:rPr>
        <w:t>16</w:t>
      </w:r>
      <w:r w:rsidRPr="00FF46E3">
        <w:rPr>
          <w:rFonts w:ascii="Verdana" w:hAnsi="Verdana"/>
          <w:sz w:val="18"/>
          <w:szCs w:val="18"/>
        </w:rPr>
        <w:t xml:space="preserve">, </w:t>
      </w:r>
      <w:r w:rsidR="00304FD1">
        <w:rPr>
          <w:rFonts w:ascii="Verdana" w:hAnsi="Verdana"/>
          <w:sz w:val="18"/>
          <w:szCs w:val="18"/>
        </w:rPr>
        <w:t>tweede</w:t>
      </w:r>
      <w:r w:rsidRPr="00FF46E3" w:rsidR="00304FD1">
        <w:rPr>
          <w:rFonts w:ascii="Verdana" w:hAnsi="Verdana"/>
          <w:sz w:val="18"/>
          <w:szCs w:val="18"/>
        </w:rPr>
        <w:t xml:space="preserve"> </w:t>
      </w:r>
      <w:r w:rsidRPr="00FF46E3">
        <w:rPr>
          <w:rFonts w:ascii="Verdana" w:hAnsi="Verdana"/>
          <w:sz w:val="18"/>
          <w:szCs w:val="18"/>
        </w:rPr>
        <w:t xml:space="preserve">lid, </w:t>
      </w:r>
      <w:proofErr w:type="spellStart"/>
      <w:r w:rsidRPr="00FF46E3">
        <w:rPr>
          <w:rFonts w:ascii="Verdana" w:hAnsi="Verdana"/>
          <w:sz w:val="18"/>
          <w:szCs w:val="18"/>
        </w:rPr>
        <w:t>Cbw</w:t>
      </w:r>
      <w:proofErr w:type="spellEnd"/>
      <w:r w:rsidRPr="00FF46E3">
        <w:rPr>
          <w:rFonts w:ascii="Verdana" w:hAnsi="Verdana"/>
          <w:sz w:val="18"/>
          <w:szCs w:val="18"/>
        </w:rPr>
        <w:t xml:space="preserve"> en zijn voorgeschreven door de NIS2-richtlijn. Wat entiteiten op basis van dat wettelijk kader mogen verwachten van hun CSIRT, zal worden uitgewerkt in beleid. Een onderdeel van dat beleid is dat zodra een groot incident plaatsvindt, een CSIRT aan de hand van het beleid voorrang verleent aan specifieke meldingen. Bij grote incidenten werken de </w:t>
      </w:r>
      <w:proofErr w:type="spellStart"/>
      <w:r w:rsidRPr="00FF46E3">
        <w:rPr>
          <w:rFonts w:ascii="Verdana" w:hAnsi="Verdana"/>
          <w:sz w:val="18"/>
          <w:szCs w:val="18"/>
        </w:rPr>
        <w:t>CSIRT</w:t>
      </w:r>
      <w:r w:rsidR="00D91960">
        <w:rPr>
          <w:rFonts w:ascii="Verdana" w:hAnsi="Verdana"/>
          <w:sz w:val="18"/>
          <w:szCs w:val="18"/>
        </w:rPr>
        <w:t>’</w:t>
      </w:r>
      <w:r w:rsidRPr="00FF46E3">
        <w:rPr>
          <w:rFonts w:ascii="Verdana" w:hAnsi="Verdana"/>
          <w:sz w:val="18"/>
          <w:szCs w:val="18"/>
        </w:rPr>
        <w:t>s</w:t>
      </w:r>
      <w:proofErr w:type="spellEnd"/>
      <w:r w:rsidRPr="00FF46E3">
        <w:rPr>
          <w:rFonts w:ascii="Verdana" w:hAnsi="Verdana"/>
          <w:sz w:val="18"/>
          <w:szCs w:val="18"/>
        </w:rPr>
        <w:t xml:space="preserve"> </w:t>
      </w:r>
      <w:r w:rsidR="00422441">
        <w:rPr>
          <w:rFonts w:ascii="Verdana" w:hAnsi="Verdana"/>
          <w:sz w:val="18"/>
          <w:szCs w:val="18"/>
        </w:rPr>
        <w:t>met elkaar samen</w:t>
      </w:r>
      <w:r w:rsidRPr="00FF46E3" w:rsidR="00422441">
        <w:rPr>
          <w:rFonts w:ascii="Verdana" w:hAnsi="Verdana"/>
          <w:sz w:val="18"/>
          <w:szCs w:val="18"/>
        </w:rPr>
        <w:t xml:space="preserve"> </w:t>
      </w:r>
      <w:r w:rsidRPr="00FF46E3">
        <w:rPr>
          <w:rFonts w:ascii="Verdana" w:hAnsi="Verdana"/>
          <w:sz w:val="18"/>
          <w:szCs w:val="18"/>
        </w:rPr>
        <w:t>en bij (zeer) grote incidenten treedt de nationale crisisstructuur in werking.</w:t>
      </w:r>
    </w:p>
    <w:p w:rsidRPr="00FF46E3" w:rsidR="00A450AE" w:rsidP="00A450AE" w:rsidRDefault="005931F0" w14:paraId="687B4643" w14:textId="1160E3F2">
      <w:pPr>
        <w:pStyle w:val="Geenafstand"/>
        <w:rPr>
          <w:rFonts w:ascii="Verdana" w:hAnsi="Verdana"/>
          <w:sz w:val="18"/>
          <w:szCs w:val="18"/>
        </w:rPr>
      </w:pPr>
      <w:r>
        <w:rPr>
          <w:rFonts w:ascii="Verdana" w:hAnsi="Verdana"/>
          <w:sz w:val="18"/>
          <w:szCs w:val="18"/>
        </w:rPr>
        <w:t>In een consultatiereactie wordt gevraagd</w:t>
      </w:r>
      <w:r w:rsidRPr="00F34CAA" w:rsidR="00A450AE">
        <w:rPr>
          <w:rFonts w:ascii="Verdana" w:hAnsi="Verdana"/>
          <w:sz w:val="18"/>
          <w:szCs w:val="18"/>
        </w:rPr>
        <w:t xml:space="preserve"> naar het verkrijgen van informatie van overheidsorganisaties die zich bezig houden met de nationale veiligheid via een CSIRT. </w:t>
      </w:r>
      <w:r w:rsidR="00DF23F9">
        <w:rPr>
          <w:rFonts w:ascii="Verdana" w:hAnsi="Verdana"/>
          <w:sz w:val="18"/>
          <w:szCs w:val="18"/>
        </w:rPr>
        <w:t>Voor zover het gaat om informatie over dreigingen en incidenten waarover het CSIRT beschikt regel</w:t>
      </w:r>
      <w:r w:rsidR="00EC2A3C">
        <w:rPr>
          <w:rFonts w:ascii="Verdana" w:hAnsi="Verdana"/>
          <w:sz w:val="18"/>
          <w:szCs w:val="18"/>
        </w:rPr>
        <w:t xml:space="preserve">en de artikelen </w:t>
      </w:r>
      <w:r w:rsidR="00DD0502">
        <w:rPr>
          <w:rFonts w:ascii="Verdana" w:hAnsi="Verdana"/>
          <w:sz w:val="18"/>
          <w:szCs w:val="18"/>
        </w:rPr>
        <w:t xml:space="preserve">16, </w:t>
      </w:r>
      <w:r w:rsidR="004B5C46">
        <w:rPr>
          <w:rFonts w:ascii="Verdana" w:hAnsi="Verdana"/>
          <w:sz w:val="18"/>
          <w:szCs w:val="18"/>
        </w:rPr>
        <w:t xml:space="preserve">tweede </w:t>
      </w:r>
      <w:r w:rsidR="00DD0502">
        <w:rPr>
          <w:rFonts w:ascii="Verdana" w:hAnsi="Verdana"/>
          <w:sz w:val="18"/>
          <w:szCs w:val="18"/>
        </w:rPr>
        <w:t>lid, onderdeel b, en</w:t>
      </w:r>
      <w:r w:rsidR="00DF23F9">
        <w:rPr>
          <w:rFonts w:ascii="Verdana" w:hAnsi="Verdana"/>
          <w:sz w:val="18"/>
          <w:szCs w:val="18"/>
        </w:rPr>
        <w:t xml:space="preserve"> </w:t>
      </w:r>
      <w:r w:rsidR="00EC2A3C">
        <w:rPr>
          <w:rFonts w:ascii="Verdana" w:hAnsi="Verdana"/>
          <w:sz w:val="18"/>
          <w:szCs w:val="18"/>
        </w:rPr>
        <w:t>51, tweede lid</w:t>
      </w:r>
      <w:r w:rsidR="00DF23F9">
        <w:rPr>
          <w:rFonts w:ascii="Verdana" w:hAnsi="Verdana"/>
          <w:sz w:val="18"/>
          <w:szCs w:val="18"/>
        </w:rPr>
        <w:t xml:space="preserve">, </w:t>
      </w:r>
      <w:proofErr w:type="spellStart"/>
      <w:r w:rsidR="00A450AE">
        <w:rPr>
          <w:rFonts w:ascii="Verdana" w:hAnsi="Verdana"/>
          <w:sz w:val="18"/>
          <w:szCs w:val="18"/>
        </w:rPr>
        <w:t>Cbw</w:t>
      </w:r>
      <w:proofErr w:type="spellEnd"/>
      <w:r w:rsidR="00A450AE">
        <w:rPr>
          <w:rFonts w:ascii="Verdana" w:hAnsi="Verdana"/>
          <w:sz w:val="18"/>
          <w:szCs w:val="18"/>
        </w:rPr>
        <w:t xml:space="preserve"> </w:t>
      </w:r>
      <w:r w:rsidR="00DF23F9">
        <w:rPr>
          <w:rFonts w:ascii="Verdana" w:hAnsi="Verdana"/>
          <w:sz w:val="18"/>
          <w:szCs w:val="18"/>
        </w:rPr>
        <w:t xml:space="preserve">dat verstrekking hiervan kan plaatsvinden aan </w:t>
      </w:r>
      <w:r w:rsidR="00946741">
        <w:rPr>
          <w:rFonts w:ascii="Verdana" w:hAnsi="Verdana"/>
          <w:sz w:val="18"/>
          <w:szCs w:val="18"/>
        </w:rPr>
        <w:t xml:space="preserve">verschillende </w:t>
      </w:r>
      <w:r w:rsidR="00A450AE">
        <w:rPr>
          <w:rFonts w:ascii="Verdana" w:hAnsi="Verdana"/>
          <w:sz w:val="18"/>
          <w:szCs w:val="18"/>
        </w:rPr>
        <w:t>relevante partij</w:t>
      </w:r>
      <w:r w:rsidR="00DF23F9">
        <w:rPr>
          <w:rFonts w:ascii="Verdana" w:hAnsi="Verdana"/>
          <w:sz w:val="18"/>
          <w:szCs w:val="18"/>
        </w:rPr>
        <w:t>en</w:t>
      </w:r>
      <w:r w:rsidR="00A450AE">
        <w:rPr>
          <w:rFonts w:ascii="Verdana" w:hAnsi="Verdana"/>
          <w:sz w:val="18"/>
          <w:szCs w:val="18"/>
        </w:rPr>
        <w:t xml:space="preserve">. </w:t>
      </w:r>
      <w:r w:rsidR="00DD0502">
        <w:rPr>
          <w:rFonts w:ascii="Verdana" w:hAnsi="Verdana"/>
          <w:sz w:val="18"/>
          <w:szCs w:val="18"/>
        </w:rPr>
        <w:t>V</w:t>
      </w:r>
      <w:r w:rsidR="00DF23F9">
        <w:rPr>
          <w:rFonts w:ascii="Verdana" w:hAnsi="Verdana"/>
          <w:sz w:val="18"/>
          <w:szCs w:val="18"/>
        </w:rPr>
        <w:t>oor bijvoorbeeld inlichtingen- en veiligheidsdiensten wordt in hun eigen wetgeving geregeld dat en onder welke voorwaarden bij hen beschikbare informatie met bijvoorbeeld een CSIRT kan worden gedeeld</w:t>
      </w:r>
      <w:r w:rsidRPr="00FF46E3" w:rsidR="00A450AE">
        <w:rPr>
          <w:rFonts w:ascii="Verdana" w:hAnsi="Verdana"/>
          <w:sz w:val="18"/>
          <w:szCs w:val="18"/>
        </w:rPr>
        <w:t>.</w:t>
      </w:r>
    </w:p>
    <w:p w:rsidRPr="00FF46E3" w:rsidR="00A450AE" w:rsidP="00A450AE" w:rsidRDefault="00A450AE" w14:paraId="5C436489" w14:textId="77777777">
      <w:pPr>
        <w:pStyle w:val="Geenafstand"/>
        <w:rPr>
          <w:rFonts w:ascii="Verdana" w:hAnsi="Verdana"/>
          <w:sz w:val="18"/>
          <w:szCs w:val="18"/>
        </w:rPr>
      </w:pPr>
    </w:p>
    <w:p w:rsidRPr="00FF46E3" w:rsidR="00A450AE" w:rsidP="00A450AE" w:rsidRDefault="00A450AE" w14:paraId="2074C0B3" w14:textId="77777777">
      <w:pPr>
        <w:pStyle w:val="Geenafstand"/>
        <w:rPr>
          <w:rFonts w:ascii="Verdana" w:hAnsi="Verdana"/>
          <w:i/>
          <w:iCs/>
          <w:sz w:val="18"/>
          <w:szCs w:val="18"/>
        </w:rPr>
      </w:pPr>
      <w:r w:rsidRPr="00FF46E3">
        <w:rPr>
          <w:rFonts w:ascii="Verdana" w:hAnsi="Verdana"/>
          <w:i/>
          <w:iCs/>
          <w:sz w:val="18"/>
          <w:szCs w:val="18"/>
        </w:rPr>
        <w:t>Forensische gegevens</w:t>
      </w:r>
    </w:p>
    <w:p w:rsidRPr="00FF46E3" w:rsidR="00A450AE" w:rsidP="00A450AE" w:rsidRDefault="0042077A" w14:paraId="3A116034" w14:textId="704153F4">
      <w:pPr>
        <w:pStyle w:val="Geenafstand"/>
        <w:rPr>
          <w:rFonts w:ascii="Verdana" w:hAnsi="Verdana"/>
          <w:sz w:val="18"/>
          <w:szCs w:val="18"/>
        </w:rPr>
      </w:pPr>
      <w:r>
        <w:rPr>
          <w:rFonts w:ascii="Verdana" w:hAnsi="Verdana"/>
          <w:sz w:val="18"/>
          <w:szCs w:val="18"/>
        </w:rPr>
        <w:t>Een organisatie</w:t>
      </w:r>
      <w:r w:rsidRPr="00FF46E3">
        <w:rPr>
          <w:rFonts w:ascii="Verdana" w:hAnsi="Verdana"/>
          <w:sz w:val="18"/>
          <w:szCs w:val="18"/>
        </w:rPr>
        <w:t xml:space="preserve"> </w:t>
      </w:r>
      <w:r w:rsidRPr="00FF46E3" w:rsidR="00A450AE">
        <w:rPr>
          <w:rFonts w:ascii="Verdana" w:hAnsi="Verdana"/>
          <w:sz w:val="18"/>
          <w:szCs w:val="18"/>
        </w:rPr>
        <w:t xml:space="preserve">vraagt naar de wijze van het verzamelen van forensische gegevens door een CSIRT. </w:t>
      </w:r>
      <w:r w:rsidR="005931F0">
        <w:rPr>
          <w:rFonts w:ascii="Verdana" w:hAnsi="Verdana"/>
          <w:sz w:val="18"/>
          <w:szCs w:val="18"/>
        </w:rPr>
        <w:t>In reactie hierop wordt benadrukt dat een</w:t>
      </w:r>
      <w:r w:rsidRPr="00FF46E3" w:rsidR="00A450AE">
        <w:rPr>
          <w:rFonts w:ascii="Verdana" w:hAnsi="Verdana"/>
          <w:sz w:val="18"/>
          <w:szCs w:val="18"/>
        </w:rPr>
        <w:t xml:space="preserve"> CSIRT niet geautomatiseerd en continu gegevens </w:t>
      </w:r>
      <w:r w:rsidR="00190A0C">
        <w:rPr>
          <w:rFonts w:ascii="Verdana" w:hAnsi="Verdana"/>
          <w:sz w:val="18"/>
          <w:szCs w:val="18"/>
        </w:rPr>
        <w:t xml:space="preserve">verzamelt </w:t>
      </w:r>
      <w:r w:rsidRPr="00FF46E3" w:rsidR="00A450AE">
        <w:rPr>
          <w:rFonts w:ascii="Verdana" w:hAnsi="Verdana"/>
          <w:sz w:val="18"/>
          <w:szCs w:val="18"/>
        </w:rPr>
        <w:t>van entiteiten om deze te analyseren op forensische gegevens. Forensische gegevens</w:t>
      </w:r>
      <w:r w:rsidR="00655F3B">
        <w:rPr>
          <w:rFonts w:ascii="Verdana" w:hAnsi="Verdana"/>
          <w:sz w:val="18"/>
          <w:szCs w:val="18"/>
        </w:rPr>
        <w:t xml:space="preserve"> die zien op een specifieke entiteit</w:t>
      </w:r>
      <w:r w:rsidRPr="00FF46E3" w:rsidR="00A450AE">
        <w:rPr>
          <w:rFonts w:ascii="Verdana" w:hAnsi="Verdana"/>
          <w:sz w:val="18"/>
          <w:szCs w:val="18"/>
        </w:rPr>
        <w:t xml:space="preserve"> worden alleen verzameld voor het verlenen van bijstand </w:t>
      </w:r>
      <w:r w:rsidR="003626A0">
        <w:rPr>
          <w:rFonts w:ascii="Verdana" w:hAnsi="Verdana"/>
          <w:sz w:val="18"/>
          <w:szCs w:val="18"/>
        </w:rPr>
        <w:t xml:space="preserve">aan </w:t>
      </w:r>
      <w:r w:rsidR="00655F3B">
        <w:rPr>
          <w:rFonts w:ascii="Verdana" w:hAnsi="Verdana"/>
          <w:sz w:val="18"/>
          <w:szCs w:val="18"/>
        </w:rPr>
        <w:t>die</w:t>
      </w:r>
      <w:r w:rsidRPr="00FF46E3" w:rsidR="00A450AE">
        <w:rPr>
          <w:rFonts w:ascii="Verdana" w:hAnsi="Verdana"/>
          <w:sz w:val="18"/>
          <w:szCs w:val="18"/>
        </w:rPr>
        <w:t xml:space="preserve"> entiteit en met informatie die door d</w:t>
      </w:r>
      <w:r w:rsidR="00655F3B">
        <w:rPr>
          <w:rFonts w:ascii="Verdana" w:hAnsi="Verdana"/>
          <w:sz w:val="18"/>
          <w:szCs w:val="18"/>
        </w:rPr>
        <w:t>i</w:t>
      </w:r>
      <w:r w:rsidRPr="00FF46E3" w:rsidR="00A450AE">
        <w:rPr>
          <w:rFonts w:ascii="Verdana" w:hAnsi="Verdana"/>
          <w:sz w:val="18"/>
          <w:szCs w:val="18"/>
        </w:rPr>
        <w:t xml:space="preserve">e entiteit </w:t>
      </w:r>
      <w:r w:rsidR="003626A0">
        <w:rPr>
          <w:rFonts w:ascii="Verdana" w:hAnsi="Verdana"/>
          <w:sz w:val="18"/>
          <w:szCs w:val="18"/>
        </w:rPr>
        <w:t xml:space="preserve">is </w:t>
      </w:r>
      <w:r w:rsidRPr="00FF46E3" w:rsidR="00A450AE">
        <w:rPr>
          <w:rFonts w:ascii="Verdana" w:hAnsi="Verdana"/>
          <w:sz w:val="18"/>
          <w:szCs w:val="18"/>
        </w:rPr>
        <w:t>gedeeld.</w:t>
      </w:r>
    </w:p>
    <w:p w:rsidRPr="00FF46E3" w:rsidR="00A450AE" w:rsidP="00A450AE" w:rsidRDefault="00A450AE" w14:paraId="47A4882D" w14:textId="77777777">
      <w:pPr>
        <w:pStyle w:val="Geenafstand"/>
        <w:rPr>
          <w:rFonts w:ascii="Verdana" w:hAnsi="Verdana"/>
          <w:sz w:val="18"/>
          <w:szCs w:val="18"/>
        </w:rPr>
      </w:pPr>
    </w:p>
    <w:p w:rsidRPr="00FF46E3" w:rsidR="00A450AE" w:rsidP="00A450AE" w:rsidRDefault="00A450AE" w14:paraId="0E0905A9" w14:textId="77777777">
      <w:pPr>
        <w:pStyle w:val="Geenafstand"/>
        <w:rPr>
          <w:rFonts w:ascii="Verdana" w:hAnsi="Verdana"/>
          <w:i/>
          <w:iCs/>
          <w:sz w:val="18"/>
          <w:szCs w:val="18"/>
        </w:rPr>
      </w:pPr>
      <w:r w:rsidRPr="00FF46E3">
        <w:rPr>
          <w:rFonts w:ascii="Verdana" w:hAnsi="Verdana"/>
          <w:i/>
          <w:iCs/>
          <w:sz w:val="18"/>
          <w:szCs w:val="18"/>
        </w:rPr>
        <w:t>Niet-</w:t>
      </w:r>
      <w:proofErr w:type="spellStart"/>
      <w:r w:rsidRPr="00FF46E3">
        <w:rPr>
          <w:rFonts w:ascii="Verdana" w:hAnsi="Verdana"/>
          <w:i/>
          <w:iCs/>
          <w:sz w:val="18"/>
          <w:szCs w:val="18"/>
        </w:rPr>
        <w:t>intrusief</w:t>
      </w:r>
      <w:proofErr w:type="spellEnd"/>
      <w:r w:rsidRPr="00FF46E3">
        <w:rPr>
          <w:rFonts w:ascii="Verdana" w:hAnsi="Verdana"/>
          <w:i/>
          <w:iCs/>
          <w:sz w:val="18"/>
          <w:szCs w:val="18"/>
        </w:rPr>
        <w:t xml:space="preserve"> scannen</w:t>
      </w:r>
    </w:p>
    <w:p w:rsidRPr="00FF46E3" w:rsidR="00A450AE" w:rsidP="00A450AE" w:rsidRDefault="00A450AE" w14:paraId="0B2AD9AC" w14:textId="76A35AB2">
      <w:pPr>
        <w:pStyle w:val="Geenafstand"/>
        <w:rPr>
          <w:rFonts w:ascii="Verdana" w:hAnsi="Verdana"/>
          <w:sz w:val="18"/>
          <w:szCs w:val="18"/>
        </w:rPr>
      </w:pPr>
      <w:r w:rsidRPr="00FF46E3">
        <w:rPr>
          <w:rFonts w:ascii="Verdana" w:hAnsi="Verdana"/>
          <w:sz w:val="18"/>
          <w:szCs w:val="18"/>
        </w:rPr>
        <w:t xml:space="preserve">Naar aanleiding van de vragen van </w:t>
      </w:r>
      <w:r w:rsidR="00F86F0B">
        <w:rPr>
          <w:rFonts w:ascii="Verdana" w:hAnsi="Verdana"/>
          <w:sz w:val="18"/>
          <w:szCs w:val="18"/>
        </w:rPr>
        <w:t>uit enkele consultatiereacties</w:t>
      </w:r>
      <w:r w:rsidRPr="00FF46E3">
        <w:rPr>
          <w:rFonts w:ascii="Verdana" w:hAnsi="Verdana"/>
          <w:sz w:val="18"/>
          <w:szCs w:val="18"/>
        </w:rPr>
        <w:t xml:space="preserve">, waaronder </w:t>
      </w:r>
      <w:r w:rsidR="00F86F0B">
        <w:rPr>
          <w:rFonts w:ascii="Verdana" w:hAnsi="Verdana"/>
          <w:sz w:val="18"/>
          <w:szCs w:val="18"/>
        </w:rPr>
        <w:t xml:space="preserve">die van </w:t>
      </w:r>
      <w:r w:rsidRPr="00FF46E3">
        <w:rPr>
          <w:rFonts w:ascii="Verdana" w:hAnsi="Verdana"/>
          <w:sz w:val="18"/>
          <w:szCs w:val="18"/>
        </w:rPr>
        <w:t>IBM, over het niet-</w:t>
      </w:r>
      <w:proofErr w:type="spellStart"/>
      <w:r w:rsidRPr="00FF46E3">
        <w:rPr>
          <w:rFonts w:ascii="Verdana" w:hAnsi="Verdana"/>
          <w:sz w:val="18"/>
          <w:szCs w:val="18"/>
        </w:rPr>
        <w:t>intrusief</w:t>
      </w:r>
      <w:proofErr w:type="spellEnd"/>
      <w:r w:rsidRPr="00FF46E3">
        <w:rPr>
          <w:rFonts w:ascii="Verdana" w:hAnsi="Verdana"/>
          <w:sz w:val="18"/>
          <w:szCs w:val="18"/>
        </w:rPr>
        <w:t xml:space="preserve"> scannen door een CSIRT </w:t>
      </w:r>
      <w:r w:rsidR="00F86F0B">
        <w:rPr>
          <w:rFonts w:ascii="Verdana" w:hAnsi="Verdana"/>
          <w:sz w:val="18"/>
          <w:szCs w:val="18"/>
        </w:rPr>
        <w:t>wordt toegelicht</w:t>
      </w:r>
      <w:r w:rsidRPr="00FF46E3">
        <w:rPr>
          <w:rFonts w:ascii="Verdana" w:hAnsi="Verdana"/>
          <w:sz w:val="18"/>
          <w:szCs w:val="18"/>
        </w:rPr>
        <w:t xml:space="preserve"> dat deze taak van het CSIRT geen invloed heeft op de dienstverlening van entiteiten. Zodra bij het scannen kwetsbaarheden zijn gevonden</w:t>
      </w:r>
      <w:r w:rsidR="00982A22">
        <w:rPr>
          <w:rFonts w:ascii="Verdana" w:hAnsi="Verdana"/>
          <w:sz w:val="18"/>
          <w:szCs w:val="18"/>
        </w:rPr>
        <w:t xml:space="preserve"> bij</w:t>
      </w:r>
      <w:r w:rsidRPr="00FF46E3">
        <w:rPr>
          <w:rFonts w:ascii="Verdana" w:hAnsi="Verdana"/>
          <w:sz w:val="18"/>
          <w:szCs w:val="18"/>
        </w:rPr>
        <w:t xml:space="preserve"> een entiteit, wordt zij daarover geïnformeerd door het CSIRT. </w:t>
      </w:r>
    </w:p>
    <w:p w:rsidRPr="00FF46E3" w:rsidR="00A450AE" w:rsidP="00A450AE" w:rsidRDefault="00A450AE" w14:paraId="6D9D759C" w14:textId="77777777">
      <w:pPr>
        <w:pStyle w:val="Geenafstand"/>
        <w:rPr>
          <w:rFonts w:ascii="Verdana" w:hAnsi="Verdana"/>
          <w:sz w:val="18"/>
          <w:szCs w:val="18"/>
        </w:rPr>
      </w:pPr>
    </w:p>
    <w:p w:rsidRPr="000F058E" w:rsidR="00A450AE" w:rsidP="00A450AE" w:rsidRDefault="00A450AE" w14:paraId="4CB5D835" w14:textId="77777777">
      <w:pPr>
        <w:pStyle w:val="Geenafstand"/>
        <w:rPr>
          <w:rFonts w:ascii="Verdana" w:hAnsi="Verdana"/>
          <w:i/>
          <w:iCs/>
          <w:sz w:val="18"/>
          <w:szCs w:val="18"/>
        </w:rPr>
      </w:pPr>
      <w:r w:rsidRPr="00FF46E3">
        <w:rPr>
          <w:rFonts w:ascii="Verdana" w:hAnsi="Verdana"/>
          <w:i/>
          <w:iCs/>
          <w:sz w:val="18"/>
          <w:szCs w:val="18"/>
        </w:rPr>
        <w:t>“Nationale CSIRT”</w:t>
      </w:r>
    </w:p>
    <w:p w:rsidRPr="00FF46E3" w:rsidR="0049127D" w:rsidP="00A450AE" w:rsidRDefault="006A14A5" w14:paraId="6843227D" w14:textId="74F1BCDE">
      <w:pPr>
        <w:pStyle w:val="Geenafstand"/>
        <w:rPr>
          <w:rFonts w:ascii="Verdana" w:hAnsi="Verdana"/>
          <w:sz w:val="18"/>
          <w:szCs w:val="18"/>
        </w:rPr>
      </w:pPr>
      <w:r>
        <w:rPr>
          <w:rFonts w:ascii="Verdana" w:hAnsi="Verdana"/>
          <w:sz w:val="18"/>
          <w:szCs w:val="18"/>
        </w:rPr>
        <w:t>CVNL</w:t>
      </w:r>
      <w:r w:rsidRPr="00FF46E3" w:rsidR="00A450AE">
        <w:rPr>
          <w:rFonts w:ascii="Verdana" w:hAnsi="Verdana"/>
          <w:sz w:val="18"/>
          <w:szCs w:val="18"/>
        </w:rPr>
        <w:t xml:space="preserve"> pleit voor het expliciet aanwijzen van het NCSC als nationale CSIRT. Dit is juridisch niet mogelijk</w:t>
      </w:r>
      <w:r w:rsidR="0095498E">
        <w:rPr>
          <w:rFonts w:ascii="Verdana" w:hAnsi="Verdana"/>
          <w:sz w:val="18"/>
          <w:szCs w:val="18"/>
        </w:rPr>
        <w:t xml:space="preserve"> in de </w:t>
      </w:r>
      <w:proofErr w:type="spellStart"/>
      <w:r w:rsidR="0095498E">
        <w:rPr>
          <w:rFonts w:ascii="Verdana" w:hAnsi="Verdana"/>
          <w:sz w:val="18"/>
          <w:szCs w:val="18"/>
        </w:rPr>
        <w:t>Cbw</w:t>
      </w:r>
      <w:proofErr w:type="spellEnd"/>
      <w:r w:rsidRPr="00FF46E3" w:rsidR="00A450AE">
        <w:rPr>
          <w:rFonts w:ascii="Verdana" w:hAnsi="Verdana"/>
          <w:sz w:val="18"/>
          <w:szCs w:val="18"/>
        </w:rPr>
        <w:t xml:space="preserve">. </w:t>
      </w:r>
      <w:r w:rsidRPr="0095498E" w:rsidR="0095498E">
        <w:rPr>
          <w:rFonts w:ascii="Verdana" w:hAnsi="Verdana"/>
          <w:sz w:val="18"/>
          <w:szCs w:val="18"/>
        </w:rPr>
        <w:t xml:space="preserve">In de praktijk zal het NCSC in binnen- en buitenland, ook zonder formele aanwijzing, als </w:t>
      </w:r>
      <w:r w:rsidR="00786301">
        <w:rPr>
          <w:rFonts w:ascii="Verdana" w:hAnsi="Verdana"/>
          <w:sz w:val="18"/>
          <w:szCs w:val="18"/>
        </w:rPr>
        <w:t xml:space="preserve">het zogeheten </w:t>
      </w:r>
      <w:r w:rsidRPr="0095498E" w:rsidR="0095498E">
        <w:rPr>
          <w:rFonts w:ascii="Verdana" w:hAnsi="Verdana"/>
          <w:sz w:val="18"/>
          <w:szCs w:val="18"/>
        </w:rPr>
        <w:t xml:space="preserve">“nationale CSIRT” opereren, ook gelet op de overige taken die het NCSC op grond van de </w:t>
      </w:r>
      <w:proofErr w:type="spellStart"/>
      <w:r w:rsidRPr="0095498E" w:rsidR="0095498E">
        <w:rPr>
          <w:rFonts w:ascii="Verdana" w:hAnsi="Verdana"/>
          <w:sz w:val="18"/>
          <w:szCs w:val="18"/>
        </w:rPr>
        <w:t>Cbw</w:t>
      </w:r>
      <w:proofErr w:type="spellEnd"/>
      <w:r w:rsidRPr="0095498E" w:rsidR="0095498E">
        <w:rPr>
          <w:rFonts w:ascii="Verdana" w:hAnsi="Verdana"/>
          <w:sz w:val="18"/>
          <w:szCs w:val="18"/>
        </w:rPr>
        <w:t xml:space="preserve"> vervult en de cruciale positie die het NCSC inneemt in het versterken van de digitale weerbaarheid.</w:t>
      </w:r>
      <w:r w:rsidR="0095498E">
        <w:rPr>
          <w:rFonts w:ascii="Verdana" w:hAnsi="Verdana"/>
          <w:sz w:val="18"/>
          <w:szCs w:val="18"/>
        </w:rPr>
        <w:t xml:space="preserve"> </w:t>
      </w:r>
    </w:p>
    <w:p w:rsidRPr="00FF46E3" w:rsidR="00A450AE" w:rsidP="00A450AE" w:rsidRDefault="00A450AE" w14:paraId="2D0FA999" w14:textId="77777777">
      <w:pPr>
        <w:pStyle w:val="Geenafstand"/>
        <w:rPr>
          <w:rFonts w:ascii="Verdana" w:hAnsi="Verdana"/>
          <w:sz w:val="18"/>
          <w:szCs w:val="18"/>
        </w:rPr>
      </w:pPr>
    </w:p>
    <w:p w:rsidRPr="00FF46E3" w:rsidR="00A450AE" w:rsidP="00A450AE" w:rsidRDefault="00A450AE" w14:paraId="4CEA0EC0" w14:textId="64705762">
      <w:pPr>
        <w:pStyle w:val="Kop2"/>
      </w:pPr>
      <w:bookmarkStart w:name="_Toc198721153" w:id="231"/>
      <w:r w:rsidRPr="00FF46E3">
        <w:t>9.</w:t>
      </w:r>
      <w:r w:rsidR="00CB13D7">
        <w:t>12</w:t>
      </w:r>
      <w:r w:rsidRPr="00FF46E3">
        <w:t xml:space="preserve"> Handhaving</w:t>
      </w:r>
      <w:bookmarkEnd w:id="231"/>
    </w:p>
    <w:p w:rsidRPr="00FF46E3" w:rsidR="00A450AE" w:rsidP="00A450AE" w:rsidRDefault="00A450AE" w14:paraId="4A44B01E" w14:textId="77777777">
      <w:pPr>
        <w:pStyle w:val="Geenafstand"/>
        <w:rPr>
          <w:rFonts w:ascii="Verdana" w:hAnsi="Verdana"/>
          <w:sz w:val="18"/>
          <w:szCs w:val="18"/>
        </w:rPr>
      </w:pPr>
    </w:p>
    <w:p w:rsidRPr="000F058E" w:rsidR="00A450AE" w:rsidP="00A450AE" w:rsidRDefault="00A450AE" w14:paraId="48255CF8" w14:textId="77777777">
      <w:pPr>
        <w:pStyle w:val="Geenafstand"/>
        <w:rPr>
          <w:rFonts w:ascii="Verdana" w:hAnsi="Verdana" w:eastAsia="Times New Roman" w:cs="Arial"/>
          <w:i/>
          <w:iCs/>
          <w:sz w:val="18"/>
          <w:szCs w:val="18"/>
          <w:lang w:eastAsia="nl-NL"/>
        </w:rPr>
      </w:pPr>
      <w:r w:rsidRPr="000F058E">
        <w:rPr>
          <w:rFonts w:ascii="Verdana" w:hAnsi="Verdana" w:eastAsia="Times New Roman" w:cs="Arial"/>
          <w:i/>
          <w:iCs/>
          <w:sz w:val="18"/>
          <w:szCs w:val="18"/>
          <w:lang w:eastAsia="nl-NL"/>
        </w:rPr>
        <w:t xml:space="preserve">Eisen </w:t>
      </w:r>
      <w:r w:rsidRPr="00FF46E3">
        <w:rPr>
          <w:rFonts w:ascii="Verdana" w:hAnsi="Verdana" w:eastAsia="Times New Roman" w:cs="Arial"/>
          <w:i/>
          <w:iCs/>
          <w:sz w:val="18"/>
          <w:szCs w:val="18"/>
          <w:lang w:eastAsia="nl-NL"/>
        </w:rPr>
        <w:t>aan besluit en rechtsbescherming</w:t>
      </w:r>
    </w:p>
    <w:p w:rsidRPr="00FF46E3" w:rsidR="00A450AE" w:rsidP="00A450AE" w:rsidRDefault="00A450AE" w14:paraId="5C6C696A" w14:textId="44D5268A">
      <w:pPr>
        <w:pStyle w:val="Geenafstand"/>
        <w:rPr>
          <w:rFonts w:ascii="Verdana" w:hAnsi="Verdana" w:eastAsia="Times New Roman" w:cs="Arial"/>
          <w:sz w:val="18"/>
          <w:szCs w:val="18"/>
          <w:lang w:eastAsia="nl-NL"/>
        </w:rPr>
      </w:pPr>
      <w:r w:rsidRPr="00FF46E3">
        <w:rPr>
          <w:rFonts w:ascii="Verdana" w:hAnsi="Verdana" w:eastAsia="Times New Roman" w:cs="Arial"/>
          <w:sz w:val="18"/>
          <w:szCs w:val="18"/>
          <w:lang w:eastAsia="nl-NL"/>
        </w:rPr>
        <w:t xml:space="preserve">Uit enkele consultatiereacties blijkt dat het niet duidelijk is aan welke eisen een besluit van de toezichthoudende instantie moet voldoen en welke rechtsmiddelen entiteiten kunnen aanwenden tegen een belastend besluit van de toezichthoudende instantie (zoals de verplichting om een overtreding van de </w:t>
      </w:r>
      <w:proofErr w:type="spellStart"/>
      <w:r w:rsidRPr="00FF46E3">
        <w:rPr>
          <w:rFonts w:ascii="Verdana" w:hAnsi="Verdana" w:eastAsia="Times New Roman" w:cs="Arial"/>
          <w:sz w:val="18"/>
          <w:szCs w:val="18"/>
          <w:lang w:eastAsia="nl-NL"/>
        </w:rPr>
        <w:t>Cbw</w:t>
      </w:r>
      <w:proofErr w:type="spellEnd"/>
      <w:r w:rsidRPr="00FF46E3">
        <w:rPr>
          <w:rFonts w:ascii="Verdana" w:hAnsi="Verdana" w:eastAsia="Times New Roman" w:cs="Arial"/>
          <w:sz w:val="18"/>
          <w:szCs w:val="18"/>
          <w:lang w:eastAsia="nl-NL"/>
        </w:rPr>
        <w:t xml:space="preserve"> openbaar te maken of om een audit uit te voeren). Naar aanleiding van deze reacties is in de memorie van toelichting </w:t>
      </w:r>
      <w:r w:rsidR="00C72553">
        <w:rPr>
          <w:rFonts w:ascii="Verdana" w:hAnsi="Verdana" w:eastAsia="Times New Roman" w:cs="Arial"/>
          <w:sz w:val="18"/>
          <w:szCs w:val="18"/>
          <w:lang w:eastAsia="nl-NL"/>
        </w:rPr>
        <w:t>een paragraaf toegevoegd (thans paragraaf 5.9), waarin</w:t>
      </w:r>
      <w:r w:rsidRPr="00FF46E3">
        <w:rPr>
          <w:rFonts w:ascii="Verdana" w:hAnsi="Verdana" w:eastAsia="Times New Roman" w:cs="Arial"/>
          <w:sz w:val="18"/>
          <w:szCs w:val="18"/>
          <w:lang w:eastAsia="nl-NL"/>
        </w:rPr>
        <w:t xml:space="preserve"> wordt ingegaan op de eisen die gelden voor de toezichthoudende instantie bij besluiten en de rechtsbescherming daartegen. </w:t>
      </w:r>
    </w:p>
    <w:p w:rsidRPr="00FF46E3" w:rsidR="00A450AE" w:rsidP="00A450AE" w:rsidRDefault="00A450AE" w14:paraId="4614E0BF" w14:textId="77777777">
      <w:pPr>
        <w:pStyle w:val="Geenafstand"/>
        <w:rPr>
          <w:rFonts w:ascii="Verdana" w:hAnsi="Verdana"/>
          <w:sz w:val="18"/>
          <w:szCs w:val="18"/>
        </w:rPr>
      </w:pPr>
    </w:p>
    <w:p w:rsidRPr="00AC212B" w:rsidR="008F5731" w:rsidP="00A450AE" w:rsidRDefault="008F5731" w14:paraId="7112A60F" w14:textId="17402794">
      <w:pPr>
        <w:pStyle w:val="Geenafstand"/>
        <w:rPr>
          <w:rFonts w:ascii="Verdana" w:hAnsi="Verdana" w:eastAsia="Times New Roman" w:cs="Arial"/>
          <w:i/>
          <w:iCs/>
          <w:sz w:val="18"/>
          <w:szCs w:val="18"/>
          <w:lang w:eastAsia="nl-NL"/>
        </w:rPr>
      </w:pPr>
      <w:r>
        <w:rPr>
          <w:rFonts w:ascii="Verdana" w:hAnsi="Verdana" w:eastAsia="Times New Roman" w:cs="Arial"/>
          <w:i/>
          <w:iCs/>
          <w:sz w:val="18"/>
          <w:szCs w:val="18"/>
          <w:lang w:eastAsia="nl-NL"/>
        </w:rPr>
        <w:t>Inzet handhavingsinstrument</w:t>
      </w:r>
    </w:p>
    <w:p w:rsidRPr="00FF46E3" w:rsidR="00A450AE" w:rsidP="00A450AE" w:rsidRDefault="00A450AE" w14:paraId="29FEE60A" w14:textId="07F67329">
      <w:pPr>
        <w:pStyle w:val="Geenafstand"/>
        <w:rPr>
          <w:rFonts w:ascii="Verdana" w:hAnsi="Verdana" w:eastAsia="Times New Roman" w:cs="Arial"/>
          <w:sz w:val="18"/>
          <w:szCs w:val="18"/>
          <w:lang w:eastAsia="nl-NL"/>
        </w:rPr>
      </w:pPr>
      <w:r w:rsidRPr="00FF46E3">
        <w:rPr>
          <w:rFonts w:ascii="Verdana" w:hAnsi="Verdana" w:eastAsia="Times New Roman" w:cs="Arial"/>
          <w:sz w:val="18"/>
          <w:szCs w:val="18"/>
          <w:lang w:eastAsia="nl-NL"/>
        </w:rPr>
        <w:t xml:space="preserve">Uit een aantal consultatiereacties, waaronder die van </w:t>
      </w:r>
      <w:proofErr w:type="spellStart"/>
      <w:r w:rsidRPr="00FF46E3" w:rsidR="0082029B">
        <w:rPr>
          <w:rFonts w:ascii="Verdana" w:hAnsi="Verdana" w:eastAsia="Times New Roman" w:cs="Arial"/>
          <w:sz w:val="18"/>
          <w:szCs w:val="18"/>
          <w:lang w:eastAsia="nl-NL"/>
        </w:rPr>
        <w:t>N</w:t>
      </w:r>
      <w:r w:rsidR="0082029B">
        <w:rPr>
          <w:rFonts w:ascii="Verdana" w:hAnsi="Verdana" w:eastAsia="Times New Roman" w:cs="Arial"/>
          <w:sz w:val="18"/>
          <w:szCs w:val="18"/>
          <w:lang w:eastAsia="nl-NL"/>
        </w:rPr>
        <w:t>L</w:t>
      </w:r>
      <w:r w:rsidRPr="00FF46E3" w:rsidR="0082029B">
        <w:rPr>
          <w:rFonts w:ascii="Verdana" w:hAnsi="Verdana" w:eastAsia="Times New Roman" w:cs="Arial"/>
          <w:sz w:val="18"/>
          <w:szCs w:val="18"/>
          <w:lang w:eastAsia="nl-NL"/>
        </w:rPr>
        <w:t>connect</w:t>
      </w:r>
      <w:proofErr w:type="spellEnd"/>
      <w:r w:rsidRPr="00FF46E3">
        <w:rPr>
          <w:rFonts w:ascii="Verdana" w:hAnsi="Verdana" w:eastAsia="Times New Roman" w:cs="Arial"/>
          <w:sz w:val="18"/>
          <w:szCs w:val="18"/>
          <w:lang w:eastAsia="nl-NL"/>
        </w:rPr>
        <w:t xml:space="preserve"> en </w:t>
      </w:r>
      <w:proofErr w:type="spellStart"/>
      <w:r w:rsidRPr="00FF46E3" w:rsidR="0082029B">
        <w:rPr>
          <w:rFonts w:ascii="Verdana" w:hAnsi="Verdana" w:eastAsia="Times New Roman" w:cs="Arial"/>
          <w:sz w:val="18"/>
          <w:szCs w:val="18"/>
          <w:lang w:eastAsia="nl-NL"/>
        </w:rPr>
        <w:t>N</w:t>
      </w:r>
      <w:r w:rsidR="0082029B">
        <w:rPr>
          <w:rFonts w:ascii="Verdana" w:hAnsi="Verdana" w:eastAsia="Times New Roman" w:cs="Arial"/>
          <w:sz w:val="18"/>
          <w:szCs w:val="18"/>
          <w:lang w:eastAsia="nl-NL"/>
        </w:rPr>
        <w:t>L</w:t>
      </w:r>
      <w:r w:rsidRPr="00FF46E3" w:rsidR="0082029B">
        <w:rPr>
          <w:rFonts w:ascii="Verdana" w:hAnsi="Verdana" w:eastAsia="Times New Roman" w:cs="Arial"/>
          <w:sz w:val="18"/>
          <w:szCs w:val="18"/>
          <w:lang w:eastAsia="nl-NL"/>
        </w:rPr>
        <w:t>digital</w:t>
      </w:r>
      <w:proofErr w:type="spellEnd"/>
      <w:r w:rsidRPr="00FF46E3">
        <w:rPr>
          <w:rFonts w:ascii="Verdana" w:hAnsi="Verdana" w:eastAsia="Times New Roman" w:cs="Arial"/>
          <w:sz w:val="18"/>
          <w:szCs w:val="18"/>
          <w:lang w:eastAsia="nl-NL"/>
        </w:rPr>
        <w:t xml:space="preserve">, blijkt dat niet duidelijk is wanneer welk instrument kan worden ingezet door de toezichthouders. In reactie hierop </w:t>
      </w:r>
      <w:r w:rsidR="00BE18BE">
        <w:rPr>
          <w:rFonts w:ascii="Verdana" w:hAnsi="Verdana" w:eastAsia="Times New Roman" w:cs="Arial"/>
          <w:sz w:val="18"/>
          <w:szCs w:val="18"/>
          <w:lang w:eastAsia="nl-NL"/>
        </w:rPr>
        <w:t>wordt opgemerkt</w:t>
      </w:r>
      <w:r w:rsidRPr="00FF46E3">
        <w:rPr>
          <w:rFonts w:ascii="Verdana" w:hAnsi="Verdana" w:eastAsia="Times New Roman" w:cs="Arial"/>
          <w:sz w:val="18"/>
          <w:szCs w:val="18"/>
          <w:lang w:eastAsia="nl-NL"/>
        </w:rPr>
        <w:t xml:space="preserve"> dat de toezichthouders bij het nemen van handhavingsmaatregelen, gelet </w:t>
      </w:r>
      <w:r w:rsidR="001128F0">
        <w:rPr>
          <w:rFonts w:ascii="Verdana" w:hAnsi="Verdana" w:eastAsia="Times New Roman" w:cs="Arial"/>
          <w:sz w:val="18"/>
          <w:szCs w:val="18"/>
          <w:lang w:eastAsia="nl-NL"/>
        </w:rPr>
        <w:t xml:space="preserve">op de vereisten hierover </w:t>
      </w:r>
      <w:r w:rsidR="00EA4D01">
        <w:rPr>
          <w:rFonts w:ascii="Verdana" w:hAnsi="Verdana" w:eastAsia="Times New Roman" w:cs="Arial"/>
          <w:sz w:val="18"/>
          <w:szCs w:val="18"/>
          <w:lang w:eastAsia="nl-NL"/>
        </w:rPr>
        <w:t>uit</w:t>
      </w:r>
      <w:r w:rsidR="001128F0">
        <w:rPr>
          <w:rFonts w:ascii="Verdana" w:hAnsi="Verdana" w:eastAsia="Times New Roman" w:cs="Arial"/>
          <w:sz w:val="18"/>
          <w:szCs w:val="18"/>
          <w:lang w:eastAsia="nl-NL"/>
        </w:rPr>
        <w:t xml:space="preserve"> de </w:t>
      </w:r>
      <w:proofErr w:type="spellStart"/>
      <w:r w:rsidR="001128F0">
        <w:rPr>
          <w:rFonts w:ascii="Verdana" w:hAnsi="Verdana" w:eastAsia="Times New Roman" w:cs="Arial"/>
          <w:sz w:val="18"/>
          <w:szCs w:val="18"/>
          <w:lang w:eastAsia="nl-NL"/>
        </w:rPr>
        <w:t>Awb</w:t>
      </w:r>
      <w:proofErr w:type="spellEnd"/>
      <w:r w:rsidR="001128F0">
        <w:rPr>
          <w:rFonts w:ascii="Verdana" w:hAnsi="Verdana" w:eastAsia="Times New Roman" w:cs="Arial"/>
          <w:sz w:val="18"/>
          <w:szCs w:val="18"/>
          <w:lang w:eastAsia="nl-NL"/>
        </w:rPr>
        <w:t xml:space="preserve"> en de algemene beginselen van behoorlijk bestuur</w:t>
      </w:r>
      <w:r w:rsidRPr="00FF46E3">
        <w:rPr>
          <w:rFonts w:ascii="Verdana" w:hAnsi="Verdana" w:eastAsia="Times New Roman" w:cs="Arial"/>
          <w:sz w:val="18"/>
          <w:szCs w:val="18"/>
          <w:lang w:eastAsia="nl-NL"/>
        </w:rPr>
        <w:t xml:space="preserve">, een afwegingskader zullen hanteren, waarbij rekening wordt gehouden met de omstandigheden van elk afzonderlijk geval (zoals de ernst van de overtreding). </w:t>
      </w:r>
    </w:p>
    <w:p w:rsidRPr="00FF46E3" w:rsidR="00A450AE" w:rsidP="00A450AE" w:rsidRDefault="00A450AE" w14:paraId="32CBE1A1" w14:textId="77777777">
      <w:pPr>
        <w:pStyle w:val="Geenafstand"/>
        <w:rPr>
          <w:rFonts w:ascii="Verdana" w:hAnsi="Verdana" w:eastAsia="Times New Roman" w:cs="Arial"/>
          <w:sz w:val="18"/>
          <w:szCs w:val="18"/>
          <w:lang w:eastAsia="nl-NL"/>
        </w:rPr>
      </w:pPr>
    </w:p>
    <w:p w:rsidRPr="00AC212B" w:rsidR="009120DD" w:rsidP="00A450AE" w:rsidRDefault="009120DD" w14:paraId="22A13D70" w14:textId="7B2F3E13">
      <w:pPr>
        <w:pStyle w:val="Geenafstand"/>
        <w:rPr>
          <w:rFonts w:ascii="Verdana" w:hAnsi="Verdana" w:eastAsia="Times New Roman" w:cs="Arial"/>
          <w:i/>
          <w:iCs/>
          <w:sz w:val="18"/>
          <w:szCs w:val="18"/>
          <w:lang w:eastAsia="nl-NL"/>
        </w:rPr>
      </w:pPr>
      <w:r>
        <w:rPr>
          <w:rFonts w:ascii="Verdana" w:hAnsi="Verdana" w:eastAsia="Times New Roman" w:cs="Arial"/>
          <w:i/>
          <w:iCs/>
          <w:sz w:val="18"/>
          <w:szCs w:val="18"/>
          <w:lang w:eastAsia="nl-NL"/>
        </w:rPr>
        <w:t>Audit</w:t>
      </w:r>
    </w:p>
    <w:p w:rsidRPr="00FF46E3" w:rsidR="00A450AE" w:rsidP="00A450AE" w:rsidRDefault="00A450AE" w14:paraId="529BA8B7" w14:textId="634329A3">
      <w:pPr>
        <w:pStyle w:val="Geenafstand"/>
        <w:rPr>
          <w:rFonts w:ascii="Verdana" w:hAnsi="Verdana" w:eastAsia="Times New Roman" w:cs="Arial"/>
          <w:sz w:val="18"/>
          <w:szCs w:val="18"/>
          <w:lang w:eastAsia="nl-NL"/>
        </w:rPr>
      </w:pPr>
      <w:r w:rsidRPr="00FF46E3">
        <w:rPr>
          <w:rFonts w:ascii="Verdana" w:hAnsi="Verdana" w:eastAsia="Times New Roman" w:cs="Arial"/>
          <w:sz w:val="18"/>
          <w:szCs w:val="18"/>
          <w:lang w:eastAsia="nl-NL"/>
        </w:rPr>
        <w:t xml:space="preserve">In een consultatiereactie wordt gevraagd waarom een audit ingezet kan worden bij ISO-gecertificeerde partijen. </w:t>
      </w:r>
      <w:r w:rsidR="00BE18BE">
        <w:rPr>
          <w:rFonts w:ascii="Verdana" w:hAnsi="Verdana" w:eastAsia="Times New Roman" w:cs="Arial"/>
          <w:sz w:val="18"/>
          <w:szCs w:val="18"/>
          <w:lang w:eastAsia="nl-NL"/>
        </w:rPr>
        <w:t>In reactie hierop wordt opgemerkt</w:t>
      </w:r>
      <w:r w:rsidRPr="00FF46E3">
        <w:rPr>
          <w:rFonts w:ascii="Verdana" w:hAnsi="Verdana" w:eastAsia="Times New Roman" w:cs="Arial"/>
          <w:sz w:val="18"/>
          <w:szCs w:val="18"/>
          <w:lang w:eastAsia="nl-NL"/>
        </w:rPr>
        <w:t xml:space="preserve"> dat het door een entiteit voldoen aan bijvoorbeeld genoemde certificering zal bijdragen aan het versterken van de eigen digitale weerbaarheid, maar dat dit niet zonder meer betekent dat daarmee ook aan de verplichtingen in de </w:t>
      </w:r>
      <w:proofErr w:type="spellStart"/>
      <w:r w:rsidRPr="00FF46E3">
        <w:rPr>
          <w:rFonts w:ascii="Verdana" w:hAnsi="Verdana" w:eastAsia="Times New Roman" w:cs="Arial"/>
          <w:sz w:val="18"/>
          <w:szCs w:val="18"/>
          <w:lang w:eastAsia="nl-NL"/>
        </w:rPr>
        <w:t>Cbw</w:t>
      </w:r>
      <w:proofErr w:type="spellEnd"/>
      <w:r w:rsidRPr="00FF46E3">
        <w:rPr>
          <w:rFonts w:ascii="Verdana" w:hAnsi="Verdana" w:eastAsia="Times New Roman" w:cs="Arial"/>
          <w:sz w:val="18"/>
          <w:szCs w:val="18"/>
          <w:lang w:eastAsia="nl-NL"/>
        </w:rPr>
        <w:t xml:space="preserve"> wordt voldaan. De toezichthouder zal bij het beoordelen of in een specifiek geval een audit zal worden gelast uiteraard wel ook rekening houden met een certificering.</w:t>
      </w:r>
    </w:p>
    <w:p w:rsidRPr="00FF46E3" w:rsidR="008F5731" w:rsidP="008F5731" w:rsidRDefault="008F5731" w14:paraId="06DB8C67" w14:textId="77777777">
      <w:pPr>
        <w:pStyle w:val="Geenafstand"/>
        <w:rPr>
          <w:rFonts w:ascii="Verdana" w:hAnsi="Verdana"/>
          <w:sz w:val="18"/>
          <w:szCs w:val="18"/>
        </w:rPr>
      </w:pPr>
      <w:r w:rsidRPr="00FF46E3">
        <w:rPr>
          <w:rFonts w:ascii="Verdana" w:hAnsi="Verdana"/>
          <w:sz w:val="18"/>
          <w:szCs w:val="18"/>
        </w:rPr>
        <w:t xml:space="preserve">Volgens Huawei is in de </w:t>
      </w:r>
      <w:proofErr w:type="spellStart"/>
      <w:r w:rsidRPr="00FF46E3">
        <w:rPr>
          <w:rFonts w:ascii="Verdana" w:hAnsi="Verdana"/>
          <w:sz w:val="18"/>
          <w:szCs w:val="18"/>
        </w:rPr>
        <w:t>Cbw</w:t>
      </w:r>
      <w:proofErr w:type="spellEnd"/>
      <w:r w:rsidRPr="00FF46E3">
        <w:rPr>
          <w:rFonts w:ascii="Verdana" w:hAnsi="Verdana"/>
          <w:sz w:val="18"/>
          <w:szCs w:val="18"/>
        </w:rPr>
        <w:t xml:space="preserve"> de bevoegdheid van de bevoegde autoriteit tot het opleggen van een audit uitgebreid ten opzichte van de bevoegdheid die de NIS2-richtlijn voorschrijft. </w:t>
      </w:r>
      <w:r>
        <w:rPr>
          <w:rFonts w:ascii="Verdana" w:hAnsi="Verdana"/>
          <w:sz w:val="18"/>
          <w:szCs w:val="18"/>
        </w:rPr>
        <w:t>In reactie hierop wordt toegelicht dat er</w:t>
      </w:r>
      <w:r w:rsidRPr="00FF46E3">
        <w:rPr>
          <w:rFonts w:ascii="Verdana" w:hAnsi="Verdana"/>
          <w:sz w:val="18"/>
          <w:szCs w:val="18"/>
        </w:rPr>
        <w:t xml:space="preserve"> geen sprake </w:t>
      </w:r>
      <w:r>
        <w:rPr>
          <w:rFonts w:ascii="Verdana" w:hAnsi="Verdana"/>
          <w:sz w:val="18"/>
          <w:szCs w:val="18"/>
        </w:rPr>
        <w:t xml:space="preserve">is </w:t>
      </w:r>
      <w:r w:rsidRPr="00FF46E3">
        <w:rPr>
          <w:rFonts w:ascii="Verdana" w:hAnsi="Verdana"/>
          <w:sz w:val="18"/>
          <w:szCs w:val="18"/>
        </w:rPr>
        <w:t xml:space="preserve">van een dergelijke uitbreiding, omdat de NIS2-richtlijn die ruimte niet biedt aan lidstaten. </w:t>
      </w:r>
    </w:p>
    <w:p w:rsidRPr="00FF46E3" w:rsidR="008F5731" w:rsidP="008F5731" w:rsidRDefault="008F5731" w14:paraId="2FA5FD9F" w14:textId="4D156A45">
      <w:pPr>
        <w:pStyle w:val="Geenafstand"/>
        <w:rPr>
          <w:rFonts w:ascii="Verdana" w:hAnsi="Verdana"/>
          <w:sz w:val="18"/>
          <w:szCs w:val="18"/>
        </w:rPr>
      </w:pPr>
      <w:r w:rsidRPr="00FF46E3">
        <w:rPr>
          <w:rFonts w:ascii="Verdana" w:hAnsi="Verdana"/>
          <w:sz w:val="18"/>
          <w:szCs w:val="18"/>
        </w:rPr>
        <w:t>In meerdere consultatiereacties, waaronder die van Huawei</w:t>
      </w:r>
      <w:r>
        <w:rPr>
          <w:rFonts w:ascii="Verdana" w:hAnsi="Verdana"/>
          <w:sz w:val="18"/>
          <w:szCs w:val="18"/>
        </w:rPr>
        <w:t xml:space="preserve"> en</w:t>
      </w:r>
      <w:r w:rsidRPr="00FF46E3">
        <w:rPr>
          <w:rFonts w:ascii="Verdana" w:hAnsi="Verdana"/>
          <w:sz w:val="18"/>
          <w:szCs w:val="18"/>
        </w:rPr>
        <w:t xml:space="preserve"> CIO Platform Nederland</w:t>
      </w:r>
      <w:r>
        <w:rPr>
          <w:rFonts w:ascii="Verdana" w:hAnsi="Verdana"/>
          <w:sz w:val="18"/>
          <w:szCs w:val="18"/>
        </w:rPr>
        <w:t>, wordt aangegeven</w:t>
      </w:r>
      <w:r w:rsidRPr="00FF46E3">
        <w:rPr>
          <w:rFonts w:ascii="Verdana" w:hAnsi="Verdana"/>
          <w:sz w:val="18"/>
          <w:szCs w:val="18"/>
        </w:rPr>
        <w:t xml:space="preserve"> dat in artikel </w:t>
      </w:r>
      <w:r w:rsidR="00F64E49">
        <w:rPr>
          <w:rFonts w:ascii="Verdana" w:hAnsi="Verdana"/>
          <w:sz w:val="18"/>
          <w:szCs w:val="18"/>
        </w:rPr>
        <w:t>83</w:t>
      </w:r>
      <w:r w:rsidRPr="00FF46E3" w:rsidR="00F64E49">
        <w:rPr>
          <w:rFonts w:ascii="Verdana" w:hAnsi="Verdana"/>
          <w:sz w:val="18"/>
          <w:szCs w:val="18"/>
        </w:rPr>
        <w:t xml:space="preserve"> </w:t>
      </w:r>
      <w:proofErr w:type="spellStart"/>
      <w:r w:rsidR="004B5C46">
        <w:rPr>
          <w:rFonts w:ascii="Verdana" w:hAnsi="Verdana"/>
          <w:sz w:val="18"/>
          <w:szCs w:val="18"/>
        </w:rPr>
        <w:t>Cbw</w:t>
      </w:r>
      <w:proofErr w:type="spellEnd"/>
      <w:r w:rsidR="004B5C46">
        <w:rPr>
          <w:rFonts w:ascii="Verdana" w:hAnsi="Verdana"/>
          <w:sz w:val="18"/>
          <w:szCs w:val="18"/>
        </w:rPr>
        <w:t xml:space="preserve"> </w:t>
      </w:r>
      <w:r w:rsidRPr="00FF46E3">
        <w:rPr>
          <w:rFonts w:ascii="Verdana" w:hAnsi="Verdana"/>
          <w:sz w:val="18"/>
          <w:szCs w:val="18"/>
        </w:rPr>
        <w:t xml:space="preserve">(80 oud) moet worden opgenomen dat de bevoegde autoriteit een audit alleen kan opleggen in bepaalde situaties, aangezien bij belangrijke entiteiten het toezicht ex post plaatsvindt. In reactie </w:t>
      </w:r>
      <w:r>
        <w:rPr>
          <w:rFonts w:ascii="Verdana" w:hAnsi="Verdana"/>
          <w:sz w:val="18"/>
          <w:szCs w:val="18"/>
        </w:rPr>
        <w:t>wordt gewezen op</w:t>
      </w:r>
      <w:r w:rsidRPr="00FF46E3">
        <w:rPr>
          <w:rFonts w:ascii="Verdana" w:hAnsi="Verdana"/>
          <w:sz w:val="18"/>
          <w:szCs w:val="18"/>
        </w:rPr>
        <w:t xml:space="preserve"> artikel </w:t>
      </w:r>
      <w:r w:rsidR="00F64E49">
        <w:rPr>
          <w:rFonts w:ascii="Verdana" w:hAnsi="Verdana"/>
          <w:sz w:val="18"/>
          <w:szCs w:val="18"/>
        </w:rPr>
        <w:t>81</w:t>
      </w:r>
      <w:r w:rsidRPr="00FF46E3" w:rsidR="00F64E49">
        <w:rPr>
          <w:rFonts w:ascii="Verdana" w:hAnsi="Verdana"/>
          <w:sz w:val="18"/>
          <w:szCs w:val="18"/>
        </w:rPr>
        <w:t xml:space="preserve"> </w:t>
      </w:r>
      <w:proofErr w:type="spellStart"/>
      <w:r w:rsidRPr="00FF46E3">
        <w:rPr>
          <w:rFonts w:ascii="Verdana" w:hAnsi="Verdana"/>
          <w:sz w:val="18"/>
          <w:szCs w:val="18"/>
        </w:rPr>
        <w:t>Cbw</w:t>
      </w:r>
      <w:proofErr w:type="spellEnd"/>
      <w:r>
        <w:rPr>
          <w:rFonts w:ascii="Verdana" w:hAnsi="Verdana"/>
          <w:sz w:val="18"/>
          <w:szCs w:val="18"/>
        </w:rPr>
        <w:t>, dat</w:t>
      </w:r>
      <w:r w:rsidRPr="00FF46E3">
        <w:rPr>
          <w:rFonts w:ascii="Verdana" w:hAnsi="Verdana"/>
          <w:sz w:val="18"/>
          <w:szCs w:val="18"/>
        </w:rPr>
        <w:t xml:space="preserve"> al voorziet in een dergelijke clausulering. </w:t>
      </w:r>
    </w:p>
    <w:p w:rsidR="00A450AE" w:rsidP="00A450AE" w:rsidRDefault="00A450AE" w14:paraId="38A45C68" w14:textId="77777777">
      <w:pPr>
        <w:pStyle w:val="Geenafstand"/>
        <w:rPr>
          <w:rFonts w:ascii="Verdana" w:hAnsi="Verdana"/>
          <w:sz w:val="18"/>
          <w:szCs w:val="18"/>
        </w:rPr>
      </w:pPr>
    </w:p>
    <w:p w:rsidRPr="00AC212B" w:rsidR="009120DD" w:rsidP="00A450AE" w:rsidRDefault="009120DD" w14:paraId="4DEC5469" w14:textId="6302C0E6">
      <w:pPr>
        <w:pStyle w:val="Geenafstand"/>
        <w:rPr>
          <w:rFonts w:ascii="Verdana" w:hAnsi="Verdana"/>
          <w:i/>
          <w:iCs/>
          <w:sz w:val="18"/>
          <w:szCs w:val="18"/>
        </w:rPr>
      </w:pPr>
      <w:r>
        <w:rPr>
          <w:rFonts w:ascii="Verdana" w:hAnsi="Verdana"/>
          <w:i/>
          <w:iCs/>
          <w:sz w:val="18"/>
          <w:szCs w:val="18"/>
        </w:rPr>
        <w:t>Samenloop</w:t>
      </w:r>
    </w:p>
    <w:p w:rsidRPr="00FF46E3" w:rsidR="00A450AE" w:rsidP="00A450AE" w:rsidRDefault="00A450AE" w14:paraId="1479D927" w14:textId="4F6B81BC">
      <w:pPr>
        <w:pStyle w:val="Geenafstand"/>
        <w:rPr>
          <w:rFonts w:ascii="Verdana" w:hAnsi="Verdana"/>
          <w:sz w:val="18"/>
          <w:szCs w:val="18"/>
        </w:rPr>
      </w:pPr>
      <w:r w:rsidRPr="00FF46E3">
        <w:rPr>
          <w:rFonts w:ascii="Verdana" w:hAnsi="Verdana"/>
          <w:sz w:val="18"/>
          <w:szCs w:val="18"/>
        </w:rPr>
        <w:t xml:space="preserve">Het Interprovinciaal Overleg (hierna: IPO) merkt op dat aangezien een entiteit onder meerdere bevoegde autoriteiten kan vallen, de vraag is hoe de toezichthouders zich tot elkaar verhouden als er een cyberincident plaatsvindt waarbij persoonsgegevens betrokken zijn. Het IPO pleit ervoor om in de </w:t>
      </w:r>
      <w:proofErr w:type="spellStart"/>
      <w:r w:rsidRPr="00FF46E3">
        <w:rPr>
          <w:rFonts w:ascii="Verdana" w:hAnsi="Verdana"/>
          <w:sz w:val="18"/>
          <w:szCs w:val="18"/>
        </w:rPr>
        <w:t>Cbw</w:t>
      </w:r>
      <w:proofErr w:type="spellEnd"/>
      <w:r w:rsidRPr="00FF46E3">
        <w:rPr>
          <w:rFonts w:ascii="Verdana" w:hAnsi="Verdana"/>
          <w:sz w:val="18"/>
          <w:szCs w:val="18"/>
        </w:rPr>
        <w:t xml:space="preserve"> te regelen dat een entiteit, zoals een provincie, niet voor dezelfde feiten een boete ontvangt van zowel de ene als de andere bevoegde autoriteit. In reactie hierop </w:t>
      </w:r>
      <w:r w:rsidR="00BE18BE">
        <w:rPr>
          <w:rFonts w:ascii="Verdana" w:hAnsi="Verdana"/>
          <w:sz w:val="18"/>
          <w:szCs w:val="18"/>
        </w:rPr>
        <w:t>wordt gewezen</w:t>
      </w:r>
      <w:r w:rsidRPr="00FF46E3">
        <w:rPr>
          <w:rFonts w:ascii="Verdana" w:hAnsi="Verdana"/>
          <w:sz w:val="18"/>
          <w:szCs w:val="18"/>
        </w:rPr>
        <w:t xml:space="preserve"> op artikel </w:t>
      </w:r>
      <w:r>
        <w:rPr>
          <w:rFonts w:ascii="Verdana" w:hAnsi="Verdana"/>
          <w:sz w:val="18"/>
          <w:szCs w:val="18"/>
        </w:rPr>
        <w:t>58</w:t>
      </w:r>
      <w:r w:rsidRPr="00FF46E3">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over de samenwerking met toezichthoudende autoriteiten in het kader van inbreuken in verband met persoonsgegevens en het opleggen van een bestuurlijke boete vanwege een dergelijke inbreuk. </w:t>
      </w:r>
    </w:p>
    <w:p w:rsidRPr="00FF46E3" w:rsidR="00A450AE" w:rsidP="00A450AE" w:rsidRDefault="00A450AE" w14:paraId="218C58B4" w14:textId="77777777">
      <w:pPr>
        <w:pStyle w:val="Geenafstand"/>
        <w:rPr>
          <w:rFonts w:ascii="Verdana" w:hAnsi="Verdana"/>
          <w:sz w:val="18"/>
          <w:szCs w:val="18"/>
        </w:rPr>
      </w:pPr>
    </w:p>
    <w:p w:rsidRPr="000F058E" w:rsidR="00A450AE" w:rsidP="00A450AE" w:rsidRDefault="00A450AE" w14:paraId="2033B953" w14:textId="77777777">
      <w:pPr>
        <w:pStyle w:val="Geenafstand"/>
        <w:rPr>
          <w:rFonts w:ascii="Verdana" w:hAnsi="Verdana"/>
          <w:i/>
          <w:iCs/>
          <w:sz w:val="18"/>
          <w:szCs w:val="18"/>
        </w:rPr>
      </w:pPr>
      <w:r w:rsidRPr="000F058E">
        <w:rPr>
          <w:rFonts w:ascii="Verdana" w:hAnsi="Verdana"/>
          <w:i/>
          <w:iCs/>
          <w:sz w:val="18"/>
          <w:szCs w:val="18"/>
        </w:rPr>
        <w:t>Centralisatie toezicht</w:t>
      </w:r>
    </w:p>
    <w:p w:rsidRPr="00FF46E3" w:rsidR="00A450AE" w:rsidP="00A450AE" w:rsidRDefault="00A450AE" w14:paraId="7B596703" w14:textId="07F2CDDB">
      <w:pPr>
        <w:pStyle w:val="Geenafstand"/>
        <w:rPr>
          <w:rFonts w:ascii="Verdana" w:hAnsi="Verdana"/>
          <w:sz w:val="18"/>
          <w:szCs w:val="18"/>
        </w:rPr>
      </w:pPr>
      <w:r w:rsidRPr="00FF46E3">
        <w:rPr>
          <w:rFonts w:ascii="Verdana" w:hAnsi="Verdana" w:eastAsia="Times New Roman" w:cs="Arial"/>
          <w:sz w:val="18"/>
          <w:szCs w:val="18"/>
          <w:lang w:eastAsia="nl-NL"/>
        </w:rPr>
        <w:t xml:space="preserve">In een aantal consultatiereacties, waaronder die van HVG </w:t>
      </w:r>
      <w:proofErr w:type="spellStart"/>
      <w:r w:rsidRPr="00FF46E3">
        <w:rPr>
          <w:rFonts w:ascii="Verdana" w:hAnsi="Verdana" w:eastAsia="Times New Roman" w:cs="Arial"/>
          <w:sz w:val="18"/>
          <w:szCs w:val="18"/>
          <w:lang w:eastAsia="nl-NL"/>
        </w:rPr>
        <w:t>Law</w:t>
      </w:r>
      <w:proofErr w:type="spellEnd"/>
      <w:r w:rsidRPr="00FF46E3">
        <w:rPr>
          <w:rFonts w:ascii="Verdana" w:hAnsi="Verdana" w:eastAsia="Times New Roman" w:cs="Arial"/>
          <w:sz w:val="18"/>
          <w:szCs w:val="18"/>
          <w:lang w:eastAsia="nl-NL"/>
        </w:rPr>
        <w:t xml:space="preserve">, EY accountants </w:t>
      </w:r>
      <w:r w:rsidR="0042077A">
        <w:rPr>
          <w:rFonts w:ascii="Verdana" w:hAnsi="Verdana" w:eastAsia="Times New Roman" w:cs="Arial"/>
          <w:sz w:val="18"/>
          <w:szCs w:val="18"/>
          <w:lang w:eastAsia="nl-NL"/>
        </w:rPr>
        <w:t>en</w:t>
      </w:r>
      <w:r w:rsidRPr="00FF46E3">
        <w:rPr>
          <w:rFonts w:ascii="Verdana" w:hAnsi="Verdana" w:eastAsia="Times New Roman" w:cs="Arial"/>
          <w:sz w:val="18"/>
          <w:szCs w:val="18"/>
          <w:lang w:eastAsia="nl-NL"/>
        </w:rPr>
        <w:t xml:space="preserve"> EY adviseurs, wordt voorgesteld om het toezicht op de naleving van de </w:t>
      </w:r>
      <w:proofErr w:type="spellStart"/>
      <w:r w:rsidRPr="00FF46E3">
        <w:rPr>
          <w:rFonts w:ascii="Verdana" w:hAnsi="Verdana" w:eastAsia="Times New Roman" w:cs="Arial"/>
          <w:sz w:val="18"/>
          <w:szCs w:val="18"/>
          <w:lang w:eastAsia="nl-NL"/>
        </w:rPr>
        <w:t>Cbw</w:t>
      </w:r>
      <w:proofErr w:type="spellEnd"/>
      <w:r w:rsidRPr="00FF46E3">
        <w:rPr>
          <w:rFonts w:ascii="Verdana" w:hAnsi="Verdana" w:eastAsia="Times New Roman" w:cs="Arial"/>
          <w:sz w:val="18"/>
          <w:szCs w:val="18"/>
          <w:lang w:eastAsia="nl-NL"/>
        </w:rPr>
        <w:t xml:space="preserve"> bij een centrale toezichthouder te beleggen dan wel meer gecentraliseerd en niet versnipperd over meerdere toezichthouders. </w:t>
      </w:r>
      <w:r w:rsidR="00BE18BE">
        <w:rPr>
          <w:rFonts w:ascii="Verdana" w:hAnsi="Verdana" w:eastAsia="Times New Roman" w:cs="Arial"/>
          <w:sz w:val="18"/>
          <w:szCs w:val="18"/>
          <w:lang w:eastAsia="nl-NL"/>
        </w:rPr>
        <w:t>In reactie hierop wordt toegelicht dat</w:t>
      </w:r>
      <w:r w:rsidRPr="00FF46E3">
        <w:rPr>
          <w:rFonts w:ascii="Verdana" w:hAnsi="Verdana" w:eastAsia="Times New Roman" w:cs="Arial"/>
          <w:sz w:val="18"/>
          <w:szCs w:val="18"/>
          <w:lang w:eastAsia="nl-NL"/>
        </w:rPr>
        <w:t xml:space="preserve"> ervoor </w:t>
      </w:r>
      <w:r w:rsidR="00BE18BE">
        <w:rPr>
          <w:rFonts w:ascii="Verdana" w:hAnsi="Verdana" w:eastAsia="Times New Roman" w:cs="Arial"/>
          <w:sz w:val="18"/>
          <w:szCs w:val="18"/>
          <w:lang w:eastAsia="nl-NL"/>
        </w:rPr>
        <w:t xml:space="preserve">is </w:t>
      </w:r>
      <w:r w:rsidRPr="00FF46E3">
        <w:rPr>
          <w:rFonts w:ascii="Verdana" w:hAnsi="Verdana" w:eastAsia="Times New Roman" w:cs="Arial"/>
          <w:sz w:val="18"/>
          <w:szCs w:val="18"/>
          <w:lang w:eastAsia="nl-NL"/>
        </w:rPr>
        <w:t>gekozen om het toezicht te beleggen bij de sectorale toezichthouders, vanwege de sectorale kennis die een toezichthouder moet hebben en het kunnen combineren van sectoraal toezicht vanuit verschillende wetten bij een sectorale toezichthouder. Dit voorstel wordt daarom niet overgenomen.</w:t>
      </w:r>
    </w:p>
    <w:p w:rsidRPr="00FF46E3" w:rsidR="00A450AE" w:rsidP="00A450AE" w:rsidRDefault="00A450AE" w14:paraId="2FD1D155" w14:textId="77777777">
      <w:pPr>
        <w:pStyle w:val="Geenafstand"/>
        <w:rPr>
          <w:rFonts w:ascii="Verdana" w:hAnsi="Verdana"/>
          <w:sz w:val="18"/>
          <w:szCs w:val="18"/>
          <w:highlight w:val="yellow"/>
        </w:rPr>
      </w:pPr>
    </w:p>
    <w:p w:rsidRPr="000F058E" w:rsidR="00A450AE" w:rsidP="00A450AE" w:rsidRDefault="00A450AE" w14:paraId="1F586B72" w14:textId="77777777">
      <w:pPr>
        <w:pStyle w:val="Geenafstand"/>
        <w:rPr>
          <w:rFonts w:ascii="Verdana" w:hAnsi="Verdana"/>
          <w:i/>
          <w:iCs/>
          <w:sz w:val="18"/>
          <w:szCs w:val="18"/>
        </w:rPr>
      </w:pPr>
      <w:r w:rsidRPr="00FF46E3">
        <w:rPr>
          <w:rFonts w:ascii="Verdana" w:hAnsi="Verdana"/>
          <w:i/>
          <w:iCs/>
          <w:sz w:val="18"/>
          <w:szCs w:val="18"/>
        </w:rPr>
        <w:t>Verplichting tot openbaarmaking overtreding</w:t>
      </w:r>
    </w:p>
    <w:p w:rsidRPr="00FF46E3" w:rsidR="00A450AE" w:rsidP="00A450AE" w:rsidRDefault="00A450AE" w14:paraId="1E1EA56B" w14:textId="2C381449">
      <w:pPr>
        <w:pStyle w:val="Geenafstand"/>
        <w:rPr>
          <w:rFonts w:ascii="Verdana" w:hAnsi="Verdana"/>
          <w:sz w:val="18"/>
          <w:szCs w:val="18"/>
        </w:rPr>
      </w:pPr>
      <w:r w:rsidRPr="00FF46E3">
        <w:rPr>
          <w:rFonts w:ascii="Verdana" w:hAnsi="Verdana"/>
          <w:sz w:val="18"/>
          <w:szCs w:val="18"/>
        </w:rPr>
        <w:t xml:space="preserve">Enkele consultatiereacties, waaronder die van CIO Platform Nederland en ProRail B.V., zien op de artikelen in de </w:t>
      </w:r>
      <w:proofErr w:type="spellStart"/>
      <w:r w:rsidRPr="00FF46E3">
        <w:rPr>
          <w:rFonts w:ascii="Verdana" w:hAnsi="Verdana"/>
          <w:sz w:val="18"/>
          <w:szCs w:val="18"/>
        </w:rPr>
        <w:t>Cbw</w:t>
      </w:r>
      <w:proofErr w:type="spellEnd"/>
      <w:r w:rsidRPr="00FF46E3">
        <w:rPr>
          <w:rFonts w:ascii="Verdana" w:hAnsi="Verdana"/>
          <w:sz w:val="18"/>
          <w:szCs w:val="18"/>
        </w:rPr>
        <w:t xml:space="preserve"> waarin wordt geregeld dat de bevoegde autoriteit een entiteit kan verplichten een overtreding (deels) openbaar te maken. Deze reacties lijken te suggereren dat deze artikelen de verplichting voor entiteiten bevat om elke overtreding van de </w:t>
      </w:r>
      <w:proofErr w:type="spellStart"/>
      <w:r w:rsidRPr="00FF46E3">
        <w:rPr>
          <w:rFonts w:ascii="Verdana" w:hAnsi="Verdana"/>
          <w:sz w:val="18"/>
          <w:szCs w:val="18"/>
        </w:rPr>
        <w:t>Cbw</w:t>
      </w:r>
      <w:proofErr w:type="spellEnd"/>
      <w:r w:rsidRPr="00FF46E3">
        <w:rPr>
          <w:rFonts w:ascii="Verdana" w:hAnsi="Verdana"/>
          <w:sz w:val="18"/>
          <w:szCs w:val="18"/>
        </w:rPr>
        <w:t xml:space="preserve"> openbaar te maken. Daarnaast wordt in relatie tot die artikelen aangegeven dat terughoudend moet worden omgegaan met het opleggen van deze verplichting om eventuele (reputatie)schade door openbaring te beperken of voorkomen. </w:t>
      </w:r>
      <w:r w:rsidR="00BE18BE">
        <w:rPr>
          <w:rFonts w:ascii="Verdana" w:hAnsi="Verdana"/>
          <w:sz w:val="18"/>
          <w:szCs w:val="18"/>
        </w:rPr>
        <w:t>In reactie hierop wordt allereerst erop gewezen dat h</w:t>
      </w:r>
      <w:r w:rsidRPr="00FF46E3">
        <w:rPr>
          <w:rFonts w:ascii="Verdana" w:hAnsi="Verdana"/>
          <w:sz w:val="18"/>
          <w:szCs w:val="18"/>
        </w:rPr>
        <w:t xml:space="preserve">etgeen in de genoemde artikelen is geregeld, dwingend </w:t>
      </w:r>
      <w:r w:rsidR="00BE18BE">
        <w:rPr>
          <w:rFonts w:ascii="Verdana" w:hAnsi="Verdana"/>
          <w:sz w:val="18"/>
          <w:szCs w:val="18"/>
        </w:rPr>
        <w:t xml:space="preserve">wordt </w:t>
      </w:r>
      <w:r w:rsidRPr="00FF46E3">
        <w:rPr>
          <w:rFonts w:ascii="Verdana" w:hAnsi="Verdana"/>
          <w:sz w:val="18"/>
          <w:szCs w:val="18"/>
        </w:rPr>
        <w:t xml:space="preserve">voorgeschreven door de NIS2-richtlijn. Deze artikelen zien alleen op de bevoegdheid van de bevoegde autoriteit om een entiteit al dan niet de genoemde verplichting op te leggen. Het gaat dus niet om een verplichting (van rechtswege) voor entiteiten om altijd een overtreding openbaar te maken. </w:t>
      </w:r>
      <w:r w:rsidR="00BE18BE">
        <w:rPr>
          <w:rFonts w:ascii="Verdana" w:hAnsi="Verdana"/>
          <w:sz w:val="18"/>
          <w:szCs w:val="18"/>
        </w:rPr>
        <w:t>Hierbij wordt tevens gewezen</w:t>
      </w:r>
      <w:r w:rsidRPr="00FF46E3">
        <w:rPr>
          <w:rFonts w:ascii="Verdana" w:hAnsi="Verdana"/>
          <w:sz w:val="18"/>
          <w:szCs w:val="18"/>
        </w:rPr>
        <w:t xml:space="preserve"> naar paragraaf </w:t>
      </w:r>
      <w:r w:rsidR="00C72553">
        <w:rPr>
          <w:rFonts w:ascii="Verdana" w:hAnsi="Verdana"/>
          <w:sz w:val="18"/>
          <w:szCs w:val="18"/>
        </w:rPr>
        <w:t>5.9</w:t>
      </w:r>
      <w:r w:rsidRPr="00FF46E3">
        <w:rPr>
          <w:rFonts w:ascii="Verdana" w:hAnsi="Verdana"/>
          <w:sz w:val="18"/>
          <w:szCs w:val="18"/>
        </w:rPr>
        <w:t>, waarin wordt ingegaan op de eisen die gelden voor de bevoegde autoriteit bij het nemen van het besluit tot het opleggen van deze verplichting en de rechtsbescherming daartegen. Ook geldt hier dat de bevoegde autoriteit een afwegingskader zal hanteren bij het nemen van het besluit, waarbij rekening wordt gehouden met de omstandigheden van het specifieke geval.</w:t>
      </w:r>
    </w:p>
    <w:p w:rsidRPr="00FF46E3" w:rsidR="00A450AE" w:rsidP="00A450AE" w:rsidRDefault="00A450AE" w14:paraId="18BCCBC5" w14:textId="77777777">
      <w:pPr>
        <w:pStyle w:val="Geenafstand"/>
        <w:rPr>
          <w:rFonts w:ascii="Verdana" w:hAnsi="Verdana"/>
          <w:sz w:val="18"/>
          <w:szCs w:val="18"/>
        </w:rPr>
      </w:pPr>
    </w:p>
    <w:p w:rsidRPr="000F058E" w:rsidR="00A450AE" w:rsidP="00A450AE" w:rsidRDefault="00A450AE" w14:paraId="1DE20C80" w14:textId="77777777">
      <w:pPr>
        <w:pStyle w:val="Geenafstand"/>
        <w:rPr>
          <w:rFonts w:ascii="Verdana" w:hAnsi="Verdana"/>
          <w:i/>
          <w:iCs/>
          <w:sz w:val="18"/>
          <w:szCs w:val="18"/>
        </w:rPr>
      </w:pPr>
      <w:r w:rsidRPr="00FF46E3">
        <w:rPr>
          <w:rFonts w:ascii="Verdana" w:hAnsi="Verdana"/>
          <w:i/>
          <w:iCs/>
          <w:sz w:val="18"/>
          <w:szCs w:val="18"/>
        </w:rPr>
        <w:t>Controlefunctionaris</w:t>
      </w:r>
    </w:p>
    <w:p w:rsidRPr="00FF46E3" w:rsidR="00A450AE" w:rsidP="00A450AE" w:rsidRDefault="00A450AE" w14:paraId="04064C5E" w14:textId="676B1CFA">
      <w:pPr>
        <w:pStyle w:val="Geenafstand"/>
        <w:rPr>
          <w:rFonts w:ascii="Verdana" w:hAnsi="Verdana"/>
          <w:sz w:val="18"/>
          <w:szCs w:val="18"/>
        </w:rPr>
      </w:pPr>
      <w:r w:rsidRPr="00FF46E3">
        <w:rPr>
          <w:rFonts w:ascii="Verdana" w:hAnsi="Verdana"/>
          <w:sz w:val="18"/>
          <w:szCs w:val="18"/>
        </w:rPr>
        <w:t xml:space="preserve">Uit enkele consultatiereacties blijkt dat de indruk bestaat dat artikel </w:t>
      </w:r>
      <w:r w:rsidR="00B05DE3">
        <w:rPr>
          <w:rFonts w:ascii="Verdana" w:hAnsi="Verdana"/>
          <w:sz w:val="18"/>
          <w:szCs w:val="18"/>
        </w:rPr>
        <w:t>70</w:t>
      </w:r>
      <w:r w:rsidRPr="00FF46E3" w:rsidR="00B05DE3">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voor alle essentiële entiteiten de verplichting bevat om een controlefunctionaris aan te wijzen. Dit is niet het geval. Artikel </w:t>
      </w:r>
      <w:r w:rsidR="00B05DE3">
        <w:rPr>
          <w:rFonts w:ascii="Verdana" w:hAnsi="Verdana"/>
          <w:sz w:val="18"/>
          <w:szCs w:val="18"/>
        </w:rPr>
        <w:t>70</w:t>
      </w:r>
      <w:r w:rsidRPr="00FF46E3" w:rsidR="00B05DE3">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betreft alleen de bevoegdheid van de bevoegde autoriteit om</w:t>
      </w:r>
      <w:r w:rsidR="001128F0">
        <w:rPr>
          <w:rFonts w:ascii="Verdana" w:hAnsi="Verdana"/>
          <w:sz w:val="18"/>
          <w:szCs w:val="18"/>
        </w:rPr>
        <w:t xml:space="preserve"> als handhavingsinstrument</w:t>
      </w:r>
      <w:r w:rsidRPr="00FF46E3">
        <w:rPr>
          <w:rFonts w:ascii="Verdana" w:hAnsi="Verdana"/>
          <w:sz w:val="18"/>
          <w:szCs w:val="18"/>
        </w:rPr>
        <w:t xml:space="preserve"> ten aanzien van een essentiële entiteit </w:t>
      </w:r>
      <w:r w:rsidR="001128F0">
        <w:rPr>
          <w:rFonts w:ascii="Verdana" w:hAnsi="Verdana"/>
          <w:sz w:val="18"/>
          <w:szCs w:val="18"/>
        </w:rPr>
        <w:t xml:space="preserve">voor een bepaalde periode </w:t>
      </w:r>
      <w:r w:rsidRPr="00FF46E3">
        <w:rPr>
          <w:rFonts w:ascii="Verdana" w:hAnsi="Verdana"/>
          <w:sz w:val="18"/>
          <w:szCs w:val="18"/>
        </w:rPr>
        <w:t xml:space="preserve">een controlefunctionaris aan te wijzen en niet op een algehele verplichting voor alle essentiële entiteiten. </w:t>
      </w:r>
    </w:p>
    <w:p w:rsidRPr="00FF46E3" w:rsidR="00A450AE" w:rsidP="00A450AE" w:rsidRDefault="00A450AE" w14:paraId="00AC58AA" w14:textId="77777777">
      <w:pPr>
        <w:pStyle w:val="Geenafstand"/>
        <w:rPr>
          <w:rFonts w:ascii="Verdana" w:hAnsi="Verdana"/>
          <w:sz w:val="18"/>
          <w:szCs w:val="18"/>
        </w:rPr>
      </w:pPr>
    </w:p>
    <w:p w:rsidRPr="000F058E" w:rsidR="00A450AE" w:rsidP="00A450AE" w:rsidRDefault="00A450AE" w14:paraId="3398067B" w14:textId="77777777">
      <w:pPr>
        <w:pStyle w:val="Geenafstand"/>
        <w:rPr>
          <w:rFonts w:ascii="Verdana" w:hAnsi="Verdana"/>
          <w:i/>
          <w:iCs/>
          <w:sz w:val="18"/>
          <w:szCs w:val="18"/>
        </w:rPr>
      </w:pPr>
      <w:r w:rsidRPr="00FF46E3">
        <w:rPr>
          <w:rFonts w:ascii="Verdana" w:hAnsi="Verdana"/>
          <w:i/>
          <w:iCs/>
          <w:sz w:val="18"/>
          <w:szCs w:val="18"/>
        </w:rPr>
        <w:t>Verzoek tot schorsing certificering of vergunning</w:t>
      </w:r>
    </w:p>
    <w:p w:rsidRPr="00FF46E3" w:rsidR="00A450AE" w:rsidP="00A450AE" w:rsidRDefault="00A450AE" w14:paraId="6A3D5960" w14:textId="62174AE2">
      <w:pPr>
        <w:pStyle w:val="Geenafstand"/>
        <w:rPr>
          <w:rFonts w:ascii="Verdana" w:hAnsi="Verdana"/>
          <w:sz w:val="18"/>
          <w:szCs w:val="18"/>
        </w:rPr>
      </w:pPr>
      <w:r w:rsidRPr="00FF46E3">
        <w:rPr>
          <w:rFonts w:ascii="Verdana" w:hAnsi="Verdana"/>
          <w:sz w:val="18"/>
          <w:szCs w:val="18"/>
        </w:rPr>
        <w:t xml:space="preserve">De Unie van Waterschappen geeft aan dat de bevoegdheid van de toezichthoudende instantie om een verzoek tot schorsing van certificeringen of vergunningen in te dienen zonder verplichting voor de certificerings- of vergunningsinstantie om dit verzoek te honoreren, kan leiden tot inconsistenties en mogelijke juridische geschillen. De Unie van Waterschappen pleit voor een specificatie van de criteria waarop deze verzoeken moeten worden beoordeeld. </w:t>
      </w:r>
      <w:r w:rsidR="000D03E8">
        <w:rPr>
          <w:rFonts w:ascii="Verdana" w:hAnsi="Verdana"/>
          <w:sz w:val="18"/>
          <w:szCs w:val="18"/>
        </w:rPr>
        <w:t>De</w:t>
      </w:r>
      <w:r w:rsidRPr="00FF46E3" w:rsidR="000D03E8">
        <w:rPr>
          <w:rFonts w:ascii="Verdana" w:hAnsi="Verdana"/>
          <w:sz w:val="18"/>
          <w:szCs w:val="18"/>
        </w:rPr>
        <w:t xml:space="preserve"> </w:t>
      </w:r>
      <w:r w:rsidRPr="00FF46E3">
        <w:rPr>
          <w:rFonts w:ascii="Verdana" w:hAnsi="Verdana"/>
          <w:sz w:val="18"/>
          <w:szCs w:val="18"/>
        </w:rPr>
        <w:t xml:space="preserve">reactie hierop is als volgt. Artikel 32, vijfde lid, NIS2-richtlijn verplicht lidstaten om te regelen dat de bevoegde autoriteit de bevoegdheid heeft om een dergelijk verzoek te doen, zonder een nadere clausulering. Het voorschrijven van de bedoelde criteria zou een inperking betekenen van hetgeen in de NIS2-richtlijn is bepaald. </w:t>
      </w:r>
    </w:p>
    <w:p w:rsidRPr="00FF46E3" w:rsidR="00A450AE" w:rsidP="00A450AE" w:rsidRDefault="00A450AE" w14:paraId="4E9A96A9" w14:textId="77777777">
      <w:pPr>
        <w:pStyle w:val="Geenafstand"/>
        <w:rPr>
          <w:rFonts w:ascii="Verdana" w:hAnsi="Verdana" w:eastAsia="Times New Roman" w:cs="Arial"/>
          <w:sz w:val="18"/>
          <w:szCs w:val="18"/>
          <w:lang w:eastAsia="nl-NL"/>
        </w:rPr>
      </w:pPr>
    </w:p>
    <w:p w:rsidRPr="00FF46E3" w:rsidR="00A450AE" w:rsidP="00A450AE" w:rsidRDefault="00A450AE" w14:paraId="1B92A29F" w14:textId="77777777">
      <w:pPr>
        <w:pStyle w:val="Geenafstand"/>
        <w:rPr>
          <w:rFonts w:ascii="Verdana" w:hAnsi="Verdana"/>
          <w:sz w:val="18"/>
          <w:szCs w:val="18"/>
        </w:rPr>
      </w:pPr>
      <w:r>
        <w:rPr>
          <w:rFonts w:ascii="Verdana" w:hAnsi="Verdana"/>
          <w:i/>
          <w:iCs/>
          <w:sz w:val="18"/>
          <w:szCs w:val="18"/>
        </w:rPr>
        <w:t>Uitzondering overheidsinstanties</w:t>
      </w:r>
    </w:p>
    <w:p w:rsidRPr="00FF46E3" w:rsidR="00A450AE" w:rsidP="00A450AE" w:rsidRDefault="00A450AE" w14:paraId="63755D57" w14:textId="090EBC75">
      <w:pPr>
        <w:pStyle w:val="Geenafstand"/>
        <w:rPr>
          <w:rFonts w:ascii="Verdana" w:hAnsi="Verdana"/>
          <w:sz w:val="18"/>
          <w:szCs w:val="18"/>
        </w:rPr>
      </w:pPr>
      <w:r w:rsidRPr="00FF46E3">
        <w:rPr>
          <w:rFonts w:ascii="Verdana" w:hAnsi="Verdana"/>
          <w:sz w:val="18"/>
          <w:szCs w:val="18"/>
        </w:rPr>
        <w:t xml:space="preserve">In meerdere consultatiereacties wordt gevraagd waarom </w:t>
      </w:r>
      <w:r>
        <w:rPr>
          <w:rFonts w:ascii="Verdana" w:hAnsi="Verdana"/>
          <w:sz w:val="18"/>
          <w:szCs w:val="18"/>
        </w:rPr>
        <w:t>overheidsinstanties</w:t>
      </w:r>
      <w:r w:rsidRPr="00FF46E3">
        <w:rPr>
          <w:rFonts w:ascii="Verdana" w:hAnsi="Verdana"/>
          <w:sz w:val="18"/>
          <w:szCs w:val="18"/>
        </w:rPr>
        <w:t xml:space="preserve"> word</w:t>
      </w:r>
      <w:r>
        <w:rPr>
          <w:rFonts w:ascii="Verdana" w:hAnsi="Verdana"/>
          <w:sz w:val="18"/>
          <w:szCs w:val="18"/>
        </w:rPr>
        <w:t>en</w:t>
      </w:r>
      <w:r w:rsidRPr="00FF46E3">
        <w:rPr>
          <w:rFonts w:ascii="Verdana" w:hAnsi="Verdana"/>
          <w:sz w:val="18"/>
          <w:szCs w:val="18"/>
        </w:rPr>
        <w:t xml:space="preserve"> uitgezonderd van de artikelen </w:t>
      </w:r>
      <w:r w:rsidR="00B05DE3">
        <w:rPr>
          <w:rFonts w:ascii="Verdana" w:hAnsi="Verdana"/>
          <w:sz w:val="18"/>
          <w:szCs w:val="18"/>
        </w:rPr>
        <w:t>76</w:t>
      </w:r>
      <w:r w:rsidRPr="00FF46E3">
        <w:rPr>
          <w:rFonts w:ascii="Verdana" w:hAnsi="Verdana"/>
          <w:sz w:val="18"/>
          <w:szCs w:val="18"/>
        </w:rPr>
        <w:t xml:space="preserve">, </w:t>
      </w:r>
      <w:r w:rsidR="00B05DE3">
        <w:rPr>
          <w:rFonts w:ascii="Verdana" w:hAnsi="Verdana"/>
          <w:sz w:val="18"/>
          <w:szCs w:val="18"/>
        </w:rPr>
        <w:t>77</w:t>
      </w:r>
      <w:r w:rsidRPr="00FF46E3" w:rsidR="00B05DE3">
        <w:rPr>
          <w:rFonts w:ascii="Verdana" w:hAnsi="Verdana"/>
          <w:sz w:val="18"/>
          <w:szCs w:val="18"/>
        </w:rPr>
        <w:t xml:space="preserve"> </w:t>
      </w:r>
      <w:r w:rsidRPr="00FF46E3">
        <w:rPr>
          <w:rFonts w:ascii="Verdana" w:hAnsi="Verdana"/>
          <w:sz w:val="18"/>
          <w:szCs w:val="18"/>
        </w:rPr>
        <w:t xml:space="preserve">en </w:t>
      </w:r>
      <w:r w:rsidR="00B05DE3">
        <w:rPr>
          <w:rFonts w:ascii="Verdana" w:hAnsi="Verdana"/>
          <w:sz w:val="18"/>
          <w:szCs w:val="18"/>
        </w:rPr>
        <w:t>78</w:t>
      </w:r>
      <w:r w:rsidRPr="00FF46E3" w:rsidR="00B05DE3">
        <w:rPr>
          <w:rFonts w:ascii="Verdana" w:hAnsi="Verdana"/>
          <w:sz w:val="18"/>
          <w:szCs w:val="18"/>
        </w:rPr>
        <w:t xml:space="preserve"> </w:t>
      </w:r>
      <w:proofErr w:type="spellStart"/>
      <w:r>
        <w:rPr>
          <w:rFonts w:ascii="Verdana" w:hAnsi="Verdana"/>
          <w:sz w:val="18"/>
          <w:szCs w:val="18"/>
        </w:rPr>
        <w:t>Cbw</w:t>
      </w:r>
      <w:proofErr w:type="spellEnd"/>
      <w:r w:rsidRPr="00FF46E3">
        <w:rPr>
          <w:rFonts w:ascii="Verdana" w:hAnsi="Verdana"/>
          <w:sz w:val="18"/>
          <w:szCs w:val="18"/>
        </w:rPr>
        <w:t>.</w:t>
      </w:r>
      <w:r w:rsidR="000D03E8">
        <w:rPr>
          <w:rFonts w:ascii="Verdana" w:hAnsi="Verdana"/>
          <w:sz w:val="18"/>
          <w:szCs w:val="18"/>
        </w:rPr>
        <w:t xml:space="preserve"> In reactie hierop wordt erop gewezen</w:t>
      </w:r>
      <w:r w:rsidRPr="00FF46E3">
        <w:rPr>
          <w:rFonts w:ascii="Verdana" w:hAnsi="Verdana"/>
          <w:sz w:val="18"/>
          <w:szCs w:val="18"/>
        </w:rPr>
        <w:t xml:space="preserve"> dat dit dwingend voortvloeit uit artikel 32, vijfde lid, NIS2-richtlijn. </w:t>
      </w:r>
    </w:p>
    <w:p w:rsidR="00A450AE" w:rsidP="00A450AE" w:rsidRDefault="00A450AE" w14:paraId="288AB98F" w14:textId="77777777">
      <w:pPr>
        <w:pStyle w:val="Geenafstand"/>
        <w:rPr>
          <w:rFonts w:ascii="Verdana" w:hAnsi="Verdana" w:eastAsia="Times New Roman" w:cs="Arial"/>
          <w:i/>
          <w:iCs/>
          <w:sz w:val="18"/>
          <w:szCs w:val="18"/>
          <w:lang w:eastAsia="nl-NL"/>
        </w:rPr>
      </w:pPr>
    </w:p>
    <w:p w:rsidRPr="000F058E" w:rsidR="00A450AE" w:rsidP="00A450AE" w:rsidRDefault="00A450AE" w14:paraId="6CFD6C74" w14:textId="77777777">
      <w:pPr>
        <w:pStyle w:val="Geenafstand"/>
        <w:rPr>
          <w:rFonts w:ascii="Verdana" w:hAnsi="Verdana" w:eastAsia="Times New Roman" w:cs="Arial"/>
          <w:i/>
          <w:iCs/>
          <w:sz w:val="18"/>
          <w:szCs w:val="18"/>
          <w:lang w:eastAsia="nl-NL"/>
        </w:rPr>
      </w:pPr>
      <w:r w:rsidRPr="00FF46E3">
        <w:rPr>
          <w:rFonts w:ascii="Verdana" w:hAnsi="Verdana" w:eastAsia="Times New Roman" w:cs="Arial"/>
          <w:i/>
          <w:iCs/>
          <w:sz w:val="18"/>
          <w:szCs w:val="18"/>
          <w:lang w:eastAsia="nl-NL"/>
        </w:rPr>
        <w:t>Overig</w:t>
      </w:r>
    </w:p>
    <w:p w:rsidRPr="00FF46E3" w:rsidR="00A450AE" w:rsidP="00A450AE" w:rsidRDefault="00A450AE" w14:paraId="51367F3F" w14:textId="3B96235F">
      <w:pPr>
        <w:pStyle w:val="Geenafstand"/>
        <w:rPr>
          <w:rFonts w:ascii="Verdana" w:hAnsi="Verdana" w:eastAsia="Times New Roman" w:cs="Arial"/>
          <w:sz w:val="18"/>
          <w:szCs w:val="18"/>
          <w:lang w:eastAsia="nl-NL"/>
        </w:rPr>
      </w:pPr>
      <w:r w:rsidRPr="00FF46E3">
        <w:rPr>
          <w:rFonts w:ascii="Verdana" w:hAnsi="Verdana" w:eastAsia="Times New Roman" w:cs="Arial"/>
          <w:sz w:val="18"/>
          <w:szCs w:val="18"/>
          <w:lang w:eastAsia="nl-NL"/>
        </w:rPr>
        <w:t>Meerdere organisaties, waaronder NOREA en</w:t>
      </w:r>
      <w:r w:rsidR="00522D61">
        <w:rPr>
          <w:rFonts w:ascii="Verdana" w:hAnsi="Verdana" w:eastAsia="Times New Roman" w:cs="Arial"/>
          <w:sz w:val="18"/>
          <w:szCs w:val="18"/>
          <w:lang w:eastAsia="nl-NL"/>
        </w:rPr>
        <w:t xml:space="preserve"> de</w:t>
      </w:r>
      <w:r w:rsidRPr="00FF46E3">
        <w:rPr>
          <w:rFonts w:ascii="Verdana" w:hAnsi="Verdana" w:eastAsia="Times New Roman" w:cs="Arial"/>
          <w:sz w:val="18"/>
          <w:szCs w:val="18"/>
          <w:lang w:eastAsia="nl-NL"/>
        </w:rPr>
        <w:t xml:space="preserve"> VNG, geven aan dat het toezicht niet direct kan ingaan op het moment dat de </w:t>
      </w:r>
      <w:proofErr w:type="spellStart"/>
      <w:r w:rsidRPr="00FF46E3">
        <w:rPr>
          <w:rFonts w:ascii="Verdana" w:hAnsi="Verdana" w:eastAsia="Times New Roman" w:cs="Arial"/>
          <w:sz w:val="18"/>
          <w:szCs w:val="18"/>
          <w:lang w:eastAsia="nl-NL"/>
        </w:rPr>
        <w:t>Cbw</w:t>
      </w:r>
      <w:proofErr w:type="spellEnd"/>
      <w:r w:rsidRPr="00FF46E3">
        <w:rPr>
          <w:rFonts w:ascii="Verdana" w:hAnsi="Verdana" w:eastAsia="Times New Roman" w:cs="Arial"/>
          <w:sz w:val="18"/>
          <w:szCs w:val="18"/>
          <w:lang w:eastAsia="nl-NL"/>
        </w:rPr>
        <w:t xml:space="preserve"> in werking treedt, omdat er dan nog veel onduidelijk is over de verplichtingen in de </w:t>
      </w:r>
      <w:proofErr w:type="spellStart"/>
      <w:r w:rsidRPr="00FF46E3">
        <w:rPr>
          <w:rFonts w:ascii="Verdana" w:hAnsi="Verdana" w:eastAsia="Times New Roman" w:cs="Arial"/>
          <w:sz w:val="18"/>
          <w:szCs w:val="18"/>
          <w:lang w:eastAsia="nl-NL"/>
        </w:rPr>
        <w:t>Cbw</w:t>
      </w:r>
      <w:proofErr w:type="spellEnd"/>
      <w:r w:rsidRPr="00FF46E3">
        <w:rPr>
          <w:rFonts w:ascii="Verdana" w:hAnsi="Verdana" w:eastAsia="Times New Roman" w:cs="Arial"/>
          <w:sz w:val="18"/>
          <w:szCs w:val="18"/>
          <w:lang w:eastAsia="nl-NL"/>
        </w:rPr>
        <w:t xml:space="preserve"> en het implementeren daarvan de nodige tijd vergt. In reactie hierop </w:t>
      </w:r>
      <w:r w:rsidR="000D03E8">
        <w:rPr>
          <w:rFonts w:ascii="Verdana" w:hAnsi="Verdana" w:eastAsia="Times New Roman" w:cs="Arial"/>
          <w:sz w:val="18"/>
          <w:szCs w:val="18"/>
          <w:lang w:eastAsia="nl-NL"/>
        </w:rPr>
        <w:t>wordt erop gewezen</w:t>
      </w:r>
      <w:r w:rsidRPr="00FF46E3">
        <w:rPr>
          <w:rFonts w:ascii="Verdana" w:hAnsi="Verdana" w:eastAsia="Times New Roman" w:cs="Arial"/>
          <w:sz w:val="18"/>
          <w:szCs w:val="18"/>
          <w:lang w:eastAsia="nl-NL"/>
        </w:rPr>
        <w:t xml:space="preserve"> dat de toezichthoudende instantie, mede gelet op de regels in de </w:t>
      </w:r>
      <w:proofErr w:type="spellStart"/>
      <w:r w:rsidRPr="00FF46E3">
        <w:rPr>
          <w:rFonts w:ascii="Verdana" w:hAnsi="Verdana" w:eastAsia="Times New Roman" w:cs="Arial"/>
          <w:sz w:val="18"/>
          <w:szCs w:val="18"/>
          <w:lang w:eastAsia="nl-NL"/>
        </w:rPr>
        <w:t>Awb</w:t>
      </w:r>
      <w:proofErr w:type="spellEnd"/>
      <w:r w:rsidRPr="00FF46E3">
        <w:rPr>
          <w:rFonts w:ascii="Verdana" w:hAnsi="Verdana" w:eastAsia="Times New Roman" w:cs="Arial"/>
          <w:sz w:val="18"/>
          <w:szCs w:val="18"/>
          <w:lang w:eastAsia="nl-NL"/>
        </w:rPr>
        <w:t xml:space="preserve"> en de algemene beginselen van behoorlijk bestuur, daar rekening mee zullen houden, wanneer dat aangewezen is. </w:t>
      </w:r>
    </w:p>
    <w:p w:rsidR="00A450AE" w:rsidP="00A450AE" w:rsidRDefault="00A450AE" w14:paraId="32BC7D50" w14:textId="1F52DBB7">
      <w:pPr>
        <w:pStyle w:val="Geenafstand"/>
        <w:rPr>
          <w:rFonts w:ascii="Verdana" w:hAnsi="Verdana"/>
          <w:sz w:val="18"/>
          <w:szCs w:val="18"/>
        </w:rPr>
      </w:pPr>
      <w:r w:rsidRPr="00FF46E3">
        <w:rPr>
          <w:rFonts w:ascii="Verdana" w:hAnsi="Verdana"/>
          <w:sz w:val="18"/>
          <w:szCs w:val="18"/>
        </w:rPr>
        <w:t xml:space="preserve">Een aantal organisaties, waaronder </w:t>
      </w:r>
      <w:proofErr w:type="spellStart"/>
      <w:r w:rsidRPr="00FF46E3" w:rsidR="0082029B">
        <w:rPr>
          <w:rFonts w:ascii="Verdana" w:hAnsi="Verdana"/>
          <w:sz w:val="18"/>
          <w:szCs w:val="18"/>
        </w:rPr>
        <w:t>N</w:t>
      </w:r>
      <w:r w:rsidR="0082029B">
        <w:rPr>
          <w:rFonts w:ascii="Verdana" w:hAnsi="Verdana"/>
          <w:sz w:val="18"/>
          <w:szCs w:val="18"/>
        </w:rPr>
        <w:t>L</w:t>
      </w:r>
      <w:r w:rsidRPr="00FF46E3" w:rsidR="0082029B">
        <w:rPr>
          <w:rFonts w:ascii="Verdana" w:hAnsi="Verdana"/>
          <w:sz w:val="18"/>
          <w:szCs w:val="18"/>
        </w:rPr>
        <w:t>digital</w:t>
      </w:r>
      <w:proofErr w:type="spellEnd"/>
      <w:r w:rsidRPr="00FF46E3">
        <w:rPr>
          <w:rFonts w:ascii="Verdana" w:hAnsi="Verdana"/>
          <w:sz w:val="18"/>
          <w:szCs w:val="18"/>
        </w:rPr>
        <w:t xml:space="preserve"> en </w:t>
      </w:r>
      <w:r w:rsidR="00287F39">
        <w:rPr>
          <w:rFonts w:ascii="Verdana" w:hAnsi="Verdana"/>
          <w:sz w:val="18"/>
          <w:szCs w:val="18"/>
        </w:rPr>
        <w:t xml:space="preserve">de Vereniging </w:t>
      </w:r>
      <w:r w:rsidRPr="00FF46E3">
        <w:rPr>
          <w:rFonts w:ascii="Verdana" w:hAnsi="Verdana"/>
          <w:sz w:val="18"/>
          <w:szCs w:val="18"/>
        </w:rPr>
        <w:t xml:space="preserve">Energie-Nederland, stellen vragen over bestuurlijke boetes en boetebeleidsregels. In reactie hierop </w:t>
      </w:r>
      <w:r w:rsidR="000D03E8">
        <w:rPr>
          <w:rFonts w:ascii="Verdana" w:hAnsi="Verdana"/>
          <w:sz w:val="18"/>
          <w:szCs w:val="18"/>
        </w:rPr>
        <w:t>wordt toegelicht</w:t>
      </w:r>
      <w:r w:rsidRPr="00FF46E3">
        <w:rPr>
          <w:rFonts w:ascii="Verdana" w:hAnsi="Verdana"/>
          <w:sz w:val="18"/>
          <w:szCs w:val="18"/>
        </w:rPr>
        <w:t xml:space="preserve"> dat de toezichthoudende instanties beleidsregels zullen opstellen om de hoogte van de boete te bepalen, uiteraard met inachtneming van de in de </w:t>
      </w:r>
      <w:proofErr w:type="spellStart"/>
      <w:r w:rsidRPr="00FF46E3">
        <w:rPr>
          <w:rFonts w:ascii="Verdana" w:hAnsi="Verdana"/>
          <w:sz w:val="18"/>
          <w:szCs w:val="18"/>
        </w:rPr>
        <w:t>Cbw</w:t>
      </w:r>
      <w:proofErr w:type="spellEnd"/>
      <w:r w:rsidRPr="00FF46E3">
        <w:rPr>
          <w:rFonts w:ascii="Verdana" w:hAnsi="Verdana"/>
          <w:sz w:val="18"/>
          <w:szCs w:val="18"/>
        </w:rPr>
        <w:t xml:space="preserve"> vastgestelde maxima. In deze beleidsregels zal ook ingegaan worden op de berekening van de wereldwijde omzet.</w:t>
      </w:r>
    </w:p>
    <w:p w:rsidR="005B07D7" w:rsidP="00A450AE" w:rsidRDefault="005B07D7" w14:paraId="43B39EEC" w14:textId="77777777">
      <w:pPr>
        <w:pStyle w:val="Geenafstand"/>
        <w:rPr>
          <w:rFonts w:ascii="Verdana" w:hAnsi="Verdana"/>
          <w:sz w:val="18"/>
          <w:szCs w:val="18"/>
        </w:rPr>
      </w:pPr>
    </w:p>
    <w:p w:rsidRPr="00C47325" w:rsidR="00A450AE" w:rsidP="00A450AE" w:rsidRDefault="00A450AE" w14:paraId="3DF2EFAC" w14:textId="45BF5464">
      <w:pPr>
        <w:pStyle w:val="Kop2"/>
      </w:pPr>
      <w:bookmarkStart w:name="_Toc198721154" w:id="232"/>
      <w:r w:rsidRPr="00C47325">
        <w:t>9.</w:t>
      </w:r>
      <w:r w:rsidR="00B21C5E">
        <w:t>1</w:t>
      </w:r>
      <w:r w:rsidR="004D1A17">
        <w:t>3</w:t>
      </w:r>
      <w:r w:rsidRPr="00C47325">
        <w:t xml:space="preserve"> Overige opmerkingen</w:t>
      </w:r>
      <w:bookmarkEnd w:id="232"/>
    </w:p>
    <w:p w:rsidRPr="00C47325" w:rsidR="00A450AE" w:rsidP="00A450AE" w:rsidRDefault="00A450AE" w14:paraId="2BE172F3" w14:textId="77777777">
      <w:pPr>
        <w:pStyle w:val="Geenafstand"/>
        <w:rPr>
          <w:rFonts w:ascii="Verdana" w:hAnsi="Verdana"/>
          <w:sz w:val="18"/>
          <w:szCs w:val="18"/>
        </w:rPr>
      </w:pPr>
    </w:p>
    <w:p w:rsidRPr="00C47325" w:rsidR="00A450AE" w:rsidP="00A450AE" w:rsidRDefault="00A450AE" w14:paraId="0303A97A" w14:textId="77777777">
      <w:pPr>
        <w:pStyle w:val="Geenafstand"/>
        <w:rPr>
          <w:rFonts w:ascii="Verdana" w:hAnsi="Verdana"/>
          <w:i/>
          <w:iCs/>
          <w:sz w:val="18"/>
          <w:szCs w:val="18"/>
        </w:rPr>
      </w:pPr>
      <w:r w:rsidRPr="00C47325">
        <w:rPr>
          <w:rFonts w:ascii="Verdana" w:hAnsi="Verdana"/>
          <w:i/>
          <w:iCs/>
          <w:sz w:val="18"/>
          <w:szCs w:val="18"/>
        </w:rPr>
        <w:t>Dwingende regels uit de NIS2-richtlijn</w:t>
      </w:r>
    </w:p>
    <w:p w:rsidRPr="00C47325" w:rsidR="00A450AE" w:rsidP="00655F3B" w:rsidRDefault="00A450AE" w14:paraId="3498C336" w14:textId="40A3DD85">
      <w:pPr>
        <w:pStyle w:val="Geenafstand"/>
        <w:rPr>
          <w:rFonts w:ascii="Verdana" w:hAnsi="Verdana"/>
          <w:sz w:val="18"/>
          <w:szCs w:val="18"/>
        </w:rPr>
      </w:pPr>
      <w:r w:rsidRPr="00C47325">
        <w:rPr>
          <w:rFonts w:ascii="Verdana" w:hAnsi="Verdana"/>
          <w:sz w:val="18"/>
          <w:szCs w:val="18"/>
        </w:rPr>
        <w:t xml:space="preserve">Enkele consultatiereacties zien op zaken die door de NIS2-richtlijn dwingend worden geregeld. Zo worden in enkele consultatiereacties andere formuleringen van artikelen uit de </w:t>
      </w:r>
      <w:proofErr w:type="spellStart"/>
      <w:r w:rsidRPr="00C47325">
        <w:rPr>
          <w:rFonts w:ascii="Verdana" w:hAnsi="Verdana"/>
          <w:sz w:val="18"/>
          <w:szCs w:val="18"/>
        </w:rPr>
        <w:t>Cbw</w:t>
      </w:r>
      <w:proofErr w:type="spellEnd"/>
      <w:r w:rsidRPr="00C47325">
        <w:rPr>
          <w:rFonts w:ascii="Verdana" w:hAnsi="Verdana"/>
          <w:sz w:val="18"/>
          <w:szCs w:val="18"/>
        </w:rPr>
        <w:t xml:space="preserve"> voorgesteld, zoals het voorstel van VNO-NCW, MKB Nederland, </w:t>
      </w:r>
      <w:proofErr w:type="spellStart"/>
      <w:r w:rsidRPr="00C47325">
        <w:rPr>
          <w:rFonts w:ascii="Verdana" w:hAnsi="Verdana"/>
          <w:sz w:val="18"/>
          <w:szCs w:val="18"/>
        </w:rPr>
        <w:t>N</w:t>
      </w:r>
      <w:r w:rsidR="0082029B">
        <w:rPr>
          <w:rFonts w:ascii="Verdana" w:hAnsi="Verdana"/>
          <w:sz w:val="18"/>
          <w:szCs w:val="18"/>
        </w:rPr>
        <w:t>L</w:t>
      </w:r>
      <w:r w:rsidRPr="00C47325">
        <w:rPr>
          <w:rFonts w:ascii="Verdana" w:hAnsi="Verdana"/>
          <w:sz w:val="18"/>
          <w:szCs w:val="18"/>
        </w:rPr>
        <w:t>connect</w:t>
      </w:r>
      <w:proofErr w:type="spellEnd"/>
      <w:r w:rsidRPr="00C47325">
        <w:rPr>
          <w:rFonts w:ascii="Verdana" w:hAnsi="Verdana"/>
          <w:sz w:val="18"/>
          <w:szCs w:val="18"/>
        </w:rPr>
        <w:t xml:space="preserve"> en </w:t>
      </w:r>
      <w:proofErr w:type="spellStart"/>
      <w:r w:rsidRPr="00C47325" w:rsidR="0082029B">
        <w:rPr>
          <w:rFonts w:ascii="Verdana" w:hAnsi="Verdana"/>
          <w:sz w:val="18"/>
          <w:szCs w:val="18"/>
        </w:rPr>
        <w:t>N</w:t>
      </w:r>
      <w:r w:rsidR="0082029B">
        <w:rPr>
          <w:rFonts w:ascii="Verdana" w:hAnsi="Verdana"/>
          <w:sz w:val="18"/>
          <w:szCs w:val="18"/>
        </w:rPr>
        <w:t>L</w:t>
      </w:r>
      <w:r w:rsidRPr="00C47325" w:rsidR="0082029B">
        <w:rPr>
          <w:rFonts w:ascii="Verdana" w:hAnsi="Verdana"/>
          <w:sz w:val="18"/>
          <w:szCs w:val="18"/>
        </w:rPr>
        <w:t>digital</w:t>
      </w:r>
      <w:proofErr w:type="spellEnd"/>
      <w:r w:rsidRPr="00C47325">
        <w:rPr>
          <w:rFonts w:ascii="Verdana" w:hAnsi="Verdana"/>
          <w:sz w:val="18"/>
          <w:szCs w:val="18"/>
        </w:rPr>
        <w:t xml:space="preserve"> om een clausulering aan te </w:t>
      </w:r>
      <w:r w:rsidRPr="004B5C46">
        <w:rPr>
          <w:rFonts w:ascii="Verdana" w:hAnsi="Verdana"/>
          <w:sz w:val="18"/>
          <w:szCs w:val="18"/>
        </w:rPr>
        <w:t xml:space="preserve">brengen in </w:t>
      </w:r>
      <w:r w:rsidRPr="00A7780F">
        <w:rPr>
          <w:rFonts w:ascii="Verdana" w:hAnsi="Verdana"/>
          <w:sz w:val="18"/>
          <w:szCs w:val="18"/>
        </w:rPr>
        <w:t xml:space="preserve">artikel </w:t>
      </w:r>
      <w:r w:rsidRPr="00A7780F" w:rsidR="004B5C46">
        <w:rPr>
          <w:rFonts w:ascii="Verdana" w:hAnsi="Verdana"/>
          <w:sz w:val="18"/>
          <w:szCs w:val="18"/>
        </w:rPr>
        <w:t xml:space="preserve">76, tweede lid, onderdeel b, </w:t>
      </w:r>
      <w:proofErr w:type="spellStart"/>
      <w:r w:rsidRPr="00A7780F" w:rsidR="004B5C46">
        <w:rPr>
          <w:rFonts w:ascii="Verdana" w:hAnsi="Verdana"/>
          <w:sz w:val="18"/>
          <w:szCs w:val="18"/>
        </w:rPr>
        <w:t>Cbw</w:t>
      </w:r>
      <w:proofErr w:type="spellEnd"/>
      <w:r w:rsidRPr="00A7780F" w:rsidR="004B5C46">
        <w:rPr>
          <w:rFonts w:ascii="Verdana" w:hAnsi="Verdana"/>
          <w:sz w:val="18"/>
          <w:szCs w:val="18"/>
        </w:rPr>
        <w:t xml:space="preserve"> (</w:t>
      </w:r>
      <w:r w:rsidRPr="00A7780F">
        <w:rPr>
          <w:rFonts w:ascii="Verdana" w:hAnsi="Verdana"/>
          <w:sz w:val="18"/>
          <w:szCs w:val="18"/>
        </w:rPr>
        <w:t xml:space="preserve">74, tweede lid, onderdeel b, </w:t>
      </w:r>
      <w:r w:rsidRPr="00A7780F" w:rsidR="004B5C46">
        <w:rPr>
          <w:rFonts w:ascii="Verdana" w:hAnsi="Verdana"/>
          <w:sz w:val="18"/>
          <w:szCs w:val="18"/>
        </w:rPr>
        <w:t>oud)</w:t>
      </w:r>
      <w:r w:rsidRPr="004B5C46">
        <w:rPr>
          <w:rFonts w:ascii="Verdana" w:hAnsi="Verdana"/>
          <w:sz w:val="18"/>
          <w:szCs w:val="18"/>
        </w:rPr>
        <w:t>. Daarnaast</w:t>
      </w:r>
      <w:r w:rsidRPr="00C47325">
        <w:rPr>
          <w:rFonts w:ascii="Verdana" w:hAnsi="Verdana"/>
          <w:sz w:val="18"/>
          <w:szCs w:val="18"/>
        </w:rPr>
        <w:t xml:space="preserve"> wordt in enkele consultatiereacties, waaronder in die van </w:t>
      </w:r>
      <w:proofErr w:type="spellStart"/>
      <w:r w:rsidRPr="00C47325">
        <w:rPr>
          <w:rFonts w:ascii="Verdana" w:hAnsi="Verdana"/>
          <w:sz w:val="18"/>
          <w:szCs w:val="18"/>
        </w:rPr>
        <w:t>terlouw.legal</w:t>
      </w:r>
      <w:proofErr w:type="spellEnd"/>
      <w:r w:rsidRPr="00C47325">
        <w:rPr>
          <w:rFonts w:ascii="Verdana" w:hAnsi="Verdana"/>
          <w:sz w:val="18"/>
          <w:szCs w:val="18"/>
        </w:rPr>
        <w:t xml:space="preserve">, de BTG en </w:t>
      </w:r>
      <w:r w:rsidRPr="00FF46E3" w:rsidR="0042077A">
        <w:rPr>
          <w:rFonts w:ascii="Verdana" w:hAnsi="Verdana"/>
          <w:sz w:val="18"/>
          <w:szCs w:val="18"/>
        </w:rPr>
        <w:t>Cisco</w:t>
      </w:r>
      <w:r w:rsidR="0042077A">
        <w:rPr>
          <w:rFonts w:ascii="Verdana" w:hAnsi="Verdana"/>
          <w:sz w:val="18"/>
          <w:szCs w:val="18"/>
        </w:rPr>
        <w:t xml:space="preserve"> Systems International</w:t>
      </w:r>
      <w:r w:rsidRPr="00C47325">
        <w:rPr>
          <w:rFonts w:ascii="Verdana" w:hAnsi="Verdana"/>
          <w:sz w:val="18"/>
          <w:szCs w:val="18"/>
        </w:rPr>
        <w:t xml:space="preserve">, gepleit voor veranderingen in de meldplicht, zoals het hanteren van andere (langere) termijnen. In een internetconsultatiereactie wordt gepleit voor de verplichting om een minimaal percentage van de jaaromzet in te zetten voor cyberbeveiliging. In de consultatie uit de Stichting Digitale Infrastructuur Nederland (DINL) bezwaren tegen het aanleggen en beheren van een nieuw register van IP-adressen. En in een andere consultatiereactie wordt aangegeven dat de brede omschrijving uit de NIS2-richtlijn van beheerders van ICT-diensten (business-to-business) zorgt voor onduidelijkheid in de te nemen maatregelen in het kader van de zorgplicht, meldplicht en registratieplicht. Verder zijn er reacties, zoals die van SURF en de </w:t>
      </w:r>
      <w:r w:rsidRPr="003744BB" w:rsidR="003744BB">
        <w:rPr>
          <w:rFonts w:ascii="Verdana" w:hAnsi="Verdana"/>
          <w:sz w:val="18"/>
          <w:szCs w:val="18"/>
        </w:rPr>
        <w:t>koninklijke Vereniging van de Nederlandse Chemische Industrie (</w:t>
      </w:r>
      <w:r w:rsidR="0042077A">
        <w:rPr>
          <w:rFonts w:ascii="Verdana" w:hAnsi="Verdana"/>
          <w:sz w:val="18"/>
          <w:szCs w:val="18"/>
        </w:rPr>
        <w:t>VNCI</w:t>
      </w:r>
      <w:r w:rsidR="003744BB">
        <w:rPr>
          <w:rFonts w:ascii="Verdana" w:hAnsi="Verdana"/>
          <w:sz w:val="18"/>
          <w:szCs w:val="18"/>
        </w:rPr>
        <w:t>)</w:t>
      </w:r>
      <w:r w:rsidRPr="00C47325">
        <w:rPr>
          <w:rFonts w:ascii="Verdana" w:hAnsi="Verdana"/>
          <w:sz w:val="18"/>
          <w:szCs w:val="18"/>
        </w:rPr>
        <w:t xml:space="preserve">, waarin bezwaren worden geuit tegen de verplichting om in het kader van het nationale register ook de IP-bereiken te moeten verstrekken. Deze reactie ziet ook op de vraag van VNO-NCW en MKB Nederland om in de </w:t>
      </w:r>
      <w:proofErr w:type="spellStart"/>
      <w:r w:rsidRPr="00C47325">
        <w:rPr>
          <w:rFonts w:ascii="Verdana" w:hAnsi="Verdana"/>
          <w:sz w:val="18"/>
          <w:szCs w:val="18"/>
        </w:rPr>
        <w:t>Cbw</w:t>
      </w:r>
      <w:proofErr w:type="spellEnd"/>
      <w:r w:rsidRPr="00C47325">
        <w:rPr>
          <w:rFonts w:ascii="Verdana" w:hAnsi="Verdana"/>
          <w:sz w:val="18"/>
          <w:szCs w:val="18"/>
        </w:rPr>
        <w:t xml:space="preserve"> te regelen dat het CSIRT binnen 24 uur bijstand verleent. </w:t>
      </w:r>
      <w:r w:rsidR="00CD5339">
        <w:rPr>
          <w:rFonts w:ascii="Verdana" w:hAnsi="Verdana"/>
          <w:sz w:val="18"/>
          <w:szCs w:val="18"/>
        </w:rPr>
        <w:t xml:space="preserve">En in de consultatiereacties van </w:t>
      </w:r>
      <w:r w:rsidRPr="00C47325">
        <w:rPr>
          <w:rFonts w:ascii="Verdana" w:hAnsi="Verdana"/>
          <w:sz w:val="18"/>
          <w:szCs w:val="18"/>
        </w:rPr>
        <w:t xml:space="preserve">VNO-NCW, MKB Nederland en </w:t>
      </w:r>
      <w:r w:rsidR="00690A48">
        <w:rPr>
          <w:rFonts w:ascii="Verdana" w:hAnsi="Verdana"/>
          <w:sz w:val="18"/>
          <w:szCs w:val="18"/>
        </w:rPr>
        <w:t xml:space="preserve">het </w:t>
      </w:r>
      <w:r w:rsidRPr="00690A48" w:rsidR="00690A48">
        <w:rPr>
          <w:rFonts w:ascii="Verdana" w:hAnsi="Verdana"/>
          <w:sz w:val="18"/>
          <w:szCs w:val="18"/>
        </w:rPr>
        <w:t>Centraal Bureau Levensmiddelenhandel</w:t>
      </w:r>
      <w:r w:rsidRPr="00C47325">
        <w:rPr>
          <w:rFonts w:ascii="Verdana" w:hAnsi="Verdana"/>
          <w:sz w:val="18"/>
          <w:szCs w:val="18"/>
        </w:rPr>
        <w:t xml:space="preserve"> </w:t>
      </w:r>
      <w:r w:rsidR="00CD5339">
        <w:rPr>
          <w:rFonts w:ascii="Verdana" w:hAnsi="Verdana"/>
          <w:sz w:val="18"/>
          <w:szCs w:val="18"/>
        </w:rPr>
        <w:t>wordt ervoor gepleit om</w:t>
      </w:r>
      <w:r w:rsidRPr="00C47325">
        <w:rPr>
          <w:rFonts w:ascii="Verdana" w:hAnsi="Verdana"/>
          <w:sz w:val="18"/>
          <w:szCs w:val="18"/>
        </w:rPr>
        <w:t xml:space="preserve"> voor </w:t>
      </w:r>
      <w:r w:rsidR="00CD5339">
        <w:rPr>
          <w:rFonts w:ascii="Verdana" w:hAnsi="Verdana"/>
          <w:sz w:val="18"/>
          <w:szCs w:val="18"/>
        </w:rPr>
        <w:t>bepaalde</w:t>
      </w:r>
      <w:r w:rsidRPr="00C47325" w:rsidR="00CD5339">
        <w:rPr>
          <w:rFonts w:ascii="Verdana" w:hAnsi="Verdana"/>
          <w:sz w:val="18"/>
          <w:szCs w:val="18"/>
        </w:rPr>
        <w:t xml:space="preserve"> </w:t>
      </w:r>
      <w:r w:rsidRPr="00C47325">
        <w:rPr>
          <w:rFonts w:ascii="Verdana" w:hAnsi="Verdana"/>
          <w:sz w:val="18"/>
          <w:szCs w:val="18"/>
        </w:rPr>
        <w:t>sectoren</w:t>
      </w:r>
      <w:r w:rsidR="00CD5339">
        <w:rPr>
          <w:rFonts w:ascii="Verdana" w:hAnsi="Verdana"/>
          <w:sz w:val="18"/>
          <w:szCs w:val="18"/>
        </w:rPr>
        <w:t>,</w:t>
      </w:r>
      <w:r w:rsidRPr="00C47325">
        <w:rPr>
          <w:rFonts w:ascii="Verdana" w:hAnsi="Verdana"/>
          <w:sz w:val="18"/>
          <w:szCs w:val="18"/>
        </w:rPr>
        <w:t xml:space="preserve"> zoals digitale infrastructuur en beheer van ICT-diensten</w:t>
      </w:r>
      <w:r w:rsidR="00CD5339">
        <w:rPr>
          <w:rFonts w:ascii="Verdana" w:hAnsi="Verdana"/>
          <w:sz w:val="18"/>
          <w:szCs w:val="18"/>
        </w:rPr>
        <w:t>,</w:t>
      </w:r>
      <w:r w:rsidRPr="00C47325">
        <w:rPr>
          <w:rFonts w:ascii="Verdana" w:hAnsi="Verdana"/>
          <w:sz w:val="18"/>
          <w:szCs w:val="18"/>
        </w:rPr>
        <w:t xml:space="preserve"> </w:t>
      </w:r>
      <w:r w:rsidR="00CD5339">
        <w:rPr>
          <w:rFonts w:ascii="Verdana" w:hAnsi="Verdana"/>
          <w:sz w:val="18"/>
          <w:szCs w:val="18"/>
        </w:rPr>
        <w:t>te regelen</w:t>
      </w:r>
      <w:r w:rsidRPr="00C47325">
        <w:rPr>
          <w:rFonts w:ascii="Verdana" w:hAnsi="Verdana"/>
          <w:sz w:val="18"/>
          <w:szCs w:val="18"/>
        </w:rPr>
        <w:t xml:space="preserve"> dat de </w:t>
      </w:r>
      <w:proofErr w:type="spellStart"/>
      <w:r w:rsidRPr="00C47325">
        <w:rPr>
          <w:rFonts w:ascii="Verdana" w:hAnsi="Verdana"/>
          <w:sz w:val="18"/>
          <w:szCs w:val="18"/>
        </w:rPr>
        <w:t>Cbw</w:t>
      </w:r>
      <w:proofErr w:type="spellEnd"/>
      <w:r w:rsidRPr="00C47325">
        <w:rPr>
          <w:rFonts w:ascii="Verdana" w:hAnsi="Verdana"/>
          <w:sz w:val="18"/>
          <w:szCs w:val="18"/>
        </w:rPr>
        <w:t xml:space="preserve"> alleen </w:t>
      </w:r>
      <w:r w:rsidR="00CD5339">
        <w:rPr>
          <w:rFonts w:ascii="Verdana" w:hAnsi="Verdana"/>
          <w:sz w:val="18"/>
          <w:szCs w:val="18"/>
        </w:rPr>
        <w:t xml:space="preserve">op </w:t>
      </w:r>
      <w:r w:rsidRPr="00C47325">
        <w:rPr>
          <w:rFonts w:ascii="Verdana" w:hAnsi="Verdana"/>
          <w:sz w:val="18"/>
          <w:szCs w:val="18"/>
        </w:rPr>
        <w:t xml:space="preserve">entiteiten uit deze sectoren van toepassing is wanneer hun activiteiten binnen deze sector de voornaamste activiteit is van deze entiteiten. </w:t>
      </w:r>
      <w:r w:rsidR="00E31F70">
        <w:rPr>
          <w:rFonts w:ascii="Verdana" w:hAnsi="Verdana"/>
          <w:sz w:val="18"/>
          <w:szCs w:val="18"/>
        </w:rPr>
        <w:t>Tot slot</w:t>
      </w:r>
      <w:r w:rsidR="00655F3B">
        <w:rPr>
          <w:rFonts w:ascii="Verdana" w:hAnsi="Verdana"/>
          <w:sz w:val="18"/>
          <w:szCs w:val="18"/>
        </w:rPr>
        <w:t xml:space="preserve"> is er ook de reactie van </w:t>
      </w:r>
      <w:r w:rsidRPr="000F058E" w:rsidR="00655F3B">
        <w:rPr>
          <w:rFonts w:ascii="Verdana" w:hAnsi="Verdana"/>
          <w:sz w:val="18"/>
          <w:szCs w:val="18"/>
        </w:rPr>
        <w:t>IBM</w:t>
      </w:r>
      <w:r w:rsidR="00655F3B">
        <w:rPr>
          <w:rFonts w:ascii="Verdana" w:hAnsi="Verdana"/>
          <w:sz w:val="18"/>
          <w:szCs w:val="18"/>
        </w:rPr>
        <w:t>, waarin wordt aangemoedigd</w:t>
      </w:r>
      <w:r w:rsidRPr="000F058E" w:rsidR="00655F3B">
        <w:rPr>
          <w:rFonts w:ascii="Verdana" w:hAnsi="Verdana"/>
          <w:sz w:val="18"/>
          <w:szCs w:val="18"/>
        </w:rPr>
        <w:t xml:space="preserve"> om in artikel 16, </w:t>
      </w:r>
      <w:r w:rsidR="00304FD1">
        <w:rPr>
          <w:rFonts w:ascii="Verdana" w:hAnsi="Verdana"/>
          <w:sz w:val="18"/>
          <w:szCs w:val="18"/>
        </w:rPr>
        <w:t>tweede</w:t>
      </w:r>
      <w:r w:rsidRPr="000F058E" w:rsidR="00304FD1">
        <w:rPr>
          <w:rFonts w:ascii="Verdana" w:hAnsi="Verdana"/>
          <w:sz w:val="18"/>
          <w:szCs w:val="18"/>
        </w:rPr>
        <w:t xml:space="preserve"> </w:t>
      </w:r>
      <w:r w:rsidRPr="000F058E" w:rsidR="00655F3B">
        <w:rPr>
          <w:rFonts w:ascii="Verdana" w:hAnsi="Verdana"/>
          <w:sz w:val="18"/>
          <w:szCs w:val="18"/>
        </w:rPr>
        <w:t xml:space="preserve">lid, onderdeel b, </w:t>
      </w:r>
      <w:proofErr w:type="spellStart"/>
      <w:r w:rsidRPr="000F058E" w:rsidR="004B5C46">
        <w:rPr>
          <w:rFonts w:ascii="Verdana" w:hAnsi="Verdana"/>
          <w:sz w:val="18"/>
          <w:szCs w:val="18"/>
        </w:rPr>
        <w:t>Cbw</w:t>
      </w:r>
      <w:proofErr w:type="spellEnd"/>
      <w:r w:rsidRPr="000F058E" w:rsidR="004B5C46">
        <w:rPr>
          <w:rFonts w:ascii="Verdana" w:hAnsi="Verdana"/>
          <w:sz w:val="18"/>
          <w:szCs w:val="18"/>
        </w:rPr>
        <w:t xml:space="preserve"> </w:t>
      </w:r>
      <w:r w:rsidRPr="000F058E" w:rsidR="00655F3B">
        <w:rPr>
          <w:rFonts w:ascii="Verdana" w:hAnsi="Verdana"/>
          <w:sz w:val="18"/>
          <w:szCs w:val="18"/>
        </w:rPr>
        <w:t xml:space="preserve">(17, tweede lid, onderdeel b, oud) de vermelding van “relevante partijen” in te perken of te verwijderen, omdat entiteiten anders terughoudend zullen zijn met het melden van incidenten. </w:t>
      </w:r>
    </w:p>
    <w:p w:rsidRPr="00C47325" w:rsidR="00A450AE" w:rsidP="00A450AE" w:rsidRDefault="00CD5339" w14:paraId="6385BC9E" w14:textId="49BD7AA1">
      <w:pPr>
        <w:pStyle w:val="Geenafstand"/>
        <w:rPr>
          <w:rFonts w:ascii="Verdana" w:hAnsi="Verdana"/>
          <w:sz w:val="18"/>
          <w:szCs w:val="18"/>
        </w:rPr>
      </w:pPr>
      <w:r>
        <w:rPr>
          <w:rFonts w:ascii="Verdana" w:hAnsi="Verdana"/>
          <w:sz w:val="18"/>
          <w:szCs w:val="18"/>
        </w:rPr>
        <w:t>Over al het voorgaande wordt opgemerkt dat</w:t>
      </w:r>
      <w:r w:rsidRPr="00C47325" w:rsidR="00A450AE">
        <w:rPr>
          <w:rFonts w:ascii="Verdana" w:hAnsi="Verdana"/>
          <w:sz w:val="18"/>
          <w:szCs w:val="18"/>
        </w:rPr>
        <w:t xml:space="preserve"> de NIS2-richtlijn </w:t>
      </w:r>
      <w:r>
        <w:rPr>
          <w:rFonts w:ascii="Verdana" w:hAnsi="Verdana"/>
          <w:sz w:val="18"/>
          <w:szCs w:val="18"/>
        </w:rPr>
        <w:t>daar</w:t>
      </w:r>
      <w:r w:rsidRPr="00C47325" w:rsidR="00A450AE">
        <w:rPr>
          <w:rFonts w:ascii="Verdana" w:hAnsi="Verdana"/>
          <w:sz w:val="18"/>
          <w:szCs w:val="18"/>
        </w:rPr>
        <w:t xml:space="preserve">over dwingende bepalingen bevat. Lidstaten hebben geen ruimte om over te gaan tot een andere of aanvullende regeling (zoals aanvullende verplichtingen of aangepaste termijnen) of beschrijving. </w:t>
      </w:r>
    </w:p>
    <w:p w:rsidRPr="00C47325" w:rsidR="00A450AE" w:rsidP="00A450AE" w:rsidRDefault="00A450AE" w14:paraId="07B2F704" w14:textId="451781AB">
      <w:pPr>
        <w:pStyle w:val="Geenafstand"/>
        <w:rPr>
          <w:rFonts w:ascii="Verdana" w:hAnsi="Verdana"/>
          <w:sz w:val="18"/>
          <w:szCs w:val="18"/>
        </w:rPr>
      </w:pPr>
      <w:r w:rsidRPr="00C47325">
        <w:rPr>
          <w:rFonts w:ascii="Verdana" w:hAnsi="Verdana"/>
          <w:sz w:val="18"/>
          <w:szCs w:val="18"/>
        </w:rPr>
        <w:t>ISAC</w:t>
      </w:r>
      <w:r w:rsidR="0042077A">
        <w:rPr>
          <w:rFonts w:ascii="Verdana" w:hAnsi="Verdana"/>
          <w:sz w:val="18"/>
          <w:szCs w:val="18"/>
        </w:rPr>
        <w:t xml:space="preserve"> haven</w:t>
      </w:r>
      <w:r w:rsidRPr="00C47325">
        <w:rPr>
          <w:rFonts w:ascii="Verdana" w:hAnsi="Verdana"/>
          <w:sz w:val="18"/>
          <w:szCs w:val="18"/>
        </w:rPr>
        <w:t xml:space="preserve"> wijst op verschillen tussen de bijlagen van de </w:t>
      </w:r>
      <w:proofErr w:type="spellStart"/>
      <w:r w:rsidRPr="00C47325">
        <w:rPr>
          <w:rFonts w:ascii="Verdana" w:hAnsi="Verdana"/>
          <w:sz w:val="18"/>
          <w:szCs w:val="18"/>
        </w:rPr>
        <w:t>Cbw</w:t>
      </w:r>
      <w:proofErr w:type="spellEnd"/>
      <w:r w:rsidRPr="00C47325">
        <w:rPr>
          <w:rFonts w:ascii="Verdana" w:hAnsi="Verdana"/>
          <w:sz w:val="18"/>
          <w:szCs w:val="18"/>
        </w:rPr>
        <w:t xml:space="preserve"> en de bijlage van de </w:t>
      </w:r>
      <w:proofErr w:type="spellStart"/>
      <w:r w:rsidRPr="00C47325">
        <w:rPr>
          <w:rFonts w:ascii="Verdana" w:hAnsi="Verdana"/>
          <w:sz w:val="18"/>
          <w:szCs w:val="18"/>
        </w:rPr>
        <w:t>Wwke</w:t>
      </w:r>
      <w:proofErr w:type="spellEnd"/>
      <w:r w:rsidRPr="00C47325">
        <w:rPr>
          <w:rFonts w:ascii="Verdana" w:hAnsi="Verdana"/>
          <w:sz w:val="18"/>
          <w:szCs w:val="18"/>
        </w:rPr>
        <w:t xml:space="preserve"> en stelt voor om dezelfde sectoren en </w:t>
      </w:r>
      <w:proofErr w:type="spellStart"/>
      <w:r w:rsidRPr="00C47325">
        <w:rPr>
          <w:rFonts w:ascii="Verdana" w:hAnsi="Verdana"/>
          <w:sz w:val="18"/>
          <w:szCs w:val="18"/>
        </w:rPr>
        <w:t>subsectoren</w:t>
      </w:r>
      <w:proofErr w:type="spellEnd"/>
      <w:r w:rsidRPr="00C47325">
        <w:rPr>
          <w:rFonts w:ascii="Verdana" w:hAnsi="Verdana"/>
          <w:sz w:val="18"/>
          <w:szCs w:val="18"/>
        </w:rPr>
        <w:t xml:space="preserve"> te hanteren in deze bijlagen. </w:t>
      </w:r>
      <w:r w:rsidR="00CD5339">
        <w:rPr>
          <w:rFonts w:ascii="Verdana" w:hAnsi="Verdana"/>
          <w:sz w:val="18"/>
          <w:szCs w:val="18"/>
        </w:rPr>
        <w:t>In reactie hierop wordt toegelicht dat de</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strekt tot de implementatie van de NIS2-richtlijn en de </w:t>
      </w:r>
      <w:proofErr w:type="spellStart"/>
      <w:r w:rsidRPr="00C47325">
        <w:rPr>
          <w:rFonts w:ascii="Verdana" w:hAnsi="Verdana"/>
          <w:sz w:val="18"/>
          <w:szCs w:val="18"/>
        </w:rPr>
        <w:t>Wwke</w:t>
      </w:r>
      <w:proofErr w:type="spellEnd"/>
      <w:r w:rsidRPr="00C47325">
        <w:rPr>
          <w:rFonts w:ascii="Verdana" w:hAnsi="Verdana"/>
          <w:sz w:val="18"/>
          <w:szCs w:val="18"/>
        </w:rPr>
        <w:t xml:space="preserve"> strekt tot de implementatie van de CER-richtlijn. Deze richtlijnen vertonen op sommige punten gelijkenissen, maar zijn niet geheel identiek aan elkaar, zo ook ten aanzien van de sectoren en </w:t>
      </w:r>
      <w:proofErr w:type="spellStart"/>
      <w:r w:rsidRPr="00C47325">
        <w:rPr>
          <w:rFonts w:ascii="Verdana" w:hAnsi="Verdana"/>
          <w:sz w:val="18"/>
          <w:szCs w:val="18"/>
        </w:rPr>
        <w:t>subsectoren</w:t>
      </w:r>
      <w:proofErr w:type="spellEnd"/>
      <w:r w:rsidRPr="00C47325">
        <w:rPr>
          <w:rFonts w:ascii="Verdana" w:hAnsi="Verdana"/>
          <w:sz w:val="18"/>
          <w:szCs w:val="18"/>
        </w:rPr>
        <w:t xml:space="preserve"> die onder de reikwijdte van de richtlijnen vallen. Dit verklaart waarom de bijlagen van de </w:t>
      </w:r>
      <w:proofErr w:type="spellStart"/>
      <w:r w:rsidRPr="00C47325">
        <w:rPr>
          <w:rFonts w:ascii="Verdana" w:hAnsi="Verdana"/>
          <w:sz w:val="18"/>
          <w:szCs w:val="18"/>
        </w:rPr>
        <w:t>Cbw</w:t>
      </w:r>
      <w:proofErr w:type="spellEnd"/>
      <w:r w:rsidRPr="00C47325">
        <w:rPr>
          <w:rFonts w:ascii="Verdana" w:hAnsi="Verdana"/>
          <w:sz w:val="18"/>
          <w:szCs w:val="18"/>
        </w:rPr>
        <w:t xml:space="preserve"> niet gelijk zijn aan de bijlage van de </w:t>
      </w:r>
      <w:proofErr w:type="spellStart"/>
      <w:r w:rsidRPr="00C47325">
        <w:rPr>
          <w:rFonts w:ascii="Verdana" w:hAnsi="Verdana"/>
          <w:sz w:val="18"/>
          <w:szCs w:val="18"/>
        </w:rPr>
        <w:t>Wwke</w:t>
      </w:r>
      <w:proofErr w:type="spellEnd"/>
      <w:r w:rsidRPr="00C47325">
        <w:rPr>
          <w:rFonts w:ascii="Verdana" w:hAnsi="Verdana"/>
          <w:sz w:val="18"/>
          <w:szCs w:val="18"/>
        </w:rPr>
        <w:t>.</w:t>
      </w:r>
    </w:p>
    <w:p w:rsidRPr="000F058E" w:rsidR="00A450AE" w:rsidP="00A450AE" w:rsidRDefault="00A450AE" w14:paraId="77BB0DD8" w14:textId="77777777">
      <w:pPr>
        <w:pStyle w:val="Geenafstand"/>
        <w:rPr>
          <w:rFonts w:ascii="Verdana" w:hAnsi="Verdana"/>
          <w:sz w:val="18"/>
          <w:szCs w:val="18"/>
        </w:rPr>
      </w:pPr>
    </w:p>
    <w:p w:rsidRPr="00AC212B" w:rsidR="00E31F70" w:rsidP="00A450AE" w:rsidRDefault="00E31F70" w14:paraId="48BB8A9C" w14:textId="5BD9441F">
      <w:pPr>
        <w:pStyle w:val="Geenafstand"/>
        <w:rPr>
          <w:rFonts w:ascii="Verdana" w:hAnsi="Verdana"/>
          <w:i/>
          <w:iCs/>
          <w:sz w:val="18"/>
          <w:szCs w:val="18"/>
        </w:rPr>
      </w:pPr>
      <w:r w:rsidRPr="00AC212B">
        <w:rPr>
          <w:rFonts w:ascii="Verdana" w:hAnsi="Verdana"/>
          <w:i/>
          <w:iCs/>
          <w:sz w:val="18"/>
          <w:szCs w:val="18"/>
        </w:rPr>
        <w:t xml:space="preserve">Bepalingen uit NIS2-richtlijn niet geïmplementeerd in </w:t>
      </w:r>
      <w:proofErr w:type="spellStart"/>
      <w:r w:rsidRPr="00AC212B">
        <w:rPr>
          <w:rFonts w:ascii="Verdana" w:hAnsi="Verdana"/>
          <w:i/>
          <w:iCs/>
          <w:sz w:val="18"/>
          <w:szCs w:val="18"/>
        </w:rPr>
        <w:t>Cbw</w:t>
      </w:r>
      <w:proofErr w:type="spellEnd"/>
    </w:p>
    <w:p w:rsidR="00A450AE" w:rsidP="00A450AE" w:rsidRDefault="00A450AE" w14:paraId="5E0F1CEA" w14:textId="37B8D476">
      <w:pPr>
        <w:pStyle w:val="Geenafstand"/>
        <w:rPr>
          <w:rFonts w:ascii="Verdana" w:hAnsi="Verdana"/>
          <w:sz w:val="18"/>
          <w:szCs w:val="18"/>
        </w:rPr>
      </w:pPr>
      <w:r w:rsidRPr="000F058E">
        <w:rPr>
          <w:rFonts w:ascii="Verdana" w:hAnsi="Verdana"/>
          <w:sz w:val="18"/>
          <w:szCs w:val="18"/>
        </w:rPr>
        <w:t xml:space="preserve">In enkele consultatiereacties is erop gewezen dat sommige bepalingen uit de NIS2-richtlijn niet zijn geïmplementeerd in de </w:t>
      </w:r>
      <w:proofErr w:type="spellStart"/>
      <w:r w:rsidRPr="000F058E">
        <w:rPr>
          <w:rFonts w:ascii="Verdana" w:hAnsi="Verdana"/>
          <w:sz w:val="18"/>
          <w:szCs w:val="18"/>
        </w:rPr>
        <w:t>Cbw</w:t>
      </w:r>
      <w:proofErr w:type="spellEnd"/>
      <w:r w:rsidRPr="000F058E">
        <w:rPr>
          <w:rFonts w:ascii="Verdana" w:hAnsi="Verdana"/>
          <w:sz w:val="18"/>
          <w:szCs w:val="18"/>
        </w:rPr>
        <w:t>. Naar aanleiding hiervan</w:t>
      </w:r>
      <w:r w:rsidR="00CD5339">
        <w:rPr>
          <w:rFonts w:ascii="Verdana" w:hAnsi="Verdana"/>
          <w:sz w:val="18"/>
          <w:szCs w:val="18"/>
        </w:rPr>
        <w:t xml:space="preserve"> wordt</w:t>
      </w:r>
      <w:r w:rsidRPr="000F058E">
        <w:rPr>
          <w:rFonts w:ascii="Verdana" w:hAnsi="Verdana"/>
          <w:sz w:val="18"/>
          <w:szCs w:val="18"/>
        </w:rPr>
        <w:t xml:space="preserve"> het volgende toe</w:t>
      </w:r>
      <w:r w:rsidR="00CD5339">
        <w:rPr>
          <w:rFonts w:ascii="Verdana" w:hAnsi="Verdana"/>
          <w:sz w:val="18"/>
          <w:szCs w:val="18"/>
        </w:rPr>
        <w:t>gelicht</w:t>
      </w:r>
      <w:r w:rsidRPr="000F058E">
        <w:rPr>
          <w:rFonts w:ascii="Verdana" w:hAnsi="Verdana"/>
          <w:sz w:val="18"/>
          <w:szCs w:val="18"/>
        </w:rPr>
        <w:t xml:space="preserve">. </w:t>
      </w:r>
      <w:r w:rsidRPr="00C47325">
        <w:rPr>
          <w:rFonts w:ascii="Verdana" w:hAnsi="Verdana"/>
          <w:sz w:val="18"/>
          <w:szCs w:val="18"/>
        </w:rPr>
        <w:t xml:space="preserve">Sommige bepalingen uit de NIS2-richtlijn zijn al geïmplementeerd in het bestaand recht. Dit verklaart waarom sommige bepalingen uit de NIS2-richtlijn ontbreken in de </w:t>
      </w:r>
      <w:proofErr w:type="spellStart"/>
      <w:r w:rsidRPr="00C47325">
        <w:rPr>
          <w:rFonts w:ascii="Verdana" w:hAnsi="Verdana"/>
          <w:sz w:val="18"/>
          <w:szCs w:val="18"/>
        </w:rPr>
        <w:t>Cbw</w:t>
      </w:r>
      <w:proofErr w:type="spellEnd"/>
      <w:r w:rsidRPr="00C47325">
        <w:rPr>
          <w:rFonts w:ascii="Verdana" w:hAnsi="Verdana"/>
          <w:sz w:val="18"/>
          <w:szCs w:val="18"/>
        </w:rPr>
        <w:t xml:space="preserve">. De reden hiervoor is dus niet dat deze bepalingen niet worden geïmplementeerd, maar dat deze bepalingen al zijn geïmplementeerd (niet in de </w:t>
      </w:r>
      <w:proofErr w:type="spellStart"/>
      <w:r w:rsidRPr="00C47325">
        <w:rPr>
          <w:rFonts w:ascii="Verdana" w:hAnsi="Verdana"/>
          <w:sz w:val="18"/>
          <w:szCs w:val="18"/>
        </w:rPr>
        <w:t>Cbw</w:t>
      </w:r>
      <w:proofErr w:type="spellEnd"/>
      <w:r w:rsidRPr="00C47325">
        <w:rPr>
          <w:rFonts w:ascii="Verdana" w:hAnsi="Verdana"/>
          <w:sz w:val="18"/>
          <w:szCs w:val="18"/>
        </w:rPr>
        <w:t xml:space="preserve">, maar in andere wetgeving). De transponeringstabel biedt een overzicht van de bepalingen uit de NIS2-richtlijn die wel moeten worden geïmplementeerd en waar deze zijn geïmplementeerd (in de </w:t>
      </w:r>
      <w:proofErr w:type="spellStart"/>
      <w:r w:rsidRPr="00C47325">
        <w:rPr>
          <w:rFonts w:ascii="Verdana" w:hAnsi="Verdana"/>
          <w:sz w:val="18"/>
          <w:szCs w:val="18"/>
        </w:rPr>
        <w:t>Cbw</w:t>
      </w:r>
      <w:proofErr w:type="spellEnd"/>
      <w:r w:rsidRPr="00C47325">
        <w:rPr>
          <w:rFonts w:ascii="Verdana" w:hAnsi="Verdana"/>
          <w:sz w:val="18"/>
          <w:szCs w:val="18"/>
        </w:rPr>
        <w:t xml:space="preserve"> of bestaande wetgeving, zoals de </w:t>
      </w:r>
      <w:proofErr w:type="spellStart"/>
      <w:r w:rsidRPr="00C47325">
        <w:rPr>
          <w:rFonts w:ascii="Verdana" w:hAnsi="Verdana"/>
          <w:sz w:val="18"/>
          <w:szCs w:val="18"/>
        </w:rPr>
        <w:t>Awb</w:t>
      </w:r>
      <w:proofErr w:type="spellEnd"/>
      <w:r w:rsidRPr="00C47325">
        <w:rPr>
          <w:rFonts w:ascii="Verdana" w:hAnsi="Verdana"/>
          <w:sz w:val="18"/>
          <w:szCs w:val="18"/>
        </w:rPr>
        <w:t xml:space="preserve">) en de bepalingen die niet hoeven te worden geïmplementeerd, bijvoorbeeld omdat de bepaling is gericht op de Europese Commissie of omdat de bepaling strekt tot feitelijke uitvoering. </w:t>
      </w:r>
    </w:p>
    <w:p w:rsidR="00CA2296" w:rsidP="00A450AE" w:rsidRDefault="00CA2296" w14:paraId="5A2A2F1A" w14:textId="77777777">
      <w:pPr>
        <w:pStyle w:val="Geenafstand"/>
        <w:rPr>
          <w:rFonts w:ascii="Verdana" w:hAnsi="Verdana"/>
          <w:sz w:val="18"/>
          <w:szCs w:val="18"/>
        </w:rPr>
      </w:pPr>
    </w:p>
    <w:p w:rsidRPr="00CA2296" w:rsidR="00CA2296" w:rsidP="00A450AE" w:rsidRDefault="00CA2296" w14:paraId="736C2735" w14:textId="002066D5">
      <w:pPr>
        <w:pStyle w:val="Geenafstand"/>
        <w:rPr>
          <w:rFonts w:ascii="Verdana" w:hAnsi="Verdana"/>
          <w:i/>
          <w:iCs/>
          <w:sz w:val="18"/>
          <w:szCs w:val="18"/>
        </w:rPr>
      </w:pPr>
      <w:r>
        <w:rPr>
          <w:rFonts w:ascii="Verdana" w:hAnsi="Verdana"/>
          <w:i/>
          <w:iCs/>
          <w:sz w:val="18"/>
          <w:szCs w:val="18"/>
        </w:rPr>
        <w:t>Samenhang met andere Europese wetgeving</w:t>
      </w:r>
    </w:p>
    <w:p w:rsidR="003726E1" w:rsidP="00CA2296" w:rsidRDefault="00CA2296" w14:paraId="0ACD3B3A" w14:textId="7155B3FC">
      <w:pPr>
        <w:pStyle w:val="Geenafstand"/>
        <w:rPr>
          <w:rFonts w:ascii="Verdana" w:hAnsi="Verdana"/>
          <w:sz w:val="18"/>
          <w:szCs w:val="18"/>
        </w:rPr>
      </w:pPr>
      <w:r w:rsidRPr="000E32D7">
        <w:rPr>
          <w:rFonts w:ascii="Verdana" w:hAnsi="Verdana"/>
          <w:sz w:val="18"/>
          <w:szCs w:val="18"/>
        </w:rPr>
        <w:t xml:space="preserve">Meerdere partijen, </w:t>
      </w:r>
      <w:r>
        <w:rPr>
          <w:rFonts w:ascii="Verdana" w:hAnsi="Verdana"/>
          <w:sz w:val="18"/>
          <w:szCs w:val="18"/>
        </w:rPr>
        <w:t>waaronder</w:t>
      </w:r>
      <w:r w:rsidRPr="000E32D7">
        <w:rPr>
          <w:rFonts w:ascii="Verdana" w:hAnsi="Verdana"/>
          <w:sz w:val="18"/>
          <w:szCs w:val="18"/>
        </w:rPr>
        <w:t xml:space="preserve"> VNO-NCW, </w:t>
      </w:r>
      <w:r w:rsidRPr="00FF46E3">
        <w:rPr>
          <w:rFonts w:ascii="Verdana" w:hAnsi="Verdana"/>
          <w:sz w:val="18"/>
          <w:szCs w:val="18"/>
        </w:rPr>
        <w:t>MKB Nederland</w:t>
      </w:r>
      <w:r>
        <w:rPr>
          <w:rFonts w:ascii="Verdana" w:hAnsi="Verdana"/>
          <w:sz w:val="18"/>
          <w:szCs w:val="18"/>
        </w:rPr>
        <w:t>,</w:t>
      </w:r>
      <w:r w:rsidRPr="000E32D7">
        <w:rPr>
          <w:rFonts w:ascii="Verdana" w:hAnsi="Verdana"/>
          <w:sz w:val="18"/>
          <w:szCs w:val="18"/>
        </w:rPr>
        <w:t xml:space="preserve"> </w:t>
      </w:r>
      <w:proofErr w:type="spellStart"/>
      <w:r w:rsidRPr="000E32D7" w:rsidR="0082029B">
        <w:rPr>
          <w:rFonts w:ascii="Verdana" w:hAnsi="Verdana"/>
          <w:sz w:val="18"/>
          <w:szCs w:val="18"/>
        </w:rPr>
        <w:t>NL</w:t>
      </w:r>
      <w:r w:rsidR="0082029B">
        <w:rPr>
          <w:rFonts w:ascii="Verdana" w:hAnsi="Verdana"/>
          <w:sz w:val="18"/>
          <w:szCs w:val="18"/>
        </w:rPr>
        <w:t>c</w:t>
      </w:r>
      <w:r w:rsidRPr="000E32D7" w:rsidR="0082029B">
        <w:rPr>
          <w:rFonts w:ascii="Verdana" w:hAnsi="Verdana"/>
          <w:sz w:val="18"/>
          <w:szCs w:val="18"/>
        </w:rPr>
        <w:t>onnect</w:t>
      </w:r>
      <w:proofErr w:type="spellEnd"/>
      <w:r w:rsidRPr="000E32D7">
        <w:rPr>
          <w:rFonts w:ascii="Verdana" w:hAnsi="Verdana"/>
          <w:sz w:val="18"/>
          <w:szCs w:val="18"/>
        </w:rPr>
        <w:t>, IBM</w:t>
      </w:r>
      <w:r>
        <w:rPr>
          <w:rFonts w:ascii="Verdana" w:hAnsi="Verdana"/>
          <w:sz w:val="18"/>
          <w:szCs w:val="18"/>
        </w:rPr>
        <w:t xml:space="preserve"> en</w:t>
      </w:r>
      <w:r w:rsidRPr="000E32D7">
        <w:rPr>
          <w:rFonts w:ascii="Verdana" w:hAnsi="Verdana"/>
          <w:sz w:val="18"/>
          <w:szCs w:val="18"/>
        </w:rPr>
        <w:t xml:space="preserve"> CVNL</w:t>
      </w:r>
      <w:r>
        <w:rPr>
          <w:rFonts w:ascii="Verdana" w:hAnsi="Verdana"/>
          <w:sz w:val="18"/>
          <w:szCs w:val="18"/>
        </w:rPr>
        <w:t>,</w:t>
      </w:r>
      <w:r w:rsidRPr="000E32D7">
        <w:rPr>
          <w:rFonts w:ascii="Verdana" w:hAnsi="Verdana"/>
          <w:sz w:val="18"/>
          <w:szCs w:val="18"/>
        </w:rPr>
        <w:t xml:space="preserve"> vragen naar de samenhang van de NIS2</w:t>
      </w:r>
      <w:r>
        <w:rPr>
          <w:rFonts w:ascii="Verdana" w:hAnsi="Verdana"/>
          <w:sz w:val="18"/>
          <w:szCs w:val="18"/>
        </w:rPr>
        <w:t>-richtlijn</w:t>
      </w:r>
      <w:r w:rsidRPr="000E32D7">
        <w:rPr>
          <w:rFonts w:ascii="Verdana" w:hAnsi="Verdana"/>
          <w:sz w:val="18"/>
          <w:szCs w:val="18"/>
        </w:rPr>
        <w:t xml:space="preserve"> met andere Europese wetgeving</w:t>
      </w:r>
      <w:r>
        <w:rPr>
          <w:rFonts w:ascii="Verdana" w:hAnsi="Verdana"/>
          <w:sz w:val="18"/>
          <w:szCs w:val="18"/>
        </w:rPr>
        <w:t>,</w:t>
      </w:r>
      <w:r w:rsidRPr="000E32D7">
        <w:rPr>
          <w:rFonts w:ascii="Verdana" w:hAnsi="Verdana"/>
          <w:sz w:val="18"/>
          <w:szCs w:val="18"/>
        </w:rPr>
        <w:t xml:space="preserve"> waaronder de </w:t>
      </w:r>
      <w:r w:rsidRPr="00F50299" w:rsidR="00A320FB">
        <w:rPr>
          <w:rFonts w:ascii="Verdana" w:hAnsi="Verdana"/>
          <w:sz w:val="18"/>
          <w:szCs w:val="18"/>
        </w:rPr>
        <w:t>Verordening cyberweerbaarheid (</w:t>
      </w:r>
      <w:r w:rsidRPr="00AC212B" w:rsidR="00A320FB">
        <w:rPr>
          <w:rFonts w:ascii="Verdana" w:hAnsi="Verdana"/>
          <w:i/>
          <w:iCs/>
          <w:sz w:val="18"/>
          <w:szCs w:val="18"/>
        </w:rPr>
        <w:t xml:space="preserve">Cyber </w:t>
      </w:r>
      <w:proofErr w:type="spellStart"/>
      <w:r w:rsidRPr="00AC212B" w:rsidR="00A320FB">
        <w:rPr>
          <w:rFonts w:ascii="Verdana" w:hAnsi="Verdana"/>
          <w:i/>
          <w:iCs/>
          <w:sz w:val="18"/>
          <w:szCs w:val="18"/>
        </w:rPr>
        <w:t>Resilience</w:t>
      </w:r>
      <w:proofErr w:type="spellEnd"/>
      <w:r w:rsidRPr="00AC212B" w:rsidR="00A320FB">
        <w:rPr>
          <w:rFonts w:ascii="Verdana" w:hAnsi="Verdana"/>
          <w:i/>
          <w:iCs/>
          <w:sz w:val="18"/>
          <w:szCs w:val="18"/>
        </w:rPr>
        <w:t xml:space="preserve"> Act</w:t>
      </w:r>
      <w:r w:rsidRPr="00F50299" w:rsidR="00A320FB">
        <w:rPr>
          <w:rFonts w:ascii="Verdana" w:hAnsi="Verdana"/>
          <w:sz w:val="18"/>
          <w:szCs w:val="18"/>
        </w:rPr>
        <w:t>)</w:t>
      </w:r>
      <w:r w:rsidR="00A320FB">
        <w:rPr>
          <w:rFonts w:ascii="Verdana" w:hAnsi="Verdana"/>
          <w:sz w:val="18"/>
          <w:szCs w:val="18"/>
        </w:rPr>
        <w:t xml:space="preserve"> en </w:t>
      </w:r>
      <w:r w:rsidRPr="00F50299" w:rsidR="00A320FB">
        <w:rPr>
          <w:rFonts w:ascii="Verdana" w:hAnsi="Verdana"/>
          <w:sz w:val="18"/>
          <w:szCs w:val="18"/>
        </w:rPr>
        <w:t>de zogeheten Radioapparatenrichtlijn</w:t>
      </w:r>
      <w:r w:rsidRPr="000E32D7">
        <w:rPr>
          <w:rFonts w:ascii="Verdana" w:hAnsi="Verdana"/>
          <w:sz w:val="18"/>
          <w:szCs w:val="18"/>
        </w:rPr>
        <w:t xml:space="preserve">. </w:t>
      </w:r>
      <w:r>
        <w:rPr>
          <w:rFonts w:ascii="Verdana" w:hAnsi="Verdana"/>
          <w:sz w:val="18"/>
          <w:szCs w:val="18"/>
        </w:rPr>
        <w:t>Naar aanleiding van deze reacties is</w:t>
      </w:r>
      <w:r w:rsidR="00CB1D0A">
        <w:rPr>
          <w:rFonts w:ascii="Verdana" w:hAnsi="Verdana"/>
          <w:sz w:val="18"/>
          <w:szCs w:val="18"/>
        </w:rPr>
        <w:t xml:space="preserve"> de artikelsgewijze toelichting op artikel </w:t>
      </w:r>
      <w:r w:rsidR="003726E1">
        <w:rPr>
          <w:rFonts w:ascii="Verdana" w:hAnsi="Verdana"/>
          <w:sz w:val="18"/>
          <w:szCs w:val="18"/>
        </w:rPr>
        <w:t>21</w:t>
      </w:r>
      <w:r w:rsidR="00CB1D0A">
        <w:rPr>
          <w:rFonts w:ascii="Verdana" w:hAnsi="Verdana"/>
          <w:sz w:val="18"/>
          <w:szCs w:val="18"/>
        </w:rPr>
        <w:t xml:space="preserve"> </w:t>
      </w:r>
      <w:proofErr w:type="spellStart"/>
      <w:r w:rsidR="00CB1D0A">
        <w:rPr>
          <w:rFonts w:ascii="Verdana" w:hAnsi="Verdana"/>
          <w:sz w:val="18"/>
          <w:szCs w:val="18"/>
        </w:rPr>
        <w:t>Cbw</w:t>
      </w:r>
      <w:proofErr w:type="spellEnd"/>
      <w:r w:rsidR="00CB1D0A">
        <w:rPr>
          <w:rFonts w:ascii="Verdana" w:hAnsi="Verdana"/>
          <w:sz w:val="18"/>
          <w:szCs w:val="18"/>
        </w:rPr>
        <w:t xml:space="preserve"> aangevuld</w:t>
      </w:r>
      <w:r>
        <w:rPr>
          <w:rFonts w:ascii="Verdana" w:hAnsi="Verdana"/>
          <w:sz w:val="18"/>
          <w:szCs w:val="18"/>
        </w:rPr>
        <w:t xml:space="preserve">. </w:t>
      </w:r>
    </w:p>
    <w:p w:rsidRPr="000E32D7" w:rsidR="003726E1" w:rsidP="00CA2296" w:rsidRDefault="003726E1" w14:paraId="4555947B" w14:textId="77777777">
      <w:pPr>
        <w:pStyle w:val="Geenafstand"/>
        <w:rPr>
          <w:rFonts w:ascii="Verdana" w:hAnsi="Verdana"/>
          <w:sz w:val="18"/>
          <w:szCs w:val="18"/>
        </w:rPr>
      </w:pPr>
    </w:p>
    <w:p w:rsidRPr="00C47325" w:rsidR="00A450AE" w:rsidP="00A450AE" w:rsidRDefault="00A450AE" w14:paraId="00BFF324" w14:textId="77777777">
      <w:pPr>
        <w:pStyle w:val="Geenafstand"/>
        <w:rPr>
          <w:rFonts w:ascii="Verdana" w:hAnsi="Verdana"/>
          <w:i/>
          <w:iCs/>
          <w:sz w:val="18"/>
          <w:szCs w:val="18"/>
        </w:rPr>
      </w:pPr>
      <w:r w:rsidRPr="00C47325">
        <w:rPr>
          <w:rFonts w:ascii="Verdana" w:hAnsi="Verdana"/>
          <w:i/>
          <w:iCs/>
          <w:sz w:val="18"/>
          <w:szCs w:val="18"/>
        </w:rPr>
        <w:t>Entiteiten die domeinnaamregistratiediensten verlenen</w:t>
      </w:r>
    </w:p>
    <w:p w:rsidR="00A450AE" w:rsidP="00A450AE" w:rsidRDefault="00A450AE" w14:paraId="5EDF6A0B" w14:textId="27747929">
      <w:pPr>
        <w:pStyle w:val="Geenafstand"/>
        <w:rPr>
          <w:rFonts w:ascii="Verdana" w:hAnsi="Verdana"/>
          <w:sz w:val="18"/>
          <w:szCs w:val="18"/>
        </w:rPr>
      </w:pPr>
      <w:proofErr w:type="spellStart"/>
      <w:r w:rsidRPr="00C47325">
        <w:rPr>
          <w:rFonts w:ascii="Verdana" w:hAnsi="Verdana"/>
          <w:sz w:val="18"/>
          <w:szCs w:val="18"/>
        </w:rPr>
        <w:t>Omni</w:t>
      </w:r>
      <w:proofErr w:type="spellEnd"/>
      <w:r w:rsidRPr="00C47325">
        <w:rPr>
          <w:rFonts w:ascii="Verdana" w:hAnsi="Verdana"/>
          <w:sz w:val="18"/>
          <w:szCs w:val="18"/>
        </w:rPr>
        <w:t xml:space="preserve">-U betwist, onder verwijzing naar overweging 15 </w:t>
      </w:r>
      <w:r w:rsidR="00DF67C4">
        <w:rPr>
          <w:rFonts w:ascii="Verdana" w:hAnsi="Verdana"/>
          <w:sz w:val="18"/>
          <w:szCs w:val="18"/>
        </w:rPr>
        <w:t xml:space="preserve">van de </w:t>
      </w:r>
      <w:r w:rsidRPr="00C47325">
        <w:rPr>
          <w:rFonts w:ascii="Verdana" w:hAnsi="Verdana"/>
          <w:sz w:val="18"/>
          <w:szCs w:val="18"/>
        </w:rPr>
        <w:t xml:space="preserve">NIS2-richtlijn, dat entiteiten die domeinnaamregistratiediensten verlenen een aparte categorie entiteiten betreffen, naast essentiële entiteiten en belangrijke entiteiten. Dit is onjuist. Uit onder meer artikel 3, derde lid, en overweging 18 </w:t>
      </w:r>
      <w:r w:rsidR="00DF67C4">
        <w:rPr>
          <w:rFonts w:ascii="Verdana" w:hAnsi="Verdana"/>
          <w:sz w:val="18"/>
          <w:szCs w:val="18"/>
        </w:rPr>
        <w:t xml:space="preserve">van de </w:t>
      </w:r>
      <w:r w:rsidRPr="00C47325">
        <w:rPr>
          <w:rFonts w:ascii="Verdana" w:hAnsi="Verdana"/>
          <w:sz w:val="18"/>
          <w:szCs w:val="18"/>
        </w:rPr>
        <w:t xml:space="preserve">NIS2-richtlijn volgt dat de NIS2-richtlijn entiteiten onderverdeelt in drie categorieën: essentiële entiteiten, belangrijke entiteiten en entiteiten die domeinnaamregistratiediensten verlenen. </w:t>
      </w:r>
      <w:r>
        <w:rPr>
          <w:rFonts w:ascii="Verdana" w:hAnsi="Verdana"/>
          <w:sz w:val="18"/>
          <w:szCs w:val="18"/>
        </w:rPr>
        <w:t>O</w:t>
      </w:r>
      <w:r w:rsidRPr="00C47325">
        <w:rPr>
          <w:rFonts w:ascii="Verdana" w:hAnsi="Verdana"/>
          <w:sz w:val="18"/>
          <w:szCs w:val="18"/>
        </w:rPr>
        <w:t xml:space="preserve">verweging </w:t>
      </w:r>
      <w:r>
        <w:rPr>
          <w:rFonts w:ascii="Verdana" w:hAnsi="Verdana"/>
          <w:sz w:val="18"/>
          <w:szCs w:val="18"/>
        </w:rPr>
        <w:t xml:space="preserve">15 </w:t>
      </w:r>
      <w:r w:rsidR="00DF67C4">
        <w:rPr>
          <w:rFonts w:ascii="Verdana" w:hAnsi="Verdana"/>
          <w:sz w:val="18"/>
          <w:szCs w:val="18"/>
        </w:rPr>
        <w:t xml:space="preserve">van de </w:t>
      </w:r>
      <w:r>
        <w:rPr>
          <w:rFonts w:ascii="Verdana" w:hAnsi="Verdana"/>
          <w:sz w:val="18"/>
          <w:szCs w:val="18"/>
        </w:rPr>
        <w:t xml:space="preserve">NIS2-richtlijn </w:t>
      </w:r>
      <w:r w:rsidRPr="00C47325">
        <w:rPr>
          <w:rFonts w:ascii="Verdana" w:hAnsi="Verdana"/>
          <w:sz w:val="18"/>
          <w:szCs w:val="18"/>
        </w:rPr>
        <w:t>ziet op de zorgplicht en de meldplicht</w:t>
      </w:r>
      <w:r>
        <w:rPr>
          <w:rFonts w:ascii="Verdana" w:hAnsi="Verdana"/>
          <w:sz w:val="18"/>
          <w:szCs w:val="18"/>
        </w:rPr>
        <w:t xml:space="preserve"> en a</w:t>
      </w:r>
      <w:r w:rsidRPr="00C47325">
        <w:rPr>
          <w:rFonts w:ascii="Verdana" w:hAnsi="Verdana"/>
          <w:sz w:val="18"/>
          <w:szCs w:val="18"/>
        </w:rPr>
        <w:t xml:space="preserve">angezien deze verplichtingen alleen van toepassing zijn op essentiële entiteiten en belangrijke entiteiten, is het vanzelfsprekend dat de overweging alleen ingaat op die entiteiten. </w:t>
      </w:r>
    </w:p>
    <w:p w:rsidR="000E32D7" w:rsidP="00A450AE" w:rsidRDefault="000E32D7" w14:paraId="514C3F33" w14:textId="77777777">
      <w:pPr>
        <w:pStyle w:val="Geenafstand"/>
        <w:rPr>
          <w:rFonts w:ascii="Verdana" w:hAnsi="Verdana"/>
          <w:sz w:val="18"/>
          <w:szCs w:val="18"/>
        </w:rPr>
      </w:pPr>
    </w:p>
    <w:p w:rsidRPr="00C47325" w:rsidR="00A450AE" w:rsidP="00A450AE" w:rsidRDefault="00A450AE" w14:paraId="1C365D87" w14:textId="77777777">
      <w:pPr>
        <w:pStyle w:val="Geenafstand"/>
        <w:rPr>
          <w:rFonts w:ascii="Verdana" w:hAnsi="Verdana"/>
          <w:sz w:val="18"/>
          <w:szCs w:val="18"/>
        </w:rPr>
      </w:pPr>
      <w:r w:rsidRPr="00C47325">
        <w:rPr>
          <w:rFonts w:ascii="Verdana" w:hAnsi="Verdana"/>
          <w:i/>
          <w:iCs/>
          <w:sz w:val="18"/>
          <w:szCs w:val="18"/>
        </w:rPr>
        <w:t>Registratie</w:t>
      </w:r>
      <w:r w:rsidRPr="00C47325">
        <w:rPr>
          <w:rFonts w:ascii="Verdana" w:hAnsi="Verdana"/>
          <w:sz w:val="18"/>
          <w:szCs w:val="18"/>
        </w:rPr>
        <w:t xml:space="preserve"> </w:t>
      </w:r>
    </w:p>
    <w:p w:rsidRPr="00C47325" w:rsidR="00A450AE" w:rsidP="00A450AE" w:rsidRDefault="00A450AE" w14:paraId="6CAEB1F9" w14:textId="40C93B87">
      <w:pPr>
        <w:pStyle w:val="Geenafstand"/>
        <w:rPr>
          <w:rFonts w:ascii="Verdana" w:hAnsi="Verdana"/>
          <w:i/>
          <w:iCs/>
          <w:sz w:val="18"/>
          <w:szCs w:val="18"/>
        </w:rPr>
      </w:pPr>
      <w:r w:rsidRPr="00C47325">
        <w:rPr>
          <w:rFonts w:ascii="Verdana" w:hAnsi="Verdana"/>
          <w:sz w:val="18"/>
          <w:szCs w:val="18"/>
        </w:rPr>
        <w:t>ISAC haven heeft enkele vragen gesteld over het nationale register van entiteiten.</w:t>
      </w:r>
      <w:r w:rsidR="00184C8A">
        <w:rPr>
          <w:rFonts w:ascii="Verdana" w:hAnsi="Verdana"/>
          <w:sz w:val="18"/>
          <w:szCs w:val="18"/>
        </w:rPr>
        <w:t xml:space="preserve"> Over dat register wordt het volgende toegelicht</w:t>
      </w:r>
      <w:r w:rsidRPr="00C47325">
        <w:rPr>
          <w:rFonts w:ascii="Verdana" w:hAnsi="Verdana"/>
          <w:sz w:val="18"/>
          <w:szCs w:val="18"/>
        </w:rPr>
        <w:t xml:space="preserve">. De registratieplicht geldt vanaf het moment dat de </w:t>
      </w:r>
      <w:proofErr w:type="spellStart"/>
      <w:r w:rsidRPr="00C47325">
        <w:rPr>
          <w:rFonts w:ascii="Verdana" w:hAnsi="Verdana"/>
          <w:sz w:val="18"/>
          <w:szCs w:val="18"/>
        </w:rPr>
        <w:t>Cbw</w:t>
      </w:r>
      <w:proofErr w:type="spellEnd"/>
      <w:r w:rsidRPr="00C47325">
        <w:rPr>
          <w:rFonts w:ascii="Verdana" w:hAnsi="Verdana"/>
          <w:sz w:val="18"/>
          <w:szCs w:val="18"/>
        </w:rPr>
        <w:t xml:space="preserve"> in werking</w:t>
      </w:r>
      <w:r w:rsidRPr="00C47325">
        <w:rPr>
          <w:rFonts w:ascii="Verdana" w:hAnsi="Verdana"/>
          <w:b/>
          <w:bCs/>
          <w:sz w:val="18"/>
          <w:szCs w:val="18"/>
        </w:rPr>
        <w:t xml:space="preserve"> </w:t>
      </w:r>
      <w:r w:rsidRPr="00C47325">
        <w:rPr>
          <w:rFonts w:ascii="Verdana" w:hAnsi="Verdana"/>
          <w:sz w:val="18"/>
          <w:szCs w:val="18"/>
        </w:rPr>
        <w:t xml:space="preserve">treedt. Tussen 18 oktober 2024 en de inwerkingtreding van de </w:t>
      </w:r>
      <w:proofErr w:type="spellStart"/>
      <w:r w:rsidRPr="00C47325">
        <w:rPr>
          <w:rFonts w:ascii="Verdana" w:hAnsi="Verdana"/>
          <w:sz w:val="18"/>
          <w:szCs w:val="18"/>
        </w:rPr>
        <w:t>Cbw</w:t>
      </w:r>
      <w:proofErr w:type="spellEnd"/>
      <w:r w:rsidRPr="00C47325">
        <w:rPr>
          <w:rFonts w:ascii="Verdana" w:hAnsi="Verdana"/>
          <w:sz w:val="18"/>
          <w:szCs w:val="18"/>
        </w:rPr>
        <w:t xml:space="preserve"> is registratie op vrijwillige basis mogelijk. Voor het uitvoeren van de registratie is inloggen via e-Herkenning vereist. Daarmee kan worden gevalideerd dat een persoon gerechtigd is om namens een entiteit het registratieproces te doorlopen. Bij de registratie zal worden gevraagd naar de lidstaten waarin de entiteit diensten als bedoeld in de bijlagen bij de </w:t>
      </w:r>
      <w:proofErr w:type="spellStart"/>
      <w:r w:rsidRPr="00C47325">
        <w:rPr>
          <w:rFonts w:ascii="Verdana" w:hAnsi="Verdana"/>
          <w:sz w:val="18"/>
          <w:szCs w:val="18"/>
        </w:rPr>
        <w:t>Cbw</w:t>
      </w:r>
      <w:proofErr w:type="spellEnd"/>
      <w:r w:rsidRPr="00C47325">
        <w:rPr>
          <w:rFonts w:ascii="Verdana" w:hAnsi="Verdana"/>
          <w:sz w:val="18"/>
          <w:szCs w:val="18"/>
        </w:rPr>
        <w:t xml:space="preserve"> verleent, zodat bij een eventueel incident kan worden bepaald met welke autoriteiten in andere lidstaten samen kan worden gewerkt.</w:t>
      </w:r>
    </w:p>
    <w:p w:rsidRPr="00C47325" w:rsidR="00A450AE" w:rsidP="00A450AE" w:rsidRDefault="00A450AE" w14:paraId="04EE8490" w14:textId="77777777">
      <w:pPr>
        <w:pStyle w:val="Geenafstand"/>
        <w:rPr>
          <w:rFonts w:ascii="Verdana" w:hAnsi="Verdana"/>
          <w:i/>
          <w:iCs/>
          <w:sz w:val="18"/>
          <w:szCs w:val="18"/>
        </w:rPr>
      </w:pPr>
    </w:p>
    <w:p w:rsidRPr="00C47325" w:rsidR="00A450AE" w:rsidP="00A450AE" w:rsidRDefault="00A450AE" w14:paraId="4D603964" w14:textId="77777777">
      <w:pPr>
        <w:pStyle w:val="Geenafstand"/>
        <w:rPr>
          <w:rFonts w:ascii="Verdana" w:hAnsi="Verdana"/>
          <w:i/>
          <w:iCs/>
          <w:sz w:val="18"/>
          <w:szCs w:val="18"/>
        </w:rPr>
      </w:pPr>
      <w:r w:rsidRPr="00C47325">
        <w:rPr>
          <w:rFonts w:ascii="Verdana" w:hAnsi="Verdana"/>
          <w:i/>
          <w:iCs/>
          <w:sz w:val="18"/>
          <w:szCs w:val="18"/>
        </w:rPr>
        <w:t>Caribisch Nederland</w:t>
      </w:r>
    </w:p>
    <w:p w:rsidRPr="00C47325" w:rsidR="00A450AE" w:rsidP="00A450AE" w:rsidRDefault="00A450AE" w14:paraId="7F868A31" w14:textId="0A9F32C5">
      <w:pPr>
        <w:pStyle w:val="Geenafstand"/>
        <w:rPr>
          <w:rFonts w:ascii="Verdana" w:hAnsi="Verdana"/>
          <w:sz w:val="18"/>
          <w:szCs w:val="18"/>
        </w:rPr>
      </w:pPr>
      <w:r w:rsidRPr="00C47325">
        <w:rPr>
          <w:rFonts w:ascii="Verdana" w:hAnsi="Verdana"/>
          <w:sz w:val="18"/>
          <w:szCs w:val="18"/>
        </w:rPr>
        <w:t xml:space="preserve">In een consultatiereactie wordt aangegeven dat </w:t>
      </w:r>
      <w:r w:rsidR="000637A7">
        <w:rPr>
          <w:rFonts w:ascii="Verdana" w:hAnsi="Verdana"/>
          <w:sz w:val="18"/>
          <w:szCs w:val="18"/>
        </w:rPr>
        <w:t>de regering</w:t>
      </w:r>
      <w:r w:rsidRPr="00C47325">
        <w:rPr>
          <w:rFonts w:ascii="Verdana" w:hAnsi="Verdana"/>
          <w:sz w:val="18"/>
          <w:szCs w:val="18"/>
        </w:rPr>
        <w:t xml:space="preserve"> zou vinden dat er in Caribisch Nederland nog geen regels hoeven te gelden voor cyberbeveiliging en dat een lager cyberbeveiligingsniveau geen reden kan zijn om geen wettelijke ondergrens neer te zetten. </w:t>
      </w:r>
      <w:r w:rsidR="00184C8A">
        <w:rPr>
          <w:rFonts w:ascii="Verdana" w:hAnsi="Verdana"/>
          <w:sz w:val="18"/>
          <w:szCs w:val="18"/>
        </w:rPr>
        <w:t>Dit is niet het geval.</w:t>
      </w:r>
      <w:r w:rsidRPr="00C47325">
        <w:rPr>
          <w:rFonts w:ascii="Verdana" w:hAnsi="Verdana"/>
          <w:sz w:val="18"/>
          <w:szCs w:val="18"/>
        </w:rPr>
        <w:t xml:space="preserve"> Zoals ook in paragraaf 5.</w:t>
      </w:r>
      <w:r w:rsidR="000846D6">
        <w:rPr>
          <w:rFonts w:ascii="Verdana" w:hAnsi="Verdana"/>
          <w:sz w:val="18"/>
          <w:szCs w:val="18"/>
        </w:rPr>
        <w:t>8</w:t>
      </w:r>
      <w:r w:rsidRPr="00C47325">
        <w:rPr>
          <w:rFonts w:ascii="Verdana" w:hAnsi="Verdana"/>
          <w:sz w:val="18"/>
          <w:szCs w:val="18"/>
        </w:rPr>
        <w:t xml:space="preserve"> </w:t>
      </w:r>
      <w:r w:rsidR="00184C8A">
        <w:rPr>
          <w:rFonts w:ascii="Verdana" w:hAnsi="Verdana"/>
          <w:sz w:val="18"/>
          <w:szCs w:val="18"/>
        </w:rPr>
        <w:t>is</w:t>
      </w:r>
      <w:r w:rsidRPr="00C47325" w:rsidR="00184C8A">
        <w:rPr>
          <w:rFonts w:ascii="Verdana" w:hAnsi="Verdana"/>
          <w:sz w:val="18"/>
          <w:szCs w:val="18"/>
        </w:rPr>
        <w:t xml:space="preserve"> </w:t>
      </w:r>
      <w:r w:rsidRPr="00C47325">
        <w:rPr>
          <w:rFonts w:ascii="Verdana" w:hAnsi="Verdana"/>
          <w:sz w:val="18"/>
          <w:szCs w:val="18"/>
        </w:rPr>
        <w:t>toegelicht zijn de onderwerpen die in de NIS2-richtlijn worden geregeld op dit moment niet uitvoerbaar in Caribisch Nederland en wordt op dit moment eerst uitvoering gegeven aan enkele randvoorwaarden voor het verhogen van de digitale weerbaarheid op de BES. Denk aan het in kaart brengen van welke processen op de BES mogelijk maatschappelijk ontwrichtende effecten hebben en betere bescherming behoeven. Het is goed denkbaar dat in de toekomst uitvoerbare wetgeving komt waarmee de bescherming van bepaalde infrastructuur in Caribisch Nederland tegen digitale risico</w:t>
      </w:r>
      <w:r w:rsidR="00D91960">
        <w:rPr>
          <w:rFonts w:ascii="Verdana" w:hAnsi="Verdana"/>
          <w:sz w:val="18"/>
          <w:szCs w:val="18"/>
        </w:rPr>
        <w:t>’</w:t>
      </w:r>
      <w:r w:rsidRPr="00C47325">
        <w:rPr>
          <w:rFonts w:ascii="Verdana" w:hAnsi="Verdana"/>
          <w:sz w:val="18"/>
          <w:szCs w:val="18"/>
        </w:rPr>
        <w:t>s wordt gewaarborgd.</w:t>
      </w:r>
    </w:p>
    <w:p w:rsidR="00A450AE" w:rsidP="00A450AE" w:rsidRDefault="00A450AE" w14:paraId="677063F9" w14:textId="77777777">
      <w:pPr>
        <w:pStyle w:val="Geenafstand"/>
        <w:rPr>
          <w:rFonts w:ascii="Verdana" w:hAnsi="Verdana"/>
          <w:sz w:val="18"/>
          <w:szCs w:val="18"/>
        </w:rPr>
      </w:pPr>
    </w:p>
    <w:p w:rsidRPr="00C47325" w:rsidR="00A450AE" w:rsidP="00A450AE" w:rsidRDefault="00A450AE" w14:paraId="5DB83021" w14:textId="77777777">
      <w:pPr>
        <w:pStyle w:val="Geenafstand"/>
        <w:rPr>
          <w:rFonts w:ascii="Verdana" w:hAnsi="Verdana"/>
          <w:sz w:val="18"/>
          <w:szCs w:val="18"/>
        </w:rPr>
      </w:pPr>
      <w:r w:rsidRPr="00C47325">
        <w:rPr>
          <w:rFonts w:ascii="Verdana" w:hAnsi="Verdana"/>
          <w:i/>
          <w:iCs/>
          <w:sz w:val="18"/>
          <w:szCs w:val="18"/>
        </w:rPr>
        <w:t xml:space="preserve">Verwijzingen in de </w:t>
      </w:r>
      <w:proofErr w:type="spellStart"/>
      <w:r w:rsidRPr="00C47325">
        <w:rPr>
          <w:rFonts w:ascii="Verdana" w:hAnsi="Verdana"/>
          <w:i/>
          <w:iCs/>
          <w:sz w:val="18"/>
          <w:szCs w:val="18"/>
        </w:rPr>
        <w:t>Cbw</w:t>
      </w:r>
      <w:proofErr w:type="spellEnd"/>
    </w:p>
    <w:p w:rsidRPr="00C47325" w:rsidR="00A450AE" w:rsidP="00A450AE" w:rsidRDefault="00A450AE" w14:paraId="7E1B58AC" w14:textId="6E097616">
      <w:pPr>
        <w:pStyle w:val="Geenafstand"/>
        <w:rPr>
          <w:rFonts w:ascii="Verdana" w:hAnsi="Verdana"/>
          <w:sz w:val="18"/>
          <w:szCs w:val="18"/>
        </w:rPr>
      </w:pPr>
      <w:r w:rsidRPr="00C47325">
        <w:rPr>
          <w:rFonts w:ascii="Verdana" w:hAnsi="Verdana"/>
          <w:sz w:val="18"/>
          <w:szCs w:val="18"/>
        </w:rPr>
        <w:t xml:space="preserve">In enkele consultatiereacties wordt gevraagd naar welke artikelen uit welke regelingen er in de </w:t>
      </w:r>
      <w:proofErr w:type="spellStart"/>
      <w:r w:rsidRPr="00C47325">
        <w:rPr>
          <w:rFonts w:ascii="Verdana" w:hAnsi="Verdana"/>
          <w:sz w:val="18"/>
          <w:szCs w:val="18"/>
        </w:rPr>
        <w:t>Cbw</w:t>
      </w:r>
      <w:proofErr w:type="spellEnd"/>
      <w:r w:rsidRPr="00C47325">
        <w:rPr>
          <w:rFonts w:ascii="Verdana" w:hAnsi="Verdana"/>
          <w:sz w:val="18"/>
          <w:szCs w:val="18"/>
        </w:rPr>
        <w:t xml:space="preserve"> wordt verwezen, omdat die aanduiding in sommige bepalingen in de </w:t>
      </w:r>
      <w:proofErr w:type="spellStart"/>
      <w:r w:rsidRPr="00C47325">
        <w:rPr>
          <w:rFonts w:ascii="Verdana" w:hAnsi="Verdana"/>
          <w:sz w:val="18"/>
          <w:szCs w:val="18"/>
        </w:rPr>
        <w:t>Cbw</w:t>
      </w:r>
      <w:proofErr w:type="spellEnd"/>
      <w:r w:rsidRPr="00C47325">
        <w:rPr>
          <w:rFonts w:ascii="Verdana" w:hAnsi="Verdana"/>
          <w:sz w:val="18"/>
          <w:szCs w:val="18"/>
        </w:rPr>
        <w:t xml:space="preserve"> ontbreekt. Hierover wordt het volgende toegelicht. Daar waar in wet- en regelgeving wordt verwezen naar een artikel zonder verwijzing naar andere wet- en regelgeving, wordt verwezen naar het artikel uit diezelfde wet of regeling.</w:t>
      </w:r>
    </w:p>
    <w:p w:rsidRPr="00C47325" w:rsidR="00A450AE" w:rsidP="00A450AE" w:rsidRDefault="00A450AE" w14:paraId="7A25B3E5" w14:textId="77777777">
      <w:pPr>
        <w:pStyle w:val="Geenafstand"/>
        <w:rPr>
          <w:rFonts w:ascii="Verdana" w:hAnsi="Verdana"/>
          <w:sz w:val="18"/>
          <w:szCs w:val="18"/>
        </w:rPr>
      </w:pPr>
    </w:p>
    <w:p w:rsidRPr="00C47325" w:rsidR="00A450AE" w:rsidP="00A450AE" w:rsidRDefault="00184C8A" w14:paraId="13734A4F" w14:textId="293E7575">
      <w:pPr>
        <w:pStyle w:val="Geenafstand"/>
        <w:rPr>
          <w:rFonts w:ascii="Verdana" w:hAnsi="Verdana"/>
          <w:i/>
          <w:iCs/>
          <w:sz w:val="18"/>
          <w:szCs w:val="18"/>
        </w:rPr>
      </w:pPr>
      <w:r>
        <w:rPr>
          <w:rFonts w:ascii="Verdana" w:hAnsi="Verdana"/>
          <w:i/>
          <w:iCs/>
          <w:sz w:val="18"/>
          <w:szCs w:val="18"/>
        </w:rPr>
        <w:t>Definities</w:t>
      </w:r>
    </w:p>
    <w:p w:rsidRPr="00C47325" w:rsidR="00A450AE" w:rsidP="00A450AE" w:rsidRDefault="006A14A5" w14:paraId="48F684C0" w14:textId="4F57862A">
      <w:pPr>
        <w:pStyle w:val="Geenafstand"/>
        <w:rPr>
          <w:rFonts w:ascii="Verdana" w:hAnsi="Verdana"/>
          <w:sz w:val="18"/>
          <w:szCs w:val="18"/>
        </w:rPr>
      </w:pPr>
      <w:r>
        <w:rPr>
          <w:rFonts w:ascii="Verdana" w:hAnsi="Verdana"/>
          <w:sz w:val="18"/>
          <w:szCs w:val="18"/>
        </w:rPr>
        <w:t>CVNL</w:t>
      </w:r>
      <w:r w:rsidRPr="00C47325" w:rsidR="00A450AE">
        <w:rPr>
          <w:rFonts w:ascii="Verdana" w:hAnsi="Verdana"/>
          <w:sz w:val="18"/>
          <w:szCs w:val="18"/>
        </w:rPr>
        <w:t xml:space="preserve"> wijst erop dat in artikel 1 </w:t>
      </w:r>
      <w:proofErr w:type="spellStart"/>
      <w:r w:rsidRPr="00C47325" w:rsidR="00A450AE">
        <w:rPr>
          <w:rFonts w:ascii="Verdana" w:hAnsi="Verdana"/>
          <w:sz w:val="18"/>
          <w:szCs w:val="18"/>
        </w:rPr>
        <w:t>Cbw</w:t>
      </w:r>
      <w:proofErr w:type="spellEnd"/>
      <w:r w:rsidRPr="00C47325" w:rsidR="00A450AE">
        <w:rPr>
          <w:rFonts w:ascii="Verdana" w:hAnsi="Verdana"/>
          <w:sz w:val="18"/>
          <w:szCs w:val="18"/>
        </w:rPr>
        <w:t xml:space="preserve"> een aantal essentiële begrippen ontbreken, zoals “cyberhygiëne” en “bestuurder”, en betreurt dat voor de definities niet wordt verwezen naar het Cybersecuritywoordenboek. In reactie hierop </w:t>
      </w:r>
      <w:r w:rsidR="00184C8A">
        <w:rPr>
          <w:rFonts w:ascii="Verdana" w:hAnsi="Verdana"/>
          <w:sz w:val="18"/>
          <w:szCs w:val="18"/>
        </w:rPr>
        <w:t>wordt erop gewezen dat a</w:t>
      </w:r>
      <w:r w:rsidRPr="00C47325" w:rsidR="00A450AE">
        <w:rPr>
          <w:rFonts w:ascii="Verdana" w:hAnsi="Verdana"/>
          <w:sz w:val="18"/>
          <w:szCs w:val="18"/>
        </w:rPr>
        <w:t xml:space="preserve">rtikel 1 </w:t>
      </w:r>
      <w:proofErr w:type="spellStart"/>
      <w:r w:rsidRPr="00C47325" w:rsidR="00A450AE">
        <w:rPr>
          <w:rFonts w:ascii="Verdana" w:hAnsi="Verdana"/>
          <w:sz w:val="18"/>
          <w:szCs w:val="18"/>
        </w:rPr>
        <w:t>Cbw</w:t>
      </w:r>
      <w:proofErr w:type="spellEnd"/>
      <w:r w:rsidRPr="00C47325" w:rsidR="00A450AE">
        <w:rPr>
          <w:rFonts w:ascii="Verdana" w:hAnsi="Verdana"/>
          <w:sz w:val="18"/>
          <w:szCs w:val="18"/>
        </w:rPr>
        <w:t xml:space="preserve"> alleen de begrippen </w:t>
      </w:r>
      <w:r w:rsidR="00184C8A">
        <w:rPr>
          <w:rFonts w:ascii="Verdana" w:hAnsi="Verdana"/>
          <w:sz w:val="18"/>
          <w:szCs w:val="18"/>
        </w:rPr>
        <w:t xml:space="preserve">bevat </w:t>
      </w:r>
      <w:r w:rsidRPr="00C47325" w:rsidR="00A450AE">
        <w:rPr>
          <w:rFonts w:ascii="Verdana" w:hAnsi="Verdana"/>
          <w:sz w:val="18"/>
          <w:szCs w:val="18"/>
        </w:rPr>
        <w:t xml:space="preserve">die voorkomen in de </w:t>
      </w:r>
      <w:proofErr w:type="spellStart"/>
      <w:r w:rsidRPr="00C47325" w:rsidR="00A450AE">
        <w:rPr>
          <w:rFonts w:ascii="Verdana" w:hAnsi="Verdana"/>
          <w:sz w:val="18"/>
          <w:szCs w:val="18"/>
        </w:rPr>
        <w:t>Cbw</w:t>
      </w:r>
      <w:proofErr w:type="spellEnd"/>
      <w:r w:rsidRPr="00C47325" w:rsidR="00A450AE">
        <w:rPr>
          <w:rFonts w:ascii="Verdana" w:hAnsi="Verdana"/>
          <w:sz w:val="18"/>
          <w:szCs w:val="18"/>
        </w:rPr>
        <w:t xml:space="preserve"> en die definiëring behoeven. De definities in artikel 1 </w:t>
      </w:r>
      <w:proofErr w:type="spellStart"/>
      <w:r w:rsidRPr="00C47325" w:rsidR="00A450AE">
        <w:rPr>
          <w:rFonts w:ascii="Verdana" w:hAnsi="Verdana"/>
          <w:sz w:val="18"/>
          <w:szCs w:val="18"/>
        </w:rPr>
        <w:t>Cbw</w:t>
      </w:r>
      <w:proofErr w:type="spellEnd"/>
      <w:r w:rsidRPr="00C47325" w:rsidR="00A450AE">
        <w:rPr>
          <w:rFonts w:ascii="Verdana" w:hAnsi="Verdana"/>
          <w:sz w:val="18"/>
          <w:szCs w:val="18"/>
        </w:rPr>
        <w:t xml:space="preserve"> moeten voor een volledige en juiste implementatie van de NIS2-richtlijn aansluiten bij de definities uit de NIS2-richtlijn. Het gebruik maken van de definities uit het Cybersecuritywoordenboek is derhalve niet mogelijk. </w:t>
      </w:r>
    </w:p>
    <w:p w:rsidRPr="00C47325" w:rsidR="00A450AE" w:rsidP="00A450AE" w:rsidRDefault="00A450AE" w14:paraId="6DF76157" w14:textId="073CAE73">
      <w:pPr>
        <w:pStyle w:val="Geenafstand"/>
        <w:rPr>
          <w:rFonts w:ascii="Verdana" w:hAnsi="Verdana"/>
          <w:sz w:val="18"/>
          <w:szCs w:val="18"/>
        </w:rPr>
      </w:pPr>
      <w:r w:rsidRPr="00C47325">
        <w:rPr>
          <w:rFonts w:ascii="Verdana" w:hAnsi="Verdana"/>
          <w:sz w:val="18"/>
          <w:szCs w:val="18"/>
        </w:rPr>
        <w:t xml:space="preserve">In enkele reacties, waaronder die van </w:t>
      </w:r>
      <w:proofErr w:type="spellStart"/>
      <w:r w:rsidRPr="00C47325">
        <w:rPr>
          <w:rFonts w:ascii="Verdana" w:hAnsi="Verdana"/>
          <w:sz w:val="18"/>
          <w:szCs w:val="18"/>
        </w:rPr>
        <w:t>Omni</w:t>
      </w:r>
      <w:proofErr w:type="spellEnd"/>
      <w:r w:rsidRPr="00C47325">
        <w:rPr>
          <w:rFonts w:ascii="Verdana" w:hAnsi="Verdana"/>
          <w:sz w:val="18"/>
          <w:szCs w:val="18"/>
        </w:rPr>
        <w:t xml:space="preserve">-U en </w:t>
      </w:r>
      <w:proofErr w:type="spellStart"/>
      <w:r w:rsidRPr="00C47325" w:rsidR="00B76677">
        <w:rPr>
          <w:rFonts w:ascii="Verdana" w:hAnsi="Verdana"/>
          <w:sz w:val="18"/>
          <w:szCs w:val="18"/>
        </w:rPr>
        <w:t>N</w:t>
      </w:r>
      <w:r w:rsidR="0082029B">
        <w:rPr>
          <w:rFonts w:ascii="Verdana" w:hAnsi="Verdana"/>
          <w:sz w:val="18"/>
          <w:szCs w:val="18"/>
        </w:rPr>
        <w:t>L</w:t>
      </w:r>
      <w:r w:rsidRPr="00C47325" w:rsidR="00B76677">
        <w:rPr>
          <w:rFonts w:ascii="Verdana" w:hAnsi="Verdana"/>
          <w:sz w:val="18"/>
          <w:szCs w:val="18"/>
        </w:rPr>
        <w:t>digital</w:t>
      </w:r>
      <w:proofErr w:type="spellEnd"/>
      <w:r w:rsidRPr="00C47325">
        <w:rPr>
          <w:rFonts w:ascii="Verdana" w:hAnsi="Verdana"/>
          <w:sz w:val="18"/>
          <w:szCs w:val="18"/>
        </w:rPr>
        <w:t xml:space="preserve">, wordt gesteld dat de bijlagen van de </w:t>
      </w:r>
      <w:proofErr w:type="spellStart"/>
      <w:r w:rsidRPr="00C47325">
        <w:rPr>
          <w:rFonts w:ascii="Verdana" w:hAnsi="Verdana"/>
          <w:sz w:val="18"/>
          <w:szCs w:val="18"/>
        </w:rPr>
        <w:t>Cbw</w:t>
      </w:r>
      <w:proofErr w:type="spellEnd"/>
      <w:r w:rsidRPr="00C47325">
        <w:rPr>
          <w:rFonts w:ascii="Verdana" w:hAnsi="Verdana"/>
          <w:sz w:val="18"/>
          <w:szCs w:val="18"/>
        </w:rPr>
        <w:t xml:space="preserve"> verschillen van de bijlagen van de NIS2-richtlijn, waaronder enkele definities. </w:t>
      </w:r>
      <w:r w:rsidR="00184C8A">
        <w:rPr>
          <w:rFonts w:ascii="Verdana" w:hAnsi="Verdana"/>
          <w:sz w:val="18"/>
          <w:szCs w:val="18"/>
        </w:rPr>
        <w:t>Dit is niet juist.</w:t>
      </w:r>
      <w:r w:rsidRPr="00C47325">
        <w:rPr>
          <w:rFonts w:ascii="Verdana" w:hAnsi="Verdana"/>
          <w:sz w:val="18"/>
          <w:szCs w:val="18"/>
        </w:rPr>
        <w:t xml:space="preserve"> Er zijn geen inhoudelijke aanpassingen gemaakt. In de bijlagen van de </w:t>
      </w:r>
      <w:proofErr w:type="spellStart"/>
      <w:r w:rsidRPr="00C47325">
        <w:rPr>
          <w:rFonts w:ascii="Verdana" w:hAnsi="Verdana"/>
          <w:sz w:val="18"/>
          <w:szCs w:val="18"/>
        </w:rPr>
        <w:t>Cbw</w:t>
      </w:r>
      <w:proofErr w:type="spellEnd"/>
      <w:r w:rsidRPr="00C47325">
        <w:rPr>
          <w:rFonts w:ascii="Verdana" w:hAnsi="Verdana"/>
          <w:sz w:val="18"/>
          <w:szCs w:val="18"/>
        </w:rPr>
        <w:t xml:space="preserve"> wordt vastgehouden aan de aanduidingen in de bijlagen bij de NIS2-richtlijn, tenzij deze vervangen kunnen worden door verwijzingen naar Nederlandse wetgeving die hetzelfde inhouden. Dit laatste is het geval ten aanzien van het begrip zorgaanbieder. </w:t>
      </w:r>
    </w:p>
    <w:p w:rsidRPr="00C47325" w:rsidR="00A450AE" w:rsidP="00A450AE" w:rsidRDefault="00A450AE" w14:paraId="465E42FD" w14:textId="77777777">
      <w:pPr>
        <w:pStyle w:val="Geenafstand"/>
        <w:rPr>
          <w:rFonts w:ascii="Verdana" w:hAnsi="Verdana"/>
          <w:sz w:val="18"/>
          <w:szCs w:val="18"/>
        </w:rPr>
      </w:pPr>
    </w:p>
    <w:p w:rsidRPr="00C47325" w:rsidR="00A450AE" w:rsidP="00A450AE" w:rsidRDefault="00A450AE" w14:paraId="293CAB78" w14:textId="77777777">
      <w:pPr>
        <w:pStyle w:val="Geenafstand"/>
        <w:rPr>
          <w:rFonts w:ascii="Verdana" w:hAnsi="Verdana"/>
          <w:i/>
          <w:iCs/>
          <w:sz w:val="18"/>
          <w:szCs w:val="18"/>
        </w:rPr>
      </w:pPr>
      <w:r w:rsidRPr="00C47325">
        <w:rPr>
          <w:rFonts w:ascii="Verdana" w:hAnsi="Verdana"/>
          <w:i/>
          <w:iCs/>
          <w:sz w:val="18"/>
          <w:szCs w:val="18"/>
        </w:rPr>
        <w:t>Taal- en stijlfouten</w:t>
      </w:r>
    </w:p>
    <w:p w:rsidR="00A450AE" w:rsidP="00A450AE" w:rsidRDefault="00A450AE" w14:paraId="178ADFFB" w14:textId="77777777">
      <w:pPr>
        <w:pStyle w:val="Geenafstand"/>
        <w:rPr>
          <w:rFonts w:ascii="Verdana" w:hAnsi="Verdana"/>
          <w:sz w:val="18"/>
          <w:szCs w:val="18"/>
        </w:rPr>
      </w:pPr>
      <w:r w:rsidRPr="00C47325">
        <w:rPr>
          <w:rFonts w:ascii="Verdana" w:hAnsi="Verdana"/>
          <w:sz w:val="18"/>
          <w:szCs w:val="18"/>
        </w:rPr>
        <w:t xml:space="preserve">In enkele consultatiereacties is gewezen op fouten in het conceptwetsvoorstel op het gebied van de interpunctie, spelling, grammatica en opmaak. Deze fouten zijn hersteld. </w:t>
      </w:r>
    </w:p>
    <w:p w:rsidR="00885EE2" w:rsidP="00A450AE" w:rsidRDefault="00885EE2" w14:paraId="7D2CAB8F" w14:textId="77777777">
      <w:pPr>
        <w:pStyle w:val="Geenafstand"/>
        <w:rPr>
          <w:rFonts w:ascii="Verdana" w:hAnsi="Verdana"/>
          <w:sz w:val="18"/>
          <w:szCs w:val="18"/>
        </w:rPr>
      </w:pPr>
    </w:p>
    <w:p w:rsidR="00B97AA5" w:rsidP="00B97AA5" w:rsidRDefault="00B97AA5" w14:paraId="23704CE8" w14:textId="4946DD1A">
      <w:pPr>
        <w:pStyle w:val="Kop2"/>
      </w:pPr>
      <w:bookmarkStart w:name="_Toc198721155" w:id="233"/>
      <w:r w:rsidRPr="008420ED">
        <w:t>9.</w:t>
      </w:r>
      <w:r>
        <w:t>14</w:t>
      </w:r>
      <w:r w:rsidRPr="008420ED">
        <w:t xml:space="preserve"> Advies</w:t>
      </w:r>
      <w:r>
        <w:t xml:space="preserve"> Raad voor de rechtspraak</w:t>
      </w:r>
      <w:bookmarkEnd w:id="233"/>
    </w:p>
    <w:p w:rsidR="00B97AA5" w:rsidP="00B97AA5" w:rsidRDefault="00B97AA5" w14:paraId="264322E5" w14:textId="77777777">
      <w:pPr>
        <w:pStyle w:val="Geenafstand"/>
        <w:rPr>
          <w:rFonts w:ascii="Verdana" w:hAnsi="Verdana"/>
          <w:b/>
          <w:bCs/>
          <w:sz w:val="18"/>
          <w:szCs w:val="18"/>
        </w:rPr>
      </w:pPr>
    </w:p>
    <w:p w:rsidR="00B97AA5" w:rsidP="00B97AA5" w:rsidRDefault="00B97AA5" w14:paraId="789E7105" w14:textId="77777777">
      <w:pPr>
        <w:pStyle w:val="Geenafstand"/>
        <w:rPr>
          <w:rFonts w:ascii="Verdana" w:hAnsi="Verdana"/>
          <w:sz w:val="18"/>
          <w:szCs w:val="18"/>
        </w:rPr>
      </w:pPr>
      <w:r>
        <w:rPr>
          <w:rFonts w:ascii="Verdana" w:hAnsi="Verdana"/>
          <w:sz w:val="18"/>
          <w:szCs w:val="18"/>
        </w:rPr>
        <w:t xml:space="preserve">Dit wetsvoorstel is na de in paragraaf 9.1 bedoelde adviesaanvragen en consultatie voor advies voorgelegd aan de Raad voor de rechtspraak. </w:t>
      </w:r>
    </w:p>
    <w:p w:rsidR="00B97AA5" w:rsidP="00B97AA5" w:rsidRDefault="00B97AA5" w14:paraId="1E374E91" w14:textId="77777777">
      <w:pPr>
        <w:pStyle w:val="Geenafstand"/>
        <w:rPr>
          <w:rFonts w:ascii="Verdana" w:hAnsi="Verdana"/>
          <w:sz w:val="18"/>
          <w:szCs w:val="18"/>
        </w:rPr>
      </w:pPr>
    </w:p>
    <w:p w:rsidR="003F6575" w:rsidP="00B97AA5" w:rsidRDefault="00B97AA5" w14:paraId="546C2D3B" w14:textId="722C5550">
      <w:pPr>
        <w:pStyle w:val="Geenafstand"/>
        <w:rPr>
          <w:rFonts w:ascii="Verdana" w:hAnsi="Verdana"/>
          <w:sz w:val="18"/>
          <w:szCs w:val="18"/>
        </w:rPr>
      </w:pPr>
      <w:r>
        <w:rPr>
          <w:rFonts w:ascii="Verdana" w:hAnsi="Verdana"/>
          <w:sz w:val="18"/>
          <w:szCs w:val="18"/>
        </w:rPr>
        <w:t xml:space="preserve">Ten aanzien van de rechtsbescherming adviseert de Raad voor de rechtspraak als volgt. </w:t>
      </w:r>
      <w:r w:rsidRPr="00994286">
        <w:rPr>
          <w:rFonts w:ascii="Verdana" w:hAnsi="Verdana"/>
          <w:sz w:val="18"/>
          <w:szCs w:val="18"/>
        </w:rPr>
        <w:t xml:space="preserve">Voor de beoordeling van de keuze om beroepszaken in eerste aanleg bij de rechtbank Rotterdam te concentreren, voor zover het een besluit betreft dat betrekking heeft op </w:t>
      </w:r>
      <w:r w:rsidR="00950511">
        <w:rPr>
          <w:rFonts w:ascii="Verdana" w:hAnsi="Verdana"/>
          <w:sz w:val="18"/>
          <w:szCs w:val="18"/>
        </w:rPr>
        <w:t>entiteiten uit bepaalde sectoren</w:t>
      </w:r>
      <w:r w:rsidRPr="00994286">
        <w:rPr>
          <w:rFonts w:ascii="Verdana" w:hAnsi="Verdana"/>
          <w:sz w:val="18"/>
          <w:szCs w:val="18"/>
        </w:rPr>
        <w:t xml:space="preserve">, zoekt de Raad </w:t>
      </w:r>
      <w:r>
        <w:rPr>
          <w:rFonts w:ascii="Verdana" w:hAnsi="Verdana"/>
          <w:sz w:val="18"/>
          <w:szCs w:val="18"/>
        </w:rPr>
        <w:t>voor de rechtspraak</w:t>
      </w:r>
      <w:r w:rsidRPr="00994286">
        <w:rPr>
          <w:rFonts w:ascii="Verdana" w:hAnsi="Verdana"/>
          <w:sz w:val="18"/>
          <w:szCs w:val="18"/>
        </w:rPr>
        <w:t xml:space="preserve"> aansluiting bij haar Toetsingskader wettelijke concentratie dat is vastgesteld op 21 september 2011. Hieruit volgt </w:t>
      </w:r>
      <w:r>
        <w:rPr>
          <w:rFonts w:ascii="Verdana" w:hAnsi="Verdana"/>
          <w:sz w:val="18"/>
          <w:szCs w:val="18"/>
        </w:rPr>
        <w:t xml:space="preserve">volgens de Raad voor de rechtspraak </w:t>
      </w:r>
      <w:r w:rsidRPr="00994286">
        <w:rPr>
          <w:rFonts w:ascii="Verdana" w:hAnsi="Verdana"/>
          <w:sz w:val="18"/>
          <w:szCs w:val="18"/>
        </w:rPr>
        <w:t>dat concentratie in dit geval mogelijk is als er specifieke deskundigheid is vereist voor de behandeling van de beroepszaken en het gaat om een beperkt aantal zaken per jaar.</w:t>
      </w:r>
      <w:r>
        <w:rPr>
          <w:rFonts w:ascii="Verdana" w:hAnsi="Verdana"/>
          <w:sz w:val="18"/>
          <w:szCs w:val="18"/>
        </w:rPr>
        <w:t xml:space="preserve"> In haar advies merkt d</w:t>
      </w:r>
      <w:r w:rsidRPr="00994286">
        <w:rPr>
          <w:rFonts w:ascii="Verdana" w:hAnsi="Verdana"/>
          <w:sz w:val="18"/>
          <w:szCs w:val="18"/>
        </w:rPr>
        <w:t xml:space="preserve">e Raad </w:t>
      </w:r>
      <w:r>
        <w:rPr>
          <w:rFonts w:ascii="Verdana" w:hAnsi="Verdana"/>
          <w:sz w:val="18"/>
          <w:szCs w:val="18"/>
        </w:rPr>
        <w:t>voor de rechtspraak</w:t>
      </w:r>
      <w:r w:rsidRPr="00994286">
        <w:rPr>
          <w:rFonts w:ascii="Verdana" w:hAnsi="Verdana"/>
          <w:sz w:val="18"/>
          <w:szCs w:val="18"/>
        </w:rPr>
        <w:t xml:space="preserve"> op dat </w:t>
      </w:r>
      <w:r>
        <w:rPr>
          <w:rFonts w:ascii="Verdana" w:hAnsi="Verdana"/>
          <w:sz w:val="18"/>
          <w:szCs w:val="18"/>
        </w:rPr>
        <w:t>z</w:t>
      </w:r>
      <w:r w:rsidRPr="00994286">
        <w:rPr>
          <w:rFonts w:ascii="Verdana" w:hAnsi="Verdana"/>
          <w:sz w:val="18"/>
          <w:szCs w:val="18"/>
        </w:rPr>
        <w:t xml:space="preserve">ij zich wat betreft de eis van specifieke deskundigheid kan vinden in de toelichting zoals die bij artikel </w:t>
      </w:r>
      <w:r w:rsidR="004B5C46">
        <w:rPr>
          <w:rFonts w:ascii="Verdana" w:hAnsi="Verdana"/>
          <w:sz w:val="18"/>
          <w:szCs w:val="18"/>
        </w:rPr>
        <w:t xml:space="preserve">103 </w:t>
      </w:r>
      <w:proofErr w:type="spellStart"/>
      <w:r w:rsidR="00950511">
        <w:rPr>
          <w:rFonts w:ascii="Verdana" w:hAnsi="Verdana"/>
          <w:sz w:val="18"/>
          <w:szCs w:val="18"/>
        </w:rPr>
        <w:t>Cbw</w:t>
      </w:r>
      <w:proofErr w:type="spellEnd"/>
      <w:r w:rsidRPr="00994286">
        <w:rPr>
          <w:rFonts w:ascii="Verdana" w:hAnsi="Verdana"/>
          <w:sz w:val="18"/>
          <w:szCs w:val="18"/>
        </w:rPr>
        <w:t xml:space="preserve"> </w:t>
      </w:r>
      <w:r w:rsidR="00F64E49">
        <w:rPr>
          <w:rFonts w:ascii="Verdana" w:hAnsi="Verdana"/>
          <w:sz w:val="18"/>
          <w:szCs w:val="18"/>
        </w:rPr>
        <w:t xml:space="preserve">(102 oud) </w:t>
      </w:r>
      <w:r w:rsidRPr="00994286">
        <w:rPr>
          <w:rFonts w:ascii="Verdana" w:hAnsi="Verdana"/>
          <w:sz w:val="18"/>
          <w:szCs w:val="18"/>
        </w:rPr>
        <w:t>gegeven wordt.</w:t>
      </w:r>
      <w:r w:rsidR="003F6575">
        <w:rPr>
          <w:rFonts w:ascii="Verdana" w:hAnsi="Verdana"/>
          <w:sz w:val="18"/>
          <w:szCs w:val="18"/>
        </w:rPr>
        <w:t xml:space="preserve"> </w:t>
      </w:r>
      <w:r w:rsidRPr="00994286">
        <w:rPr>
          <w:rFonts w:ascii="Verdana" w:hAnsi="Verdana"/>
          <w:sz w:val="18"/>
          <w:szCs w:val="18"/>
        </w:rPr>
        <w:t xml:space="preserve">Hierbij plaatst de Raad </w:t>
      </w:r>
      <w:r>
        <w:rPr>
          <w:rFonts w:ascii="Verdana" w:hAnsi="Verdana"/>
          <w:sz w:val="18"/>
          <w:szCs w:val="18"/>
        </w:rPr>
        <w:t>voor de rechtspraak</w:t>
      </w:r>
      <w:r w:rsidRPr="00994286">
        <w:rPr>
          <w:rFonts w:ascii="Verdana" w:hAnsi="Verdana"/>
          <w:sz w:val="18"/>
          <w:szCs w:val="18"/>
        </w:rPr>
        <w:t xml:space="preserve"> echter als kanttekening dat niet duidelijk is waarom de sector gezondheidszorg bij de rechtbank Rotterdam is geconcentreerd. </w:t>
      </w:r>
      <w:r>
        <w:rPr>
          <w:rFonts w:ascii="Verdana" w:hAnsi="Verdana"/>
          <w:sz w:val="18"/>
          <w:szCs w:val="18"/>
        </w:rPr>
        <w:t xml:space="preserve">De </w:t>
      </w:r>
      <w:r w:rsidRPr="00994286">
        <w:rPr>
          <w:rFonts w:ascii="Verdana" w:hAnsi="Verdana"/>
          <w:sz w:val="18"/>
          <w:szCs w:val="18"/>
        </w:rPr>
        <w:t xml:space="preserve">Raad </w:t>
      </w:r>
      <w:r>
        <w:rPr>
          <w:rFonts w:ascii="Verdana" w:hAnsi="Verdana"/>
          <w:sz w:val="18"/>
          <w:szCs w:val="18"/>
        </w:rPr>
        <w:t>voor de rechtspraak</w:t>
      </w:r>
      <w:r w:rsidRPr="00994286">
        <w:rPr>
          <w:rFonts w:ascii="Verdana" w:hAnsi="Verdana"/>
          <w:sz w:val="18"/>
          <w:szCs w:val="18"/>
        </w:rPr>
        <w:t xml:space="preserve"> </w:t>
      </w:r>
      <w:r>
        <w:rPr>
          <w:rFonts w:ascii="Verdana" w:hAnsi="Verdana"/>
          <w:sz w:val="18"/>
          <w:szCs w:val="18"/>
        </w:rPr>
        <w:t xml:space="preserve">wijst er op dat tegen besluiten op grond van de </w:t>
      </w:r>
      <w:r w:rsidRPr="00994286">
        <w:rPr>
          <w:rFonts w:ascii="Verdana" w:hAnsi="Verdana"/>
          <w:sz w:val="18"/>
          <w:szCs w:val="18"/>
        </w:rPr>
        <w:t xml:space="preserve">Wet kwaliteit, klachten en geschillen zorg </w:t>
      </w:r>
      <w:r>
        <w:rPr>
          <w:rFonts w:ascii="Verdana" w:hAnsi="Verdana"/>
          <w:sz w:val="18"/>
          <w:szCs w:val="18"/>
        </w:rPr>
        <w:t xml:space="preserve">inmiddels </w:t>
      </w:r>
      <w:r w:rsidRPr="00994286">
        <w:rPr>
          <w:rFonts w:ascii="Verdana" w:hAnsi="Verdana"/>
          <w:sz w:val="18"/>
          <w:szCs w:val="18"/>
        </w:rPr>
        <w:t xml:space="preserve">bij alle rechtbanken beroep </w:t>
      </w:r>
      <w:r>
        <w:rPr>
          <w:rFonts w:ascii="Verdana" w:hAnsi="Verdana"/>
          <w:sz w:val="18"/>
          <w:szCs w:val="18"/>
        </w:rPr>
        <w:t xml:space="preserve">kan </w:t>
      </w:r>
      <w:r w:rsidRPr="00994286">
        <w:rPr>
          <w:rFonts w:ascii="Verdana" w:hAnsi="Verdana"/>
          <w:sz w:val="18"/>
          <w:szCs w:val="18"/>
        </w:rPr>
        <w:t xml:space="preserve">worden ingesteld. Voorts </w:t>
      </w:r>
      <w:r>
        <w:rPr>
          <w:rFonts w:ascii="Verdana" w:hAnsi="Verdana"/>
          <w:sz w:val="18"/>
          <w:szCs w:val="18"/>
        </w:rPr>
        <w:t xml:space="preserve">wijst zij er op dat </w:t>
      </w:r>
      <w:r w:rsidRPr="00994286">
        <w:rPr>
          <w:rFonts w:ascii="Verdana" w:hAnsi="Verdana"/>
          <w:sz w:val="18"/>
          <w:szCs w:val="18"/>
        </w:rPr>
        <w:t xml:space="preserve">de Wet geneesmiddelenprijzen </w:t>
      </w:r>
      <w:r>
        <w:rPr>
          <w:rFonts w:ascii="Verdana" w:hAnsi="Verdana"/>
          <w:sz w:val="18"/>
          <w:szCs w:val="18"/>
        </w:rPr>
        <w:t>en</w:t>
      </w:r>
      <w:r w:rsidRPr="00994286">
        <w:rPr>
          <w:rFonts w:ascii="Verdana" w:hAnsi="Verdana"/>
          <w:sz w:val="18"/>
          <w:szCs w:val="18"/>
        </w:rPr>
        <w:t xml:space="preserve"> de Wet marktordening gezondheidszorg, waarvoor de rechtbank Rotterdam wel de enig bevoegde rechtbank is, </w:t>
      </w:r>
      <w:r>
        <w:rPr>
          <w:rFonts w:ascii="Verdana" w:hAnsi="Verdana"/>
          <w:sz w:val="18"/>
          <w:szCs w:val="18"/>
        </w:rPr>
        <w:t>niet worden genoemd in de m</w:t>
      </w:r>
      <w:r w:rsidRPr="00994286">
        <w:rPr>
          <w:rFonts w:ascii="Verdana" w:hAnsi="Verdana"/>
          <w:sz w:val="18"/>
          <w:szCs w:val="18"/>
        </w:rPr>
        <w:t xml:space="preserve">emorie van </w:t>
      </w:r>
      <w:r>
        <w:rPr>
          <w:rFonts w:ascii="Verdana" w:hAnsi="Verdana"/>
          <w:sz w:val="18"/>
          <w:szCs w:val="18"/>
        </w:rPr>
        <w:t>t</w:t>
      </w:r>
      <w:r w:rsidRPr="00994286">
        <w:rPr>
          <w:rFonts w:ascii="Verdana" w:hAnsi="Verdana"/>
          <w:sz w:val="18"/>
          <w:szCs w:val="18"/>
        </w:rPr>
        <w:t>oelichting en</w:t>
      </w:r>
      <w:r>
        <w:rPr>
          <w:rFonts w:ascii="Verdana" w:hAnsi="Verdana"/>
          <w:sz w:val="18"/>
          <w:szCs w:val="18"/>
        </w:rPr>
        <w:t xml:space="preserve"> dat het </w:t>
      </w:r>
      <w:r w:rsidRPr="002178CF">
        <w:rPr>
          <w:rFonts w:ascii="Verdana" w:hAnsi="Verdana"/>
          <w:sz w:val="18"/>
          <w:szCs w:val="18"/>
        </w:rPr>
        <w:t xml:space="preserve">College van Beroep voor het bedrijfsleven </w:t>
      </w:r>
      <w:r w:rsidRPr="00994286">
        <w:rPr>
          <w:rFonts w:ascii="Verdana" w:hAnsi="Verdana"/>
          <w:sz w:val="18"/>
          <w:szCs w:val="18"/>
        </w:rPr>
        <w:t>bovendien voor deze twee wetten de hoger beroepsinstantie</w:t>
      </w:r>
      <w:r>
        <w:rPr>
          <w:rFonts w:ascii="Verdana" w:hAnsi="Verdana"/>
          <w:sz w:val="18"/>
          <w:szCs w:val="18"/>
        </w:rPr>
        <w:t xml:space="preserve"> is</w:t>
      </w:r>
      <w:r w:rsidRPr="00994286">
        <w:rPr>
          <w:rFonts w:ascii="Verdana" w:hAnsi="Verdana"/>
          <w:sz w:val="18"/>
          <w:szCs w:val="18"/>
        </w:rPr>
        <w:t xml:space="preserve">, terwijl het </w:t>
      </w:r>
      <w:r w:rsidRPr="002178CF">
        <w:rPr>
          <w:rFonts w:ascii="Verdana" w:hAnsi="Verdana"/>
          <w:sz w:val="18"/>
          <w:szCs w:val="18"/>
        </w:rPr>
        <w:t xml:space="preserve">College van Beroep voor het bedrijfsleven </w:t>
      </w:r>
      <w:r w:rsidRPr="00994286">
        <w:rPr>
          <w:rFonts w:ascii="Verdana" w:hAnsi="Verdana"/>
          <w:sz w:val="18"/>
          <w:szCs w:val="18"/>
        </w:rPr>
        <w:t xml:space="preserve">in het wetsvoorstel geen bijzondere bevoegdheid voor de sector gezondheidszorg krijgt. De Raad </w:t>
      </w:r>
      <w:r>
        <w:rPr>
          <w:rFonts w:ascii="Verdana" w:hAnsi="Verdana"/>
          <w:sz w:val="18"/>
          <w:szCs w:val="18"/>
        </w:rPr>
        <w:t>voor de rechtspraak</w:t>
      </w:r>
      <w:r w:rsidRPr="00994286">
        <w:rPr>
          <w:rFonts w:ascii="Verdana" w:hAnsi="Verdana"/>
          <w:sz w:val="18"/>
          <w:szCs w:val="18"/>
        </w:rPr>
        <w:t xml:space="preserve"> adviseert daarom voor de sector gezondheidszorg geen concentratiebepaling op te nemen.</w:t>
      </w:r>
      <w:r>
        <w:rPr>
          <w:rFonts w:ascii="Verdana" w:hAnsi="Verdana"/>
          <w:sz w:val="18"/>
          <w:szCs w:val="18"/>
        </w:rPr>
        <w:t xml:space="preserve"> </w:t>
      </w:r>
    </w:p>
    <w:p w:rsidR="003F6575" w:rsidP="00B97AA5" w:rsidRDefault="003F6575" w14:paraId="53D8DE27" w14:textId="77777777">
      <w:pPr>
        <w:pStyle w:val="Geenafstand"/>
        <w:rPr>
          <w:rFonts w:ascii="Verdana" w:hAnsi="Verdana"/>
          <w:sz w:val="18"/>
          <w:szCs w:val="18"/>
        </w:rPr>
      </w:pPr>
    </w:p>
    <w:p w:rsidR="00B97AA5" w:rsidP="00B97AA5" w:rsidRDefault="003F6575" w14:paraId="542CCF5B" w14:textId="14353678">
      <w:pPr>
        <w:pStyle w:val="Geenafstand"/>
        <w:rPr>
          <w:rFonts w:ascii="Verdana" w:hAnsi="Verdana"/>
          <w:sz w:val="18"/>
          <w:szCs w:val="18"/>
        </w:rPr>
      </w:pPr>
      <w:r>
        <w:rPr>
          <w:rFonts w:ascii="Verdana" w:hAnsi="Verdana"/>
          <w:sz w:val="18"/>
          <w:szCs w:val="18"/>
        </w:rPr>
        <w:t>Het advies</w:t>
      </w:r>
      <w:r w:rsidR="00EA7827">
        <w:rPr>
          <w:rFonts w:ascii="Verdana" w:hAnsi="Verdana"/>
          <w:sz w:val="18"/>
          <w:szCs w:val="18"/>
        </w:rPr>
        <w:t xml:space="preserve"> wordt opgevolgd. </w:t>
      </w:r>
      <w:r w:rsidR="00B97AA5">
        <w:rPr>
          <w:rFonts w:ascii="Verdana" w:hAnsi="Verdana"/>
          <w:sz w:val="18"/>
          <w:szCs w:val="18"/>
        </w:rPr>
        <w:t>Naar aanleiding van dit advies is</w:t>
      </w:r>
      <w:r w:rsidR="00EA7827">
        <w:rPr>
          <w:rFonts w:ascii="Verdana" w:hAnsi="Verdana"/>
          <w:sz w:val="18"/>
          <w:szCs w:val="18"/>
        </w:rPr>
        <w:t xml:space="preserve"> artikel </w:t>
      </w:r>
      <w:r w:rsidR="004B5C46">
        <w:rPr>
          <w:rFonts w:ascii="Verdana" w:hAnsi="Verdana"/>
          <w:sz w:val="18"/>
          <w:szCs w:val="18"/>
        </w:rPr>
        <w:t>103</w:t>
      </w:r>
      <w:r w:rsidR="00EA7827">
        <w:rPr>
          <w:rFonts w:ascii="Verdana" w:hAnsi="Verdana"/>
          <w:sz w:val="18"/>
          <w:szCs w:val="18"/>
        </w:rPr>
        <w:t xml:space="preserve">, eerste lid, </w:t>
      </w:r>
      <w:proofErr w:type="spellStart"/>
      <w:r w:rsidR="00EA7827">
        <w:rPr>
          <w:rFonts w:ascii="Verdana" w:hAnsi="Verdana"/>
          <w:sz w:val="18"/>
          <w:szCs w:val="18"/>
        </w:rPr>
        <w:t>Cbw</w:t>
      </w:r>
      <w:proofErr w:type="spellEnd"/>
      <w:r w:rsidR="00F64E49">
        <w:rPr>
          <w:rFonts w:ascii="Verdana" w:hAnsi="Verdana"/>
          <w:sz w:val="18"/>
          <w:szCs w:val="18"/>
        </w:rPr>
        <w:t xml:space="preserve"> (102, eerste lid, oud)</w:t>
      </w:r>
      <w:r w:rsidR="00EA7827">
        <w:rPr>
          <w:rFonts w:ascii="Verdana" w:hAnsi="Verdana"/>
          <w:sz w:val="18"/>
          <w:szCs w:val="18"/>
        </w:rPr>
        <w:t xml:space="preserve"> gewijzigd, zodat de concentratiebepaling niet geldt voor besluiten die betrekking hebben op essentiële entiteit</w:t>
      </w:r>
      <w:r w:rsidR="00D240E4">
        <w:rPr>
          <w:rFonts w:ascii="Verdana" w:hAnsi="Verdana"/>
          <w:sz w:val="18"/>
          <w:szCs w:val="18"/>
        </w:rPr>
        <w:t>en en</w:t>
      </w:r>
      <w:r w:rsidR="00EA7827">
        <w:rPr>
          <w:rFonts w:ascii="Verdana" w:hAnsi="Verdana"/>
          <w:sz w:val="18"/>
          <w:szCs w:val="18"/>
        </w:rPr>
        <w:t xml:space="preserve"> belangrijke entiteit</w:t>
      </w:r>
      <w:r w:rsidR="00D240E4">
        <w:rPr>
          <w:rFonts w:ascii="Verdana" w:hAnsi="Verdana"/>
          <w:sz w:val="18"/>
          <w:szCs w:val="18"/>
        </w:rPr>
        <w:t>en</w:t>
      </w:r>
      <w:r w:rsidR="00EA7827">
        <w:rPr>
          <w:rFonts w:ascii="Verdana" w:hAnsi="Verdana"/>
          <w:sz w:val="18"/>
          <w:szCs w:val="18"/>
        </w:rPr>
        <w:t xml:space="preserve"> in de sector gezondheidszorg.</w:t>
      </w:r>
    </w:p>
    <w:p w:rsidR="00B97AA5" w:rsidP="00A450AE" w:rsidRDefault="00B97AA5" w14:paraId="1DE68063" w14:textId="77777777">
      <w:pPr>
        <w:pStyle w:val="Geenafstand"/>
        <w:rPr>
          <w:rFonts w:ascii="Verdana" w:hAnsi="Verdana"/>
          <w:sz w:val="18"/>
          <w:szCs w:val="18"/>
        </w:rPr>
      </w:pPr>
    </w:p>
    <w:p w:rsidR="00950511" w:rsidP="00A450AE" w:rsidRDefault="00950511" w14:paraId="520CB2AF" w14:textId="342E3F66">
      <w:pPr>
        <w:pStyle w:val="Geenafstand"/>
        <w:rPr>
          <w:rFonts w:ascii="Verdana" w:hAnsi="Verdana"/>
          <w:sz w:val="18"/>
          <w:szCs w:val="18"/>
        </w:rPr>
      </w:pPr>
      <w:r w:rsidRPr="00FA3DBB">
        <w:rPr>
          <w:rFonts w:ascii="Verdana" w:hAnsi="Verdana"/>
          <w:sz w:val="18"/>
          <w:szCs w:val="18"/>
        </w:rPr>
        <w:t>De Raad voor de rechtspraak heeft bij het wetsvoorstel de inhoudelijke opmerkingen</w:t>
      </w:r>
      <w:r w:rsidR="003F6575">
        <w:rPr>
          <w:rFonts w:ascii="Verdana" w:hAnsi="Verdana"/>
          <w:sz w:val="18"/>
          <w:szCs w:val="18"/>
        </w:rPr>
        <w:t xml:space="preserve"> gemaakt bij de artikelen </w:t>
      </w:r>
      <w:r w:rsidR="00B05DE3">
        <w:rPr>
          <w:rFonts w:ascii="Verdana" w:hAnsi="Verdana"/>
          <w:sz w:val="18"/>
          <w:szCs w:val="18"/>
        </w:rPr>
        <w:t xml:space="preserve">70 en 72 </w:t>
      </w:r>
      <w:proofErr w:type="spellStart"/>
      <w:r w:rsidR="00B05DE3">
        <w:rPr>
          <w:rFonts w:ascii="Verdana" w:hAnsi="Verdana"/>
          <w:sz w:val="18"/>
          <w:szCs w:val="18"/>
        </w:rPr>
        <w:t>Cbw</w:t>
      </w:r>
      <w:proofErr w:type="spellEnd"/>
      <w:r w:rsidR="00B05DE3">
        <w:rPr>
          <w:rFonts w:ascii="Verdana" w:hAnsi="Verdana"/>
          <w:sz w:val="18"/>
          <w:szCs w:val="18"/>
        </w:rPr>
        <w:t xml:space="preserve"> (</w:t>
      </w:r>
      <w:r w:rsidR="003F6575">
        <w:rPr>
          <w:rFonts w:ascii="Verdana" w:hAnsi="Verdana"/>
          <w:sz w:val="18"/>
          <w:szCs w:val="18"/>
        </w:rPr>
        <w:t>69 en 71</w:t>
      </w:r>
      <w:r w:rsidR="00B05DE3">
        <w:rPr>
          <w:rFonts w:ascii="Verdana" w:hAnsi="Verdana"/>
          <w:sz w:val="18"/>
          <w:szCs w:val="18"/>
        </w:rPr>
        <w:t xml:space="preserve"> oud)</w:t>
      </w:r>
      <w:r w:rsidR="003F6575">
        <w:rPr>
          <w:rFonts w:ascii="Verdana" w:hAnsi="Verdana"/>
          <w:sz w:val="18"/>
          <w:szCs w:val="18"/>
        </w:rPr>
        <w:t>. Deze opmerkingen zijn in overweging genomen, maar leiden niet tot aanpassingen in deze artikelen.</w:t>
      </w:r>
    </w:p>
    <w:p w:rsidRPr="00C47325" w:rsidR="00B97AA5" w:rsidP="00A450AE" w:rsidRDefault="00B97AA5" w14:paraId="245FF3E6" w14:textId="77777777">
      <w:pPr>
        <w:pStyle w:val="Geenafstand"/>
        <w:rPr>
          <w:rFonts w:ascii="Verdana" w:hAnsi="Verdana"/>
          <w:sz w:val="18"/>
          <w:szCs w:val="18"/>
        </w:rPr>
      </w:pPr>
    </w:p>
    <w:p w:rsidRPr="005B07D7" w:rsidR="00885EE2" w:rsidP="005A337F" w:rsidRDefault="00885EE2" w14:paraId="415F7EAE" w14:textId="010E7FBD">
      <w:pPr>
        <w:pStyle w:val="Kop2"/>
      </w:pPr>
      <w:bookmarkStart w:name="_Toc198721156" w:id="234"/>
      <w:bookmarkStart w:name="_Hlk178250870" w:id="235"/>
      <w:r w:rsidRPr="005B07D7">
        <w:t>9.</w:t>
      </w:r>
      <w:r w:rsidR="00B97AA5">
        <w:t>15</w:t>
      </w:r>
      <w:r w:rsidRPr="005B07D7">
        <w:t xml:space="preserve"> </w:t>
      </w:r>
      <w:r w:rsidR="004E2F60">
        <w:t>U</w:t>
      </w:r>
      <w:r w:rsidRPr="005B07D7">
        <w:t>itvoerings</w:t>
      </w:r>
      <w:r w:rsidR="004A3572">
        <w:t xml:space="preserve">- en </w:t>
      </w:r>
      <w:r w:rsidR="00761C50">
        <w:t>handhaafbaarheids</w:t>
      </w:r>
      <w:r w:rsidRPr="005B07D7">
        <w:t>toetsen</w:t>
      </w:r>
      <w:bookmarkEnd w:id="234"/>
    </w:p>
    <w:p w:rsidR="00885EE2" w:rsidP="00885EE2" w:rsidRDefault="00885EE2" w14:paraId="078BB05B" w14:textId="77777777">
      <w:pPr>
        <w:pStyle w:val="Geenafstand"/>
        <w:rPr>
          <w:rFonts w:ascii="Verdana" w:hAnsi="Verdana"/>
          <w:sz w:val="18"/>
          <w:szCs w:val="18"/>
        </w:rPr>
      </w:pPr>
    </w:p>
    <w:p w:rsidRPr="005B07D7" w:rsidR="00885EE2" w:rsidP="00885EE2" w:rsidRDefault="00885EE2" w14:paraId="14F9500E" w14:textId="1BA9AD57">
      <w:pPr>
        <w:pStyle w:val="Geenafstand"/>
        <w:rPr>
          <w:rFonts w:ascii="Verdana" w:hAnsi="Verdana"/>
          <w:sz w:val="18"/>
          <w:szCs w:val="18"/>
        </w:rPr>
      </w:pPr>
      <w:r w:rsidRPr="005B07D7">
        <w:rPr>
          <w:rFonts w:ascii="Verdana" w:hAnsi="Verdana"/>
          <w:sz w:val="18"/>
          <w:szCs w:val="18"/>
        </w:rPr>
        <w:t xml:space="preserve">De </w:t>
      </w:r>
      <w:r w:rsidR="004E2F60">
        <w:rPr>
          <w:rFonts w:ascii="Verdana" w:hAnsi="Verdana"/>
          <w:sz w:val="18"/>
          <w:szCs w:val="18"/>
        </w:rPr>
        <w:t>betrokken</w:t>
      </w:r>
      <w:r w:rsidRPr="005B07D7">
        <w:rPr>
          <w:rFonts w:ascii="Verdana" w:hAnsi="Verdana"/>
          <w:sz w:val="18"/>
          <w:szCs w:val="18"/>
        </w:rPr>
        <w:t xml:space="preserve"> vakdepartementen hebben uitvoerings</w:t>
      </w:r>
      <w:r w:rsidR="00BA1F43">
        <w:rPr>
          <w:rFonts w:ascii="Verdana" w:hAnsi="Verdana"/>
          <w:sz w:val="18"/>
          <w:szCs w:val="18"/>
        </w:rPr>
        <w:t xml:space="preserve">- en </w:t>
      </w:r>
      <w:r w:rsidR="00761C50">
        <w:rPr>
          <w:rFonts w:ascii="Verdana" w:hAnsi="Verdana"/>
          <w:sz w:val="18"/>
          <w:szCs w:val="18"/>
        </w:rPr>
        <w:t>handhaafbaarheids</w:t>
      </w:r>
      <w:r w:rsidRPr="005B07D7">
        <w:rPr>
          <w:rFonts w:ascii="Verdana" w:hAnsi="Verdana"/>
          <w:sz w:val="18"/>
          <w:szCs w:val="18"/>
        </w:rPr>
        <w:t>toetsen laten uitvoeren</w:t>
      </w:r>
      <w:r w:rsidR="004E2F60">
        <w:rPr>
          <w:rFonts w:ascii="Verdana" w:hAnsi="Verdana"/>
          <w:sz w:val="18"/>
          <w:szCs w:val="18"/>
        </w:rPr>
        <w:t xml:space="preserve"> </w:t>
      </w:r>
      <w:r w:rsidR="00AC13D2">
        <w:rPr>
          <w:rFonts w:ascii="Verdana" w:hAnsi="Verdana"/>
          <w:sz w:val="18"/>
          <w:szCs w:val="18"/>
        </w:rPr>
        <w:t xml:space="preserve">op een concept van het wetsvoorstel </w:t>
      </w:r>
      <w:r w:rsidR="004E2F60">
        <w:rPr>
          <w:rFonts w:ascii="Verdana" w:hAnsi="Verdana"/>
          <w:sz w:val="18"/>
          <w:szCs w:val="18"/>
        </w:rPr>
        <w:t>en</w:t>
      </w:r>
      <w:r w:rsidR="00AC13D2">
        <w:rPr>
          <w:rFonts w:ascii="Verdana" w:hAnsi="Verdana"/>
          <w:sz w:val="18"/>
          <w:szCs w:val="18"/>
        </w:rPr>
        <w:t xml:space="preserve"> hebben deze </w:t>
      </w:r>
      <w:r w:rsidRPr="005B07D7">
        <w:rPr>
          <w:rFonts w:ascii="Verdana" w:hAnsi="Verdana"/>
          <w:sz w:val="18"/>
          <w:szCs w:val="18"/>
        </w:rPr>
        <w:t>als volgt beoordeeld.</w:t>
      </w:r>
    </w:p>
    <w:p w:rsidRPr="005B07D7" w:rsidR="00885EE2" w:rsidP="00885EE2" w:rsidRDefault="00885EE2" w14:paraId="3B80D705" w14:textId="77777777">
      <w:pPr>
        <w:pStyle w:val="Geenafstand"/>
        <w:rPr>
          <w:rFonts w:ascii="Verdana" w:hAnsi="Verdana"/>
          <w:sz w:val="18"/>
          <w:szCs w:val="18"/>
        </w:rPr>
      </w:pPr>
    </w:p>
    <w:p w:rsidRPr="00B82196" w:rsidR="00A53E92" w:rsidP="00A53E92" w:rsidRDefault="00A53E92" w14:paraId="7894FE03" w14:textId="77777777">
      <w:pPr>
        <w:pStyle w:val="Geenafstand"/>
        <w:rPr>
          <w:rFonts w:ascii="Verdana" w:hAnsi="Verdana"/>
          <w:i/>
          <w:iCs/>
          <w:sz w:val="18"/>
          <w:szCs w:val="18"/>
        </w:rPr>
      </w:pPr>
      <w:r w:rsidRPr="00B82196">
        <w:rPr>
          <w:rFonts w:ascii="Verdana" w:hAnsi="Verdana"/>
          <w:i/>
          <w:iCs/>
          <w:sz w:val="18"/>
          <w:szCs w:val="18"/>
        </w:rPr>
        <w:t>Ministerie van Binnenlandse Zaken en Koninkrijkrelaties</w:t>
      </w:r>
    </w:p>
    <w:p w:rsidRPr="00B82196" w:rsidR="00A53E92" w:rsidP="00A53E92" w:rsidRDefault="00A53E92" w14:paraId="06E1A55D" w14:textId="7E8C0104">
      <w:pPr>
        <w:pStyle w:val="Geenafstand"/>
        <w:rPr>
          <w:rFonts w:ascii="Verdana" w:hAnsi="Verdana"/>
          <w:sz w:val="18"/>
          <w:szCs w:val="18"/>
        </w:rPr>
      </w:pPr>
      <w:r w:rsidRPr="00B82196">
        <w:rPr>
          <w:rFonts w:ascii="Verdana" w:hAnsi="Verdana"/>
          <w:sz w:val="18"/>
          <w:szCs w:val="18"/>
        </w:rPr>
        <w:t xml:space="preserve">De RDI heeft een toets uitgevoerd op de </w:t>
      </w:r>
      <w:proofErr w:type="spellStart"/>
      <w:r w:rsidRPr="00B82196">
        <w:rPr>
          <w:rFonts w:ascii="Verdana" w:hAnsi="Verdana"/>
          <w:sz w:val="18"/>
          <w:szCs w:val="18"/>
        </w:rPr>
        <w:t>Cbw</w:t>
      </w:r>
      <w:proofErr w:type="spellEnd"/>
      <w:r w:rsidRPr="00B82196">
        <w:rPr>
          <w:rFonts w:ascii="Verdana" w:hAnsi="Verdana"/>
          <w:sz w:val="18"/>
          <w:szCs w:val="18"/>
        </w:rPr>
        <w:t xml:space="preserve">. De RDI gaat toezicht houden op de sector overheid en heeft zich in de toets daarom geconcentreerd op de onderdelen uit de </w:t>
      </w:r>
      <w:proofErr w:type="spellStart"/>
      <w:r w:rsidRPr="00B82196">
        <w:rPr>
          <w:rFonts w:ascii="Verdana" w:hAnsi="Verdana"/>
          <w:sz w:val="18"/>
          <w:szCs w:val="18"/>
        </w:rPr>
        <w:t>Cbw</w:t>
      </w:r>
      <w:proofErr w:type="spellEnd"/>
      <w:r w:rsidRPr="00B82196">
        <w:rPr>
          <w:rFonts w:ascii="Verdana" w:hAnsi="Verdana"/>
          <w:sz w:val="18"/>
          <w:szCs w:val="18"/>
        </w:rPr>
        <w:t xml:space="preserve"> die raken aan toezicht. De RDI acht het conceptwetsvoorstel dat is voorgelegd uitvoerbaar, handhaafbaar en fraudebestendig. Wel </w:t>
      </w:r>
      <w:r w:rsidR="00C450E5">
        <w:rPr>
          <w:rFonts w:ascii="Verdana" w:hAnsi="Verdana"/>
          <w:sz w:val="18"/>
          <w:szCs w:val="18"/>
        </w:rPr>
        <w:t>heeft</w:t>
      </w:r>
      <w:r w:rsidRPr="00B82196">
        <w:rPr>
          <w:rFonts w:ascii="Verdana" w:hAnsi="Verdana"/>
          <w:sz w:val="18"/>
          <w:szCs w:val="18"/>
        </w:rPr>
        <w:t xml:space="preserve"> de RDI </w:t>
      </w:r>
      <w:r w:rsidR="00C450E5">
        <w:rPr>
          <w:rFonts w:ascii="Verdana" w:hAnsi="Verdana"/>
          <w:sz w:val="18"/>
          <w:szCs w:val="18"/>
        </w:rPr>
        <w:t xml:space="preserve">in de toets </w:t>
      </w:r>
      <w:r w:rsidRPr="00B82196">
        <w:rPr>
          <w:rFonts w:ascii="Verdana" w:hAnsi="Verdana"/>
          <w:sz w:val="18"/>
          <w:szCs w:val="18"/>
        </w:rPr>
        <w:t>een aantal aandachtspunten kenbaar gemaakt. Het Ministerie van Binnenlandse Zaken en Koninkrijksrelaties neemt deze aandachtspunten ter harte, onder andere de verdere benodigde afstemming in de lagere regelgeving voor de sector overheid.</w:t>
      </w:r>
    </w:p>
    <w:p w:rsidRPr="00B82196" w:rsidR="00A53E92" w:rsidP="00A53E92" w:rsidRDefault="00A53E92" w14:paraId="1991A665" w14:textId="77777777">
      <w:pPr>
        <w:pStyle w:val="Geenafstand"/>
        <w:rPr>
          <w:rFonts w:ascii="Verdana" w:hAnsi="Verdana"/>
          <w:sz w:val="18"/>
          <w:szCs w:val="18"/>
        </w:rPr>
      </w:pPr>
    </w:p>
    <w:p w:rsidRPr="00B82196" w:rsidR="00A53E92" w:rsidP="00A53E92" w:rsidRDefault="00A53E92" w14:paraId="789D1360" w14:textId="77777777">
      <w:pPr>
        <w:pStyle w:val="Geenafstand"/>
        <w:rPr>
          <w:rFonts w:ascii="Verdana" w:hAnsi="Verdana"/>
          <w:i/>
          <w:iCs/>
          <w:sz w:val="18"/>
          <w:szCs w:val="18"/>
        </w:rPr>
      </w:pPr>
      <w:bookmarkStart w:name="_Hlk180583687" w:id="236"/>
      <w:r w:rsidRPr="00B82196">
        <w:rPr>
          <w:rFonts w:ascii="Verdana" w:hAnsi="Verdana"/>
          <w:i/>
          <w:iCs/>
          <w:sz w:val="18"/>
          <w:szCs w:val="18"/>
        </w:rPr>
        <w:t>Ministerie van Economische Zaken en Ministerie van Klimaat en Groene Groei</w:t>
      </w:r>
    </w:p>
    <w:p w:rsidR="00F94C94" w:rsidP="00A53E92" w:rsidRDefault="00F94C94" w14:paraId="3E9E9993" w14:textId="4BBACC76">
      <w:pPr>
        <w:pStyle w:val="Geenafstand"/>
        <w:rPr>
          <w:rFonts w:ascii="Verdana" w:hAnsi="Verdana"/>
          <w:sz w:val="18"/>
          <w:szCs w:val="18"/>
        </w:rPr>
      </w:pPr>
      <w:r w:rsidRPr="00F94C94">
        <w:rPr>
          <w:rFonts w:ascii="Verdana" w:hAnsi="Verdana"/>
          <w:sz w:val="18"/>
          <w:szCs w:val="18"/>
        </w:rPr>
        <w:t xml:space="preserve">Een eerdere versie van </w:t>
      </w:r>
      <w:r>
        <w:rPr>
          <w:rFonts w:ascii="Verdana" w:hAnsi="Verdana"/>
          <w:sz w:val="18"/>
          <w:szCs w:val="18"/>
        </w:rPr>
        <w:t xml:space="preserve">dit wetsvoorstel is aan de RDI </w:t>
      </w:r>
      <w:r w:rsidRPr="00F94C94">
        <w:rPr>
          <w:rFonts w:ascii="Verdana" w:hAnsi="Verdana"/>
          <w:sz w:val="18"/>
          <w:szCs w:val="18"/>
        </w:rPr>
        <w:t xml:space="preserve">voorgelegd voor een toets op de uitvoerbaarheid en handhaafbaarheid van het wetsvoorstel. De RDI heeft in haar reactie opmerkingen gemaakt en suggesties gedaan ten aanzien van verschillende onderwerpen uit het wetsvoorstel. Het gaat hierbij om de verstrekking van vertrouwelijke gegevens, de informatie-uitwisseling tussen autoriteiten, de audit, de aanwijzing van de vertegenwoordiger, de </w:t>
      </w:r>
      <w:proofErr w:type="spellStart"/>
      <w:r w:rsidRPr="00F94C94">
        <w:rPr>
          <w:rFonts w:ascii="Verdana" w:hAnsi="Verdana"/>
          <w:sz w:val="18"/>
          <w:szCs w:val="18"/>
        </w:rPr>
        <w:t>governance</w:t>
      </w:r>
      <w:proofErr w:type="spellEnd"/>
      <w:r w:rsidRPr="00F94C94">
        <w:rPr>
          <w:rFonts w:ascii="Verdana" w:hAnsi="Verdana"/>
          <w:sz w:val="18"/>
          <w:szCs w:val="18"/>
        </w:rPr>
        <w:t xml:space="preserve"> in relatie tot de handhaving hierop, de hoogte van de bestuurlijke boete, de database met domeinregistratiegegevens, de uitzondering van de root-naamservers en definities van de sectoren ruimtevaart en elektriciteitsproducent. Deze onderwerpen zijn nader met de RDI besproken</w:t>
      </w:r>
      <w:r>
        <w:rPr>
          <w:rFonts w:ascii="Verdana" w:hAnsi="Verdana"/>
          <w:sz w:val="18"/>
          <w:szCs w:val="18"/>
        </w:rPr>
        <w:t>. Dit heeft geleid tot</w:t>
      </w:r>
      <w:r w:rsidRPr="00F94C94">
        <w:rPr>
          <w:rFonts w:ascii="Verdana" w:hAnsi="Verdana"/>
          <w:sz w:val="18"/>
          <w:szCs w:val="18"/>
        </w:rPr>
        <w:t xml:space="preserve"> aanpassingen van meerdere artikelen en de memorie van toelichting. Met betrekking tot de reactie van de RDI ten aanzien van de definitie van elektriciteitsproducent wordt hieronder nader ingegaan.</w:t>
      </w:r>
    </w:p>
    <w:p w:rsidR="00C450E5" w:rsidP="00A53E92" w:rsidRDefault="00A53E92" w14:paraId="6A22ABFA" w14:textId="7D40A091">
      <w:pPr>
        <w:pStyle w:val="Geenafstand"/>
        <w:rPr>
          <w:rFonts w:ascii="Verdana" w:hAnsi="Verdana"/>
          <w:sz w:val="18"/>
          <w:szCs w:val="18"/>
        </w:rPr>
      </w:pPr>
      <w:r w:rsidRPr="00B82196">
        <w:rPr>
          <w:rFonts w:ascii="Verdana" w:hAnsi="Verdana"/>
          <w:sz w:val="18"/>
          <w:szCs w:val="18"/>
        </w:rPr>
        <w:t xml:space="preserve">De RDI heeft in </w:t>
      </w:r>
      <w:r w:rsidR="00BA1F43">
        <w:rPr>
          <w:rFonts w:ascii="Verdana" w:hAnsi="Verdana"/>
          <w:sz w:val="18"/>
          <w:szCs w:val="18"/>
        </w:rPr>
        <w:t>haar uitvoerbaarheids- en handhaafbaarheidstoets</w:t>
      </w:r>
      <w:r w:rsidRPr="00B82196">
        <w:rPr>
          <w:rFonts w:ascii="Verdana" w:hAnsi="Verdana"/>
          <w:sz w:val="18"/>
          <w:szCs w:val="18"/>
        </w:rPr>
        <w:t xml:space="preserve"> aangegeven dat het vanuit de doelstelling van de NIS2-richtlijn niet de bedoeling is dat een bedrijf met zonnepanelen en met een bepaalde omvang in lijn met de </w:t>
      </w:r>
      <w:proofErr w:type="spellStart"/>
      <w:r w:rsidRPr="00B82196">
        <w:rPr>
          <w:rFonts w:ascii="Verdana" w:hAnsi="Verdana"/>
          <w:sz w:val="18"/>
          <w:szCs w:val="18"/>
        </w:rPr>
        <w:t>size</w:t>
      </w:r>
      <w:proofErr w:type="spellEnd"/>
      <w:r w:rsidRPr="00B82196">
        <w:rPr>
          <w:rFonts w:ascii="Verdana" w:hAnsi="Verdana"/>
          <w:sz w:val="18"/>
          <w:szCs w:val="18"/>
        </w:rPr>
        <w:t>-</w:t>
      </w:r>
      <w:r w:rsidR="00B35E6F">
        <w:rPr>
          <w:rFonts w:ascii="Verdana" w:hAnsi="Verdana"/>
          <w:sz w:val="18"/>
          <w:szCs w:val="18"/>
        </w:rPr>
        <w:t>c</w:t>
      </w:r>
      <w:r w:rsidRPr="00B82196">
        <w:rPr>
          <w:rFonts w:ascii="Verdana" w:hAnsi="Verdana"/>
          <w:sz w:val="18"/>
          <w:szCs w:val="18"/>
        </w:rPr>
        <w:t xml:space="preserve">ap criteria van de NIS2-richtlijn, zonder meer onder de reikwijdte van </w:t>
      </w:r>
      <w:r w:rsidR="00890C17">
        <w:rPr>
          <w:rFonts w:ascii="Verdana" w:hAnsi="Verdana"/>
          <w:sz w:val="18"/>
          <w:szCs w:val="18"/>
        </w:rPr>
        <w:t xml:space="preserve">de </w:t>
      </w:r>
      <w:proofErr w:type="spellStart"/>
      <w:r w:rsidR="00890C17">
        <w:rPr>
          <w:rFonts w:ascii="Verdana" w:hAnsi="Verdana"/>
          <w:sz w:val="18"/>
          <w:szCs w:val="18"/>
        </w:rPr>
        <w:t>Cbw</w:t>
      </w:r>
      <w:proofErr w:type="spellEnd"/>
      <w:r w:rsidR="00890C17">
        <w:rPr>
          <w:rFonts w:ascii="Verdana" w:hAnsi="Verdana"/>
          <w:sz w:val="18"/>
          <w:szCs w:val="18"/>
        </w:rPr>
        <w:t xml:space="preserve"> </w:t>
      </w:r>
      <w:r w:rsidRPr="00B82196">
        <w:rPr>
          <w:rFonts w:ascii="Verdana" w:hAnsi="Verdana"/>
          <w:sz w:val="18"/>
          <w:szCs w:val="18"/>
        </w:rPr>
        <w:t>komt te vallen wanneer dit bedrijf energie opwekt voor eigen gebruik. Elektriciteitsproducenten vallen als soort entiteit</w:t>
      </w:r>
      <w:r w:rsidR="008265E7">
        <w:rPr>
          <w:rFonts w:ascii="Verdana" w:hAnsi="Verdana"/>
          <w:sz w:val="18"/>
          <w:szCs w:val="18"/>
        </w:rPr>
        <w:t xml:space="preserve"> </w:t>
      </w:r>
      <w:r w:rsidRPr="00B82196">
        <w:rPr>
          <w:rFonts w:ascii="Verdana" w:hAnsi="Verdana"/>
          <w:sz w:val="18"/>
          <w:szCs w:val="18"/>
        </w:rPr>
        <w:t>binnen de reikwijdte van de NIS2-richtlijn</w:t>
      </w:r>
      <w:r w:rsidR="00203C6E">
        <w:rPr>
          <w:rFonts w:ascii="Verdana" w:hAnsi="Verdana"/>
          <w:sz w:val="18"/>
          <w:szCs w:val="18"/>
        </w:rPr>
        <w:t xml:space="preserve">. Het gaat hierbij om </w:t>
      </w:r>
      <w:r w:rsidRPr="00B82196">
        <w:rPr>
          <w:rFonts w:ascii="Verdana" w:hAnsi="Verdana"/>
          <w:sz w:val="18"/>
          <w:szCs w:val="18"/>
        </w:rPr>
        <w:t xml:space="preserve">producenten </w:t>
      </w:r>
      <w:r w:rsidR="00203C6E">
        <w:rPr>
          <w:rFonts w:ascii="Verdana" w:hAnsi="Verdana"/>
          <w:sz w:val="18"/>
          <w:szCs w:val="18"/>
        </w:rPr>
        <w:t>als bedoeld</w:t>
      </w:r>
      <w:r w:rsidRPr="00B82196">
        <w:rPr>
          <w:rFonts w:ascii="Verdana" w:hAnsi="Verdana"/>
          <w:sz w:val="18"/>
          <w:szCs w:val="18"/>
        </w:rPr>
        <w:t xml:space="preserve"> in artikel 2, </w:t>
      </w:r>
      <w:r w:rsidR="00203C6E">
        <w:rPr>
          <w:rFonts w:ascii="Verdana" w:hAnsi="Verdana"/>
          <w:sz w:val="18"/>
          <w:szCs w:val="18"/>
        </w:rPr>
        <w:t>onderdeel</w:t>
      </w:r>
      <w:r w:rsidRPr="00B82196">
        <w:rPr>
          <w:rFonts w:ascii="Verdana" w:hAnsi="Verdana"/>
          <w:sz w:val="18"/>
          <w:szCs w:val="18"/>
        </w:rPr>
        <w:t xml:space="preserve"> 38, Richtlijn (EU) 2019/944.</w:t>
      </w:r>
      <w:r w:rsidR="00203C6E">
        <w:rPr>
          <w:rStyle w:val="Voetnootmarkering"/>
          <w:rFonts w:ascii="Verdana" w:hAnsi="Verdana"/>
          <w:sz w:val="18"/>
          <w:szCs w:val="18"/>
        </w:rPr>
        <w:footnoteReference w:id="81"/>
      </w:r>
      <w:r w:rsidRPr="00B82196">
        <w:rPr>
          <w:rFonts w:ascii="Verdana" w:hAnsi="Verdana"/>
          <w:sz w:val="18"/>
          <w:szCs w:val="18"/>
        </w:rPr>
        <w:t xml:space="preserve"> </w:t>
      </w:r>
      <w:r w:rsidR="00C450E5">
        <w:rPr>
          <w:rFonts w:ascii="Verdana" w:hAnsi="Verdana"/>
          <w:sz w:val="18"/>
          <w:szCs w:val="18"/>
        </w:rPr>
        <w:t>In de laatstgenoemde bepaling wordt een producent gedefinieerd</w:t>
      </w:r>
      <w:r w:rsidRPr="00B82196">
        <w:rPr>
          <w:rFonts w:ascii="Verdana" w:hAnsi="Verdana"/>
          <w:sz w:val="18"/>
          <w:szCs w:val="18"/>
        </w:rPr>
        <w:t xml:space="preserve"> als een natuurlijke persoon of rechtspersoon die elektriciteit opwekt. </w:t>
      </w:r>
    </w:p>
    <w:p w:rsidRPr="00B82196" w:rsidR="00A53E92" w:rsidP="00A53E92" w:rsidRDefault="00A53E92" w14:paraId="3CFD2F2E" w14:textId="0E1A9DB4">
      <w:pPr>
        <w:pStyle w:val="Geenafstand"/>
        <w:rPr>
          <w:rFonts w:ascii="Verdana" w:hAnsi="Verdana"/>
          <w:sz w:val="18"/>
          <w:szCs w:val="18"/>
        </w:rPr>
      </w:pPr>
      <w:r w:rsidRPr="00B82196">
        <w:rPr>
          <w:rFonts w:ascii="Verdana" w:hAnsi="Verdana"/>
          <w:sz w:val="18"/>
          <w:szCs w:val="18"/>
        </w:rPr>
        <w:t xml:space="preserve">In het kader van duurzaamheid wekken steeds meer bedrijven voor hun eigen gebruik elektriciteit op met bijvoorbeeld zonnepanelen op daken, zonder dat dit hun hoofdactiviteit betreft. Op basis van de definitie zouden dit soort partijen echter wel kwalificeren als elektriciteitsproducent. Als zij daarnaast aan de overige omvangscriteria voldoen, </w:t>
      </w:r>
      <w:r w:rsidR="00C450E5">
        <w:rPr>
          <w:rFonts w:ascii="Verdana" w:hAnsi="Verdana"/>
          <w:sz w:val="18"/>
          <w:szCs w:val="18"/>
        </w:rPr>
        <w:t>zouden</w:t>
      </w:r>
      <w:r w:rsidRPr="00B82196">
        <w:rPr>
          <w:rFonts w:ascii="Verdana" w:hAnsi="Verdana"/>
          <w:sz w:val="18"/>
          <w:szCs w:val="18"/>
        </w:rPr>
        <w:t xml:space="preserve"> ze binnen de reikwijdte van </w:t>
      </w:r>
      <w:r w:rsidR="00C450E5">
        <w:rPr>
          <w:rFonts w:ascii="Verdana" w:hAnsi="Verdana"/>
          <w:sz w:val="18"/>
          <w:szCs w:val="18"/>
        </w:rPr>
        <w:t xml:space="preserve">de </w:t>
      </w:r>
      <w:proofErr w:type="spellStart"/>
      <w:r w:rsidR="00C450E5">
        <w:rPr>
          <w:rFonts w:ascii="Verdana" w:hAnsi="Verdana"/>
          <w:sz w:val="18"/>
          <w:szCs w:val="18"/>
        </w:rPr>
        <w:t>Cbw</w:t>
      </w:r>
      <w:proofErr w:type="spellEnd"/>
      <w:r w:rsidR="00C450E5">
        <w:rPr>
          <w:rFonts w:ascii="Verdana" w:hAnsi="Verdana"/>
          <w:sz w:val="18"/>
          <w:szCs w:val="18"/>
        </w:rPr>
        <w:t xml:space="preserve"> vallen</w:t>
      </w:r>
      <w:r w:rsidRPr="00B82196">
        <w:rPr>
          <w:rFonts w:ascii="Verdana" w:hAnsi="Verdana"/>
          <w:sz w:val="18"/>
          <w:szCs w:val="18"/>
        </w:rPr>
        <w:t xml:space="preserve">. Dit kan leiden tot een situatie dat veel bedrijven die in beginsel niet actief zijn in </w:t>
      </w:r>
      <w:r w:rsidR="00C450E5">
        <w:rPr>
          <w:rFonts w:ascii="Verdana" w:hAnsi="Verdana"/>
          <w:sz w:val="18"/>
          <w:szCs w:val="18"/>
        </w:rPr>
        <w:t>éé</w:t>
      </w:r>
      <w:r w:rsidRPr="00B82196">
        <w:rPr>
          <w:rFonts w:ascii="Verdana" w:hAnsi="Verdana"/>
          <w:sz w:val="18"/>
          <w:szCs w:val="18"/>
        </w:rPr>
        <w:t xml:space="preserve">n van de sectoren </w:t>
      </w:r>
      <w:r w:rsidR="00C450E5">
        <w:rPr>
          <w:rFonts w:ascii="Verdana" w:hAnsi="Verdana"/>
          <w:sz w:val="18"/>
          <w:szCs w:val="18"/>
        </w:rPr>
        <w:t xml:space="preserve">uit de </w:t>
      </w:r>
      <w:proofErr w:type="spellStart"/>
      <w:r w:rsidR="00C450E5">
        <w:rPr>
          <w:rFonts w:ascii="Verdana" w:hAnsi="Verdana"/>
          <w:sz w:val="18"/>
          <w:szCs w:val="18"/>
        </w:rPr>
        <w:t>Cbw</w:t>
      </w:r>
      <w:proofErr w:type="spellEnd"/>
      <w:r w:rsidRPr="00B82196">
        <w:rPr>
          <w:rFonts w:ascii="Verdana" w:hAnsi="Verdana"/>
          <w:sz w:val="18"/>
          <w:szCs w:val="18"/>
        </w:rPr>
        <w:t xml:space="preserve">, als elektriciteitsproducent alsnog onder het toepassingsbereik </w:t>
      </w:r>
      <w:r w:rsidR="00C450E5">
        <w:rPr>
          <w:rFonts w:ascii="Verdana" w:hAnsi="Verdana"/>
          <w:sz w:val="18"/>
          <w:szCs w:val="18"/>
        </w:rPr>
        <w:t xml:space="preserve">van de </w:t>
      </w:r>
      <w:proofErr w:type="spellStart"/>
      <w:r w:rsidR="00C450E5">
        <w:rPr>
          <w:rFonts w:ascii="Verdana" w:hAnsi="Verdana"/>
          <w:sz w:val="18"/>
          <w:szCs w:val="18"/>
        </w:rPr>
        <w:t>Cbw</w:t>
      </w:r>
      <w:proofErr w:type="spellEnd"/>
      <w:r w:rsidR="00C450E5">
        <w:rPr>
          <w:rFonts w:ascii="Verdana" w:hAnsi="Verdana"/>
          <w:sz w:val="18"/>
          <w:szCs w:val="18"/>
        </w:rPr>
        <w:t xml:space="preserve"> </w:t>
      </w:r>
      <w:r w:rsidRPr="00B82196">
        <w:rPr>
          <w:rFonts w:ascii="Verdana" w:hAnsi="Verdana"/>
          <w:sz w:val="18"/>
          <w:szCs w:val="18"/>
        </w:rPr>
        <w:t>komen te vallen. Daardoor worden deze partijen met wettelijke verplichtingen belast die vanuit de bedoeling van de NIS2-richtlijn niet voor hen bestemd zijn. Daarnaast kan dit nadelige gevolgen hebben voor de uitvoerbaarheid van het toezicht van de RDI.</w:t>
      </w:r>
    </w:p>
    <w:p w:rsidRPr="00B82196" w:rsidR="00A53E92" w:rsidP="00A53E92" w:rsidRDefault="00A53E92" w14:paraId="3C91FBD4" w14:textId="335CCCA5">
      <w:pPr>
        <w:pStyle w:val="Geenafstand"/>
        <w:rPr>
          <w:rFonts w:ascii="Verdana" w:hAnsi="Verdana" w:cs="Verdana"/>
          <w:sz w:val="18"/>
          <w:szCs w:val="18"/>
        </w:rPr>
      </w:pPr>
      <w:r w:rsidRPr="00B82196">
        <w:rPr>
          <w:rFonts w:ascii="Verdana" w:hAnsi="Verdana"/>
          <w:sz w:val="18"/>
          <w:szCs w:val="18"/>
        </w:rPr>
        <w:t xml:space="preserve">Naar aanleiding van deze reactie van de RDI is de definitie van elektriciteitsproducten nader </w:t>
      </w:r>
      <w:r w:rsidR="00C450E5">
        <w:rPr>
          <w:rFonts w:ascii="Verdana" w:hAnsi="Verdana"/>
          <w:sz w:val="18"/>
          <w:szCs w:val="18"/>
        </w:rPr>
        <w:t>afgebakend,</w:t>
      </w:r>
      <w:r w:rsidRPr="00B82196">
        <w:rPr>
          <w:rFonts w:ascii="Verdana" w:hAnsi="Verdana"/>
          <w:sz w:val="18"/>
          <w:szCs w:val="18"/>
        </w:rPr>
        <w:t xml:space="preserve"> binnen de bedoeling van de NIS2-richtlijn</w:t>
      </w:r>
      <w:r w:rsidR="00C450E5">
        <w:rPr>
          <w:rFonts w:ascii="Verdana" w:hAnsi="Verdana"/>
          <w:sz w:val="18"/>
          <w:szCs w:val="18"/>
        </w:rPr>
        <w:t>, naar</w:t>
      </w:r>
      <w:r w:rsidR="008265E7">
        <w:rPr>
          <w:rFonts w:ascii="Verdana" w:hAnsi="Verdana" w:cs="Verdana"/>
          <w:sz w:val="18"/>
          <w:szCs w:val="18"/>
        </w:rPr>
        <w:t xml:space="preserve"> </w:t>
      </w:r>
      <w:r w:rsidR="00C450E5">
        <w:rPr>
          <w:rFonts w:ascii="Verdana" w:hAnsi="Verdana" w:cs="Verdana"/>
          <w:sz w:val="18"/>
          <w:szCs w:val="18"/>
        </w:rPr>
        <w:t>p</w:t>
      </w:r>
      <w:r w:rsidRPr="00B82196">
        <w:rPr>
          <w:rFonts w:ascii="Verdana" w:hAnsi="Verdana" w:cs="Verdana"/>
          <w:sz w:val="18"/>
          <w:szCs w:val="18"/>
        </w:rPr>
        <w:t>roducenten als bedoeld in artikel 2, onderdeel 38,</w:t>
      </w:r>
      <w:r w:rsidR="00C450E5">
        <w:rPr>
          <w:rFonts w:ascii="Verdana" w:hAnsi="Verdana" w:cs="Verdana"/>
          <w:sz w:val="18"/>
          <w:szCs w:val="18"/>
        </w:rPr>
        <w:t xml:space="preserve"> </w:t>
      </w:r>
      <w:r w:rsidRPr="00B82196">
        <w:rPr>
          <w:rFonts w:ascii="Verdana" w:hAnsi="Verdana" w:cs="Verdana"/>
          <w:sz w:val="18"/>
          <w:szCs w:val="18"/>
        </w:rPr>
        <w:t xml:space="preserve">Richtlijn (EU) 2019/944, </w:t>
      </w:r>
      <w:r w:rsidRPr="00F503DB" w:rsidR="00F503DB">
        <w:rPr>
          <w:rFonts w:ascii="Verdana" w:hAnsi="Verdana" w:cs="Verdana"/>
          <w:sz w:val="18"/>
          <w:szCs w:val="18"/>
        </w:rPr>
        <w:t>voor zover de opwekking van elektriciteit hun belangrijkste commerciële of professionele activiteit vormt</w:t>
      </w:r>
      <w:r w:rsidRPr="00B82196">
        <w:rPr>
          <w:rFonts w:ascii="Verdana" w:hAnsi="Verdana" w:cs="Verdana"/>
          <w:sz w:val="18"/>
          <w:szCs w:val="18"/>
        </w:rPr>
        <w:t>, of zi</w:t>
      </w:r>
      <w:r w:rsidRPr="00B82196">
        <w:rPr>
          <w:rFonts w:ascii="Verdana" w:hAnsi="Verdana"/>
          <w:sz w:val="18"/>
          <w:szCs w:val="18"/>
        </w:rPr>
        <w:t xml:space="preserve">j één of meerdere productie-installaties met een cumulatief nominaal vermogen van ten minste 100 </w:t>
      </w:r>
      <w:r w:rsidR="00C450E5">
        <w:rPr>
          <w:rFonts w:ascii="Verdana" w:hAnsi="Verdana"/>
          <w:sz w:val="18"/>
          <w:szCs w:val="18"/>
        </w:rPr>
        <w:t>m</w:t>
      </w:r>
      <w:r w:rsidRPr="00B82196">
        <w:rPr>
          <w:rFonts w:ascii="Verdana" w:hAnsi="Verdana"/>
          <w:sz w:val="18"/>
          <w:szCs w:val="18"/>
        </w:rPr>
        <w:t>ega</w:t>
      </w:r>
      <w:r w:rsidR="00C450E5">
        <w:rPr>
          <w:rFonts w:ascii="Verdana" w:hAnsi="Verdana"/>
          <w:sz w:val="18"/>
          <w:szCs w:val="18"/>
        </w:rPr>
        <w:t>w</w:t>
      </w:r>
      <w:r w:rsidRPr="00B82196">
        <w:rPr>
          <w:rFonts w:ascii="Verdana" w:hAnsi="Verdana"/>
          <w:sz w:val="18"/>
          <w:szCs w:val="18"/>
        </w:rPr>
        <w:t xml:space="preserve">att </w:t>
      </w:r>
      <w:r w:rsidRPr="00B82196">
        <w:rPr>
          <w:rFonts w:ascii="Verdana" w:hAnsi="Verdana" w:cs="Verdana"/>
          <w:sz w:val="18"/>
          <w:szCs w:val="18"/>
        </w:rPr>
        <w:t>beheren.</w:t>
      </w:r>
    </w:p>
    <w:p w:rsidRPr="00B82196" w:rsidR="00A53E92" w:rsidP="00A53E92" w:rsidRDefault="00A53E92" w14:paraId="4776D533" w14:textId="01134E95">
      <w:pPr>
        <w:pStyle w:val="Geenafstand"/>
        <w:rPr>
          <w:rFonts w:ascii="Verdana" w:hAnsi="Verdana"/>
          <w:sz w:val="18"/>
          <w:szCs w:val="18"/>
        </w:rPr>
      </w:pPr>
      <w:r w:rsidRPr="00B82196">
        <w:rPr>
          <w:rFonts w:ascii="Verdana" w:hAnsi="Verdana"/>
          <w:sz w:val="18"/>
          <w:szCs w:val="18"/>
        </w:rPr>
        <w:t>Hiermee wordt enerzijds een nadere afbakening gegeven naar de bedoeling van de NIS2-richtlijn. Anderzijds wordt met 100</w:t>
      </w:r>
      <w:r w:rsidR="00C450E5">
        <w:rPr>
          <w:rFonts w:ascii="Verdana" w:hAnsi="Verdana"/>
          <w:sz w:val="18"/>
          <w:szCs w:val="18"/>
        </w:rPr>
        <w:t xml:space="preserve"> megawatt</w:t>
      </w:r>
      <w:r w:rsidRPr="00B82196">
        <w:rPr>
          <w:rFonts w:ascii="Verdana" w:hAnsi="Verdana"/>
          <w:sz w:val="18"/>
          <w:szCs w:val="18"/>
        </w:rPr>
        <w:t xml:space="preserve"> aangesloten bij de huidige drempel vanuit de </w:t>
      </w:r>
      <w:proofErr w:type="spellStart"/>
      <w:r w:rsidRPr="00B82196">
        <w:rPr>
          <w:rFonts w:ascii="Verdana" w:hAnsi="Verdana"/>
          <w:sz w:val="18"/>
          <w:szCs w:val="18"/>
        </w:rPr>
        <w:t>Wbni</w:t>
      </w:r>
      <w:proofErr w:type="spellEnd"/>
      <w:r w:rsidRPr="00B82196">
        <w:rPr>
          <w:rFonts w:ascii="Verdana" w:hAnsi="Verdana"/>
          <w:sz w:val="18"/>
          <w:szCs w:val="18"/>
        </w:rPr>
        <w:t>, waardoor partijen die elektriciteitsproductie niet als belangrijkste commerciële of professionele activiteit hebben</w:t>
      </w:r>
      <w:r w:rsidR="00C450E5">
        <w:rPr>
          <w:rFonts w:ascii="Verdana" w:hAnsi="Verdana"/>
          <w:sz w:val="18"/>
          <w:szCs w:val="18"/>
        </w:rPr>
        <w:t>,</w:t>
      </w:r>
      <w:r w:rsidRPr="00B82196">
        <w:rPr>
          <w:rFonts w:ascii="Verdana" w:hAnsi="Verdana"/>
          <w:sz w:val="18"/>
          <w:szCs w:val="18"/>
        </w:rPr>
        <w:t xml:space="preserve"> maar toch een significant vermogen beheren net als onder de </w:t>
      </w:r>
      <w:proofErr w:type="spellStart"/>
      <w:r w:rsidRPr="00B82196">
        <w:rPr>
          <w:rFonts w:ascii="Verdana" w:hAnsi="Verdana"/>
          <w:sz w:val="18"/>
          <w:szCs w:val="18"/>
        </w:rPr>
        <w:t>Wbni</w:t>
      </w:r>
      <w:proofErr w:type="spellEnd"/>
      <w:r w:rsidR="00C450E5">
        <w:rPr>
          <w:rFonts w:ascii="Verdana" w:hAnsi="Verdana"/>
          <w:sz w:val="18"/>
          <w:szCs w:val="18"/>
        </w:rPr>
        <w:t>,</w:t>
      </w:r>
      <w:r w:rsidRPr="00B82196">
        <w:rPr>
          <w:rFonts w:ascii="Verdana" w:hAnsi="Verdana"/>
          <w:sz w:val="18"/>
          <w:szCs w:val="18"/>
        </w:rPr>
        <w:t xml:space="preserve"> wel onder het bereik van </w:t>
      </w:r>
      <w:r w:rsidR="00C450E5">
        <w:rPr>
          <w:rFonts w:ascii="Verdana" w:hAnsi="Verdana"/>
          <w:sz w:val="18"/>
          <w:szCs w:val="18"/>
        </w:rPr>
        <w:t xml:space="preserve">de </w:t>
      </w:r>
      <w:proofErr w:type="spellStart"/>
      <w:r w:rsidR="00C450E5">
        <w:rPr>
          <w:rFonts w:ascii="Verdana" w:hAnsi="Verdana"/>
          <w:sz w:val="18"/>
          <w:szCs w:val="18"/>
        </w:rPr>
        <w:t>Cbw</w:t>
      </w:r>
      <w:proofErr w:type="spellEnd"/>
      <w:r w:rsidRPr="00B82196">
        <w:rPr>
          <w:rFonts w:ascii="Verdana" w:hAnsi="Verdana"/>
          <w:sz w:val="18"/>
          <w:szCs w:val="18"/>
        </w:rPr>
        <w:t xml:space="preserve"> vallen.</w:t>
      </w:r>
    </w:p>
    <w:p w:rsidRPr="00B82196" w:rsidR="00A53E92" w:rsidP="00A53E92" w:rsidRDefault="00A53E92" w14:paraId="34DDCF8F" w14:textId="392BA941">
      <w:pPr>
        <w:pStyle w:val="Geenafstand"/>
        <w:rPr>
          <w:rFonts w:ascii="Verdana" w:hAnsi="Verdana"/>
          <w:sz w:val="18"/>
          <w:szCs w:val="18"/>
        </w:rPr>
      </w:pPr>
      <w:r w:rsidRPr="00B82196">
        <w:rPr>
          <w:rFonts w:ascii="Verdana" w:hAnsi="Verdana"/>
          <w:sz w:val="18"/>
          <w:szCs w:val="18"/>
        </w:rPr>
        <w:t xml:space="preserve">Ten overvloede wordt nog opgemerkt dat elektriciteitsproducenten die zelf opgewekte elektriciteit, bijvoorbeeld door zonnepanelen, gebruiken voor hun eigen gebruik in de regel niet </w:t>
      </w:r>
      <w:r w:rsidR="00C450E5">
        <w:rPr>
          <w:rFonts w:ascii="Verdana" w:hAnsi="Verdana"/>
          <w:sz w:val="18"/>
          <w:szCs w:val="18"/>
        </w:rPr>
        <w:t xml:space="preserve">kwalificeren als </w:t>
      </w:r>
      <w:r w:rsidRPr="00B82196">
        <w:rPr>
          <w:rFonts w:ascii="Verdana" w:hAnsi="Verdana"/>
          <w:sz w:val="18"/>
          <w:szCs w:val="18"/>
        </w:rPr>
        <w:t>elektriciteitsbedrijf die de functie van levering verrichten</w:t>
      </w:r>
      <w:r w:rsidR="00C450E5">
        <w:rPr>
          <w:rFonts w:ascii="Verdana" w:hAnsi="Verdana"/>
          <w:sz w:val="18"/>
          <w:szCs w:val="18"/>
        </w:rPr>
        <w:t xml:space="preserve">, welke in bijlage 1 van de </w:t>
      </w:r>
      <w:proofErr w:type="spellStart"/>
      <w:r w:rsidR="00C450E5">
        <w:rPr>
          <w:rFonts w:ascii="Verdana" w:hAnsi="Verdana"/>
          <w:sz w:val="18"/>
          <w:szCs w:val="18"/>
        </w:rPr>
        <w:t>Cbw</w:t>
      </w:r>
      <w:proofErr w:type="spellEnd"/>
      <w:r w:rsidR="00C450E5">
        <w:rPr>
          <w:rFonts w:ascii="Verdana" w:hAnsi="Verdana"/>
          <w:sz w:val="18"/>
          <w:szCs w:val="18"/>
        </w:rPr>
        <w:t xml:space="preserve"> is opgenomen als soort entiteit</w:t>
      </w:r>
      <w:r w:rsidRPr="00B82196">
        <w:rPr>
          <w:rFonts w:ascii="Verdana" w:hAnsi="Verdana"/>
          <w:sz w:val="18"/>
          <w:szCs w:val="18"/>
        </w:rPr>
        <w:t xml:space="preserve">. </w:t>
      </w:r>
      <w:r w:rsidR="006E0590">
        <w:rPr>
          <w:rFonts w:ascii="Verdana" w:hAnsi="Verdana"/>
          <w:sz w:val="18"/>
          <w:szCs w:val="18"/>
        </w:rPr>
        <w:t xml:space="preserve">Voor zover het gaat om een elektriciteitsbedrijf die de functie verricht van levering, gaat het immers om </w:t>
      </w:r>
      <w:r w:rsidRPr="00B82196">
        <w:rPr>
          <w:rFonts w:ascii="Verdana" w:hAnsi="Verdana"/>
          <w:sz w:val="18"/>
          <w:szCs w:val="18"/>
        </w:rPr>
        <w:t xml:space="preserve">een natuurlijke persoon of rechtspersoon die ten minste </w:t>
      </w:r>
      <w:r w:rsidR="006E0590">
        <w:rPr>
          <w:rFonts w:ascii="Verdana" w:hAnsi="Verdana"/>
          <w:sz w:val="18"/>
          <w:szCs w:val="18"/>
        </w:rPr>
        <w:t>éé</w:t>
      </w:r>
      <w:r w:rsidRPr="00B82196">
        <w:rPr>
          <w:rFonts w:ascii="Verdana" w:hAnsi="Verdana"/>
          <w:sz w:val="18"/>
          <w:szCs w:val="18"/>
        </w:rPr>
        <w:t xml:space="preserve">n van de volgende functies vervult: productie, transmissie, distributie, aggregatie, vraagrespons, energieopslag, levering of aankoop van elektriciteit, en die verantwoordelijk is voor de met deze functies verband houdende commerciële, technische of onderhoudswerkzaamheden, maar die geen eindafnemer is. Dergelijke partijen zullen in de regel eindafnemer zijn en daarmee niet </w:t>
      </w:r>
      <w:r w:rsidR="006E0590">
        <w:rPr>
          <w:rFonts w:ascii="Verdana" w:hAnsi="Verdana"/>
          <w:sz w:val="18"/>
          <w:szCs w:val="18"/>
        </w:rPr>
        <w:t xml:space="preserve">vallen </w:t>
      </w:r>
      <w:r w:rsidRPr="00B82196">
        <w:rPr>
          <w:rFonts w:ascii="Verdana" w:hAnsi="Verdana"/>
          <w:sz w:val="18"/>
          <w:szCs w:val="18"/>
        </w:rPr>
        <w:t>binnen de reikwijdte van de definitie</w:t>
      </w:r>
      <w:r w:rsidR="006E0590">
        <w:rPr>
          <w:rFonts w:ascii="Verdana" w:hAnsi="Verdana"/>
          <w:sz w:val="18"/>
          <w:szCs w:val="18"/>
        </w:rPr>
        <w:t xml:space="preserve"> van elektriciteitsbedrijf die de functie van levering verrichten</w:t>
      </w:r>
      <w:r w:rsidRPr="00B82196">
        <w:rPr>
          <w:rFonts w:ascii="Verdana" w:hAnsi="Verdana"/>
          <w:sz w:val="18"/>
          <w:szCs w:val="18"/>
        </w:rPr>
        <w:t>.</w:t>
      </w:r>
    </w:p>
    <w:bookmarkEnd w:id="236"/>
    <w:p w:rsidR="00A53E92" w:rsidP="00A53E92" w:rsidRDefault="00A53E92" w14:paraId="3C70661C" w14:textId="77777777">
      <w:pPr>
        <w:pStyle w:val="Geenafstand"/>
        <w:rPr>
          <w:rFonts w:ascii="Verdana" w:hAnsi="Verdana"/>
          <w:i/>
          <w:iCs/>
          <w:sz w:val="18"/>
          <w:szCs w:val="18"/>
        </w:rPr>
      </w:pPr>
    </w:p>
    <w:p w:rsidRPr="004E2F60" w:rsidR="00A53E92" w:rsidP="00A53E92" w:rsidRDefault="00A53E92" w14:paraId="72C681C7" w14:textId="77777777">
      <w:pPr>
        <w:pStyle w:val="Geenafstand"/>
        <w:rPr>
          <w:rFonts w:ascii="Verdana" w:hAnsi="Verdana"/>
          <w:i/>
          <w:iCs/>
          <w:sz w:val="18"/>
          <w:szCs w:val="18"/>
        </w:rPr>
      </w:pPr>
      <w:r w:rsidRPr="004E2F60">
        <w:rPr>
          <w:rFonts w:ascii="Verdana" w:hAnsi="Verdana"/>
          <w:i/>
          <w:iCs/>
          <w:sz w:val="18"/>
          <w:szCs w:val="18"/>
        </w:rPr>
        <w:t>Ministerie van Financiën</w:t>
      </w:r>
    </w:p>
    <w:p w:rsidRPr="00B82196" w:rsidR="00A53E92" w:rsidP="00A53E92" w:rsidRDefault="00A53E92" w14:paraId="446DB4BE" w14:textId="0A239410">
      <w:pPr>
        <w:pStyle w:val="Geenafstand"/>
        <w:rPr>
          <w:rFonts w:ascii="Verdana" w:hAnsi="Verdana"/>
          <w:sz w:val="18"/>
          <w:szCs w:val="18"/>
        </w:rPr>
      </w:pPr>
      <w:r w:rsidRPr="004E2F60">
        <w:rPr>
          <w:rFonts w:ascii="Verdana" w:hAnsi="Verdana"/>
          <w:sz w:val="18"/>
          <w:szCs w:val="18"/>
        </w:rPr>
        <w:t xml:space="preserve">Onder de </w:t>
      </w:r>
      <w:proofErr w:type="spellStart"/>
      <w:r w:rsidRPr="004E2F60">
        <w:rPr>
          <w:rFonts w:ascii="Verdana" w:hAnsi="Verdana"/>
          <w:sz w:val="18"/>
          <w:szCs w:val="18"/>
        </w:rPr>
        <w:t>Cbw</w:t>
      </w:r>
      <w:proofErr w:type="spellEnd"/>
      <w:r w:rsidRPr="004E2F60">
        <w:rPr>
          <w:rFonts w:ascii="Verdana" w:hAnsi="Verdana"/>
          <w:sz w:val="18"/>
          <w:szCs w:val="18"/>
        </w:rPr>
        <w:t xml:space="preserve"> is het </w:t>
      </w:r>
      <w:r>
        <w:rPr>
          <w:rFonts w:ascii="Verdana" w:hAnsi="Verdana"/>
          <w:sz w:val="18"/>
          <w:szCs w:val="18"/>
        </w:rPr>
        <w:t>M</w:t>
      </w:r>
      <w:r w:rsidRPr="00B82196">
        <w:rPr>
          <w:rFonts w:ascii="Verdana" w:hAnsi="Verdana"/>
          <w:sz w:val="18"/>
          <w:szCs w:val="18"/>
        </w:rPr>
        <w:t xml:space="preserve">inisterie van Financiën aangewezen als bevoegde autoriteit voor de financiële sector. Voor de </w:t>
      </w:r>
      <w:proofErr w:type="spellStart"/>
      <w:r w:rsidRPr="00B82196">
        <w:rPr>
          <w:rFonts w:ascii="Verdana" w:hAnsi="Verdana"/>
          <w:sz w:val="18"/>
          <w:szCs w:val="18"/>
        </w:rPr>
        <w:t>Cbw</w:t>
      </w:r>
      <w:proofErr w:type="spellEnd"/>
      <w:r w:rsidRPr="00B82196">
        <w:rPr>
          <w:rFonts w:ascii="Verdana" w:hAnsi="Verdana"/>
          <w:sz w:val="18"/>
          <w:szCs w:val="18"/>
        </w:rPr>
        <w:t xml:space="preserve"> geldt dat er voor de financiële sector sectorspecifieke wetgeving is op het gebied van digitale operationele weerbaarheid (</w:t>
      </w:r>
      <w:r w:rsidR="009754FB">
        <w:rPr>
          <w:rFonts w:ascii="Verdana" w:hAnsi="Verdana"/>
          <w:sz w:val="18"/>
          <w:szCs w:val="18"/>
        </w:rPr>
        <w:t>DORA</w:t>
      </w:r>
      <w:r w:rsidRPr="00B82196">
        <w:rPr>
          <w:rFonts w:ascii="Verdana" w:hAnsi="Verdana"/>
          <w:sz w:val="18"/>
          <w:szCs w:val="18"/>
        </w:rPr>
        <w:t>)</w:t>
      </w:r>
      <w:r>
        <w:rPr>
          <w:rFonts w:ascii="Verdana" w:hAnsi="Verdana"/>
          <w:sz w:val="18"/>
          <w:szCs w:val="18"/>
        </w:rPr>
        <w:t>. Die v</w:t>
      </w:r>
      <w:r w:rsidRPr="00FF46E3">
        <w:rPr>
          <w:rFonts w:ascii="Verdana" w:hAnsi="Verdana"/>
          <w:sz w:val="18"/>
          <w:szCs w:val="18"/>
        </w:rPr>
        <w:t xml:space="preserve">erordening </w:t>
      </w:r>
      <w:r>
        <w:rPr>
          <w:rFonts w:ascii="Verdana" w:hAnsi="Verdana"/>
          <w:sz w:val="18"/>
          <w:szCs w:val="18"/>
        </w:rPr>
        <w:t>is</w:t>
      </w:r>
      <w:r w:rsidRPr="00FF46E3">
        <w:rPr>
          <w:rFonts w:ascii="Verdana" w:hAnsi="Verdana"/>
          <w:sz w:val="18"/>
          <w:szCs w:val="18"/>
        </w:rPr>
        <w:t xml:space="preserve"> een lex specialis ten opzichte van de NIS2-richtlijn.</w:t>
      </w:r>
      <w:r w:rsidRPr="00B82196">
        <w:rPr>
          <w:rFonts w:ascii="Verdana" w:hAnsi="Verdana"/>
          <w:sz w:val="18"/>
          <w:szCs w:val="18"/>
        </w:rPr>
        <w:t xml:space="preserve"> </w:t>
      </w:r>
    </w:p>
    <w:p w:rsidR="00A53E92" w:rsidP="00A53E92" w:rsidRDefault="00A53E92" w14:paraId="1C88EECF" w14:textId="21746344">
      <w:pPr>
        <w:pStyle w:val="Geenafstand"/>
        <w:rPr>
          <w:rFonts w:ascii="Verdana" w:hAnsi="Verdana"/>
          <w:sz w:val="18"/>
          <w:szCs w:val="18"/>
        </w:rPr>
      </w:pPr>
      <w:r w:rsidRPr="004E2F60">
        <w:rPr>
          <w:rFonts w:ascii="Verdana" w:hAnsi="Verdana"/>
          <w:sz w:val="18"/>
          <w:szCs w:val="18"/>
        </w:rPr>
        <w:t xml:space="preserve">Het </w:t>
      </w:r>
      <w:r>
        <w:rPr>
          <w:rFonts w:ascii="Verdana" w:hAnsi="Verdana"/>
          <w:sz w:val="18"/>
          <w:szCs w:val="18"/>
        </w:rPr>
        <w:t>M</w:t>
      </w:r>
      <w:r w:rsidRPr="00B82196">
        <w:rPr>
          <w:rFonts w:ascii="Verdana" w:hAnsi="Verdana"/>
          <w:sz w:val="18"/>
          <w:szCs w:val="18"/>
        </w:rPr>
        <w:t xml:space="preserve">inisterie van Financiën moet ook als entiteit aan de </w:t>
      </w:r>
      <w:proofErr w:type="spellStart"/>
      <w:r w:rsidRPr="00B82196">
        <w:rPr>
          <w:rFonts w:ascii="Verdana" w:hAnsi="Verdana"/>
          <w:sz w:val="18"/>
          <w:szCs w:val="18"/>
        </w:rPr>
        <w:t>Cbw</w:t>
      </w:r>
      <w:proofErr w:type="spellEnd"/>
      <w:r w:rsidRPr="00B82196">
        <w:rPr>
          <w:rFonts w:ascii="Verdana" w:hAnsi="Verdana"/>
          <w:sz w:val="18"/>
          <w:szCs w:val="18"/>
        </w:rPr>
        <w:t xml:space="preserve"> voldoen. Aangezien een groot deel van de onderdelen uit de richtlijnen </w:t>
      </w:r>
      <w:r w:rsidRPr="00B4390C">
        <w:rPr>
          <w:rFonts w:ascii="Verdana" w:hAnsi="Verdana"/>
          <w:sz w:val="18"/>
          <w:szCs w:val="18"/>
        </w:rPr>
        <w:t>ten tijde van de toets nog uitgewerkt wordt</w:t>
      </w:r>
      <w:r w:rsidRPr="001B027A">
        <w:rPr>
          <w:rFonts w:ascii="Verdana" w:hAnsi="Verdana"/>
          <w:sz w:val="18"/>
          <w:szCs w:val="18"/>
        </w:rPr>
        <w:t xml:space="preserve"> in lagere</w:t>
      </w:r>
      <w:r w:rsidRPr="00B82196">
        <w:rPr>
          <w:rFonts w:ascii="Verdana" w:hAnsi="Verdana"/>
          <w:sz w:val="18"/>
          <w:szCs w:val="18"/>
        </w:rPr>
        <w:t xml:space="preserve"> regelgeving (</w:t>
      </w:r>
      <w:proofErr w:type="spellStart"/>
      <w:r>
        <w:rPr>
          <w:rFonts w:ascii="Verdana" w:hAnsi="Verdana"/>
          <w:sz w:val="18"/>
          <w:szCs w:val="18"/>
        </w:rPr>
        <w:t>a</w:t>
      </w:r>
      <w:r w:rsidRPr="004E2F60">
        <w:rPr>
          <w:rFonts w:ascii="Verdana" w:hAnsi="Verdana"/>
          <w:sz w:val="18"/>
          <w:szCs w:val="18"/>
        </w:rPr>
        <w:t>mvb</w:t>
      </w:r>
      <w:proofErr w:type="spellEnd"/>
      <w:r w:rsidRPr="004E2F60">
        <w:rPr>
          <w:rFonts w:ascii="Verdana" w:hAnsi="Verdana"/>
          <w:sz w:val="18"/>
          <w:szCs w:val="18"/>
        </w:rPr>
        <w:t xml:space="preserve">) is de impact hiervan op de bedrijfsvoering van het ministerie nu nog niet te toetsen. Concluderend acht het </w:t>
      </w:r>
      <w:r>
        <w:rPr>
          <w:rFonts w:ascii="Verdana" w:hAnsi="Verdana"/>
          <w:sz w:val="18"/>
          <w:szCs w:val="18"/>
        </w:rPr>
        <w:t>M</w:t>
      </w:r>
      <w:r w:rsidRPr="004E2F60">
        <w:rPr>
          <w:rFonts w:ascii="Verdana" w:hAnsi="Verdana"/>
          <w:sz w:val="18"/>
          <w:szCs w:val="18"/>
        </w:rPr>
        <w:t xml:space="preserve">inisterie van Financiën de </w:t>
      </w:r>
      <w:proofErr w:type="spellStart"/>
      <w:r w:rsidRPr="004E2F60">
        <w:rPr>
          <w:rFonts w:ascii="Verdana" w:hAnsi="Verdana"/>
          <w:sz w:val="18"/>
          <w:szCs w:val="18"/>
        </w:rPr>
        <w:t>Cbw</w:t>
      </w:r>
      <w:proofErr w:type="spellEnd"/>
      <w:r w:rsidRPr="004E2F60">
        <w:rPr>
          <w:rFonts w:ascii="Verdana" w:hAnsi="Verdana"/>
          <w:sz w:val="18"/>
          <w:szCs w:val="18"/>
        </w:rPr>
        <w:t xml:space="preserve">, waar het de taak als bevoegde autoriteit ten aanzien van financiële instellingen betreft, uitvoerbaar en handhaafbaar. Wel blijft het essentieel om blijvend de samenhang tussen </w:t>
      </w:r>
      <w:r>
        <w:rPr>
          <w:rFonts w:ascii="Verdana" w:hAnsi="Verdana"/>
          <w:sz w:val="18"/>
          <w:szCs w:val="18"/>
        </w:rPr>
        <w:t xml:space="preserve">de </w:t>
      </w:r>
      <w:r w:rsidR="009754FB">
        <w:rPr>
          <w:rFonts w:ascii="Verdana" w:hAnsi="Verdana"/>
          <w:sz w:val="18"/>
          <w:szCs w:val="18"/>
        </w:rPr>
        <w:t>DORA</w:t>
      </w:r>
      <w:r w:rsidRPr="004E2F60">
        <w:rPr>
          <w:rFonts w:ascii="Verdana" w:hAnsi="Verdana"/>
          <w:sz w:val="18"/>
          <w:szCs w:val="18"/>
        </w:rPr>
        <w:t xml:space="preserve">, de </w:t>
      </w:r>
      <w:proofErr w:type="spellStart"/>
      <w:r w:rsidRPr="004E2F60">
        <w:rPr>
          <w:rFonts w:ascii="Verdana" w:hAnsi="Verdana"/>
          <w:sz w:val="18"/>
          <w:szCs w:val="18"/>
        </w:rPr>
        <w:t>Wwke</w:t>
      </w:r>
      <w:proofErr w:type="spellEnd"/>
      <w:r w:rsidRPr="004E2F60">
        <w:rPr>
          <w:rFonts w:ascii="Verdana" w:hAnsi="Verdana"/>
          <w:sz w:val="18"/>
          <w:szCs w:val="18"/>
        </w:rPr>
        <w:t xml:space="preserve"> en de </w:t>
      </w:r>
      <w:proofErr w:type="spellStart"/>
      <w:r w:rsidRPr="004E2F60">
        <w:rPr>
          <w:rFonts w:ascii="Verdana" w:hAnsi="Verdana"/>
          <w:sz w:val="18"/>
          <w:szCs w:val="18"/>
        </w:rPr>
        <w:t>Cbw</w:t>
      </w:r>
      <w:proofErr w:type="spellEnd"/>
      <w:r w:rsidRPr="004E2F60">
        <w:rPr>
          <w:rFonts w:ascii="Verdana" w:hAnsi="Verdana"/>
          <w:sz w:val="18"/>
          <w:szCs w:val="18"/>
        </w:rPr>
        <w:t xml:space="preserve"> te bekijken. Dit in samenwerking met de sector, toezichthouders en de </w:t>
      </w:r>
      <w:r w:rsidRPr="006C135F" w:rsidR="006C135F">
        <w:rPr>
          <w:rFonts w:ascii="Verdana" w:hAnsi="Verdana"/>
          <w:sz w:val="18"/>
          <w:szCs w:val="18"/>
        </w:rPr>
        <w:t>Nationaal Coördinator Terrorismebestrijding en Veiligheid</w:t>
      </w:r>
      <w:r w:rsidR="006C135F">
        <w:rPr>
          <w:rFonts w:ascii="Verdana" w:hAnsi="Verdana"/>
          <w:sz w:val="18"/>
          <w:szCs w:val="18"/>
        </w:rPr>
        <w:t xml:space="preserve"> (</w:t>
      </w:r>
      <w:r w:rsidRPr="004E2F60">
        <w:rPr>
          <w:rFonts w:ascii="Verdana" w:hAnsi="Verdana"/>
          <w:sz w:val="18"/>
          <w:szCs w:val="18"/>
        </w:rPr>
        <w:t>NCTV</w:t>
      </w:r>
      <w:r w:rsidR="006C135F">
        <w:rPr>
          <w:rFonts w:ascii="Verdana" w:hAnsi="Verdana"/>
          <w:sz w:val="18"/>
          <w:szCs w:val="18"/>
        </w:rPr>
        <w:t>)</w:t>
      </w:r>
      <w:r w:rsidRPr="004E2F60">
        <w:rPr>
          <w:rFonts w:ascii="Verdana" w:hAnsi="Verdana"/>
          <w:sz w:val="18"/>
          <w:szCs w:val="18"/>
        </w:rPr>
        <w:t>.</w:t>
      </w:r>
      <w:r>
        <w:rPr>
          <w:rFonts w:ascii="Verdana" w:hAnsi="Verdana"/>
          <w:sz w:val="18"/>
          <w:szCs w:val="18"/>
        </w:rPr>
        <w:t xml:space="preserve"> </w:t>
      </w:r>
    </w:p>
    <w:p w:rsidRPr="00B82196" w:rsidR="00A53E92" w:rsidP="00A53E92" w:rsidRDefault="00A53E92" w14:paraId="4C3E392A" w14:textId="77777777">
      <w:pPr>
        <w:pStyle w:val="Geenafstand"/>
        <w:rPr>
          <w:rFonts w:ascii="Verdana" w:hAnsi="Verdana"/>
          <w:sz w:val="18"/>
          <w:szCs w:val="18"/>
        </w:rPr>
      </w:pPr>
    </w:p>
    <w:p w:rsidRPr="00B82196" w:rsidR="00A53E92" w:rsidP="00A53E92" w:rsidRDefault="00A53E92" w14:paraId="7AB8407A" w14:textId="77777777">
      <w:pPr>
        <w:pStyle w:val="Geenafstand"/>
        <w:rPr>
          <w:rFonts w:ascii="Verdana" w:hAnsi="Verdana"/>
          <w:i/>
          <w:iCs/>
          <w:sz w:val="18"/>
          <w:szCs w:val="18"/>
        </w:rPr>
      </w:pPr>
      <w:r w:rsidRPr="00B82196">
        <w:rPr>
          <w:rFonts w:ascii="Verdana" w:hAnsi="Verdana"/>
          <w:i/>
          <w:iCs/>
          <w:sz w:val="18"/>
          <w:szCs w:val="18"/>
        </w:rPr>
        <w:t>Ministerie van Infrastructuur en Waterstaat</w:t>
      </w:r>
    </w:p>
    <w:p w:rsidRPr="00B82196" w:rsidR="00A53E92" w:rsidP="00A53E92" w:rsidRDefault="00A53E92" w14:paraId="098E7B1D" w14:textId="7519F095">
      <w:pPr>
        <w:pStyle w:val="Geenafstand"/>
        <w:rPr>
          <w:rFonts w:ascii="Verdana" w:hAnsi="Verdana"/>
          <w:sz w:val="18"/>
          <w:szCs w:val="18"/>
        </w:rPr>
      </w:pPr>
      <w:r w:rsidRPr="00B82196">
        <w:rPr>
          <w:rFonts w:ascii="Verdana" w:hAnsi="Verdana"/>
          <w:sz w:val="18"/>
          <w:szCs w:val="18"/>
        </w:rPr>
        <w:t xml:space="preserve">De uitkomst van de </w:t>
      </w:r>
      <w:r w:rsidRPr="00AC212B" w:rsidR="00AC212B">
        <w:rPr>
          <w:rFonts w:ascii="Verdana" w:hAnsi="Verdana"/>
          <w:sz w:val="18"/>
          <w:szCs w:val="18"/>
        </w:rPr>
        <w:t xml:space="preserve">handhaafbaarheid-, uitvoerbaarheid- en </w:t>
      </w:r>
      <w:proofErr w:type="spellStart"/>
      <w:r w:rsidRPr="00AC212B" w:rsidR="00AC212B">
        <w:rPr>
          <w:rFonts w:ascii="Verdana" w:hAnsi="Verdana"/>
          <w:sz w:val="18"/>
          <w:szCs w:val="18"/>
        </w:rPr>
        <w:t>fraudegevoeligheid</w:t>
      </w:r>
      <w:r w:rsidRPr="00B82196">
        <w:rPr>
          <w:rFonts w:ascii="Verdana" w:hAnsi="Verdana"/>
          <w:sz w:val="18"/>
          <w:szCs w:val="18"/>
        </w:rPr>
        <w:t>toets</w:t>
      </w:r>
      <w:proofErr w:type="spellEnd"/>
      <w:r w:rsidRPr="00B82196">
        <w:rPr>
          <w:rFonts w:ascii="Verdana" w:hAnsi="Verdana"/>
          <w:sz w:val="18"/>
          <w:szCs w:val="18"/>
        </w:rPr>
        <w:t xml:space="preserve"> van </w:t>
      </w:r>
      <w:r w:rsidR="00AC212B">
        <w:rPr>
          <w:rFonts w:ascii="Verdana" w:hAnsi="Verdana"/>
          <w:sz w:val="18"/>
          <w:szCs w:val="18"/>
        </w:rPr>
        <w:t xml:space="preserve">de </w:t>
      </w:r>
      <w:r w:rsidRPr="00AC212B" w:rsidR="00AC212B">
        <w:rPr>
          <w:rFonts w:ascii="Verdana" w:hAnsi="Verdana"/>
          <w:sz w:val="18"/>
          <w:szCs w:val="18"/>
        </w:rPr>
        <w:t>Inspectie Leefomgeving en Transport</w:t>
      </w:r>
      <w:r w:rsidRPr="00B82196">
        <w:rPr>
          <w:rFonts w:ascii="Verdana" w:hAnsi="Verdana"/>
          <w:sz w:val="18"/>
          <w:szCs w:val="18"/>
        </w:rPr>
        <w:t xml:space="preserve"> gaf geen aanleiding om het wetsvoorstel aan te passen.</w:t>
      </w:r>
    </w:p>
    <w:p w:rsidRPr="00B82196" w:rsidR="00A53E92" w:rsidP="00A53E92" w:rsidRDefault="00A53E92" w14:paraId="3A15C580" w14:textId="77777777">
      <w:pPr>
        <w:pStyle w:val="Geenafstand"/>
        <w:rPr>
          <w:rFonts w:ascii="Verdana" w:hAnsi="Verdana"/>
          <w:sz w:val="18"/>
          <w:szCs w:val="18"/>
        </w:rPr>
      </w:pPr>
    </w:p>
    <w:p w:rsidRPr="001F5FF2" w:rsidR="00885EE2" w:rsidP="00885EE2" w:rsidRDefault="00885EE2" w14:paraId="58C59B8E" w14:textId="77777777">
      <w:pPr>
        <w:pStyle w:val="Geenafstand"/>
        <w:rPr>
          <w:rFonts w:ascii="Verdana" w:hAnsi="Verdana"/>
          <w:i/>
          <w:iCs/>
          <w:sz w:val="18"/>
          <w:szCs w:val="18"/>
        </w:rPr>
      </w:pPr>
      <w:r w:rsidRPr="001F5FF2">
        <w:rPr>
          <w:rFonts w:ascii="Verdana" w:hAnsi="Verdana"/>
          <w:i/>
          <w:iCs/>
          <w:sz w:val="18"/>
          <w:szCs w:val="18"/>
        </w:rPr>
        <w:t>Ministerie van Landbouw, Visserij, Voedselzekerheid en Natuur</w:t>
      </w:r>
    </w:p>
    <w:p w:rsidRPr="00B4390C" w:rsidR="00913C78" w:rsidP="001F5FF2" w:rsidRDefault="00885EE2" w14:paraId="11172912" w14:textId="5C64D4A1">
      <w:pPr>
        <w:pStyle w:val="Geenafstand"/>
        <w:rPr>
          <w:rFonts w:ascii="Verdana" w:hAnsi="Verdana"/>
          <w:sz w:val="18"/>
          <w:szCs w:val="18"/>
        </w:rPr>
      </w:pPr>
      <w:r w:rsidRPr="001F5FF2">
        <w:rPr>
          <w:rFonts w:ascii="Verdana" w:hAnsi="Verdana"/>
          <w:sz w:val="18"/>
          <w:szCs w:val="18"/>
        </w:rPr>
        <w:t xml:space="preserve">De uitkomst van de </w:t>
      </w:r>
      <w:r w:rsidRPr="001967C5" w:rsidR="001967C5">
        <w:rPr>
          <w:rFonts w:ascii="Verdana" w:hAnsi="Verdana"/>
          <w:sz w:val="18"/>
          <w:szCs w:val="18"/>
        </w:rPr>
        <w:t>handhaafbaarheid-, uitvoerbaarheid- en fraudegevoeligheid-</w:t>
      </w:r>
      <w:r w:rsidRPr="001F5FF2">
        <w:rPr>
          <w:rFonts w:ascii="Verdana" w:hAnsi="Verdana"/>
          <w:sz w:val="18"/>
          <w:szCs w:val="18"/>
        </w:rPr>
        <w:t xml:space="preserve">toets van de </w:t>
      </w:r>
      <w:r w:rsidRPr="001967C5" w:rsidR="001967C5">
        <w:rPr>
          <w:rFonts w:ascii="Verdana" w:hAnsi="Verdana"/>
          <w:sz w:val="18"/>
          <w:szCs w:val="18"/>
        </w:rPr>
        <w:t xml:space="preserve">Nederlandse Voedsel- en Warenautoriteit </w:t>
      </w:r>
      <w:r w:rsidR="001967C5">
        <w:rPr>
          <w:rFonts w:ascii="Verdana" w:hAnsi="Verdana"/>
          <w:sz w:val="18"/>
          <w:szCs w:val="18"/>
        </w:rPr>
        <w:t xml:space="preserve">(hierna: </w:t>
      </w:r>
      <w:r w:rsidRPr="001F5FF2">
        <w:rPr>
          <w:rFonts w:ascii="Verdana" w:hAnsi="Verdana"/>
          <w:sz w:val="18"/>
          <w:szCs w:val="18"/>
        </w:rPr>
        <w:t>NVWA</w:t>
      </w:r>
      <w:r w:rsidR="001967C5">
        <w:rPr>
          <w:rFonts w:ascii="Verdana" w:hAnsi="Verdana"/>
          <w:sz w:val="18"/>
          <w:szCs w:val="18"/>
        </w:rPr>
        <w:t>)</w:t>
      </w:r>
      <w:r w:rsidRPr="001F5FF2">
        <w:rPr>
          <w:rFonts w:ascii="Verdana" w:hAnsi="Verdana"/>
          <w:sz w:val="18"/>
          <w:szCs w:val="18"/>
        </w:rPr>
        <w:t xml:space="preserve"> gaf geen aanleiding om </w:t>
      </w:r>
      <w:r w:rsidR="004E2F60">
        <w:rPr>
          <w:rFonts w:ascii="Verdana" w:hAnsi="Verdana"/>
          <w:sz w:val="18"/>
          <w:szCs w:val="18"/>
        </w:rPr>
        <w:t>het wetsvoorstel</w:t>
      </w:r>
      <w:r w:rsidRPr="00B82196">
        <w:rPr>
          <w:rFonts w:ascii="Verdana" w:hAnsi="Verdana"/>
          <w:sz w:val="18"/>
          <w:szCs w:val="18"/>
        </w:rPr>
        <w:t xml:space="preserve"> aan te passen. De NVWA ziet geen reden waarom de </w:t>
      </w:r>
      <w:proofErr w:type="spellStart"/>
      <w:r w:rsidR="004E2F60">
        <w:rPr>
          <w:rFonts w:ascii="Verdana" w:hAnsi="Verdana"/>
          <w:sz w:val="18"/>
          <w:szCs w:val="18"/>
        </w:rPr>
        <w:t>Cbw</w:t>
      </w:r>
      <w:proofErr w:type="spellEnd"/>
      <w:r w:rsidRPr="001F5FF2">
        <w:rPr>
          <w:rFonts w:ascii="Verdana" w:hAnsi="Verdana"/>
          <w:sz w:val="18"/>
          <w:szCs w:val="18"/>
        </w:rPr>
        <w:t xml:space="preserve"> voor de NVWA niet handhaafbaar, uitvoerbaar en fraudebestendig zou zijn, mits zij voldoende tijd krijgt om de </w:t>
      </w:r>
      <w:proofErr w:type="spellStart"/>
      <w:r w:rsidR="004E2F60">
        <w:rPr>
          <w:rFonts w:ascii="Verdana" w:hAnsi="Verdana"/>
          <w:sz w:val="18"/>
          <w:szCs w:val="18"/>
        </w:rPr>
        <w:t>Cbw</w:t>
      </w:r>
      <w:proofErr w:type="spellEnd"/>
      <w:r w:rsidRPr="00B82196">
        <w:rPr>
          <w:rFonts w:ascii="Verdana" w:hAnsi="Verdana"/>
          <w:sz w:val="18"/>
          <w:szCs w:val="18"/>
        </w:rPr>
        <w:t xml:space="preserve"> te kunnen implementeren, de benodigde technische expertise kan </w:t>
      </w:r>
      <w:r w:rsidRPr="00913C78">
        <w:rPr>
          <w:rFonts w:ascii="Verdana" w:hAnsi="Verdana"/>
          <w:sz w:val="18"/>
          <w:szCs w:val="18"/>
        </w:rPr>
        <w:t xml:space="preserve">inhuren en voor deze inhuur en andere benodigdheden voldoende middelen krijgt. Daarnaast gaf de NVWA aan dat de reikwijdte en de </w:t>
      </w:r>
      <w:r w:rsidRPr="00B4390C">
        <w:rPr>
          <w:rFonts w:ascii="Verdana" w:hAnsi="Verdana"/>
          <w:sz w:val="18"/>
          <w:szCs w:val="18"/>
        </w:rPr>
        <w:t xml:space="preserve">te handhaven normen ten tijde van de toets nog </w:t>
      </w:r>
      <w:r w:rsidRPr="00B4390C" w:rsidR="004E2F60">
        <w:rPr>
          <w:rFonts w:ascii="Verdana" w:hAnsi="Verdana"/>
          <w:sz w:val="18"/>
          <w:szCs w:val="18"/>
        </w:rPr>
        <w:t xml:space="preserve">bij </w:t>
      </w:r>
      <w:proofErr w:type="spellStart"/>
      <w:r w:rsidRPr="00B4390C">
        <w:rPr>
          <w:rFonts w:ascii="Verdana" w:hAnsi="Verdana"/>
          <w:sz w:val="18"/>
          <w:szCs w:val="18"/>
        </w:rPr>
        <w:t>amvb</w:t>
      </w:r>
      <w:proofErr w:type="spellEnd"/>
      <w:r w:rsidRPr="00B4390C">
        <w:rPr>
          <w:rFonts w:ascii="Verdana" w:hAnsi="Verdana"/>
          <w:sz w:val="18"/>
          <w:szCs w:val="18"/>
        </w:rPr>
        <w:t xml:space="preserve"> moeten worden vastgesteld.</w:t>
      </w:r>
      <w:r w:rsidRPr="00B4390C" w:rsidR="008946C8">
        <w:rPr>
          <w:rFonts w:ascii="Verdana" w:hAnsi="Verdana"/>
          <w:sz w:val="18"/>
          <w:szCs w:val="18"/>
        </w:rPr>
        <w:t xml:space="preserve"> </w:t>
      </w:r>
    </w:p>
    <w:p w:rsidR="00913C78" w:rsidP="001F5FF2" w:rsidRDefault="00885EE2" w14:paraId="2CE5401B" w14:textId="638E73F6">
      <w:pPr>
        <w:pStyle w:val="Geenafstand"/>
        <w:rPr>
          <w:rFonts w:ascii="Verdana" w:hAnsi="Verdana"/>
          <w:sz w:val="18"/>
          <w:szCs w:val="18"/>
        </w:rPr>
      </w:pPr>
      <w:r w:rsidRPr="00913C78">
        <w:rPr>
          <w:rFonts w:ascii="Verdana" w:hAnsi="Verdana"/>
          <w:sz w:val="18"/>
          <w:szCs w:val="18"/>
        </w:rPr>
        <w:t>Bovendien wijst de NVWA op het belang van het maken van werkafspraken tussen toezichthouders.</w:t>
      </w:r>
      <w:r w:rsidRPr="00B4390C" w:rsidR="00913C78">
        <w:rPr>
          <w:rFonts w:ascii="Verdana" w:hAnsi="Verdana"/>
          <w:sz w:val="18"/>
          <w:szCs w:val="18"/>
        </w:rPr>
        <w:t xml:space="preserve"> </w:t>
      </w:r>
    </w:p>
    <w:p w:rsidRPr="004E2F60" w:rsidR="00885EE2" w:rsidP="001F5FF2" w:rsidRDefault="00913C78" w14:paraId="2FED6E07" w14:textId="46F12A01">
      <w:pPr>
        <w:pStyle w:val="Geenafstand"/>
        <w:rPr>
          <w:rFonts w:ascii="Verdana" w:hAnsi="Verdana"/>
          <w:sz w:val="18"/>
          <w:szCs w:val="18"/>
        </w:rPr>
      </w:pPr>
      <w:r w:rsidRPr="00B4390C">
        <w:rPr>
          <w:rFonts w:ascii="Verdana" w:hAnsi="Verdana"/>
          <w:sz w:val="18"/>
          <w:szCs w:val="18"/>
        </w:rPr>
        <w:t xml:space="preserve">De reactie </w:t>
      </w:r>
      <w:r w:rsidRPr="00913C78">
        <w:rPr>
          <w:rFonts w:ascii="Verdana" w:hAnsi="Verdana"/>
          <w:sz w:val="18"/>
          <w:szCs w:val="18"/>
        </w:rPr>
        <w:t>ten aanzien van het punt over</w:t>
      </w:r>
      <w:r>
        <w:rPr>
          <w:rFonts w:ascii="Verdana" w:hAnsi="Verdana"/>
          <w:sz w:val="18"/>
          <w:szCs w:val="18"/>
        </w:rPr>
        <w:t xml:space="preserve"> de te handhaven normen is als volgt. Naar aanleiding van de consultatie is besloten om de zorgplichtmaatregelen in de wet op te nemen. </w:t>
      </w:r>
    </w:p>
    <w:p w:rsidRPr="004E2F60" w:rsidR="00885EE2" w:rsidP="001F5FF2" w:rsidRDefault="00885EE2" w14:paraId="42A2DB68" w14:textId="77777777">
      <w:pPr>
        <w:pStyle w:val="Geenafstand"/>
        <w:rPr>
          <w:rFonts w:ascii="Verdana" w:hAnsi="Verdana"/>
          <w:sz w:val="18"/>
          <w:szCs w:val="18"/>
        </w:rPr>
      </w:pPr>
    </w:p>
    <w:p w:rsidRPr="00B82196" w:rsidR="00885EE2" w:rsidP="00B82196" w:rsidRDefault="00885EE2" w14:paraId="7381F934" w14:textId="77777777">
      <w:pPr>
        <w:pStyle w:val="Geenafstand"/>
        <w:rPr>
          <w:rFonts w:ascii="Verdana" w:hAnsi="Verdana"/>
          <w:i/>
          <w:iCs/>
          <w:sz w:val="18"/>
          <w:szCs w:val="18"/>
        </w:rPr>
      </w:pPr>
      <w:bookmarkStart w:name="_Hlk177658495" w:id="237"/>
      <w:r w:rsidRPr="00B82196">
        <w:rPr>
          <w:rFonts w:ascii="Verdana" w:hAnsi="Verdana"/>
          <w:i/>
          <w:iCs/>
          <w:sz w:val="18"/>
          <w:szCs w:val="18"/>
        </w:rPr>
        <w:t>Ministerie van Volksgezondheid, Welzijn en Sport</w:t>
      </w:r>
    </w:p>
    <w:p w:rsidRPr="00913C78" w:rsidR="00913C78" w:rsidP="00B82196" w:rsidRDefault="00885EE2" w14:paraId="4D1AC781" w14:textId="452FA39E">
      <w:pPr>
        <w:pStyle w:val="Geenafstand"/>
        <w:rPr>
          <w:rFonts w:ascii="Verdana" w:hAnsi="Verdana"/>
          <w:sz w:val="18"/>
          <w:szCs w:val="18"/>
        </w:rPr>
      </w:pPr>
      <w:r w:rsidRPr="00B82196">
        <w:rPr>
          <w:rFonts w:ascii="Verdana" w:hAnsi="Verdana"/>
          <w:sz w:val="18"/>
          <w:szCs w:val="18"/>
        </w:rPr>
        <w:t xml:space="preserve">De </w:t>
      </w:r>
      <w:r w:rsidRPr="00913C78">
        <w:rPr>
          <w:rFonts w:ascii="Verdana" w:hAnsi="Verdana"/>
          <w:sz w:val="18"/>
          <w:szCs w:val="18"/>
        </w:rPr>
        <w:t xml:space="preserve">IGJ komt op basis van de toets tot de conclusie dat het wetsvoorstel vanuit het perspectief van toezicht en handhaafbaarheid en de uitvoering in de praktijk </w:t>
      </w:r>
      <w:r w:rsidRPr="00B4390C">
        <w:rPr>
          <w:rFonts w:ascii="Verdana" w:hAnsi="Verdana"/>
          <w:sz w:val="18"/>
          <w:szCs w:val="18"/>
        </w:rPr>
        <w:t>aanpassing behoeft van artikel 70a</w:t>
      </w:r>
      <w:r w:rsidRPr="00B4390C" w:rsidR="00CD33A4">
        <w:rPr>
          <w:rFonts w:ascii="Verdana" w:hAnsi="Verdana"/>
          <w:sz w:val="18"/>
          <w:szCs w:val="18"/>
        </w:rPr>
        <w:t xml:space="preserve"> </w:t>
      </w:r>
      <w:proofErr w:type="spellStart"/>
      <w:r w:rsidRPr="00B4390C" w:rsidR="00CD33A4">
        <w:rPr>
          <w:rFonts w:ascii="Verdana" w:hAnsi="Verdana"/>
          <w:sz w:val="18"/>
          <w:szCs w:val="18"/>
        </w:rPr>
        <w:t>Cbw</w:t>
      </w:r>
      <w:proofErr w:type="spellEnd"/>
      <w:r w:rsidRPr="00B4390C">
        <w:rPr>
          <w:rFonts w:ascii="Verdana" w:hAnsi="Verdana"/>
          <w:sz w:val="18"/>
          <w:szCs w:val="18"/>
        </w:rPr>
        <w:t xml:space="preserve">. Artikel 70a </w:t>
      </w:r>
      <w:proofErr w:type="spellStart"/>
      <w:r w:rsidRPr="00B4390C" w:rsidR="00CD33A4">
        <w:rPr>
          <w:rFonts w:ascii="Verdana" w:hAnsi="Verdana"/>
          <w:sz w:val="18"/>
          <w:szCs w:val="18"/>
        </w:rPr>
        <w:t>Cbw</w:t>
      </w:r>
      <w:proofErr w:type="spellEnd"/>
      <w:r w:rsidRPr="00B4390C" w:rsidR="00CD33A4">
        <w:rPr>
          <w:rFonts w:ascii="Verdana" w:hAnsi="Verdana"/>
          <w:sz w:val="18"/>
          <w:szCs w:val="18"/>
        </w:rPr>
        <w:t xml:space="preserve"> </w:t>
      </w:r>
      <w:r w:rsidRPr="00B4390C">
        <w:rPr>
          <w:rFonts w:ascii="Verdana" w:hAnsi="Verdana"/>
          <w:sz w:val="18"/>
          <w:szCs w:val="18"/>
        </w:rPr>
        <w:t>betreft een verkeerde implementatie van artikel 32</w:t>
      </w:r>
      <w:r w:rsidRPr="00B4390C" w:rsidR="00CD33A4">
        <w:rPr>
          <w:rFonts w:ascii="Verdana" w:hAnsi="Verdana"/>
          <w:sz w:val="18"/>
          <w:szCs w:val="18"/>
        </w:rPr>
        <w:t>,</w:t>
      </w:r>
      <w:r w:rsidRPr="00B4390C">
        <w:rPr>
          <w:rFonts w:ascii="Verdana" w:hAnsi="Verdana"/>
          <w:sz w:val="18"/>
          <w:szCs w:val="18"/>
        </w:rPr>
        <w:t xml:space="preserve"> lid 2</w:t>
      </w:r>
      <w:r w:rsidRPr="00B4390C" w:rsidR="00CD33A4">
        <w:rPr>
          <w:rFonts w:ascii="Verdana" w:hAnsi="Verdana"/>
          <w:sz w:val="18"/>
          <w:szCs w:val="18"/>
        </w:rPr>
        <w:t>,</w:t>
      </w:r>
      <w:r w:rsidRPr="00B4390C">
        <w:rPr>
          <w:rFonts w:ascii="Verdana" w:hAnsi="Verdana"/>
          <w:sz w:val="18"/>
          <w:szCs w:val="18"/>
        </w:rPr>
        <w:t xml:space="preserve"> onder</w:t>
      </w:r>
      <w:r w:rsidRPr="00B4390C" w:rsidR="00CD33A4">
        <w:rPr>
          <w:rFonts w:ascii="Verdana" w:hAnsi="Verdana"/>
          <w:sz w:val="18"/>
          <w:szCs w:val="18"/>
        </w:rPr>
        <w:t>deel</w:t>
      </w:r>
      <w:r w:rsidRPr="00B4390C">
        <w:rPr>
          <w:rFonts w:ascii="Verdana" w:hAnsi="Verdana"/>
          <w:sz w:val="18"/>
          <w:szCs w:val="18"/>
        </w:rPr>
        <w:t xml:space="preserve"> c</w:t>
      </w:r>
      <w:r w:rsidRPr="00B4390C" w:rsidR="00CD33A4">
        <w:rPr>
          <w:rFonts w:ascii="Verdana" w:hAnsi="Verdana"/>
          <w:sz w:val="18"/>
          <w:szCs w:val="18"/>
        </w:rPr>
        <w:t>,</w:t>
      </w:r>
      <w:r w:rsidRPr="00B4390C">
        <w:rPr>
          <w:rFonts w:ascii="Verdana" w:hAnsi="Verdana"/>
          <w:sz w:val="18"/>
          <w:szCs w:val="18"/>
        </w:rPr>
        <w:t xml:space="preserve"> </w:t>
      </w:r>
      <w:r w:rsidRPr="00B4390C" w:rsidR="00CD33A4">
        <w:rPr>
          <w:rFonts w:ascii="Verdana" w:hAnsi="Verdana"/>
          <w:sz w:val="18"/>
          <w:szCs w:val="18"/>
        </w:rPr>
        <w:t>NI2-richtlijn</w:t>
      </w:r>
      <w:r w:rsidRPr="00B4390C">
        <w:rPr>
          <w:rFonts w:ascii="Verdana" w:hAnsi="Verdana"/>
          <w:sz w:val="18"/>
          <w:szCs w:val="18"/>
        </w:rPr>
        <w:t xml:space="preserve"> en bevat, gelet op de tekst van de richtlijn, nationaal een onnodige beperking</w:t>
      </w:r>
      <w:r w:rsidRPr="00913C78">
        <w:rPr>
          <w:rFonts w:ascii="Verdana" w:hAnsi="Verdana"/>
          <w:sz w:val="18"/>
          <w:szCs w:val="18"/>
        </w:rPr>
        <w:t xml:space="preserve">. </w:t>
      </w:r>
      <w:r w:rsidR="00913C78">
        <w:rPr>
          <w:rFonts w:ascii="Verdana" w:hAnsi="Verdana"/>
          <w:sz w:val="18"/>
          <w:szCs w:val="18"/>
        </w:rPr>
        <w:t xml:space="preserve">De reactie hierop is als volgt. Het artikel is komen te vervallen. </w:t>
      </w:r>
    </w:p>
    <w:p w:rsidR="00885EE2" w:rsidP="00B82196" w:rsidRDefault="00885EE2" w14:paraId="5C423B5F" w14:textId="22A3AE72">
      <w:pPr>
        <w:pStyle w:val="Geenafstand"/>
        <w:rPr>
          <w:rFonts w:ascii="Verdana" w:hAnsi="Verdana"/>
          <w:kern w:val="3"/>
          <w:sz w:val="18"/>
          <w:szCs w:val="18"/>
          <w:lang w:eastAsia="zh-CN" w:bidi="hi-IN"/>
        </w:rPr>
      </w:pPr>
      <w:r w:rsidRPr="00913C78">
        <w:rPr>
          <w:rFonts w:ascii="Verdana" w:hAnsi="Verdana"/>
          <w:kern w:val="3"/>
          <w:sz w:val="18"/>
          <w:szCs w:val="18"/>
          <w:lang w:eastAsia="zh-CN" w:bidi="hi-IN"/>
        </w:rPr>
        <w:t>De inspectie verzoekt daarnaast om in de memorie</w:t>
      </w:r>
      <w:r w:rsidRPr="00B82196">
        <w:rPr>
          <w:rFonts w:ascii="Verdana" w:hAnsi="Verdana"/>
          <w:kern w:val="3"/>
          <w:sz w:val="18"/>
          <w:szCs w:val="18"/>
          <w:lang w:eastAsia="zh-CN" w:bidi="hi-IN"/>
        </w:rPr>
        <w:t xml:space="preserve"> van toelichting meer duidelijkheid te verschaffen over een aantal vragen die het voorstel oproept en verzoekt om </w:t>
      </w:r>
      <w:r w:rsidR="00CB13D7">
        <w:rPr>
          <w:rFonts w:ascii="Verdana" w:hAnsi="Verdana"/>
          <w:kern w:val="3"/>
          <w:sz w:val="18"/>
          <w:szCs w:val="18"/>
          <w:lang w:eastAsia="zh-CN" w:bidi="hi-IN"/>
        </w:rPr>
        <w:t xml:space="preserve">de </w:t>
      </w:r>
      <w:r w:rsidRPr="00B82196">
        <w:rPr>
          <w:rFonts w:ascii="Verdana" w:hAnsi="Verdana"/>
          <w:kern w:val="3"/>
          <w:sz w:val="18"/>
          <w:szCs w:val="18"/>
          <w:lang w:eastAsia="zh-CN" w:bidi="hi-IN"/>
        </w:rPr>
        <w:t xml:space="preserve">paragraaf </w:t>
      </w:r>
      <w:r w:rsidR="00CB13D7">
        <w:rPr>
          <w:rFonts w:ascii="Verdana" w:hAnsi="Verdana"/>
          <w:kern w:val="3"/>
          <w:sz w:val="18"/>
          <w:szCs w:val="18"/>
          <w:lang w:eastAsia="zh-CN" w:bidi="hi-IN"/>
        </w:rPr>
        <w:t>over de</w:t>
      </w:r>
      <w:r w:rsidRPr="00B82196">
        <w:rPr>
          <w:rFonts w:ascii="Verdana" w:hAnsi="Verdana"/>
          <w:kern w:val="3"/>
          <w:sz w:val="18"/>
          <w:szCs w:val="18"/>
          <w:lang w:eastAsia="zh-CN" w:bidi="hi-IN"/>
        </w:rPr>
        <w:t xml:space="preserve"> verwerking </w:t>
      </w:r>
      <w:r w:rsidR="00CB13D7">
        <w:rPr>
          <w:rFonts w:ascii="Verdana" w:hAnsi="Verdana"/>
          <w:kern w:val="3"/>
          <w:sz w:val="18"/>
          <w:szCs w:val="18"/>
          <w:lang w:eastAsia="zh-CN" w:bidi="hi-IN"/>
        </w:rPr>
        <w:t xml:space="preserve">van </w:t>
      </w:r>
      <w:r w:rsidRPr="00B82196">
        <w:rPr>
          <w:rFonts w:ascii="Verdana" w:hAnsi="Verdana"/>
          <w:kern w:val="3"/>
          <w:sz w:val="18"/>
          <w:szCs w:val="18"/>
          <w:lang w:eastAsia="zh-CN" w:bidi="hi-IN"/>
        </w:rPr>
        <w:t>bijzondere persoonsgegevens door de bevoegde autoriteit de toelichting aan te passen</w:t>
      </w:r>
      <w:r w:rsidR="00CB13D7">
        <w:rPr>
          <w:rFonts w:ascii="Verdana" w:hAnsi="Verdana"/>
          <w:kern w:val="3"/>
          <w:sz w:val="18"/>
          <w:szCs w:val="18"/>
          <w:lang w:eastAsia="zh-CN" w:bidi="hi-IN"/>
        </w:rPr>
        <w:t>,</w:t>
      </w:r>
      <w:r w:rsidRPr="00B82196">
        <w:rPr>
          <w:rFonts w:ascii="Verdana" w:hAnsi="Verdana"/>
          <w:kern w:val="3"/>
          <w:sz w:val="18"/>
          <w:szCs w:val="18"/>
          <w:lang w:eastAsia="zh-CN" w:bidi="hi-IN"/>
        </w:rPr>
        <w:t xml:space="preserve"> zodat meer ruimte wordt gelaten om de autoriteit een keuze te maken uit passende beveiligingsmaatregelen, toegespitst op de praktijk en passend bij de sector zorg.</w:t>
      </w:r>
      <w:r w:rsidRPr="00B82196">
        <w:rPr>
          <w:rFonts w:ascii="Verdana" w:hAnsi="Verdana"/>
          <w:sz w:val="18"/>
          <w:szCs w:val="18"/>
        </w:rPr>
        <w:t xml:space="preserve"> </w:t>
      </w:r>
      <w:r w:rsidRPr="00B82196">
        <w:rPr>
          <w:rFonts w:ascii="Verdana" w:hAnsi="Verdana"/>
          <w:kern w:val="3"/>
          <w:sz w:val="18"/>
          <w:szCs w:val="18"/>
          <w:lang w:eastAsia="zh-CN" w:bidi="hi-IN"/>
        </w:rPr>
        <w:t>Ook ziet de inspectie aanleiding tot het maken van een aantal inhoudelijke adviezen.</w:t>
      </w:r>
    </w:p>
    <w:p w:rsidR="00B82196" w:rsidP="00B82196" w:rsidRDefault="00B82196" w14:paraId="39CC8BB4" w14:textId="77777777">
      <w:pPr>
        <w:pStyle w:val="Geenafstand"/>
        <w:rPr>
          <w:rFonts w:ascii="Verdana" w:hAnsi="Verdana"/>
          <w:sz w:val="18"/>
          <w:szCs w:val="18"/>
        </w:rPr>
      </w:pPr>
    </w:p>
    <w:p w:rsidR="00885EE2" w:rsidP="00885EE2" w:rsidRDefault="00885EE2" w14:paraId="73EC9289" w14:textId="11A332AB">
      <w:pPr>
        <w:pStyle w:val="Geenafstand"/>
        <w:rPr>
          <w:rFonts w:ascii="Verdana" w:hAnsi="Verdana"/>
          <w:i/>
          <w:iCs/>
          <w:sz w:val="18"/>
          <w:szCs w:val="18"/>
        </w:rPr>
      </w:pPr>
      <w:r>
        <w:rPr>
          <w:rFonts w:ascii="Verdana" w:hAnsi="Verdana"/>
          <w:i/>
          <w:iCs/>
          <w:sz w:val="18"/>
          <w:szCs w:val="18"/>
        </w:rPr>
        <w:t xml:space="preserve">Ministerie van Justitie en Veiligheid </w:t>
      </w:r>
    </w:p>
    <w:p w:rsidRPr="005B07D7" w:rsidR="00885EE2" w:rsidP="00885EE2" w:rsidRDefault="00885EE2" w14:paraId="47A509C9" w14:textId="6DFBB242">
      <w:pPr>
        <w:pStyle w:val="Geenafstand"/>
        <w:rPr>
          <w:rFonts w:ascii="Verdana" w:hAnsi="Verdana"/>
          <w:sz w:val="18"/>
          <w:szCs w:val="18"/>
        </w:rPr>
      </w:pPr>
      <w:r>
        <w:rPr>
          <w:rFonts w:ascii="Verdana" w:hAnsi="Verdana"/>
          <w:sz w:val="18"/>
          <w:szCs w:val="18"/>
        </w:rPr>
        <w:t xml:space="preserve">In verband met de grote gevolgen van de </w:t>
      </w:r>
      <w:proofErr w:type="spellStart"/>
      <w:r>
        <w:rPr>
          <w:rFonts w:ascii="Verdana" w:hAnsi="Verdana"/>
          <w:sz w:val="18"/>
          <w:szCs w:val="18"/>
        </w:rPr>
        <w:t>Cbw</w:t>
      </w:r>
      <w:proofErr w:type="spellEnd"/>
      <w:r>
        <w:rPr>
          <w:rFonts w:ascii="Verdana" w:hAnsi="Verdana"/>
          <w:sz w:val="18"/>
          <w:szCs w:val="18"/>
        </w:rPr>
        <w:t xml:space="preserve"> voor het NCSC, heeft het NCSC reeds in een vroege fase van het implementatietraject een uitvoeringstoets uitgevoerd op basis van de NIS2-richtlijn en de op dat moment bekende implementatiekeuzes. Uit deze uitvoeringstoets bleek dat het NCSC de </w:t>
      </w:r>
      <w:proofErr w:type="spellStart"/>
      <w:r>
        <w:rPr>
          <w:rFonts w:ascii="Verdana" w:hAnsi="Verdana"/>
          <w:sz w:val="18"/>
          <w:szCs w:val="18"/>
        </w:rPr>
        <w:t>Cbw</w:t>
      </w:r>
      <w:proofErr w:type="spellEnd"/>
      <w:r>
        <w:rPr>
          <w:rFonts w:ascii="Verdana" w:hAnsi="Verdana"/>
          <w:sz w:val="18"/>
          <w:szCs w:val="18"/>
        </w:rPr>
        <w:t xml:space="preserve"> uitvoerbaar acht, mits rekening gehouden werd met een aantal voorwaarden, zoals de juridische grondslag voor de uitvoering van de taken van het NCSC, een realistisch groeipad in de uitvoering van deze taken en de daarvoor beschikbare financiële middelen. Deze punten zijn meegewogen in het wetgevingstraject, en bij het verstrekken van de opdracht aan het NCSC voor de uitvoering van de taken die volgen uit deze wet.</w:t>
      </w:r>
    </w:p>
    <w:bookmarkEnd w:id="235"/>
    <w:bookmarkEnd w:id="237"/>
    <w:p w:rsidRPr="00C47325" w:rsidR="00692F83" w:rsidP="00DD28BC" w:rsidRDefault="00692F83" w14:paraId="6FD6D6C1" w14:textId="77777777">
      <w:pPr>
        <w:pStyle w:val="Geenafstand"/>
        <w:rPr>
          <w:rFonts w:ascii="Verdana" w:hAnsi="Verdana"/>
          <w:sz w:val="18"/>
          <w:szCs w:val="18"/>
        </w:rPr>
      </w:pPr>
    </w:p>
    <w:p w:rsidRPr="00C47325" w:rsidR="0096220C" w:rsidP="00493EC7" w:rsidRDefault="009B6F2B" w14:paraId="0BC02866" w14:textId="5D4A2285">
      <w:pPr>
        <w:pStyle w:val="Kop1"/>
      </w:pPr>
      <w:bookmarkStart w:name="_Toc198721157" w:id="238"/>
      <w:bookmarkEnd w:id="203"/>
      <w:r w:rsidRPr="00C47325">
        <w:t>10</w:t>
      </w:r>
      <w:r w:rsidRPr="00C47325" w:rsidR="0096220C">
        <w:t>. Overgangsrecht en inwerkingtreding</w:t>
      </w:r>
      <w:bookmarkEnd w:id="238"/>
    </w:p>
    <w:p w:rsidRPr="00C47325" w:rsidR="0096220C" w:rsidP="003537DE" w:rsidRDefault="0096220C" w14:paraId="6473E05E" w14:textId="77777777">
      <w:pPr>
        <w:pStyle w:val="Geenafstand"/>
        <w:rPr>
          <w:rFonts w:ascii="Verdana" w:hAnsi="Verdana"/>
          <w:sz w:val="18"/>
          <w:szCs w:val="18"/>
        </w:rPr>
      </w:pPr>
    </w:p>
    <w:p w:rsidR="00854B54" w:rsidP="00854B54" w:rsidRDefault="00854B54" w14:paraId="57D60DFE" w14:textId="0B49BCF5">
      <w:pPr>
        <w:pStyle w:val="Geenafstand"/>
        <w:rPr>
          <w:rFonts w:ascii="Verdana" w:hAnsi="Verdana"/>
          <w:sz w:val="18"/>
          <w:szCs w:val="18"/>
        </w:rPr>
      </w:pPr>
      <w:bookmarkStart w:name="_Hlk181190085" w:id="239"/>
      <w:r w:rsidRPr="00D845CC">
        <w:rPr>
          <w:rFonts w:ascii="Verdana" w:hAnsi="Verdana"/>
          <w:sz w:val="18"/>
          <w:szCs w:val="18"/>
        </w:rPr>
        <w:t xml:space="preserve">De </w:t>
      </w:r>
      <w:proofErr w:type="spellStart"/>
      <w:r w:rsidRPr="00D845CC">
        <w:rPr>
          <w:rFonts w:ascii="Verdana" w:hAnsi="Verdana"/>
          <w:sz w:val="18"/>
          <w:szCs w:val="18"/>
        </w:rPr>
        <w:t>Cbw</w:t>
      </w:r>
      <w:proofErr w:type="spellEnd"/>
      <w:r w:rsidRPr="00D845CC">
        <w:rPr>
          <w:rFonts w:ascii="Verdana" w:hAnsi="Verdana"/>
          <w:sz w:val="18"/>
          <w:szCs w:val="18"/>
        </w:rPr>
        <w:t xml:space="preserve"> voorziet in overgangsrecht</w:t>
      </w:r>
      <w:r w:rsidR="00642B95">
        <w:rPr>
          <w:rFonts w:ascii="Verdana" w:hAnsi="Verdana"/>
          <w:sz w:val="18"/>
          <w:szCs w:val="18"/>
        </w:rPr>
        <w:t xml:space="preserve"> (artikel </w:t>
      </w:r>
      <w:r w:rsidR="00106E81">
        <w:rPr>
          <w:rFonts w:ascii="Verdana" w:hAnsi="Verdana"/>
          <w:sz w:val="18"/>
          <w:szCs w:val="18"/>
        </w:rPr>
        <w:t>95</w:t>
      </w:r>
      <w:r w:rsidR="00642B95">
        <w:rPr>
          <w:rFonts w:ascii="Verdana" w:hAnsi="Verdana"/>
          <w:sz w:val="18"/>
          <w:szCs w:val="18"/>
        </w:rPr>
        <w:t xml:space="preserve"> </w:t>
      </w:r>
      <w:proofErr w:type="spellStart"/>
      <w:r w:rsidR="00642B95">
        <w:rPr>
          <w:rFonts w:ascii="Verdana" w:hAnsi="Verdana"/>
          <w:sz w:val="18"/>
          <w:szCs w:val="18"/>
        </w:rPr>
        <w:t>Cbw</w:t>
      </w:r>
      <w:proofErr w:type="spellEnd"/>
      <w:r w:rsidR="00642B95">
        <w:rPr>
          <w:rFonts w:ascii="Verdana" w:hAnsi="Verdana"/>
          <w:sz w:val="18"/>
          <w:szCs w:val="18"/>
        </w:rPr>
        <w:t>)</w:t>
      </w:r>
      <w:r w:rsidRPr="00D845CC">
        <w:rPr>
          <w:rFonts w:ascii="Verdana" w:hAnsi="Verdana"/>
          <w:sz w:val="18"/>
          <w:szCs w:val="18"/>
        </w:rPr>
        <w:t xml:space="preserve">. </w:t>
      </w:r>
      <w:r w:rsidRPr="00D845CC" w:rsidR="008A49BB">
        <w:rPr>
          <w:rFonts w:ascii="Verdana" w:hAnsi="Verdana"/>
          <w:sz w:val="18"/>
          <w:szCs w:val="18"/>
        </w:rPr>
        <w:t xml:space="preserve">Dit is nodig, omdat de </w:t>
      </w:r>
      <w:proofErr w:type="spellStart"/>
      <w:r w:rsidRPr="00D845CC" w:rsidR="008A49BB">
        <w:rPr>
          <w:rFonts w:ascii="Verdana" w:hAnsi="Verdana"/>
          <w:sz w:val="18"/>
          <w:szCs w:val="18"/>
        </w:rPr>
        <w:t>Cbw</w:t>
      </w:r>
      <w:proofErr w:type="spellEnd"/>
      <w:r w:rsidRPr="00D845CC" w:rsidR="008A49BB">
        <w:rPr>
          <w:rFonts w:ascii="Verdana" w:hAnsi="Verdana"/>
          <w:sz w:val="18"/>
          <w:szCs w:val="18"/>
        </w:rPr>
        <w:t xml:space="preserve"> voorziet in het verval van de </w:t>
      </w:r>
      <w:proofErr w:type="spellStart"/>
      <w:r w:rsidRPr="00D845CC" w:rsidR="008A49BB">
        <w:rPr>
          <w:rFonts w:ascii="Verdana" w:hAnsi="Verdana"/>
          <w:sz w:val="18"/>
          <w:szCs w:val="18"/>
        </w:rPr>
        <w:t>Wbni</w:t>
      </w:r>
      <w:proofErr w:type="spellEnd"/>
      <w:r w:rsidRPr="00D845CC" w:rsidR="008A49BB">
        <w:rPr>
          <w:rFonts w:ascii="Verdana" w:hAnsi="Verdana"/>
          <w:sz w:val="18"/>
          <w:szCs w:val="18"/>
        </w:rPr>
        <w:t xml:space="preserve"> en er voor </w:t>
      </w:r>
      <w:r w:rsidR="008762A7">
        <w:rPr>
          <w:rFonts w:ascii="Verdana" w:hAnsi="Verdana"/>
          <w:sz w:val="18"/>
          <w:szCs w:val="18"/>
        </w:rPr>
        <w:t xml:space="preserve">het moment van </w:t>
      </w:r>
      <w:r w:rsidRPr="00D845CC" w:rsidR="008A49BB">
        <w:rPr>
          <w:rFonts w:ascii="Verdana" w:hAnsi="Verdana"/>
          <w:sz w:val="18"/>
          <w:szCs w:val="18"/>
        </w:rPr>
        <w:t xml:space="preserve">dat verval besluiten kunnen zijn genomen op grond van de </w:t>
      </w:r>
      <w:proofErr w:type="spellStart"/>
      <w:r w:rsidRPr="00D845CC" w:rsidR="008A49BB">
        <w:rPr>
          <w:rFonts w:ascii="Verdana" w:hAnsi="Verdana"/>
          <w:sz w:val="18"/>
          <w:szCs w:val="18"/>
        </w:rPr>
        <w:t>Wbni</w:t>
      </w:r>
      <w:proofErr w:type="spellEnd"/>
      <w:r w:rsidRPr="00D845CC" w:rsidR="008A49BB">
        <w:rPr>
          <w:rFonts w:ascii="Verdana" w:hAnsi="Verdana"/>
          <w:sz w:val="18"/>
          <w:szCs w:val="18"/>
        </w:rPr>
        <w:t xml:space="preserve"> of meldingen kunnen zijn gedaan op grond van artikel 10</w:t>
      </w:r>
      <w:r w:rsidR="006D095F">
        <w:rPr>
          <w:rFonts w:ascii="Verdana" w:hAnsi="Verdana"/>
          <w:sz w:val="18"/>
          <w:szCs w:val="18"/>
        </w:rPr>
        <w:t xml:space="preserve"> of 13</w:t>
      </w:r>
      <w:r w:rsidRPr="00D845CC" w:rsidR="008A49BB">
        <w:rPr>
          <w:rFonts w:ascii="Verdana" w:hAnsi="Verdana"/>
          <w:sz w:val="18"/>
          <w:szCs w:val="18"/>
        </w:rPr>
        <w:t xml:space="preserve"> </w:t>
      </w:r>
      <w:proofErr w:type="spellStart"/>
      <w:r w:rsidRPr="00D845CC" w:rsidR="008A49BB">
        <w:rPr>
          <w:rFonts w:ascii="Verdana" w:hAnsi="Verdana"/>
          <w:sz w:val="18"/>
          <w:szCs w:val="18"/>
        </w:rPr>
        <w:t>Wbni</w:t>
      </w:r>
      <w:proofErr w:type="spellEnd"/>
      <w:r w:rsidRPr="00D845CC" w:rsidR="008A49BB">
        <w:rPr>
          <w:rFonts w:ascii="Verdana" w:hAnsi="Verdana"/>
          <w:sz w:val="18"/>
          <w:szCs w:val="18"/>
        </w:rPr>
        <w:t>.</w:t>
      </w:r>
      <w:r w:rsidR="008A49BB">
        <w:rPr>
          <w:rFonts w:ascii="Verdana" w:hAnsi="Verdana"/>
          <w:sz w:val="18"/>
          <w:szCs w:val="18"/>
        </w:rPr>
        <w:t xml:space="preserve"> </w:t>
      </w:r>
      <w:r w:rsidR="008762A7">
        <w:rPr>
          <w:rFonts w:ascii="Verdana" w:hAnsi="Verdana"/>
          <w:sz w:val="18"/>
          <w:szCs w:val="18"/>
        </w:rPr>
        <w:t xml:space="preserve">In artikel </w:t>
      </w:r>
      <w:r w:rsidR="00106E81">
        <w:rPr>
          <w:rFonts w:ascii="Verdana" w:hAnsi="Verdana"/>
          <w:sz w:val="18"/>
          <w:szCs w:val="18"/>
        </w:rPr>
        <w:t>95</w:t>
      </w:r>
      <w:r w:rsidR="008762A7">
        <w:rPr>
          <w:rFonts w:ascii="Verdana" w:hAnsi="Verdana"/>
          <w:sz w:val="18"/>
          <w:szCs w:val="18"/>
        </w:rPr>
        <w:t xml:space="preserve"> </w:t>
      </w:r>
      <w:proofErr w:type="spellStart"/>
      <w:r w:rsidR="008762A7">
        <w:rPr>
          <w:rFonts w:ascii="Verdana" w:hAnsi="Verdana"/>
          <w:sz w:val="18"/>
          <w:szCs w:val="18"/>
        </w:rPr>
        <w:t>Cbw</w:t>
      </w:r>
      <w:proofErr w:type="spellEnd"/>
      <w:r w:rsidR="008762A7">
        <w:rPr>
          <w:rFonts w:ascii="Verdana" w:hAnsi="Verdana"/>
          <w:sz w:val="18"/>
          <w:szCs w:val="18"/>
        </w:rPr>
        <w:t xml:space="preserve"> wordt geregeld welk recht van toepassing is indien er voor het verval van de </w:t>
      </w:r>
      <w:proofErr w:type="spellStart"/>
      <w:r w:rsidR="008762A7">
        <w:rPr>
          <w:rFonts w:ascii="Verdana" w:hAnsi="Verdana"/>
          <w:sz w:val="18"/>
          <w:szCs w:val="18"/>
        </w:rPr>
        <w:t>Wbni</w:t>
      </w:r>
      <w:proofErr w:type="spellEnd"/>
      <w:r w:rsidR="008762A7">
        <w:rPr>
          <w:rFonts w:ascii="Verdana" w:hAnsi="Verdana"/>
          <w:sz w:val="18"/>
          <w:szCs w:val="18"/>
        </w:rPr>
        <w:t xml:space="preserve"> een besluit is genomen op grond van de </w:t>
      </w:r>
      <w:proofErr w:type="spellStart"/>
      <w:r w:rsidR="008762A7">
        <w:rPr>
          <w:rFonts w:ascii="Verdana" w:hAnsi="Verdana"/>
          <w:sz w:val="18"/>
          <w:szCs w:val="18"/>
        </w:rPr>
        <w:t>Wbni</w:t>
      </w:r>
      <w:proofErr w:type="spellEnd"/>
      <w:r w:rsidR="008762A7">
        <w:rPr>
          <w:rFonts w:ascii="Verdana" w:hAnsi="Verdana"/>
          <w:sz w:val="18"/>
          <w:szCs w:val="18"/>
        </w:rPr>
        <w:t xml:space="preserve"> of een melding is gedaan op grond van artikel 10 </w:t>
      </w:r>
      <w:r w:rsidR="006D095F">
        <w:rPr>
          <w:rFonts w:ascii="Verdana" w:hAnsi="Verdana"/>
          <w:sz w:val="18"/>
          <w:szCs w:val="18"/>
        </w:rPr>
        <w:t xml:space="preserve">of 13 </w:t>
      </w:r>
      <w:proofErr w:type="spellStart"/>
      <w:r w:rsidR="008762A7">
        <w:rPr>
          <w:rFonts w:ascii="Verdana" w:hAnsi="Verdana"/>
          <w:sz w:val="18"/>
          <w:szCs w:val="18"/>
        </w:rPr>
        <w:t>Wbni</w:t>
      </w:r>
      <w:proofErr w:type="spellEnd"/>
      <w:r w:rsidR="008762A7">
        <w:rPr>
          <w:rFonts w:ascii="Verdana" w:hAnsi="Verdana"/>
          <w:sz w:val="18"/>
          <w:szCs w:val="18"/>
        </w:rPr>
        <w:t>.</w:t>
      </w:r>
      <w:bookmarkEnd w:id="239"/>
      <w:r w:rsidR="008762A7">
        <w:rPr>
          <w:rFonts w:ascii="Verdana" w:hAnsi="Verdana"/>
          <w:sz w:val="18"/>
          <w:szCs w:val="18"/>
        </w:rPr>
        <w:t xml:space="preserve"> </w:t>
      </w:r>
    </w:p>
    <w:p w:rsidR="00854B54" w:rsidP="003537DE" w:rsidRDefault="00854B54" w14:paraId="45E8C449" w14:textId="77777777">
      <w:pPr>
        <w:pStyle w:val="Geenafstand"/>
        <w:rPr>
          <w:rFonts w:ascii="Verdana" w:hAnsi="Verdana"/>
          <w:sz w:val="18"/>
          <w:szCs w:val="18"/>
        </w:rPr>
      </w:pPr>
    </w:p>
    <w:p w:rsidRPr="00C47325" w:rsidR="0096220C" w:rsidP="003537DE" w:rsidRDefault="00854B54" w14:paraId="5235132E" w14:textId="375F0E9F">
      <w:pPr>
        <w:pStyle w:val="Geenafstand"/>
        <w:rPr>
          <w:rFonts w:ascii="Verdana" w:hAnsi="Verdana"/>
          <w:sz w:val="18"/>
          <w:szCs w:val="18"/>
        </w:rPr>
      </w:pPr>
      <w:r>
        <w:rPr>
          <w:rFonts w:ascii="Verdana" w:hAnsi="Verdana"/>
          <w:sz w:val="18"/>
          <w:szCs w:val="18"/>
        </w:rPr>
        <w:t xml:space="preserve">Met betrekking tot de inwerkingtreding van de </w:t>
      </w:r>
      <w:proofErr w:type="spellStart"/>
      <w:r>
        <w:rPr>
          <w:rFonts w:ascii="Verdana" w:hAnsi="Verdana"/>
          <w:sz w:val="18"/>
          <w:szCs w:val="18"/>
        </w:rPr>
        <w:t>Cbw</w:t>
      </w:r>
      <w:proofErr w:type="spellEnd"/>
      <w:r>
        <w:rPr>
          <w:rFonts w:ascii="Verdana" w:hAnsi="Verdana"/>
          <w:sz w:val="18"/>
          <w:szCs w:val="18"/>
        </w:rPr>
        <w:t xml:space="preserve"> is in a</w:t>
      </w:r>
      <w:r w:rsidRPr="00854B54">
        <w:rPr>
          <w:rFonts w:ascii="Verdana" w:hAnsi="Verdana"/>
          <w:sz w:val="18"/>
          <w:szCs w:val="18"/>
        </w:rPr>
        <w:t xml:space="preserve">rtikel </w:t>
      </w:r>
      <w:r w:rsidR="004B5C46">
        <w:rPr>
          <w:rFonts w:ascii="Verdana" w:hAnsi="Verdana"/>
          <w:sz w:val="18"/>
          <w:szCs w:val="18"/>
        </w:rPr>
        <w:t>107</w:t>
      </w:r>
      <w:r w:rsidRPr="00854B54" w:rsidR="004B5C46">
        <w:rPr>
          <w:rFonts w:ascii="Verdana" w:hAnsi="Verdana"/>
          <w:sz w:val="18"/>
          <w:szCs w:val="18"/>
        </w:rPr>
        <w:t xml:space="preserve"> </w:t>
      </w:r>
      <w:proofErr w:type="spellStart"/>
      <w:r w:rsidRPr="00854B54">
        <w:rPr>
          <w:rFonts w:ascii="Verdana" w:hAnsi="Verdana"/>
          <w:sz w:val="18"/>
          <w:szCs w:val="18"/>
        </w:rPr>
        <w:t>Cbw</w:t>
      </w:r>
      <w:proofErr w:type="spellEnd"/>
      <w:r w:rsidRPr="00854B54">
        <w:rPr>
          <w:rFonts w:ascii="Verdana" w:hAnsi="Verdana"/>
          <w:sz w:val="18"/>
          <w:szCs w:val="18"/>
        </w:rPr>
        <w:t xml:space="preserve"> bepaal</w:t>
      </w:r>
      <w:r>
        <w:rPr>
          <w:rFonts w:ascii="Verdana" w:hAnsi="Verdana"/>
          <w:sz w:val="18"/>
          <w:szCs w:val="18"/>
        </w:rPr>
        <w:t>d</w:t>
      </w:r>
      <w:r w:rsidRPr="00854B54">
        <w:rPr>
          <w:rFonts w:ascii="Verdana" w:hAnsi="Verdana"/>
          <w:sz w:val="18"/>
          <w:szCs w:val="18"/>
        </w:rPr>
        <w:t xml:space="preserve"> dat de </w:t>
      </w:r>
      <w:proofErr w:type="spellStart"/>
      <w:r w:rsidRPr="00854B54">
        <w:rPr>
          <w:rFonts w:ascii="Verdana" w:hAnsi="Verdana"/>
          <w:sz w:val="18"/>
          <w:szCs w:val="18"/>
        </w:rPr>
        <w:t>Cbw</w:t>
      </w:r>
      <w:proofErr w:type="spellEnd"/>
      <w:r w:rsidRPr="00854B54">
        <w:rPr>
          <w:rFonts w:ascii="Verdana" w:hAnsi="Verdana"/>
          <w:sz w:val="18"/>
          <w:szCs w:val="18"/>
        </w:rPr>
        <w:t xml:space="preserve"> in werking treedt op een bij koninklijk besluit te bepalen tijdstip, dat voor de verschillende artikelen of onderdelen daarvan verschillend kan worden vastgesteld. Op grond van dit artikel kan worden gekozen voor een gefaseerde inwerkingtreding. Dit is denkbaar in het geval dat bepaalde onderdelen van de </w:t>
      </w:r>
      <w:proofErr w:type="spellStart"/>
      <w:r w:rsidRPr="00854B54">
        <w:rPr>
          <w:rFonts w:ascii="Verdana" w:hAnsi="Verdana"/>
          <w:sz w:val="18"/>
          <w:szCs w:val="18"/>
        </w:rPr>
        <w:t>Cbw</w:t>
      </w:r>
      <w:proofErr w:type="spellEnd"/>
      <w:r w:rsidRPr="00854B54">
        <w:rPr>
          <w:rFonts w:ascii="Verdana" w:hAnsi="Verdana"/>
          <w:sz w:val="18"/>
          <w:szCs w:val="18"/>
        </w:rPr>
        <w:t xml:space="preserve"> nog niet in werking kunnen treden, terwijl dat bij andere onderdelen van de </w:t>
      </w:r>
      <w:proofErr w:type="spellStart"/>
      <w:r w:rsidRPr="00854B54">
        <w:rPr>
          <w:rFonts w:ascii="Verdana" w:hAnsi="Verdana"/>
          <w:sz w:val="18"/>
          <w:szCs w:val="18"/>
        </w:rPr>
        <w:t>Cbw</w:t>
      </w:r>
      <w:proofErr w:type="spellEnd"/>
      <w:r w:rsidRPr="00854B54">
        <w:rPr>
          <w:rFonts w:ascii="Verdana" w:hAnsi="Verdana"/>
          <w:sz w:val="18"/>
          <w:szCs w:val="18"/>
        </w:rPr>
        <w:t xml:space="preserve"> wel het geval is. De verwachting is dat bij de inwerkingtreding van (onderdelen van) de </w:t>
      </w:r>
      <w:proofErr w:type="spellStart"/>
      <w:r w:rsidRPr="00854B54">
        <w:rPr>
          <w:rFonts w:ascii="Verdana" w:hAnsi="Verdana"/>
          <w:sz w:val="18"/>
          <w:szCs w:val="18"/>
        </w:rPr>
        <w:t>Cbw</w:t>
      </w:r>
      <w:proofErr w:type="spellEnd"/>
      <w:r w:rsidRPr="00854B54">
        <w:rPr>
          <w:rFonts w:ascii="Verdana" w:hAnsi="Verdana"/>
          <w:sz w:val="18"/>
          <w:szCs w:val="18"/>
        </w:rPr>
        <w:t xml:space="preserve"> een uitzondering wordt gemaakt op de vaste verandermomenten en de minimuminvoeringstermijn, omdat de </w:t>
      </w:r>
      <w:proofErr w:type="spellStart"/>
      <w:r w:rsidRPr="00854B54">
        <w:rPr>
          <w:rFonts w:ascii="Verdana" w:hAnsi="Verdana"/>
          <w:sz w:val="18"/>
          <w:szCs w:val="18"/>
        </w:rPr>
        <w:t>Cbw</w:t>
      </w:r>
      <w:proofErr w:type="spellEnd"/>
      <w:r w:rsidRPr="00854B54">
        <w:rPr>
          <w:rFonts w:ascii="Verdana" w:hAnsi="Verdana"/>
          <w:sz w:val="18"/>
          <w:szCs w:val="18"/>
        </w:rPr>
        <w:t xml:space="preserve"> ziet op de implementatie van een bindende EU-rechtshandeling.</w:t>
      </w:r>
    </w:p>
    <w:p w:rsidRPr="00C47325" w:rsidR="0096220C" w:rsidP="003537DE" w:rsidRDefault="0096220C" w14:paraId="592DB416" w14:textId="6A2D9732">
      <w:pPr>
        <w:pStyle w:val="Geenafstand"/>
        <w:rPr>
          <w:rFonts w:ascii="Verdana" w:hAnsi="Verdana"/>
          <w:sz w:val="18"/>
          <w:szCs w:val="18"/>
        </w:rPr>
      </w:pPr>
    </w:p>
    <w:p w:rsidRPr="00C47325" w:rsidR="00F43158" w:rsidP="00493EC7" w:rsidRDefault="009B6F2B" w14:paraId="720E3759" w14:textId="10999018">
      <w:pPr>
        <w:pStyle w:val="Kop1"/>
      </w:pPr>
      <w:bookmarkStart w:name="_Toc198721158" w:id="240"/>
      <w:r w:rsidRPr="00C47325">
        <w:t>11</w:t>
      </w:r>
      <w:r w:rsidRPr="00C47325" w:rsidR="00F43158">
        <w:t>. Transponeringstabel</w:t>
      </w:r>
      <w:bookmarkEnd w:id="240"/>
    </w:p>
    <w:p w:rsidRPr="00C47325" w:rsidR="0035719E" w:rsidP="006231F6" w:rsidRDefault="0035719E" w14:paraId="141EEFB0" w14:textId="77777777">
      <w:pPr>
        <w:pStyle w:val="Geenafstand"/>
        <w:rPr>
          <w:rFonts w:ascii="Verdana" w:hAnsi="Verdana"/>
        </w:rPr>
      </w:pPr>
    </w:p>
    <w:tbl>
      <w:tblPr>
        <w:tblStyle w:val="Tabelraster"/>
        <w:tblW w:w="0" w:type="auto"/>
        <w:tblLayout w:type="fixed"/>
        <w:tblLook w:val="04A0" w:firstRow="1" w:lastRow="0" w:firstColumn="1" w:lastColumn="0" w:noHBand="0" w:noVBand="1"/>
      </w:tblPr>
      <w:tblGrid>
        <w:gridCol w:w="2260"/>
        <w:gridCol w:w="2260"/>
        <w:gridCol w:w="2260"/>
        <w:gridCol w:w="2261"/>
      </w:tblGrid>
      <w:tr w:rsidRPr="00755640" w:rsidR="00D66BB6" w:rsidTr="006231F6" w14:paraId="1127772B" w14:textId="77777777">
        <w:tc>
          <w:tcPr>
            <w:tcW w:w="2260" w:type="dxa"/>
          </w:tcPr>
          <w:p w:rsidRPr="00755640" w:rsidR="008B722F" w:rsidP="008B722F" w:rsidRDefault="008B722F" w14:paraId="77EB65DD" w14:textId="2DE3DFCB">
            <w:pPr>
              <w:pStyle w:val="Geenafstand"/>
              <w:rPr>
                <w:rFonts w:ascii="Verdana" w:hAnsi="Verdana"/>
                <w:b/>
                <w:bCs/>
                <w:sz w:val="15"/>
                <w:szCs w:val="15"/>
              </w:rPr>
            </w:pPr>
            <w:r w:rsidRPr="00755640">
              <w:rPr>
                <w:rFonts w:ascii="Verdana" w:hAnsi="Verdana"/>
                <w:b/>
                <w:bCs/>
                <w:sz w:val="15"/>
                <w:szCs w:val="15"/>
              </w:rPr>
              <w:t xml:space="preserve">Bepaling </w:t>
            </w:r>
            <w:r w:rsidRPr="00755640" w:rsidR="00BD0B95">
              <w:rPr>
                <w:rFonts w:ascii="Verdana" w:hAnsi="Verdana"/>
                <w:b/>
                <w:bCs/>
                <w:sz w:val="15"/>
                <w:szCs w:val="15"/>
              </w:rPr>
              <w:t>uit de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755640" w:rsidR="00BD0B95">
              <w:rPr>
                <w:rFonts w:ascii="Verdana" w:hAnsi="Verdana"/>
                <w:b/>
                <w:bCs/>
                <w:i/>
                <w:iCs/>
                <w:sz w:val="15"/>
                <w:szCs w:val="15"/>
              </w:rPr>
              <w:t>PbEU</w:t>
            </w:r>
            <w:proofErr w:type="spellEnd"/>
            <w:r w:rsidRPr="00755640" w:rsidR="00BD0B95">
              <w:rPr>
                <w:rFonts w:ascii="Verdana" w:hAnsi="Verdana"/>
                <w:b/>
                <w:bCs/>
                <w:sz w:val="15"/>
                <w:szCs w:val="15"/>
              </w:rPr>
              <w:t xml:space="preserve"> 2022, L 333)</w:t>
            </w:r>
            <w:r w:rsidRPr="00755640" w:rsidDel="00BD0B95" w:rsidR="00BD0B95">
              <w:rPr>
                <w:rFonts w:ascii="Verdana" w:hAnsi="Verdana"/>
                <w:b/>
                <w:bCs/>
                <w:sz w:val="15"/>
                <w:szCs w:val="15"/>
              </w:rPr>
              <w:t xml:space="preserve"> </w:t>
            </w:r>
          </w:p>
        </w:tc>
        <w:tc>
          <w:tcPr>
            <w:tcW w:w="2260" w:type="dxa"/>
          </w:tcPr>
          <w:p w:rsidRPr="00755640" w:rsidR="008B722F" w:rsidP="008B722F" w:rsidRDefault="008B722F" w14:paraId="1CAFBA23" w14:textId="1A0D2DFD">
            <w:pPr>
              <w:pStyle w:val="Geenafstand"/>
              <w:rPr>
                <w:rFonts w:ascii="Verdana" w:hAnsi="Verdana"/>
                <w:b/>
                <w:bCs/>
                <w:sz w:val="15"/>
                <w:szCs w:val="15"/>
              </w:rPr>
            </w:pPr>
            <w:r w:rsidRPr="00755640">
              <w:rPr>
                <w:rFonts w:ascii="Verdana" w:hAnsi="Verdana"/>
                <w:b/>
                <w:bCs/>
                <w:sz w:val="15"/>
                <w:szCs w:val="15"/>
              </w:rPr>
              <w:t xml:space="preserve">Bepaling in </w:t>
            </w:r>
            <w:proofErr w:type="spellStart"/>
            <w:r w:rsidRPr="00755640" w:rsidR="00541AFA">
              <w:rPr>
                <w:rFonts w:ascii="Verdana" w:hAnsi="Verdana"/>
                <w:b/>
                <w:bCs/>
                <w:sz w:val="15"/>
                <w:szCs w:val="15"/>
              </w:rPr>
              <w:t>Cbw</w:t>
            </w:r>
            <w:proofErr w:type="spellEnd"/>
            <w:r w:rsidRPr="00755640">
              <w:rPr>
                <w:rFonts w:ascii="Verdana" w:hAnsi="Verdana"/>
                <w:b/>
                <w:bCs/>
                <w:sz w:val="15"/>
                <w:szCs w:val="15"/>
              </w:rPr>
              <w:t xml:space="preserve"> of bestaande regeling</w:t>
            </w:r>
          </w:p>
        </w:tc>
        <w:tc>
          <w:tcPr>
            <w:tcW w:w="2260" w:type="dxa"/>
          </w:tcPr>
          <w:p w:rsidRPr="00755640" w:rsidR="008B722F" w:rsidP="008B722F" w:rsidRDefault="008B722F" w14:paraId="1C848518" w14:textId="77777777">
            <w:pPr>
              <w:pStyle w:val="Geenafstand"/>
              <w:rPr>
                <w:rFonts w:ascii="Verdana" w:hAnsi="Verdana"/>
                <w:b/>
                <w:bCs/>
                <w:sz w:val="15"/>
                <w:szCs w:val="15"/>
              </w:rPr>
            </w:pPr>
            <w:r w:rsidRPr="00755640">
              <w:rPr>
                <w:rFonts w:ascii="Verdana" w:hAnsi="Verdana"/>
                <w:b/>
                <w:bCs/>
                <w:sz w:val="15"/>
                <w:szCs w:val="15"/>
              </w:rPr>
              <w:t>Omschrijving beleidsruimte</w:t>
            </w:r>
          </w:p>
        </w:tc>
        <w:tc>
          <w:tcPr>
            <w:tcW w:w="2261" w:type="dxa"/>
          </w:tcPr>
          <w:p w:rsidRPr="00755640" w:rsidR="008B722F" w:rsidP="008B722F" w:rsidRDefault="008B722F" w14:paraId="22F29BEC" w14:textId="06AA0214">
            <w:pPr>
              <w:pStyle w:val="Geenafstand"/>
              <w:rPr>
                <w:rFonts w:ascii="Verdana" w:hAnsi="Verdana"/>
                <w:b/>
                <w:bCs/>
                <w:sz w:val="15"/>
                <w:szCs w:val="15"/>
              </w:rPr>
            </w:pPr>
            <w:r w:rsidRPr="00755640">
              <w:rPr>
                <w:rFonts w:ascii="Verdana" w:hAnsi="Verdana"/>
                <w:b/>
                <w:bCs/>
                <w:sz w:val="15"/>
                <w:szCs w:val="15"/>
              </w:rPr>
              <w:t>Toelichting</w:t>
            </w:r>
          </w:p>
        </w:tc>
      </w:tr>
      <w:tr w:rsidRPr="00755640" w:rsidR="00D66BB6" w:rsidTr="006231F6" w14:paraId="152D3425" w14:textId="77777777">
        <w:tc>
          <w:tcPr>
            <w:tcW w:w="2260" w:type="dxa"/>
          </w:tcPr>
          <w:p w:rsidRPr="00755640" w:rsidR="008B722F" w:rsidP="008B722F" w:rsidRDefault="008B722F" w14:paraId="5400DAFD" w14:textId="15E863B6">
            <w:pPr>
              <w:pStyle w:val="Geenafstand"/>
              <w:rPr>
                <w:rFonts w:ascii="Verdana" w:hAnsi="Verdana"/>
                <w:sz w:val="15"/>
                <w:szCs w:val="15"/>
              </w:rPr>
            </w:pPr>
            <w:r w:rsidRPr="00755640">
              <w:rPr>
                <w:rFonts w:ascii="Verdana" w:hAnsi="Verdana"/>
                <w:sz w:val="15"/>
                <w:szCs w:val="15"/>
              </w:rPr>
              <w:t>Artikel 1</w:t>
            </w:r>
            <w:r w:rsidRPr="00755640" w:rsidR="00DB6AC8">
              <w:rPr>
                <w:rFonts w:ascii="Verdana" w:hAnsi="Verdana"/>
                <w:sz w:val="15"/>
                <w:szCs w:val="15"/>
              </w:rPr>
              <w:t xml:space="preserve">, eerste </w:t>
            </w:r>
            <w:r w:rsidRPr="00755640" w:rsidR="00194EF4">
              <w:rPr>
                <w:rFonts w:ascii="Verdana" w:hAnsi="Verdana"/>
                <w:sz w:val="15"/>
                <w:szCs w:val="15"/>
              </w:rPr>
              <w:t xml:space="preserve">en tweede </w:t>
            </w:r>
            <w:r w:rsidRPr="00755640" w:rsidR="00DB6AC8">
              <w:rPr>
                <w:rFonts w:ascii="Verdana" w:hAnsi="Verdana"/>
                <w:sz w:val="15"/>
                <w:szCs w:val="15"/>
              </w:rPr>
              <w:t>lid</w:t>
            </w:r>
          </w:p>
        </w:tc>
        <w:tc>
          <w:tcPr>
            <w:tcW w:w="2260" w:type="dxa"/>
          </w:tcPr>
          <w:p w:rsidRPr="00755640" w:rsidR="008B722F" w:rsidP="008B722F" w:rsidRDefault="00DB6AC8" w14:paraId="3FDE0A21" w14:textId="684CE81D">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EC390D" w14:paraId="4437753F" w14:textId="24CEA2B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05BA3" w14:paraId="1E99C2E3" w14:textId="1797B056">
            <w:pPr>
              <w:pStyle w:val="Geenafstand"/>
              <w:rPr>
                <w:rFonts w:ascii="Verdana" w:hAnsi="Verdana"/>
                <w:sz w:val="15"/>
                <w:szCs w:val="15"/>
              </w:rPr>
            </w:pPr>
            <w:r w:rsidRPr="00755640">
              <w:rPr>
                <w:rFonts w:ascii="Verdana" w:hAnsi="Verdana"/>
                <w:sz w:val="15"/>
                <w:szCs w:val="15"/>
              </w:rPr>
              <w:t>Deze bepalingen behoeven geen implementatie in nationale wetgeving, omdat deze een uitleg betreffen van de inhoud van de richtlijn.</w:t>
            </w:r>
          </w:p>
        </w:tc>
      </w:tr>
      <w:tr w:rsidRPr="00755640" w:rsidR="00D66BB6" w:rsidTr="006231F6" w14:paraId="3F9F5CBA" w14:textId="77777777">
        <w:tc>
          <w:tcPr>
            <w:tcW w:w="2260" w:type="dxa"/>
          </w:tcPr>
          <w:p w:rsidRPr="00755640" w:rsidR="008B722F" w:rsidP="008B722F" w:rsidRDefault="008B722F" w14:paraId="354F04D1" w14:textId="697182FD">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EE43AD" w14:paraId="33788E4F" w14:textId="5B14C0B6">
            <w:pPr>
              <w:pStyle w:val="Geenafstand"/>
              <w:rPr>
                <w:rFonts w:ascii="Verdana" w:hAnsi="Verdana"/>
                <w:sz w:val="15"/>
                <w:szCs w:val="15"/>
              </w:rPr>
            </w:pPr>
            <w:r w:rsidRPr="00755640">
              <w:rPr>
                <w:rFonts w:ascii="Verdana" w:hAnsi="Verdana"/>
                <w:sz w:val="15"/>
                <w:szCs w:val="15"/>
              </w:rPr>
              <w:t xml:space="preserve">De artikelen 4 en 8, eerste lid, onderdeel f, en tweede lid, </w:t>
            </w:r>
            <w:proofErr w:type="spellStart"/>
            <w:r w:rsidRPr="00755640">
              <w:rPr>
                <w:rFonts w:ascii="Verdana" w:hAnsi="Verdana"/>
                <w:sz w:val="15"/>
                <w:szCs w:val="15"/>
              </w:rPr>
              <w:t>Cbw</w:t>
            </w:r>
            <w:proofErr w:type="spellEnd"/>
            <w:r w:rsidRPr="00755640" w:rsidR="008B722F">
              <w:rPr>
                <w:rFonts w:ascii="Verdana" w:hAnsi="Verdana"/>
                <w:sz w:val="15"/>
                <w:szCs w:val="15"/>
              </w:rPr>
              <w:t xml:space="preserve"> </w:t>
            </w:r>
          </w:p>
        </w:tc>
        <w:tc>
          <w:tcPr>
            <w:tcW w:w="2260" w:type="dxa"/>
          </w:tcPr>
          <w:p w:rsidRPr="00755640" w:rsidR="008B722F" w:rsidP="008B722F" w:rsidRDefault="00E42B59" w14:paraId="32F83202" w14:textId="035AB19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42B59" w14:paraId="76A3513D" w14:textId="13BB4755">
            <w:pPr>
              <w:pStyle w:val="Geenafstand"/>
              <w:rPr>
                <w:rFonts w:ascii="Verdana" w:hAnsi="Verdana"/>
                <w:sz w:val="15"/>
                <w:szCs w:val="15"/>
              </w:rPr>
            </w:pPr>
            <w:r w:rsidRPr="00755640">
              <w:rPr>
                <w:rFonts w:ascii="Verdana" w:hAnsi="Verdana"/>
                <w:sz w:val="15"/>
                <w:szCs w:val="15"/>
              </w:rPr>
              <w:t>-</w:t>
            </w:r>
          </w:p>
        </w:tc>
      </w:tr>
      <w:tr w:rsidRPr="00755640" w:rsidR="00D66BB6" w:rsidTr="006231F6" w14:paraId="6D085DF6" w14:textId="77777777">
        <w:tc>
          <w:tcPr>
            <w:tcW w:w="2260" w:type="dxa"/>
          </w:tcPr>
          <w:p w:rsidRPr="00755640" w:rsidR="008B722F" w:rsidP="008B722F" w:rsidRDefault="008B722F" w14:paraId="603294D0" w14:textId="6510F242">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tweede </w:t>
            </w:r>
            <w:r w:rsidRPr="00755640">
              <w:rPr>
                <w:rFonts w:ascii="Verdana" w:hAnsi="Verdana"/>
                <w:sz w:val="15"/>
                <w:szCs w:val="15"/>
              </w:rPr>
              <w:t xml:space="preserve">lid </w:t>
            </w:r>
          </w:p>
        </w:tc>
        <w:tc>
          <w:tcPr>
            <w:tcW w:w="2260" w:type="dxa"/>
          </w:tcPr>
          <w:p w:rsidRPr="00755640" w:rsidR="008B722F" w:rsidP="008B722F" w:rsidRDefault="00E42B59" w14:paraId="0F83C835" w14:textId="562ACC4E">
            <w:pPr>
              <w:pStyle w:val="Geenafstand"/>
              <w:rPr>
                <w:rFonts w:ascii="Verdana" w:hAnsi="Verdana"/>
                <w:sz w:val="15"/>
                <w:szCs w:val="15"/>
              </w:rPr>
            </w:pPr>
            <w:r w:rsidRPr="00755640">
              <w:rPr>
                <w:rFonts w:ascii="Verdana" w:hAnsi="Verdana"/>
                <w:sz w:val="15"/>
                <w:szCs w:val="15"/>
              </w:rPr>
              <w:t xml:space="preserve">De artikelen 8, 9 en 12 </w:t>
            </w:r>
            <w:proofErr w:type="spellStart"/>
            <w:r w:rsidRPr="00755640">
              <w:rPr>
                <w:rFonts w:ascii="Verdana" w:hAnsi="Verdana"/>
                <w:sz w:val="15"/>
                <w:szCs w:val="15"/>
              </w:rPr>
              <w:t>Cbw</w:t>
            </w:r>
            <w:proofErr w:type="spellEnd"/>
          </w:p>
        </w:tc>
        <w:tc>
          <w:tcPr>
            <w:tcW w:w="2260" w:type="dxa"/>
          </w:tcPr>
          <w:p w:rsidRPr="00755640" w:rsidR="008B722F" w:rsidP="008B722F" w:rsidRDefault="00E42B59" w14:paraId="4DA44829" w14:textId="104B1A4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42B59" w14:paraId="32711B7F" w14:textId="424EB2BA">
            <w:pPr>
              <w:pStyle w:val="Geenafstand"/>
              <w:rPr>
                <w:rFonts w:ascii="Verdana" w:hAnsi="Verdana"/>
                <w:sz w:val="15"/>
                <w:szCs w:val="15"/>
              </w:rPr>
            </w:pPr>
            <w:r w:rsidRPr="00755640">
              <w:rPr>
                <w:rFonts w:ascii="Verdana" w:hAnsi="Verdana"/>
                <w:sz w:val="15"/>
                <w:szCs w:val="15"/>
              </w:rPr>
              <w:t>-</w:t>
            </w:r>
          </w:p>
        </w:tc>
      </w:tr>
      <w:tr w:rsidRPr="00755640" w:rsidR="00D66BB6" w:rsidTr="006231F6" w14:paraId="3A49FB13" w14:textId="77777777">
        <w:tc>
          <w:tcPr>
            <w:tcW w:w="2260" w:type="dxa"/>
          </w:tcPr>
          <w:p w:rsidRPr="00755640" w:rsidR="008B722F" w:rsidP="008B722F" w:rsidRDefault="008B722F" w14:paraId="1D84CFE2" w14:textId="386897EB">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derde </w:t>
            </w:r>
            <w:r w:rsidRPr="00755640">
              <w:rPr>
                <w:rFonts w:ascii="Verdana" w:hAnsi="Verdana"/>
                <w:sz w:val="15"/>
                <w:szCs w:val="15"/>
              </w:rPr>
              <w:t>lid</w:t>
            </w:r>
            <w:r w:rsidRPr="00755640" w:rsidR="00EA661F">
              <w:rPr>
                <w:rFonts w:ascii="Verdana" w:hAnsi="Verdana"/>
                <w:sz w:val="15"/>
                <w:szCs w:val="15"/>
              </w:rPr>
              <w:t xml:space="preserve"> </w:t>
            </w:r>
          </w:p>
        </w:tc>
        <w:tc>
          <w:tcPr>
            <w:tcW w:w="2260" w:type="dxa"/>
          </w:tcPr>
          <w:p w:rsidRPr="00755640" w:rsidR="008B722F" w:rsidP="008B722F" w:rsidRDefault="00F93B5F" w14:paraId="0B27DBCF" w14:textId="42ECAF9E">
            <w:pPr>
              <w:pStyle w:val="Geenafstand"/>
              <w:rPr>
                <w:rFonts w:ascii="Verdana" w:hAnsi="Verdana"/>
                <w:sz w:val="15"/>
                <w:szCs w:val="15"/>
              </w:rPr>
            </w:pPr>
            <w:r w:rsidRPr="00755640">
              <w:rPr>
                <w:rFonts w:ascii="Verdana" w:hAnsi="Verdana"/>
                <w:sz w:val="15"/>
                <w:szCs w:val="15"/>
              </w:rPr>
              <w:t xml:space="preserve">Artikel </w:t>
            </w:r>
            <w:r w:rsidRPr="00755640" w:rsidR="00E42B59">
              <w:rPr>
                <w:rFonts w:ascii="Verdana" w:hAnsi="Verdana"/>
                <w:sz w:val="15"/>
                <w:szCs w:val="15"/>
              </w:rPr>
              <w:t>8</w:t>
            </w:r>
            <w:r w:rsidRPr="00755640">
              <w:rPr>
                <w:rFonts w:ascii="Verdana" w:hAnsi="Verdana"/>
                <w:sz w:val="15"/>
                <w:szCs w:val="15"/>
              </w:rPr>
              <w:t xml:space="preserve">, eerste lid, onderdeel i, </w:t>
            </w:r>
            <w:proofErr w:type="spellStart"/>
            <w:r w:rsidRPr="00755640">
              <w:rPr>
                <w:rFonts w:ascii="Verdana" w:hAnsi="Verdana"/>
                <w:sz w:val="15"/>
                <w:szCs w:val="15"/>
              </w:rPr>
              <w:t>Cbw</w:t>
            </w:r>
            <w:proofErr w:type="spellEnd"/>
          </w:p>
        </w:tc>
        <w:tc>
          <w:tcPr>
            <w:tcW w:w="2260" w:type="dxa"/>
          </w:tcPr>
          <w:p w:rsidRPr="00755640" w:rsidR="008B722F" w:rsidP="008B722F" w:rsidRDefault="00E42B59" w14:paraId="13284B59" w14:textId="701F9D4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42B59" w14:paraId="0BDF6330" w14:textId="74101731">
            <w:pPr>
              <w:pStyle w:val="Geenafstand"/>
              <w:rPr>
                <w:rFonts w:ascii="Verdana" w:hAnsi="Verdana"/>
                <w:sz w:val="15"/>
                <w:szCs w:val="15"/>
              </w:rPr>
            </w:pPr>
            <w:r w:rsidRPr="00755640">
              <w:rPr>
                <w:rFonts w:ascii="Verdana" w:hAnsi="Verdana"/>
                <w:sz w:val="15"/>
                <w:szCs w:val="15"/>
              </w:rPr>
              <w:t>-</w:t>
            </w:r>
          </w:p>
        </w:tc>
      </w:tr>
      <w:tr w:rsidRPr="00755640" w:rsidR="00D66BB6" w:rsidTr="006231F6" w14:paraId="0FC57046" w14:textId="77777777">
        <w:tc>
          <w:tcPr>
            <w:tcW w:w="2260" w:type="dxa"/>
          </w:tcPr>
          <w:p w:rsidRPr="00755640" w:rsidR="008B722F" w:rsidP="008B722F" w:rsidRDefault="008B722F" w14:paraId="7F2823E9" w14:textId="1F98EAB7">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vierde </w:t>
            </w:r>
            <w:r w:rsidRPr="00755640">
              <w:rPr>
                <w:rFonts w:ascii="Verdana" w:hAnsi="Verdana"/>
                <w:sz w:val="15"/>
                <w:szCs w:val="15"/>
              </w:rPr>
              <w:t>lid</w:t>
            </w:r>
            <w:r w:rsidRPr="00755640" w:rsidR="00EA661F">
              <w:rPr>
                <w:rFonts w:ascii="Verdana" w:hAnsi="Verdana"/>
                <w:sz w:val="15"/>
                <w:szCs w:val="15"/>
              </w:rPr>
              <w:t xml:space="preserve"> </w:t>
            </w:r>
          </w:p>
        </w:tc>
        <w:tc>
          <w:tcPr>
            <w:tcW w:w="2260" w:type="dxa"/>
          </w:tcPr>
          <w:p w:rsidRPr="00755640" w:rsidR="008B722F" w:rsidP="008B722F" w:rsidRDefault="00483057" w14:paraId="41F6A704" w14:textId="4631FF0D">
            <w:pPr>
              <w:pStyle w:val="Geenafstand"/>
              <w:rPr>
                <w:rFonts w:ascii="Verdana" w:hAnsi="Verdana"/>
                <w:sz w:val="15"/>
                <w:szCs w:val="15"/>
              </w:rPr>
            </w:pPr>
            <w:r w:rsidRPr="00755640">
              <w:rPr>
                <w:rFonts w:ascii="Verdana" w:hAnsi="Verdana"/>
                <w:sz w:val="15"/>
                <w:szCs w:val="15"/>
              </w:rPr>
              <w:t xml:space="preserve">Artikel 4, vierde lid, </w:t>
            </w:r>
            <w:proofErr w:type="spellStart"/>
            <w:r w:rsidRPr="00755640">
              <w:rPr>
                <w:rFonts w:ascii="Verdana" w:hAnsi="Verdana"/>
                <w:sz w:val="15"/>
                <w:szCs w:val="15"/>
              </w:rPr>
              <w:t>Cbw</w:t>
            </w:r>
            <w:proofErr w:type="spellEnd"/>
            <w:r w:rsidRPr="00755640">
              <w:rPr>
                <w:rFonts w:ascii="Verdana" w:hAnsi="Verdana"/>
                <w:sz w:val="15"/>
                <w:szCs w:val="15"/>
              </w:rPr>
              <w:t xml:space="preserve"> </w:t>
            </w:r>
          </w:p>
        </w:tc>
        <w:tc>
          <w:tcPr>
            <w:tcW w:w="2260" w:type="dxa"/>
          </w:tcPr>
          <w:p w:rsidRPr="00755640" w:rsidR="008B722F" w:rsidP="008B722F" w:rsidRDefault="00483057" w14:paraId="2E722A95" w14:textId="445A5C34">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83057" w14:paraId="6CD85FB5" w14:textId="3A73122F">
            <w:pPr>
              <w:pStyle w:val="Geenafstand"/>
              <w:rPr>
                <w:rFonts w:ascii="Verdana" w:hAnsi="Verdana"/>
                <w:sz w:val="15"/>
                <w:szCs w:val="15"/>
              </w:rPr>
            </w:pPr>
            <w:r w:rsidRPr="00755640">
              <w:rPr>
                <w:rFonts w:ascii="Verdana" w:hAnsi="Verdana"/>
                <w:sz w:val="15"/>
                <w:szCs w:val="15"/>
              </w:rPr>
              <w:t>-</w:t>
            </w:r>
          </w:p>
        </w:tc>
      </w:tr>
      <w:tr w:rsidRPr="00755640" w:rsidR="00D66BB6" w:rsidTr="006231F6" w14:paraId="1686D9EC" w14:textId="77777777">
        <w:tc>
          <w:tcPr>
            <w:tcW w:w="2260" w:type="dxa"/>
          </w:tcPr>
          <w:p w:rsidRPr="00755640" w:rsidR="008B722F" w:rsidP="008B722F" w:rsidRDefault="008B722F" w14:paraId="7EC6CC64" w14:textId="487127E0">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vijfde </w:t>
            </w:r>
            <w:r w:rsidRPr="00755640">
              <w:rPr>
                <w:rFonts w:ascii="Verdana" w:hAnsi="Verdana"/>
                <w:sz w:val="15"/>
                <w:szCs w:val="15"/>
              </w:rPr>
              <w:t>lid, aanhef en onder</w:t>
            </w:r>
            <w:r w:rsidRPr="00755640" w:rsidR="00194EF4">
              <w:rPr>
                <w:rFonts w:ascii="Verdana" w:hAnsi="Verdana"/>
                <w:sz w:val="15"/>
                <w:szCs w:val="15"/>
              </w:rPr>
              <w:t>deel</w:t>
            </w:r>
            <w:r w:rsidRPr="00755640">
              <w:rPr>
                <w:rFonts w:ascii="Verdana" w:hAnsi="Verdana"/>
                <w:sz w:val="15"/>
                <w:szCs w:val="15"/>
              </w:rPr>
              <w:t xml:space="preserve"> a</w:t>
            </w:r>
          </w:p>
        </w:tc>
        <w:tc>
          <w:tcPr>
            <w:tcW w:w="2260" w:type="dxa"/>
          </w:tcPr>
          <w:p w:rsidRPr="00755640" w:rsidR="008B722F" w:rsidP="008B722F" w:rsidRDefault="00905EDB" w14:paraId="2B9C0F51" w14:textId="3B8D5D6E">
            <w:pPr>
              <w:pStyle w:val="Geenafstand"/>
              <w:rPr>
                <w:rFonts w:ascii="Verdana" w:hAnsi="Verdana"/>
                <w:sz w:val="15"/>
                <w:szCs w:val="15"/>
              </w:rPr>
            </w:pPr>
            <w:r w:rsidRPr="00755640">
              <w:rPr>
                <w:rFonts w:ascii="Verdana" w:hAnsi="Verdana"/>
                <w:sz w:val="15"/>
                <w:szCs w:val="15"/>
              </w:rPr>
              <w:t xml:space="preserve">Artikel 8, eerste lid, onderdeel h, </w:t>
            </w:r>
            <w:proofErr w:type="spellStart"/>
            <w:r w:rsidRPr="00755640">
              <w:rPr>
                <w:rFonts w:ascii="Verdana" w:hAnsi="Verdana"/>
                <w:sz w:val="15"/>
                <w:szCs w:val="15"/>
              </w:rPr>
              <w:t>Cbw</w:t>
            </w:r>
            <w:proofErr w:type="spellEnd"/>
          </w:p>
        </w:tc>
        <w:tc>
          <w:tcPr>
            <w:tcW w:w="2260" w:type="dxa"/>
          </w:tcPr>
          <w:p w:rsidRPr="00755640" w:rsidR="008B722F" w:rsidP="008B722F" w:rsidRDefault="00905EDB" w14:paraId="1D045AFD" w14:textId="6F38A642">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05EDB" w14:paraId="4B23571A" w14:textId="5878B72E">
            <w:pPr>
              <w:pStyle w:val="Geenafstand"/>
              <w:rPr>
                <w:rFonts w:ascii="Verdana" w:hAnsi="Verdana"/>
                <w:sz w:val="15"/>
                <w:szCs w:val="15"/>
              </w:rPr>
            </w:pPr>
            <w:r w:rsidRPr="00755640">
              <w:rPr>
                <w:rFonts w:ascii="Verdana" w:hAnsi="Verdana"/>
                <w:sz w:val="15"/>
                <w:szCs w:val="15"/>
              </w:rPr>
              <w:t>-</w:t>
            </w:r>
          </w:p>
        </w:tc>
      </w:tr>
      <w:tr w:rsidRPr="00755640" w:rsidR="00D66BB6" w:rsidTr="006231F6" w14:paraId="71F9454C" w14:textId="77777777">
        <w:tc>
          <w:tcPr>
            <w:tcW w:w="2260" w:type="dxa"/>
          </w:tcPr>
          <w:p w:rsidRPr="00755640" w:rsidR="008B722F" w:rsidP="008B722F" w:rsidRDefault="008B722F" w14:paraId="6E5B9357" w14:textId="38139B76">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vijfde </w:t>
            </w:r>
            <w:r w:rsidRPr="00755640">
              <w:rPr>
                <w:rFonts w:ascii="Verdana" w:hAnsi="Verdana"/>
                <w:sz w:val="15"/>
                <w:szCs w:val="15"/>
              </w:rPr>
              <w:t>lid, aanhef en onder</w:t>
            </w:r>
            <w:r w:rsidRPr="00755640" w:rsidR="00194EF4">
              <w:rPr>
                <w:rFonts w:ascii="Verdana" w:hAnsi="Verdana"/>
                <w:sz w:val="15"/>
                <w:szCs w:val="15"/>
              </w:rPr>
              <w:t>deel</w:t>
            </w:r>
            <w:r w:rsidRPr="00755640">
              <w:rPr>
                <w:rFonts w:ascii="Verdana" w:hAnsi="Verdana"/>
                <w:sz w:val="15"/>
                <w:szCs w:val="15"/>
              </w:rPr>
              <w:t xml:space="preserve"> b</w:t>
            </w:r>
          </w:p>
        </w:tc>
        <w:tc>
          <w:tcPr>
            <w:tcW w:w="2260" w:type="dxa"/>
          </w:tcPr>
          <w:p w:rsidRPr="00755640" w:rsidR="008B722F" w:rsidP="008B722F" w:rsidRDefault="00905EDB" w14:paraId="4A30656B" w14:textId="51AE14EE">
            <w:pPr>
              <w:pStyle w:val="Geenafstand"/>
              <w:rPr>
                <w:rFonts w:ascii="Verdana" w:hAnsi="Verdana"/>
                <w:sz w:val="15"/>
                <w:szCs w:val="15"/>
              </w:rPr>
            </w:pPr>
            <w:r w:rsidRPr="00755640">
              <w:rPr>
                <w:rFonts w:ascii="Verdana" w:hAnsi="Verdana"/>
                <w:sz w:val="15"/>
                <w:szCs w:val="15"/>
              </w:rPr>
              <w:t xml:space="preserve">De artikelen 11 en 13 </w:t>
            </w:r>
            <w:proofErr w:type="spellStart"/>
            <w:r w:rsidRPr="00755640">
              <w:rPr>
                <w:rFonts w:ascii="Verdana" w:hAnsi="Verdana"/>
                <w:sz w:val="15"/>
                <w:szCs w:val="15"/>
              </w:rPr>
              <w:t>Cbw</w:t>
            </w:r>
            <w:proofErr w:type="spellEnd"/>
          </w:p>
        </w:tc>
        <w:tc>
          <w:tcPr>
            <w:tcW w:w="2260" w:type="dxa"/>
          </w:tcPr>
          <w:p w:rsidRPr="00755640" w:rsidR="008B722F" w:rsidP="008B722F" w:rsidRDefault="00905EDB" w14:paraId="3DAF9A9B" w14:textId="3B168F64">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05EDB" w14:paraId="14CAF2E5" w14:textId="508F26D6">
            <w:pPr>
              <w:pStyle w:val="Geenafstand"/>
              <w:rPr>
                <w:rFonts w:ascii="Verdana" w:hAnsi="Verdana"/>
                <w:sz w:val="15"/>
                <w:szCs w:val="15"/>
              </w:rPr>
            </w:pPr>
            <w:r w:rsidRPr="00755640">
              <w:rPr>
                <w:rFonts w:ascii="Verdana" w:hAnsi="Verdana"/>
                <w:sz w:val="15"/>
                <w:szCs w:val="15"/>
              </w:rPr>
              <w:t>-</w:t>
            </w:r>
          </w:p>
        </w:tc>
      </w:tr>
      <w:tr w:rsidRPr="00755640" w:rsidR="00D66BB6" w:rsidTr="006231F6" w14:paraId="7E489F25" w14:textId="77777777">
        <w:tc>
          <w:tcPr>
            <w:tcW w:w="2260" w:type="dxa"/>
          </w:tcPr>
          <w:p w:rsidRPr="00755640" w:rsidR="008B722F" w:rsidP="008B722F" w:rsidRDefault="008B722F" w14:paraId="2C7020D0" w14:textId="633FC499">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zesde </w:t>
            </w:r>
            <w:r w:rsidRPr="00755640">
              <w:rPr>
                <w:rFonts w:ascii="Verdana" w:hAnsi="Verdana"/>
                <w:sz w:val="15"/>
                <w:szCs w:val="15"/>
              </w:rPr>
              <w:t xml:space="preserve">lid </w:t>
            </w:r>
          </w:p>
        </w:tc>
        <w:tc>
          <w:tcPr>
            <w:tcW w:w="2260" w:type="dxa"/>
          </w:tcPr>
          <w:p w:rsidRPr="00755640" w:rsidR="008B722F" w:rsidP="008B722F" w:rsidRDefault="00F93B5F" w14:paraId="64A7863B" w14:textId="30DC4BB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93B5F" w14:paraId="09D567E5" w14:textId="32907AE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93B5F" w14:paraId="5AFF633A" w14:textId="7480F38D">
            <w:pPr>
              <w:pStyle w:val="Geenafstand"/>
              <w:rPr>
                <w:rFonts w:ascii="Verdana" w:hAnsi="Verdana"/>
                <w:sz w:val="15"/>
                <w:szCs w:val="15"/>
              </w:rPr>
            </w:pPr>
            <w:bookmarkStart w:name="_Hlk179110218" w:id="241"/>
            <w:r w:rsidRPr="00755640">
              <w:rPr>
                <w:rFonts w:ascii="Verdana" w:hAnsi="Verdana"/>
                <w:sz w:val="15"/>
                <w:szCs w:val="15"/>
              </w:rPr>
              <w:t xml:space="preserve">Deze bepaling behoeft geen implementatie in nationale wetgeving, </w:t>
            </w:r>
            <w:bookmarkEnd w:id="241"/>
            <w:r w:rsidRPr="00755640">
              <w:rPr>
                <w:rFonts w:ascii="Verdana" w:hAnsi="Verdana"/>
                <w:sz w:val="15"/>
                <w:szCs w:val="15"/>
              </w:rPr>
              <w:t>omdat het een uitleg betreft van hetgeen de richtlijn lidstaten nadrukkelijk niet belet.</w:t>
            </w:r>
          </w:p>
        </w:tc>
      </w:tr>
      <w:tr w:rsidRPr="00755640" w:rsidR="00D66BB6" w:rsidTr="006231F6" w14:paraId="4E52C062" w14:textId="77777777">
        <w:tc>
          <w:tcPr>
            <w:tcW w:w="2260" w:type="dxa"/>
          </w:tcPr>
          <w:p w:rsidRPr="00755640" w:rsidR="008B722F" w:rsidP="008B722F" w:rsidRDefault="008B722F" w14:paraId="03C0CF4A" w14:textId="20660D68">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zevende </w:t>
            </w:r>
            <w:r w:rsidRPr="00755640">
              <w:rPr>
                <w:rFonts w:ascii="Verdana" w:hAnsi="Verdana"/>
                <w:sz w:val="15"/>
                <w:szCs w:val="15"/>
              </w:rPr>
              <w:t>lid</w:t>
            </w:r>
          </w:p>
        </w:tc>
        <w:tc>
          <w:tcPr>
            <w:tcW w:w="2260" w:type="dxa"/>
          </w:tcPr>
          <w:p w:rsidRPr="00755640" w:rsidR="008B722F" w:rsidP="008B722F" w:rsidRDefault="00F93B5F" w14:paraId="16DD0049" w14:textId="0175468E">
            <w:pPr>
              <w:pStyle w:val="Geenafstand"/>
              <w:rPr>
                <w:rFonts w:ascii="Verdana" w:hAnsi="Verdana"/>
                <w:sz w:val="15"/>
                <w:szCs w:val="15"/>
              </w:rPr>
            </w:pPr>
            <w:r w:rsidRPr="00755640">
              <w:rPr>
                <w:rFonts w:ascii="Verdana" w:hAnsi="Verdana"/>
                <w:sz w:val="15"/>
                <w:szCs w:val="15"/>
              </w:rPr>
              <w:t xml:space="preserve">Artikel 5 </w:t>
            </w:r>
            <w:proofErr w:type="spellStart"/>
            <w:r w:rsidRPr="00755640">
              <w:rPr>
                <w:rFonts w:ascii="Verdana" w:hAnsi="Verdana"/>
                <w:sz w:val="15"/>
                <w:szCs w:val="15"/>
              </w:rPr>
              <w:t>Cbw</w:t>
            </w:r>
            <w:proofErr w:type="spellEnd"/>
          </w:p>
        </w:tc>
        <w:tc>
          <w:tcPr>
            <w:tcW w:w="2260" w:type="dxa"/>
          </w:tcPr>
          <w:p w:rsidRPr="00755640" w:rsidR="008B722F" w:rsidP="008B722F" w:rsidRDefault="00F93B5F" w14:paraId="37609F0D" w14:textId="138026B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93B5F" w14:paraId="10C287D9" w14:textId="1A7486D6">
            <w:pPr>
              <w:pStyle w:val="Geenafstand"/>
              <w:rPr>
                <w:rFonts w:ascii="Verdana" w:hAnsi="Verdana"/>
                <w:sz w:val="15"/>
                <w:szCs w:val="15"/>
              </w:rPr>
            </w:pPr>
            <w:r w:rsidRPr="00755640">
              <w:rPr>
                <w:rFonts w:ascii="Verdana" w:hAnsi="Verdana"/>
                <w:sz w:val="15"/>
                <w:szCs w:val="15"/>
              </w:rPr>
              <w:t>-</w:t>
            </w:r>
          </w:p>
        </w:tc>
      </w:tr>
      <w:tr w:rsidRPr="00755640" w:rsidR="00D66BB6" w:rsidTr="006231F6" w14:paraId="389E4609" w14:textId="77777777">
        <w:tc>
          <w:tcPr>
            <w:tcW w:w="2260" w:type="dxa"/>
          </w:tcPr>
          <w:p w:rsidRPr="00755640" w:rsidR="008B722F" w:rsidP="008B722F" w:rsidRDefault="008B722F" w14:paraId="30AFFA33" w14:textId="061D10DF">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achtste </w:t>
            </w:r>
            <w:r w:rsidRPr="00755640">
              <w:rPr>
                <w:rFonts w:ascii="Verdana" w:hAnsi="Verdana"/>
                <w:sz w:val="15"/>
                <w:szCs w:val="15"/>
              </w:rPr>
              <w:t>lid</w:t>
            </w:r>
          </w:p>
        </w:tc>
        <w:tc>
          <w:tcPr>
            <w:tcW w:w="2260" w:type="dxa"/>
          </w:tcPr>
          <w:p w:rsidRPr="00755640" w:rsidR="008B722F" w:rsidP="008B722F" w:rsidRDefault="00905EDB" w14:paraId="6A1E4487" w14:textId="67735940">
            <w:pPr>
              <w:pStyle w:val="Geenafstand"/>
              <w:rPr>
                <w:rFonts w:ascii="Verdana" w:hAnsi="Verdana"/>
                <w:sz w:val="15"/>
                <w:szCs w:val="15"/>
              </w:rPr>
            </w:pPr>
            <w:r w:rsidRPr="00755640">
              <w:rPr>
                <w:rFonts w:ascii="Verdana" w:hAnsi="Verdana"/>
                <w:sz w:val="15"/>
                <w:szCs w:val="15"/>
              </w:rPr>
              <w:t>De artikelen 23, 32, 45</w:t>
            </w:r>
            <w:r w:rsidRPr="00755640" w:rsidR="002615F8">
              <w:rPr>
                <w:rFonts w:ascii="Verdana" w:hAnsi="Verdana"/>
                <w:sz w:val="15"/>
                <w:szCs w:val="15"/>
              </w:rPr>
              <w:t xml:space="preserve"> en</w:t>
            </w:r>
            <w:r w:rsidRPr="00755640">
              <w:rPr>
                <w:rFonts w:ascii="Verdana" w:hAnsi="Verdana"/>
                <w:sz w:val="15"/>
                <w:szCs w:val="15"/>
              </w:rPr>
              <w:t xml:space="preserve"> 48 </w:t>
            </w:r>
            <w:proofErr w:type="spellStart"/>
            <w:r w:rsidRPr="00755640">
              <w:rPr>
                <w:rFonts w:ascii="Verdana" w:hAnsi="Verdana"/>
                <w:sz w:val="15"/>
                <w:szCs w:val="15"/>
              </w:rPr>
              <w:t>Cbw</w:t>
            </w:r>
            <w:proofErr w:type="spellEnd"/>
          </w:p>
        </w:tc>
        <w:tc>
          <w:tcPr>
            <w:tcW w:w="2260" w:type="dxa"/>
          </w:tcPr>
          <w:p w:rsidRPr="00755640" w:rsidR="008B722F" w:rsidP="008B722F" w:rsidRDefault="008B722F" w14:paraId="2637CC41" w14:textId="2A6F892F">
            <w:pPr>
              <w:pStyle w:val="Geenafstand"/>
              <w:rPr>
                <w:rFonts w:ascii="Verdana" w:hAnsi="Verdana"/>
                <w:sz w:val="15"/>
                <w:szCs w:val="15"/>
              </w:rPr>
            </w:pPr>
            <w:r w:rsidRPr="00755640">
              <w:rPr>
                <w:rFonts w:ascii="Verdana" w:hAnsi="Verdana"/>
                <w:sz w:val="15"/>
                <w:szCs w:val="15"/>
              </w:rPr>
              <w:t xml:space="preserve">De mogelijkheid om specifieke entiteiten </w:t>
            </w:r>
            <w:r w:rsidRPr="00755640" w:rsidR="00905EDB">
              <w:rPr>
                <w:rFonts w:ascii="Verdana" w:hAnsi="Verdana"/>
                <w:sz w:val="15"/>
                <w:szCs w:val="15"/>
              </w:rPr>
              <w:t xml:space="preserve">vrij te stellen van bepaalde verplichtingen. </w:t>
            </w:r>
          </w:p>
        </w:tc>
        <w:tc>
          <w:tcPr>
            <w:tcW w:w="2261" w:type="dxa"/>
          </w:tcPr>
          <w:p w:rsidRPr="00755640" w:rsidR="008B722F" w:rsidP="008B722F" w:rsidRDefault="00905EDB" w14:paraId="45A3B1F4" w14:textId="2B6E8101">
            <w:pPr>
              <w:pStyle w:val="Geenafstand"/>
              <w:rPr>
                <w:rFonts w:ascii="Verdana" w:hAnsi="Verdana"/>
                <w:sz w:val="15"/>
                <w:szCs w:val="15"/>
              </w:rPr>
            </w:pPr>
            <w:r w:rsidRPr="00755640">
              <w:rPr>
                <w:rFonts w:ascii="Verdana" w:hAnsi="Verdana"/>
                <w:sz w:val="15"/>
                <w:szCs w:val="15"/>
              </w:rPr>
              <w:t xml:space="preserve">De genoemde artikelen uit de </w:t>
            </w:r>
            <w:proofErr w:type="spellStart"/>
            <w:r w:rsidRPr="00755640">
              <w:rPr>
                <w:rFonts w:ascii="Verdana" w:hAnsi="Verdana"/>
                <w:sz w:val="15"/>
                <w:szCs w:val="15"/>
              </w:rPr>
              <w:t>Cbw</w:t>
            </w:r>
            <w:proofErr w:type="spellEnd"/>
            <w:r w:rsidRPr="00755640">
              <w:rPr>
                <w:rFonts w:ascii="Verdana" w:hAnsi="Verdana"/>
                <w:sz w:val="15"/>
                <w:szCs w:val="15"/>
              </w:rPr>
              <w:t xml:space="preserve"> voorzien in de bevoegdheid van Onze Minister die het aangaat tot het ontheffen van bepaalde entiteiten van bepaalde verplichtingen. Die bevoegdheid strekt tot de entiteiten en verplichtingen, bedoeld in artikel 2, achtste lid, NIS2-richtlijn. </w:t>
            </w:r>
          </w:p>
        </w:tc>
      </w:tr>
      <w:tr w:rsidRPr="00755640" w:rsidR="00D66BB6" w:rsidTr="006231F6" w14:paraId="2497C90D" w14:textId="77777777">
        <w:tc>
          <w:tcPr>
            <w:tcW w:w="2260" w:type="dxa"/>
          </w:tcPr>
          <w:p w:rsidRPr="00755640" w:rsidR="008B722F" w:rsidP="008B722F" w:rsidRDefault="008B722F" w14:paraId="68E4D123" w14:textId="241CF66F">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negende </w:t>
            </w:r>
            <w:r w:rsidRPr="00755640">
              <w:rPr>
                <w:rFonts w:ascii="Verdana" w:hAnsi="Verdana"/>
                <w:sz w:val="15"/>
                <w:szCs w:val="15"/>
              </w:rPr>
              <w:t>lid</w:t>
            </w:r>
          </w:p>
        </w:tc>
        <w:tc>
          <w:tcPr>
            <w:tcW w:w="2260" w:type="dxa"/>
          </w:tcPr>
          <w:p w:rsidRPr="00755640" w:rsidR="008B722F" w:rsidP="008B722F" w:rsidRDefault="002615F8" w14:paraId="2D3818D0" w14:textId="13EEA6B2">
            <w:pPr>
              <w:pStyle w:val="Geenafstand"/>
              <w:rPr>
                <w:rFonts w:ascii="Verdana" w:hAnsi="Verdana"/>
                <w:sz w:val="15"/>
                <w:szCs w:val="15"/>
              </w:rPr>
            </w:pPr>
            <w:r w:rsidRPr="00755640">
              <w:rPr>
                <w:rFonts w:ascii="Verdana" w:hAnsi="Verdana"/>
                <w:sz w:val="15"/>
                <w:szCs w:val="15"/>
              </w:rPr>
              <w:t xml:space="preserve">De artikelen 5, tweede lid, 23, tweede lid, 32, tweede lid, 45, tweede lid, en 48, tweede lid, </w:t>
            </w:r>
            <w:proofErr w:type="spellStart"/>
            <w:r w:rsidRPr="00755640">
              <w:rPr>
                <w:rFonts w:ascii="Verdana" w:hAnsi="Verdana"/>
                <w:sz w:val="15"/>
                <w:szCs w:val="15"/>
              </w:rPr>
              <w:t>Cbw</w:t>
            </w:r>
            <w:proofErr w:type="spellEnd"/>
            <w:r w:rsidRPr="00755640" w:rsidDel="002615F8">
              <w:rPr>
                <w:rFonts w:ascii="Verdana" w:hAnsi="Verdana"/>
                <w:sz w:val="15"/>
                <w:szCs w:val="15"/>
              </w:rPr>
              <w:t xml:space="preserve"> </w:t>
            </w:r>
          </w:p>
        </w:tc>
        <w:tc>
          <w:tcPr>
            <w:tcW w:w="2260" w:type="dxa"/>
          </w:tcPr>
          <w:p w:rsidRPr="00755640" w:rsidR="008B722F" w:rsidP="008B722F" w:rsidRDefault="002615F8" w14:paraId="5C1CA905" w14:textId="2CA8494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2615F8" w14:paraId="528D0D44" w14:textId="1333AA03">
            <w:pPr>
              <w:pStyle w:val="Geenafstand"/>
              <w:rPr>
                <w:rFonts w:ascii="Verdana" w:hAnsi="Verdana"/>
                <w:sz w:val="15"/>
                <w:szCs w:val="15"/>
              </w:rPr>
            </w:pPr>
            <w:r w:rsidRPr="00755640">
              <w:rPr>
                <w:rFonts w:ascii="Verdana" w:hAnsi="Verdana"/>
                <w:sz w:val="15"/>
                <w:szCs w:val="15"/>
              </w:rPr>
              <w:t>-</w:t>
            </w:r>
          </w:p>
        </w:tc>
      </w:tr>
      <w:tr w:rsidRPr="00755640" w:rsidR="00D66BB6" w:rsidTr="006231F6" w14:paraId="0F96E65A" w14:textId="77777777">
        <w:tc>
          <w:tcPr>
            <w:tcW w:w="2260" w:type="dxa"/>
          </w:tcPr>
          <w:p w:rsidRPr="00755640" w:rsidR="008B722F" w:rsidP="008B722F" w:rsidRDefault="008B722F" w14:paraId="05852F77" w14:textId="0626B561">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tiende </w:t>
            </w:r>
            <w:r w:rsidRPr="00755640">
              <w:rPr>
                <w:rFonts w:ascii="Verdana" w:hAnsi="Verdana"/>
                <w:sz w:val="15"/>
                <w:szCs w:val="15"/>
              </w:rPr>
              <w:t>lid</w:t>
            </w:r>
          </w:p>
        </w:tc>
        <w:tc>
          <w:tcPr>
            <w:tcW w:w="2260" w:type="dxa"/>
          </w:tcPr>
          <w:p w:rsidRPr="00755640" w:rsidR="008B722F" w:rsidP="008B722F" w:rsidRDefault="00F93B5F" w14:paraId="617A8C6B" w14:textId="457DAD3E">
            <w:pPr>
              <w:pStyle w:val="Geenafstand"/>
              <w:rPr>
                <w:rFonts w:ascii="Verdana" w:hAnsi="Verdana"/>
                <w:sz w:val="15"/>
                <w:szCs w:val="15"/>
              </w:rPr>
            </w:pPr>
            <w:r w:rsidRPr="00755640">
              <w:rPr>
                <w:rFonts w:ascii="Verdana" w:hAnsi="Verdana"/>
                <w:sz w:val="15"/>
                <w:szCs w:val="15"/>
              </w:rPr>
              <w:t xml:space="preserve">Artikel </w:t>
            </w:r>
            <w:r w:rsidRPr="00755640" w:rsidR="00D46A8A">
              <w:rPr>
                <w:rFonts w:ascii="Verdana" w:hAnsi="Verdana"/>
                <w:sz w:val="15"/>
                <w:szCs w:val="15"/>
              </w:rPr>
              <w:t>7</w:t>
            </w:r>
            <w:r w:rsidRPr="00755640">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F93B5F" w14:paraId="3569DACF" w14:textId="376FBDE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93B5F" w14:paraId="38FC0D4B" w14:textId="488944DF">
            <w:pPr>
              <w:pStyle w:val="Geenafstand"/>
              <w:rPr>
                <w:rFonts w:ascii="Verdana" w:hAnsi="Verdana"/>
                <w:sz w:val="15"/>
                <w:szCs w:val="15"/>
              </w:rPr>
            </w:pPr>
            <w:r w:rsidRPr="00755640">
              <w:rPr>
                <w:rFonts w:ascii="Verdana" w:hAnsi="Verdana"/>
                <w:sz w:val="15"/>
                <w:szCs w:val="15"/>
              </w:rPr>
              <w:t>-</w:t>
            </w:r>
          </w:p>
        </w:tc>
      </w:tr>
      <w:tr w:rsidRPr="00755640" w:rsidR="00D66BB6" w:rsidTr="006231F6" w14:paraId="054FBE84" w14:textId="77777777">
        <w:tc>
          <w:tcPr>
            <w:tcW w:w="2260" w:type="dxa"/>
          </w:tcPr>
          <w:p w:rsidRPr="00755640" w:rsidR="008B722F" w:rsidP="008B722F" w:rsidRDefault="008B722F" w14:paraId="0B07A132" w14:textId="1608EE6E">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elfde </w:t>
            </w:r>
            <w:r w:rsidRPr="00755640">
              <w:rPr>
                <w:rFonts w:ascii="Verdana" w:hAnsi="Verdana"/>
                <w:sz w:val="15"/>
                <w:szCs w:val="15"/>
              </w:rPr>
              <w:t>lid</w:t>
            </w:r>
          </w:p>
        </w:tc>
        <w:tc>
          <w:tcPr>
            <w:tcW w:w="2260" w:type="dxa"/>
          </w:tcPr>
          <w:p w:rsidRPr="00755640" w:rsidR="008B722F" w:rsidP="008B722F" w:rsidRDefault="008B722F" w14:paraId="3EBFB6A8" w14:textId="016BEE4E">
            <w:pPr>
              <w:pStyle w:val="Geenafstand"/>
              <w:rPr>
                <w:rFonts w:ascii="Verdana" w:hAnsi="Verdana"/>
                <w:sz w:val="15"/>
                <w:szCs w:val="15"/>
              </w:rPr>
            </w:pPr>
            <w:r w:rsidRPr="00755640">
              <w:rPr>
                <w:rFonts w:ascii="Verdana" w:hAnsi="Verdana"/>
                <w:sz w:val="15"/>
                <w:szCs w:val="15"/>
              </w:rPr>
              <w:t xml:space="preserve">Artikel </w:t>
            </w:r>
            <w:r w:rsidRPr="00755640" w:rsidR="00754662">
              <w:rPr>
                <w:rFonts w:ascii="Verdana" w:hAnsi="Verdana"/>
                <w:sz w:val="15"/>
                <w:szCs w:val="15"/>
              </w:rPr>
              <w:t>67</w:t>
            </w:r>
            <w:r w:rsidRPr="00755640">
              <w:rPr>
                <w:rFonts w:ascii="Verdana" w:hAnsi="Verdana"/>
                <w:sz w:val="15"/>
                <w:szCs w:val="15"/>
              </w:rPr>
              <w:t xml:space="preserve"> </w:t>
            </w:r>
            <w:proofErr w:type="spellStart"/>
            <w:r w:rsidRPr="00755640" w:rsidR="00F93B5F">
              <w:rPr>
                <w:rFonts w:ascii="Verdana" w:hAnsi="Verdana"/>
                <w:sz w:val="15"/>
                <w:szCs w:val="15"/>
              </w:rPr>
              <w:t>Cbw</w:t>
            </w:r>
            <w:proofErr w:type="spellEnd"/>
          </w:p>
        </w:tc>
        <w:tc>
          <w:tcPr>
            <w:tcW w:w="2260" w:type="dxa"/>
          </w:tcPr>
          <w:p w:rsidRPr="00755640" w:rsidR="008B722F" w:rsidP="008B722F" w:rsidRDefault="00F93B5F" w14:paraId="5BCF2D69" w14:textId="1858D3A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93B5F" w14:paraId="360E01F1" w14:textId="4CD9F062">
            <w:pPr>
              <w:pStyle w:val="Geenafstand"/>
              <w:rPr>
                <w:rFonts w:ascii="Verdana" w:hAnsi="Verdana"/>
                <w:sz w:val="15"/>
                <w:szCs w:val="15"/>
              </w:rPr>
            </w:pPr>
            <w:r w:rsidRPr="00755640">
              <w:rPr>
                <w:rFonts w:ascii="Verdana" w:hAnsi="Verdana"/>
                <w:sz w:val="15"/>
                <w:szCs w:val="15"/>
              </w:rPr>
              <w:t>-</w:t>
            </w:r>
          </w:p>
        </w:tc>
      </w:tr>
      <w:tr w:rsidRPr="00755640" w:rsidR="00D66BB6" w:rsidTr="006231F6" w14:paraId="3B08EABC" w14:textId="77777777">
        <w:tc>
          <w:tcPr>
            <w:tcW w:w="2260" w:type="dxa"/>
          </w:tcPr>
          <w:p w:rsidRPr="00755640" w:rsidR="008B722F" w:rsidP="008B722F" w:rsidRDefault="008B722F" w14:paraId="45CFE312" w14:textId="6FAFC188">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twaalfde </w:t>
            </w:r>
            <w:r w:rsidRPr="00755640">
              <w:rPr>
                <w:rFonts w:ascii="Verdana" w:hAnsi="Verdana"/>
                <w:sz w:val="15"/>
                <w:szCs w:val="15"/>
              </w:rPr>
              <w:t>lid</w:t>
            </w:r>
          </w:p>
        </w:tc>
        <w:tc>
          <w:tcPr>
            <w:tcW w:w="2260" w:type="dxa"/>
          </w:tcPr>
          <w:p w:rsidRPr="00755640" w:rsidR="008B722F" w:rsidP="008B722F" w:rsidRDefault="00754662" w14:paraId="534709D2" w14:textId="24A1E474">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754662" w14:paraId="6750A6C9" w14:textId="672BDDA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754662" w14:paraId="1C1B63A2" w14:textId="2A04849A">
            <w:pPr>
              <w:pStyle w:val="Geenafstand"/>
              <w:rPr>
                <w:rFonts w:ascii="Verdana" w:hAnsi="Verdana"/>
                <w:sz w:val="15"/>
                <w:szCs w:val="15"/>
              </w:rPr>
            </w:pPr>
            <w:r w:rsidRPr="00755640">
              <w:rPr>
                <w:rFonts w:ascii="Verdana" w:hAnsi="Verdana"/>
                <w:sz w:val="15"/>
                <w:szCs w:val="15"/>
              </w:rPr>
              <w:t>Deze bepaling behoeft geen implementatie in nationale wetgeving, omdat het ziet op de uitleg dat de richtlijn van toepassing is onverminderd enkele andere genoemde EU-wetgeving.</w:t>
            </w:r>
          </w:p>
        </w:tc>
      </w:tr>
      <w:tr w:rsidRPr="00755640" w:rsidR="00D66BB6" w:rsidTr="006231F6" w14:paraId="3813EB9C" w14:textId="77777777">
        <w:tc>
          <w:tcPr>
            <w:tcW w:w="2260" w:type="dxa"/>
          </w:tcPr>
          <w:p w:rsidRPr="00755640" w:rsidR="008B722F" w:rsidP="008B722F" w:rsidRDefault="008B722F" w14:paraId="1E5271A0" w14:textId="44A07ADD">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dertiende </w:t>
            </w:r>
            <w:r w:rsidRPr="00755640">
              <w:rPr>
                <w:rFonts w:ascii="Verdana" w:hAnsi="Verdana"/>
                <w:sz w:val="15"/>
                <w:szCs w:val="15"/>
              </w:rPr>
              <w:t>lid</w:t>
            </w:r>
          </w:p>
        </w:tc>
        <w:tc>
          <w:tcPr>
            <w:tcW w:w="2260" w:type="dxa"/>
          </w:tcPr>
          <w:p w:rsidRPr="00755640" w:rsidR="008B722F" w:rsidP="008B722F" w:rsidRDefault="008B722F" w14:paraId="5BDDCBC2" w14:textId="71C5FFDE">
            <w:pPr>
              <w:pStyle w:val="Geenafstand"/>
              <w:rPr>
                <w:rFonts w:ascii="Verdana" w:hAnsi="Verdana"/>
                <w:sz w:val="15"/>
                <w:szCs w:val="15"/>
              </w:rPr>
            </w:pPr>
            <w:r w:rsidRPr="00755640">
              <w:rPr>
                <w:rFonts w:ascii="Verdana" w:hAnsi="Verdana"/>
                <w:sz w:val="15"/>
                <w:szCs w:val="15"/>
              </w:rPr>
              <w:t xml:space="preserve">Artikel </w:t>
            </w:r>
            <w:r w:rsidRPr="00755640" w:rsidR="00754662">
              <w:rPr>
                <w:rFonts w:ascii="Verdana" w:hAnsi="Verdana"/>
                <w:sz w:val="15"/>
                <w:szCs w:val="15"/>
              </w:rPr>
              <w:t>66</w:t>
            </w:r>
            <w:r w:rsidRPr="00755640">
              <w:rPr>
                <w:rFonts w:ascii="Verdana" w:hAnsi="Verdana"/>
                <w:sz w:val="15"/>
                <w:szCs w:val="15"/>
              </w:rPr>
              <w:t xml:space="preserve"> </w:t>
            </w:r>
            <w:proofErr w:type="spellStart"/>
            <w:r w:rsidRPr="00755640" w:rsidR="00F93B5F">
              <w:rPr>
                <w:rFonts w:ascii="Verdana" w:hAnsi="Verdana"/>
                <w:sz w:val="15"/>
                <w:szCs w:val="15"/>
              </w:rPr>
              <w:t>Cbw</w:t>
            </w:r>
            <w:proofErr w:type="spellEnd"/>
          </w:p>
        </w:tc>
        <w:tc>
          <w:tcPr>
            <w:tcW w:w="2260" w:type="dxa"/>
          </w:tcPr>
          <w:p w:rsidRPr="00755640" w:rsidR="008B722F" w:rsidP="008B722F" w:rsidRDefault="00F93B5F" w14:paraId="66DEBA00" w14:textId="1C6CEBD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93B5F" w14:paraId="09927AC1" w14:textId="59C75956">
            <w:pPr>
              <w:pStyle w:val="Geenafstand"/>
              <w:rPr>
                <w:rFonts w:ascii="Verdana" w:hAnsi="Verdana"/>
                <w:sz w:val="15"/>
                <w:szCs w:val="15"/>
              </w:rPr>
            </w:pPr>
            <w:r w:rsidRPr="00755640">
              <w:rPr>
                <w:rFonts w:ascii="Verdana" w:hAnsi="Verdana"/>
                <w:sz w:val="15"/>
                <w:szCs w:val="15"/>
              </w:rPr>
              <w:t>-</w:t>
            </w:r>
          </w:p>
        </w:tc>
      </w:tr>
      <w:tr w:rsidRPr="00755640" w:rsidR="00D66BB6" w:rsidTr="006231F6" w14:paraId="1D6B0672" w14:textId="77777777">
        <w:tc>
          <w:tcPr>
            <w:tcW w:w="2260" w:type="dxa"/>
          </w:tcPr>
          <w:p w:rsidRPr="00755640" w:rsidR="008B722F" w:rsidP="008B722F" w:rsidRDefault="008B722F" w14:paraId="548E43EC" w14:textId="5B963EE2">
            <w:pPr>
              <w:pStyle w:val="Geenafstand"/>
              <w:rPr>
                <w:rFonts w:ascii="Verdana" w:hAnsi="Verdana"/>
                <w:sz w:val="15"/>
                <w:szCs w:val="15"/>
              </w:rPr>
            </w:pPr>
            <w:r w:rsidRPr="00755640">
              <w:rPr>
                <w:rFonts w:ascii="Verdana" w:hAnsi="Verdana"/>
                <w:sz w:val="15"/>
                <w:szCs w:val="15"/>
              </w:rPr>
              <w:t xml:space="preserve">Artikel 2, </w:t>
            </w:r>
            <w:r w:rsidRPr="00755640" w:rsidR="00194EF4">
              <w:rPr>
                <w:rFonts w:ascii="Verdana" w:hAnsi="Verdana"/>
                <w:sz w:val="15"/>
                <w:szCs w:val="15"/>
              </w:rPr>
              <w:t xml:space="preserve">veertiende </w:t>
            </w:r>
            <w:r w:rsidRPr="00755640">
              <w:rPr>
                <w:rFonts w:ascii="Verdana" w:hAnsi="Verdana"/>
                <w:sz w:val="15"/>
                <w:szCs w:val="15"/>
              </w:rPr>
              <w:t>lid</w:t>
            </w:r>
          </w:p>
        </w:tc>
        <w:tc>
          <w:tcPr>
            <w:tcW w:w="2260" w:type="dxa"/>
          </w:tcPr>
          <w:p w:rsidRPr="00755640" w:rsidR="008B722F" w:rsidP="008B722F" w:rsidRDefault="008B722F" w14:paraId="70D0A726" w14:textId="53F5E929">
            <w:pPr>
              <w:pStyle w:val="Geenafstand"/>
              <w:rPr>
                <w:rFonts w:ascii="Verdana" w:hAnsi="Verdana"/>
                <w:sz w:val="15"/>
                <w:szCs w:val="15"/>
              </w:rPr>
            </w:pPr>
            <w:r w:rsidRPr="00755640">
              <w:rPr>
                <w:rFonts w:ascii="Verdana" w:hAnsi="Verdana"/>
                <w:sz w:val="15"/>
                <w:szCs w:val="15"/>
              </w:rPr>
              <w:t xml:space="preserve">Artikel </w:t>
            </w:r>
            <w:r w:rsidRPr="00755640" w:rsidR="00754662">
              <w:rPr>
                <w:rFonts w:ascii="Verdana" w:hAnsi="Verdana"/>
                <w:sz w:val="15"/>
                <w:szCs w:val="15"/>
              </w:rPr>
              <w:t xml:space="preserve">63 </w:t>
            </w:r>
            <w:proofErr w:type="spellStart"/>
            <w:r w:rsidRPr="00755640" w:rsidR="00754662">
              <w:rPr>
                <w:rFonts w:ascii="Verdana" w:hAnsi="Verdana"/>
                <w:sz w:val="15"/>
                <w:szCs w:val="15"/>
              </w:rPr>
              <w:t>Cbw</w:t>
            </w:r>
            <w:proofErr w:type="spellEnd"/>
          </w:p>
        </w:tc>
        <w:tc>
          <w:tcPr>
            <w:tcW w:w="2260" w:type="dxa"/>
          </w:tcPr>
          <w:p w:rsidRPr="00755640" w:rsidR="008B722F" w:rsidP="008B722F" w:rsidRDefault="00754662" w14:paraId="0FA944A9" w14:textId="63F27EB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754662" w14:paraId="6BBBB194" w14:textId="1306D480">
            <w:pPr>
              <w:pStyle w:val="Geenafstand"/>
              <w:rPr>
                <w:rFonts w:ascii="Verdana" w:hAnsi="Verdana"/>
                <w:sz w:val="15"/>
                <w:szCs w:val="15"/>
              </w:rPr>
            </w:pPr>
            <w:r w:rsidRPr="00755640">
              <w:rPr>
                <w:rFonts w:ascii="Verdana" w:hAnsi="Verdana"/>
                <w:sz w:val="15"/>
                <w:szCs w:val="15"/>
              </w:rPr>
              <w:t>-</w:t>
            </w:r>
          </w:p>
        </w:tc>
      </w:tr>
      <w:tr w:rsidRPr="00755640" w:rsidR="00D66BB6" w:rsidTr="006231F6" w14:paraId="6DF2ECD7" w14:textId="77777777">
        <w:tc>
          <w:tcPr>
            <w:tcW w:w="2260" w:type="dxa"/>
          </w:tcPr>
          <w:p w:rsidRPr="00755640" w:rsidR="008B722F" w:rsidP="008B722F" w:rsidRDefault="008B722F" w14:paraId="62769EAB" w14:textId="2D907EF0">
            <w:pPr>
              <w:pStyle w:val="Geenafstand"/>
              <w:rPr>
                <w:rFonts w:ascii="Verdana" w:hAnsi="Verdana"/>
                <w:sz w:val="15"/>
                <w:szCs w:val="15"/>
              </w:rPr>
            </w:pPr>
            <w:r w:rsidRPr="00755640">
              <w:rPr>
                <w:rFonts w:ascii="Verdana" w:hAnsi="Verdana"/>
                <w:sz w:val="15"/>
                <w:szCs w:val="15"/>
              </w:rPr>
              <w:t xml:space="preserve">Artikel 3, </w:t>
            </w:r>
            <w:r w:rsidRPr="00755640" w:rsidR="00194EF4">
              <w:rPr>
                <w:rFonts w:ascii="Verdana" w:hAnsi="Verdana"/>
                <w:sz w:val="15"/>
                <w:szCs w:val="15"/>
              </w:rPr>
              <w:t xml:space="preserve">eerste </w:t>
            </w:r>
            <w:r w:rsidRPr="00755640">
              <w:rPr>
                <w:rFonts w:ascii="Verdana" w:hAnsi="Verdana"/>
                <w:sz w:val="15"/>
                <w:szCs w:val="15"/>
              </w:rPr>
              <w:t>lid,</w:t>
            </w:r>
            <w:r w:rsidRPr="00755640" w:rsidR="008A4B88">
              <w:rPr>
                <w:rFonts w:ascii="Verdana" w:hAnsi="Verdana"/>
                <w:sz w:val="15"/>
                <w:szCs w:val="15"/>
              </w:rPr>
              <w:t xml:space="preserve"> onderdelen a tot en met f</w:t>
            </w:r>
          </w:p>
        </w:tc>
        <w:tc>
          <w:tcPr>
            <w:tcW w:w="2260" w:type="dxa"/>
          </w:tcPr>
          <w:p w:rsidRPr="00755640" w:rsidR="008B722F" w:rsidP="008B722F" w:rsidRDefault="008A4B88" w14:paraId="7BB2008D" w14:textId="1B6287BE">
            <w:pPr>
              <w:pStyle w:val="Geenafstand"/>
              <w:rPr>
                <w:rFonts w:ascii="Verdana" w:hAnsi="Verdana"/>
                <w:sz w:val="15"/>
                <w:szCs w:val="15"/>
              </w:rPr>
            </w:pPr>
            <w:r w:rsidRPr="00755640">
              <w:rPr>
                <w:rFonts w:ascii="Verdana" w:hAnsi="Verdana"/>
                <w:sz w:val="15"/>
                <w:szCs w:val="15"/>
              </w:rPr>
              <w:t xml:space="preserve">De artikelen 8 en 9 </w:t>
            </w:r>
            <w:proofErr w:type="spellStart"/>
            <w:r w:rsidRPr="00755640">
              <w:rPr>
                <w:rFonts w:ascii="Verdana" w:hAnsi="Verdana"/>
                <w:sz w:val="15"/>
                <w:szCs w:val="15"/>
              </w:rPr>
              <w:t>Cbw</w:t>
            </w:r>
            <w:proofErr w:type="spellEnd"/>
          </w:p>
        </w:tc>
        <w:tc>
          <w:tcPr>
            <w:tcW w:w="2260" w:type="dxa"/>
          </w:tcPr>
          <w:p w:rsidRPr="00755640" w:rsidR="008B722F" w:rsidP="008B722F" w:rsidRDefault="008A4B88" w14:paraId="76CC19C7" w14:textId="580D5BB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A4B88" w14:paraId="0F05F18A" w14:textId="0FEFF69A">
            <w:pPr>
              <w:pStyle w:val="Geenafstand"/>
              <w:rPr>
                <w:rFonts w:ascii="Verdana" w:hAnsi="Verdana"/>
                <w:sz w:val="15"/>
                <w:szCs w:val="15"/>
              </w:rPr>
            </w:pPr>
            <w:r w:rsidRPr="00755640">
              <w:rPr>
                <w:rFonts w:ascii="Verdana" w:hAnsi="Verdana"/>
                <w:sz w:val="15"/>
                <w:szCs w:val="15"/>
              </w:rPr>
              <w:t>-</w:t>
            </w:r>
          </w:p>
        </w:tc>
      </w:tr>
      <w:tr w:rsidRPr="00755640" w:rsidR="00D66BB6" w:rsidTr="006231F6" w14:paraId="646A8DC4" w14:textId="77777777">
        <w:tc>
          <w:tcPr>
            <w:tcW w:w="2260" w:type="dxa"/>
          </w:tcPr>
          <w:p w:rsidRPr="00755640" w:rsidR="008B722F" w:rsidP="008B722F" w:rsidRDefault="008B722F" w14:paraId="61875A4A" w14:textId="1BAC5CBD">
            <w:pPr>
              <w:pStyle w:val="Geenafstand"/>
              <w:rPr>
                <w:rFonts w:ascii="Verdana" w:hAnsi="Verdana"/>
                <w:sz w:val="15"/>
                <w:szCs w:val="15"/>
              </w:rPr>
            </w:pPr>
            <w:r w:rsidRPr="00755640">
              <w:rPr>
                <w:rFonts w:ascii="Verdana" w:hAnsi="Verdana"/>
                <w:sz w:val="15"/>
                <w:szCs w:val="15"/>
              </w:rPr>
              <w:t xml:space="preserve">Artikel 3, </w:t>
            </w:r>
            <w:r w:rsidRPr="00755640" w:rsidR="00194EF4">
              <w:rPr>
                <w:rFonts w:ascii="Verdana" w:hAnsi="Verdana"/>
                <w:sz w:val="15"/>
                <w:szCs w:val="15"/>
              </w:rPr>
              <w:t xml:space="preserve">eerste </w:t>
            </w:r>
            <w:r w:rsidRPr="00755640">
              <w:rPr>
                <w:rFonts w:ascii="Verdana" w:hAnsi="Verdana"/>
                <w:sz w:val="15"/>
                <w:szCs w:val="15"/>
              </w:rPr>
              <w:t>lid, onder</w:t>
            </w:r>
            <w:r w:rsidRPr="00755640" w:rsidR="00194EF4">
              <w:rPr>
                <w:rFonts w:ascii="Verdana" w:hAnsi="Verdana"/>
                <w:sz w:val="15"/>
                <w:szCs w:val="15"/>
              </w:rPr>
              <w:t>deel</w:t>
            </w:r>
            <w:r w:rsidRPr="00755640">
              <w:rPr>
                <w:rFonts w:ascii="Verdana" w:hAnsi="Verdana"/>
                <w:sz w:val="15"/>
                <w:szCs w:val="15"/>
              </w:rPr>
              <w:t xml:space="preserve"> g</w:t>
            </w:r>
          </w:p>
        </w:tc>
        <w:tc>
          <w:tcPr>
            <w:tcW w:w="2260" w:type="dxa"/>
          </w:tcPr>
          <w:p w:rsidRPr="00755640" w:rsidR="008B722F" w:rsidP="008B722F" w:rsidRDefault="00F93B5F" w14:paraId="209FB8D4" w14:textId="2DFE5399">
            <w:pPr>
              <w:pStyle w:val="Geenafstand"/>
              <w:rPr>
                <w:rFonts w:ascii="Verdana" w:hAnsi="Verdana"/>
                <w:sz w:val="15"/>
                <w:szCs w:val="15"/>
              </w:rPr>
            </w:pPr>
            <w:r w:rsidRPr="00755640">
              <w:rPr>
                <w:rFonts w:ascii="Verdana" w:hAnsi="Verdana"/>
                <w:sz w:val="15"/>
                <w:szCs w:val="15"/>
              </w:rPr>
              <w:t xml:space="preserve">Artikel </w:t>
            </w:r>
            <w:r w:rsidRPr="00755640" w:rsidR="00754662">
              <w:rPr>
                <w:rFonts w:ascii="Verdana" w:hAnsi="Verdana"/>
                <w:sz w:val="15"/>
                <w:szCs w:val="15"/>
              </w:rPr>
              <w:t>10</w:t>
            </w:r>
            <w:r w:rsidRPr="00755640">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754662" w14:paraId="2A825EBB" w14:textId="69435891">
            <w:pPr>
              <w:pStyle w:val="Geenafstand"/>
              <w:rPr>
                <w:rFonts w:ascii="Verdana" w:hAnsi="Verdana"/>
                <w:sz w:val="15"/>
                <w:szCs w:val="15"/>
              </w:rPr>
            </w:pPr>
            <w:r w:rsidRPr="00755640">
              <w:rPr>
                <w:rFonts w:ascii="Verdana" w:hAnsi="Verdana"/>
                <w:sz w:val="15"/>
                <w:szCs w:val="15"/>
              </w:rPr>
              <w:t xml:space="preserve">De mogelijkheid om </w:t>
            </w:r>
            <w:r w:rsidRPr="00755640" w:rsidR="00F93B5F">
              <w:rPr>
                <w:rFonts w:ascii="Verdana" w:hAnsi="Verdana"/>
                <w:sz w:val="15"/>
                <w:szCs w:val="15"/>
              </w:rPr>
              <w:t xml:space="preserve">de entiteiten die voor 16 januari 2023 door </w:t>
            </w:r>
            <w:r w:rsidRPr="00755640">
              <w:rPr>
                <w:rFonts w:ascii="Verdana" w:hAnsi="Verdana"/>
                <w:sz w:val="15"/>
                <w:szCs w:val="15"/>
              </w:rPr>
              <w:t xml:space="preserve">Nederland zijn aangemerkt als </w:t>
            </w:r>
            <w:r w:rsidRPr="00755640" w:rsidR="00F93B5F">
              <w:rPr>
                <w:rFonts w:ascii="Verdana" w:hAnsi="Verdana"/>
                <w:sz w:val="15"/>
                <w:szCs w:val="15"/>
              </w:rPr>
              <w:t>aanbieder van essentiële diensten</w:t>
            </w:r>
            <w:r w:rsidRPr="00755640">
              <w:rPr>
                <w:rFonts w:ascii="Verdana" w:hAnsi="Verdana"/>
                <w:sz w:val="15"/>
                <w:szCs w:val="15"/>
              </w:rPr>
              <w:t xml:space="preserve"> overeenkomstig de NIS1-richtlijn, te beschouwen als essentiële entiteit.</w:t>
            </w:r>
          </w:p>
        </w:tc>
        <w:tc>
          <w:tcPr>
            <w:tcW w:w="2261" w:type="dxa"/>
          </w:tcPr>
          <w:p w:rsidRPr="00755640" w:rsidR="008B722F" w:rsidP="008B722F" w:rsidRDefault="00754662" w14:paraId="6678EADF" w14:textId="41737893">
            <w:pPr>
              <w:pStyle w:val="Geenafstand"/>
              <w:rPr>
                <w:rFonts w:ascii="Verdana" w:hAnsi="Verdana"/>
                <w:sz w:val="15"/>
                <w:szCs w:val="15"/>
              </w:rPr>
            </w:pPr>
            <w:r w:rsidRPr="00755640">
              <w:rPr>
                <w:rFonts w:ascii="Verdana" w:hAnsi="Verdana"/>
                <w:sz w:val="15"/>
                <w:szCs w:val="15"/>
              </w:rPr>
              <w:t xml:space="preserve">Artikel 10 </w:t>
            </w:r>
            <w:proofErr w:type="spellStart"/>
            <w:r w:rsidRPr="00755640">
              <w:rPr>
                <w:rFonts w:ascii="Verdana" w:hAnsi="Verdana"/>
                <w:sz w:val="15"/>
                <w:szCs w:val="15"/>
              </w:rPr>
              <w:t>Cbw</w:t>
            </w:r>
            <w:proofErr w:type="spellEnd"/>
            <w:r w:rsidRPr="00755640">
              <w:rPr>
                <w:rFonts w:ascii="Verdana" w:hAnsi="Verdana"/>
                <w:sz w:val="15"/>
                <w:szCs w:val="15"/>
              </w:rPr>
              <w:t xml:space="preserve"> voorziet in de bevoegdheid om deze aanbieders van essentiële diensten aan te wijzen als essentiële entiteit in de zin van de </w:t>
            </w:r>
            <w:proofErr w:type="spellStart"/>
            <w:r w:rsidRPr="00755640">
              <w:rPr>
                <w:rFonts w:ascii="Verdana" w:hAnsi="Verdana"/>
                <w:sz w:val="15"/>
                <w:szCs w:val="15"/>
              </w:rPr>
              <w:t>Cbw</w:t>
            </w:r>
            <w:proofErr w:type="spellEnd"/>
            <w:r w:rsidRPr="00755640">
              <w:rPr>
                <w:rFonts w:ascii="Verdana" w:hAnsi="Verdana"/>
                <w:sz w:val="15"/>
                <w:szCs w:val="15"/>
              </w:rPr>
              <w:t xml:space="preserve">. </w:t>
            </w:r>
          </w:p>
        </w:tc>
      </w:tr>
      <w:tr w:rsidRPr="00755640" w:rsidR="00D66BB6" w:rsidTr="006231F6" w14:paraId="63EF27F7" w14:textId="77777777">
        <w:tc>
          <w:tcPr>
            <w:tcW w:w="2260" w:type="dxa"/>
          </w:tcPr>
          <w:p w:rsidRPr="00755640" w:rsidR="008B722F" w:rsidP="008B722F" w:rsidRDefault="008B722F" w14:paraId="2C18C497" w14:textId="34CBBCE0">
            <w:pPr>
              <w:pStyle w:val="Geenafstand"/>
              <w:rPr>
                <w:rFonts w:ascii="Verdana" w:hAnsi="Verdana"/>
                <w:sz w:val="15"/>
                <w:szCs w:val="15"/>
              </w:rPr>
            </w:pPr>
            <w:r w:rsidRPr="00755640">
              <w:rPr>
                <w:rFonts w:ascii="Verdana" w:hAnsi="Verdana"/>
                <w:sz w:val="15"/>
                <w:szCs w:val="15"/>
              </w:rPr>
              <w:t xml:space="preserve">Artikel 3, </w:t>
            </w:r>
            <w:r w:rsidRPr="00755640" w:rsidR="00194EF4">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2B5AC0" w14:paraId="4D3A8FAC" w14:textId="57A9AD68">
            <w:pPr>
              <w:pStyle w:val="Geenafstand"/>
              <w:rPr>
                <w:rFonts w:ascii="Verdana" w:hAnsi="Verdana"/>
                <w:sz w:val="15"/>
                <w:szCs w:val="15"/>
              </w:rPr>
            </w:pPr>
            <w:r w:rsidRPr="00755640">
              <w:rPr>
                <w:rFonts w:ascii="Verdana" w:hAnsi="Verdana"/>
                <w:sz w:val="15"/>
                <w:szCs w:val="15"/>
              </w:rPr>
              <w:t xml:space="preserve">Artikel </w:t>
            </w:r>
            <w:r w:rsidRPr="00755640" w:rsidR="008B624A">
              <w:rPr>
                <w:rFonts w:ascii="Verdana" w:hAnsi="Verdana"/>
                <w:sz w:val="15"/>
                <w:szCs w:val="15"/>
              </w:rPr>
              <w:t>12</w:t>
            </w:r>
            <w:r w:rsidRPr="00755640">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2B5AC0" w14:paraId="5AA6A9E0" w14:textId="399C0680">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2B5AC0" w14:paraId="46CFE1E6" w14:textId="6F2942BE">
            <w:pPr>
              <w:pStyle w:val="Geenafstand"/>
              <w:rPr>
                <w:rFonts w:ascii="Verdana" w:hAnsi="Verdana"/>
                <w:sz w:val="15"/>
                <w:szCs w:val="15"/>
              </w:rPr>
            </w:pPr>
            <w:r w:rsidRPr="00755640">
              <w:rPr>
                <w:rFonts w:ascii="Verdana" w:hAnsi="Verdana"/>
                <w:sz w:val="15"/>
                <w:szCs w:val="15"/>
              </w:rPr>
              <w:t>-</w:t>
            </w:r>
          </w:p>
        </w:tc>
      </w:tr>
      <w:tr w:rsidRPr="00755640" w:rsidR="00D66BB6" w:rsidTr="006231F6" w14:paraId="341E3186" w14:textId="77777777">
        <w:tc>
          <w:tcPr>
            <w:tcW w:w="2260" w:type="dxa"/>
          </w:tcPr>
          <w:p w:rsidRPr="00755640" w:rsidR="008B722F" w:rsidP="008B722F" w:rsidRDefault="008B722F" w14:paraId="70AA4140" w14:textId="0719B711">
            <w:pPr>
              <w:pStyle w:val="Geenafstand"/>
              <w:rPr>
                <w:rFonts w:ascii="Verdana" w:hAnsi="Verdana"/>
                <w:sz w:val="15"/>
                <w:szCs w:val="15"/>
              </w:rPr>
            </w:pPr>
            <w:r w:rsidRPr="00755640">
              <w:rPr>
                <w:rFonts w:ascii="Verdana" w:hAnsi="Verdana"/>
                <w:sz w:val="15"/>
                <w:szCs w:val="15"/>
              </w:rPr>
              <w:t xml:space="preserve">Artikel 3, </w:t>
            </w:r>
            <w:r w:rsidRPr="00755640" w:rsidR="00194EF4">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8B722F" w14:paraId="4E963487" w14:textId="236E5CDA">
            <w:pPr>
              <w:pStyle w:val="Geenafstand"/>
              <w:rPr>
                <w:rFonts w:ascii="Verdana" w:hAnsi="Verdana"/>
                <w:sz w:val="15"/>
                <w:szCs w:val="15"/>
              </w:rPr>
            </w:pPr>
            <w:r w:rsidRPr="00755640">
              <w:rPr>
                <w:rFonts w:ascii="Verdana" w:hAnsi="Verdana"/>
                <w:sz w:val="15"/>
                <w:szCs w:val="15"/>
              </w:rPr>
              <w:t xml:space="preserve">Artikel </w:t>
            </w:r>
            <w:r w:rsidRPr="00755640" w:rsidR="008B624A">
              <w:rPr>
                <w:rFonts w:ascii="Verdana" w:hAnsi="Verdana"/>
                <w:sz w:val="15"/>
                <w:szCs w:val="15"/>
              </w:rPr>
              <w:t xml:space="preserve">43 </w:t>
            </w:r>
            <w:proofErr w:type="spellStart"/>
            <w:r w:rsidRPr="00755640" w:rsidR="008B624A">
              <w:rPr>
                <w:rFonts w:ascii="Verdana" w:hAnsi="Verdana"/>
                <w:sz w:val="15"/>
                <w:szCs w:val="15"/>
              </w:rPr>
              <w:t>Cbw</w:t>
            </w:r>
            <w:proofErr w:type="spellEnd"/>
          </w:p>
        </w:tc>
        <w:tc>
          <w:tcPr>
            <w:tcW w:w="2260" w:type="dxa"/>
          </w:tcPr>
          <w:p w:rsidRPr="00755640" w:rsidR="008B722F" w:rsidP="008B722F" w:rsidRDefault="008B624A" w14:paraId="7369F7AE" w14:textId="365F8940">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B624A" w14:paraId="434FC9D8" w14:textId="5CB955BE">
            <w:pPr>
              <w:pStyle w:val="Geenafstand"/>
              <w:rPr>
                <w:rFonts w:ascii="Verdana" w:hAnsi="Verdana"/>
                <w:sz w:val="15"/>
                <w:szCs w:val="15"/>
              </w:rPr>
            </w:pPr>
            <w:r w:rsidRPr="00755640">
              <w:rPr>
                <w:rFonts w:ascii="Verdana" w:hAnsi="Verdana"/>
                <w:sz w:val="15"/>
                <w:szCs w:val="15"/>
              </w:rPr>
              <w:t>-</w:t>
            </w:r>
          </w:p>
        </w:tc>
      </w:tr>
      <w:tr w:rsidRPr="00755640" w:rsidR="00D66BB6" w:rsidTr="006231F6" w14:paraId="455AB3D8" w14:textId="77777777">
        <w:tc>
          <w:tcPr>
            <w:tcW w:w="2260" w:type="dxa"/>
          </w:tcPr>
          <w:p w:rsidRPr="00755640" w:rsidR="008B722F" w:rsidP="008B722F" w:rsidRDefault="008B722F" w14:paraId="67366482" w14:textId="208D2746">
            <w:pPr>
              <w:pStyle w:val="Geenafstand"/>
              <w:rPr>
                <w:rFonts w:ascii="Verdana" w:hAnsi="Verdana"/>
                <w:sz w:val="15"/>
                <w:szCs w:val="15"/>
              </w:rPr>
            </w:pPr>
            <w:r w:rsidRPr="00755640">
              <w:rPr>
                <w:rFonts w:ascii="Verdana" w:hAnsi="Verdana"/>
                <w:sz w:val="15"/>
                <w:szCs w:val="15"/>
              </w:rPr>
              <w:t xml:space="preserve">Artikel 3, </w:t>
            </w:r>
            <w:r w:rsidRPr="00755640" w:rsidR="00B16EB9">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8B722F" w14:paraId="2CBACB16" w14:textId="2AEDA332">
            <w:pPr>
              <w:pStyle w:val="Geenafstand"/>
              <w:rPr>
                <w:rFonts w:ascii="Verdana" w:hAnsi="Verdana"/>
                <w:sz w:val="15"/>
                <w:szCs w:val="15"/>
              </w:rPr>
            </w:pPr>
            <w:r w:rsidRPr="00755640">
              <w:rPr>
                <w:rFonts w:ascii="Verdana" w:hAnsi="Verdana"/>
                <w:sz w:val="15"/>
                <w:szCs w:val="15"/>
              </w:rPr>
              <w:t xml:space="preserve">Artikel </w:t>
            </w:r>
            <w:r w:rsidRPr="00755640" w:rsidR="008B624A">
              <w:rPr>
                <w:rFonts w:ascii="Verdana" w:hAnsi="Verdana"/>
                <w:sz w:val="15"/>
                <w:szCs w:val="15"/>
              </w:rPr>
              <w:t xml:space="preserve">44 </w:t>
            </w:r>
            <w:proofErr w:type="spellStart"/>
            <w:r w:rsidRPr="00755640" w:rsidR="008B624A">
              <w:rPr>
                <w:rFonts w:ascii="Verdana" w:hAnsi="Verdana"/>
                <w:sz w:val="15"/>
                <w:szCs w:val="15"/>
              </w:rPr>
              <w:t>Cbw</w:t>
            </w:r>
            <w:proofErr w:type="spellEnd"/>
          </w:p>
        </w:tc>
        <w:tc>
          <w:tcPr>
            <w:tcW w:w="2260" w:type="dxa"/>
          </w:tcPr>
          <w:p w:rsidRPr="00755640" w:rsidR="008B722F" w:rsidP="008B722F" w:rsidRDefault="008B722F" w14:paraId="150DC823" w14:textId="29B3FE94">
            <w:pPr>
              <w:pStyle w:val="Geenafstand"/>
              <w:rPr>
                <w:rFonts w:ascii="Verdana" w:hAnsi="Verdana"/>
                <w:sz w:val="15"/>
                <w:szCs w:val="15"/>
              </w:rPr>
            </w:pPr>
            <w:r w:rsidRPr="00755640">
              <w:rPr>
                <w:rFonts w:ascii="Verdana" w:hAnsi="Verdana"/>
                <w:sz w:val="15"/>
                <w:szCs w:val="15"/>
              </w:rPr>
              <w:t xml:space="preserve">De mogelijkheid om te bepalen dat de in artikel 3, derde lid, NIS2-richtlijn bedoelde entiteiten voor het opstellen van de lijst meer informatie moeten aanleveren dan in artikel 3, vierde lid, NIS2-richtlijn worden genoemd. </w:t>
            </w:r>
          </w:p>
        </w:tc>
        <w:tc>
          <w:tcPr>
            <w:tcW w:w="2261" w:type="dxa"/>
          </w:tcPr>
          <w:p w:rsidRPr="00755640" w:rsidR="008B722F" w:rsidP="008B722F" w:rsidRDefault="008B624A" w14:paraId="4CC3A295" w14:textId="288A28CC">
            <w:pPr>
              <w:pStyle w:val="Geenafstand"/>
              <w:rPr>
                <w:rFonts w:ascii="Verdana" w:hAnsi="Verdana"/>
                <w:sz w:val="15"/>
                <w:szCs w:val="15"/>
              </w:rPr>
            </w:pPr>
            <w:r w:rsidRPr="00755640">
              <w:rPr>
                <w:rFonts w:ascii="Verdana" w:hAnsi="Verdana"/>
                <w:sz w:val="15"/>
                <w:szCs w:val="15"/>
              </w:rPr>
              <w:t xml:space="preserve">In artikel 44, eerste lid, onderdeel f, </w:t>
            </w:r>
            <w:proofErr w:type="spellStart"/>
            <w:r w:rsidRPr="00755640">
              <w:rPr>
                <w:rFonts w:ascii="Verdana" w:hAnsi="Verdana"/>
                <w:sz w:val="15"/>
                <w:szCs w:val="15"/>
              </w:rPr>
              <w:t>Cbw</w:t>
            </w:r>
            <w:proofErr w:type="spellEnd"/>
            <w:r w:rsidRPr="00755640">
              <w:rPr>
                <w:rFonts w:ascii="Verdana" w:hAnsi="Verdana"/>
                <w:sz w:val="15"/>
                <w:szCs w:val="15"/>
              </w:rPr>
              <w:t xml:space="preserve"> is voorzien in de mogelijkheid om voor te schrijven dat entiteiten meer informatie moeten aanleveren dan die in artikel 3, vierde lid, NIS2-richtlijn staan genoemd. </w:t>
            </w:r>
          </w:p>
        </w:tc>
      </w:tr>
      <w:tr w:rsidRPr="00755640" w:rsidR="00D66BB6" w:rsidTr="006231F6" w14:paraId="40696E33" w14:textId="77777777">
        <w:tc>
          <w:tcPr>
            <w:tcW w:w="2260" w:type="dxa"/>
          </w:tcPr>
          <w:p w:rsidRPr="00755640" w:rsidR="008B722F" w:rsidP="008B722F" w:rsidRDefault="008B722F" w14:paraId="429C1E1A" w14:textId="62286053">
            <w:pPr>
              <w:pStyle w:val="Geenafstand"/>
              <w:rPr>
                <w:rFonts w:ascii="Verdana" w:hAnsi="Verdana"/>
                <w:sz w:val="15"/>
                <w:szCs w:val="15"/>
              </w:rPr>
            </w:pPr>
            <w:r w:rsidRPr="00755640">
              <w:rPr>
                <w:rFonts w:ascii="Verdana" w:hAnsi="Verdana"/>
                <w:sz w:val="15"/>
                <w:szCs w:val="15"/>
              </w:rPr>
              <w:t xml:space="preserve">Artikel 3, </w:t>
            </w:r>
            <w:r w:rsidRPr="00755640" w:rsidR="00B16EB9">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C77138" w14:paraId="7A3B9D44" w14:textId="793A461C">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C77138" w14:paraId="5C0D2107" w14:textId="6400033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77138" w14:paraId="7EB8F5F6" w14:textId="39A287F9">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49D54B2A" w14:textId="77777777">
        <w:tc>
          <w:tcPr>
            <w:tcW w:w="2260" w:type="dxa"/>
          </w:tcPr>
          <w:p w:rsidRPr="00755640" w:rsidR="008B722F" w:rsidP="008B722F" w:rsidRDefault="008B722F" w14:paraId="393303DB" w14:textId="42043D53">
            <w:pPr>
              <w:pStyle w:val="Geenafstand"/>
              <w:rPr>
                <w:rFonts w:ascii="Verdana" w:hAnsi="Verdana"/>
                <w:sz w:val="15"/>
                <w:szCs w:val="15"/>
              </w:rPr>
            </w:pPr>
            <w:r w:rsidRPr="00755640">
              <w:rPr>
                <w:rFonts w:ascii="Verdana" w:hAnsi="Verdana"/>
                <w:sz w:val="15"/>
                <w:szCs w:val="15"/>
              </w:rPr>
              <w:t xml:space="preserve">Artikel 3, </w:t>
            </w:r>
            <w:r w:rsidRPr="00755640" w:rsidR="00B16EB9">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B16EB9" w14:paraId="7527AE8A" w14:textId="37B16594">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B16EB9" w14:paraId="0E5FD700" w14:textId="6F03774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77138" w14:paraId="0DC7E003" w14:textId="1F584042">
            <w:pPr>
              <w:pStyle w:val="Geenafstand"/>
              <w:rPr>
                <w:rFonts w:ascii="Verdana" w:hAnsi="Verdana"/>
                <w:sz w:val="15"/>
                <w:szCs w:val="15"/>
              </w:rPr>
            </w:pPr>
            <w:r w:rsidRPr="00755640">
              <w:rPr>
                <w:rFonts w:ascii="Verdana" w:hAnsi="Verdana"/>
                <w:sz w:val="15"/>
                <w:szCs w:val="15"/>
              </w:rPr>
              <w:t>Deze bepaling ziet op een mogelijkheid van lidstaten en dit behoeft geen implementatie in nationale wetgeving.</w:t>
            </w:r>
          </w:p>
        </w:tc>
      </w:tr>
      <w:tr w:rsidRPr="00755640" w:rsidR="00D66BB6" w:rsidTr="006231F6" w14:paraId="77EC5EA6" w14:textId="77777777">
        <w:tc>
          <w:tcPr>
            <w:tcW w:w="2260" w:type="dxa"/>
          </w:tcPr>
          <w:p w:rsidRPr="00755640" w:rsidR="008B722F" w:rsidP="008B722F" w:rsidRDefault="008B722F" w14:paraId="66888713" w14:textId="2B92C319">
            <w:pPr>
              <w:pStyle w:val="Geenafstand"/>
              <w:rPr>
                <w:rFonts w:ascii="Verdana" w:hAnsi="Verdana"/>
                <w:sz w:val="15"/>
                <w:szCs w:val="15"/>
              </w:rPr>
            </w:pPr>
            <w:r w:rsidRPr="00755640">
              <w:rPr>
                <w:rFonts w:ascii="Verdana" w:hAnsi="Verdana"/>
                <w:sz w:val="15"/>
                <w:szCs w:val="15"/>
              </w:rPr>
              <w:t xml:space="preserve">Artikel 4, </w:t>
            </w:r>
            <w:r w:rsidRPr="00755640" w:rsidR="00B16EB9">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DC75FB" w14:paraId="1EB2E36F" w14:textId="6A0A8DA8">
            <w:pPr>
              <w:pStyle w:val="Geenafstand"/>
              <w:rPr>
                <w:rFonts w:ascii="Verdana" w:hAnsi="Verdana"/>
                <w:sz w:val="15"/>
                <w:szCs w:val="15"/>
              </w:rPr>
            </w:pPr>
            <w:r w:rsidRPr="00755640">
              <w:rPr>
                <w:rFonts w:ascii="Verdana" w:hAnsi="Verdana"/>
                <w:sz w:val="15"/>
                <w:szCs w:val="15"/>
              </w:rPr>
              <w:t xml:space="preserve">De artikelen </w:t>
            </w:r>
            <w:r w:rsidRPr="00755640" w:rsidR="00C77138">
              <w:rPr>
                <w:rFonts w:ascii="Verdana" w:hAnsi="Verdana"/>
                <w:sz w:val="15"/>
                <w:szCs w:val="15"/>
              </w:rPr>
              <w:t>22</w:t>
            </w:r>
            <w:r w:rsidRPr="00755640">
              <w:rPr>
                <w:rFonts w:ascii="Verdana" w:hAnsi="Verdana"/>
                <w:sz w:val="15"/>
                <w:szCs w:val="15"/>
              </w:rPr>
              <w:t xml:space="preserve">, eerste lid, en </w:t>
            </w:r>
            <w:r w:rsidRPr="00755640" w:rsidR="00C77138">
              <w:rPr>
                <w:rFonts w:ascii="Verdana" w:hAnsi="Verdana"/>
                <w:sz w:val="15"/>
                <w:szCs w:val="15"/>
              </w:rPr>
              <w:t>31</w:t>
            </w:r>
            <w:r w:rsidRPr="00755640">
              <w:rPr>
                <w:rFonts w:ascii="Verdana" w:hAnsi="Verdana"/>
                <w:sz w:val="15"/>
                <w:szCs w:val="15"/>
              </w:rPr>
              <w:t xml:space="preserve">, eerste lid, </w:t>
            </w:r>
            <w:proofErr w:type="spellStart"/>
            <w:r w:rsidRPr="00755640">
              <w:rPr>
                <w:rFonts w:ascii="Verdana" w:hAnsi="Verdana"/>
                <w:sz w:val="15"/>
                <w:szCs w:val="15"/>
              </w:rPr>
              <w:t>Cbw</w:t>
            </w:r>
            <w:proofErr w:type="spellEnd"/>
          </w:p>
        </w:tc>
        <w:tc>
          <w:tcPr>
            <w:tcW w:w="2260" w:type="dxa"/>
          </w:tcPr>
          <w:p w:rsidRPr="00755640" w:rsidR="008B722F" w:rsidP="008B722F" w:rsidRDefault="00DC75FB" w14:paraId="4FCBD2A5" w14:textId="4BAD70E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75FB" w14:paraId="595CDC0E" w14:textId="7FBEDD2D">
            <w:pPr>
              <w:pStyle w:val="Geenafstand"/>
              <w:rPr>
                <w:rFonts w:ascii="Verdana" w:hAnsi="Verdana"/>
                <w:sz w:val="15"/>
                <w:szCs w:val="15"/>
              </w:rPr>
            </w:pPr>
            <w:r w:rsidRPr="00755640">
              <w:rPr>
                <w:rFonts w:ascii="Verdana" w:hAnsi="Verdana"/>
                <w:sz w:val="15"/>
                <w:szCs w:val="15"/>
              </w:rPr>
              <w:t>-</w:t>
            </w:r>
          </w:p>
        </w:tc>
      </w:tr>
      <w:tr w:rsidRPr="00755640" w:rsidR="00D66BB6" w:rsidTr="006231F6" w14:paraId="1BED285A" w14:textId="77777777">
        <w:tc>
          <w:tcPr>
            <w:tcW w:w="2260" w:type="dxa"/>
          </w:tcPr>
          <w:p w:rsidRPr="00755640" w:rsidR="008B722F" w:rsidP="008B722F" w:rsidRDefault="008B722F" w14:paraId="075FD36C" w14:textId="31E94318">
            <w:pPr>
              <w:pStyle w:val="Geenafstand"/>
              <w:rPr>
                <w:rFonts w:ascii="Verdana" w:hAnsi="Verdana"/>
                <w:sz w:val="15"/>
                <w:szCs w:val="15"/>
              </w:rPr>
            </w:pPr>
            <w:r w:rsidRPr="00755640">
              <w:rPr>
                <w:rFonts w:ascii="Verdana" w:hAnsi="Verdana"/>
                <w:sz w:val="15"/>
                <w:szCs w:val="15"/>
              </w:rPr>
              <w:t xml:space="preserve">Artikel 4, </w:t>
            </w:r>
            <w:r w:rsidRPr="00755640" w:rsidR="00B16EB9">
              <w:rPr>
                <w:rFonts w:ascii="Verdana" w:hAnsi="Verdana"/>
                <w:sz w:val="15"/>
                <w:szCs w:val="15"/>
              </w:rPr>
              <w:t xml:space="preserve">tweede </w:t>
            </w:r>
            <w:r w:rsidRPr="00755640">
              <w:rPr>
                <w:rFonts w:ascii="Verdana" w:hAnsi="Verdana"/>
                <w:sz w:val="15"/>
                <w:szCs w:val="15"/>
              </w:rPr>
              <w:t>lid</w:t>
            </w:r>
            <w:r w:rsidRPr="00755640" w:rsidR="00B16EB9">
              <w:rPr>
                <w:rFonts w:ascii="Verdana" w:hAnsi="Verdana"/>
                <w:sz w:val="15"/>
                <w:szCs w:val="15"/>
              </w:rPr>
              <w:t>, onderdeel a</w:t>
            </w:r>
          </w:p>
        </w:tc>
        <w:tc>
          <w:tcPr>
            <w:tcW w:w="2260" w:type="dxa"/>
          </w:tcPr>
          <w:p w:rsidRPr="00755640" w:rsidR="008B722F" w:rsidP="008B722F" w:rsidRDefault="00DC75FB" w14:paraId="023E9BD9" w14:textId="5CBFBA1F">
            <w:pPr>
              <w:pStyle w:val="Geenafstand"/>
              <w:rPr>
                <w:rFonts w:ascii="Verdana" w:hAnsi="Verdana"/>
                <w:sz w:val="15"/>
                <w:szCs w:val="15"/>
              </w:rPr>
            </w:pPr>
            <w:r w:rsidRPr="00755640">
              <w:rPr>
                <w:rFonts w:ascii="Verdana" w:hAnsi="Verdana"/>
                <w:sz w:val="15"/>
                <w:szCs w:val="15"/>
              </w:rPr>
              <w:t xml:space="preserve">Artikel </w:t>
            </w:r>
            <w:r w:rsidRPr="00755640" w:rsidR="00C77138">
              <w:rPr>
                <w:rFonts w:ascii="Verdana" w:hAnsi="Verdana"/>
                <w:sz w:val="15"/>
                <w:szCs w:val="15"/>
              </w:rPr>
              <w:t>22</w:t>
            </w:r>
            <w:r w:rsidRPr="00755640">
              <w:rPr>
                <w:rFonts w:ascii="Verdana" w:hAnsi="Verdana"/>
                <w:sz w:val="15"/>
                <w:szCs w:val="15"/>
              </w:rPr>
              <w:t xml:space="preserve">, tweede lid, </w:t>
            </w:r>
            <w:proofErr w:type="spellStart"/>
            <w:r w:rsidRPr="00755640">
              <w:rPr>
                <w:rFonts w:ascii="Verdana" w:hAnsi="Verdana"/>
                <w:sz w:val="15"/>
                <w:szCs w:val="15"/>
              </w:rPr>
              <w:t>Cbw</w:t>
            </w:r>
            <w:proofErr w:type="spellEnd"/>
          </w:p>
        </w:tc>
        <w:tc>
          <w:tcPr>
            <w:tcW w:w="2260" w:type="dxa"/>
          </w:tcPr>
          <w:p w:rsidRPr="00755640" w:rsidR="008B722F" w:rsidP="008B722F" w:rsidRDefault="00DC75FB" w14:paraId="36ED7D7E" w14:textId="117B817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75FB" w14:paraId="4FF42450" w14:textId="2D6AA93B">
            <w:pPr>
              <w:pStyle w:val="Geenafstand"/>
              <w:rPr>
                <w:rFonts w:ascii="Verdana" w:hAnsi="Verdana"/>
                <w:sz w:val="15"/>
                <w:szCs w:val="15"/>
              </w:rPr>
            </w:pPr>
            <w:r w:rsidRPr="00755640">
              <w:rPr>
                <w:rFonts w:ascii="Verdana" w:hAnsi="Verdana"/>
                <w:sz w:val="15"/>
                <w:szCs w:val="15"/>
              </w:rPr>
              <w:t>-</w:t>
            </w:r>
          </w:p>
        </w:tc>
      </w:tr>
      <w:tr w:rsidRPr="00755640" w:rsidR="00B16EB9" w:rsidTr="006231F6" w14:paraId="2796493A" w14:textId="77777777">
        <w:tc>
          <w:tcPr>
            <w:tcW w:w="2260" w:type="dxa"/>
          </w:tcPr>
          <w:p w:rsidRPr="00755640" w:rsidR="00B16EB9" w:rsidP="008B722F" w:rsidRDefault="00B16EB9" w14:paraId="4017FD13" w14:textId="42541F43">
            <w:pPr>
              <w:pStyle w:val="Geenafstand"/>
              <w:rPr>
                <w:rFonts w:ascii="Verdana" w:hAnsi="Verdana"/>
                <w:sz w:val="15"/>
                <w:szCs w:val="15"/>
              </w:rPr>
            </w:pPr>
            <w:r w:rsidRPr="00755640">
              <w:rPr>
                <w:rFonts w:ascii="Verdana" w:hAnsi="Verdana"/>
                <w:sz w:val="15"/>
                <w:szCs w:val="15"/>
              </w:rPr>
              <w:t>Artikel 4, tweede lid, onderdeel b</w:t>
            </w:r>
          </w:p>
        </w:tc>
        <w:tc>
          <w:tcPr>
            <w:tcW w:w="2260" w:type="dxa"/>
          </w:tcPr>
          <w:p w:rsidRPr="00755640" w:rsidR="00B16EB9" w:rsidP="008B722F" w:rsidRDefault="00DC75FB" w14:paraId="73549CDD" w14:textId="30402BAD">
            <w:pPr>
              <w:pStyle w:val="Geenafstand"/>
              <w:rPr>
                <w:rFonts w:ascii="Verdana" w:hAnsi="Verdana"/>
                <w:sz w:val="15"/>
                <w:szCs w:val="15"/>
              </w:rPr>
            </w:pPr>
            <w:r w:rsidRPr="00755640">
              <w:rPr>
                <w:rFonts w:ascii="Verdana" w:hAnsi="Verdana"/>
                <w:sz w:val="15"/>
                <w:szCs w:val="15"/>
              </w:rPr>
              <w:t xml:space="preserve">Artikel </w:t>
            </w:r>
            <w:r w:rsidRPr="00755640" w:rsidR="00C77138">
              <w:rPr>
                <w:rFonts w:ascii="Verdana" w:hAnsi="Verdana"/>
                <w:sz w:val="15"/>
                <w:szCs w:val="15"/>
              </w:rPr>
              <w:t>31</w:t>
            </w:r>
            <w:r w:rsidRPr="00755640">
              <w:rPr>
                <w:rFonts w:ascii="Verdana" w:hAnsi="Verdana"/>
                <w:sz w:val="15"/>
                <w:szCs w:val="15"/>
              </w:rPr>
              <w:t xml:space="preserve">, tweede lid, </w:t>
            </w:r>
            <w:proofErr w:type="spellStart"/>
            <w:r w:rsidRPr="00755640">
              <w:rPr>
                <w:rFonts w:ascii="Verdana" w:hAnsi="Verdana"/>
                <w:sz w:val="15"/>
                <w:szCs w:val="15"/>
              </w:rPr>
              <w:t>Cbw</w:t>
            </w:r>
            <w:proofErr w:type="spellEnd"/>
          </w:p>
        </w:tc>
        <w:tc>
          <w:tcPr>
            <w:tcW w:w="2260" w:type="dxa"/>
          </w:tcPr>
          <w:p w:rsidRPr="00755640" w:rsidR="00B16EB9" w:rsidP="008B722F" w:rsidRDefault="00DC75FB" w14:paraId="1012B7C2" w14:textId="20936C9D">
            <w:pPr>
              <w:pStyle w:val="Geenafstand"/>
              <w:rPr>
                <w:rFonts w:ascii="Verdana" w:hAnsi="Verdana"/>
                <w:sz w:val="15"/>
                <w:szCs w:val="15"/>
              </w:rPr>
            </w:pPr>
            <w:r w:rsidRPr="00755640">
              <w:rPr>
                <w:rFonts w:ascii="Verdana" w:hAnsi="Verdana"/>
                <w:sz w:val="15"/>
                <w:szCs w:val="15"/>
              </w:rPr>
              <w:t>-</w:t>
            </w:r>
          </w:p>
        </w:tc>
        <w:tc>
          <w:tcPr>
            <w:tcW w:w="2261" w:type="dxa"/>
          </w:tcPr>
          <w:p w:rsidRPr="00755640" w:rsidR="00B16EB9" w:rsidP="008B722F" w:rsidRDefault="00DC75FB" w14:paraId="39204F7D" w14:textId="47FFD89F">
            <w:pPr>
              <w:pStyle w:val="Geenafstand"/>
              <w:rPr>
                <w:rFonts w:ascii="Verdana" w:hAnsi="Verdana"/>
                <w:sz w:val="15"/>
                <w:szCs w:val="15"/>
              </w:rPr>
            </w:pPr>
            <w:r w:rsidRPr="00755640">
              <w:rPr>
                <w:rFonts w:ascii="Verdana" w:hAnsi="Verdana"/>
                <w:sz w:val="15"/>
                <w:szCs w:val="15"/>
              </w:rPr>
              <w:t>-</w:t>
            </w:r>
          </w:p>
        </w:tc>
      </w:tr>
      <w:tr w:rsidRPr="00755640" w:rsidR="00D66BB6" w:rsidTr="006231F6" w14:paraId="30D48343" w14:textId="77777777">
        <w:tc>
          <w:tcPr>
            <w:tcW w:w="2260" w:type="dxa"/>
          </w:tcPr>
          <w:p w:rsidRPr="00755640" w:rsidR="008B722F" w:rsidP="008B722F" w:rsidRDefault="008B722F" w14:paraId="080905E2" w14:textId="6F78D643">
            <w:pPr>
              <w:pStyle w:val="Geenafstand"/>
              <w:rPr>
                <w:rFonts w:ascii="Verdana" w:hAnsi="Verdana"/>
                <w:sz w:val="15"/>
                <w:szCs w:val="15"/>
              </w:rPr>
            </w:pPr>
            <w:r w:rsidRPr="00755640">
              <w:rPr>
                <w:rFonts w:ascii="Verdana" w:hAnsi="Verdana"/>
                <w:sz w:val="15"/>
                <w:szCs w:val="15"/>
              </w:rPr>
              <w:t xml:space="preserve">Artikel 4, </w:t>
            </w:r>
            <w:r w:rsidRPr="00755640" w:rsidR="00B16EB9">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477ED0" w14:paraId="5D33564A" w14:textId="28D859A0">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477ED0" w14:paraId="15822EA6" w14:textId="2EC28EF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77ED0" w14:paraId="3E446102" w14:textId="4C1408B9">
            <w:pPr>
              <w:pStyle w:val="Geenafstand"/>
              <w:rPr>
                <w:rFonts w:ascii="Verdana" w:hAnsi="Verdana"/>
                <w:sz w:val="15"/>
                <w:szCs w:val="15"/>
              </w:rPr>
            </w:pPr>
            <w:r w:rsidRPr="00755640">
              <w:rPr>
                <w:rFonts w:ascii="Verdana" w:hAnsi="Verdana"/>
                <w:sz w:val="15"/>
                <w:szCs w:val="15"/>
              </w:rPr>
              <w:t xml:space="preserve">Deze bepaling behoeft geen implementatie in nationale wetgeving. </w:t>
            </w:r>
          </w:p>
        </w:tc>
      </w:tr>
      <w:tr w:rsidRPr="00755640" w:rsidR="00D66BB6" w:rsidTr="006231F6" w14:paraId="4C17C2B8" w14:textId="77777777">
        <w:tc>
          <w:tcPr>
            <w:tcW w:w="2260" w:type="dxa"/>
          </w:tcPr>
          <w:p w:rsidRPr="00755640" w:rsidR="008B722F" w:rsidP="008B722F" w:rsidRDefault="008B722F" w14:paraId="21675D03" w14:textId="77777777">
            <w:pPr>
              <w:pStyle w:val="Geenafstand"/>
              <w:rPr>
                <w:rFonts w:ascii="Verdana" w:hAnsi="Verdana"/>
                <w:sz w:val="15"/>
                <w:szCs w:val="15"/>
              </w:rPr>
            </w:pPr>
            <w:r w:rsidRPr="00755640">
              <w:rPr>
                <w:rFonts w:ascii="Verdana" w:hAnsi="Verdana"/>
                <w:sz w:val="15"/>
                <w:szCs w:val="15"/>
              </w:rPr>
              <w:t>Artikel 5</w:t>
            </w:r>
          </w:p>
        </w:tc>
        <w:tc>
          <w:tcPr>
            <w:tcW w:w="2260" w:type="dxa"/>
          </w:tcPr>
          <w:p w:rsidRPr="00755640" w:rsidR="008B722F" w:rsidP="008B722F" w:rsidRDefault="00DC75FB" w14:paraId="15680B5E" w14:textId="156082AC">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B722F" w14:paraId="5388CF5E" w14:textId="128874A1">
            <w:pPr>
              <w:pStyle w:val="Geenafstand"/>
              <w:rPr>
                <w:rFonts w:ascii="Verdana" w:hAnsi="Verdana"/>
                <w:sz w:val="15"/>
                <w:szCs w:val="15"/>
              </w:rPr>
            </w:pPr>
            <w:r w:rsidRPr="00755640">
              <w:rPr>
                <w:rFonts w:ascii="Verdana" w:hAnsi="Verdana"/>
                <w:sz w:val="15"/>
                <w:szCs w:val="15"/>
              </w:rPr>
              <w:t xml:space="preserve">De mogelijkheid om nationale bepalingen te treffen of te handhaven </w:t>
            </w:r>
            <w:r w:rsidRPr="00755640" w:rsidR="004618B3">
              <w:rPr>
                <w:rFonts w:ascii="Verdana" w:hAnsi="Verdana"/>
                <w:sz w:val="15"/>
                <w:szCs w:val="15"/>
              </w:rPr>
              <w:t xml:space="preserve">om </w:t>
            </w:r>
            <w:r w:rsidRPr="00755640">
              <w:rPr>
                <w:rFonts w:ascii="Verdana" w:hAnsi="Verdana"/>
                <w:sz w:val="15"/>
                <w:szCs w:val="15"/>
              </w:rPr>
              <w:t>een hoger cyberbeveiligingsniveau te waarborgen.</w:t>
            </w:r>
          </w:p>
        </w:tc>
        <w:tc>
          <w:tcPr>
            <w:tcW w:w="2261" w:type="dxa"/>
          </w:tcPr>
          <w:p w:rsidRPr="00755640" w:rsidR="008B722F" w:rsidP="008B722F" w:rsidRDefault="00DC75FB" w14:paraId="42882828" w14:textId="7E3CF75C">
            <w:pPr>
              <w:pStyle w:val="Geenafstand"/>
              <w:rPr>
                <w:rFonts w:ascii="Verdana" w:hAnsi="Verdana"/>
                <w:sz w:val="15"/>
                <w:szCs w:val="15"/>
              </w:rPr>
            </w:pPr>
            <w:r w:rsidRPr="00755640">
              <w:rPr>
                <w:rFonts w:ascii="Verdana" w:hAnsi="Verdana"/>
                <w:sz w:val="15"/>
                <w:szCs w:val="15"/>
              </w:rPr>
              <w:t>Er is geen gebruik gemaakt van deze mogelijkheid.</w:t>
            </w:r>
          </w:p>
        </w:tc>
      </w:tr>
      <w:tr w:rsidRPr="00755640" w:rsidR="00D66BB6" w:rsidTr="006231F6" w14:paraId="1BE5AEE1" w14:textId="77777777">
        <w:tc>
          <w:tcPr>
            <w:tcW w:w="2260" w:type="dxa"/>
          </w:tcPr>
          <w:p w:rsidRPr="00755640" w:rsidR="008B722F" w:rsidP="008B722F" w:rsidRDefault="008B722F" w14:paraId="594A58F9" w14:textId="09C0CB05">
            <w:pPr>
              <w:pStyle w:val="Geenafstand"/>
              <w:rPr>
                <w:rFonts w:ascii="Verdana" w:hAnsi="Verdana"/>
                <w:sz w:val="15"/>
                <w:szCs w:val="15"/>
              </w:rPr>
            </w:pPr>
            <w:r w:rsidRPr="00755640">
              <w:rPr>
                <w:rFonts w:ascii="Verdana" w:hAnsi="Verdana"/>
                <w:sz w:val="15"/>
                <w:szCs w:val="15"/>
              </w:rPr>
              <w:t>Artikel 6</w:t>
            </w:r>
          </w:p>
        </w:tc>
        <w:tc>
          <w:tcPr>
            <w:tcW w:w="2260" w:type="dxa"/>
          </w:tcPr>
          <w:p w:rsidRPr="00755640" w:rsidR="008B722F" w:rsidP="008B722F" w:rsidRDefault="008B722F" w14:paraId="144430AF" w14:textId="17EF07C7">
            <w:pPr>
              <w:pStyle w:val="Geenafstand"/>
              <w:rPr>
                <w:rFonts w:ascii="Verdana" w:hAnsi="Verdana"/>
                <w:sz w:val="15"/>
                <w:szCs w:val="15"/>
              </w:rPr>
            </w:pPr>
            <w:r w:rsidRPr="00755640">
              <w:rPr>
                <w:rFonts w:ascii="Verdana" w:hAnsi="Verdana"/>
                <w:sz w:val="15"/>
                <w:szCs w:val="15"/>
              </w:rPr>
              <w:t xml:space="preserve">Artikel 1 </w:t>
            </w:r>
            <w:proofErr w:type="spellStart"/>
            <w:r w:rsidRPr="00755640" w:rsidR="00F246D9">
              <w:rPr>
                <w:rFonts w:ascii="Verdana" w:hAnsi="Verdana"/>
                <w:sz w:val="15"/>
                <w:szCs w:val="15"/>
              </w:rPr>
              <w:t>Cbw</w:t>
            </w:r>
            <w:proofErr w:type="spellEnd"/>
            <w:r w:rsidRPr="00755640" w:rsidR="00B16EB9">
              <w:rPr>
                <w:rFonts w:ascii="Verdana" w:hAnsi="Verdana"/>
                <w:sz w:val="15"/>
                <w:szCs w:val="15"/>
              </w:rPr>
              <w:t xml:space="preserve">, voor zover de begrippen in de </w:t>
            </w:r>
            <w:proofErr w:type="spellStart"/>
            <w:r w:rsidRPr="00755640" w:rsidR="00B16EB9">
              <w:rPr>
                <w:rFonts w:ascii="Verdana" w:hAnsi="Verdana"/>
                <w:sz w:val="15"/>
                <w:szCs w:val="15"/>
              </w:rPr>
              <w:t>Cbw</w:t>
            </w:r>
            <w:proofErr w:type="spellEnd"/>
            <w:r w:rsidRPr="00755640" w:rsidR="00B16EB9">
              <w:rPr>
                <w:rFonts w:ascii="Verdana" w:hAnsi="Verdana"/>
                <w:sz w:val="15"/>
                <w:szCs w:val="15"/>
              </w:rPr>
              <w:t xml:space="preserve"> </w:t>
            </w:r>
            <w:r w:rsidRPr="00755640" w:rsidR="004059A5">
              <w:rPr>
                <w:rFonts w:ascii="Verdana" w:hAnsi="Verdana"/>
                <w:sz w:val="15"/>
                <w:szCs w:val="15"/>
              </w:rPr>
              <w:t>voorkomen</w:t>
            </w:r>
          </w:p>
        </w:tc>
        <w:tc>
          <w:tcPr>
            <w:tcW w:w="2260" w:type="dxa"/>
          </w:tcPr>
          <w:p w:rsidRPr="00755640" w:rsidR="008B722F" w:rsidP="008B722F" w:rsidRDefault="004059A5" w14:paraId="170C7674" w14:textId="467EDB8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059A5" w14:paraId="5429018D" w14:textId="654E245D">
            <w:pPr>
              <w:pStyle w:val="Geenafstand"/>
              <w:rPr>
                <w:rFonts w:ascii="Verdana" w:hAnsi="Verdana"/>
                <w:sz w:val="15"/>
                <w:szCs w:val="15"/>
              </w:rPr>
            </w:pPr>
            <w:r w:rsidRPr="00755640">
              <w:rPr>
                <w:rFonts w:ascii="Verdana" w:hAnsi="Verdana"/>
                <w:sz w:val="15"/>
                <w:szCs w:val="15"/>
              </w:rPr>
              <w:t>-</w:t>
            </w:r>
          </w:p>
        </w:tc>
      </w:tr>
      <w:tr w:rsidRPr="00755640" w:rsidR="00D66BB6" w:rsidTr="006231F6" w14:paraId="3299D421" w14:textId="77777777">
        <w:tc>
          <w:tcPr>
            <w:tcW w:w="2260" w:type="dxa"/>
          </w:tcPr>
          <w:p w:rsidRPr="00755640" w:rsidR="008B722F" w:rsidP="008B722F" w:rsidRDefault="008B722F" w14:paraId="58A232D3" w14:textId="60094767">
            <w:pPr>
              <w:pStyle w:val="Geenafstand"/>
              <w:rPr>
                <w:rFonts w:ascii="Verdana" w:hAnsi="Verdana"/>
                <w:sz w:val="15"/>
                <w:szCs w:val="15"/>
              </w:rPr>
            </w:pPr>
            <w:r w:rsidRPr="00755640">
              <w:rPr>
                <w:rFonts w:ascii="Verdana" w:hAnsi="Verdana"/>
                <w:sz w:val="15"/>
                <w:szCs w:val="15"/>
              </w:rPr>
              <w:t xml:space="preserve">Artikel 7, </w:t>
            </w:r>
            <w:r w:rsidRPr="00755640" w:rsidR="00B16EB9">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167F6A" w14:paraId="6184B61F" w14:textId="0EF3176F">
            <w:pPr>
              <w:pStyle w:val="Geenafstand"/>
              <w:rPr>
                <w:rFonts w:ascii="Verdana" w:hAnsi="Verdana"/>
                <w:sz w:val="15"/>
                <w:szCs w:val="15"/>
              </w:rPr>
            </w:pPr>
            <w:r w:rsidRPr="00755640">
              <w:rPr>
                <w:rFonts w:ascii="Verdana" w:hAnsi="Verdana"/>
                <w:sz w:val="15"/>
                <w:szCs w:val="15"/>
              </w:rPr>
              <w:t xml:space="preserve">Artikel </w:t>
            </w:r>
            <w:r w:rsidRPr="00755640" w:rsidR="00477ED0">
              <w:rPr>
                <w:rFonts w:ascii="Verdana" w:hAnsi="Verdana"/>
                <w:sz w:val="15"/>
                <w:szCs w:val="15"/>
              </w:rPr>
              <w:t>19</w:t>
            </w:r>
            <w:r w:rsidRPr="00755640">
              <w:rPr>
                <w:rFonts w:ascii="Verdana" w:hAnsi="Verdana"/>
                <w:sz w:val="15"/>
                <w:szCs w:val="15"/>
              </w:rPr>
              <w:t xml:space="preserve">, eerste lid, </w:t>
            </w:r>
            <w:proofErr w:type="spellStart"/>
            <w:r w:rsidRPr="00755640">
              <w:rPr>
                <w:rFonts w:ascii="Verdana" w:hAnsi="Verdana"/>
                <w:sz w:val="15"/>
                <w:szCs w:val="15"/>
              </w:rPr>
              <w:t>Cbw</w:t>
            </w:r>
            <w:proofErr w:type="spellEnd"/>
          </w:p>
        </w:tc>
        <w:tc>
          <w:tcPr>
            <w:tcW w:w="2260" w:type="dxa"/>
          </w:tcPr>
          <w:p w:rsidRPr="00755640" w:rsidR="008B722F" w:rsidP="008B722F" w:rsidRDefault="00167F6A" w14:paraId="3B4BAB90" w14:textId="43577C3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67F6A" w14:paraId="61018728" w14:textId="00F4E9C3">
            <w:pPr>
              <w:pStyle w:val="Geenafstand"/>
              <w:rPr>
                <w:rFonts w:ascii="Verdana" w:hAnsi="Verdana"/>
                <w:sz w:val="15"/>
                <w:szCs w:val="15"/>
              </w:rPr>
            </w:pPr>
            <w:r w:rsidRPr="00755640">
              <w:rPr>
                <w:rFonts w:ascii="Verdana" w:hAnsi="Verdana"/>
                <w:sz w:val="15"/>
                <w:szCs w:val="15"/>
              </w:rPr>
              <w:t>-</w:t>
            </w:r>
          </w:p>
        </w:tc>
      </w:tr>
      <w:tr w:rsidRPr="00755640" w:rsidR="00D66BB6" w:rsidTr="006231F6" w14:paraId="15A752BF" w14:textId="77777777">
        <w:tc>
          <w:tcPr>
            <w:tcW w:w="2260" w:type="dxa"/>
          </w:tcPr>
          <w:p w:rsidRPr="00755640" w:rsidR="008B722F" w:rsidP="008B722F" w:rsidRDefault="008B722F" w14:paraId="425A143E" w14:textId="5F051501">
            <w:pPr>
              <w:pStyle w:val="Geenafstand"/>
              <w:rPr>
                <w:rFonts w:ascii="Verdana" w:hAnsi="Verdana"/>
                <w:sz w:val="15"/>
                <w:szCs w:val="15"/>
              </w:rPr>
            </w:pPr>
            <w:r w:rsidRPr="00755640">
              <w:rPr>
                <w:rFonts w:ascii="Verdana" w:hAnsi="Verdana"/>
                <w:sz w:val="15"/>
                <w:szCs w:val="15"/>
              </w:rPr>
              <w:t xml:space="preserve">Artikel 7, </w:t>
            </w:r>
            <w:r w:rsidRPr="00755640" w:rsidR="00B16EB9">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167F6A" w14:paraId="14C76525" w14:textId="1ED6BBAB">
            <w:pPr>
              <w:pStyle w:val="Geenafstand"/>
              <w:rPr>
                <w:rFonts w:ascii="Verdana" w:hAnsi="Verdana"/>
                <w:sz w:val="15"/>
                <w:szCs w:val="15"/>
              </w:rPr>
            </w:pPr>
            <w:r w:rsidRPr="00755640">
              <w:rPr>
                <w:rFonts w:ascii="Verdana" w:hAnsi="Verdana"/>
                <w:sz w:val="15"/>
                <w:szCs w:val="15"/>
              </w:rPr>
              <w:t xml:space="preserve">Artikel </w:t>
            </w:r>
            <w:r w:rsidRPr="00755640" w:rsidR="00477ED0">
              <w:rPr>
                <w:rFonts w:ascii="Verdana" w:hAnsi="Verdana"/>
                <w:sz w:val="15"/>
                <w:szCs w:val="15"/>
              </w:rPr>
              <w:t>19</w:t>
            </w:r>
            <w:r w:rsidRPr="00755640">
              <w:rPr>
                <w:rFonts w:ascii="Verdana" w:hAnsi="Verdana"/>
                <w:sz w:val="15"/>
                <w:szCs w:val="15"/>
              </w:rPr>
              <w:t xml:space="preserve">, tweede lid, </w:t>
            </w:r>
            <w:proofErr w:type="spellStart"/>
            <w:r w:rsidRPr="00755640">
              <w:rPr>
                <w:rFonts w:ascii="Verdana" w:hAnsi="Verdana"/>
                <w:sz w:val="15"/>
                <w:szCs w:val="15"/>
              </w:rPr>
              <w:t>Cbw</w:t>
            </w:r>
            <w:proofErr w:type="spellEnd"/>
          </w:p>
        </w:tc>
        <w:tc>
          <w:tcPr>
            <w:tcW w:w="2260" w:type="dxa"/>
          </w:tcPr>
          <w:p w:rsidRPr="00755640" w:rsidR="008B722F" w:rsidP="008B722F" w:rsidRDefault="00167F6A" w14:paraId="407FEF05" w14:textId="70DC0DE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67F6A" w14:paraId="07015D99" w14:textId="193E7274">
            <w:pPr>
              <w:pStyle w:val="Geenafstand"/>
              <w:rPr>
                <w:rFonts w:ascii="Verdana" w:hAnsi="Verdana"/>
                <w:sz w:val="15"/>
                <w:szCs w:val="15"/>
              </w:rPr>
            </w:pPr>
            <w:r w:rsidRPr="00755640">
              <w:rPr>
                <w:rFonts w:ascii="Verdana" w:hAnsi="Verdana"/>
                <w:sz w:val="15"/>
                <w:szCs w:val="15"/>
              </w:rPr>
              <w:t>-</w:t>
            </w:r>
          </w:p>
        </w:tc>
      </w:tr>
      <w:tr w:rsidRPr="00755640" w:rsidR="00D66BB6" w:rsidTr="006231F6" w14:paraId="75542817" w14:textId="77777777">
        <w:tc>
          <w:tcPr>
            <w:tcW w:w="2260" w:type="dxa"/>
          </w:tcPr>
          <w:p w:rsidRPr="00755640" w:rsidR="008B722F" w:rsidP="008B722F" w:rsidRDefault="008B722F" w14:paraId="2739C0C2" w14:textId="6103B85A">
            <w:pPr>
              <w:pStyle w:val="Geenafstand"/>
              <w:rPr>
                <w:rFonts w:ascii="Verdana" w:hAnsi="Verdana"/>
                <w:sz w:val="15"/>
                <w:szCs w:val="15"/>
              </w:rPr>
            </w:pPr>
            <w:r w:rsidRPr="00755640">
              <w:rPr>
                <w:rFonts w:ascii="Verdana" w:hAnsi="Verdana"/>
                <w:sz w:val="15"/>
                <w:szCs w:val="15"/>
              </w:rPr>
              <w:t xml:space="preserve">Artikel 7, </w:t>
            </w:r>
            <w:r w:rsidRPr="00755640" w:rsidR="00B16EB9">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167F6A" w14:paraId="6DA4A21F" w14:textId="450F4FF5">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167F6A" w14:paraId="5FEC82AF" w14:textId="438A731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67F6A" w14:paraId="0F5E647F" w14:textId="643E89F7">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7ED83A21" w14:textId="77777777">
        <w:tc>
          <w:tcPr>
            <w:tcW w:w="2260" w:type="dxa"/>
          </w:tcPr>
          <w:p w:rsidRPr="00755640" w:rsidR="008B722F" w:rsidP="008B722F" w:rsidRDefault="008B722F" w14:paraId="06D3FD6E" w14:textId="66C45199">
            <w:pPr>
              <w:pStyle w:val="Geenafstand"/>
              <w:rPr>
                <w:rFonts w:ascii="Verdana" w:hAnsi="Verdana"/>
                <w:sz w:val="15"/>
                <w:szCs w:val="15"/>
              </w:rPr>
            </w:pPr>
            <w:r w:rsidRPr="00755640">
              <w:rPr>
                <w:rFonts w:ascii="Verdana" w:hAnsi="Verdana"/>
                <w:sz w:val="15"/>
                <w:szCs w:val="15"/>
              </w:rPr>
              <w:t xml:space="preserve">Artikel 7, </w:t>
            </w:r>
            <w:r w:rsidRPr="00755640" w:rsidR="00B16EB9">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167F6A" w14:paraId="0DAE0D20" w14:textId="2EEA4765">
            <w:pPr>
              <w:pStyle w:val="Geenafstand"/>
              <w:rPr>
                <w:rFonts w:ascii="Verdana" w:hAnsi="Verdana"/>
                <w:sz w:val="15"/>
                <w:szCs w:val="15"/>
              </w:rPr>
            </w:pPr>
            <w:r w:rsidRPr="00755640">
              <w:rPr>
                <w:rFonts w:ascii="Verdana" w:hAnsi="Verdana"/>
                <w:sz w:val="15"/>
                <w:szCs w:val="15"/>
              </w:rPr>
              <w:t xml:space="preserve">Artikel </w:t>
            </w:r>
            <w:r w:rsidRPr="00755640" w:rsidR="00477ED0">
              <w:rPr>
                <w:rFonts w:ascii="Verdana" w:hAnsi="Verdana"/>
                <w:sz w:val="15"/>
                <w:szCs w:val="15"/>
              </w:rPr>
              <w:t>19</w:t>
            </w:r>
            <w:r w:rsidRPr="00755640">
              <w:rPr>
                <w:rFonts w:ascii="Verdana" w:hAnsi="Verdana"/>
                <w:sz w:val="15"/>
                <w:szCs w:val="15"/>
              </w:rPr>
              <w:t xml:space="preserve">, derde lid, </w:t>
            </w:r>
            <w:proofErr w:type="spellStart"/>
            <w:r w:rsidRPr="00755640">
              <w:rPr>
                <w:rFonts w:ascii="Verdana" w:hAnsi="Verdana"/>
                <w:sz w:val="15"/>
                <w:szCs w:val="15"/>
              </w:rPr>
              <w:t>Cbw</w:t>
            </w:r>
            <w:proofErr w:type="spellEnd"/>
          </w:p>
        </w:tc>
        <w:tc>
          <w:tcPr>
            <w:tcW w:w="2260" w:type="dxa"/>
          </w:tcPr>
          <w:p w:rsidRPr="00755640" w:rsidR="008B722F" w:rsidP="008B722F" w:rsidRDefault="00167F6A" w14:paraId="693A45E3" w14:textId="3FFE364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67F6A" w14:paraId="7B97F751" w14:textId="48FC5789">
            <w:pPr>
              <w:pStyle w:val="Geenafstand"/>
              <w:rPr>
                <w:rFonts w:ascii="Verdana" w:hAnsi="Verdana"/>
                <w:sz w:val="15"/>
                <w:szCs w:val="15"/>
              </w:rPr>
            </w:pPr>
            <w:r w:rsidRPr="00755640">
              <w:rPr>
                <w:rFonts w:ascii="Verdana" w:hAnsi="Verdana"/>
                <w:sz w:val="15"/>
                <w:szCs w:val="15"/>
              </w:rPr>
              <w:t>-</w:t>
            </w:r>
          </w:p>
        </w:tc>
      </w:tr>
      <w:tr w:rsidRPr="00755640" w:rsidR="00D66BB6" w:rsidTr="006231F6" w14:paraId="43F183D9" w14:textId="77777777">
        <w:tc>
          <w:tcPr>
            <w:tcW w:w="2260" w:type="dxa"/>
          </w:tcPr>
          <w:p w:rsidRPr="00755640" w:rsidR="008B722F" w:rsidP="008B722F" w:rsidRDefault="008B722F" w14:paraId="346C497E" w14:textId="17C021CD">
            <w:pPr>
              <w:pStyle w:val="Geenafstand"/>
              <w:rPr>
                <w:rFonts w:ascii="Verdana" w:hAnsi="Verdana"/>
                <w:sz w:val="15"/>
                <w:szCs w:val="15"/>
              </w:rPr>
            </w:pPr>
            <w:r w:rsidRPr="00755640">
              <w:rPr>
                <w:rFonts w:ascii="Verdana" w:hAnsi="Verdana"/>
                <w:sz w:val="15"/>
                <w:szCs w:val="15"/>
              </w:rPr>
              <w:t xml:space="preserve">Artikel 8, </w:t>
            </w:r>
            <w:r w:rsidRPr="00755640" w:rsidR="00B16EB9">
              <w:rPr>
                <w:rFonts w:ascii="Verdana" w:hAnsi="Verdana"/>
                <w:sz w:val="15"/>
                <w:szCs w:val="15"/>
              </w:rPr>
              <w:t xml:space="preserve">eerste </w:t>
            </w:r>
            <w:r w:rsidRPr="00755640" w:rsidR="00477ED0">
              <w:rPr>
                <w:rFonts w:ascii="Verdana" w:hAnsi="Verdana"/>
                <w:sz w:val="15"/>
                <w:szCs w:val="15"/>
              </w:rPr>
              <w:t xml:space="preserve">en tweede </w:t>
            </w:r>
            <w:r w:rsidRPr="00755640">
              <w:rPr>
                <w:rFonts w:ascii="Verdana" w:hAnsi="Verdana"/>
                <w:sz w:val="15"/>
                <w:szCs w:val="15"/>
              </w:rPr>
              <w:t>lid</w:t>
            </w:r>
          </w:p>
        </w:tc>
        <w:tc>
          <w:tcPr>
            <w:tcW w:w="2260" w:type="dxa"/>
          </w:tcPr>
          <w:p w:rsidRPr="00755640" w:rsidR="008B722F" w:rsidP="008B722F" w:rsidRDefault="008B722F" w14:paraId="394C3DB1" w14:textId="6CC1B0F9">
            <w:pPr>
              <w:pStyle w:val="Geenafstand"/>
              <w:rPr>
                <w:rFonts w:ascii="Verdana" w:hAnsi="Verdana"/>
                <w:sz w:val="15"/>
                <w:szCs w:val="15"/>
              </w:rPr>
            </w:pPr>
            <w:r w:rsidRPr="00755640">
              <w:rPr>
                <w:rFonts w:ascii="Verdana" w:hAnsi="Verdana"/>
                <w:sz w:val="15"/>
                <w:szCs w:val="15"/>
              </w:rPr>
              <w:t xml:space="preserve">Artikel </w:t>
            </w:r>
            <w:r w:rsidRPr="00755640" w:rsidR="00477ED0">
              <w:rPr>
                <w:rFonts w:ascii="Verdana" w:hAnsi="Verdana"/>
                <w:sz w:val="15"/>
                <w:szCs w:val="15"/>
              </w:rPr>
              <w:t xml:space="preserve">15 </w:t>
            </w:r>
            <w:proofErr w:type="spellStart"/>
            <w:r w:rsidRPr="00755640" w:rsidR="00477ED0">
              <w:rPr>
                <w:rFonts w:ascii="Verdana" w:hAnsi="Verdana"/>
                <w:sz w:val="15"/>
                <w:szCs w:val="15"/>
              </w:rPr>
              <w:t>Cbw</w:t>
            </w:r>
            <w:proofErr w:type="spellEnd"/>
          </w:p>
        </w:tc>
        <w:tc>
          <w:tcPr>
            <w:tcW w:w="2260" w:type="dxa"/>
          </w:tcPr>
          <w:p w:rsidRPr="00755640" w:rsidR="008B722F" w:rsidP="008B722F" w:rsidRDefault="00477ED0" w14:paraId="3CE77DC0" w14:textId="0F0B5736">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77ED0" w14:paraId="17D00F69" w14:textId="2AE7748E">
            <w:pPr>
              <w:pStyle w:val="Geenafstand"/>
              <w:rPr>
                <w:rFonts w:ascii="Verdana" w:hAnsi="Verdana"/>
                <w:sz w:val="15"/>
                <w:szCs w:val="15"/>
              </w:rPr>
            </w:pPr>
            <w:r w:rsidRPr="00755640">
              <w:rPr>
                <w:rFonts w:ascii="Verdana" w:hAnsi="Verdana"/>
                <w:sz w:val="15"/>
                <w:szCs w:val="15"/>
              </w:rPr>
              <w:t>-</w:t>
            </w:r>
          </w:p>
        </w:tc>
      </w:tr>
      <w:tr w:rsidRPr="00755640" w:rsidR="00D66BB6" w:rsidTr="006231F6" w14:paraId="0511EBC2" w14:textId="77777777">
        <w:tc>
          <w:tcPr>
            <w:tcW w:w="2260" w:type="dxa"/>
          </w:tcPr>
          <w:p w:rsidRPr="00755640" w:rsidR="008B722F" w:rsidP="008B722F" w:rsidRDefault="008B722F" w14:paraId="29B9F2CC" w14:textId="18D9A612">
            <w:pPr>
              <w:pStyle w:val="Geenafstand"/>
              <w:rPr>
                <w:rFonts w:ascii="Verdana" w:hAnsi="Verdana"/>
                <w:sz w:val="15"/>
                <w:szCs w:val="15"/>
              </w:rPr>
            </w:pPr>
            <w:r w:rsidRPr="00755640">
              <w:rPr>
                <w:rFonts w:ascii="Verdana" w:hAnsi="Verdana"/>
                <w:sz w:val="15"/>
                <w:szCs w:val="15"/>
              </w:rPr>
              <w:t xml:space="preserve">Artikel 8, </w:t>
            </w:r>
            <w:r w:rsidRPr="00755640" w:rsidR="00B16EB9">
              <w:rPr>
                <w:rFonts w:ascii="Verdana" w:hAnsi="Verdana"/>
                <w:sz w:val="15"/>
                <w:szCs w:val="15"/>
              </w:rPr>
              <w:t>derde</w:t>
            </w:r>
            <w:r w:rsidRPr="00755640" w:rsidR="00477ED0">
              <w:rPr>
                <w:rFonts w:ascii="Verdana" w:hAnsi="Verdana"/>
                <w:sz w:val="15"/>
                <w:szCs w:val="15"/>
              </w:rPr>
              <w:t xml:space="preserve"> en vierde</w:t>
            </w:r>
            <w:r w:rsidRPr="00755640" w:rsidR="00B16EB9">
              <w:rPr>
                <w:rFonts w:ascii="Verdana" w:hAnsi="Verdana"/>
                <w:sz w:val="15"/>
                <w:szCs w:val="15"/>
              </w:rPr>
              <w:t xml:space="preserve"> </w:t>
            </w:r>
            <w:r w:rsidRPr="00755640">
              <w:rPr>
                <w:rFonts w:ascii="Verdana" w:hAnsi="Verdana"/>
                <w:sz w:val="15"/>
                <w:szCs w:val="15"/>
              </w:rPr>
              <w:t>lid</w:t>
            </w:r>
          </w:p>
        </w:tc>
        <w:tc>
          <w:tcPr>
            <w:tcW w:w="2260" w:type="dxa"/>
          </w:tcPr>
          <w:p w:rsidRPr="00755640" w:rsidR="008B722F" w:rsidP="008B722F" w:rsidRDefault="008B722F" w14:paraId="5DA442FD" w14:textId="5DAF4501">
            <w:pPr>
              <w:pStyle w:val="Geenafstand"/>
              <w:rPr>
                <w:rFonts w:ascii="Verdana" w:hAnsi="Verdana"/>
                <w:sz w:val="15"/>
                <w:szCs w:val="15"/>
              </w:rPr>
            </w:pPr>
            <w:r w:rsidRPr="00755640">
              <w:rPr>
                <w:rFonts w:ascii="Verdana" w:hAnsi="Verdana"/>
                <w:sz w:val="15"/>
                <w:szCs w:val="15"/>
              </w:rPr>
              <w:t>Artikel</w:t>
            </w:r>
            <w:r w:rsidRPr="00755640" w:rsidR="00477ED0">
              <w:rPr>
                <w:rFonts w:ascii="Verdana" w:hAnsi="Verdana"/>
                <w:sz w:val="15"/>
                <w:szCs w:val="15"/>
              </w:rPr>
              <w:t xml:space="preserve"> 14 </w:t>
            </w:r>
            <w:proofErr w:type="spellStart"/>
            <w:r w:rsidRPr="00755640" w:rsidR="00477ED0">
              <w:rPr>
                <w:rFonts w:ascii="Verdana" w:hAnsi="Verdana"/>
                <w:sz w:val="15"/>
                <w:szCs w:val="15"/>
              </w:rPr>
              <w:t>Cbw</w:t>
            </w:r>
            <w:proofErr w:type="spellEnd"/>
          </w:p>
        </w:tc>
        <w:tc>
          <w:tcPr>
            <w:tcW w:w="2260" w:type="dxa"/>
          </w:tcPr>
          <w:p w:rsidRPr="00755640" w:rsidR="008B722F" w:rsidP="008B722F" w:rsidRDefault="00445045" w14:paraId="01AADDAC" w14:textId="72ABA066">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45045" w14:paraId="1306C955" w14:textId="35F92CC4">
            <w:pPr>
              <w:pStyle w:val="Geenafstand"/>
              <w:rPr>
                <w:rFonts w:ascii="Verdana" w:hAnsi="Verdana"/>
                <w:sz w:val="15"/>
                <w:szCs w:val="15"/>
              </w:rPr>
            </w:pPr>
            <w:r w:rsidRPr="00755640">
              <w:rPr>
                <w:rFonts w:ascii="Verdana" w:hAnsi="Verdana"/>
                <w:sz w:val="15"/>
                <w:szCs w:val="15"/>
              </w:rPr>
              <w:t>-</w:t>
            </w:r>
          </w:p>
        </w:tc>
      </w:tr>
      <w:tr w:rsidRPr="00755640" w:rsidR="00D66BB6" w:rsidTr="006231F6" w14:paraId="2DEBEE06" w14:textId="77777777">
        <w:tc>
          <w:tcPr>
            <w:tcW w:w="2260" w:type="dxa"/>
          </w:tcPr>
          <w:p w:rsidRPr="00755640" w:rsidR="008B722F" w:rsidP="008B722F" w:rsidRDefault="008B722F" w14:paraId="1F7EBC54" w14:textId="0C7782A4">
            <w:pPr>
              <w:pStyle w:val="Geenafstand"/>
              <w:rPr>
                <w:rFonts w:ascii="Verdana" w:hAnsi="Verdana"/>
                <w:sz w:val="15"/>
                <w:szCs w:val="15"/>
              </w:rPr>
            </w:pPr>
            <w:r w:rsidRPr="00755640">
              <w:rPr>
                <w:rFonts w:ascii="Verdana" w:hAnsi="Verdana"/>
                <w:sz w:val="15"/>
                <w:szCs w:val="15"/>
              </w:rPr>
              <w:t xml:space="preserve">Artikel 8, </w:t>
            </w:r>
            <w:r w:rsidRPr="00755640" w:rsidR="00B16EB9">
              <w:rPr>
                <w:rFonts w:ascii="Verdana" w:hAnsi="Verdana"/>
                <w:sz w:val="15"/>
                <w:szCs w:val="15"/>
              </w:rPr>
              <w:t>vijfde</w:t>
            </w:r>
            <w:r w:rsidRPr="00755640" w:rsidR="00445045">
              <w:rPr>
                <w:rFonts w:ascii="Verdana" w:hAnsi="Verdana"/>
                <w:sz w:val="15"/>
                <w:szCs w:val="15"/>
              </w:rPr>
              <w:t xml:space="preserve"> en zesde</w:t>
            </w:r>
            <w:r w:rsidRPr="00755640" w:rsidR="00B16EB9">
              <w:rPr>
                <w:rFonts w:ascii="Verdana" w:hAnsi="Verdana"/>
                <w:sz w:val="15"/>
                <w:szCs w:val="15"/>
              </w:rPr>
              <w:t xml:space="preserve"> </w:t>
            </w:r>
            <w:r w:rsidRPr="00755640">
              <w:rPr>
                <w:rFonts w:ascii="Verdana" w:hAnsi="Verdana"/>
                <w:sz w:val="15"/>
                <w:szCs w:val="15"/>
              </w:rPr>
              <w:t>lid</w:t>
            </w:r>
          </w:p>
        </w:tc>
        <w:tc>
          <w:tcPr>
            <w:tcW w:w="2260" w:type="dxa"/>
          </w:tcPr>
          <w:p w:rsidRPr="00755640" w:rsidR="008B722F" w:rsidP="008B722F" w:rsidRDefault="008B722F" w14:paraId="5C0BAD5E"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445045" w14:paraId="4706DA98" w14:textId="1C1DCC5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45045" w14:paraId="6CFCE530" w14:textId="46E95C07">
            <w:pPr>
              <w:pStyle w:val="Geenafstand"/>
              <w:rPr>
                <w:rFonts w:ascii="Verdana" w:hAnsi="Verdana"/>
                <w:sz w:val="15"/>
                <w:szCs w:val="15"/>
              </w:rPr>
            </w:pPr>
            <w:r w:rsidRPr="00755640">
              <w:rPr>
                <w:rFonts w:ascii="Verdana" w:hAnsi="Verdana"/>
                <w:sz w:val="15"/>
                <w:szCs w:val="15"/>
              </w:rPr>
              <w:t>Deze bepalingen behoeven geen implementatie in nationale wetgeving, omdat deze zien op feitelijke handelingen van de centrale overheid.</w:t>
            </w:r>
          </w:p>
        </w:tc>
      </w:tr>
      <w:tr w:rsidRPr="00755640" w:rsidR="00D66BB6" w:rsidTr="006231F6" w14:paraId="1568B94D" w14:textId="77777777">
        <w:tc>
          <w:tcPr>
            <w:tcW w:w="2260" w:type="dxa"/>
          </w:tcPr>
          <w:p w:rsidRPr="00755640" w:rsidR="008B722F" w:rsidP="008B722F" w:rsidRDefault="008B722F" w14:paraId="33209607" w14:textId="2ED2DB03">
            <w:pPr>
              <w:pStyle w:val="Geenafstand"/>
              <w:rPr>
                <w:rFonts w:ascii="Verdana" w:hAnsi="Verdana"/>
                <w:sz w:val="15"/>
                <w:szCs w:val="15"/>
              </w:rPr>
            </w:pPr>
            <w:r w:rsidRPr="00755640">
              <w:rPr>
                <w:rFonts w:ascii="Verdana" w:hAnsi="Verdana"/>
                <w:sz w:val="15"/>
                <w:szCs w:val="15"/>
              </w:rPr>
              <w:t xml:space="preserve">Artikel 9, </w:t>
            </w:r>
            <w:r w:rsidRPr="00755640" w:rsidR="00B16EB9">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B722F" w14:paraId="042863F0" w14:textId="27F71DA4">
            <w:pPr>
              <w:pStyle w:val="Geenafstand"/>
              <w:rPr>
                <w:rFonts w:ascii="Verdana" w:hAnsi="Verdana"/>
                <w:sz w:val="15"/>
                <w:szCs w:val="15"/>
              </w:rPr>
            </w:pPr>
            <w:r w:rsidRPr="00755640">
              <w:rPr>
                <w:rFonts w:ascii="Verdana" w:hAnsi="Verdana"/>
                <w:sz w:val="15"/>
                <w:szCs w:val="15"/>
              </w:rPr>
              <w:t>Artikel</w:t>
            </w:r>
            <w:r w:rsidRPr="00755640" w:rsidR="00445045">
              <w:rPr>
                <w:rFonts w:ascii="Verdana" w:hAnsi="Verdana"/>
                <w:sz w:val="15"/>
                <w:szCs w:val="15"/>
              </w:rPr>
              <w:t xml:space="preserve"> 18 </w:t>
            </w:r>
            <w:proofErr w:type="spellStart"/>
            <w:r w:rsidRPr="00755640" w:rsidR="00445045">
              <w:rPr>
                <w:rFonts w:ascii="Verdana" w:hAnsi="Verdana"/>
                <w:sz w:val="15"/>
                <w:szCs w:val="15"/>
              </w:rPr>
              <w:t>Cbw</w:t>
            </w:r>
            <w:proofErr w:type="spellEnd"/>
          </w:p>
        </w:tc>
        <w:tc>
          <w:tcPr>
            <w:tcW w:w="2260" w:type="dxa"/>
          </w:tcPr>
          <w:p w:rsidRPr="00755640" w:rsidR="008B722F" w:rsidP="008B722F" w:rsidRDefault="008B722F" w14:paraId="1C8E960D" w14:textId="4E38F418">
            <w:pPr>
              <w:pStyle w:val="Geenafstand"/>
              <w:rPr>
                <w:rFonts w:ascii="Verdana" w:hAnsi="Verdana"/>
                <w:sz w:val="15"/>
                <w:szCs w:val="15"/>
              </w:rPr>
            </w:pPr>
            <w:r w:rsidRPr="00755640">
              <w:rPr>
                <w:rFonts w:ascii="Verdana" w:hAnsi="Verdana"/>
                <w:sz w:val="15"/>
                <w:szCs w:val="15"/>
              </w:rPr>
              <w:t>De mogelijkheid om meer dan één cybercrisisbeheerautoriteiten aan te wijzen of in te stellen.</w:t>
            </w:r>
          </w:p>
        </w:tc>
        <w:tc>
          <w:tcPr>
            <w:tcW w:w="2261" w:type="dxa"/>
          </w:tcPr>
          <w:p w:rsidRPr="00755640" w:rsidR="008B722F" w:rsidP="008B722F" w:rsidRDefault="00445045" w14:paraId="251F3C7A" w14:textId="65535E81">
            <w:pPr>
              <w:pStyle w:val="Geenafstand"/>
              <w:rPr>
                <w:rFonts w:ascii="Verdana" w:hAnsi="Verdana"/>
                <w:sz w:val="15"/>
                <w:szCs w:val="15"/>
              </w:rPr>
            </w:pPr>
            <w:r w:rsidRPr="00755640">
              <w:rPr>
                <w:rFonts w:ascii="Verdana" w:hAnsi="Verdana"/>
                <w:sz w:val="15"/>
                <w:szCs w:val="15"/>
              </w:rPr>
              <w:t>-</w:t>
            </w:r>
          </w:p>
        </w:tc>
      </w:tr>
      <w:tr w:rsidRPr="00755640" w:rsidR="00D66BB6" w:rsidTr="006231F6" w14:paraId="0F9D6183" w14:textId="77777777">
        <w:tc>
          <w:tcPr>
            <w:tcW w:w="2260" w:type="dxa"/>
          </w:tcPr>
          <w:p w:rsidRPr="00755640" w:rsidR="008B722F" w:rsidP="008B722F" w:rsidRDefault="008B722F" w14:paraId="0B2CA47F" w14:textId="6A28D688">
            <w:pPr>
              <w:pStyle w:val="Geenafstand"/>
              <w:rPr>
                <w:rFonts w:ascii="Verdana" w:hAnsi="Verdana"/>
                <w:sz w:val="15"/>
                <w:szCs w:val="15"/>
              </w:rPr>
            </w:pPr>
            <w:r w:rsidRPr="00755640">
              <w:rPr>
                <w:rFonts w:ascii="Verdana" w:hAnsi="Verdana"/>
                <w:sz w:val="15"/>
                <w:szCs w:val="15"/>
              </w:rPr>
              <w:t xml:space="preserve">Artikel 9, </w:t>
            </w:r>
            <w:r w:rsidRPr="00755640" w:rsidR="00B16EB9">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445045" w14:paraId="4AAF4A4B" w14:textId="3AF9DDD4">
            <w:pPr>
              <w:pStyle w:val="Geenafstand"/>
              <w:rPr>
                <w:rFonts w:ascii="Verdana" w:hAnsi="Verdana"/>
                <w:sz w:val="15"/>
                <w:szCs w:val="15"/>
              </w:rPr>
            </w:pPr>
            <w:r w:rsidRPr="008B347B">
              <w:rPr>
                <w:rFonts w:ascii="Verdana" w:hAnsi="Verdana"/>
                <w:sz w:val="15"/>
                <w:szCs w:val="15"/>
              </w:rPr>
              <w:t>-</w:t>
            </w:r>
          </w:p>
        </w:tc>
        <w:tc>
          <w:tcPr>
            <w:tcW w:w="2260" w:type="dxa"/>
          </w:tcPr>
          <w:p w:rsidRPr="00755640" w:rsidR="008B722F" w:rsidP="008B722F" w:rsidRDefault="00445045" w14:paraId="41C1F4E4" w14:textId="106CE610">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45045" w14:paraId="48DC99E8" w14:textId="64C93346">
            <w:pPr>
              <w:pStyle w:val="Geenafstand"/>
              <w:rPr>
                <w:rFonts w:ascii="Verdana" w:hAnsi="Verdana"/>
                <w:sz w:val="15"/>
                <w:szCs w:val="15"/>
              </w:rPr>
            </w:pPr>
            <w:r w:rsidRPr="00755640">
              <w:rPr>
                <w:rFonts w:ascii="Verdana" w:hAnsi="Verdana"/>
                <w:sz w:val="15"/>
                <w:szCs w:val="15"/>
              </w:rPr>
              <w:t xml:space="preserve">Nederland gaat niet over tot het </w:t>
            </w:r>
            <w:r w:rsidRPr="00755640" w:rsidR="00B16EB9">
              <w:rPr>
                <w:rFonts w:ascii="Verdana" w:hAnsi="Verdana"/>
                <w:sz w:val="15"/>
                <w:szCs w:val="15"/>
              </w:rPr>
              <w:t>instellen van meerdere cybercrisisbeheerautoriteiten.</w:t>
            </w:r>
          </w:p>
        </w:tc>
      </w:tr>
      <w:tr w:rsidRPr="00755640" w:rsidR="00D66BB6" w:rsidTr="006231F6" w14:paraId="7130B2D9" w14:textId="77777777">
        <w:tc>
          <w:tcPr>
            <w:tcW w:w="2260" w:type="dxa"/>
          </w:tcPr>
          <w:p w:rsidRPr="00755640" w:rsidR="008B722F" w:rsidP="008B722F" w:rsidRDefault="008B722F" w14:paraId="4600BDAD" w14:textId="130C289E">
            <w:pPr>
              <w:pStyle w:val="Geenafstand"/>
              <w:rPr>
                <w:rFonts w:ascii="Verdana" w:hAnsi="Verdana"/>
                <w:sz w:val="15"/>
                <w:szCs w:val="15"/>
              </w:rPr>
            </w:pPr>
            <w:r w:rsidRPr="00755640">
              <w:rPr>
                <w:rFonts w:ascii="Verdana" w:hAnsi="Verdana"/>
                <w:sz w:val="15"/>
                <w:szCs w:val="15"/>
              </w:rPr>
              <w:t xml:space="preserve">Artikel 9, </w:t>
            </w:r>
            <w:r w:rsidRPr="00755640" w:rsidR="00B16EB9">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8B722F" w14:paraId="257966FF"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445045" w14:paraId="3D71139D" w14:textId="4B7C983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45045" w14:paraId="360A32BF" w14:textId="48618314">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12B00D28" w14:textId="77777777">
        <w:tc>
          <w:tcPr>
            <w:tcW w:w="2260" w:type="dxa"/>
          </w:tcPr>
          <w:p w:rsidRPr="00755640" w:rsidR="008B722F" w:rsidP="008B722F" w:rsidRDefault="008B722F" w14:paraId="6186B695" w14:textId="547EE8A6">
            <w:pPr>
              <w:pStyle w:val="Geenafstand"/>
              <w:rPr>
                <w:rFonts w:ascii="Verdana" w:hAnsi="Verdana"/>
                <w:sz w:val="15"/>
                <w:szCs w:val="15"/>
              </w:rPr>
            </w:pPr>
            <w:r w:rsidRPr="00755640">
              <w:rPr>
                <w:rFonts w:ascii="Verdana" w:hAnsi="Verdana"/>
                <w:sz w:val="15"/>
                <w:szCs w:val="15"/>
              </w:rPr>
              <w:t xml:space="preserve">Artikel 9, </w:t>
            </w:r>
            <w:r w:rsidRPr="00755640" w:rsidR="00B16EB9">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8B722F" w14:paraId="081749CC" w14:textId="15C0ED8F">
            <w:pPr>
              <w:pStyle w:val="Geenafstand"/>
              <w:rPr>
                <w:rFonts w:ascii="Verdana" w:hAnsi="Verdana"/>
                <w:sz w:val="15"/>
                <w:szCs w:val="15"/>
              </w:rPr>
            </w:pPr>
            <w:r w:rsidRPr="00755640">
              <w:rPr>
                <w:rFonts w:ascii="Verdana" w:hAnsi="Verdana"/>
                <w:sz w:val="15"/>
                <w:szCs w:val="15"/>
              </w:rPr>
              <w:t xml:space="preserve">Artikel </w:t>
            </w:r>
            <w:r w:rsidRPr="00755640" w:rsidR="00445045">
              <w:rPr>
                <w:rFonts w:ascii="Verdana" w:hAnsi="Verdana"/>
                <w:sz w:val="15"/>
                <w:szCs w:val="15"/>
              </w:rPr>
              <w:t xml:space="preserve">20 </w:t>
            </w:r>
            <w:proofErr w:type="spellStart"/>
            <w:r w:rsidRPr="00755640" w:rsidR="00445045">
              <w:rPr>
                <w:rFonts w:ascii="Verdana" w:hAnsi="Verdana"/>
                <w:sz w:val="15"/>
                <w:szCs w:val="15"/>
              </w:rPr>
              <w:t>Cbw</w:t>
            </w:r>
            <w:proofErr w:type="spellEnd"/>
          </w:p>
        </w:tc>
        <w:tc>
          <w:tcPr>
            <w:tcW w:w="2260" w:type="dxa"/>
          </w:tcPr>
          <w:p w:rsidRPr="00755640" w:rsidR="008B722F" w:rsidP="008B722F" w:rsidRDefault="00445045" w14:paraId="0076DE85" w14:textId="5CF363B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445045" w14:paraId="6B434BC3" w14:textId="285FA2F9">
            <w:pPr>
              <w:pStyle w:val="Geenafstand"/>
              <w:rPr>
                <w:rFonts w:ascii="Verdana" w:hAnsi="Verdana"/>
                <w:sz w:val="15"/>
                <w:szCs w:val="15"/>
              </w:rPr>
            </w:pPr>
            <w:r w:rsidRPr="00755640">
              <w:rPr>
                <w:rFonts w:ascii="Verdana" w:hAnsi="Verdana"/>
                <w:sz w:val="15"/>
                <w:szCs w:val="15"/>
              </w:rPr>
              <w:t>-</w:t>
            </w:r>
          </w:p>
        </w:tc>
      </w:tr>
      <w:tr w:rsidRPr="00755640" w:rsidR="00D66BB6" w:rsidTr="006231F6" w14:paraId="6D17C65B" w14:textId="77777777">
        <w:tc>
          <w:tcPr>
            <w:tcW w:w="2260" w:type="dxa"/>
          </w:tcPr>
          <w:p w:rsidRPr="00755640" w:rsidR="008B722F" w:rsidP="008B722F" w:rsidRDefault="008B722F" w14:paraId="15B1C215" w14:textId="23B00B70">
            <w:pPr>
              <w:pStyle w:val="Geenafstand"/>
              <w:rPr>
                <w:rFonts w:ascii="Verdana" w:hAnsi="Verdana"/>
                <w:sz w:val="15"/>
                <w:szCs w:val="15"/>
              </w:rPr>
            </w:pPr>
            <w:r w:rsidRPr="00755640">
              <w:rPr>
                <w:rFonts w:ascii="Verdana" w:hAnsi="Verdana"/>
                <w:sz w:val="15"/>
                <w:szCs w:val="15"/>
              </w:rPr>
              <w:t xml:space="preserve">Artikel 9, </w:t>
            </w:r>
            <w:r w:rsidRPr="00755640" w:rsidR="00DC026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2525CD" w14:paraId="5F6F6144" w14:textId="00466451">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445045" w14:paraId="4EF34C0A" w14:textId="6D87B7CC">
            <w:pPr>
              <w:pStyle w:val="Geenafstand"/>
              <w:rPr>
                <w:rFonts w:ascii="Verdana" w:hAnsi="Verdana"/>
                <w:sz w:val="15"/>
                <w:szCs w:val="15"/>
              </w:rPr>
            </w:pPr>
            <w:r w:rsidRPr="00755640">
              <w:rPr>
                <w:rFonts w:ascii="Verdana" w:hAnsi="Verdana"/>
                <w:sz w:val="15"/>
                <w:szCs w:val="15"/>
              </w:rPr>
              <w:t>-</w:t>
            </w:r>
            <w:r w:rsidRPr="00755640" w:rsidR="008B722F">
              <w:rPr>
                <w:rFonts w:ascii="Verdana" w:hAnsi="Verdana"/>
                <w:sz w:val="15"/>
                <w:szCs w:val="15"/>
              </w:rPr>
              <w:t xml:space="preserve"> </w:t>
            </w:r>
          </w:p>
        </w:tc>
        <w:tc>
          <w:tcPr>
            <w:tcW w:w="2261" w:type="dxa"/>
          </w:tcPr>
          <w:p w:rsidRPr="00755640" w:rsidR="008B722F" w:rsidP="008B722F" w:rsidRDefault="00445045" w14:paraId="66B8E968" w14:textId="649C168E">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269406DC" w14:textId="77777777">
        <w:tc>
          <w:tcPr>
            <w:tcW w:w="2260" w:type="dxa"/>
          </w:tcPr>
          <w:p w:rsidRPr="00755640" w:rsidR="008B722F" w:rsidP="008B722F" w:rsidRDefault="008B722F" w14:paraId="3246057B" w14:textId="33B38714">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B722F" w14:paraId="434D1E51" w14:textId="0AA2FAE2">
            <w:pPr>
              <w:pStyle w:val="Geenafstand"/>
              <w:rPr>
                <w:rFonts w:ascii="Verdana" w:hAnsi="Verdana"/>
                <w:sz w:val="15"/>
                <w:szCs w:val="15"/>
              </w:rPr>
            </w:pPr>
            <w:r w:rsidRPr="00755640">
              <w:rPr>
                <w:rFonts w:ascii="Verdana" w:hAnsi="Verdana"/>
                <w:sz w:val="15"/>
                <w:szCs w:val="15"/>
              </w:rPr>
              <w:t xml:space="preserve">Artikel </w:t>
            </w:r>
            <w:r w:rsidRPr="00755640" w:rsidR="00DE432B">
              <w:rPr>
                <w:rFonts w:ascii="Verdana" w:hAnsi="Verdana"/>
                <w:sz w:val="15"/>
                <w:szCs w:val="15"/>
              </w:rPr>
              <w:t xml:space="preserve">16 </w:t>
            </w:r>
            <w:proofErr w:type="spellStart"/>
            <w:r w:rsidRPr="00755640" w:rsidR="00DE432B">
              <w:rPr>
                <w:rFonts w:ascii="Verdana" w:hAnsi="Verdana"/>
                <w:sz w:val="15"/>
                <w:szCs w:val="15"/>
              </w:rPr>
              <w:t>Cbw</w:t>
            </w:r>
            <w:proofErr w:type="spellEnd"/>
          </w:p>
        </w:tc>
        <w:tc>
          <w:tcPr>
            <w:tcW w:w="2260" w:type="dxa"/>
          </w:tcPr>
          <w:p w:rsidRPr="00755640" w:rsidR="008B722F" w:rsidP="008B722F" w:rsidRDefault="00DE432B" w14:paraId="0090F314" w14:textId="69A4562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E432B" w14:paraId="53C9FE16" w14:textId="5AACFCCB">
            <w:pPr>
              <w:pStyle w:val="Geenafstand"/>
              <w:rPr>
                <w:rFonts w:ascii="Verdana" w:hAnsi="Verdana"/>
                <w:sz w:val="15"/>
                <w:szCs w:val="15"/>
              </w:rPr>
            </w:pPr>
            <w:r w:rsidRPr="00755640">
              <w:rPr>
                <w:rFonts w:ascii="Verdana" w:hAnsi="Verdana"/>
                <w:sz w:val="15"/>
                <w:szCs w:val="15"/>
              </w:rPr>
              <w:t>-</w:t>
            </w:r>
          </w:p>
        </w:tc>
      </w:tr>
      <w:tr w:rsidRPr="00755640" w:rsidR="00D66BB6" w:rsidTr="006231F6" w14:paraId="5E499167" w14:textId="77777777">
        <w:tc>
          <w:tcPr>
            <w:tcW w:w="2260" w:type="dxa"/>
          </w:tcPr>
          <w:p w:rsidRPr="00755640" w:rsidR="008B722F" w:rsidP="008B722F" w:rsidRDefault="008B722F" w14:paraId="4380F22D" w14:textId="18EB43AA">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8B722F" w14:paraId="44D78449"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E432B" w14:paraId="1AFAB97E" w14:textId="17256C0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E432B" w14:paraId="1FAAC981" w14:textId="5E744033">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26E45AFE" w14:textId="77777777">
        <w:tc>
          <w:tcPr>
            <w:tcW w:w="2260" w:type="dxa"/>
          </w:tcPr>
          <w:p w:rsidRPr="00755640" w:rsidR="008B722F" w:rsidP="008B722F" w:rsidRDefault="008B722F" w14:paraId="213E7638" w14:textId="148F85A9">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8B722F" w14:paraId="744A0CE5" w14:textId="3E6E8551">
            <w:pPr>
              <w:pStyle w:val="Geenafstand"/>
              <w:rPr>
                <w:rFonts w:ascii="Verdana" w:hAnsi="Verdana"/>
                <w:sz w:val="15"/>
                <w:szCs w:val="15"/>
              </w:rPr>
            </w:pPr>
            <w:r w:rsidRPr="00755640">
              <w:rPr>
                <w:rFonts w:ascii="Verdana" w:hAnsi="Verdana"/>
                <w:sz w:val="15"/>
                <w:szCs w:val="15"/>
              </w:rPr>
              <w:t xml:space="preserve">Artikel </w:t>
            </w:r>
            <w:r w:rsidRPr="00755640" w:rsidR="00DE432B">
              <w:rPr>
                <w:rFonts w:ascii="Verdana" w:hAnsi="Verdana"/>
                <w:sz w:val="15"/>
                <w:szCs w:val="15"/>
              </w:rPr>
              <w:t xml:space="preserve">16, </w:t>
            </w:r>
            <w:r w:rsidR="00EF2E4C">
              <w:rPr>
                <w:rFonts w:ascii="Verdana" w:hAnsi="Verdana"/>
                <w:sz w:val="15"/>
                <w:szCs w:val="15"/>
              </w:rPr>
              <w:t>tweede</w:t>
            </w:r>
            <w:r w:rsidRPr="00755640" w:rsidR="00EF2E4C">
              <w:rPr>
                <w:rFonts w:ascii="Verdana" w:hAnsi="Verdana"/>
                <w:sz w:val="15"/>
                <w:szCs w:val="15"/>
              </w:rPr>
              <w:t xml:space="preserve"> </w:t>
            </w:r>
            <w:r w:rsidRPr="00755640" w:rsidR="00DE432B">
              <w:rPr>
                <w:rFonts w:ascii="Verdana" w:hAnsi="Verdana"/>
                <w:sz w:val="15"/>
                <w:szCs w:val="15"/>
              </w:rPr>
              <w:t xml:space="preserve">lid, onderdeel i, </w:t>
            </w:r>
            <w:proofErr w:type="spellStart"/>
            <w:r w:rsidRPr="00755640" w:rsidR="00DE432B">
              <w:rPr>
                <w:rFonts w:ascii="Verdana" w:hAnsi="Verdana"/>
                <w:sz w:val="15"/>
                <w:szCs w:val="15"/>
              </w:rPr>
              <w:t>Cbw</w:t>
            </w:r>
            <w:proofErr w:type="spellEnd"/>
          </w:p>
        </w:tc>
        <w:tc>
          <w:tcPr>
            <w:tcW w:w="2260" w:type="dxa"/>
          </w:tcPr>
          <w:p w:rsidRPr="00755640" w:rsidR="008B722F" w:rsidP="008B722F" w:rsidRDefault="00DE432B" w14:paraId="57DDA321" w14:textId="2192CD4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E432B" w14:paraId="6CC7FF3A" w14:textId="3CBD14CE">
            <w:pPr>
              <w:pStyle w:val="Geenafstand"/>
              <w:rPr>
                <w:rFonts w:ascii="Verdana" w:hAnsi="Verdana"/>
                <w:sz w:val="15"/>
                <w:szCs w:val="15"/>
              </w:rPr>
            </w:pPr>
            <w:r w:rsidRPr="00755640">
              <w:rPr>
                <w:rFonts w:ascii="Verdana" w:hAnsi="Verdana"/>
                <w:sz w:val="15"/>
                <w:szCs w:val="15"/>
              </w:rPr>
              <w:t>-</w:t>
            </w:r>
          </w:p>
        </w:tc>
      </w:tr>
      <w:tr w:rsidRPr="00755640" w:rsidR="00D66BB6" w:rsidTr="006231F6" w14:paraId="25CE5B72" w14:textId="77777777">
        <w:tc>
          <w:tcPr>
            <w:tcW w:w="2260" w:type="dxa"/>
          </w:tcPr>
          <w:p w:rsidRPr="00755640" w:rsidR="008B722F" w:rsidP="008B722F" w:rsidRDefault="008B722F" w14:paraId="7BED6EB9" w14:textId="61076103">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DE432B" w14:paraId="5EBD9FBF" w14:textId="5D95F1F7">
            <w:pPr>
              <w:pStyle w:val="Geenafstand"/>
              <w:rPr>
                <w:rFonts w:ascii="Verdana" w:hAnsi="Verdana"/>
                <w:sz w:val="15"/>
                <w:szCs w:val="15"/>
              </w:rPr>
            </w:pPr>
            <w:r w:rsidRPr="00755640">
              <w:rPr>
                <w:rFonts w:ascii="Verdana" w:hAnsi="Verdana"/>
                <w:sz w:val="15"/>
                <w:szCs w:val="15"/>
              </w:rPr>
              <w:t xml:space="preserve">De artikelen 52 en 52 </w:t>
            </w:r>
            <w:proofErr w:type="spellStart"/>
            <w:r w:rsidRPr="00755640">
              <w:rPr>
                <w:rFonts w:ascii="Verdana" w:hAnsi="Verdana"/>
                <w:sz w:val="15"/>
                <w:szCs w:val="15"/>
              </w:rPr>
              <w:t>Cbw</w:t>
            </w:r>
            <w:proofErr w:type="spellEnd"/>
          </w:p>
        </w:tc>
        <w:tc>
          <w:tcPr>
            <w:tcW w:w="2260" w:type="dxa"/>
          </w:tcPr>
          <w:p w:rsidRPr="00755640" w:rsidR="008B722F" w:rsidP="008B722F" w:rsidRDefault="00DE432B" w14:paraId="2BA65BFF" w14:textId="7895287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E432B" w14:paraId="282417E9" w14:textId="71BF861A">
            <w:pPr>
              <w:pStyle w:val="Geenafstand"/>
              <w:rPr>
                <w:rFonts w:ascii="Verdana" w:hAnsi="Verdana"/>
                <w:sz w:val="15"/>
                <w:szCs w:val="15"/>
              </w:rPr>
            </w:pPr>
            <w:r w:rsidRPr="00755640">
              <w:rPr>
                <w:rFonts w:ascii="Verdana" w:hAnsi="Verdana"/>
                <w:sz w:val="15"/>
                <w:szCs w:val="15"/>
              </w:rPr>
              <w:t>-</w:t>
            </w:r>
          </w:p>
        </w:tc>
      </w:tr>
      <w:tr w:rsidRPr="00755640" w:rsidR="00D66BB6" w:rsidTr="006231F6" w14:paraId="6ADE5540" w14:textId="77777777">
        <w:tc>
          <w:tcPr>
            <w:tcW w:w="2260" w:type="dxa"/>
          </w:tcPr>
          <w:p w:rsidRPr="00755640" w:rsidR="008B722F" w:rsidP="008B722F" w:rsidRDefault="008B722F" w14:paraId="61AC8EB4" w14:textId="732187E7">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EA34C4" w14:paraId="33EB8481" w14:textId="08D64007">
            <w:pPr>
              <w:pStyle w:val="Geenafstand"/>
              <w:rPr>
                <w:rFonts w:ascii="Verdana" w:hAnsi="Verdana"/>
                <w:sz w:val="15"/>
                <w:szCs w:val="15"/>
              </w:rPr>
            </w:pPr>
            <w:r w:rsidRPr="00755640">
              <w:rPr>
                <w:rFonts w:ascii="Verdana" w:hAnsi="Verdana"/>
                <w:sz w:val="15"/>
                <w:szCs w:val="15"/>
              </w:rPr>
              <w:t xml:space="preserve">Artikel 16, </w:t>
            </w:r>
            <w:r w:rsidR="00EF2E4C">
              <w:rPr>
                <w:rFonts w:ascii="Verdana" w:hAnsi="Verdana"/>
                <w:sz w:val="15"/>
                <w:szCs w:val="15"/>
              </w:rPr>
              <w:t>tweede</w:t>
            </w:r>
            <w:r w:rsidRPr="00755640" w:rsidR="00EF2E4C">
              <w:rPr>
                <w:rFonts w:ascii="Verdana" w:hAnsi="Verdana"/>
                <w:sz w:val="15"/>
                <w:szCs w:val="15"/>
              </w:rPr>
              <w:t xml:space="preserve"> </w:t>
            </w:r>
            <w:r w:rsidRPr="00755640">
              <w:rPr>
                <w:rFonts w:ascii="Verdana" w:hAnsi="Verdana"/>
                <w:sz w:val="15"/>
                <w:szCs w:val="15"/>
              </w:rPr>
              <w:t xml:space="preserve">lid, onderdeel g, </w:t>
            </w:r>
            <w:proofErr w:type="spellStart"/>
            <w:r w:rsidRPr="00755640">
              <w:rPr>
                <w:rFonts w:ascii="Verdana" w:hAnsi="Verdana"/>
                <w:sz w:val="15"/>
                <w:szCs w:val="15"/>
              </w:rPr>
              <w:t>Cbw</w:t>
            </w:r>
            <w:proofErr w:type="spellEnd"/>
          </w:p>
        </w:tc>
        <w:tc>
          <w:tcPr>
            <w:tcW w:w="2260" w:type="dxa"/>
          </w:tcPr>
          <w:p w:rsidRPr="00755640" w:rsidR="008B722F" w:rsidP="008B722F" w:rsidRDefault="00DE432B" w14:paraId="6D471F07" w14:textId="153ED23D">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A34C4" w14:paraId="5C7E4B66" w14:textId="3F76FCB3">
            <w:pPr>
              <w:pStyle w:val="Geenafstand"/>
              <w:rPr>
                <w:rFonts w:ascii="Verdana" w:hAnsi="Verdana"/>
                <w:sz w:val="15"/>
                <w:szCs w:val="15"/>
              </w:rPr>
            </w:pPr>
            <w:r w:rsidRPr="00755640">
              <w:rPr>
                <w:rFonts w:ascii="Verdana" w:hAnsi="Verdana"/>
                <w:sz w:val="15"/>
                <w:szCs w:val="15"/>
              </w:rPr>
              <w:t>-</w:t>
            </w:r>
          </w:p>
        </w:tc>
      </w:tr>
      <w:tr w:rsidRPr="00755640" w:rsidR="00D66BB6" w:rsidTr="006231F6" w14:paraId="3BEE1929" w14:textId="77777777">
        <w:tc>
          <w:tcPr>
            <w:tcW w:w="2260" w:type="dxa"/>
          </w:tcPr>
          <w:p w:rsidRPr="00755640" w:rsidR="008B722F" w:rsidP="008B722F" w:rsidRDefault="008B722F" w14:paraId="74710F0C" w14:textId="6B2363C4">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EA34C4" w14:paraId="305B4076" w14:textId="3F3C7779">
            <w:pPr>
              <w:pStyle w:val="Geenafstand"/>
              <w:rPr>
                <w:rFonts w:ascii="Verdana" w:hAnsi="Verdana"/>
                <w:sz w:val="15"/>
                <w:szCs w:val="15"/>
              </w:rPr>
            </w:pPr>
            <w:r w:rsidRPr="00755640">
              <w:rPr>
                <w:rFonts w:ascii="Verdana" w:hAnsi="Verdana"/>
                <w:sz w:val="15"/>
                <w:szCs w:val="15"/>
              </w:rPr>
              <w:t xml:space="preserve">Artikel 16, </w:t>
            </w:r>
            <w:r w:rsidR="00EF2E4C">
              <w:rPr>
                <w:rFonts w:ascii="Verdana" w:hAnsi="Verdana"/>
                <w:sz w:val="15"/>
                <w:szCs w:val="15"/>
              </w:rPr>
              <w:t>tweede</w:t>
            </w:r>
            <w:r w:rsidRPr="00755640" w:rsidR="00EF2E4C">
              <w:rPr>
                <w:rFonts w:ascii="Verdana" w:hAnsi="Verdana"/>
                <w:sz w:val="15"/>
                <w:szCs w:val="15"/>
              </w:rPr>
              <w:t xml:space="preserve"> </w:t>
            </w:r>
            <w:r w:rsidRPr="00755640">
              <w:rPr>
                <w:rFonts w:ascii="Verdana" w:hAnsi="Verdana"/>
                <w:sz w:val="15"/>
                <w:szCs w:val="15"/>
              </w:rPr>
              <w:t xml:space="preserve">lid, onderdeel f, </w:t>
            </w:r>
            <w:proofErr w:type="spellStart"/>
            <w:r w:rsidRPr="00755640">
              <w:rPr>
                <w:rFonts w:ascii="Verdana" w:hAnsi="Verdana"/>
                <w:sz w:val="15"/>
                <w:szCs w:val="15"/>
              </w:rPr>
              <w:t>Cbw</w:t>
            </w:r>
            <w:proofErr w:type="spellEnd"/>
            <w:r w:rsidRPr="00755640" w:rsidR="008B722F">
              <w:rPr>
                <w:rFonts w:ascii="Verdana" w:hAnsi="Verdana"/>
                <w:sz w:val="15"/>
                <w:szCs w:val="15"/>
              </w:rPr>
              <w:t xml:space="preserve"> </w:t>
            </w:r>
          </w:p>
        </w:tc>
        <w:tc>
          <w:tcPr>
            <w:tcW w:w="2260" w:type="dxa"/>
          </w:tcPr>
          <w:p w:rsidRPr="00755640" w:rsidR="008B722F" w:rsidP="008B722F" w:rsidRDefault="00EA34C4" w14:paraId="37C4C782" w14:textId="48CF0A7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A34C4" w14:paraId="13269B7F" w14:textId="1008BE84">
            <w:pPr>
              <w:pStyle w:val="Geenafstand"/>
              <w:rPr>
                <w:rFonts w:ascii="Verdana" w:hAnsi="Verdana"/>
                <w:sz w:val="15"/>
                <w:szCs w:val="15"/>
              </w:rPr>
            </w:pPr>
            <w:r w:rsidRPr="00755640">
              <w:rPr>
                <w:rFonts w:ascii="Verdana" w:hAnsi="Verdana"/>
                <w:sz w:val="15"/>
                <w:szCs w:val="15"/>
              </w:rPr>
              <w:t>-</w:t>
            </w:r>
          </w:p>
        </w:tc>
      </w:tr>
      <w:tr w:rsidRPr="00755640" w:rsidR="00D66BB6" w:rsidTr="006231F6" w14:paraId="1C5BA046" w14:textId="77777777">
        <w:tc>
          <w:tcPr>
            <w:tcW w:w="2260" w:type="dxa"/>
          </w:tcPr>
          <w:p w:rsidRPr="00755640" w:rsidR="008B722F" w:rsidP="008B722F" w:rsidRDefault="008B722F" w14:paraId="5E3C8BE4" w14:textId="47B747A5">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zevende </w:t>
            </w:r>
            <w:r w:rsidRPr="00755640">
              <w:rPr>
                <w:rFonts w:ascii="Verdana" w:hAnsi="Verdana"/>
                <w:sz w:val="15"/>
                <w:szCs w:val="15"/>
              </w:rPr>
              <w:t>lid</w:t>
            </w:r>
          </w:p>
        </w:tc>
        <w:tc>
          <w:tcPr>
            <w:tcW w:w="2260" w:type="dxa"/>
          </w:tcPr>
          <w:p w:rsidRPr="00755640" w:rsidR="008B722F" w:rsidP="008B722F" w:rsidRDefault="008B722F" w14:paraId="53CF8790" w14:textId="3139BD96">
            <w:pPr>
              <w:pStyle w:val="Geenafstand"/>
              <w:rPr>
                <w:rFonts w:ascii="Verdana" w:hAnsi="Verdana"/>
                <w:sz w:val="15"/>
                <w:szCs w:val="15"/>
              </w:rPr>
            </w:pPr>
            <w:r w:rsidRPr="00755640">
              <w:rPr>
                <w:rFonts w:ascii="Verdana" w:hAnsi="Verdana"/>
                <w:sz w:val="15"/>
                <w:szCs w:val="15"/>
              </w:rPr>
              <w:t xml:space="preserve">Artikel </w:t>
            </w:r>
            <w:r w:rsidRPr="00755640" w:rsidR="00EA34C4">
              <w:rPr>
                <w:rFonts w:ascii="Verdana" w:hAnsi="Verdana"/>
                <w:sz w:val="15"/>
                <w:szCs w:val="15"/>
              </w:rPr>
              <w:t xml:space="preserve">54, eerste lid, </w:t>
            </w:r>
            <w:proofErr w:type="spellStart"/>
            <w:r w:rsidRPr="00755640" w:rsidR="00EA34C4">
              <w:rPr>
                <w:rFonts w:ascii="Verdana" w:hAnsi="Verdana"/>
                <w:sz w:val="15"/>
                <w:szCs w:val="15"/>
              </w:rPr>
              <w:t>Cbw</w:t>
            </w:r>
            <w:proofErr w:type="spellEnd"/>
          </w:p>
        </w:tc>
        <w:tc>
          <w:tcPr>
            <w:tcW w:w="2260" w:type="dxa"/>
          </w:tcPr>
          <w:p w:rsidRPr="00755640" w:rsidR="008B722F" w:rsidP="008B722F" w:rsidRDefault="00EA34C4" w14:paraId="5B908211" w14:textId="70C96CD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A34C4" w14:paraId="51DAAF73" w14:textId="1505B51F">
            <w:pPr>
              <w:pStyle w:val="Geenafstand"/>
              <w:rPr>
                <w:rFonts w:ascii="Verdana" w:hAnsi="Verdana"/>
                <w:sz w:val="15"/>
                <w:szCs w:val="15"/>
              </w:rPr>
            </w:pPr>
            <w:r w:rsidRPr="00755640">
              <w:rPr>
                <w:rFonts w:ascii="Verdana" w:hAnsi="Verdana"/>
                <w:sz w:val="15"/>
                <w:szCs w:val="15"/>
              </w:rPr>
              <w:t>-</w:t>
            </w:r>
          </w:p>
        </w:tc>
      </w:tr>
      <w:tr w:rsidRPr="00755640" w:rsidR="00D66BB6" w:rsidTr="006231F6" w14:paraId="1DD3A64C" w14:textId="77777777">
        <w:tc>
          <w:tcPr>
            <w:tcW w:w="2260" w:type="dxa"/>
          </w:tcPr>
          <w:p w:rsidRPr="00755640" w:rsidR="008B722F" w:rsidP="008B722F" w:rsidRDefault="008B722F" w14:paraId="3644597E" w14:textId="62CE4777">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achtste </w:t>
            </w:r>
            <w:r w:rsidRPr="00755640">
              <w:rPr>
                <w:rFonts w:ascii="Verdana" w:hAnsi="Verdana"/>
                <w:sz w:val="15"/>
                <w:szCs w:val="15"/>
              </w:rPr>
              <w:t>lid</w:t>
            </w:r>
          </w:p>
        </w:tc>
        <w:tc>
          <w:tcPr>
            <w:tcW w:w="2260" w:type="dxa"/>
          </w:tcPr>
          <w:p w:rsidRPr="00755640" w:rsidR="008B722F" w:rsidP="008B722F" w:rsidRDefault="00EA34C4" w14:paraId="772A0572" w14:textId="7A60D11C">
            <w:pPr>
              <w:pStyle w:val="Geenafstand"/>
              <w:rPr>
                <w:rFonts w:ascii="Verdana" w:hAnsi="Verdana"/>
                <w:sz w:val="15"/>
                <w:szCs w:val="15"/>
              </w:rPr>
            </w:pPr>
            <w:r w:rsidRPr="00755640">
              <w:rPr>
                <w:rFonts w:ascii="Verdana" w:hAnsi="Verdana"/>
                <w:sz w:val="15"/>
                <w:szCs w:val="15"/>
              </w:rPr>
              <w:t xml:space="preserve">Artikel 54, tweede lid, </w:t>
            </w:r>
            <w:proofErr w:type="spellStart"/>
            <w:r w:rsidRPr="00755640">
              <w:rPr>
                <w:rFonts w:ascii="Verdana" w:hAnsi="Verdana"/>
                <w:sz w:val="15"/>
                <w:szCs w:val="15"/>
              </w:rPr>
              <w:t>Cbw</w:t>
            </w:r>
            <w:proofErr w:type="spellEnd"/>
          </w:p>
        </w:tc>
        <w:tc>
          <w:tcPr>
            <w:tcW w:w="2260" w:type="dxa"/>
          </w:tcPr>
          <w:p w:rsidRPr="00755640" w:rsidR="008B722F" w:rsidP="008B722F" w:rsidRDefault="00EA34C4" w14:paraId="221FDBFB" w14:textId="4D16295B">
            <w:pPr>
              <w:pStyle w:val="Geenafstand"/>
              <w:rPr>
                <w:rFonts w:ascii="Verdana" w:hAnsi="Verdana"/>
                <w:sz w:val="15"/>
                <w:szCs w:val="15"/>
              </w:rPr>
            </w:pPr>
            <w:r w:rsidRPr="00755640">
              <w:rPr>
                <w:rFonts w:ascii="Verdana" w:hAnsi="Verdana"/>
                <w:sz w:val="15"/>
                <w:szCs w:val="15"/>
              </w:rPr>
              <w:t>-</w:t>
            </w:r>
            <w:r w:rsidRPr="00755640" w:rsidR="008B722F">
              <w:rPr>
                <w:rFonts w:ascii="Verdana" w:hAnsi="Verdana"/>
                <w:sz w:val="15"/>
                <w:szCs w:val="15"/>
              </w:rPr>
              <w:t xml:space="preserve"> </w:t>
            </w:r>
          </w:p>
        </w:tc>
        <w:tc>
          <w:tcPr>
            <w:tcW w:w="2261" w:type="dxa"/>
          </w:tcPr>
          <w:p w:rsidRPr="00755640" w:rsidR="008B722F" w:rsidP="008B722F" w:rsidRDefault="00EA34C4" w14:paraId="3B46DF83" w14:textId="7FDAE974">
            <w:pPr>
              <w:pStyle w:val="Geenafstand"/>
              <w:rPr>
                <w:rFonts w:ascii="Verdana" w:hAnsi="Verdana"/>
                <w:sz w:val="15"/>
                <w:szCs w:val="15"/>
              </w:rPr>
            </w:pPr>
            <w:r w:rsidRPr="00755640">
              <w:rPr>
                <w:rFonts w:ascii="Verdana" w:hAnsi="Verdana"/>
                <w:sz w:val="15"/>
                <w:szCs w:val="15"/>
              </w:rPr>
              <w:t>-</w:t>
            </w:r>
          </w:p>
        </w:tc>
      </w:tr>
      <w:tr w:rsidRPr="00755640" w:rsidR="00D66BB6" w:rsidTr="006231F6" w14:paraId="66369FF2" w14:textId="77777777">
        <w:tc>
          <w:tcPr>
            <w:tcW w:w="2260" w:type="dxa"/>
          </w:tcPr>
          <w:p w:rsidRPr="00755640" w:rsidR="008B722F" w:rsidP="008B722F" w:rsidRDefault="008B722F" w14:paraId="032419CA" w14:textId="1F7FC1E1">
            <w:pPr>
              <w:pStyle w:val="Geenafstand"/>
              <w:rPr>
                <w:rFonts w:ascii="Verdana" w:hAnsi="Verdana"/>
                <w:sz w:val="15"/>
                <w:szCs w:val="15"/>
              </w:rPr>
            </w:pPr>
            <w:r w:rsidRPr="00755640">
              <w:rPr>
                <w:rFonts w:ascii="Verdana" w:hAnsi="Verdana"/>
                <w:sz w:val="15"/>
                <w:szCs w:val="15"/>
              </w:rPr>
              <w:t xml:space="preserve">Artikel 10, </w:t>
            </w:r>
            <w:r w:rsidRPr="00755640" w:rsidR="00DC0263">
              <w:rPr>
                <w:rFonts w:ascii="Verdana" w:hAnsi="Verdana"/>
                <w:sz w:val="15"/>
                <w:szCs w:val="15"/>
              </w:rPr>
              <w:t xml:space="preserve">negende </w:t>
            </w:r>
            <w:r w:rsidRPr="00755640" w:rsidR="007F706A">
              <w:rPr>
                <w:rFonts w:ascii="Verdana" w:hAnsi="Verdana"/>
                <w:sz w:val="15"/>
                <w:szCs w:val="15"/>
              </w:rPr>
              <w:t xml:space="preserve">en tiende </w:t>
            </w:r>
            <w:r w:rsidRPr="00755640">
              <w:rPr>
                <w:rFonts w:ascii="Verdana" w:hAnsi="Verdana"/>
                <w:sz w:val="15"/>
                <w:szCs w:val="15"/>
              </w:rPr>
              <w:t>lid</w:t>
            </w:r>
          </w:p>
        </w:tc>
        <w:tc>
          <w:tcPr>
            <w:tcW w:w="2260" w:type="dxa"/>
          </w:tcPr>
          <w:p w:rsidRPr="00755640" w:rsidR="008B722F" w:rsidP="008B722F" w:rsidRDefault="007F706A" w14:paraId="1AFE017F" w14:textId="24E4B379">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7F706A" w14:paraId="1D8C37F0" w14:textId="4604EA0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7F706A" w14:paraId="274AB1A7" w14:textId="0196A27F">
            <w:pPr>
              <w:pStyle w:val="Geenafstand"/>
              <w:rPr>
                <w:rFonts w:ascii="Verdana" w:hAnsi="Verdana"/>
                <w:sz w:val="15"/>
                <w:szCs w:val="15"/>
              </w:rPr>
            </w:pPr>
            <w:r w:rsidRPr="00755640">
              <w:rPr>
                <w:rFonts w:ascii="Verdana" w:hAnsi="Verdana"/>
                <w:sz w:val="15"/>
                <w:szCs w:val="15"/>
              </w:rPr>
              <w:t>Deze bepalingen behoeven geen implementatie in nationale wetgeving, omdat deze zien op feitelijke handelingen van de centrale overheid.</w:t>
            </w:r>
          </w:p>
        </w:tc>
      </w:tr>
      <w:tr w:rsidRPr="00755640" w:rsidR="00D66BB6" w:rsidTr="006231F6" w14:paraId="73477E20" w14:textId="77777777">
        <w:tc>
          <w:tcPr>
            <w:tcW w:w="2260" w:type="dxa"/>
          </w:tcPr>
          <w:p w:rsidRPr="00755640" w:rsidR="008B722F" w:rsidP="008B722F" w:rsidRDefault="008B722F" w14:paraId="1B9C256C" w14:textId="5EBDCA65">
            <w:pPr>
              <w:pStyle w:val="Geenafstand"/>
              <w:rPr>
                <w:rFonts w:ascii="Verdana" w:hAnsi="Verdana"/>
                <w:sz w:val="15"/>
                <w:szCs w:val="15"/>
              </w:rPr>
            </w:pPr>
            <w:r w:rsidRPr="00755640">
              <w:rPr>
                <w:rFonts w:ascii="Verdana" w:hAnsi="Verdana"/>
                <w:sz w:val="15"/>
                <w:szCs w:val="15"/>
              </w:rPr>
              <w:t xml:space="preserve">Artikel 11, </w:t>
            </w:r>
            <w:r w:rsidRPr="00755640" w:rsidR="00DC026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EF2E4C" w14:paraId="50545266" w14:textId="168D8314">
            <w:pPr>
              <w:pStyle w:val="Geenafstand"/>
              <w:rPr>
                <w:rFonts w:ascii="Verdana" w:hAnsi="Verdana"/>
                <w:sz w:val="15"/>
                <w:szCs w:val="15"/>
              </w:rPr>
            </w:pPr>
            <w:r>
              <w:rPr>
                <w:rFonts w:ascii="Verdana" w:hAnsi="Verdana"/>
                <w:sz w:val="15"/>
                <w:szCs w:val="15"/>
              </w:rPr>
              <w:t xml:space="preserve">Artikel 16, zevende lid, </w:t>
            </w:r>
            <w:proofErr w:type="spellStart"/>
            <w:r>
              <w:rPr>
                <w:rFonts w:ascii="Verdana" w:hAnsi="Verdana"/>
                <w:sz w:val="15"/>
                <w:szCs w:val="15"/>
              </w:rPr>
              <w:t>Cbw</w:t>
            </w:r>
            <w:proofErr w:type="spellEnd"/>
          </w:p>
        </w:tc>
        <w:tc>
          <w:tcPr>
            <w:tcW w:w="2260" w:type="dxa"/>
          </w:tcPr>
          <w:p w:rsidRPr="00755640" w:rsidR="008B722F" w:rsidP="008B722F" w:rsidRDefault="00CA01B6" w14:paraId="4DE9F10D" w14:textId="48F197EC">
            <w:pPr>
              <w:pStyle w:val="Geenafstand"/>
              <w:rPr>
                <w:rFonts w:ascii="Verdana" w:hAnsi="Verdana"/>
                <w:sz w:val="15"/>
                <w:szCs w:val="15"/>
              </w:rPr>
            </w:pPr>
            <w:r w:rsidRPr="00755640">
              <w:rPr>
                <w:rFonts w:ascii="Verdana" w:hAnsi="Verdana"/>
                <w:sz w:val="15"/>
                <w:szCs w:val="15"/>
              </w:rPr>
              <w:t>-</w:t>
            </w:r>
            <w:r w:rsidRPr="00755640" w:rsidR="008B722F">
              <w:rPr>
                <w:rFonts w:ascii="Verdana" w:hAnsi="Verdana"/>
                <w:sz w:val="15"/>
                <w:szCs w:val="15"/>
              </w:rPr>
              <w:t xml:space="preserve"> </w:t>
            </w:r>
          </w:p>
        </w:tc>
        <w:tc>
          <w:tcPr>
            <w:tcW w:w="2261" w:type="dxa"/>
          </w:tcPr>
          <w:p w:rsidRPr="00755640" w:rsidR="008B722F" w:rsidP="008B722F" w:rsidRDefault="00EF2E4C" w14:paraId="22D167BA" w14:textId="4DEA5DBF">
            <w:pPr>
              <w:pStyle w:val="Geenafstand"/>
              <w:rPr>
                <w:rFonts w:ascii="Verdana" w:hAnsi="Verdana"/>
                <w:sz w:val="15"/>
                <w:szCs w:val="15"/>
              </w:rPr>
            </w:pPr>
            <w:r>
              <w:rPr>
                <w:rFonts w:ascii="Verdana" w:hAnsi="Verdana"/>
                <w:sz w:val="15"/>
                <w:szCs w:val="15"/>
              </w:rPr>
              <w:t>-</w:t>
            </w:r>
          </w:p>
        </w:tc>
      </w:tr>
      <w:tr w:rsidRPr="00755640" w:rsidR="00D66BB6" w:rsidTr="006231F6" w14:paraId="787B85D4" w14:textId="77777777">
        <w:tc>
          <w:tcPr>
            <w:tcW w:w="2260" w:type="dxa"/>
          </w:tcPr>
          <w:p w:rsidRPr="00755640" w:rsidR="008B722F" w:rsidP="008B722F" w:rsidRDefault="008B722F" w14:paraId="47BF5C46" w14:textId="10CE8E3D">
            <w:pPr>
              <w:pStyle w:val="Geenafstand"/>
              <w:rPr>
                <w:rFonts w:ascii="Verdana" w:hAnsi="Verdana"/>
                <w:sz w:val="15"/>
                <w:szCs w:val="15"/>
              </w:rPr>
            </w:pPr>
            <w:r w:rsidRPr="00755640">
              <w:rPr>
                <w:rFonts w:ascii="Verdana" w:hAnsi="Verdana"/>
                <w:sz w:val="15"/>
                <w:szCs w:val="15"/>
              </w:rPr>
              <w:t xml:space="preserve">Artikel 11, </w:t>
            </w:r>
            <w:r w:rsidRPr="00755640" w:rsidR="00DC026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CA01B6" w14:paraId="1343B1BD" w14:textId="775E10FF">
            <w:pPr>
              <w:pStyle w:val="Geenafstand"/>
              <w:rPr>
                <w:rFonts w:ascii="Verdana" w:hAnsi="Verdana"/>
                <w:sz w:val="15"/>
                <w:szCs w:val="15"/>
              </w:rPr>
            </w:pPr>
            <w:r w:rsidRPr="00755640">
              <w:rPr>
                <w:rFonts w:ascii="Verdana" w:hAnsi="Verdana"/>
                <w:sz w:val="15"/>
                <w:szCs w:val="15"/>
              </w:rPr>
              <w:t>-</w:t>
            </w:r>
            <w:r w:rsidRPr="00755640" w:rsidR="008B722F">
              <w:rPr>
                <w:rFonts w:ascii="Verdana" w:hAnsi="Verdana"/>
                <w:sz w:val="15"/>
                <w:szCs w:val="15"/>
              </w:rPr>
              <w:t xml:space="preserve"> </w:t>
            </w:r>
          </w:p>
        </w:tc>
        <w:tc>
          <w:tcPr>
            <w:tcW w:w="2260" w:type="dxa"/>
          </w:tcPr>
          <w:p w:rsidRPr="00755640" w:rsidR="008B722F" w:rsidP="008B722F" w:rsidRDefault="00CA01B6" w14:paraId="27065E01" w14:textId="5A2A2B4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3A5104A3" w14:textId="5EE38CB7">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560510CC" w14:textId="77777777">
        <w:tc>
          <w:tcPr>
            <w:tcW w:w="2260" w:type="dxa"/>
          </w:tcPr>
          <w:p w:rsidRPr="00755640" w:rsidR="008B722F" w:rsidP="008B722F" w:rsidRDefault="008B722F" w14:paraId="1252A0B0" w14:textId="5F3366E4">
            <w:pPr>
              <w:pStyle w:val="Geenafstand"/>
              <w:rPr>
                <w:rFonts w:ascii="Verdana" w:hAnsi="Verdana"/>
                <w:sz w:val="15"/>
                <w:szCs w:val="15"/>
              </w:rPr>
            </w:pPr>
            <w:r w:rsidRPr="00755640">
              <w:rPr>
                <w:rFonts w:ascii="Verdana" w:hAnsi="Verdana"/>
                <w:sz w:val="15"/>
                <w:szCs w:val="15"/>
              </w:rPr>
              <w:t xml:space="preserve">Artikel 11, </w:t>
            </w:r>
            <w:r w:rsidRPr="00755640" w:rsidR="00DC026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CA01B6" w14:paraId="06EB3FC8" w14:textId="3773B1EE">
            <w:pPr>
              <w:pStyle w:val="Geenafstand"/>
              <w:rPr>
                <w:rFonts w:ascii="Verdana" w:hAnsi="Verdana"/>
                <w:sz w:val="15"/>
                <w:szCs w:val="15"/>
              </w:rPr>
            </w:pPr>
            <w:r w:rsidRPr="00755640">
              <w:rPr>
                <w:rFonts w:ascii="Verdana" w:hAnsi="Verdana"/>
                <w:sz w:val="15"/>
                <w:szCs w:val="15"/>
              </w:rPr>
              <w:t xml:space="preserve">Artikel 16, </w:t>
            </w:r>
            <w:r w:rsidR="00B66ED4">
              <w:rPr>
                <w:rFonts w:ascii="Verdana" w:hAnsi="Verdana"/>
                <w:sz w:val="15"/>
                <w:szCs w:val="15"/>
              </w:rPr>
              <w:t>tweede</w:t>
            </w:r>
            <w:r w:rsidRPr="00755640">
              <w:rPr>
                <w:rFonts w:ascii="Verdana" w:hAnsi="Verdana"/>
                <w:sz w:val="15"/>
                <w:szCs w:val="15"/>
              </w:rPr>
              <w:t xml:space="preserve">, </w:t>
            </w:r>
            <w:r w:rsidR="00B66ED4">
              <w:rPr>
                <w:rFonts w:ascii="Verdana" w:hAnsi="Verdana"/>
                <w:sz w:val="15"/>
                <w:szCs w:val="15"/>
              </w:rPr>
              <w:t>derde</w:t>
            </w:r>
            <w:r w:rsidRPr="00755640" w:rsidR="00B66ED4">
              <w:rPr>
                <w:rFonts w:ascii="Verdana" w:hAnsi="Verdana"/>
                <w:sz w:val="15"/>
                <w:szCs w:val="15"/>
              </w:rPr>
              <w:t xml:space="preserve"> </w:t>
            </w:r>
            <w:r w:rsidRPr="00755640">
              <w:rPr>
                <w:rFonts w:ascii="Verdana" w:hAnsi="Verdana"/>
                <w:sz w:val="15"/>
                <w:szCs w:val="15"/>
              </w:rPr>
              <w:t xml:space="preserve">en </w:t>
            </w:r>
            <w:r w:rsidR="00B66ED4">
              <w:rPr>
                <w:rFonts w:ascii="Verdana" w:hAnsi="Verdana"/>
                <w:sz w:val="15"/>
                <w:szCs w:val="15"/>
              </w:rPr>
              <w:t>vierde</w:t>
            </w:r>
            <w:r w:rsidRPr="00755640" w:rsidR="00B66ED4">
              <w:rPr>
                <w:rFonts w:ascii="Verdana" w:hAnsi="Verdana"/>
                <w:sz w:val="15"/>
                <w:szCs w:val="15"/>
              </w:rPr>
              <w:t xml:space="preserve"> </w:t>
            </w:r>
            <w:r w:rsidRPr="00755640">
              <w:rPr>
                <w:rFonts w:ascii="Verdana" w:hAnsi="Verdana"/>
                <w:sz w:val="15"/>
                <w:szCs w:val="15"/>
              </w:rPr>
              <w:t xml:space="preserve">lid, </w:t>
            </w:r>
            <w:proofErr w:type="spellStart"/>
            <w:r w:rsidRPr="00755640">
              <w:rPr>
                <w:rFonts w:ascii="Verdana" w:hAnsi="Verdana"/>
                <w:sz w:val="15"/>
                <w:szCs w:val="15"/>
              </w:rPr>
              <w:t>Cbw</w:t>
            </w:r>
            <w:proofErr w:type="spellEnd"/>
          </w:p>
        </w:tc>
        <w:tc>
          <w:tcPr>
            <w:tcW w:w="2260" w:type="dxa"/>
          </w:tcPr>
          <w:p w:rsidRPr="00755640" w:rsidR="008B722F" w:rsidP="008B722F" w:rsidRDefault="00CA01B6" w14:paraId="09FA85D8" w14:textId="1998A6E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6AED6D0F" w14:textId="581CA44E">
            <w:pPr>
              <w:pStyle w:val="Geenafstand"/>
              <w:rPr>
                <w:rFonts w:ascii="Verdana" w:hAnsi="Verdana"/>
                <w:sz w:val="15"/>
                <w:szCs w:val="15"/>
              </w:rPr>
            </w:pPr>
            <w:r w:rsidRPr="00755640">
              <w:rPr>
                <w:rFonts w:ascii="Verdana" w:hAnsi="Verdana"/>
                <w:sz w:val="15"/>
                <w:szCs w:val="15"/>
              </w:rPr>
              <w:t>-</w:t>
            </w:r>
          </w:p>
        </w:tc>
      </w:tr>
      <w:tr w:rsidRPr="00755640" w:rsidR="00D66BB6" w:rsidTr="006231F6" w14:paraId="47693AAB" w14:textId="77777777">
        <w:tc>
          <w:tcPr>
            <w:tcW w:w="2260" w:type="dxa"/>
          </w:tcPr>
          <w:p w:rsidRPr="00755640" w:rsidR="008B722F" w:rsidP="008B722F" w:rsidRDefault="008B722F" w14:paraId="3FF3BE32" w14:textId="55509F43">
            <w:pPr>
              <w:pStyle w:val="Geenafstand"/>
              <w:rPr>
                <w:rFonts w:ascii="Verdana" w:hAnsi="Verdana"/>
                <w:sz w:val="15"/>
                <w:szCs w:val="15"/>
              </w:rPr>
            </w:pPr>
            <w:r w:rsidRPr="00755640">
              <w:rPr>
                <w:rFonts w:ascii="Verdana" w:hAnsi="Verdana"/>
                <w:sz w:val="15"/>
                <w:szCs w:val="15"/>
              </w:rPr>
              <w:t xml:space="preserve">Artikel 11, </w:t>
            </w:r>
            <w:r w:rsidRPr="00755640" w:rsidR="00DC026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CA01B6" w14:paraId="04D46593" w14:textId="24DBC792">
            <w:pPr>
              <w:pStyle w:val="Geenafstand"/>
              <w:rPr>
                <w:rFonts w:ascii="Verdana" w:hAnsi="Verdana"/>
                <w:sz w:val="15"/>
                <w:szCs w:val="15"/>
              </w:rPr>
            </w:pPr>
            <w:r w:rsidRPr="00755640">
              <w:rPr>
                <w:rFonts w:ascii="Verdana" w:hAnsi="Verdana"/>
                <w:sz w:val="15"/>
                <w:szCs w:val="15"/>
              </w:rPr>
              <w:t xml:space="preserve">Artikel 16, </w:t>
            </w:r>
            <w:r w:rsidR="00B66ED4">
              <w:rPr>
                <w:rFonts w:ascii="Verdana" w:hAnsi="Verdana"/>
                <w:sz w:val="15"/>
                <w:szCs w:val="15"/>
              </w:rPr>
              <w:t>vijfde</w:t>
            </w:r>
            <w:r w:rsidRPr="00755640" w:rsidR="00B66ED4">
              <w:rPr>
                <w:rFonts w:ascii="Verdana" w:hAnsi="Verdana"/>
                <w:sz w:val="15"/>
                <w:szCs w:val="15"/>
              </w:rPr>
              <w:t xml:space="preserve"> </w:t>
            </w:r>
            <w:r w:rsidRPr="00755640">
              <w:rPr>
                <w:rFonts w:ascii="Verdana" w:hAnsi="Verdana"/>
                <w:sz w:val="15"/>
                <w:szCs w:val="15"/>
              </w:rPr>
              <w:t xml:space="preserve">lid, </w:t>
            </w:r>
            <w:proofErr w:type="spellStart"/>
            <w:r w:rsidRPr="00755640">
              <w:rPr>
                <w:rFonts w:ascii="Verdana" w:hAnsi="Verdana"/>
                <w:sz w:val="15"/>
                <w:szCs w:val="15"/>
              </w:rPr>
              <w:t>Cbw</w:t>
            </w:r>
            <w:proofErr w:type="spellEnd"/>
          </w:p>
        </w:tc>
        <w:tc>
          <w:tcPr>
            <w:tcW w:w="2260" w:type="dxa"/>
          </w:tcPr>
          <w:p w:rsidRPr="00755640" w:rsidR="008B722F" w:rsidP="008B722F" w:rsidRDefault="00CA01B6" w14:paraId="634970F9" w14:textId="388E2A9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137FDF9E" w14:textId="3A1F49F6">
            <w:pPr>
              <w:pStyle w:val="Geenafstand"/>
              <w:rPr>
                <w:rFonts w:ascii="Verdana" w:hAnsi="Verdana"/>
                <w:sz w:val="15"/>
                <w:szCs w:val="15"/>
              </w:rPr>
            </w:pPr>
            <w:r w:rsidRPr="00755640">
              <w:rPr>
                <w:rFonts w:ascii="Verdana" w:hAnsi="Verdana"/>
                <w:sz w:val="15"/>
                <w:szCs w:val="15"/>
              </w:rPr>
              <w:t>-</w:t>
            </w:r>
          </w:p>
        </w:tc>
      </w:tr>
      <w:tr w:rsidRPr="00755640" w:rsidR="00D66BB6" w:rsidTr="006231F6" w14:paraId="3890ADED" w14:textId="77777777">
        <w:tc>
          <w:tcPr>
            <w:tcW w:w="2260" w:type="dxa"/>
          </w:tcPr>
          <w:p w:rsidRPr="00755640" w:rsidR="008B722F" w:rsidP="008B722F" w:rsidRDefault="008B722F" w14:paraId="799C6CC8" w14:textId="7BE67621">
            <w:pPr>
              <w:pStyle w:val="Geenafstand"/>
              <w:rPr>
                <w:rFonts w:ascii="Verdana" w:hAnsi="Verdana"/>
                <w:sz w:val="15"/>
                <w:szCs w:val="15"/>
              </w:rPr>
            </w:pPr>
            <w:r w:rsidRPr="00755640">
              <w:rPr>
                <w:rFonts w:ascii="Verdana" w:hAnsi="Verdana"/>
                <w:sz w:val="15"/>
                <w:szCs w:val="15"/>
              </w:rPr>
              <w:t xml:space="preserve">Artikel 11, </w:t>
            </w:r>
            <w:r w:rsidRPr="00755640" w:rsidR="00DC026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CA01B6" w14:paraId="01061D7C" w14:textId="12282077">
            <w:pPr>
              <w:pStyle w:val="Geenafstand"/>
              <w:rPr>
                <w:rFonts w:ascii="Verdana" w:hAnsi="Verdana"/>
                <w:sz w:val="15"/>
                <w:szCs w:val="15"/>
              </w:rPr>
            </w:pPr>
            <w:r w:rsidRPr="00755640">
              <w:rPr>
                <w:rFonts w:ascii="Verdana" w:hAnsi="Verdana"/>
                <w:sz w:val="15"/>
                <w:szCs w:val="15"/>
              </w:rPr>
              <w:t xml:space="preserve">Artikel 16, </w:t>
            </w:r>
            <w:r w:rsidR="00B66ED4">
              <w:rPr>
                <w:rFonts w:ascii="Verdana" w:hAnsi="Verdana"/>
                <w:sz w:val="15"/>
                <w:szCs w:val="15"/>
              </w:rPr>
              <w:t>zesde</w:t>
            </w:r>
            <w:r w:rsidRPr="00755640" w:rsidR="00B66ED4">
              <w:rPr>
                <w:rFonts w:ascii="Verdana" w:hAnsi="Verdana"/>
                <w:sz w:val="15"/>
                <w:szCs w:val="15"/>
              </w:rPr>
              <w:t xml:space="preserve"> </w:t>
            </w:r>
            <w:r w:rsidRPr="00755640">
              <w:rPr>
                <w:rFonts w:ascii="Verdana" w:hAnsi="Verdana"/>
                <w:sz w:val="15"/>
                <w:szCs w:val="15"/>
              </w:rPr>
              <w:t xml:space="preserve">lid, </w:t>
            </w:r>
            <w:proofErr w:type="spellStart"/>
            <w:r w:rsidRPr="00755640">
              <w:rPr>
                <w:rFonts w:ascii="Verdana" w:hAnsi="Verdana"/>
                <w:sz w:val="15"/>
                <w:szCs w:val="15"/>
              </w:rPr>
              <w:t>Cbw</w:t>
            </w:r>
            <w:proofErr w:type="spellEnd"/>
          </w:p>
        </w:tc>
        <w:tc>
          <w:tcPr>
            <w:tcW w:w="2260" w:type="dxa"/>
          </w:tcPr>
          <w:p w:rsidRPr="00755640" w:rsidR="008B722F" w:rsidP="008B722F" w:rsidRDefault="00CA01B6" w14:paraId="62A5D604" w14:textId="6CE97072">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0F104B99" w14:textId="6236DBED">
            <w:pPr>
              <w:pStyle w:val="Geenafstand"/>
              <w:rPr>
                <w:rFonts w:ascii="Verdana" w:hAnsi="Verdana"/>
                <w:sz w:val="15"/>
                <w:szCs w:val="15"/>
              </w:rPr>
            </w:pPr>
            <w:r w:rsidRPr="00755640">
              <w:rPr>
                <w:rFonts w:ascii="Verdana" w:hAnsi="Verdana"/>
                <w:sz w:val="15"/>
                <w:szCs w:val="15"/>
              </w:rPr>
              <w:t>-</w:t>
            </w:r>
          </w:p>
        </w:tc>
      </w:tr>
      <w:tr w:rsidRPr="00755640" w:rsidR="00D66BB6" w:rsidTr="006231F6" w14:paraId="08AAFF0E" w14:textId="77777777">
        <w:tc>
          <w:tcPr>
            <w:tcW w:w="2260" w:type="dxa"/>
          </w:tcPr>
          <w:p w:rsidRPr="00755640" w:rsidR="008B722F" w:rsidP="008B722F" w:rsidRDefault="008B722F" w14:paraId="10279B9A" w14:textId="0F87B124">
            <w:pPr>
              <w:pStyle w:val="Geenafstand"/>
              <w:rPr>
                <w:rFonts w:ascii="Verdana" w:hAnsi="Verdana"/>
                <w:sz w:val="15"/>
                <w:szCs w:val="15"/>
              </w:rPr>
            </w:pPr>
            <w:r w:rsidRPr="00755640">
              <w:rPr>
                <w:rFonts w:ascii="Verdana" w:hAnsi="Verdana"/>
                <w:sz w:val="15"/>
                <w:szCs w:val="15"/>
              </w:rPr>
              <w:t xml:space="preserve">Artikel 12, </w:t>
            </w:r>
            <w:r w:rsidRPr="00755640" w:rsidR="00DC026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CC1733" w14:paraId="5A890A95" w14:textId="10F96573">
            <w:pPr>
              <w:pStyle w:val="Geenafstand"/>
              <w:rPr>
                <w:rFonts w:ascii="Verdana" w:hAnsi="Verdana"/>
                <w:sz w:val="15"/>
                <w:szCs w:val="15"/>
              </w:rPr>
            </w:pPr>
            <w:r>
              <w:rPr>
                <w:rFonts w:ascii="Verdana" w:hAnsi="Verdana"/>
                <w:sz w:val="15"/>
                <w:szCs w:val="15"/>
              </w:rPr>
              <w:t>De a</w:t>
            </w:r>
            <w:r w:rsidRPr="00755640" w:rsidR="00CA01B6">
              <w:rPr>
                <w:rFonts w:ascii="Verdana" w:hAnsi="Verdana"/>
                <w:sz w:val="15"/>
                <w:szCs w:val="15"/>
              </w:rPr>
              <w:t>rtikel</w:t>
            </w:r>
            <w:r>
              <w:rPr>
                <w:rFonts w:ascii="Verdana" w:hAnsi="Verdana"/>
                <w:sz w:val="15"/>
                <w:szCs w:val="15"/>
              </w:rPr>
              <w:t>en</w:t>
            </w:r>
            <w:r w:rsidRPr="00755640" w:rsidR="00CA01B6">
              <w:rPr>
                <w:rFonts w:ascii="Verdana" w:hAnsi="Verdana"/>
                <w:sz w:val="15"/>
                <w:szCs w:val="15"/>
              </w:rPr>
              <w:t xml:space="preserve"> 17 </w:t>
            </w:r>
            <w:r>
              <w:rPr>
                <w:rFonts w:ascii="Verdana" w:hAnsi="Verdana"/>
                <w:sz w:val="15"/>
                <w:szCs w:val="15"/>
              </w:rPr>
              <w:t xml:space="preserve">en 34, derde lid, </w:t>
            </w:r>
            <w:proofErr w:type="spellStart"/>
            <w:r w:rsidRPr="00755640" w:rsidR="00CA01B6">
              <w:rPr>
                <w:rFonts w:ascii="Verdana" w:hAnsi="Verdana"/>
                <w:sz w:val="15"/>
                <w:szCs w:val="15"/>
              </w:rPr>
              <w:t>Cbw</w:t>
            </w:r>
            <w:proofErr w:type="spellEnd"/>
          </w:p>
        </w:tc>
        <w:tc>
          <w:tcPr>
            <w:tcW w:w="2260" w:type="dxa"/>
          </w:tcPr>
          <w:p w:rsidRPr="00755640" w:rsidR="008B722F" w:rsidP="008B722F" w:rsidRDefault="00CA01B6" w14:paraId="5667D357" w14:textId="7BD8A71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682388F2" w14:textId="591BF67A">
            <w:pPr>
              <w:pStyle w:val="Geenafstand"/>
              <w:rPr>
                <w:rFonts w:ascii="Verdana" w:hAnsi="Verdana"/>
                <w:sz w:val="15"/>
                <w:szCs w:val="15"/>
              </w:rPr>
            </w:pPr>
            <w:r w:rsidRPr="00755640">
              <w:rPr>
                <w:rFonts w:ascii="Verdana" w:hAnsi="Verdana"/>
                <w:sz w:val="15"/>
                <w:szCs w:val="15"/>
              </w:rPr>
              <w:t>-</w:t>
            </w:r>
          </w:p>
        </w:tc>
      </w:tr>
      <w:tr w:rsidRPr="00755640" w:rsidR="00D66BB6" w:rsidTr="006231F6" w14:paraId="63F5FB77" w14:textId="77777777">
        <w:tc>
          <w:tcPr>
            <w:tcW w:w="2260" w:type="dxa"/>
          </w:tcPr>
          <w:p w:rsidRPr="00755640" w:rsidR="008B722F" w:rsidP="008B722F" w:rsidRDefault="008B722F" w14:paraId="3E802492" w14:textId="63A37E5A">
            <w:pPr>
              <w:pStyle w:val="Geenafstand"/>
              <w:rPr>
                <w:rFonts w:ascii="Verdana" w:hAnsi="Verdana"/>
                <w:sz w:val="15"/>
                <w:szCs w:val="15"/>
              </w:rPr>
            </w:pPr>
            <w:r w:rsidRPr="00755640">
              <w:rPr>
                <w:rFonts w:ascii="Verdana" w:hAnsi="Verdana"/>
                <w:sz w:val="15"/>
                <w:szCs w:val="15"/>
              </w:rPr>
              <w:t xml:space="preserve">Artikel 12, </w:t>
            </w:r>
            <w:r w:rsidRPr="00755640" w:rsidR="00DC026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CA01B6" w14:paraId="5507BBC5" w14:textId="314DF9AA">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CA01B6" w14:paraId="24BB6064" w14:textId="3534F24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436D9E6A" w14:textId="17C33C96">
            <w:pPr>
              <w:pStyle w:val="Geenafstand"/>
              <w:rPr>
                <w:rFonts w:ascii="Verdana" w:hAnsi="Verdana"/>
                <w:sz w:val="15"/>
                <w:szCs w:val="15"/>
              </w:rPr>
            </w:pPr>
            <w:r w:rsidRPr="00755640">
              <w:rPr>
                <w:rFonts w:ascii="Verdana" w:hAnsi="Verdana"/>
                <w:sz w:val="15"/>
                <w:szCs w:val="15"/>
              </w:rPr>
              <w:t xml:space="preserve">Deze bepaling is gericht </w:t>
            </w:r>
            <w:r w:rsidR="007125A9">
              <w:rPr>
                <w:rFonts w:ascii="Verdana" w:hAnsi="Verdana"/>
                <w:sz w:val="15"/>
                <w:szCs w:val="15"/>
              </w:rPr>
              <w:t>aan</w:t>
            </w:r>
            <w:r w:rsidRPr="00755640" w:rsidR="007125A9">
              <w:rPr>
                <w:rFonts w:ascii="Verdana" w:hAnsi="Verdana"/>
                <w:sz w:val="15"/>
                <w:szCs w:val="15"/>
              </w:rPr>
              <w:t xml:space="preserve"> </w:t>
            </w:r>
            <w:proofErr w:type="spellStart"/>
            <w:r w:rsidRPr="00755640">
              <w:rPr>
                <w:rFonts w:ascii="Verdana" w:hAnsi="Verdana"/>
                <w:sz w:val="15"/>
                <w:szCs w:val="15"/>
              </w:rPr>
              <w:t>Enisa</w:t>
            </w:r>
            <w:proofErr w:type="spellEnd"/>
            <w:r w:rsidRPr="00755640">
              <w:rPr>
                <w:rFonts w:ascii="Verdana" w:hAnsi="Verdana"/>
                <w:sz w:val="15"/>
                <w:szCs w:val="15"/>
              </w:rPr>
              <w:t>.</w:t>
            </w:r>
          </w:p>
        </w:tc>
      </w:tr>
      <w:tr w:rsidRPr="00755640" w:rsidR="00D66BB6" w:rsidTr="006231F6" w14:paraId="44EB7D75" w14:textId="77777777">
        <w:tc>
          <w:tcPr>
            <w:tcW w:w="2260" w:type="dxa"/>
          </w:tcPr>
          <w:p w:rsidRPr="00755640" w:rsidR="008B722F" w:rsidP="008B722F" w:rsidRDefault="008B722F" w14:paraId="7A5A344B" w14:textId="12333F74">
            <w:pPr>
              <w:pStyle w:val="Geenafstand"/>
              <w:rPr>
                <w:rFonts w:ascii="Verdana" w:hAnsi="Verdana"/>
                <w:sz w:val="15"/>
                <w:szCs w:val="15"/>
              </w:rPr>
            </w:pPr>
            <w:r w:rsidRPr="00755640">
              <w:rPr>
                <w:rFonts w:ascii="Verdana" w:hAnsi="Verdana"/>
                <w:sz w:val="15"/>
                <w:szCs w:val="15"/>
              </w:rPr>
              <w:t xml:space="preserve">Artikel 13, </w:t>
            </w:r>
            <w:r w:rsidRPr="00755640" w:rsidR="00DC026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CA01B6" w14:paraId="71951229" w14:textId="176FBC29">
            <w:pPr>
              <w:pStyle w:val="Geenafstand"/>
              <w:rPr>
                <w:rFonts w:ascii="Verdana" w:hAnsi="Verdana"/>
                <w:sz w:val="15"/>
                <w:szCs w:val="15"/>
              </w:rPr>
            </w:pPr>
            <w:r w:rsidRPr="00755640">
              <w:rPr>
                <w:rFonts w:ascii="Verdana" w:hAnsi="Verdana"/>
                <w:sz w:val="15"/>
                <w:szCs w:val="15"/>
              </w:rPr>
              <w:t xml:space="preserve">Artikel 51 </w:t>
            </w:r>
            <w:proofErr w:type="spellStart"/>
            <w:r w:rsidRPr="00755640">
              <w:rPr>
                <w:rFonts w:ascii="Verdana" w:hAnsi="Verdana"/>
                <w:sz w:val="15"/>
                <w:szCs w:val="15"/>
              </w:rPr>
              <w:t>Cbw</w:t>
            </w:r>
            <w:proofErr w:type="spellEnd"/>
          </w:p>
        </w:tc>
        <w:tc>
          <w:tcPr>
            <w:tcW w:w="2260" w:type="dxa"/>
          </w:tcPr>
          <w:p w:rsidRPr="00755640" w:rsidR="008B722F" w:rsidP="008B722F" w:rsidRDefault="00CA01B6" w14:paraId="7EE6A4E7" w14:textId="117298F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7151356A" w14:textId="771E0476">
            <w:pPr>
              <w:pStyle w:val="Geenafstand"/>
              <w:rPr>
                <w:rFonts w:ascii="Verdana" w:hAnsi="Verdana"/>
                <w:sz w:val="15"/>
                <w:szCs w:val="15"/>
              </w:rPr>
            </w:pPr>
            <w:r w:rsidRPr="00755640">
              <w:rPr>
                <w:rFonts w:ascii="Verdana" w:hAnsi="Verdana"/>
                <w:sz w:val="15"/>
                <w:szCs w:val="15"/>
              </w:rPr>
              <w:t>-</w:t>
            </w:r>
          </w:p>
        </w:tc>
      </w:tr>
      <w:tr w:rsidRPr="00755640" w:rsidR="00D66BB6" w:rsidTr="006231F6" w14:paraId="15256F85" w14:textId="77777777">
        <w:tc>
          <w:tcPr>
            <w:tcW w:w="2260" w:type="dxa"/>
          </w:tcPr>
          <w:p w:rsidRPr="00755640" w:rsidR="008B722F" w:rsidP="008B722F" w:rsidRDefault="008B722F" w14:paraId="34D3DD59" w14:textId="5316092D">
            <w:pPr>
              <w:pStyle w:val="Geenafstand"/>
              <w:rPr>
                <w:rFonts w:ascii="Verdana" w:hAnsi="Verdana"/>
                <w:sz w:val="15"/>
                <w:szCs w:val="15"/>
              </w:rPr>
            </w:pPr>
            <w:r w:rsidRPr="00755640">
              <w:rPr>
                <w:rFonts w:ascii="Verdana" w:hAnsi="Verdana"/>
                <w:sz w:val="15"/>
                <w:szCs w:val="15"/>
              </w:rPr>
              <w:t xml:space="preserve">Artikel 13, </w:t>
            </w:r>
            <w:r w:rsidRPr="00755640" w:rsidR="00DC026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CA01B6" w14:paraId="3EDF80E4" w14:textId="69305827">
            <w:pPr>
              <w:pStyle w:val="Geenafstand"/>
              <w:rPr>
                <w:rFonts w:ascii="Verdana" w:hAnsi="Verdana"/>
                <w:sz w:val="15"/>
                <w:szCs w:val="15"/>
              </w:rPr>
            </w:pPr>
            <w:r w:rsidRPr="00755640">
              <w:rPr>
                <w:rFonts w:ascii="Verdana" w:hAnsi="Verdana"/>
                <w:sz w:val="15"/>
                <w:szCs w:val="15"/>
              </w:rPr>
              <w:t xml:space="preserve">De artikelen 25 tot en met 29 en 33 </w:t>
            </w:r>
            <w:proofErr w:type="spellStart"/>
            <w:r w:rsidRPr="00755640">
              <w:rPr>
                <w:rFonts w:ascii="Verdana" w:hAnsi="Verdana"/>
                <w:sz w:val="15"/>
                <w:szCs w:val="15"/>
              </w:rPr>
              <w:t>Cbw</w:t>
            </w:r>
            <w:proofErr w:type="spellEnd"/>
          </w:p>
        </w:tc>
        <w:tc>
          <w:tcPr>
            <w:tcW w:w="2260" w:type="dxa"/>
          </w:tcPr>
          <w:p w:rsidRPr="00755640" w:rsidR="008B722F" w:rsidP="008B722F" w:rsidRDefault="00CA01B6" w14:paraId="1F607157" w14:textId="1CC5356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51E8C729" w14:textId="51692D07">
            <w:pPr>
              <w:pStyle w:val="Geenafstand"/>
              <w:rPr>
                <w:rFonts w:ascii="Verdana" w:hAnsi="Verdana"/>
                <w:sz w:val="15"/>
                <w:szCs w:val="15"/>
              </w:rPr>
            </w:pPr>
            <w:r w:rsidRPr="00755640">
              <w:rPr>
                <w:rFonts w:ascii="Verdana" w:hAnsi="Verdana"/>
                <w:sz w:val="15"/>
                <w:szCs w:val="15"/>
              </w:rPr>
              <w:t>-</w:t>
            </w:r>
          </w:p>
        </w:tc>
      </w:tr>
      <w:tr w:rsidRPr="00755640" w:rsidR="00D66BB6" w:rsidTr="006231F6" w14:paraId="0A2F27AE" w14:textId="77777777">
        <w:tc>
          <w:tcPr>
            <w:tcW w:w="2260" w:type="dxa"/>
          </w:tcPr>
          <w:p w:rsidRPr="00755640" w:rsidR="008B722F" w:rsidP="008B722F" w:rsidRDefault="008B722F" w14:paraId="64BD96A0" w14:textId="114CD0C5">
            <w:pPr>
              <w:pStyle w:val="Geenafstand"/>
              <w:rPr>
                <w:rFonts w:ascii="Verdana" w:hAnsi="Verdana"/>
                <w:sz w:val="15"/>
                <w:szCs w:val="15"/>
              </w:rPr>
            </w:pPr>
            <w:r w:rsidRPr="00755640">
              <w:rPr>
                <w:rFonts w:ascii="Verdana" w:hAnsi="Verdana"/>
                <w:sz w:val="15"/>
                <w:szCs w:val="15"/>
              </w:rPr>
              <w:t xml:space="preserve">Artikel 13, </w:t>
            </w:r>
            <w:r w:rsidRPr="00755640" w:rsidR="00DC026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8B722F" w14:paraId="58485E1A" w14:textId="549F219C">
            <w:pPr>
              <w:pStyle w:val="Geenafstand"/>
              <w:rPr>
                <w:rFonts w:ascii="Verdana" w:hAnsi="Verdana"/>
                <w:sz w:val="15"/>
                <w:szCs w:val="15"/>
              </w:rPr>
            </w:pPr>
            <w:r w:rsidRPr="00755640">
              <w:rPr>
                <w:rFonts w:ascii="Verdana" w:hAnsi="Verdana"/>
                <w:sz w:val="15"/>
                <w:szCs w:val="15"/>
              </w:rPr>
              <w:t xml:space="preserve">Artikel </w:t>
            </w:r>
            <w:r w:rsidRPr="00755640" w:rsidR="00CA01B6">
              <w:rPr>
                <w:rFonts w:ascii="Verdana" w:hAnsi="Verdana"/>
                <w:sz w:val="15"/>
                <w:szCs w:val="15"/>
              </w:rPr>
              <w:t xml:space="preserve">39 </w:t>
            </w:r>
            <w:proofErr w:type="spellStart"/>
            <w:r w:rsidRPr="00755640" w:rsidR="00CA01B6">
              <w:rPr>
                <w:rFonts w:ascii="Verdana" w:hAnsi="Verdana"/>
                <w:sz w:val="15"/>
                <w:szCs w:val="15"/>
              </w:rPr>
              <w:t>Cbw</w:t>
            </w:r>
            <w:proofErr w:type="spellEnd"/>
          </w:p>
        </w:tc>
        <w:tc>
          <w:tcPr>
            <w:tcW w:w="2260" w:type="dxa"/>
          </w:tcPr>
          <w:p w:rsidRPr="00755640" w:rsidR="008B722F" w:rsidP="008B722F" w:rsidRDefault="00CA01B6" w14:paraId="6B4EED73" w14:textId="120A291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4DF84518" w14:textId="2AD765F2">
            <w:pPr>
              <w:pStyle w:val="Geenafstand"/>
              <w:rPr>
                <w:rFonts w:ascii="Verdana" w:hAnsi="Verdana"/>
                <w:sz w:val="15"/>
                <w:szCs w:val="15"/>
              </w:rPr>
            </w:pPr>
            <w:r w:rsidRPr="00755640">
              <w:rPr>
                <w:rFonts w:ascii="Verdana" w:hAnsi="Verdana"/>
                <w:sz w:val="15"/>
                <w:szCs w:val="15"/>
              </w:rPr>
              <w:t>-</w:t>
            </w:r>
          </w:p>
        </w:tc>
      </w:tr>
      <w:tr w:rsidRPr="00755640" w:rsidR="00D66BB6" w:rsidTr="006231F6" w14:paraId="6D7412A6" w14:textId="77777777">
        <w:tc>
          <w:tcPr>
            <w:tcW w:w="2260" w:type="dxa"/>
          </w:tcPr>
          <w:p w:rsidRPr="00755640" w:rsidR="008B722F" w:rsidP="008B722F" w:rsidRDefault="008B722F" w14:paraId="6084C3FF" w14:textId="4AF1C37F">
            <w:pPr>
              <w:pStyle w:val="Geenafstand"/>
              <w:rPr>
                <w:rFonts w:ascii="Verdana" w:hAnsi="Verdana"/>
                <w:sz w:val="15"/>
                <w:szCs w:val="15"/>
              </w:rPr>
            </w:pPr>
            <w:r w:rsidRPr="00755640">
              <w:rPr>
                <w:rFonts w:ascii="Verdana" w:hAnsi="Verdana"/>
                <w:sz w:val="15"/>
                <w:szCs w:val="15"/>
              </w:rPr>
              <w:t xml:space="preserve">Artikel 13, </w:t>
            </w:r>
            <w:r w:rsidRPr="00755640" w:rsidR="00DC026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8B722F" w14:paraId="605FFB68" w14:textId="77D95268">
            <w:pPr>
              <w:pStyle w:val="Geenafstand"/>
              <w:rPr>
                <w:rFonts w:ascii="Verdana" w:hAnsi="Verdana"/>
                <w:sz w:val="15"/>
                <w:szCs w:val="15"/>
              </w:rPr>
            </w:pPr>
            <w:r w:rsidRPr="00755640">
              <w:rPr>
                <w:rFonts w:ascii="Verdana" w:hAnsi="Verdana"/>
                <w:sz w:val="15"/>
                <w:szCs w:val="15"/>
              </w:rPr>
              <w:t xml:space="preserve">Artikel </w:t>
            </w:r>
            <w:r w:rsidRPr="00755640" w:rsidR="00CA01B6">
              <w:rPr>
                <w:rFonts w:ascii="Verdana" w:hAnsi="Verdana"/>
                <w:sz w:val="15"/>
                <w:szCs w:val="15"/>
              </w:rPr>
              <w:t xml:space="preserve">51 </w:t>
            </w:r>
            <w:proofErr w:type="spellStart"/>
            <w:r w:rsidRPr="00755640" w:rsidR="00CA01B6">
              <w:rPr>
                <w:rFonts w:ascii="Verdana" w:hAnsi="Verdana"/>
                <w:sz w:val="15"/>
                <w:szCs w:val="15"/>
              </w:rPr>
              <w:t>Cbw</w:t>
            </w:r>
            <w:proofErr w:type="spellEnd"/>
            <w:r w:rsidRPr="00755640">
              <w:rPr>
                <w:rFonts w:ascii="Verdana" w:hAnsi="Verdana"/>
                <w:sz w:val="15"/>
                <w:szCs w:val="15"/>
              </w:rPr>
              <w:t xml:space="preserve"> </w:t>
            </w:r>
          </w:p>
        </w:tc>
        <w:tc>
          <w:tcPr>
            <w:tcW w:w="2260" w:type="dxa"/>
          </w:tcPr>
          <w:p w:rsidRPr="00755640" w:rsidR="008B722F" w:rsidP="008B722F" w:rsidRDefault="00CA01B6" w14:paraId="5D3CA297" w14:textId="246EC1C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A01B6" w14:paraId="7A366493" w14:textId="480D4A29">
            <w:pPr>
              <w:pStyle w:val="Geenafstand"/>
              <w:rPr>
                <w:rFonts w:ascii="Verdana" w:hAnsi="Verdana"/>
                <w:sz w:val="15"/>
                <w:szCs w:val="15"/>
              </w:rPr>
            </w:pPr>
            <w:r w:rsidRPr="00755640">
              <w:rPr>
                <w:rFonts w:ascii="Verdana" w:hAnsi="Verdana"/>
                <w:sz w:val="15"/>
                <w:szCs w:val="15"/>
              </w:rPr>
              <w:t>-</w:t>
            </w:r>
          </w:p>
        </w:tc>
      </w:tr>
      <w:tr w:rsidRPr="00755640" w:rsidR="00D66BB6" w:rsidTr="006231F6" w14:paraId="3814EBC5" w14:textId="77777777">
        <w:tc>
          <w:tcPr>
            <w:tcW w:w="2260" w:type="dxa"/>
          </w:tcPr>
          <w:p w:rsidRPr="00755640" w:rsidR="008B722F" w:rsidP="008B722F" w:rsidRDefault="008B722F" w14:paraId="6422279A" w14:textId="37E5C63D">
            <w:pPr>
              <w:pStyle w:val="Geenafstand"/>
              <w:rPr>
                <w:rFonts w:ascii="Verdana" w:hAnsi="Verdana"/>
                <w:sz w:val="15"/>
                <w:szCs w:val="15"/>
              </w:rPr>
            </w:pPr>
            <w:r w:rsidRPr="00755640">
              <w:rPr>
                <w:rFonts w:ascii="Verdana" w:hAnsi="Verdana"/>
                <w:sz w:val="15"/>
                <w:szCs w:val="15"/>
              </w:rPr>
              <w:t xml:space="preserve">Artikel 13, </w:t>
            </w:r>
            <w:r w:rsidRPr="00755640" w:rsidR="00DC026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3B7660" w14:paraId="0D561DCF" w14:textId="673B5FD5">
            <w:pPr>
              <w:pStyle w:val="Geenafstand"/>
              <w:rPr>
                <w:rFonts w:ascii="Verdana" w:hAnsi="Verdana"/>
                <w:sz w:val="15"/>
                <w:szCs w:val="15"/>
              </w:rPr>
            </w:pPr>
            <w:r w:rsidRPr="00755640">
              <w:rPr>
                <w:rFonts w:ascii="Verdana" w:hAnsi="Verdana"/>
                <w:sz w:val="15"/>
                <w:szCs w:val="15"/>
              </w:rPr>
              <w:t xml:space="preserve">De artikelen </w:t>
            </w:r>
            <w:r w:rsidRPr="00755640" w:rsidR="00CA01B6">
              <w:rPr>
                <w:rFonts w:ascii="Verdana" w:hAnsi="Verdana"/>
                <w:sz w:val="15"/>
                <w:szCs w:val="15"/>
              </w:rPr>
              <w:t>56</w:t>
            </w:r>
            <w:r w:rsidRPr="00755640">
              <w:rPr>
                <w:rFonts w:ascii="Verdana" w:hAnsi="Verdana"/>
                <w:sz w:val="15"/>
                <w:szCs w:val="15"/>
              </w:rPr>
              <w:t xml:space="preserve"> en 59 </w:t>
            </w:r>
            <w:proofErr w:type="spellStart"/>
            <w:r w:rsidRPr="00755640">
              <w:rPr>
                <w:rFonts w:ascii="Verdana" w:hAnsi="Verdana"/>
                <w:sz w:val="15"/>
                <w:szCs w:val="15"/>
              </w:rPr>
              <w:t>Cbw</w:t>
            </w:r>
            <w:proofErr w:type="spellEnd"/>
            <w:r w:rsidRPr="00755640">
              <w:rPr>
                <w:rFonts w:ascii="Verdana" w:hAnsi="Verdana"/>
                <w:sz w:val="15"/>
                <w:szCs w:val="15"/>
              </w:rPr>
              <w:t xml:space="preserve"> </w:t>
            </w:r>
          </w:p>
        </w:tc>
        <w:tc>
          <w:tcPr>
            <w:tcW w:w="2260" w:type="dxa"/>
          </w:tcPr>
          <w:p w:rsidRPr="00755640" w:rsidR="008B722F" w:rsidP="008B722F" w:rsidRDefault="003B7660" w14:paraId="3BC24007" w14:textId="0B679D8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B7660" w14:paraId="261F1E5E" w14:textId="21130B4D">
            <w:pPr>
              <w:pStyle w:val="Geenafstand"/>
              <w:rPr>
                <w:rFonts w:ascii="Verdana" w:hAnsi="Verdana"/>
                <w:sz w:val="15"/>
                <w:szCs w:val="15"/>
              </w:rPr>
            </w:pPr>
            <w:r w:rsidRPr="00755640">
              <w:rPr>
                <w:rFonts w:ascii="Verdana" w:hAnsi="Verdana"/>
                <w:sz w:val="15"/>
                <w:szCs w:val="15"/>
              </w:rPr>
              <w:t>-</w:t>
            </w:r>
          </w:p>
        </w:tc>
      </w:tr>
      <w:tr w:rsidRPr="00755640" w:rsidR="00D66BB6" w:rsidTr="006231F6" w14:paraId="24A94B19" w14:textId="77777777">
        <w:tc>
          <w:tcPr>
            <w:tcW w:w="2260" w:type="dxa"/>
          </w:tcPr>
          <w:p w:rsidRPr="00755640" w:rsidR="008B722F" w:rsidP="008B722F" w:rsidRDefault="008B722F" w14:paraId="394FC785" w14:textId="04F2E99B">
            <w:pPr>
              <w:pStyle w:val="Geenafstand"/>
              <w:rPr>
                <w:rFonts w:ascii="Verdana" w:hAnsi="Verdana"/>
                <w:sz w:val="15"/>
                <w:szCs w:val="15"/>
              </w:rPr>
            </w:pPr>
            <w:r w:rsidRPr="00755640">
              <w:rPr>
                <w:rFonts w:ascii="Verdana" w:hAnsi="Verdana"/>
                <w:sz w:val="15"/>
                <w:szCs w:val="15"/>
              </w:rPr>
              <w:t xml:space="preserve">Artikel 13, </w:t>
            </w:r>
            <w:r w:rsidRPr="00755640" w:rsidR="00DC0263">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8B722F" w14:paraId="44A605D1"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3B7660" w14:paraId="303A0E39" w14:textId="4367DE9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B7660" w14:paraId="3E407EBE" w14:textId="723DAECD">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4C84DF9F" w14:textId="77777777">
        <w:tc>
          <w:tcPr>
            <w:tcW w:w="2260" w:type="dxa"/>
          </w:tcPr>
          <w:p w:rsidRPr="00755640" w:rsidR="008B722F" w:rsidP="008B722F" w:rsidRDefault="008B722F" w14:paraId="1AC94AAD" w14:textId="75F891CF">
            <w:pPr>
              <w:pStyle w:val="Geenafstand"/>
              <w:rPr>
                <w:rFonts w:ascii="Verdana" w:hAnsi="Verdana"/>
                <w:sz w:val="15"/>
                <w:szCs w:val="15"/>
              </w:rPr>
            </w:pPr>
            <w:r w:rsidRPr="00755640">
              <w:rPr>
                <w:rFonts w:ascii="Verdana" w:hAnsi="Verdana"/>
                <w:sz w:val="15"/>
                <w:szCs w:val="15"/>
              </w:rPr>
              <w:t xml:space="preserve">Artikel 14, </w:t>
            </w:r>
            <w:r w:rsidRPr="00755640" w:rsidR="00DC026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B722F" w14:paraId="37428BB1"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C0263" w14:paraId="0EF5CBA9" w14:textId="454A9316">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0263" w14:paraId="0692DB61" w14:textId="7D97E91E">
            <w:pPr>
              <w:pStyle w:val="Geenafstand"/>
              <w:rPr>
                <w:rFonts w:ascii="Verdana" w:hAnsi="Verdana"/>
                <w:sz w:val="15"/>
                <w:szCs w:val="15"/>
              </w:rPr>
            </w:pPr>
            <w:r w:rsidRPr="00755640">
              <w:rPr>
                <w:rFonts w:ascii="Verdana" w:hAnsi="Verdana"/>
                <w:sz w:val="15"/>
                <w:szCs w:val="15"/>
              </w:rPr>
              <w:t>De</w:t>
            </w:r>
            <w:r w:rsidRPr="00755640" w:rsidR="00AD07D2">
              <w:rPr>
                <w:rFonts w:ascii="Verdana" w:hAnsi="Verdana"/>
                <w:sz w:val="15"/>
                <w:szCs w:val="15"/>
              </w:rPr>
              <w:t>ze</w:t>
            </w:r>
            <w:r w:rsidRPr="00755640">
              <w:rPr>
                <w:rFonts w:ascii="Verdana" w:hAnsi="Verdana"/>
                <w:sz w:val="15"/>
                <w:szCs w:val="15"/>
              </w:rPr>
              <w:t xml:space="preserve"> bepaling ziet op de oprichting van de samenwerkingsgroep.</w:t>
            </w:r>
          </w:p>
        </w:tc>
      </w:tr>
      <w:tr w:rsidRPr="00755640" w:rsidR="00D66BB6" w:rsidTr="006231F6" w14:paraId="61C4FCCC" w14:textId="77777777">
        <w:tc>
          <w:tcPr>
            <w:tcW w:w="2260" w:type="dxa"/>
          </w:tcPr>
          <w:p w:rsidRPr="00755640" w:rsidR="008B722F" w:rsidP="008B722F" w:rsidRDefault="008B722F" w14:paraId="78794295" w14:textId="5BFE9C5F">
            <w:pPr>
              <w:pStyle w:val="Geenafstand"/>
              <w:rPr>
                <w:rFonts w:ascii="Verdana" w:hAnsi="Verdana"/>
                <w:sz w:val="15"/>
                <w:szCs w:val="15"/>
              </w:rPr>
            </w:pPr>
            <w:r w:rsidRPr="00755640">
              <w:rPr>
                <w:rFonts w:ascii="Verdana" w:hAnsi="Verdana"/>
                <w:sz w:val="15"/>
                <w:szCs w:val="15"/>
              </w:rPr>
              <w:t xml:space="preserve">Artikel 14, </w:t>
            </w:r>
            <w:r w:rsidRPr="00755640" w:rsidR="00DC026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8B722F" w14:paraId="5EFC3B26"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C0263" w14:paraId="0D7605BD" w14:textId="696B941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0263" w14:paraId="03C6CA7A" w14:textId="70E55F07">
            <w:pPr>
              <w:pStyle w:val="Geenafstand"/>
              <w:rPr>
                <w:rFonts w:ascii="Verdana" w:hAnsi="Verdana"/>
                <w:sz w:val="15"/>
                <w:szCs w:val="15"/>
              </w:rPr>
            </w:pPr>
            <w:r w:rsidRPr="00755640">
              <w:rPr>
                <w:rFonts w:ascii="Verdana" w:hAnsi="Verdana"/>
                <w:sz w:val="15"/>
                <w:szCs w:val="15"/>
              </w:rPr>
              <w:t>De</w:t>
            </w:r>
            <w:r w:rsidRPr="00755640" w:rsidR="00AD07D2">
              <w:rPr>
                <w:rFonts w:ascii="Verdana" w:hAnsi="Verdana"/>
                <w:sz w:val="15"/>
                <w:szCs w:val="15"/>
              </w:rPr>
              <w:t>ze</w:t>
            </w:r>
            <w:r w:rsidRPr="00755640">
              <w:rPr>
                <w:rFonts w:ascii="Verdana" w:hAnsi="Verdana"/>
                <w:sz w:val="15"/>
                <w:szCs w:val="15"/>
              </w:rPr>
              <w:t xml:space="preserve"> bepaling </w:t>
            </w:r>
            <w:r w:rsidRPr="00755640" w:rsidR="00AD07D2">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sidR="00AD07D2">
              <w:rPr>
                <w:rFonts w:ascii="Verdana" w:hAnsi="Verdana"/>
                <w:sz w:val="15"/>
                <w:szCs w:val="15"/>
              </w:rPr>
              <w:t>d</w:t>
            </w:r>
            <w:r w:rsidRPr="00755640">
              <w:rPr>
                <w:rFonts w:ascii="Verdana" w:hAnsi="Verdana"/>
                <w:sz w:val="15"/>
                <w:szCs w:val="15"/>
              </w:rPr>
              <w:t>e samenwerkingsgroep.</w:t>
            </w:r>
          </w:p>
        </w:tc>
      </w:tr>
      <w:tr w:rsidRPr="00755640" w:rsidR="00D66BB6" w:rsidTr="006231F6" w14:paraId="2C6A340F" w14:textId="77777777">
        <w:tc>
          <w:tcPr>
            <w:tcW w:w="2260" w:type="dxa"/>
          </w:tcPr>
          <w:p w:rsidRPr="00755640" w:rsidR="008B722F" w:rsidP="008B722F" w:rsidRDefault="008B722F" w14:paraId="7F6966D4" w14:textId="51C1D130">
            <w:pPr>
              <w:pStyle w:val="Geenafstand"/>
              <w:rPr>
                <w:rFonts w:ascii="Verdana" w:hAnsi="Verdana"/>
                <w:sz w:val="15"/>
                <w:szCs w:val="15"/>
              </w:rPr>
            </w:pPr>
            <w:r w:rsidRPr="00755640">
              <w:rPr>
                <w:rFonts w:ascii="Verdana" w:hAnsi="Verdana"/>
                <w:sz w:val="15"/>
                <w:szCs w:val="15"/>
              </w:rPr>
              <w:t xml:space="preserve">Artikel 14, </w:t>
            </w:r>
            <w:r w:rsidRPr="00755640" w:rsidR="00DC026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8B722F" w14:paraId="099AD505"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C0263" w14:paraId="13EAD9FD" w14:textId="1C04B4A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0263" w14:paraId="33B98917" w14:textId="307BCAAC">
            <w:pPr>
              <w:pStyle w:val="Geenafstand"/>
              <w:rPr>
                <w:rFonts w:ascii="Verdana" w:hAnsi="Verdana"/>
                <w:sz w:val="15"/>
                <w:szCs w:val="15"/>
              </w:rPr>
            </w:pPr>
            <w:r w:rsidRPr="00755640">
              <w:rPr>
                <w:rFonts w:ascii="Verdana" w:hAnsi="Verdana"/>
                <w:sz w:val="15"/>
                <w:szCs w:val="15"/>
              </w:rPr>
              <w:t>De</w:t>
            </w:r>
            <w:r w:rsidRPr="00755640" w:rsidR="00AD07D2">
              <w:rPr>
                <w:rFonts w:ascii="Verdana" w:hAnsi="Verdana"/>
                <w:sz w:val="15"/>
                <w:szCs w:val="15"/>
              </w:rPr>
              <w:t>ze</w:t>
            </w:r>
            <w:r w:rsidRPr="00755640">
              <w:rPr>
                <w:rFonts w:ascii="Verdana" w:hAnsi="Verdana"/>
                <w:sz w:val="15"/>
                <w:szCs w:val="15"/>
              </w:rPr>
              <w:t xml:space="preserve"> bepaling ziet op de samenstelling van de samenwerkingsgroep.</w:t>
            </w:r>
          </w:p>
        </w:tc>
      </w:tr>
      <w:tr w:rsidRPr="00755640" w:rsidR="00D66BB6" w:rsidTr="006231F6" w14:paraId="1751386A" w14:textId="77777777">
        <w:tc>
          <w:tcPr>
            <w:tcW w:w="2260" w:type="dxa"/>
          </w:tcPr>
          <w:p w:rsidRPr="00755640" w:rsidR="008B722F" w:rsidP="008B722F" w:rsidRDefault="008B722F" w14:paraId="2816C87A" w14:textId="1A00EA3D">
            <w:pPr>
              <w:pStyle w:val="Geenafstand"/>
              <w:rPr>
                <w:rFonts w:ascii="Verdana" w:hAnsi="Verdana"/>
                <w:sz w:val="15"/>
                <w:szCs w:val="15"/>
              </w:rPr>
            </w:pPr>
            <w:r w:rsidRPr="00755640">
              <w:rPr>
                <w:rFonts w:ascii="Verdana" w:hAnsi="Verdana"/>
                <w:sz w:val="15"/>
                <w:szCs w:val="15"/>
              </w:rPr>
              <w:t xml:space="preserve">Artikel 14, </w:t>
            </w:r>
            <w:r w:rsidRPr="00755640" w:rsidR="00DC0263">
              <w:rPr>
                <w:rFonts w:ascii="Verdana" w:hAnsi="Verdana"/>
                <w:sz w:val="15"/>
                <w:szCs w:val="15"/>
              </w:rPr>
              <w:t>vierde</w:t>
            </w:r>
            <w:r w:rsidRPr="00755640" w:rsidR="007F706A">
              <w:rPr>
                <w:rFonts w:ascii="Verdana" w:hAnsi="Verdana"/>
                <w:sz w:val="15"/>
                <w:szCs w:val="15"/>
              </w:rPr>
              <w:t>, zesde, zevende</w:t>
            </w:r>
            <w:r w:rsidRPr="00755640" w:rsidR="00DC0263">
              <w:rPr>
                <w:rFonts w:ascii="Verdana" w:hAnsi="Verdana"/>
                <w:sz w:val="15"/>
                <w:szCs w:val="15"/>
              </w:rPr>
              <w:t xml:space="preserve"> </w:t>
            </w:r>
            <w:r w:rsidRPr="00755640" w:rsidR="007F706A">
              <w:rPr>
                <w:rFonts w:ascii="Verdana" w:hAnsi="Verdana"/>
                <w:sz w:val="15"/>
                <w:szCs w:val="15"/>
              </w:rPr>
              <w:t xml:space="preserve">en negende </w:t>
            </w:r>
            <w:r w:rsidRPr="00755640">
              <w:rPr>
                <w:rFonts w:ascii="Verdana" w:hAnsi="Verdana"/>
                <w:sz w:val="15"/>
                <w:szCs w:val="15"/>
              </w:rPr>
              <w:t>lid</w:t>
            </w:r>
          </w:p>
        </w:tc>
        <w:tc>
          <w:tcPr>
            <w:tcW w:w="2260" w:type="dxa"/>
          </w:tcPr>
          <w:p w:rsidRPr="00755640" w:rsidR="008B722F" w:rsidP="008B722F" w:rsidRDefault="008B722F" w14:paraId="0D15BCFA"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C0263" w14:paraId="15FF6F55" w14:textId="2FA0859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0263" w14:paraId="035EBF50" w14:textId="17E34060">
            <w:pPr>
              <w:pStyle w:val="Geenafstand"/>
              <w:rPr>
                <w:rFonts w:ascii="Verdana" w:hAnsi="Verdana"/>
                <w:sz w:val="15"/>
                <w:szCs w:val="15"/>
              </w:rPr>
            </w:pPr>
            <w:r w:rsidRPr="00755640">
              <w:rPr>
                <w:rFonts w:ascii="Verdana" w:hAnsi="Verdana"/>
                <w:sz w:val="15"/>
                <w:szCs w:val="15"/>
              </w:rPr>
              <w:t>De</w:t>
            </w:r>
            <w:r w:rsidRPr="00755640" w:rsidR="007F706A">
              <w:rPr>
                <w:rFonts w:ascii="Verdana" w:hAnsi="Verdana"/>
                <w:sz w:val="15"/>
                <w:szCs w:val="15"/>
              </w:rPr>
              <w:t>ze</w:t>
            </w:r>
            <w:r w:rsidRPr="00755640">
              <w:rPr>
                <w:rFonts w:ascii="Verdana" w:hAnsi="Verdana"/>
                <w:sz w:val="15"/>
                <w:szCs w:val="15"/>
              </w:rPr>
              <w:t xml:space="preserve"> bepaling</w:t>
            </w:r>
            <w:r w:rsidRPr="00755640" w:rsidR="007F706A">
              <w:rPr>
                <w:rFonts w:ascii="Verdana" w:hAnsi="Verdana"/>
                <w:sz w:val="15"/>
                <w:szCs w:val="15"/>
              </w:rPr>
              <w:t xml:space="preserve">en zijn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de samenwerkingsgroep.</w:t>
            </w:r>
          </w:p>
        </w:tc>
      </w:tr>
      <w:tr w:rsidRPr="00755640" w:rsidR="00D66BB6" w:rsidTr="006231F6" w14:paraId="7274D4CC" w14:textId="77777777">
        <w:tc>
          <w:tcPr>
            <w:tcW w:w="2260" w:type="dxa"/>
          </w:tcPr>
          <w:p w:rsidRPr="00755640" w:rsidR="008B722F" w:rsidP="008B722F" w:rsidRDefault="008B722F" w14:paraId="3680C83A" w14:textId="210E7DE4">
            <w:pPr>
              <w:pStyle w:val="Geenafstand"/>
              <w:rPr>
                <w:rFonts w:ascii="Verdana" w:hAnsi="Verdana"/>
                <w:sz w:val="15"/>
                <w:szCs w:val="15"/>
              </w:rPr>
            </w:pPr>
            <w:r w:rsidRPr="00755640">
              <w:rPr>
                <w:rFonts w:ascii="Verdana" w:hAnsi="Verdana"/>
                <w:sz w:val="15"/>
                <w:szCs w:val="15"/>
              </w:rPr>
              <w:t xml:space="preserve">Artikel 14, </w:t>
            </w:r>
            <w:r w:rsidRPr="00755640" w:rsidR="00DC026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DC0263" w14:paraId="058E396F" w14:textId="44005F81">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C0263" w14:paraId="3C3DFB11" w14:textId="6FAF9F0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7F706A" w14:paraId="30D5874E" w14:textId="22D81B36">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7FF6326C" w14:textId="77777777">
        <w:tc>
          <w:tcPr>
            <w:tcW w:w="2260" w:type="dxa"/>
          </w:tcPr>
          <w:p w:rsidRPr="00755640" w:rsidR="008B722F" w:rsidP="008B722F" w:rsidRDefault="008B722F" w14:paraId="389EBE23" w14:textId="2405AB26">
            <w:pPr>
              <w:pStyle w:val="Geenafstand"/>
              <w:rPr>
                <w:rFonts w:ascii="Verdana" w:hAnsi="Verdana"/>
                <w:sz w:val="15"/>
                <w:szCs w:val="15"/>
              </w:rPr>
            </w:pPr>
            <w:r w:rsidRPr="00755640">
              <w:rPr>
                <w:rFonts w:ascii="Verdana" w:hAnsi="Verdana"/>
                <w:sz w:val="15"/>
                <w:szCs w:val="15"/>
              </w:rPr>
              <w:t xml:space="preserve">Artikel 14, </w:t>
            </w:r>
            <w:r w:rsidRPr="00755640" w:rsidR="00FA4986">
              <w:rPr>
                <w:rFonts w:ascii="Verdana" w:hAnsi="Verdana"/>
                <w:sz w:val="15"/>
                <w:szCs w:val="15"/>
              </w:rPr>
              <w:t xml:space="preserve">achtste </w:t>
            </w:r>
            <w:r w:rsidRPr="00755640">
              <w:rPr>
                <w:rFonts w:ascii="Verdana" w:hAnsi="Verdana"/>
                <w:sz w:val="15"/>
                <w:szCs w:val="15"/>
              </w:rPr>
              <w:t>lid</w:t>
            </w:r>
          </w:p>
        </w:tc>
        <w:tc>
          <w:tcPr>
            <w:tcW w:w="2260" w:type="dxa"/>
          </w:tcPr>
          <w:p w:rsidRPr="00755640" w:rsidR="008B722F" w:rsidP="008B722F" w:rsidRDefault="00FA4986" w14:paraId="3CF118DC" w14:textId="08839093">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08538917" w14:textId="49F5B0C4">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A4986" w14:paraId="07BEF0AE" w14:textId="56285728">
            <w:pPr>
              <w:pStyle w:val="Geenafstand"/>
              <w:rPr>
                <w:rFonts w:ascii="Verdana" w:hAnsi="Verdana"/>
                <w:sz w:val="15"/>
                <w:szCs w:val="15"/>
              </w:rPr>
            </w:pPr>
            <w:r w:rsidRPr="00755640">
              <w:rPr>
                <w:rFonts w:ascii="Verdana" w:hAnsi="Verdana"/>
                <w:sz w:val="15"/>
                <w:szCs w:val="15"/>
              </w:rPr>
              <w:t>De</w:t>
            </w:r>
            <w:r w:rsidRPr="00755640" w:rsidR="00EC390D">
              <w:rPr>
                <w:rFonts w:ascii="Verdana" w:hAnsi="Verdana"/>
                <w:sz w:val="15"/>
                <w:szCs w:val="15"/>
              </w:rPr>
              <w:t>ze</w:t>
            </w:r>
            <w:r w:rsidRPr="00755640" w:rsidR="00DC0263">
              <w:rPr>
                <w:rFonts w:ascii="Verdana" w:hAnsi="Verdana"/>
                <w:sz w:val="15"/>
                <w:szCs w:val="15"/>
              </w:rPr>
              <w:t xml:space="preserve"> bepaling ziet op een bevoegdheid van de Europese Commissie</w:t>
            </w:r>
            <w:r w:rsidRPr="00755640" w:rsidR="007F706A">
              <w:rPr>
                <w:rFonts w:ascii="Verdana" w:hAnsi="Verdana"/>
                <w:sz w:val="15"/>
                <w:szCs w:val="15"/>
              </w:rPr>
              <w:t>.</w:t>
            </w:r>
          </w:p>
        </w:tc>
      </w:tr>
      <w:tr w:rsidRPr="00755640" w:rsidR="00D66BB6" w:rsidTr="006231F6" w14:paraId="0BCBEEE3" w14:textId="77777777">
        <w:tc>
          <w:tcPr>
            <w:tcW w:w="2260" w:type="dxa"/>
          </w:tcPr>
          <w:p w:rsidRPr="00755640" w:rsidR="008B722F" w:rsidP="008B722F" w:rsidRDefault="008B722F" w14:paraId="4D57DBF4" w14:textId="5C946779">
            <w:pPr>
              <w:pStyle w:val="Geenafstand"/>
              <w:rPr>
                <w:rFonts w:ascii="Verdana" w:hAnsi="Verdana"/>
                <w:sz w:val="15"/>
                <w:szCs w:val="15"/>
              </w:rPr>
            </w:pPr>
            <w:r w:rsidRPr="00755640">
              <w:rPr>
                <w:rFonts w:ascii="Verdana" w:hAnsi="Verdana"/>
                <w:sz w:val="15"/>
                <w:szCs w:val="15"/>
              </w:rPr>
              <w:t xml:space="preserve">Artikel 15, </w:t>
            </w:r>
            <w:r w:rsidRPr="00755640" w:rsidR="00FA4986">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B722F" w14:paraId="3E9E107C"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50EB2DA7" w14:textId="181B79D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A4986" w14:paraId="694339E1" w14:textId="14E9360E">
            <w:pPr>
              <w:pStyle w:val="Geenafstand"/>
              <w:rPr>
                <w:rFonts w:ascii="Verdana" w:hAnsi="Verdana"/>
                <w:sz w:val="15"/>
                <w:szCs w:val="15"/>
              </w:rPr>
            </w:pPr>
            <w:r w:rsidRPr="00755640">
              <w:rPr>
                <w:rFonts w:ascii="Verdana" w:hAnsi="Verdana"/>
                <w:sz w:val="15"/>
                <w:szCs w:val="15"/>
              </w:rPr>
              <w:t>De</w:t>
            </w:r>
            <w:r w:rsidRPr="00755640" w:rsidR="00AD07D2">
              <w:rPr>
                <w:rFonts w:ascii="Verdana" w:hAnsi="Verdana"/>
                <w:sz w:val="15"/>
                <w:szCs w:val="15"/>
              </w:rPr>
              <w:t>ze</w:t>
            </w:r>
            <w:r w:rsidRPr="00755640">
              <w:rPr>
                <w:rFonts w:ascii="Verdana" w:hAnsi="Verdana"/>
                <w:sz w:val="15"/>
                <w:szCs w:val="15"/>
              </w:rPr>
              <w:t xml:space="preserve"> bepaling ziet op de oprichting van het CSIRT-netwerk.</w:t>
            </w:r>
          </w:p>
        </w:tc>
      </w:tr>
      <w:tr w:rsidRPr="00755640" w:rsidR="00D66BB6" w:rsidTr="006231F6" w14:paraId="7467EBEB" w14:textId="77777777">
        <w:tc>
          <w:tcPr>
            <w:tcW w:w="2260" w:type="dxa"/>
          </w:tcPr>
          <w:p w:rsidRPr="00755640" w:rsidR="008B722F" w:rsidP="008B722F" w:rsidRDefault="008B722F" w14:paraId="366FBF66" w14:textId="44527243">
            <w:pPr>
              <w:pStyle w:val="Geenafstand"/>
              <w:rPr>
                <w:rFonts w:ascii="Verdana" w:hAnsi="Verdana"/>
                <w:sz w:val="15"/>
                <w:szCs w:val="15"/>
              </w:rPr>
            </w:pPr>
            <w:r w:rsidRPr="00755640">
              <w:rPr>
                <w:rFonts w:ascii="Verdana" w:hAnsi="Verdana"/>
                <w:sz w:val="15"/>
                <w:szCs w:val="15"/>
              </w:rPr>
              <w:t xml:space="preserve">Artikel 15, </w:t>
            </w:r>
            <w:r w:rsidRPr="00755640" w:rsidR="00FA4986">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8B722F" w14:paraId="780E7C26"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5EBDC4AD" w14:textId="711D415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A4986" w14:paraId="312EF8E4" w14:textId="558E7F3E">
            <w:pPr>
              <w:pStyle w:val="Geenafstand"/>
              <w:rPr>
                <w:rFonts w:ascii="Verdana" w:hAnsi="Verdana"/>
                <w:sz w:val="15"/>
                <w:szCs w:val="15"/>
              </w:rPr>
            </w:pPr>
            <w:r w:rsidRPr="00755640">
              <w:rPr>
                <w:rFonts w:ascii="Verdana" w:hAnsi="Verdana"/>
                <w:sz w:val="15"/>
                <w:szCs w:val="15"/>
              </w:rPr>
              <w:t>De</w:t>
            </w:r>
            <w:r w:rsidRPr="00755640" w:rsidR="00CA01B6">
              <w:rPr>
                <w:rFonts w:ascii="Verdana" w:hAnsi="Verdana"/>
                <w:sz w:val="15"/>
                <w:szCs w:val="15"/>
              </w:rPr>
              <w:t>ze</w:t>
            </w:r>
            <w:r w:rsidRPr="00755640">
              <w:rPr>
                <w:rFonts w:ascii="Verdana" w:hAnsi="Verdana"/>
                <w:sz w:val="15"/>
                <w:szCs w:val="15"/>
              </w:rPr>
              <w:t xml:space="preserve"> bepaling </w:t>
            </w:r>
            <w:r w:rsidRPr="00755640" w:rsidR="00EC390D">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 xml:space="preserve">het CSIRT-netwerk, de Europese Commissie en </w:t>
            </w:r>
            <w:proofErr w:type="spellStart"/>
            <w:r w:rsidRPr="00755640">
              <w:rPr>
                <w:rFonts w:ascii="Verdana" w:hAnsi="Verdana"/>
                <w:sz w:val="15"/>
                <w:szCs w:val="15"/>
              </w:rPr>
              <w:t>Enisa</w:t>
            </w:r>
            <w:proofErr w:type="spellEnd"/>
            <w:r w:rsidRPr="00755640">
              <w:rPr>
                <w:rFonts w:ascii="Verdana" w:hAnsi="Verdana"/>
                <w:sz w:val="15"/>
                <w:szCs w:val="15"/>
              </w:rPr>
              <w:t>.</w:t>
            </w:r>
          </w:p>
        </w:tc>
      </w:tr>
      <w:tr w:rsidRPr="00755640" w:rsidR="00D66BB6" w:rsidTr="006231F6" w14:paraId="712ACD44" w14:textId="77777777">
        <w:tc>
          <w:tcPr>
            <w:tcW w:w="2260" w:type="dxa"/>
          </w:tcPr>
          <w:p w:rsidRPr="00755640" w:rsidR="008B722F" w:rsidP="008B722F" w:rsidRDefault="008B722F" w14:paraId="458163AF" w14:textId="70CDEC97">
            <w:pPr>
              <w:pStyle w:val="Geenafstand"/>
              <w:rPr>
                <w:rFonts w:ascii="Verdana" w:hAnsi="Verdana"/>
                <w:sz w:val="15"/>
                <w:szCs w:val="15"/>
              </w:rPr>
            </w:pPr>
            <w:r w:rsidRPr="00755640">
              <w:rPr>
                <w:rFonts w:ascii="Verdana" w:hAnsi="Verdana"/>
                <w:sz w:val="15"/>
                <w:szCs w:val="15"/>
              </w:rPr>
              <w:t xml:space="preserve">Artikel 15, </w:t>
            </w:r>
            <w:r w:rsidRPr="00755640" w:rsidR="00FA4986">
              <w:rPr>
                <w:rFonts w:ascii="Verdana" w:hAnsi="Verdana"/>
                <w:sz w:val="15"/>
                <w:szCs w:val="15"/>
              </w:rPr>
              <w:t>derde</w:t>
            </w:r>
            <w:r w:rsidRPr="00755640" w:rsidR="005B258D">
              <w:rPr>
                <w:rFonts w:ascii="Verdana" w:hAnsi="Verdana"/>
                <w:sz w:val="15"/>
                <w:szCs w:val="15"/>
              </w:rPr>
              <w:t>, vierde en vijfde</w:t>
            </w:r>
            <w:r w:rsidRPr="00755640" w:rsidR="00FA4986">
              <w:rPr>
                <w:rFonts w:ascii="Verdana" w:hAnsi="Verdana"/>
                <w:sz w:val="15"/>
                <w:szCs w:val="15"/>
              </w:rPr>
              <w:t xml:space="preserve"> </w:t>
            </w:r>
            <w:r w:rsidRPr="00755640">
              <w:rPr>
                <w:rFonts w:ascii="Verdana" w:hAnsi="Verdana"/>
                <w:sz w:val="15"/>
                <w:szCs w:val="15"/>
              </w:rPr>
              <w:t>lid</w:t>
            </w:r>
          </w:p>
        </w:tc>
        <w:tc>
          <w:tcPr>
            <w:tcW w:w="2260" w:type="dxa"/>
          </w:tcPr>
          <w:p w:rsidRPr="00755640" w:rsidR="008B722F" w:rsidP="008B722F" w:rsidRDefault="008B722F" w14:paraId="0FDA1C40"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3D7A7767" w14:textId="0A61389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A4986" w14:paraId="1E436E15" w14:textId="5EB324E3">
            <w:pPr>
              <w:pStyle w:val="Geenafstand"/>
              <w:rPr>
                <w:rFonts w:ascii="Verdana" w:hAnsi="Verdana"/>
                <w:sz w:val="15"/>
                <w:szCs w:val="15"/>
              </w:rPr>
            </w:pPr>
            <w:r w:rsidRPr="00755640">
              <w:rPr>
                <w:rFonts w:ascii="Verdana" w:hAnsi="Verdana"/>
                <w:sz w:val="15"/>
                <w:szCs w:val="15"/>
              </w:rPr>
              <w:t>De</w:t>
            </w:r>
            <w:r w:rsidRPr="00755640" w:rsidR="005B258D">
              <w:rPr>
                <w:rFonts w:ascii="Verdana" w:hAnsi="Verdana"/>
                <w:sz w:val="15"/>
                <w:szCs w:val="15"/>
              </w:rPr>
              <w:t>ze</w:t>
            </w:r>
            <w:r w:rsidRPr="00755640">
              <w:rPr>
                <w:rFonts w:ascii="Verdana" w:hAnsi="Verdana"/>
                <w:sz w:val="15"/>
                <w:szCs w:val="15"/>
              </w:rPr>
              <w:t xml:space="preserve"> bepaling</w:t>
            </w:r>
            <w:r w:rsidRPr="00755640" w:rsidR="005B258D">
              <w:rPr>
                <w:rFonts w:ascii="Verdana" w:hAnsi="Verdana"/>
                <w:sz w:val="15"/>
                <w:szCs w:val="15"/>
              </w:rPr>
              <w:t xml:space="preserve">en zijn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het CSIRT-netwerk.</w:t>
            </w:r>
          </w:p>
        </w:tc>
      </w:tr>
      <w:tr w:rsidRPr="00755640" w:rsidR="00D66BB6" w:rsidTr="006231F6" w14:paraId="4B5AC511" w14:textId="77777777">
        <w:tc>
          <w:tcPr>
            <w:tcW w:w="2260" w:type="dxa"/>
          </w:tcPr>
          <w:p w:rsidRPr="00755640" w:rsidR="008B722F" w:rsidP="008B722F" w:rsidRDefault="008B722F" w14:paraId="001CD28C" w14:textId="52C7A9CC">
            <w:pPr>
              <w:pStyle w:val="Geenafstand"/>
              <w:rPr>
                <w:rFonts w:ascii="Verdana" w:hAnsi="Verdana"/>
                <w:sz w:val="15"/>
                <w:szCs w:val="15"/>
              </w:rPr>
            </w:pPr>
            <w:r w:rsidRPr="00755640">
              <w:rPr>
                <w:rFonts w:ascii="Verdana" w:hAnsi="Verdana"/>
                <w:sz w:val="15"/>
                <w:szCs w:val="15"/>
              </w:rPr>
              <w:t xml:space="preserve">Artikel 15, </w:t>
            </w:r>
            <w:r w:rsidRPr="00755640" w:rsidR="00FA4986">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FA4986" w14:paraId="6CC5FE67" w14:textId="50C9E960">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02BDA272" w14:textId="2CACEAB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A4986" w14:paraId="400D9601" w14:textId="16E48992">
            <w:pPr>
              <w:pStyle w:val="Geenafstand"/>
              <w:rPr>
                <w:rFonts w:ascii="Verdana" w:hAnsi="Verdana"/>
                <w:sz w:val="15"/>
                <w:szCs w:val="15"/>
              </w:rPr>
            </w:pPr>
            <w:r w:rsidRPr="00755640">
              <w:rPr>
                <w:rFonts w:ascii="Verdana" w:hAnsi="Verdana"/>
                <w:sz w:val="15"/>
                <w:szCs w:val="15"/>
              </w:rPr>
              <w:t>De</w:t>
            </w:r>
            <w:r w:rsidRPr="00755640" w:rsidR="005B258D">
              <w:rPr>
                <w:rFonts w:ascii="Verdana" w:hAnsi="Verdana"/>
                <w:sz w:val="15"/>
                <w:szCs w:val="15"/>
              </w:rPr>
              <w:t>ze</w:t>
            </w:r>
            <w:r w:rsidRPr="00755640">
              <w:rPr>
                <w:rFonts w:ascii="Verdana" w:hAnsi="Verdana"/>
                <w:sz w:val="15"/>
                <w:szCs w:val="15"/>
              </w:rPr>
              <w:t xml:space="preserve"> bepaling </w:t>
            </w:r>
            <w:r w:rsidRPr="00755640" w:rsidR="005B258D">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het CSIRT-netwerk en EU-</w:t>
            </w:r>
            <w:proofErr w:type="spellStart"/>
            <w:r w:rsidRPr="00755640">
              <w:rPr>
                <w:rFonts w:ascii="Verdana" w:hAnsi="Verdana"/>
                <w:sz w:val="15"/>
                <w:szCs w:val="15"/>
              </w:rPr>
              <w:t>CyCLONe</w:t>
            </w:r>
            <w:proofErr w:type="spellEnd"/>
            <w:r w:rsidRPr="00755640">
              <w:rPr>
                <w:rFonts w:ascii="Verdana" w:hAnsi="Verdana"/>
                <w:sz w:val="15"/>
                <w:szCs w:val="15"/>
              </w:rPr>
              <w:t>.</w:t>
            </w:r>
          </w:p>
        </w:tc>
      </w:tr>
      <w:tr w:rsidRPr="00755640" w:rsidR="00D66BB6" w:rsidTr="006231F6" w14:paraId="2EF80696" w14:textId="77777777">
        <w:tc>
          <w:tcPr>
            <w:tcW w:w="2260" w:type="dxa"/>
          </w:tcPr>
          <w:p w:rsidRPr="00755640" w:rsidR="008B722F" w:rsidP="008B722F" w:rsidRDefault="008B722F" w14:paraId="1698B7B4" w14:textId="6D0AE1C9">
            <w:pPr>
              <w:pStyle w:val="Geenafstand"/>
              <w:rPr>
                <w:rFonts w:ascii="Verdana" w:hAnsi="Verdana"/>
                <w:sz w:val="15"/>
                <w:szCs w:val="15"/>
              </w:rPr>
            </w:pPr>
            <w:r w:rsidRPr="00755640">
              <w:rPr>
                <w:rFonts w:ascii="Verdana" w:hAnsi="Verdana"/>
                <w:sz w:val="15"/>
                <w:szCs w:val="15"/>
              </w:rPr>
              <w:t xml:space="preserve">Artikel 16, </w:t>
            </w:r>
            <w:r w:rsidRPr="00755640" w:rsidR="00FA4986">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B722F" w14:paraId="7BCC1F79"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60E04FCE" w14:textId="5ECFDBD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94F03" w14:paraId="18626C94" w14:textId="5DB2FD5F">
            <w:pPr>
              <w:pStyle w:val="Geenafstand"/>
              <w:rPr>
                <w:rFonts w:ascii="Verdana" w:hAnsi="Verdana"/>
                <w:sz w:val="15"/>
                <w:szCs w:val="15"/>
              </w:rPr>
            </w:pPr>
            <w:r w:rsidRPr="00755640">
              <w:rPr>
                <w:rFonts w:ascii="Verdana" w:hAnsi="Verdana"/>
                <w:sz w:val="15"/>
                <w:szCs w:val="15"/>
              </w:rPr>
              <w:t>De</w:t>
            </w:r>
            <w:r w:rsidRPr="00755640" w:rsidR="005B258D">
              <w:rPr>
                <w:rFonts w:ascii="Verdana" w:hAnsi="Verdana"/>
                <w:sz w:val="15"/>
                <w:szCs w:val="15"/>
              </w:rPr>
              <w:t>ze</w:t>
            </w:r>
            <w:r w:rsidRPr="00755640" w:rsidR="00FA4986">
              <w:rPr>
                <w:rFonts w:ascii="Verdana" w:hAnsi="Verdana"/>
                <w:sz w:val="15"/>
                <w:szCs w:val="15"/>
              </w:rPr>
              <w:t xml:space="preserve"> bepaling ziet op de oprichting van EU-</w:t>
            </w:r>
            <w:proofErr w:type="spellStart"/>
            <w:r w:rsidRPr="00755640" w:rsidR="00FA4986">
              <w:rPr>
                <w:rFonts w:ascii="Verdana" w:hAnsi="Verdana"/>
                <w:sz w:val="15"/>
                <w:szCs w:val="15"/>
              </w:rPr>
              <w:t>CyCLONe</w:t>
            </w:r>
            <w:proofErr w:type="spellEnd"/>
            <w:r w:rsidRPr="00755640" w:rsidR="00FA4986">
              <w:rPr>
                <w:rFonts w:ascii="Verdana" w:hAnsi="Verdana"/>
                <w:sz w:val="15"/>
                <w:szCs w:val="15"/>
              </w:rPr>
              <w:t>.</w:t>
            </w:r>
          </w:p>
        </w:tc>
      </w:tr>
      <w:tr w:rsidRPr="00755640" w:rsidR="00D66BB6" w:rsidTr="006231F6" w14:paraId="6F39BC6C" w14:textId="77777777">
        <w:tc>
          <w:tcPr>
            <w:tcW w:w="2260" w:type="dxa"/>
          </w:tcPr>
          <w:p w:rsidRPr="00755640" w:rsidR="008B722F" w:rsidP="008B722F" w:rsidRDefault="008B722F" w14:paraId="06F9C766" w14:textId="5584DB06">
            <w:pPr>
              <w:pStyle w:val="Geenafstand"/>
              <w:rPr>
                <w:rFonts w:ascii="Verdana" w:hAnsi="Verdana"/>
                <w:sz w:val="15"/>
                <w:szCs w:val="15"/>
              </w:rPr>
            </w:pPr>
            <w:r w:rsidRPr="00755640">
              <w:rPr>
                <w:rFonts w:ascii="Verdana" w:hAnsi="Verdana"/>
                <w:sz w:val="15"/>
                <w:szCs w:val="15"/>
              </w:rPr>
              <w:t xml:space="preserve">Artikel 16, </w:t>
            </w:r>
            <w:r w:rsidRPr="00755640" w:rsidR="00FA4986">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8B722F" w14:paraId="3763406A"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75AAEA5C" w14:textId="6732DD3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94F03" w14:paraId="38EDD30B" w14:textId="26FC4BAA">
            <w:pPr>
              <w:pStyle w:val="Geenafstand"/>
              <w:rPr>
                <w:rFonts w:ascii="Verdana" w:hAnsi="Verdana"/>
                <w:sz w:val="15"/>
                <w:szCs w:val="15"/>
              </w:rPr>
            </w:pPr>
            <w:r w:rsidRPr="00755640">
              <w:rPr>
                <w:rFonts w:ascii="Verdana" w:hAnsi="Verdana"/>
                <w:sz w:val="15"/>
                <w:szCs w:val="15"/>
              </w:rPr>
              <w:t>De</w:t>
            </w:r>
            <w:r w:rsidRPr="00755640" w:rsidR="005B258D">
              <w:rPr>
                <w:rFonts w:ascii="Verdana" w:hAnsi="Verdana"/>
                <w:sz w:val="15"/>
                <w:szCs w:val="15"/>
              </w:rPr>
              <w:t>ze</w:t>
            </w:r>
            <w:r w:rsidRPr="00755640" w:rsidR="00FA4986">
              <w:rPr>
                <w:rFonts w:ascii="Verdana" w:hAnsi="Verdana"/>
                <w:sz w:val="15"/>
                <w:szCs w:val="15"/>
              </w:rPr>
              <w:t xml:space="preserve"> bepaling </w:t>
            </w:r>
            <w:r w:rsidRPr="00755640" w:rsidR="005B258D">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sidR="00FA4986">
              <w:rPr>
                <w:rFonts w:ascii="Verdana" w:hAnsi="Verdana"/>
                <w:sz w:val="15"/>
                <w:szCs w:val="15"/>
              </w:rPr>
              <w:t>EU-</w:t>
            </w:r>
            <w:proofErr w:type="spellStart"/>
            <w:r w:rsidRPr="00755640" w:rsidR="00FA4986">
              <w:rPr>
                <w:rFonts w:ascii="Verdana" w:hAnsi="Verdana"/>
                <w:sz w:val="15"/>
                <w:szCs w:val="15"/>
              </w:rPr>
              <w:t>CyCLONe</w:t>
            </w:r>
            <w:proofErr w:type="spellEnd"/>
            <w:r w:rsidRPr="00755640" w:rsidR="00FA4986">
              <w:rPr>
                <w:rFonts w:ascii="Verdana" w:hAnsi="Verdana"/>
                <w:sz w:val="15"/>
                <w:szCs w:val="15"/>
              </w:rPr>
              <w:t xml:space="preserve">, de Europese Commissie en </w:t>
            </w:r>
            <w:proofErr w:type="spellStart"/>
            <w:r w:rsidRPr="00755640" w:rsidR="00FA4986">
              <w:rPr>
                <w:rFonts w:ascii="Verdana" w:hAnsi="Verdana"/>
                <w:sz w:val="15"/>
                <w:szCs w:val="15"/>
              </w:rPr>
              <w:t>Enisa</w:t>
            </w:r>
            <w:proofErr w:type="spellEnd"/>
            <w:r w:rsidRPr="00755640" w:rsidR="00FA4986">
              <w:rPr>
                <w:rFonts w:ascii="Verdana" w:hAnsi="Verdana"/>
                <w:sz w:val="15"/>
                <w:szCs w:val="15"/>
              </w:rPr>
              <w:t>.</w:t>
            </w:r>
          </w:p>
        </w:tc>
      </w:tr>
      <w:tr w:rsidRPr="00755640" w:rsidR="00D66BB6" w:rsidTr="006231F6" w14:paraId="5B6B7F50" w14:textId="77777777">
        <w:tc>
          <w:tcPr>
            <w:tcW w:w="2260" w:type="dxa"/>
          </w:tcPr>
          <w:p w:rsidRPr="00755640" w:rsidR="008B722F" w:rsidP="008B722F" w:rsidRDefault="008B722F" w14:paraId="497F406A" w14:textId="64D34A85">
            <w:pPr>
              <w:pStyle w:val="Geenafstand"/>
              <w:rPr>
                <w:rFonts w:ascii="Verdana" w:hAnsi="Verdana"/>
                <w:sz w:val="15"/>
                <w:szCs w:val="15"/>
              </w:rPr>
            </w:pPr>
            <w:r w:rsidRPr="00755640">
              <w:rPr>
                <w:rFonts w:ascii="Verdana" w:hAnsi="Verdana"/>
                <w:sz w:val="15"/>
                <w:szCs w:val="15"/>
              </w:rPr>
              <w:t xml:space="preserve">Artikel 16, </w:t>
            </w:r>
            <w:r w:rsidRPr="00755640" w:rsidR="00FA4986">
              <w:rPr>
                <w:rFonts w:ascii="Verdana" w:hAnsi="Verdana"/>
                <w:sz w:val="15"/>
                <w:szCs w:val="15"/>
              </w:rPr>
              <w:t>derde</w:t>
            </w:r>
            <w:r w:rsidRPr="00755640" w:rsidR="00D94F03">
              <w:rPr>
                <w:rFonts w:ascii="Verdana" w:hAnsi="Verdana"/>
                <w:sz w:val="15"/>
                <w:szCs w:val="15"/>
              </w:rPr>
              <w:t>, vierde, vijfde</w:t>
            </w:r>
            <w:r w:rsidRPr="00755640" w:rsidR="00FA4986">
              <w:rPr>
                <w:rFonts w:ascii="Verdana" w:hAnsi="Verdana"/>
                <w:sz w:val="15"/>
                <w:szCs w:val="15"/>
              </w:rPr>
              <w:t xml:space="preserve"> </w:t>
            </w:r>
            <w:r w:rsidRPr="00755640" w:rsidR="00D94F03">
              <w:rPr>
                <w:rFonts w:ascii="Verdana" w:hAnsi="Verdana"/>
                <w:sz w:val="15"/>
                <w:szCs w:val="15"/>
              </w:rPr>
              <w:t xml:space="preserve">en zevende </w:t>
            </w:r>
            <w:r w:rsidRPr="00755640">
              <w:rPr>
                <w:rFonts w:ascii="Verdana" w:hAnsi="Verdana"/>
                <w:sz w:val="15"/>
                <w:szCs w:val="15"/>
              </w:rPr>
              <w:t>lid</w:t>
            </w:r>
          </w:p>
        </w:tc>
        <w:tc>
          <w:tcPr>
            <w:tcW w:w="2260" w:type="dxa"/>
          </w:tcPr>
          <w:p w:rsidRPr="00755640" w:rsidR="008B722F" w:rsidP="008B722F" w:rsidRDefault="008B722F" w14:paraId="31D70D95" w14:textId="7777777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2230D643" w14:textId="255D73B4">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94F03" w14:paraId="4698869B" w14:textId="72565772">
            <w:pPr>
              <w:pStyle w:val="Geenafstand"/>
              <w:rPr>
                <w:rFonts w:ascii="Verdana" w:hAnsi="Verdana"/>
                <w:sz w:val="15"/>
                <w:szCs w:val="15"/>
              </w:rPr>
            </w:pPr>
            <w:r w:rsidRPr="00755640">
              <w:rPr>
                <w:rFonts w:ascii="Verdana" w:hAnsi="Verdana"/>
                <w:sz w:val="15"/>
                <w:szCs w:val="15"/>
              </w:rPr>
              <w:t>Deze</w:t>
            </w:r>
            <w:r w:rsidRPr="00755640" w:rsidR="00FA4986">
              <w:rPr>
                <w:rFonts w:ascii="Verdana" w:hAnsi="Verdana"/>
                <w:sz w:val="15"/>
                <w:szCs w:val="15"/>
              </w:rPr>
              <w:t xml:space="preserve"> bepaling</w:t>
            </w:r>
            <w:r w:rsidRPr="00755640">
              <w:rPr>
                <w:rFonts w:ascii="Verdana" w:hAnsi="Verdana"/>
                <w:sz w:val="15"/>
                <w:szCs w:val="15"/>
              </w:rPr>
              <w:t>en</w:t>
            </w:r>
            <w:r w:rsidRPr="00755640" w:rsidR="00E84D53">
              <w:rPr>
                <w:rFonts w:ascii="Verdana" w:hAnsi="Verdana"/>
                <w:sz w:val="15"/>
                <w:szCs w:val="15"/>
              </w:rPr>
              <w:t xml:space="preserve"> zijn gericht </w:t>
            </w:r>
            <w:r w:rsidR="007125A9">
              <w:rPr>
                <w:rFonts w:ascii="Verdana" w:hAnsi="Verdana"/>
                <w:sz w:val="15"/>
                <w:szCs w:val="15"/>
              </w:rPr>
              <w:t>aan</w:t>
            </w:r>
            <w:r w:rsidRPr="00755640" w:rsidR="007125A9">
              <w:rPr>
                <w:rFonts w:ascii="Verdana" w:hAnsi="Verdana"/>
                <w:sz w:val="15"/>
                <w:szCs w:val="15"/>
              </w:rPr>
              <w:t xml:space="preserve"> </w:t>
            </w:r>
            <w:r w:rsidRPr="00755640" w:rsidR="00FA4986">
              <w:rPr>
                <w:rFonts w:ascii="Verdana" w:hAnsi="Verdana"/>
                <w:sz w:val="15"/>
                <w:szCs w:val="15"/>
              </w:rPr>
              <w:t>EU-</w:t>
            </w:r>
            <w:proofErr w:type="spellStart"/>
            <w:r w:rsidRPr="00755640" w:rsidR="00FA4986">
              <w:rPr>
                <w:rFonts w:ascii="Verdana" w:hAnsi="Verdana"/>
                <w:sz w:val="15"/>
                <w:szCs w:val="15"/>
              </w:rPr>
              <w:t>CyCLONe</w:t>
            </w:r>
            <w:proofErr w:type="spellEnd"/>
            <w:r w:rsidRPr="00755640" w:rsidR="00FA4986">
              <w:rPr>
                <w:rFonts w:ascii="Verdana" w:hAnsi="Verdana"/>
                <w:sz w:val="15"/>
                <w:szCs w:val="15"/>
              </w:rPr>
              <w:t>.</w:t>
            </w:r>
          </w:p>
        </w:tc>
      </w:tr>
      <w:tr w:rsidRPr="00755640" w:rsidR="00D66BB6" w:rsidTr="006231F6" w14:paraId="78CD870B" w14:textId="77777777">
        <w:tc>
          <w:tcPr>
            <w:tcW w:w="2260" w:type="dxa"/>
          </w:tcPr>
          <w:p w:rsidRPr="00755640" w:rsidR="008B722F" w:rsidP="008B722F" w:rsidRDefault="008B722F" w14:paraId="735FDEA4" w14:textId="18DECC40">
            <w:pPr>
              <w:pStyle w:val="Geenafstand"/>
              <w:rPr>
                <w:rFonts w:ascii="Verdana" w:hAnsi="Verdana"/>
                <w:sz w:val="15"/>
                <w:szCs w:val="15"/>
              </w:rPr>
            </w:pPr>
            <w:r w:rsidRPr="00755640">
              <w:rPr>
                <w:rFonts w:ascii="Verdana" w:hAnsi="Verdana"/>
                <w:sz w:val="15"/>
                <w:szCs w:val="15"/>
              </w:rPr>
              <w:t xml:space="preserve">Artikel 16, </w:t>
            </w:r>
            <w:r w:rsidRPr="00755640" w:rsidR="00FA4986">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FA4986" w14:paraId="3FED21BB" w14:textId="364E775C">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FA4986" w14:paraId="0733C8FF" w14:textId="68D922C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94F03" w14:paraId="68B28BBE" w14:textId="438CB80C">
            <w:pPr>
              <w:pStyle w:val="Geenafstand"/>
              <w:rPr>
                <w:rFonts w:ascii="Verdana" w:hAnsi="Verdana"/>
                <w:sz w:val="15"/>
                <w:szCs w:val="15"/>
              </w:rPr>
            </w:pPr>
            <w:r w:rsidRPr="00755640">
              <w:rPr>
                <w:rFonts w:ascii="Verdana" w:hAnsi="Verdana"/>
                <w:sz w:val="15"/>
                <w:szCs w:val="15"/>
              </w:rPr>
              <w:t>De</w:t>
            </w:r>
            <w:r w:rsidRPr="00755640" w:rsidR="00E84D53">
              <w:rPr>
                <w:rFonts w:ascii="Verdana" w:hAnsi="Verdana"/>
                <w:sz w:val="15"/>
                <w:szCs w:val="15"/>
              </w:rPr>
              <w:t>ze</w:t>
            </w:r>
            <w:r w:rsidRPr="00755640" w:rsidR="00FA4986">
              <w:rPr>
                <w:rFonts w:ascii="Verdana" w:hAnsi="Verdana"/>
                <w:sz w:val="15"/>
                <w:szCs w:val="15"/>
              </w:rPr>
              <w:t xml:space="preserve"> bepaling </w:t>
            </w:r>
            <w:r w:rsidRPr="00755640" w:rsidR="00E84D53">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sidR="00FA4986">
              <w:rPr>
                <w:rFonts w:ascii="Verdana" w:hAnsi="Verdana"/>
                <w:sz w:val="15"/>
                <w:szCs w:val="15"/>
              </w:rPr>
              <w:t>EU-</w:t>
            </w:r>
            <w:proofErr w:type="spellStart"/>
            <w:r w:rsidRPr="00755640" w:rsidR="00FA4986">
              <w:rPr>
                <w:rFonts w:ascii="Verdana" w:hAnsi="Verdana"/>
                <w:sz w:val="15"/>
                <w:szCs w:val="15"/>
              </w:rPr>
              <w:t>CyCLONe</w:t>
            </w:r>
            <w:proofErr w:type="spellEnd"/>
            <w:r w:rsidRPr="00755640" w:rsidR="00FA4986">
              <w:rPr>
                <w:rFonts w:ascii="Verdana" w:hAnsi="Verdana"/>
                <w:sz w:val="15"/>
                <w:szCs w:val="15"/>
              </w:rPr>
              <w:t xml:space="preserve"> en het CSIRT-netwerk.</w:t>
            </w:r>
          </w:p>
        </w:tc>
      </w:tr>
      <w:tr w:rsidRPr="00755640" w:rsidR="00D66BB6" w:rsidTr="006231F6" w14:paraId="5AE593A0" w14:textId="77777777">
        <w:tc>
          <w:tcPr>
            <w:tcW w:w="2260" w:type="dxa"/>
          </w:tcPr>
          <w:p w:rsidRPr="00755640" w:rsidR="008B722F" w:rsidP="008B722F" w:rsidRDefault="008B722F" w14:paraId="52F8B252" w14:textId="77777777">
            <w:pPr>
              <w:pStyle w:val="Geenafstand"/>
              <w:rPr>
                <w:rFonts w:ascii="Verdana" w:hAnsi="Verdana"/>
                <w:sz w:val="15"/>
                <w:szCs w:val="15"/>
              </w:rPr>
            </w:pPr>
            <w:r w:rsidRPr="00755640">
              <w:rPr>
                <w:rFonts w:ascii="Verdana" w:hAnsi="Verdana"/>
                <w:sz w:val="15"/>
                <w:szCs w:val="15"/>
              </w:rPr>
              <w:t>Artikel 17</w:t>
            </w:r>
          </w:p>
        </w:tc>
        <w:tc>
          <w:tcPr>
            <w:tcW w:w="2260" w:type="dxa"/>
          </w:tcPr>
          <w:p w:rsidRPr="00755640" w:rsidR="008B722F" w:rsidP="008B722F" w:rsidRDefault="00D94F03" w14:paraId="29DDD3D9" w14:textId="7B45E28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94F03" w14:paraId="3E15006D" w14:textId="26FCF5F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94F03" w14:paraId="46BE3235" w14:textId="4EC76453">
            <w:pPr>
              <w:pStyle w:val="Geenafstand"/>
              <w:rPr>
                <w:rFonts w:ascii="Verdana" w:hAnsi="Verdana"/>
                <w:sz w:val="15"/>
                <w:szCs w:val="15"/>
              </w:rPr>
            </w:pPr>
            <w:r w:rsidRPr="00755640">
              <w:rPr>
                <w:rFonts w:ascii="Verdana" w:hAnsi="Verdana"/>
                <w:sz w:val="15"/>
                <w:szCs w:val="15"/>
              </w:rPr>
              <w:t>De</w:t>
            </w:r>
            <w:r w:rsidRPr="00755640" w:rsidR="00E84D53">
              <w:rPr>
                <w:rFonts w:ascii="Verdana" w:hAnsi="Verdana"/>
                <w:sz w:val="15"/>
                <w:szCs w:val="15"/>
              </w:rPr>
              <w:t>ze</w:t>
            </w:r>
            <w:r w:rsidRPr="00755640">
              <w:rPr>
                <w:rFonts w:ascii="Verdana" w:hAnsi="Verdana"/>
                <w:sz w:val="15"/>
                <w:szCs w:val="15"/>
              </w:rPr>
              <w:t xml:space="preserve"> bepaling </w:t>
            </w:r>
            <w:r w:rsidRPr="00755640" w:rsidR="00E84D53">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de EU.</w:t>
            </w:r>
          </w:p>
        </w:tc>
      </w:tr>
      <w:tr w:rsidRPr="00755640" w:rsidR="00D66BB6" w:rsidTr="006231F6" w14:paraId="6BE1B435" w14:textId="77777777">
        <w:tc>
          <w:tcPr>
            <w:tcW w:w="2260" w:type="dxa"/>
          </w:tcPr>
          <w:p w:rsidRPr="00755640" w:rsidR="008B722F" w:rsidP="008B722F" w:rsidRDefault="008B722F" w14:paraId="4EEAC9C4" w14:textId="43105AA4">
            <w:pPr>
              <w:pStyle w:val="Geenafstand"/>
              <w:rPr>
                <w:rFonts w:ascii="Verdana" w:hAnsi="Verdana"/>
                <w:sz w:val="15"/>
                <w:szCs w:val="15"/>
              </w:rPr>
            </w:pPr>
            <w:r w:rsidRPr="00755640">
              <w:rPr>
                <w:rFonts w:ascii="Verdana" w:hAnsi="Verdana"/>
                <w:sz w:val="15"/>
                <w:szCs w:val="15"/>
              </w:rPr>
              <w:t xml:space="preserve">Artikel 18, </w:t>
            </w:r>
            <w:r w:rsidRPr="00755640" w:rsidR="003A5B31">
              <w:rPr>
                <w:rFonts w:ascii="Verdana" w:hAnsi="Verdana"/>
                <w:sz w:val="15"/>
                <w:szCs w:val="15"/>
              </w:rPr>
              <w:t xml:space="preserve">eerste, tweede en derde </w:t>
            </w:r>
            <w:r w:rsidRPr="00755640">
              <w:rPr>
                <w:rFonts w:ascii="Verdana" w:hAnsi="Verdana"/>
                <w:sz w:val="15"/>
                <w:szCs w:val="15"/>
              </w:rPr>
              <w:t>lid</w:t>
            </w:r>
          </w:p>
        </w:tc>
        <w:tc>
          <w:tcPr>
            <w:tcW w:w="2260" w:type="dxa"/>
          </w:tcPr>
          <w:p w:rsidRPr="00755640" w:rsidR="008B722F" w:rsidP="008B722F" w:rsidRDefault="003A5B31" w14:paraId="204B404B" w14:textId="65721A52">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3A5B31" w14:paraId="01EE39CB" w14:textId="4D234CD2">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A5B31" w14:paraId="2B2BCB3B" w14:textId="4C7E9EC5">
            <w:pPr>
              <w:pStyle w:val="Geenafstand"/>
              <w:rPr>
                <w:rFonts w:ascii="Verdana" w:hAnsi="Verdana"/>
                <w:sz w:val="15"/>
                <w:szCs w:val="15"/>
              </w:rPr>
            </w:pPr>
            <w:r w:rsidRPr="00755640">
              <w:rPr>
                <w:rFonts w:ascii="Verdana" w:hAnsi="Verdana"/>
                <w:sz w:val="15"/>
                <w:szCs w:val="15"/>
              </w:rPr>
              <w:t xml:space="preserve">Deze bepalingen </w:t>
            </w:r>
            <w:r w:rsidRPr="00755640" w:rsidR="00E84D53">
              <w:rPr>
                <w:rFonts w:ascii="Verdana" w:hAnsi="Verdana"/>
                <w:sz w:val="15"/>
                <w:szCs w:val="15"/>
              </w:rPr>
              <w:t xml:space="preserve">zijn gericht </w:t>
            </w:r>
            <w:r w:rsidR="007125A9">
              <w:rPr>
                <w:rFonts w:ascii="Verdana" w:hAnsi="Verdana"/>
                <w:sz w:val="15"/>
                <w:szCs w:val="15"/>
              </w:rPr>
              <w:t>aan</w:t>
            </w:r>
            <w:r w:rsidRPr="00755640" w:rsidR="007125A9">
              <w:rPr>
                <w:rFonts w:ascii="Verdana" w:hAnsi="Verdana"/>
                <w:sz w:val="15"/>
                <w:szCs w:val="15"/>
              </w:rPr>
              <w:t xml:space="preserve"> </w:t>
            </w:r>
            <w:proofErr w:type="spellStart"/>
            <w:r w:rsidRPr="00755640">
              <w:rPr>
                <w:rFonts w:ascii="Verdana" w:hAnsi="Verdana"/>
                <w:sz w:val="15"/>
                <w:szCs w:val="15"/>
              </w:rPr>
              <w:t>Enisa</w:t>
            </w:r>
            <w:proofErr w:type="spellEnd"/>
            <w:r w:rsidRPr="00755640">
              <w:rPr>
                <w:rFonts w:ascii="Verdana" w:hAnsi="Verdana"/>
                <w:sz w:val="15"/>
                <w:szCs w:val="15"/>
              </w:rPr>
              <w:t>.</w:t>
            </w:r>
          </w:p>
        </w:tc>
      </w:tr>
      <w:tr w:rsidRPr="00755640" w:rsidR="00D66BB6" w:rsidTr="006231F6" w14:paraId="1897FAE8" w14:textId="77777777">
        <w:tc>
          <w:tcPr>
            <w:tcW w:w="2260" w:type="dxa"/>
          </w:tcPr>
          <w:p w:rsidRPr="00755640" w:rsidR="008B722F" w:rsidP="008B722F" w:rsidRDefault="008B722F" w14:paraId="5B27F6FB" w14:textId="16C921A5">
            <w:pPr>
              <w:pStyle w:val="Geenafstand"/>
              <w:rPr>
                <w:rFonts w:ascii="Verdana" w:hAnsi="Verdana"/>
                <w:sz w:val="15"/>
                <w:szCs w:val="15"/>
              </w:rPr>
            </w:pPr>
            <w:r w:rsidRPr="00755640">
              <w:rPr>
                <w:rFonts w:ascii="Verdana" w:hAnsi="Verdana"/>
                <w:sz w:val="15"/>
                <w:szCs w:val="15"/>
              </w:rPr>
              <w:t xml:space="preserve">Artikel 19, </w:t>
            </w:r>
            <w:r w:rsidRPr="00755640" w:rsidR="004E16C7">
              <w:rPr>
                <w:rFonts w:ascii="Verdana" w:hAnsi="Verdana"/>
                <w:sz w:val="15"/>
                <w:szCs w:val="15"/>
              </w:rPr>
              <w:t xml:space="preserve">eerste </w:t>
            </w:r>
            <w:r w:rsidRPr="00755640" w:rsidR="003B7660">
              <w:rPr>
                <w:rFonts w:ascii="Verdana" w:hAnsi="Verdana"/>
                <w:sz w:val="15"/>
                <w:szCs w:val="15"/>
              </w:rPr>
              <w:t xml:space="preserve">tot en met </w:t>
            </w:r>
            <w:r w:rsidR="00F90EB5">
              <w:rPr>
                <w:rFonts w:ascii="Verdana" w:hAnsi="Verdana"/>
                <w:sz w:val="15"/>
                <w:szCs w:val="15"/>
              </w:rPr>
              <w:t xml:space="preserve">vijfde lid en zevende tot en met </w:t>
            </w:r>
            <w:r w:rsidRPr="00755640" w:rsidR="003B7660">
              <w:rPr>
                <w:rFonts w:ascii="Verdana" w:hAnsi="Verdana"/>
                <w:sz w:val="15"/>
                <w:szCs w:val="15"/>
              </w:rPr>
              <w:t xml:space="preserve">negende </w:t>
            </w:r>
            <w:r w:rsidRPr="00755640">
              <w:rPr>
                <w:rFonts w:ascii="Verdana" w:hAnsi="Verdana"/>
                <w:sz w:val="15"/>
                <w:szCs w:val="15"/>
              </w:rPr>
              <w:t>lid</w:t>
            </w:r>
          </w:p>
        </w:tc>
        <w:tc>
          <w:tcPr>
            <w:tcW w:w="2260" w:type="dxa"/>
          </w:tcPr>
          <w:p w:rsidRPr="00755640" w:rsidR="008B722F" w:rsidP="008B722F" w:rsidRDefault="004E16C7" w14:paraId="273AE642" w14:textId="02DF22E8">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4E16C7" w14:paraId="19A03B1C" w14:textId="22A4242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0D0C43" w:rsidRDefault="003B7660" w14:paraId="33085F70" w14:textId="360A914D">
            <w:pPr>
              <w:pStyle w:val="Geenafstand"/>
              <w:rPr>
                <w:rFonts w:ascii="Verdana" w:hAnsi="Verdana"/>
                <w:sz w:val="15"/>
                <w:szCs w:val="15"/>
              </w:rPr>
            </w:pPr>
            <w:r w:rsidRPr="00755640">
              <w:rPr>
                <w:rFonts w:ascii="Verdana" w:hAnsi="Verdana"/>
                <w:sz w:val="15"/>
                <w:szCs w:val="15"/>
              </w:rPr>
              <w:t>Deze bepalingen zien met name op de invulling van collegiale toetsingen en behoeven om diverse redenen</w:t>
            </w:r>
            <w:r w:rsidRPr="00755640" w:rsidR="000D0C43">
              <w:rPr>
                <w:rFonts w:ascii="Verdana" w:hAnsi="Verdana"/>
                <w:sz w:val="15"/>
                <w:szCs w:val="15"/>
              </w:rPr>
              <w:t xml:space="preserve"> geen implementatie in nationale wetgeving</w:t>
            </w:r>
            <w:r w:rsidRPr="00755640">
              <w:rPr>
                <w:rFonts w:ascii="Verdana" w:hAnsi="Verdana"/>
                <w:sz w:val="15"/>
                <w:szCs w:val="15"/>
              </w:rPr>
              <w:t>. Ten aanzien van enkele bepalingen is de reden dat deze enkel gericht zijn</w:t>
            </w:r>
            <w:r w:rsidR="00DD2E0D">
              <w:rPr>
                <w:rFonts w:ascii="Verdana" w:hAnsi="Verdana"/>
                <w:sz w:val="15"/>
                <w:szCs w:val="15"/>
              </w:rPr>
              <w:t xml:space="preserve"> aan</w:t>
            </w:r>
            <w:r w:rsidRPr="00755640">
              <w:rPr>
                <w:rFonts w:ascii="Verdana" w:hAnsi="Verdana"/>
                <w:sz w:val="15"/>
                <w:szCs w:val="15"/>
              </w:rPr>
              <w:t xml:space="preserve"> de samenwerkingsgroep, de Europese Commissie en </w:t>
            </w:r>
            <w:proofErr w:type="spellStart"/>
            <w:r w:rsidRPr="00755640">
              <w:rPr>
                <w:rFonts w:ascii="Verdana" w:hAnsi="Verdana"/>
                <w:sz w:val="15"/>
                <w:szCs w:val="15"/>
              </w:rPr>
              <w:t>Enisa</w:t>
            </w:r>
            <w:proofErr w:type="spellEnd"/>
            <w:r w:rsidRPr="00755640">
              <w:rPr>
                <w:rFonts w:ascii="Verdana" w:hAnsi="Verdana"/>
                <w:sz w:val="15"/>
                <w:szCs w:val="15"/>
              </w:rPr>
              <w:t xml:space="preserve">. </w:t>
            </w:r>
          </w:p>
        </w:tc>
      </w:tr>
      <w:tr w:rsidRPr="00755640" w:rsidR="00F90EB5" w:rsidTr="006231F6" w14:paraId="0D639B1E" w14:textId="77777777">
        <w:tc>
          <w:tcPr>
            <w:tcW w:w="2260" w:type="dxa"/>
          </w:tcPr>
          <w:p w:rsidRPr="00755640" w:rsidR="00F90EB5" w:rsidP="008B722F" w:rsidRDefault="00F90EB5" w14:paraId="6569F0BB" w14:textId="646313C8">
            <w:pPr>
              <w:pStyle w:val="Geenafstand"/>
              <w:rPr>
                <w:rFonts w:ascii="Verdana" w:hAnsi="Verdana"/>
                <w:sz w:val="15"/>
                <w:szCs w:val="15"/>
              </w:rPr>
            </w:pPr>
            <w:r>
              <w:rPr>
                <w:rFonts w:ascii="Verdana" w:hAnsi="Verdana"/>
                <w:sz w:val="15"/>
                <w:szCs w:val="15"/>
              </w:rPr>
              <w:t>Artikel 19, zesde lid</w:t>
            </w:r>
          </w:p>
        </w:tc>
        <w:tc>
          <w:tcPr>
            <w:tcW w:w="2260" w:type="dxa"/>
          </w:tcPr>
          <w:p w:rsidRPr="00755640" w:rsidR="00F90EB5" w:rsidP="008B722F" w:rsidRDefault="00F90EB5" w14:paraId="2C452D85" w14:textId="39E97233">
            <w:pPr>
              <w:pStyle w:val="Geenafstand"/>
              <w:rPr>
                <w:rFonts w:ascii="Verdana" w:hAnsi="Verdana"/>
                <w:sz w:val="15"/>
                <w:szCs w:val="15"/>
              </w:rPr>
            </w:pPr>
            <w:r w:rsidRPr="00F90EB5">
              <w:rPr>
                <w:rFonts w:ascii="Verdana" w:hAnsi="Verdana"/>
                <w:sz w:val="15"/>
                <w:szCs w:val="15"/>
              </w:rPr>
              <w:t xml:space="preserve">Artikel 51, derde lid, </w:t>
            </w:r>
            <w:proofErr w:type="spellStart"/>
            <w:r w:rsidRPr="00F90EB5">
              <w:rPr>
                <w:rFonts w:ascii="Verdana" w:hAnsi="Verdana"/>
                <w:sz w:val="15"/>
                <w:szCs w:val="15"/>
              </w:rPr>
              <w:t>Cbw</w:t>
            </w:r>
            <w:proofErr w:type="spellEnd"/>
          </w:p>
        </w:tc>
        <w:tc>
          <w:tcPr>
            <w:tcW w:w="2260" w:type="dxa"/>
          </w:tcPr>
          <w:p w:rsidRPr="00755640" w:rsidR="00F90EB5" w:rsidP="008B722F" w:rsidRDefault="00F90EB5" w14:paraId="74F01D42" w14:textId="55F25FC1">
            <w:pPr>
              <w:pStyle w:val="Geenafstand"/>
              <w:rPr>
                <w:rFonts w:ascii="Verdana" w:hAnsi="Verdana"/>
                <w:sz w:val="15"/>
                <w:szCs w:val="15"/>
              </w:rPr>
            </w:pPr>
            <w:r>
              <w:rPr>
                <w:rFonts w:ascii="Verdana" w:hAnsi="Verdana"/>
                <w:sz w:val="15"/>
                <w:szCs w:val="15"/>
              </w:rPr>
              <w:t>-</w:t>
            </w:r>
          </w:p>
        </w:tc>
        <w:tc>
          <w:tcPr>
            <w:tcW w:w="2261" w:type="dxa"/>
          </w:tcPr>
          <w:p w:rsidRPr="00755640" w:rsidR="00F90EB5" w:rsidP="000D0C43" w:rsidRDefault="00F90EB5" w14:paraId="3A9F53EE" w14:textId="40C283ED">
            <w:pPr>
              <w:pStyle w:val="Geenafstand"/>
              <w:rPr>
                <w:rFonts w:ascii="Verdana" w:hAnsi="Verdana"/>
                <w:sz w:val="15"/>
                <w:szCs w:val="15"/>
              </w:rPr>
            </w:pPr>
            <w:r>
              <w:rPr>
                <w:rFonts w:ascii="Verdana" w:hAnsi="Verdana"/>
                <w:sz w:val="15"/>
                <w:szCs w:val="15"/>
              </w:rPr>
              <w:t>-</w:t>
            </w:r>
          </w:p>
        </w:tc>
      </w:tr>
      <w:tr w:rsidRPr="00755640" w:rsidR="00D66BB6" w:rsidTr="006231F6" w14:paraId="25BFBB5A" w14:textId="77777777">
        <w:tc>
          <w:tcPr>
            <w:tcW w:w="2260" w:type="dxa"/>
          </w:tcPr>
          <w:p w:rsidRPr="00755640" w:rsidR="008B722F" w:rsidP="008B722F" w:rsidRDefault="008B722F" w14:paraId="59DEAF50" w14:textId="779A036A">
            <w:pPr>
              <w:pStyle w:val="Geenafstand"/>
              <w:rPr>
                <w:rFonts w:ascii="Verdana" w:hAnsi="Verdana"/>
                <w:sz w:val="15"/>
                <w:szCs w:val="15"/>
              </w:rPr>
            </w:pPr>
            <w:r w:rsidRPr="00755640">
              <w:rPr>
                <w:rFonts w:ascii="Verdana" w:hAnsi="Verdana"/>
                <w:sz w:val="15"/>
                <w:szCs w:val="15"/>
              </w:rPr>
              <w:t xml:space="preserve">Artikel 20, </w:t>
            </w:r>
            <w:r w:rsidRPr="00755640" w:rsidR="0019063D">
              <w:rPr>
                <w:rFonts w:ascii="Verdana" w:hAnsi="Verdana"/>
                <w:sz w:val="15"/>
                <w:szCs w:val="15"/>
              </w:rPr>
              <w:t xml:space="preserve">eerste </w:t>
            </w:r>
            <w:r w:rsidRPr="00755640" w:rsidR="000D0C43">
              <w:rPr>
                <w:rFonts w:ascii="Verdana" w:hAnsi="Verdana"/>
                <w:sz w:val="15"/>
                <w:szCs w:val="15"/>
              </w:rPr>
              <w:t xml:space="preserve">en tweede </w:t>
            </w:r>
            <w:r w:rsidRPr="00755640">
              <w:rPr>
                <w:rFonts w:ascii="Verdana" w:hAnsi="Verdana"/>
                <w:sz w:val="15"/>
                <w:szCs w:val="15"/>
              </w:rPr>
              <w:t>lid</w:t>
            </w:r>
          </w:p>
        </w:tc>
        <w:tc>
          <w:tcPr>
            <w:tcW w:w="2260" w:type="dxa"/>
          </w:tcPr>
          <w:p w:rsidRPr="00755640" w:rsidR="008B722F" w:rsidP="008B722F" w:rsidRDefault="000D0C43" w14:paraId="4EF87331" w14:textId="7050A34F">
            <w:pPr>
              <w:pStyle w:val="Geenafstand"/>
              <w:rPr>
                <w:rFonts w:ascii="Verdana" w:hAnsi="Verdana"/>
                <w:sz w:val="15"/>
                <w:szCs w:val="15"/>
              </w:rPr>
            </w:pPr>
            <w:r w:rsidRPr="00755640">
              <w:rPr>
                <w:rFonts w:ascii="Verdana" w:hAnsi="Verdana"/>
                <w:sz w:val="15"/>
                <w:szCs w:val="15"/>
              </w:rPr>
              <w:t xml:space="preserve">Artikel 24 </w:t>
            </w:r>
            <w:proofErr w:type="spellStart"/>
            <w:r w:rsidRPr="00755640">
              <w:rPr>
                <w:rFonts w:ascii="Verdana" w:hAnsi="Verdana"/>
                <w:sz w:val="15"/>
                <w:szCs w:val="15"/>
              </w:rPr>
              <w:t>Cbw</w:t>
            </w:r>
            <w:proofErr w:type="spellEnd"/>
          </w:p>
        </w:tc>
        <w:tc>
          <w:tcPr>
            <w:tcW w:w="2260" w:type="dxa"/>
          </w:tcPr>
          <w:p w:rsidRPr="00755640" w:rsidR="008B722F" w:rsidP="008B722F" w:rsidRDefault="000D0C43" w14:paraId="2C68048E" w14:textId="57246726">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0D0C43" w14:paraId="2D8388B0" w14:textId="1682CC4B">
            <w:pPr>
              <w:pStyle w:val="Geenafstand"/>
              <w:rPr>
                <w:rFonts w:ascii="Verdana" w:hAnsi="Verdana"/>
                <w:sz w:val="15"/>
                <w:szCs w:val="15"/>
              </w:rPr>
            </w:pPr>
            <w:r w:rsidRPr="00755640">
              <w:rPr>
                <w:rFonts w:ascii="Verdana" w:hAnsi="Verdana"/>
                <w:sz w:val="15"/>
                <w:szCs w:val="15"/>
              </w:rPr>
              <w:t>-</w:t>
            </w:r>
          </w:p>
        </w:tc>
      </w:tr>
      <w:tr w:rsidRPr="00755640" w:rsidR="00D66BB6" w:rsidTr="006231F6" w14:paraId="0B310940" w14:textId="77777777">
        <w:tc>
          <w:tcPr>
            <w:tcW w:w="2260" w:type="dxa"/>
          </w:tcPr>
          <w:p w:rsidRPr="00755640" w:rsidR="008B722F" w:rsidP="008B722F" w:rsidRDefault="008B722F" w14:paraId="03EF3D6C" w14:textId="0D461D23">
            <w:pPr>
              <w:pStyle w:val="Geenafstand"/>
              <w:rPr>
                <w:rFonts w:ascii="Verdana" w:hAnsi="Verdana"/>
                <w:sz w:val="15"/>
                <w:szCs w:val="15"/>
              </w:rPr>
            </w:pPr>
            <w:r w:rsidRPr="00755640">
              <w:rPr>
                <w:rFonts w:ascii="Verdana" w:hAnsi="Verdana"/>
                <w:sz w:val="15"/>
                <w:szCs w:val="15"/>
              </w:rPr>
              <w:t xml:space="preserve">Artikel 21, </w:t>
            </w:r>
            <w:r w:rsidRPr="00755640" w:rsidR="0019063D">
              <w:rPr>
                <w:rFonts w:ascii="Verdana" w:hAnsi="Verdana"/>
                <w:sz w:val="15"/>
                <w:szCs w:val="15"/>
              </w:rPr>
              <w:t>eerste</w:t>
            </w:r>
            <w:r w:rsidRPr="00755640" w:rsidR="000D0C43">
              <w:rPr>
                <w:rFonts w:ascii="Verdana" w:hAnsi="Verdana"/>
                <w:sz w:val="15"/>
                <w:szCs w:val="15"/>
              </w:rPr>
              <w:t>, tweede en derde</w:t>
            </w:r>
            <w:r w:rsidRPr="00755640" w:rsidR="0019063D">
              <w:rPr>
                <w:rFonts w:ascii="Verdana" w:hAnsi="Verdana"/>
                <w:sz w:val="15"/>
                <w:szCs w:val="15"/>
              </w:rPr>
              <w:t xml:space="preserve"> </w:t>
            </w:r>
            <w:r w:rsidRPr="00755640">
              <w:rPr>
                <w:rFonts w:ascii="Verdana" w:hAnsi="Verdana"/>
                <w:sz w:val="15"/>
                <w:szCs w:val="15"/>
              </w:rPr>
              <w:t>lid</w:t>
            </w:r>
          </w:p>
        </w:tc>
        <w:tc>
          <w:tcPr>
            <w:tcW w:w="2260" w:type="dxa"/>
          </w:tcPr>
          <w:p w:rsidRPr="00755640" w:rsidR="008B722F" w:rsidP="008B722F" w:rsidRDefault="000D0C43" w14:paraId="0C141C59" w14:textId="6095FF70">
            <w:pPr>
              <w:pStyle w:val="Geenafstand"/>
              <w:rPr>
                <w:rFonts w:ascii="Verdana" w:hAnsi="Verdana"/>
                <w:sz w:val="15"/>
                <w:szCs w:val="15"/>
              </w:rPr>
            </w:pPr>
            <w:r w:rsidRPr="00755640">
              <w:rPr>
                <w:rFonts w:ascii="Verdana" w:hAnsi="Verdana"/>
                <w:sz w:val="15"/>
                <w:szCs w:val="15"/>
              </w:rPr>
              <w:t xml:space="preserve">Artikel 21 </w:t>
            </w:r>
            <w:proofErr w:type="spellStart"/>
            <w:r w:rsidRPr="00755640">
              <w:rPr>
                <w:rFonts w:ascii="Verdana" w:hAnsi="Verdana"/>
                <w:sz w:val="15"/>
                <w:szCs w:val="15"/>
              </w:rPr>
              <w:t>Cbw</w:t>
            </w:r>
            <w:proofErr w:type="spellEnd"/>
          </w:p>
        </w:tc>
        <w:tc>
          <w:tcPr>
            <w:tcW w:w="2260" w:type="dxa"/>
          </w:tcPr>
          <w:p w:rsidRPr="00755640" w:rsidR="008B722F" w:rsidP="008B722F" w:rsidRDefault="000D0C43" w14:paraId="7A903A13" w14:textId="05321C44">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0D0C43" w14:paraId="0A10F081" w14:textId="796F85A2">
            <w:pPr>
              <w:pStyle w:val="Geenafstand"/>
              <w:rPr>
                <w:rFonts w:ascii="Verdana" w:hAnsi="Verdana"/>
                <w:sz w:val="15"/>
                <w:szCs w:val="15"/>
              </w:rPr>
            </w:pPr>
            <w:r w:rsidRPr="00755640">
              <w:rPr>
                <w:rFonts w:ascii="Verdana" w:hAnsi="Verdana"/>
                <w:sz w:val="15"/>
                <w:szCs w:val="15"/>
              </w:rPr>
              <w:t>-</w:t>
            </w:r>
          </w:p>
        </w:tc>
      </w:tr>
      <w:tr w:rsidRPr="00755640" w:rsidR="00D66BB6" w:rsidTr="006231F6" w14:paraId="6CFF21A7" w14:textId="77777777">
        <w:tc>
          <w:tcPr>
            <w:tcW w:w="2260" w:type="dxa"/>
          </w:tcPr>
          <w:p w:rsidRPr="00755640" w:rsidR="008B722F" w:rsidP="008B722F" w:rsidRDefault="008B722F" w14:paraId="738848A0" w14:textId="5B4179CF">
            <w:pPr>
              <w:pStyle w:val="Geenafstand"/>
              <w:rPr>
                <w:rFonts w:ascii="Verdana" w:hAnsi="Verdana"/>
                <w:sz w:val="15"/>
                <w:szCs w:val="15"/>
              </w:rPr>
            </w:pPr>
            <w:r w:rsidRPr="00755640">
              <w:rPr>
                <w:rFonts w:ascii="Verdana" w:hAnsi="Verdana"/>
                <w:sz w:val="15"/>
                <w:szCs w:val="15"/>
              </w:rPr>
              <w:t xml:space="preserve">Artikel 21, </w:t>
            </w:r>
            <w:r w:rsidRPr="00755640" w:rsidR="0019063D">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646D3C" w14:paraId="4E570EFF" w14:textId="57F63DF0">
            <w:pPr>
              <w:pStyle w:val="Geenafstand"/>
              <w:rPr>
                <w:rFonts w:ascii="Verdana" w:hAnsi="Verdana"/>
                <w:sz w:val="15"/>
                <w:szCs w:val="15"/>
              </w:rPr>
            </w:pPr>
            <w:r w:rsidRPr="00755640">
              <w:rPr>
                <w:rFonts w:ascii="Verdana" w:hAnsi="Verdana"/>
                <w:sz w:val="15"/>
                <w:szCs w:val="15"/>
              </w:rPr>
              <w:t xml:space="preserve">De artikelen </w:t>
            </w:r>
            <w:r w:rsidR="00DD2E0D">
              <w:rPr>
                <w:rFonts w:ascii="Verdana" w:hAnsi="Verdana"/>
                <w:sz w:val="15"/>
                <w:szCs w:val="15"/>
              </w:rPr>
              <w:t>70</w:t>
            </w:r>
            <w:r w:rsidRPr="00755640" w:rsidR="00DD2E0D">
              <w:rPr>
                <w:rFonts w:ascii="Verdana" w:hAnsi="Verdana"/>
                <w:sz w:val="15"/>
                <w:szCs w:val="15"/>
              </w:rPr>
              <w:t xml:space="preserve"> </w:t>
            </w:r>
            <w:r w:rsidRPr="00755640">
              <w:rPr>
                <w:rFonts w:ascii="Verdana" w:hAnsi="Verdana"/>
                <w:sz w:val="15"/>
                <w:szCs w:val="15"/>
              </w:rPr>
              <w:t xml:space="preserve">tot en met </w:t>
            </w:r>
            <w:r w:rsidR="00DD2E0D">
              <w:rPr>
                <w:rFonts w:ascii="Verdana" w:hAnsi="Verdana"/>
                <w:sz w:val="15"/>
                <w:szCs w:val="15"/>
              </w:rPr>
              <w:t>87</w:t>
            </w:r>
            <w:r w:rsidRPr="00755640" w:rsidR="00DD2E0D">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646D3C" w14:paraId="7CE723A0" w14:textId="31D3E06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646D3C" w14:paraId="4A4EACE8" w14:textId="6AD87430">
            <w:pPr>
              <w:pStyle w:val="Geenafstand"/>
              <w:rPr>
                <w:rFonts w:ascii="Verdana" w:hAnsi="Verdana"/>
                <w:sz w:val="15"/>
                <w:szCs w:val="15"/>
              </w:rPr>
            </w:pPr>
            <w:r w:rsidRPr="00755640">
              <w:rPr>
                <w:rFonts w:ascii="Verdana" w:hAnsi="Verdana"/>
                <w:sz w:val="15"/>
                <w:szCs w:val="15"/>
              </w:rPr>
              <w:t>-</w:t>
            </w:r>
          </w:p>
        </w:tc>
      </w:tr>
      <w:tr w:rsidRPr="00755640" w:rsidR="00D66BB6" w:rsidTr="006231F6" w14:paraId="6AA5AC59" w14:textId="77777777">
        <w:tc>
          <w:tcPr>
            <w:tcW w:w="2260" w:type="dxa"/>
          </w:tcPr>
          <w:p w:rsidRPr="00755640" w:rsidR="008B722F" w:rsidP="008B722F" w:rsidRDefault="008B722F" w14:paraId="4DFA6447" w14:textId="79EAD5AF">
            <w:pPr>
              <w:pStyle w:val="Geenafstand"/>
              <w:rPr>
                <w:rFonts w:ascii="Verdana" w:hAnsi="Verdana"/>
                <w:sz w:val="15"/>
                <w:szCs w:val="15"/>
              </w:rPr>
            </w:pPr>
            <w:r w:rsidRPr="00755640">
              <w:rPr>
                <w:rFonts w:ascii="Verdana" w:hAnsi="Verdana"/>
                <w:sz w:val="15"/>
                <w:szCs w:val="15"/>
              </w:rPr>
              <w:t xml:space="preserve">Artikel 21, </w:t>
            </w:r>
            <w:r w:rsidRPr="00755640" w:rsidR="0019063D">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BC356C" w14:paraId="19E5D648" w14:textId="3331ED1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BC356C" w14:paraId="215A3D82" w14:textId="742C095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C356C" w14:paraId="1DF6644B" w14:textId="7C233614">
            <w:pPr>
              <w:pStyle w:val="Geenafstand"/>
              <w:rPr>
                <w:rFonts w:ascii="Verdana" w:hAnsi="Verdana"/>
                <w:sz w:val="15"/>
                <w:szCs w:val="15"/>
              </w:rPr>
            </w:pPr>
            <w:r w:rsidRPr="00755640">
              <w:rPr>
                <w:rFonts w:ascii="Verdana" w:hAnsi="Verdana"/>
                <w:sz w:val="15"/>
                <w:szCs w:val="15"/>
              </w:rPr>
              <w:t xml:space="preserve">Deze bepaling 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de Europese Commissie.</w:t>
            </w:r>
          </w:p>
        </w:tc>
      </w:tr>
      <w:tr w:rsidRPr="00755640" w:rsidR="00D66BB6" w:rsidTr="006231F6" w14:paraId="663B40C2" w14:textId="77777777">
        <w:tc>
          <w:tcPr>
            <w:tcW w:w="2260" w:type="dxa"/>
          </w:tcPr>
          <w:p w:rsidRPr="00755640" w:rsidR="008B722F" w:rsidP="008B722F" w:rsidRDefault="008B722F" w14:paraId="0C80CAD6" w14:textId="41149276">
            <w:pPr>
              <w:pStyle w:val="Geenafstand"/>
              <w:rPr>
                <w:rFonts w:ascii="Verdana" w:hAnsi="Verdana"/>
                <w:sz w:val="15"/>
                <w:szCs w:val="15"/>
              </w:rPr>
            </w:pPr>
            <w:r w:rsidRPr="00755640">
              <w:rPr>
                <w:rFonts w:ascii="Verdana" w:hAnsi="Verdana"/>
                <w:sz w:val="15"/>
                <w:szCs w:val="15"/>
              </w:rPr>
              <w:t xml:space="preserve">Artikel 22, </w:t>
            </w:r>
            <w:r w:rsidRPr="00755640" w:rsidR="0019063D">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19063D" w14:paraId="43F2342E" w14:textId="4D438452">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19063D" w14:paraId="3DC8AAA5" w14:textId="7BAE79B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9063D" w14:paraId="56473EED" w14:textId="4FD0901F">
            <w:pPr>
              <w:pStyle w:val="Geenafstand"/>
              <w:rPr>
                <w:rFonts w:ascii="Verdana" w:hAnsi="Verdana"/>
                <w:sz w:val="15"/>
                <w:szCs w:val="15"/>
              </w:rPr>
            </w:pPr>
            <w:r w:rsidRPr="00755640">
              <w:rPr>
                <w:rFonts w:ascii="Verdana" w:hAnsi="Verdana"/>
                <w:sz w:val="15"/>
                <w:szCs w:val="15"/>
              </w:rPr>
              <w:t>De</w:t>
            </w:r>
            <w:r w:rsidRPr="00755640" w:rsidR="00EC390D">
              <w:rPr>
                <w:rFonts w:ascii="Verdana" w:hAnsi="Verdana"/>
                <w:sz w:val="15"/>
                <w:szCs w:val="15"/>
              </w:rPr>
              <w:t>ze</w:t>
            </w:r>
            <w:r w:rsidRPr="00755640">
              <w:rPr>
                <w:rFonts w:ascii="Verdana" w:hAnsi="Verdana"/>
                <w:sz w:val="15"/>
                <w:szCs w:val="15"/>
              </w:rPr>
              <w:t xml:space="preserve"> bepaling </w:t>
            </w:r>
            <w:r w:rsidRPr="00755640" w:rsidR="00EC390D">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de samenwerkingsgroep.</w:t>
            </w:r>
          </w:p>
        </w:tc>
      </w:tr>
      <w:tr w:rsidRPr="00755640" w:rsidR="00D66BB6" w:rsidTr="006231F6" w14:paraId="5B17085A" w14:textId="77777777">
        <w:tc>
          <w:tcPr>
            <w:tcW w:w="2260" w:type="dxa"/>
          </w:tcPr>
          <w:p w:rsidRPr="00755640" w:rsidR="008B722F" w:rsidP="008B722F" w:rsidRDefault="008B722F" w14:paraId="447F6641" w14:textId="32381442">
            <w:pPr>
              <w:pStyle w:val="Geenafstand"/>
              <w:rPr>
                <w:rFonts w:ascii="Verdana" w:hAnsi="Verdana"/>
                <w:sz w:val="15"/>
                <w:szCs w:val="15"/>
              </w:rPr>
            </w:pPr>
            <w:r w:rsidRPr="00755640">
              <w:rPr>
                <w:rFonts w:ascii="Verdana" w:hAnsi="Verdana"/>
                <w:sz w:val="15"/>
                <w:szCs w:val="15"/>
              </w:rPr>
              <w:t xml:space="preserve">Artikel 22, </w:t>
            </w:r>
            <w:r w:rsidRPr="00755640" w:rsidR="0019063D">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B56F1E" w14:paraId="66829AA9" w14:textId="2C6DF2FB">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B56F1E" w14:paraId="3B743770" w14:textId="1EA2A63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56F1E" w14:paraId="747F88B2" w14:textId="52A6ED78">
            <w:pPr>
              <w:pStyle w:val="Geenafstand"/>
              <w:rPr>
                <w:rFonts w:ascii="Verdana" w:hAnsi="Verdana"/>
                <w:sz w:val="15"/>
                <w:szCs w:val="15"/>
              </w:rPr>
            </w:pPr>
            <w:r w:rsidRPr="00755640">
              <w:rPr>
                <w:rFonts w:ascii="Verdana" w:hAnsi="Verdana"/>
                <w:sz w:val="15"/>
                <w:szCs w:val="15"/>
              </w:rPr>
              <w:t>De</w:t>
            </w:r>
            <w:r w:rsidRPr="00755640" w:rsidR="00EC390D">
              <w:rPr>
                <w:rFonts w:ascii="Verdana" w:hAnsi="Verdana"/>
                <w:sz w:val="15"/>
                <w:szCs w:val="15"/>
              </w:rPr>
              <w:t>ze</w:t>
            </w:r>
            <w:r w:rsidRPr="00755640">
              <w:rPr>
                <w:rFonts w:ascii="Verdana" w:hAnsi="Verdana"/>
                <w:sz w:val="15"/>
                <w:szCs w:val="15"/>
              </w:rPr>
              <w:t xml:space="preserve"> bepaling </w:t>
            </w:r>
            <w:r w:rsidRPr="00755640" w:rsidR="00EC390D">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de Europese Commissie.</w:t>
            </w:r>
          </w:p>
        </w:tc>
      </w:tr>
      <w:tr w:rsidRPr="00755640" w:rsidR="00D66BB6" w:rsidTr="006231F6" w14:paraId="114E3B3B" w14:textId="77777777">
        <w:tc>
          <w:tcPr>
            <w:tcW w:w="2260" w:type="dxa"/>
          </w:tcPr>
          <w:p w:rsidRPr="00755640" w:rsidR="008B722F" w:rsidP="008B722F" w:rsidRDefault="008B722F" w14:paraId="6F95E943" w14:textId="110F5A35">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9F16D8" w14:paraId="6522AEDE" w14:textId="6934896F">
            <w:pPr>
              <w:pStyle w:val="Geenafstand"/>
              <w:rPr>
                <w:rFonts w:ascii="Verdana" w:hAnsi="Verdana"/>
                <w:sz w:val="15"/>
                <w:szCs w:val="15"/>
              </w:rPr>
            </w:pPr>
            <w:r w:rsidRPr="00755640">
              <w:rPr>
                <w:rFonts w:ascii="Verdana" w:hAnsi="Verdana"/>
                <w:sz w:val="15"/>
                <w:szCs w:val="15"/>
              </w:rPr>
              <w:t xml:space="preserve">De artikelen 25 tot en met 29, 30, eerste lid, en 39, eerste lid, </w:t>
            </w:r>
            <w:proofErr w:type="spellStart"/>
            <w:r w:rsidRPr="00755640">
              <w:rPr>
                <w:rFonts w:ascii="Verdana" w:hAnsi="Verdana"/>
                <w:sz w:val="15"/>
                <w:szCs w:val="15"/>
              </w:rPr>
              <w:t>Cbw</w:t>
            </w:r>
            <w:proofErr w:type="spellEnd"/>
            <w:r w:rsidRPr="00755640" w:rsidR="008B722F">
              <w:rPr>
                <w:rFonts w:ascii="Verdana" w:hAnsi="Verdana"/>
                <w:sz w:val="15"/>
                <w:szCs w:val="15"/>
              </w:rPr>
              <w:t xml:space="preserve"> </w:t>
            </w:r>
          </w:p>
        </w:tc>
        <w:tc>
          <w:tcPr>
            <w:tcW w:w="2260" w:type="dxa"/>
          </w:tcPr>
          <w:p w:rsidRPr="00755640" w:rsidR="008B722F" w:rsidP="008B722F" w:rsidRDefault="009F16D8" w14:paraId="7E9B5A7A" w14:textId="026DB00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6D8" w14:paraId="28EB06BD" w14:textId="5A263A3C">
            <w:pPr>
              <w:pStyle w:val="Geenafstand"/>
              <w:rPr>
                <w:rFonts w:ascii="Verdana" w:hAnsi="Verdana"/>
                <w:sz w:val="15"/>
                <w:szCs w:val="15"/>
              </w:rPr>
            </w:pPr>
            <w:r w:rsidRPr="00755640">
              <w:rPr>
                <w:rFonts w:ascii="Verdana" w:hAnsi="Verdana"/>
                <w:sz w:val="15"/>
                <w:szCs w:val="15"/>
              </w:rPr>
              <w:t>-</w:t>
            </w:r>
          </w:p>
        </w:tc>
      </w:tr>
      <w:tr w:rsidRPr="00755640" w:rsidR="00D66BB6" w:rsidTr="006231F6" w14:paraId="16968757" w14:textId="77777777">
        <w:tc>
          <w:tcPr>
            <w:tcW w:w="2260" w:type="dxa"/>
          </w:tcPr>
          <w:p w:rsidRPr="00755640" w:rsidR="008B722F" w:rsidP="008B722F" w:rsidRDefault="008B722F" w14:paraId="301D5A01" w14:textId="150460A0">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9F16D8" w14:paraId="7112B50C" w14:textId="1F895C37">
            <w:pPr>
              <w:pStyle w:val="Geenafstand"/>
              <w:rPr>
                <w:rFonts w:ascii="Verdana" w:hAnsi="Verdana"/>
                <w:sz w:val="15"/>
                <w:szCs w:val="15"/>
              </w:rPr>
            </w:pPr>
            <w:r w:rsidRPr="00755640">
              <w:rPr>
                <w:rFonts w:ascii="Verdana" w:hAnsi="Verdana"/>
                <w:sz w:val="15"/>
                <w:szCs w:val="15"/>
              </w:rPr>
              <w:t xml:space="preserve">Artikel 30, tweede lid, </w:t>
            </w:r>
            <w:proofErr w:type="spellStart"/>
            <w:r w:rsidRPr="00755640">
              <w:rPr>
                <w:rFonts w:ascii="Verdana" w:hAnsi="Verdana"/>
                <w:sz w:val="15"/>
                <w:szCs w:val="15"/>
              </w:rPr>
              <w:t>Cbw</w:t>
            </w:r>
            <w:proofErr w:type="spellEnd"/>
          </w:p>
        </w:tc>
        <w:tc>
          <w:tcPr>
            <w:tcW w:w="2260" w:type="dxa"/>
          </w:tcPr>
          <w:p w:rsidRPr="00755640" w:rsidR="008B722F" w:rsidP="008B722F" w:rsidRDefault="009F16D8" w14:paraId="75B881A5" w14:textId="1F964B7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6D8" w14:paraId="4252938C" w14:textId="7937B762">
            <w:pPr>
              <w:pStyle w:val="Geenafstand"/>
              <w:rPr>
                <w:rFonts w:ascii="Verdana" w:hAnsi="Verdana"/>
                <w:sz w:val="15"/>
                <w:szCs w:val="15"/>
              </w:rPr>
            </w:pPr>
            <w:r w:rsidRPr="00755640">
              <w:rPr>
                <w:rFonts w:ascii="Verdana" w:hAnsi="Verdana"/>
                <w:sz w:val="15"/>
                <w:szCs w:val="15"/>
              </w:rPr>
              <w:t>-</w:t>
            </w:r>
          </w:p>
        </w:tc>
      </w:tr>
      <w:tr w:rsidRPr="00755640" w:rsidR="00D66BB6" w:rsidTr="006231F6" w14:paraId="7C2FAEA4" w14:textId="77777777">
        <w:tc>
          <w:tcPr>
            <w:tcW w:w="2260" w:type="dxa"/>
          </w:tcPr>
          <w:p w:rsidRPr="00755640" w:rsidR="008B722F" w:rsidP="008B722F" w:rsidRDefault="008B722F" w14:paraId="32AD8F0B" w14:textId="63FB8488">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9F16D8" w14:paraId="475577A1" w14:textId="5F560B61">
            <w:pPr>
              <w:pStyle w:val="Geenafstand"/>
              <w:rPr>
                <w:rFonts w:ascii="Verdana" w:hAnsi="Verdana"/>
                <w:sz w:val="15"/>
                <w:szCs w:val="15"/>
              </w:rPr>
            </w:pPr>
            <w:r w:rsidRPr="00755640">
              <w:rPr>
                <w:rFonts w:ascii="Verdana" w:hAnsi="Verdana"/>
                <w:sz w:val="15"/>
                <w:szCs w:val="15"/>
              </w:rPr>
              <w:t xml:space="preserve">Artikel 25, tweede lid, </w:t>
            </w:r>
            <w:proofErr w:type="spellStart"/>
            <w:r w:rsidRPr="00755640">
              <w:rPr>
                <w:rFonts w:ascii="Verdana" w:hAnsi="Verdana"/>
                <w:sz w:val="15"/>
                <w:szCs w:val="15"/>
              </w:rPr>
              <w:t>Cbw</w:t>
            </w:r>
            <w:proofErr w:type="spellEnd"/>
          </w:p>
        </w:tc>
        <w:tc>
          <w:tcPr>
            <w:tcW w:w="2260" w:type="dxa"/>
          </w:tcPr>
          <w:p w:rsidRPr="00755640" w:rsidR="008B722F" w:rsidP="008B722F" w:rsidRDefault="009F16D8" w14:paraId="34DB4523" w14:textId="1F30D85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6D8" w14:paraId="5AF82DE6" w14:textId="57AABFA9">
            <w:pPr>
              <w:pStyle w:val="Geenafstand"/>
              <w:rPr>
                <w:rFonts w:ascii="Verdana" w:hAnsi="Verdana"/>
                <w:sz w:val="15"/>
                <w:szCs w:val="15"/>
              </w:rPr>
            </w:pPr>
            <w:r w:rsidRPr="00755640">
              <w:rPr>
                <w:rFonts w:ascii="Verdana" w:hAnsi="Verdana"/>
                <w:sz w:val="15"/>
                <w:szCs w:val="15"/>
              </w:rPr>
              <w:t>-</w:t>
            </w:r>
          </w:p>
        </w:tc>
      </w:tr>
      <w:tr w:rsidRPr="00755640" w:rsidR="00D66BB6" w:rsidTr="006231F6" w14:paraId="550FEB1E" w14:textId="77777777">
        <w:tc>
          <w:tcPr>
            <w:tcW w:w="2260" w:type="dxa"/>
          </w:tcPr>
          <w:p w:rsidRPr="00755640" w:rsidR="008B722F" w:rsidP="008B722F" w:rsidRDefault="008B722F" w14:paraId="3C410106" w14:textId="041D7C21">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9F16D8" w14:paraId="24D12736" w14:textId="7A2FBF19">
            <w:pPr>
              <w:pStyle w:val="Geenafstand"/>
              <w:rPr>
                <w:rFonts w:ascii="Verdana" w:hAnsi="Verdana"/>
                <w:sz w:val="15"/>
                <w:szCs w:val="15"/>
              </w:rPr>
            </w:pPr>
            <w:r w:rsidRPr="00755640">
              <w:rPr>
                <w:rFonts w:ascii="Verdana" w:hAnsi="Verdana"/>
                <w:sz w:val="15"/>
                <w:szCs w:val="15"/>
              </w:rPr>
              <w:t xml:space="preserve">De artikelen 26 tot en met 29 </w:t>
            </w:r>
            <w:proofErr w:type="spellStart"/>
            <w:r w:rsidRPr="00755640">
              <w:rPr>
                <w:rFonts w:ascii="Verdana" w:hAnsi="Verdana"/>
                <w:sz w:val="15"/>
                <w:szCs w:val="15"/>
              </w:rPr>
              <w:t>Cbw</w:t>
            </w:r>
            <w:proofErr w:type="spellEnd"/>
          </w:p>
        </w:tc>
        <w:tc>
          <w:tcPr>
            <w:tcW w:w="2260" w:type="dxa"/>
          </w:tcPr>
          <w:p w:rsidRPr="00755640" w:rsidR="008B722F" w:rsidP="008B722F" w:rsidRDefault="009F16D8" w14:paraId="06DA08E7" w14:textId="3E9D758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6D8" w14:paraId="759447ED" w14:textId="3E2E05BB">
            <w:pPr>
              <w:pStyle w:val="Geenafstand"/>
              <w:rPr>
                <w:rFonts w:ascii="Verdana" w:hAnsi="Verdana"/>
                <w:sz w:val="15"/>
                <w:szCs w:val="15"/>
              </w:rPr>
            </w:pPr>
            <w:r w:rsidRPr="00755640">
              <w:rPr>
                <w:rFonts w:ascii="Verdana" w:hAnsi="Verdana"/>
                <w:sz w:val="15"/>
                <w:szCs w:val="15"/>
              </w:rPr>
              <w:t>-</w:t>
            </w:r>
          </w:p>
        </w:tc>
      </w:tr>
      <w:tr w:rsidRPr="00755640" w:rsidR="00D66BB6" w:rsidTr="006231F6" w14:paraId="610AE6C7" w14:textId="77777777">
        <w:tc>
          <w:tcPr>
            <w:tcW w:w="2260" w:type="dxa"/>
          </w:tcPr>
          <w:p w:rsidRPr="00755640" w:rsidR="008B722F" w:rsidP="008B722F" w:rsidRDefault="008B722F" w14:paraId="3B155929" w14:textId="6B5A24D0">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9F16D8" w14:paraId="3D0A5F6C" w14:textId="14C31C5E">
            <w:pPr>
              <w:pStyle w:val="Geenafstand"/>
              <w:rPr>
                <w:rFonts w:ascii="Verdana" w:hAnsi="Verdana"/>
                <w:sz w:val="15"/>
                <w:szCs w:val="15"/>
              </w:rPr>
            </w:pPr>
            <w:r w:rsidRPr="00755640">
              <w:rPr>
                <w:rFonts w:ascii="Verdana" w:hAnsi="Verdana"/>
                <w:sz w:val="15"/>
                <w:szCs w:val="15"/>
              </w:rPr>
              <w:t xml:space="preserve">Artikel 36 </w:t>
            </w:r>
            <w:proofErr w:type="spellStart"/>
            <w:r w:rsidRPr="00755640">
              <w:rPr>
                <w:rFonts w:ascii="Verdana" w:hAnsi="Verdana"/>
                <w:sz w:val="15"/>
                <w:szCs w:val="15"/>
              </w:rPr>
              <w:t>Cbw</w:t>
            </w:r>
            <w:proofErr w:type="spellEnd"/>
          </w:p>
        </w:tc>
        <w:tc>
          <w:tcPr>
            <w:tcW w:w="2260" w:type="dxa"/>
          </w:tcPr>
          <w:p w:rsidRPr="00755640" w:rsidR="008B722F" w:rsidP="008B722F" w:rsidRDefault="009F16D8" w14:paraId="51FB90CB" w14:textId="07EFAA3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6D8" w14:paraId="3AEE9E6D" w14:textId="1F4C946D">
            <w:pPr>
              <w:pStyle w:val="Geenafstand"/>
              <w:rPr>
                <w:rFonts w:ascii="Verdana" w:hAnsi="Verdana"/>
                <w:sz w:val="15"/>
                <w:szCs w:val="15"/>
              </w:rPr>
            </w:pPr>
            <w:r w:rsidRPr="00755640">
              <w:rPr>
                <w:rFonts w:ascii="Verdana" w:hAnsi="Verdana"/>
                <w:sz w:val="15"/>
                <w:szCs w:val="15"/>
              </w:rPr>
              <w:t>-</w:t>
            </w:r>
          </w:p>
        </w:tc>
      </w:tr>
      <w:tr w:rsidRPr="00755640" w:rsidR="00D66BB6" w:rsidTr="006231F6" w14:paraId="54F5C963" w14:textId="77777777">
        <w:tc>
          <w:tcPr>
            <w:tcW w:w="2260" w:type="dxa"/>
          </w:tcPr>
          <w:p w:rsidRPr="00755640" w:rsidR="008B722F" w:rsidP="008B722F" w:rsidRDefault="008B722F" w14:paraId="1CF68CBF" w14:textId="7C432337">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9F16D8" w:rsidRDefault="009F16D8" w14:paraId="39824F88" w14:textId="1C240669">
            <w:pPr>
              <w:pStyle w:val="Geenafstand"/>
              <w:rPr>
                <w:rFonts w:ascii="Verdana" w:hAnsi="Verdana"/>
                <w:sz w:val="15"/>
                <w:szCs w:val="15"/>
              </w:rPr>
            </w:pPr>
            <w:r w:rsidRPr="00755640">
              <w:rPr>
                <w:rFonts w:ascii="Verdana" w:hAnsi="Verdana"/>
                <w:sz w:val="15"/>
                <w:szCs w:val="15"/>
              </w:rPr>
              <w:t xml:space="preserve">Artikel 39, tweede lid, </w:t>
            </w:r>
            <w:proofErr w:type="spellStart"/>
            <w:r w:rsidRPr="00755640">
              <w:rPr>
                <w:rFonts w:ascii="Verdana" w:hAnsi="Verdana"/>
                <w:sz w:val="15"/>
                <w:szCs w:val="15"/>
              </w:rPr>
              <w:t>Cbw</w:t>
            </w:r>
            <w:proofErr w:type="spellEnd"/>
          </w:p>
        </w:tc>
        <w:tc>
          <w:tcPr>
            <w:tcW w:w="2260" w:type="dxa"/>
          </w:tcPr>
          <w:p w:rsidRPr="00755640" w:rsidR="008B722F" w:rsidP="008B722F" w:rsidRDefault="009F16D8" w14:paraId="5731ED92" w14:textId="1DDA0A5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6D8" w14:paraId="3173D9B9" w14:textId="19C7C9BF">
            <w:pPr>
              <w:pStyle w:val="Geenafstand"/>
              <w:rPr>
                <w:rFonts w:ascii="Verdana" w:hAnsi="Verdana"/>
                <w:sz w:val="15"/>
                <w:szCs w:val="15"/>
              </w:rPr>
            </w:pPr>
            <w:r w:rsidRPr="00755640">
              <w:rPr>
                <w:rFonts w:ascii="Verdana" w:hAnsi="Verdana"/>
                <w:sz w:val="15"/>
                <w:szCs w:val="15"/>
              </w:rPr>
              <w:t>-</w:t>
            </w:r>
          </w:p>
        </w:tc>
      </w:tr>
      <w:tr w:rsidRPr="00755640" w:rsidR="00D66BB6" w:rsidTr="006231F6" w14:paraId="4A0F801F" w14:textId="77777777">
        <w:tc>
          <w:tcPr>
            <w:tcW w:w="2260" w:type="dxa"/>
          </w:tcPr>
          <w:p w:rsidRPr="00755640" w:rsidR="008B722F" w:rsidP="008B722F" w:rsidRDefault="008B722F" w14:paraId="40864902" w14:textId="36AAE54D">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zevende </w:t>
            </w:r>
            <w:r w:rsidRPr="00755640">
              <w:rPr>
                <w:rFonts w:ascii="Verdana" w:hAnsi="Verdana"/>
                <w:sz w:val="15"/>
                <w:szCs w:val="15"/>
              </w:rPr>
              <w:t>lid</w:t>
            </w:r>
          </w:p>
        </w:tc>
        <w:tc>
          <w:tcPr>
            <w:tcW w:w="2260" w:type="dxa"/>
          </w:tcPr>
          <w:p w:rsidRPr="00755640" w:rsidR="008B722F" w:rsidP="008B722F" w:rsidRDefault="009F16D8" w14:paraId="7AAB96CF" w14:textId="5A642F02">
            <w:pPr>
              <w:pStyle w:val="Geenafstand"/>
              <w:rPr>
                <w:rFonts w:ascii="Verdana" w:hAnsi="Verdana"/>
                <w:sz w:val="15"/>
                <w:szCs w:val="15"/>
              </w:rPr>
            </w:pPr>
            <w:r w:rsidRPr="00755640">
              <w:rPr>
                <w:rFonts w:ascii="Verdana" w:hAnsi="Verdana"/>
                <w:sz w:val="15"/>
                <w:szCs w:val="15"/>
              </w:rPr>
              <w:t xml:space="preserve">Artikel 37 </w:t>
            </w:r>
            <w:proofErr w:type="spellStart"/>
            <w:r w:rsidRPr="00755640">
              <w:rPr>
                <w:rFonts w:ascii="Verdana" w:hAnsi="Verdana"/>
                <w:sz w:val="15"/>
                <w:szCs w:val="15"/>
              </w:rPr>
              <w:t>Cbw</w:t>
            </w:r>
            <w:proofErr w:type="spellEnd"/>
          </w:p>
        </w:tc>
        <w:tc>
          <w:tcPr>
            <w:tcW w:w="2260" w:type="dxa"/>
          </w:tcPr>
          <w:p w:rsidRPr="00755640" w:rsidR="008B722F" w:rsidP="008B722F" w:rsidRDefault="009F16D8" w14:paraId="23C56F2C" w14:textId="4D317742">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6D8" w14:paraId="6846BB15" w14:textId="20356955">
            <w:pPr>
              <w:pStyle w:val="Geenafstand"/>
              <w:rPr>
                <w:rFonts w:ascii="Verdana" w:hAnsi="Verdana"/>
                <w:sz w:val="15"/>
                <w:szCs w:val="15"/>
              </w:rPr>
            </w:pPr>
            <w:r w:rsidRPr="00755640">
              <w:rPr>
                <w:rFonts w:ascii="Verdana" w:hAnsi="Verdana"/>
                <w:sz w:val="15"/>
                <w:szCs w:val="15"/>
              </w:rPr>
              <w:t>-</w:t>
            </w:r>
          </w:p>
        </w:tc>
      </w:tr>
      <w:tr w:rsidRPr="00755640" w:rsidR="00D66BB6" w:rsidTr="006231F6" w14:paraId="4EC32A12" w14:textId="77777777">
        <w:tc>
          <w:tcPr>
            <w:tcW w:w="2260" w:type="dxa"/>
          </w:tcPr>
          <w:p w:rsidRPr="00755640" w:rsidR="008B722F" w:rsidP="008B722F" w:rsidRDefault="008B722F" w14:paraId="6D6017C1" w14:textId="552B793D">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achtste </w:t>
            </w:r>
            <w:r w:rsidRPr="00755640">
              <w:rPr>
                <w:rFonts w:ascii="Verdana" w:hAnsi="Verdana"/>
                <w:sz w:val="15"/>
                <w:szCs w:val="15"/>
              </w:rPr>
              <w:t>lid</w:t>
            </w:r>
          </w:p>
        </w:tc>
        <w:tc>
          <w:tcPr>
            <w:tcW w:w="2260" w:type="dxa"/>
          </w:tcPr>
          <w:p w:rsidRPr="00755640" w:rsidR="008B722F" w:rsidP="008B722F" w:rsidRDefault="003D4AFF" w14:paraId="1A7C3170" w14:textId="623FA8FA">
            <w:pPr>
              <w:pStyle w:val="Geenafstand"/>
              <w:rPr>
                <w:rFonts w:ascii="Verdana" w:hAnsi="Verdana"/>
                <w:sz w:val="15"/>
                <w:szCs w:val="15"/>
              </w:rPr>
            </w:pPr>
            <w:r w:rsidRPr="00755640">
              <w:rPr>
                <w:rFonts w:ascii="Verdana" w:hAnsi="Verdana"/>
                <w:sz w:val="15"/>
                <w:szCs w:val="15"/>
              </w:rPr>
              <w:t xml:space="preserve">Artikel 39, derde lid, </w:t>
            </w:r>
            <w:proofErr w:type="spellStart"/>
            <w:r w:rsidRPr="00755640">
              <w:rPr>
                <w:rFonts w:ascii="Verdana" w:hAnsi="Verdana"/>
                <w:sz w:val="15"/>
                <w:szCs w:val="15"/>
              </w:rPr>
              <w:t>Cbw</w:t>
            </w:r>
            <w:proofErr w:type="spellEnd"/>
          </w:p>
        </w:tc>
        <w:tc>
          <w:tcPr>
            <w:tcW w:w="2260" w:type="dxa"/>
          </w:tcPr>
          <w:p w:rsidRPr="00755640" w:rsidR="008B722F" w:rsidP="008B722F" w:rsidRDefault="003D4AFF" w14:paraId="298165F0" w14:textId="3380D96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D4AFF" w14:paraId="64307044" w14:textId="2B29BED9">
            <w:pPr>
              <w:pStyle w:val="Geenafstand"/>
              <w:rPr>
                <w:rFonts w:ascii="Verdana" w:hAnsi="Verdana"/>
                <w:sz w:val="15"/>
                <w:szCs w:val="15"/>
              </w:rPr>
            </w:pPr>
            <w:r w:rsidRPr="00755640">
              <w:rPr>
                <w:rFonts w:ascii="Verdana" w:hAnsi="Verdana"/>
                <w:sz w:val="15"/>
                <w:szCs w:val="15"/>
              </w:rPr>
              <w:t>-</w:t>
            </w:r>
          </w:p>
        </w:tc>
      </w:tr>
      <w:tr w:rsidRPr="00755640" w:rsidR="00D66BB6" w:rsidTr="006231F6" w14:paraId="488D9CDE" w14:textId="77777777">
        <w:tc>
          <w:tcPr>
            <w:tcW w:w="2260" w:type="dxa"/>
          </w:tcPr>
          <w:p w:rsidRPr="00755640" w:rsidR="008B722F" w:rsidP="008B722F" w:rsidRDefault="008B722F" w14:paraId="5EF2C748" w14:textId="7FD6F0D3">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negende </w:t>
            </w:r>
            <w:r w:rsidRPr="00755640">
              <w:rPr>
                <w:rFonts w:ascii="Verdana" w:hAnsi="Verdana"/>
                <w:sz w:val="15"/>
                <w:szCs w:val="15"/>
              </w:rPr>
              <w:t>lid</w:t>
            </w:r>
          </w:p>
        </w:tc>
        <w:tc>
          <w:tcPr>
            <w:tcW w:w="2260" w:type="dxa"/>
          </w:tcPr>
          <w:p w:rsidRPr="00755640" w:rsidR="008B722F" w:rsidP="008B722F" w:rsidRDefault="003D4AFF" w14:paraId="22D3FDAF" w14:textId="3F42652C">
            <w:pPr>
              <w:pStyle w:val="Geenafstand"/>
              <w:rPr>
                <w:rFonts w:ascii="Verdana" w:hAnsi="Verdana"/>
                <w:sz w:val="15"/>
                <w:szCs w:val="15"/>
              </w:rPr>
            </w:pPr>
            <w:r w:rsidRPr="00755640">
              <w:rPr>
                <w:rFonts w:ascii="Verdana" w:hAnsi="Verdana"/>
                <w:sz w:val="15"/>
                <w:szCs w:val="15"/>
              </w:rPr>
              <w:t xml:space="preserve">Artikel 39, vijfde lid, </w:t>
            </w:r>
            <w:proofErr w:type="spellStart"/>
            <w:r w:rsidRPr="00755640">
              <w:rPr>
                <w:rFonts w:ascii="Verdana" w:hAnsi="Verdana"/>
                <w:sz w:val="15"/>
                <w:szCs w:val="15"/>
              </w:rPr>
              <w:t>Cbw</w:t>
            </w:r>
            <w:proofErr w:type="spellEnd"/>
          </w:p>
        </w:tc>
        <w:tc>
          <w:tcPr>
            <w:tcW w:w="2260" w:type="dxa"/>
          </w:tcPr>
          <w:p w:rsidRPr="00755640" w:rsidR="008B722F" w:rsidP="008B722F" w:rsidRDefault="003D4AFF" w14:paraId="39B7E4F6" w14:textId="6A9A94C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D4AFF" w14:paraId="5ED788A8" w14:textId="14299AE6">
            <w:pPr>
              <w:pStyle w:val="Geenafstand"/>
              <w:rPr>
                <w:rFonts w:ascii="Verdana" w:hAnsi="Verdana"/>
                <w:sz w:val="15"/>
                <w:szCs w:val="15"/>
              </w:rPr>
            </w:pPr>
            <w:r w:rsidRPr="00755640">
              <w:rPr>
                <w:rFonts w:ascii="Verdana" w:hAnsi="Verdana"/>
                <w:sz w:val="15"/>
                <w:szCs w:val="15"/>
              </w:rPr>
              <w:t>-</w:t>
            </w:r>
          </w:p>
        </w:tc>
      </w:tr>
      <w:tr w:rsidRPr="00755640" w:rsidR="00D66BB6" w:rsidTr="006231F6" w14:paraId="29927FF8" w14:textId="77777777">
        <w:tc>
          <w:tcPr>
            <w:tcW w:w="2260" w:type="dxa"/>
          </w:tcPr>
          <w:p w:rsidRPr="00755640" w:rsidR="008B722F" w:rsidP="008B722F" w:rsidRDefault="008B722F" w14:paraId="2F07EA35" w14:textId="73E1BC6B">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tiende </w:t>
            </w:r>
            <w:r w:rsidRPr="00755640">
              <w:rPr>
                <w:rFonts w:ascii="Verdana" w:hAnsi="Verdana"/>
                <w:sz w:val="15"/>
                <w:szCs w:val="15"/>
              </w:rPr>
              <w:t>lid</w:t>
            </w:r>
          </w:p>
        </w:tc>
        <w:tc>
          <w:tcPr>
            <w:tcW w:w="2260" w:type="dxa"/>
          </w:tcPr>
          <w:p w:rsidRPr="00755640" w:rsidR="008B722F" w:rsidP="008B722F" w:rsidRDefault="008B722F" w14:paraId="5DB0B4BD" w14:textId="71302777">
            <w:pPr>
              <w:pStyle w:val="Geenafstand"/>
              <w:rPr>
                <w:rFonts w:ascii="Verdana" w:hAnsi="Verdana"/>
                <w:sz w:val="15"/>
                <w:szCs w:val="15"/>
              </w:rPr>
            </w:pPr>
            <w:r w:rsidRPr="00755640">
              <w:rPr>
                <w:rFonts w:ascii="Verdana" w:hAnsi="Verdana"/>
                <w:sz w:val="15"/>
                <w:szCs w:val="15"/>
              </w:rPr>
              <w:t xml:space="preserve">Artikel </w:t>
            </w:r>
            <w:r w:rsidRPr="00755640" w:rsidR="003D4AFF">
              <w:rPr>
                <w:rFonts w:ascii="Verdana" w:hAnsi="Verdana"/>
                <w:sz w:val="15"/>
                <w:szCs w:val="15"/>
              </w:rPr>
              <w:t xml:space="preserve">40 </w:t>
            </w:r>
            <w:proofErr w:type="spellStart"/>
            <w:r w:rsidRPr="00755640" w:rsidR="003D4AFF">
              <w:rPr>
                <w:rFonts w:ascii="Verdana" w:hAnsi="Verdana"/>
                <w:sz w:val="15"/>
                <w:szCs w:val="15"/>
              </w:rPr>
              <w:t>Cbw</w:t>
            </w:r>
            <w:proofErr w:type="spellEnd"/>
          </w:p>
        </w:tc>
        <w:tc>
          <w:tcPr>
            <w:tcW w:w="2260" w:type="dxa"/>
          </w:tcPr>
          <w:p w:rsidRPr="00755640" w:rsidR="008B722F" w:rsidP="008B722F" w:rsidRDefault="003D4AFF" w14:paraId="5F12AD6C" w14:textId="7FCFD0E2">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D4AFF" w14:paraId="6A93DE40" w14:textId="10083EA3">
            <w:pPr>
              <w:pStyle w:val="Geenafstand"/>
              <w:rPr>
                <w:rFonts w:ascii="Verdana" w:hAnsi="Verdana"/>
                <w:sz w:val="15"/>
                <w:szCs w:val="15"/>
              </w:rPr>
            </w:pPr>
            <w:r w:rsidRPr="00755640">
              <w:rPr>
                <w:rFonts w:ascii="Verdana" w:hAnsi="Verdana"/>
                <w:sz w:val="15"/>
                <w:szCs w:val="15"/>
              </w:rPr>
              <w:t>-</w:t>
            </w:r>
          </w:p>
        </w:tc>
      </w:tr>
      <w:tr w:rsidRPr="00755640" w:rsidR="00D66BB6" w:rsidTr="006231F6" w14:paraId="4F7D7527" w14:textId="77777777">
        <w:tc>
          <w:tcPr>
            <w:tcW w:w="2260" w:type="dxa"/>
          </w:tcPr>
          <w:p w:rsidRPr="00755640" w:rsidR="008B722F" w:rsidP="008B722F" w:rsidRDefault="008B722F" w14:paraId="44FEFC5E" w14:textId="3606591F">
            <w:pPr>
              <w:pStyle w:val="Geenafstand"/>
              <w:rPr>
                <w:rFonts w:ascii="Verdana" w:hAnsi="Verdana"/>
                <w:sz w:val="15"/>
                <w:szCs w:val="15"/>
              </w:rPr>
            </w:pPr>
            <w:r w:rsidRPr="00755640">
              <w:rPr>
                <w:rFonts w:ascii="Verdana" w:hAnsi="Verdana"/>
                <w:sz w:val="15"/>
                <w:szCs w:val="15"/>
              </w:rPr>
              <w:t xml:space="preserve">Artikel 23, </w:t>
            </w:r>
            <w:r w:rsidRPr="00755640" w:rsidR="00875093">
              <w:rPr>
                <w:rFonts w:ascii="Verdana" w:hAnsi="Verdana"/>
                <w:sz w:val="15"/>
                <w:szCs w:val="15"/>
              </w:rPr>
              <w:t xml:space="preserve">elfde </w:t>
            </w:r>
            <w:r w:rsidRPr="00755640">
              <w:rPr>
                <w:rFonts w:ascii="Verdana" w:hAnsi="Verdana"/>
                <w:sz w:val="15"/>
                <w:szCs w:val="15"/>
              </w:rPr>
              <w:t>lid</w:t>
            </w:r>
          </w:p>
        </w:tc>
        <w:tc>
          <w:tcPr>
            <w:tcW w:w="2260" w:type="dxa"/>
          </w:tcPr>
          <w:p w:rsidRPr="00755640" w:rsidR="008B722F" w:rsidP="008B722F" w:rsidRDefault="003D4AFF" w14:paraId="052483A2" w14:textId="07699DED">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3D4AFF" w14:paraId="64DA9D64" w14:textId="2D59FC4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D4AFF" w14:paraId="31D4E05E" w14:textId="0D0DBE8E">
            <w:pPr>
              <w:pStyle w:val="Geenafstand"/>
              <w:rPr>
                <w:rFonts w:ascii="Verdana" w:hAnsi="Verdana"/>
                <w:sz w:val="15"/>
                <w:szCs w:val="15"/>
              </w:rPr>
            </w:pPr>
            <w:r w:rsidRPr="00755640">
              <w:rPr>
                <w:rFonts w:ascii="Verdana" w:hAnsi="Verdana"/>
                <w:sz w:val="15"/>
                <w:szCs w:val="15"/>
              </w:rPr>
              <w:t>Deze bepaling ziet op een bevoegdheid van de Europese Commissie.</w:t>
            </w:r>
          </w:p>
        </w:tc>
      </w:tr>
      <w:tr w:rsidRPr="00755640" w:rsidR="00D66BB6" w:rsidTr="006231F6" w14:paraId="307350A7" w14:textId="77777777">
        <w:tc>
          <w:tcPr>
            <w:tcW w:w="2260" w:type="dxa"/>
          </w:tcPr>
          <w:p w:rsidRPr="00755640" w:rsidR="008B722F" w:rsidP="008B722F" w:rsidRDefault="008B722F" w14:paraId="5B3622E3" w14:textId="08A695C3">
            <w:pPr>
              <w:pStyle w:val="Geenafstand"/>
              <w:rPr>
                <w:rFonts w:ascii="Verdana" w:hAnsi="Verdana"/>
                <w:sz w:val="15"/>
                <w:szCs w:val="15"/>
              </w:rPr>
            </w:pPr>
            <w:r w:rsidRPr="00755640">
              <w:rPr>
                <w:rFonts w:ascii="Verdana" w:hAnsi="Verdana"/>
                <w:sz w:val="15"/>
                <w:szCs w:val="15"/>
              </w:rPr>
              <w:t xml:space="preserve">Artikel 24, </w:t>
            </w:r>
            <w:r w:rsidRPr="00755640" w:rsidR="0087509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786204" w14:paraId="46E532AF" w14:textId="5F67024E">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B722F" w14:paraId="61D643B5" w14:textId="0DD050C4">
            <w:pPr>
              <w:pStyle w:val="Geenafstand"/>
              <w:rPr>
                <w:rFonts w:ascii="Verdana" w:hAnsi="Verdana"/>
                <w:sz w:val="15"/>
                <w:szCs w:val="15"/>
              </w:rPr>
            </w:pPr>
            <w:r w:rsidRPr="00755640">
              <w:rPr>
                <w:rFonts w:ascii="Verdana" w:hAnsi="Verdana"/>
                <w:sz w:val="15"/>
                <w:szCs w:val="15"/>
              </w:rPr>
              <w:t>De mogelijkheid om essentiële</w:t>
            </w:r>
            <w:r w:rsidRPr="00755640" w:rsidR="00786204">
              <w:rPr>
                <w:rFonts w:ascii="Verdana" w:hAnsi="Verdana"/>
                <w:sz w:val="15"/>
                <w:szCs w:val="15"/>
              </w:rPr>
              <w:t xml:space="preserve"> entiteiten</w:t>
            </w:r>
            <w:r w:rsidRPr="00755640">
              <w:rPr>
                <w:rFonts w:ascii="Verdana" w:hAnsi="Verdana"/>
                <w:sz w:val="15"/>
                <w:szCs w:val="15"/>
              </w:rPr>
              <w:t xml:space="preserve"> en belangrijke entiteiten te verplichten bepaalde ICT-producten, -diensten en -processen te gebruiken.</w:t>
            </w:r>
            <w:r w:rsidRPr="00755640" w:rsidR="00EA661F">
              <w:rPr>
                <w:rFonts w:ascii="Verdana" w:hAnsi="Verdana"/>
                <w:sz w:val="15"/>
                <w:szCs w:val="15"/>
              </w:rPr>
              <w:t xml:space="preserve"> </w:t>
            </w:r>
          </w:p>
        </w:tc>
        <w:tc>
          <w:tcPr>
            <w:tcW w:w="2261" w:type="dxa"/>
          </w:tcPr>
          <w:p w:rsidRPr="00755640" w:rsidR="008B722F" w:rsidP="008B722F" w:rsidRDefault="00786204" w14:paraId="73F05250" w14:textId="3ADD20EA">
            <w:pPr>
              <w:pStyle w:val="Geenafstand"/>
              <w:rPr>
                <w:rFonts w:ascii="Verdana" w:hAnsi="Verdana"/>
                <w:sz w:val="15"/>
                <w:szCs w:val="15"/>
              </w:rPr>
            </w:pPr>
            <w:r w:rsidRPr="00755640">
              <w:rPr>
                <w:rFonts w:ascii="Verdana" w:hAnsi="Verdana"/>
                <w:sz w:val="15"/>
                <w:szCs w:val="15"/>
              </w:rPr>
              <w:t>Er is geen gebruik gemaakt van de mogelijkheid.</w:t>
            </w:r>
          </w:p>
        </w:tc>
      </w:tr>
      <w:tr w:rsidRPr="00755640" w:rsidR="00D66BB6" w:rsidTr="006231F6" w14:paraId="7A7211C4" w14:textId="77777777">
        <w:tc>
          <w:tcPr>
            <w:tcW w:w="2260" w:type="dxa"/>
          </w:tcPr>
          <w:p w:rsidRPr="00755640" w:rsidR="008B722F" w:rsidP="008B722F" w:rsidRDefault="008B722F" w14:paraId="4ABF8FC7" w14:textId="79CC11CF">
            <w:pPr>
              <w:pStyle w:val="Geenafstand"/>
              <w:rPr>
                <w:rFonts w:ascii="Verdana" w:hAnsi="Verdana"/>
                <w:sz w:val="15"/>
                <w:szCs w:val="15"/>
              </w:rPr>
            </w:pPr>
            <w:r w:rsidRPr="00755640">
              <w:rPr>
                <w:rFonts w:ascii="Verdana" w:hAnsi="Verdana"/>
                <w:sz w:val="15"/>
                <w:szCs w:val="15"/>
              </w:rPr>
              <w:t xml:space="preserve">Artikel 24, </w:t>
            </w:r>
            <w:r w:rsidRPr="00755640" w:rsidR="0087509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DC2974" w14:paraId="31FBA31B" w14:textId="0D77CAD7">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C2974" w14:paraId="1DAD062C" w14:textId="31617F10">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2974" w14:paraId="11D284C7" w14:textId="3F60D47F">
            <w:pPr>
              <w:pStyle w:val="Geenafstand"/>
              <w:rPr>
                <w:rFonts w:ascii="Verdana" w:hAnsi="Verdana"/>
                <w:sz w:val="15"/>
                <w:szCs w:val="15"/>
              </w:rPr>
            </w:pPr>
            <w:r w:rsidRPr="00755640">
              <w:rPr>
                <w:rFonts w:ascii="Verdana" w:hAnsi="Verdana"/>
                <w:sz w:val="15"/>
                <w:szCs w:val="15"/>
              </w:rPr>
              <w:t>Deze bepaling ziet op een bevoegdheid van de Europese Commissie.</w:t>
            </w:r>
          </w:p>
        </w:tc>
      </w:tr>
      <w:tr w:rsidRPr="00755640" w:rsidR="00D66BB6" w:rsidTr="006231F6" w14:paraId="4FF9C152" w14:textId="77777777">
        <w:tc>
          <w:tcPr>
            <w:tcW w:w="2260" w:type="dxa"/>
          </w:tcPr>
          <w:p w:rsidRPr="00755640" w:rsidR="008B722F" w:rsidP="008B722F" w:rsidRDefault="008B722F" w14:paraId="30547E04" w14:textId="24D42657">
            <w:pPr>
              <w:pStyle w:val="Geenafstand"/>
              <w:rPr>
                <w:rFonts w:ascii="Verdana" w:hAnsi="Verdana"/>
                <w:sz w:val="15"/>
                <w:szCs w:val="15"/>
              </w:rPr>
            </w:pPr>
            <w:r w:rsidRPr="00755640">
              <w:rPr>
                <w:rFonts w:ascii="Verdana" w:hAnsi="Verdana"/>
                <w:sz w:val="15"/>
                <w:szCs w:val="15"/>
              </w:rPr>
              <w:t xml:space="preserve">Artikel 24, </w:t>
            </w:r>
            <w:r w:rsidRPr="00755640" w:rsidR="0087509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875093" w14:paraId="34731986" w14:textId="79CFA00F">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75093" w14:paraId="3EA6FAC1" w14:textId="1319682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75093" w14:paraId="26EE861F" w14:textId="34A830AD">
            <w:pPr>
              <w:pStyle w:val="Geenafstand"/>
              <w:rPr>
                <w:rFonts w:ascii="Verdana" w:hAnsi="Verdana"/>
                <w:sz w:val="15"/>
                <w:szCs w:val="15"/>
              </w:rPr>
            </w:pPr>
            <w:r w:rsidRPr="00755640">
              <w:rPr>
                <w:rFonts w:ascii="Verdana" w:hAnsi="Verdana"/>
                <w:sz w:val="15"/>
                <w:szCs w:val="15"/>
              </w:rPr>
              <w:t>De</w:t>
            </w:r>
            <w:r w:rsidRPr="00755640" w:rsidR="00EC390D">
              <w:rPr>
                <w:rFonts w:ascii="Verdana" w:hAnsi="Verdana"/>
                <w:sz w:val="15"/>
                <w:szCs w:val="15"/>
              </w:rPr>
              <w:t>ze</w:t>
            </w:r>
            <w:r w:rsidRPr="00755640">
              <w:rPr>
                <w:rFonts w:ascii="Verdana" w:hAnsi="Verdana"/>
                <w:sz w:val="15"/>
                <w:szCs w:val="15"/>
              </w:rPr>
              <w:t xml:space="preserve"> bepaling</w:t>
            </w:r>
            <w:r w:rsidRPr="00755640" w:rsidR="00EC390D">
              <w:rPr>
                <w:rFonts w:ascii="Verdana" w:hAnsi="Verdana"/>
                <w:sz w:val="15"/>
                <w:szCs w:val="15"/>
              </w:rPr>
              <w:t xml:space="preserve"> 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de Europese Commissie.</w:t>
            </w:r>
          </w:p>
        </w:tc>
      </w:tr>
      <w:tr w:rsidRPr="00755640" w:rsidR="00D66BB6" w:rsidTr="006231F6" w14:paraId="6AC8B5A2" w14:textId="77777777">
        <w:tc>
          <w:tcPr>
            <w:tcW w:w="2260" w:type="dxa"/>
          </w:tcPr>
          <w:p w:rsidRPr="00755640" w:rsidR="008B722F" w:rsidP="008B722F" w:rsidRDefault="008B722F" w14:paraId="2AEE8D7A" w14:textId="2D3C5217">
            <w:pPr>
              <w:pStyle w:val="Geenafstand"/>
              <w:rPr>
                <w:rFonts w:ascii="Verdana" w:hAnsi="Verdana"/>
                <w:sz w:val="15"/>
                <w:szCs w:val="15"/>
              </w:rPr>
            </w:pPr>
            <w:r w:rsidRPr="00755640">
              <w:rPr>
                <w:rFonts w:ascii="Verdana" w:hAnsi="Verdana"/>
                <w:sz w:val="15"/>
                <w:szCs w:val="15"/>
              </w:rPr>
              <w:t xml:space="preserve">Artikel 25, </w:t>
            </w:r>
            <w:r w:rsidRPr="00755640" w:rsidR="0087509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75093" w14:paraId="1CB6431C" w14:textId="7E2612E5">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75093" w14:paraId="17394F15" w14:textId="7B241A7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75093" w14:paraId="0C9B9E2A" w14:textId="2C9007D5">
            <w:pPr>
              <w:pStyle w:val="Geenafstand"/>
              <w:rPr>
                <w:rFonts w:ascii="Verdana" w:hAnsi="Verdana"/>
                <w:sz w:val="15"/>
                <w:szCs w:val="15"/>
              </w:rPr>
            </w:pPr>
            <w:r w:rsidRPr="00755640">
              <w:rPr>
                <w:rFonts w:ascii="Verdana" w:hAnsi="Verdana"/>
                <w:sz w:val="15"/>
                <w:szCs w:val="15"/>
              </w:rPr>
              <w:t>Deze bepaling ziet op een aanmoediging.</w:t>
            </w:r>
          </w:p>
        </w:tc>
      </w:tr>
      <w:tr w:rsidRPr="00755640" w:rsidR="00D66BB6" w:rsidTr="006231F6" w14:paraId="462888C1" w14:textId="77777777">
        <w:tc>
          <w:tcPr>
            <w:tcW w:w="2260" w:type="dxa"/>
          </w:tcPr>
          <w:p w:rsidRPr="00755640" w:rsidR="008B722F" w:rsidP="008B722F" w:rsidRDefault="008B722F" w14:paraId="71D42CB8" w14:textId="15AFD387">
            <w:pPr>
              <w:pStyle w:val="Geenafstand"/>
              <w:rPr>
                <w:rFonts w:ascii="Verdana" w:hAnsi="Verdana"/>
                <w:sz w:val="15"/>
                <w:szCs w:val="15"/>
              </w:rPr>
            </w:pPr>
            <w:r w:rsidRPr="00755640">
              <w:rPr>
                <w:rFonts w:ascii="Verdana" w:hAnsi="Verdana"/>
                <w:sz w:val="15"/>
                <w:szCs w:val="15"/>
              </w:rPr>
              <w:t xml:space="preserve">Artikel 25, </w:t>
            </w:r>
            <w:r w:rsidRPr="00755640" w:rsidR="0087509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875093" w14:paraId="73C490FE" w14:textId="1552B118">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75093" w14:paraId="56FB4DBE" w14:textId="08BF12C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75093" w14:paraId="01E25A67" w14:textId="7541A938">
            <w:pPr>
              <w:pStyle w:val="Geenafstand"/>
              <w:rPr>
                <w:rFonts w:ascii="Verdana" w:hAnsi="Verdana"/>
                <w:sz w:val="15"/>
                <w:szCs w:val="15"/>
              </w:rPr>
            </w:pPr>
            <w:r w:rsidRPr="00755640">
              <w:rPr>
                <w:rFonts w:ascii="Verdana" w:hAnsi="Verdana"/>
                <w:sz w:val="15"/>
                <w:szCs w:val="15"/>
              </w:rPr>
              <w:t>De</w:t>
            </w:r>
            <w:r w:rsidRPr="00755640" w:rsidR="00EC390D">
              <w:rPr>
                <w:rFonts w:ascii="Verdana" w:hAnsi="Verdana"/>
                <w:sz w:val="15"/>
                <w:szCs w:val="15"/>
              </w:rPr>
              <w:t>ze</w:t>
            </w:r>
            <w:r w:rsidRPr="00755640">
              <w:rPr>
                <w:rFonts w:ascii="Verdana" w:hAnsi="Verdana"/>
                <w:sz w:val="15"/>
                <w:szCs w:val="15"/>
              </w:rPr>
              <w:t xml:space="preserve"> bepaling </w:t>
            </w:r>
            <w:r w:rsidRPr="00755640" w:rsidR="00EC390D">
              <w:rPr>
                <w:rFonts w:ascii="Verdana" w:hAnsi="Verdana"/>
                <w:sz w:val="15"/>
                <w:szCs w:val="15"/>
              </w:rPr>
              <w:t xml:space="preserve">is gericht </w:t>
            </w:r>
            <w:r w:rsidR="007125A9">
              <w:rPr>
                <w:rFonts w:ascii="Verdana" w:hAnsi="Verdana"/>
                <w:sz w:val="15"/>
                <w:szCs w:val="15"/>
              </w:rPr>
              <w:t>aan</w:t>
            </w:r>
            <w:r w:rsidRPr="00755640" w:rsidR="007125A9">
              <w:rPr>
                <w:rFonts w:ascii="Verdana" w:hAnsi="Verdana"/>
                <w:sz w:val="15"/>
                <w:szCs w:val="15"/>
              </w:rPr>
              <w:t xml:space="preserve"> </w:t>
            </w:r>
            <w:proofErr w:type="spellStart"/>
            <w:r w:rsidRPr="00755640">
              <w:rPr>
                <w:rFonts w:ascii="Verdana" w:hAnsi="Verdana"/>
                <w:sz w:val="15"/>
                <w:szCs w:val="15"/>
              </w:rPr>
              <w:t>Enisa</w:t>
            </w:r>
            <w:proofErr w:type="spellEnd"/>
            <w:r w:rsidRPr="00755640">
              <w:rPr>
                <w:rFonts w:ascii="Verdana" w:hAnsi="Verdana"/>
                <w:sz w:val="15"/>
                <w:szCs w:val="15"/>
              </w:rPr>
              <w:t>.</w:t>
            </w:r>
          </w:p>
        </w:tc>
      </w:tr>
      <w:tr w:rsidRPr="00755640" w:rsidR="00D66BB6" w:rsidTr="006231F6" w14:paraId="1DD19D31" w14:textId="77777777">
        <w:tc>
          <w:tcPr>
            <w:tcW w:w="2260" w:type="dxa"/>
          </w:tcPr>
          <w:p w:rsidRPr="00755640" w:rsidR="008B722F" w:rsidP="008B722F" w:rsidRDefault="008B722F" w14:paraId="5EC3852F" w14:textId="5FEE06F2">
            <w:pPr>
              <w:pStyle w:val="Geenafstand"/>
              <w:rPr>
                <w:rFonts w:ascii="Verdana" w:hAnsi="Verdana"/>
                <w:sz w:val="15"/>
                <w:szCs w:val="15"/>
              </w:rPr>
            </w:pPr>
            <w:r w:rsidRPr="00755640">
              <w:rPr>
                <w:rFonts w:ascii="Verdana" w:hAnsi="Verdana"/>
                <w:sz w:val="15"/>
                <w:szCs w:val="15"/>
              </w:rPr>
              <w:t xml:space="preserve">Artikel 26, </w:t>
            </w:r>
            <w:r w:rsidRPr="00755640" w:rsidR="00875093">
              <w:rPr>
                <w:rFonts w:ascii="Verdana" w:hAnsi="Verdana"/>
                <w:sz w:val="15"/>
                <w:szCs w:val="15"/>
              </w:rPr>
              <w:t xml:space="preserve">eerste </w:t>
            </w:r>
            <w:r w:rsidRPr="00755640" w:rsidR="00DC2974">
              <w:rPr>
                <w:rFonts w:ascii="Verdana" w:hAnsi="Verdana"/>
                <w:sz w:val="15"/>
                <w:szCs w:val="15"/>
              </w:rPr>
              <w:t xml:space="preserve">en tweede </w:t>
            </w:r>
            <w:r w:rsidRPr="00755640">
              <w:rPr>
                <w:rFonts w:ascii="Verdana" w:hAnsi="Verdana"/>
                <w:sz w:val="15"/>
                <w:szCs w:val="15"/>
              </w:rPr>
              <w:t>lid</w:t>
            </w:r>
          </w:p>
        </w:tc>
        <w:tc>
          <w:tcPr>
            <w:tcW w:w="2260" w:type="dxa"/>
          </w:tcPr>
          <w:p w:rsidRPr="00755640" w:rsidR="008B722F" w:rsidP="008B722F" w:rsidRDefault="00DC2974" w14:paraId="0DD93D42" w14:textId="498D5A97">
            <w:pPr>
              <w:pStyle w:val="Geenafstand"/>
              <w:rPr>
                <w:rFonts w:ascii="Verdana" w:hAnsi="Verdana"/>
                <w:sz w:val="15"/>
                <w:szCs w:val="15"/>
              </w:rPr>
            </w:pPr>
            <w:r w:rsidRPr="00755640">
              <w:rPr>
                <w:rFonts w:ascii="Verdana" w:hAnsi="Verdana"/>
                <w:sz w:val="15"/>
                <w:szCs w:val="15"/>
              </w:rPr>
              <w:t xml:space="preserve">Artikel 4, eerste tot en met vijfde lid, </w:t>
            </w:r>
            <w:proofErr w:type="spellStart"/>
            <w:r w:rsidRPr="00755640">
              <w:rPr>
                <w:rFonts w:ascii="Verdana" w:hAnsi="Verdana"/>
                <w:sz w:val="15"/>
                <w:szCs w:val="15"/>
              </w:rPr>
              <w:t>Cbw</w:t>
            </w:r>
            <w:proofErr w:type="spellEnd"/>
          </w:p>
        </w:tc>
        <w:tc>
          <w:tcPr>
            <w:tcW w:w="2260" w:type="dxa"/>
          </w:tcPr>
          <w:p w:rsidRPr="00755640" w:rsidR="008B722F" w:rsidP="008B722F" w:rsidRDefault="00DC2974" w14:paraId="620FD701" w14:textId="01DF762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2974" w14:paraId="14B82CE3" w14:textId="050DAB51">
            <w:pPr>
              <w:pStyle w:val="Geenafstand"/>
              <w:rPr>
                <w:rFonts w:ascii="Verdana" w:hAnsi="Verdana"/>
                <w:sz w:val="15"/>
                <w:szCs w:val="15"/>
              </w:rPr>
            </w:pPr>
            <w:r w:rsidRPr="00755640">
              <w:rPr>
                <w:rFonts w:ascii="Verdana" w:hAnsi="Verdana"/>
                <w:sz w:val="15"/>
                <w:szCs w:val="15"/>
              </w:rPr>
              <w:t>-</w:t>
            </w:r>
          </w:p>
        </w:tc>
      </w:tr>
      <w:tr w:rsidRPr="00755640" w:rsidR="00D66BB6" w:rsidTr="006231F6" w14:paraId="09E17BBD" w14:textId="77777777">
        <w:tc>
          <w:tcPr>
            <w:tcW w:w="2260" w:type="dxa"/>
          </w:tcPr>
          <w:p w:rsidRPr="00755640" w:rsidR="008B722F" w:rsidP="008B722F" w:rsidRDefault="008B722F" w14:paraId="7B258FFE" w14:textId="724FCAF1">
            <w:pPr>
              <w:pStyle w:val="Geenafstand"/>
              <w:rPr>
                <w:rFonts w:ascii="Verdana" w:hAnsi="Verdana"/>
                <w:sz w:val="15"/>
                <w:szCs w:val="15"/>
              </w:rPr>
            </w:pPr>
            <w:r w:rsidRPr="00755640">
              <w:rPr>
                <w:rFonts w:ascii="Verdana" w:hAnsi="Verdana"/>
                <w:sz w:val="15"/>
                <w:szCs w:val="15"/>
              </w:rPr>
              <w:t xml:space="preserve">Artikel 26, </w:t>
            </w:r>
            <w:r w:rsidRPr="00755640" w:rsidR="0069381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DC2974" w14:paraId="6B11EE0B" w14:textId="4ED9232E">
            <w:pPr>
              <w:pStyle w:val="Geenafstand"/>
              <w:rPr>
                <w:rFonts w:ascii="Verdana" w:hAnsi="Verdana"/>
                <w:sz w:val="15"/>
                <w:szCs w:val="15"/>
              </w:rPr>
            </w:pPr>
            <w:r w:rsidRPr="00755640">
              <w:rPr>
                <w:rFonts w:ascii="Verdana" w:hAnsi="Verdana"/>
                <w:sz w:val="15"/>
                <w:szCs w:val="15"/>
              </w:rPr>
              <w:t xml:space="preserve">Artikel 42 </w:t>
            </w:r>
            <w:proofErr w:type="spellStart"/>
            <w:r w:rsidRPr="00755640">
              <w:rPr>
                <w:rFonts w:ascii="Verdana" w:hAnsi="Verdana"/>
                <w:sz w:val="15"/>
                <w:szCs w:val="15"/>
              </w:rPr>
              <w:t>Cbw</w:t>
            </w:r>
            <w:proofErr w:type="spellEnd"/>
          </w:p>
        </w:tc>
        <w:tc>
          <w:tcPr>
            <w:tcW w:w="2260" w:type="dxa"/>
          </w:tcPr>
          <w:p w:rsidRPr="00755640" w:rsidR="008B722F" w:rsidP="008B722F" w:rsidRDefault="00DC2974" w14:paraId="29E6160E" w14:textId="21D9EBC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2974" w14:paraId="7AE8ECE0" w14:textId="5C8D1667">
            <w:pPr>
              <w:pStyle w:val="Geenafstand"/>
              <w:rPr>
                <w:rFonts w:ascii="Verdana" w:hAnsi="Verdana"/>
                <w:sz w:val="15"/>
                <w:szCs w:val="15"/>
              </w:rPr>
            </w:pPr>
            <w:r w:rsidRPr="00755640">
              <w:rPr>
                <w:rFonts w:ascii="Verdana" w:hAnsi="Verdana"/>
                <w:sz w:val="15"/>
                <w:szCs w:val="15"/>
              </w:rPr>
              <w:t>-</w:t>
            </w:r>
          </w:p>
        </w:tc>
      </w:tr>
      <w:tr w:rsidRPr="00755640" w:rsidR="00D66BB6" w:rsidTr="006231F6" w14:paraId="5911662C" w14:textId="77777777">
        <w:tc>
          <w:tcPr>
            <w:tcW w:w="2260" w:type="dxa"/>
          </w:tcPr>
          <w:p w:rsidRPr="00755640" w:rsidR="008B722F" w:rsidP="008B722F" w:rsidRDefault="008B722F" w14:paraId="6F9159DC" w14:textId="7A2979E8">
            <w:pPr>
              <w:pStyle w:val="Geenafstand"/>
              <w:rPr>
                <w:rFonts w:ascii="Verdana" w:hAnsi="Verdana"/>
                <w:sz w:val="15"/>
                <w:szCs w:val="15"/>
              </w:rPr>
            </w:pPr>
            <w:r w:rsidRPr="00755640">
              <w:rPr>
                <w:rFonts w:ascii="Verdana" w:hAnsi="Verdana"/>
                <w:sz w:val="15"/>
                <w:szCs w:val="15"/>
              </w:rPr>
              <w:t xml:space="preserve">Artikel 26, </w:t>
            </w:r>
            <w:r w:rsidRPr="00755640" w:rsidR="0069381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DC2974" w14:paraId="36312D48" w14:textId="7B276AC2">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C2974" w14:paraId="17A2ED6A" w14:textId="64AA58B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C2974" w14:paraId="607AAF35" w14:textId="0A77FF2E">
            <w:pPr>
              <w:pStyle w:val="Geenafstand"/>
              <w:rPr>
                <w:rFonts w:ascii="Verdana" w:hAnsi="Verdana"/>
                <w:sz w:val="15"/>
                <w:szCs w:val="15"/>
              </w:rPr>
            </w:pPr>
            <w:r w:rsidRPr="00755640">
              <w:rPr>
                <w:rFonts w:ascii="Verdana" w:hAnsi="Verdana"/>
                <w:sz w:val="15"/>
                <w:szCs w:val="15"/>
              </w:rPr>
              <w:t>Deze bepaling behoeft geen implementatie in nationale wetgeving.</w:t>
            </w:r>
          </w:p>
        </w:tc>
      </w:tr>
      <w:tr w:rsidRPr="00755640" w:rsidR="00D66BB6" w:rsidTr="006231F6" w14:paraId="14A46E62" w14:textId="77777777">
        <w:tc>
          <w:tcPr>
            <w:tcW w:w="2260" w:type="dxa"/>
          </w:tcPr>
          <w:p w:rsidRPr="00755640" w:rsidR="008B722F" w:rsidP="008B722F" w:rsidRDefault="008B722F" w14:paraId="6E2F3A67" w14:textId="2436AAF3">
            <w:pPr>
              <w:pStyle w:val="Geenafstand"/>
              <w:rPr>
                <w:rFonts w:ascii="Verdana" w:hAnsi="Verdana"/>
                <w:sz w:val="15"/>
                <w:szCs w:val="15"/>
              </w:rPr>
            </w:pPr>
            <w:r w:rsidRPr="00755640">
              <w:rPr>
                <w:rFonts w:ascii="Verdana" w:hAnsi="Verdana"/>
                <w:sz w:val="15"/>
                <w:szCs w:val="15"/>
              </w:rPr>
              <w:t xml:space="preserve">Artikel 26, </w:t>
            </w:r>
            <w:r w:rsidRPr="00755640" w:rsidR="0069381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2B00BF" w14:paraId="24E07722" w14:textId="32378685">
            <w:pPr>
              <w:pStyle w:val="Geenafstand"/>
              <w:rPr>
                <w:rFonts w:ascii="Verdana" w:hAnsi="Verdana"/>
                <w:sz w:val="15"/>
                <w:szCs w:val="15"/>
              </w:rPr>
            </w:pPr>
            <w:r w:rsidRPr="00755640">
              <w:rPr>
                <w:rFonts w:ascii="Verdana" w:hAnsi="Verdana"/>
                <w:sz w:val="15"/>
                <w:szCs w:val="15"/>
              </w:rPr>
              <w:t xml:space="preserve">Artikel 60 </w:t>
            </w:r>
            <w:proofErr w:type="spellStart"/>
            <w:r w:rsidRPr="00755640">
              <w:rPr>
                <w:rFonts w:ascii="Verdana" w:hAnsi="Verdana"/>
                <w:sz w:val="15"/>
                <w:szCs w:val="15"/>
              </w:rPr>
              <w:t>Cbw</w:t>
            </w:r>
            <w:proofErr w:type="spellEnd"/>
          </w:p>
        </w:tc>
        <w:tc>
          <w:tcPr>
            <w:tcW w:w="2260" w:type="dxa"/>
          </w:tcPr>
          <w:p w:rsidRPr="00755640" w:rsidR="008B722F" w:rsidP="008B722F" w:rsidRDefault="002B00BF" w14:paraId="5247149D" w14:textId="1730617A">
            <w:pPr>
              <w:pStyle w:val="Geenafstand"/>
              <w:rPr>
                <w:rFonts w:ascii="Verdana" w:hAnsi="Verdana"/>
                <w:sz w:val="15"/>
                <w:szCs w:val="15"/>
              </w:rPr>
            </w:pPr>
            <w:r w:rsidRPr="00755640">
              <w:rPr>
                <w:rFonts w:ascii="Verdana" w:hAnsi="Verdana"/>
                <w:sz w:val="15"/>
                <w:szCs w:val="15"/>
              </w:rPr>
              <w:t>-</w:t>
            </w:r>
            <w:r w:rsidRPr="00755640" w:rsidR="008B722F">
              <w:rPr>
                <w:rFonts w:ascii="Verdana" w:hAnsi="Verdana"/>
                <w:sz w:val="15"/>
                <w:szCs w:val="15"/>
              </w:rPr>
              <w:t xml:space="preserve"> </w:t>
            </w:r>
          </w:p>
        </w:tc>
        <w:tc>
          <w:tcPr>
            <w:tcW w:w="2261" w:type="dxa"/>
          </w:tcPr>
          <w:p w:rsidRPr="00755640" w:rsidR="008B722F" w:rsidP="008B722F" w:rsidRDefault="002B00BF" w14:paraId="0BEEACE5" w14:textId="5B1FD1CC">
            <w:pPr>
              <w:pStyle w:val="Geenafstand"/>
              <w:rPr>
                <w:rFonts w:ascii="Verdana" w:hAnsi="Verdana"/>
                <w:sz w:val="15"/>
                <w:szCs w:val="15"/>
              </w:rPr>
            </w:pPr>
            <w:r w:rsidRPr="00755640">
              <w:rPr>
                <w:rFonts w:ascii="Verdana" w:hAnsi="Verdana"/>
                <w:sz w:val="15"/>
                <w:szCs w:val="15"/>
              </w:rPr>
              <w:t>-</w:t>
            </w:r>
          </w:p>
        </w:tc>
      </w:tr>
      <w:tr w:rsidRPr="00755640" w:rsidR="00D66BB6" w:rsidTr="006231F6" w14:paraId="688C3450" w14:textId="77777777">
        <w:tc>
          <w:tcPr>
            <w:tcW w:w="2260" w:type="dxa"/>
          </w:tcPr>
          <w:p w:rsidRPr="00755640" w:rsidR="008B722F" w:rsidP="008B722F" w:rsidRDefault="008B722F" w14:paraId="5E7BA30C" w14:textId="6048F4E2">
            <w:pPr>
              <w:pStyle w:val="Geenafstand"/>
              <w:rPr>
                <w:rFonts w:ascii="Verdana" w:hAnsi="Verdana"/>
                <w:sz w:val="15"/>
                <w:szCs w:val="15"/>
              </w:rPr>
            </w:pPr>
            <w:r w:rsidRPr="00755640">
              <w:rPr>
                <w:rFonts w:ascii="Verdana" w:hAnsi="Verdana"/>
                <w:sz w:val="15"/>
                <w:szCs w:val="15"/>
              </w:rPr>
              <w:t xml:space="preserve">Artikel 27, </w:t>
            </w:r>
            <w:r w:rsidRPr="00755640" w:rsidR="0087509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75093" w14:paraId="482AF9AC" w14:textId="69E75C50">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75093" w14:paraId="33B90E0E" w14:textId="2DA75B1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75093" w14:paraId="5D5D0F5E" w14:textId="3EC39256">
            <w:pPr>
              <w:pStyle w:val="Geenafstand"/>
              <w:rPr>
                <w:rFonts w:ascii="Verdana" w:hAnsi="Verdana"/>
                <w:sz w:val="15"/>
                <w:szCs w:val="15"/>
              </w:rPr>
            </w:pPr>
            <w:r w:rsidRPr="00755640">
              <w:rPr>
                <w:rFonts w:ascii="Verdana" w:hAnsi="Verdana"/>
                <w:sz w:val="15"/>
                <w:szCs w:val="15"/>
              </w:rPr>
              <w:t>De</w:t>
            </w:r>
            <w:r w:rsidRPr="00755640" w:rsidR="002B00BF">
              <w:rPr>
                <w:rFonts w:ascii="Verdana" w:hAnsi="Verdana"/>
                <w:sz w:val="15"/>
                <w:szCs w:val="15"/>
              </w:rPr>
              <w:t>ze</w:t>
            </w:r>
            <w:r w:rsidRPr="00755640">
              <w:rPr>
                <w:rFonts w:ascii="Verdana" w:hAnsi="Verdana"/>
                <w:sz w:val="15"/>
                <w:szCs w:val="15"/>
              </w:rPr>
              <w:t xml:space="preserve"> bepaling</w:t>
            </w:r>
            <w:r w:rsidRPr="00755640" w:rsidR="002B00BF">
              <w:rPr>
                <w:rFonts w:ascii="Verdana" w:hAnsi="Verdana"/>
                <w:sz w:val="15"/>
                <w:szCs w:val="15"/>
              </w:rPr>
              <w:t xml:space="preserve"> is gericht </w:t>
            </w:r>
            <w:r w:rsidR="007125A9">
              <w:rPr>
                <w:rFonts w:ascii="Verdana" w:hAnsi="Verdana"/>
                <w:sz w:val="15"/>
                <w:szCs w:val="15"/>
              </w:rPr>
              <w:t>aan</w:t>
            </w:r>
            <w:r w:rsidRPr="00755640" w:rsidR="007125A9">
              <w:rPr>
                <w:rFonts w:ascii="Verdana" w:hAnsi="Verdana"/>
                <w:sz w:val="15"/>
                <w:szCs w:val="15"/>
              </w:rPr>
              <w:t xml:space="preserve"> </w:t>
            </w:r>
            <w:proofErr w:type="spellStart"/>
            <w:r w:rsidRPr="00755640">
              <w:rPr>
                <w:rFonts w:ascii="Verdana" w:hAnsi="Verdana"/>
                <w:sz w:val="15"/>
                <w:szCs w:val="15"/>
              </w:rPr>
              <w:t>Enisa</w:t>
            </w:r>
            <w:proofErr w:type="spellEnd"/>
            <w:r w:rsidRPr="00755640">
              <w:rPr>
                <w:rFonts w:ascii="Verdana" w:hAnsi="Verdana"/>
                <w:sz w:val="15"/>
                <w:szCs w:val="15"/>
              </w:rPr>
              <w:t>.</w:t>
            </w:r>
          </w:p>
        </w:tc>
      </w:tr>
      <w:tr w:rsidRPr="00755640" w:rsidR="00D66BB6" w:rsidTr="006231F6" w14:paraId="61B7AFA1" w14:textId="77777777">
        <w:tc>
          <w:tcPr>
            <w:tcW w:w="2260" w:type="dxa"/>
          </w:tcPr>
          <w:p w:rsidRPr="00755640" w:rsidR="008B722F" w:rsidP="008B722F" w:rsidRDefault="008B722F" w14:paraId="28F21A8E" w14:textId="6BCD5D93">
            <w:pPr>
              <w:pStyle w:val="Geenafstand"/>
              <w:rPr>
                <w:rFonts w:ascii="Verdana" w:hAnsi="Verdana"/>
                <w:sz w:val="15"/>
                <w:szCs w:val="15"/>
              </w:rPr>
            </w:pPr>
            <w:r w:rsidRPr="00755640">
              <w:rPr>
                <w:rFonts w:ascii="Verdana" w:hAnsi="Verdana"/>
                <w:sz w:val="15"/>
                <w:szCs w:val="15"/>
              </w:rPr>
              <w:t xml:space="preserve">Artikel 27, </w:t>
            </w:r>
            <w:r w:rsidRPr="00755640" w:rsidR="0087509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9F0507" w14:paraId="6AF181AA" w14:textId="5B20526B">
            <w:pPr>
              <w:pStyle w:val="Geenafstand"/>
              <w:rPr>
                <w:rFonts w:ascii="Verdana" w:hAnsi="Verdana"/>
                <w:sz w:val="15"/>
                <w:szCs w:val="15"/>
              </w:rPr>
            </w:pPr>
            <w:r w:rsidRPr="00755640">
              <w:rPr>
                <w:rFonts w:ascii="Verdana" w:hAnsi="Verdana"/>
                <w:sz w:val="15"/>
                <w:szCs w:val="15"/>
              </w:rPr>
              <w:t>Artikel 47</w:t>
            </w:r>
            <w:r w:rsidRPr="00755640" w:rsidR="00D84B48">
              <w:rPr>
                <w:rFonts w:ascii="Verdana" w:hAnsi="Verdana"/>
                <w:sz w:val="15"/>
                <w:szCs w:val="15"/>
              </w:rPr>
              <w:t>, eerste tot en met vierde lid,</w:t>
            </w:r>
            <w:r w:rsidRPr="00755640">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9F0507" w14:paraId="4E084CEB" w14:textId="5FF4EFB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0507" w14:paraId="2F7BBE72" w14:textId="0D87B3B2">
            <w:pPr>
              <w:pStyle w:val="Geenafstand"/>
              <w:rPr>
                <w:rFonts w:ascii="Verdana" w:hAnsi="Verdana"/>
                <w:sz w:val="15"/>
                <w:szCs w:val="15"/>
              </w:rPr>
            </w:pPr>
            <w:r w:rsidRPr="00755640">
              <w:rPr>
                <w:rFonts w:ascii="Verdana" w:hAnsi="Verdana"/>
                <w:sz w:val="15"/>
                <w:szCs w:val="15"/>
              </w:rPr>
              <w:t>-</w:t>
            </w:r>
          </w:p>
        </w:tc>
      </w:tr>
      <w:tr w:rsidRPr="00755640" w:rsidR="00D66BB6" w:rsidTr="006231F6" w14:paraId="14791B8E" w14:textId="77777777">
        <w:tc>
          <w:tcPr>
            <w:tcW w:w="2260" w:type="dxa"/>
          </w:tcPr>
          <w:p w:rsidRPr="00755640" w:rsidR="008B722F" w:rsidP="008B722F" w:rsidRDefault="008B722F" w14:paraId="495D8D20" w14:textId="408BBB8D">
            <w:pPr>
              <w:pStyle w:val="Geenafstand"/>
              <w:rPr>
                <w:rFonts w:ascii="Verdana" w:hAnsi="Verdana"/>
                <w:sz w:val="15"/>
                <w:szCs w:val="15"/>
              </w:rPr>
            </w:pPr>
            <w:r w:rsidRPr="00755640">
              <w:rPr>
                <w:rFonts w:ascii="Verdana" w:hAnsi="Verdana"/>
                <w:sz w:val="15"/>
                <w:szCs w:val="15"/>
              </w:rPr>
              <w:t xml:space="preserve">Artikel 27, </w:t>
            </w:r>
            <w:r w:rsidRPr="00755640" w:rsidR="0087509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D84B48" w14:paraId="24FBDC4B" w14:textId="0206AB84">
            <w:pPr>
              <w:pStyle w:val="Geenafstand"/>
              <w:rPr>
                <w:rFonts w:ascii="Verdana" w:hAnsi="Verdana"/>
                <w:sz w:val="15"/>
                <w:szCs w:val="15"/>
              </w:rPr>
            </w:pPr>
            <w:r w:rsidRPr="00755640">
              <w:rPr>
                <w:rFonts w:ascii="Verdana" w:hAnsi="Verdana"/>
                <w:sz w:val="15"/>
                <w:szCs w:val="15"/>
              </w:rPr>
              <w:t xml:space="preserve">Artikel 47, vijfde lid, </w:t>
            </w:r>
            <w:proofErr w:type="spellStart"/>
            <w:r w:rsidRPr="00755640">
              <w:rPr>
                <w:rFonts w:ascii="Verdana" w:hAnsi="Verdana"/>
                <w:sz w:val="15"/>
                <w:szCs w:val="15"/>
              </w:rPr>
              <w:t>Cbw</w:t>
            </w:r>
            <w:proofErr w:type="spellEnd"/>
          </w:p>
        </w:tc>
        <w:tc>
          <w:tcPr>
            <w:tcW w:w="2260" w:type="dxa"/>
          </w:tcPr>
          <w:p w:rsidRPr="00755640" w:rsidR="008B722F" w:rsidP="008B722F" w:rsidRDefault="00D84B48" w14:paraId="6D3EF0A6" w14:textId="21D005A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84B48" w14:paraId="22A3147B" w14:textId="0356BFA2">
            <w:pPr>
              <w:pStyle w:val="Geenafstand"/>
              <w:rPr>
                <w:rFonts w:ascii="Verdana" w:hAnsi="Verdana"/>
                <w:sz w:val="15"/>
                <w:szCs w:val="15"/>
              </w:rPr>
            </w:pPr>
            <w:r w:rsidRPr="00755640">
              <w:rPr>
                <w:rFonts w:ascii="Verdana" w:hAnsi="Verdana"/>
                <w:sz w:val="15"/>
                <w:szCs w:val="15"/>
              </w:rPr>
              <w:t>-</w:t>
            </w:r>
          </w:p>
        </w:tc>
      </w:tr>
      <w:tr w:rsidRPr="00755640" w:rsidR="00D66BB6" w:rsidTr="006231F6" w14:paraId="030527AE" w14:textId="77777777">
        <w:tc>
          <w:tcPr>
            <w:tcW w:w="2260" w:type="dxa"/>
          </w:tcPr>
          <w:p w:rsidRPr="00755640" w:rsidR="008B722F" w:rsidP="008B722F" w:rsidRDefault="008B722F" w14:paraId="1A9E6927" w14:textId="4BA6E078">
            <w:pPr>
              <w:pStyle w:val="Geenafstand"/>
              <w:rPr>
                <w:rFonts w:ascii="Verdana" w:hAnsi="Verdana"/>
                <w:sz w:val="15"/>
                <w:szCs w:val="15"/>
              </w:rPr>
            </w:pPr>
            <w:r w:rsidRPr="00755640">
              <w:rPr>
                <w:rFonts w:ascii="Verdana" w:hAnsi="Verdana"/>
                <w:sz w:val="15"/>
                <w:szCs w:val="15"/>
              </w:rPr>
              <w:t xml:space="preserve">Artikel 27, </w:t>
            </w:r>
            <w:r w:rsidRPr="00755640" w:rsidR="0087509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3F4825" w14:paraId="4A34B8E3" w14:textId="54EE95DB">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3F4825" w14:paraId="63A5AD63" w14:textId="0E52432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F4825" w14:paraId="65F98F65" w14:textId="3097ADA4">
            <w:pPr>
              <w:pStyle w:val="Geenafstand"/>
              <w:rPr>
                <w:rFonts w:ascii="Verdana" w:hAnsi="Verdana"/>
                <w:sz w:val="15"/>
                <w:szCs w:val="15"/>
              </w:rPr>
            </w:pPr>
            <w:r w:rsidRPr="00755640">
              <w:rPr>
                <w:rFonts w:ascii="Verdana" w:hAnsi="Verdana"/>
                <w:sz w:val="15"/>
                <w:szCs w:val="15"/>
              </w:rPr>
              <w:t>Deze bepaling behoeft geen implementatie in nationale wetgeving, omdat het ziet op een feitelijke handeling van de centrale overheid.</w:t>
            </w:r>
          </w:p>
        </w:tc>
      </w:tr>
      <w:tr w:rsidRPr="00755640" w:rsidR="00D66BB6" w:rsidTr="006231F6" w14:paraId="368BB953" w14:textId="77777777">
        <w:tc>
          <w:tcPr>
            <w:tcW w:w="2260" w:type="dxa"/>
          </w:tcPr>
          <w:p w:rsidRPr="00755640" w:rsidR="008B722F" w:rsidP="008B722F" w:rsidRDefault="008B722F" w14:paraId="20A772FF" w14:textId="5BFE4A09">
            <w:pPr>
              <w:pStyle w:val="Geenafstand"/>
              <w:rPr>
                <w:rFonts w:ascii="Verdana" w:hAnsi="Verdana"/>
                <w:sz w:val="15"/>
                <w:szCs w:val="15"/>
              </w:rPr>
            </w:pPr>
            <w:r w:rsidRPr="00755640">
              <w:rPr>
                <w:rFonts w:ascii="Verdana" w:hAnsi="Verdana"/>
                <w:sz w:val="15"/>
                <w:szCs w:val="15"/>
              </w:rPr>
              <w:t xml:space="preserve">Artikel 27, </w:t>
            </w:r>
            <w:r w:rsidRPr="00755640" w:rsidR="00693813">
              <w:rPr>
                <w:rFonts w:ascii="Verdana" w:hAnsi="Verdana"/>
                <w:sz w:val="15"/>
                <w:szCs w:val="15"/>
              </w:rPr>
              <w:t xml:space="preserve">vijfde </w:t>
            </w:r>
            <w:r w:rsidRPr="00755640">
              <w:rPr>
                <w:rFonts w:ascii="Verdana" w:hAnsi="Verdana"/>
                <w:sz w:val="15"/>
                <w:szCs w:val="15"/>
              </w:rPr>
              <w:t xml:space="preserve">lid </w:t>
            </w:r>
          </w:p>
        </w:tc>
        <w:tc>
          <w:tcPr>
            <w:tcW w:w="2260" w:type="dxa"/>
          </w:tcPr>
          <w:p w:rsidRPr="00755640" w:rsidR="008B722F" w:rsidP="008B722F" w:rsidRDefault="00D740E5" w14:paraId="52F36977" w14:textId="0E739B04">
            <w:pPr>
              <w:pStyle w:val="Geenafstand"/>
              <w:rPr>
                <w:rFonts w:ascii="Verdana" w:hAnsi="Verdana"/>
                <w:sz w:val="15"/>
                <w:szCs w:val="15"/>
              </w:rPr>
            </w:pPr>
            <w:r w:rsidRPr="00755640">
              <w:rPr>
                <w:rFonts w:ascii="Verdana" w:hAnsi="Verdana"/>
                <w:sz w:val="15"/>
                <w:szCs w:val="15"/>
              </w:rPr>
              <w:t xml:space="preserve">Artikel </w:t>
            </w:r>
            <w:r w:rsidR="009D7C34">
              <w:rPr>
                <w:rFonts w:ascii="Verdana" w:hAnsi="Verdana"/>
                <w:sz w:val="15"/>
                <w:szCs w:val="15"/>
              </w:rPr>
              <w:t>47</w:t>
            </w:r>
            <w:r w:rsidRPr="00755640">
              <w:rPr>
                <w:rFonts w:ascii="Verdana" w:hAnsi="Verdana"/>
                <w:sz w:val="15"/>
                <w:szCs w:val="15"/>
              </w:rPr>
              <w:t xml:space="preserve">, eerste lid, aanhef, </w:t>
            </w:r>
            <w:proofErr w:type="spellStart"/>
            <w:r w:rsidRPr="00755640">
              <w:rPr>
                <w:rFonts w:ascii="Verdana" w:hAnsi="Verdana"/>
                <w:sz w:val="15"/>
                <w:szCs w:val="15"/>
              </w:rPr>
              <w:t>Cbw</w:t>
            </w:r>
            <w:proofErr w:type="spellEnd"/>
          </w:p>
        </w:tc>
        <w:tc>
          <w:tcPr>
            <w:tcW w:w="2260" w:type="dxa"/>
          </w:tcPr>
          <w:p w:rsidRPr="00755640" w:rsidR="008B722F" w:rsidP="008B722F" w:rsidRDefault="00D740E5" w14:paraId="5F21E959" w14:textId="0910B17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740E5" w14:paraId="3301E37C" w14:textId="1B6A8FF6">
            <w:pPr>
              <w:pStyle w:val="Geenafstand"/>
              <w:rPr>
                <w:rFonts w:ascii="Verdana" w:hAnsi="Verdana"/>
                <w:sz w:val="15"/>
                <w:szCs w:val="15"/>
              </w:rPr>
            </w:pPr>
            <w:r w:rsidRPr="00755640">
              <w:rPr>
                <w:rFonts w:ascii="Verdana" w:hAnsi="Verdana"/>
                <w:sz w:val="15"/>
                <w:szCs w:val="15"/>
              </w:rPr>
              <w:t>-</w:t>
            </w:r>
          </w:p>
        </w:tc>
      </w:tr>
      <w:tr w:rsidRPr="00755640" w:rsidR="00D66BB6" w:rsidTr="006231F6" w14:paraId="4A412540" w14:textId="77777777">
        <w:tc>
          <w:tcPr>
            <w:tcW w:w="2260" w:type="dxa"/>
          </w:tcPr>
          <w:p w:rsidRPr="00755640" w:rsidR="008B722F" w:rsidP="008B722F" w:rsidRDefault="008B722F" w14:paraId="6B036989" w14:textId="456B316E">
            <w:pPr>
              <w:pStyle w:val="Geenafstand"/>
              <w:rPr>
                <w:rFonts w:ascii="Verdana" w:hAnsi="Verdana"/>
                <w:sz w:val="15"/>
                <w:szCs w:val="15"/>
              </w:rPr>
            </w:pPr>
            <w:r w:rsidRPr="00755640">
              <w:rPr>
                <w:rFonts w:ascii="Verdana" w:hAnsi="Verdana"/>
                <w:sz w:val="15"/>
                <w:szCs w:val="15"/>
              </w:rPr>
              <w:t xml:space="preserve">Artikel 28, </w:t>
            </w:r>
            <w:r w:rsidRPr="00755640" w:rsidR="0069381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951275" w14:paraId="7CF49C2F" w14:textId="4479DEEA">
            <w:pPr>
              <w:pStyle w:val="Geenafstand"/>
              <w:rPr>
                <w:rFonts w:ascii="Verdana" w:hAnsi="Verdana"/>
                <w:sz w:val="15"/>
                <w:szCs w:val="15"/>
              </w:rPr>
            </w:pPr>
            <w:r w:rsidRPr="00755640">
              <w:rPr>
                <w:rFonts w:ascii="Verdana" w:hAnsi="Verdana"/>
                <w:sz w:val="15"/>
                <w:szCs w:val="15"/>
              </w:rPr>
              <w:t xml:space="preserve">Artikel 49, eerste lid, </w:t>
            </w:r>
            <w:proofErr w:type="spellStart"/>
            <w:r w:rsidRPr="00755640">
              <w:rPr>
                <w:rFonts w:ascii="Verdana" w:hAnsi="Verdana"/>
                <w:sz w:val="15"/>
                <w:szCs w:val="15"/>
              </w:rPr>
              <w:t>Cbw</w:t>
            </w:r>
            <w:proofErr w:type="spellEnd"/>
          </w:p>
        </w:tc>
        <w:tc>
          <w:tcPr>
            <w:tcW w:w="2260" w:type="dxa"/>
          </w:tcPr>
          <w:p w:rsidRPr="00755640" w:rsidR="008B722F" w:rsidP="008B722F" w:rsidRDefault="00951275" w14:paraId="4F18BB2C" w14:textId="67C7F616">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51275" w14:paraId="02D169D2" w14:textId="53D78FD2">
            <w:pPr>
              <w:pStyle w:val="Geenafstand"/>
              <w:rPr>
                <w:rFonts w:ascii="Verdana" w:hAnsi="Verdana"/>
                <w:sz w:val="15"/>
                <w:szCs w:val="15"/>
              </w:rPr>
            </w:pPr>
            <w:r w:rsidRPr="00755640">
              <w:rPr>
                <w:rFonts w:ascii="Verdana" w:hAnsi="Verdana"/>
                <w:sz w:val="15"/>
                <w:szCs w:val="15"/>
              </w:rPr>
              <w:t>-</w:t>
            </w:r>
          </w:p>
        </w:tc>
      </w:tr>
      <w:tr w:rsidRPr="00755640" w:rsidR="00D66BB6" w:rsidTr="006231F6" w14:paraId="16C9BEC7" w14:textId="77777777">
        <w:tc>
          <w:tcPr>
            <w:tcW w:w="2260" w:type="dxa"/>
          </w:tcPr>
          <w:p w:rsidRPr="00755640" w:rsidR="008B722F" w:rsidP="008B722F" w:rsidRDefault="008B722F" w14:paraId="2E23FC6D" w14:textId="3C5433F6">
            <w:pPr>
              <w:pStyle w:val="Geenafstand"/>
              <w:rPr>
                <w:rFonts w:ascii="Verdana" w:hAnsi="Verdana"/>
                <w:sz w:val="15"/>
                <w:szCs w:val="15"/>
              </w:rPr>
            </w:pPr>
            <w:r w:rsidRPr="00755640">
              <w:rPr>
                <w:rFonts w:ascii="Verdana" w:hAnsi="Verdana"/>
                <w:sz w:val="15"/>
                <w:szCs w:val="15"/>
              </w:rPr>
              <w:t xml:space="preserve">Artikel 28, </w:t>
            </w:r>
            <w:r w:rsidRPr="00755640" w:rsidR="0069381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951275" w14:paraId="3597A70F" w14:textId="12698BAE">
            <w:pPr>
              <w:pStyle w:val="Geenafstand"/>
              <w:rPr>
                <w:rFonts w:ascii="Verdana" w:hAnsi="Verdana"/>
                <w:sz w:val="15"/>
                <w:szCs w:val="15"/>
              </w:rPr>
            </w:pPr>
            <w:r w:rsidRPr="00755640">
              <w:rPr>
                <w:rFonts w:ascii="Verdana" w:hAnsi="Verdana"/>
                <w:sz w:val="15"/>
                <w:szCs w:val="15"/>
              </w:rPr>
              <w:t xml:space="preserve">Artikel 49, tweede lid, </w:t>
            </w:r>
            <w:proofErr w:type="spellStart"/>
            <w:r w:rsidRPr="00755640">
              <w:rPr>
                <w:rFonts w:ascii="Verdana" w:hAnsi="Verdana"/>
                <w:sz w:val="15"/>
                <w:szCs w:val="15"/>
              </w:rPr>
              <w:t>Cbw</w:t>
            </w:r>
            <w:proofErr w:type="spellEnd"/>
          </w:p>
        </w:tc>
        <w:tc>
          <w:tcPr>
            <w:tcW w:w="2260" w:type="dxa"/>
          </w:tcPr>
          <w:p w:rsidRPr="00755640" w:rsidR="008B722F" w:rsidP="008B722F" w:rsidRDefault="00951275" w14:paraId="15F0AC8A" w14:textId="5FFE26BD">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51275" w14:paraId="4D17E58D" w14:textId="288E2101">
            <w:pPr>
              <w:pStyle w:val="Geenafstand"/>
              <w:rPr>
                <w:rFonts w:ascii="Verdana" w:hAnsi="Verdana"/>
                <w:sz w:val="15"/>
                <w:szCs w:val="15"/>
              </w:rPr>
            </w:pPr>
            <w:r w:rsidRPr="00755640">
              <w:rPr>
                <w:rFonts w:ascii="Verdana" w:hAnsi="Verdana"/>
                <w:sz w:val="15"/>
                <w:szCs w:val="15"/>
              </w:rPr>
              <w:t>-</w:t>
            </w:r>
          </w:p>
        </w:tc>
      </w:tr>
      <w:tr w:rsidRPr="00755640" w:rsidR="00D66BB6" w:rsidTr="006231F6" w14:paraId="3A67381F" w14:textId="77777777">
        <w:tc>
          <w:tcPr>
            <w:tcW w:w="2260" w:type="dxa"/>
          </w:tcPr>
          <w:p w:rsidRPr="00755640" w:rsidR="008B722F" w:rsidP="008B722F" w:rsidRDefault="008B722F" w14:paraId="08B990C6" w14:textId="055A2688">
            <w:pPr>
              <w:pStyle w:val="Geenafstand"/>
              <w:rPr>
                <w:rFonts w:ascii="Verdana" w:hAnsi="Verdana"/>
                <w:sz w:val="15"/>
                <w:szCs w:val="15"/>
              </w:rPr>
            </w:pPr>
            <w:r w:rsidRPr="00755640">
              <w:rPr>
                <w:rFonts w:ascii="Verdana" w:hAnsi="Verdana"/>
                <w:sz w:val="15"/>
                <w:szCs w:val="15"/>
              </w:rPr>
              <w:t xml:space="preserve">Artikel 28, </w:t>
            </w:r>
            <w:r w:rsidRPr="00755640" w:rsidR="0069381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951275" w14:paraId="51F3A524" w14:textId="76204F6D">
            <w:pPr>
              <w:pStyle w:val="Geenafstand"/>
              <w:rPr>
                <w:rFonts w:ascii="Verdana" w:hAnsi="Verdana"/>
                <w:sz w:val="15"/>
                <w:szCs w:val="15"/>
              </w:rPr>
            </w:pPr>
            <w:r w:rsidRPr="00755640">
              <w:rPr>
                <w:rFonts w:ascii="Verdana" w:hAnsi="Verdana"/>
                <w:sz w:val="15"/>
                <w:szCs w:val="15"/>
              </w:rPr>
              <w:t xml:space="preserve">Artikel 49, derde lid, </w:t>
            </w:r>
            <w:proofErr w:type="spellStart"/>
            <w:r w:rsidRPr="00755640">
              <w:rPr>
                <w:rFonts w:ascii="Verdana" w:hAnsi="Verdana"/>
                <w:sz w:val="15"/>
                <w:szCs w:val="15"/>
              </w:rPr>
              <w:t>Cbw</w:t>
            </w:r>
            <w:proofErr w:type="spellEnd"/>
          </w:p>
        </w:tc>
        <w:tc>
          <w:tcPr>
            <w:tcW w:w="2260" w:type="dxa"/>
          </w:tcPr>
          <w:p w:rsidRPr="00755640" w:rsidR="008B722F" w:rsidP="008B722F" w:rsidRDefault="00951275" w14:paraId="0B132C2D" w14:textId="6AADBBD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51275" w14:paraId="79926282" w14:textId="411CF892">
            <w:pPr>
              <w:pStyle w:val="Geenafstand"/>
              <w:rPr>
                <w:rFonts w:ascii="Verdana" w:hAnsi="Verdana"/>
                <w:sz w:val="15"/>
                <w:szCs w:val="15"/>
              </w:rPr>
            </w:pPr>
            <w:r w:rsidRPr="00755640">
              <w:rPr>
                <w:rFonts w:ascii="Verdana" w:hAnsi="Verdana"/>
                <w:sz w:val="15"/>
                <w:szCs w:val="15"/>
              </w:rPr>
              <w:t>-</w:t>
            </w:r>
          </w:p>
        </w:tc>
      </w:tr>
      <w:tr w:rsidRPr="00755640" w:rsidR="00D66BB6" w:rsidTr="006231F6" w14:paraId="3210683D" w14:textId="77777777">
        <w:tc>
          <w:tcPr>
            <w:tcW w:w="2260" w:type="dxa"/>
          </w:tcPr>
          <w:p w:rsidRPr="00755640" w:rsidR="008B722F" w:rsidP="008B722F" w:rsidRDefault="008B722F" w14:paraId="68C61920" w14:textId="6E84F1CA">
            <w:pPr>
              <w:pStyle w:val="Geenafstand"/>
              <w:rPr>
                <w:rFonts w:ascii="Verdana" w:hAnsi="Verdana"/>
                <w:sz w:val="15"/>
                <w:szCs w:val="15"/>
              </w:rPr>
            </w:pPr>
            <w:r w:rsidRPr="00755640">
              <w:rPr>
                <w:rFonts w:ascii="Verdana" w:hAnsi="Verdana"/>
                <w:sz w:val="15"/>
                <w:szCs w:val="15"/>
              </w:rPr>
              <w:t xml:space="preserve">Artikel 28, </w:t>
            </w:r>
            <w:r w:rsidRPr="00755640" w:rsidR="0069381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951275" w14:paraId="12BECA0D" w14:textId="56AFF9D9">
            <w:pPr>
              <w:pStyle w:val="Geenafstand"/>
              <w:rPr>
                <w:rFonts w:ascii="Verdana" w:hAnsi="Verdana"/>
                <w:sz w:val="15"/>
                <w:szCs w:val="15"/>
              </w:rPr>
            </w:pPr>
            <w:r w:rsidRPr="00755640">
              <w:rPr>
                <w:rFonts w:ascii="Verdana" w:hAnsi="Verdana"/>
                <w:sz w:val="15"/>
                <w:szCs w:val="15"/>
              </w:rPr>
              <w:t xml:space="preserve">Artikel 49, vierde lid, </w:t>
            </w:r>
            <w:proofErr w:type="spellStart"/>
            <w:r w:rsidRPr="00755640">
              <w:rPr>
                <w:rFonts w:ascii="Verdana" w:hAnsi="Verdana"/>
                <w:sz w:val="15"/>
                <w:szCs w:val="15"/>
              </w:rPr>
              <w:t>Cbw</w:t>
            </w:r>
            <w:proofErr w:type="spellEnd"/>
          </w:p>
        </w:tc>
        <w:tc>
          <w:tcPr>
            <w:tcW w:w="2260" w:type="dxa"/>
          </w:tcPr>
          <w:p w:rsidRPr="00755640" w:rsidR="008B722F" w:rsidP="008B722F" w:rsidRDefault="00951275" w14:paraId="3C5A1E01" w14:textId="29D93BD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51275" w14:paraId="683DD890" w14:textId="5036FCC3">
            <w:pPr>
              <w:pStyle w:val="Geenafstand"/>
              <w:rPr>
                <w:rFonts w:ascii="Verdana" w:hAnsi="Verdana"/>
                <w:sz w:val="15"/>
                <w:szCs w:val="15"/>
              </w:rPr>
            </w:pPr>
            <w:r w:rsidRPr="00755640">
              <w:rPr>
                <w:rFonts w:ascii="Verdana" w:hAnsi="Verdana"/>
                <w:sz w:val="15"/>
                <w:szCs w:val="15"/>
              </w:rPr>
              <w:t>-</w:t>
            </w:r>
          </w:p>
        </w:tc>
      </w:tr>
      <w:tr w:rsidRPr="00755640" w:rsidR="00D66BB6" w:rsidTr="006231F6" w14:paraId="07BCBF70" w14:textId="77777777">
        <w:tc>
          <w:tcPr>
            <w:tcW w:w="2260" w:type="dxa"/>
          </w:tcPr>
          <w:p w:rsidRPr="00755640" w:rsidR="008B722F" w:rsidP="008B722F" w:rsidRDefault="008B722F" w14:paraId="401F679A" w14:textId="7D3CD009">
            <w:pPr>
              <w:pStyle w:val="Geenafstand"/>
              <w:rPr>
                <w:rFonts w:ascii="Verdana" w:hAnsi="Verdana"/>
                <w:sz w:val="15"/>
                <w:szCs w:val="15"/>
              </w:rPr>
            </w:pPr>
            <w:r w:rsidRPr="00755640">
              <w:rPr>
                <w:rFonts w:ascii="Verdana" w:hAnsi="Verdana"/>
                <w:sz w:val="15"/>
                <w:szCs w:val="15"/>
              </w:rPr>
              <w:t xml:space="preserve">Artikel 28, </w:t>
            </w:r>
            <w:r w:rsidRPr="00755640" w:rsidR="0069381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951275" w14:paraId="0FD655B7" w14:textId="3810D266">
            <w:pPr>
              <w:pStyle w:val="Geenafstand"/>
              <w:rPr>
                <w:rFonts w:ascii="Verdana" w:hAnsi="Verdana"/>
                <w:sz w:val="15"/>
                <w:szCs w:val="15"/>
              </w:rPr>
            </w:pPr>
            <w:r w:rsidRPr="00755640">
              <w:rPr>
                <w:rFonts w:ascii="Verdana" w:hAnsi="Verdana"/>
                <w:sz w:val="15"/>
                <w:szCs w:val="15"/>
              </w:rPr>
              <w:t xml:space="preserve">Artikel 50 </w:t>
            </w:r>
            <w:proofErr w:type="spellStart"/>
            <w:r w:rsidRPr="00755640">
              <w:rPr>
                <w:rFonts w:ascii="Verdana" w:hAnsi="Verdana"/>
                <w:sz w:val="15"/>
                <w:szCs w:val="15"/>
              </w:rPr>
              <w:t>Cbw</w:t>
            </w:r>
            <w:proofErr w:type="spellEnd"/>
          </w:p>
        </w:tc>
        <w:tc>
          <w:tcPr>
            <w:tcW w:w="2260" w:type="dxa"/>
          </w:tcPr>
          <w:p w:rsidRPr="00755640" w:rsidR="008B722F" w:rsidP="008B722F" w:rsidRDefault="00951275" w14:paraId="2CA30DFF" w14:textId="2B74C320">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51275" w14:paraId="065CB22D" w14:textId="2533F457">
            <w:pPr>
              <w:pStyle w:val="Geenafstand"/>
              <w:rPr>
                <w:rFonts w:ascii="Verdana" w:hAnsi="Verdana"/>
                <w:sz w:val="15"/>
                <w:szCs w:val="15"/>
              </w:rPr>
            </w:pPr>
            <w:r w:rsidRPr="00755640">
              <w:rPr>
                <w:rFonts w:ascii="Verdana" w:hAnsi="Verdana"/>
                <w:sz w:val="15"/>
                <w:szCs w:val="15"/>
              </w:rPr>
              <w:t>-</w:t>
            </w:r>
          </w:p>
        </w:tc>
      </w:tr>
      <w:tr w:rsidRPr="00755640" w:rsidR="00D66BB6" w:rsidTr="006231F6" w14:paraId="19510D59" w14:textId="77777777">
        <w:tc>
          <w:tcPr>
            <w:tcW w:w="2260" w:type="dxa"/>
          </w:tcPr>
          <w:p w:rsidRPr="00755640" w:rsidR="008B722F" w:rsidP="008B722F" w:rsidRDefault="008B722F" w14:paraId="11E92BAB" w14:textId="2105DAA3">
            <w:pPr>
              <w:pStyle w:val="Geenafstand"/>
              <w:rPr>
                <w:rFonts w:ascii="Verdana" w:hAnsi="Verdana"/>
                <w:sz w:val="15"/>
                <w:szCs w:val="15"/>
              </w:rPr>
            </w:pPr>
            <w:r w:rsidRPr="00755640">
              <w:rPr>
                <w:rFonts w:ascii="Verdana" w:hAnsi="Verdana"/>
                <w:sz w:val="15"/>
                <w:szCs w:val="15"/>
              </w:rPr>
              <w:t xml:space="preserve">Artikel 28, </w:t>
            </w:r>
            <w:r w:rsidRPr="00755640" w:rsidR="00693813">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951275" w14:paraId="393D0BEC" w14:textId="7864615A">
            <w:pPr>
              <w:pStyle w:val="Geenafstand"/>
              <w:rPr>
                <w:rFonts w:ascii="Verdana" w:hAnsi="Verdana"/>
                <w:sz w:val="15"/>
                <w:szCs w:val="15"/>
              </w:rPr>
            </w:pPr>
            <w:r w:rsidRPr="00755640">
              <w:rPr>
                <w:rFonts w:ascii="Verdana" w:hAnsi="Verdana"/>
                <w:sz w:val="15"/>
                <w:szCs w:val="15"/>
              </w:rPr>
              <w:t xml:space="preserve">Artikel 49, vijfde lid, </w:t>
            </w:r>
            <w:proofErr w:type="spellStart"/>
            <w:r w:rsidRPr="00755640">
              <w:rPr>
                <w:rFonts w:ascii="Verdana" w:hAnsi="Verdana"/>
                <w:sz w:val="15"/>
                <w:szCs w:val="15"/>
              </w:rPr>
              <w:t>Cbw</w:t>
            </w:r>
            <w:proofErr w:type="spellEnd"/>
          </w:p>
        </w:tc>
        <w:tc>
          <w:tcPr>
            <w:tcW w:w="2260" w:type="dxa"/>
          </w:tcPr>
          <w:p w:rsidRPr="00755640" w:rsidR="008B722F" w:rsidP="008B722F" w:rsidRDefault="00951275" w14:paraId="75FF3D8A" w14:textId="42E2C95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51275" w14:paraId="5BE8CB0C" w14:textId="2C036615">
            <w:pPr>
              <w:pStyle w:val="Geenafstand"/>
              <w:rPr>
                <w:rFonts w:ascii="Verdana" w:hAnsi="Verdana"/>
                <w:sz w:val="15"/>
                <w:szCs w:val="15"/>
              </w:rPr>
            </w:pPr>
            <w:r w:rsidRPr="00755640">
              <w:rPr>
                <w:rFonts w:ascii="Verdana" w:hAnsi="Verdana"/>
                <w:sz w:val="15"/>
                <w:szCs w:val="15"/>
              </w:rPr>
              <w:t>-</w:t>
            </w:r>
          </w:p>
        </w:tc>
      </w:tr>
      <w:tr w:rsidRPr="00755640" w:rsidR="00D66BB6" w:rsidTr="006231F6" w14:paraId="5CF7B722" w14:textId="77777777">
        <w:tc>
          <w:tcPr>
            <w:tcW w:w="2260" w:type="dxa"/>
          </w:tcPr>
          <w:p w:rsidRPr="00755640" w:rsidR="008B722F" w:rsidP="008B722F" w:rsidRDefault="008B722F" w14:paraId="18B12734" w14:textId="62926A83">
            <w:pPr>
              <w:pStyle w:val="Geenafstand"/>
              <w:rPr>
                <w:rFonts w:ascii="Verdana" w:hAnsi="Verdana"/>
                <w:sz w:val="15"/>
                <w:szCs w:val="15"/>
              </w:rPr>
            </w:pPr>
            <w:r w:rsidRPr="00755640">
              <w:rPr>
                <w:rFonts w:ascii="Verdana" w:hAnsi="Verdana"/>
                <w:sz w:val="15"/>
                <w:szCs w:val="15"/>
              </w:rPr>
              <w:t xml:space="preserve">Artikel 29, </w:t>
            </w:r>
            <w:r w:rsidRPr="00755640" w:rsidR="00693813">
              <w:rPr>
                <w:rFonts w:ascii="Verdana" w:hAnsi="Verdana"/>
                <w:sz w:val="15"/>
                <w:szCs w:val="15"/>
              </w:rPr>
              <w:t>eerste</w:t>
            </w:r>
            <w:r w:rsidRPr="00755640" w:rsidR="00BB26EB">
              <w:rPr>
                <w:rFonts w:ascii="Verdana" w:hAnsi="Verdana"/>
                <w:sz w:val="15"/>
                <w:szCs w:val="15"/>
              </w:rPr>
              <w:t>, tweede en derde lid</w:t>
            </w:r>
          </w:p>
        </w:tc>
        <w:tc>
          <w:tcPr>
            <w:tcW w:w="2260" w:type="dxa"/>
          </w:tcPr>
          <w:p w:rsidRPr="00755640" w:rsidR="008B722F" w:rsidP="008B722F" w:rsidRDefault="001B0E78" w14:paraId="5F39A8EA" w14:textId="260D04D9">
            <w:pPr>
              <w:pStyle w:val="Geenafstand"/>
              <w:rPr>
                <w:rFonts w:ascii="Verdana" w:hAnsi="Verdana"/>
                <w:sz w:val="15"/>
                <w:szCs w:val="15"/>
              </w:rPr>
            </w:pPr>
            <w:r w:rsidRPr="00755640">
              <w:rPr>
                <w:rFonts w:ascii="Verdana" w:hAnsi="Verdana"/>
                <w:sz w:val="15"/>
                <w:szCs w:val="15"/>
              </w:rPr>
              <w:t xml:space="preserve">Artikel 62 </w:t>
            </w:r>
            <w:proofErr w:type="spellStart"/>
            <w:r w:rsidRPr="00755640">
              <w:rPr>
                <w:rFonts w:ascii="Verdana" w:hAnsi="Verdana"/>
                <w:sz w:val="15"/>
                <w:szCs w:val="15"/>
              </w:rPr>
              <w:t>Cbw</w:t>
            </w:r>
            <w:proofErr w:type="spellEnd"/>
          </w:p>
        </w:tc>
        <w:tc>
          <w:tcPr>
            <w:tcW w:w="2260" w:type="dxa"/>
          </w:tcPr>
          <w:p w:rsidRPr="00755640" w:rsidR="008B722F" w:rsidP="008B722F" w:rsidRDefault="001B0E78" w14:paraId="42120D99" w14:textId="24A55F0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B0E78" w14:paraId="49A07256" w14:textId="18245E4F">
            <w:pPr>
              <w:pStyle w:val="Geenafstand"/>
              <w:rPr>
                <w:rFonts w:ascii="Verdana" w:hAnsi="Verdana"/>
                <w:sz w:val="15"/>
                <w:szCs w:val="15"/>
              </w:rPr>
            </w:pPr>
            <w:r w:rsidRPr="00755640">
              <w:rPr>
                <w:rFonts w:ascii="Verdana" w:hAnsi="Verdana"/>
                <w:sz w:val="15"/>
                <w:szCs w:val="15"/>
              </w:rPr>
              <w:t>-</w:t>
            </w:r>
          </w:p>
        </w:tc>
      </w:tr>
      <w:tr w:rsidRPr="00755640" w:rsidR="00D66BB6" w:rsidTr="006231F6" w14:paraId="6EA52D6C" w14:textId="77777777">
        <w:tc>
          <w:tcPr>
            <w:tcW w:w="2260" w:type="dxa"/>
          </w:tcPr>
          <w:p w:rsidRPr="00755640" w:rsidR="008B722F" w:rsidP="008B722F" w:rsidRDefault="008B722F" w14:paraId="5489617D" w14:textId="1D9D56A1">
            <w:pPr>
              <w:pStyle w:val="Geenafstand"/>
              <w:rPr>
                <w:rFonts w:ascii="Verdana" w:hAnsi="Verdana"/>
                <w:sz w:val="15"/>
                <w:szCs w:val="15"/>
              </w:rPr>
            </w:pPr>
            <w:r w:rsidRPr="00755640">
              <w:rPr>
                <w:rFonts w:ascii="Verdana" w:hAnsi="Verdana"/>
                <w:sz w:val="15"/>
                <w:szCs w:val="15"/>
              </w:rPr>
              <w:t xml:space="preserve">Artikel 29, </w:t>
            </w:r>
            <w:r w:rsidRPr="00755640" w:rsidR="0069381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1B0E78" w14:paraId="356DD253" w14:textId="5C7FC9D4">
            <w:pPr>
              <w:pStyle w:val="Geenafstand"/>
              <w:rPr>
                <w:rFonts w:ascii="Verdana" w:hAnsi="Verdana"/>
                <w:sz w:val="15"/>
                <w:szCs w:val="15"/>
              </w:rPr>
            </w:pPr>
            <w:r w:rsidRPr="00755640">
              <w:rPr>
                <w:rFonts w:ascii="Verdana" w:hAnsi="Verdana"/>
                <w:sz w:val="15"/>
                <w:szCs w:val="15"/>
              </w:rPr>
              <w:t xml:space="preserve">Artikel 44, eerste lid, onderdeel e, </w:t>
            </w:r>
            <w:proofErr w:type="spellStart"/>
            <w:r w:rsidRPr="00755640">
              <w:rPr>
                <w:rFonts w:ascii="Verdana" w:hAnsi="Verdana"/>
                <w:sz w:val="15"/>
                <w:szCs w:val="15"/>
              </w:rPr>
              <w:t>Cbw</w:t>
            </w:r>
            <w:proofErr w:type="spellEnd"/>
            <w:r w:rsidRPr="00755640">
              <w:rPr>
                <w:rFonts w:ascii="Verdana" w:hAnsi="Verdana"/>
                <w:sz w:val="15"/>
                <w:szCs w:val="15"/>
              </w:rPr>
              <w:t xml:space="preserve"> </w:t>
            </w:r>
          </w:p>
        </w:tc>
        <w:tc>
          <w:tcPr>
            <w:tcW w:w="2260" w:type="dxa"/>
          </w:tcPr>
          <w:p w:rsidRPr="00755640" w:rsidR="008B722F" w:rsidP="008B722F" w:rsidRDefault="001B0E78" w14:paraId="512A92CB" w14:textId="4BCDCC6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B0E78" w14:paraId="694E4B03" w14:textId="63C39F61">
            <w:pPr>
              <w:pStyle w:val="Geenafstand"/>
              <w:rPr>
                <w:rFonts w:ascii="Verdana" w:hAnsi="Verdana"/>
                <w:sz w:val="15"/>
                <w:szCs w:val="15"/>
              </w:rPr>
            </w:pPr>
            <w:r w:rsidRPr="00755640">
              <w:rPr>
                <w:rFonts w:ascii="Verdana" w:hAnsi="Verdana"/>
                <w:sz w:val="15"/>
                <w:szCs w:val="15"/>
              </w:rPr>
              <w:t>-</w:t>
            </w:r>
          </w:p>
        </w:tc>
      </w:tr>
      <w:tr w:rsidRPr="00755640" w:rsidR="00D66BB6" w:rsidTr="006231F6" w14:paraId="51D84A5C" w14:textId="77777777">
        <w:tc>
          <w:tcPr>
            <w:tcW w:w="2260" w:type="dxa"/>
          </w:tcPr>
          <w:p w:rsidRPr="00755640" w:rsidR="008B722F" w:rsidP="008B722F" w:rsidRDefault="008B722F" w14:paraId="5D358C51" w14:textId="38110DEB">
            <w:pPr>
              <w:pStyle w:val="Geenafstand"/>
              <w:rPr>
                <w:rFonts w:ascii="Verdana" w:hAnsi="Verdana"/>
                <w:sz w:val="15"/>
                <w:szCs w:val="15"/>
              </w:rPr>
            </w:pPr>
            <w:r w:rsidRPr="00755640">
              <w:rPr>
                <w:rFonts w:ascii="Verdana" w:hAnsi="Verdana"/>
                <w:sz w:val="15"/>
                <w:szCs w:val="15"/>
              </w:rPr>
              <w:t xml:space="preserve">Artikel 29, </w:t>
            </w:r>
            <w:r w:rsidRPr="00755640" w:rsidR="00693813">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9F1CCE" w14:paraId="6A54DD29" w14:textId="2D6EB16B">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9F1CCE" w14:paraId="54B550A6" w14:textId="0F2C614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F1CCE" w14:paraId="4AE3D994" w14:textId="50B41067">
            <w:pPr>
              <w:pStyle w:val="Geenafstand"/>
              <w:rPr>
                <w:rFonts w:ascii="Verdana" w:hAnsi="Verdana"/>
                <w:sz w:val="15"/>
                <w:szCs w:val="15"/>
              </w:rPr>
            </w:pPr>
            <w:r w:rsidRPr="00755640">
              <w:rPr>
                <w:rFonts w:ascii="Verdana" w:hAnsi="Verdana"/>
                <w:sz w:val="15"/>
                <w:szCs w:val="15"/>
              </w:rPr>
              <w:t xml:space="preserve">Deze bepaling is gericht </w:t>
            </w:r>
            <w:r w:rsidR="007125A9">
              <w:rPr>
                <w:rFonts w:ascii="Verdana" w:hAnsi="Verdana"/>
                <w:sz w:val="15"/>
                <w:szCs w:val="15"/>
              </w:rPr>
              <w:t>aan</w:t>
            </w:r>
            <w:r w:rsidRPr="00755640" w:rsidR="007125A9">
              <w:rPr>
                <w:rFonts w:ascii="Verdana" w:hAnsi="Verdana"/>
                <w:sz w:val="15"/>
                <w:szCs w:val="15"/>
              </w:rPr>
              <w:t xml:space="preserve"> </w:t>
            </w:r>
            <w:proofErr w:type="spellStart"/>
            <w:r w:rsidRPr="00755640">
              <w:rPr>
                <w:rFonts w:ascii="Verdana" w:hAnsi="Verdana"/>
                <w:sz w:val="15"/>
                <w:szCs w:val="15"/>
              </w:rPr>
              <w:t>Enisa</w:t>
            </w:r>
            <w:proofErr w:type="spellEnd"/>
            <w:r w:rsidRPr="00755640">
              <w:rPr>
                <w:rFonts w:ascii="Verdana" w:hAnsi="Verdana"/>
                <w:sz w:val="15"/>
                <w:szCs w:val="15"/>
              </w:rPr>
              <w:t>.</w:t>
            </w:r>
          </w:p>
        </w:tc>
      </w:tr>
      <w:tr w:rsidRPr="00755640" w:rsidR="00D66BB6" w:rsidTr="006231F6" w14:paraId="62DFCEFC" w14:textId="77777777">
        <w:tc>
          <w:tcPr>
            <w:tcW w:w="2260" w:type="dxa"/>
          </w:tcPr>
          <w:p w:rsidRPr="00755640" w:rsidR="008B722F" w:rsidP="008B722F" w:rsidRDefault="008B722F" w14:paraId="162FCA67" w14:textId="014FC964">
            <w:pPr>
              <w:pStyle w:val="Geenafstand"/>
              <w:rPr>
                <w:rFonts w:ascii="Verdana" w:hAnsi="Verdana"/>
                <w:sz w:val="15"/>
                <w:szCs w:val="15"/>
              </w:rPr>
            </w:pPr>
            <w:r w:rsidRPr="00755640">
              <w:rPr>
                <w:rFonts w:ascii="Verdana" w:hAnsi="Verdana"/>
                <w:sz w:val="15"/>
                <w:szCs w:val="15"/>
              </w:rPr>
              <w:t xml:space="preserve">Artikel 30, </w:t>
            </w:r>
            <w:r w:rsidRPr="00755640" w:rsidR="0069381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C5154E" w14:paraId="4274A018" w14:textId="0A9922D3">
            <w:pPr>
              <w:pStyle w:val="Geenafstand"/>
              <w:rPr>
                <w:rFonts w:ascii="Verdana" w:hAnsi="Verdana"/>
                <w:sz w:val="15"/>
                <w:szCs w:val="15"/>
              </w:rPr>
            </w:pPr>
            <w:r w:rsidRPr="00755640">
              <w:rPr>
                <w:rFonts w:ascii="Verdana" w:hAnsi="Verdana"/>
                <w:sz w:val="15"/>
                <w:szCs w:val="15"/>
              </w:rPr>
              <w:t xml:space="preserve">Artikel 33, eerste lid, </w:t>
            </w:r>
            <w:proofErr w:type="spellStart"/>
            <w:r w:rsidRPr="00755640">
              <w:rPr>
                <w:rFonts w:ascii="Verdana" w:hAnsi="Verdana"/>
                <w:sz w:val="15"/>
                <w:szCs w:val="15"/>
              </w:rPr>
              <w:t>Cbw</w:t>
            </w:r>
            <w:proofErr w:type="spellEnd"/>
          </w:p>
        </w:tc>
        <w:tc>
          <w:tcPr>
            <w:tcW w:w="2260" w:type="dxa"/>
          </w:tcPr>
          <w:p w:rsidRPr="00755640" w:rsidR="008B722F" w:rsidP="008B722F" w:rsidRDefault="00C5154E" w14:paraId="0F2E87EC" w14:textId="4ED71F5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5154E" w14:paraId="07211BFD" w14:textId="2EFE2550">
            <w:pPr>
              <w:pStyle w:val="Geenafstand"/>
              <w:rPr>
                <w:rFonts w:ascii="Verdana" w:hAnsi="Verdana"/>
                <w:sz w:val="15"/>
                <w:szCs w:val="15"/>
              </w:rPr>
            </w:pPr>
            <w:r w:rsidRPr="00755640">
              <w:rPr>
                <w:rFonts w:ascii="Verdana" w:hAnsi="Verdana"/>
                <w:sz w:val="15"/>
                <w:szCs w:val="15"/>
              </w:rPr>
              <w:t>-</w:t>
            </w:r>
          </w:p>
        </w:tc>
      </w:tr>
      <w:tr w:rsidRPr="00755640" w:rsidR="00D66BB6" w:rsidTr="006231F6" w14:paraId="7DBE1772" w14:textId="77777777">
        <w:tc>
          <w:tcPr>
            <w:tcW w:w="2260" w:type="dxa"/>
          </w:tcPr>
          <w:p w:rsidRPr="00755640" w:rsidR="008B722F" w:rsidP="008B722F" w:rsidRDefault="008B722F" w14:paraId="301E539A" w14:textId="6CEDACB6">
            <w:pPr>
              <w:pStyle w:val="Geenafstand"/>
              <w:rPr>
                <w:rFonts w:ascii="Verdana" w:hAnsi="Verdana"/>
                <w:sz w:val="15"/>
                <w:szCs w:val="15"/>
              </w:rPr>
            </w:pPr>
            <w:r w:rsidRPr="00755640">
              <w:rPr>
                <w:rFonts w:ascii="Verdana" w:hAnsi="Verdana"/>
                <w:sz w:val="15"/>
                <w:szCs w:val="15"/>
              </w:rPr>
              <w:t xml:space="preserve">Artikel 30, </w:t>
            </w:r>
            <w:r w:rsidRPr="00755640" w:rsidR="0069381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392F45" w14:paraId="167A080D" w14:textId="4FCF3B94">
            <w:pPr>
              <w:pStyle w:val="Geenafstand"/>
              <w:rPr>
                <w:rFonts w:ascii="Verdana" w:hAnsi="Verdana"/>
                <w:sz w:val="15"/>
                <w:szCs w:val="15"/>
              </w:rPr>
            </w:pPr>
            <w:r w:rsidRPr="00755640">
              <w:rPr>
                <w:rFonts w:ascii="Verdana" w:hAnsi="Verdana"/>
                <w:sz w:val="15"/>
                <w:szCs w:val="15"/>
              </w:rPr>
              <w:t>De a</w:t>
            </w:r>
            <w:r w:rsidRPr="00755640" w:rsidR="00F31535">
              <w:rPr>
                <w:rFonts w:ascii="Verdana" w:hAnsi="Verdana"/>
                <w:sz w:val="15"/>
                <w:szCs w:val="15"/>
              </w:rPr>
              <w:t>rtikel</w:t>
            </w:r>
            <w:r w:rsidRPr="00755640">
              <w:rPr>
                <w:rFonts w:ascii="Verdana" w:hAnsi="Verdana"/>
                <w:sz w:val="15"/>
                <w:szCs w:val="15"/>
              </w:rPr>
              <w:t>en</w:t>
            </w:r>
            <w:r w:rsidRPr="00755640" w:rsidR="00F31535">
              <w:rPr>
                <w:rFonts w:ascii="Verdana" w:hAnsi="Verdana"/>
                <w:sz w:val="15"/>
                <w:szCs w:val="15"/>
              </w:rPr>
              <w:t xml:space="preserve"> 33, tweede lid, </w:t>
            </w:r>
            <w:r w:rsidRPr="00755640">
              <w:rPr>
                <w:rFonts w:ascii="Verdana" w:hAnsi="Verdana"/>
                <w:sz w:val="15"/>
                <w:szCs w:val="15"/>
              </w:rPr>
              <w:t xml:space="preserve">en 39, eerste lid, </w:t>
            </w:r>
            <w:proofErr w:type="spellStart"/>
            <w:r w:rsidRPr="00755640" w:rsidR="00F31535">
              <w:rPr>
                <w:rFonts w:ascii="Verdana" w:hAnsi="Verdana"/>
                <w:sz w:val="15"/>
                <w:szCs w:val="15"/>
              </w:rPr>
              <w:t>Cbw</w:t>
            </w:r>
            <w:proofErr w:type="spellEnd"/>
            <w:r w:rsidRPr="00755640" w:rsidR="00F31535">
              <w:rPr>
                <w:rFonts w:ascii="Verdana" w:hAnsi="Verdana"/>
                <w:sz w:val="15"/>
                <w:szCs w:val="15"/>
              </w:rPr>
              <w:t xml:space="preserve"> </w:t>
            </w:r>
          </w:p>
        </w:tc>
        <w:tc>
          <w:tcPr>
            <w:tcW w:w="2260" w:type="dxa"/>
          </w:tcPr>
          <w:p w:rsidRPr="00755640" w:rsidR="008B722F" w:rsidP="008B722F" w:rsidRDefault="00392F45" w14:paraId="62938AAD" w14:textId="2C3AE5F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92F45" w14:paraId="513BF247" w14:textId="494E1E46">
            <w:pPr>
              <w:pStyle w:val="Geenafstand"/>
              <w:rPr>
                <w:rFonts w:ascii="Verdana" w:hAnsi="Verdana"/>
                <w:sz w:val="15"/>
                <w:szCs w:val="15"/>
              </w:rPr>
            </w:pPr>
            <w:r w:rsidRPr="00755640">
              <w:rPr>
                <w:rFonts w:ascii="Verdana" w:hAnsi="Verdana"/>
                <w:sz w:val="15"/>
                <w:szCs w:val="15"/>
              </w:rPr>
              <w:t>-</w:t>
            </w:r>
          </w:p>
        </w:tc>
      </w:tr>
      <w:tr w:rsidRPr="00755640" w:rsidR="00D66BB6" w:rsidTr="006231F6" w14:paraId="710F7EF0" w14:textId="77777777">
        <w:tc>
          <w:tcPr>
            <w:tcW w:w="2260" w:type="dxa"/>
          </w:tcPr>
          <w:p w:rsidRPr="00755640" w:rsidR="008B722F" w:rsidP="008B722F" w:rsidRDefault="008B722F" w14:paraId="072D2112" w14:textId="7507A279">
            <w:pPr>
              <w:pStyle w:val="Geenafstand"/>
              <w:rPr>
                <w:rFonts w:ascii="Verdana" w:hAnsi="Verdana"/>
                <w:sz w:val="15"/>
                <w:szCs w:val="15"/>
              </w:rPr>
            </w:pPr>
            <w:r w:rsidRPr="00755640">
              <w:rPr>
                <w:rFonts w:ascii="Verdana" w:hAnsi="Verdana"/>
                <w:sz w:val="15"/>
                <w:szCs w:val="15"/>
              </w:rPr>
              <w:t xml:space="preserve">Artikel 31, </w:t>
            </w:r>
            <w:r w:rsidRPr="00755640" w:rsidR="0069381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FF754B" w14:paraId="695A60FD" w14:textId="5C2D7747">
            <w:pPr>
              <w:pStyle w:val="Geenafstand"/>
              <w:rPr>
                <w:rFonts w:ascii="Verdana" w:hAnsi="Verdana"/>
                <w:sz w:val="15"/>
                <w:szCs w:val="15"/>
              </w:rPr>
            </w:pPr>
            <w:r w:rsidRPr="00755640">
              <w:rPr>
                <w:rFonts w:ascii="Verdana" w:hAnsi="Verdana"/>
                <w:sz w:val="15"/>
                <w:szCs w:val="15"/>
              </w:rPr>
              <w:t xml:space="preserve">Hoofdstuk </w:t>
            </w:r>
            <w:r w:rsidRPr="00755640" w:rsidR="005523DB">
              <w:rPr>
                <w:rFonts w:ascii="Verdana" w:hAnsi="Verdana"/>
                <w:sz w:val="15"/>
                <w:szCs w:val="15"/>
              </w:rPr>
              <w:t>15</w:t>
            </w:r>
            <w:r w:rsidRPr="00755640">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5523DB" w14:paraId="4B47C59E" w14:textId="0567E13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5523DB" w14:paraId="1B7513F8" w14:textId="3A9BC25A">
            <w:pPr>
              <w:pStyle w:val="Geenafstand"/>
              <w:rPr>
                <w:rFonts w:ascii="Verdana" w:hAnsi="Verdana"/>
                <w:sz w:val="15"/>
                <w:szCs w:val="15"/>
              </w:rPr>
            </w:pPr>
            <w:r w:rsidRPr="00755640">
              <w:rPr>
                <w:rFonts w:ascii="Verdana" w:hAnsi="Verdana"/>
                <w:sz w:val="15"/>
                <w:szCs w:val="15"/>
              </w:rPr>
              <w:t>-</w:t>
            </w:r>
          </w:p>
        </w:tc>
      </w:tr>
      <w:tr w:rsidRPr="00755640" w:rsidR="00D66BB6" w:rsidTr="006231F6" w14:paraId="17DDFD07" w14:textId="77777777">
        <w:tc>
          <w:tcPr>
            <w:tcW w:w="2260" w:type="dxa"/>
          </w:tcPr>
          <w:p w:rsidRPr="00755640" w:rsidR="008B722F" w:rsidP="008B722F" w:rsidRDefault="008B722F" w14:paraId="107F0A01" w14:textId="57420F16">
            <w:pPr>
              <w:pStyle w:val="Geenafstand"/>
              <w:rPr>
                <w:rFonts w:ascii="Verdana" w:hAnsi="Verdana"/>
                <w:sz w:val="15"/>
                <w:szCs w:val="15"/>
              </w:rPr>
            </w:pPr>
            <w:r w:rsidRPr="00755640">
              <w:rPr>
                <w:rFonts w:ascii="Verdana" w:hAnsi="Verdana"/>
                <w:sz w:val="15"/>
                <w:szCs w:val="15"/>
              </w:rPr>
              <w:t xml:space="preserve">Artikel 31, </w:t>
            </w:r>
            <w:r w:rsidRPr="00755640" w:rsidR="00693813">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C53AD8" w14:paraId="74AF813B" w14:textId="5745C8D1">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C53AD8" w14:paraId="0BFDAF78" w14:textId="2B35D49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53AD8" w14:paraId="1E414BF6" w14:textId="59E873BF">
            <w:pPr>
              <w:pStyle w:val="Geenafstand"/>
              <w:rPr>
                <w:rFonts w:ascii="Verdana" w:hAnsi="Verdana"/>
                <w:sz w:val="15"/>
                <w:szCs w:val="15"/>
              </w:rPr>
            </w:pPr>
            <w:r w:rsidRPr="00755640">
              <w:rPr>
                <w:rFonts w:ascii="Verdana" w:hAnsi="Verdana"/>
                <w:sz w:val="15"/>
                <w:szCs w:val="15"/>
              </w:rPr>
              <w:t>Deze bepaling behoeft geen implementatie in nationale wetgeving, omdat het ziet op feitelijke handelingen van de centrale overheid.</w:t>
            </w:r>
          </w:p>
        </w:tc>
      </w:tr>
      <w:tr w:rsidRPr="00755640" w:rsidR="00D66BB6" w:rsidTr="006231F6" w14:paraId="60829C4C" w14:textId="77777777">
        <w:tc>
          <w:tcPr>
            <w:tcW w:w="2260" w:type="dxa"/>
          </w:tcPr>
          <w:p w:rsidRPr="00755640" w:rsidR="008B722F" w:rsidP="008B722F" w:rsidRDefault="008B722F" w14:paraId="46955093" w14:textId="1C499E74">
            <w:pPr>
              <w:pStyle w:val="Geenafstand"/>
              <w:rPr>
                <w:rFonts w:ascii="Verdana" w:hAnsi="Verdana"/>
                <w:sz w:val="15"/>
                <w:szCs w:val="15"/>
              </w:rPr>
            </w:pPr>
            <w:r w:rsidRPr="00755640">
              <w:rPr>
                <w:rFonts w:ascii="Verdana" w:hAnsi="Verdana"/>
                <w:sz w:val="15"/>
                <w:szCs w:val="15"/>
              </w:rPr>
              <w:t xml:space="preserve">Artikel 31, </w:t>
            </w:r>
            <w:r w:rsidRPr="00755640" w:rsidR="0069381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8B722F" w14:paraId="6940F0B7" w14:textId="4B297674">
            <w:pPr>
              <w:pStyle w:val="Geenafstand"/>
              <w:rPr>
                <w:rFonts w:ascii="Verdana" w:hAnsi="Verdana"/>
                <w:sz w:val="15"/>
                <w:szCs w:val="15"/>
              </w:rPr>
            </w:pPr>
            <w:r w:rsidRPr="00755640">
              <w:rPr>
                <w:rFonts w:ascii="Verdana" w:hAnsi="Verdana"/>
                <w:sz w:val="15"/>
                <w:szCs w:val="15"/>
              </w:rPr>
              <w:t xml:space="preserve">Artikel </w:t>
            </w:r>
            <w:r w:rsidRPr="00755640" w:rsidR="00C94AC0">
              <w:rPr>
                <w:rFonts w:ascii="Verdana" w:hAnsi="Verdana"/>
                <w:sz w:val="15"/>
                <w:szCs w:val="15"/>
              </w:rPr>
              <w:t>58</w:t>
            </w:r>
            <w:r w:rsidRPr="00755640" w:rsidR="00FF754B">
              <w:rPr>
                <w:rFonts w:ascii="Verdana" w:hAnsi="Verdana"/>
                <w:sz w:val="15"/>
                <w:szCs w:val="15"/>
              </w:rPr>
              <w:t xml:space="preserve">, eerste lid, </w:t>
            </w:r>
            <w:proofErr w:type="spellStart"/>
            <w:r w:rsidRPr="00755640" w:rsidR="00FF754B">
              <w:rPr>
                <w:rFonts w:ascii="Verdana" w:hAnsi="Verdana"/>
                <w:sz w:val="15"/>
                <w:szCs w:val="15"/>
              </w:rPr>
              <w:t>Cbw</w:t>
            </w:r>
            <w:proofErr w:type="spellEnd"/>
          </w:p>
        </w:tc>
        <w:tc>
          <w:tcPr>
            <w:tcW w:w="2260" w:type="dxa"/>
          </w:tcPr>
          <w:p w:rsidRPr="00755640" w:rsidR="008B722F" w:rsidP="008B722F" w:rsidRDefault="00C94AC0" w14:paraId="7B5F8A19" w14:textId="581F32C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94AC0" w14:paraId="1B41D752" w14:textId="2AFA2215">
            <w:pPr>
              <w:pStyle w:val="Geenafstand"/>
              <w:rPr>
                <w:rFonts w:ascii="Verdana" w:hAnsi="Verdana"/>
                <w:sz w:val="15"/>
                <w:szCs w:val="15"/>
              </w:rPr>
            </w:pPr>
            <w:r w:rsidRPr="00755640">
              <w:rPr>
                <w:rFonts w:ascii="Verdana" w:hAnsi="Verdana"/>
                <w:sz w:val="15"/>
                <w:szCs w:val="15"/>
              </w:rPr>
              <w:t>-</w:t>
            </w:r>
          </w:p>
        </w:tc>
      </w:tr>
      <w:tr w:rsidRPr="00755640" w:rsidR="00D66BB6" w:rsidTr="006231F6" w14:paraId="5CB2BA26" w14:textId="77777777">
        <w:tc>
          <w:tcPr>
            <w:tcW w:w="2260" w:type="dxa"/>
          </w:tcPr>
          <w:p w:rsidRPr="00755640" w:rsidR="008B722F" w:rsidP="008B722F" w:rsidRDefault="008B722F" w14:paraId="17C9107A" w14:textId="5FFED2E9">
            <w:pPr>
              <w:pStyle w:val="Geenafstand"/>
              <w:rPr>
                <w:rFonts w:ascii="Verdana" w:hAnsi="Verdana"/>
                <w:sz w:val="15"/>
                <w:szCs w:val="15"/>
              </w:rPr>
            </w:pPr>
            <w:r w:rsidRPr="00755640">
              <w:rPr>
                <w:rFonts w:ascii="Verdana" w:hAnsi="Verdana"/>
                <w:sz w:val="15"/>
                <w:szCs w:val="15"/>
              </w:rPr>
              <w:t xml:space="preserve">Artikel 31, </w:t>
            </w:r>
            <w:r w:rsidRPr="00755640" w:rsidR="00693813">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FF754B" w14:paraId="1789D2D8" w14:textId="10B21291">
            <w:pPr>
              <w:pStyle w:val="Geenafstand"/>
              <w:rPr>
                <w:rFonts w:ascii="Verdana" w:hAnsi="Verdana"/>
                <w:sz w:val="15"/>
                <w:szCs w:val="15"/>
              </w:rPr>
            </w:pPr>
            <w:r w:rsidRPr="00755640">
              <w:rPr>
                <w:rFonts w:ascii="Verdana" w:hAnsi="Verdana"/>
                <w:sz w:val="15"/>
                <w:szCs w:val="15"/>
              </w:rPr>
              <w:t xml:space="preserve">Hoofdstuk </w:t>
            </w:r>
            <w:r w:rsidRPr="00755640" w:rsidR="003A40A6">
              <w:rPr>
                <w:rFonts w:ascii="Verdana" w:hAnsi="Verdana"/>
                <w:sz w:val="15"/>
                <w:szCs w:val="15"/>
              </w:rPr>
              <w:t>15</w:t>
            </w:r>
            <w:r w:rsidRPr="00755640">
              <w:rPr>
                <w:rFonts w:ascii="Verdana" w:hAnsi="Verdana"/>
                <w:sz w:val="15"/>
                <w:szCs w:val="15"/>
              </w:rPr>
              <w:t xml:space="preserve"> </w:t>
            </w:r>
            <w:proofErr w:type="spellStart"/>
            <w:r w:rsidRPr="00755640">
              <w:rPr>
                <w:rFonts w:ascii="Verdana" w:hAnsi="Verdana"/>
                <w:sz w:val="15"/>
                <w:szCs w:val="15"/>
              </w:rPr>
              <w:t>Cbw</w:t>
            </w:r>
            <w:proofErr w:type="spellEnd"/>
            <w:r w:rsidRPr="00755640">
              <w:rPr>
                <w:rFonts w:ascii="Verdana" w:hAnsi="Verdana"/>
                <w:sz w:val="15"/>
                <w:szCs w:val="15"/>
              </w:rPr>
              <w:t xml:space="preserve"> </w:t>
            </w:r>
          </w:p>
        </w:tc>
        <w:tc>
          <w:tcPr>
            <w:tcW w:w="2260" w:type="dxa"/>
          </w:tcPr>
          <w:p w:rsidRPr="00755640" w:rsidR="008B722F" w:rsidP="008B722F" w:rsidRDefault="003A40A6" w14:paraId="1D6A56A1" w14:textId="3551D16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A40A6" w14:paraId="138A0DC5" w14:textId="7B65333E">
            <w:pPr>
              <w:pStyle w:val="Geenafstand"/>
              <w:rPr>
                <w:rFonts w:ascii="Verdana" w:hAnsi="Verdana"/>
                <w:sz w:val="15"/>
                <w:szCs w:val="15"/>
              </w:rPr>
            </w:pPr>
            <w:r w:rsidRPr="00755640">
              <w:rPr>
                <w:rFonts w:ascii="Verdana" w:hAnsi="Verdana"/>
                <w:sz w:val="15"/>
                <w:szCs w:val="15"/>
              </w:rPr>
              <w:t>-</w:t>
            </w:r>
          </w:p>
        </w:tc>
      </w:tr>
      <w:tr w:rsidRPr="00755640" w:rsidR="00D66BB6" w:rsidTr="006231F6" w14:paraId="5DC690E4" w14:textId="77777777">
        <w:tc>
          <w:tcPr>
            <w:tcW w:w="2260" w:type="dxa"/>
          </w:tcPr>
          <w:p w:rsidRPr="00755640" w:rsidR="008B722F" w:rsidP="008B722F" w:rsidRDefault="008B722F" w14:paraId="3761D8EE" w14:textId="618BED4B">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5268CB" w14:paraId="3FCC0212" w14:textId="016076A4">
            <w:pPr>
              <w:pStyle w:val="Geenafstand"/>
              <w:rPr>
                <w:rFonts w:ascii="Verdana" w:hAnsi="Verdana"/>
                <w:sz w:val="15"/>
                <w:szCs w:val="15"/>
              </w:rPr>
            </w:pPr>
            <w:r w:rsidRPr="00755640">
              <w:rPr>
                <w:rFonts w:ascii="Verdana" w:hAnsi="Verdana"/>
                <w:sz w:val="15"/>
                <w:szCs w:val="15"/>
              </w:rPr>
              <w:t xml:space="preserve">Hoofdstuk </w:t>
            </w:r>
            <w:r w:rsidRPr="00755640" w:rsidR="003A40A6">
              <w:rPr>
                <w:rFonts w:ascii="Verdana" w:hAnsi="Verdana"/>
                <w:sz w:val="15"/>
                <w:szCs w:val="15"/>
              </w:rPr>
              <w:t>15</w:t>
            </w:r>
            <w:r w:rsidRPr="00755640">
              <w:rPr>
                <w:rFonts w:ascii="Verdana" w:hAnsi="Verdana"/>
                <w:sz w:val="15"/>
                <w:szCs w:val="15"/>
              </w:rPr>
              <w:t xml:space="preserve"> </w:t>
            </w:r>
            <w:proofErr w:type="spellStart"/>
            <w:r w:rsidRPr="00755640">
              <w:rPr>
                <w:rFonts w:ascii="Verdana" w:hAnsi="Verdana"/>
                <w:sz w:val="15"/>
                <w:szCs w:val="15"/>
              </w:rPr>
              <w:t>Cbw</w:t>
            </w:r>
            <w:proofErr w:type="spellEnd"/>
            <w:r w:rsidRPr="00755640">
              <w:rPr>
                <w:rFonts w:ascii="Verdana" w:hAnsi="Verdana"/>
                <w:sz w:val="15"/>
                <w:szCs w:val="15"/>
              </w:rPr>
              <w:t xml:space="preserve"> in samenhang met de titels 5.3 en 5.4 </w:t>
            </w:r>
            <w:proofErr w:type="spellStart"/>
            <w:r w:rsidRPr="00755640">
              <w:rPr>
                <w:rFonts w:ascii="Verdana" w:hAnsi="Verdana"/>
                <w:sz w:val="15"/>
                <w:szCs w:val="15"/>
              </w:rPr>
              <w:t>Awb</w:t>
            </w:r>
            <w:proofErr w:type="spellEnd"/>
          </w:p>
        </w:tc>
        <w:tc>
          <w:tcPr>
            <w:tcW w:w="2260" w:type="dxa"/>
          </w:tcPr>
          <w:p w:rsidRPr="00755640" w:rsidR="008B722F" w:rsidP="008B722F" w:rsidRDefault="003A40A6" w14:paraId="10783DB1" w14:textId="7AA9BE3D">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A40A6" w14:paraId="6FE357E9" w14:textId="53829567">
            <w:pPr>
              <w:pStyle w:val="Geenafstand"/>
              <w:rPr>
                <w:rFonts w:ascii="Verdana" w:hAnsi="Verdana"/>
                <w:sz w:val="15"/>
                <w:szCs w:val="15"/>
              </w:rPr>
            </w:pPr>
            <w:r w:rsidRPr="00755640">
              <w:rPr>
                <w:rFonts w:ascii="Verdana" w:hAnsi="Verdana"/>
                <w:sz w:val="15"/>
                <w:szCs w:val="15"/>
              </w:rPr>
              <w:t>-</w:t>
            </w:r>
          </w:p>
        </w:tc>
      </w:tr>
      <w:tr w:rsidRPr="00755640" w:rsidR="00D66BB6" w:rsidTr="006231F6" w14:paraId="68178214" w14:textId="77777777">
        <w:tc>
          <w:tcPr>
            <w:tcW w:w="2260" w:type="dxa"/>
          </w:tcPr>
          <w:p w:rsidRPr="00755640" w:rsidR="008B722F" w:rsidP="008B722F" w:rsidRDefault="008B722F" w14:paraId="2EE10C0D" w14:textId="3EAEA68D">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w:t>
            </w:r>
            <w:r w:rsidRPr="00755640" w:rsidR="00693813">
              <w:rPr>
                <w:rFonts w:ascii="Verdana" w:hAnsi="Verdana"/>
                <w:sz w:val="15"/>
                <w:szCs w:val="15"/>
              </w:rPr>
              <w:t>, aanhef</w:t>
            </w:r>
            <w:r w:rsidRPr="00755640">
              <w:rPr>
                <w:rFonts w:ascii="Verdana" w:hAnsi="Verdana"/>
                <w:sz w:val="15"/>
                <w:szCs w:val="15"/>
              </w:rPr>
              <w:t xml:space="preserve"> en onder</w:t>
            </w:r>
            <w:r w:rsidRPr="00755640" w:rsidR="00693813">
              <w:rPr>
                <w:rFonts w:ascii="Verdana" w:hAnsi="Verdana"/>
                <w:sz w:val="15"/>
                <w:szCs w:val="15"/>
              </w:rPr>
              <w:t>deel</w:t>
            </w:r>
            <w:r w:rsidRPr="00755640">
              <w:rPr>
                <w:rFonts w:ascii="Verdana" w:hAnsi="Verdana"/>
                <w:sz w:val="15"/>
                <w:szCs w:val="15"/>
              </w:rPr>
              <w:t xml:space="preserve"> a</w:t>
            </w:r>
          </w:p>
        </w:tc>
        <w:tc>
          <w:tcPr>
            <w:tcW w:w="2260" w:type="dxa"/>
          </w:tcPr>
          <w:p w:rsidRPr="00755640" w:rsidR="008B722F" w:rsidP="008B722F" w:rsidRDefault="00DD2E0D" w14:paraId="0A981409" w14:textId="5CFDF3F7">
            <w:pPr>
              <w:pStyle w:val="Geenafstand"/>
              <w:rPr>
                <w:rFonts w:ascii="Verdana" w:hAnsi="Verdana"/>
                <w:sz w:val="15"/>
                <w:szCs w:val="15"/>
              </w:rPr>
            </w:pPr>
            <w:bookmarkStart w:name="_Hlk181289656" w:id="242"/>
            <w:r>
              <w:rPr>
                <w:rFonts w:ascii="Verdana" w:hAnsi="Verdana"/>
                <w:sz w:val="15"/>
                <w:szCs w:val="15"/>
              </w:rPr>
              <w:t>Reeds geïmplementeerd in d</w:t>
            </w:r>
            <w:r w:rsidRPr="00755640" w:rsidR="002233A2">
              <w:rPr>
                <w:rFonts w:ascii="Verdana" w:hAnsi="Verdana"/>
                <w:sz w:val="15"/>
                <w:szCs w:val="15"/>
              </w:rPr>
              <w:t xml:space="preserve">e artikelen 5:15 en 5:18 </w:t>
            </w:r>
            <w:proofErr w:type="spellStart"/>
            <w:r w:rsidRPr="00755640" w:rsidR="00D01CE0">
              <w:rPr>
                <w:rFonts w:ascii="Verdana" w:hAnsi="Verdana"/>
                <w:sz w:val="15"/>
                <w:szCs w:val="15"/>
              </w:rPr>
              <w:t>Awb</w:t>
            </w:r>
            <w:bookmarkEnd w:id="242"/>
            <w:proofErr w:type="spellEnd"/>
          </w:p>
        </w:tc>
        <w:tc>
          <w:tcPr>
            <w:tcW w:w="2260" w:type="dxa"/>
          </w:tcPr>
          <w:p w:rsidRPr="00755640" w:rsidR="008B722F" w:rsidP="008B722F" w:rsidRDefault="00E37D74" w14:paraId="0745516C" w14:textId="18E17BA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37D74" w14:paraId="09515FE6" w14:textId="0305DDD5">
            <w:pPr>
              <w:pStyle w:val="Geenafstand"/>
              <w:rPr>
                <w:rFonts w:ascii="Verdana" w:hAnsi="Verdana"/>
                <w:sz w:val="15"/>
                <w:szCs w:val="15"/>
              </w:rPr>
            </w:pPr>
            <w:r w:rsidRPr="00755640">
              <w:rPr>
                <w:rFonts w:ascii="Verdana" w:hAnsi="Verdana"/>
                <w:sz w:val="15"/>
                <w:szCs w:val="15"/>
              </w:rPr>
              <w:t>-</w:t>
            </w:r>
          </w:p>
        </w:tc>
      </w:tr>
      <w:tr w:rsidRPr="00755640" w:rsidR="00D66BB6" w:rsidTr="006231F6" w14:paraId="3D580E06" w14:textId="77777777">
        <w:tc>
          <w:tcPr>
            <w:tcW w:w="2260" w:type="dxa"/>
          </w:tcPr>
          <w:p w:rsidRPr="00755640" w:rsidR="008B722F" w:rsidP="008B722F" w:rsidRDefault="008B722F" w14:paraId="40B8D928" w14:textId="2791E2A6">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w:t>
            </w:r>
            <w:r w:rsidRPr="00755640" w:rsidR="00693813">
              <w:rPr>
                <w:rFonts w:ascii="Verdana" w:hAnsi="Verdana"/>
                <w:sz w:val="15"/>
                <w:szCs w:val="15"/>
              </w:rPr>
              <w:t>, aanhef</w:t>
            </w:r>
            <w:r w:rsidRPr="00755640">
              <w:rPr>
                <w:rFonts w:ascii="Verdana" w:hAnsi="Verdana"/>
                <w:sz w:val="15"/>
                <w:szCs w:val="15"/>
              </w:rPr>
              <w:t xml:space="preserve"> en </w:t>
            </w:r>
            <w:r w:rsidRPr="00755640" w:rsidR="00E37D74">
              <w:rPr>
                <w:rFonts w:ascii="Verdana" w:hAnsi="Verdana"/>
                <w:sz w:val="15"/>
                <w:szCs w:val="15"/>
              </w:rPr>
              <w:t xml:space="preserve">onderdelen </w:t>
            </w:r>
            <w:r w:rsidRPr="00755640">
              <w:rPr>
                <w:rFonts w:ascii="Verdana" w:hAnsi="Verdana"/>
                <w:sz w:val="15"/>
                <w:szCs w:val="15"/>
              </w:rPr>
              <w:t>b</w:t>
            </w:r>
            <w:r w:rsidRPr="00755640" w:rsidR="00E37D74">
              <w:rPr>
                <w:rFonts w:ascii="Verdana" w:hAnsi="Verdana"/>
                <w:sz w:val="15"/>
                <w:szCs w:val="15"/>
              </w:rPr>
              <w:t xml:space="preserve"> en c</w:t>
            </w:r>
          </w:p>
        </w:tc>
        <w:tc>
          <w:tcPr>
            <w:tcW w:w="2260" w:type="dxa"/>
          </w:tcPr>
          <w:p w:rsidRPr="00755640" w:rsidR="008B722F" w:rsidP="008B722F" w:rsidRDefault="00E37D74" w14:paraId="0E6FA5F5" w14:textId="15853967">
            <w:pPr>
              <w:pStyle w:val="Geenafstand"/>
              <w:rPr>
                <w:rFonts w:ascii="Verdana" w:hAnsi="Verdana"/>
                <w:sz w:val="15"/>
                <w:szCs w:val="15"/>
              </w:rPr>
            </w:pPr>
            <w:bookmarkStart w:name="_Hlk181289664" w:id="243"/>
            <w:r w:rsidRPr="00755640">
              <w:rPr>
                <w:rFonts w:ascii="Verdana" w:hAnsi="Verdana"/>
                <w:sz w:val="15"/>
                <w:szCs w:val="15"/>
              </w:rPr>
              <w:t xml:space="preserve">Artikel </w:t>
            </w:r>
            <w:r w:rsidR="00DD2E0D">
              <w:rPr>
                <w:rFonts w:ascii="Verdana" w:hAnsi="Verdana"/>
                <w:sz w:val="15"/>
                <w:szCs w:val="15"/>
              </w:rPr>
              <w:t>72</w:t>
            </w:r>
            <w:r w:rsidRPr="00755640" w:rsidR="00DD2E0D">
              <w:rPr>
                <w:rFonts w:ascii="Verdana" w:hAnsi="Verdana"/>
                <w:sz w:val="15"/>
                <w:szCs w:val="15"/>
              </w:rPr>
              <w:t xml:space="preserve"> </w:t>
            </w:r>
            <w:proofErr w:type="spellStart"/>
            <w:r w:rsidRPr="00755640">
              <w:rPr>
                <w:rFonts w:ascii="Verdana" w:hAnsi="Verdana"/>
                <w:sz w:val="15"/>
                <w:szCs w:val="15"/>
              </w:rPr>
              <w:t>Cbw</w:t>
            </w:r>
            <w:bookmarkEnd w:id="243"/>
            <w:proofErr w:type="spellEnd"/>
          </w:p>
        </w:tc>
        <w:tc>
          <w:tcPr>
            <w:tcW w:w="2260" w:type="dxa"/>
          </w:tcPr>
          <w:p w:rsidRPr="00755640" w:rsidR="008B722F" w:rsidP="008B722F" w:rsidRDefault="00E37D74" w14:paraId="6C3E53FC" w14:textId="6C61DB46">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37D74" w14:paraId="2E28DC4A" w14:textId="4ABD823E">
            <w:pPr>
              <w:pStyle w:val="Geenafstand"/>
              <w:rPr>
                <w:rFonts w:ascii="Verdana" w:hAnsi="Verdana"/>
                <w:sz w:val="15"/>
                <w:szCs w:val="15"/>
              </w:rPr>
            </w:pPr>
            <w:r w:rsidRPr="00755640">
              <w:rPr>
                <w:rFonts w:ascii="Verdana" w:hAnsi="Verdana"/>
                <w:sz w:val="15"/>
                <w:szCs w:val="15"/>
              </w:rPr>
              <w:t>-</w:t>
            </w:r>
          </w:p>
        </w:tc>
      </w:tr>
      <w:tr w:rsidRPr="00755640" w:rsidR="00D66BB6" w:rsidTr="006231F6" w14:paraId="6CA4917D" w14:textId="77777777">
        <w:tc>
          <w:tcPr>
            <w:tcW w:w="2260" w:type="dxa"/>
          </w:tcPr>
          <w:p w:rsidRPr="00755640" w:rsidR="008B722F" w:rsidP="008B722F" w:rsidRDefault="008B722F" w14:paraId="5056800B" w14:textId="01601B73">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d</w:t>
            </w:r>
          </w:p>
        </w:tc>
        <w:tc>
          <w:tcPr>
            <w:tcW w:w="2260" w:type="dxa"/>
          </w:tcPr>
          <w:p w:rsidRPr="00755640" w:rsidR="008B722F" w:rsidP="008B722F" w:rsidRDefault="00E37D74" w14:paraId="217B07DB" w14:textId="09985D87">
            <w:pPr>
              <w:pStyle w:val="Geenafstand"/>
              <w:rPr>
                <w:rFonts w:ascii="Verdana" w:hAnsi="Verdana"/>
                <w:sz w:val="15"/>
                <w:szCs w:val="15"/>
              </w:rPr>
            </w:pPr>
            <w:bookmarkStart w:name="_Hlk181289681" w:id="244"/>
            <w:r w:rsidRPr="00755640">
              <w:rPr>
                <w:rFonts w:ascii="Verdana" w:hAnsi="Verdana"/>
                <w:sz w:val="15"/>
                <w:szCs w:val="15"/>
              </w:rPr>
              <w:t xml:space="preserve">Artikel </w:t>
            </w:r>
            <w:r w:rsidR="00DD2E0D">
              <w:rPr>
                <w:rFonts w:ascii="Verdana" w:hAnsi="Verdana"/>
                <w:sz w:val="15"/>
                <w:szCs w:val="15"/>
              </w:rPr>
              <w:t>71</w:t>
            </w:r>
            <w:r w:rsidRPr="00755640">
              <w:rPr>
                <w:rFonts w:ascii="Verdana" w:hAnsi="Verdana"/>
                <w:sz w:val="15"/>
                <w:szCs w:val="15"/>
              </w:rPr>
              <w:t xml:space="preserve"> </w:t>
            </w:r>
            <w:proofErr w:type="spellStart"/>
            <w:r w:rsidRPr="00755640">
              <w:rPr>
                <w:rFonts w:ascii="Verdana" w:hAnsi="Verdana"/>
                <w:sz w:val="15"/>
                <w:szCs w:val="15"/>
              </w:rPr>
              <w:t>Cbw</w:t>
            </w:r>
            <w:bookmarkEnd w:id="244"/>
            <w:proofErr w:type="spellEnd"/>
          </w:p>
        </w:tc>
        <w:tc>
          <w:tcPr>
            <w:tcW w:w="2260" w:type="dxa"/>
          </w:tcPr>
          <w:p w:rsidRPr="00755640" w:rsidR="008B722F" w:rsidP="008B722F" w:rsidRDefault="00E37D74" w14:paraId="07E91894" w14:textId="24877983">
            <w:pPr>
              <w:pStyle w:val="Geenafstand"/>
              <w:rPr>
                <w:rFonts w:ascii="Verdana" w:hAnsi="Verdana"/>
                <w:sz w:val="15"/>
                <w:szCs w:val="15"/>
              </w:rPr>
            </w:pPr>
            <w:r w:rsidRPr="00755640">
              <w:rPr>
                <w:rFonts w:ascii="Verdana" w:hAnsi="Verdana"/>
                <w:sz w:val="15"/>
                <w:szCs w:val="15"/>
              </w:rPr>
              <w:t>-</w:t>
            </w:r>
            <w:r w:rsidRPr="00755640" w:rsidR="008B722F">
              <w:rPr>
                <w:rFonts w:ascii="Verdana" w:hAnsi="Verdana"/>
                <w:sz w:val="15"/>
                <w:szCs w:val="15"/>
              </w:rPr>
              <w:t xml:space="preserve"> </w:t>
            </w:r>
          </w:p>
        </w:tc>
        <w:tc>
          <w:tcPr>
            <w:tcW w:w="2261" w:type="dxa"/>
          </w:tcPr>
          <w:p w:rsidRPr="00755640" w:rsidR="008B722F" w:rsidP="008B722F" w:rsidRDefault="00E37D74" w14:paraId="1460AC34" w14:textId="7D470E3B">
            <w:pPr>
              <w:pStyle w:val="Geenafstand"/>
              <w:rPr>
                <w:rFonts w:ascii="Verdana" w:hAnsi="Verdana"/>
                <w:sz w:val="15"/>
                <w:szCs w:val="15"/>
              </w:rPr>
            </w:pPr>
            <w:r w:rsidRPr="00755640">
              <w:rPr>
                <w:rFonts w:ascii="Verdana" w:hAnsi="Verdana"/>
                <w:sz w:val="15"/>
                <w:szCs w:val="15"/>
              </w:rPr>
              <w:t>-</w:t>
            </w:r>
          </w:p>
        </w:tc>
      </w:tr>
      <w:tr w:rsidRPr="00755640" w:rsidR="00D66BB6" w:rsidTr="006231F6" w14:paraId="7F606D46" w14:textId="77777777">
        <w:tc>
          <w:tcPr>
            <w:tcW w:w="2260" w:type="dxa"/>
          </w:tcPr>
          <w:p w:rsidRPr="00755640" w:rsidR="008B722F" w:rsidP="008B722F" w:rsidRDefault="008B722F" w14:paraId="2DA84AE5" w14:textId="5F09BD5A">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e</w:t>
            </w:r>
          </w:p>
        </w:tc>
        <w:tc>
          <w:tcPr>
            <w:tcW w:w="2260" w:type="dxa"/>
          </w:tcPr>
          <w:p w:rsidRPr="00755640" w:rsidR="008B722F" w:rsidP="008B722F" w:rsidRDefault="00DD2E0D" w14:paraId="2C4DED1D" w14:textId="2C96294E">
            <w:pPr>
              <w:pStyle w:val="Geenafstand"/>
              <w:rPr>
                <w:rFonts w:ascii="Verdana" w:hAnsi="Verdana"/>
                <w:sz w:val="15"/>
                <w:szCs w:val="15"/>
              </w:rPr>
            </w:pPr>
            <w:bookmarkStart w:name="_Hlk181289676" w:id="245"/>
            <w:r>
              <w:rPr>
                <w:rFonts w:ascii="Verdana" w:hAnsi="Verdana"/>
                <w:sz w:val="15"/>
                <w:szCs w:val="15"/>
              </w:rPr>
              <w:t>Reeds geïmplementeerd in d</w:t>
            </w:r>
            <w:r w:rsidRPr="00755640" w:rsidR="002233A2">
              <w:rPr>
                <w:rFonts w:ascii="Verdana" w:hAnsi="Verdana"/>
                <w:sz w:val="15"/>
                <w:szCs w:val="15"/>
              </w:rPr>
              <w:t>e artikelen 5:16 en 5:17</w:t>
            </w:r>
            <w:r w:rsidRPr="00755640" w:rsidR="00D01CE0">
              <w:rPr>
                <w:rFonts w:ascii="Verdana" w:hAnsi="Verdana"/>
                <w:sz w:val="15"/>
                <w:szCs w:val="15"/>
              </w:rPr>
              <w:t xml:space="preserve"> </w:t>
            </w:r>
            <w:proofErr w:type="spellStart"/>
            <w:r w:rsidRPr="00755640" w:rsidR="00D01CE0">
              <w:rPr>
                <w:rFonts w:ascii="Verdana" w:hAnsi="Verdana"/>
                <w:sz w:val="15"/>
                <w:szCs w:val="15"/>
              </w:rPr>
              <w:t>Awb</w:t>
            </w:r>
            <w:bookmarkEnd w:id="245"/>
            <w:proofErr w:type="spellEnd"/>
          </w:p>
        </w:tc>
        <w:tc>
          <w:tcPr>
            <w:tcW w:w="2260" w:type="dxa"/>
          </w:tcPr>
          <w:p w:rsidRPr="00755640" w:rsidR="008B722F" w:rsidP="008B722F" w:rsidRDefault="00E37D74" w14:paraId="448E34AC" w14:textId="5F2C1FE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37D74" w14:paraId="1E877ABC" w14:textId="399016A4">
            <w:pPr>
              <w:pStyle w:val="Geenafstand"/>
              <w:rPr>
                <w:rFonts w:ascii="Verdana" w:hAnsi="Verdana"/>
                <w:sz w:val="15"/>
                <w:szCs w:val="15"/>
              </w:rPr>
            </w:pPr>
            <w:r w:rsidRPr="00755640">
              <w:rPr>
                <w:rFonts w:ascii="Verdana" w:hAnsi="Verdana"/>
                <w:sz w:val="15"/>
                <w:szCs w:val="15"/>
              </w:rPr>
              <w:t>-</w:t>
            </w:r>
          </w:p>
        </w:tc>
      </w:tr>
      <w:tr w:rsidRPr="00755640" w:rsidR="00D66BB6" w:rsidTr="006231F6" w14:paraId="1C19A870" w14:textId="77777777">
        <w:tc>
          <w:tcPr>
            <w:tcW w:w="2260" w:type="dxa"/>
          </w:tcPr>
          <w:p w:rsidRPr="00755640" w:rsidR="008B722F" w:rsidP="008B722F" w:rsidRDefault="008B722F" w14:paraId="10A4C70A" w14:textId="3222FFB0">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f</w:t>
            </w:r>
          </w:p>
        </w:tc>
        <w:tc>
          <w:tcPr>
            <w:tcW w:w="2260" w:type="dxa"/>
          </w:tcPr>
          <w:p w:rsidRPr="00755640" w:rsidR="008B722F" w:rsidP="008B722F" w:rsidRDefault="00DD2E0D" w14:paraId="1C748F45" w14:textId="47ADDC79">
            <w:pPr>
              <w:pStyle w:val="Geenafstand"/>
              <w:rPr>
                <w:rFonts w:ascii="Verdana" w:hAnsi="Verdana"/>
                <w:sz w:val="15"/>
                <w:szCs w:val="15"/>
              </w:rPr>
            </w:pPr>
            <w:bookmarkStart w:name="_Hlk181289686" w:id="246"/>
            <w:r>
              <w:rPr>
                <w:rFonts w:ascii="Verdana" w:hAnsi="Verdana"/>
                <w:sz w:val="15"/>
                <w:szCs w:val="15"/>
              </w:rPr>
              <w:t>Reeds geïmplementeerd in d</w:t>
            </w:r>
            <w:r w:rsidRPr="00755640" w:rsidR="002233A2">
              <w:rPr>
                <w:rFonts w:ascii="Verdana" w:hAnsi="Verdana"/>
                <w:sz w:val="15"/>
                <w:szCs w:val="15"/>
              </w:rPr>
              <w:t xml:space="preserve">e artikelen 5:15, 5:16 en 5:17 </w:t>
            </w:r>
            <w:proofErr w:type="spellStart"/>
            <w:r w:rsidRPr="00755640" w:rsidR="00D01CE0">
              <w:rPr>
                <w:rFonts w:ascii="Verdana" w:hAnsi="Verdana"/>
                <w:sz w:val="15"/>
                <w:szCs w:val="15"/>
              </w:rPr>
              <w:t>Awb</w:t>
            </w:r>
            <w:proofErr w:type="spellEnd"/>
            <w:r w:rsidRPr="00755640" w:rsidR="008B722F">
              <w:rPr>
                <w:rFonts w:ascii="Verdana" w:hAnsi="Verdana"/>
                <w:sz w:val="15"/>
                <w:szCs w:val="15"/>
              </w:rPr>
              <w:t xml:space="preserve"> </w:t>
            </w:r>
            <w:bookmarkEnd w:id="246"/>
          </w:p>
        </w:tc>
        <w:tc>
          <w:tcPr>
            <w:tcW w:w="2260" w:type="dxa"/>
          </w:tcPr>
          <w:p w:rsidRPr="00755640" w:rsidR="008B722F" w:rsidP="008B722F" w:rsidRDefault="00E37D74" w14:paraId="3EA90C3A" w14:textId="13F6CDA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37D74" w14:paraId="7646F5D1" w14:textId="199EE981">
            <w:pPr>
              <w:pStyle w:val="Geenafstand"/>
              <w:rPr>
                <w:rFonts w:ascii="Verdana" w:hAnsi="Verdana"/>
                <w:sz w:val="15"/>
                <w:szCs w:val="15"/>
              </w:rPr>
            </w:pPr>
            <w:r w:rsidRPr="00755640">
              <w:rPr>
                <w:rFonts w:ascii="Verdana" w:hAnsi="Verdana"/>
                <w:sz w:val="15"/>
                <w:szCs w:val="15"/>
              </w:rPr>
              <w:t>-</w:t>
            </w:r>
          </w:p>
        </w:tc>
      </w:tr>
      <w:tr w:rsidRPr="00755640" w:rsidR="00D66BB6" w:rsidTr="006231F6" w14:paraId="3D627E54" w14:textId="77777777">
        <w:tc>
          <w:tcPr>
            <w:tcW w:w="2260" w:type="dxa"/>
          </w:tcPr>
          <w:p w:rsidRPr="00755640" w:rsidR="008B722F" w:rsidP="008B722F" w:rsidRDefault="008B722F" w14:paraId="198D2F23" w14:textId="3BFFF99C">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g</w:t>
            </w:r>
          </w:p>
        </w:tc>
        <w:tc>
          <w:tcPr>
            <w:tcW w:w="2260" w:type="dxa"/>
          </w:tcPr>
          <w:p w:rsidRPr="00755640" w:rsidR="008B722F" w:rsidP="008B722F" w:rsidRDefault="00DD2E0D" w14:paraId="5855FE5F" w14:textId="4B1F6B86">
            <w:pPr>
              <w:pStyle w:val="Geenafstand"/>
              <w:rPr>
                <w:rFonts w:ascii="Verdana" w:hAnsi="Verdana"/>
                <w:sz w:val="15"/>
                <w:szCs w:val="15"/>
              </w:rPr>
            </w:pPr>
            <w:bookmarkStart w:name="_Hlk181289693" w:id="247"/>
            <w:r>
              <w:rPr>
                <w:rFonts w:ascii="Verdana" w:hAnsi="Verdana"/>
                <w:sz w:val="15"/>
                <w:szCs w:val="15"/>
              </w:rPr>
              <w:t>Reeds geïmplementeerd in d</w:t>
            </w:r>
            <w:r w:rsidRPr="00755640" w:rsidR="00E37D74">
              <w:rPr>
                <w:rFonts w:ascii="Verdana" w:hAnsi="Verdana"/>
                <w:sz w:val="15"/>
                <w:szCs w:val="15"/>
              </w:rPr>
              <w:t xml:space="preserve">e artikelen </w:t>
            </w:r>
            <w:r w:rsidRPr="00755640" w:rsidR="002233A2">
              <w:rPr>
                <w:rFonts w:ascii="Verdana" w:hAnsi="Verdana"/>
                <w:sz w:val="15"/>
                <w:szCs w:val="15"/>
              </w:rPr>
              <w:t xml:space="preserve">5:16 en 5:17 </w:t>
            </w:r>
            <w:proofErr w:type="spellStart"/>
            <w:r w:rsidRPr="00755640" w:rsidR="002233A2">
              <w:rPr>
                <w:rFonts w:ascii="Verdana" w:hAnsi="Verdana"/>
                <w:sz w:val="15"/>
                <w:szCs w:val="15"/>
              </w:rPr>
              <w:t>Awb</w:t>
            </w:r>
            <w:bookmarkEnd w:id="247"/>
            <w:proofErr w:type="spellEnd"/>
          </w:p>
        </w:tc>
        <w:tc>
          <w:tcPr>
            <w:tcW w:w="2260" w:type="dxa"/>
          </w:tcPr>
          <w:p w:rsidRPr="00755640" w:rsidR="008B722F" w:rsidP="008B722F" w:rsidRDefault="00E37D74" w14:paraId="760C663D" w14:textId="4B8BD03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E37D74" w14:paraId="54BB294C" w14:textId="668943B9">
            <w:pPr>
              <w:pStyle w:val="Geenafstand"/>
              <w:rPr>
                <w:rFonts w:ascii="Verdana" w:hAnsi="Verdana"/>
                <w:sz w:val="15"/>
                <w:szCs w:val="15"/>
              </w:rPr>
            </w:pPr>
            <w:r w:rsidRPr="00755640">
              <w:rPr>
                <w:rFonts w:ascii="Verdana" w:hAnsi="Verdana"/>
                <w:sz w:val="15"/>
                <w:szCs w:val="15"/>
              </w:rPr>
              <w:t>-</w:t>
            </w:r>
          </w:p>
        </w:tc>
      </w:tr>
      <w:tr w:rsidRPr="00755640" w:rsidR="00D66BB6" w:rsidTr="006231F6" w14:paraId="20B86CE5" w14:textId="77777777">
        <w:tc>
          <w:tcPr>
            <w:tcW w:w="2260" w:type="dxa"/>
          </w:tcPr>
          <w:p w:rsidRPr="00755640" w:rsidR="008B722F" w:rsidP="008B722F" w:rsidRDefault="008B722F" w14:paraId="561E73DD" w14:textId="33482232">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 tweede volzin</w:t>
            </w:r>
          </w:p>
        </w:tc>
        <w:tc>
          <w:tcPr>
            <w:tcW w:w="2260" w:type="dxa"/>
          </w:tcPr>
          <w:p w:rsidRPr="00755640" w:rsidR="008B722F" w:rsidP="008B722F" w:rsidRDefault="009706F6" w14:paraId="694FCAA9" w14:textId="0F6CC282">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72</w:t>
            </w:r>
            <w:r w:rsidRPr="00755640">
              <w:rPr>
                <w:rFonts w:ascii="Verdana" w:hAnsi="Verdana"/>
                <w:sz w:val="15"/>
                <w:szCs w:val="15"/>
              </w:rPr>
              <w:t xml:space="preserve">, tweede lid, </w:t>
            </w:r>
            <w:proofErr w:type="spellStart"/>
            <w:r w:rsidRPr="00755640">
              <w:rPr>
                <w:rFonts w:ascii="Verdana" w:hAnsi="Verdana"/>
                <w:sz w:val="15"/>
                <w:szCs w:val="15"/>
              </w:rPr>
              <w:t>Cbw</w:t>
            </w:r>
            <w:proofErr w:type="spellEnd"/>
          </w:p>
        </w:tc>
        <w:tc>
          <w:tcPr>
            <w:tcW w:w="2260" w:type="dxa"/>
          </w:tcPr>
          <w:p w:rsidRPr="00755640" w:rsidR="008B722F" w:rsidP="008B722F" w:rsidRDefault="009706F6" w14:paraId="351EAC62" w14:textId="3847D766">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706F6" w14:paraId="74C7F028" w14:textId="047EEB86">
            <w:pPr>
              <w:pStyle w:val="Geenafstand"/>
              <w:rPr>
                <w:rFonts w:ascii="Verdana" w:hAnsi="Verdana"/>
                <w:sz w:val="15"/>
                <w:szCs w:val="15"/>
              </w:rPr>
            </w:pPr>
            <w:r w:rsidRPr="00755640">
              <w:rPr>
                <w:rFonts w:ascii="Verdana" w:hAnsi="Verdana"/>
                <w:sz w:val="15"/>
                <w:szCs w:val="15"/>
              </w:rPr>
              <w:t>-</w:t>
            </w:r>
          </w:p>
        </w:tc>
      </w:tr>
      <w:tr w:rsidRPr="00755640" w:rsidR="00D66BB6" w:rsidTr="006231F6" w14:paraId="5C44C6A7" w14:textId="77777777">
        <w:tc>
          <w:tcPr>
            <w:tcW w:w="2260" w:type="dxa"/>
          </w:tcPr>
          <w:p w:rsidRPr="00755640" w:rsidR="008B722F" w:rsidP="008B722F" w:rsidRDefault="008B722F" w14:paraId="2116C6CD" w14:textId="7154B958">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 derde volzin</w:t>
            </w:r>
          </w:p>
        </w:tc>
        <w:tc>
          <w:tcPr>
            <w:tcW w:w="2260" w:type="dxa"/>
          </w:tcPr>
          <w:p w:rsidRPr="00755640" w:rsidR="008B722F" w:rsidP="008B722F" w:rsidRDefault="009706F6" w14:paraId="01D564F8" w14:textId="26C8C8C6">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72</w:t>
            </w:r>
            <w:r w:rsidRPr="00755640">
              <w:rPr>
                <w:rFonts w:ascii="Verdana" w:hAnsi="Verdana"/>
                <w:sz w:val="15"/>
                <w:szCs w:val="15"/>
              </w:rPr>
              <w:t xml:space="preserve">, eerste lid, onderdeel b, </w:t>
            </w:r>
            <w:proofErr w:type="spellStart"/>
            <w:r w:rsidRPr="00755640">
              <w:rPr>
                <w:rFonts w:ascii="Verdana" w:hAnsi="Verdana"/>
                <w:sz w:val="15"/>
                <w:szCs w:val="15"/>
              </w:rPr>
              <w:t>Cbw</w:t>
            </w:r>
            <w:proofErr w:type="spellEnd"/>
          </w:p>
        </w:tc>
        <w:tc>
          <w:tcPr>
            <w:tcW w:w="2260" w:type="dxa"/>
          </w:tcPr>
          <w:p w:rsidRPr="00755640" w:rsidR="008B722F" w:rsidP="008B722F" w:rsidRDefault="009706F6" w14:paraId="728F1DEF" w14:textId="5A73DFB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706F6" w14:paraId="777C6198" w14:textId="542DB873">
            <w:pPr>
              <w:pStyle w:val="Geenafstand"/>
              <w:rPr>
                <w:rFonts w:ascii="Verdana" w:hAnsi="Verdana"/>
                <w:sz w:val="15"/>
                <w:szCs w:val="15"/>
              </w:rPr>
            </w:pPr>
            <w:r w:rsidRPr="00755640">
              <w:rPr>
                <w:rFonts w:ascii="Verdana" w:hAnsi="Verdana"/>
                <w:sz w:val="15"/>
                <w:szCs w:val="15"/>
              </w:rPr>
              <w:t>-</w:t>
            </w:r>
          </w:p>
        </w:tc>
      </w:tr>
      <w:tr w:rsidRPr="00755640" w:rsidR="00D66BB6" w:rsidTr="006231F6" w14:paraId="03B828F1" w14:textId="77777777">
        <w:tc>
          <w:tcPr>
            <w:tcW w:w="2260" w:type="dxa"/>
          </w:tcPr>
          <w:p w:rsidRPr="00755640" w:rsidR="008B722F" w:rsidP="008B722F" w:rsidRDefault="008B722F" w14:paraId="48648692" w14:textId="5A57555C">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tweede </w:t>
            </w:r>
            <w:r w:rsidRPr="00755640">
              <w:rPr>
                <w:rFonts w:ascii="Verdana" w:hAnsi="Verdana"/>
                <w:sz w:val="15"/>
                <w:szCs w:val="15"/>
              </w:rPr>
              <w:t>lid, vierde volzin</w:t>
            </w:r>
          </w:p>
        </w:tc>
        <w:tc>
          <w:tcPr>
            <w:tcW w:w="2260" w:type="dxa"/>
          </w:tcPr>
          <w:p w:rsidRPr="00755640" w:rsidR="008B722F" w:rsidP="008B722F" w:rsidRDefault="009706F6" w14:paraId="538B607C" w14:textId="128B5B17">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72</w:t>
            </w:r>
            <w:r w:rsidRPr="00755640">
              <w:rPr>
                <w:rFonts w:ascii="Verdana" w:hAnsi="Verdana"/>
                <w:sz w:val="15"/>
                <w:szCs w:val="15"/>
              </w:rPr>
              <w:t xml:space="preserve">, vierde lid, </w:t>
            </w:r>
            <w:proofErr w:type="spellStart"/>
            <w:r w:rsidRPr="00755640">
              <w:rPr>
                <w:rFonts w:ascii="Verdana" w:hAnsi="Verdana"/>
                <w:sz w:val="15"/>
                <w:szCs w:val="15"/>
              </w:rPr>
              <w:t>Cbw</w:t>
            </w:r>
            <w:proofErr w:type="spellEnd"/>
          </w:p>
        </w:tc>
        <w:tc>
          <w:tcPr>
            <w:tcW w:w="2260" w:type="dxa"/>
          </w:tcPr>
          <w:p w:rsidRPr="00755640" w:rsidR="008B722F" w:rsidP="008B722F" w:rsidRDefault="009706F6" w14:paraId="25015FE6" w14:textId="7536CD3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9706F6" w14:paraId="40C8AEC8" w14:textId="1F2710B1">
            <w:pPr>
              <w:pStyle w:val="Geenafstand"/>
              <w:rPr>
                <w:rFonts w:ascii="Verdana" w:hAnsi="Verdana"/>
                <w:sz w:val="15"/>
                <w:szCs w:val="15"/>
              </w:rPr>
            </w:pPr>
            <w:r w:rsidRPr="00755640">
              <w:rPr>
                <w:rFonts w:ascii="Verdana" w:hAnsi="Verdana"/>
                <w:sz w:val="15"/>
                <w:szCs w:val="15"/>
              </w:rPr>
              <w:t>-</w:t>
            </w:r>
          </w:p>
        </w:tc>
      </w:tr>
      <w:tr w:rsidRPr="00755640" w:rsidR="00D66BB6" w:rsidTr="006231F6" w14:paraId="5A83E3F9" w14:textId="77777777">
        <w:tc>
          <w:tcPr>
            <w:tcW w:w="2260" w:type="dxa"/>
          </w:tcPr>
          <w:p w:rsidRPr="00755640" w:rsidR="008B722F" w:rsidP="008B722F" w:rsidRDefault="008B722F" w14:paraId="2A993C10" w14:textId="637295F1">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392176" w14:paraId="53A203DC" w14:textId="32A45634">
            <w:pPr>
              <w:pStyle w:val="Geenafstand"/>
              <w:rPr>
                <w:rFonts w:ascii="Verdana" w:hAnsi="Verdana"/>
                <w:sz w:val="15"/>
                <w:szCs w:val="15"/>
              </w:rPr>
            </w:pPr>
            <w:r>
              <w:rPr>
                <w:rFonts w:ascii="Verdana" w:hAnsi="Verdana"/>
                <w:sz w:val="15"/>
                <w:szCs w:val="15"/>
              </w:rPr>
              <w:t>Reeds geïmplementeerd in a</w:t>
            </w:r>
            <w:r w:rsidRPr="00755640" w:rsidR="00801A1B">
              <w:rPr>
                <w:rFonts w:ascii="Verdana" w:hAnsi="Verdana"/>
                <w:sz w:val="15"/>
                <w:szCs w:val="15"/>
              </w:rPr>
              <w:t xml:space="preserve">rtikel 5:16 </w:t>
            </w:r>
            <w:proofErr w:type="spellStart"/>
            <w:r w:rsidRPr="00755640" w:rsidR="00801A1B">
              <w:rPr>
                <w:rFonts w:ascii="Verdana" w:hAnsi="Verdana"/>
                <w:sz w:val="15"/>
                <w:szCs w:val="15"/>
              </w:rPr>
              <w:t>Awb</w:t>
            </w:r>
            <w:proofErr w:type="spellEnd"/>
            <w:r w:rsidRPr="00755640" w:rsidR="00801A1B">
              <w:rPr>
                <w:rFonts w:ascii="Verdana" w:hAnsi="Verdana"/>
                <w:sz w:val="15"/>
                <w:szCs w:val="15"/>
              </w:rPr>
              <w:t>, zie toelichting</w:t>
            </w:r>
          </w:p>
        </w:tc>
        <w:tc>
          <w:tcPr>
            <w:tcW w:w="2260" w:type="dxa"/>
          </w:tcPr>
          <w:p w:rsidRPr="00755640" w:rsidR="008B722F" w:rsidP="008B722F" w:rsidRDefault="0037691E" w14:paraId="097AE4CB" w14:textId="67F17AC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01A1B" w:rsidRDefault="00801A1B" w14:paraId="4AA7F95E" w14:textId="76C98C19">
            <w:pPr>
              <w:pStyle w:val="Geenafstand"/>
              <w:rPr>
                <w:rFonts w:ascii="Verdana" w:hAnsi="Verdana"/>
                <w:sz w:val="15"/>
                <w:szCs w:val="15"/>
              </w:rPr>
            </w:pPr>
            <w:r w:rsidRPr="00755640">
              <w:rPr>
                <w:rFonts w:ascii="Verdana" w:hAnsi="Verdana"/>
                <w:sz w:val="15"/>
                <w:szCs w:val="15"/>
              </w:rPr>
              <w:t>Art</w:t>
            </w:r>
            <w:r w:rsidRPr="00755640" w:rsidR="00565D9A">
              <w:rPr>
                <w:rFonts w:ascii="Verdana" w:hAnsi="Verdana"/>
                <w:sz w:val="15"/>
                <w:szCs w:val="15"/>
              </w:rPr>
              <w:t>ikel</w:t>
            </w:r>
            <w:r w:rsidRPr="00755640">
              <w:rPr>
                <w:rFonts w:ascii="Verdana" w:hAnsi="Verdana"/>
                <w:sz w:val="15"/>
                <w:szCs w:val="15"/>
              </w:rPr>
              <w:t xml:space="preserve"> 5:16 </w:t>
            </w:r>
            <w:proofErr w:type="spellStart"/>
            <w:r w:rsidRPr="00755640">
              <w:rPr>
                <w:rFonts w:ascii="Verdana" w:hAnsi="Verdana"/>
                <w:sz w:val="15"/>
                <w:szCs w:val="15"/>
              </w:rPr>
              <w:t>Awb</w:t>
            </w:r>
            <w:proofErr w:type="spellEnd"/>
            <w:r w:rsidRPr="00755640">
              <w:rPr>
                <w:rFonts w:ascii="Verdana" w:hAnsi="Verdana"/>
                <w:sz w:val="15"/>
                <w:szCs w:val="15"/>
              </w:rPr>
              <w:t xml:space="preserve"> verschaft aan toezichthouders een algemene bevoegdheid om inlichtingen te vorderen. De toezichthouder moet zijn vordering motiveren en daarbij de wettelijke grondslag noemen.</w:t>
            </w:r>
            <w:r w:rsidRPr="00755640">
              <w:rPr>
                <w:rStyle w:val="Voetnootmarkering"/>
                <w:rFonts w:ascii="Verdana" w:hAnsi="Verdana"/>
                <w:sz w:val="15"/>
                <w:szCs w:val="15"/>
              </w:rPr>
              <w:footnoteReference w:id="82"/>
            </w:r>
            <w:r w:rsidRPr="00755640">
              <w:rPr>
                <w:rFonts w:ascii="Verdana" w:hAnsi="Verdana"/>
                <w:sz w:val="15"/>
                <w:szCs w:val="15"/>
              </w:rPr>
              <w:t xml:space="preserve"> Onderdeel van die motiveringsplicht is dat de toezichthouder motiveert waarom de gevorderde informatie noodzakelijk is voor het uitoefenen van de toezichthoudende taak.</w:t>
            </w:r>
            <w:r w:rsidRPr="00755640">
              <w:rPr>
                <w:rStyle w:val="Voetnootmarkering"/>
                <w:rFonts w:ascii="Verdana" w:hAnsi="Verdana"/>
                <w:sz w:val="15"/>
                <w:szCs w:val="15"/>
              </w:rPr>
              <w:footnoteReference w:id="83"/>
            </w:r>
            <w:r w:rsidRPr="00755640">
              <w:rPr>
                <w:rFonts w:ascii="Verdana" w:hAnsi="Verdana"/>
                <w:sz w:val="15"/>
                <w:szCs w:val="15"/>
              </w:rPr>
              <w:t xml:space="preserve"> De vordering van de toezichthouder moet voldoende concreet zijn.</w:t>
            </w:r>
            <w:r w:rsidRPr="00755640">
              <w:rPr>
                <w:rStyle w:val="Voetnootmarkering"/>
                <w:rFonts w:ascii="Verdana" w:hAnsi="Verdana"/>
                <w:sz w:val="15"/>
                <w:szCs w:val="15"/>
              </w:rPr>
              <w:footnoteReference w:id="84"/>
            </w:r>
            <w:r w:rsidRPr="00755640">
              <w:rPr>
                <w:rFonts w:ascii="Verdana" w:hAnsi="Verdana"/>
                <w:sz w:val="15"/>
                <w:szCs w:val="15"/>
              </w:rPr>
              <w:t xml:space="preserve"> </w:t>
            </w:r>
          </w:p>
        </w:tc>
      </w:tr>
      <w:tr w:rsidRPr="00755640" w:rsidR="00D66BB6" w:rsidTr="006231F6" w14:paraId="48D4963A" w14:textId="77777777">
        <w:tc>
          <w:tcPr>
            <w:tcW w:w="2260" w:type="dxa"/>
          </w:tcPr>
          <w:p w:rsidRPr="00755640" w:rsidR="008B722F" w:rsidP="008B722F" w:rsidRDefault="008B722F" w14:paraId="595884A9" w14:textId="1C4A7AAE">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a</w:t>
            </w:r>
          </w:p>
        </w:tc>
        <w:tc>
          <w:tcPr>
            <w:tcW w:w="2260" w:type="dxa"/>
          </w:tcPr>
          <w:p w:rsidRPr="00755640" w:rsidR="008B722F" w:rsidP="008B722F" w:rsidRDefault="0037691E" w14:paraId="33E63457" w14:textId="6D3C9E11">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37691E" w14:paraId="2172CB7E" w14:textId="248EC86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4BF56B1A" w14:textId="7F1302CF">
            <w:pPr>
              <w:pStyle w:val="Geenafstand"/>
              <w:rPr>
                <w:rFonts w:ascii="Verdana" w:hAnsi="Verdana"/>
                <w:sz w:val="15"/>
                <w:szCs w:val="15"/>
              </w:rPr>
            </w:pPr>
            <w:r w:rsidRPr="00755640">
              <w:rPr>
                <w:rFonts w:ascii="Verdana" w:hAnsi="Verdana"/>
                <w:sz w:val="15"/>
                <w:szCs w:val="15"/>
              </w:rPr>
              <w:t xml:space="preserve">Het kunnen geven van een waarschuwing behoeft geen opname in wet- of regelgeving. </w:t>
            </w:r>
          </w:p>
        </w:tc>
      </w:tr>
      <w:tr w:rsidRPr="00755640" w:rsidR="00D66BB6" w:rsidTr="006231F6" w14:paraId="4A6DADA7" w14:textId="77777777">
        <w:tc>
          <w:tcPr>
            <w:tcW w:w="2260" w:type="dxa"/>
          </w:tcPr>
          <w:p w:rsidRPr="00755640" w:rsidR="008B722F" w:rsidP="008B722F" w:rsidRDefault="008B722F" w14:paraId="164B1BC7" w14:textId="705118C2">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b</w:t>
            </w:r>
          </w:p>
        </w:tc>
        <w:tc>
          <w:tcPr>
            <w:tcW w:w="2260" w:type="dxa"/>
          </w:tcPr>
          <w:p w:rsidRPr="00755640" w:rsidR="008B722F" w:rsidP="008B722F" w:rsidRDefault="0037691E" w14:paraId="5A756EB1" w14:textId="658BE08E">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74</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66246E7D" w14:textId="5FDAE83D">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1EAFAAB9" w14:textId="26F91395">
            <w:pPr>
              <w:pStyle w:val="Geenafstand"/>
              <w:rPr>
                <w:rFonts w:ascii="Verdana" w:hAnsi="Verdana"/>
                <w:sz w:val="15"/>
                <w:szCs w:val="15"/>
              </w:rPr>
            </w:pPr>
            <w:r w:rsidRPr="00755640">
              <w:rPr>
                <w:rFonts w:ascii="Verdana" w:hAnsi="Verdana"/>
                <w:sz w:val="15"/>
                <w:szCs w:val="15"/>
              </w:rPr>
              <w:t>-</w:t>
            </w:r>
          </w:p>
        </w:tc>
      </w:tr>
      <w:tr w:rsidRPr="00755640" w:rsidR="00D66BB6" w:rsidTr="006231F6" w14:paraId="05EB8EDA" w14:textId="77777777">
        <w:tc>
          <w:tcPr>
            <w:tcW w:w="2260" w:type="dxa"/>
          </w:tcPr>
          <w:p w:rsidRPr="00755640" w:rsidR="008B722F" w:rsidP="008B722F" w:rsidRDefault="008B722F" w14:paraId="17BCDC35" w14:textId="722FC97A">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c</w:t>
            </w:r>
          </w:p>
        </w:tc>
        <w:tc>
          <w:tcPr>
            <w:tcW w:w="2260" w:type="dxa"/>
          </w:tcPr>
          <w:p w:rsidRPr="00755640" w:rsidR="008B722F" w:rsidP="008B722F" w:rsidRDefault="0037691E" w14:paraId="43588903" w14:textId="291AE4FA">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75</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368D14ED" w14:textId="63E78DC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5D68A3F5" w14:textId="18C09927">
            <w:pPr>
              <w:pStyle w:val="Geenafstand"/>
              <w:rPr>
                <w:rFonts w:ascii="Verdana" w:hAnsi="Verdana"/>
                <w:sz w:val="15"/>
                <w:szCs w:val="15"/>
              </w:rPr>
            </w:pPr>
            <w:r w:rsidRPr="00755640">
              <w:rPr>
                <w:rFonts w:ascii="Verdana" w:hAnsi="Verdana"/>
                <w:sz w:val="15"/>
                <w:szCs w:val="15"/>
              </w:rPr>
              <w:t>-</w:t>
            </w:r>
          </w:p>
        </w:tc>
      </w:tr>
      <w:tr w:rsidRPr="00755640" w:rsidR="00D66BB6" w:rsidTr="006231F6" w14:paraId="08795450" w14:textId="77777777">
        <w:tc>
          <w:tcPr>
            <w:tcW w:w="2260" w:type="dxa"/>
          </w:tcPr>
          <w:p w:rsidRPr="00755640" w:rsidR="008B722F" w:rsidP="008B722F" w:rsidRDefault="008B722F" w14:paraId="10070D5D" w14:textId="2E514907">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d</w:t>
            </w:r>
          </w:p>
        </w:tc>
        <w:tc>
          <w:tcPr>
            <w:tcW w:w="2260" w:type="dxa"/>
          </w:tcPr>
          <w:p w:rsidRPr="00755640" w:rsidR="008B722F" w:rsidP="008B722F" w:rsidRDefault="0037691E" w14:paraId="79985AC2" w14:textId="342DDA6C">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74</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64DECA99" w14:textId="11FF4A4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520F2ED1" w14:textId="2CBE9A3E">
            <w:pPr>
              <w:pStyle w:val="Geenafstand"/>
              <w:rPr>
                <w:rFonts w:ascii="Verdana" w:hAnsi="Verdana"/>
                <w:sz w:val="15"/>
                <w:szCs w:val="15"/>
              </w:rPr>
            </w:pPr>
            <w:r w:rsidRPr="00755640">
              <w:rPr>
                <w:rFonts w:ascii="Verdana" w:hAnsi="Verdana"/>
                <w:sz w:val="15"/>
                <w:szCs w:val="15"/>
              </w:rPr>
              <w:t>-</w:t>
            </w:r>
          </w:p>
        </w:tc>
      </w:tr>
      <w:tr w:rsidRPr="00755640" w:rsidR="00D66BB6" w:rsidTr="006231F6" w14:paraId="117AD249" w14:textId="77777777">
        <w:tc>
          <w:tcPr>
            <w:tcW w:w="2260" w:type="dxa"/>
          </w:tcPr>
          <w:p w:rsidRPr="00755640" w:rsidR="008B722F" w:rsidP="008B722F" w:rsidRDefault="008B722F" w14:paraId="7CB296CC" w14:textId="7F6B672F">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e</w:t>
            </w:r>
          </w:p>
        </w:tc>
        <w:tc>
          <w:tcPr>
            <w:tcW w:w="2260" w:type="dxa"/>
          </w:tcPr>
          <w:p w:rsidRPr="00755640" w:rsidR="008B722F" w:rsidP="008B722F" w:rsidRDefault="0037691E" w14:paraId="6A4FF94E" w14:textId="50BAD2D1">
            <w:pPr>
              <w:pStyle w:val="Geenafstand"/>
              <w:rPr>
                <w:rFonts w:ascii="Verdana" w:hAnsi="Verdana"/>
                <w:sz w:val="15"/>
                <w:szCs w:val="15"/>
              </w:rPr>
            </w:pPr>
            <w:r w:rsidRPr="00755640">
              <w:rPr>
                <w:rFonts w:ascii="Verdana" w:hAnsi="Verdana"/>
                <w:sz w:val="15"/>
                <w:szCs w:val="15"/>
              </w:rPr>
              <w:t xml:space="preserve">Artikel 38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191C2671" w14:textId="1760F580">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67FB6F40" w14:textId="1A7342B0">
            <w:pPr>
              <w:pStyle w:val="Geenafstand"/>
              <w:rPr>
                <w:rFonts w:ascii="Verdana" w:hAnsi="Verdana"/>
                <w:sz w:val="15"/>
                <w:szCs w:val="15"/>
              </w:rPr>
            </w:pPr>
            <w:r w:rsidRPr="00755640">
              <w:rPr>
                <w:rFonts w:ascii="Verdana" w:hAnsi="Verdana"/>
                <w:sz w:val="15"/>
                <w:szCs w:val="15"/>
              </w:rPr>
              <w:t>-</w:t>
            </w:r>
          </w:p>
        </w:tc>
      </w:tr>
      <w:tr w:rsidRPr="00755640" w:rsidR="00D66BB6" w:rsidTr="006231F6" w14:paraId="226825BE" w14:textId="77777777">
        <w:tc>
          <w:tcPr>
            <w:tcW w:w="2260" w:type="dxa"/>
          </w:tcPr>
          <w:p w:rsidRPr="00755640" w:rsidR="008B722F" w:rsidP="008B722F" w:rsidRDefault="008B722F" w14:paraId="615F89BA" w14:textId="1FE2A7BD">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4, aanhef en onder</w:t>
            </w:r>
            <w:r w:rsidRPr="00755640" w:rsidR="00693813">
              <w:rPr>
                <w:rFonts w:ascii="Verdana" w:hAnsi="Verdana"/>
                <w:sz w:val="15"/>
                <w:szCs w:val="15"/>
              </w:rPr>
              <w:t>deel</w:t>
            </w:r>
            <w:r w:rsidRPr="00755640">
              <w:rPr>
                <w:rFonts w:ascii="Verdana" w:hAnsi="Verdana"/>
                <w:sz w:val="15"/>
                <w:szCs w:val="15"/>
              </w:rPr>
              <w:t xml:space="preserve"> f</w:t>
            </w:r>
          </w:p>
        </w:tc>
        <w:tc>
          <w:tcPr>
            <w:tcW w:w="2260" w:type="dxa"/>
          </w:tcPr>
          <w:p w:rsidRPr="00755640" w:rsidR="008B722F" w:rsidP="008B722F" w:rsidRDefault="0037691E" w14:paraId="293392CB" w14:textId="1309E9C5">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72</w:t>
            </w:r>
            <w:r w:rsidRPr="00755640">
              <w:rPr>
                <w:rFonts w:ascii="Verdana" w:hAnsi="Verdana"/>
                <w:sz w:val="15"/>
                <w:szCs w:val="15"/>
              </w:rPr>
              <w:t xml:space="preserve">, eerste lid, onderdeel c,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3A9330A4" w14:textId="77291F34">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3BBDD494" w14:textId="067DD01D">
            <w:pPr>
              <w:pStyle w:val="Geenafstand"/>
              <w:rPr>
                <w:rFonts w:ascii="Verdana" w:hAnsi="Verdana"/>
                <w:sz w:val="15"/>
                <w:szCs w:val="15"/>
              </w:rPr>
            </w:pPr>
            <w:r w:rsidRPr="00755640">
              <w:rPr>
                <w:rFonts w:ascii="Verdana" w:hAnsi="Verdana"/>
                <w:sz w:val="15"/>
                <w:szCs w:val="15"/>
              </w:rPr>
              <w:t>-</w:t>
            </w:r>
          </w:p>
        </w:tc>
      </w:tr>
      <w:tr w:rsidRPr="00755640" w:rsidR="00D66BB6" w:rsidTr="006231F6" w14:paraId="1BE0DF15" w14:textId="77777777">
        <w:tc>
          <w:tcPr>
            <w:tcW w:w="2260" w:type="dxa"/>
          </w:tcPr>
          <w:p w:rsidRPr="00755640" w:rsidR="008B722F" w:rsidP="008B722F" w:rsidRDefault="008B722F" w14:paraId="5FBF95C9" w14:textId="56626784">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g</w:t>
            </w:r>
          </w:p>
        </w:tc>
        <w:tc>
          <w:tcPr>
            <w:tcW w:w="2260" w:type="dxa"/>
          </w:tcPr>
          <w:p w:rsidRPr="00755640" w:rsidR="008B722F" w:rsidP="008B722F" w:rsidRDefault="0037691E" w14:paraId="53E22ED6" w14:textId="0D466F64">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70</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272BBA62" w14:textId="792E4FD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539A17FE" w14:textId="101A68B0">
            <w:pPr>
              <w:pStyle w:val="Geenafstand"/>
              <w:rPr>
                <w:rFonts w:ascii="Verdana" w:hAnsi="Verdana"/>
                <w:sz w:val="15"/>
                <w:szCs w:val="15"/>
              </w:rPr>
            </w:pPr>
            <w:r w:rsidRPr="00755640">
              <w:rPr>
                <w:rFonts w:ascii="Verdana" w:hAnsi="Verdana"/>
                <w:sz w:val="15"/>
                <w:szCs w:val="15"/>
              </w:rPr>
              <w:t>-</w:t>
            </w:r>
          </w:p>
        </w:tc>
      </w:tr>
      <w:tr w:rsidRPr="00755640" w:rsidR="00D66BB6" w:rsidTr="006231F6" w14:paraId="7DC51E8D" w14:textId="77777777">
        <w:tc>
          <w:tcPr>
            <w:tcW w:w="2260" w:type="dxa"/>
          </w:tcPr>
          <w:p w:rsidRPr="00755640" w:rsidR="008B722F" w:rsidP="008B722F" w:rsidRDefault="008B722F" w14:paraId="1DBE7EA1" w14:textId="182A0D18">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h</w:t>
            </w:r>
          </w:p>
        </w:tc>
        <w:tc>
          <w:tcPr>
            <w:tcW w:w="2260" w:type="dxa"/>
          </w:tcPr>
          <w:p w:rsidRPr="00755640" w:rsidR="008B722F" w:rsidP="008B722F" w:rsidRDefault="0037691E" w14:paraId="300CA37B" w14:textId="0ED2EE25">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73</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6FE879FA" w14:textId="4D22B0C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449C52EC" w14:textId="503DCA9E">
            <w:pPr>
              <w:pStyle w:val="Geenafstand"/>
              <w:rPr>
                <w:rFonts w:ascii="Verdana" w:hAnsi="Verdana"/>
                <w:sz w:val="15"/>
                <w:szCs w:val="15"/>
              </w:rPr>
            </w:pPr>
            <w:r w:rsidRPr="00755640">
              <w:rPr>
                <w:rFonts w:ascii="Verdana" w:hAnsi="Verdana"/>
                <w:sz w:val="15"/>
                <w:szCs w:val="15"/>
              </w:rPr>
              <w:t>-</w:t>
            </w:r>
          </w:p>
        </w:tc>
      </w:tr>
      <w:tr w:rsidRPr="00755640" w:rsidR="00D66BB6" w:rsidTr="006231F6" w14:paraId="0207ED8C" w14:textId="77777777">
        <w:tc>
          <w:tcPr>
            <w:tcW w:w="2260" w:type="dxa"/>
          </w:tcPr>
          <w:p w:rsidRPr="00755640" w:rsidR="008B722F" w:rsidP="008B722F" w:rsidRDefault="008B722F" w14:paraId="18BB3A37" w14:textId="204518E7">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vierde </w:t>
            </w:r>
            <w:r w:rsidRPr="00755640">
              <w:rPr>
                <w:rFonts w:ascii="Verdana" w:hAnsi="Verdana"/>
                <w:sz w:val="15"/>
                <w:szCs w:val="15"/>
              </w:rPr>
              <w:t>lid, aanhef en onder</w:t>
            </w:r>
            <w:r w:rsidRPr="00755640" w:rsidR="00693813">
              <w:rPr>
                <w:rFonts w:ascii="Verdana" w:hAnsi="Verdana"/>
                <w:sz w:val="15"/>
                <w:szCs w:val="15"/>
              </w:rPr>
              <w:t>deel</w:t>
            </w:r>
            <w:r w:rsidRPr="00755640">
              <w:rPr>
                <w:rFonts w:ascii="Verdana" w:hAnsi="Verdana"/>
                <w:sz w:val="15"/>
                <w:szCs w:val="15"/>
              </w:rPr>
              <w:t xml:space="preserve"> i</w:t>
            </w:r>
          </w:p>
        </w:tc>
        <w:tc>
          <w:tcPr>
            <w:tcW w:w="2260" w:type="dxa"/>
          </w:tcPr>
          <w:p w:rsidRPr="00755640" w:rsidR="008B722F" w:rsidP="008B722F" w:rsidRDefault="0037691E" w14:paraId="61B513CA" w14:textId="715EC707">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80</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37691E" w14:paraId="7AC514FB" w14:textId="5195CC8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7691E" w14:paraId="75C2D0E6" w14:textId="16C3689B">
            <w:pPr>
              <w:pStyle w:val="Geenafstand"/>
              <w:rPr>
                <w:rFonts w:ascii="Verdana" w:hAnsi="Verdana"/>
                <w:sz w:val="15"/>
                <w:szCs w:val="15"/>
              </w:rPr>
            </w:pPr>
            <w:r w:rsidRPr="00755640">
              <w:rPr>
                <w:rFonts w:ascii="Verdana" w:hAnsi="Verdana"/>
                <w:sz w:val="15"/>
                <w:szCs w:val="15"/>
              </w:rPr>
              <w:t>-</w:t>
            </w:r>
          </w:p>
        </w:tc>
      </w:tr>
      <w:tr w:rsidRPr="00755640" w:rsidR="00D66BB6" w:rsidTr="006231F6" w14:paraId="66050EAC" w14:textId="77777777">
        <w:tc>
          <w:tcPr>
            <w:tcW w:w="2260" w:type="dxa"/>
          </w:tcPr>
          <w:p w:rsidRPr="00755640" w:rsidR="008B722F" w:rsidP="008B722F" w:rsidRDefault="008B722F" w14:paraId="7F9A7A9A" w14:textId="45805460">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vijfde </w:t>
            </w:r>
            <w:r w:rsidRPr="00755640">
              <w:rPr>
                <w:rFonts w:ascii="Verdana" w:hAnsi="Verdana"/>
                <w:sz w:val="15"/>
                <w:szCs w:val="15"/>
              </w:rPr>
              <w:t xml:space="preserve">lid </w:t>
            </w:r>
          </w:p>
        </w:tc>
        <w:tc>
          <w:tcPr>
            <w:tcW w:w="2260" w:type="dxa"/>
          </w:tcPr>
          <w:p w:rsidRPr="00755640" w:rsidR="008B722F" w:rsidP="008B722F" w:rsidRDefault="001E2974" w14:paraId="645E57AF" w14:textId="61A8493A">
            <w:pPr>
              <w:pStyle w:val="Geenafstand"/>
              <w:rPr>
                <w:rFonts w:ascii="Verdana" w:hAnsi="Verdana"/>
                <w:sz w:val="15"/>
                <w:szCs w:val="15"/>
              </w:rPr>
            </w:pPr>
            <w:r w:rsidRPr="00755640">
              <w:rPr>
                <w:rFonts w:ascii="Verdana" w:hAnsi="Verdana"/>
                <w:sz w:val="15"/>
                <w:szCs w:val="15"/>
              </w:rPr>
              <w:t xml:space="preserve">De artikelen </w:t>
            </w:r>
            <w:r w:rsidR="00392176">
              <w:rPr>
                <w:rFonts w:ascii="Verdana" w:hAnsi="Verdana"/>
                <w:sz w:val="15"/>
                <w:szCs w:val="15"/>
              </w:rPr>
              <w:t>76</w:t>
            </w:r>
            <w:r w:rsidRPr="00755640" w:rsidR="00392176">
              <w:rPr>
                <w:rFonts w:ascii="Verdana" w:hAnsi="Verdana"/>
                <w:sz w:val="15"/>
                <w:szCs w:val="15"/>
              </w:rPr>
              <w:t xml:space="preserve"> </w:t>
            </w:r>
            <w:r w:rsidRPr="00755640" w:rsidR="0037691E">
              <w:rPr>
                <w:rFonts w:ascii="Verdana" w:hAnsi="Verdana"/>
                <w:sz w:val="15"/>
                <w:szCs w:val="15"/>
              </w:rPr>
              <w:t xml:space="preserve">tot en met </w:t>
            </w:r>
            <w:r w:rsidR="00392176">
              <w:rPr>
                <w:rFonts w:ascii="Verdana" w:hAnsi="Verdana"/>
                <w:sz w:val="15"/>
                <w:szCs w:val="15"/>
              </w:rPr>
              <w:t>79</w:t>
            </w:r>
            <w:r w:rsidRPr="00755640" w:rsidR="00392176">
              <w:rPr>
                <w:rFonts w:ascii="Verdana" w:hAnsi="Verdana"/>
                <w:sz w:val="15"/>
                <w:szCs w:val="15"/>
              </w:rPr>
              <w:t xml:space="preserve"> </w:t>
            </w:r>
            <w:proofErr w:type="spellStart"/>
            <w:r w:rsidRPr="00755640" w:rsidR="00FE02ED">
              <w:rPr>
                <w:rFonts w:ascii="Verdana" w:hAnsi="Verdana"/>
                <w:sz w:val="15"/>
                <w:szCs w:val="15"/>
              </w:rPr>
              <w:t>Cbw</w:t>
            </w:r>
            <w:proofErr w:type="spellEnd"/>
          </w:p>
        </w:tc>
        <w:tc>
          <w:tcPr>
            <w:tcW w:w="2260" w:type="dxa"/>
          </w:tcPr>
          <w:p w:rsidRPr="00755640" w:rsidR="008B722F" w:rsidP="008B722F" w:rsidRDefault="00FE02ED" w14:paraId="1256CA97" w14:textId="2E0FF6AA">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E02ED" w14:paraId="26A6B98E" w14:textId="6EBFDE35">
            <w:pPr>
              <w:pStyle w:val="Geenafstand"/>
              <w:rPr>
                <w:rFonts w:ascii="Verdana" w:hAnsi="Verdana"/>
                <w:sz w:val="15"/>
                <w:szCs w:val="15"/>
              </w:rPr>
            </w:pPr>
            <w:r w:rsidRPr="00755640">
              <w:rPr>
                <w:rFonts w:ascii="Verdana" w:hAnsi="Verdana"/>
                <w:sz w:val="15"/>
                <w:szCs w:val="15"/>
              </w:rPr>
              <w:t>-</w:t>
            </w:r>
          </w:p>
        </w:tc>
      </w:tr>
      <w:tr w:rsidRPr="00755640" w:rsidR="00D66BB6" w:rsidTr="006231F6" w14:paraId="03DEF54D" w14:textId="77777777">
        <w:tc>
          <w:tcPr>
            <w:tcW w:w="2260" w:type="dxa"/>
          </w:tcPr>
          <w:p w:rsidRPr="00755640" w:rsidR="008B722F" w:rsidP="008B722F" w:rsidRDefault="008B722F" w14:paraId="7E538E8B" w14:textId="7C41EC90">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392176" w14:paraId="6690598A" w14:textId="21D23076">
            <w:pPr>
              <w:pStyle w:val="Geenafstand"/>
              <w:rPr>
                <w:rFonts w:ascii="Verdana" w:hAnsi="Verdana"/>
                <w:sz w:val="15"/>
                <w:szCs w:val="15"/>
              </w:rPr>
            </w:pPr>
            <w:r>
              <w:rPr>
                <w:rFonts w:ascii="Verdana" w:hAnsi="Verdana"/>
                <w:sz w:val="15"/>
                <w:szCs w:val="15"/>
              </w:rPr>
              <w:t>Reeds geïmplementeerd in a</w:t>
            </w:r>
            <w:r w:rsidRPr="00755640" w:rsidR="004705AE">
              <w:rPr>
                <w:rFonts w:ascii="Verdana" w:hAnsi="Verdana"/>
                <w:sz w:val="15"/>
                <w:szCs w:val="15"/>
              </w:rPr>
              <w:t xml:space="preserve">rtikel 5:1 </w:t>
            </w:r>
            <w:proofErr w:type="spellStart"/>
            <w:r w:rsidRPr="00755640" w:rsidR="004705AE">
              <w:rPr>
                <w:rFonts w:ascii="Verdana" w:hAnsi="Verdana"/>
                <w:sz w:val="15"/>
                <w:szCs w:val="15"/>
              </w:rPr>
              <w:t>Awb</w:t>
            </w:r>
            <w:proofErr w:type="spellEnd"/>
            <w:r w:rsidR="00584893">
              <w:rPr>
                <w:rFonts w:ascii="Verdana" w:hAnsi="Verdana"/>
                <w:sz w:val="15"/>
                <w:szCs w:val="15"/>
              </w:rPr>
              <w:t xml:space="preserve"> en artikel 2:9 BW</w:t>
            </w:r>
          </w:p>
        </w:tc>
        <w:tc>
          <w:tcPr>
            <w:tcW w:w="2260" w:type="dxa"/>
          </w:tcPr>
          <w:p w:rsidRPr="00755640" w:rsidR="008B722F" w:rsidP="008B722F" w:rsidRDefault="004705AE" w14:paraId="4AC7E477" w14:textId="3A15990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40A86" w14:paraId="71948132" w14:textId="7E1C4C6F">
            <w:pPr>
              <w:pStyle w:val="Geenafstand"/>
              <w:rPr>
                <w:rFonts w:ascii="Verdana" w:hAnsi="Verdana"/>
                <w:sz w:val="15"/>
                <w:szCs w:val="15"/>
              </w:rPr>
            </w:pPr>
            <w:r w:rsidRPr="00755640">
              <w:rPr>
                <w:rFonts w:ascii="Verdana" w:hAnsi="Verdana"/>
                <w:sz w:val="15"/>
                <w:szCs w:val="15"/>
              </w:rPr>
              <w:t>Zie paragraaf 5.6.</w:t>
            </w:r>
            <w:r w:rsidR="0069259D">
              <w:rPr>
                <w:rFonts w:ascii="Verdana" w:hAnsi="Verdana"/>
                <w:sz w:val="15"/>
                <w:szCs w:val="15"/>
              </w:rPr>
              <w:t>7</w:t>
            </w:r>
            <w:r w:rsidRPr="00755640">
              <w:rPr>
                <w:rFonts w:ascii="Verdana" w:hAnsi="Verdana"/>
                <w:sz w:val="15"/>
                <w:szCs w:val="15"/>
              </w:rPr>
              <w:t xml:space="preserve"> voor een toelichting hierop.</w:t>
            </w:r>
          </w:p>
        </w:tc>
      </w:tr>
      <w:tr w:rsidRPr="00755640" w:rsidR="00D66BB6" w:rsidTr="006231F6" w14:paraId="13E052CB" w14:textId="77777777">
        <w:tc>
          <w:tcPr>
            <w:tcW w:w="2260" w:type="dxa"/>
          </w:tcPr>
          <w:p w:rsidRPr="00755640" w:rsidR="008B722F" w:rsidP="008B722F" w:rsidRDefault="008B722F" w14:paraId="07C168D2" w14:textId="081D38B1">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zevende </w:t>
            </w:r>
            <w:r w:rsidRPr="00755640">
              <w:rPr>
                <w:rFonts w:ascii="Verdana" w:hAnsi="Verdana"/>
                <w:sz w:val="15"/>
                <w:szCs w:val="15"/>
              </w:rPr>
              <w:t>lid</w:t>
            </w:r>
          </w:p>
        </w:tc>
        <w:tc>
          <w:tcPr>
            <w:tcW w:w="2260" w:type="dxa"/>
          </w:tcPr>
          <w:p w:rsidRPr="00755640" w:rsidR="008B722F" w:rsidP="008B722F" w:rsidRDefault="00C116DA" w14:paraId="21DEE5C1" w14:textId="1EAD2BDF">
            <w:pPr>
              <w:pStyle w:val="Geenafstand"/>
              <w:rPr>
                <w:rFonts w:ascii="Verdana" w:hAnsi="Verdana"/>
                <w:sz w:val="15"/>
                <w:szCs w:val="15"/>
              </w:rPr>
            </w:pPr>
            <w:r w:rsidRPr="00AC1DE0">
              <w:rPr>
                <w:rFonts w:ascii="Verdana" w:hAnsi="Verdana"/>
                <w:sz w:val="15"/>
                <w:szCs w:val="15"/>
              </w:rPr>
              <w:t xml:space="preserve">Artikel </w:t>
            </w:r>
            <w:r w:rsidRPr="00AC1DE0" w:rsidR="00D644AC">
              <w:rPr>
                <w:rFonts w:ascii="Verdana" w:hAnsi="Verdana"/>
                <w:sz w:val="15"/>
                <w:szCs w:val="15"/>
              </w:rPr>
              <w:t xml:space="preserve">69 </w:t>
            </w:r>
            <w:proofErr w:type="spellStart"/>
            <w:r w:rsidRPr="00AC1DE0">
              <w:rPr>
                <w:rFonts w:ascii="Verdana" w:hAnsi="Verdana"/>
                <w:sz w:val="15"/>
                <w:szCs w:val="15"/>
              </w:rPr>
              <w:t>Cbw</w:t>
            </w:r>
            <w:proofErr w:type="spellEnd"/>
          </w:p>
        </w:tc>
        <w:tc>
          <w:tcPr>
            <w:tcW w:w="2260" w:type="dxa"/>
          </w:tcPr>
          <w:p w:rsidRPr="00755640" w:rsidR="008B722F" w:rsidP="008B722F" w:rsidRDefault="007D2134" w14:paraId="7F20F00E" w14:textId="4129D89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116DA" w14:paraId="2DA64C36" w14:textId="2380AB1C">
            <w:pPr>
              <w:pStyle w:val="Geenafstand"/>
              <w:rPr>
                <w:rFonts w:ascii="Verdana" w:hAnsi="Verdana"/>
                <w:sz w:val="15"/>
                <w:szCs w:val="15"/>
              </w:rPr>
            </w:pPr>
            <w:r>
              <w:rPr>
                <w:rFonts w:ascii="Verdana" w:hAnsi="Verdana"/>
                <w:sz w:val="15"/>
                <w:szCs w:val="15"/>
              </w:rPr>
              <w:t>-</w:t>
            </w:r>
          </w:p>
        </w:tc>
      </w:tr>
      <w:tr w:rsidRPr="00755640" w:rsidR="00D66BB6" w:rsidTr="006231F6" w14:paraId="76A3205B" w14:textId="77777777">
        <w:tc>
          <w:tcPr>
            <w:tcW w:w="2260" w:type="dxa"/>
          </w:tcPr>
          <w:p w:rsidRPr="00755640" w:rsidR="008B722F" w:rsidP="008B722F" w:rsidRDefault="008B722F" w14:paraId="5E759B73" w14:textId="05A8EF54">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achtste </w:t>
            </w:r>
            <w:r w:rsidRPr="00755640">
              <w:rPr>
                <w:rFonts w:ascii="Verdana" w:hAnsi="Verdana"/>
                <w:sz w:val="15"/>
                <w:szCs w:val="15"/>
              </w:rPr>
              <w:t>lid</w:t>
            </w:r>
          </w:p>
        </w:tc>
        <w:tc>
          <w:tcPr>
            <w:tcW w:w="2260" w:type="dxa"/>
          </w:tcPr>
          <w:p w:rsidRPr="00755640" w:rsidR="008B722F" w:rsidP="008B722F" w:rsidRDefault="007D2134" w14:paraId="60D985BC" w14:textId="7D664E86">
            <w:pPr>
              <w:pStyle w:val="Geenafstand"/>
              <w:rPr>
                <w:rFonts w:ascii="Verdana" w:hAnsi="Verdana"/>
                <w:sz w:val="15"/>
                <w:szCs w:val="15"/>
              </w:rPr>
            </w:pPr>
            <w:r w:rsidRPr="00755640">
              <w:rPr>
                <w:rFonts w:ascii="Verdana" w:hAnsi="Verdana"/>
                <w:sz w:val="15"/>
                <w:szCs w:val="15"/>
              </w:rPr>
              <w:t>Reeds geïmplementeerd door middel van bestaand recht, zie toelichting</w:t>
            </w:r>
          </w:p>
        </w:tc>
        <w:tc>
          <w:tcPr>
            <w:tcW w:w="2260" w:type="dxa"/>
          </w:tcPr>
          <w:p w:rsidRPr="00755640" w:rsidR="008B722F" w:rsidP="008B722F" w:rsidRDefault="007D2134" w14:paraId="13EC59E9" w14:textId="6831F02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7D2134" w14:paraId="6D420699" w14:textId="341C4B8F">
            <w:pPr>
              <w:pStyle w:val="Geenafstand"/>
              <w:rPr>
                <w:rFonts w:ascii="Verdana" w:hAnsi="Verdana"/>
                <w:sz w:val="15"/>
                <w:szCs w:val="15"/>
              </w:rPr>
            </w:pPr>
            <w:r w:rsidRPr="00755640">
              <w:rPr>
                <w:rFonts w:ascii="Verdana" w:hAnsi="Verdana"/>
                <w:sz w:val="15"/>
                <w:szCs w:val="15"/>
              </w:rPr>
              <w:t>Zie paragraaf 5.9 voor een toelichting hierop.</w:t>
            </w:r>
          </w:p>
        </w:tc>
      </w:tr>
      <w:tr w:rsidRPr="00755640" w:rsidR="00D66BB6" w:rsidTr="006231F6" w14:paraId="1E36AFFC" w14:textId="77777777">
        <w:tc>
          <w:tcPr>
            <w:tcW w:w="2260" w:type="dxa"/>
          </w:tcPr>
          <w:p w:rsidRPr="00755640" w:rsidR="008B722F" w:rsidP="008B722F" w:rsidRDefault="008B722F" w14:paraId="4DBEDEEF" w14:textId="314EB6ED">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negende </w:t>
            </w:r>
            <w:r w:rsidRPr="00755640">
              <w:rPr>
                <w:rFonts w:ascii="Verdana" w:hAnsi="Verdana"/>
                <w:sz w:val="15"/>
                <w:szCs w:val="15"/>
              </w:rPr>
              <w:t>lid</w:t>
            </w:r>
          </w:p>
        </w:tc>
        <w:tc>
          <w:tcPr>
            <w:tcW w:w="2260" w:type="dxa"/>
          </w:tcPr>
          <w:p w:rsidRPr="00755640" w:rsidR="008B722F" w:rsidP="008B722F" w:rsidRDefault="00AF1039" w14:paraId="2E7B67AB" w14:textId="4AD0A32B">
            <w:pPr>
              <w:pStyle w:val="Geenafstand"/>
              <w:rPr>
                <w:rFonts w:ascii="Verdana" w:hAnsi="Verdana"/>
                <w:sz w:val="15"/>
                <w:szCs w:val="15"/>
              </w:rPr>
            </w:pPr>
            <w:r w:rsidRPr="00755640">
              <w:rPr>
                <w:rFonts w:ascii="Verdana" w:hAnsi="Verdana"/>
                <w:sz w:val="15"/>
                <w:szCs w:val="15"/>
              </w:rPr>
              <w:t xml:space="preserve">Artikel 56, tweede lid, </w:t>
            </w:r>
            <w:proofErr w:type="spellStart"/>
            <w:r w:rsidRPr="00755640">
              <w:rPr>
                <w:rFonts w:ascii="Verdana" w:hAnsi="Verdana"/>
                <w:sz w:val="15"/>
                <w:szCs w:val="15"/>
              </w:rPr>
              <w:t>Cbw</w:t>
            </w:r>
            <w:proofErr w:type="spellEnd"/>
            <w:r w:rsidRPr="00755640">
              <w:rPr>
                <w:rFonts w:ascii="Verdana" w:hAnsi="Verdana"/>
                <w:sz w:val="15"/>
                <w:szCs w:val="15"/>
              </w:rPr>
              <w:t xml:space="preserve"> en artikel </w:t>
            </w:r>
            <w:r w:rsidR="004C30C3">
              <w:rPr>
                <w:rFonts w:ascii="Verdana" w:hAnsi="Verdana"/>
                <w:sz w:val="15"/>
                <w:szCs w:val="15"/>
              </w:rPr>
              <w:t>27</w:t>
            </w:r>
            <w:r w:rsidRPr="00755640">
              <w:rPr>
                <w:rFonts w:ascii="Verdana" w:hAnsi="Verdana"/>
                <w:sz w:val="15"/>
                <w:szCs w:val="15"/>
              </w:rPr>
              <w:t xml:space="preserve">, </w:t>
            </w:r>
            <w:r w:rsidR="004C30C3">
              <w:rPr>
                <w:rFonts w:ascii="Verdana" w:hAnsi="Verdana"/>
                <w:sz w:val="15"/>
                <w:szCs w:val="15"/>
              </w:rPr>
              <w:t>vijfde en zesde</w:t>
            </w:r>
            <w:r w:rsidRPr="00755640">
              <w:rPr>
                <w:rFonts w:ascii="Verdana" w:hAnsi="Verdana"/>
                <w:sz w:val="15"/>
                <w:szCs w:val="15"/>
              </w:rPr>
              <w:t xml:space="preserve"> lid, </w:t>
            </w:r>
            <w:proofErr w:type="spellStart"/>
            <w:r w:rsidRPr="00755640">
              <w:rPr>
                <w:rFonts w:ascii="Verdana" w:hAnsi="Verdana"/>
                <w:sz w:val="15"/>
                <w:szCs w:val="15"/>
              </w:rPr>
              <w:t>Wwke</w:t>
            </w:r>
            <w:proofErr w:type="spellEnd"/>
          </w:p>
        </w:tc>
        <w:tc>
          <w:tcPr>
            <w:tcW w:w="2260" w:type="dxa"/>
          </w:tcPr>
          <w:p w:rsidRPr="00755640" w:rsidR="008B722F" w:rsidP="008B722F" w:rsidRDefault="00AF1039" w14:paraId="4F44D3BA" w14:textId="6C12AEE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AF1039" w14:paraId="1E7B60C9" w14:textId="5CF57082">
            <w:pPr>
              <w:pStyle w:val="Geenafstand"/>
              <w:rPr>
                <w:rFonts w:ascii="Verdana" w:hAnsi="Verdana"/>
                <w:sz w:val="15"/>
                <w:szCs w:val="15"/>
              </w:rPr>
            </w:pPr>
            <w:r w:rsidRPr="00755640">
              <w:rPr>
                <w:rFonts w:ascii="Verdana" w:hAnsi="Verdana"/>
                <w:sz w:val="15"/>
                <w:szCs w:val="15"/>
              </w:rPr>
              <w:t>-</w:t>
            </w:r>
          </w:p>
        </w:tc>
      </w:tr>
      <w:tr w:rsidRPr="00755640" w:rsidR="00D66BB6" w:rsidTr="006231F6" w14:paraId="3AB09E50" w14:textId="77777777">
        <w:tc>
          <w:tcPr>
            <w:tcW w:w="2260" w:type="dxa"/>
          </w:tcPr>
          <w:p w:rsidRPr="00755640" w:rsidR="008B722F" w:rsidP="008B722F" w:rsidRDefault="008B722F" w14:paraId="7D97D5C4" w14:textId="33CC76D8">
            <w:pPr>
              <w:pStyle w:val="Geenafstand"/>
              <w:rPr>
                <w:rFonts w:ascii="Verdana" w:hAnsi="Verdana"/>
                <w:sz w:val="15"/>
                <w:szCs w:val="15"/>
              </w:rPr>
            </w:pPr>
            <w:r w:rsidRPr="00755640">
              <w:rPr>
                <w:rFonts w:ascii="Verdana" w:hAnsi="Verdana"/>
                <w:sz w:val="15"/>
                <w:szCs w:val="15"/>
              </w:rPr>
              <w:t xml:space="preserve">Artikel 32, </w:t>
            </w:r>
            <w:r w:rsidRPr="00755640" w:rsidR="00693813">
              <w:rPr>
                <w:rFonts w:ascii="Verdana" w:hAnsi="Verdana"/>
                <w:sz w:val="15"/>
                <w:szCs w:val="15"/>
              </w:rPr>
              <w:t xml:space="preserve">tiende </w:t>
            </w:r>
            <w:r w:rsidRPr="00755640">
              <w:rPr>
                <w:rFonts w:ascii="Verdana" w:hAnsi="Verdana"/>
                <w:sz w:val="15"/>
                <w:szCs w:val="15"/>
              </w:rPr>
              <w:t>lid</w:t>
            </w:r>
          </w:p>
        </w:tc>
        <w:tc>
          <w:tcPr>
            <w:tcW w:w="2260" w:type="dxa"/>
          </w:tcPr>
          <w:p w:rsidRPr="00755640" w:rsidR="008B722F" w:rsidP="008B722F" w:rsidRDefault="005B7108" w14:paraId="44F0B6D1" w14:textId="0D003E44">
            <w:pPr>
              <w:pStyle w:val="Geenafstand"/>
              <w:rPr>
                <w:rFonts w:ascii="Verdana" w:hAnsi="Verdana"/>
                <w:sz w:val="15"/>
                <w:szCs w:val="15"/>
              </w:rPr>
            </w:pPr>
            <w:r w:rsidRPr="00755640">
              <w:rPr>
                <w:rFonts w:ascii="Verdana" w:hAnsi="Verdana"/>
                <w:sz w:val="15"/>
                <w:szCs w:val="15"/>
              </w:rPr>
              <w:t xml:space="preserve">Artikel 57 </w:t>
            </w:r>
            <w:proofErr w:type="spellStart"/>
            <w:r w:rsidRPr="00755640">
              <w:rPr>
                <w:rFonts w:ascii="Verdana" w:hAnsi="Verdana"/>
                <w:sz w:val="15"/>
                <w:szCs w:val="15"/>
              </w:rPr>
              <w:t>Cbw</w:t>
            </w:r>
            <w:proofErr w:type="spellEnd"/>
          </w:p>
        </w:tc>
        <w:tc>
          <w:tcPr>
            <w:tcW w:w="2260" w:type="dxa"/>
          </w:tcPr>
          <w:p w:rsidRPr="00755640" w:rsidR="008B722F" w:rsidP="008B722F" w:rsidRDefault="005B7108" w14:paraId="61A23814" w14:textId="39204C8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5B7108" w14:paraId="274E5466" w14:textId="1C267A7E">
            <w:pPr>
              <w:pStyle w:val="Geenafstand"/>
              <w:rPr>
                <w:rFonts w:ascii="Verdana" w:hAnsi="Verdana"/>
                <w:sz w:val="15"/>
                <w:szCs w:val="15"/>
              </w:rPr>
            </w:pPr>
            <w:r w:rsidRPr="00755640">
              <w:rPr>
                <w:rFonts w:ascii="Verdana" w:hAnsi="Verdana"/>
                <w:sz w:val="15"/>
                <w:szCs w:val="15"/>
              </w:rPr>
              <w:t>-</w:t>
            </w:r>
          </w:p>
        </w:tc>
      </w:tr>
      <w:tr w:rsidRPr="00755640" w:rsidR="00D66BB6" w:rsidTr="006231F6" w14:paraId="4DD2087D" w14:textId="77777777">
        <w:tc>
          <w:tcPr>
            <w:tcW w:w="2260" w:type="dxa"/>
          </w:tcPr>
          <w:p w:rsidRPr="00755640" w:rsidR="008B722F" w:rsidP="008B722F" w:rsidRDefault="008B722F" w14:paraId="7A2BDC92" w14:textId="45F800A7">
            <w:pPr>
              <w:pStyle w:val="Geenafstand"/>
              <w:rPr>
                <w:rFonts w:ascii="Verdana" w:hAnsi="Verdana"/>
                <w:sz w:val="15"/>
                <w:szCs w:val="15"/>
              </w:rPr>
            </w:pPr>
            <w:r w:rsidRPr="00755640">
              <w:rPr>
                <w:rFonts w:ascii="Verdana" w:hAnsi="Verdana"/>
                <w:sz w:val="15"/>
                <w:szCs w:val="15"/>
              </w:rPr>
              <w:t xml:space="preserve">Artikel 33, </w:t>
            </w:r>
            <w:r w:rsidRPr="00755640" w:rsidR="00693813">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0B7BD6" w14:paraId="7FB9D8A1" w14:textId="41107C04">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81</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0B7BD6" w14:paraId="17B8988B" w14:textId="16F70BFD">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0B7BD6" w14:paraId="1FC0D04F" w14:textId="5824DF05">
            <w:pPr>
              <w:pStyle w:val="Geenafstand"/>
              <w:rPr>
                <w:rFonts w:ascii="Verdana" w:hAnsi="Verdana"/>
                <w:sz w:val="15"/>
                <w:szCs w:val="15"/>
              </w:rPr>
            </w:pPr>
            <w:r w:rsidRPr="00755640">
              <w:rPr>
                <w:rFonts w:ascii="Verdana" w:hAnsi="Verdana"/>
                <w:sz w:val="15"/>
                <w:szCs w:val="15"/>
              </w:rPr>
              <w:t>-</w:t>
            </w:r>
          </w:p>
        </w:tc>
      </w:tr>
      <w:tr w:rsidRPr="00755640" w:rsidR="00D66BB6" w:rsidTr="006231F6" w14:paraId="3746D74A" w14:textId="77777777">
        <w:tc>
          <w:tcPr>
            <w:tcW w:w="2260" w:type="dxa"/>
          </w:tcPr>
          <w:p w:rsidRPr="00755640" w:rsidR="008B722F" w:rsidP="008B722F" w:rsidRDefault="008B722F" w14:paraId="11A3488C" w14:textId="3A2F47B4">
            <w:pPr>
              <w:pStyle w:val="Geenafstand"/>
              <w:rPr>
                <w:rFonts w:ascii="Verdana" w:hAnsi="Verdana"/>
                <w:sz w:val="15"/>
                <w:szCs w:val="15"/>
              </w:rPr>
            </w:pPr>
            <w:r w:rsidRPr="00755640">
              <w:rPr>
                <w:rFonts w:ascii="Verdana" w:hAnsi="Verdana"/>
                <w:sz w:val="15"/>
                <w:szCs w:val="15"/>
              </w:rPr>
              <w:t xml:space="preserve">Artikel 33, </w:t>
            </w:r>
            <w:r w:rsidRPr="00755640" w:rsidR="001A3C9C">
              <w:rPr>
                <w:rFonts w:ascii="Verdana" w:hAnsi="Verdana"/>
                <w:sz w:val="15"/>
                <w:szCs w:val="15"/>
              </w:rPr>
              <w:t xml:space="preserve">tweede </w:t>
            </w:r>
            <w:r w:rsidRPr="00755640">
              <w:rPr>
                <w:rFonts w:ascii="Verdana" w:hAnsi="Verdana"/>
                <w:sz w:val="15"/>
                <w:szCs w:val="15"/>
              </w:rPr>
              <w:t>lid</w:t>
            </w:r>
            <w:r w:rsidRPr="00755640" w:rsidR="000B7BD6">
              <w:rPr>
                <w:rFonts w:ascii="Verdana" w:hAnsi="Verdana"/>
                <w:sz w:val="15"/>
                <w:szCs w:val="15"/>
              </w:rPr>
              <w:t>, aanhef en onderdeel a</w:t>
            </w:r>
          </w:p>
        </w:tc>
        <w:tc>
          <w:tcPr>
            <w:tcW w:w="2260" w:type="dxa"/>
          </w:tcPr>
          <w:p w:rsidRPr="00755640" w:rsidR="008B722F" w:rsidP="008B722F" w:rsidRDefault="00392176" w14:paraId="4022CFAB" w14:textId="6BB8849F">
            <w:pPr>
              <w:pStyle w:val="Geenafstand"/>
              <w:rPr>
                <w:rFonts w:ascii="Verdana" w:hAnsi="Verdana"/>
                <w:sz w:val="15"/>
                <w:szCs w:val="15"/>
              </w:rPr>
            </w:pPr>
            <w:r>
              <w:rPr>
                <w:rFonts w:ascii="Verdana" w:hAnsi="Verdana"/>
                <w:sz w:val="15"/>
                <w:szCs w:val="15"/>
              </w:rPr>
              <w:t>Reeds geïmplementeerd in d</w:t>
            </w:r>
            <w:r w:rsidRPr="00755640" w:rsidR="000B7BD6">
              <w:rPr>
                <w:rFonts w:ascii="Verdana" w:hAnsi="Verdana"/>
                <w:sz w:val="15"/>
                <w:szCs w:val="15"/>
              </w:rPr>
              <w:t xml:space="preserve">e artikelen 5:15 en 5:18 </w:t>
            </w:r>
            <w:proofErr w:type="spellStart"/>
            <w:r w:rsidRPr="00755640" w:rsidR="000B7BD6">
              <w:rPr>
                <w:rFonts w:ascii="Verdana" w:hAnsi="Verdana"/>
                <w:sz w:val="15"/>
                <w:szCs w:val="15"/>
              </w:rPr>
              <w:t>Awb</w:t>
            </w:r>
            <w:proofErr w:type="spellEnd"/>
          </w:p>
        </w:tc>
        <w:tc>
          <w:tcPr>
            <w:tcW w:w="2260" w:type="dxa"/>
          </w:tcPr>
          <w:p w:rsidRPr="00755640" w:rsidR="008B722F" w:rsidP="008B722F" w:rsidRDefault="000B7BD6" w14:paraId="12859E6D" w14:textId="2143AB8E">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0B7BD6" w14:paraId="2B1B8421" w14:textId="67C58B32">
            <w:pPr>
              <w:pStyle w:val="Geenafstand"/>
              <w:rPr>
                <w:rFonts w:ascii="Verdana" w:hAnsi="Verdana"/>
                <w:sz w:val="15"/>
                <w:szCs w:val="15"/>
              </w:rPr>
            </w:pPr>
            <w:r w:rsidRPr="00755640">
              <w:rPr>
                <w:rFonts w:ascii="Verdana" w:hAnsi="Verdana"/>
                <w:sz w:val="15"/>
                <w:szCs w:val="15"/>
              </w:rPr>
              <w:t>-</w:t>
            </w:r>
          </w:p>
        </w:tc>
      </w:tr>
      <w:tr w:rsidRPr="00755640" w:rsidR="000B7BD6" w:rsidTr="00675CFC" w14:paraId="507EDD35" w14:textId="77777777">
        <w:tc>
          <w:tcPr>
            <w:tcW w:w="2260" w:type="dxa"/>
          </w:tcPr>
          <w:p w:rsidRPr="00755640" w:rsidR="000B7BD6" w:rsidP="00675CFC" w:rsidRDefault="000B7BD6" w14:paraId="2DBE36DB" w14:textId="2E64D640">
            <w:pPr>
              <w:pStyle w:val="Geenafstand"/>
              <w:rPr>
                <w:rFonts w:ascii="Verdana" w:hAnsi="Verdana"/>
                <w:sz w:val="15"/>
                <w:szCs w:val="15"/>
              </w:rPr>
            </w:pPr>
            <w:r w:rsidRPr="00755640">
              <w:rPr>
                <w:rFonts w:ascii="Verdana" w:hAnsi="Verdana"/>
                <w:sz w:val="15"/>
                <w:szCs w:val="15"/>
              </w:rPr>
              <w:t>Artikel 33, tweede lid, aanhef en onderdeel b</w:t>
            </w:r>
          </w:p>
        </w:tc>
        <w:tc>
          <w:tcPr>
            <w:tcW w:w="2260" w:type="dxa"/>
          </w:tcPr>
          <w:p w:rsidRPr="00755640" w:rsidR="000B7BD6" w:rsidP="00675CFC" w:rsidRDefault="000B7BD6" w14:paraId="754B2CD9" w14:textId="20C4B95B">
            <w:pPr>
              <w:pStyle w:val="Geenafstand"/>
              <w:rPr>
                <w:rFonts w:ascii="Verdana" w:hAnsi="Verdana"/>
                <w:sz w:val="15"/>
                <w:szCs w:val="15"/>
              </w:rPr>
            </w:pPr>
            <w:r w:rsidRPr="00755640">
              <w:rPr>
                <w:rFonts w:ascii="Verdana" w:hAnsi="Verdana"/>
                <w:sz w:val="15"/>
                <w:szCs w:val="15"/>
              </w:rPr>
              <w:t>Artikel</w:t>
            </w:r>
            <w:r w:rsidRPr="00755640" w:rsidR="00116C7C">
              <w:rPr>
                <w:rFonts w:ascii="Verdana" w:hAnsi="Verdana"/>
                <w:sz w:val="15"/>
                <w:szCs w:val="15"/>
              </w:rPr>
              <w:t xml:space="preserve"> </w:t>
            </w:r>
            <w:r w:rsidR="00392176">
              <w:rPr>
                <w:rFonts w:ascii="Verdana" w:hAnsi="Verdana"/>
                <w:sz w:val="15"/>
                <w:szCs w:val="15"/>
              </w:rPr>
              <w:t>83</w:t>
            </w:r>
            <w:r w:rsidRPr="00755640" w:rsidR="00392176">
              <w:rPr>
                <w:rFonts w:ascii="Verdana" w:hAnsi="Verdana"/>
                <w:sz w:val="15"/>
                <w:szCs w:val="15"/>
              </w:rPr>
              <w:t xml:space="preserve"> </w:t>
            </w:r>
            <w:proofErr w:type="spellStart"/>
            <w:r w:rsidRPr="00755640" w:rsidR="00116C7C">
              <w:rPr>
                <w:rFonts w:ascii="Verdana" w:hAnsi="Verdana"/>
                <w:sz w:val="15"/>
                <w:szCs w:val="15"/>
              </w:rPr>
              <w:t>Cbw</w:t>
            </w:r>
            <w:proofErr w:type="spellEnd"/>
          </w:p>
        </w:tc>
        <w:tc>
          <w:tcPr>
            <w:tcW w:w="2260" w:type="dxa"/>
          </w:tcPr>
          <w:p w:rsidRPr="00755640" w:rsidR="000B7BD6" w:rsidP="00675CFC" w:rsidRDefault="000B7BD6" w14:paraId="60047100" w14:textId="3E3C9A87">
            <w:pPr>
              <w:pStyle w:val="Geenafstand"/>
              <w:rPr>
                <w:rFonts w:ascii="Verdana" w:hAnsi="Verdana"/>
                <w:sz w:val="15"/>
                <w:szCs w:val="15"/>
              </w:rPr>
            </w:pPr>
            <w:r w:rsidRPr="00755640">
              <w:rPr>
                <w:rFonts w:ascii="Verdana" w:hAnsi="Verdana"/>
                <w:sz w:val="15"/>
                <w:szCs w:val="15"/>
              </w:rPr>
              <w:t>-</w:t>
            </w:r>
          </w:p>
        </w:tc>
        <w:tc>
          <w:tcPr>
            <w:tcW w:w="2261" w:type="dxa"/>
          </w:tcPr>
          <w:p w:rsidRPr="00755640" w:rsidR="000B7BD6" w:rsidP="00675CFC" w:rsidRDefault="000B7BD6" w14:paraId="256FE3B2" w14:textId="72211821">
            <w:pPr>
              <w:pStyle w:val="Geenafstand"/>
              <w:rPr>
                <w:rFonts w:ascii="Verdana" w:hAnsi="Verdana"/>
                <w:sz w:val="15"/>
                <w:szCs w:val="15"/>
              </w:rPr>
            </w:pPr>
            <w:r w:rsidRPr="00755640">
              <w:rPr>
                <w:rFonts w:ascii="Verdana" w:hAnsi="Verdana"/>
                <w:sz w:val="15"/>
                <w:szCs w:val="15"/>
              </w:rPr>
              <w:t>-</w:t>
            </w:r>
          </w:p>
        </w:tc>
      </w:tr>
      <w:tr w:rsidRPr="00755640" w:rsidR="000B7BD6" w:rsidTr="00675CFC" w14:paraId="5B3C5F4D" w14:textId="77777777">
        <w:tc>
          <w:tcPr>
            <w:tcW w:w="2260" w:type="dxa"/>
          </w:tcPr>
          <w:p w:rsidRPr="00755640" w:rsidR="000B7BD6" w:rsidP="00675CFC" w:rsidRDefault="000B7BD6" w14:paraId="4101E5BC" w14:textId="1CC5B972">
            <w:pPr>
              <w:pStyle w:val="Geenafstand"/>
              <w:rPr>
                <w:rFonts w:ascii="Verdana" w:hAnsi="Verdana"/>
                <w:sz w:val="15"/>
                <w:szCs w:val="15"/>
              </w:rPr>
            </w:pPr>
            <w:r w:rsidRPr="00755640">
              <w:rPr>
                <w:rFonts w:ascii="Verdana" w:hAnsi="Verdana"/>
                <w:sz w:val="15"/>
                <w:szCs w:val="15"/>
              </w:rPr>
              <w:t>Artikel 33, tweede lid, aanhef en onderdeel c</w:t>
            </w:r>
          </w:p>
        </w:tc>
        <w:tc>
          <w:tcPr>
            <w:tcW w:w="2260" w:type="dxa"/>
          </w:tcPr>
          <w:p w:rsidRPr="00755640" w:rsidR="000B7BD6" w:rsidP="00675CFC" w:rsidRDefault="000B7BD6" w14:paraId="00D735DE" w14:textId="215915AA">
            <w:pPr>
              <w:pStyle w:val="Geenafstand"/>
              <w:rPr>
                <w:rFonts w:ascii="Verdana" w:hAnsi="Verdana"/>
                <w:sz w:val="15"/>
                <w:szCs w:val="15"/>
              </w:rPr>
            </w:pPr>
            <w:r w:rsidRPr="00755640">
              <w:rPr>
                <w:rFonts w:ascii="Verdana" w:hAnsi="Verdana"/>
                <w:sz w:val="15"/>
                <w:szCs w:val="15"/>
              </w:rPr>
              <w:t xml:space="preserve">Artikel </w:t>
            </w:r>
            <w:r w:rsidR="00392176">
              <w:rPr>
                <w:rFonts w:ascii="Verdana" w:hAnsi="Verdana"/>
                <w:sz w:val="15"/>
                <w:szCs w:val="15"/>
              </w:rPr>
              <w:t>82</w:t>
            </w:r>
            <w:r w:rsidRPr="00755640" w:rsidR="00392176">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0B7BD6" w:rsidP="00675CFC" w:rsidRDefault="00116C7C" w14:paraId="5B3A2D95" w14:textId="65017734">
            <w:pPr>
              <w:pStyle w:val="Geenafstand"/>
              <w:rPr>
                <w:rFonts w:ascii="Verdana" w:hAnsi="Verdana"/>
                <w:sz w:val="15"/>
                <w:szCs w:val="15"/>
              </w:rPr>
            </w:pPr>
            <w:r w:rsidRPr="00755640">
              <w:rPr>
                <w:rFonts w:ascii="Verdana" w:hAnsi="Verdana"/>
                <w:sz w:val="15"/>
                <w:szCs w:val="15"/>
              </w:rPr>
              <w:t>-</w:t>
            </w:r>
          </w:p>
        </w:tc>
        <w:tc>
          <w:tcPr>
            <w:tcW w:w="2261" w:type="dxa"/>
          </w:tcPr>
          <w:p w:rsidRPr="00755640" w:rsidR="000B7BD6" w:rsidP="00675CFC" w:rsidRDefault="00116C7C" w14:paraId="61F3A636" w14:textId="7F12EC1B">
            <w:pPr>
              <w:pStyle w:val="Geenafstand"/>
              <w:rPr>
                <w:rFonts w:ascii="Verdana" w:hAnsi="Verdana"/>
                <w:sz w:val="15"/>
                <w:szCs w:val="15"/>
              </w:rPr>
            </w:pPr>
            <w:r w:rsidRPr="00755640">
              <w:rPr>
                <w:rFonts w:ascii="Verdana" w:hAnsi="Verdana"/>
                <w:sz w:val="15"/>
                <w:szCs w:val="15"/>
              </w:rPr>
              <w:t>-</w:t>
            </w:r>
          </w:p>
        </w:tc>
      </w:tr>
      <w:tr w:rsidRPr="00755640" w:rsidR="000B7BD6" w:rsidTr="00675CFC" w14:paraId="4E47A7B8" w14:textId="77777777">
        <w:tc>
          <w:tcPr>
            <w:tcW w:w="2260" w:type="dxa"/>
          </w:tcPr>
          <w:p w:rsidRPr="00755640" w:rsidR="000B7BD6" w:rsidP="00675CFC" w:rsidRDefault="000B7BD6" w14:paraId="6FF6EC6A" w14:textId="214429FD">
            <w:pPr>
              <w:pStyle w:val="Geenafstand"/>
              <w:rPr>
                <w:rFonts w:ascii="Verdana" w:hAnsi="Verdana"/>
                <w:sz w:val="15"/>
                <w:szCs w:val="15"/>
              </w:rPr>
            </w:pPr>
            <w:r w:rsidRPr="00755640">
              <w:rPr>
                <w:rFonts w:ascii="Verdana" w:hAnsi="Verdana"/>
                <w:sz w:val="15"/>
                <w:szCs w:val="15"/>
              </w:rPr>
              <w:t>Artikel 33, tweede lid, aanhef en onderdeel d</w:t>
            </w:r>
          </w:p>
        </w:tc>
        <w:tc>
          <w:tcPr>
            <w:tcW w:w="2260" w:type="dxa"/>
          </w:tcPr>
          <w:p w:rsidRPr="00755640" w:rsidR="000B7BD6" w:rsidP="00675CFC" w:rsidRDefault="00392176" w14:paraId="6ED886A8" w14:textId="6A3CCEDE">
            <w:pPr>
              <w:pStyle w:val="Geenafstand"/>
              <w:rPr>
                <w:rFonts w:ascii="Verdana" w:hAnsi="Verdana"/>
                <w:sz w:val="15"/>
                <w:szCs w:val="15"/>
              </w:rPr>
            </w:pPr>
            <w:r w:rsidRPr="00392176">
              <w:rPr>
                <w:rFonts w:ascii="Verdana" w:hAnsi="Verdana"/>
                <w:sz w:val="15"/>
                <w:szCs w:val="15"/>
              </w:rPr>
              <w:t>Reeds geïmplementeerd</w:t>
            </w:r>
            <w:r>
              <w:rPr>
                <w:rFonts w:ascii="Verdana" w:hAnsi="Verdana"/>
                <w:sz w:val="15"/>
                <w:szCs w:val="15"/>
              </w:rPr>
              <w:t xml:space="preserve"> in d</w:t>
            </w:r>
            <w:r w:rsidRPr="00755640" w:rsidR="000B7BD6">
              <w:rPr>
                <w:rFonts w:ascii="Verdana" w:hAnsi="Verdana"/>
                <w:sz w:val="15"/>
                <w:szCs w:val="15"/>
              </w:rPr>
              <w:t xml:space="preserve">e artikelen 5:16 en 5:17 </w:t>
            </w:r>
            <w:proofErr w:type="spellStart"/>
            <w:r w:rsidRPr="00755640" w:rsidR="000B7BD6">
              <w:rPr>
                <w:rFonts w:ascii="Verdana" w:hAnsi="Verdana"/>
                <w:sz w:val="15"/>
                <w:szCs w:val="15"/>
              </w:rPr>
              <w:t>Awb</w:t>
            </w:r>
            <w:proofErr w:type="spellEnd"/>
          </w:p>
        </w:tc>
        <w:tc>
          <w:tcPr>
            <w:tcW w:w="2260" w:type="dxa"/>
          </w:tcPr>
          <w:p w:rsidRPr="00755640" w:rsidR="000B7BD6" w:rsidP="00675CFC" w:rsidRDefault="000B7BD6" w14:paraId="03B2C775" w14:textId="53F8C453">
            <w:pPr>
              <w:pStyle w:val="Geenafstand"/>
              <w:rPr>
                <w:rFonts w:ascii="Verdana" w:hAnsi="Verdana"/>
                <w:sz w:val="15"/>
                <w:szCs w:val="15"/>
              </w:rPr>
            </w:pPr>
            <w:r w:rsidRPr="00755640">
              <w:rPr>
                <w:rFonts w:ascii="Verdana" w:hAnsi="Verdana"/>
                <w:sz w:val="15"/>
                <w:szCs w:val="15"/>
              </w:rPr>
              <w:t>-</w:t>
            </w:r>
          </w:p>
        </w:tc>
        <w:tc>
          <w:tcPr>
            <w:tcW w:w="2261" w:type="dxa"/>
          </w:tcPr>
          <w:p w:rsidRPr="00755640" w:rsidR="000B7BD6" w:rsidP="00675CFC" w:rsidRDefault="000B7BD6" w14:paraId="7C9A80AF" w14:textId="6A809F8C">
            <w:pPr>
              <w:pStyle w:val="Geenafstand"/>
              <w:rPr>
                <w:rFonts w:ascii="Verdana" w:hAnsi="Verdana"/>
                <w:sz w:val="15"/>
                <w:szCs w:val="15"/>
              </w:rPr>
            </w:pPr>
            <w:r w:rsidRPr="00755640">
              <w:rPr>
                <w:rFonts w:ascii="Verdana" w:hAnsi="Verdana"/>
                <w:sz w:val="15"/>
                <w:szCs w:val="15"/>
              </w:rPr>
              <w:t>-</w:t>
            </w:r>
          </w:p>
        </w:tc>
      </w:tr>
      <w:tr w:rsidRPr="00755640" w:rsidR="000B7BD6" w:rsidTr="00675CFC" w14:paraId="7649E76D" w14:textId="77777777">
        <w:tc>
          <w:tcPr>
            <w:tcW w:w="2260" w:type="dxa"/>
          </w:tcPr>
          <w:p w:rsidRPr="00755640" w:rsidR="000B7BD6" w:rsidP="00675CFC" w:rsidRDefault="000B7BD6" w14:paraId="05B602B4" w14:textId="05567056">
            <w:pPr>
              <w:pStyle w:val="Geenafstand"/>
              <w:rPr>
                <w:rFonts w:ascii="Verdana" w:hAnsi="Verdana"/>
                <w:sz w:val="15"/>
                <w:szCs w:val="15"/>
              </w:rPr>
            </w:pPr>
            <w:r w:rsidRPr="00755640">
              <w:rPr>
                <w:rFonts w:ascii="Verdana" w:hAnsi="Verdana"/>
                <w:sz w:val="15"/>
                <w:szCs w:val="15"/>
              </w:rPr>
              <w:t>Artikel 33, tweede lid, aanhef en onderdeel e</w:t>
            </w:r>
          </w:p>
        </w:tc>
        <w:tc>
          <w:tcPr>
            <w:tcW w:w="2260" w:type="dxa"/>
          </w:tcPr>
          <w:p w:rsidRPr="00755640" w:rsidR="000B7BD6" w:rsidP="00675CFC" w:rsidRDefault="00392176" w14:paraId="32925E8D" w14:textId="3918550C">
            <w:pPr>
              <w:pStyle w:val="Geenafstand"/>
              <w:rPr>
                <w:rFonts w:ascii="Verdana" w:hAnsi="Verdana"/>
                <w:sz w:val="15"/>
                <w:szCs w:val="15"/>
              </w:rPr>
            </w:pPr>
            <w:r w:rsidRPr="00392176">
              <w:rPr>
                <w:rFonts w:ascii="Verdana" w:hAnsi="Verdana"/>
                <w:sz w:val="15"/>
                <w:szCs w:val="15"/>
              </w:rPr>
              <w:t>Reeds geïmplementeerd</w:t>
            </w:r>
            <w:r>
              <w:rPr>
                <w:rFonts w:ascii="Verdana" w:hAnsi="Verdana"/>
                <w:sz w:val="15"/>
                <w:szCs w:val="15"/>
              </w:rPr>
              <w:t xml:space="preserve"> in d</w:t>
            </w:r>
            <w:r w:rsidRPr="00755640" w:rsidR="000B7BD6">
              <w:rPr>
                <w:rFonts w:ascii="Verdana" w:hAnsi="Verdana"/>
                <w:sz w:val="15"/>
                <w:szCs w:val="15"/>
              </w:rPr>
              <w:t xml:space="preserve">e artikelen 5:15, 5:16 en 5:17 </w:t>
            </w:r>
            <w:proofErr w:type="spellStart"/>
            <w:r w:rsidRPr="00755640" w:rsidR="000B7BD6">
              <w:rPr>
                <w:rFonts w:ascii="Verdana" w:hAnsi="Verdana"/>
                <w:sz w:val="15"/>
                <w:szCs w:val="15"/>
              </w:rPr>
              <w:t>Awb</w:t>
            </w:r>
            <w:proofErr w:type="spellEnd"/>
          </w:p>
        </w:tc>
        <w:tc>
          <w:tcPr>
            <w:tcW w:w="2260" w:type="dxa"/>
          </w:tcPr>
          <w:p w:rsidRPr="00755640" w:rsidR="000B7BD6" w:rsidP="00675CFC" w:rsidRDefault="000B7BD6" w14:paraId="344212AD" w14:textId="33E18E3D">
            <w:pPr>
              <w:pStyle w:val="Geenafstand"/>
              <w:rPr>
                <w:rFonts w:ascii="Verdana" w:hAnsi="Verdana"/>
                <w:sz w:val="15"/>
                <w:szCs w:val="15"/>
              </w:rPr>
            </w:pPr>
            <w:r w:rsidRPr="00755640">
              <w:rPr>
                <w:rFonts w:ascii="Verdana" w:hAnsi="Verdana"/>
                <w:sz w:val="15"/>
                <w:szCs w:val="15"/>
              </w:rPr>
              <w:t>-</w:t>
            </w:r>
          </w:p>
        </w:tc>
        <w:tc>
          <w:tcPr>
            <w:tcW w:w="2261" w:type="dxa"/>
          </w:tcPr>
          <w:p w:rsidRPr="00755640" w:rsidR="000B7BD6" w:rsidP="00675CFC" w:rsidRDefault="000B7BD6" w14:paraId="65D34D50" w14:textId="736BD4FC">
            <w:pPr>
              <w:pStyle w:val="Geenafstand"/>
              <w:rPr>
                <w:rFonts w:ascii="Verdana" w:hAnsi="Verdana"/>
                <w:sz w:val="15"/>
                <w:szCs w:val="15"/>
              </w:rPr>
            </w:pPr>
            <w:r w:rsidRPr="00755640">
              <w:rPr>
                <w:rFonts w:ascii="Verdana" w:hAnsi="Verdana"/>
                <w:sz w:val="15"/>
                <w:szCs w:val="15"/>
              </w:rPr>
              <w:t>-</w:t>
            </w:r>
          </w:p>
        </w:tc>
      </w:tr>
      <w:tr w:rsidRPr="00755640" w:rsidR="000B7BD6" w:rsidTr="006231F6" w14:paraId="46B87CCB" w14:textId="77777777">
        <w:tc>
          <w:tcPr>
            <w:tcW w:w="2260" w:type="dxa"/>
          </w:tcPr>
          <w:p w:rsidRPr="00755640" w:rsidR="000B7BD6" w:rsidP="008B722F" w:rsidRDefault="000B7BD6" w14:paraId="79E790E0" w14:textId="47D5124E">
            <w:pPr>
              <w:pStyle w:val="Geenafstand"/>
              <w:rPr>
                <w:rFonts w:ascii="Verdana" w:hAnsi="Verdana"/>
                <w:sz w:val="15"/>
                <w:szCs w:val="15"/>
              </w:rPr>
            </w:pPr>
            <w:r w:rsidRPr="00755640">
              <w:rPr>
                <w:rFonts w:ascii="Verdana" w:hAnsi="Verdana"/>
                <w:sz w:val="15"/>
                <w:szCs w:val="15"/>
              </w:rPr>
              <w:t>Artikel 33, tweede lid, aanhef en onderdeel f</w:t>
            </w:r>
          </w:p>
        </w:tc>
        <w:tc>
          <w:tcPr>
            <w:tcW w:w="2260" w:type="dxa"/>
          </w:tcPr>
          <w:p w:rsidRPr="00755640" w:rsidR="000B7BD6" w:rsidP="008B722F" w:rsidRDefault="00392176" w14:paraId="43ADE746" w14:textId="3588C572">
            <w:pPr>
              <w:pStyle w:val="Geenafstand"/>
              <w:rPr>
                <w:rFonts w:ascii="Verdana" w:hAnsi="Verdana"/>
                <w:sz w:val="15"/>
                <w:szCs w:val="15"/>
              </w:rPr>
            </w:pPr>
            <w:r w:rsidRPr="00392176">
              <w:rPr>
                <w:rFonts w:ascii="Verdana" w:hAnsi="Verdana"/>
                <w:sz w:val="15"/>
                <w:szCs w:val="15"/>
              </w:rPr>
              <w:t>Reeds geïmplementeerd</w:t>
            </w:r>
            <w:r>
              <w:rPr>
                <w:rFonts w:ascii="Verdana" w:hAnsi="Verdana"/>
                <w:sz w:val="15"/>
                <w:szCs w:val="15"/>
              </w:rPr>
              <w:t xml:space="preserve"> in d</w:t>
            </w:r>
            <w:r w:rsidRPr="00755640" w:rsidR="000B7BD6">
              <w:rPr>
                <w:rFonts w:ascii="Verdana" w:hAnsi="Verdana"/>
                <w:sz w:val="15"/>
                <w:szCs w:val="15"/>
              </w:rPr>
              <w:t xml:space="preserve">e artikelen 5:16 en 5:17 </w:t>
            </w:r>
            <w:proofErr w:type="spellStart"/>
            <w:r w:rsidRPr="00755640" w:rsidR="000B7BD6">
              <w:rPr>
                <w:rFonts w:ascii="Verdana" w:hAnsi="Verdana"/>
                <w:sz w:val="15"/>
                <w:szCs w:val="15"/>
              </w:rPr>
              <w:t>Awb</w:t>
            </w:r>
            <w:proofErr w:type="spellEnd"/>
          </w:p>
        </w:tc>
        <w:tc>
          <w:tcPr>
            <w:tcW w:w="2260" w:type="dxa"/>
          </w:tcPr>
          <w:p w:rsidRPr="00755640" w:rsidR="000B7BD6" w:rsidP="008B722F" w:rsidRDefault="000B7BD6" w14:paraId="018E32B0" w14:textId="594B0F7D">
            <w:pPr>
              <w:pStyle w:val="Geenafstand"/>
              <w:rPr>
                <w:rFonts w:ascii="Verdana" w:hAnsi="Verdana"/>
                <w:sz w:val="15"/>
                <w:szCs w:val="15"/>
              </w:rPr>
            </w:pPr>
            <w:r w:rsidRPr="00755640">
              <w:rPr>
                <w:rFonts w:ascii="Verdana" w:hAnsi="Verdana"/>
                <w:sz w:val="15"/>
                <w:szCs w:val="15"/>
              </w:rPr>
              <w:t>-</w:t>
            </w:r>
          </w:p>
        </w:tc>
        <w:tc>
          <w:tcPr>
            <w:tcW w:w="2261" w:type="dxa"/>
          </w:tcPr>
          <w:p w:rsidRPr="00755640" w:rsidR="000B7BD6" w:rsidP="008B722F" w:rsidRDefault="000B7BD6" w14:paraId="473B3DA3" w14:textId="7763053A">
            <w:pPr>
              <w:pStyle w:val="Geenafstand"/>
              <w:rPr>
                <w:rFonts w:ascii="Verdana" w:hAnsi="Verdana"/>
                <w:sz w:val="15"/>
                <w:szCs w:val="15"/>
              </w:rPr>
            </w:pPr>
            <w:r w:rsidRPr="00755640">
              <w:rPr>
                <w:rFonts w:ascii="Verdana" w:hAnsi="Verdana"/>
                <w:sz w:val="15"/>
                <w:szCs w:val="15"/>
              </w:rPr>
              <w:t>-</w:t>
            </w:r>
          </w:p>
        </w:tc>
      </w:tr>
      <w:tr w:rsidRPr="00755640" w:rsidR="00D66BB6" w:rsidTr="006231F6" w14:paraId="4414C6D1" w14:textId="77777777">
        <w:tc>
          <w:tcPr>
            <w:tcW w:w="2260" w:type="dxa"/>
          </w:tcPr>
          <w:p w:rsidRPr="00755640" w:rsidR="008B722F" w:rsidP="008B722F" w:rsidRDefault="008B722F" w14:paraId="23B22A4B" w14:textId="797B11A1">
            <w:pPr>
              <w:pStyle w:val="Geenafstand"/>
              <w:rPr>
                <w:rFonts w:ascii="Verdana" w:hAnsi="Verdana"/>
                <w:sz w:val="15"/>
                <w:szCs w:val="15"/>
              </w:rPr>
            </w:pPr>
            <w:r w:rsidRPr="00755640">
              <w:rPr>
                <w:rFonts w:ascii="Verdana" w:hAnsi="Verdana"/>
                <w:sz w:val="15"/>
                <w:szCs w:val="15"/>
              </w:rPr>
              <w:t xml:space="preserve">Artikel 33, </w:t>
            </w:r>
            <w:r w:rsidRPr="00755640" w:rsidR="001A3C9C">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392176" w14:paraId="050D45E8" w14:textId="63F341C2">
            <w:pPr>
              <w:pStyle w:val="Geenafstand"/>
              <w:rPr>
                <w:rFonts w:ascii="Verdana" w:hAnsi="Verdana"/>
                <w:sz w:val="15"/>
                <w:szCs w:val="15"/>
              </w:rPr>
            </w:pPr>
            <w:r w:rsidRPr="00392176">
              <w:rPr>
                <w:rFonts w:ascii="Verdana" w:hAnsi="Verdana"/>
                <w:sz w:val="15"/>
                <w:szCs w:val="15"/>
              </w:rPr>
              <w:t>Reeds geïmplementeerd</w:t>
            </w:r>
            <w:r>
              <w:rPr>
                <w:rFonts w:ascii="Verdana" w:hAnsi="Verdana"/>
                <w:sz w:val="15"/>
                <w:szCs w:val="15"/>
              </w:rPr>
              <w:t xml:space="preserve"> in a</w:t>
            </w:r>
            <w:r w:rsidRPr="00755640" w:rsidR="00565D9A">
              <w:rPr>
                <w:rFonts w:ascii="Verdana" w:hAnsi="Verdana"/>
                <w:sz w:val="15"/>
                <w:szCs w:val="15"/>
              </w:rPr>
              <w:t xml:space="preserve">rtikel 5:16 </w:t>
            </w:r>
            <w:proofErr w:type="spellStart"/>
            <w:r w:rsidRPr="00755640" w:rsidR="00565D9A">
              <w:rPr>
                <w:rFonts w:ascii="Verdana" w:hAnsi="Verdana"/>
                <w:sz w:val="15"/>
                <w:szCs w:val="15"/>
              </w:rPr>
              <w:t>Awb</w:t>
            </w:r>
            <w:proofErr w:type="spellEnd"/>
            <w:r w:rsidRPr="00755640" w:rsidR="00565D9A">
              <w:rPr>
                <w:rFonts w:ascii="Verdana" w:hAnsi="Verdana"/>
                <w:sz w:val="15"/>
                <w:szCs w:val="15"/>
              </w:rPr>
              <w:t>, zie toelichting</w:t>
            </w:r>
          </w:p>
        </w:tc>
        <w:tc>
          <w:tcPr>
            <w:tcW w:w="2260" w:type="dxa"/>
          </w:tcPr>
          <w:p w:rsidRPr="00755640" w:rsidR="008B722F" w:rsidP="008B722F" w:rsidRDefault="00565D9A" w14:paraId="693F93C5" w14:textId="4C822B5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565D9A" w14:paraId="4714D923" w14:textId="73745287">
            <w:pPr>
              <w:pStyle w:val="Geenafstand"/>
              <w:rPr>
                <w:rFonts w:ascii="Verdana" w:hAnsi="Verdana"/>
                <w:sz w:val="15"/>
                <w:szCs w:val="15"/>
              </w:rPr>
            </w:pPr>
            <w:r w:rsidRPr="00755640">
              <w:rPr>
                <w:rFonts w:ascii="Verdana" w:hAnsi="Verdana"/>
                <w:sz w:val="15"/>
                <w:szCs w:val="15"/>
              </w:rPr>
              <w:t>Artikel 5:16 </w:t>
            </w:r>
            <w:proofErr w:type="spellStart"/>
            <w:r w:rsidRPr="00755640">
              <w:rPr>
                <w:rFonts w:ascii="Verdana" w:hAnsi="Verdana"/>
                <w:sz w:val="15"/>
                <w:szCs w:val="15"/>
              </w:rPr>
              <w:t>Awb</w:t>
            </w:r>
            <w:proofErr w:type="spellEnd"/>
            <w:r w:rsidRPr="00755640">
              <w:rPr>
                <w:rFonts w:ascii="Verdana" w:hAnsi="Verdana"/>
                <w:sz w:val="15"/>
                <w:szCs w:val="15"/>
              </w:rPr>
              <w:t xml:space="preserve"> verschaft aan toezichthouders een algemene bevoegdheid om inlichtingen te vorderen. De toezichthouder moet zijn vordering motiveren en daarbij de wettelijke grondslag noemen.</w:t>
            </w:r>
            <w:r w:rsidRPr="00755640">
              <w:rPr>
                <w:rStyle w:val="Voetnootmarkering"/>
                <w:rFonts w:ascii="Verdana" w:hAnsi="Verdana"/>
                <w:sz w:val="15"/>
                <w:szCs w:val="15"/>
              </w:rPr>
              <w:footnoteReference w:id="85"/>
            </w:r>
            <w:r w:rsidRPr="00755640">
              <w:rPr>
                <w:rFonts w:ascii="Verdana" w:hAnsi="Verdana"/>
                <w:sz w:val="15"/>
                <w:szCs w:val="15"/>
              </w:rPr>
              <w:t xml:space="preserve"> Onderdeel van die motiveringsplicht is dat de toezichthouder motiveert waarom de gevorderde informatie noodzakelijk is voor het uitoefenen van de toezichthoudende taak.</w:t>
            </w:r>
            <w:r w:rsidRPr="00755640">
              <w:rPr>
                <w:rStyle w:val="Voetnootmarkering"/>
                <w:rFonts w:ascii="Verdana" w:hAnsi="Verdana"/>
                <w:sz w:val="15"/>
                <w:szCs w:val="15"/>
              </w:rPr>
              <w:footnoteReference w:id="86"/>
            </w:r>
            <w:r w:rsidRPr="00755640">
              <w:rPr>
                <w:rFonts w:ascii="Verdana" w:hAnsi="Verdana"/>
                <w:sz w:val="15"/>
                <w:szCs w:val="15"/>
              </w:rPr>
              <w:t xml:space="preserve"> De vordering van de toezichthouder moet voldoende concreet zijn.</w:t>
            </w:r>
            <w:r w:rsidRPr="00755640">
              <w:rPr>
                <w:rStyle w:val="Voetnootmarkering"/>
                <w:rFonts w:ascii="Verdana" w:hAnsi="Verdana"/>
                <w:sz w:val="15"/>
                <w:szCs w:val="15"/>
              </w:rPr>
              <w:footnoteReference w:id="87"/>
            </w:r>
          </w:p>
        </w:tc>
      </w:tr>
      <w:tr w:rsidRPr="00755640" w:rsidR="00D66BB6" w:rsidTr="006231F6" w14:paraId="73803FA7" w14:textId="77777777">
        <w:tc>
          <w:tcPr>
            <w:tcW w:w="2260" w:type="dxa"/>
          </w:tcPr>
          <w:p w:rsidRPr="00755640" w:rsidR="008B722F" w:rsidP="008B722F" w:rsidRDefault="008B722F" w14:paraId="412D6AB7" w14:textId="7A074119">
            <w:pPr>
              <w:pStyle w:val="Geenafstand"/>
              <w:rPr>
                <w:rFonts w:ascii="Verdana" w:hAnsi="Verdana"/>
                <w:sz w:val="15"/>
                <w:szCs w:val="15"/>
              </w:rPr>
            </w:pPr>
            <w:r w:rsidRPr="00755640">
              <w:rPr>
                <w:rFonts w:ascii="Verdana" w:hAnsi="Verdana"/>
                <w:sz w:val="15"/>
                <w:szCs w:val="15"/>
              </w:rPr>
              <w:t xml:space="preserve">Artikel 33, </w:t>
            </w:r>
            <w:r w:rsidRPr="00755640" w:rsidR="001A3C9C">
              <w:rPr>
                <w:rFonts w:ascii="Verdana" w:hAnsi="Verdana"/>
                <w:sz w:val="15"/>
                <w:szCs w:val="15"/>
              </w:rPr>
              <w:t xml:space="preserve">vierde </w:t>
            </w:r>
            <w:r w:rsidRPr="00755640">
              <w:rPr>
                <w:rFonts w:ascii="Verdana" w:hAnsi="Verdana"/>
                <w:sz w:val="15"/>
                <w:szCs w:val="15"/>
              </w:rPr>
              <w:t>lid</w:t>
            </w:r>
            <w:r w:rsidRPr="00755640" w:rsidR="00DD5CFE">
              <w:rPr>
                <w:rFonts w:ascii="Verdana" w:hAnsi="Verdana"/>
                <w:sz w:val="15"/>
                <w:szCs w:val="15"/>
              </w:rPr>
              <w:t>, aanhef en onderdeel a</w:t>
            </w:r>
          </w:p>
        </w:tc>
        <w:tc>
          <w:tcPr>
            <w:tcW w:w="2260" w:type="dxa"/>
          </w:tcPr>
          <w:p w:rsidRPr="00755640" w:rsidR="008B722F" w:rsidP="008B722F" w:rsidRDefault="00DD5CFE" w14:paraId="0663B54B" w14:textId="73D1ED2F">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DD5CFE" w14:paraId="3A2EA44F" w14:textId="01F036A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D5CFE" w14:paraId="2A624F08" w14:textId="57B31676">
            <w:pPr>
              <w:pStyle w:val="Geenafstand"/>
              <w:rPr>
                <w:rFonts w:ascii="Verdana" w:hAnsi="Verdana"/>
                <w:sz w:val="15"/>
                <w:szCs w:val="15"/>
              </w:rPr>
            </w:pPr>
            <w:r w:rsidRPr="00755640">
              <w:rPr>
                <w:rFonts w:ascii="Verdana" w:hAnsi="Verdana"/>
                <w:sz w:val="15"/>
                <w:szCs w:val="15"/>
              </w:rPr>
              <w:t>Het kunnen geven van een waarschuwing behoeft geen opname in wet- of regelgeving.</w:t>
            </w:r>
          </w:p>
        </w:tc>
      </w:tr>
      <w:tr w:rsidRPr="00755640" w:rsidR="00DD5CFE" w:rsidTr="00675CFC" w14:paraId="1313D12E" w14:textId="77777777">
        <w:tc>
          <w:tcPr>
            <w:tcW w:w="2260" w:type="dxa"/>
          </w:tcPr>
          <w:p w:rsidRPr="00755640" w:rsidR="00DD5CFE" w:rsidP="00675CFC" w:rsidRDefault="00DD5CFE" w14:paraId="6B983F95" w14:textId="0B5A793E">
            <w:pPr>
              <w:pStyle w:val="Geenafstand"/>
              <w:rPr>
                <w:rFonts w:ascii="Verdana" w:hAnsi="Verdana"/>
                <w:sz w:val="15"/>
                <w:szCs w:val="15"/>
              </w:rPr>
            </w:pPr>
            <w:r w:rsidRPr="00755640">
              <w:rPr>
                <w:rFonts w:ascii="Verdana" w:hAnsi="Verdana"/>
                <w:sz w:val="15"/>
                <w:szCs w:val="15"/>
              </w:rPr>
              <w:t>Artikel 33, vierde lid, aanhef en onderdeel b</w:t>
            </w:r>
          </w:p>
        </w:tc>
        <w:tc>
          <w:tcPr>
            <w:tcW w:w="2260" w:type="dxa"/>
          </w:tcPr>
          <w:p w:rsidRPr="00755640" w:rsidR="00DD5CFE" w:rsidP="00675CFC" w:rsidRDefault="00C81CA7" w14:paraId="4ACC1E31" w14:textId="062E9EE6">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85</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DD5CFE" w:rsidP="00675CFC" w:rsidRDefault="00C81CA7" w14:paraId="13AF24FB" w14:textId="27241908">
            <w:pPr>
              <w:pStyle w:val="Geenafstand"/>
              <w:rPr>
                <w:rFonts w:ascii="Verdana" w:hAnsi="Verdana"/>
                <w:sz w:val="15"/>
                <w:szCs w:val="15"/>
              </w:rPr>
            </w:pPr>
            <w:r w:rsidRPr="00755640">
              <w:rPr>
                <w:rFonts w:ascii="Verdana" w:hAnsi="Verdana"/>
                <w:sz w:val="15"/>
                <w:szCs w:val="15"/>
              </w:rPr>
              <w:t>-</w:t>
            </w:r>
          </w:p>
        </w:tc>
        <w:tc>
          <w:tcPr>
            <w:tcW w:w="2261" w:type="dxa"/>
          </w:tcPr>
          <w:p w:rsidRPr="00755640" w:rsidR="00DD5CFE" w:rsidP="00675CFC" w:rsidRDefault="00C81CA7" w14:paraId="412A693B" w14:textId="7B25421B">
            <w:pPr>
              <w:pStyle w:val="Geenafstand"/>
              <w:rPr>
                <w:rFonts w:ascii="Verdana" w:hAnsi="Verdana"/>
                <w:sz w:val="15"/>
                <w:szCs w:val="15"/>
              </w:rPr>
            </w:pPr>
            <w:r w:rsidRPr="00755640">
              <w:rPr>
                <w:rFonts w:ascii="Verdana" w:hAnsi="Verdana"/>
                <w:sz w:val="15"/>
                <w:szCs w:val="15"/>
              </w:rPr>
              <w:t>-</w:t>
            </w:r>
          </w:p>
        </w:tc>
      </w:tr>
      <w:tr w:rsidRPr="00755640" w:rsidR="00DD5CFE" w:rsidTr="00675CFC" w14:paraId="3CD253EC" w14:textId="77777777">
        <w:tc>
          <w:tcPr>
            <w:tcW w:w="2260" w:type="dxa"/>
          </w:tcPr>
          <w:p w:rsidRPr="00755640" w:rsidR="00DD5CFE" w:rsidP="00675CFC" w:rsidRDefault="00DD5CFE" w14:paraId="004198B7" w14:textId="231E27CE">
            <w:pPr>
              <w:pStyle w:val="Geenafstand"/>
              <w:rPr>
                <w:rFonts w:ascii="Verdana" w:hAnsi="Verdana"/>
                <w:sz w:val="15"/>
                <w:szCs w:val="15"/>
              </w:rPr>
            </w:pPr>
            <w:r w:rsidRPr="00755640">
              <w:rPr>
                <w:rFonts w:ascii="Verdana" w:hAnsi="Verdana"/>
                <w:sz w:val="15"/>
                <w:szCs w:val="15"/>
              </w:rPr>
              <w:t>Artikel 33, vierde lid, aanhef en onderdeel c</w:t>
            </w:r>
          </w:p>
        </w:tc>
        <w:tc>
          <w:tcPr>
            <w:tcW w:w="2260" w:type="dxa"/>
          </w:tcPr>
          <w:p w:rsidRPr="00755640" w:rsidR="00DD5CFE" w:rsidP="00675CFC" w:rsidRDefault="00C81CA7" w14:paraId="6F8C587A" w14:textId="398A63CC">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86</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DD5CFE" w:rsidP="00675CFC" w:rsidRDefault="00C81CA7" w14:paraId="762B42C5" w14:textId="1EF3C359">
            <w:pPr>
              <w:pStyle w:val="Geenafstand"/>
              <w:rPr>
                <w:rFonts w:ascii="Verdana" w:hAnsi="Verdana"/>
                <w:sz w:val="15"/>
                <w:szCs w:val="15"/>
              </w:rPr>
            </w:pPr>
            <w:r w:rsidRPr="00755640">
              <w:rPr>
                <w:rFonts w:ascii="Verdana" w:hAnsi="Verdana"/>
                <w:sz w:val="15"/>
                <w:szCs w:val="15"/>
              </w:rPr>
              <w:t>-</w:t>
            </w:r>
          </w:p>
        </w:tc>
        <w:tc>
          <w:tcPr>
            <w:tcW w:w="2261" w:type="dxa"/>
          </w:tcPr>
          <w:p w:rsidRPr="00755640" w:rsidR="00DD5CFE" w:rsidP="00675CFC" w:rsidRDefault="00C81CA7" w14:paraId="74AD70EE" w14:textId="1E8620D6">
            <w:pPr>
              <w:pStyle w:val="Geenafstand"/>
              <w:rPr>
                <w:rFonts w:ascii="Verdana" w:hAnsi="Verdana"/>
                <w:sz w:val="15"/>
                <w:szCs w:val="15"/>
              </w:rPr>
            </w:pPr>
            <w:r w:rsidRPr="00755640">
              <w:rPr>
                <w:rFonts w:ascii="Verdana" w:hAnsi="Verdana"/>
                <w:sz w:val="15"/>
                <w:szCs w:val="15"/>
              </w:rPr>
              <w:t>-</w:t>
            </w:r>
          </w:p>
        </w:tc>
      </w:tr>
      <w:tr w:rsidRPr="00755640" w:rsidR="00DD5CFE" w:rsidTr="00675CFC" w14:paraId="1CA6AD2E" w14:textId="77777777">
        <w:tc>
          <w:tcPr>
            <w:tcW w:w="2260" w:type="dxa"/>
          </w:tcPr>
          <w:p w:rsidRPr="00755640" w:rsidR="00DD5CFE" w:rsidP="00675CFC" w:rsidRDefault="00DD5CFE" w14:paraId="70224977" w14:textId="563484FC">
            <w:pPr>
              <w:pStyle w:val="Geenafstand"/>
              <w:rPr>
                <w:rFonts w:ascii="Verdana" w:hAnsi="Verdana"/>
                <w:sz w:val="15"/>
                <w:szCs w:val="15"/>
              </w:rPr>
            </w:pPr>
            <w:r w:rsidRPr="00755640">
              <w:rPr>
                <w:rFonts w:ascii="Verdana" w:hAnsi="Verdana"/>
                <w:sz w:val="15"/>
                <w:szCs w:val="15"/>
              </w:rPr>
              <w:t>Artikel 33, vierde lid, aanhef en onderdeel d</w:t>
            </w:r>
          </w:p>
        </w:tc>
        <w:tc>
          <w:tcPr>
            <w:tcW w:w="2260" w:type="dxa"/>
          </w:tcPr>
          <w:p w:rsidRPr="00755640" w:rsidR="00DD5CFE" w:rsidP="00675CFC" w:rsidRDefault="00C81CA7" w14:paraId="6E693B43" w14:textId="04B677A9">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85</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DD5CFE" w:rsidP="00675CFC" w:rsidRDefault="00C81CA7" w14:paraId="56135BDF" w14:textId="0914D02C">
            <w:pPr>
              <w:pStyle w:val="Geenafstand"/>
              <w:rPr>
                <w:rFonts w:ascii="Verdana" w:hAnsi="Verdana"/>
                <w:sz w:val="15"/>
                <w:szCs w:val="15"/>
              </w:rPr>
            </w:pPr>
            <w:r w:rsidRPr="00755640">
              <w:rPr>
                <w:rFonts w:ascii="Verdana" w:hAnsi="Verdana"/>
                <w:sz w:val="15"/>
                <w:szCs w:val="15"/>
              </w:rPr>
              <w:t>-</w:t>
            </w:r>
          </w:p>
        </w:tc>
        <w:tc>
          <w:tcPr>
            <w:tcW w:w="2261" w:type="dxa"/>
          </w:tcPr>
          <w:p w:rsidRPr="00755640" w:rsidR="00DD5CFE" w:rsidP="00675CFC" w:rsidRDefault="00C81CA7" w14:paraId="3FB84E75" w14:textId="1DF1C11E">
            <w:pPr>
              <w:pStyle w:val="Geenafstand"/>
              <w:rPr>
                <w:rFonts w:ascii="Verdana" w:hAnsi="Verdana"/>
                <w:sz w:val="15"/>
                <w:szCs w:val="15"/>
              </w:rPr>
            </w:pPr>
            <w:r w:rsidRPr="00755640">
              <w:rPr>
                <w:rFonts w:ascii="Verdana" w:hAnsi="Verdana"/>
                <w:sz w:val="15"/>
                <w:szCs w:val="15"/>
              </w:rPr>
              <w:t>-</w:t>
            </w:r>
          </w:p>
        </w:tc>
      </w:tr>
      <w:tr w:rsidRPr="00755640" w:rsidR="00DD5CFE" w:rsidTr="00675CFC" w14:paraId="0D5EEC9F" w14:textId="77777777">
        <w:tc>
          <w:tcPr>
            <w:tcW w:w="2260" w:type="dxa"/>
          </w:tcPr>
          <w:p w:rsidRPr="00755640" w:rsidR="00DD5CFE" w:rsidP="00675CFC" w:rsidRDefault="00DD5CFE" w14:paraId="5DCEC36B" w14:textId="01C2C462">
            <w:pPr>
              <w:pStyle w:val="Geenafstand"/>
              <w:rPr>
                <w:rFonts w:ascii="Verdana" w:hAnsi="Verdana"/>
                <w:sz w:val="15"/>
                <w:szCs w:val="15"/>
              </w:rPr>
            </w:pPr>
            <w:r w:rsidRPr="00755640">
              <w:rPr>
                <w:rFonts w:ascii="Verdana" w:hAnsi="Verdana"/>
                <w:sz w:val="15"/>
                <w:szCs w:val="15"/>
              </w:rPr>
              <w:t>Artikel 33, vierde lid, aanhef en onderdeel e</w:t>
            </w:r>
          </w:p>
        </w:tc>
        <w:tc>
          <w:tcPr>
            <w:tcW w:w="2260" w:type="dxa"/>
          </w:tcPr>
          <w:p w:rsidRPr="00755640" w:rsidR="00DD5CFE" w:rsidP="00675CFC" w:rsidRDefault="00C81CA7" w14:paraId="602BCB9E" w14:textId="4BFA6AD6">
            <w:pPr>
              <w:pStyle w:val="Geenafstand"/>
              <w:rPr>
                <w:rFonts w:ascii="Verdana" w:hAnsi="Verdana"/>
                <w:sz w:val="15"/>
                <w:szCs w:val="15"/>
              </w:rPr>
            </w:pPr>
            <w:r w:rsidRPr="00755640">
              <w:rPr>
                <w:rFonts w:ascii="Verdana" w:hAnsi="Verdana"/>
                <w:sz w:val="15"/>
                <w:szCs w:val="15"/>
              </w:rPr>
              <w:t xml:space="preserve">Artikel 38 </w:t>
            </w:r>
            <w:proofErr w:type="spellStart"/>
            <w:r w:rsidRPr="00755640">
              <w:rPr>
                <w:rFonts w:ascii="Verdana" w:hAnsi="Verdana"/>
                <w:sz w:val="15"/>
                <w:szCs w:val="15"/>
              </w:rPr>
              <w:t>Cbw</w:t>
            </w:r>
            <w:proofErr w:type="spellEnd"/>
          </w:p>
        </w:tc>
        <w:tc>
          <w:tcPr>
            <w:tcW w:w="2260" w:type="dxa"/>
          </w:tcPr>
          <w:p w:rsidRPr="00755640" w:rsidR="00DD5CFE" w:rsidP="00675CFC" w:rsidRDefault="00C81CA7" w14:paraId="0B2F4DE2" w14:textId="13C764AF">
            <w:pPr>
              <w:pStyle w:val="Geenafstand"/>
              <w:rPr>
                <w:rFonts w:ascii="Verdana" w:hAnsi="Verdana"/>
                <w:sz w:val="15"/>
                <w:szCs w:val="15"/>
              </w:rPr>
            </w:pPr>
            <w:r w:rsidRPr="00755640">
              <w:rPr>
                <w:rFonts w:ascii="Verdana" w:hAnsi="Verdana"/>
                <w:sz w:val="15"/>
                <w:szCs w:val="15"/>
              </w:rPr>
              <w:t>-</w:t>
            </w:r>
          </w:p>
        </w:tc>
        <w:tc>
          <w:tcPr>
            <w:tcW w:w="2261" w:type="dxa"/>
          </w:tcPr>
          <w:p w:rsidRPr="00755640" w:rsidR="00DD5CFE" w:rsidP="00675CFC" w:rsidRDefault="00C81CA7" w14:paraId="30CB96A4" w14:textId="508624AE">
            <w:pPr>
              <w:pStyle w:val="Geenafstand"/>
              <w:rPr>
                <w:rFonts w:ascii="Verdana" w:hAnsi="Verdana"/>
                <w:sz w:val="15"/>
                <w:szCs w:val="15"/>
              </w:rPr>
            </w:pPr>
            <w:r w:rsidRPr="00755640">
              <w:rPr>
                <w:rFonts w:ascii="Verdana" w:hAnsi="Verdana"/>
                <w:sz w:val="15"/>
                <w:szCs w:val="15"/>
              </w:rPr>
              <w:t>-</w:t>
            </w:r>
          </w:p>
        </w:tc>
      </w:tr>
      <w:tr w:rsidRPr="00755640" w:rsidR="00DD5CFE" w:rsidTr="00675CFC" w14:paraId="4F34DD4A" w14:textId="77777777">
        <w:tc>
          <w:tcPr>
            <w:tcW w:w="2260" w:type="dxa"/>
          </w:tcPr>
          <w:p w:rsidRPr="00755640" w:rsidR="00DD5CFE" w:rsidP="00675CFC" w:rsidRDefault="00DD5CFE" w14:paraId="439D6139" w14:textId="2566CD09">
            <w:pPr>
              <w:pStyle w:val="Geenafstand"/>
              <w:rPr>
                <w:rFonts w:ascii="Verdana" w:hAnsi="Verdana"/>
                <w:sz w:val="15"/>
                <w:szCs w:val="15"/>
              </w:rPr>
            </w:pPr>
            <w:r w:rsidRPr="00755640">
              <w:rPr>
                <w:rFonts w:ascii="Verdana" w:hAnsi="Verdana"/>
                <w:sz w:val="15"/>
                <w:szCs w:val="15"/>
              </w:rPr>
              <w:t>Artikel 33, vierde lid, aanhef en onderdeel f</w:t>
            </w:r>
          </w:p>
        </w:tc>
        <w:tc>
          <w:tcPr>
            <w:tcW w:w="2260" w:type="dxa"/>
          </w:tcPr>
          <w:p w:rsidRPr="00755640" w:rsidR="00DD5CFE" w:rsidP="00675CFC" w:rsidRDefault="00C81CA7" w14:paraId="07A7AB24" w14:textId="601A895E">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83</w:t>
            </w:r>
            <w:r w:rsidRPr="00755640">
              <w:rPr>
                <w:rFonts w:ascii="Verdana" w:hAnsi="Verdana"/>
                <w:sz w:val="15"/>
                <w:szCs w:val="15"/>
              </w:rPr>
              <w:t xml:space="preserve">, eerste lid, onderdeel c, </w:t>
            </w:r>
            <w:proofErr w:type="spellStart"/>
            <w:r w:rsidRPr="00755640">
              <w:rPr>
                <w:rFonts w:ascii="Verdana" w:hAnsi="Verdana"/>
                <w:sz w:val="15"/>
                <w:szCs w:val="15"/>
              </w:rPr>
              <w:t>Cbw</w:t>
            </w:r>
            <w:proofErr w:type="spellEnd"/>
          </w:p>
        </w:tc>
        <w:tc>
          <w:tcPr>
            <w:tcW w:w="2260" w:type="dxa"/>
          </w:tcPr>
          <w:p w:rsidRPr="00755640" w:rsidR="00DD5CFE" w:rsidP="00675CFC" w:rsidRDefault="00C81CA7" w14:paraId="465D38FA" w14:textId="69CFB5D0">
            <w:pPr>
              <w:pStyle w:val="Geenafstand"/>
              <w:rPr>
                <w:rFonts w:ascii="Verdana" w:hAnsi="Verdana"/>
                <w:sz w:val="15"/>
                <w:szCs w:val="15"/>
              </w:rPr>
            </w:pPr>
            <w:r w:rsidRPr="00755640">
              <w:rPr>
                <w:rFonts w:ascii="Verdana" w:hAnsi="Verdana"/>
                <w:sz w:val="15"/>
                <w:szCs w:val="15"/>
              </w:rPr>
              <w:t>-</w:t>
            </w:r>
          </w:p>
        </w:tc>
        <w:tc>
          <w:tcPr>
            <w:tcW w:w="2261" w:type="dxa"/>
          </w:tcPr>
          <w:p w:rsidRPr="00755640" w:rsidR="00DD5CFE" w:rsidP="00675CFC" w:rsidRDefault="00C81CA7" w14:paraId="015FB1CE" w14:textId="00ADEE23">
            <w:pPr>
              <w:pStyle w:val="Geenafstand"/>
              <w:rPr>
                <w:rFonts w:ascii="Verdana" w:hAnsi="Verdana"/>
                <w:sz w:val="15"/>
                <w:szCs w:val="15"/>
              </w:rPr>
            </w:pPr>
            <w:r w:rsidRPr="00755640">
              <w:rPr>
                <w:rFonts w:ascii="Verdana" w:hAnsi="Verdana"/>
                <w:sz w:val="15"/>
                <w:szCs w:val="15"/>
              </w:rPr>
              <w:t>-</w:t>
            </w:r>
          </w:p>
        </w:tc>
      </w:tr>
      <w:tr w:rsidRPr="00755640" w:rsidR="00DD5CFE" w:rsidTr="00675CFC" w14:paraId="46A6B069" w14:textId="77777777">
        <w:tc>
          <w:tcPr>
            <w:tcW w:w="2260" w:type="dxa"/>
          </w:tcPr>
          <w:p w:rsidRPr="00755640" w:rsidR="00DD5CFE" w:rsidP="00675CFC" w:rsidRDefault="00DD5CFE" w14:paraId="65D4FA82" w14:textId="381C21FE">
            <w:pPr>
              <w:pStyle w:val="Geenafstand"/>
              <w:rPr>
                <w:rFonts w:ascii="Verdana" w:hAnsi="Verdana"/>
                <w:sz w:val="15"/>
                <w:szCs w:val="15"/>
              </w:rPr>
            </w:pPr>
            <w:r w:rsidRPr="00755640">
              <w:rPr>
                <w:rFonts w:ascii="Verdana" w:hAnsi="Verdana"/>
                <w:sz w:val="15"/>
                <w:szCs w:val="15"/>
              </w:rPr>
              <w:t>Artikel 33, vierde lid, aanhef en onderdeel g</w:t>
            </w:r>
          </w:p>
        </w:tc>
        <w:tc>
          <w:tcPr>
            <w:tcW w:w="2260" w:type="dxa"/>
          </w:tcPr>
          <w:p w:rsidRPr="00755640" w:rsidR="00DD5CFE" w:rsidP="00675CFC" w:rsidRDefault="00C81CA7" w14:paraId="369B4231" w14:textId="0B6797D0">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84</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DD5CFE" w:rsidP="00675CFC" w:rsidRDefault="00C81CA7" w14:paraId="7D471A07" w14:textId="56A009E9">
            <w:pPr>
              <w:pStyle w:val="Geenafstand"/>
              <w:rPr>
                <w:rFonts w:ascii="Verdana" w:hAnsi="Verdana"/>
                <w:sz w:val="15"/>
                <w:szCs w:val="15"/>
              </w:rPr>
            </w:pPr>
            <w:r w:rsidRPr="00755640">
              <w:rPr>
                <w:rFonts w:ascii="Verdana" w:hAnsi="Verdana"/>
                <w:sz w:val="15"/>
                <w:szCs w:val="15"/>
              </w:rPr>
              <w:t>-</w:t>
            </w:r>
          </w:p>
        </w:tc>
        <w:tc>
          <w:tcPr>
            <w:tcW w:w="2261" w:type="dxa"/>
          </w:tcPr>
          <w:p w:rsidRPr="00755640" w:rsidR="00DD5CFE" w:rsidP="00675CFC" w:rsidRDefault="00C81CA7" w14:paraId="2BBE82A5" w14:textId="3EF08660">
            <w:pPr>
              <w:pStyle w:val="Geenafstand"/>
              <w:rPr>
                <w:rFonts w:ascii="Verdana" w:hAnsi="Verdana"/>
                <w:sz w:val="15"/>
                <w:szCs w:val="15"/>
              </w:rPr>
            </w:pPr>
            <w:r w:rsidRPr="00755640">
              <w:rPr>
                <w:rFonts w:ascii="Verdana" w:hAnsi="Verdana"/>
                <w:sz w:val="15"/>
                <w:szCs w:val="15"/>
              </w:rPr>
              <w:t>-</w:t>
            </w:r>
          </w:p>
        </w:tc>
      </w:tr>
      <w:tr w:rsidRPr="00755640" w:rsidR="00DD5CFE" w:rsidTr="006231F6" w14:paraId="4FC6A629" w14:textId="77777777">
        <w:tc>
          <w:tcPr>
            <w:tcW w:w="2260" w:type="dxa"/>
          </w:tcPr>
          <w:p w:rsidRPr="00755640" w:rsidR="00DD5CFE" w:rsidP="008B722F" w:rsidRDefault="00DD5CFE" w14:paraId="54901C61" w14:textId="22A30C91">
            <w:pPr>
              <w:pStyle w:val="Geenafstand"/>
              <w:rPr>
                <w:rFonts w:ascii="Verdana" w:hAnsi="Verdana"/>
                <w:sz w:val="15"/>
                <w:szCs w:val="15"/>
              </w:rPr>
            </w:pPr>
            <w:r w:rsidRPr="00755640">
              <w:rPr>
                <w:rFonts w:ascii="Verdana" w:hAnsi="Verdana"/>
                <w:sz w:val="15"/>
                <w:szCs w:val="15"/>
              </w:rPr>
              <w:t>Artikel 33, vierde lid, aanhef en onderdeel h</w:t>
            </w:r>
          </w:p>
        </w:tc>
        <w:tc>
          <w:tcPr>
            <w:tcW w:w="2260" w:type="dxa"/>
          </w:tcPr>
          <w:p w:rsidRPr="00755640" w:rsidR="00DD5CFE" w:rsidP="008B722F" w:rsidRDefault="00C81CA7" w14:paraId="379D88DC" w14:textId="4F75F657">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87</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DD5CFE" w:rsidP="008B722F" w:rsidRDefault="00C81CA7" w14:paraId="31982EAC" w14:textId="1F591895">
            <w:pPr>
              <w:pStyle w:val="Geenafstand"/>
              <w:rPr>
                <w:rFonts w:ascii="Verdana" w:hAnsi="Verdana"/>
                <w:sz w:val="15"/>
                <w:szCs w:val="15"/>
              </w:rPr>
            </w:pPr>
            <w:r w:rsidRPr="00755640">
              <w:rPr>
                <w:rFonts w:ascii="Verdana" w:hAnsi="Verdana"/>
                <w:sz w:val="15"/>
                <w:szCs w:val="15"/>
              </w:rPr>
              <w:t>-</w:t>
            </w:r>
          </w:p>
        </w:tc>
        <w:tc>
          <w:tcPr>
            <w:tcW w:w="2261" w:type="dxa"/>
          </w:tcPr>
          <w:p w:rsidRPr="00755640" w:rsidR="00DD5CFE" w:rsidP="008B722F" w:rsidRDefault="00C81CA7" w14:paraId="364352A7" w14:textId="7653C1E1">
            <w:pPr>
              <w:pStyle w:val="Geenafstand"/>
              <w:rPr>
                <w:rFonts w:ascii="Verdana" w:hAnsi="Verdana"/>
                <w:sz w:val="15"/>
                <w:szCs w:val="15"/>
              </w:rPr>
            </w:pPr>
            <w:r w:rsidRPr="00755640">
              <w:rPr>
                <w:rFonts w:ascii="Verdana" w:hAnsi="Verdana"/>
                <w:sz w:val="15"/>
                <w:szCs w:val="15"/>
              </w:rPr>
              <w:t>-</w:t>
            </w:r>
          </w:p>
        </w:tc>
      </w:tr>
      <w:tr w:rsidRPr="00755640" w:rsidR="00D66BB6" w:rsidTr="006231F6" w14:paraId="09A29004" w14:textId="77777777">
        <w:tc>
          <w:tcPr>
            <w:tcW w:w="2260" w:type="dxa"/>
          </w:tcPr>
          <w:p w:rsidRPr="00755640" w:rsidR="008B722F" w:rsidP="008B722F" w:rsidRDefault="008B722F" w14:paraId="41D9EA6C" w14:textId="6F5CCA0F">
            <w:pPr>
              <w:pStyle w:val="Geenafstand"/>
              <w:rPr>
                <w:rFonts w:ascii="Verdana" w:hAnsi="Verdana"/>
                <w:sz w:val="15"/>
                <w:szCs w:val="15"/>
              </w:rPr>
            </w:pPr>
            <w:r w:rsidRPr="00755640">
              <w:rPr>
                <w:rFonts w:ascii="Verdana" w:hAnsi="Verdana"/>
                <w:sz w:val="15"/>
                <w:szCs w:val="15"/>
              </w:rPr>
              <w:t xml:space="preserve">Artikel 33, </w:t>
            </w:r>
            <w:r w:rsidRPr="00755640" w:rsidR="001A3C9C">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C116DA" w14:paraId="6002FD6F" w14:textId="512C53D8">
            <w:pPr>
              <w:pStyle w:val="Geenafstand"/>
              <w:rPr>
                <w:rFonts w:ascii="Verdana" w:hAnsi="Verdana"/>
                <w:sz w:val="15"/>
                <w:szCs w:val="15"/>
              </w:rPr>
            </w:pPr>
            <w:r w:rsidRPr="00AC1DE0">
              <w:rPr>
                <w:rFonts w:ascii="Verdana" w:hAnsi="Verdana"/>
                <w:sz w:val="15"/>
                <w:szCs w:val="15"/>
              </w:rPr>
              <w:t xml:space="preserve">Artikel </w:t>
            </w:r>
            <w:r w:rsidRPr="00AC1DE0" w:rsidR="00EE142D">
              <w:rPr>
                <w:rFonts w:ascii="Verdana" w:hAnsi="Verdana"/>
                <w:sz w:val="15"/>
                <w:szCs w:val="15"/>
              </w:rPr>
              <w:t xml:space="preserve">69 </w:t>
            </w:r>
            <w:proofErr w:type="spellStart"/>
            <w:r w:rsidRPr="00AC1DE0">
              <w:rPr>
                <w:rFonts w:ascii="Verdana" w:hAnsi="Verdana"/>
                <w:sz w:val="15"/>
                <w:szCs w:val="15"/>
              </w:rPr>
              <w:t>Cbw</w:t>
            </w:r>
            <w:proofErr w:type="spellEnd"/>
          </w:p>
        </w:tc>
        <w:tc>
          <w:tcPr>
            <w:tcW w:w="2260" w:type="dxa"/>
          </w:tcPr>
          <w:p w:rsidRPr="00755640" w:rsidR="008B722F" w:rsidP="008B722F" w:rsidRDefault="001F0DCD" w14:paraId="6DC1811C" w14:textId="40D0FF9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69259D" w14:paraId="3382FDB1" w14:textId="692F08CD">
            <w:pPr>
              <w:pStyle w:val="Geenafstand"/>
              <w:rPr>
                <w:rFonts w:ascii="Verdana" w:hAnsi="Verdana"/>
                <w:sz w:val="15"/>
                <w:szCs w:val="15"/>
              </w:rPr>
            </w:pPr>
            <w:r>
              <w:rPr>
                <w:rFonts w:ascii="Verdana" w:hAnsi="Verdana"/>
                <w:sz w:val="15"/>
                <w:szCs w:val="15"/>
              </w:rPr>
              <w:t>-</w:t>
            </w:r>
          </w:p>
        </w:tc>
      </w:tr>
      <w:tr w:rsidRPr="00755640" w:rsidR="00D66BB6" w:rsidTr="006231F6" w14:paraId="70CE907F" w14:textId="77777777">
        <w:tc>
          <w:tcPr>
            <w:tcW w:w="2260" w:type="dxa"/>
          </w:tcPr>
          <w:p w:rsidRPr="00755640" w:rsidR="008B722F" w:rsidP="008B722F" w:rsidRDefault="008B722F" w14:paraId="39CEC0EC" w14:textId="55C0913E">
            <w:pPr>
              <w:pStyle w:val="Geenafstand"/>
              <w:rPr>
                <w:rFonts w:ascii="Verdana" w:hAnsi="Verdana"/>
                <w:sz w:val="15"/>
                <w:szCs w:val="15"/>
              </w:rPr>
            </w:pPr>
            <w:r w:rsidRPr="00755640">
              <w:rPr>
                <w:rFonts w:ascii="Verdana" w:hAnsi="Verdana"/>
                <w:sz w:val="15"/>
                <w:szCs w:val="15"/>
              </w:rPr>
              <w:t xml:space="preserve">Artikel 33, </w:t>
            </w:r>
            <w:r w:rsidRPr="00755640" w:rsidR="001A3C9C">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1F0DCD" w14:paraId="4BCC0283" w14:textId="2746C6B7">
            <w:pPr>
              <w:pStyle w:val="Geenafstand"/>
              <w:rPr>
                <w:rFonts w:ascii="Verdana" w:hAnsi="Verdana"/>
                <w:sz w:val="15"/>
                <w:szCs w:val="15"/>
              </w:rPr>
            </w:pPr>
            <w:r w:rsidRPr="00755640">
              <w:rPr>
                <w:rFonts w:ascii="Verdana" w:hAnsi="Verdana"/>
                <w:sz w:val="15"/>
                <w:szCs w:val="15"/>
              </w:rPr>
              <w:t xml:space="preserve">Artikel 57 </w:t>
            </w:r>
            <w:proofErr w:type="spellStart"/>
            <w:r w:rsidRPr="00755640">
              <w:rPr>
                <w:rFonts w:ascii="Verdana" w:hAnsi="Verdana"/>
                <w:sz w:val="15"/>
                <w:szCs w:val="15"/>
              </w:rPr>
              <w:t>Cbw</w:t>
            </w:r>
            <w:proofErr w:type="spellEnd"/>
          </w:p>
        </w:tc>
        <w:tc>
          <w:tcPr>
            <w:tcW w:w="2260" w:type="dxa"/>
          </w:tcPr>
          <w:p w:rsidRPr="00755640" w:rsidR="008B722F" w:rsidP="008B722F" w:rsidRDefault="001F0DCD" w14:paraId="6C894131" w14:textId="4596D302">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F0DCD" w14:paraId="6896DA54" w14:textId="20E72A60">
            <w:pPr>
              <w:pStyle w:val="Geenafstand"/>
              <w:rPr>
                <w:rFonts w:ascii="Verdana" w:hAnsi="Verdana"/>
                <w:sz w:val="15"/>
                <w:szCs w:val="15"/>
              </w:rPr>
            </w:pPr>
            <w:r w:rsidRPr="00755640">
              <w:rPr>
                <w:rFonts w:ascii="Verdana" w:hAnsi="Verdana"/>
                <w:sz w:val="15"/>
                <w:szCs w:val="15"/>
              </w:rPr>
              <w:t>-</w:t>
            </w:r>
          </w:p>
        </w:tc>
      </w:tr>
      <w:tr w:rsidRPr="00755640" w:rsidR="00D66BB6" w:rsidTr="006231F6" w14:paraId="777743CC" w14:textId="77777777">
        <w:tc>
          <w:tcPr>
            <w:tcW w:w="2260" w:type="dxa"/>
          </w:tcPr>
          <w:p w:rsidRPr="00755640" w:rsidR="008B722F" w:rsidP="008B722F" w:rsidRDefault="008B722F" w14:paraId="5E134674" w14:textId="5790D1A9">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B73562" w14:paraId="2482AE7A" w14:textId="433570AA">
            <w:pPr>
              <w:pStyle w:val="Geenafstand"/>
              <w:rPr>
                <w:rFonts w:ascii="Verdana" w:hAnsi="Verdana"/>
                <w:sz w:val="15"/>
                <w:szCs w:val="15"/>
              </w:rPr>
            </w:pPr>
            <w:r w:rsidRPr="00755640">
              <w:rPr>
                <w:rFonts w:ascii="Verdana" w:hAnsi="Verdana"/>
                <w:sz w:val="15"/>
                <w:szCs w:val="15"/>
              </w:rPr>
              <w:t xml:space="preserve">De artikelen </w:t>
            </w:r>
            <w:r w:rsidR="000C06DB">
              <w:rPr>
                <w:rFonts w:ascii="Verdana" w:hAnsi="Verdana"/>
                <w:sz w:val="15"/>
                <w:szCs w:val="15"/>
              </w:rPr>
              <w:t>80</w:t>
            </w:r>
            <w:r w:rsidRPr="00755640" w:rsidR="000C06DB">
              <w:rPr>
                <w:rFonts w:ascii="Verdana" w:hAnsi="Verdana"/>
                <w:sz w:val="15"/>
                <w:szCs w:val="15"/>
              </w:rPr>
              <w:t xml:space="preserve"> </w:t>
            </w:r>
            <w:r w:rsidRPr="00755640">
              <w:rPr>
                <w:rFonts w:ascii="Verdana" w:hAnsi="Verdana"/>
                <w:sz w:val="15"/>
                <w:szCs w:val="15"/>
              </w:rPr>
              <w:t xml:space="preserve">en </w:t>
            </w:r>
            <w:r w:rsidR="000C06DB">
              <w:rPr>
                <w:rFonts w:ascii="Verdana" w:hAnsi="Verdana"/>
                <w:sz w:val="15"/>
                <w:szCs w:val="15"/>
              </w:rPr>
              <w:t>87</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B73562" w14:paraId="446C4C19" w14:textId="7820BDD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73562" w14:paraId="09B02364" w14:textId="2B6605F3">
            <w:pPr>
              <w:pStyle w:val="Geenafstand"/>
              <w:rPr>
                <w:rFonts w:ascii="Verdana" w:hAnsi="Verdana"/>
                <w:sz w:val="15"/>
                <w:szCs w:val="15"/>
              </w:rPr>
            </w:pPr>
            <w:r w:rsidRPr="00755640">
              <w:rPr>
                <w:rFonts w:ascii="Verdana" w:hAnsi="Verdana"/>
                <w:sz w:val="15"/>
                <w:szCs w:val="15"/>
              </w:rPr>
              <w:t>-</w:t>
            </w:r>
          </w:p>
        </w:tc>
      </w:tr>
      <w:tr w:rsidRPr="00755640" w:rsidR="00D66BB6" w:rsidTr="006231F6" w14:paraId="2CE420D5" w14:textId="77777777">
        <w:tc>
          <w:tcPr>
            <w:tcW w:w="2260" w:type="dxa"/>
          </w:tcPr>
          <w:p w:rsidRPr="00755640" w:rsidR="008B722F" w:rsidP="008B722F" w:rsidRDefault="008B722F" w14:paraId="53F78BC1" w14:textId="3F973F75">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B73562" w14:paraId="5AB954C3" w14:textId="6B5367C3">
            <w:pPr>
              <w:pStyle w:val="Geenafstand"/>
              <w:rPr>
                <w:rFonts w:ascii="Verdana" w:hAnsi="Verdana"/>
                <w:sz w:val="15"/>
                <w:szCs w:val="15"/>
              </w:rPr>
            </w:pPr>
            <w:r w:rsidRPr="00755640">
              <w:rPr>
                <w:rFonts w:ascii="Verdana" w:hAnsi="Verdana"/>
                <w:sz w:val="15"/>
                <w:szCs w:val="15"/>
              </w:rPr>
              <w:t xml:space="preserve">De artikelen </w:t>
            </w:r>
            <w:r w:rsidR="000C06DB">
              <w:rPr>
                <w:rFonts w:ascii="Verdana" w:hAnsi="Verdana"/>
                <w:sz w:val="15"/>
                <w:szCs w:val="15"/>
              </w:rPr>
              <w:t>80</w:t>
            </w:r>
            <w:r w:rsidRPr="00755640">
              <w:rPr>
                <w:rFonts w:ascii="Verdana" w:hAnsi="Verdana"/>
                <w:sz w:val="15"/>
                <w:szCs w:val="15"/>
              </w:rPr>
              <w:t xml:space="preserve">, eerste lid, en </w:t>
            </w:r>
            <w:r w:rsidR="000C06DB">
              <w:rPr>
                <w:rFonts w:ascii="Verdana" w:hAnsi="Verdana"/>
                <w:sz w:val="15"/>
                <w:szCs w:val="15"/>
              </w:rPr>
              <w:t>87</w:t>
            </w:r>
            <w:r w:rsidRPr="00755640">
              <w:rPr>
                <w:rFonts w:ascii="Verdana" w:hAnsi="Verdana"/>
                <w:sz w:val="15"/>
                <w:szCs w:val="15"/>
              </w:rPr>
              <w:t xml:space="preserve">, eerste lid, </w:t>
            </w:r>
            <w:proofErr w:type="spellStart"/>
            <w:r w:rsidRPr="00755640">
              <w:rPr>
                <w:rFonts w:ascii="Verdana" w:hAnsi="Verdana"/>
                <w:sz w:val="15"/>
                <w:szCs w:val="15"/>
              </w:rPr>
              <w:t>Cbw</w:t>
            </w:r>
            <w:proofErr w:type="spellEnd"/>
          </w:p>
        </w:tc>
        <w:tc>
          <w:tcPr>
            <w:tcW w:w="2260" w:type="dxa"/>
          </w:tcPr>
          <w:p w:rsidRPr="00755640" w:rsidR="008B722F" w:rsidP="008B722F" w:rsidRDefault="00B73562" w14:paraId="12F59B07" w14:textId="4B8DDED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73562" w14:paraId="73491B61" w14:textId="3E39FE76">
            <w:pPr>
              <w:pStyle w:val="Geenafstand"/>
              <w:rPr>
                <w:rFonts w:ascii="Verdana" w:hAnsi="Verdana"/>
                <w:sz w:val="15"/>
                <w:szCs w:val="15"/>
              </w:rPr>
            </w:pPr>
            <w:r w:rsidRPr="00755640">
              <w:rPr>
                <w:rFonts w:ascii="Verdana" w:hAnsi="Verdana"/>
                <w:sz w:val="15"/>
                <w:szCs w:val="15"/>
              </w:rPr>
              <w:t>-</w:t>
            </w:r>
          </w:p>
        </w:tc>
      </w:tr>
      <w:tr w:rsidRPr="00755640" w:rsidR="00D66BB6" w:rsidTr="006231F6" w14:paraId="3287C4F7" w14:textId="77777777">
        <w:tc>
          <w:tcPr>
            <w:tcW w:w="2260" w:type="dxa"/>
          </w:tcPr>
          <w:p w:rsidRPr="00755640" w:rsidR="008B722F" w:rsidP="008B722F" w:rsidRDefault="008B722F" w14:paraId="2B6548D6" w14:textId="286A3B3B">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69259D" w14:paraId="67A80006" w14:textId="12F3B7AB">
            <w:pPr>
              <w:pStyle w:val="Geenafstand"/>
              <w:rPr>
                <w:rFonts w:ascii="Verdana" w:hAnsi="Verdana"/>
                <w:sz w:val="15"/>
                <w:szCs w:val="15"/>
              </w:rPr>
            </w:pPr>
            <w:r w:rsidRPr="00AC1DE0">
              <w:rPr>
                <w:rFonts w:ascii="Verdana" w:hAnsi="Verdana"/>
                <w:sz w:val="15"/>
                <w:szCs w:val="15"/>
              </w:rPr>
              <w:t xml:space="preserve">Artikel </w:t>
            </w:r>
            <w:r w:rsidRPr="00AC1DE0" w:rsidR="00EE142D">
              <w:rPr>
                <w:rFonts w:ascii="Verdana" w:hAnsi="Verdana"/>
                <w:sz w:val="15"/>
                <w:szCs w:val="15"/>
              </w:rPr>
              <w:t>69</w:t>
            </w:r>
            <w:r w:rsidRPr="00AC1DE0">
              <w:rPr>
                <w:rFonts w:ascii="Verdana" w:hAnsi="Verdana"/>
                <w:sz w:val="15"/>
                <w:szCs w:val="15"/>
              </w:rPr>
              <w:t xml:space="preserve"> </w:t>
            </w:r>
            <w:proofErr w:type="spellStart"/>
            <w:r w:rsidRPr="00AC1DE0">
              <w:rPr>
                <w:rFonts w:ascii="Verdana" w:hAnsi="Verdana"/>
                <w:sz w:val="15"/>
                <w:szCs w:val="15"/>
              </w:rPr>
              <w:t>Cbw</w:t>
            </w:r>
            <w:proofErr w:type="spellEnd"/>
          </w:p>
        </w:tc>
        <w:tc>
          <w:tcPr>
            <w:tcW w:w="2260" w:type="dxa"/>
          </w:tcPr>
          <w:p w:rsidRPr="00755640" w:rsidR="008B722F" w:rsidP="008B722F" w:rsidRDefault="00B73562" w14:paraId="3315CE8E" w14:textId="552D8EBF">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69259D" w14:paraId="66A1F866" w14:textId="2AD9D32B">
            <w:pPr>
              <w:pStyle w:val="Geenafstand"/>
              <w:rPr>
                <w:rFonts w:ascii="Verdana" w:hAnsi="Verdana"/>
                <w:sz w:val="15"/>
                <w:szCs w:val="15"/>
              </w:rPr>
            </w:pPr>
            <w:r>
              <w:rPr>
                <w:rFonts w:ascii="Verdana" w:hAnsi="Verdana"/>
                <w:sz w:val="15"/>
                <w:szCs w:val="15"/>
              </w:rPr>
              <w:t>-</w:t>
            </w:r>
          </w:p>
        </w:tc>
      </w:tr>
      <w:tr w:rsidRPr="00755640" w:rsidR="00D66BB6" w:rsidTr="006231F6" w14:paraId="7A032ED0" w14:textId="77777777">
        <w:tc>
          <w:tcPr>
            <w:tcW w:w="2260" w:type="dxa"/>
          </w:tcPr>
          <w:p w:rsidRPr="00755640" w:rsidR="008B722F" w:rsidP="008B722F" w:rsidRDefault="008B722F" w14:paraId="5391AB09" w14:textId="0E6F041A">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vierde </w:t>
            </w:r>
            <w:r w:rsidRPr="00755640">
              <w:rPr>
                <w:rFonts w:ascii="Verdana" w:hAnsi="Verdana"/>
                <w:sz w:val="15"/>
                <w:szCs w:val="15"/>
              </w:rPr>
              <w:t>lid</w:t>
            </w:r>
          </w:p>
        </w:tc>
        <w:tc>
          <w:tcPr>
            <w:tcW w:w="2260" w:type="dxa"/>
          </w:tcPr>
          <w:p w:rsidRPr="00755640" w:rsidR="008B722F" w:rsidP="008B722F" w:rsidRDefault="00B73562" w14:paraId="165B4B85" w14:textId="7F0F1253">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80</w:t>
            </w:r>
            <w:r w:rsidRPr="00755640">
              <w:rPr>
                <w:rFonts w:ascii="Verdana" w:hAnsi="Verdana"/>
                <w:sz w:val="15"/>
                <w:szCs w:val="15"/>
              </w:rPr>
              <w:t xml:space="preserve">, derde lid, </w:t>
            </w:r>
            <w:proofErr w:type="spellStart"/>
            <w:r w:rsidRPr="00755640">
              <w:rPr>
                <w:rFonts w:ascii="Verdana" w:hAnsi="Verdana"/>
                <w:sz w:val="15"/>
                <w:szCs w:val="15"/>
              </w:rPr>
              <w:t>Cbw</w:t>
            </w:r>
            <w:proofErr w:type="spellEnd"/>
          </w:p>
        </w:tc>
        <w:tc>
          <w:tcPr>
            <w:tcW w:w="2260" w:type="dxa"/>
          </w:tcPr>
          <w:p w:rsidRPr="00755640" w:rsidR="008B722F" w:rsidP="008B722F" w:rsidRDefault="00B73562" w14:paraId="476CD939" w14:textId="35BFE63D">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73562" w14:paraId="35D64A7B" w14:textId="539B22F8">
            <w:pPr>
              <w:pStyle w:val="Geenafstand"/>
              <w:rPr>
                <w:rFonts w:ascii="Verdana" w:hAnsi="Verdana"/>
                <w:sz w:val="15"/>
                <w:szCs w:val="15"/>
              </w:rPr>
            </w:pPr>
            <w:r w:rsidRPr="00755640">
              <w:rPr>
                <w:rFonts w:ascii="Verdana" w:hAnsi="Verdana"/>
                <w:sz w:val="15"/>
                <w:szCs w:val="15"/>
              </w:rPr>
              <w:t>-</w:t>
            </w:r>
          </w:p>
        </w:tc>
      </w:tr>
      <w:tr w:rsidRPr="00755640" w:rsidR="00D66BB6" w:rsidTr="006231F6" w14:paraId="726660FA" w14:textId="77777777">
        <w:tc>
          <w:tcPr>
            <w:tcW w:w="2260" w:type="dxa"/>
          </w:tcPr>
          <w:p w:rsidRPr="00755640" w:rsidR="008B722F" w:rsidP="008B722F" w:rsidRDefault="008B722F" w14:paraId="49219316" w14:textId="53FD1FBA">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vijfde </w:t>
            </w:r>
            <w:r w:rsidRPr="00755640">
              <w:rPr>
                <w:rFonts w:ascii="Verdana" w:hAnsi="Verdana"/>
                <w:sz w:val="15"/>
                <w:szCs w:val="15"/>
              </w:rPr>
              <w:t>lid</w:t>
            </w:r>
          </w:p>
        </w:tc>
        <w:tc>
          <w:tcPr>
            <w:tcW w:w="2260" w:type="dxa"/>
          </w:tcPr>
          <w:p w:rsidRPr="00755640" w:rsidR="008B722F" w:rsidP="008B722F" w:rsidRDefault="00B73562" w14:paraId="2814893D" w14:textId="242F38E3">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87</w:t>
            </w:r>
            <w:r w:rsidRPr="00755640">
              <w:rPr>
                <w:rFonts w:ascii="Verdana" w:hAnsi="Verdana"/>
                <w:sz w:val="15"/>
                <w:szCs w:val="15"/>
              </w:rPr>
              <w:t xml:space="preserve">, derde lid, </w:t>
            </w:r>
            <w:proofErr w:type="spellStart"/>
            <w:r w:rsidRPr="00755640">
              <w:rPr>
                <w:rFonts w:ascii="Verdana" w:hAnsi="Verdana"/>
                <w:sz w:val="15"/>
                <w:szCs w:val="15"/>
              </w:rPr>
              <w:t>Cbw</w:t>
            </w:r>
            <w:proofErr w:type="spellEnd"/>
          </w:p>
        </w:tc>
        <w:tc>
          <w:tcPr>
            <w:tcW w:w="2260" w:type="dxa"/>
          </w:tcPr>
          <w:p w:rsidRPr="00755640" w:rsidR="008B722F" w:rsidP="008B722F" w:rsidRDefault="00B73562" w14:paraId="36E19F42" w14:textId="378347F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73562" w14:paraId="08A7865D" w14:textId="054308CC">
            <w:pPr>
              <w:pStyle w:val="Geenafstand"/>
              <w:rPr>
                <w:rFonts w:ascii="Verdana" w:hAnsi="Verdana"/>
                <w:sz w:val="15"/>
                <w:szCs w:val="15"/>
              </w:rPr>
            </w:pPr>
            <w:r w:rsidRPr="00755640">
              <w:rPr>
                <w:rFonts w:ascii="Verdana" w:hAnsi="Verdana"/>
                <w:sz w:val="15"/>
                <w:szCs w:val="15"/>
              </w:rPr>
              <w:t>-</w:t>
            </w:r>
          </w:p>
        </w:tc>
      </w:tr>
      <w:tr w:rsidRPr="00755640" w:rsidR="00D66BB6" w:rsidTr="006231F6" w14:paraId="3BB76550" w14:textId="77777777">
        <w:tc>
          <w:tcPr>
            <w:tcW w:w="2260" w:type="dxa"/>
          </w:tcPr>
          <w:p w:rsidRPr="00755640" w:rsidR="008B722F" w:rsidP="008B722F" w:rsidRDefault="008B722F" w14:paraId="5CBC99E1" w14:textId="30B70AF2">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zesde </w:t>
            </w:r>
            <w:r w:rsidRPr="00755640">
              <w:rPr>
                <w:rFonts w:ascii="Verdana" w:hAnsi="Verdana"/>
                <w:sz w:val="15"/>
                <w:szCs w:val="15"/>
              </w:rPr>
              <w:t>lid</w:t>
            </w:r>
          </w:p>
        </w:tc>
        <w:tc>
          <w:tcPr>
            <w:tcW w:w="2260" w:type="dxa"/>
          </w:tcPr>
          <w:p w:rsidRPr="00755640" w:rsidR="008B722F" w:rsidP="008B722F" w:rsidRDefault="00B73562" w14:paraId="4A6836B0" w14:textId="3F7C41A8">
            <w:pPr>
              <w:pStyle w:val="Geenafstand"/>
              <w:rPr>
                <w:rFonts w:ascii="Verdana" w:hAnsi="Verdana"/>
                <w:sz w:val="15"/>
                <w:szCs w:val="15"/>
              </w:rPr>
            </w:pPr>
            <w:r w:rsidRPr="00755640">
              <w:rPr>
                <w:rFonts w:ascii="Verdana" w:hAnsi="Verdana"/>
                <w:sz w:val="15"/>
                <w:szCs w:val="15"/>
              </w:rPr>
              <w:t xml:space="preserve">De artikelen </w:t>
            </w:r>
            <w:r w:rsidR="000C06DB">
              <w:rPr>
                <w:rFonts w:ascii="Verdana" w:hAnsi="Verdana"/>
                <w:sz w:val="15"/>
                <w:szCs w:val="15"/>
              </w:rPr>
              <w:t>75</w:t>
            </w:r>
            <w:r w:rsidRPr="00755640" w:rsidR="000C06DB">
              <w:rPr>
                <w:rFonts w:ascii="Verdana" w:hAnsi="Verdana"/>
                <w:sz w:val="15"/>
                <w:szCs w:val="15"/>
              </w:rPr>
              <w:t xml:space="preserve"> </w:t>
            </w:r>
            <w:r w:rsidRPr="00755640">
              <w:rPr>
                <w:rFonts w:ascii="Verdana" w:hAnsi="Verdana"/>
                <w:sz w:val="15"/>
                <w:szCs w:val="15"/>
              </w:rPr>
              <w:t xml:space="preserve">en </w:t>
            </w:r>
            <w:r w:rsidR="000C06DB">
              <w:rPr>
                <w:rFonts w:ascii="Verdana" w:hAnsi="Verdana"/>
                <w:sz w:val="15"/>
                <w:szCs w:val="15"/>
              </w:rPr>
              <w:t>86</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r w:rsidRPr="00755640">
              <w:rPr>
                <w:rFonts w:ascii="Verdana" w:hAnsi="Verdana"/>
                <w:sz w:val="15"/>
                <w:szCs w:val="15"/>
              </w:rPr>
              <w:t xml:space="preserve"> jo. artikel 5:32, eerste lid, </w:t>
            </w:r>
            <w:proofErr w:type="spellStart"/>
            <w:r w:rsidRPr="00755640">
              <w:rPr>
                <w:rFonts w:ascii="Verdana" w:hAnsi="Verdana"/>
                <w:sz w:val="15"/>
                <w:szCs w:val="15"/>
              </w:rPr>
              <w:t>Awb</w:t>
            </w:r>
            <w:proofErr w:type="spellEnd"/>
          </w:p>
        </w:tc>
        <w:tc>
          <w:tcPr>
            <w:tcW w:w="2260" w:type="dxa"/>
          </w:tcPr>
          <w:p w:rsidRPr="00755640" w:rsidR="008B722F" w:rsidP="008B722F" w:rsidRDefault="00B73562" w14:paraId="1B06D1A3" w14:textId="682DE03D">
            <w:pPr>
              <w:pStyle w:val="Geenafstand"/>
              <w:rPr>
                <w:rFonts w:ascii="Verdana" w:hAnsi="Verdana"/>
                <w:sz w:val="15"/>
                <w:szCs w:val="15"/>
              </w:rPr>
            </w:pPr>
            <w:r w:rsidRPr="00755640">
              <w:rPr>
                <w:rFonts w:ascii="Verdana" w:hAnsi="Verdana"/>
                <w:sz w:val="15"/>
                <w:szCs w:val="15"/>
              </w:rPr>
              <w:t>De mogelijkheid om te voorzien in de bevoegdheid tot het opleggen van dwangsommen.</w:t>
            </w:r>
          </w:p>
        </w:tc>
        <w:tc>
          <w:tcPr>
            <w:tcW w:w="2261" w:type="dxa"/>
          </w:tcPr>
          <w:p w:rsidRPr="00755640" w:rsidR="008B722F" w:rsidP="008B722F" w:rsidRDefault="00B73562" w14:paraId="6FA50991" w14:textId="74724F46">
            <w:pPr>
              <w:pStyle w:val="Geenafstand"/>
              <w:rPr>
                <w:rFonts w:ascii="Verdana" w:hAnsi="Verdana"/>
                <w:sz w:val="15"/>
                <w:szCs w:val="15"/>
              </w:rPr>
            </w:pPr>
            <w:r w:rsidRPr="00755640">
              <w:rPr>
                <w:rFonts w:ascii="Verdana" w:hAnsi="Verdana"/>
                <w:sz w:val="15"/>
                <w:szCs w:val="15"/>
              </w:rPr>
              <w:t>-</w:t>
            </w:r>
          </w:p>
        </w:tc>
      </w:tr>
      <w:tr w:rsidRPr="00755640" w:rsidR="00D66BB6" w:rsidTr="006231F6" w14:paraId="7BE9E15B" w14:textId="77777777">
        <w:tc>
          <w:tcPr>
            <w:tcW w:w="2260" w:type="dxa"/>
          </w:tcPr>
          <w:p w:rsidRPr="00755640" w:rsidR="008B722F" w:rsidP="008B722F" w:rsidRDefault="008B722F" w14:paraId="547639EF" w14:textId="792BC0B9">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zevende </w:t>
            </w:r>
            <w:r w:rsidRPr="00755640">
              <w:rPr>
                <w:rFonts w:ascii="Verdana" w:hAnsi="Verdana"/>
                <w:sz w:val="15"/>
                <w:szCs w:val="15"/>
              </w:rPr>
              <w:t>lid</w:t>
            </w:r>
          </w:p>
        </w:tc>
        <w:tc>
          <w:tcPr>
            <w:tcW w:w="2260" w:type="dxa"/>
          </w:tcPr>
          <w:p w:rsidRPr="00755640" w:rsidR="008B722F" w:rsidP="008B722F" w:rsidRDefault="003A4729" w14:paraId="56996CC6" w14:textId="37ED87C6">
            <w:pPr>
              <w:pStyle w:val="Geenafstand"/>
              <w:rPr>
                <w:rFonts w:ascii="Verdana" w:hAnsi="Verdana"/>
                <w:sz w:val="15"/>
                <w:szCs w:val="15"/>
              </w:rPr>
            </w:pPr>
            <w:r w:rsidRPr="00755640">
              <w:rPr>
                <w:rFonts w:ascii="Verdana" w:hAnsi="Verdana"/>
                <w:sz w:val="15"/>
                <w:szCs w:val="15"/>
              </w:rPr>
              <w:t xml:space="preserve">Artikel </w:t>
            </w:r>
            <w:r w:rsidR="000C06DB">
              <w:rPr>
                <w:rFonts w:ascii="Verdana" w:hAnsi="Verdana"/>
                <w:sz w:val="15"/>
                <w:szCs w:val="15"/>
              </w:rPr>
              <w:t>80</w:t>
            </w:r>
            <w:r w:rsidRPr="00755640" w:rsidR="000C06DB">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3A4729" w14:paraId="56EED7CC" w14:textId="5BB80B50">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3A4729" w14:paraId="23D98E38" w14:textId="7A03AB92">
            <w:pPr>
              <w:pStyle w:val="Geenafstand"/>
              <w:rPr>
                <w:rFonts w:ascii="Verdana" w:hAnsi="Verdana"/>
                <w:sz w:val="15"/>
                <w:szCs w:val="15"/>
              </w:rPr>
            </w:pPr>
            <w:r w:rsidRPr="00755640">
              <w:rPr>
                <w:rFonts w:ascii="Verdana" w:hAnsi="Verdana"/>
                <w:sz w:val="15"/>
                <w:szCs w:val="15"/>
              </w:rPr>
              <w:t>-</w:t>
            </w:r>
          </w:p>
        </w:tc>
      </w:tr>
      <w:tr w:rsidRPr="00755640" w:rsidR="00D66BB6" w:rsidTr="006231F6" w14:paraId="2CE1E60C" w14:textId="77777777">
        <w:tc>
          <w:tcPr>
            <w:tcW w:w="2260" w:type="dxa"/>
          </w:tcPr>
          <w:p w:rsidRPr="00755640" w:rsidR="008B722F" w:rsidP="008B722F" w:rsidRDefault="008B722F" w14:paraId="4B3C0810" w14:textId="1E8D7F1B">
            <w:pPr>
              <w:pStyle w:val="Geenafstand"/>
              <w:rPr>
                <w:rFonts w:ascii="Verdana" w:hAnsi="Verdana"/>
                <w:sz w:val="15"/>
                <w:szCs w:val="15"/>
              </w:rPr>
            </w:pPr>
            <w:r w:rsidRPr="00755640">
              <w:rPr>
                <w:rFonts w:ascii="Verdana" w:hAnsi="Verdana"/>
                <w:sz w:val="15"/>
                <w:szCs w:val="15"/>
              </w:rPr>
              <w:t xml:space="preserve">Artikel 34, </w:t>
            </w:r>
            <w:r w:rsidRPr="00755640" w:rsidR="001A3C9C">
              <w:rPr>
                <w:rFonts w:ascii="Verdana" w:hAnsi="Verdana"/>
                <w:sz w:val="15"/>
                <w:szCs w:val="15"/>
              </w:rPr>
              <w:t xml:space="preserve">achtste </w:t>
            </w:r>
            <w:r w:rsidRPr="00755640">
              <w:rPr>
                <w:rFonts w:ascii="Verdana" w:hAnsi="Verdana"/>
                <w:sz w:val="15"/>
                <w:szCs w:val="15"/>
              </w:rPr>
              <w:t>lid</w:t>
            </w:r>
          </w:p>
        </w:tc>
        <w:tc>
          <w:tcPr>
            <w:tcW w:w="2260" w:type="dxa"/>
          </w:tcPr>
          <w:p w:rsidRPr="00755640" w:rsidR="008B722F" w:rsidP="008B722F" w:rsidRDefault="001A3C9C" w14:paraId="590E1A2A" w14:textId="3551F910">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1A3C9C" w14:paraId="0D0E9A9F" w14:textId="095F8EF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1A3C9C" w14:paraId="044E85AE" w14:textId="0937F7D5">
            <w:pPr>
              <w:pStyle w:val="Geenafstand"/>
              <w:rPr>
                <w:rFonts w:ascii="Verdana" w:hAnsi="Verdana"/>
                <w:sz w:val="15"/>
                <w:szCs w:val="15"/>
              </w:rPr>
            </w:pPr>
            <w:r w:rsidRPr="00755640">
              <w:rPr>
                <w:rFonts w:ascii="Verdana" w:hAnsi="Verdana"/>
                <w:sz w:val="15"/>
                <w:szCs w:val="15"/>
              </w:rPr>
              <w:t xml:space="preserve">Het Nederlands rechtsstelsel voorziet in bestuurlijke boeten. </w:t>
            </w:r>
          </w:p>
        </w:tc>
      </w:tr>
      <w:tr w:rsidRPr="00755640" w:rsidR="00D66BB6" w:rsidTr="006231F6" w14:paraId="4EE98D6A" w14:textId="77777777">
        <w:tc>
          <w:tcPr>
            <w:tcW w:w="2260" w:type="dxa"/>
          </w:tcPr>
          <w:p w:rsidRPr="00755640" w:rsidR="008B722F" w:rsidP="008B722F" w:rsidRDefault="008B722F" w14:paraId="4E1F709E" w14:textId="24CCB4E1">
            <w:pPr>
              <w:pStyle w:val="Geenafstand"/>
              <w:rPr>
                <w:rFonts w:ascii="Verdana" w:hAnsi="Verdana"/>
                <w:sz w:val="15"/>
                <w:szCs w:val="15"/>
              </w:rPr>
            </w:pPr>
            <w:r w:rsidRPr="00755640">
              <w:rPr>
                <w:rFonts w:ascii="Verdana" w:hAnsi="Verdana"/>
                <w:sz w:val="15"/>
                <w:szCs w:val="15"/>
              </w:rPr>
              <w:t xml:space="preserve">Artikel 35, </w:t>
            </w:r>
            <w:r w:rsidRPr="00755640" w:rsidR="001A3C9C">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8B722F" w14:paraId="27304374" w14:textId="01A1467A">
            <w:pPr>
              <w:pStyle w:val="Geenafstand"/>
              <w:rPr>
                <w:rFonts w:ascii="Verdana" w:hAnsi="Verdana"/>
                <w:sz w:val="15"/>
                <w:szCs w:val="15"/>
              </w:rPr>
            </w:pPr>
            <w:r w:rsidRPr="00755640">
              <w:rPr>
                <w:rFonts w:ascii="Verdana" w:hAnsi="Verdana"/>
                <w:sz w:val="15"/>
                <w:szCs w:val="15"/>
              </w:rPr>
              <w:t xml:space="preserve">Artikel </w:t>
            </w:r>
            <w:r w:rsidRPr="00755640" w:rsidR="00D4563D">
              <w:rPr>
                <w:rFonts w:ascii="Verdana" w:hAnsi="Verdana"/>
                <w:sz w:val="15"/>
                <w:szCs w:val="15"/>
              </w:rPr>
              <w:t xml:space="preserve">58, tweede lid, </w:t>
            </w:r>
            <w:proofErr w:type="spellStart"/>
            <w:r w:rsidRPr="00755640" w:rsidR="00D4563D">
              <w:rPr>
                <w:rFonts w:ascii="Verdana" w:hAnsi="Verdana"/>
                <w:sz w:val="15"/>
                <w:szCs w:val="15"/>
              </w:rPr>
              <w:t>Cbw</w:t>
            </w:r>
            <w:proofErr w:type="spellEnd"/>
          </w:p>
        </w:tc>
        <w:tc>
          <w:tcPr>
            <w:tcW w:w="2260" w:type="dxa"/>
          </w:tcPr>
          <w:p w:rsidRPr="00755640" w:rsidR="008B722F" w:rsidP="008B722F" w:rsidRDefault="00D4563D" w14:paraId="01987BC2" w14:textId="55898AF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4563D" w14:paraId="51D060F2" w14:textId="50BECF45">
            <w:pPr>
              <w:pStyle w:val="Geenafstand"/>
              <w:rPr>
                <w:rFonts w:ascii="Verdana" w:hAnsi="Verdana"/>
                <w:sz w:val="15"/>
                <w:szCs w:val="15"/>
              </w:rPr>
            </w:pPr>
            <w:r w:rsidRPr="00755640">
              <w:rPr>
                <w:rFonts w:ascii="Verdana" w:hAnsi="Verdana"/>
                <w:sz w:val="15"/>
                <w:szCs w:val="15"/>
              </w:rPr>
              <w:t>-</w:t>
            </w:r>
          </w:p>
        </w:tc>
      </w:tr>
      <w:tr w:rsidRPr="00755640" w:rsidR="00D66BB6" w:rsidTr="006231F6" w14:paraId="654F56A0" w14:textId="77777777">
        <w:tc>
          <w:tcPr>
            <w:tcW w:w="2260" w:type="dxa"/>
          </w:tcPr>
          <w:p w:rsidRPr="00755640" w:rsidR="008B722F" w:rsidP="008B722F" w:rsidRDefault="008B722F" w14:paraId="7B741F1B" w14:textId="5C43DBF3">
            <w:pPr>
              <w:pStyle w:val="Geenafstand"/>
              <w:rPr>
                <w:rFonts w:ascii="Verdana" w:hAnsi="Verdana"/>
                <w:sz w:val="15"/>
                <w:szCs w:val="15"/>
              </w:rPr>
            </w:pPr>
            <w:r w:rsidRPr="00755640">
              <w:rPr>
                <w:rFonts w:ascii="Verdana" w:hAnsi="Verdana"/>
                <w:sz w:val="15"/>
                <w:szCs w:val="15"/>
              </w:rPr>
              <w:t xml:space="preserve">Artikel 35, </w:t>
            </w:r>
            <w:r w:rsidRPr="00755640" w:rsidR="001A3C9C">
              <w:rPr>
                <w:rFonts w:ascii="Verdana" w:hAnsi="Verdana"/>
                <w:sz w:val="15"/>
                <w:szCs w:val="15"/>
              </w:rPr>
              <w:t xml:space="preserve">tweede </w:t>
            </w:r>
            <w:r w:rsidRPr="00755640">
              <w:rPr>
                <w:rFonts w:ascii="Verdana" w:hAnsi="Verdana"/>
                <w:sz w:val="15"/>
                <w:szCs w:val="15"/>
              </w:rPr>
              <w:t>lid</w:t>
            </w:r>
          </w:p>
        </w:tc>
        <w:tc>
          <w:tcPr>
            <w:tcW w:w="2260" w:type="dxa"/>
          </w:tcPr>
          <w:p w:rsidRPr="00755640" w:rsidR="008B722F" w:rsidP="008B722F" w:rsidRDefault="00D4563D" w14:paraId="30DA4A71" w14:textId="1F44BC92">
            <w:pPr>
              <w:pStyle w:val="Geenafstand"/>
              <w:rPr>
                <w:rFonts w:ascii="Verdana" w:hAnsi="Verdana"/>
                <w:sz w:val="15"/>
                <w:szCs w:val="15"/>
              </w:rPr>
            </w:pPr>
            <w:r w:rsidRPr="00755640">
              <w:rPr>
                <w:rFonts w:ascii="Verdana" w:hAnsi="Verdana"/>
                <w:sz w:val="15"/>
                <w:szCs w:val="15"/>
              </w:rPr>
              <w:t xml:space="preserve">Artikel 58, derde lid, </w:t>
            </w:r>
            <w:proofErr w:type="spellStart"/>
            <w:r w:rsidRPr="00755640">
              <w:rPr>
                <w:rFonts w:ascii="Verdana" w:hAnsi="Verdana"/>
                <w:sz w:val="15"/>
                <w:szCs w:val="15"/>
              </w:rPr>
              <w:t>Cbw</w:t>
            </w:r>
            <w:proofErr w:type="spellEnd"/>
          </w:p>
        </w:tc>
        <w:tc>
          <w:tcPr>
            <w:tcW w:w="2260" w:type="dxa"/>
          </w:tcPr>
          <w:p w:rsidRPr="00755640" w:rsidR="008B722F" w:rsidP="008B722F" w:rsidRDefault="00D4563D" w14:paraId="41669FCD" w14:textId="2B02FC47">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D4563D" w14:paraId="190D51A5" w14:textId="66A1B626">
            <w:pPr>
              <w:pStyle w:val="Geenafstand"/>
              <w:rPr>
                <w:rFonts w:ascii="Verdana" w:hAnsi="Verdana"/>
                <w:sz w:val="15"/>
                <w:szCs w:val="15"/>
              </w:rPr>
            </w:pPr>
            <w:r w:rsidRPr="00755640">
              <w:rPr>
                <w:rFonts w:ascii="Verdana" w:hAnsi="Verdana"/>
                <w:sz w:val="15"/>
                <w:szCs w:val="15"/>
              </w:rPr>
              <w:t>-</w:t>
            </w:r>
          </w:p>
        </w:tc>
      </w:tr>
      <w:tr w:rsidRPr="00755640" w:rsidR="00D66BB6" w:rsidTr="006231F6" w14:paraId="53DD42A9" w14:textId="77777777">
        <w:tc>
          <w:tcPr>
            <w:tcW w:w="2260" w:type="dxa"/>
          </w:tcPr>
          <w:p w:rsidRPr="00755640" w:rsidR="008B722F" w:rsidP="008B722F" w:rsidRDefault="008B722F" w14:paraId="747E540A" w14:textId="3259ECAB">
            <w:pPr>
              <w:pStyle w:val="Geenafstand"/>
              <w:rPr>
                <w:rFonts w:ascii="Verdana" w:hAnsi="Verdana"/>
                <w:sz w:val="15"/>
                <w:szCs w:val="15"/>
              </w:rPr>
            </w:pPr>
            <w:r w:rsidRPr="00755640">
              <w:rPr>
                <w:rFonts w:ascii="Verdana" w:hAnsi="Verdana"/>
                <w:sz w:val="15"/>
                <w:szCs w:val="15"/>
              </w:rPr>
              <w:t xml:space="preserve">Artikel 35, </w:t>
            </w:r>
            <w:r w:rsidRPr="00755640" w:rsidR="001A3C9C">
              <w:rPr>
                <w:rFonts w:ascii="Verdana" w:hAnsi="Verdana"/>
                <w:sz w:val="15"/>
                <w:szCs w:val="15"/>
              </w:rPr>
              <w:t xml:space="preserve">derde </w:t>
            </w:r>
            <w:r w:rsidRPr="00755640">
              <w:rPr>
                <w:rFonts w:ascii="Verdana" w:hAnsi="Verdana"/>
                <w:sz w:val="15"/>
                <w:szCs w:val="15"/>
              </w:rPr>
              <w:t>lid</w:t>
            </w:r>
          </w:p>
        </w:tc>
        <w:tc>
          <w:tcPr>
            <w:tcW w:w="2260" w:type="dxa"/>
          </w:tcPr>
          <w:p w:rsidRPr="00755640" w:rsidR="008B722F" w:rsidP="008B722F" w:rsidRDefault="007940BC" w14:paraId="2D6B0C3B" w14:textId="2C94F9B6">
            <w:pPr>
              <w:pStyle w:val="Geenafstand"/>
              <w:rPr>
                <w:rFonts w:ascii="Verdana" w:hAnsi="Verdana"/>
                <w:sz w:val="15"/>
                <w:szCs w:val="15"/>
              </w:rPr>
            </w:pPr>
            <w:r w:rsidRPr="00755640">
              <w:rPr>
                <w:rFonts w:ascii="Verdana" w:hAnsi="Verdana"/>
                <w:sz w:val="15"/>
                <w:szCs w:val="15"/>
              </w:rPr>
              <w:t xml:space="preserve">Artikel 58, vierde lid, </w:t>
            </w:r>
            <w:proofErr w:type="spellStart"/>
            <w:r w:rsidRPr="00755640">
              <w:rPr>
                <w:rFonts w:ascii="Verdana" w:hAnsi="Verdana"/>
                <w:sz w:val="15"/>
                <w:szCs w:val="15"/>
              </w:rPr>
              <w:t>Cbw</w:t>
            </w:r>
            <w:proofErr w:type="spellEnd"/>
          </w:p>
        </w:tc>
        <w:tc>
          <w:tcPr>
            <w:tcW w:w="2260" w:type="dxa"/>
          </w:tcPr>
          <w:p w:rsidRPr="00755640" w:rsidR="008B722F" w:rsidP="008B722F" w:rsidRDefault="007940BC" w14:paraId="7EC0EC00" w14:textId="19E75A12">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7940BC" w14:paraId="4A2AC186" w14:textId="6A727094">
            <w:pPr>
              <w:pStyle w:val="Geenafstand"/>
              <w:rPr>
                <w:rFonts w:ascii="Verdana" w:hAnsi="Verdana"/>
                <w:sz w:val="15"/>
                <w:szCs w:val="15"/>
              </w:rPr>
            </w:pPr>
            <w:r w:rsidRPr="00755640">
              <w:rPr>
                <w:rFonts w:ascii="Verdana" w:hAnsi="Verdana"/>
                <w:sz w:val="15"/>
                <w:szCs w:val="15"/>
              </w:rPr>
              <w:t>-</w:t>
            </w:r>
          </w:p>
        </w:tc>
      </w:tr>
      <w:tr w:rsidRPr="00755640" w:rsidR="00D66BB6" w:rsidTr="006231F6" w14:paraId="17F6226F" w14:textId="77777777">
        <w:tc>
          <w:tcPr>
            <w:tcW w:w="2260" w:type="dxa"/>
          </w:tcPr>
          <w:p w:rsidRPr="00755640" w:rsidR="008B722F" w:rsidP="008B722F" w:rsidRDefault="008B722F" w14:paraId="22ADD3AF" w14:textId="77777777">
            <w:pPr>
              <w:pStyle w:val="Geenafstand"/>
              <w:rPr>
                <w:rFonts w:ascii="Verdana" w:hAnsi="Verdana"/>
                <w:sz w:val="15"/>
                <w:szCs w:val="15"/>
              </w:rPr>
            </w:pPr>
            <w:r w:rsidRPr="00755640">
              <w:rPr>
                <w:rFonts w:ascii="Verdana" w:hAnsi="Verdana"/>
                <w:sz w:val="15"/>
                <w:szCs w:val="15"/>
              </w:rPr>
              <w:t>Artikel 36</w:t>
            </w:r>
          </w:p>
        </w:tc>
        <w:tc>
          <w:tcPr>
            <w:tcW w:w="2260" w:type="dxa"/>
          </w:tcPr>
          <w:p w:rsidRPr="00755640" w:rsidR="008B722F" w:rsidP="008B722F" w:rsidRDefault="00251326" w14:paraId="019E9ACC" w14:textId="2F60D14E">
            <w:pPr>
              <w:pStyle w:val="Geenafstand"/>
              <w:rPr>
                <w:rFonts w:ascii="Verdana" w:hAnsi="Verdana"/>
                <w:sz w:val="15"/>
                <w:szCs w:val="15"/>
              </w:rPr>
            </w:pPr>
            <w:r w:rsidRPr="00755640">
              <w:rPr>
                <w:rFonts w:ascii="Verdana" w:hAnsi="Verdana"/>
                <w:sz w:val="15"/>
                <w:szCs w:val="15"/>
              </w:rPr>
              <w:t xml:space="preserve">Hoofdstuk 15 </w:t>
            </w:r>
            <w:proofErr w:type="spellStart"/>
            <w:r w:rsidRPr="00755640">
              <w:rPr>
                <w:rFonts w:ascii="Verdana" w:hAnsi="Verdana"/>
                <w:sz w:val="15"/>
                <w:szCs w:val="15"/>
              </w:rPr>
              <w:t>Cbw</w:t>
            </w:r>
            <w:proofErr w:type="spellEnd"/>
          </w:p>
        </w:tc>
        <w:tc>
          <w:tcPr>
            <w:tcW w:w="2260" w:type="dxa"/>
          </w:tcPr>
          <w:p w:rsidRPr="00755640" w:rsidR="008B722F" w:rsidP="008B722F" w:rsidRDefault="00251326" w14:paraId="3CA53CC1" w14:textId="5A11D7E1">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251326" w14:paraId="2A189E3E" w14:textId="225CE3B0">
            <w:pPr>
              <w:pStyle w:val="Geenafstand"/>
              <w:rPr>
                <w:rFonts w:ascii="Verdana" w:hAnsi="Verdana"/>
                <w:sz w:val="15"/>
                <w:szCs w:val="15"/>
              </w:rPr>
            </w:pPr>
            <w:r w:rsidRPr="00755640">
              <w:rPr>
                <w:rFonts w:ascii="Verdana" w:hAnsi="Verdana"/>
                <w:sz w:val="15"/>
                <w:szCs w:val="15"/>
              </w:rPr>
              <w:t>-</w:t>
            </w:r>
          </w:p>
        </w:tc>
      </w:tr>
      <w:tr w:rsidRPr="00755640" w:rsidR="00D66BB6" w:rsidTr="006231F6" w14:paraId="574D57CB" w14:textId="77777777">
        <w:tc>
          <w:tcPr>
            <w:tcW w:w="2260" w:type="dxa"/>
          </w:tcPr>
          <w:p w:rsidRPr="00755640" w:rsidR="008B722F" w:rsidP="008B722F" w:rsidRDefault="008B722F" w14:paraId="56BFEBBC" w14:textId="3ED92B78">
            <w:pPr>
              <w:pStyle w:val="Geenafstand"/>
              <w:rPr>
                <w:rFonts w:ascii="Verdana" w:hAnsi="Verdana"/>
                <w:sz w:val="15"/>
                <w:szCs w:val="15"/>
              </w:rPr>
            </w:pPr>
            <w:r w:rsidRPr="00755640">
              <w:rPr>
                <w:rFonts w:ascii="Verdana" w:hAnsi="Verdana"/>
                <w:sz w:val="15"/>
                <w:szCs w:val="15"/>
              </w:rPr>
              <w:t xml:space="preserve">Artikel 37, </w:t>
            </w:r>
            <w:r w:rsidRPr="00755640" w:rsidR="001A3C9C">
              <w:rPr>
                <w:rFonts w:ascii="Verdana" w:hAnsi="Verdana"/>
                <w:sz w:val="15"/>
                <w:szCs w:val="15"/>
              </w:rPr>
              <w:t xml:space="preserve">eerste </w:t>
            </w:r>
            <w:r w:rsidRPr="00755640">
              <w:rPr>
                <w:rFonts w:ascii="Verdana" w:hAnsi="Verdana"/>
                <w:sz w:val="15"/>
                <w:szCs w:val="15"/>
              </w:rPr>
              <w:t>lid</w:t>
            </w:r>
          </w:p>
        </w:tc>
        <w:tc>
          <w:tcPr>
            <w:tcW w:w="2260" w:type="dxa"/>
          </w:tcPr>
          <w:p w:rsidRPr="00755640" w:rsidR="008B722F" w:rsidP="008B722F" w:rsidRDefault="00C70589" w14:paraId="1BC35FE5" w14:textId="304A68B7">
            <w:pPr>
              <w:pStyle w:val="Geenafstand"/>
              <w:rPr>
                <w:rFonts w:ascii="Verdana" w:hAnsi="Verdana"/>
                <w:sz w:val="15"/>
                <w:szCs w:val="15"/>
              </w:rPr>
            </w:pPr>
            <w:r w:rsidRPr="00755640">
              <w:rPr>
                <w:rFonts w:ascii="Verdana" w:hAnsi="Verdana"/>
                <w:sz w:val="15"/>
                <w:szCs w:val="15"/>
              </w:rPr>
              <w:t xml:space="preserve">De artikelen 60 en 61 </w:t>
            </w:r>
            <w:proofErr w:type="spellStart"/>
            <w:r w:rsidRPr="00755640">
              <w:rPr>
                <w:rFonts w:ascii="Verdana" w:hAnsi="Verdana"/>
                <w:sz w:val="15"/>
                <w:szCs w:val="15"/>
              </w:rPr>
              <w:t>Cbw</w:t>
            </w:r>
            <w:proofErr w:type="spellEnd"/>
          </w:p>
        </w:tc>
        <w:tc>
          <w:tcPr>
            <w:tcW w:w="2260" w:type="dxa"/>
          </w:tcPr>
          <w:p w:rsidRPr="00755640" w:rsidR="008B722F" w:rsidP="008B722F" w:rsidRDefault="00C70589" w14:paraId="31428A71" w14:textId="67C224EC">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C70589" w14:paraId="60C5D802" w14:textId="1B25CB45">
            <w:pPr>
              <w:pStyle w:val="Geenafstand"/>
              <w:rPr>
                <w:rFonts w:ascii="Verdana" w:hAnsi="Verdana"/>
                <w:sz w:val="15"/>
                <w:szCs w:val="15"/>
              </w:rPr>
            </w:pPr>
            <w:r w:rsidRPr="00755640">
              <w:rPr>
                <w:rFonts w:ascii="Verdana" w:hAnsi="Verdana"/>
                <w:sz w:val="15"/>
                <w:szCs w:val="15"/>
              </w:rPr>
              <w:t>-</w:t>
            </w:r>
          </w:p>
        </w:tc>
      </w:tr>
      <w:tr w:rsidRPr="00755640" w:rsidR="001A3C9C" w:rsidTr="006231F6" w14:paraId="59A98692" w14:textId="77777777">
        <w:tc>
          <w:tcPr>
            <w:tcW w:w="2260" w:type="dxa"/>
          </w:tcPr>
          <w:p w:rsidRPr="00755640" w:rsidR="001A3C9C" w:rsidP="008B722F" w:rsidRDefault="001A3C9C" w14:paraId="4DE3C0E3" w14:textId="571D634D">
            <w:pPr>
              <w:pStyle w:val="Geenafstand"/>
              <w:rPr>
                <w:rFonts w:ascii="Verdana" w:hAnsi="Verdana"/>
                <w:sz w:val="15"/>
                <w:szCs w:val="15"/>
              </w:rPr>
            </w:pPr>
            <w:r w:rsidRPr="00755640">
              <w:rPr>
                <w:rFonts w:ascii="Verdana" w:hAnsi="Verdana"/>
                <w:sz w:val="15"/>
                <w:szCs w:val="15"/>
              </w:rPr>
              <w:t>Artikel 37, tweede lid</w:t>
            </w:r>
          </w:p>
        </w:tc>
        <w:tc>
          <w:tcPr>
            <w:tcW w:w="2260" w:type="dxa"/>
          </w:tcPr>
          <w:p w:rsidRPr="00755640" w:rsidR="001A3C9C" w:rsidP="008B722F" w:rsidRDefault="00C70589" w14:paraId="356BB143" w14:textId="71BC5CD1">
            <w:pPr>
              <w:pStyle w:val="Geenafstand"/>
              <w:rPr>
                <w:rFonts w:ascii="Verdana" w:hAnsi="Verdana"/>
                <w:sz w:val="15"/>
                <w:szCs w:val="15"/>
              </w:rPr>
            </w:pPr>
            <w:r w:rsidRPr="00755640">
              <w:rPr>
                <w:rFonts w:ascii="Verdana" w:hAnsi="Verdana"/>
                <w:sz w:val="15"/>
                <w:szCs w:val="15"/>
              </w:rPr>
              <w:t>-</w:t>
            </w:r>
          </w:p>
        </w:tc>
        <w:tc>
          <w:tcPr>
            <w:tcW w:w="2260" w:type="dxa"/>
          </w:tcPr>
          <w:p w:rsidRPr="00755640" w:rsidR="001A3C9C" w:rsidP="008B722F" w:rsidRDefault="00C70589" w14:paraId="7F7C2749" w14:textId="345F7C21">
            <w:pPr>
              <w:pStyle w:val="Geenafstand"/>
              <w:rPr>
                <w:rFonts w:ascii="Verdana" w:hAnsi="Verdana"/>
                <w:sz w:val="15"/>
                <w:szCs w:val="15"/>
              </w:rPr>
            </w:pPr>
            <w:r w:rsidRPr="00755640">
              <w:rPr>
                <w:rFonts w:ascii="Verdana" w:hAnsi="Verdana"/>
                <w:sz w:val="15"/>
                <w:szCs w:val="15"/>
              </w:rPr>
              <w:t>-</w:t>
            </w:r>
          </w:p>
        </w:tc>
        <w:tc>
          <w:tcPr>
            <w:tcW w:w="2261" w:type="dxa"/>
          </w:tcPr>
          <w:p w:rsidRPr="00755640" w:rsidR="001A3C9C" w:rsidP="008B722F" w:rsidRDefault="00C70589" w14:paraId="58FC1474" w14:textId="36B12F98">
            <w:pPr>
              <w:pStyle w:val="Geenafstand"/>
              <w:rPr>
                <w:rFonts w:ascii="Verdana" w:hAnsi="Verdana"/>
                <w:sz w:val="15"/>
                <w:szCs w:val="15"/>
              </w:rPr>
            </w:pPr>
            <w:r w:rsidRPr="00755640">
              <w:rPr>
                <w:rFonts w:ascii="Verdana" w:hAnsi="Verdana"/>
                <w:sz w:val="15"/>
                <w:szCs w:val="15"/>
              </w:rPr>
              <w:t xml:space="preserve">Voor de bedoelde gecoördineerde aanpak is geen wetgeving nodig. </w:t>
            </w:r>
          </w:p>
        </w:tc>
      </w:tr>
      <w:tr w:rsidRPr="00755640" w:rsidR="00D66BB6" w:rsidTr="006231F6" w14:paraId="057717A2" w14:textId="77777777">
        <w:tc>
          <w:tcPr>
            <w:tcW w:w="2260" w:type="dxa"/>
          </w:tcPr>
          <w:p w:rsidRPr="00755640" w:rsidR="008B722F" w:rsidP="008B722F" w:rsidRDefault="008B722F" w14:paraId="16701172" w14:textId="7A76C0BD">
            <w:pPr>
              <w:pStyle w:val="Geenafstand"/>
              <w:rPr>
                <w:rFonts w:ascii="Verdana" w:hAnsi="Verdana"/>
                <w:sz w:val="15"/>
                <w:szCs w:val="15"/>
              </w:rPr>
            </w:pPr>
            <w:r w:rsidRPr="00755640">
              <w:rPr>
                <w:rFonts w:ascii="Verdana" w:hAnsi="Verdana"/>
                <w:sz w:val="15"/>
                <w:szCs w:val="15"/>
              </w:rPr>
              <w:t>Artikel 38</w:t>
            </w:r>
            <w:r w:rsidRPr="00755640" w:rsidR="00B62BCF">
              <w:rPr>
                <w:rFonts w:ascii="Verdana" w:hAnsi="Verdana"/>
                <w:sz w:val="15"/>
                <w:szCs w:val="15"/>
              </w:rPr>
              <w:t>, eerste en tweede lid</w:t>
            </w:r>
          </w:p>
        </w:tc>
        <w:tc>
          <w:tcPr>
            <w:tcW w:w="2260" w:type="dxa"/>
          </w:tcPr>
          <w:p w:rsidRPr="00755640" w:rsidR="008B722F" w:rsidP="008B722F" w:rsidRDefault="00B62BCF" w14:paraId="6459FEF4" w14:textId="3E143EFC">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B62BCF" w14:paraId="6B96CDD9" w14:textId="6C93EC3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62BCF" w14:paraId="1363FDAA" w14:textId="67920DE2">
            <w:pPr>
              <w:pStyle w:val="Geenafstand"/>
              <w:rPr>
                <w:rFonts w:ascii="Verdana" w:hAnsi="Verdana"/>
                <w:sz w:val="15"/>
                <w:szCs w:val="15"/>
              </w:rPr>
            </w:pPr>
            <w:r w:rsidRPr="00755640">
              <w:rPr>
                <w:rFonts w:ascii="Verdana" w:hAnsi="Verdana"/>
                <w:sz w:val="15"/>
                <w:szCs w:val="15"/>
              </w:rPr>
              <w:t xml:space="preserve">Deze bepalingen betreffen een bevoegdheid van de Europese Commissie. </w:t>
            </w:r>
          </w:p>
        </w:tc>
      </w:tr>
      <w:tr w:rsidRPr="00755640" w:rsidR="00B62BCF" w:rsidTr="006231F6" w14:paraId="3045D1EE" w14:textId="77777777">
        <w:tc>
          <w:tcPr>
            <w:tcW w:w="2260" w:type="dxa"/>
          </w:tcPr>
          <w:p w:rsidRPr="00755640" w:rsidR="00B62BCF" w:rsidP="008B722F" w:rsidRDefault="00B62BCF" w14:paraId="7E619EB3" w14:textId="07107929">
            <w:pPr>
              <w:pStyle w:val="Geenafstand"/>
              <w:rPr>
                <w:rFonts w:ascii="Verdana" w:hAnsi="Verdana"/>
                <w:sz w:val="15"/>
                <w:szCs w:val="15"/>
              </w:rPr>
            </w:pPr>
            <w:r w:rsidRPr="00755640">
              <w:rPr>
                <w:rFonts w:ascii="Verdana" w:hAnsi="Verdana"/>
                <w:sz w:val="15"/>
                <w:szCs w:val="15"/>
              </w:rPr>
              <w:t>Artikel 38, derde lid</w:t>
            </w:r>
          </w:p>
        </w:tc>
        <w:tc>
          <w:tcPr>
            <w:tcW w:w="2260" w:type="dxa"/>
          </w:tcPr>
          <w:p w:rsidRPr="00755640" w:rsidR="00B62BCF" w:rsidP="008B722F" w:rsidRDefault="00B62BCF" w14:paraId="02122394" w14:textId="1E04BDA3">
            <w:pPr>
              <w:pStyle w:val="Geenafstand"/>
              <w:rPr>
                <w:rFonts w:ascii="Verdana" w:hAnsi="Verdana"/>
                <w:sz w:val="15"/>
                <w:szCs w:val="15"/>
              </w:rPr>
            </w:pPr>
            <w:r w:rsidRPr="00755640">
              <w:rPr>
                <w:rFonts w:ascii="Verdana" w:hAnsi="Verdana"/>
                <w:sz w:val="15"/>
                <w:szCs w:val="15"/>
              </w:rPr>
              <w:t>-</w:t>
            </w:r>
          </w:p>
        </w:tc>
        <w:tc>
          <w:tcPr>
            <w:tcW w:w="2260" w:type="dxa"/>
          </w:tcPr>
          <w:p w:rsidRPr="00755640" w:rsidR="00B62BCF" w:rsidP="008B722F" w:rsidRDefault="00B62BCF" w14:paraId="0CEBA3A2" w14:textId="36EBE258">
            <w:pPr>
              <w:pStyle w:val="Geenafstand"/>
              <w:rPr>
                <w:rFonts w:ascii="Verdana" w:hAnsi="Verdana"/>
                <w:sz w:val="15"/>
                <w:szCs w:val="15"/>
              </w:rPr>
            </w:pPr>
            <w:r w:rsidRPr="00755640">
              <w:rPr>
                <w:rFonts w:ascii="Verdana" w:hAnsi="Verdana"/>
                <w:sz w:val="15"/>
                <w:szCs w:val="15"/>
              </w:rPr>
              <w:t>-</w:t>
            </w:r>
          </w:p>
        </w:tc>
        <w:tc>
          <w:tcPr>
            <w:tcW w:w="2261" w:type="dxa"/>
          </w:tcPr>
          <w:p w:rsidRPr="00755640" w:rsidR="00B62BCF" w:rsidP="008B722F" w:rsidRDefault="00B62BCF" w14:paraId="46F1408A" w14:textId="14870B96">
            <w:pPr>
              <w:pStyle w:val="Geenafstand"/>
              <w:rPr>
                <w:rFonts w:ascii="Verdana" w:hAnsi="Verdana"/>
                <w:sz w:val="15"/>
                <w:szCs w:val="15"/>
              </w:rPr>
            </w:pPr>
            <w:r w:rsidRPr="00755640">
              <w:rPr>
                <w:rFonts w:ascii="Verdana" w:hAnsi="Verdana"/>
                <w:sz w:val="15"/>
                <w:szCs w:val="15"/>
              </w:rPr>
              <w:t xml:space="preserve">Deze bepaling is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het Europees Parlement en de Europese Raad.</w:t>
            </w:r>
          </w:p>
        </w:tc>
      </w:tr>
      <w:tr w:rsidRPr="00755640" w:rsidR="00B62BCF" w:rsidTr="006231F6" w14:paraId="738FFB50" w14:textId="77777777">
        <w:tc>
          <w:tcPr>
            <w:tcW w:w="2260" w:type="dxa"/>
          </w:tcPr>
          <w:p w:rsidRPr="00755640" w:rsidR="00B62BCF" w:rsidP="008B722F" w:rsidRDefault="00B62BCF" w14:paraId="48598908" w14:textId="027FAE04">
            <w:pPr>
              <w:pStyle w:val="Geenafstand"/>
              <w:rPr>
                <w:rFonts w:ascii="Verdana" w:hAnsi="Verdana"/>
                <w:sz w:val="15"/>
                <w:szCs w:val="15"/>
              </w:rPr>
            </w:pPr>
            <w:r w:rsidRPr="00755640">
              <w:rPr>
                <w:rFonts w:ascii="Verdana" w:hAnsi="Verdana"/>
                <w:sz w:val="15"/>
                <w:szCs w:val="15"/>
              </w:rPr>
              <w:t>Artikel 38, vierde en vijfde lid</w:t>
            </w:r>
          </w:p>
        </w:tc>
        <w:tc>
          <w:tcPr>
            <w:tcW w:w="2260" w:type="dxa"/>
          </w:tcPr>
          <w:p w:rsidRPr="00755640" w:rsidR="00B62BCF" w:rsidP="008B722F" w:rsidRDefault="00B62BCF" w14:paraId="2DEAD15F" w14:textId="6212B272">
            <w:pPr>
              <w:pStyle w:val="Geenafstand"/>
              <w:rPr>
                <w:rFonts w:ascii="Verdana" w:hAnsi="Verdana"/>
                <w:sz w:val="15"/>
                <w:szCs w:val="15"/>
              </w:rPr>
            </w:pPr>
            <w:r w:rsidRPr="00755640">
              <w:rPr>
                <w:rFonts w:ascii="Verdana" w:hAnsi="Verdana"/>
                <w:sz w:val="15"/>
                <w:szCs w:val="15"/>
              </w:rPr>
              <w:t>-</w:t>
            </w:r>
          </w:p>
        </w:tc>
        <w:tc>
          <w:tcPr>
            <w:tcW w:w="2260" w:type="dxa"/>
          </w:tcPr>
          <w:p w:rsidRPr="00755640" w:rsidR="00B62BCF" w:rsidP="008B722F" w:rsidRDefault="00B62BCF" w14:paraId="246EFEB5" w14:textId="02549A9B">
            <w:pPr>
              <w:pStyle w:val="Geenafstand"/>
              <w:rPr>
                <w:rFonts w:ascii="Verdana" w:hAnsi="Verdana"/>
                <w:sz w:val="15"/>
                <w:szCs w:val="15"/>
              </w:rPr>
            </w:pPr>
            <w:r w:rsidRPr="00755640">
              <w:rPr>
                <w:rFonts w:ascii="Verdana" w:hAnsi="Verdana"/>
                <w:sz w:val="15"/>
                <w:szCs w:val="15"/>
              </w:rPr>
              <w:t>-</w:t>
            </w:r>
          </w:p>
        </w:tc>
        <w:tc>
          <w:tcPr>
            <w:tcW w:w="2261" w:type="dxa"/>
          </w:tcPr>
          <w:p w:rsidRPr="00755640" w:rsidR="00B62BCF" w:rsidP="008B722F" w:rsidRDefault="00B62BCF" w14:paraId="512E2D62" w14:textId="5398E7BA">
            <w:pPr>
              <w:pStyle w:val="Geenafstand"/>
              <w:rPr>
                <w:rFonts w:ascii="Verdana" w:hAnsi="Verdana"/>
                <w:sz w:val="15"/>
                <w:szCs w:val="15"/>
              </w:rPr>
            </w:pPr>
            <w:r w:rsidRPr="00755640">
              <w:rPr>
                <w:rFonts w:ascii="Verdana" w:hAnsi="Verdana"/>
                <w:sz w:val="15"/>
                <w:szCs w:val="15"/>
              </w:rPr>
              <w:t xml:space="preserve">Deze bepalingen zijn gericht </w:t>
            </w:r>
            <w:r w:rsidR="007125A9">
              <w:rPr>
                <w:rFonts w:ascii="Verdana" w:hAnsi="Verdana"/>
                <w:sz w:val="15"/>
                <w:szCs w:val="15"/>
              </w:rPr>
              <w:t>aan</w:t>
            </w:r>
            <w:r w:rsidRPr="00755640" w:rsidR="007125A9">
              <w:rPr>
                <w:rFonts w:ascii="Verdana" w:hAnsi="Verdana"/>
                <w:sz w:val="15"/>
                <w:szCs w:val="15"/>
              </w:rPr>
              <w:t xml:space="preserve"> </w:t>
            </w:r>
            <w:r w:rsidRPr="00755640">
              <w:rPr>
                <w:rFonts w:ascii="Verdana" w:hAnsi="Verdana"/>
                <w:sz w:val="15"/>
                <w:szCs w:val="15"/>
              </w:rPr>
              <w:t>de Europese Commissie.</w:t>
            </w:r>
          </w:p>
        </w:tc>
      </w:tr>
      <w:tr w:rsidRPr="00755640" w:rsidR="00B62BCF" w:rsidTr="006231F6" w14:paraId="610E9C23" w14:textId="77777777">
        <w:tc>
          <w:tcPr>
            <w:tcW w:w="2260" w:type="dxa"/>
          </w:tcPr>
          <w:p w:rsidRPr="00755640" w:rsidR="00B62BCF" w:rsidP="008B722F" w:rsidRDefault="00B62BCF" w14:paraId="74E2327D" w14:textId="223A8E5F">
            <w:pPr>
              <w:pStyle w:val="Geenafstand"/>
              <w:rPr>
                <w:rFonts w:ascii="Verdana" w:hAnsi="Verdana"/>
                <w:sz w:val="15"/>
                <w:szCs w:val="15"/>
              </w:rPr>
            </w:pPr>
            <w:r w:rsidRPr="00755640">
              <w:rPr>
                <w:rFonts w:ascii="Verdana" w:hAnsi="Verdana"/>
                <w:sz w:val="15"/>
                <w:szCs w:val="15"/>
              </w:rPr>
              <w:t>Artikel 38, zesde lid</w:t>
            </w:r>
          </w:p>
        </w:tc>
        <w:tc>
          <w:tcPr>
            <w:tcW w:w="2260" w:type="dxa"/>
          </w:tcPr>
          <w:p w:rsidRPr="00755640" w:rsidR="00B62BCF" w:rsidP="008B722F" w:rsidRDefault="00B62BCF" w14:paraId="24B7D4D5" w14:textId="3B74A216">
            <w:pPr>
              <w:pStyle w:val="Geenafstand"/>
              <w:rPr>
                <w:rFonts w:ascii="Verdana" w:hAnsi="Verdana"/>
                <w:sz w:val="15"/>
                <w:szCs w:val="15"/>
              </w:rPr>
            </w:pPr>
            <w:r w:rsidRPr="00755640">
              <w:rPr>
                <w:rFonts w:ascii="Verdana" w:hAnsi="Verdana"/>
                <w:sz w:val="15"/>
                <w:szCs w:val="15"/>
              </w:rPr>
              <w:t>-</w:t>
            </w:r>
          </w:p>
        </w:tc>
        <w:tc>
          <w:tcPr>
            <w:tcW w:w="2260" w:type="dxa"/>
          </w:tcPr>
          <w:p w:rsidRPr="00755640" w:rsidR="00B62BCF" w:rsidP="008B722F" w:rsidRDefault="00B62BCF" w14:paraId="3B6CA6C0" w14:textId="047AFC17">
            <w:pPr>
              <w:pStyle w:val="Geenafstand"/>
              <w:rPr>
                <w:rFonts w:ascii="Verdana" w:hAnsi="Verdana"/>
                <w:sz w:val="15"/>
                <w:szCs w:val="15"/>
              </w:rPr>
            </w:pPr>
            <w:r w:rsidRPr="00755640">
              <w:rPr>
                <w:rFonts w:ascii="Verdana" w:hAnsi="Verdana"/>
                <w:sz w:val="15"/>
                <w:szCs w:val="15"/>
              </w:rPr>
              <w:t>-</w:t>
            </w:r>
          </w:p>
        </w:tc>
        <w:tc>
          <w:tcPr>
            <w:tcW w:w="2261" w:type="dxa"/>
          </w:tcPr>
          <w:p w:rsidRPr="00755640" w:rsidR="00B62BCF" w:rsidP="008B722F" w:rsidRDefault="00B62BCF" w14:paraId="5245F681" w14:textId="414AA576">
            <w:pPr>
              <w:pStyle w:val="Geenafstand"/>
              <w:rPr>
                <w:rFonts w:ascii="Verdana" w:hAnsi="Verdana"/>
                <w:sz w:val="15"/>
                <w:szCs w:val="15"/>
              </w:rPr>
            </w:pPr>
            <w:r w:rsidRPr="00755640">
              <w:rPr>
                <w:rFonts w:ascii="Verdana" w:hAnsi="Verdana"/>
                <w:sz w:val="15"/>
                <w:szCs w:val="15"/>
              </w:rPr>
              <w:t>Deze bepaling ziet op de inwerkingtreding van een gedelegeerde handeling.</w:t>
            </w:r>
          </w:p>
        </w:tc>
      </w:tr>
      <w:tr w:rsidRPr="00755640" w:rsidR="00D66BB6" w:rsidTr="006231F6" w14:paraId="73187A7F" w14:textId="77777777">
        <w:tc>
          <w:tcPr>
            <w:tcW w:w="2260" w:type="dxa"/>
          </w:tcPr>
          <w:p w:rsidRPr="00755640" w:rsidR="008B722F" w:rsidP="008B722F" w:rsidRDefault="008B722F" w14:paraId="7040553A" w14:textId="66162279">
            <w:pPr>
              <w:pStyle w:val="Geenafstand"/>
              <w:rPr>
                <w:rFonts w:ascii="Verdana" w:hAnsi="Verdana"/>
                <w:sz w:val="15"/>
                <w:szCs w:val="15"/>
              </w:rPr>
            </w:pPr>
            <w:r w:rsidRPr="00755640">
              <w:rPr>
                <w:rFonts w:ascii="Verdana" w:hAnsi="Verdana"/>
                <w:sz w:val="15"/>
                <w:szCs w:val="15"/>
              </w:rPr>
              <w:t>Artikel 39</w:t>
            </w:r>
            <w:r w:rsidRPr="00755640" w:rsidR="008F3B8A">
              <w:rPr>
                <w:rFonts w:ascii="Verdana" w:hAnsi="Verdana"/>
                <w:sz w:val="15"/>
                <w:szCs w:val="15"/>
              </w:rPr>
              <w:t>, eerste, tweede en derde lid</w:t>
            </w:r>
          </w:p>
        </w:tc>
        <w:tc>
          <w:tcPr>
            <w:tcW w:w="2260" w:type="dxa"/>
          </w:tcPr>
          <w:p w:rsidRPr="00755640" w:rsidR="008B722F" w:rsidP="008B722F" w:rsidRDefault="008F3B8A" w14:paraId="6F127CB1" w14:textId="29C11992">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F3B8A" w14:paraId="33467E6C" w14:textId="7745FA7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F3B8A" w14:paraId="326CD345" w14:textId="4BCFF98E">
            <w:pPr>
              <w:pStyle w:val="Geenafstand"/>
              <w:rPr>
                <w:rFonts w:ascii="Verdana" w:hAnsi="Verdana"/>
                <w:sz w:val="15"/>
                <w:szCs w:val="15"/>
              </w:rPr>
            </w:pPr>
            <w:r w:rsidRPr="00755640">
              <w:rPr>
                <w:rFonts w:ascii="Verdana" w:hAnsi="Verdana"/>
                <w:sz w:val="15"/>
                <w:szCs w:val="15"/>
              </w:rPr>
              <w:t>Deze bepalingen zien op bijstand aan de Europese Commissie door een comité.</w:t>
            </w:r>
          </w:p>
        </w:tc>
      </w:tr>
      <w:tr w:rsidRPr="00755640" w:rsidR="00D66BB6" w:rsidTr="006231F6" w14:paraId="580079AC" w14:textId="77777777">
        <w:tc>
          <w:tcPr>
            <w:tcW w:w="2260" w:type="dxa"/>
          </w:tcPr>
          <w:p w:rsidRPr="00755640" w:rsidR="008B722F" w:rsidP="008B722F" w:rsidRDefault="008B722F" w14:paraId="3FB853AB" w14:textId="4D3EA054">
            <w:pPr>
              <w:pStyle w:val="Geenafstand"/>
              <w:rPr>
                <w:rFonts w:ascii="Verdana" w:hAnsi="Verdana"/>
                <w:sz w:val="15"/>
                <w:szCs w:val="15"/>
              </w:rPr>
            </w:pPr>
            <w:r w:rsidRPr="00755640">
              <w:rPr>
                <w:rFonts w:ascii="Verdana" w:hAnsi="Verdana"/>
                <w:sz w:val="15"/>
                <w:szCs w:val="15"/>
              </w:rPr>
              <w:t>Artikel 40</w:t>
            </w:r>
          </w:p>
        </w:tc>
        <w:tc>
          <w:tcPr>
            <w:tcW w:w="2260" w:type="dxa"/>
          </w:tcPr>
          <w:p w:rsidRPr="00755640" w:rsidR="008B722F" w:rsidP="008B722F" w:rsidRDefault="001A3C9C" w14:paraId="1D6EAA54" w14:textId="7E298EDF">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1A3C9C" w14:paraId="39891EE0" w14:textId="34BEC62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F3B8A" w14:paraId="5C72405B" w14:textId="1CB734B7">
            <w:pPr>
              <w:pStyle w:val="Geenafstand"/>
              <w:rPr>
                <w:rFonts w:ascii="Verdana" w:hAnsi="Verdana"/>
                <w:sz w:val="15"/>
                <w:szCs w:val="15"/>
              </w:rPr>
            </w:pPr>
            <w:r w:rsidRPr="00755640">
              <w:rPr>
                <w:rFonts w:ascii="Verdana" w:hAnsi="Verdana"/>
                <w:sz w:val="15"/>
                <w:szCs w:val="15"/>
              </w:rPr>
              <w:t xml:space="preserve">Deze bepaling is gericht </w:t>
            </w:r>
            <w:r w:rsidR="007125A9">
              <w:rPr>
                <w:rFonts w:ascii="Verdana" w:hAnsi="Verdana"/>
                <w:sz w:val="15"/>
                <w:szCs w:val="15"/>
              </w:rPr>
              <w:t>aan</w:t>
            </w:r>
            <w:r w:rsidRPr="00755640" w:rsidR="007125A9">
              <w:rPr>
                <w:rFonts w:ascii="Verdana" w:hAnsi="Verdana"/>
                <w:sz w:val="15"/>
                <w:szCs w:val="15"/>
              </w:rPr>
              <w:t xml:space="preserve"> </w:t>
            </w:r>
            <w:r w:rsidRPr="00755640" w:rsidR="001A3C9C">
              <w:rPr>
                <w:rFonts w:ascii="Verdana" w:hAnsi="Verdana"/>
                <w:sz w:val="15"/>
                <w:szCs w:val="15"/>
              </w:rPr>
              <w:t>de Europese Commissie.</w:t>
            </w:r>
          </w:p>
        </w:tc>
      </w:tr>
      <w:tr w:rsidRPr="00755640" w:rsidR="00D66BB6" w:rsidTr="006231F6" w14:paraId="3BDDFFEE" w14:textId="77777777">
        <w:tc>
          <w:tcPr>
            <w:tcW w:w="2260" w:type="dxa"/>
          </w:tcPr>
          <w:p w:rsidRPr="00755640" w:rsidR="008B722F" w:rsidP="008B722F" w:rsidRDefault="008B722F" w14:paraId="10B1DAA9" w14:textId="06400F8A">
            <w:pPr>
              <w:pStyle w:val="Geenafstand"/>
              <w:rPr>
                <w:rFonts w:ascii="Verdana" w:hAnsi="Verdana"/>
                <w:sz w:val="15"/>
                <w:szCs w:val="15"/>
              </w:rPr>
            </w:pPr>
            <w:r w:rsidRPr="00755640">
              <w:rPr>
                <w:rFonts w:ascii="Verdana" w:hAnsi="Verdana"/>
                <w:sz w:val="15"/>
                <w:szCs w:val="15"/>
              </w:rPr>
              <w:t>Artikel 41</w:t>
            </w:r>
            <w:r w:rsidRPr="00755640" w:rsidR="008F3B8A">
              <w:rPr>
                <w:rFonts w:ascii="Verdana" w:hAnsi="Verdana"/>
                <w:sz w:val="15"/>
                <w:szCs w:val="15"/>
              </w:rPr>
              <w:t>, eerste lid</w:t>
            </w:r>
          </w:p>
        </w:tc>
        <w:tc>
          <w:tcPr>
            <w:tcW w:w="2260" w:type="dxa"/>
          </w:tcPr>
          <w:p w:rsidRPr="00755640" w:rsidR="008B722F" w:rsidP="008B722F" w:rsidRDefault="008F3B8A" w14:paraId="121E4C0E" w14:textId="7FCDD585">
            <w:pPr>
              <w:pStyle w:val="Geenafstand"/>
              <w:rPr>
                <w:rFonts w:ascii="Verdana" w:hAnsi="Verdana"/>
                <w:sz w:val="15"/>
                <w:szCs w:val="15"/>
              </w:rPr>
            </w:pPr>
            <w:r w:rsidRPr="00755640">
              <w:rPr>
                <w:rFonts w:ascii="Verdana" w:hAnsi="Verdana"/>
                <w:sz w:val="15"/>
                <w:szCs w:val="15"/>
              </w:rPr>
              <w:t>Zie toelichting</w:t>
            </w:r>
          </w:p>
        </w:tc>
        <w:tc>
          <w:tcPr>
            <w:tcW w:w="2260" w:type="dxa"/>
          </w:tcPr>
          <w:p w:rsidRPr="00755640" w:rsidR="008B722F" w:rsidP="008B722F" w:rsidRDefault="008F3B8A" w14:paraId="2F587394" w14:textId="16854688">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F3B8A" w14:paraId="6F56BAF9" w14:textId="487BE3DE">
            <w:pPr>
              <w:pStyle w:val="Geenafstand"/>
              <w:rPr>
                <w:rFonts w:ascii="Verdana" w:hAnsi="Verdana"/>
                <w:sz w:val="15"/>
                <w:szCs w:val="15"/>
              </w:rPr>
            </w:pPr>
            <w:r w:rsidRPr="00755640">
              <w:rPr>
                <w:rFonts w:ascii="Verdana" w:hAnsi="Verdana"/>
                <w:sz w:val="15"/>
                <w:szCs w:val="15"/>
              </w:rPr>
              <w:t xml:space="preserve">De NIS2-richtlijn wordt geïmplementeerd in de </w:t>
            </w:r>
            <w:proofErr w:type="spellStart"/>
            <w:r w:rsidR="00FF7ABA">
              <w:rPr>
                <w:rFonts w:ascii="Verdana" w:hAnsi="Verdana"/>
                <w:sz w:val="15"/>
                <w:szCs w:val="15"/>
              </w:rPr>
              <w:t>Cbw</w:t>
            </w:r>
            <w:proofErr w:type="spellEnd"/>
            <w:r w:rsidRPr="00755640">
              <w:rPr>
                <w:rFonts w:ascii="Verdana" w:hAnsi="Verdana"/>
                <w:sz w:val="15"/>
                <w:szCs w:val="15"/>
              </w:rPr>
              <w:t>.</w:t>
            </w:r>
          </w:p>
        </w:tc>
      </w:tr>
      <w:tr w:rsidRPr="00755640" w:rsidR="001E2974" w:rsidTr="006231F6" w14:paraId="3E4DA7F8" w14:textId="77777777">
        <w:tc>
          <w:tcPr>
            <w:tcW w:w="2260" w:type="dxa"/>
          </w:tcPr>
          <w:p w:rsidRPr="00755640" w:rsidR="001E2974" w:rsidP="008B722F" w:rsidRDefault="008F3B8A" w14:paraId="06FC97B4" w14:textId="5E47F549">
            <w:pPr>
              <w:pStyle w:val="Geenafstand"/>
              <w:rPr>
                <w:rFonts w:ascii="Verdana" w:hAnsi="Verdana"/>
                <w:sz w:val="15"/>
                <w:szCs w:val="15"/>
              </w:rPr>
            </w:pPr>
            <w:r w:rsidRPr="00755640">
              <w:rPr>
                <w:rFonts w:ascii="Verdana" w:hAnsi="Verdana"/>
                <w:sz w:val="15"/>
                <w:szCs w:val="15"/>
              </w:rPr>
              <w:t>Artikel 41, tweede lid</w:t>
            </w:r>
          </w:p>
        </w:tc>
        <w:tc>
          <w:tcPr>
            <w:tcW w:w="2260" w:type="dxa"/>
          </w:tcPr>
          <w:p w:rsidRPr="00755640" w:rsidR="001E2974" w:rsidP="008B722F" w:rsidRDefault="008F3B8A" w14:paraId="23547DE7" w14:textId="11E05871">
            <w:pPr>
              <w:pStyle w:val="Geenafstand"/>
              <w:rPr>
                <w:rFonts w:ascii="Verdana" w:hAnsi="Verdana"/>
                <w:sz w:val="15"/>
                <w:szCs w:val="15"/>
              </w:rPr>
            </w:pPr>
            <w:r w:rsidRPr="00755640">
              <w:rPr>
                <w:rFonts w:ascii="Verdana" w:hAnsi="Verdana"/>
                <w:sz w:val="15"/>
                <w:szCs w:val="15"/>
              </w:rPr>
              <w:t>-</w:t>
            </w:r>
          </w:p>
        </w:tc>
        <w:tc>
          <w:tcPr>
            <w:tcW w:w="2260" w:type="dxa"/>
          </w:tcPr>
          <w:p w:rsidRPr="00755640" w:rsidR="001E2974" w:rsidP="008B722F" w:rsidRDefault="008F3B8A" w14:paraId="7B6ED284" w14:textId="66ADA337">
            <w:pPr>
              <w:pStyle w:val="Geenafstand"/>
              <w:rPr>
                <w:rFonts w:ascii="Verdana" w:hAnsi="Verdana"/>
                <w:sz w:val="15"/>
                <w:szCs w:val="15"/>
              </w:rPr>
            </w:pPr>
            <w:r w:rsidRPr="00755640">
              <w:rPr>
                <w:rFonts w:ascii="Verdana" w:hAnsi="Verdana"/>
                <w:sz w:val="15"/>
                <w:szCs w:val="15"/>
              </w:rPr>
              <w:t>-</w:t>
            </w:r>
          </w:p>
        </w:tc>
        <w:tc>
          <w:tcPr>
            <w:tcW w:w="2261" w:type="dxa"/>
          </w:tcPr>
          <w:p w:rsidRPr="00755640" w:rsidR="001E2974" w:rsidP="008B722F" w:rsidRDefault="008F3B8A" w14:paraId="658F1CB8" w14:textId="542F04BD">
            <w:pPr>
              <w:pStyle w:val="Geenafstand"/>
              <w:rPr>
                <w:rFonts w:ascii="Verdana" w:hAnsi="Verdana"/>
                <w:sz w:val="15"/>
                <w:szCs w:val="15"/>
              </w:rPr>
            </w:pPr>
            <w:r w:rsidRPr="00755640">
              <w:rPr>
                <w:rFonts w:ascii="Verdana" w:hAnsi="Verdana"/>
                <w:sz w:val="15"/>
                <w:szCs w:val="15"/>
              </w:rPr>
              <w:t>Deze bepaling ziet op een feitelijke uitvoering.</w:t>
            </w:r>
          </w:p>
        </w:tc>
      </w:tr>
      <w:tr w:rsidRPr="00755640" w:rsidR="00D66BB6" w:rsidTr="006231F6" w14:paraId="618DC485" w14:textId="77777777">
        <w:tc>
          <w:tcPr>
            <w:tcW w:w="2260" w:type="dxa"/>
          </w:tcPr>
          <w:p w:rsidRPr="00755640" w:rsidR="008B722F" w:rsidP="008B722F" w:rsidRDefault="008B722F" w14:paraId="2819D439" w14:textId="4C1F3D1D">
            <w:pPr>
              <w:pStyle w:val="Geenafstand"/>
              <w:rPr>
                <w:rFonts w:ascii="Verdana" w:hAnsi="Verdana"/>
                <w:sz w:val="15"/>
                <w:szCs w:val="15"/>
              </w:rPr>
            </w:pPr>
            <w:r w:rsidRPr="00755640">
              <w:rPr>
                <w:rFonts w:ascii="Verdana" w:hAnsi="Verdana"/>
                <w:sz w:val="15"/>
                <w:szCs w:val="15"/>
              </w:rPr>
              <w:t>Artikel 42</w:t>
            </w:r>
          </w:p>
        </w:tc>
        <w:tc>
          <w:tcPr>
            <w:tcW w:w="2260" w:type="dxa"/>
          </w:tcPr>
          <w:p w:rsidRPr="00755640" w:rsidR="008B722F" w:rsidP="008B722F" w:rsidRDefault="00BF121F" w14:paraId="01EF4795" w14:textId="4842C52C">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BF121F" w14:paraId="5399CD6F" w14:textId="7864C9B3">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F121F" w14:paraId="4E6AFEE8" w14:textId="7D9169CD">
            <w:pPr>
              <w:pStyle w:val="Geenafstand"/>
              <w:rPr>
                <w:rFonts w:ascii="Verdana" w:hAnsi="Verdana"/>
                <w:sz w:val="15"/>
                <w:szCs w:val="15"/>
              </w:rPr>
            </w:pPr>
            <w:r w:rsidRPr="00755640">
              <w:rPr>
                <w:rFonts w:ascii="Verdana" w:hAnsi="Verdana"/>
                <w:sz w:val="15"/>
                <w:szCs w:val="15"/>
              </w:rPr>
              <w:t xml:space="preserve">Deze bepaling noopt niet tot aanpassing van bestaande wet- en regelgeving. </w:t>
            </w:r>
          </w:p>
        </w:tc>
      </w:tr>
      <w:tr w:rsidRPr="00755640" w:rsidR="00D66BB6" w:rsidTr="006231F6" w14:paraId="1DC74894" w14:textId="77777777">
        <w:tc>
          <w:tcPr>
            <w:tcW w:w="2260" w:type="dxa"/>
          </w:tcPr>
          <w:p w:rsidRPr="00755640" w:rsidR="008B722F" w:rsidP="008B722F" w:rsidRDefault="008B722F" w14:paraId="1E594AF0" w14:textId="65785288">
            <w:pPr>
              <w:pStyle w:val="Geenafstand"/>
              <w:rPr>
                <w:rFonts w:ascii="Verdana" w:hAnsi="Verdana"/>
                <w:sz w:val="15"/>
                <w:szCs w:val="15"/>
              </w:rPr>
            </w:pPr>
            <w:r w:rsidRPr="00755640">
              <w:rPr>
                <w:rFonts w:ascii="Verdana" w:hAnsi="Verdana"/>
                <w:sz w:val="15"/>
                <w:szCs w:val="15"/>
              </w:rPr>
              <w:t>Artikel 43</w:t>
            </w:r>
          </w:p>
        </w:tc>
        <w:tc>
          <w:tcPr>
            <w:tcW w:w="2260" w:type="dxa"/>
          </w:tcPr>
          <w:p w:rsidRPr="00755640" w:rsidR="008B722F" w:rsidP="008B722F" w:rsidRDefault="00BF121F" w14:paraId="629C8C5D" w14:textId="71B60560">
            <w:pPr>
              <w:pStyle w:val="Geenafstand"/>
              <w:rPr>
                <w:rFonts w:ascii="Verdana" w:hAnsi="Verdana"/>
                <w:sz w:val="15"/>
                <w:szCs w:val="15"/>
              </w:rPr>
            </w:pPr>
            <w:r w:rsidRPr="00755640">
              <w:rPr>
                <w:rFonts w:ascii="Verdana" w:hAnsi="Verdana"/>
                <w:sz w:val="15"/>
                <w:szCs w:val="15"/>
              </w:rPr>
              <w:t xml:space="preserve">Artikel </w:t>
            </w:r>
            <w:r w:rsidR="00B65A10">
              <w:rPr>
                <w:rFonts w:ascii="Verdana" w:hAnsi="Verdana"/>
                <w:sz w:val="15"/>
                <w:szCs w:val="15"/>
              </w:rPr>
              <w:t>99</w:t>
            </w:r>
            <w:r w:rsidRPr="00755640" w:rsidR="00B65A10">
              <w:rPr>
                <w:rFonts w:ascii="Verdana" w:hAnsi="Verdana"/>
                <w:sz w:val="15"/>
                <w:szCs w:val="15"/>
              </w:rPr>
              <w:t xml:space="preserve"> </w:t>
            </w:r>
            <w:proofErr w:type="spellStart"/>
            <w:r w:rsidRPr="00755640">
              <w:rPr>
                <w:rFonts w:ascii="Verdana" w:hAnsi="Verdana"/>
                <w:sz w:val="15"/>
                <w:szCs w:val="15"/>
              </w:rPr>
              <w:t>Cbw</w:t>
            </w:r>
            <w:proofErr w:type="spellEnd"/>
          </w:p>
        </w:tc>
        <w:tc>
          <w:tcPr>
            <w:tcW w:w="2260" w:type="dxa"/>
          </w:tcPr>
          <w:p w:rsidRPr="00755640" w:rsidR="008B722F" w:rsidP="008B722F" w:rsidRDefault="00BF121F" w14:paraId="2AC1A7F3" w14:textId="435A6379">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BF121F" w14:paraId="6254D8C9" w14:textId="68B8910F">
            <w:pPr>
              <w:pStyle w:val="Geenafstand"/>
              <w:rPr>
                <w:rFonts w:ascii="Verdana" w:hAnsi="Verdana"/>
                <w:sz w:val="15"/>
                <w:szCs w:val="15"/>
              </w:rPr>
            </w:pPr>
            <w:r w:rsidRPr="00755640">
              <w:rPr>
                <w:rFonts w:ascii="Verdana" w:hAnsi="Verdana"/>
                <w:sz w:val="15"/>
                <w:szCs w:val="15"/>
              </w:rPr>
              <w:t>-</w:t>
            </w:r>
          </w:p>
        </w:tc>
      </w:tr>
      <w:tr w:rsidRPr="00755640" w:rsidR="00D66BB6" w:rsidTr="006231F6" w14:paraId="6FBD6D24" w14:textId="77777777">
        <w:tc>
          <w:tcPr>
            <w:tcW w:w="2260" w:type="dxa"/>
          </w:tcPr>
          <w:p w:rsidRPr="00755640" w:rsidR="008B722F" w:rsidP="008B722F" w:rsidRDefault="008B722F" w14:paraId="5E782E02" w14:textId="540312CE">
            <w:pPr>
              <w:pStyle w:val="Geenafstand"/>
              <w:rPr>
                <w:rFonts w:ascii="Verdana" w:hAnsi="Verdana"/>
                <w:sz w:val="15"/>
                <w:szCs w:val="15"/>
              </w:rPr>
            </w:pPr>
            <w:r w:rsidRPr="00755640">
              <w:rPr>
                <w:rFonts w:ascii="Verdana" w:hAnsi="Verdana"/>
                <w:sz w:val="15"/>
                <w:szCs w:val="15"/>
              </w:rPr>
              <w:t>Artikel 44</w:t>
            </w:r>
          </w:p>
        </w:tc>
        <w:tc>
          <w:tcPr>
            <w:tcW w:w="2260" w:type="dxa"/>
          </w:tcPr>
          <w:p w:rsidRPr="00755640" w:rsidR="008B722F" w:rsidP="008B722F" w:rsidRDefault="008F3B8A" w14:paraId="4389FAD6" w14:textId="3FB2E1DA">
            <w:pPr>
              <w:pStyle w:val="Geenafstand"/>
              <w:rPr>
                <w:rFonts w:ascii="Verdana" w:hAnsi="Verdana"/>
                <w:sz w:val="15"/>
                <w:szCs w:val="15"/>
              </w:rPr>
            </w:pPr>
            <w:r w:rsidRPr="00755640">
              <w:rPr>
                <w:rFonts w:ascii="Verdana" w:hAnsi="Verdana"/>
                <w:sz w:val="15"/>
                <w:szCs w:val="15"/>
              </w:rPr>
              <w:t>Artikel</w:t>
            </w:r>
            <w:r w:rsidRPr="00755640" w:rsidR="00FA147F">
              <w:rPr>
                <w:rFonts w:ascii="Verdana" w:hAnsi="Verdana"/>
                <w:sz w:val="15"/>
                <w:szCs w:val="15"/>
              </w:rPr>
              <w:t xml:space="preserve"> </w:t>
            </w:r>
            <w:r w:rsidR="00B65A10">
              <w:rPr>
                <w:rFonts w:ascii="Verdana" w:hAnsi="Verdana"/>
                <w:sz w:val="15"/>
                <w:szCs w:val="15"/>
              </w:rPr>
              <w:t>106</w:t>
            </w:r>
            <w:r w:rsidRPr="00755640" w:rsidR="00B65A10">
              <w:rPr>
                <w:rFonts w:ascii="Verdana" w:hAnsi="Verdana"/>
                <w:sz w:val="15"/>
                <w:szCs w:val="15"/>
              </w:rPr>
              <w:t xml:space="preserve"> </w:t>
            </w:r>
            <w:proofErr w:type="spellStart"/>
            <w:r w:rsidRPr="00755640" w:rsidR="00FA147F">
              <w:rPr>
                <w:rFonts w:ascii="Verdana" w:hAnsi="Verdana"/>
                <w:sz w:val="15"/>
                <w:szCs w:val="15"/>
              </w:rPr>
              <w:t>Cbw</w:t>
            </w:r>
            <w:proofErr w:type="spellEnd"/>
          </w:p>
        </w:tc>
        <w:tc>
          <w:tcPr>
            <w:tcW w:w="2260" w:type="dxa"/>
          </w:tcPr>
          <w:p w:rsidRPr="00755640" w:rsidR="008B722F" w:rsidP="008B722F" w:rsidRDefault="00FA147F" w14:paraId="1F68C41A" w14:textId="31A003FB">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FA147F" w14:paraId="1137E38D" w14:textId="62C5834E">
            <w:pPr>
              <w:pStyle w:val="Geenafstand"/>
              <w:rPr>
                <w:rFonts w:ascii="Verdana" w:hAnsi="Verdana"/>
                <w:sz w:val="15"/>
                <w:szCs w:val="15"/>
              </w:rPr>
            </w:pPr>
            <w:r w:rsidRPr="00755640">
              <w:rPr>
                <w:rFonts w:ascii="Verdana" w:hAnsi="Verdana"/>
                <w:sz w:val="15"/>
                <w:szCs w:val="15"/>
              </w:rPr>
              <w:t>-</w:t>
            </w:r>
          </w:p>
        </w:tc>
      </w:tr>
      <w:tr w:rsidRPr="00755640" w:rsidR="00D66BB6" w:rsidTr="006231F6" w14:paraId="34163A6B" w14:textId="77777777">
        <w:tc>
          <w:tcPr>
            <w:tcW w:w="2260" w:type="dxa"/>
          </w:tcPr>
          <w:p w:rsidRPr="00755640" w:rsidR="008B722F" w:rsidP="008B722F" w:rsidRDefault="008B722F" w14:paraId="24139927" w14:textId="14F55C27">
            <w:pPr>
              <w:pStyle w:val="Geenafstand"/>
              <w:rPr>
                <w:rFonts w:ascii="Verdana" w:hAnsi="Verdana"/>
                <w:sz w:val="15"/>
                <w:szCs w:val="15"/>
              </w:rPr>
            </w:pPr>
            <w:r w:rsidRPr="00755640">
              <w:rPr>
                <w:rFonts w:ascii="Verdana" w:hAnsi="Verdana"/>
                <w:sz w:val="15"/>
                <w:szCs w:val="15"/>
              </w:rPr>
              <w:t>Artikel 45</w:t>
            </w:r>
          </w:p>
        </w:tc>
        <w:tc>
          <w:tcPr>
            <w:tcW w:w="2260" w:type="dxa"/>
          </w:tcPr>
          <w:p w:rsidRPr="00755640" w:rsidR="008B722F" w:rsidP="008B722F" w:rsidRDefault="008F3B8A" w14:paraId="1EE73973" w14:textId="5BA902B1">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F3B8A" w14:paraId="2793A0CF" w14:textId="658E4A75">
            <w:pPr>
              <w:pStyle w:val="Geenafstand"/>
              <w:rPr>
                <w:rFonts w:ascii="Verdana" w:hAnsi="Verdana"/>
                <w:sz w:val="15"/>
                <w:szCs w:val="15"/>
              </w:rPr>
            </w:pPr>
            <w:r w:rsidRPr="00755640">
              <w:rPr>
                <w:rFonts w:ascii="Verdana" w:hAnsi="Verdana"/>
                <w:sz w:val="15"/>
                <w:szCs w:val="15"/>
              </w:rPr>
              <w:t>-</w:t>
            </w:r>
          </w:p>
        </w:tc>
        <w:tc>
          <w:tcPr>
            <w:tcW w:w="2261" w:type="dxa"/>
          </w:tcPr>
          <w:p w:rsidRPr="00755640" w:rsidR="008B722F" w:rsidP="008B722F" w:rsidRDefault="008F3B8A" w14:paraId="658CE93B" w14:textId="041E66D1">
            <w:pPr>
              <w:pStyle w:val="Geenafstand"/>
              <w:rPr>
                <w:rFonts w:ascii="Verdana" w:hAnsi="Verdana"/>
                <w:sz w:val="15"/>
                <w:szCs w:val="15"/>
              </w:rPr>
            </w:pPr>
            <w:r w:rsidRPr="00755640">
              <w:rPr>
                <w:rFonts w:ascii="Verdana" w:hAnsi="Verdana"/>
                <w:sz w:val="15"/>
                <w:szCs w:val="15"/>
              </w:rPr>
              <w:t>Deze bepaling ziet op de inwerkingtreding van de NIS2-richtlijn.</w:t>
            </w:r>
          </w:p>
        </w:tc>
      </w:tr>
      <w:tr w:rsidRPr="00C47325" w:rsidR="008372C0" w:rsidTr="006231F6" w14:paraId="027502C8" w14:textId="77777777">
        <w:tc>
          <w:tcPr>
            <w:tcW w:w="2260" w:type="dxa"/>
          </w:tcPr>
          <w:p w:rsidRPr="00755640" w:rsidR="008B722F" w:rsidP="008B722F" w:rsidRDefault="008B722F" w14:paraId="4A3ECF8B" w14:textId="72374287">
            <w:pPr>
              <w:pStyle w:val="Geenafstand"/>
              <w:rPr>
                <w:rFonts w:ascii="Verdana" w:hAnsi="Verdana"/>
                <w:sz w:val="15"/>
                <w:szCs w:val="15"/>
              </w:rPr>
            </w:pPr>
            <w:r w:rsidRPr="00755640">
              <w:rPr>
                <w:rFonts w:ascii="Verdana" w:hAnsi="Verdana"/>
                <w:sz w:val="15"/>
                <w:szCs w:val="15"/>
              </w:rPr>
              <w:t>Artikel 46</w:t>
            </w:r>
          </w:p>
        </w:tc>
        <w:tc>
          <w:tcPr>
            <w:tcW w:w="2260" w:type="dxa"/>
          </w:tcPr>
          <w:p w:rsidRPr="00755640" w:rsidR="008B722F" w:rsidP="008B722F" w:rsidRDefault="004F59FB" w14:paraId="66ACDBCA" w14:textId="4D0035EB">
            <w:pPr>
              <w:pStyle w:val="Geenafstand"/>
              <w:rPr>
                <w:rFonts w:ascii="Verdana" w:hAnsi="Verdana"/>
                <w:sz w:val="15"/>
                <w:szCs w:val="15"/>
              </w:rPr>
            </w:pPr>
            <w:r w:rsidRPr="00755640">
              <w:rPr>
                <w:rFonts w:ascii="Verdana" w:hAnsi="Verdana"/>
                <w:sz w:val="15"/>
                <w:szCs w:val="15"/>
              </w:rPr>
              <w:t>-</w:t>
            </w:r>
          </w:p>
        </w:tc>
        <w:tc>
          <w:tcPr>
            <w:tcW w:w="2260" w:type="dxa"/>
          </w:tcPr>
          <w:p w:rsidRPr="00755640" w:rsidR="008B722F" w:rsidP="008B722F" w:rsidRDefault="008F3B8A" w14:paraId="1078BB7D" w14:textId="2F2D2138">
            <w:pPr>
              <w:pStyle w:val="Geenafstand"/>
              <w:rPr>
                <w:rFonts w:ascii="Verdana" w:hAnsi="Verdana"/>
                <w:sz w:val="15"/>
                <w:szCs w:val="15"/>
              </w:rPr>
            </w:pPr>
            <w:r w:rsidRPr="00755640">
              <w:rPr>
                <w:rFonts w:ascii="Verdana" w:hAnsi="Verdana"/>
                <w:sz w:val="15"/>
                <w:szCs w:val="15"/>
              </w:rPr>
              <w:t>-</w:t>
            </w:r>
          </w:p>
        </w:tc>
        <w:tc>
          <w:tcPr>
            <w:tcW w:w="2261" w:type="dxa"/>
          </w:tcPr>
          <w:p w:rsidRPr="00C47325" w:rsidR="008B722F" w:rsidP="008B722F" w:rsidRDefault="008F3B8A" w14:paraId="02BD5B7E" w14:textId="511F0C71">
            <w:pPr>
              <w:pStyle w:val="Geenafstand"/>
              <w:rPr>
                <w:rFonts w:ascii="Verdana" w:hAnsi="Verdana"/>
                <w:sz w:val="15"/>
                <w:szCs w:val="15"/>
              </w:rPr>
            </w:pPr>
            <w:r w:rsidRPr="00755640">
              <w:rPr>
                <w:rFonts w:ascii="Verdana" w:hAnsi="Verdana"/>
                <w:sz w:val="15"/>
                <w:szCs w:val="15"/>
              </w:rPr>
              <w:t xml:space="preserve">Deze bepaling ziet op de </w:t>
            </w:r>
            <w:proofErr w:type="spellStart"/>
            <w:r w:rsidRPr="00755640">
              <w:rPr>
                <w:rFonts w:ascii="Verdana" w:hAnsi="Verdana"/>
                <w:sz w:val="15"/>
                <w:szCs w:val="15"/>
              </w:rPr>
              <w:t>adressaten</w:t>
            </w:r>
            <w:proofErr w:type="spellEnd"/>
            <w:r w:rsidRPr="00755640">
              <w:rPr>
                <w:rFonts w:ascii="Verdana" w:hAnsi="Verdana"/>
                <w:sz w:val="15"/>
                <w:szCs w:val="15"/>
              </w:rPr>
              <w:t xml:space="preserve"> van de NIS2-richtlijn.</w:t>
            </w:r>
          </w:p>
        </w:tc>
      </w:tr>
    </w:tbl>
    <w:p w:rsidRPr="00C47325" w:rsidR="008B722F" w:rsidP="008B722F" w:rsidRDefault="008B722F" w14:paraId="7D639E9A" w14:textId="77777777">
      <w:pPr>
        <w:pStyle w:val="Geenafstand"/>
        <w:rPr>
          <w:rFonts w:ascii="Verdana" w:hAnsi="Verdana"/>
          <w:sz w:val="16"/>
          <w:szCs w:val="16"/>
        </w:rPr>
      </w:pPr>
    </w:p>
    <w:p w:rsidRPr="00C47325" w:rsidR="00F43158" w:rsidP="003537DE" w:rsidRDefault="00F43158" w14:paraId="11F80C47" w14:textId="642B14A4">
      <w:pPr>
        <w:pStyle w:val="Geenafstand"/>
        <w:rPr>
          <w:rFonts w:ascii="Verdana" w:hAnsi="Verdana"/>
          <w:sz w:val="16"/>
          <w:szCs w:val="16"/>
        </w:rPr>
      </w:pPr>
      <w:r w:rsidRPr="00C47325">
        <w:rPr>
          <w:rFonts w:ascii="Verdana" w:hAnsi="Verdana"/>
          <w:sz w:val="16"/>
          <w:szCs w:val="16"/>
        </w:rPr>
        <w:t xml:space="preserve"> </w:t>
      </w:r>
    </w:p>
    <w:p w:rsidRPr="00C47325" w:rsidR="00E617A1" w:rsidP="0059296B" w:rsidRDefault="00E617A1" w14:paraId="2ACA1366" w14:textId="2A34BD0D">
      <w:pPr>
        <w:spacing w:line="240" w:lineRule="auto"/>
        <w:rPr>
          <w:rFonts w:ascii="Verdana" w:hAnsi="Verdana"/>
          <w:b/>
          <w:bCs/>
          <w:sz w:val="18"/>
          <w:szCs w:val="18"/>
        </w:rPr>
      </w:pPr>
    </w:p>
    <w:p w:rsidRPr="00C47325" w:rsidR="00A3532E" w:rsidRDefault="00A3532E" w14:paraId="5F70C851" w14:textId="77777777">
      <w:pPr>
        <w:rPr>
          <w:rFonts w:ascii="Verdana" w:hAnsi="Verdana" w:eastAsiaTheme="majorEastAsia" w:cstheme="majorBidi"/>
          <w:b/>
          <w:sz w:val="18"/>
          <w:szCs w:val="32"/>
        </w:rPr>
      </w:pPr>
      <w:bookmarkStart w:name="_Hlk158380706" w:id="248"/>
      <w:r w:rsidRPr="00C47325">
        <w:rPr>
          <w:rFonts w:ascii="Verdana" w:hAnsi="Verdana"/>
        </w:rPr>
        <w:br w:type="page"/>
      </w:r>
    </w:p>
    <w:p w:rsidRPr="00C47325" w:rsidR="0096220C" w:rsidP="006B428A" w:rsidRDefault="0096220C" w14:paraId="1BC560FC" w14:textId="7CEE5CF3">
      <w:pPr>
        <w:pStyle w:val="Geenafstand"/>
        <w:rPr>
          <w:rFonts w:ascii="Verdana" w:hAnsi="Verdana"/>
          <w:b/>
          <w:bCs/>
          <w:sz w:val="18"/>
          <w:szCs w:val="18"/>
        </w:rPr>
      </w:pPr>
      <w:r w:rsidRPr="00C47325">
        <w:rPr>
          <w:rFonts w:ascii="Verdana" w:hAnsi="Verdana"/>
          <w:b/>
          <w:bCs/>
          <w:sz w:val="18"/>
          <w:szCs w:val="18"/>
        </w:rPr>
        <w:t>ARTIKELSGEWIJZE TOELICHTING</w:t>
      </w:r>
    </w:p>
    <w:p w:rsidRPr="00C47325" w:rsidR="00CE333A" w:rsidP="00CE333A" w:rsidRDefault="00CE333A" w14:paraId="794AF4F4" w14:textId="77777777">
      <w:pPr>
        <w:spacing w:after="0" w:line="240" w:lineRule="auto"/>
        <w:rPr>
          <w:rFonts w:ascii="Verdana" w:hAnsi="Verdana"/>
          <w:sz w:val="18"/>
          <w:szCs w:val="18"/>
        </w:rPr>
      </w:pPr>
    </w:p>
    <w:p w:rsidRPr="00BD3C4A" w:rsidR="00155394" w:rsidP="00155394" w:rsidRDefault="00155394" w14:paraId="7FEA26CE" w14:textId="77777777">
      <w:pPr>
        <w:pStyle w:val="Geenafstand"/>
        <w:rPr>
          <w:rFonts w:ascii="Verdana" w:hAnsi="Verdana"/>
          <w:b/>
          <w:bCs/>
          <w:sz w:val="18"/>
          <w:szCs w:val="18"/>
        </w:rPr>
      </w:pPr>
      <w:r w:rsidRPr="00BD3C4A">
        <w:rPr>
          <w:rFonts w:ascii="Verdana" w:hAnsi="Verdana"/>
          <w:b/>
          <w:bCs/>
          <w:sz w:val="18"/>
          <w:szCs w:val="18"/>
        </w:rPr>
        <w:t>Artikel 1 (begripsbepaling)</w:t>
      </w:r>
    </w:p>
    <w:p w:rsidRPr="00537D38" w:rsidR="00CE333A" w:rsidP="00537D38" w:rsidRDefault="00CE333A" w14:paraId="71EE7DDB" w14:textId="77777777">
      <w:pPr>
        <w:pStyle w:val="Geenafstand"/>
        <w:rPr>
          <w:rFonts w:ascii="Verdana" w:hAnsi="Verdana"/>
          <w:sz w:val="18"/>
          <w:szCs w:val="18"/>
        </w:rPr>
      </w:pPr>
    </w:p>
    <w:p w:rsidRPr="000E397D" w:rsidR="006F218A" w:rsidP="00537D38" w:rsidRDefault="006F218A" w14:paraId="3C96933B" w14:textId="7203070F">
      <w:pPr>
        <w:pStyle w:val="Geenafstand"/>
        <w:rPr>
          <w:rFonts w:ascii="Verdana" w:hAnsi="Verdana"/>
          <w:i/>
          <w:iCs/>
          <w:sz w:val="18"/>
          <w:szCs w:val="18"/>
        </w:rPr>
      </w:pPr>
      <w:r>
        <w:rPr>
          <w:rFonts w:ascii="Verdana" w:hAnsi="Verdana"/>
          <w:i/>
          <w:iCs/>
          <w:sz w:val="18"/>
          <w:szCs w:val="18"/>
        </w:rPr>
        <w:t>Definities uit artikel 6 NIS2-richtlijn</w:t>
      </w:r>
    </w:p>
    <w:p w:rsidR="00BA4882" w:rsidP="00BA4882" w:rsidRDefault="0006587E" w14:paraId="362A0D14" w14:textId="3717662B">
      <w:pPr>
        <w:pStyle w:val="Geenafstand"/>
        <w:rPr>
          <w:rFonts w:ascii="Verdana" w:hAnsi="Verdana"/>
          <w:sz w:val="18"/>
          <w:szCs w:val="18"/>
        </w:rPr>
      </w:pPr>
      <w:r w:rsidRPr="0006587E">
        <w:rPr>
          <w:rFonts w:ascii="Verdana" w:hAnsi="Verdana"/>
          <w:sz w:val="18"/>
          <w:szCs w:val="18"/>
        </w:rPr>
        <w:t xml:space="preserve">Artikel 1 </w:t>
      </w:r>
      <w:proofErr w:type="spellStart"/>
      <w:r>
        <w:rPr>
          <w:rFonts w:ascii="Verdana" w:hAnsi="Verdana"/>
          <w:sz w:val="18"/>
          <w:szCs w:val="18"/>
        </w:rPr>
        <w:t>Cbw</w:t>
      </w:r>
      <w:proofErr w:type="spellEnd"/>
      <w:r w:rsidRPr="0006587E">
        <w:rPr>
          <w:rFonts w:ascii="Verdana" w:hAnsi="Verdana"/>
          <w:sz w:val="18"/>
          <w:szCs w:val="18"/>
        </w:rPr>
        <w:t xml:space="preserve"> bevat de definitie van begrippen uit de </w:t>
      </w:r>
      <w:proofErr w:type="spellStart"/>
      <w:r>
        <w:rPr>
          <w:rFonts w:ascii="Verdana" w:hAnsi="Verdana"/>
          <w:sz w:val="18"/>
          <w:szCs w:val="18"/>
        </w:rPr>
        <w:t>Cbw</w:t>
      </w:r>
      <w:proofErr w:type="spellEnd"/>
      <w:r w:rsidRPr="0006587E">
        <w:rPr>
          <w:rFonts w:ascii="Verdana" w:hAnsi="Verdana"/>
          <w:sz w:val="18"/>
          <w:szCs w:val="18"/>
        </w:rPr>
        <w:t xml:space="preserve">. De meeste definities in artikel 1 </w:t>
      </w:r>
      <w:proofErr w:type="spellStart"/>
      <w:r>
        <w:rPr>
          <w:rFonts w:ascii="Verdana" w:hAnsi="Verdana"/>
          <w:sz w:val="18"/>
          <w:szCs w:val="18"/>
        </w:rPr>
        <w:t>Cbw</w:t>
      </w:r>
      <w:proofErr w:type="spellEnd"/>
      <w:r w:rsidRPr="0006587E">
        <w:rPr>
          <w:rFonts w:ascii="Verdana" w:hAnsi="Verdana"/>
          <w:sz w:val="18"/>
          <w:szCs w:val="18"/>
        </w:rPr>
        <w:t xml:space="preserve"> zijn identiek, dan wel inhoudelijk gelijk aan de definities in artikel </w:t>
      </w:r>
      <w:r>
        <w:rPr>
          <w:rFonts w:ascii="Verdana" w:hAnsi="Verdana"/>
          <w:sz w:val="18"/>
          <w:szCs w:val="18"/>
        </w:rPr>
        <w:t>6 NIS2</w:t>
      </w:r>
      <w:r w:rsidRPr="0006587E">
        <w:rPr>
          <w:rFonts w:ascii="Verdana" w:hAnsi="Verdana"/>
          <w:sz w:val="18"/>
          <w:szCs w:val="18"/>
        </w:rPr>
        <w:t>-richtlijn.</w:t>
      </w:r>
      <w:r w:rsidR="00BA4882">
        <w:rPr>
          <w:rFonts w:ascii="Verdana" w:hAnsi="Verdana"/>
          <w:sz w:val="18"/>
          <w:szCs w:val="18"/>
        </w:rPr>
        <w:t xml:space="preserve"> Dit is ook het geval bij de begrippen waarvoor in artikel 6 NIS2-richtlijn wordt verwezen naar een definitie in andere EU-wetgeving. </w:t>
      </w:r>
    </w:p>
    <w:p w:rsidR="00BA4882" w:rsidP="00BA4882" w:rsidRDefault="00BA4882" w14:paraId="01D67BBB" w14:textId="77777777">
      <w:pPr>
        <w:pStyle w:val="Geenafstand"/>
        <w:rPr>
          <w:rFonts w:ascii="Verdana" w:hAnsi="Verdana"/>
          <w:sz w:val="18"/>
          <w:szCs w:val="18"/>
        </w:rPr>
      </w:pPr>
    </w:p>
    <w:p w:rsidRPr="00C47325" w:rsidR="00CE333A" w:rsidP="00CE333A" w:rsidRDefault="00CE333A" w14:paraId="66A3C66D" w14:textId="77777777">
      <w:pPr>
        <w:spacing w:after="0" w:line="240" w:lineRule="auto"/>
        <w:rPr>
          <w:rFonts w:ascii="Verdana" w:hAnsi="Verdana"/>
          <w:i/>
          <w:iCs/>
          <w:sz w:val="18"/>
          <w:szCs w:val="18"/>
        </w:rPr>
      </w:pPr>
      <w:r w:rsidRPr="00C47325">
        <w:rPr>
          <w:rFonts w:ascii="Verdana" w:hAnsi="Verdana"/>
          <w:i/>
          <w:iCs/>
          <w:sz w:val="18"/>
          <w:szCs w:val="18"/>
        </w:rPr>
        <w:t>Overheidsinstantie</w:t>
      </w:r>
    </w:p>
    <w:p w:rsidRPr="00C47325" w:rsidR="00CE333A" w:rsidP="00924AAF" w:rsidRDefault="00CE333A" w14:paraId="3DCAC98C" w14:textId="47CAC147">
      <w:pPr>
        <w:spacing w:after="0" w:line="240" w:lineRule="auto"/>
        <w:rPr>
          <w:rFonts w:ascii="Verdana" w:hAnsi="Verdana"/>
          <w:sz w:val="18"/>
          <w:szCs w:val="18"/>
          <w:shd w:val="clear" w:color="auto" w:fill="FFFFFF"/>
        </w:rPr>
      </w:pPr>
      <w:r w:rsidRPr="00C47325">
        <w:rPr>
          <w:rFonts w:ascii="Verdana" w:hAnsi="Verdana"/>
          <w:sz w:val="18"/>
          <w:szCs w:val="18"/>
        </w:rPr>
        <w:t xml:space="preserve">De definitie van </w:t>
      </w:r>
      <w:r w:rsidR="00924AAF">
        <w:rPr>
          <w:rFonts w:ascii="Verdana" w:hAnsi="Verdana"/>
          <w:sz w:val="18"/>
          <w:szCs w:val="18"/>
        </w:rPr>
        <w:t xml:space="preserve">een </w:t>
      </w:r>
      <w:r w:rsidRPr="00C47325">
        <w:rPr>
          <w:rFonts w:ascii="Verdana" w:hAnsi="Verdana"/>
          <w:sz w:val="18"/>
          <w:szCs w:val="18"/>
        </w:rPr>
        <w:t>overheidsinstantie betreft die uit artikel 6, onderdeel 35, NIS2-richtlijn</w:t>
      </w:r>
      <w:r w:rsidR="00924AAF">
        <w:rPr>
          <w:rFonts w:ascii="Verdana" w:hAnsi="Verdana"/>
          <w:sz w:val="18"/>
          <w:szCs w:val="18"/>
        </w:rPr>
        <w:t xml:space="preserve"> en komt aan de orde in paragraaf 5.1.2. </w:t>
      </w:r>
    </w:p>
    <w:p w:rsidRPr="00C47325" w:rsidR="00CE333A" w:rsidP="00CE333A" w:rsidRDefault="00CE333A" w14:paraId="27A2DC66" w14:textId="77777777">
      <w:pPr>
        <w:spacing w:after="0" w:line="240" w:lineRule="auto"/>
        <w:rPr>
          <w:rFonts w:ascii="Verdana" w:hAnsi="Verdana"/>
          <w:sz w:val="18"/>
          <w:szCs w:val="18"/>
        </w:rPr>
      </w:pPr>
    </w:p>
    <w:p w:rsidRPr="00C47325" w:rsidR="00531E4A" w:rsidP="00531E4A" w:rsidRDefault="00531E4A" w14:paraId="572D7075" w14:textId="032591D5">
      <w:pPr>
        <w:spacing w:after="0" w:line="240" w:lineRule="auto"/>
        <w:rPr>
          <w:rFonts w:ascii="Verdana" w:hAnsi="Verdana"/>
          <w:i/>
          <w:iCs/>
          <w:sz w:val="18"/>
          <w:szCs w:val="18"/>
        </w:rPr>
      </w:pPr>
      <w:r w:rsidRPr="00C47325">
        <w:rPr>
          <w:rFonts w:ascii="Verdana" w:hAnsi="Verdana"/>
          <w:i/>
          <w:iCs/>
          <w:sz w:val="18"/>
          <w:szCs w:val="18"/>
        </w:rPr>
        <w:t xml:space="preserve">Aanbieders van openbare elektronische communicatienetwerken </w:t>
      </w:r>
      <w:r w:rsidR="00537D38">
        <w:rPr>
          <w:rFonts w:ascii="Verdana" w:hAnsi="Verdana"/>
          <w:i/>
          <w:iCs/>
          <w:sz w:val="18"/>
          <w:szCs w:val="18"/>
        </w:rPr>
        <w:t>en</w:t>
      </w:r>
      <w:r w:rsidRPr="00C47325">
        <w:rPr>
          <w:rFonts w:ascii="Verdana" w:hAnsi="Verdana"/>
          <w:i/>
          <w:iCs/>
          <w:sz w:val="18"/>
          <w:szCs w:val="18"/>
        </w:rPr>
        <w:t xml:space="preserve"> </w:t>
      </w:r>
      <w:r w:rsidR="00537D38">
        <w:rPr>
          <w:rFonts w:ascii="Verdana" w:hAnsi="Verdana"/>
          <w:i/>
          <w:iCs/>
          <w:sz w:val="18"/>
          <w:szCs w:val="18"/>
        </w:rPr>
        <w:t>-</w:t>
      </w:r>
      <w:r w:rsidRPr="00C47325">
        <w:rPr>
          <w:rFonts w:ascii="Verdana" w:hAnsi="Verdana"/>
          <w:i/>
          <w:iCs/>
          <w:sz w:val="18"/>
          <w:szCs w:val="18"/>
        </w:rPr>
        <w:t>diensten</w:t>
      </w:r>
    </w:p>
    <w:p w:rsidRPr="00C47325" w:rsidR="003441FE" w:rsidP="001F5FF2" w:rsidRDefault="00531E4A" w14:paraId="7C03347B" w14:textId="610B5688">
      <w:pPr>
        <w:spacing w:after="0" w:line="240" w:lineRule="auto"/>
        <w:rPr>
          <w:rFonts w:ascii="Verdana" w:hAnsi="Verdana"/>
          <w:sz w:val="18"/>
          <w:szCs w:val="18"/>
        </w:rPr>
      </w:pPr>
      <w:r w:rsidRPr="00C47325">
        <w:rPr>
          <w:rFonts w:ascii="Verdana" w:hAnsi="Verdana"/>
          <w:sz w:val="18"/>
          <w:szCs w:val="18"/>
        </w:rPr>
        <w:t xml:space="preserve">Indien een aanbieder van een openbaar elektronisch communicatienetwerk of </w:t>
      </w:r>
      <w:r w:rsidR="00537D38">
        <w:rPr>
          <w:rFonts w:ascii="Verdana" w:hAnsi="Verdana"/>
          <w:sz w:val="18"/>
          <w:szCs w:val="18"/>
        </w:rPr>
        <w:t>-</w:t>
      </w:r>
      <w:r w:rsidRPr="00C47325">
        <w:rPr>
          <w:rFonts w:ascii="Verdana" w:hAnsi="Verdana"/>
          <w:sz w:val="18"/>
          <w:szCs w:val="18"/>
        </w:rPr>
        <w:t>dienst een openbare recursieve DNS-dienst (</w:t>
      </w:r>
      <w:proofErr w:type="spellStart"/>
      <w:r w:rsidRPr="00E70E2D">
        <w:rPr>
          <w:rFonts w:ascii="Verdana" w:hAnsi="Verdana"/>
          <w:i/>
          <w:iCs/>
          <w:sz w:val="18"/>
          <w:szCs w:val="18"/>
        </w:rPr>
        <w:t>publicly</w:t>
      </w:r>
      <w:proofErr w:type="spellEnd"/>
      <w:r w:rsidRPr="00E70E2D">
        <w:rPr>
          <w:rFonts w:ascii="Verdana" w:hAnsi="Verdana"/>
          <w:i/>
          <w:iCs/>
          <w:sz w:val="18"/>
          <w:szCs w:val="18"/>
        </w:rPr>
        <w:t xml:space="preserve"> </w:t>
      </w:r>
      <w:proofErr w:type="spellStart"/>
      <w:r w:rsidRPr="00E70E2D">
        <w:rPr>
          <w:rFonts w:ascii="Verdana" w:hAnsi="Verdana"/>
          <w:i/>
          <w:iCs/>
          <w:sz w:val="18"/>
          <w:szCs w:val="18"/>
        </w:rPr>
        <w:t>available</w:t>
      </w:r>
      <w:proofErr w:type="spellEnd"/>
      <w:r w:rsidRPr="00E70E2D">
        <w:rPr>
          <w:rFonts w:ascii="Verdana" w:hAnsi="Verdana"/>
          <w:i/>
          <w:iCs/>
          <w:sz w:val="18"/>
          <w:szCs w:val="18"/>
        </w:rPr>
        <w:t xml:space="preserve"> </w:t>
      </w:r>
      <w:proofErr w:type="spellStart"/>
      <w:r w:rsidRPr="00E70E2D">
        <w:rPr>
          <w:rFonts w:ascii="Verdana" w:hAnsi="Verdana"/>
          <w:i/>
          <w:iCs/>
          <w:sz w:val="18"/>
          <w:szCs w:val="18"/>
        </w:rPr>
        <w:t>recursive</w:t>
      </w:r>
      <w:proofErr w:type="spellEnd"/>
      <w:r w:rsidRPr="00E70E2D">
        <w:rPr>
          <w:rFonts w:ascii="Verdana" w:hAnsi="Verdana"/>
          <w:i/>
          <w:iCs/>
          <w:sz w:val="18"/>
          <w:szCs w:val="18"/>
        </w:rPr>
        <w:t xml:space="preserve"> DNS service</w:t>
      </w:r>
      <w:r w:rsidRPr="00C47325">
        <w:rPr>
          <w:rFonts w:ascii="Verdana" w:hAnsi="Verdana"/>
          <w:sz w:val="18"/>
          <w:szCs w:val="18"/>
        </w:rPr>
        <w:t>) als bedoeld in artikel 6</w:t>
      </w:r>
      <w:r w:rsidR="00537D38">
        <w:rPr>
          <w:rFonts w:ascii="Verdana" w:hAnsi="Verdana"/>
          <w:sz w:val="18"/>
          <w:szCs w:val="18"/>
        </w:rPr>
        <w:t>,</w:t>
      </w:r>
      <w:r w:rsidRPr="00C47325" w:rsidR="00756DD0">
        <w:rPr>
          <w:rFonts w:ascii="Verdana" w:hAnsi="Verdana"/>
          <w:sz w:val="18"/>
          <w:szCs w:val="18"/>
        </w:rPr>
        <w:t xml:space="preserve"> onderdeel </w:t>
      </w:r>
      <w:r w:rsidRPr="00C47325">
        <w:rPr>
          <w:rFonts w:ascii="Verdana" w:hAnsi="Verdana"/>
          <w:sz w:val="18"/>
          <w:szCs w:val="18"/>
        </w:rPr>
        <w:t xml:space="preserve">20, </w:t>
      </w:r>
      <w:r w:rsidR="00537D38">
        <w:rPr>
          <w:rFonts w:ascii="Verdana" w:hAnsi="Verdana"/>
          <w:sz w:val="18"/>
          <w:szCs w:val="18"/>
        </w:rPr>
        <w:t>sub</w:t>
      </w:r>
      <w:r w:rsidRPr="00C47325">
        <w:rPr>
          <w:rFonts w:ascii="Verdana" w:hAnsi="Verdana"/>
          <w:sz w:val="18"/>
          <w:szCs w:val="18"/>
        </w:rPr>
        <w:t>onder</w:t>
      </w:r>
      <w:r w:rsidR="00537D38">
        <w:rPr>
          <w:rFonts w:ascii="Verdana" w:hAnsi="Verdana"/>
          <w:sz w:val="18"/>
          <w:szCs w:val="18"/>
        </w:rPr>
        <w:t>deel</w:t>
      </w:r>
      <w:r w:rsidRPr="00C47325">
        <w:rPr>
          <w:rFonts w:ascii="Verdana" w:hAnsi="Verdana"/>
          <w:sz w:val="18"/>
          <w:szCs w:val="18"/>
        </w:rPr>
        <w:t xml:space="preserve"> a</w:t>
      </w:r>
      <w:r w:rsidR="00537D38">
        <w:rPr>
          <w:rFonts w:ascii="Verdana" w:hAnsi="Verdana"/>
          <w:sz w:val="18"/>
          <w:szCs w:val="18"/>
        </w:rPr>
        <w:t>,</w:t>
      </w:r>
      <w:r w:rsidRPr="00C47325">
        <w:rPr>
          <w:rFonts w:ascii="Verdana" w:hAnsi="Verdana"/>
          <w:sz w:val="18"/>
          <w:szCs w:val="18"/>
        </w:rPr>
        <w:t xml:space="preserve"> NIS2</w:t>
      </w:r>
      <w:r w:rsidRPr="00C47325" w:rsidR="00756DD0">
        <w:rPr>
          <w:rFonts w:ascii="Verdana" w:hAnsi="Verdana"/>
          <w:sz w:val="18"/>
          <w:szCs w:val="18"/>
        </w:rPr>
        <w:t>-richtlijn</w:t>
      </w:r>
      <w:r w:rsidRPr="00C47325">
        <w:rPr>
          <w:rFonts w:ascii="Verdana" w:hAnsi="Verdana"/>
          <w:sz w:val="18"/>
          <w:szCs w:val="18"/>
        </w:rPr>
        <w:t xml:space="preserve"> verricht als onderdeel van de internettoegangsdienst, </w:t>
      </w:r>
      <w:r w:rsidRPr="004F3DCC" w:rsidR="004F3DCC">
        <w:rPr>
          <w:rFonts w:ascii="Verdana" w:hAnsi="Verdana"/>
          <w:sz w:val="18"/>
          <w:szCs w:val="18"/>
        </w:rPr>
        <w:t xml:space="preserve">dan moet dit worden beschouwd als een openbare elektronische communicatiedienst en niet eveneens als een </w:t>
      </w:r>
      <w:r w:rsidR="004F3DCC">
        <w:rPr>
          <w:rFonts w:ascii="Verdana" w:hAnsi="Verdana"/>
          <w:sz w:val="18"/>
          <w:szCs w:val="18"/>
        </w:rPr>
        <w:t>DNS</w:t>
      </w:r>
      <w:r w:rsidRPr="004F3DCC" w:rsidR="004F3DCC">
        <w:rPr>
          <w:rFonts w:ascii="Verdana" w:hAnsi="Verdana"/>
          <w:sz w:val="18"/>
          <w:szCs w:val="18"/>
        </w:rPr>
        <w:t>-dienst. Hiermee wordt voorkomen dat eenzelfde dienst onder twee verschillende sectoren</w:t>
      </w:r>
      <w:r w:rsidR="004F3DCC">
        <w:rPr>
          <w:rFonts w:ascii="Verdana" w:hAnsi="Verdana"/>
          <w:sz w:val="18"/>
          <w:szCs w:val="18"/>
        </w:rPr>
        <w:t xml:space="preserve"> komt te vallen</w:t>
      </w:r>
      <w:r w:rsidRPr="004F3DCC" w:rsidR="004F3DCC">
        <w:rPr>
          <w:rFonts w:ascii="Verdana" w:hAnsi="Verdana"/>
          <w:sz w:val="18"/>
          <w:szCs w:val="18"/>
        </w:rPr>
        <w:t xml:space="preserve"> en hierdoor onder twee verschillende jurisdictieregimes komt te vallen (het regime</w:t>
      </w:r>
      <w:r w:rsidR="00D91960">
        <w:rPr>
          <w:rFonts w:ascii="Verdana" w:hAnsi="Verdana"/>
          <w:sz w:val="18"/>
          <w:szCs w:val="18"/>
        </w:rPr>
        <w:t>,</w:t>
      </w:r>
      <w:r w:rsidRPr="004F3DCC" w:rsidR="004F3DCC">
        <w:rPr>
          <w:rFonts w:ascii="Verdana" w:hAnsi="Verdana"/>
          <w:sz w:val="18"/>
          <w:szCs w:val="18"/>
        </w:rPr>
        <w:t xml:space="preserve"> bedoeld in artikel 4, tweede lid</w:t>
      </w:r>
      <w:r w:rsidR="004F3DCC">
        <w:rPr>
          <w:rFonts w:ascii="Verdana" w:hAnsi="Verdana"/>
          <w:sz w:val="18"/>
          <w:szCs w:val="18"/>
        </w:rPr>
        <w:t xml:space="preserve">, </w:t>
      </w:r>
      <w:proofErr w:type="spellStart"/>
      <w:r w:rsidR="004F3DCC">
        <w:rPr>
          <w:rFonts w:ascii="Verdana" w:hAnsi="Verdana"/>
          <w:sz w:val="18"/>
          <w:szCs w:val="18"/>
        </w:rPr>
        <w:t>Cbw</w:t>
      </w:r>
      <w:proofErr w:type="spellEnd"/>
      <w:r w:rsidR="00D91960">
        <w:rPr>
          <w:rFonts w:ascii="Verdana" w:hAnsi="Verdana"/>
          <w:sz w:val="18"/>
          <w:szCs w:val="18"/>
        </w:rPr>
        <w:t>,</w:t>
      </w:r>
      <w:r w:rsidRPr="004F3DCC" w:rsidR="004F3DCC">
        <w:rPr>
          <w:rFonts w:ascii="Verdana" w:hAnsi="Verdana"/>
          <w:sz w:val="18"/>
          <w:szCs w:val="18"/>
        </w:rPr>
        <w:t xml:space="preserve"> voor de elektronische communicatiedienst respectievelijk het regime</w:t>
      </w:r>
      <w:r w:rsidR="00D91960">
        <w:rPr>
          <w:rFonts w:ascii="Verdana" w:hAnsi="Verdana"/>
          <w:sz w:val="18"/>
          <w:szCs w:val="18"/>
        </w:rPr>
        <w:t>,</w:t>
      </w:r>
      <w:r w:rsidRPr="004F3DCC" w:rsidR="004F3DCC">
        <w:rPr>
          <w:rFonts w:ascii="Verdana" w:hAnsi="Verdana"/>
          <w:sz w:val="18"/>
          <w:szCs w:val="18"/>
        </w:rPr>
        <w:t xml:space="preserve"> bedoeld in artikel 4, derde lid</w:t>
      </w:r>
      <w:r w:rsidR="004F3DCC">
        <w:rPr>
          <w:rFonts w:ascii="Verdana" w:hAnsi="Verdana"/>
          <w:sz w:val="18"/>
          <w:szCs w:val="18"/>
        </w:rPr>
        <w:t xml:space="preserve">, </w:t>
      </w:r>
      <w:proofErr w:type="spellStart"/>
      <w:r w:rsidR="004F3DCC">
        <w:rPr>
          <w:rFonts w:ascii="Verdana" w:hAnsi="Verdana"/>
          <w:sz w:val="18"/>
          <w:szCs w:val="18"/>
        </w:rPr>
        <w:t>Cbw</w:t>
      </w:r>
      <w:proofErr w:type="spellEnd"/>
      <w:r w:rsidR="004F3DCC">
        <w:rPr>
          <w:rFonts w:ascii="Verdana" w:hAnsi="Verdana"/>
          <w:sz w:val="18"/>
          <w:szCs w:val="18"/>
        </w:rPr>
        <w:t>)</w:t>
      </w:r>
      <w:r w:rsidRPr="004F3DCC" w:rsidR="004F3DCC">
        <w:rPr>
          <w:rFonts w:ascii="Verdana" w:hAnsi="Verdana"/>
          <w:sz w:val="18"/>
          <w:szCs w:val="18"/>
        </w:rPr>
        <w:t>.</w:t>
      </w:r>
      <w:r w:rsidRPr="00C47325" w:rsidR="00EA661F">
        <w:rPr>
          <w:rFonts w:ascii="Verdana" w:hAnsi="Verdana"/>
          <w:sz w:val="18"/>
          <w:szCs w:val="18"/>
        </w:rPr>
        <w:t xml:space="preserve"> </w:t>
      </w:r>
    </w:p>
    <w:p w:rsidRPr="00C47325" w:rsidR="003441FE" w:rsidP="00CE333A" w:rsidRDefault="003441FE" w14:paraId="2BC1FFD4" w14:textId="48D6799F">
      <w:pPr>
        <w:spacing w:after="0" w:line="240" w:lineRule="auto"/>
        <w:rPr>
          <w:rFonts w:ascii="Verdana" w:hAnsi="Verdana"/>
          <w:sz w:val="18"/>
          <w:szCs w:val="18"/>
        </w:rPr>
      </w:pPr>
    </w:p>
    <w:p w:rsidRPr="00BD3C4A" w:rsidR="00155394" w:rsidP="00155394" w:rsidRDefault="00155394" w14:paraId="45128A75" w14:textId="77777777">
      <w:pPr>
        <w:pStyle w:val="Geenafstand"/>
        <w:rPr>
          <w:rFonts w:ascii="Verdana" w:hAnsi="Verdana"/>
          <w:b/>
          <w:bCs/>
          <w:sz w:val="18"/>
          <w:szCs w:val="18"/>
          <w:shd w:val="clear" w:color="auto" w:fill="FFFFFF"/>
        </w:rPr>
      </w:pPr>
      <w:r w:rsidRPr="00BD3C4A">
        <w:rPr>
          <w:rFonts w:ascii="Verdana" w:hAnsi="Verdana"/>
          <w:b/>
          <w:bCs/>
          <w:sz w:val="18"/>
          <w:szCs w:val="18"/>
          <w:shd w:val="clear" w:color="auto" w:fill="FFFFFF"/>
        </w:rPr>
        <w:t>Artikel 2 (doel van deze wet)</w:t>
      </w:r>
    </w:p>
    <w:p w:rsidRPr="00C47325" w:rsidR="00CE333A" w:rsidP="00CE333A" w:rsidRDefault="00CE333A" w14:paraId="0C7006B9" w14:textId="77777777">
      <w:pPr>
        <w:pStyle w:val="Geenafstand"/>
        <w:rPr>
          <w:rFonts w:ascii="Verdana" w:hAnsi="Verdana"/>
          <w:sz w:val="18"/>
          <w:szCs w:val="18"/>
          <w:u w:val="single"/>
        </w:rPr>
      </w:pPr>
    </w:p>
    <w:p w:rsidRPr="00BD3C4A" w:rsidR="00537D38" w:rsidP="008F513D" w:rsidRDefault="00CE333A" w14:paraId="7505511B" w14:textId="3CD1D429">
      <w:pPr>
        <w:pStyle w:val="Geenafstand"/>
        <w:rPr>
          <w:rFonts w:ascii="Verdana" w:hAnsi="Verdana"/>
          <w:sz w:val="18"/>
          <w:szCs w:val="18"/>
        </w:rPr>
      </w:pPr>
      <w:bookmarkStart w:name="_Hlk150066177" w:id="249"/>
      <w:r w:rsidRPr="000E397D">
        <w:rPr>
          <w:rFonts w:ascii="Verdana" w:hAnsi="Verdana"/>
          <w:sz w:val="18"/>
          <w:szCs w:val="18"/>
        </w:rPr>
        <w:t xml:space="preserve">In artikel 2 </w:t>
      </w:r>
      <w:proofErr w:type="spellStart"/>
      <w:r w:rsidRPr="00C47325" w:rsidR="00604685">
        <w:rPr>
          <w:rFonts w:ascii="Verdana" w:hAnsi="Verdana"/>
          <w:sz w:val="18"/>
          <w:szCs w:val="18"/>
        </w:rPr>
        <w:t>Cbw</w:t>
      </w:r>
      <w:proofErr w:type="spellEnd"/>
      <w:r w:rsidRPr="000E397D">
        <w:rPr>
          <w:rFonts w:ascii="Verdana" w:hAnsi="Verdana"/>
          <w:sz w:val="18"/>
          <w:szCs w:val="18"/>
        </w:rPr>
        <w:t xml:space="preserve"> is het doel van </w:t>
      </w:r>
      <w:r w:rsidR="00537D38">
        <w:rPr>
          <w:rFonts w:ascii="Verdana" w:hAnsi="Verdana"/>
          <w:sz w:val="18"/>
          <w:szCs w:val="18"/>
        </w:rPr>
        <w:t xml:space="preserve">de </w:t>
      </w:r>
      <w:proofErr w:type="spellStart"/>
      <w:r w:rsidR="00537D38">
        <w:rPr>
          <w:rFonts w:ascii="Verdana" w:hAnsi="Verdana"/>
          <w:sz w:val="18"/>
          <w:szCs w:val="18"/>
        </w:rPr>
        <w:t>Cbw</w:t>
      </w:r>
      <w:proofErr w:type="spellEnd"/>
      <w:r w:rsidRPr="000E397D">
        <w:rPr>
          <w:rFonts w:ascii="Verdana" w:hAnsi="Verdana"/>
          <w:sz w:val="18"/>
          <w:szCs w:val="18"/>
        </w:rPr>
        <w:t xml:space="preserve"> omschreven. Hetgeen </w:t>
      </w:r>
      <w:r w:rsidR="00A12B7F">
        <w:rPr>
          <w:rFonts w:ascii="Verdana" w:hAnsi="Verdana"/>
          <w:sz w:val="18"/>
          <w:szCs w:val="18"/>
        </w:rPr>
        <w:t xml:space="preserve">in artikel 2 </w:t>
      </w:r>
      <w:proofErr w:type="spellStart"/>
      <w:r w:rsidR="00A12B7F">
        <w:rPr>
          <w:rFonts w:ascii="Verdana" w:hAnsi="Verdana"/>
          <w:sz w:val="18"/>
          <w:szCs w:val="18"/>
        </w:rPr>
        <w:t>Cbw</w:t>
      </w:r>
      <w:proofErr w:type="spellEnd"/>
      <w:r w:rsidRPr="000E397D">
        <w:rPr>
          <w:rFonts w:ascii="Verdana" w:hAnsi="Verdana"/>
          <w:sz w:val="18"/>
          <w:szCs w:val="18"/>
        </w:rPr>
        <w:t xml:space="preserve"> is opgenomen, is ontleend aan artikel</w:t>
      </w:r>
      <w:bookmarkEnd w:id="249"/>
      <w:r w:rsidRPr="000E397D">
        <w:rPr>
          <w:rFonts w:ascii="Verdana" w:hAnsi="Verdana"/>
          <w:sz w:val="18"/>
          <w:szCs w:val="18"/>
        </w:rPr>
        <w:t xml:space="preserve"> 1, eerste lid, en de overwegingen 4 en 5 </w:t>
      </w:r>
      <w:r w:rsidR="00DF67C4">
        <w:rPr>
          <w:rFonts w:ascii="Verdana" w:hAnsi="Verdana"/>
          <w:sz w:val="18"/>
          <w:szCs w:val="18"/>
        </w:rPr>
        <w:t xml:space="preserve">van de </w:t>
      </w:r>
      <w:r w:rsidRPr="000E397D">
        <w:rPr>
          <w:rFonts w:ascii="Verdana" w:hAnsi="Verdana"/>
          <w:sz w:val="18"/>
          <w:szCs w:val="18"/>
        </w:rPr>
        <w:t>NIS2-richtlijn.</w:t>
      </w:r>
      <w:r w:rsidRPr="000E397D" w:rsidR="0035719E">
        <w:rPr>
          <w:rFonts w:ascii="Verdana" w:hAnsi="Verdana"/>
          <w:sz w:val="18"/>
          <w:szCs w:val="18"/>
        </w:rPr>
        <w:t xml:space="preserve"> </w:t>
      </w:r>
    </w:p>
    <w:p w:rsidR="00537D38" w:rsidP="0035719E" w:rsidRDefault="00537D38" w14:paraId="7D5CA47A" w14:textId="77777777">
      <w:pPr>
        <w:pStyle w:val="Geenafstand"/>
        <w:rPr>
          <w:rFonts w:ascii="Verdana" w:hAnsi="Verdana"/>
          <w:sz w:val="18"/>
          <w:szCs w:val="18"/>
        </w:rPr>
      </w:pPr>
    </w:p>
    <w:p w:rsidRPr="00BD3C4A" w:rsidR="00155394" w:rsidP="00155394" w:rsidRDefault="00155394" w14:paraId="3AAB0F5D" w14:textId="77777777">
      <w:pPr>
        <w:pStyle w:val="Geenafstand"/>
        <w:rPr>
          <w:rFonts w:ascii="Verdana" w:hAnsi="Verdana"/>
          <w:b/>
          <w:bCs/>
          <w:sz w:val="18"/>
          <w:szCs w:val="18"/>
        </w:rPr>
      </w:pPr>
      <w:bookmarkStart w:name="_Hlk149488968" w:id="250"/>
      <w:r w:rsidRPr="00BD3C4A">
        <w:rPr>
          <w:rFonts w:ascii="Verdana" w:hAnsi="Verdana"/>
          <w:b/>
          <w:bCs/>
          <w:sz w:val="18"/>
          <w:szCs w:val="18"/>
        </w:rPr>
        <w:t>Artikel 3 (uitvoering uitvoeringshandelingen, gedelegeerde handelingen en richtsnoeren)</w:t>
      </w:r>
    </w:p>
    <w:p w:rsidRPr="00C47325" w:rsidR="00CE333A" w:rsidP="00CE333A" w:rsidRDefault="00CE333A" w14:paraId="62FD2344" w14:textId="77777777">
      <w:pPr>
        <w:pStyle w:val="Geenafstand"/>
        <w:rPr>
          <w:rFonts w:ascii="Verdana" w:hAnsi="Verdana"/>
          <w:sz w:val="18"/>
          <w:szCs w:val="18"/>
        </w:rPr>
      </w:pPr>
    </w:p>
    <w:p w:rsidRPr="00C47325" w:rsidR="00D4437B" w:rsidP="00D4437B" w:rsidRDefault="00D4437B" w14:paraId="72BEC32E" w14:textId="0C266855">
      <w:pPr>
        <w:pStyle w:val="Geenafstand"/>
        <w:rPr>
          <w:rFonts w:ascii="Verdana" w:hAnsi="Verdana"/>
          <w:sz w:val="18"/>
          <w:szCs w:val="18"/>
        </w:rPr>
      </w:pPr>
      <w:bookmarkStart w:name="_Hlk150066369" w:id="251"/>
      <w:r>
        <w:rPr>
          <w:rFonts w:ascii="Verdana" w:hAnsi="Verdana"/>
          <w:sz w:val="18"/>
          <w:szCs w:val="18"/>
        </w:rPr>
        <w:t>De NIS2-richtlijn bevat diverse grondslagen om uitvoeringshandelingen, gedelegeerde handelingen en richtsnoeren vast te stellen. Indien deze worden vastgesteld, is het mogelijk dat er in nationale wet</w:t>
      </w:r>
      <w:r w:rsidR="00A12B7F">
        <w:rPr>
          <w:rFonts w:ascii="Verdana" w:hAnsi="Verdana"/>
          <w:sz w:val="18"/>
          <w:szCs w:val="18"/>
        </w:rPr>
        <w:t>- en regel</w:t>
      </w:r>
      <w:r>
        <w:rPr>
          <w:rFonts w:ascii="Verdana" w:hAnsi="Verdana"/>
          <w:sz w:val="18"/>
          <w:szCs w:val="18"/>
        </w:rPr>
        <w:t xml:space="preserve">geving regels nodig zijn ter uitvoering daarvan. </w:t>
      </w:r>
      <w:r w:rsidRPr="00C47325" w:rsidR="00CE333A">
        <w:rPr>
          <w:rFonts w:ascii="Verdana" w:hAnsi="Verdana"/>
          <w:sz w:val="18"/>
          <w:szCs w:val="18"/>
        </w:rPr>
        <w:t xml:space="preserve">Artikel 3 </w:t>
      </w:r>
      <w:proofErr w:type="spellStart"/>
      <w:r w:rsidRPr="00C47325" w:rsidR="00604685">
        <w:rPr>
          <w:rFonts w:ascii="Verdana" w:hAnsi="Verdana"/>
          <w:sz w:val="18"/>
          <w:szCs w:val="18"/>
        </w:rPr>
        <w:t>Cbw</w:t>
      </w:r>
      <w:proofErr w:type="spellEnd"/>
      <w:r w:rsidRPr="00C47325" w:rsidR="00CE333A">
        <w:rPr>
          <w:rFonts w:ascii="Verdana" w:hAnsi="Verdana"/>
          <w:sz w:val="18"/>
          <w:szCs w:val="18"/>
        </w:rPr>
        <w:t xml:space="preserve"> bevat </w:t>
      </w:r>
      <w:r>
        <w:rPr>
          <w:rFonts w:ascii="Verdana" w:hAnsi="Verdana"/>
          <w:sz w:val="18"/>
          <w:szCs w:val="18"/>
        </w:rPr>
        <w:t xml:space="preserve">daarom </w:t>
      </w:r>
      <w:r w:rsidRPr="00C47325" w:rsidR="00CE333A">
        <w:rPr>
          <w:rFonts w:ascii="Verdana" w:hAnsi="Verdana"/>
          <w:sz w:val="18"/>
          <w:szCs w:val="18"/>
        </w:rPr>
        <w:t xml:space="preserve">een delegatiegrondslag om bij of krachtens </w:t>
      </w:r>
      <w:proofErr w:type="spellStart"/>
      <w:r w:rsidRPr="00C47325" w:rsidR="00E031E9">
        <w:rPr>
          <w:rFonts w:ascii="Verdana" w:hAnsi="Verdana"/>
          <w:sz w:val="18"/>
          <w:szCs w:val="18"/>
        </w:rPr>
        <w:t>amvb</w:t>
      </w:r>
      <w:proofErr w:type="spellEnd"/>
      <w:r w:rsidRPr="00C47325" w:rsidR="00E031E9">
        <w:rPr>
          <w:rFonts w:ascii="Verdana" w:hAnsi="Verdana"/>
          <w:sz w:val="18"/>
          <w:szCs w:val="18"/>
        </w:rPr>
        <w:t xml:space="preserve"> </w:t>
      </w:r>
      <w:r w:rsidRPr="00C47325" w:rsidR="00CE333A">
        <w:rPr>
          <w:rFonts w:ascii="Verdana" w:hAnsi="Verdana"/>
          <w:sz w:val="18"/>
          <w:szCs w:val="18"/>
        </w:rPr>
        <w:t xml:space="preserve">regels te </w:t>
      </w:r>
      <w:r>
        <w:rPr>
          <w:rFonts w:ascii="Verdana" w:hAnsi="Verdana"/>
          <w:sz w:val="18"/>
          <w:szCs w:val="18"/>
        </w:rPr>
        <w:t xml:space="preserve">kunnen </w:t>
      </w:r>
      <w:r w:rsidRPr="00C47325" w:rsidR="00CE333A">
        <w:rPr>
          <w:rFonts w:ascii="Verdana" w:hAnsi="Verdana"/>
          <w:sz w:val="18"/>
          <w:szCs w:val="18"/>
        </w:rPr>
        <w:t>stellen ter uitvoering van de op grond van de NIS2-richtlijn vastgestelde uitvoeringshandelingen, gedelegeerde handelingen en richtsnoeren.</w:t>
      </w:r>
      <w:r>
        <w:rPr>
          <w:rFonts w:ascii="Verdana" w:hAnsi="Verdana"/>
          <w:sz w:val="18"/>
          <w:szCs w:val="18"/>
        </w:rPr>
        <w:t xml:space="preserve"> Dit betreft een facultatieve grondslag, omdat de mogelijkheid bestaat dat niet alle op grond van de NIS2-richtlijn vastgestelde uitvoeringshandelingen, gedelegeerde handelingen of richtsnoeren nopen tot het stellen van regels ter uitvoering daarvan. </w:t>
      </w:r>
    </w:p>
    <w:bookmarkEnd w:id="251"/>
    <w:p w:rsidRPr="00C47325" w:rsidR="00CE333A" w:rsidP="00CE333A" w:rsidRDefault="00CE333A" w14:paraId="1AB87373" w14:textId="77777777">
      <w:pPr>
        <w:pStyle w:val="Geenafstand"/>
        <w:rPr>
          <w:rFonts w:ascii="Verdana" w:hAnsi="Verdana"/>
          <w:sz w:val="18"/>
          <w:szCs w:val="18"/>
        </w:rPr>
      </w:pPr>
    </w:p>
    <w:bookmarkEnd w:id="250"/>
    <w:p w:rsidRPr="00BD3C4A" w:rsidR="00155394" w:rsidP="00155394" w:rsidRDefault="00155394" w14:paraId="4ECDA4E5" w14:textId="77777777">
      <w:pPr>
        <w:pStyle w:val="Geenafstand"/>
        <w:rPr>
          <w:rFonts w:ascii="Verdana" w:hAnsi="Verdana"/>
          <w:b/>
          <w:bCs/>
          <w:sz w:val="18"/>
          <w:szCs w:val="18"/>
        </w:rPr>
      </w:pPr>
      <w:r w:rsidRPr="00BD3C4A">
        <w:rPr>
          <w:rFonts w:ascii="Verdana" w:hAnsi="Verdana"/>
          <w:b/>
          <w:bCs/>
          <w:sz w:val="18"/>
          <w:szCs w:val="18"/>
        </w:rPr>
        <w:t>Artikel 4 (</w:t>
      </w:r>
      <w:r>
        <w:rPr>
          <w:rFonts w:ascii="Verdana" w:hAnsi="Verdana"/>
          <w:b/>
          <w:bCs/>
          <w:sz w:val="18"/>
          <w:szCs w:val="18"/>
        </w:rPr>
        <w:t>toepassingsbereik en jurisdictie</w:t>
      </w:r>
      <w:r w:rsidRPr="00BD3C4A">
        <w:rPr>
          <w:rFonts w:ascii="Verdana" w:hAnsi="Verdana"/>
          <w:b/>
          <w:bCs/>
          <w:sz w:val="18"/>
          <w:szCs w:val="18"/>
        </w:rPr>
        <w:t>)</w:t>
      </w:r>
    </w:p>
    <w:p w:rsidRPr="00C47325" w:rsidR="00CE333A" w:rsidP="00CE333A" w:rsidRDefault="00CE333A" w14:paraId="5D2C3622" w14:textId="77777777">
      <w:pPr>
        <w:pStyle w:val="Geenafstand"/>
        <w:rPr>
          <w:rFonts w:ascii="Verdana" w:hAnsi="Verdana"/>
          <w:b/>
          <w:bCs/>
          <w:sz w:val="18"/>
          <w:szCs w:val="18"/>
        </w:rPr>
      </w:pPr>
    </w:p>
    <w:p w:rsidR="00B312F7" w:rsidP="003E645F" w:rsidRDefault="00CE333A" w14:paraId="4A959D71" w14:textId="0EB113A8">
      <w:pPr>
        <w:pStyle w:val="Geenafstand"/>
        <w:rPr>
          <w:rFonts w:ascii="Verdana" w:hAnsi="Verdana"/>
          <w:sz w:val="18"/>
          <w:szCs w:val="18"/>
        </w:rPr>
      </w:pPr>
      <w:r w:rsidRPr="00C47325">
        <w:rPr>
          <w:rFonts w:ascii="Verdana" w:hAnsi="Verdana"/>
          <w:sz w:val="18"/>
          <w:szCs w:val="18"/>
        </w:rPr>
        <w:t xml:space="preserve">Artikel 4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w:t>
      </w:r>
      <w:r w:rsidR="00B312F7">
        <w:rPr>
          <w:rFonts w:ascii="Verdana" w:hAnsi="Verdana"/>
          <w:sz w:val="18"/>
          <w:szCs w:val="18"/>
        </w:rPr>
        <w:t>ziet op het toepassingsbereik en de jurisdictie</w:t>
      </w:r>
      <w:r w:rsidRPr="00C47325">
        <w:rPr>
          <w:rFonts w:ascii="Verdana" w:hAnsi="Verdana"/>
          <w:sz w:val="18"/>
          <w:szCs w:val="18"/>
        </w:rPr>
        <w:t>.</w:t>
      </w:r>
      <w:r w:rsidRPr="00C47325" w:rsidR="003E645F">
        <w:rPr>
          <w:rFonts w:ascii="Verdana" w:hAnsi="Verdana"/>
          <w:sz w:val="18"/>
          <w:szCs w:val="18"/>
        </w:rPr>
        <w:t xml:space="preserve"> </w:t>
      </w:r>
    </w:p>
    <w:p w:rsidR="00B312F7" w:rsidP="003E645F" w:rsidRDefault="00B312F7" w14:paraId="724379D4" w14:textId="77777777">
      <w:pPr>
        <w:pStyle w:val="Geenafstand"/>
        <w:rPr>
          <w:rFonts w:ascii="Verdana" w:hAnsi="Verdana"/>
          <w:sz w:val="18"/>
          <w:szCs w:val="18"/>
        </w:rPr>
      </w:pPr>
    </w:p>
    <w:p w:rsidR="00B312F7" w:rsidP="00B312F7" w:rsidRDefault="00B312F7" w14:paraId="058130D4" w14:textId="3BFEB482">
      <w:pPr>
        <w:pStyle w:val="Geenafstand"/>
        <w:rPr>
          <w:rFonts w:ascii="Verdana" w:hAnsi="Verdana"/>
          <w:sz w:val="18"/>
          <w:szCs w:val="18"/>
        </w:rPr>
      </w:pPr>
      <w:r>
        <w:rPr>
          <w:rFonts w:ascii="Verdana" w:hAnsi="Verdana"/>
          <w:sz w:val="18"/>
          <w:szCs w:val="18"/>
        </w:rPr>
        <w:t xml:space="preserve">Artikel 4, eerste lid, </w:t>
      </w:r>
      <w:proofErr w:type="spellStart"/>
      <w:r>
        <w:rPr>
          <w:rFonts w:ascii="Verdana" w:hAnsi="Verdana"/>
          <w:sz w:val="18"/>
          <w:szCs w:val="18"/>
        </w:rPr>
        <w:t>Cbw</w:t>
      </w:r>
      <w:proofErr w:type="spellEnd"/>
      <w:r>
        <w:rPr>
          <w:rFonts w:ascii="Verdana" w:hAnsi="Verdana"/>
          <w:sz w:val="18"/>
          <w:szCs w:val="18"/>
        </w:rPr>
        <w:t xml:space="preserve"> strekt tot de implementatie van de artikelen 2, eerste lid, en 26, eerste lid, aanhef, NIS2-richtlijn en regelt dat het bepaalde bij of krachtens de </w:t>
      </w:r>
      <w:proofErr w:type="spellStart"/>
      <w:r>
        <w:rPr>
          <w:rFonts w:ascii="Verdana" w:hAnsi="Verdana"/>
          <w:sz w:val="18"/>
          <w:szCs w:val="18"/>
        </w:rPr>
        <w:t>Cbw</w:t>
      </w:r>
      <w:proofErr w:type="spellEnd"/>
      <w:r>
        <w:rPr>
          <w:rFonts w:ascii="Verdana" w:hAnsi="Verdana"/>
          <w:sz w:val="18"/>
          <w:szCs w:val="18"/>
        </w:rPr>
        <w:t xml:space="preserve"> met betrekking tot essentiële entiteiten en belangrijke entiteiten van toepassing is op die entiteiten, als zij</w:t>
      </w:r>
      <w:r w:rsidRPr="00C47325" w:rsidR="003E645F">
        <w:rPr>
          <w:rFonts w:ascii="Verdana" w:hAnsi="Verdana"/>
          <w:sz w:val="18"/>
          <w:szCs w:val="18"/>
        </w:rPr>
        <w:t xml:space="preserve"> in Nederland zijn gevestigd en hun diensten verlenen of hun activiteiten verrichten in Nederland of een andere lidstaat</w:t>
      </w:r>
      <w:r w:rsidRPr="00C47325" w:rsidR="000B4B76">
        <w:rPr>
          <w:rFonts w:ascii="Verdana" w:hAnsi="Verdana"/>
          <w:sz w:val="18"/>
          <w:szCs w:val="18"/>
        </w:rPr>
        <w:t xml:space="preserve">. </w:t>
      </w:r>
      <w:r>
        <w:rPr>
          <w:rFonts w:ascii="Verdana" w:hAnsi="Verdana"/>
          <w:sz w:val="18"/>
          <w:szCs w:val="18"/>
        </w:rPr>
        <w:t xml:space="preserve">Deze bepaling ziet alleen op essentiële entiteiten en belangrijke entiteiten, en niet op entiteiten die domeinnaamregistratiediensten verlenen, omdat artikel 2, eerste lid, NIS2-richtlijn alleen ziet op essentiële entiteiten en belangrijke entiteiten. </w:t>
      </w:r>
      <w:r w:rsidR="0034224D">
        <w:rPr>
          <w:rFonts w:ascii="Verdana" w:hAnsi="Verdana"/>
          <w:sz w:val="18"/>
          <w:szCs w:val="18"/>
        </w:rPr>
        <w:t xml:space="preserve">Dit heeft tot gevolg dat </w:t>
      </w:r>
      <w:r>
        <w:rPr>
          <w:rFonts w:ascii="Verdana" w:hAnsi="Verdana"/>
          <w:sz w:val="18"/>
          <w:szCs w:val="18"/>
        </w:rPr>
        <w:t xml:space="preserve">voor het van toepassing zijn van het bepaalde bij of krachtens de </w:t>
      </w:r>
      <w:proofErr w:type="spellStart"/>
      <w:r>
        <w:rPr>
          <w:rFonts w:ascii="Verdana" w:hAnsi="Verdana"/>
          <w:sz w:val="18"/>
          <w:szCs w:val="18"/>
        </w:rPr>
        <w:t>Cbw</w:t>
      </w:r>
      <w:proofErr w:type="spellEnd"/>
      <w:r>
        <w:rPr>
          <w:rFonts w:ascii="Verdana" w:hAnsi="Verdana"/>
          <w:sz w:val="18"/>
          <w:szCs w:val="18"/>
        </w:rPr>
        <w:t xml:space="preserve"> over entiteiten die domeinnaamregistratiediensten verlenen, het niet vereist is dat deze entiteiten hun diensten verlenen of hun activiteiten verrichten in Nederland of een andere lidstaat. </w:t>
      </w:r>
      <w:r w:rsidR="0034224D">
        <w:rPr>
          <w:rFonts w:ascii="Verdana" w:hAnsi="Verdana"/>
          <w:sz w:val="18"/>
          <w:szCs w:val="18"/>
        </w:rPr>
        <w:t xml:space="preserve">Dit komt tot uiting in artikel 4, vierde lid, </w:t>
      </w:r>
      <w:proofErr w:type="spellStart"/>
      <w:r w:rsidR="0034224D">
        <w:rPr>
          <w:rFonts w:ascii="Verdana" w:hAnsi="Verdana"/>
          <w:sz w:val="18"/>
          <w:szCs w:val="18"/>
        </w:rPr>
        <w:t>Cbw</w:t>
      </w:r>
      <w:proofErr w:type="spellEnd"/>
      <w:r w:rsidR="0034224D">
        <w:rPr>
          <w:rFonts w:ascii="Verdana" w:hAnsi="Verdana"/>
          <w:sz w:val="18"/>
          <w:szCs w:val="18"/>
        </w:rPr>
        <w:t xml:space="preserve">, waarin artikel 26, eerste lid, onderdeel b, NIS2-richtlijn, met in achtneming van artikel 2, eerste lid, NIS2-richtlijn, is geïmplementeerd. </w:t>
      </w:r>
    </w:p>
    <w:p w:rsidR="00B312F7" w:rsidP="00B312F7" w:rsidRDefault="00B312F7" w14:paraId="7DEAFBB0" w14:textId="77777777">
      <w:pPr>
        <w:pStyle w:val="Geenafstand"/>
        <w:rPr>
          <w:rFonts w:ascii="Verdana" w:hAnsi="Verdana"/>
          <w:sz w:val="18"/>
          <w:szCs w:val="18"/>
        </w:rPr>
      </w:pPr>
    </w:p>
    <w:p w:rsidR="0034224D" w:rsidP="0034224D" w:rsidRDefault="0034224D" w14:paraId="01B47111" w14:textId="48164065">
      <w:pPr>
        <w:pStyle w:val="Geenafstand"/>
        <w:rPr>
          <w:rFonts w:ascii="Verdana" w:hAnsi="Verdana"/>
          <w:sz w:val="18"/>
          <w:szCs w:val="18"/>
        </w:rPr>
      </w:pPr>
      <w:r>
        <w:rPr>
          <w:rFonts w:ascii="Verdana" w:hAnsi="Verdana"/>
          <w:sz w:val="18"/>
          <w:szCs w:val="18"/>
        </w:rPr>
        <w:t xml:space="preserve">Artikel 4, tweede lid, </w:t>
      </w:r>
      <w:proofErr w:type="spellStart"/>
      <w:r>
        <w:rPr>
          <w:rFonts w:ascii="Verdana" w:hAnsi="Verdana"/>
          <w:sz w:val="18"/>
          <w:szCs w:val="18"/>
        </w:rPr>
        <w:t>Cbw</w:t>
      </w:r>
      <w:proofErr w:type="spellEnd"/>
      <w:r>
        <w:rPr>
          <w:rFonts w:ascii="Verdana" w:hAnsi="Verdana"/>
          <w:sz w:val="18"/>
          <w:szCs w:val="18"/>
        </w:rPr>
        <w:t xml:space="preserve"> strekt tot de implementatie van artikel 26, eerste lid, onderdeel a, NIS2-richtlijn en ziet specifiek op </w:t>
      </w:r>
      <w:r w:rsidRPr="0034224D">
        <w:rPr>
          <w:rFonts w:ascii="Verdana" w:hAnsi="Verdana"/>
          <w:sz w:val="18"/>
          <w:szCs w:val="18"/>
        </w:rPr>
        <w:t>essentiële entiteiten en belangrijke entiteiten die aanbieders van openbare elektronische communicatienetwerken of aanbieders van openbare elektronische communicatiediensten zijn</w:t>
      </w:r>
      <w:r>
        <w:rPr>
          <w:rFonts w:ascii="Verdana" w:hAnsi="Verdana"/>
          <w:sz w:val="18"/>
          <w:szCs w:val="18"/>
        </w:rPr>
        <w:t xml:space="preserve">. Voor deze aanbieders geldt dat het bepaalde bij of krachtens de </w:t>
      </w:r>
      <w:proofErr w:type="spellStart"/>
      <w:r>
        <w:rPr>
          <w:rFonts w:ascii="Verdana" w:hAnsi="Verdana"/>
          <w:sz w:val="18"/>
          <w:szCs w:val="18"/>
        </w:rPr>
        <w:t>Cbw</w:t>
      </w:r>
      <w:proofErr w:type="spellEnd"/>
      <w:r>
        <w:rPr>
          <w:rFonts w:ascii="Verdana" w:hAnsi="Verdana"/>
          <w:sz w:val="18"/>
          <w:szCs w:val="18"/>
        </w:rPr>
        <w:t xml:space="preserve"> over essentiële entiteiten en belangrijke entiteiten die </w:t>
      </w:r>
      <w:r w:rsidRPr="0086738C">
        <w:rPr>
          <w:rFonts w:ascii="Verdana" w:hAnsi="Verdana"/>
          <w:sz w:val="18"/>
          <w:szCs w:val="18"/>
        </w:rPr>
        <w:t>aanbieders van openbare elektronische</w:t>
      </w:r>
      <w:r>
        <w:rPr>
          <w:rFonts w:ascii="Verdana" w:hAnsi="Verdana"/>
          <w:sz w:val="18"/>
          <w:szCs w:val="18"/>
        </w:rPr>
        <w:t xml:space="preserve"> </w:t>
      </w:r>
      <w:r w:rsidRPr="0086738C">
        <w:rPr>
          <w:rFonts w:ascii="Verdana" w:hAnsi="Verdana"/>
          <w:sz w:val="18"/>
          <w:szCs w:val="18"/>
        </w:rPr>
        <w:t xml:space="preserve">communicatienetwerken </w:t>
      </w:r>
      <w:r>
        <w:rPr>
          <w:rFonts w:ascii="Verdana" w:hAnsi="Verdana"/>
          <w:sz w:val="18"/>
          <w:szCs w:val="18"/>
        </w:rPr>
        <w:t>of</w:t>
      </w:r>
      <w:r w:rsidRPr="0086738C">
        <w:rPr>
          <w:rFonts w:ascii="Verdana" w:hAnsi="Verdana"/>
          <w:sz w:val="18"/>
          <w:szCs w:val="18"/>
        </w:rPr>
        <w:t xml:space="preserve"> aanbieders van openbare elektronische</w:t>
      </w:r>
      <w:r>
        <w:rPr>
          <w:rFonts w:ascii="Verdana" w:hAnsi="Verdana"/>
          <w:sz w:val="18"/>
          <w:szCs w:val="18"/>
        </w:rPr>
        <w:t xml:space="preserve"> </w:t>
      </w:r>
      <w:r w:rsidRPr="0086738C">
        <w:rPr>
          <w:rFonts w:ascii="Verdana" w:hAnsi="Verdana"/>
          <w:sz w:val="18"/>
          <w:szCs w:val="18"/>
        </w:rPr>
        <w:t xml:space="preserve">communicatiediensten </w:t>
      </w:r>
      <w:r>
        <w:rPr>
          <w:rFonts w:ascii="Verdana" w:hAnsi="Verdana"/>
          <w:sz w:val="18"/>
          <w:szCs w:val="18"/>
        </w:rPr>
        <w:t>zijn, alleen op hen van toepassing is als zij hun diensten in Nederland aanbieden.</w:t>
      </w:r>
    </w:p>
    <w:p w:rsidR="00D91960" w:rsidP="0034224D" w:rsidRDefault="00D91960" w14:paraId="6319482D" w14:textId="77777777">
      <w:pPr>
        <w:pStyle w:val="Geenafstand"/>
        <w:rPr>
          <w:rFonts w:ascii="Verdana" w:hAnsi="Verdana"/>
          <w:sz w:val="18"/>
          <w:szCs w:val="18"/>
        </w:rPr>
      </w:pPr>
    </w:p>
    <w:p w:rsidR="0034224D" w:rsidP="0034224D" w:rsidRDefault="0034224D" w14:paraId="7617937C" w14:textId="7BDEC1E6">
      <w:pPr>
        <w:pStyle w:val="Geenafstand"/>
        <w:rPr>
          <w:rFonts w:ascii="Verdana" w:hAnsi="Verdana"/>
          <w:sz w:val="18"/>
          <w:szCs w:val="18"/>
        </w:rPr>
      </w:pPr>
      <w:r>
        <w:rPr>
          <w:rFonts w:ascii="Verdana" w:hAnsi="Verdana"/>
          <w:sz w:val="18"/>
          <w:szCs w:val="18"/>
        </w:rPr>
        <w:t xml:space="preserve">Artikel 4, derde lid, </w:t>
      </w:r>
      <w:proofErr w:type="spellStart"/>
      <w:r>
        <w:rPr>
          <w:rFonts w:ascii="Verdana" w:hAnsi="Verdana"/>
          <w:sz w:val="18"/>
          <w:szCs w:val="18"/>
        </w:rPr>
        <w:t>Cbw</w:t>
      </w:r>
      <w:proofErr w:type="spellEnd"/>
      <w:r>
        <w:rPr>
          <w:rFonts w:ascii="Verdana" w:hAnsi="Verdana"/>
          <w:sz w:val="18"/>
          <w:szCs w:val="18"/>
        </w:rPr>
        <w:t xml:space="preserve"> strekt tot de implementatie van artikel 26, eerste lid, onderdeel b, </w:t>
      </w:r>
      <w:r w:rsidR="00A36D7C">
        <w:rPr>
          <w:rFonts w:ascii="Verdana" w:hAnsi="Verdana"/>
          <w:sz w:val="18"/>
          <w:szCs w:val="18"/>
        </w:rPr>
        <w:t xml:space="preserve">jo. artikel 2, eerste lid, </w:t>
      </w:r>
      <w:r>
        <w:rPr>
          <w:rFonts w:ascii="Verdana" w:hAnsi="Verdana"/>
          <w:sz w:val="18"/>
          <w:szCs w:val="18"/>
        </w:rPr>
        <w:t xml:space="preserve">NIS2-richtlijn en ziet specifiek op de daarin genoemde entiteiten. Het bepaalde bij of krachtens de </w:t>
      </w:r>
      <w:proofErr w:type="spellStart"/>
      <w:r>
        <w:rPr>
          <w:rFonts w:ascii="Verdana" w:hAnsi="Verdana"/>
          <w:sz w:val="18"/>
          <w:szCs w:val="18"/>
        </w:rPr>
        <w:t>Cbw</w:t>
      </w:r>
      <w:proofErr w:type="spellEnd"/>
      <w:r>
        <w:rPr>
          <w:rFonts w:ascii="Verdana" w:hAnsi="Verdana"/>
          <w:sz w:val="18"/>
          <w:szCs w:val="18"/>
        </w:rPr>
        <w:t xml:space="preserve"> over essentiële entiteiten en belangrijke entiteiten zijn alleen van toepassing op die entiteiten, als zij hun hoofdvestiging of vertegenwoordiger in Nederland hebben en hun diensten verlenen of hun activiteiten verrichten in Nederland of een andere lidstaat. </w:t>
      </w:r>
    </w:p>
    <w:p w:rsidR="00D91960" w:rsidP="0034224D" w:rsidRDefault="00D91960" w14:paraId="4B0907D3" w14:textId="77777777">
      <w:pPr>
        <w:pStyle w:val="Geenafstand"/>
        <w:rPr>
          <w:rFonts w:ascii="Verdana" w:hAnsi="Verdana"/>
          <w:sz w:val="18"/>
          <w:szCs w:val="18"/>
        </w:rPr>
      </w:pPr>
    </w:p>
    <w:p w:rsidR="00D91960" w:rsidP="0034224D" w:rsidRDefault="00D91960" w14:paraId="303291A3" w14:textId="3DDBA8F3">
      <w:pPr>
        <w:pStyle w:val="Geenafstand"/>
        <w:rPr>
          <w:rFonts w:ascii="Verdana" w:hAnsi="Verdana"/>
          <w:sz w:val="18"/>
          <w:szCs w:val="18"/>
        </w:rPr>
      </w:pPr>
      <w:r>
        <w:rPr>
          <w:rFonts w:ascii="Verdana" w:hAnsi="Verdana"/>
          <w:sz w:val="18"/>
          <w:szCs w:val="18"/>
        </w:rPr>
        <w:t xml:space="preserve">Artikel 4, vierde lid, </w:t>
      </w:r>
      <w:proofErr w:type="spellStart"/>
      <w:r>
        <w:rPr>
          <w:rFonts w:ascii="Verdana" w:hAnsi="Verdana"/>
          <w:sz w:val="18"/>
          <w:szCs w:val="18"/>
        </w:rPr>
        <w:t>Cbw</w:t>
      </w:r>
      <w:proofErr w:type="spellEnd"/>
      <w:r>
        <w:rPr>
          <w:rFonts w:ascii="Verdana" w:hAnsi="Verdana"/>
          <w:sz w:val="18"/>
          <w:szCs w:val="18"/>
        </w:rPr>
        <w:t xml:space="preserve"> heeft betrekking op entiteiten die domeinnaamregistratiediensten verlenen. Voor de toelichting op deze bepaling wordt verwezen naar de toelichting </w:t>
      </w:r>
      <w:r w:rsidR="006467C3">
        <w:rPr>
          <w:rFonts w:ascii="Verdana" w:hAnsi="Verdana"/>
          <w:sz w:val="18"/>
          <w:szCs w:val="18"/>
        </w:rPr>
        <w:t xml:space="preserve">op </w:t>
      </w:r>
      <w:r>
        <w:rPr>
          <w:rFonts w:ascii="Verdana" w:hAnsi="Verdana"/>
          <w:sz w:val="18"/>
          <w:szCs w:val="18"/>
        </w:rPr>
        <w:t xml:space="preserve">artikel 4, eerste lid, </w:t>
      </w:r>
      <w:proofErr w:type="spellStart"/>
      <w:r>
        <w:rPr>
          <w:rFonts w:ascii="Verdana" w:hAnsi="Verdana"/>
          <w:sz w:val="18"/>
          <w:szCs w:val="18"/>
        </w:rPr>
        <w:t>Cbw</w:t>
      </w:r>
      <w:proofErr w:type="spellEnd"/>
      <w:r>
        <w:rPr>
          <w:rFonts w:ascii="Verdana" w:hAnsi="Verdana"/>
          <w:sz w:val="18"/>
          <w:szCs w:val="18"/>
        </w:rPr>
        <w:t xml:space="preserve">. </w:t>
      </w:r>
    </w:p>
    <w:p w:rsidR="00A36D7C" w:rsidP="0034224D" w:rsidRDefault="00A36D7C" w14:paraId="3CC7145D" w14:textId="77777777">
      <w:pPr>
        <w:pStyle w:val="Geenafstand"/>
        <w:rPr>
          <w:rFonts w:ascii="Verdana" w:hAnsi="Verdana"/>
          <w:sz w:val="18"/>
          <w:szCs w:val="18"/>
        </w:rPr>
      </w:pPr>
    </w:p>
    <w:p w:rsidRPr="00C47325" w:rsidR="00A36D7C" w:rsidP="0034224D" w:rsidRDefault="00A36D7C" w14:paraId="3169A1A6" w14:textId="3B4CF3CB">
      <w:pPr>
        <w:pStyle w:val="Geenafstand"/>
        <w:rPr>
          <w:rFonts w:ascii="Verdana" w:hAnsi="Verdana"/>
          <w:sz w:val="18"/>
          <w:szCs w:val="18"/>
        </w:rPr>
      </w:pPr>
      <w:r>
        <w:rPr>
          <w:rFonts w:ascii="Verdana" w:hAnsi="Verdana"/>
          <w:sz w:val="18"/>
          <w:szCs w:val="18"/>
        </w:rPr>
        <w:t xml:space="preserve">Artikel 4, vijfde lid, </w:t>
      </w:r>
      <w:proofErr w:type="spellStart"/>
      <w:r>
        <w:rPr>
          <w:rFonts w:ascii="Verdana" w:hAnsi="Verdana"/>
          <w:sz w:val="18"/>
          <w:szCs w:val="18"/>
        </w:rPr>
        <w:t>Cbw</w:t>
      </w:r>
      <w:proofErr w:type="spellEnd"/>
      <w:r>
        <w:rPr>
          <w:rFonts w:ascii="Verdana" w:hAnsi="Verdana"/>
          <w:sz w:val="18"/>
          <w:szCs w:val="18"/>
        </w:rPr>
        <w:t xml:space="preserve"> strekt tot de implementatie van artikel 26, eerste lid, onderdeel b, en tweede lid, NIS2-richtlijn en ziet kort gezegd op het bepalen waar een entiteit haar hoofdvestiging heeft. </w:t>
      </w:r>
    </w:p>
    <w:p w:rsidRPr="00C47325" w:rsidR="0009144B" w:rsidP="0009144B" w:rsidRDefault="003E645F" w14:paraId="00363B51" w14:textId="7426E8BA">
      <w:pPr>
        <w:pStyle w:val="Geenafstand"/>
        <w:rPr>
          <w:rFonts w:ascii="Verdana" w:hAnsi="Verdana"/>
          <w:sz w:val="18"/>
          <w:szCs w:val="18"/>
        </w:rPr>
      </w:pPr>
      <w:r w:rsidRPr="000E397D">
        <w:rPr>
          <w:rFonts w:ascii="Verdana" w:hAnsi="Verdana"/>
          <w:sz w:val="18"/>
          <w:szCs w:val="18"/>
        </w:rPr>
        <w:t>In de praktijk kan het voorkomen dat een belangrijke entiteit of essentiële entiteit behoort tot meerdere van de in bijlage 1 en bijlage 2 genoemde soorten, of tegelijkertijd ook domeinnaamregistratiediensten verleent. In dat geval moet</w:t>
      </w:r>
      <w:r w:rsidRPr="000E397D" w:rsidR="000B4B76">
        <w:rPr>
          <w:rFonts w:ascii="Verdana" w:hAnsi="Verdana"/>
          <w:sz w:val="18"/>
          <w:szCs w:val="18"/>
        </w:rPr>
        <w:t>en</w:t>
      </w:r>
      <w:r w:rsidRPr="000E397D">
        <w:rPr>
          <w:rFonts w:ascii="Verdana" w:hAnsi="Verdana"/>
          <w:sz w:val="18"/>
          <w:szCs w:val="18"/>
        </w:rPr>
        <w:t xml:space="preserve"> voor de belangrijke entiteit en essentiële entiteit per soort de regels uit artikel 4 </w:t>
      </w:r>
      <w:proofErr w:type="spellStart"/>
      <w:r w:rsidRPr="00C47325" w:rsidR="00604685">
        <w:rPr>
          <w:rFonts w:ascii="Verdana" w:hAnsi="Verdana"/>
          <w:sz w:val="18"/>
          <w:szCs w:val="18"/>
        </w:rPr>
        <w:t>Cbw</w:t>
      </w:r>
      <w:proofErr w:type="spellEnd"/>
      <w:r w:rsidRPr="00C47325" w:rsidR="00604685">
        <w:rPr>
          <w:rFonts w:ascii="Verdana" w:hAnsi="Verdana"/>
          <w:sz w:val="18"/>
          <w:szCs w:val="18"/>
        </w:rPr>
        <w:t xml:space="preserve"> </w:t>
      </w:r>
      <w:r w:rsidRPr="000E397D">
        <w:rPr>
          <w:rFonts w:ascii="Verdana" w:hAnsi="Verdana"/>
          <w:sz w:val="18"/>
          <w:szCs w:val="18"/>
        </w:rPr>
        <w:t xml:space="preserve">toegepast worden en zo worden bepaald of </w:t>
      </w:r>
      <w:r w:rsidRPr="00C47325" w:rsidR="00604685">
        <w:rPr>
          <w:rFonts w:ascii="Verdana" w:hAnsi="Verdana"/>
          <w:sz w:val="18"/>
          <w:szCs w:val="18"/>
        </w:rPr>
        <w:t xml:space="preserve">de </w:t>
      </w:r>
      <w:proofErr w:type="spellStart"/>
      <w:r w:rsidRPr="00C47325" w:rsidR="00604685">
        <w:rPr>
          <w:rFonts w:ascii="Verdana" w:hAnsi="Verdana"/>
          <w:sz w:val="18"/>
          <w:szCs w:val="18"/>
        </w:rPr>
        <w:t>Cbw</w:t>
      </w:r>
      <w:proofErr w:type="spellEnd"/>
      <w:r w:rsidRPr="000E397D">
        <w:rPr>
          <w:rFonts w:ascii="Verdana" w:hAnsi="Verdana"/>
          <w:sz w:val="18"/>
          <w:szCs w:val="18"/>
        </w:rPr>
        <w:t xml:space="preserve"> van toepassing is. Daarbij kunnen meerdere jurisdictieregels naast elkaar bestaan. Zo zal een elektriciteitsbedrijf dat gevestigd is in Nederland dat tegelijkertijd beheerde diensten aanbiedt met een hoofdvestiging in Duitsland, onder het toepassingsbereik van deze wet vallen. Hetzelfde geldt voor een aanbieder van </w:t>
      </w:r>
      <w:proofErr w:type="spellStart"/>
      <w:r w:rsidRPr="000E397D">
        <w:rPr>
          <w:rFonts w:ascii="Verdana" w:hAnsi="Verdana"/>
          <w:sz w:val="18"/>
          <w:szCs w:val="18"/>
        </w:rPr>
        <w:t>cloudcomputingdiensten</w:t>
      </w:r>
      <w:proofErr w:type="spellEnd"/>
      <w:r w:rsidRPr="000E397D">
        <w:rPr>
          <w:rFonts w:ascii="Verdana" w:hAnsi="Verdana"/>
          <w:sz w:val="18"/>
          <w:szCs w:val="18"/>
        </w:rPr>
        <w:t xml:space="preserve"> </w:t>
      </w:r>
      <w:r w:rsidR="004F3DCC">
        <w:rPr>
          <w:rFonts w:ascii="Verdana" w:hAnsi="Verdana"/>
          <w:sz w:val="18"/>
          <w:szCs w:val="18"/>
        </w:rPr>
        <w:t>die</w:t>
      </w:r>
      <w:r w:rsidRPr="000E397D" w:rsidR="004F3DCC">
        <w:rPr>
          <w:rFonts w:ascii="Verdana" w:hAnsi="Verdana"/>
          <w:sz w:val="18"/>
          <w:szCs w:val="18"/>
        </w:rPr>
        <w:t xml:space="preserve"> </w:t>
      </w:r>
      <w:r w:rsidRPr="000E397D">
        <w:rPr>
          <w:rFonts w:ascii="Verdana" w:hAnsi="Verdana"/>
          <w:sz w:val="18"/>
          <w:szCs w:val="18"/>
        </w:rPr>
        <w:t xml:space="preserve">zijn hoofdvestiging in Frankrijk heeft en die in Nederland een aanbieder van openbare telecommunicatienetwerken – of diensten is. Ook op deze entiteit is </w:t>
      </w:r>
      <w:r w:rsidRPr="00C47325" w:rsidR="00604685">
        <w:rPr>
          <w:rFonts w:ascii="Verdana" w:hAnsi="Verdana"/>
          <w:sz w:val="18"/>
          <w:szCs w:val="18"/>
        </w:rPr>
        <w:t xml:space="preserve">de </w:t>
      </w:r>
      <w:proofErr w:type="spellStart"/>
      <w:r w:rsidRPr="00C47325" w:rsidR="00604685">
        <w:rPr>
          <w:rFonts w:ascii="Verdana" w:hAnsi="Verdana"/>
          <w:sz w:val="18"/>
          <w:szCs w:val="18"/>
        </w:rPr>
        <w:t>Cbw</w:t>
      </w:r>
      <w:proofErr w:type="spellEnd"/>
      <w:r w:rsidRPr="000E397D">
        <w:rPr>
          <w:rFonts w:ascii="Verdana" w:hAnsi="Verdana"/>
          <w:sz w:val="18"/>
          <w:szCs w:val="18"/>
        </w:rPr>
        <w:t xml:space="preserve"> van toepassing.</w:t>
      </w:r>
    </w:p>
    <w:p w:rsidR="0009144B" w:rsidP="007F7F70" w:rsidRDefault="0009144B" w14:paraId="782A8831" w14:textId="77777777">
      <w:pPr>
        <w:pStyle w:val="Geenafstand"/>
        <w:rPr>
          <w:rFonts w:ascii="Verdana" w:hAnsi="Verdana"/>
          <w:sz w:val="18"/>
          <w:szCs w:val="18"/>
        </w:rPr>
      </w:pPr>
    </w:p>
    <w:p w:rsidR="002961E3" w:rsidP="007F7F70" w:rsidRDefault="00BA1F43" w14:paraId="3787E1BC" w14:textId="44F18E65">
      <w:pPr>
        <w:pStyle w:val="Geenafstand"/>
        <w:rPr>
          <w:rFonts w:ascii="Verdana" w:hAnsi="Verdana"/>
          <w:sz w:val="18"/>
          <w:szCs w:val="18"/>
        </w:rPr>
      </w:pPr>
      <w:r w:rsidRPr="00BA1F43">
        <w:rPr>
          <w:rFonts w:ascii="Verdana" w:hAnsi="Verdana"/>
          <w:sz w:val="18"/>
          <w:szCs w:val="18"/>
        </w:rPr>
        <w:t xml:space="preserve">De artikelen </w:t>
      </w:r>
      <w:r w:rsidR="00106E81">
        <w:rPr>
          <w:rFonts w:ascii="Verdana" w:hAnsi="Verdana"/>
          <w:sz w:val="18"/>
          <w:szCs w:val="18"/>
        </w:rPr>
        <w:t>42</w:t>
      </w:r>
      <w:r w:rsidRPr="00BA1F43">
        <w:rPr>
          <w:rFonts w:ascii="Verdana" w:hAnsi="Verdana"/>
          <w:sz w:val="18"/>
          <w:szCs w:val="18"/>
        </w:rPr>
        <w:t xml:space="preserve">, </w:t>
      </w:r>
      <w:r w:rsidR="00106E81">
        <w:rPr>
          <w:rFonts w:ascii="Verdana" w:hAnsi="Verdana"/>
          <w:sz w:val="18"/>
          <w:szCs w:val="18"/>
        </w:rPr>
        <w:t>60</w:t>
      </w:r>
      <w:r w:rsidRPr="00BA1F43">
        <w:rPr>
          <w:rFonts w:ascii="Verdana" w:hAnsi="Verdana"/>
          <w:sz w:val="18"/>
          <w:szCs w:val="18"/>
        </w:rPr>
        <w:t xml:space="preserve"> en </w:t>
      </w:r>
      <w:r w:rsidR="00106E81">
        <w:rPr>
          <w:rFonts w:ascii="Verdana" w:hAnsi="Verdana"/>
          <w:sz w:val="18"/>
          <w:szCs w:val="18"/>
        </w:rPr>
        <w:t xml:space="preserve">61 </w:t>
      </w:r>
      <w:proofErr w:type="spellStart"/>
      <w:r w:rsidR="00106E81">
        <w:rPr>
          <w:rFonts w:ascii="Verdana" w:hAnsi="Verdana"/>
          <w:sz w:val="18"/>
          <w:szCs w:val="18"/>
        </w:rPr>
        <w:t>Cbw</w:t>
      </w:r>
      <w:proofErr w:type="spellEnd"/>
      <w:r w:rsidRPr="00BA1F43">
        <w:rPr>
          <w:rFonts w:ascii="Verdana" w:hAnsi="Verdana"/>
          <w:sz w:val="18"/>
          <w:szCs w:val="18"/>
        </w:rPr>
        <w:t xml:space="preserve"> kunnen verplichtingen bevatten of tot verplichtingen leiden ten aanzien van entiteiten die niet onder </w:t>
      </w:r>
      <w:r w:rsidR="00106E81">
        <w:rPr>
          <w:rFonts w:ascii="Verdana" w:hAnsi="Verdana"/>
          <w:sz w:val="18"/>
          <w:szCs w:val="18"/>
        </w:rPr>
        <w:t xml:space="preserve">het toepassingsbereik van de </w:t>
      </w:r>
      <w:proofErr w:type="spellStart"/>
      <w:r w:rsidR="00106E81">
        <w:rPr>
          <w:rFonts w:ascii="Verdana" w:hAnsi="Verdana"/>
          <w:sz w:val="18"/>
          <w:szCs w:val="18"/>
        </w:rPr>
        <w:t>Cbw</w:t>
      </w:r>
      <w:proofErr w:type="spellEnd"/>
      <w:r w:rsidR="00D91960">
        <w:rPr>
          <w:rFonts w:ascii="Verdana" w:hAnsi="Verdana"/>
          <w:sz w:val="18"/>
          <w:szCs w:val="18"/>
        </w:rPr>
        <w:t>, geregeld</w:t>
      </w:r>
      <w:r w:rsidRPr="00BA1F43">
        <w:rPr>
          <w:rFonts w:ascii="Verdana" w:hAnsi="Verdana"/>
          <w:sz w:val="18"/>
          <w:szCs w:val="18"/>
        </w:rPr>
        <w:t xml:space="preserve"> in artikel 4,</w:t>
      </w:r>
      <w:r w:rsidR="00106E81">
        <w:rPr>
          <w:rFonts w:ascii="Verdana" w:hAnsi="Verdana"/>
          <w:sz w:val="18"/>
          <w:szCs w:val="18"/>
        </w:rPr>
        <w:t xml:space="preserve"> eerste tot en met vierde lid, </w:t>
      </w:r>
      <w:proofErr w:type="spellStart"/>
      <w:r w:rsidR="00106E81">
        <w:rPr>
          <w:rFonts w:ascii="Verdana" w:hAnsi="Verdana"/>
          <w:sz w:val="18"/>
          <w:szCs w:val="18"/>
        </w:rPr>
        <w:t>Cbw</w:t>
      </w:r>
      <w:proofErr w:type="spellEnd"/>
      <w:r w:rsidR="00106E81">
        <w:rPr>
          <w:rFonts w:ascii="Verdana" w:hAnsi="Verdana"/>
          <w:sz w:val="18"/>
          <w:szCs w:val="18"/>
        </w:rPr>
        <w:t xml:space="preserve"> </w:t>
      </w:r>
      <w:r w:rsidRPr="00BA1F43">
        <w:rPr>
          <w:rFonts w:ascii="Verdana" w:hAnsi="Verdana"/>
          <w:sz w:val="18"/>
          <w:szCs w:val="18"/>
        </w:rPr>
        <w:t xml:space="preserve">vallen. Om ervoor te zorgen dat deze verplichtingen ook voor die entiteiten gelden, is in artikel 4, zesde lid, </w:t>
      </w:r>
      <w:proofErr w:type="spellStart"/>
      <w:r w:rsidR="00106E81">
        <w:rPr>
          <w:rFonts w:ascii="Verdana" w:hAnsi="Verdana"/>
          <w:sz w:val="18"/>
          <w:szCs w:val="18"/>
        </w:rPr>
        <w:t>Cbw</w:t>
      </w:r>
      <w:proofErr w:type="spellEnd"/>
      <w:r w:rsidR="00106E81">
        <w:rPr>
          <w:rFonts w:ascii="Verdana" w:hAnsi="Verdana"/>
          <w:sz w:val="18"/>
          <w:szCs w:val="18"/>
        </w:rPr>
        <w:t xml:space="preserve"> </w:t>
      </w:r>
      <w:r w:rsidRPr="00BA1F43">
        <w:rPr>
          <w:rFonts w:ascii="Verdana" w:hAnsi="Verdana"/>
          <w:sz w:val="18"/>
          <w:szCs w:val="18"/>
        </w:rPr>
        <w:t>geregeld dat het bepaalde bij de eerdergenoemde artikel</w:t>
      </w:r>
      <w:r w:rsidR="00E72936">
        <w:rPr>
          <w:rFonts w:ascii="Verdana" w:hAnsi="Verdana"/>
          <w:sz w:val="18"/>
          <w:szCs w:val="18"/>
        </w:rPr>
        <w:t>en</w:t>
      </w:r>
      <w:r w:rsidRPr="00BA1F43">
        <w:rPr>
          <w:rFonts w:ascii="Verdana" w:hAnsi="Verdana"/>
          <w:sz w:val="18"/>
          <w:szCs w:val="18"/>
        </w:rPr>
        <w:t xml:space="preserve"> van toepassing is</w:t>
      </w:r>
      <w:r w:rsidR="00D91960">
        <w:rPr>
          <w:rFonts w:ascii="Verdana" w:hAnsi="Verdana"/>
          <w:sz w:val="18"/>
          <w:szCs w:val="18"/>
        </w:rPr>
        <w:t>,</w:t>
      </w:r>
      <w:r w:rsidRPr="00BA1F43">
        <w:rPr>
          <w:rFonts w:ascii="Verdana" w:hAnsi="Verdana"/>
          <w:sz w:val="18"/>
          <w:szCs w:val="18"/>
        </w:rPr>
        <w:t xml:space="preserve"> ook op deze entiteiten. Op deze wijze is de </w:t>
      </w:r>
      <w:r w:rsidR="00D91960">
        <w:rPr>
          <w:rFonts w:ascii="Verdana" w:hAnsi="Verdana"/>
          <w:sz w:val="18"/>
          <w:szCs w:val="18"/>
        </w:rPr>
        <w:t>verplichting tot het aanwijzen van een vertegenwoordiger</w:t>
      </w:r>
      <w:r w:rsidRPr="00BA1F43">
        <w:rPr>
          <w:rFonts w:ascii="Verdana" w:hAnsi="Verdana"/>
          <w:sz w:val="18"/>
          <w:szCs w:val="18"/>
        </w:rPr>
        <w:t xml:space="preserve"> te allen tijde van toepassing onder de genoemde voorwaarden. Ook kunnen de bevoegde autoriteiten onder de genoemde omstandigheden wederzijdse bijstand verlenen, ook in gevallen dat een entiteit volgens artikel 4, eerste tot en met vierde lid, </w:t>
      </w:r>
      <w:proofErr w:type="spellStart"/>
      <w:r w:rsidR="00106E81">
        <w:rPr>
          <w:rFonts w:ascii="Verdana" w:hAnsi="Verdana"/>
          <w:sz w:val="18"/>
          <w:szCs w:val="18"/>
        </w:rPr>
        <w:t>Cbw</w:t>
      </w:r>
      <w:proofErr w:type="spellEnd"/>
      <w:r w:rsidR="00106E81">
        <w:rPr>
          <w:rFonts w:ascii="Verdana" w:hAnsi="Verdana"/>
          <w:sz w:val="18"/>
          <w:szCs w:val="18"/>
        </w:rPr>
        <w:t xml:space="preserve"> </w:t>
      </w:r>
      <w:r w:rsidRPr="00BA1F43">
        <w:rPr>
          <w:rFonts w:ascii="Verdana" w:hAnsi="Verdana"/>
          <w:sz w:val="18"/>
          <w:szCs w:val="18"/>
        </w:rPr>
        <w:t xml:space="preserve">niet binnen </w:t>
      </w:r>
      <w:r w:rsidR="00106E81">
        <w:rPr>
          <w:rFonts w:ascii="Verdana" w:hAnsi="Verdana"/>
          <w:sz w:val="18"/>
          <w:szCs w:val="18"/>
        </w:rPr>
        <w:t>het toepassingsbereik</w:t>
      </w:r>
      <w:r w:rsidRPr="00BA1F43">
        <w:rPr>
          <w:rFonts w:ascii="Verdana" w:hAnsi="Verdana"/>
          <w:sz w:val="18"/>
          <w:szCs w:val="18"/>
        </w:rPr>
        <w:t xml:space="preserve"> van de </w:t>
      </w:r>
      <w:proofErr w:type="spellStart"/>
      <w:r w:rsidRPr="00BA1F43">
        <w:rPr>
          <w:rFonts w:ascii="Verdana" w:hAnsi="Verdana"/>
          <w:sz w:val="18"/>
          <w:szCs w:val="18"/>
        </w:rPr>
        <w:t>Cbw</w:t>
      </w:r>
      <w:proofErr w:type="spellEnd"/>
      <w:r w:rsidRPr="00BA1F43">
        <w:rPr>
          <w:rFonts w:ascii="Verdana" w:hAnsi="Verdana"/>
          <w:sz w:val="18"/>
          <w:szCs w:val="18"/>
        </w:rPr>
        <w:t xml:space="preserve"> zou vallen.</w:t>
      </w:r>
    </w:p>
    <w:p w:rsidRPr="00C47325" w:rsidR="002961E3" w:rsidP="007F7F70" w:rsidRDefault="002961E3" w14:paraId="7AEC8380" w14:textId="77777777">
      <w:pPr>
        <w:pStyle w:val="Geenafstand"/>
        <w:rPr>
          <w:rFonts w:ascii="Verdana" w:hAnsi="Verdana"/>
          <w:sz w:val="18"/>
          <w:szCs w:val="18"/>
        </w:rPr>
      </w:pPr>
    </w:p>
    <w:p w:rsidRPr="00BD3C4A" w:rsidR="00155394" w:rsidP="00155394" w:rsidRDefault="00155394" w14:paraId="7AC16802" w14:textId="28BEE1BB">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w:t>
      </w:r>
      <w:r w:rsidRPr="00BD3C4A">
        <w:rPr>
          <w:rFonts w:ascii="Verdana" w:hAnsi="Verdana"/>
          <w:b/>
          <w:bCs/>
          <w:sz w:val="18"/>
          <w:szCs w:val="18"/>
        </w:rPr>
        <w:t xml:space="preserve"> (overheidsinstanties die </w:t>
      </w:r>
      <w:r w:rsidR="00A7780F">
        <w:rPr>
          <w:rFonts w:ascii="Verdana" w:hAnsi="Verdana"/>
          <w:b/>
          <w:bCs/>
          <w:sz w:val="18"/>
          <w:szCs w:val="18"/>
        </w:rPr>
        <w:t xml:space="preserve">in hoofdzaak </w:t>
      </w:r>
      <w:r w:rsidRPr="00BD3C4A">
        <w:rPr>
          <w:rFonts w:ascii="Verdana" w:hAnsi="Verdana"/>
          <w:b/>
          <w:bCs/>
          <w:sz w:val="18"/>
          <w:szCs w:val="18"/>
        </w:rPr>
        <w:t>activiteiten uitvoeren op het gebied van nationale veiligheid, openbare veiligheid, defensie of rechtshandhaving)</w:t>
      </w:r>
    </w:p>
    <w:p w:rsidRPr="00C47325" w:rsidR="00CE333A" w:rsidP="00CE333A" w:rsidRDefault="00CE333A" w14:paraId="72EE775C" w14:textId="77777777">
      <w:pPr>
        <w:pStyle w:val="Geenafstand"/>
        <w:rPr>
          <w:rFonts w:ascii="Verdana" w:hAnsi="Verdana"/>
          <w:sz w:val="18"/>
          <w:szCs w:val="18"/>
        </w:rPr>
      </w:pPr>
    </w:p>
    <w:p w:rsidRPr="00C47325" w:rsidR="00CE333A" w:rsidP="00CE333A" w:rsidRDefault="00CE333A" w14:paraId="4165F0B2" w14:textId="750027AC">
      <w:pPr>
        <w:autoSpaceDE w:val="0"/>
        <w:autoSpaceDN w:val="0"/>
        <w:adjustRightInd w:val="0"/>
        <w:spacing w:after="0" w:line="240" w:lineRule="auto"/>
        <w:rPr>
          <w:rFonts w:ascii="Verdana" w:hAnsi="Verdana"/>
          <w:sz w:val="18"/>
          <w:szCs w:val="18"/>
        </w:rPr>
      </w:pPr>
      <w:r w:rsidRPr="00C47325">
        <w:rPr>
          <w:rFonts w:ascii="Verdana" w:hAnsi="Verdana"/>
          <w:sz w:val="18"/>
          <w:szCs w:val="18"/>
        </w:rPr>
        <w:t xml:space="preserve">In artikel </w:t>
      </w:r>
      <w:r w:rsidR="008F513D">
        <w:rPr>
          <w:rFonts w:ascii="Verdana" w:hAnsi="Verdana"/>
          <w:sz w:val="18"/>
          <w:szCs w:val="18"/>
        </w:rPr>
        <w:t>5</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is geregeld op welke overheidsinstanties </w:t>
      </w:r>
      <w:r w:rsidR="008F513D">
        <w:rPr>
          <w:rFonts w:ascii="Verdana" w:hAnsi="Verdana"/>
          <w:sz w:val="18"/>
          <w:szCs w:val="18"/>
        </w:rPr>
        <w:t xml:space="preserve">de </w:t>
      </w:r>
      <w:proofErr w:type="spellStart"/>
      <w:r w:rsidR="008F513D">
        <w:rPr>
          <w:rFonts w:ascii="Verdana" w:hAnsi="Verdana"/>
          <w:sz w:val="18"/>
          <w:szCs w:val="18"/>
        </w:rPr>
        <w:t>Cbw</w:t>
      </w:r>
      <w:proofErr w:type="spellEnd"/>
      <w:r w:rsidRPr="00C47325">
        <w:rPr>
          <w:rFonts w:ascii="Verdana" w:hAnsi="Verdana"/>
          <w:sz w:val="18"/>
          <w:szCs w:val="18"/>
        </w:rPr>
        <w:t xml:space="preserve"> niet van toepassing is. </w:t>
      </w:r>
    </w:p>
    <w:p w:rsidRPr="00C47325" w:rsidR="00CE333A" w:rsidP="00CE333A" w:rsidRDefault="00CE333A" w14:paraId="7ECFA245" w14:textId="77777777">
      <w:pPr>
        <w:autoSpaceDE w:val="0"/>
        <w:autoSpaceDN w:val="0"/>
        <w:adjustRightInd w:val="0"/>
        <w:spacing w:after="0" w:line="240" w:lineRule="auto"/>
        <w:rPr>
          <w:rFonts w:ascii="Verdana" w:hAnsi="Verdana"/>
          <w:sz w:val="18"/>
          <w:szCs w:val="18"/>
        </w:rPr>
      </w:pPr>
    </w:p>
    <w:p w:rsidR="00B05DEF" w:rsidP="00CE333A" w:rsidRDefault="00A12B7F" w14:paraId="4C365443" w14:textId="43B3DE3E">
      <w:pPr>
        <w:pStyle w:val="Geenafstand"/>
        <w:rPr>
          <w:rFonts w:ascii="Verdana" w:hAnsi="Verdana"/>
          <w:sz w:val="18"/>
          <w:szCs w:val="18"/>
        </w:rPr>
      </w:pPr>
      <w:r>
        <w:rPr>
          <w:rFonts w:ascii="Verdana" w:hAnsi="Verdana"/>
          <w:sz w:val="18"/>
          <w:szCs w:val="18"/>
        </w:rPr>
        <w:t>Artikel 5,</w:t>
      </w:r>
      <w:r w:rsidRPr="00C47325" w:rsidR="00CE333A">
        <w:rPr>
          <w:rFonts w:ascii="Verdana" w:hAnsi="Verdana"/>
          <w:sz w:val="18"/>
          <w:szCs w:val="18"/>
        </w:rPr>
        <w:t xml:space="preserve"> eerste lid</w:t>
      </w:r>
      <w:r>
        <w:rPr>
          <w:rFonts w:ascii="Verdana" w:hAnsi="Verdana"/>
          <w:sz w:val="18"/>
          <w:szCs w:val="18"/>
        </w:rPr>
        <w:t xml:space="preserve">, </w:t>
      </w:r>
      <w:proofErr w:type="spellStart"/>
      <w:r>
        <w:rPr>
          <w:rFonts w:ascii="Verdana" w:hAnsi="Verdana"/>
          <w:sz w:val="18"/>
          <w:szCs w:val="18"/>
        </w:rPr>
        <w:t>Cbw</w:t>
      </w:r>
      <w:proofErr w:type="spellEnd"/>
      <w:r w:rsidRPr="00C47325" w:rsidR="00CE333A">
        <w:rPr>
          <w:rFonts w:ascii="Verdana" w:hAnsi="Verdana"/>
          <w:sz w:val="18"/>
          <w:szCs w:val="18"/>
        </w:rPr>
        <w:t xml:space="preserve"> betreft de implementatie van artikel 2, zevende lid, NIS2-richtlijn. </w:t>
      </w:r>
      <w:r w:rsidRPr="00C47325" w:rsidR="00CE333A">
        <w:rPr>
          <w:rFonts w:ascii="Verdana" w:hAnsi="Verdana" w:cs="EUAlbertina"/>
          <w:sz w:val="18"/>
          <w:szCs w:val="18"/>
        </w:rPr>
        <w:t xml:space="preserve">Overheidsinstanties die </w:t>
      </w:r>
      <w:r w:rsidR="00FB2F97">
        <w:rPr>
          <w:rFonts w:ascii="Verdana" w:hAnsi="Verdana" w:cs="EUAlbertina"/>
          <w:sz w:val="18"/>
          <w:szCs w:val="18"/>
        </w:rPr>
        <w:t xml:space="preserve">hoofdzakelijk </w:t>
      </w:r>
      <w:r w:rsidRPr="00C47325" w:rsidR="00CE333A">
        <w:rPr>
          <w:rFonts w:ascii="Verdana" w:hAnsi="Verdana" w:cs="EUAlbertina"/>
          <w:sz w:val="18"/>
          <w:szCs w:val="18"/>
        </w:rPr>
        <w:t xml:space="preserve">activiteiten uitvoeren op het gebied van nationale veiligheid, openbare veiligheid, defensie of rechtshandhaving vallen niet onder het toepassingsbereik van de NIS2-richtlijn en worden daarom </w:t>
      </w:r>
      <w:r w:rsidR="00CB14CD">
        <w:rPr>
          <w:rFonts w:ascii="Verdana" w:hAnsi="Verdana" w:cs="EUAlbertina"/>
          <w:sz w:val="18"/>
          <w:szCs w:val="18"/>
        </w:rPr>
        <w:t>in artikel 5, eerste lid,</w:t>
      </w:r>
      <w:r w:rsidR="004D3055">
        <w:rPr>
          <w:rFonts w:ascii="Verdana" w:hAnsi="Verdana" w:cs="EUAlbertina"/>
          <w:sz w:val="18"/>
          <w:szCs w:val="18"/>
        </w:rPr>
        <w:t xml:space="preserve"> </w:t>
      </w:r>
      <w:proofErr w:type="spellStart"/>
      <w:r w:rsidR="007A27E4">
        <w:rPr>
          <w:rFonts w:ascii="Verdana" w:hAnsi="Verdana" w:cs="EUAlbertina"/>
          <w:sz w:val="18"/>
          <w:szCs w:val="18"/>
        </w:rPr>
        <w:t>Cbw</w:t>
      </w:r>
      <w:proofErr w:type="spellEnd"/>
      <w:r w:rsidR="00CB14CD">
        <w:rPr>
          <w:rFonts w:ascii="Verdana" w:hAnsi="Verdana" w:cs="EUAlbertina"/>
          <w:sz w:val="18"/>
          <w:szCs w:val="18"/>
        </w:rPr>
        <w:t xml:space="preserve"> </w:t>
      </w:r>
      <w:r w:rsidRPr="00C47325" w:rsidR="00CE333A">
        <w:rPr>
          <w:rFonts w:ascii="Verdana" w:hAnsi="Verdana" w:cs="EUAlbertina"/>
          <w:sz w:val="18"/>
          <w:szCs w:val="18"/>
        </w:rPr>
        <w:t xml:space="preserve">uitgezonderd van het toepassingsbereik van </w:t>
      </w:r>
      <w:r w:rsidRPr="00C47325" w:rsidR="00604685">
        <w:rPr>
          <w:rFonts w:ascii="Verdana" w:hAnsi="Verdana" w:cs="EUAlbertina"/>
          <w:sz w:val="18"/>
          <w:szCs w:val="18"/>
        </w:rPr>
        <w:t xml:space="preserve">de </w:t>
      </w:r>
      <w:proofErr w:type="spellStart"/>
      <w:r w:rsidRPr="00C47325" w:rsidR="00604685">
        <w:rPr>
          <w:rFonts w:ascii="Verdana" w:hAnsi="Verdana"/>
          <w:sz w:val="18"/>
          <w:szCs w:val="18"/>
        </w:rPr>
        <w:t>Cbw</w:t>
      </w:r>
      <w:proofErr w:type="spellEnd"/>
      <w:r w:rsidRPr="00C47325" w:rsidR="00CE333A">
        <w:rPr>
          <w:rFonts w:ascii="Verdana" w:hAnsi="Verdana" w:cs="EUAlbertina"/>
          <w:sz w:val="18"/>
          <w:szCs w:val="18"/>
        </w:rPr>
        <w:t xml:space="preserve">. </w:t>
      </w:r>
      <w:r>
        <w:rPr>
          <w:rFonts w:ascii="Verdana" w:hAnsi="Verdana"/>
          <w:sz w:val="18"/>
          <w:szCs w:val="18"/>
        </w:rPr>
        <w:t xml:space="preserve">Deze activiteiten vallen namelijk binnen de uitsluitende verantwoordelijkheid van lidstaten. </w:t>
      </w:r>
      <w:r w:rsidR="007A27E4">
        <w:rPr>
          <w:rFonts w:ascii="Verdana" w:hAnsi="Verdana"/>
          <w:sz w:val="18"/>
          <w:szCs w:val="18"/>
        </w:rPr>
        <w:t>In a</w:t>
      </w:r>
      <w:r w:rsidR="00FB2F97">
        <w:rPr>
          <w:rFonts w:ascii="Verdana" w:hAnsi="Verdana"/>
          <w:sz w:val="18"/>
          <w:szCs w:val="18"/>
        </w:rPr>
        <w:t xml:space="preserve">rtikel 5, eerste lid, </w:t>
      </w:r>
      <w:proofErr w:type="spellStart"/>
      <w:r w:rsidR="00FB2F97">
        <w:rPr>
          <w:rFonts w:ascii="Verdana" w:hAnsi="Verdana"/>
          <w:sz w:val="18"/>
          <w:szCs w:val="18"/>
        </w:rPr>
        <w:t>Cbw</w:t>
      </w:r>
      <w:proofErr w:type="spellEnd"/>
      <w:r w:rsidR="00FB2F97">
        <w:rPr>
          <w:rFonts w:ascii="Verdana" w:hAnsi="Verdana"/>
          <w:sz w:val="18"/>
          <w:szCs w:val="18"/>
        </w:rPr>
        <w:t xml:space="preserve"> </w:t>
      </w:r>
      <w:r w:rsidR="007A27E4">
        <w:rPr>
          <w:rFonts w:ascii="Verdana" w:hAnsi="Verdana"/>
          <w:sz w:val="18"/>
          <w:szCs w:val="18"/>
        </w:rPr>
        <w:t>zijn alleen de</w:t>
      </w:r>
      <w:r w:rsidRPr="00C47325" w:rsidR="00FB2F97">
        <w:rPr>
          <w:rFonts w:ascii="Verdana" w:hAnsi="Verdana" w:cs="EUAlbertina"/>
          <w:sz w:val="18"/>
          <w:szCs w:val="18"/>
        </w:rPr>
        <w:t xml:space="preserve"> </w:t>
      </w:r>
      <w:r w:rsidRPr="00C47325" w:rsidR="00CE333A">
        <w:rPr>
          <w:rFonts w:ascii="Verdana" w:hAnsi="Verdana" w:cs="EUAlbertina"/>
          <w:sz w:val="18"/>
          <w:szCs w:val="18"/>
        </w:rPr>
        <w:t xml:space="preserve">overheidsinstanties </w:t>
      </w:r>
      <w:r w:rsidR="007A27E4">
        <w:rPr>
          <w:rFonts w:ascii="Verdana" w:hAnsi="Verdana" w:cs="EUAlbertina"/>
          <w:sz w:val="18"/>
          <w:szCs w:val="18"/>
        </w:rPr>
        <w:t xml:space="preserve">opgenomen </w:t>
      </w:r>
      <w:r w:rsidRPr="00C47325" w:rsidR="00CE333A">
        <w:rPr>
          <w:rFonts w:ascii="Verdana" w:hAnsi="Verdana" w:cs="EUAlbertina"/>
          <w:sz w:val="18"/>
          <w:szCs w:val="18"/>
        </w:rPr>
        <w:t xml:space="preserve">die in hoofdzaak deze activiteiten uitvoeren. </w:t>
      </w:r>
      <w:bookmarkStart w:name="_Hlk180939048" w:id="252"/>
      <w:r w:rsidR="00CB14CD">
        <w:rPr>
          <w:rFonts w:ascii="Verdana" w:hAnsi="Verdana" w:cs="EUAlbertina"/>
          <w:sz w:val="18"/>
          <w:szCs w:val="18"/>
        </w:rPr>
        <w:t>O</w:t>
      </w:r>
      <w:r w:rsidRPr="00FF46E3" w:rsidR="00CB14CD">
        <w:rPr>
          <w:rFonts w:ascii="Verdana" w:hAnsi="Verdana"/>
          <w:sz w:val="18"/>
          <w:szCs w:val="18"/>
        </w:rPr>
        <w:t xml:space="preserve">verheidsinstanties die activiteiten verrichten die daar slechts zijdelings verband mee houden </w:t>
      </w:r>
      <w:r w:rsidR="00CB14CD">
        <w:rPr>
          <w:rFonts w:ascii="Verdana" w:hAnsi="Verdana"/>
          <w:sz w:val="18"/>
          <w:szCs w:val="18"/>
        </w:rPr>
        <w:t xml:space="preserve">vallen </w:t>
      </w:r>
      <w:r w:rsidRPr="00FF46E3" w:rsidR="00CB14CD">
        <w:rPr>
          <w:rFonts w:ascii="Verdana" w:hAnsi="Verdana"/>
          <w:sz w:val="18"/>
          <w:szCs w:val="18"/>
        </w:rPr>
        <w:t xml:space="preserve">wél onder het bereik </w:t>
      </w:r>
      <w:r w:rsidR="00CB14CD">
        <w:rPr>
          <w:rFonts w:ascii="Verdana" w:hAnsi="Verdana"/>
          <w:sz w:val="18"/>
          <w:szCs w:val="18"/>
        </w:rPr>
        <w:t xml:space="preserve">van </w:t>
      </w:r>
      <w:r w:rsidRPr="00FF46E3" w:rsidR="00CB14CD">
        <w:rPr>
          <w:rFonts w:ascii="Verdana" w:hAnsi="Verdana"/>
          <w:sz w:val="18"/>
          <w:szCs w:val="18"/>
        </w:rPr>
        <w:t xml:space="preserve">de </w:t>
      </w:r>
      <w:proofErr w:type="spellStart"/>
      <w:r w:rsidRPr="00FF46E3" w:rsidR="00CB14CD">
        <w:rPr>
          <w:rFonts w:ascii="Verdana" w:hAnsi="Verdana"/>
          <w:sz w:val="18"/>
          <w:szCs w:val="18"/>
        </w:rPr>
        <w:t>Cbw</w:t>
      </w:r>
      <w:proofErr w:type="spellEnd"/>
      <w:r w:rsidRPr="00FF46E3" w:rsidR="00CB14CD">
        <w:rPr>
          <w:rFonts w:ascii="Verdana" w:hAnsi="Verdana"/>
          <w:sz w:val="18"/>
          <w:szCs w:val="18"/>
        </w:rPr>
        <w:t>.</w:t>
      </w:r>
      <w:bookmarkEnd w:id="252"/>
      <w:r w:rsidR="00CB14CD">
        <w:rPr>
          <w:rFonts w:ascii="Verdana" w:hAnsi="Verdana"/>
          <w:sz w:val="18"/>
          <w:szCs w:val="18"/>
        </w:rPr>
        <w:t xml:space="preserve"> </w:t>
      </w:r>
      <w:r w:rsidRPr="00C47325" w:rsidR="00CE333A">
        <w:rPr>
          <w:rFonts w:ascii="Verdana" w:hAnsi="Verdana" w:cs="EUAlbertina"/>
          <w:sz w:val="18"/>
          <w:szCs w:val="18"/>
        </w:rPr>
        <w:t xml:space="preserve">In overweging 8 </w:t>
      </w:r>
      <w:r w:rsidR="00DF67C4">
        <w:rPr>
          <w:rFonts w:ascii="Verdana" w:hAnsi="Verdana" w:cs="EUAlbertina"/>
          <w:sz w:val="18"/>
          <w:szCs w:val="18"/>
        </w:rPr>
        <w:t xml:space="preserve">van de </w:t>
      </w:r>
      <w:r w:rsidRPr="00C47325" w:rsidR="00CE333A">
        <w:rPr>
          <w:rFonts w:ascii="Verdana" w:hAnsi="Verdana" w:cs="EUAlbertina"/>
          <w:sz w:val="18"/>
          <w:szCs w:val="18"/>
        </w:rPr>
        <w:t xml:space="preserve">NIS2-richtlijn is namelijk verduidelijkt dat overheidsinstanties, waarvan de activiteiten slechts zijdelings verband houden met deze gebieden, niet zouden moeten worden uitgesloten van het toepassingsgebied van de richtlijn. </w:t>
      </w:r>
    </w:p>
    <w:p w:rsidR="00B05DEF" w:rsidP="00CE333A" w:rsidRDefault="00B05DEF" w14:paraId="41E2589E" w14:textId="77777777">
      <w:pPr>
        <w:pStyle w:val="Geenafstand"/>
        <w:rPr>
          <w:rFonts w:ascii="Verdana" w:hAnsi="Verdana"/>
          <w:sz w:val="18"/>
          <w:szCs w:val="18"/>
        </w:rPr>
      </w:pPr>
    </w:p>
    <w:p w:rsidR="00CE333A" w:rsidP="00CE333A" w:rsidRDefault="00CE333A" w14:paraId="6555EF41" w14:textId="19FC64E0">
      <w:pPr>
        <w:pStyle w:val="Geenafstand"/>
        <w:rPr>
          <w:rFonts w:ascii="Verdana" w:hAnsi="Verdana"/>
          <w:sz w:val="18"/>
          <w:szCs w:val="18"/>
        </w:rPr>
      </w:pPr>
      <w:r w:rsidRPr="00C47325">
        <w:rPr>
          <w:rFonts w:ascii="Verdana" w:hAnsi="Verdana"/>
          <w:sz w:val="18"/>
          <w:szCs w:val="18"/>
        </w:rPr>
        <w:t xml:space="preserve">Het tweede lid betreft de implementatie van artikel 2, zevende jo. </w:t>
      </w:r>
      <w:r w:rsidRPr="00C47325" w:rsidR="0084004B">
        <w:rPr>
          <w:rFonts w:ascii="Verdana" w:hAnsi="Verdana"/>
          <w:sz w:val="18"/>
          <w:szCs w:val="18"/>
        </w:rPr>
        <w:t>n</w:t>
      </w:r>
      <w:r w:rsidRPr="00C47325">
        <w:rPr>
          <w:rFonts w:ascii="Verdana" w:hAnsi="Verdana"/>
          <w:sz w:val="18"/>
          <w:szCs w:val="18"/>
        </w:rPr>
        <w:t xml:space="preserve">egende lid, jo. </w:t>
      </w:r>
      <w:r w:rsidRPr="00C47325" w:rsidR="0084004B">
        <w:rPr>
          <w:rFonts w:ascii="Verdana" w:hAnsi="Verdana"/>
          <w:sz w:val="18"/>
          <w:szCs w:val="18"/>
        </w:rPr>
        <w:t>a</w:t>
      </w:r>
      <w:r w:rsidRPr="00C47325">
        <w:rPr>
          <w:rFonts w:ascii="Verdana" w:hAnsi="Verdana"/>
          <w:sz w:val="18"/>
          <w:szCs w:val="18"/>
        </w:rPr>
        <w:t xml:space="preserve">rtikel 6, onderdeel 35, jo. </w:t>
      </w:r>
      <w:r w:rsidRPr="00C47325" w:rsidR="0084004B">
        <w:rPr>
          <w:rFonts w:ascii="Verdana" w:hAnsi="Verdana"/>
          <w:sz w:val="18"/>
          <w:szCs w:val="18"/>
        </w:rPr>
        <w:t>o</w:t>
      </w:r>
      <w:r w:rsidRPr="00C47325">
        <w:rPr>
          <w:rFonts w:ascii="Verdana" w:hAnsi="Verdana"/>
          <w:sz w:val="18"/>
          <w:szCs w:val="18"/>
        </w:rPr>
        <w:t>verweging 11</w:t>
      </w:r>
      <w:r w:rsidR="00DF67C4">
        <w:rPr>
          <w:rFonts w:ascii="Verdana" w:hAnsi="Verdana"/>
          <w:sz w:val="18"/>
          <w:szCs w:val="18"/>
        </w:rPr>
        <w:t xml:space="preserve"> van de</w:t>
      </w:r>
      <w:r w:rsidRPr="00C47325">
        <w:rPr>
          <w:rFonts w:ascii="Verdana" w:hAnsi="Verdana"/>
          <w:sz w:val="18"/>
          <w:szCs w:val="18"/>
        </w:rPr>
        <w:t xml:space="preserve"> NIS2-richtlijn. </w:t>
      </w:r>
    </w:p>
    <w:p w:rsidR="00FB2F97" w:rsidP="00CE333A" w:rsidRDefault="00FB2F97" w14:paraId="5FD47F70" w14:textId="528CF409">
      <w:pPr>
        <w:pStyle w:val="Geenafstand"/>
        <w:rPr>
          <w:rFonts w:ascii="Verdana" w:hAnsi="Verdana"/>
          <w:sz w:val="18"/>
          <w:szCs w:val="18"/>
        </w:rPr>
      </w:pPr>
    </w:p>
    <w:p w:rsidR="00FB2F97" w:rsidP="00CE333A" w:rsidRDefault="00FB2F97" w14:paraId="6D7C9AA3" w14:textId="30ECE7A5">
      <w:pPr>
        <w:pStyle w:val="Geenafstand"/>
        <w:rPr>
          <w:rFonts w:ascii="Verdana" w:hAnsi="Verdana"/>
          <w:sz w:val="18"/>
          <w:szCs w:val="18"/>
        </w:rPr>
      </w:pPr>
      <w:r>
        <w:rPr>
          <w:rFonts w:ascii="Verdana" w:hAnsi="Verdana" w:cs="EUAlbertina"/>
          <w:sz w:val="18"/>
          <w:szCs w:val="18"/>
        </w:rPr>
        <w:t xml:space="preserve">Artikel 5 </w:t>
      </w:r>
      <w:proofErr w:type="spellStart"/>
      <w:r>
        <w:rPr>
          <w:rFonts w:ascii="Verdana" w:hAnsi="Verdana" w:cs="EUAlbertina"/>
          <w:sz w:val="18"/>
          <w:szCs w:val="18"/>
        </w:rPr>
        <w:t>Cbw</w:t>
      </w:r>
      <w:proofErr w:type="spellEnd"/>
      <w:r>
        <w:rPr>
          <w:rFonts w:ascii="Verdana" w:hAnsi="Verdana" w:cs="EUAlbertina"/>
          <w:sz w:val="18"/>
          <w:szCs w:val="18"/>
        </w:rPr>
        <w:t xml:space="preserve"> sluit aan</w:t>
      </w:r>
      <w:r w:rsidRPr="00E15C13">
        <w:rPr>
          <w:rFonts w:ascii="Verdana" w:hAnsi="Verdana" w:cs="EUAlbertina"/>
          <w:sz w:val="18"/>
          <w:szCs w:val="18"/>
        </w:rPr>
        <w:t xml:space="preserve"> </w:t>
      </w:r>
      <w:r>
        <w:rPr>
          <w:rFonts w:ascii="Verdana" w:hAnsi="Verdana" w:cs="EUAlbertina"/>
          <w:sz w:val="18"/>
          <w:szCs w:val="18"/>
        </w:rPr>
        <w:t>op</w:t>
      </w:r>
      <w:r w:rsidRPr="00E15C13">
        <w:rPr>
          <w:rFonts w:ascii="Verdana" w:hAnsi="Verdana" w:cs="EUAlbertina"/>
          <w:sz w:val="18"/>
          <w:szCs w:val="18"/>
        </w:rPr>
        <w:t xml:space="preserve"> artikel </w:t>
      </w:r>
      <w:r>
        <w:rPr>
          <w:rFonts w:ascii="Verdana" w:hAnsi="Verdana" w:cs="EUAlbertina"/>
          <w:sz w:val="18"/>
          <w:szCs w:val="18"/>
        </w:rPr>
        <w:t>5</w:t>
      </w:r>
      <w:r w:rsidRPr="00E15C13">
        <w:rPr>
          <w:rFonts w:ascii="Verdana" w:hAnsi="Verdana" w:cs="EUAlbertina"/>
          <w:sz w:val="18"/>
          <w:szCs w:val="18"/>
        </w:rPr>
        <w:t xml:space="preserve"> </w:t>
      </w:r>
      <w:proofErr w:type="spellStart"/>
      <w:r>
        <w:rPr>
          <w:rFonts w:ascii="Verdana" w:hAnsi="Verdana" w:cs="EUAlbertina"/>
          <w:sz w:val="18"/>
          <w:szCs w:val="18"/>
        </w:rPr>
        <w:t>Wwke</w:t>
      </w:r>
      <w:proofErr w:type="spellEnd"/>
      <w:r w:rsidRPr="00E15C13">
        <w:rPr>
          <w:rFonts w:ascii="Verdana" w:hAnsi="Verdana" w:cs="EUAlbertina"/>
          <w:sz w:val="18"/>
          <w:szCs w:val="18"/>
        </w:rPr>
        <w:t xml:space="preserve">, waarin een soortgelijke bepaling uit de </w:t>
      </w:r>
      <w:r>
        <w:rPr>
          <w:rFonts w:ascii="Verdana" w:hAnsi="Verdana" w:cs="EUAlbertina"/>
          <w:sz w:val="18"/>
          <w:szCs w:val="18"/>
        </w:rPr>
        <w:t>CER</w:t>
      </w:r>
      <w:r w:rsidRPr="00E15C13">
        <w:rPr>
          <w:rFonts w:ascii="Verdana" w:hAnsi="Verdana" w:cs="EUAlbertina"/>
          <w:sz w:val="18"/>
          <w:szCs w:val="18"/>
        </w:rPr>
        <w:t xml:space="preserve">-richtlijn (artikel </w:t>
      </w:r>
      <w:r>
        <w:rPr>
          <w:rFonts w:ascii="Verdana" w:hAnsi="Verdana" w:cs="EUAlbertina"/>
          <w:sz w:val="18"/>
          <w:szCs w:val="18"/>
        </w:rPr>
        <w:t>1, zesde lid, CER</w:t>
      </w:r>
      <w:r w:rsidRPr="00E15C13">
        <w:rPr>
          <w:rFonts w:ascii="Verdana" w:hAnsi="Verdana" w:cs="EUAlbertina"/>
          <w:sz w:val="18"/>
          <w:szCs w:val="18"/>
        </w:rPr>
        <w:t xml:space="preserve">-richtlijn) is geïmplementeerd. </w:t>
      </w:r>
    </w:p>
    <w:p w:rsidR="00A53E92" w:rsidP="00CE333A" w:rsidRDefault="00A53E92" w14:paraId="1A60392F" w14:textId="77777777">
      <w:pPr>
        <w:pStyle w:val="Geenafstand"/>
        <w:rPr>
          <w:rFonts w:ascii="Verdana" w:hAnsi="Verdana"/>
          <w:sz w:val="18"/>
          <w:szCs w:val="18"/>
        </w:rPr>
      </w:pPr>
    </w:p>
    <w:p w:rsidRPr="0094670C" w:rsidR="00155394" w:rsidP="00155394" w:rsidRDefault="00155394" w14:paraId="3720ADBF" w14:textId="77777777">
      <w:pPr>
        <w:pStyle w:val="Geenafstand"/>
        <w:rPr>
          <w:rFonts w:ascii="Verdana" w:hAnsi="Verdana"/>
          <w:b/>
          <w:bCs/>
          <w:sz w:val="18"/>
          <w:szCs w:val="18"/>
        </w:rPr>
      </w:pPr>
      <w:r w:rsidRPr="0094670C">
        <w:rPr>
          <w:rFonts w:ascii="Verdana" w:hAnsi="Verdana"/>
          <w:b/>
          <w:bCs/>
          <w:sz w:val="18"/>
          <w:szCs w:val="18"/>
        </w:rPr>
        <w:t>Artikel</w:t>
      </w:r>
      <w:r>
        <w:rPr>
          <w:rFonts w:ascii="Verdana" w:hAnsi="Verdana"/>
          <w:b/>
          <w:bCs/>
          <w:sz w:val="18"/>
          <w:szCs w:val="18"/>
        </w:rPr>
        <w:t xml:space="preserve"> 6 (</w:t>
      </w:r>
      <w:r w:rsidRPr="007D41B2">
        <w:rPr>
          <w:rFonts w:ascii="Verdana" w:hAnsi="Verdana"/>
          <w:b/>
          <w:bCs/>
          <w:sz w:val="18"/>
          <w:szCs w:val="18"/>
        </w:rPr>
        <w:t>root-naamservers</w:t>
      </w:r>
      <w:r>
        <w:rPr>
          <w:rFonts w:ascii="Verdana" w:hAnsi="Verdana"/>
          <w:b/>
          <w:bCs/>
          <w:sz w:val="18"/>
          <w:szCs w:val="18"/>
        </w:rPr>
        <w:t>)</w:t>
      </w:r>
    </w:p>
    <w:p w:rsidRPr="00405862" w:rsidR="00D513F7" w:rsidP="00803B6D" w:rsidRDefault="00D513F7" w14:paraId="65A1D052" w14:textId="77777777">
      <w:pPr>
        <w:pStyle w:val="Geenafstand"/>
        <w:rPr>
          <w:rFonts w:ascii="Verdana" w:hAnsi="Verdana"/>
          <w:b/>
          <w:bCs/>
          <w:sz w:val="18"/>
          <w:szCs w:val="18"/>
        </w:rPr>
      </w:pPr>
    </w:p>
    <w:p w:rsidRPr="000E32D7" w:rsidR="00D513F7" w:rsidP="00D513F7" w:rsidRDefault="00D513F7" w14:paraId="53029B17" w14:textId="3FE3C825">
      <w:pPr>
        <w:pStyle w:val="Geenafstand"/>
        <w:rPr>
          <w:rFonts w:ascii="Verdana" w:hAnsi="Verdana"/>
          <w:sz w:val="18"/>
          <w:szCs w:val="18"/>
        </w:rPr>
      </w:pPr>
      <w:r w:rsidRPr="000E32D7">
        <w:rPr>
          <w:rFonts w:ascii="Verdana" w:hAnsi="Verdana"/>
          <w:sz w:val="18"/>
          <w:szCs w:val="18"/>
        </w:rPr>
        <w:t xml:space="preserve">Root-naamservers distribueren de root-zonefile, het wereldwijde register van de toegewezen topleveldomeinnamen. Dit register wordt gezien als onderdeel van de publieke kern van het internet. Het beheer van de DNS-root wordt onder toepassing van het </w:t>
      </w:r>
      <w:proofErr w:type="spellStart"/>
      <w:r w:rsidRPr="000E32D7">
        <w:rPr>
          <w:rFonts w:ascii="Verdana" w:hAnsi="Verdana"/>
          <w:sz w:val="18"/>
          <w:szCs w:val="18"/>
        </w:rPr>
        <w:t>multistakeholdermodel</w:t>
      </w:r>
      <w:proofErr w:type="spellEnd"/>
      <w:r w:rsidRPr="000E32D7">
        <w:rPr>
          <w:rFonts w:ascii="Verdana" w:hAnsi="Verdana"/>
          <w:sz w:val="18"/>
          <w:szCs w:val="18"/>
        </w:rPr>
        <w:t xml:space="preserve"> voor </w:t>
      </w:r>
      <w:proofErr w:type="spellStart"/>
      <w:r w:rsidRPr="000E32D7">
        <w:rPr>
          <w:rFonts w:ascii="Verdana" w:hAnsi="Verdana"/>
          <w:sz w:val="18"/>
          <w:szCs w:val="18"/>
        </w:rPr>
        <w:t>internetgovernance</w:t>
      </w:r>
      <w:proofErr w:type="spellEnd"/>
      <w:r w:rsidRPr="000E32D7">
        <w:rPr>
          <w:rFonts w:ascii="Verdana" w:hAnsi="Verdana"/>
          <w:sz w:val="18"/>
          <w:szCs w:val="18"/>
        </w:rPr>
        <w:t xml:space="preserve"> uitgevoerd door de Internet Cooperation </w:t>
      </w:r>
      <w:proofErr w:type="spellStart"/>
      <w:r w:rsidRPr="000E32D7">
        <w:rPr>
          <w:rFonts w:ascii="Verdana" w:hAnsi="Verdana"/>
          <w:sz w:val="18"/>
          <w:szCs w:val="18"/>
        </w:rPr>
        <w:t>for</w:t>
      </w:r>
      <w:proofErr w:type="spellEnd"/>
      <w:r w:rsidRPr="000E32D7">
        <w:rPr>
          <w:rFonts w:ascii="Verdana" w:hAnsi="Verdana"/>
          <w:sz w:val="18"/>
          <w:szCs w:val="18"/>
        </w:rPr>
        <w:t xml:space="preserve"> </w:t>
      </w:r>
      <w:proofErr w:type="spellStart"/>
      <w:r w:rsidRPr="000E32D7">
        <w:rPr>
          <w:rFonts w:ascii="Verdana" w:hAnsi="Verdana"/>
          <w:sz w:val="18"/>
          <w:szCs w:val="18"/>
        </w:rPr>
        <w:t>Assigned</w:t>
      </w:r>
      <w:proofErr w:type="spellEnd"/>
      <w:r w:rsidRPr="000E32D7">
        <w:rPr>
          <w:rFonts w:ascii="Verdana" w:hAnsi="Verdana"/>
          <w:sz w:val="18"/>
          <w:szCs w:val="18"/>
        </w:rPr>
        <w:t xml:space="preserve"> </w:t>
      </w:r>
      <w:proofErr w:type="spellStart"/>
      <w:r w:rsidRPr="000E32D7">
        <w:rPr>
          <w:rFonts w:ascii="Verdana" w:hAnsi="Verdana"/>
          <w:sz w:val="18"/>
          <w:szCs w:val="18"/>
        </w:rPr>
        <w:t>Named</w:t>
      </w:r>
      <w:proofErr w:type="spellEnd"/>
      <w:r w:rsidRPr="000E32D7">
        <w:rPr>
          <w:rFonts w:ascii="Verdana" w:hAnsi="Verdana"/>
          <w:sz w:val="18"/>
          <w:szCs w:val="18"/>
        </w:rPr>
        <w:t xml:space="preserve"> </w:t>
      </w:r>
      <w:proofErr w:type="spellStart"/>
      <w:r w:rsidRPr="000E32D7">
        <w:rPr>
          <w:rFonts w:ascii="Verdana" w:hAnsi="Verdana"/>
          <w:sz w:val="18"/>
          <w:szCs w:val="18"/>
        </w:rPr>
        <w:t>and</w:t>
      </w:r>
      <w:proofErr w:type="spellEnd"/>
      <w:r w:rsidRPr="000E32D7">
        <w:rPr>
          <w:rFonts w:ascii="Verdana" w:hAnsi="Verdana"/>
          <w:sz w:val="18"/>
          <w:szCs w:val="18"/>
        </w:rPr>
        <w:t xml:space="preserve"> </w:t>
      </w:r>
      <w:proofErr w:type="spellStart"/>
      <w:r w:rsidRPr="000E32D7">
        <w:rPr>
          <w:rFonts w:ascii="Verdana" w:hAnsi="Verdana"/>
          <w:sz w:val="18"/>
          <w:szCs w:val="18"/>
        </w:rPr>
        <w:t>Numbers</w:t>
      </w:r>
      <w:proofErr w:type="spellEnd"/>
      <w:r w:rsidRPr="000E32D7">
        <w:rPr>
          <w:rFonts w:ascii="Verdana" w:hAnsi="Verdana"/>
          <w:sz w:val="18"/>
          <w:szCs w:val="18"/>
        </w:rPr>
        <w:t xml:space="preserve"> (ICANN). Het DNS van</w:t>
      </w:r>
      <w:r w:rsidR="00E72936">
        <w:rPr>
          <w:rFonts w:ascii="Verdana" w:hAnsi="Verdana"/>
          <w:sz w:val="18"/>
          <w:szCs w:val="18"/>
        </w:rPr>
        <w:t xml:space="preserve"> het</w:t>
      </w:r>
      <w:r w:rsidRPr="000E32D7">
        <w:rPr>
          <w:rFonts w:ascii="Verdana" w:hAnsi="Verdana"/>
          <w:sz w:val="18"/>
          <w:szCs w:val="18"/>
        </w:rPr>
        <w:t xml:space="preserve"> internet maakt momenteel gebruik van dertien root-naamservers om het DNS te laten functioneren</w:t>
      </w:r>
      <w:r w:rsidR="006F5EF3">
        <w:rPr>
          <w:rFonts w:ascii="Verdana" w:hAnsi="Verdana"/>
          <w:sz w:val="18"/>
          <w:szCs w:val="18"/>
        </w:rPr>
        <w:t>. D</w:t>
      </w:r>
      <w:r w:rsidRPr="000E32D7">
        <w:rPr>
          <w:rFonts w:ascii="Verdana" w:hAnsi="Verdana"/>
          <w:sz w:val="18"/>
          <w:szCs w:val="18"/>
        </w:rPr>
        <w:t>eze zijn internationaal gekoppeld. Elke root-naamserver bestaat uit tientallen tot honderden wereldwijd verspreide zelfstandige servers, die elkaar in geval van verstoringen kunnen vervangen.</w:t>
      </w:r>
    </w:p>
    <w:p w:rsidR="00985BAC" w:rsidP="000E32D7" w:rsidRDefault="00985BAC" w14:paraId="0C68490A" w14:textId="77777777">
      <w:pPr>
        <w:pStyle w:val="Geenafstand"/>
        <w:rPr>
          <w:rFonts w:ascii="Verdana" w:hAnsi="Verdana"/>
          <w:sz w:val="18"/>
          <w:szCs w:val="18"/>
        </w:rPr>
      </w:pPr>
    </w:p>
    <w:p w:rsidR="00615965" w:rsidP="000E32D7" w:rsidRDefault="00D513F7" w14:paraId="735ADEF6" w14:textId="3C08A3BE">
      <w:pPr>
        <w:pStyle w:val="Geenafstand"/>
        <w:rPr>
          <w:rFonts w:ascii="Verdana" w:hAnsi="Verdana"/>
          <w:sz w:val="18"/>
          <w:szCs w:val="18"/>
        </w:rPr>
      </w:pPr>
      <w:r w:rsidRPr="000E32D7">
        <w:rPr>
          <w:rFonts w:ascii="Verdana" w:hAnsi="Verdana"/>
          <w:sz w:val="18"/>
          <w:szCs w:val="18"/>
        </w:rPr>
        <w:t xml:space="preserve">De intentie van de Europese wetgever is dat root-naamservers </w:t>
      </w:r>
      <w:r>
        <w:rPr>
          <w:rFonts w:ascii="Verdana" w:hAnsi="Verdana"/>
          <w:sz w:val="18"/>
          <w:szCs w:val="18"/>
        </w:rPr>
        <w:t>zijn</w:t>
      </w:r>
      <w:r w:rsidRPr="000E32D7">
        <w:rPr>
          <w:rFonts w:ascii="Verdana" w:hAnsi="Verdana"/>
          <w:sz w:val="18"/>
          <w:szCs w:val="18"/>
        </w:rPr>
        <w:t xml:space="preserve"> uitgezonderd </w:t>
      </w:r>
      <w:r>
        <w:rPr>
          <w:rFonts w:ascii="Verdana" w:hAnsi="Verdana"/>
          <w:sz w:val="18"/>
          <w:szCs w:val="18"/>
        </w:rPr>
        <w:t>van het toepassingsbereik van de NIS2-richtlijn</w:t>
      </w:r>
      <w:r w:rsidRPr="000E32D7">
        <w:rPr>
          <w:rFonts w:ascii="Verdana" w:hAnsi="Verdana"/>
          <w:sz w:val="18"/>
          <w:szCs w:val="18"/>
        </w:rPr>
        <w:t>.</w:t>
      </w:r>
      <w:r>
        <w:rPr>
          <w:rFonts w:ascii="Verdana" w:hAnsi="Verdana"/>
          <w:sz w:val="18"/>
          <w:szCs w:val="18"/>
        </w:rPr>
        <w:t xml:space="preserve"> Dit volgt uit de in </w:t>
      </w:r>
      <w:r w:rsidRPr="000E32D7">
        <w:rPr>
          <w:rFonts w:ascii="Verdana" w:hAnsi="Verdana"/>
          <w:sz w:val="18"/>
          <w:szCs w:val="18"/>
        </w:rPr>
        <w:t xml:space="preserve">artikel 6, </w:t>
      </w:r>
      <w:r>
        <w:rPr>
          <w:rFonts w:ascii="Verdana" w:hAnsi="Verdana"/>
          <w:sz w:val="18"/>
          <w:szCs w:val="18"/>
        </w:rPr>
        <w:t xml:space="preserve">onderdeel </w:t>
      </w:r>
      <w:r w:rsidRPr="000E32D7">
        <w:rPr>
          <w:rFonts w:ascii="Verdana" w:hAnsi="Verdana"/>
          <w:sz w:val="18"/>
          <w:szCs w:val="18"/>
        </w:rPr>
        <w:t>20</w:t>
      </w:r>
      <w:r>
        <w:rPr>
          <w:rFonts w:ascii="Verdana" w:hAnsi="Verdana"/>
          <w:sz w:val="18"/>
          <w:szCs w:val="18"/>
        </w:rPr>
        <w:t xml:space="preserve">, NIS2-richtlijn opgenomen definitie van </w:t>
      </w:r>
      <w:r w:rsidRPr="000E32D7">
        <w:rPr>
          <w:rFonts w:ascii="Verdana" w:hAnsi="Verdana"/>
          <w:sz w:val="18"/>
          <w:szCs w:val="18"/>
        </w:rPr>
        <w:t xml:space="preserve">DNS-dienstverlener, </w:t>
      </w:r>
      <w:r>
        <w:rPr>
          <w:rFonts w:ascii="Verdana" w:hAnsi="Verdana"/>
          <w:sz w:val="18"/>
          <w:szCs w:val="18"/>
        </w:rPr>
        <w:t xml:space="preserve">uit </w:t>
      </w:r>
      <w:r w:rsidRPr="000E32D7">
        <w:rPr>
          <w:rFonts w:ascii="Verdana" w:hAnsi="Verdana"/>
          <w:sz w:val="18"/>
          <w:szCs w:val="18"/>
        </w:rPr>
        <w:t>bijlage I</w:t>
      </w:r>
      <w:r>
        <w:rPr>
          <w:rFonts w:ascii="Verdana" w:hAnsi="Verdana"/>
          <w:sz w:val="18"/>
          <w:szCs w:val="18"/>
        </w:rPr>
        <w:t xml:space="preserve"> van de NIS2-richtlijn</w:t>
      </w:r>
      <w:r w:rsidRPr="000E32D7">
        <w:rPr>
          <w:rFonts w:ascii="Verdana" w:hAnsi="Verdana"/>
          <w:sz w:val="18"/>
          <w:szCs w:val="18"/>
        </w:rPr>
        <w:t xml:space="preserve">, onder </w:t>
      </w:r>
      <w:r>
        <w:rPr>
          <w:rFonts w:ascii="Verdana" w:hAnsi="Verdana"/>
          <w:sz w:val="18"/>
          <w:szCs w:val="18"/>
        </w:rPr>
        <w:t xml:space="preserve">de </w:t>
      </w:r>
      <w:r w:rsidRPr="000E32D7">
        <w:rPr>
          <w:rFonts w:ascii="Verdana" w:hAnsi="Verdana"/>
          <w:sz w:val="18"/>
          <w:szCs w:val="18"/>
        </w:rPr>
        <w:t xml:space="preserve">sector digitale infrastructuur en </w:t>
      </w:r>
      <w:r>
        <w:rPr>
          <w:rFonts w:ascii="Verdana" w:hAnsi="Verdana"/>
          <w:sz w:val="18"/>
          <w:szCs w:val="18"/>
        </w:rPr>
        <w:t xml:space="preserve">uit </w:t>
      </w:r>
      <w:r w:rsidRPr="000E32D7">
        <w:rPr>
          <w:rFonts w:ascii="Verdana" w:hAnsi="Verdana"/>
          <w:sz w:val="18"/>
          <w:szCs w:val="18"/>
        </w:rPr>
        <w:t>overweging 32 van de NIS2-richtlijn.</w:t>
      </w:r>
      <w:r>
        <w:rPr>
          <w:rFonts w:ascii="Verdana" w:hAnsi="Verdana"/>
          <w:sz w:val="18"/>
          <w:szCs w:val="18"/>
        </w:rPr>
        <w:t xml:space="preserve"> Zonder aanvullende regeling in de </w:t>
      </w:r>
      <w:proofErr w:type="spellStart"/>
      <w:r>
        <w:rPr>
          <w:rFonts w:ascii="Verdana" w:hAnsi="Verdana"/>
          <w:sz w:val="18"/>
          <w:szCs w:val="18"/>
        </w:rPr>
        <w:t>Cbw</w:t>
      </w:r>
      <w:proofErr w:type="spellEnd"/>
      <w:r>
        <w:rPr>
          <w:rFonts w:ascii="Verdana" w:hAnsi="Verdana"/>
          <w:sz w:val="18"/>
          <w:szCs w:val="18"/>
        </w:rPr>
        <w:t xml:space="preserve"> bestaat echter het risico dat</w:t>
      </w:r>
      <w:r w:rsidRPr="000E32D7">
        <w:rPr>
          <w:rFonts w:ascii="Verdana" w:hAnsi="Verdana"/>
          <w:sz w:val="18"/>
          <w:szCs w:val="18"/>
        </w:rPr>
        <w:t xml:space="preserve"> root-naamservers alsnog onder het </w:t>
      </w:r>
      <w:r>
        <w:rPr>
          <w:rFonts w:ascii="Verdana" w:hAnsi="Verdana"/>
          <w:sz w:val="18"/>
          <w:szCs w:val="18"/>
        </w:rPr>
        <w:t>toepassings</w:t>
      </w:r>
      <w:r w:rsidRPr="000E32D7">
        <w:rPr>
          <w:rFonts w:ascii="Verdana" w:hAnsi="Verdana"/>
          <w:sz w:val="18"/>
          <w:szCs w:val="18"/>
        </w:rPr>
        <w:t xml:space="preserve">bereik van de </w:t>
      </w:r>
      <w:proofErr w:type="spellStart"/>
      <w:r w:rsidRPr="000E32D7">
        <w:rPr>
          <w:rFonts w:ascii="Verdana" w:hAnsi="Verdana"/>
          <w:sz w:val="18"/>
          <w:szCs w:val="18"/>
        </w:rPr>
        <w:t>Cbw</w:t>
      </w:r>
      <w:proofErr w:type="spellEnd"/>
      <w:r w:rsidRPr="000E32D7">
        <w:rPr>
          <w:rFonts w:ascii="Verdana" w:hAnsi="Verdana"/>
          <w:sz w:val="18"/>
          <w:szCs w:val="18"/>
        </w:rPr>
        <w:t xml:space="preserve"> komen te vallen</w:t>
      </w:r>
      <w:r>
        <w:rPr>
          <w:rFonts w:ascii="Verdana" w:hAnsi="Verdana"/>
          <w:sz w:val="18"/>
          <w:szCs w:val="18"/>
        </w:rPr>
        <w:t xml:space="preserve">, </w:t>
      </w:r>
      <w:r w:rsidRPr="000E32D7">
        <w:rPr>
          <w:rFonts w:ascii="Verdana" w:hAnsi="Verdana"/>
          <w:sz w:val="18"/>
          <w:szCs w:val="18"/>
        </w:rPr>
        <w:t xml:space="preserve">bijvoorbeeld </w:t>
      </w:r>
      <w:r>
        <w:rPr>
          <w:rFonts w:ascii="Verdana" w:hAnsi="Verdana"/>
          <w:sz w:val="18"/>
          <w:szCs w:val="18"/>
        </w:rPr>
        <w:t xml:space="preserve">als </w:t>
      </w:r>
      <w:r w:rsidRPr="000E32D7">
        <w:rPr>
          <w:rFonts w:ascii="Verdana" w:hAnsi="Verdana"/>
          <w:sz w:val="18"/>
          <w:szCs w:val="18"/>
        </w:rPr>
        <w:t xml:space="preserve">RIPE NCC </w:t>
      </w:r>
      <w:r>
        <w:rPr>
          <w:rFonts w:ascii="Verdana" w:hAnsi="Verdana"/>
          <w:sz w:val="18"/>
          <w:szCs w:val="18"/>
        </w:rPr>
        <w:t>(</w:t>
      </w:r>
      <w:r w:rsidRPr="000E32D7">
        <w:rPr>
          <w:rFonts w:ascii="Verdana" w:hAnsi="Verdana"/>
          <w:sz w:val="18"/>
          <w:szCs w:val="18"/>
        </w:rPr>
        <w:t>onderhouder van één van de dertien DNS root-naamservers van het internet</w:t>
      </w:r>
      <w:r>
        <w:rPr>
          <w:rFonts w:ascii="Verdana" w:hAnsi="Verdana"/>
          <w:sz w:val="18"/>
          <w:szCs w:val="18"/>
        </w:rPr>
        <w:t>)</w:t>
      </w:r>
      <w:r w:rsidRPr="000E32D7">
        <w:rPr>
          <w:rFonts w:ascii="Verdana" w:hAnsi="Verdana"/>
          <w:sz w:val="18"/>
          <w:szCs w:val="18"/>
        </w:rPr>
        <w:t xml:space="preserve"> als </w:t>
      </w:r>
      <w:r>
        <w:rPr>
          <w:rFonts w:ascii="Verdana" w:hAnsi="Verdana"/>
          <w:sz w:val="18"/>
          <w:szCs w:val="18"/>
        </w:rPr>
        <w:t xml:space="preserve">essentiële entiteit of </w:t>
      </w:r>
      <w:r w:rsidRPr="000E32D7">
        <w:rPr>
          <w:rFonts w:ascii="Verdana" w:hAnsi="Verdana"/>
          <w:sz w:val="18"/>
          <w:szCs w:val="18"/>
        </w:rPr>
        <w:t>belangrijke entiteit kwalificeert</w:t>
      </w:r>
      <w:r w:rsidR="0064610B">
        <w:rPr>
          <w:rFonts w:ascii="Verdana" w:hAnsi="Verdana"/>
          <w:sz w:val="18"/>
          <w:szCs w:val="18"/>
        </w:rPr>
        <w:t xml:space="preserve"> </w:t>
      </w:r>
      <w:r w:rsidRPr="0064610B" w:rsidR="0064610B">
        <w:rPr>
          <w:rFonts w:ascii="Verdana" w:hAnsi="Verdana"/>
          <w:sz w:val="18"/>
          <w:szCs w:val="18"/>
        </w:rPr>
        <w:t>doordat het andersoortige activiteiten verricht of diensten aanbiedt die onder de NIS2-richtlijn vallen</w:t>
      </w:r>
      <w:r w:rsidRPr="000E32D7">
        <w:rPr>
          <w:rFonts w:ascii="Verdana" w:hAnsi="Verdana"/>
          <w:sz w:val="18"/>
          <w:szCs w:val="18"/>
        </w:rPr>
        <w:t xml:space="preserve">. In dat geval zouden alle verplichtingen uit </w:t>
      </w:r>
      <w:r>
        <w:rPr>
          <w:rFonts w:ascii="Verdana" w:hAnsi="Verdana"/>
          <w:sz w:val="18"/>
          <w:szCs w:val="18"/>
        </w:rPr>
        <w:t xml:space="preserve">de </w:t>
      </w:r>
      <w:proofErr w:type="spellStart"/>
      <w:r>
        <w:rPr>
          <w:rFonts w:ascii="Verdana" w:hAnsi="Verdana"/>
          <w:sz w:val="18"/>
          <w:szCs w:val="18"/>
        </w:rPr>
        <w:t>Cbw</w:t>
      </w:r>
      <w:proofErr w:type="spellEnd"/>
      <w:r w:rsidRPr="000E32D7">
        <w:rPr>
          <w:rFonts w:ascii="Verdana" w:hAnsi="Verdana"/>
          <w:sz w:val="18"/>
          <w:szCs w:val="18"/>
        </w:rPr>
        <w:t xml:space="preserve"> </w:t>
      </w:r>
      <w:r w:rsidR="0064610B">
        <w:rPr>
          <w:rFonts w:ascii="Verdana" w:hAnsi="Verdana"/>
          <w:sz w:val="18"/>
          <w:szCs w:val="18"/>
        </w:rPr>
        <w:t xml:space="preserve">alsnog </w:t>
      </w:r>
      <w:r w:rsidRPr="000E32D7">
        <w:rPr>
          <w:rFonts w:ascii="Verdana" w:hAnsi="Verdana"/>
          <w:sz w:val="18"/>
          <w:szCs w:val="18"/>
        </w:rPr>
        <w:t>op RIPE NCC rusten, inclusief de root-naamserver</w:t>
      </w:r>
      <w:r w:rsidR="0064610B">
        <w:rPr>
          <w:rFonts w:ascii="Verdana" w:hAnsi="Verdana"/>
          <w:sz w:val="18"/>
          <w:szCs w:val="18"/>
        </w:rPr>
        <w:t xml:space="preserve"> omdat de verplichtingen zien op de hele entiteit</w:t>
      </w:r>
      <w:r w:rsidRPr="000E32D7">
        <w:rPr>
          <w:rFonts w:ascii="Verdana" w:hAnsi="Verdana"/>
          <w:sz w:val="18"/>
          <w:szCs w:val="18"/>
        </w:rPr>
        <w:t xml:space="preserve">. </w:t>
      </w:r>
      <w:r w:rsidRPr="000E32D7" w:rsidR="0064610B">
        <w:rPr>
          <w:rFonts w:ascii="Verdana" w:hAnsi="Verdana"/>
          <w:sz w:val="18"/>
          <w:szCs w:val="18"/>
        </w:rPr>
        <w:t xml:space="preserve">Om </w:t>
      </w:r>
      <w:r w:rsidR="0064610B">
        <w:rPr>
          <w:rFonts w:ascii="Verdana" w:hAnsi="Verdana"/>
          <w:sz w:val="18"/>
          <w:szCs w:val="18"/>
        </w:rPr>
        <w:t xml:space="preserve">ervoor te zorgen dat de root-naamserveractiviteiten te allen tijde van de </w:t>
      </w:r>
      <w:proofErr w:type="spellStart"/>
      <w:r w:rsidR="0064610B">
        <w:rPr>
          <w:rFonts w:ascii="Verdana" w:hAnsi="Verdana"/>
          <w:sz w:val="18"/>
          <w:szCs w:val="18"/>
        </w:rPr>
        <w:t>Cbw</w:t>
      </w:r>
      <w:proofErr w:type="spellEnd"/>
      <w:r w:rsidR="0064610B">
        <w:rPr>
          <w:rFonts w:ascii="Verdana" w:hAnsi="Verdana"/>
          <w:sz w:val="18"/>
          <w:szCs w:val="18"/>
        </w:rPr>
        <w:t xml:space="preserve"> is uitgesloten regelt artikel </w:t>
      </w:r>
      <w:r w:rsidR="00106E81">
        <w:rPr>
          <w:rFonts w:ascii="Verdana" w:hAnsi="Verdana"/>
          <w:sz w:val="18"/>
          <w:szCs w:val="18"/>
        </w:rPr>
        <w:t>6</w:t>
      </w:r>
      <w:r w:rsidR="0064610B">
        <w:rPr>
          <w:rFonts w:ascii="Verdana" w:hAnsi="Verdana"/>
          <w:sz w:val="18"/>
          <w:szCs w:val="18"/>
        </w:rPr>
        <w:t xml:space="preserve"> </w:t>
      </w:r>
      <w:proofErr w:type="spellStart"/>
      <w:r w:rsidR="0064610B">
        <w:rPr>
          <w:rFonts w:ascii="Verdana" w:hAnsi="Verdana"/>
          <w:sz w:val="18"/>
          <w:szCs w:val="18"/>
        </w:rPr>
        <w:t>Cbw</w:t>
      </w:r>
      <w:proofErr w:type="spellEnd"/>
      <w:r w:rsidR="0064610B">
        <w:rPr>
          <w:rFonts w:ascii="Verdana" w:hAnsi="Verdana"/>
          <w:sz w:val="18"/>
          <w:szCs w:val="18"/>
        </w:rPr>
        <w:t xml:space="preserve"> dat de </w:t>
      </w:r>
      <w:proofErr w:type="spellStart"/>
      <w:r w:rsidR="0064610B">
        <w:rPr>
          <w:rFonts w:ascii="Verdana" w:hAnsi="Verdana"/>
          <w:sz w:val="18"/>
          <w:szCs w:val="18"/>
        </w:rPr>
        <w:t>Cbw</w:t>
      </w:r>
      <w:proofErr w:type="spellEnd"/>
      <w:r w:rsidR="0064610B">
        <w:rPr>
          <w:rFonts w:ascii="Verdana" w:hAnsi="Verdana"/>
          <w:sz w:val="18"/>
          <w:szCs w:val="18"/>
        </w:rPr>
        <w:t xml:space="preserve"> niet van toepassing is op root-naamservers.</w:t>
      </w:r>
      <w:r>
        <w:rPr>
          <w:rFonts w:ascii="Verdana" w:hAnsi="Verdana"/>
          <w:sz w:val="18"/>
          <w:szCs w:val="18"/>
        </w:rPr>
        <w:t xml:space="preserve"> </w:t>
      </w:r>
    </w:p>
    <w:p w:rsidRPr="00C47325" w:rsidR="00CB14CD" w:rsidP="00CE333A" w:rsidRDefault="00CB14CD" w14:paraId="10B2C7F1" w14:textId="77777777">
      <w:pPr>
        <w:pStyle w:val="Geenafstand"/>
        <w:rPr>
          <w:rFonts w:ascii="Verdana" w:hAnsi="Verdana"/>
          <w:sz w:val="18"/>
          <w:szCs w:val="18"/>
        </w:rPr>
      </w:pPr>
    </w:p>
    <w:p w:rsidRPr="00BD3C4A" w:rsidR="00155394" w:rsidP="00155394" w:rsidRDefault="00155394" w14:paraId="4822B2B6" w14:textId="327E8F09">
      <w:pPr>
        <w:pStyle w:val="Geenafstand"/>
        <w:rPr>
          <w:rFonts w:ascii="Verdana" w:hAnsi="Verdana"/>
          <w:b/>
          <w:bCs/>
          <w:sz w:val="18"/>
          <w:szCs w:val="18"/>
        </w:rPr>
      </w:pPr>
      <w:bookmarkStart w:name="_Hlk169168283" w:id="253"/>
      <w:bookmarkStart w:name="_Hlk181262589" w:id="254"/>
      <w:r w:rsidRPr="00BD3C4A">
        <w:rPr>
          <w:rFonts w:ascii="Verdana" w:hAnsi="Verdana"/>
          <w:b/>
          <w:bCs/>
          <w:sz w:val="18"/>
          <w:szCs w:val="18"/>
        </w:rPr>
        <w:t xml:space="preserve">Artikel </w:t>
      </w:r>
      <w:r>
        <w:rPr>
          <w:rFonts w:ascii="Verdana" w:hAnsi="Verdana"/>
          <w:b/>
          <w:bCs/>
          <w:sz w:val="18"/>
          <w:szCs w:val="18"/>
        </w:rPr>
        <w:t>7</w:t>
      </w:r>
      <w:r w:rsidRPr="00BD3C4A">
        <w:rPr>
          <w:rFonts w:ascii="Verdana" w:hAnsi="Verdana"/>
          <w:b/>
          <w:bCs/>
          <w:sz w:val="18"/>
          <w:szCs w:val="18"/>
        </w:rPr>
        <w:t xml:space="preserve"> (</w:t>
      </w:r>
      <w:bookmarkStart w:name="_Hlk163739877" w:id="255"/>
      <w:r>
        <w:rPr>
          <w:rFonts w:ascii="Verdana" w:hAnsi="Verdana"/>
          <w:b/>
          <w:bCs/>
          <w:sz w:val="18"/>
          <w:szCs w:val="18"/>
        </w:rPr>
        <w:t xml:space="preserve">entiteiten uitgezonderd van </w:t>
      </w:r>
      <w:r w:rsidRPr="00BD3C4A">
        <w:rPr>
          <w:rFonts w:ascii="Verdana" w:hAnsi="Verdana"/>
          <w:b/>
          <w:bCs/>
          <w:sz w:val="18"/>
          <w:szCs w:val="18"/>
        </w:rPr>
        <w:t xml:space="preserve">Verordening </w:t>
      </w:r>
      <w:r>
        <w:rPr>
          <w:rFonts w:ascii="Verdana" w:hAnsi="Verdana"/>
          <w:b/>
          <w:bCs/>
          <w:sz w:val="18"/>
          <w:szCs w:val="18"/>
        </w:rPr>
        <w:t xml:space="preserve">(EU) </w:t>
      </w:r>
      <w:r w:rsidRPr="00BD3C4A">
        <w:rPr>
          <w:rFonts w:ascii="Verdana" w:hAnsi="Verdana"/>
          <w:b/>
          <w:bCs/>
          <w:sz w:val="18"/>
          <w:szCs w:val="18"/>
        </w:rPr>
        <w:t>2022/2554</w:t>
      </w:r>
      <w:bookmarkEnd w:id="255"/>
      <w:r w:rsidRPr="00BD3C4A">
        <w:rPr>
          <w:rFonts w:ascii="Verdana" w:hAnsi="Verdana"/>
          <w:b/>
          <w:bCs/>
          <w:sz w:val="18"/>
          <w:szCs w:val="18"/>
        </w:rPr>
        <w:t>)</w:t>
      </w:r>
    </w:p>
    <w:p w:rsidRPr="00C47325" w:rsidR="00CE333A" w:rsidP="00CE333A" w:rsidRDefault="00CE333A" w14:paraId="22D35158" w14:textId="77777777">
      <w:pPr>
        <w:pStyle w:val="Geenafstand"/>
        <w:rPr>
          <w:rFonts w:ascii="Verdana" w:hAnsi="Verdana"/>
          <w:sz w:val="18"/>
          <w:szCs w:val="18"/>
        </w:rPr>
      </w:pPr>
    </w:p>
    <w:p w:rsidRPr="00C47325" w:rsidR="00CE333A" w:rsidP="00CE333A" w:rsidRDefault="00CE333A" w14:paraId="1FE46B1F" w14:textId="10F88EAF">
      <w:pPr>
        <w:pStyle w:val="Geenafstand"/>
        <w:rPr>
          <w:rFonts w:ascii="Verdana" w:hAnsi="Verdana"/>
          <w:sz w:val="18"/>
          <w:szCs w:val="18"/>
        </w:rPr>
      </w:pPr>
      <w:r w:rsidRPr="00C47325">
        <w:rPr>
          <w:rStyle w:val="cf01"/>
          <w:rFonts w:ascii="Verdana" w:hAnsi="Verdana"/>
        </w:rPr>
        <w:t xml:space="preserve">Artikel </w:t>
      </w:r>
      <w:r w:rsidR="00C04760">
        <w:rPr>
          <w:rStyle w:val="cf01"/>
          <w:rFonts w:ascii="Verdana" w:hAnsi="Verdana"/>
        </w:rPr>
        <w:t>7</w:t>
      </w:r>
      <w:r w:rsidRPr="00C47325">
        <w:rPr>
          <w:rStyle w:val="cf01"/>
          <w:rFonts w:ascii="Verdana" w:hAnsi="Verdana"/>
        </w:rPr>
        <w:t xml:space="preserve"> </w:t>
      </w:r>
      <w:proofErr w:type="spellStart"/>
      <w:r w:rsidRPr="00C47325" w:rsidR="00604685">
        <w:rPr>
          <w:rFonts w:ascii="Verdana" w:hAnsi="Verdana"/>
          <w:sz w:val="18"/>
          <w:szCs w:val="18"/>
        </w:rPr>
        <w:t>Cbw</w:t>
      </w:r>
      <w:proofErr w:type="spellEnd"/>
      <w:r w:rsidRPr="00C47325">
        <w:rPr>
          <w:rStyle w:val="cf01"/>
          <w:rFonts w:ascii="Verdana" w:hAnsi="Verdana"/>
        </w:rPr>
        <w:t xml:space="preserve"> strekt tot de implementatie van artikel 2, tiende lid, NIS2-richtlijn. In de laatstgenoemde bepaling is geregeld dat de NIS2-richtlijn niet van toepassing is op e</w:t>
      </w:r>
      <w:r w:rsidRPr="00C47325">
        <w:rPr>
          <w:rFonts w:ascii="Verdana" w:hAnsi="Verdana"/>
          <w:sz w:val="18"/>
          <w:szCs w:val="18"/>
        </w:rPr>
        <w:t xml:space="preserve">ntiteiten die zijn uitgesloten van het toepassingsgebied van de </w:t>
      </w:r>
      <w:r w:rsidR="009754FB">
        <w:rPr>
          <w:rFonts w:ascii="Verdana" w:hAnsi="Verdana"/>
          <w:sz w:val="18"/>
          <w:szCs w:val="18"/>
        </w:rPr>
        <w:t>DORA</w:t>
      </w:r>
      <w:r w:rsidRPr="00C47325">
        <w:rPr>
          <w:rFonts w:ascii="Verdana" w:hAnsi="Verdana"/>
          <w:sz w:val="18"/>
          <w:szCs w:val="18"/>
        </w:rPr>
        <w:t>, in overeenstemming met artikel 2, vierde lid, van die verordening. In Nederland gaat het om de Nederlandse Investeringsbank voor Ontwikkelingslanden N.V., de N.V. Noordelijke Ontwikkelingsmaatschappij, de N.V. Limburgs Instituut voor Ontwikkeling en Financiering, de Ontwikkelingsmaatschappij Oost-Nederland N.V. en kredietunies.</w:t>
      </w:r>
    </w:p>
    <w:p w:rsidRPr="00C47325" w:rsidR="00B249FF" w:rsidP="00CE333A" w:rsidRDefault="00B249FF" w14:paraId="2F4059BF" w14:textId="77777777">
      <w:pPr>
        <w:pStyle w:val="Geenafstand"/>
        <w:rPr>
          <w:rFonts w:ascii="Verdana" w:hAnsi="Verdana"/>
          <w:sz w:val="18"/>
          <w:szCs w:val="18"/>
        </w:rPr>
      </w:pPr>
    </w:p>
    <w:p w:rsidR="00014C24" w:rsidP="00A348A2" w:rsidRDefault="00B249FF" w14:paraId="63C1C9AD" w14:textId="50DC7AC6">
      <w:pPr>
        <w:pStyle w:val="Geenafstand"/>
        <w:rPr>
          <w:rFonts w:ascii="Verdana" w:hAnsi="Verdana"/>
          <w:sz w:val="18"/>
          <w:szCs w:val="18"/>
        </w:rPr>
      </w:pPr>
      <w:r w:rsidRPr="00C47325">
        <w:rPr>
          <w:rFonts w:ascii="Verdana" w:hAnsi="Verdana"/>
          <w:sz w:val="18"/>
          <w:szCs w:val="18"/>
        </w:rPr>
        <w:t xml:space="preserve">Hierbij wordt aangetekend dat andere financiële entiteiten die onder de </w:t>
      </w:r>
      <w:r w:rsidR="009754FB">
        <w:rPr>
          <w:rFonts w:ascii="Verdana" w:hAnsi="Verdana"/>
          <w:sz w:val="18"/>
          <w:szCs w:val="18"/>
        </w:rPr>
        <w:t>DORA</w:t>
      </w:r>
      <w:r w:rsidRPr="00C47325">
        <w:rPr>
          <w:rFonts w:ascii="Verdana" w:hAnsi="Verdana"/>
          <w:sz w:val="18"/>
          <w:szCs w:val="18"/>
        </w:rPr>
        <w:t xml:space="preserve"> zijn aangewezen wel binnen het bereik van de </w:t>
      </w:r>
      <w:proofErr w:type="spellStart"/>
      <w:r w:rsidRPr="00C47325">
        <w:rPr>
          <w:rFonts w:ascii="Verdana" w:hAnsi="Verdana"/>
          <w:sz w:val="18"/>
          <w:szCs w:val="18"/>
        </w:rPr>
        <w:t>Cbw</w:t>
      </w:r>
      <w:proofErr w:type="spellEnd"/>
      <w:r w:rsidRPr="00C47325">
        <w:rPr>
          <w:rFonts w:ascii="Verdana" w:hAnsi="Verdana"/>
          <w:sz w:val="18"/>
          <w:szCs w:val="18"/>
        </w:rPr>
        <w:t xml:space="preserve"> vallen, mits zij ook uit hoofde van de NIS2-richtlijn onder het toepassingsbereik van de richtlijn vallen. Het gaat om kredietinstellingen, exploitanten van handelsplatformen en centrale tegenpartijen (zie bijlage 1 van de </w:t>
      </w:r>
      <w:proofErr w:type="spellStart"/>
      <w:r w:rsidRPr="00C47325">
        <w:rPr>
          <w:rFonts w:ascii="Verdana" w:hAnsi="Verdana"/>
          <w:sz w:val="18"/>
          <w:szCs w:val="18"/>
        </w:rPr>
        <w:t>Cbw</w:t>
      </w:r>
      <w:proofErr w:type="spellEnd"/>
      <w:r w:rsidRPr="00C47325">
        <w:rPr>
          <w:rFonts w:ascii="Verdana" w:hAnsi="Verdana"/>
          <w:sz w:val="18"/>
          <w:szCs w:val="18"/>
        </w:rPr>
        <w:t xml:space="preserve">, onder de sectoren bankwezen en infrastructuur financiële markt). Op deze entiteiten zijn niet alle verplichtingen van de </w:t>
      </w:r>
      <w:proofErr w:type="spellStart"/>
      <w:r w:rsidRPr="00C47325">
        <w:rPr>
          <w:rFonts w:ascii="Verdana" w:hAnsi="Verdana"/>
          <w:sz w:val="18"/>
          <w:szCs w:val="18"/>
        </w:rPr>
        <w:t>Cbw</w:t>
      </w:r>
      <w:proofErr w:type="spellEnd"/>
      <w:r w:rsidRPr="00C47325">
        <w:rPr>
          <w:rFonts w:ascii="Verdana" w:hAnsi="Verdana"/>
          <w:sz w:val="18"/>
          <w:szCs w:val="18"/>
        </w:rPr>
        <w:t xml:space="preserve"> van toepassing. Zo gelden voor hen niet de zorgplicht (artikel </w:t>
      </w:r>
      <w:r w:rsidR="00106E81">
        <w:rPr>
          <w:rFonts w:ascii="Verdana" w:hAnsi="Verdana"/>
          <w:sz w:val="18"/>
          <w:szCs w:val="18"/>
        </w:rPr>
        <w:t>21</w:t>
      </w:r>
      <w:r w:rsidRPr="00C47325" w:rsidR="00106E81">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de verplichtingen over </w:t>
      </w:r>
      <w:proofErr w:type="spellStart"/>
      <w:r w:rsidRPr="00C47325">
        <w:rPr>
          <w:rFonts w:ascii="Verdana" w:hAnsi="Verdana"/>
          <w:sz w:val="18"/>
          <w:szCs w:val="18"/>
        </w:rPr>
        <w:t>governance</w:t>
      </w:r>
      <w:proofErr w:type="spellEnd"/>
      <w:r w:rsidRPr="00C47325">
        <w:rPr>
          <w:rFonts w:ascii="Verdana" w:hAnsi="Verdana"/>
          <w:sz w:val="18"/>
          <w:szCs w:val="18"/>
        </w:rPr>
        <w:t xml:space="preserve"> (artikel </w:t>
      </w:r>
      <w:r w:rsidR="00106E81">
        <w:rPr>
          <w:rFonts w:ascii="Verdana" w:hAnsi="Verdana"/>
          <w:sz w:val="18"/>
          <w:szCs w:val="18"/>
        </w:rPr>
        <w:t>24</w:t>
      </w:r>
      <w:r w:rsidRPr="00C47325" w:rsidR="00106E81">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en de meldplicht (de artikelen </w:t>
      </w:r>
      <w:r w:rsidR="00106E81">
        <w:rPr>
          <w:rFonts w:ascii="Verdana" w:hAnsi="Verdana"/>
          <w:sz w:val="18"/>
          <w:szCs w:val="18"/>
        </w:rPr>
        <w:t>25</w:t>
      </w:r>
      <w:r w:rsidRPr="00C47325" w:rsidR="00106E81">
        <w:rPr>
          <w:rFonts w:ascii="Verdana" w:hAnsi="Verdana"/>
          <w:sz w:val="18"/>
          <w:szCs w:val="18"/>
        </w:rPr>
        <w:t xml:space="preserve"> </w:t>
      </w:r>
      <w:r w:rsidRPr="00C47325" w:rsidR="00AF32DD">
        <w:rPr>
          <w:rFonts w:ascii="Verdana" w:hAnsi="Verdana"/>
          <w:sz w:val="18"/>
          <w:szCs w:val="18"/>
        </w:rPr>
        <w:t>tot en met</w:t>
      </w:r>
      <w:r w:rsidRPr="00C47325">
        <w:rPr>
          <w:rFonts w:ascii="Verdana" w:hAnsi="Verdana"/>
          <w:sz w:val="18"/>
          <w:szCs w:val="18"/>
        </w:rPr>
        <w:t xml:space="preserve"> </w:t>
      </w:r>
      <w:r w:rsidR="00106E81">
        <w:rPr>
          <w:rFonts w:ascii="Verdana" w:hAnsi="Verdana"/>
          <w:sz w:val="18"/>
          <w:szCs w:val="18"/>
        </w:rPr>
        <w:t>30</w:t>
      </w:r>
      <w:r w:rsidRPr="00C47325" w:rsidR="00106E81">
        <w:rPr>
          <w:rFonts w:ascii="Verdana" w:hAnsi="Verdana"/>
          <w:sz w:val="18"/>
          <w:szCs w:val="18"/>
        </w:rPr>
        <w:t xml:space="preserve"> </w:t>
      </w:r>
      <w:proofErr w:type="spellStart"/>
      <w:r w:rsidRPr="00374F62">
        <w:rPr>
          <w:rFonts w:ascii="Verdana" w:hAnsi="Verdana"/>
          <w:sz w:val="18"/>
          <w:szCs w:val="18"/>
        </w:rPr>
        <w:t>Cbw</w:t>
      </w:r>
      <w:proofErr w:type="spellEnd"/>
      <w:r w:rsidRPr="00374F62">
        <w:rPr>
          <w:rFonts w:ascii="Verdana" w:hAnsi="Verdana"/>
          <w:sz w:val="18"/>
          <w:szCs w:val="18"/>
        </w:rPr>
        <w:t>)</w:t>
      </w:r>
      <w:r w:rsidRPr="00374F62" w:rsidR="00E258D5">
        <w:rPr>
          <w:rFonts w:ascii="Verdana" w:hAnsi="Verdana"/>
          <w:sz w:val="18"/>
          <w:szCs w:val="18"/>
        </w:rPr>
        <w:t xml:space="preserve">, </w:t>
      </w:r>
      <w:r w:rsidRPr="002961E3" w:rsidR="002961E3">
        <w:rPr>
          <w:rFonts w:ascii="Verdana" w:hAnsi="Verdana"/>
          <w:sz w:val="18"/>
          <w:szCs w:val="18"/>
        </w:rPr>
        <w:t xml:space="preserve">voor zover zij niet tevens kwalificeren als ander soort entiteit onder de </w:t>
      </w:r>
      <w:proofErr w:type="spellStart"/>
      <w:r w:rsidRPr="002961E3" w:rsidR="002961E3">
        <w:rPr>
          <w:rFonts w:ascii="Verdana" w:hAnsi="Verdana"/>
          <w:sz w:val="18"/>
          <w:szCs w:val="18"/>
        </w:rPr>
        <w:t>Cbw</w:t>
      </w:r>
      <w:proofErr w:type="spellEnd"/>
      <w:r w:rsidRPr="002961E3" w:rsidR="002961E3">
        <w:rPr>
          <w:rFonts w:ascii="Verdana" w:hAnsi="Verdana"/>
          <w:sz w:val="18"/>
          <w:szCs w:val="18"/>
        </w:rPr>
        <w:t>,</w:t>
      </w:r>
      <w:r w:rsidR="002961E3">
        <w:rPr>
          <w:rFonts w:ascii="Verdana" w:hAnsi="Verdana"/>
          <w:sz w:val="18"/>
          <w:szCs w:val="18"/>
        </w:rPr>
        <w:t xml:space="preserve"> </w:t>
      </w:r>
      <w:r w:rsidRPr="00374F62" w:rsidR="00E258D5">
        <w:rPr>
          <w:rFonts w:ascii="Verdana" w:hAnsi="Verdana"/>
          <w:sz w:val="18"/>
          <w:szCs w:val="18"/>
        </w:rPr>
        <w:t xml:space="preserve">maar geldt bijvoorbeeld wel de verplichting uit artikel </w:t>
      </w:r>
      <w:r w:rsidR="006467C3">
        <w:rPr>
          <w:rFonts w:ascii="Verdana" w:hAnsi="Verdana"/>
          <w:sz w:val="18"/>
          <w:szCs w:val="18"/>
        </w:rPr>
        <w:t>44</w:t>
      </w:r>
      <w:r w:rsidRPr="00374F62" w:rsidR="006467C3">
        <w:rPr>
          <w:rFonts w:ascii="Verdana" w:hAnsi="Verdana"/>
          <w:sz w:val="18"/>
          <w:szCs w:val="18"/>
        </w:rPr>
        <w:t xml:space="preserve"> </w:t>
      </w:r>
      <w:proofErr w:type="spellStart"/>
      <w:r w:rsidRPr="00374F62" w:rsidR="00E258D5">
        <w:rPr>
          <w:rFonts w:ascii="Verdana" w:hAnsi="Verdana"/>
          <w:sz w:val="18"/>
          <w:szCs w:val="18"/>
        </w:rPr>
        <w:t>Cbw</w:t>
      </w:r>
      <w:proofErr w:type="spellEnd"/>
      <w:r w:rsidRPr="00374F62" w:rsidR="00E258D5">
        <w:rPr>
          <w:rFonts w:ascii="Verdana" w:hAnsi="Verdana"/>
          <w:sz w:val="18"/>
          <w:szCs w:val="18"/>
        </w:rPr>
        <w:t xml:space="preserve"> over het verstrekken van informatie ten behoeve van het nationale register</w:t>
      </w:r>
      <w:r w:rsidRPr="00374F62">
        <w:rPr>
          <w:rFonts w:ascii="Verdana" w:hAnsi="Verdana"/>
          <w:sz w:val="18"/>
          <w:szCs w:val="18"/>
        </w:rPr>
        <w:t xml:space="preserve">. </w:t>
      </w:r>
      <w:r w:rsidRPr="00374F62" w:rsidR="00E258D5">
        <w:rPr>
          <w:rFonts w:ascii="Verdana" w:hAnsi="Verdana"/>
          <w:sz w:val="18"/>
          <w:szCs w:val="18"/>
        </w:rPr>
        <w:t>Paragraaf 2.</w:t>
      </w:r>
      <w:r w:rsidR="00C72553">
        <w:rPr>
          <w:rFonts w:ascii="Verdana" w:hAnsi="Verdana"/>
          <w:sz w:val="18"/>
          <w:szCs w:val="18"/>
        </w:rPr>
        <w:t>4</w:t>
      </w:r>
      <w:r w:rsidRPr="00374F62" w:rsidR="00E258D5">
        <w:rPr>
          <w:rFonts w:ascii="Verdana" w:hAnsi="Verdana"/>
          <w:sz w:val="18"/>
          <w:szCs w:val="18"/>
        </w:rPr>
        <w:t xml:space="preserve"> gaat hier nader op in.</w:t>
      </w:r>
      <w:r w:rsidR="00014C24">
        <w:rPr>
          <w:rFonts w:ascii="Verdana" w:hAnsi="Verdana"/>
          <w:sz w:val="18"/>
          <w:szCs w:val="18"/>
        </w:rPr>
        <w:t xml:space="preserve"> </w:t>
      </w:r>
    </w:p>
    <w:p w:rsidRPr="00014C24" w:rsidR="00014C24" w:rsidP="00014C24" w:rsidRDefault="00014C24" w14:paraId="4EF7161E" w14:textId="1B5140DC">
      <w:pPr>
        <w:pStyle w:val="Geenafstand"/>
        <w:rPr>
          <w:rFonts w:ascii="Verdana" w:hAnsi="Verdana"/>
          <w:sz w:val="18"/>
          <w:szCs w:val="18"/>
        </w:rPr>
      </w:pPr>
    </w:p>
    <w:p w:rsidRPr="00C47325" w:rsidR="00CE333A" w:rsidP="00014C24" w:rsidRDefault="00014C24" w14:paraId="18EE490C" w14:textId="7D3B36D6">
      <w:pPr>
        <w:pStyle w:val="Geenafstand"/>
      </w:pPr>
      <w:r w:rsidRPr="00B940BD">
        <w:rPr>
          <w:rFonts w:ascii="Verdana" w:hAnsi="Verdana"/>
          <w:sz w:val="18"/>
          <w:szCs w:val="18"/>
        </w:rPr>
        <w:t>Tot slot wordt hierbij aangetekend dat f</w:t>
      </w:r>
      <w:r w:rsidRPr="00B4390C" w:rsidR="00374F62">
        <w:rPr>
          <w:rFonts w:ascii="Verdana" w:hAnsi="Verdana"/>
          <w:sz w:val="18"/>
          <w:szCs w:val="18"/>
        </w:rPr>
        <w:t>inanciële entiteiten die ook diensten verlenen in een andere sector</w:t>
      </w:r>
      <w:r w:rsidRPr="00E70E2D">
        <w:rPr>
          <w:rFonts w:ascii="Verdana" w:hAnsi="Verdana"/>
          <w:sz w:val="18"/>
          <w:szCs w:val="18"/>
        </w:rPr>
        <w:t>,</w:t>
      </w:r>
      <w:r w:rsidRPr="00E70E2D" w:rsidR="00374F62">
        <w:rPr>
          <w:rFonts w:ascii="Verdana" w:hAnsi="Verdana"/>
          <w:sz w:val="18"/>
          <w:szCs w:val="18"/>
        </w:rPr>
        <w:t xml:space="preserve"> zoals de sector digitale infrastructuur</w:t>
      </w:r>
      <w:r w:rsidRPr="00E70E2D">
        <w:rPr>
          <w:rFonts w:ascii="Verdana" w:hAnsi="Verdana"/>
          <w:sz w:val="18"/>
          <w:szCs w:val="18"/>
        </w:rPr>
        <w:t>,</w:t>
      </w:r>
      <w:r w:rsidRPr="00E70E2D" w:rsidR="00374F62">
        <w:rPr>
          <w:rFonts w:ascii="Verdana" w:hAnsi="Verdana"/>
          <w:sz w:val="18"/>
          <w:szCs w:val="18"/>
        </w:rPr>
        <w:t xml:space="preserve"> zowel onder de NIS2-richtlijn </w:t>
      </w:r>
      <w:r w:rsidRPr="00E70E2D">
        <w:rPr>
          <w:rFonts w:ascii="Verdana" w:hAnsi="Verdana"/>
          <w:sz w:val="18"/>
          <w:szCs w:val="18"/>
        </w:rPr>
        <w:t>(</w:t>
      </w:r>
      <w:r w:rsidRPr="00E70E2D" w:rsidR="00374F62">
        <w:rPr>
          <w:rFonts w:ascii="Verdana" w:hAnsi="Verdana"/>
          <w:sz w:val="18"/>
          <w:szCs w:val="18"/>
        </w:rPr>
        <w:t>voor zover het gaat om de digitale infrastructuur</w:t>
      </w:r>
      <w:r w:rsidRPr="00E70E2D">
        <w:rPr>
          <w:rFonts w:ascii="Verdana" w:hAnsi="Verdana"/>
          <w:sz w:val="18"/>
          <w:szCs w:val="18"/>
        </w:rPr>
        <w:t>)</w:t>
      </w:r>
      <w:r w:rsidRPr="00E70E2D" w:rsidR="00374F62">
        <w:rPr>
          <w:rFonts w:ascii="Verdana" w:hAnsi="Verdana"/>
          <w:sz w:val="18"/>
          <w:szCs w:val="18"/>
        </w:rPr>
        <w:t xml:space="preserve"> </w:t>
      </w:r>
      <w:r w:rsidRPr="00E70E2D">
        <w:rPr>
          <w:rFonts w:ascii="Verdana" w:hAnsi="Verdana"/>
          <w:sz w:val="18"/>
          <w:szCs w:val="18"/>
        </w:rPr>
        <w:t>vallen, als</w:t>
      </w:r>
      <w:r w:rsidRPr="00B4390C" w:rsidR="00374F62">
        <w:rPr>
          <w:rFonts w:ascii="Verdana" w:hAnsi="Verdana"/>
          <w:sz w:val="18"/>
          <w:szCs w:val="18"/>
        </w:rPr>
        <w:t xml:space="preserve"> onder de </w:t>
      </w:r>
      <w:r w:rsidR="009754FB">
        <w:rPr>
          <w:rFonts w:ascii="Verdana" w:hAnsi="Verdana"/>
          <w:sz w:val="18"/>
          <w:szCs w:val="18"/>
        </w:rPr>
        <w:t>DORA</w:t>
      </w:r>
      <w:r w:rsidRPr="00E70E2D">
        <w:rPr>
          <w:rFonts w:ascii="Verdana" w:hAnsi="Verdana"/>
          <w:sz w:val="18"/>
          <w:szCs w:val="18"/>
        </w:rPr>
        <w:t>,</w:t>
      </w:r>
      <w:r w:rsidRPr="00B940BD" w:rsidR="00B938B4">
        <w:rPr>
          <w:rFonts w:ascii="Verdana" w:hAnsi="Verdana"/>
          <w:sz w:val="18"/>
          <w:szCs w:val="18"/>
        </w:rPr>
        <w:t xml:space="preserve"> </w:t>
      </w:r>
      <w:r w:rsidRPr="00E70E2D">
        <w:rPr>
          <w:rFonts w:ascii="Verdana" w:hAnsi="Verdana"/>
          <w:sz w:val="18"/>
          <w:szCs w:val="18"/>
        </w:rPr>
        <w:t xml:space="preserve">uiteraard </w:t>
      </w:r>
      <w:r w:rsidRPr="00E70E2D" w:rsidR="00374F62">
        <w:rPr>
          <w:rFonts w:ascii="Verdana" w:hAnsi="Verdana"/>
          <w:sz w:val="18"/>
          <w:szCs w:val="18"/>
        </w:rPr>
        <w:t xml:space="preserve">voor zover zij </w:t>
      </w:r>
      <w:r w:rsidRPr="00E70E2D">
        <w:rPr>
          <w:rFonts w:ascii="Verdana" w:hAnsi="Verdana"/>
          <w:sz w:val="18"/>
          <w:szCs w:val="18"/>
        </w:rPr>
        <w:t>onder het toepassingsbereik van die verordening vallen</w:t>
      </w:r>
      <w:r w:rsidRPr="00B940BD" w:rsidR="00A348A2">
        <w:rPr>
          <w:rFonts w:ascii="Verdana" w:hAnsi="Verdana"/>
          <w:sz w:val="18"/>
          <w:szCs w:val="18"/>
        </w:rPr>
        <w:t>.</w:t>
      </w:r>
      <w:bookmarkEnd w:id="253"/>
    </w:p>
    <w:bookmarkEnd w:id="254"/>
    <w:p w:rsidR="002961E3" w:rsidP="00A348A2" w:rsidRDefault="002961E3" w14:paraId="4A9D9A7D" w14:textId="77777777">
      <w:pPr>
        <w:pStyle w:val="Geenafstand"/>
        <w:rPr>
          <w:rFonts w:ascii="Verdana" w:hAnsi="Verdana"/>
          <w:b/>
          <w:bCs/>
          <w:sz w:val="18"/>
          <w:szCs w:val="18"/>
        </w:rPr>
      </w:pPr>
    </w:p>
    <w:p w:rsidR="00E04B59" w:rsidP="00A348A2" w:rsidRDefault="00E04B59" w14:paraId="7F64A6E3" w14:textId="77777777">
      <w:pPr>
        <w:pStyle w:val="Geenafstand"/>
        <w:rPr>
          <w:rFonts w:ascii="Verdana" w:hAnsi="Verdana"/>
          <w:b/>
          <w:bCs/>
          <w:sz w:val="18"/>
          <w:szCs w:val="18"/>
        </w:rPr>
      </w:pPr>
    </w:p>
    <w:p w:rsidRPr="00BD3C4A" w:rsidR="00155394" w:rsidP="00155394" w:rsidRDefault="00155394" w14:paraId="26316A88" w14:textId="0E3A2B76">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8</w:t>
      </w:r>
      <w:r w:rsidRPr="00BD3C4A">
        <w:rPr>
          <w:rFonts w:ascii="Verdana" w:hAnsi="Verdana"/>
          <w:b/>
          <w:bCs/>
          <w:sz w:val="18"/>
          <w:szCs w:val="18"/>
        </w:rPr>
        <w:t xml:space="preserve"> (essentiële entiteit van rechtswege)</w:t>
      </w:r>
    </w:p>
    <w:p w:rsidRPr="00C47325" w:rsidR="00CE333A" w:rsidP="00A348A2" w:rsidRDefault="00CE333A" w14:paraId="10916604" w14:textId="77777777">
      <w:pPr>
        <w:spacing w:after="0" w:line="240" w:lineRule="auto"/>
        <w:rPr>
          <w:rFonts w:ascii="Verdana" w:hAnsi="Verdana"/>
          <w:sz w:val="18"/>
          <w:szCs w:val="18"/>
        </w:rPr>
      </w:pPr>
    </w:p>
    <w:p w:rsidRPr="00C47325" w:rsidR="00CE333A" w:rsidP="00A348A2" w:rsidRDefault="00CE333A" w14:paraId="35035922" w14:textId="68A20EC1">
      <w:pPr>
        <w:spacing w:after="0" w:line="240" w:lineRule="auto"/>
        <w:rPr>
          <w:rFonts w:ascii="Verdana" w:hAnsi="Verdana"/>
          <w:sz w:val="18"/>
          <w:szCs w:val="18"/>
        </w:rPr>
      </w:pPr>
      <w:bookmarkStart w:name="_Hlk168391376" w:id="256"/>
      <w:r w:rsidRPr="00C47325">
        <w:rPr>
          <w:rFonts w:ascii="Verdana" w:hAnsi="Verdana"/>
          <w:sz w:val="18"/>
          <w:szCs w:val="18"/>
        </w:rPr>
        <w:t xml:space="preserve">Artikel </w:t>
      </w:r>
      <w:r w:rsidR="00C04760">
        <w:rPr>
          <w:rFonts w:ascii="Verdana" w:hAnsi="Verdana"/>
          <w:sz w:val="18"/>
          <w:szCs w:val="18"/>
        </w:rPr>
        <w:t>8</w:t>
      </w:r>
      <w:r w:rsidRPr="00C47325">
        <w:rPr>
          <w:rFonts w:ascii="Verdana" w:hAnsi="Verdana"/>
          <w:sz w:val="18"/>
          <w:szCs w:val="18"/>
        </w:rPr>
        <w:t xml:space="preserve">, eerste lid,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de artikelen 2, eerste en tweede lid, en 3, eerste lid, NIS2-richtlijn. Voor een toelichting wordt verwezen naar paragraaf 5.1.</w:t>
      </w:r>
      <w:r w:rsidR="009A787C">
        <w:rPr>
          <w:rFonts w:ascii="Verdana" w:hAnsi="Verdana"/>
          <w:sz w:val="18"/>
          <w:szCs w:val="18"/>
        </w:rPr>
        <w:t>1.</w:t>
      </w:r>
    </w:p>
    <w:p w:rsidRPr="00C47325" w:rsidR="00CE333A" w:rsidP="00A348A2" w:rsidRDefault="00CE333A" w14:paraId="5C7F313C" w14:textId="77777777">
      <w:pPr>
        <w:spacing w:after="0" w:line="240" w:lineRule="auto"/>
        <w:rPr>
          <w:rFonts w:ascii="Verdana" w:hAnsi="Verdana"/>
          <w:sz w:val="18"/>
          <w:szCs w:val="18"/>
        </w:rPr>
      </w:pPr>
    </w:p>
    <w:p w:rsidRPr="00C47325" w:rsidR="00CE333A" w:rsidP="00A348A2" w:rsidRDefault="00CE333A" w14:paraId="1690BA5E" w14:textId="2C1CE77E">
      <w:pPr>
        <w:spacing w:after="0" w:line="240" w:lineRule="auto"/>
        <w:rPr>
          <w:rFonts w:ascii="Verdana" w:hAnsi="Verdana"/>
          <w:sz w:val="18"/>
          <w:szCs w:val="18"/>
        </w:rPr>
      </w:pPr>
      <w:r w:rsidRPr="00C47325">
        <w:rPr>
          <w:rFonts w:ascii="Verdana" w:hAnsi="Verdana"/>
          <w:sz w:val="18"/>
          <w:szCs w:val="18"/>
        </w:rPr>
        <w:t xml:space="preserve">Artikel </w:t>
      </w:r>
      <w:r w:rsidR="00C04760">
        <w:rPr>
          <w:rFonts w:ascii="Verdana" w:hAnsi="Verdana"/>
          <w:sz w:val="18"/>
          <w:szCs w:val="18"/>
        </w:rPr>
        <w:t>8</w:t>
      </w:r>
      <w:r w:rsidRPr="00C47325">
        <w:rPr>
          <w:rFonts w:ascii="Verdana" w:hAnsi="Verdana"/>
          <w:sz w:val="18"/>
          <w:szCs w:val="18"/>
        </w:rPr>
        <w:t xml:space="preserve">, tweede lid,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2, eerste lid, tweede volzin, NIS2-richtlijn. Hierin is bepaald dat artikel 3, vierde lid, van de bijlage bij de Aanbeveling 2003/361/EG niet geldt voor de toepassing van de NIS2-richtlijn. Dat betekent concreet dat ondernemingen waarvan 25% of meer van het kapitaal of de stemrechten in handen is van overheidsinstanties alsnog kunnen kwalificeren als micro, kleine of middelgrote onderneming.</w:t>
      </w:r>
    </w:p>
    <w:bookmarkEnd w:id="256"/>
    <w:p w:rsidRPr="00C47325" w:rsidR="00CE333A" w:rsidP="00CE333A" w:rsidRDefault="008265E7" w14:paraId="494A6D62" w14:textId="6BE99D65">
      <w:pPr>
        <w:spacing w:after="0" w:line="240" w:lineRule="auto"/>
        <w:rPr>
          <w:rFonts w:ascii="Verdana" w:hAnsi="Verdana"/>
          <w:b/>
          <w:bCs/>
          <w:sz w:val="18"/>
          <w:szCs w:val="18"/>
        </w:rPr>
      </w:pPr>
      <w:r>
        <w:rPr>
          <w:rFonts w:ascii="Verdana" w:hAnsi="Verdana"/>
          <w:sz w:val="18"/>
          <w:szCs w:val="18"/>
        </w:rPr>
        <w:t xml:space="preserve"> </w:t>
      </w:r>
    </w:p>
    <w:p w:rsidRPr="00BD3C4A" w:rsidR="00155394" w:rsidP="00155394" w:rsidRDefault="00155394" w14:paraId="3B804EDD" w14:textId="7C48169C">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9</w:t>
      </w:r>
      <w:r w:rsidRPr="00BD3C4A">
        <w:rPr>
          <w:rFonts w:ascii="Verdana" w:hAnsi="Verdana"/>
          <w:b/>
          <w:bCs/>
          <w:sz w:val="18"/>
          <w:szCs w:val="18"/>
        </w:rPr>
        <w:t xml:space="preserve"> (essentiële entiteit op basis van criteria)</w:t>
      </w:r>
    </w:p>
    <w:p w:rsidRPr="00C47325" w:rsidR="00CE333A" w:rsidP="00CE333A" w:rsidRDefault="00CE333A" w14:paraId="5A6BA596" w14:textId="77777777">
      <w:pPr>
        <w:pStyle w:val="Geenafstand"/>
        <w:rPr>
          <w:rFonts w:ascii="Verdana" w:hAnsi="Verdana"/>
          <w:sz w:val="18"/>
          <w:szCs w:val="18"/>
        </w:rPr>
      </w:pPr>
    </w:p>
    <w:p w:rsidRPr="00756015" w:rsidR="00756015" w:rsidP="00CE333A" w:rsidRDefault="00756015" w14:paraId="0DF14EEC" w14:textId="7BB304FA">
      <w:pPr>
        <w:pStyle w:val="Geenafstand"/>
        <w:rPr>
          <w:rFonts w:ascii="Verdana" w:hAnsi="Verdana"/>
          <w:i/>
          <w:iCs/>
          <w:sz w:val="18"/>
          <w:szCs w:val="18"/>
        </w:rPr>
      </w:pPr>
      <w:r>
        <w:rPr>
          <w:rFonts w:ascii="Verdana" w:hAnsi="Verdana"/>
          <w:i/>
          <w:iCs/>
          <w:sz w:val="18"/>
          <w:szCs w:val="18"/>
        </w:rPr>
        <w:t>Algemeen</w:t>
      </w:r>
    </w:p>
    <w:p w:rsidR="00CE333A" w:rsidP="00CE333A" w:rsidRDefault="00CE333A" w14:paraId="6EBC45C7" w14:textId="601B2F45">
      <w:pPr>
        <w:pStyle w:val="Geenafstand"/>
        <w:rPr>
          <w:rFonts w:ascii="Verdana" w:hAnsi="Verdana"/>
          <w:sz w:val="18"/>
          <w:szCs w:val="18"/>
        </w:rPr>
      </w:pPr>
      <w:r w:rsidRPr="00C47325">
        <w:rPr>
          <w:rFonts w:ascii="Verdana" w:hAnsi="Verdana"/>
          <w:sz w:val="18"/>
          <w:szCs w:val="18"/>
        </w:rPr>
        <w:t xml:space="preserve">Artikel </w:t>
      </w:r>
      <w:r w:rsidR="00C04760">
        <w:rPr>
          <w:rFonts w:ascii="Verdana" w:hAnsi="Verdana"/>
          <w:sz w:val="18"/>
          <w:szCs w:val="18"/>
        </w:rPr>
        <w:t>9</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de artikelen </w:t>
      </w:r>
      <w:r w:rsidRPr="00C47325">
        <w:rPr>
          <w:rStyle w:val="cf01"/>
          <w:rFonts w:ascii="Verdana" w:hAnsi="Verdana"/>
        </w:rPr>
        <w:t xml:space="preserve">2, tweede lid, onderdelen b tot en met e, en 3, eerste lid, NIS2-richtlijn. </w:t>
      </w:r>
      <w:r w:rsidRPr="00C47325">
        <w:rPr>
          <w:rFonts w:ascii="Verdana" w:hAnsi="Verdana"/>
          <w:sz w:val="18"/>
          <w:szCs w:val="18"/>
        </w:rPr>
        <w:t>Voor een uitgebreide toelichting wordt verwezen naar paragraaf 5.</w:t>
      </w:r>
      <w:r w:rsidR="00AA7B87">
        <w:rPr>
          <w:rFonts w:ascii="Verdana" w:hAnsi="Verdana"/>
          <w:sz w:val="18"/>
          <w:szCs w:val="18"/>
        </w:rPr>
        <w:t>1.1</w:t>
      </w:r>
      <w:r w:rsidRPr="00C47325">
        <w:rPr>
          <w:rFonts w:ascii="Verdana" w:hAnsi="Verdana"/>
          <w:sz w:val="18"/>
          <w:szCs w:val="18"/>
        </w:rPr>
        <w:t>.</w:t>
      </w:r>
    </w:p>
    <w:p w:rsidR="00C35C41" w:rsidP="00C35C41" w:rsidRDefault="00C35C41" w14:paraId="536C3EAC" w14:textId="77777777">
      <w:pPr>
        <w:pStyle w:val="Geenafstand"/>
        <w:rPr>
          <w:rFonts w:ascii="Verdana" w:hAnsi="Verdana"/>
          <w:sz w:val="18"/>
          <w:szCs w:val="18"/>
        </w:rPr>
      </w:pPr>
    </w:p>
    <w:p w:rsidRPr="008D5084" w:rsidR="00FD6978" w:rsidP="00CE333A" w:rsidRDefault="00FD6978" w14:paraId="2840D1D2" w14:textId="73AEBA5C">
      <w:pPr>
        <w:pStyle w:val="Geenafstand"/>
        <w:rPr>
          <w:rFonts w:ascii="Verdana" w:hAnsi="Verdana"/>
          <w:i/>
          <w:iCs/>
          <w:sz w:val="18"/>
          <w:szCs w:val="18"/>
        </w:rPr>
      </w:pPr>
      <w:r>
        <w:rPr>
          <w:rFonts w:ascii="Verdana" w:hAnsi="Verdana"/>
          <w:i/>
          <w:iCs/>
          <w:sz w:val="18"/>
          <w:szCs w:val="18"/>
        </w:rPr>
        <w:t>Aanwijzing bij besluit of regeling</w:t>
      </w:r>
    </w:p>
    <w:p w:rsidRPr="00FF46E3" w:rsidR="003E0389" w:rsidP="003E0389" w:rsidRDefault="00FD6978" w14:paraId="6F14B485" w14:textId="283BE321">
      <w:pPr>
        <w:pStyle w:val="Geenafstand"/>
        <w:rPr>
          <w:rFonts w:ascii="Verdana" w:hAnsi="Verdana"/>
          <w:sz w:val="18"/>
          <w:szCs w:val="18"/>
        </w:rPr>
      </w:pPr>
      <w:r>
        <w:rPr>
          <w:rFonts w:ascii="Verdana" w:hAnsi="Verdana"/>
          <w:sz w:val="18"/>
          <w:szCs w:val="18"/>
        </w:rPr>
        <w:t xml:space="preserve">In artikel </w:t>
      </w:r>
      <w:r w:rsidR="00C04760">
        <w:rPr>
          <w:rFonts w:ascii="Verdana" w:hAnsi="Verdana"/>
          <w:sz w:val="18"/>
          <w:szCs w:val="18"/>
        </w:rPr>
        <w:t>9</w:t>
      </w:r>
      <w:r>
        <w:rPr>
          <w:rFonts w:ascii="Verdana" w:hAnsi="Verdana"/>
          <w:sz w:val="18"/>
          <w:szCs w:val="18"/>
        </w:rPr>
        <w:t xml:space="preserve"> </w:t>
      </w:r>
      <w:proofErr w:type="spellStart"/>
      <w:r>
        <w:rPr>
          <w:rFonts w:ascii="Verdana" w:hAnsi="Verdana"/>
          <w:sz w:val="18"/>
          <w:szCs w:val="18"/>
        </w:rPr>
        <w:t>Cbw</w:t>
      </w:r>
      <w:proofErr w:type="spellEnd"/>
      <w:r w:rsidR="008D5084">
        <w:rPr>
          <w:rFonts w:ascii="Verdana" w:hAnsi="Verdana"/>
          <w:sz w:val="18"/>
          <w:szCs w:val="18"/>
        </w:rPr>
        <w:t xml:space="preserve"> is geregeld dat</w:t>
      </w:r>
      <w:r w:rsidR="005C00B3">
        <w:rPr>
          <w:rFonts w:ascii="Verdana" w:hAnsi="Verdana"/>
          <w:sz w:val="18"/>
          <w:szCs w:val="18"/>
        </w:rPr>
        <w:t xml:space="preserve"> een entiteit kan worden aangewezen als essentiële entiteit</w:t>
      </w:r>
      <w:r w:rsidRPr="00FF46E3" w:rsidR="003E0389">
        <w:rPr>
          <w:rFonts w:ascii="Verdana" w:hAnsi="Verdana"/>
          <w:sz w:val="18"/>
          <w:szCs w:val="18"/>
        </w:rPr>
        <w:t xml:space="preserve"> bij besluit of regeling van de vakminister</w:t>
      </w:r>
      <w:r w:rsidR="00FF2EC0">
        <w:rPr>
          <w:rFonts w:ascii="Verdana" w:hAnsi="Verdana"/>
          <w:sz w:val="18"/>
          <w:szCs w:val="18"/>
        </w:rPr>
        <w:t>, na overleg met de Minister van Justitie en Veiligheid</w:t>
      </w:r>
      <w:r w:rsidRPr="00FF46E3" w:rsidR="003E0389">
        <w:rPr>
          <w:rFonts w:ascii="Verdana" w:hAnsi="Verdana"/>
          <w:sz w:val="18"/>
          <w:szCs w:val="18"/>
        </w:rPr>
        <w:t xml:space="preserve">. </w:t>
      </w:r>
      <w:r w:rsidR="008D5084">
        <w:rPr>
          <w:rFonts w:ascii="Verdana" w:hAnsi="Verdana"/>
          <w:sz w:val="18"/>
          <w:szCs w:val="18"/>
        </w:rPr>
        <w:t xml:space="preserve">Deze aanwijzing betreft een besluit in de zin van artikel 1:3 </w:t>
      </w:r>
      <w:proofErr w:type="spellStart"/>
      <w:r w:rsidR="008D5084">
        <w:rPr>
          <w:rFonts w:ascii="Verdana" w:hAnsi="Verdana"/>
          <w:sz w:val="18"/>
          <w:szCs w:val="18"/>
        </w:rPr>
        <w:t>Awb</w:t>
      </w:r>
      <w:proofErr w:type="spellEnd"/>
      <w:r w:rsidR="008D5084">
        <w:rPr>
          <w:rFonts w:ascii="Verdana" w:hAnsi="Verdana"/>
          <w:sz w:val="18"/>
          <w:szCs w:val="18"/>
        </w:rPr>
        <w:t xml:space="preserve">. Dit betekent dat </w:t>
      </w:r>
      <w:r w:rsidRPr="00895CF6" w:rsidR="008D5084">
        <w:rPr>
          <w:rFonts w:ascii="Verdana" w:hAnsi="Verdana"/>
          <w:sz w:val="18"/>
          <w:szCs w:val="18"/>
        </w:rPr>
        <w:t xml:space="preserve">de vakminister </w:t>
      </w:r>
      <w:r w:rsidR="008D5084">
        <w:rPr>
          <w:rFonts w:ascii="Verdana" w:hAnsi="Verdana"/>
          <w:sz w:val="18"/>
          <w:szCs w:val="18"/>
        </w:rPr>
        <w:t xml:space="preserve">bij de aanwijzing </w:t>
      </w:r>
      <w:r w:rsidRPr="00895CF6" w:rsidR="008D5084">
        <w:rPr>
          <w:rFonts w:ascii="Verdana" w:hAnsi="Verdana"/>
          <w:sz w:val="18"/>
          <w:szCs w:val="18"/>
        </w:rPr>
        <w:t xml:space="preserve">moet voldoen aan de in </w:t>
      </w:r>
      <w:r w:rsidR="008D5084">
        <w:rPr>
          <w:rFonts w:ascii="Verdana" w:hAnsi="Verdana"/>
          <w:sz w:val="18"/>
          <w:szCs w:val="18"/>
        </w:rPr>
        <w:t xml:space="preserve">de </w:t>
      </w:r>
      <w:proofErr w:type="spellStart"/>
      <w:r w:rsidR="008D5084">
        <w:rPr>
          <w:rFonts w:ascii="Verdana" w:hAnsi="Verdana"/>
          <w:sz w:val="18"/>
          <w:szCs w:val="18"/>
        </w:rPr>
        <w:t>Awb</w:t>
      </w:r>
      <w:proofErr w:type="spellEnd"/>
      <w:r w:rsidR="008D5084">
        <w:rPr>
          <w:rFonts w:ascii="Verdana" w:hAnsi="Verdana"/>
          <w:sz w:val="18"/>
          <w:szCs w:val="18"/>
        </w:rPr>
        <w:t xml:space="preserve"> </w:t>
      </w:r>
      <w:r w:rsidRPr="00895CF6" w:rsidR="008D5084">
        <w:rPr>
          <w:rFonts w:ascii="Verdana" w:hAnsi="Verdana"/>
          <w:sz w:val="18"/>
          <w:szCs w:val="18"/>
        </w:rPr>
        <w:t>gestelde eisen aan besluitvorming door bestuursorganen</w:t>
      </w:r>
      <w:r w:rsidR="008D5084">
        <w:rPr>
          <w:rFonts w:ascii="Verdana" w:hAnsi="Verdana"/>
          <w:sz w:val="18"/>
          <w:szCs w:val="18"/>
        </w:rPr>
        <w:t xml:space="preserve"> en dat tegen het aanwijzingsbesluit bestuursrechtelijke rechtsbescherming open staat</w:t>
      </w:r>
      <w:r w:rsidRPr="00895CF6" w:rsidR="008D5084">
        <w:rPr>
          <w:rFonts w:ascii="Verdana" w:hAnsi="Verdana"/>
          <w:sz w:val="18"/>
          <w:szCs w:val="18"/>
        </w:rPr>
        <w:t>.</w:t>
      </w:r>
      <w:r w:rsidR="008D5084">
        <w:rPr>
          <w:rFonts w:ascii="Verdana" w:hAnsi="Verdana"/>
          <w:sz w:val="18"/>
          <w:szCs w:val="18"/>
        </w:rPr>
        <w:t xml:space="preserve"> Dit geldt ook indien de vakminister ervoor kiest om een entiteit bij regeling aan te wijzen als </w:t>
      </w:r>
      <w:r w:rsidR="005C00B3">
        <w:rPr>
          <w:rFonts w:ascii="Verdana" w:hAnsi="Verdana"/>
          <w:sz w:val="18"/>
          <w:szCs w:val="18"/>
        </w:rPr>
        <w:t>essentiële</w:t>
      </w:r>
      <w:r w:rsidR="008D5084">
        <w:rPr>
          <w:rFonts w:ascii="Verdana" w:hAnsi="Verdana"/>
          <w:sz w:val="18"/>
          <w:szCs w:val="18"/>
        </w:rPr>
        <w:t xml:space="preserve"> entiteit. Ook dan gelden onverkort de hiervoor bedoelde eisen uit de </w:t>
      </w:r>
      <w:proofErr w:type="spellStart"/>
      <w:r w:rsidR="008D5084">
        <w:rPr>
          <w:rFonts w:ascii="Verdana" w:hAnsi="Verdana"/>
          <w:sz w:val="18"/>
          <w:szCs w:val="18"/>
        </w:rPr>
        <w:t>Awb</w:t>
      </w:r>
      <w:proofErr w:type="spellEnd"/>
      <w:r w:rsidR="008D5084">
        <w:rPr>
          <w:rFonts w:ascii="Verdana" w:hAnsi="Verdana"/>
          <w:sz w:val="18"/>
          <w:szCs w:val="18"/>
        </w:rPr>
        <w:t xml:space="preserve"> en bestuursrechtelijke rechtsbescherming. </w:t>
      </w:r>
    </w:p>
    <w:p w:rsidRPr="00C47325" w:rsidR="003E0389" w:rsidP="00CE333A" w:rsidRDefault="005C00B3" w14:paraId="44213C0D" w14:textId="2BB7D48F">
      <w:pPr>
        <w:pStyle w:val="Geenafstand"/>
        <w:rPr>
          <w:rFonts w:ascii="Verdana" w:hAnsi="Verdana"/>
          <w:sz w:val="18"/>
          <w:szCs w:val="18"/>
        </w:rPr>
      </w:pPr>
      <w:r>
        <w:rPr>
          <w:rFonts w:ascii="Verdana" w:hAnsi="Verdana"/>
          <w:sz w:val="18"/>
          <w:szCs w:val="18"/>
        </w:rPr>
        <w:t xml:space="preserve">Het is aan de vakminister om te kiezen tussen een aanwijzing bij besluit of een aanwijzing bij regeling. Het is denkbaar dat de keuze valt voor de aanwijzing bij besluit in de gevallen waarin </w:t>
      </w:r>
      <w:r w:rsidRPr="00FF46E3" w:rsidR="003E0389">
        <w:rPr>
          <w:rFonts w:ascii="Verdana" w:hAnsi="Verdana"/>
          <w:sz w:val="18"/>
          <w:szCs w:val="18"/>
        </w:rPr>
        <w:t>de openbaarheid van een aanwijzing als essentiële entiteit onaanvaardbare risico</w:t>
      </w:r>
      <w:r w:rsidR="00F12F81">
        <w:rPr>
          <w:rFonts w:ascii="Verdana" w:hAnsi="Verdana"/>
          <w:sz w:val="18"/>
          <w:szCs w:val="18"/>
        </w:rPr>
        <w:t>’</w:t>
      </w:r>
      <w:r w:rsidRPr="00FF46E3" w:rsidR="003E0389">
        <w:rPr>
          <w:rFonts w:ascii="Verdana" w:hAnsi="Verdana"/>
          <w:sz w:val="18"/>
          <w:szCs w:val="18"/>
        </w:rPr>
        <w:t xml:space="preserve">s met zich mee kan brengen voor de desbetreffende entiteit en gelet daarop mogelijk ook voor de nationale veiligheid. Dit kan bijvoorbeeld het geval zijn bij entiteiten die ogenschijnlijk niet kwalificeren als essentiële entiteit, maar waarvoor het door de aanwijzing bij ministeriële regeling voor eenieder, en dus ook voor </w:t>
      </w:r>
      <w:proofErr w:type="spellStart"/>
      <w:r w:rsidRPr="00FF46E3" w:rsidR="003E0389">
        <w:rPr>
          <w:rFonts w:ascii="Verdana" w:hAnsi="Verdana"/>
          <w:sz w:val="18"/>
          <w:szCs w:val="18"/>
        </w:rPr>
        <w:t>kwaadwillenden</w:t>
      </w:r>
      <w:proofErr w:type="spellEnd"/>
      <w:r w:rsidRPr="00FF46E3" w:rsidR="003E0389">
        <w:rPr>
          <w:rFonts w:ascii="Verdana" w:hAnsi="Verdana"/>
          <w:sz w:val="18"/>
          <w:szCs w:val="18"/>
        </w:rPr>
        <w:t>, bekend wordt dat die entiteit dat wel is. Die algemene bekendheid kan er dan toe leiden dat die entiteit wordt blootgesteld aan een grotere (cyber)dreiging dan wanneer de aanwijzing niet bekend zou zijn geworden. In zulke gevallen kan de vakminister kiezen voor een aanwijzing bij besluit.</w:t>
      </w:r>
    </w:p>
    <w:p w:rsidRPr="00C47325" w:rsidR="00CE333A" w:rsidP="00CE333A" w:rsidRDefault="00CE333A" w14:paraId="47CDDEC6" w14:textId="77777777">
      <w:pPr>
        <w:pStyle w:val="Geenafstand"/>
        <w:rPr>
          <w:rFonts w:ascii="Verdana" w:hAnsi="Verdana"/>
          <w:sz w:val="18"/>
          <w:szCs w:val="18"/>
        </w:rPr>
      </w:pPr>
    </w:p>
    <w:p w:rsidRPr="00BD3C4A" w:rsidR="00155394" w:rsidP="00155394" w:rsidRDefault="00155394" w14:paraId="04117C8A" w14:textId="55404F53">
      <w:pPr>
        <w:pStyle w:val="Geenafstand"/>
        <w:rPr>
          <w:rFonts w:ascii="Verdana" w:hAnsi="Verdana"/>
          <w:b/>
          <w:bCs/>
          <w:sz w:val="18"/>
          <w:szCs w:val="18"/>
        </w:rPr>
      </w:pPr>
      <w:bookmarkStart w:name="_Hlk162350232" w:id="257"/>
      <w:r w:rsidRPr="00BD3C4A">
        <w:rPr>
          <w:rFonts w:ascii="Verdana" w:hAnsi="Verdana"/>
          <w:b/>
          <w:bCs/>
          <w:sz w:val="18"/>
          <w:szCs w:val="18"/>
        </w:rPr>
        <w:t xml:space="preserve">Artikel </w:t>
      </w:r>
      <w:r>
        <w:rPr>
          <w:rFonts w:ascii="Verdana" w:hAnsi="Verdana"/>
          <w:b/>
          <w:bCs/>
          <w:sz w:val="18"/>
          <w:szCs w:val="18"/>
        </w:rPr>
        <w:t>10</w:t>
      </w:r>
      <w:r w:rsidRPr="00BD3C4A">
        <w:rPr>
          <w:rFonts w:ascii="Verdana" w:hAnsi="Verdana"/>
          <w:b/>
          <w:bCs/>
          <w:sz w:val="18"/>
          <w:szCs w:val="18"/>
        </w:rPr>
        <w:t xml:space="preserve"> (essentiële entiteit die aanbieder van een essentiële dienst was)</w:t>
      </w:r>
    </w:p>
    <w:p w:rsidRPr="00C47325" w:rsidR="00CE333A" w:rsidP="00CE333A" w:rsidRDefault="00CE333A" w14:paraId="4ADDDF7A" w14:textId="77777777">
      <w:pPr>
        <w:spacing w:after="0" w:line="240" w:lineRule="auto"/>
        <w:rPr>
          <w:rFonts w:ascii="Verdana" w:hAnsi="Verdana"/>
          <w:sz w:val="18"/>
          <w:szCs w:val="18"/>
        </w:rPr>
      </w:pPr>
    </w:p>
    <w:p w:rsidRPr="00C47325" w:rsidR="00AA7B87" w:rsidP="00CE333A" w:rsidRDefault="00CE333A" w14:paraId="2DE256F5" w14:textId="22D02D56">
      <w:pPr>
        <w:spacing w:after="0" w:line="240" w:lineRule="auto"/>
        <w:rPr>
          <w:rFonts w:ascii="Verdana" w:hAnsi="Verdana"/>
          <w:sz w:val="18"/>
          <w:szCs w:val="18"/>
        </w:rPr>
      </w:pPr>
      <w:r w:rsidRPr="00C47325">
        <w:rPr>
          <w:rFonts w:ascii="Verdana" w:hAnsi="Verdana"/>
          <w:sz w:val="18"/>
          <w:szCs w:val="18"/>
        </w:rPr>
        <w:t xml:space="preserve">Artikel </w:t>
      </w:r>
      <w:r w:rsidR="00C04760">
        <w:rPr>
          <w:rFonts w:ascii="Verdana" w:hAnsi="Verdana"/>
          <w:sz w:val="18"/>
          <w:szCs w:val="18"/>
        </w:rPr>
        <w:t>10</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3, eerste lid, onderdeel g, NIS2-richtlijn. Overweging 17 </w:t>
      </w:r>
      <w:r w:rsidR="00DF67C4">
        <w:rPr>
          <w:rFonts w:ascii="Verdana" w:hAnsi="Verdana"/>
          <w:sz w:val="18"/>
          <w:szCs w:val="18"/>
        </w:rPr>
        <w:t xml:space="preserve">van de </w:t>
      </w:r>
      <w:r w:rsidRPr="00C47325">
        <w:rPr>
          <w:rFonts w:ascii="Verdana" w:hAnsi="Verdana"/>
          <w:sz w:val="18"/>
          <w:szCs w:val="18"/>
        </w:rPr>
        <w:t xml:space="preserve">NIS2-richtlijn gaat hier ook nader op in. In artikel </w:t>
      </w:r>
      <w:r w:rsidR="00C04760">
        <w:rPr>
          <w:rFonts w:ascii="Verdana" w:hAnsi="Verdana"/>
          <w:sz w:val="18"/>
          <w:szCs w:val="18"/>
        </w:rPr>
        <w:t>10</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is geregeld dat entiteiten die op grond van de </w:t>
      </w:r>
      <w:proofErr w:type="spellStart"/>
      <w:r w:rsidRPr="00C47325" w:rsidR="003F2349">
        <w:rPr>
          <w:rFonts w:ascii="Verdana" w:hAnsi="Verdana"/>
          <w:sz w:val="18"/>
          <w:szCs w:val="18"/>
        </w:rPr>
        <w:t>Wbni</w:t>
      </w:r>
      <w:proofErr w:type="spellEnd"/>
      <w:r w:rsidRPr="00C47325">
        <w:rPr>
          <w:rFonts w:ascii="Verdana" w:hAnsi="Verdana"/>
          <w:sz w:val="18"/>
          <w:szCs w:val="18"/>
        </w:rPr>
        <w:t xml:space="preserve"> zijn aangewezen als aanbieder van een essentiële dienst, kunnen worden aangewezen als essentiële entiteit. Deze bevoegdheid is belegd bij de vakminister, die onder de NIS1-richtlijn ook verantwoordelijk was voor de aanwijzing van aanbieders als aanbieder van een essentiële dienst. </w:t>
      </w:r>
      <w:r w:rsidR="00FF2EC0">
        <w:rPr>
          <w:rFonts w:ascii="Verdana" w:hAnsi="Verdana"/>
          <w:sz w:val="18"/>
          <w:szCs w:val="18"/>
        </w:rPr>
        <w:t>De vakminister kan na overleg met de Minister van Justitie en Veiligheid overgaan tot de hiervoor bedoelde aanwijzing.</w:t>
      </w:r>
    </w:p>
    <w:bookmarkEnd w:id="257"/>
    <w:p w:rsidRPr="00C47325" w:rsidR="001079CB" w:rsidP="00CE333A" w:rsidRDefault="001079CB" w14:paraId="121B288A" w14:textId="77777777">
      <w:pPr>
        <w:spacing w:after="0" w:line="240" w:lineRule="auto"/>
        <w:rPr>
          <w:rFonts w:ascii="Verdana" w:hAnsi="Verdana"/>
          <w:sz w:val="18"/>
          <w:szCs w:val="18"/>
        </w:rPr>
      </w:pPr>
    </w:p>
    <w:p w:rsidRPr="00BD3C4A" w:rsidR="00155394" w:rsidP="00155394" w:rsidRDefault="00155394" w14:paraId="4A54F96B" w14:textId="72ABAC40">
      <w:pPr>
        <w:pStyle w:val="Geenafstand"/>
        <w:rPr>
          <w:rFonts w:ascii="Verdana" w:hAnsi="Verdana"/>
          <w:b/>
          <w:bCs/>
          <w:sz w:val="18"/>
          <w:szCs w:val="18"/>
        </w:rPr>
      </w:pPr>
      <w:bookmarkStart w:name="_Hlk181192722" w:id="258"/>
      <w:r w:rsidRPr="00BD3C4A">
        <w:rPr>
          <w:rFonts w:ascii="Verdana" w:hAnsi="Verdana"/>
          <w:b/>
          <w:bCs/>
          <w:sz w:val="18"/>
          <w:szCs w:val="18"/>
        </w:rPr>
        <w:t xml:space="preserve">Artikel </w:t>
      </w:r>
      <w:r>
        <w:rPr>
          <w:rFonts w:ascii="Verdana" w:hAnsi="Verdana"/>
          <w:b/>
          <w:bCs/>
          <w:sz w:val="18"/>
          <w:szCs w:val="18"/>
        </w:rPr>
        <w:t>11</w:t>
      </w:r>
      <w:r w:rsidRPr="00BD3C4A">
        <w:rPr>
          <w:rFonts w:ascii="Verdana" w:hAnsi="Verdana"/>
          <w:b/>
          <w:bCs/>
          <w:sz w:val="18"/>
          <w:szCs w:val="18"/>
        </w:rPr>
        <w:t xml:space="preserve"> (</w:t>
      </w:r>
      <w:r>
        <w:rPr>
          <w:rFonts w:ascii="Verdana" w:hAnsi="Verdana"/>
          <w:b/>
          <w:bCs/>
          <w:sz w:val="18"/>
          <w:szCs w:val="18"/>
        </w:rPr>
        <w:t xml:space="preserve">aanwijzing </w:t>
      </w:r>
      <w:r w:rsidRPr="00A7780F" w:rsidR="00A7780F">
        <w:rPr>
          <w:rFonts w:ascii="Verdana" w:hAnsi="Verdana"/>
          <w:b/>
          <w:bCs/>
          <w:sz w:val="18"/>
          <w:szCs w:val="18"/>
        </w:rPr>
        <w:t>instelling voor hoger onderwijs</w:t>
      </w:r>
      <w:r>
        <w:rPr>
          <w:rFonts w:ascii="Verdana" w:hAnsi="Verdana"/>
          <w:b/>
          <w:bCs/>
          <w:sz w:val="18"/>
          <w:szCs w:val="18"/>
        </w:rPr>
        <w:t xml:space="preserve"> als essentiële entiteit</w:t>
      </w:r>
      <w:r w:rsidRPr="00BD3C4A">
        <w:rPr>
          <w:rFonts w:ascii="Verdana" w:hAnsi="Verdana"/>
          <w:b/>
          <w:bCs/>
          <w:sz w:val="18"/>
          <w:szCs w:val="18"/>
        </w:rPr>
        <w:t>)</w:t>
      </w:r>
    </w:p>
    <w:bookmarkEnd w:id="258"/>
    <w:p w:rsidRPr="00C47325" w:rsidR="00AA7B87" w:rsidP="00CE333A" w:rsidRDefault="00AA7B87" w14:paraId="646A3FFE" w14:textId="77777777">
      <w:pPr>
        <w:pStyle w:val="Geenafstand"/>
        <w:rPr>
          <w:rFonts w:ascii="Verdana" w:hAnsi="Verdana"/>
          <w:sz w:val="18"/>
          <w:szCs w:val="18"/>
        </w:rPr>
      </w:pPr>
    </w:p>
    <w:p w:rsidR="00AA7B87" w:rsidP="00CE333A" w:rsidRDefault="00CE333A" w14:paraId="2DEEF693" w14:textId="759F7675">
      <w:pPr>
        <w:spacing w:after="0" w:line="240" w:lineRule="auto"/>
        <w:rPr>
          <w:rFonts w:ascii="Verdana" w:hAnsi="Verdana"/>
          <w:sz w:val="18"/>
          <w:szCs w:val="18"/>
        </w:rPr>
      </w:pPr>
      <w:r w:rsidRPr="00C47325">
        <w:rPr>
          <w:rFonts w:ascii="Verdana" w:hAnsi="Verdana"/>
          <w:sz w:val="18"/>
          <w:szCs w:val="18"/>
        </w:rPr>
        <w:t xml:space="preserve">Artikel 2, vijfde lid, onderdeel b, NIS2-richtlijn biedt lidstaten de mogelijkheid om te bepalen dat de richtlijn ook van toepassing is op onderwijsinstellingen, met name wanneer zij kritieke onderzoeksactiviteiten verrichten. Deze mogelijkheid is geïmplementeerd in de artikelen </w:t>
      </w:r>
      <w:r w:rsidR="008663A5">
        <w:rPr>
          <w:rFonts w:ascii="Verdana" w:hAnsi="Verdana"/>
          <w:sz w:val="18"/>
          <w:szCs w:val="18"/>
        </w:rPr>
        <w:t>1</w:t>
      </w:r>
      <w:r w:rsidR="00C04760">
        <w:rPr>
          <w:rFonts w:ascii="Verdana" w:hAnsi="Verdana"/>
          <w:sz w:val="18"/>
          <w:szCs w:val="18"/>
        </w:rPr>
        <w:t>1</w:t>
      </w:r>
      <w:r w:rsidRPr="00C47325">
        <w:rPr>
          <w:rFonts w:ascii="Verdana" w:hAnsi="Verdana"/>
          <w:sz w:val="18"/>
          <w:szCs w:val="18"/>
        </w:rPr>
        <w:t xml:space="preserve"> en </w:t>
      </w:r>
      <w:r w:rsidR="007A53BF">
        <w:rPr>
          <w:rFonts w:ascii="Verdana" w:hAnsi="Verdana"/>
          <w:sz w:val="18"/>
          <w:szCs w:val="18"/>
        </w:rPr>
        <w:t>1</w:t>
      </w:r>
      <w:r w:rsidR="00C04760">
        <w:rPr>
          <w:rFonts w:ascii="Verdana" w:hAnsi="Verdana"/>
          <w:sz w:val="18"/>
          <w:szCs w:val="18"/>
        </w:rPr>
        <w:t>3</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w:t>
      </w:r>
      <w:r w:rsidRPr="00C47325" w:rsidR="00AA7B87">
        <w:rPr>
          <w:rFonts w:ascii="Verdana" w:hAnsi="Verdana"/>
          <w:sz w:val="18"/>
          <w:szCs w:val="18"/>
        </w:rPr>
        <w:t>Paragraaf 5.1.</w:t>
      </w:r>
      <w:r w:rsidR="00AA7B87">
        <w:rPr>
          <w:rFonts w:ascii="Verdana" w:hAnsi="Verdana"/>
          <w:sz w:val="18"/>
          <w:szCs w:val="18"/>
        </w:rPr>
        <w:t>3</w:t>
      </w:r>
      <w:r w:rsidRPr="00C47325" w:rsidR="00AA7B87">
        <w:rPr>
          <w:rFonts w:ascii="Verdana" w:hAnsi="Verdana"/>
          <w:sz w:val="18"/>
          <w:szCs w:val="18"/>
        </w:rPr>
        <w:t xml:space="preserve"> gaat hier nader op in. </w:t>
      </w:r>
    </w:p>
    <w:p w:rsidR="00AA7B87" w:rsidP="00CE333A" w:rsidRDefault="00AA7B87" w14:paraId="7CA10836" w14:textId="77777777">
      <w:pPr>
        <w:spacing w:after="0" w:line="240" w:lineRule="auto"/>
        <w:rPr>
          <w:rFonts w:ascii="Verdana" w:hAnsi="Verdana"/>
          <w:sz w:val="18"/>
          <w:szCs w:val="18"/>
        </w:rPr>
      </w:pPr>
    </w:p>
    <w:p w:rsidRPr="00C47325" w:rsidR="00CE333A" w:rsidP="00CE333A" w:rsidRDefault="00CE333A" w14:paraId="64AC79AB" w14:textId="452B2413">
      <w:pPr>
        <w:spacing w:after="0" w:line="240" w:lineRule="auto"/>
        <w:rPr>
          <w:rFonts w:ascii="Verdana" w:hAnsi="Verdana"/>
          <w:sz w:val="18"/>
          <w:szCs w:val="18"/>
        </w:rPr>
      </w:pPr>
      <w:r w:rsidRPr="00C47325">
        <w:rPr>
          <w:rFonts w:ascii="Verdana" w:hAnsi="Verdana"/>
          <w:sz w:val="18"/>
          <w:szCs w:val="18"/>
        </w:rPr>
        <w:t xml:space="preserve">Artikel </w:t>
      </w:r>
      <w:r w:rsidR="00C04760">
        <w:rPr>
          <w:rFonts w:ascii="Verdana" w:hAnsi="Verdana"/>
          <w:sz w:val="18"/>
          <w:szCs w:val="18"/>
        </w:rPr>
        <w:t>1</w:t>
      </w:r>
      <w:r w:rsidR="008663A5">
        <w:rPr>
          <w:rFonts w:ascii="Verdana" w:hAnsi="Verdana"/>
          <w:sz w:val="18"/>
          <w:szCs w:val="18"/>
        </w:rPr>
        <w:t>1</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biedt de Minister van Onderwijs, Cultuur en Wetenschap de mogelijkheid om instellingen voor hoger onderwijs aan te wijzen als essentiële entiteit. </w:t>
      </w:r>
      <w:r w:rsidR="00AA7B87">
        <w:rPr>
          <w:rFonts w:ascii="Verdana" w:hAnsi="Verdana"/>
          <w:sz w:val="18"/>
          <w:szCs w:val="18"/>
        </w:rPr>
        <w:t>Deze aanwijzing kan bij regeling of besluit</w:t>
      </w:r>
      <w:r w:rsidR="00FF2EC0">
        <w:rPr>
          <w:rFonts w:ascii="Verdana" w:hAnsi="Verdana"/>
          <w:sz w:val="18"/>
          <w:szCs w:val="18"/>
        </w:rPr>
        <w:t xml:space="preserve"> en gebeurt na overleg met de Minister van Justitie en Veiligheid</w:t>
      </w:r>
      <w:r w:rsidR="00AA7B87">
        <w:rPr>
          <w:rFonts w:ascii="Verdana" w:hAnsi="Verdana"/>
          <w:sz w:val="18"/>
          <w:szCs w:val="18"/>
        </w:rPr>
        <w:t>. Het is aan de Minister van Onderwijs, Cultuur en Wetenschap</w:t>
      </w:r>
      <w:r w:rsidRPr="00C47325">
        <w:rPr>
          <w:rFonts w:ascii="Verdana" w:hAnsi="Verdana"/>
          <w:sz w:val="18"/>
          <w:szCs w:val="18"/>
        </w:rPr>
        <w:t xml:space="preserve"> </w:t>
      </w:r>
      <w:r w:rsidR="00AA7B87">
        <w:rPr>
          <w:rFonts w:ascii="Verdana" w:hAnsi="Verdana"/>
          <w:sz w:val="18"/>
          <w:szCs w:val="18"/>
        </w:rPr>
        <w:t xml:space="preserve">om te bepalen of de aanwijzing geschiedt bij regeling of bij besluit. Voor een nadere toelichting op de aanwijzing bij regeling of besluit wordt verwezen naar de artikelsgewijze toelichting op artikel </w:t>
      </w:r>
      <w:r w:rsidR="006467C3">
        <w:rPr>
          <w:rFonts w:ascii="Verdana" w:hAnsi="Verdana"/>
          <w:sz w:val="18"/>
          <w:szCs w:val="18"/>
        </w:rPr>
        <w:t>9</w:t>
      </w:r>
      <w:r w:rsidR="00AA7B87">
        <w:rPr>
          <w:rFonts w:ascii="Verdana" w:hAnsi="Verdana"/>
          <w:sz w:val="18"/>
          <w:szCs w:val="18"/>
        </w:rPr>
        <w:t xml:space="preserve"> </w:t>
      </w:r>
      <w:proofErr w:type="spellStart"/>
      <w:r w:rsidR="00AA7B87">
        <w:rPr>
          <w:rFonts w:ascii="Verdana" w:hAnsi="Verdana"/>
          <w:sz w:val="18"/>
          <w:szCs w:val="18"/>
        </w:rPr>
        <w:t>Cbw</w:t>
      </w:r>
      <w:proofErr w:type="spellEnd"/>
      <w:r w:rsidR="00AA7B87">
        <w:rPr>
          <w:rFonts w:ascii="Verdana" w:hAnsi="Verdana"/>
          <w:sz w:val="18"/>
          <w:szCs w:val="18"/>
        </w:rPr>
        <w:t xml:space="preserve">. </w:t>
      </w:r>
    </w:p>
    <w:p w:rsidRPr="00C47325" w:rsidR="00CE333A" w:rsidP="00CE333A" w:rsidRDefault="00CE333A" w14:paraId="47C47208" w14:textId="77777777">
      <w:pPr>
        <w:pStyle w:val="Geenafstand"/>
        <w:rPr>
          <w:rFonts w:ascii="Verdana" w:hAnsi="Verdana"/>
          <w:sz w:val="18"/>
          <w:szCs w:val="18"/>
        </w:rPr>
      </w:pPr>
    </w:p>
    <w:p w:rsidRPr="00BD3C4A" w:rsidR="00155394" w:rsidP="00155394" w:rsidRDefault="00155394" w14:paraId="615E21D9" w14:textId="19AD3781">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12</w:t>
      </w:r>
      <w:r w:rsidRPr="00BD3C4A">
        <w:rPr>
          <w:rFonts w:ascii="Verdana" w:hAnsi="Verdana"/>
          <w:b/>
          <w:bCs/>
          <w:sz w:val="18"/>
          <w:szCs w:val="18"/>
        </w:rPr>
        <w:t xml:space="preserve"> (belangrijke entiteit van rechtswege)</w:t>
      </w:r>
    </w:p>
    <w:p w:rsidRPr="00C47325" w:rsidR="00CE333A" w:rsidP="00CE333A" w:rsidRDefault="00CE333A" w14:paraId="75CC3F89" w14:textId="77777777">
      <w:pPr>
        <w:spacing w:after="0" w:line="240" w:lineRule="auto"/>
        <w:rPr>
          <w:rFonts w:ascii="Verdana" w:hAnsi="Verdana"/>
          <w:sz w:val="18"/>
          <w:szCs w:val="18"/>
        </w:rPr>
      </w:pPr>
    </w:p>
    <w:p w:rsidRPr="00C47325" w:rsidR="00CE333A" w:rsidP="00CE333A" w:rsidRDefault="00CE333A" w14:paraId="37AE6EB8" w14:textId="25370BF5">
      <w:pPr>
        <w:spacing w:after="0" w:line="240" w:lineRule="auto"/>
        <w:rPr>
          <w:rFonts w:ascii="Verdana" w:hAnsi="Verdana"/>
          <w:sz w:val="18"/>
          <w:szCs w:val="18"/>
        </w:rPr>
      </w:pPr>
      <w:r w:rsidRPr="00C47325">
        <w:rPr>
          <w:rFonts w:ascii="Verdana" w:hAnsi="Verdana"/>
          <w:sz w:val="18"/>
          <w:szCs w:val="18"/>
        </w:rPr>
        <w:t xml:space="preserve">Artikel </w:t>
      </w:r>
      <w:r w:rsidR="008663A5">
        <w:rPr>
          <w:rFonts w:ascii="Verdana" w:hAnsi="Verdana"/>
          <w:sz w:val="18"/>
          <w:szCs w:val="18"/>
        </w:rPr>
        <w:t>1</w:t>
      </w:r>
      <w:r w:rsidR="00012A9F">
        <w:rPr>
          <w:rFonts w:ascii="Verdana" w:hAnsi="Verdana"/>
          <w:sz w:val="18"/>
          <w:szCs w:val="18"/>
        </w:rPr>
        <w:t>2</w:t>
      </w:r>
      <w:r w:rsidRPr="00C47325">
        <w:rPr>
          <w:rFonts w:ascii="Verdana" w:hAnsi="Verdana"/>
          <w:sz w:val="18"/>
          <w:szCs w:val="18"/>
        </w:rPr>
        <w:t xml:space="preserve">, eerste lid,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3, tweede lid, NIS2-richtlijn. Voor een toelichting wordt verwezen naar paragraaf 5.</w:t>
      </w:r>
      <w:r w:rsidR="00AA7B87">
        <w:rPr>
          <w:rFonts w:ascii="Verdana" w:hAnsi="Verdana"/>
          <w:sz w:val="18"/>
          <w:szCs w:val="18"/>
        </w:rPr>
        <w:t>1</w:t>
      </w:r>
      <w:r w:rsidRPr="00C47325">
        <w:rPr>
          <w:rFonts w:ascii="Verdana" w:hAnsi="Verdana"/>
          <w:sz w:val="18"/>
          <w:szCs w:val="18"/>
        </w:rPr>
        <w:t>.1.</w:t>
      </w:r>
    </w:p>
    <w:p w:rsidRPr="00C47325" w:rsidR="00CE333A" w:rsidP="00CE333A" w:rsidRDefault="00CE333A" w14:paraId="39DA5DBD" w14:textId="77777777">
      <w:pPr>
        <w:spacing w:after="0" w:line="240" w:lineRule="auto"/>
        <w:rPr>
          <w:rFonts w:ascii="Verdana" w:hAnsi="Verdana"/>
          <w:sz w:val="18"/>
          <w:szCs w:val="18"/>
        </w:rPr>
      </w:pPr>
    </w:p>
    <w:p w:rsidRPr="00C47325" w:rsidR="00CE333A" w:rsidP="00CE333A" w:rsidRDefault="00CE333A" w14:paraId="094AEDC9" w14:textId="4BD28EE8">
      <w:pPr>
        <w:spacing w:after="0" w:line="240" w:lineRule="auto"/>
        <w:rPr>
          <w:rFonts w:ascii="Verdana" w:hAnsi="Verdana"/>
          <w:sz w:val="18"/>
          <w:szCs w:val="18"/>
        </w:rPr>
      </w:pPr>
      <w:r w:rsidRPr="00C47325">
        <w:rPr>
          <w:rFonts w:ascii="Verdana" w:hAnsi="Verdana"/>
          <w:sz w:val="18"/>
          <w:szCs w:val="18"/>
        </w:rPr>
        <w:t xml:space="preserve">Artikel </w:t>
      </w:r>
      <w:r w:rsidR="008663A5">
        <w:rPr>
          <w:rFonts w:ascii="Verdana" w:hAnsi="Verdana"/>
          <w:sz w:val="18"/>
          <w:szCs w:val="18"/>
        </w:rPr>
        <w:t>1</w:t>
      </w:r>
      <w:r w:rsidR="00012A9F">
        <w:rPr>
          <w:rFonts w:ascii="Verdana" w:hAnsi="Verdana"/>
          <w:sz w:val="18"/>
          <w:szCs w:val="18"/>
        </w:rPr>
        <w:t>2</w:t>
      </w:r>
      <w:r w:rsidRPr="00C47325">
        <w:rPr>
          <w:rFonts w:ascii="Verdana" w:hAnsi="Verdana"/>
          <w:sz w:val="18"/>
          <w:szCs w:val="18"/>
        </w:rPr>
        <w:t xml:space="preserve">, tweede lid,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2, eerste lid, tweede volzin, NIS2-richtlijn. Hierin is bepaald dat artikel 3, vierde lid, van de bijlage bij de Aanbeveling 2003/361/EG niet geldt voor de toepassing van de NIS2-richtlijn. Dat betekent concreet dat ondernemingen waarvan 25% of meer van het kapitaal of de stemrechten in handen is van overheidsinstanties alsnog kunnen kwalificeren als micro, kleine of middelgrote onderneming.</w:t>
      </w:r>
    </w:p>
    <w:p w:rsidRPr="00C47325" w:rsidR="00CE333A" w:rsidP="00CE333A" w:rsidRDefault="00CE333A" w14:paraId="1A90EE7F" w14:textId="77777777">
      <w:pPr>
        <w:pStyle w:val="Geenafstand"/>
        <w:rPr>
          <w:rFonts w:ascii="Verdana" w:hAnsi="Verdana"/>
          <w:sz w:val="18"/>
          <w:szCs w:val="18"/>
        </w:rPr>
      </w:pPr>
    </w:p>
    <w:p w:rsidRPr="00BD3C4A" w:rsidR="00155394" w:rsidP="00155394" w:rsidRDefault="00155394" w14:paraId="022B73CB" w14:textId="7FC0A37C">
      <w:pPr>
        <w:pStyle w:val="Geenafstand"/>
        <w:rPr>
          <w:rFonts w:ascii="Verdana" w:hAnsi="Verdana"/>
          <w:b/>
          <w:bCs/>
          <w:sz w:val="18"/>
          <w:szCs w:val="18"/>
        </w:rPr>
      </w:pPr>
      <w:bookmarkStart w:name="_Hlk181192728" w:id="259"/>
      <w:r w:rsidRPr="00BD3C4A">
        <w:rPr>
          <w:rFonts w:ascii="Verdana" w:hAnsi="Verdana"/>
          <w:b/>
          <w:bCs/>
          <w:sz w:val="18"/>
          <w:szCs w:val="18"/>
        </w:rPr>
        <w:t xml:space="preserve">Artikel </w:t>
      </w:r>
      <w:r>
        <w:rPr>
          <w:rFonts w:ascii="Verdana" w:hAnsi="Verdana"/>
          <w:b/>
          <w:bCs/>
          <w:sz w:val="18"/>
          <w:szCs w:val="18"/>
        </w:rPr>
        <w:t>13</w:t>
      </w:r>
      <w:r w:rsidRPr="00BD3C4A">
        <w:rPr>
          <w:rFonts w:ascii="Verdana" w:hAnsi="Verdana"/>
          <w:b/>
          <w:bCs/>
          <w:sz w:val="18"/>
          <w:szCs w:val="18"/>
        </w:rPr>
        <w:t xml:space="preserve"> (</w:t>
      </w:r>
      <w:r>
        <w:rPr>
          <w:rFonts w:ascii="Verdana" w:hAnsi="Verdana"/>
          <w:b/>
          <w:bCs/>
          <w:sz w:val="18"/>
          <w:szCs w:val="18"/>
        </w:rPr>
        <w:t xml:space="preserve">aanwijzing </w:t>
      </w:r>
      <w:r w:rsidRPr="006467C3" w:rsidR="006467C3">
        <w:rPr>
          <w:rFonts w:ascii="Verdana" w:hAnsi="Verdana"/>
          <w:b/>
          <w:bCs/>
          <w:sz w:val="18"/>
          <w:szCs w:val="18"/>
        </w:rPr>
        <w:t>instelling voor hoger onderwijs</w:t>
      </w:r>
      <w:r>
        <w:rPr>
          <w:rFonts w:ascii="Verdana" w:hAnsi="Verdana"/>
          <w:b/>
          <w:bCs/>
          <w:sz w:val="18"/>
          <w:szCs w:val="18"/>
        </w:rPr>
        <w:t xml:space="preserve"> als belangrijke entiteit</w:t>
      </w:r>
      <w:r w:rsidRPr="00BD3C4A">
        <w:rPr>
          <w:rFonts w:ascii="Verdana" w:hAnsi="Verdana"/>
          <w:b/>
          <w:bCs/>
          <w:sz w:val="18"/>
          <w:szCs w:val="18"/>
        </w:rPr>
        <w:t>)</w:t>
      </w:r>
    </w:p>
    <w:bookmarkEnd w:id="259"/>
    <w:p w:rsidRPr="00C47325" w:rsidR="00CE333A" w:rsidP="00CE333A" w:rsidRDefault="00CE333A" w14:paraId="4B8A3DD3" w14:textId="77777777">
      <w:pPr>
        <w:pStyle w:val="Geenafstand"/>
        <w:rPr>
          <w:rFonts w:ascii="Verdana" w:hAnsi="Verdana"/>
          <w:b/>
          <w:bCs/>
          <w:sz w:val="18"/>
          <w:szCs w:val="18"/>
        </w:rPr>
      </w:pPr>
    </w:p>
    <w:p w:rsidR="00AA7B87" w:rsidP="00CE333A" w:rsidRDefault="00CE333A" w14:paraId="53080735" w14:textId="7A11C9CB">
      <w:pPr>
        <w:spacing w:after="0" w:line="240" w:lineRule="auto"/>
        <w:rPr>
          <w:rFonts w:ascii="Verdana" w:hAnsi="Verdana"/>
          <w:sz w:val="18"/>
          <w:szCs w:val="18"/>
        </w:rPr>
      </w:pPr>
      <w:r w:rsidRPr="00C47325">
        <w:rPr>
          <w:rFonts w:ascii="Verdana" w:hAnsi="Verdana"/>
          <w:sz w:val="18"/>
          <w:szCs w:val="18"/>
        </w:rPr>
        <w:t xml:space="preserve">Artikel 2, vijfde lid, onderdeel b, NIS2-richtlijn biedt lidstaten de mogelijkheid om te bepalen dat de richtlijn ook van toepassing is op onderwijsinstellingen, met name wanneer zij kritieke onderzoeksactiviteiten verrichten. Deze mogelijkheid is geïmplementeerd in de artikelen </w:t>
      </w:r>
      <w:r w:rsidR="008663A5">
        <w:rPr>
          <w:rFonts w:ascii="Verdana" w:hAnsi="Verdana"/>
          <w:sz w:val="18"/>
          <w:szCs w:val="18"/>
        </w:rPr>
        <w:t>1</w:t>
      </w:r>
      <w:r w:rsidR="00012A9F">
        <w:rPr>
          <w:rFonts w:ascii="Verdana" w:hAnsi="Verdana"/>
          <w:sz w:val="18"/>
          <w:szCs w:val="18"/>
        </w:rPr>
        <w:t>1</w:t>
      </w:r>
      <w:r w:rsidRPr="00C47325">
        <w:rPr>
          <w:rFonts w:ascii="Verdana" w:hAnsi="Verdana"/>
          <w:sz w:val="18"/>
          <w:szCs w:val="18"/>
        </w:rPr>
        <w:t xml:space="preserve"> en </w:t>
      </w:r>
      <w:r w:rsidR="007A53BF">
        <w:rPr>
          <w:rFonts w:ascii="Verdana" w:hAnsi="Verdana"/>
          <w:sz w:val="18"/>
          <w:szCs w:val="18"/>
        </w:rPr>
        <w:t>1</w:t>
      </w:r>
      <w:r w:rsidR="00012A9F">
        <w:rPr>
          <w:rFonts w:ascii="Verdana" w:hAnsi="Verdana"/>
          <w:sz w:val="18"/>
          <w:szCs w:val="18"/>
        </w:rPr>
        <w:t>3</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w:t>
      </w:r>
      <w:r w:rsidRPr="00C47325" w:rsidR="00AA7B87">
        <w:rPr>
          <w:rFonts w:ascii="Verdana" w:hAnsi="Verdana"/>
          <w:sz w:val="18"/>
          <w:szCs w:val="18"/>
        </w:rPr>
        <w:t>Paragraaf 5.1.</w:t>
      </w:r>
      <w:r w:rsidR="00AA7B87">
        <w:rPr>
          <w:rFonts w:ascii="Verdana" w:hAnsi="Verdana"/>
          <w:sz w:val="18"/>
          <w:szCs w:val="18"/>
        </w:rPr>
        <w:t>3</w:t>
      </w:r>
      <w:r w:rsidRPr="00C47325" w:rsidR="00AA7B87">
        <w:rPr>
          <w:rFonts w:ascii="Verdana" w:hAnsi="Verdana"/>
          <w:sz w:val="18"/>
          <w:szCs w:val="18"/>
        </w:rPr>
        <w:t xml:space="preserve"> gaat hier nader op in. </w:t>
      </w:r>
    </w:p>
    <w:p w:rsidR="00AA7B87" w:rsidP="00CE333A" w:rsidRDefault="00AA7B87" w14:paraId="58ECA698" w14:textId="77777777">
      <w:pPr>
        <w:spacing w:after="0" w:line="240" w:lineRule="auto"/>
        <w:rPr>
          <w:rFonts w:ascii="Verdana" w:hAnsi="Verdana"/>
          <w:sz w:val="18"/>
          <w:szCs w:val="18"/>
        </w:rPr>
      </w:pPr>
    </w:p>
    <w:p w:rsidR="00AA7B87" w:rsidP="00CE333A" w:rsidRDefault="00CE333A" w14:paraId="0833CB0D" w14:textId="0A61D70C">
      <w:pPr>
        <w:spacing w:after="0" w:line="240" w:lineRule="auto"/>
        <w:rPr>
          <w:rFonts w:ascii="Verdana" w:hAnsi="Verdana"/>
          <w:sz w:val="18"/>
          <w:szCs w:val="18"/>
        </w:rPr>
      </w:pPr>
      <w:r w:rsidRPr="00C47325">
        <w:rPr>
          <w:rFonts w:ascii="Verdana" w:hAnsi="Verdana"/>
          <w:sz w:val="18"/>
          <w:szCs w:val="18"/>
        </w:rPr>
        <w:t xml:space="preserve">Artikel </w:t>
      </w:r>
      <w:r w:rsidR="007A53BF">
        <w:rPr>
          <w:rFonts w:ascii="Verdana" w:hAnsi="Verdana"/>
          <w:sz w:val="18"/>
          <w:szCs w:val="18"/>
        </w:rPr>
        <w:t>1</w:t>
      </w:r>
      <w:r w:rsidR="00012A9F">
        <w:rPr>
          <w:rFonts w:ascii="Verdana" w:hAnsi="Verdana"/>
          <w:sz w:val="18"/>
          <w:szCs w:val="18"/>
        </w:rPr>
        <w:t>3</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biedt de Minister van Onderwijs, Cultuur en Wetenschap de mogelijkheid om instellingen voor hoger onderwijs aan te wijzen als belangrijke entiteit. </w:t>
      </w:r>
      <w:r w:rsidR="00AA7B87">
        <w:rPr>
          <w:rFonts w:ascii="Verdana" w:hAnsi="Verdana"/>
          <w:sz w:val="18"/>
          <w:szCs w:val="18"/>
        </w:rPr>
        <w:t>Deze aanwijzing kan bij regeling of besluit</w:t>
      </w:r>
      <w:r w:rsidR="00FF2EC0">
        <w:rPr>
          <w:rFonts w:ascii="Verdana" w:hAnsi="Verdana"/>
          <w:sz w:val="18"/>
          <w:szCs w:val="18"/>
        </w:rPr>
        <w:t xml:space="preserve"> en gebeurt na overleg met de Minister van Justitie en Veiligheid</w:t>
      </w:r>
      <w:r w:rsidR="00AA7B87">
        <w:rPr>
          <w:rFonts w:ascii="Verdana" w:hAnsi="Verdana"/>
          <w:sz w:val="18"/>
          <w:szCs w:val="18"/>
        </w:rPr>
        <w:t>. Het is aan de Minister van Onderwijs, Cultuur en Wetenschap</w:t>
      </w:r>
      <w:r w:rsidRPr="00C47325" w:rsidR="00AA7B87">
        <w:rPr>
          <w:rFonts w:ascii="Verdana" w:hAnsi="Verdana"/>
          <w:sz w:val="18"/>
          <w:szCs w:val="18"/>
        </w:rPr>
        <w:t xml:space="preserve"> </w:t>
      </w:r>
      <w:r w:rsidR="00AA7B87">
        <w:rPr>
          <w:rFonts w:ascii="Verdana" w:hAnsi="Verdana"/>
          <w:sz w:val="18"/>
          <w:szCs w:val="18"/>
        </w:rPr>
        <w:t xml:space="preserve">om te bepalen of de aanwijzing geschiedt bij regeling of bij besluit. Voor een nadere toelichting op de aanwijzing bij regeling of besluit wordt verwezen naar de artikelsgewijze toelichting op artikel </w:t>
      </w:r>
      <w:r w:rsidR="006467C3">
        <w:rPr>
          <w:rFonts w:ascii="Verdana" w:hAnsi="Verdana"/>
          <w:sz w:val="18"/>
          <w:szCs w:val="18"/>
        </w:rPr>
        <w:t>9</w:t>
      </w:r>
      <w:r w:rsidR="00AA7B87">
        <w:rPr>
          <w:rFonts w:ascii="Verdana" w:hAnsi="Verdana"/>
          <w:sz w:val="18"/>
          <w:szCs w:val="18"/>
        </w:rPr>
        <w:t xml:space="preserve"> </w:t>
      </w:r>
      <w:proofErr w:type="spellStart"/>
      <w:r w:rsidR="00AA7B87">
        <w:rPr>
          <w:rFonts w:ascii="Verdana" w:hAnsi="Verdana"/>
          <w:sz w:val="18"/>
          <w:szCs w:val="18"/>
        </w:rPr>
        <w:t>Cbw</w:t>
      </w:r>
      <w:proofErr w:type="spellEnd"/>
      <w:r w:rsidR="00AA7B87">
        <w:rPr>
          <w:rFonts w:ascii="Verdana" w:hAnsi="Verdana"/>
          <w:sz w:val="18"/>
          <w:szCs w:val="18"/>
        </w:rPr>
        <w:t>.</w:t>
      </w:r>
    </w:p>
    <w:p w:rsidRPr="00C47325" w:rsidR="00CE333A" w:rsidP="00CE333A" w:rsidRDefault="00CE333A" w14:paraId="788D0635" w14:textId="77777777">
      <w:pPr>
        <w:pStyle w:val="Geenafstand"/>
        <w:rPr>
          <w:rFonts w:ascii="Verdana" w:hAnsi="Verdana"/>
          <w:b/>
          <w:bCs/>
          <w:sz w:val="18"/>
          <w:szCs w:val="18"/>
        </w:rPr>
      </w:pPr>
    </w:p>
    <w:p w:rsidRPr="00BD3C4A" w:rsidR="00155394" w:rsidP="00155394" w:rsidRDefault="00155394" w14:paraId="427797DB" w14:textId="080B7C91">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14</w:t>
      </w:r>
      <w:r w:rsidRPr="00BD3C4A">
        <w:rPr>
          <w:rFonts w:ascii="Verdana" w:hAnsi="Verdana"/>
          <w:b/>
          <w:bCs/>
          <w:sz w:val="18"/>
          <w:szCs w:val="18"/>
        </w:rPr>
        <w:t xml:space="preserve"> (aanwijzing en taken centra</w:t>
      </w:r>
      <w:r w:rsidR="006B78AD">
        <w:rPr>
          <w:rFonts w:ascii="Verdana" w:hAnsi="Verdana"/>
          <w:b/>
          <w:bCs/>
          <w:sz w:val="18"/>
          <w:szCs w:val="18"/>
        </w:rPr>
        <w:t>a</w:t>
      </w:r>
      <w:r w:rsidRPr="00BD3C4A">
        <w:rPr>
          <w:rFonts w:ascii="Verdana" w:hAnsi="Verdana"/>
          <w:b/>
          <w:bCs/>
          <w:sz w:val="18"/>
          <w:szCs w:val="18"/>
        </w:rPr>
        <w:t>l contactpunt)</w:t>
      </w:r>
    </w:p>
    <w:p w:rsidRPr="00C47325" w:rsidR="00CE333A" w:rsidP="00CE333A" w:rsidRDefault="00CE333A" w14:paraId="4C7C53AE" w14:textId="77777777">
      <w:pPr>
        <w:pStyle w:val="Geenafstand"/>
        <w:rPr>
          <w:rFonts w:ascii="Verdana" w:hAnsi="Verdana"/>
          <w:sz w:val="18"/>
          <w:szCs w:val="18"/>
        </w:rPr>
      </w:pPr>
    </w:p>
    <w:p w:rsidRPr="00C47325" w:rsidR="00CE333A" w:rsidP="00CE333A" w:rsidRDefault="00CE333A" w14:paraId="58A31C84" w14:textId="1DCD6937">
      <w:pPr>
        <w:pStyle w:val="Geenafstand"/>
        <w:rPr>
          <w:rFonts w:ascii="Verdana" w:hAnsi="Verdana"/>
          <w:sz w:val="18"/>
          <w:szCs w:val="18"/>
        </w:rPr>
      </w:pPr>
      <w:r w:rsidRPr="00C47325">
        <w:rPr>
          <w:rFonts w:ascii="Verdana" w:hAnsi="Verdana"/>
          <w:sz w:val="18"/>
          <w:szCs w:val="18"/>
        </w:rPr>
        <w:t xml:space="preserve">Artikel </w:t>
      </w:r>
      <w:r w:rsidR="007A53BF">
        <w:rPr>
          <w:rFonts w:ascii="Verdana" w:hAnsi="Verdana"/>
          <w:sz w:val="18"/>
          <w:szCs w:val="18"/>
        </w:rPr>
        <w:t>1</w:t>
      </w:r>
      <w:r w:rsidR="00012A9F">
        <w:rPr>
          <w:rFonts w:ascii="Verdana" w:hAnsi="Verdana"/>
          <w:sz w:val="18"/>
          <w:szCs w:val="18"/>
        </w:rPr>
        <w:t>4</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8, derde en vierde lid, NIS2-richtlijn. In artikel </w:t>
      </w:r>
      <w:r w:rsidR="007A53BF">
        <w:rPr>
          <w:rFonts w:ascii="Verdana" w:hAnsi="Verdana"/>
          <w:sz w:val="18"/>
          <w:szCs w:val="18"/>
        </w:rPr>
        <w:t>1</w:t>
      </w:r>
      <w:r w:rsidR="00012A9F">
        <w:rPr>
          <w:rFonts w:ascii="Verdana" w:hAnsi="Verdana"/>
          <w:sz w:val="18"/>
          <w:szCs w:val="18"/>
        </w:rPr>
        <w:t>4</w:t>
      </w:r>
      <w:r w:rsidR="00CF020B">
        <w:rPr>
          <w:rFonts w:ascii="Verdana" w:hAnsi="Verdana"/>
          <w:sz w:val="18"/>
          <w:szCs w:val="18"/>
        </w:rPr>
        <w:t xml:space="preserve"> </w:t>
      </w:r>
      <w:proofErr w:type="spellStart"/>
      <w:r w:rsidR="00CF020B">
        <w:rPr>
          <w:rFonts w:ascii="Verdana" w:hAnsi="Verdana"/>
          <w:sz w:val="18"/>
          <w:szCs w:val="18"/>
        </w:rPr>
        <w:t>Cbw</w:t>
      </w:r>
      <w:proofErr w:type="spellEnd"/>
      <w:r w:rsidR="00CF020B">
        <w:rPr>
          <w:rFonts w:ascii="Verdana" w:hAnsi="Verdana"/>
          <w:sz w:val="18"/>
          <w:szCs w:val="18"/>
        </w:rPr>
        <w:t xml:space="preserve"> </w:t>
      </w:r>
      <w:r w:rsidRPr="00C47325">
        <w:rPr>
          <w:rFonts w:ascii="Verdana" w:hAnsi="Verdana"/>
          <w:sz w:val="18"/>
          <w:szCs w:val="18"/>
        </w:rPr>
        <w:t>wordt de Minister van Justitie en Veiligheid aangewezen als het centrale contactpunt</w:t>
      </w:r>
      <w:r w:rsidR="00BE78A4">
        <w:rPr>
          <w:rFonts w:ascii="Verdana" w:hAnsi="Verdana"/>
          <w:sz w:val="18"/>
          <w:szCs w:val="18"/>
        </w:rPr>
        <w:t>,</w:t>
      </w:r>
      <w:r w:rsidRPr="00C47325">
        <w:rPr>
          <w:rFonts w:ascii="Verdana" w:hAnsi="Verdana"/>
          <w:sz w:val="18"/>
          <w:szCs w:val="18"/>
        </w:rPr>
        <w:t xml:space="preserve"> bedoeld in artikel 8, vierde lid, NIS2-richtlijn. Deze minister heeft als centra</w:t>
      </w:r>
      <w:r w:rsidR="006B78AD">
        <w:rPr>
          <w:rFonts w:ascii="Verdana" w:hAnsi="Verdana"/>
          <w:sz w:val="18"/>
          <w:szCs w:val="18"/>
        </w:rPr>
        <w:t>a</w:t>
      </w:r>
      <w:r w:rsidRPr="00C47325">
        <w:rPr>
          <w:rFonts w:ascii="Verdana" w:hAnsi="Verdana"/>
          <w:sz w:val="18"/>
          <w:szCs w:val="18"/>
        </w:rPr>
        <w:t xml:space="preserve">l contactpunt de in artikel </w:t>
      </w:r>
      <w:r w:rsidR="007A53BF">
        <w:rPr>
          <w:rFonts w:ascii="Verdana" w:hAnsi="Verdana"/>
          <w:sz w:val="18"/>
          <w:szCs w:val="18"/>
        </w:rPr>
        <w:t>1</w:t>
      </w:r>
      <w:r w:rsidR="00012A9F">
        <w:rPr>
          <w:rFonts w:ascii="Verdana" w:hAnsi="Verdana"/>
          <w:sz w:val="18"/>
          <w:szCs w:val="18"/>
        </w:rPr>
        <w:t>4</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opgenomen taken, die volgen uit de NIS2-richtlijn. Deze taken worden feitelijk vervuld door het NCSC. Dit sluit aan bij de huidige praktijk, waarin de Minister van Justitie en Veiligheid onder de </w:t>
      </w:r>
      <w:proofErr w:type="spellStart"/>
      <w:r w:rsidRPr="00C47325" w:rsidR="00C75703">
        <w:rPr>
          <w:rFonts w:ascii="Verdana" w:hAnsi="Verdana"/>
          <w:sz w:val="18"/>
          <w:szCs w:val="18"/>
        </w:rPr>
        <w:t>Wbni</w:t>
      </w:r>
      <w:proofErr w:type="spellEnd"/>
      <w:r w:rsidRPr="00C47325">
        <w:rPr>
          <w:rFonts w:ascii="Verdana" w:hAnsi="Verdana"/>
          <w:sz w:val="18"/>
          <w:szCs w:val="18"/>
        </w:rPr>
        <w:t xml:space="preserve"> ook al is aangewezen als</w:t>
      </w:r>
      <w:r w:rsidRPr="00C47325" w:rsidR="00ED232D">
        <w:rPr>
          <w:rFonts w:ascii="Verdana" w:hAnsi="Verdana"/>
          <w:sz w:val="18"/>
          <w:szCs w:val="18"/>
        </w:rPr>
        <w:t xml:space="preserve"> </w:t>
      </w:r>
      <w:r w:rsidRPr="00C47325">
        <w:rPr>
          <w:rFonts w:ascii="Verdana" w:hAnsi="Verdana"/>
          <w:sz w:val="18"/>
          <w:szCs w:val="18"/>
        </w:rPr>
        <w:t>het centrale contactpunt</w:t>
      </w:r>
      <w:r w:rsidRPr="00C47325" w:rsidR="00ED232D">
        <w:rPr>
          <w:rFonts w:ascii="Verdana" w:hAnsi="Verdana"/>
          <w:sz w:val="18"/>
          <w:szCs w:val="18"/>
        </w:rPr>
        <w:t xml:space="preserve"> </w:t>
      </w:r>
      <w:r w:rsidRPr="00C47325">
        <w:rPr>
          <w:rFonts w:ascii="Verdana" w:hAnsi="Verdana"/>
          <w:sz w:val="18"/>
          <w:szCs w:val="18"/>
        </w:rPr>
        <w:t>en waarvan de taken van het centrale contactpunt in de praktijk worden uitgevoerd door het NCSC.</w:t>
      </w:r>
    </w:p>
    <w:p w:rsidRPr="00C47325" w:rsidR="00CE333A" w:rsidP="00CE333A" w:rsidRDefault="00CE333A" w14:paraId="0489D9C9" w14:textId="77777777">
      <w:pPr>
        <w:pStyle w:val="Geenafstand"/>
        <w:rPr>
          <w:rFonts w:ascii="Verdana" w:hAnsi="Verdana"/>
          <w:sz w:val="18"/>
          <w:szCs w:val="18"/>
        </w:rPr>
      </w:pPr>
    </w:p>
    <w:p w:rsidRPr="00C47325" w:rsidR="006602AA" w:rsidP="006602AA" w:rsidRDefault="00CE333A" w14:paraId="4C5142FD" w14:textId="53CB1869">
      <w:pPr>
        <w:pStyle w:val="Geenafstand"/>
        <w:rPr>
          <w:rFonts w:ascii="Verdana" w:hAnsi="Verdana"/>
          <w:sz w:val="18"/>
          <w:szCs w:val="18"/>
        </w:rPr>
      </w:pPr>
      <w:r w:rsidRPr="00C47325">
        <w:rPr>
          <w:rFonts w:ascii="Verdana" w:hAnsi="Verdana"/>
          <w:sz w:val="18"/>
          <w:szCs w:val="18"/>
        </w:rPr>
        <w:t xml:space="preserve">Het centrale contactpunt is verantwoordelijk voor de coördinatie van kwesties in verband met de beveiliging van netwerk- en informatiesystemen en de grensoverschrijdende samenwerking op het niveau van de </w:t>
      </w:r>
      <w:r w:rsidRPr="00C47325" w:rsidR="00733ABA">
        <w:rPr>
          <w:rFonts w:ascii="Verdana" w:hAnsi="Verdana"/>
          <w:sz w:val="18"/>
          <w:szCs w:val="18"/>
        </w:rPr>
        <w:t>EU</w:t>
      </w:r>
      <w:r w:rsidRPr="00C47325">
        <w:rPr>
          <w:rFonts w:ascii="Verdana" w:hAnsi="Verdana"/>
          <w:sz w:val="18"/>
          <w:szCs w:val="18"/>
        </w:rPr>
        <w:t>. Dit om de grensoverschrijdende samenwerking en communicatie tussen de autoriteiten te vergemakkelijken en een doeltreffende uitvoering van de NIS2-richtlijn mogelijk te maken.</w:t>
      </w:r>
      <w:r w:rsidRPr="00C47325">
        <w:rPr>
          <w:rFonts w:ascii="Verdana" w:hAnsi="Verdana"/>
          <w:sz w:val="18"/>
          <w:szCs w:val="18"/>
          <w:vertAlign w:val="superscript"/>
        </w:rPr>
        <w:footnoteReference w:id="88"/>
      </w:r>
    </w:p>
    <w:p w:rsidRPr="00C47325" w:rsidR="00A3532E" w:rsidP="006602AA" w:rsidRDefault="00A3532E" w14:paraId="1DC8249B" w14:textId="77777777">
      <w:pPr>
        <w:pStyle w:val="Geenafstand"/>
        <w:rPr>
          <w:rFonts w:ascii="Verdana" w:hAnsi="Verdana"/>
          <w:b/>
          <w:bCs/>
          <w:sz w:val="18"/>
          <w:szCs w:val="18"/>
        </w:rPr>
      </w:pPr>
    </w:p>
    <w:p w:rsidRPr="00BD3C4A" w:rsidR="00155394" w:rsidP="00155394" w:rsidRDefault="00155394" w14:paraId="6964FA3B" w14:textId="47B719D0">
      <w:pPr>
        <w:pStyle w:val="Geenafstand"/>
        <w:rPr>
          <w:rFonts w:ascii="Verdana" w:hAnsi="Verdana"/>
          <w:b/>
          <w:bCs/>
          <w:sz w:val="18"/>
          <w:szCs w:val="18"/>
        </w:rPr>
      </w:pPr>
      <w:bookmarkStart w:name="_Hlk198219394" w:id="260"/>
      <w:r w:rsidRPr="00BD3C4A">
        <w:rPr>
          <w:rFonts w:ascii="Verdana" w:hAnsi="Verdana"/>
          <w:b/>
          <w:bCs/>
          <w:sz w:val="18"/>
          <w:szCs w:val="18"/>
        </w:rPr>
        <w:t xml:space="preserve">Artikel </w:t>
      </w:r>
      <w:r>
        <w:rPr>
          <w:rFonts w:ascii="Verdana" w:hAnsi="Verdana"/>
          <w:b/>
          <w:bCs/>
          <w:sz w:val="18"/>
          <w:szCs w:val="18"/>
        </w:rPr>
        <w:t>15</w:t>
      </w:r>
      <w:r w:rsidRPr="00BD3C4A">
        <w:rPr>
          <w:rFonts w:ascii="Verdana" w:hAnsi="Verdana"/>
          <w:b/>
          <w:bCs/>
          <w:sz w:val="18"/>
          <w:szCs w:val="18"/>
        </w:rPr>
        <w:t xml:space="preserve"> (aanwijzing en taken bevoegde autoriteit)</w:t>
      </w:r>
    </w:p>
    <w:p w:rsidR="009116C9" w:rsidP="002F2ED6" w:rsidRDefault="009116C9" w14:paraId="37FF2F72" w14:textId="77777777">
      <w:pPr>
        <w:pStyle w:val="Geenafstand"/>
        <w:rPr>
          <w:rFonts w:ascii="Verdana" w:hAnsi="Verdana"/>
          <w:sz w:val="18"/>
          <w:szCs w:val="18"/>
        </w:rPr>
      </w:pPr>
    </w:p>
    <w:p w:rsidR="00CE333A" w:rsidP="002F2ED6" w:rsidRDefault="00CE333A" w14:paraId="6EF45EF7" w14:textId="56662D6F">
      <w:pPr>
        <w:pStyle w:val="Geenafstand"/>
        <w:rPr>
          <w:rFonts w:ascii="Verdana" w:hAnsi="Verdana"/>
          <w:sz w:val="18"/>
          <w:szCs w:val="18"/>
          <w:highlight w:val="yellow"/>
        </w:rPr>
      </w:pPr>
      <w:r w:rsidRPr="002F2ED6">
        <w:rPr>
          <w:rFonts w:ascii="Verdana" w:hAnsi="Verdana"/>
          <w:sz w:val="18"/>
          <w:szCs w:val="18"/>
        </w:rPr>
        <w:t xml:space="preserve">In artikel </w:t>
      </w:r>
      <w:r w:rsidR="007A53BF">
        <w:rPr>
          <w:rFonts w:ascii="Verdana" w:hAnsi="Verdana"/>
          <w:sz w:val="18"/>
          <w:szCs w:val="18"/>
        </w:rPr>
        <w:t>1</w:t>
      </w:r>
      <w:r w:rsidR="00012A9F">
        <w:rPr>
          <w:rFonts w:ascii="Verdana" w:hAnsi="Verdana"/>
          <w:sz w:val="18"/>
          <w:szCs w:val="18"/>
        </w:rPr>
        <w:t>5</w:t>
      </w:r>
      <w:r w:rsidRPr="002F2ED6">
        <w:rPr>
          <w:rFonts w:ascii="Verdana" w:hAnsi="Verdana"/>
          <w:sz w:val="18"/>
          <w:szCs w:val="18"/>
        </w:rPr>
        <w:t xml:space="preserve">, eerste lid, </w:t>
      </w:r>
      <w:proofErr w:type="spellStart"/>
      <w:r w:rsidRPr="002F2ED6" w:rsidR="00604685">
        <w:rPr>
          <w:rFonts w:ascii="Verdana" w:hAnsi="Verdana"/>
          <w:sz w:val="18"/>
          <w:szCs w:val="18"/>
        </w:rPr>
        <w:t>Cbw</w:t>
      </w:r>
      <w:proofErr w:type="spellEnd"/>
      <w:r w:rsidRPr="002F2ED6">
        <w:rPr>
          <w:rFonts w:ascii="Verdana" w:hAnsi="Verdana"/>
          <w:sz w:val="18"/>
          <w:szCs w:val="18"/>
        </w:rPr>
        <w:t xml:space="preserve"> worden de vakministers aangewezen als de in artikel 8, eerste lid, NIS2-richtlijn bedoelde bevoegde autoriteiten voor de sectoren en </w:t>
      </w:r>
      <w:proofErr w:type="spellStart"/>
      <w:r w:rsidRPr="002F2ED6">
        <w:rPr>
          <w:rFonts w:ascii="Verdana" w:hAnsi="Verdana"/>
          <w:sz w:val="18"/>
          <w:szCs w:val="18"/>
        </w:rPr>
        <w:t>subsectoren</w:t>
      </w:r>
      <w:proofErr w:type="spellEnd"/>
      <w:r w:rsidRPr="002F2ED6">
        <w:rPr>
          <w:rFonts w:ascii="Verdana" w:hAnsi="Verdana"/>
          <w:sz w:val="18"/>
          <w:szCs w:val="18"/>
        </w:rPr>
        <w:t xml:space="preserve">, genoemd in bijlage 1 en 2 van </w:t>
      </w:r>
      <w:r w:rsidRPr="002F2ED6" w:rsidR="00604685">
        <w:rPr>
          <w:rFonts w:ascii="Verdana" w:hAnsi="Verdana"/>
          <w:sz w:val="18"/>
          <w:szCs w:val="18"/>
        </w:rPr>
        <w:t xml:space="preserve">de </w:t>
      </w:r>
      <w:proofErr w:type="spellStart"/>
      <w:r w:rsidRPr="002F2ED6" w:rsidR="00604685">
        <w:rPr>
          <w:rFonts w:ascii="Verdana" w:hAnsi="Verdana"/>
          <w:sz w:val="18"/>
          <w:szCs w:val="18"/>
        </w:rPr>
        <w:t>Cbw</w:t>
      </w:r>
      <w:proofErr w:type="spellEnd"/>
      <w:r w:rsidRPr="002F2ED6">
        <w:rPr>
          <w:rFonts w:ascii="Verdana" w:hAnsi="Verdana"/>
          <w:sz w:val="18"/>
          <w:szCs w:val="18"/>
        </w:rPr>
        <w:t>.</w:t>
      </w:r>
      <w:r w:rsidRPr="002F2ED6">
        <w:rPr>
          <w:rFonts w:ascii="Verdana" w:hAnsi="Verdana"/>
          <w:sz w:val="18"/>
          <w:szCs w:val="18"/>
          <w:highlight w:val="yellow"/>
        </w:rPr>
        <w:t xml:space="preserve"> </w:t>
      </w:r>
    </w:p>
    <w:p w:rsidR="00A66038" w:rsidP="002F2ED6" w:rsidRDefault="00A66038" w14:paraId="379BA44B" w14:textId="77777777">
      <w:pPr>
        <w:pStyle w:val="Geenafstand"/>
        <w:rPr>
          <w:rFonts w:ascii="Verdana" w:hAnsi="Verdana"/>
          <w:sz w:val="18"/>
          <w:szCs w:val="18"/>
          <w:highlight w:val="yellow"/>
        </w:rPr>
      </w:pPr>
    </w:p>
    <w:p w:rsidRPr="002F2ED6" w:rsidR="00A66038" w:rsidP="002F2ED6" w:rsidRDefault="00A66038" w14:paraId="0CD9D952" w14:textId="29B9064B">
      <w:pPr>
        <w:pStyle w:val="Geenafstand"/>
        <w:rPr>
          <w:rFonts w:ascii="Verdana" w:hAnsi="Verdana"/>
          <w:sz w:val="18"/>
          <w:szCs w:val="18"/>
          <w:highlight w:val="yellow"/>
        </w:rPr>
      </w:pPr>
      <w:r>
        <w:rPr>
          <w:rFonts w:ascii="Verdana" w:hAnsi="Verdana"/>
          <w:sz w:val="18"/>
          <w:szCs w:val="18"/>
        </w:rPr>
        <w:t xml:space="preserve">De verantwoordelijkheid voor de sector overheid wordt verdeeld over de Minister van Binnenlandse Zaken en Koninkrijksrelaties (voor alle overheidsinstanties, behalve de waterschappen) en de Minister van Infrastructuur en Waterstaat voor de waterschappen. </w:t>
      </w:r>
      <w:r w:rsidR="00E90C2B">
        <w:rPr>
          <w:rFonts w:ascii="Verdana" w:hAnsi="Verdana"/>
          <w:sz w:val="18"/>
          <w:szCs w:val="18"/>
        </w:rPr>
        <w:t xml:space="preserve">Dit laatste </w:t>
      </w:r>
      <w:r>
        <w:rPr>
          <w:rFonts w:ascii="Verdana" w:hAnsi="Verdana"/>
          <w:sz w:val="18"/>
          <w:szCs w:val="18"/>
        </w:rPr>
        <w:t xml:space="preserve">is in overeenstemming met </w:t>
      </w:r>
      <w:r w:rsidR="00E90C2B">
        <w:rPr>
          <w:rFonts w:ascii="Verdana" w:hAnsi="Verdana"/>
          <w:sz w:val="18"/>
          <w:szCs w:val="18"/>
        </w:rPr>
        <w:t>de</w:t>
      </w:r>
      <w:r>
        <w:rPr>
          <w:rFonts w:ascii="Verdana" w:hAnsi="Verdana"/>
          <w:sz w:val="18"/>
          <w:szCs w:val="18"/>
        </w:rPr>
        <w:t xml:space="preserve"> verantwoordelijkheid op grond van de Waterschapswet en de taken van </w:t>
      </w:r>
      <w:r w:rsidR="00012A9F">
        <w:rPr>
          <w:rFonts w:ascii="Verdana" w:hAnsi="Verdana"/>
          <w:sz w:val="18"/>
          <w:szCs w:val="18"/>
        </w:rPr>
        <w:t xml:space="preserve">de </w:t>
      </w:r>
      <w:r>
        <w:rPr>
          <w:rFonts w:ascii="Verdana" w:hAnsi="Verdana"/>
          <w:sz w:val="18"/>
          <w:szCs w:val="18"/>
        </w:rPr>
        <w:t xml:space="preserve">waterschappen in de vitale infrastructuur, die uitsluitend betrekking hebben op diens beleidsterreinen. </w:t>
      </w:r>
    </w:p>
    <w:p w:rsidR="00AA7B87" w:rsidP="002F2ED6" w:rsidRDefault="00AA7B87" w14:paraId="2F0B49C9" w14:textId="77777777">
      <w:pPr>
        <w:pStyle w:val="Geenafstand"/>
        <w:rPr>
          <w:rFonts w:ascii="Verdana" w:hAnsi="Verdana"/>
          <w:sz w:val="18"/>
          <w:szCs w:val="18"/>
        </w:rPr>
      </w:pPr>
    </w:p>
    <w:p w:rsidRPr="002F2ED6" w:rsidR="00082292" w:rsidP="002F2ED6" w:rsidRDefault="00082292" w14:paraId="052241D0" w14:textId="28E9D23E">
      <w:pPr>
        <w:pStyle w:val="Geenafstand"/>
        <w:rPr>
          <w:rFonts w:ascii="Verdana" w:hAnsi="Verdana"/>
          <w:sz w:val="18"/>
          <w:szCs w:val="18"/>
        </w:rPr>
      </w:pPr>
      <w:r w:rsidRPr="002F2ED6">
        <w:rPr>
          <w:rFonts w:ascii="Verdana" w:hAnsi="Verdana"/>
          <w:sz w:val="18"/>
          <w:szCs w:val="18"/>
        </w:rPr>
        <w:t xml:space="preserve">In artikel </w:t>
      </w:r>
      <w:r w:rsidR="007A53BF">
        <w:rPr>
          <w:rFonts w:ascii="Verdana" w:hAnsi="Verdana"/>
          <w:sz w:val="18"/>
          <w:szCs w:val="18"/>
        </w:rPr>
        <w:t>1</w:t>
      </w:r>
      <w:r w:rsidR="00012A9F">
        <w:rPr>
          <w:rFonts w:ascii="Verdana" w:hAnsi="Verdana"/>
          <w:sz w:val="18"/>
          <w:szCs w:val="18"/>
        </w:rPr>
        <w:t>5</w:t>
      </w:r>
      <w:r w:rsidRPr="002F2ED6">
        <w:rPr>
          <w:rFonts w:ascii="Verdana" w:hAnsi="Verdana"/>
          <w:sz w:val="18"/>
          <w:szCs w:val="18"/>
        </w:rPr>
        <w:t>,</w:t>
      </w:r>
      <w:r w:rsidRPr="002F2ED6" w:rsidR="00CE333A">
        <w:rPr>
          <w:rFonts w:ascii="Verdana" w:hAnsi="Verdana"/>
          <w:sz w:val="18"/>
          <w:szCs w:val="18"/>
        </w:rPr>
        <w:t xml:space="preserve"> tweede lid</w:t>
      </w:r>
      <w:r w:rsidRPr="002F2ED6">
        <w:rPr>
          <w:rFonts w:ascii="Verdana" w:hAnsi="Verdana"/>
          <w:sz w:val="18"/>
          <w:szCs w:val="18"/>
        </w:rPr>
        <w:t xml:space="preserve">, </w:t>
      </w:r>
      <w:proofErr w:type="spellStart"/>
      <w:r w:rsidRPr="002F2ED6" w:rsidR="00604685">
        <w:rPr>
          <w:rFonts w:ascii="Verdana" w:hAnsi="Verdana"/>
          <w:sz w:val="18"/>
          <w:szCs w:val="18"/>
        </w:rPr>
        <w:t>Cbw</w:t>
      </w:r>
      <w:proofErr w:type="spellEnd"/>
      <w:r w:rsidRPr="002F2ED6">
        <w:rPr>
          <w:rFonts w:ascii="Verdana" w:hAnsi="Verdana"/>
          <w:sz w:val="18"/>
          <w:szCs w:val="18"/>
        </w:rPr>
        <w:t xml:space="preserve"> wordt</w:t>
      </w:r>
      <w:r w:rsidRPr="002F2ED6" w:rsidR="00CE333A">
        <w:rPr>
          <w:rFonts w:ascii="Verdana" w:hAnsi="Verdana"/>
          <w:sz w:val="18"/>
          <w:szCs w:val="18"/>
        </w:rPr>
        <w:t xml:space="preserve"> de Minister van </w:t>
      </w:r>
      <w:r w:rsidRPr="002F2ED6">
        <w:rPr>
          <w:rFonts w:ascii="Verdana" w:hAnsi="Verdana"/>
          <w:sz w:val="18"/>
          <w:szCs w:val="18"/>
        </w:rPr>
        <w:t xml:space="preserve">Economische Zaken </w:t>
      </w:r>
      <w:r w:rsidRPr="002F2ED6" w:rsidR="00CE333A">
        <w:rPr>
          <w:rFonts w:ascii="Verdana" w:hAnsi="Verdana"/>
          <w:sz w:val="18"/>
          <w:szCs w:val="18"/>
        </w:rPr>
        <w:t>aan</w:t>
      </w:r>
      <w:r w:rsidRPr="002F2ED6">
        <w:rPr>
          <w:rFonts w:ascii="Verdana" w:hAnsi="Verdana"/>
          <w:sz w:val="18"/>
          <w:szCs w:val="18"/>
        </w:rPr>
        <w:t>gewezen</w:t>
      </w:r>
      <w:r w:rsidRPr="002F2ED6" w:rsidR="00CE333A">
        <w:rPr>
          <w:rFonts w:ascii="Verdana" w:hAnsi="Verdana"/>
          <w:sz w:val="18"/>
          <w:szCs w:val="18"/>
        </w:rPr>
        <w:t xml:space="preserve"> als </w:t>
      </w:r>
      <w:r w:rsidRPr="002F2ED6">
        <w:rPr>
          <w:rFonts w:ascii="Verdana" w:hAnsi="Verdana"/>
          <w:sz w:val="18"/>
          <w:szCs w:val="18"/>
        </w:rPr>
        <w:t xml:space="preserve">de </w:t>
      </w:r>
      <w:r w:rsidRPr="002F2ED6" w:rsidR="00CE333A">
        <w:rPr>
          <w:rFonts w:ascii="Verdana" w:hAnsi="Verdana"/>
          <w:sz w:val="18"/>
          <w:szCs w:val="18"/>
        </w:rPr>
        <w:t xml:space="preserve">bevoegde autoriteit voor de entiteiten die domeinnaamregistratiediensten verlenen. </w:t>
      </w:r>
    </w:p>
    <w:p w:rsidR="00AA7B87" w:rsidP="002F2ED6" w:rsidRDefault="00AA7B87" w14:paraId="69870E87" w14:textId="77777777">
      <w:pPr>
        <w:pStyle w:val="Geenafstand"/>
        <w:rPr>
          <w:rFonts w:ascii="Verdana" w:hAnsi="Verdana"/>
          <w:sz w:val="18"/>
          <w:szCs w:val="18"/>
        </w:rPr>
      </w:pPr>
    </w:p>
    <w:p w:rsidRPr="002F2ED6" w:rsidR="00CE333A" w:rsidP="002F2ED6" w:rsidRDefault="00604685" w14:paraId="120BC7D5" w14:textId="6683900C">
      <w:pPr>
        <w:pStyle w:val="Geenafstand"/>
        <w:rPr>
          <w:rFonts w:ascii="Verdana" w:hAnsi="Verdana"/>
          <w:sz w:val="18"/>
          <w:szCs w:val="18"/>
        </w:rPr>
      </w:pPr>
      <w:r w:rsidRPr="002F2ED6">
        <w:rPr>
          <w:rFonts w:ascii="Verdana" w:hAnsi="Verdana"/>
          <w:sz w:val="18"/>
          <w:szCs w:val="18"/>
        </w:rPr>
        <w:t xml:space="preserve">De </w:t>
      </w:r>
      <w:proofErr w:type="spellStart"/>
      <w:r w:rsidRPr="002F2ED6">
        <w:rPr>
          <w:rFonts w:ascii="Verdana" w:hAnsi="Verdana"/>
          <w:sz w:val="18"/>
          <w:szCs w:val="18"/>
        </w:rPr>
        <w:t>Cbw</w:t>
      </w:r>
      <w:proofErr w:type="spellEnd"/>
      <w:r w:rsidRPr="002F2ED6" w:rsidR="00082292">
        <w:rPr>
          <w:rFonts w:ascii="Verdana" w:hAnsi="Verdana"/>
          <w:sz w:val="18"/>
          <w:szCs w:val="18"/>
        </w:rPr>
        <w:t xml:space="preserve"> biedt de mogelijkheid om instellingen voor hoger onderwijs als essentiële entiteit (artikel </w:t>
      </w:r>
      <w:r w:rsidRPr="002F2ED6" w:rsidR="00CF020B">
        <w:rPr>
          <w:rFonts w:ascii="Verdana" w:hAnsi="Verdana"/>
          <w:sz w:val="18"/>
          <w:szCs w:val="18"/>
        </w:rPr>
        <w:t>1</w:t>
      </w:r>
      <w:r w:rsidR="00012A9F">
        <w:rPr>
          <w:rFonts w:ascii="Verdana" w:hAnsi="Verdana"/>
          <w:sz w:val="18"/>
          <w:szCs w:val="18"/>
        </w:rPr>
        <w:t>1</w:t>
      </w:r>
      <w:r w:rsidRPr="002F2ED6" w:rsidR="00082292">
        <w:rPr>
          <w:rFonts w:ascii="Verdana" w:hAnsi="Verdana"/>
          <w:sz w:val="18"/>
          <w:szCs w:val="18"/>
        </w:rPr>
        <w:t xml:space="preserve">) of als belangrijke entiteit (artikel </w:t>
      </w:r>
      <w:r w:rsidR="007A53BF">
        <w:rPr>
          <w:rFonts w:ascii="Verdana" w:hAnsi="Verdana"/>
          <w:sz w:val="18"/>
          <w:szCs w:val="18"/>
        </w:rPr>
        <w:t>1</w:t>
      </w:r>
      <w:r w:rsidR="00012A9F">
        <w:rPr>
          <w:rFonts w:ascii="Verdana" w:hAnsi="Verdana"/>
          <w:sz w:val="18"/>
          <w:szCs w:val="18"/>
        </w:rPr>
        <w:t>3</w:t>
      </w:r>
      <w:r w:rsidRPr="002F2ED6" w:rsidR="00082292">
        <w:rPr>
          <w:rFonts w:ascii="Verdana" w:hAnsi="Verdana"/>
          <w:sz w:val="18"/>
          <w:szCs w:val="18"/>
        </w:rPr>
        <w:t xml:space="preserve">) onder de reikwijdte van de </w:t>
      </w:r>
      <w:proofErr w:type="spellStart"/>
      <w:r w:rsidR="006467C3">
        <w:rPr>
          <w:rFonts w:ascii="Verdana" w:hAnsi="Verdana"/>
          <w:sz w:val="18"/>
          <w:szCs w:val="18"/>
        </w:rPr>
        <w:t>Cbw</w:t>
      </w:r>
      <w:proofErr w:type="spellEnd"/>
      <w:r w:rsidRPr="002F2ED6" w:rsidR="006467C3">
        <w:rPr>
          <w:rFonts w:ascii="Verdana" w:hAnsi="Verdana"/>
          <w:sz w:val="18"/>
          <w:szCs w:val="18"/>
        </w:rPr>
        <w:t xml:space="preserve"> </w:t>
      </w:r>
      <w:r w:rsidRPr="002F2ED6" w:rsidR="00082292">
        <w:rPr>
          <w:rFonts w:ascii="Verdana" w:hAnsi="Verdana"/>
          <w:sz w:val="18"/>
          <w:szCs w:val="18"/>
        </w:rPr>
        <w:t xml:space="preserve">te brengen. In artikel </w:t>
      </w:r>
      <w:r w:rsidR="007A53BF">
        <w:rPr>
          <w:rFonts w:ascii="Verdana" w:hAnsi="Verdana"/>
          <w:sz w:val="18"/>
          <w:szCs w:val="18"/>
        </w:rPr>
        <w:t>1</w:t>
      </w:r>
      <w:r w:rsidR="00012A9F">
        <w:rPr>
          <w:rFonts w:ascii="Verdana" w:hAnsi="Verdana"/>
          <w:sz w:val="18"/>
          <w:szCs w:val="18"/>
        </w:rPr>
        <w:t>5</w:t>
      </w:r>
      <w:r w:rsidRPr="002F2ED6" w:rsidR="00082292">
        <w:rPr>
          <w:rFonts w:ascii="Verdana" w:hAnsi="Verdana"/>
          <w:sz w:val="18"/>
          <w:szCs w:val="18"/>
        </w:rPr>
        <w:t xml:space="preserve">, derde lid, </w:t>
      </w:r>
      <w:proofErr w:type="spellStart"/>
      <w:r w:rsidRPr="002F2ED6">
        <w:rPr>
          <w:rFonts w:ascii="Verdana" w:hAnsi="Verdana"/>
          <w:sz w:val="18"/>
          <w:szCs w:val="18"/>
        </w:rPr>
        <w:t>Cbw</w:t>
      </w:r>
      <w:proofErr w:type="spellEnd"/>
      <w:r w:rsidRPr="002F2ED6" w:rsidR="00082292">
        <w:rPr>
          <w:rFonts w:ascii="Verdana" w:hAnsi="Verdana"/>
          <w:sz w:val="18"/>
          <w:szCs w:val="18"/>
        </w:rPr>
        <w:t xml:space="preserve"> wordt daarom</w:t>
      </w:r>
      <w:r w:rsidRPr="002F2ED6" w:rsidR="00CE333A">
        <w:rPr>
          <w:rFonts w:ascii="Verdana" w:hAnsi="Verdana"/>
          <w:sz w:val="18"/>
          <w:szCs w:val="18"/>
        </w:rPr>
        <w:t xml:space="preserve"> de Minister van </w:t>
      </w:r>
      <w:r w:rsidRPr="002F2ED6" w:rsidR="00082292">
        <w:rPr>
          <w:rFonts w:ascii="Verdana" w:hAnsi="Verdana"/>
          <w:sz w:val="18"/>
          <w:szCs w:val="18"/>
        </w:rPr>
        <w:t>Onderwijs, Cultuur en Wetenschap</w:t>
      </w:r>
      <w:r w:rsidRPr="002F2ED6" w:rsidR="00CE333A">
        <w:rPr>
          <w:rFonts w:ascii="Verdana" w:hAnsi="Verdana"/>
          <w:sz w:val="18"/>
          <w:szCs w:val="18"/>
        </w:rPr>
        <w:t xml:space="preserve"> aan</w:t>
      </w:r>
      <w:r w:rsidRPr="002F2ED6" w:rsidR="00082292">
        <w:rPr>
          <w:rFonts w:ascii="Verdana" w:hAnsi="Verdana"/>
          <w:sz w:val="18"/>
          <w:szCs w:val="18"/>
        </w:rPr>
        <w:t>gewezen</w:t>
      </w:r>
      <w:r w:rsidRPr="002F2ED6" w:rsidR="00CE333A">
        <w:rPr>
          <w:rFonts w:ascii="Verdana" w:hAnsi="Verdana"/>
          <w:sz w:val="18"/>
          <w:szCs w:val="18"/>
        </w:rPr>
        <w:t xml:space="preserve"> als </w:t>
      </w:r>
      <w:r w:rsidRPr="002F2ED6" w:rsidR="00082292">
        <w:rPr>
          <w:rFonts w:ascii="Verdana" w:hAnsi="Verdana"/>
          <w:sz w:val="18"/>
          <w:szCs w:val="18"/>
        </w:rPr>
        <w:t xml:space="preserve">de </w:t>
      </w:r>
      <w:r w:rsidRPr="002F2ED6" w:rsidR="00CE333A">
        <w:rPr>
          <w:rFonts w:ascii="Verdana" w:hAnsi="Verdana"/>
          <w:sz w:val="18"/>
          <w:szCs w:val="18"/>
        </w:rPr>
        <w:t xml:space="preserve">bevoegde autoriteit voor die instellingen. </w:t>
      </w:r>
    </w:p>
    <w:p w:rsidR="00AA7B87" w:rsidP="002F2ED6" w:rsidRDefault="00AA7B87" w14:paraId="77293AE6" w14:textId="77777777">
      <w:pPr>
        <w:pStyle w:val="Geenafstand"/>
        <w:rPr>
          <w:rFonts w:ascii="Verdana" w:hAnsi="Verdana"/>
          <w:sz w:val="18"/>
          <w:szCs w:val="18"/>
        </w:rPr>
      </w:pPr>
    </w:p>
    <w:p w:rsidRPr="002F2ED6" w:rsidR="009002B8" w:rsidP="002F2ED6" w:rsidRDefault="00CF020B" w14:paraId="2C4C67BD" w14:textId="43BE6C99">
      <w:pPr>
        <w:pStyle w:val="Geenafstand"/>
        <w:rPr>
          <w:rFonts w:ascii="Verdana" w:hAnsi="Verdana"/>
          <w:sz w:val="18"/>
          <w:szCs w:val="18"/>
        </w:rPr>
      </w:pPr>
      <w:r w:rsidRPr="002F2ED6">
        <w:rPr>
          <w:rFonts w:ascii="Verdana" w:hAnsi="Verdana"/>
          <w:sz w:val="18"/>
          <w:szCs w:val="18"/>
        </w:rPr>
        <w:t xml:space="preserve">In artikel </w:t>
      </w:r>
      <w:r w:rsidR="007A53BF">
        <w:rPr>
          <w:rFonts w:ascii="Verdana" w:hAnsi="Verdana"/>
          <w:sz w:val="18"/>
          <w:szCs w:val="18"/>
        </w:rPr>
        <w:t>1</w:t>
      </w:r>
      <w:r w:rsidR="00012A9F">
        <w:rPr>
          <w:rFonts w:ascii="Verdana" w:hAnsi="Verdana"/>
          <w:sz w:val="18"/>
          <w:szCs w:val="18"/>
        </w:rPr>
        <w:t>5</w:t>
      </w:r>
      <w:r w:rsidRPr="002F2ED6">
        <w:rPr>
          <w:rFonts w:ascii="Verdana" w:hAnsi="Verdana"/>
          <w:sz w:val="18"/>
          <w:szCs w:val="18"/>
        </w:rPr>
        <w:t xml:space="preserve">, vierde lid, </w:t>
      </w:r>
      <w:proofErr w:type="spellStart"/>
      <w:r w:rsidRPr="002F2ED6">
        <w:rPr>
          <w:rFonts w:ascii="Verdana" w:hAnsi="Verdana"/>
          <w:sz w:val="18"/>
          <w:szCs w:val="18"/>
        </w:rPr>
        <w:t>Cbw</w:t>
      </w:r>
      <w:proofErr w:type="spellEnd"/>
      <w:r w:rsidRPr="002F2ED6" w:rsidR="009002B8">
        <w:rPr>
          <w:rFonts w:ascii="Verdana" w:hAnsi="Verdana"/>
          <w:sz w:val="18"/>
          <w:szCs w:val="18"/>
        </w:rPr>
        <w:t xml:space="preserve"> is geregeld dat voor de sector onderzoek </w:t>
      </w:r>
      <w:r w:rsidRPr="002F2ED6" w:rsidR="00B319EC">
        <w:rPr>
          <w:rFonts w:ascii="Verdana" w:hAnsi="Verdana"/>
          <w:sz w:val="18"/>
          <w:szCs w:val="18"/>
        </w:rPr>
        <w:t xml:space="preserve">de bevoegde autoriteit de </w:t>
      </w:r>
      <w:r w:rsidRPr="002F2ED6" w:rsidR="008A0196">
        <w:rPr>
          <w:rFonts w:ascii="Verdana" w:hAnsi="Verdana"/>
          <w:sz w:val="18"/>
          <w:szCs w:val="18"/>
        </w:rPr>
        <w:t>m</w:t>
      </w:r>
      <w:r w:rsidRPr="002F2ED6" w:rsidR="00B319EC">
        <w:rPr>
          <w:rFonts w:ascii="Verdana" w:hAnsi="Verdana"/>
          <w:sz w:val="18"/>
          <w:szCs w:val="18"/>
        </w:rPr>
        <w:t xml:space="preserve">inister </w:t>
      </w:r>
      <w:r w:rsidRPr="002F2ED6" w:rsidR="008A0196">
        <w:rPr>
          <w:rFonts w:ascii="Verdana" w:hAnsi="Verdana"/>
          <w:sz w:val="18"/>
          <w:szCs w:val="18"/>
        </w:rPr>
        <w:t xml:space="preserve">is </w:t>
      </w:r>
      <w:r w:rsidRPr="002F2ED6" w:rsidR="00B319EC">
        <w:rPr>
          <w:rFonts w:ascii="Verdana" w:hAnsi="Verdana"/>
          <w:sz w:val="18"/>
          <w:szCs w:val="18"/>
        </w:rPr>
        <w:t xml:space="preserve">die reeds is aangewezen als bevoegde autoriteit voor de sector of </w:t>
      </w:r>
      <w:proofErr w:type="spellStart"/>
      <w:r w:rsidRPr="002F2ED6" w:rsidR="00B319EC">
        <w:rPr>
          <w:rFonts w:ascii="Verdana" w:hAnsi="Verdana"/>
          <w:sz w:val="18"/>
          <w:szCs w:val="18"/>
        </w:rPr>
        <w:t>subsector</w:t>
      </w:r>
      <w:proofErr w:type="spellEnd"/>
      <w:r w:rsidRPr="002F2ED6" w:rsidR="00B319EC">
        <w:rPr>
          <w:rFonts w:ascii="Verdana" w:hAnsi="Verdana"/>
          <w:sz w:val="18"/>
          <w:szCs w:val="18"/>
        </w:rPr>
        <w:t xml:space="preserve"> waarin die onderzoeksorganisatie haar onderzoeksactiviteiten verricht. Voor bijvoorbeeld een onderzoeksorganisatie die onderzoek doet in de sector levensmiddelen is de Minister van </w:t>
      </w:r>
      <w:r w:rsidRPr="002F2ED6" w:rsidR="00534B84">
        <w:rPr>
          <w:rFonts w:ascii="Verdana" w:hAnsi="Verdana"/>
          <w:sz w:val="18"/>
          <w:szCs w:val="18"/>
        </w:rPr>
        <w:t>Landbouw, Visserij, Voedselzekerheid en Natuur</w:t>
      </w:r>
      <w:r w:rsidRPr="002F2ED6" w:rsidR="00B319EC">
        <w:rPr>
          <w:rFonts w:ascii="Verdana" w:hAnsi="Verdana"/>
          <w:sz w:val="18"/>
          <w:szCs w:val="18"/>
        </w:rPr>
        <w:t xml:space="preserve"> de bevoegde autoriteit en voor een onderzoeksorganisatie die onderzoek doet naar ruimtevaart de Minister van Economische Zaken. Voor onderzoeksorganisaties die onderzoek doen in een sector waarvoor op grond van </w:t>
      </w:r>
      <w:r w:rsidRPr="002F2ED6" w:rsidR="00FF4844">
        <w:rPr>
          <w:rFonts w:ascii="Verdana" w:hAnsi="Verdana"/>
          <w:sz w:val="18"/>
          <w:szCs w:val="18"/>
        </w:rPr>
        <w:t xml:space="preserve">de </w:t>
      </w:r>
      <w:proofErr w:type="spellStart"/>
      <w:r w:rsidRPr="002F2ED6" w:rsidR="00FF4844">
        <w:rPr>
          <w:rFonts w:ascii="Verdana" w:hAnsi="Verdana"/>
          <w:sz w:val="18"/>
          <w:szCs w:val="18"/>
        </w:rPr>
        <w:t>Cbw</w:t>
      </w:r>
      <w:proofErr w:type="spellEnd"/>
      <w:r w:rsidRPr="002F2ED6" w:rsidR="00B319EC">
        <w:rPr>
          <w:rFonts w:ascii="Verdana" w:hAnsi="Verdana"/>
          <w:sz w:val="18"/>
          <w:szCs w:val="18"/>
        </w:rPr>
        <w:t xml:space="preserve"> nog geen bevoegde autoriteit is aangewezen, is de bevoegde autoriteit de </w:t>
      </w:r>
      <w:r w:rsidRPr="002F2ED6" w:rsidR="00FF4844">
        <w:rPr>
          <w:rFonts w:ascii="Verdana" w:hAnsi="Verdana"/>
          <w:sz w:val="18"/>
          <w:szCs w:val="18"/>
        </w:rPr>
        <w:t>m</w:t>
      </w:r>
      <w:r w:rsidRPr="002F2ED6" w:rsidR="00B319EC">
        <w:rPr>
          <w:rFonts w:ascii="Verdana" w:hAnsi="Verdana"/>
          <w:sz w:val="18"/>
          <w:szCs w:val="18"/>
        </w:rPr>
        <w:t xml:space="preserve">inister die het aangaat. Dat betekent </w:t>
      </w:r>
      <w:r w:rsidRPr="002F2ED6" w:rsidR="008C48E7">
        <w:rPr>
          <w:rFonts w:ascii="Verdana" w:hAnsi="Verdana"/>
          <w:sz w:val="18"/>
          <w:szCs w:val="18"/>
        </w:rPr>
        <w:t xml:space="preserve">bijvoorbeeld </w:t>
      </w:r>
      <w:r w:rsidRPr="002F2ED6" w:rsidR="00B319EC">
        <w:rPr>
          <w:rFonts w:ascii="Verdana" w:hAnsi="Verdana"/>
          <w:sz w:val="18"/>
          <w:szCs w:val="18"/>
        </w:rPr>
        <w:t xml:space="preserve">dat voor een onderzoeksorganisatie die onderzoek </w:t>
      </w:r>
      <w:r w:rsidRPr="002F2ED6" w:rsidR="00FF4844">
        <w:rPr>
          <w:rFonts w:ascii="Verdana" w:hAnsi="Verdana"/>
          <w:sz w:val="18"/>
          <w:szCs w:val="18"/>
        </w:rPr>
        <w:t xml:space="preserve">doet </w:t>
      </w:r>
      <w:r w:rsidRPr="002F2ED6" w:rsidR="00B319EC">
        <w:rPr>
          <w:rFonts w:ascii="Verdana" w:hAnsi="Verdana"/>
          <w:sz w:val="18"/>
          <w:szCs w:val="18"/>
        </w:rPr>
        <w:t xml:space="preserve">op onderwerpen die onder </w:t>
      </w:r>
      <w:r w:rsidRPr="002F2ED6" w:rsidR="008C48E7">
        <w:rPr>
          <w:rFonts w:ascii="Verdana" w:hAnsi="Verdana"/>
          <w:sz w:val="18"/>
          <w:szCs w:val="18"/>
        </w:rPr>
        <w:t xml:space="preserve">de </w:t>
      </w:r>
      <w:r w:rsidRPr="002F2ED6" w:rsidR="00B319EC">
        <w:rPr>
          <w:rFonts w:ascii="Verdana" w:hAnsi="Verdana"/>
          <w:sz w:val="18"/>
          <w:szCs w:val="18"/>
        </w:rPr>
        <w:t xml:space="preserve">beleidsverantwoordelijkheid van het Ministerie van Defensie vallen, de Minister van Defensie de bevoegde autoriteit is. </w:t>
      </w:r>
    </w:p>
    <w:p w:rsidR="00AA7B87" w:rsidP="002F2ED6" w:rsidRDefault="00AA7B87" w14:paraId="500C120F" w14:textId="77777777">
      <w:pPr>
        <w:pStyle w:val="Geenafstand"/>
        <w:rPr>
          <w:rFonts w:ascii="Verdana" w:hAnsi="Verdana"/>
          <w:sz w:val="18"/>
          <w:szCs w:val="18"/>
        </w:rPr>
      </w:pPr>
    </w:p>
    <w:p w:rsidR="002F2ED6" w:rsidP="002F2ED6" w:rsidRDefault="00E841DA" w14:paraId="31D087CC" w14:textId="1CC9CB8C">
      <w:pPr>
        <w:pStyle w:val="Geenafstand"/>
        <w:rPr>
          <w:rFonts w:ascii="Verdana" w:hAnsi="Verdana"/>
          <w:sz w:val="18"/>
          <w:szCs w:val="18"/>
        </w:rPr>
      </w:pPr>
      <w:r>
        <w:rPr>
          <w:rFonts w:ascii="Verdana" w:hAnsi="Verdana"/>
          <w:sz w:val="18"/>
          <w:szCs w:val="18"/>
        </w:rPr>
        <w:t xml:space="preserve">Met artikel </w:t>
      </w:r>
      <w:r w:rsidR="007A53BF">
        <w:rPr>
          <w:rFonts w:ascii="Verdana" w:hAnsi="Verdana"/>
          <w:sz w:val="18"/>
          <w:szCs w:val="18"/>
        </w:rPr>
        <w:t>1</w:t>
      </w:r>
      <w:r w:rsidR="00012A9F">
        <w:rPr>
          <w:rFonts w:ascii="Verdana" w:hAnsi="Verdana"/>
          <w:sz w:val="18"/>
          <w:szCs w:val="18"/>
        </w:rPr>
        <w:t>5</w:t>
      </w:r>
      <w:r>
        <w:rPr>
          <w:rFonts w:ascii="Verdana" w:hAnsi="Verdana"/>
          <w:sz w:val="18"/>
          <w:szCs w:val="18"/>
        </w:rPr>
        <w:t xml:space="preserve">, vijfde lid, </w:t>
      </w:r>
      <w:proofErr w:type="spellStart"/>
      <w:r>
        <w:rPr>
          <w:rFonts w:ascii="Verdana" w:hAnsi="Verdana"/>
          <w:sz w:val="18"/>
          <w:szCs w:val="18"/>
        </w:rPr>
        <w:t>Cbw</w:t>
      </w:r>
      <w:proofErr w:type="spellEnd"/>
      <w:r>
        <w:rPr>
          <w:rFonts w:ascii="Verdana" w:hAnsi="Verdana"/>
          <w:sz w:val="18"/>
          <w:szCs w:val="18"/>
        </w:rPr>
        <w:t xml:space="preserve"> wordt bewerkstelligd dat ten aanzien van een entiteit die op grond van artikel </w:t>
      </w:r>
      <w:r w:rsidR="00AA7B87">
        <w:rPr>
          <w:rFonts w:ascii="Verdana" w:hAnsi="Verdana"/>
          <w:sz w:val="18"/>
          <w:szCs w:val="18"/>
        </w:rPr>
        <w:t>6</w:t>
      </w:r>
      <w:r w:rsidR="004C30C3">
        <w:rPr>
          <w:rFonts w:ascii="Verdana" w:hAnsi="Verdana"/>
          <w:sz w:val="18"/>
          <w:szCs w:val="18"/>
        </w:rPr>
        <w:t>, eerste lid,</w:t>
      </w:r>
      <w:r>
        <w:rPr>
          <w:rFonts w:ascii="Verdana" w:hAnsi="Verdana"/>
          <w:sz w:val="18"/>
          <w:szCs w:val="18"/>
        </w:rPr>
        <w:t xml:space="preserve"> </w:t>
      </w:r>
      <w:proofErr w:type="spellStart"/>
      <w:r>
        <w:rPr>
          <w:rFonts w:ascii="Verdana" w:hAnsi="Verdana"/>
          <w:sz w:val="18"/>
          <w:szCs w:val="18"/>
        </w:rPr>
        <w:t>Wwke</w:t>
      </w:r>
      <w:proofErr w:type="spellEnd"/>
      <w:r>
        <w:rPr>
          <w:rFonts w:ascii="Verdana" w:hAnsi="Verdana"/>
          <w:sz w:val="18"/>
          <w:szCs w:val="18"/>
        </w:rPr>
        <w:t xml:space="preserve"> is aangewezen als kritieke entiteit </w:t>
      </w:r>
      <w:r w:rsidR="00AA7B87">
        <w:rPr>
          <w:rFonts w:ascii="Verdana" w:hAnsi="Verdana"/>
          <w:sz w:val="18"/>
          <w:szCs w:val="18"/>
        </w:rPr>
        <w:t xml:space="preserve">en niet behoort tot een in de bijlage van de </w:t>
      </w:r>
      <w:proofErr w:type="spellStart"/>
      <w:r w:rsidR="00AA7B87">
        <w:rPr>
          <w:rFonts w:ascii="Verdana" w:hAnsi="Verdana"/>
          <w:sz w:val="18"/>
          <w:szCs w:val="18"/>
        </w:rPr>
        <w:t>Wwke</w:t>
      </w:r>
      <w:proofErr w:type="spellEnd"/>
      <w:r w:rsidR="00AA7B87">
        <w:rPr>
          <w:rFonts w:ascii="Verdana" w:hAnsi="Verdana"/>
          <w:sz w:val="18"/>
          <w:szCs w:val="18"/>
        </w:rPr>
        <w:t xml:space="preserve"> genoemde sectoren, </w:t>
      </w:r>
      <w:r>
        <w:rPr>
          <w:rFonts w:ascii="Verdana" w:hAnsi="Verdana"/>
          <w:sz w:val="18"/>
          <w:szCs w:val="18"/>
        </w:rPr>
        <w:t xml:space="preserve">dezelfde instantie de bevoegde autoriteit is. </w:t>
      </w:r>
    </w:p>
    <w:p w:rsidR="00ED41BB" w:rsidP="002F2ED6" w:rsidRDefault="00ED41BB" w14:paraId="4F435833" w14:textId="77777777">
      <w:pPr>
        <w:pStyle w:val="Geenafstand"/>
        <w:rPr>
          <w:rFonts w:ascii="Verdana" w:hAnsi="Verdana"/>
          <w:sz w:val="18"/>
          <w:szCs w:val="18"/>
        </w:rPr>
      </w:pPr>
    </w:p>
    <w:p w:rsidRPr="00D3321F" w:rsidR="008A7B5F" w:rsidP="00D3321F" w:rsidRDefault="00B319EC" w14:paraId="6802C635" w14:textId="75BD3742">
      <w:pPr>
        <w:pStyle w:val="Geenafstand"/>
        <w:rPr>
          <w:rFonts w:ascii="Verdana" w:hAnsi="Verdana"/>
          <w:sz w:val="18"/>
          <w:szCs w:val="18"/>
        </w:rPr>
      </w:pPr>
      <w:r w:rsidRPr="00D3321F">
        <w:rPr>
          <w:rFonts w:ascii="Verdana" w:hAnsi="Verdana"/>
          <w:sz w:val="18"/>
          <w:szCs w:val="18"/>
        </w:rPr>
        <w:t xml:space="preserve">In </w:t>
      </w:r>
      <w:r w:rsidRPr="00D3321F" w:rsidR="00E841DA">
        <w:rPr>
          <w:rFonts w:ascii="Verdana" w:hAnsi="Verdana"/>
          <w:sz w:val="18"/>
          <w:szCs w:val="18"/>
        </w:rPr>
        <w:t xml:space="preserve">artikel </w:t>
      </w:r>
      <w:r w:rsidRPr="00D3321F" w:rsidR="007A53BF">
        <w:rPr>
          <w:rFonts w:ascii="Verdana" w:hAnsi="Verdana"/>
          <w:sz w:val="18"/>
          <w:szCs w:val="18"/>
        </w:rPr>
        <w:t>1</w:t>
      </w:r>
      <w:r w:rsidRPr="00D3321F" w:rsidR="00012A9F">
        <w:rPr>
          <w:rFonts w:ascii="Verdana" w:hAnsi="Verdana"/>
          <w:sz w:val="18"/>
          <w:szCs w:val="18"/>
        </w:rPr>
        <w:t>5</w:t>
      </w:r>
      <w:r w:rsidRPr="00D3321F" w:rsidR="00E841DA">
        <w:rPr>
          <w:rFonts w:ascii="Verdana" w:hAnsi="Verdana"/>
          <w:sz w:val="18"/>
          <w:szCs w:val="18"/>
        </w:rPr>
        <w:t xml:space="preserve">, </w:t>
      </w:r>
      <w:r w:rsidRPr="00D3321F">
        <w:rPr>
          <w:rFonts w:ascii="Verdana" w:hAnsi="Verdana"/>
          <w:sz w:val="18"/>
          <w:szCs w:val="18"/>
        </w:rPr>
        <w:t>zesde lid</w:t>
      </w:r>
      <w:r w:rsidRPr="00D3321F" w:rsidR="00E841DA">
        <w:rPr>
          <w:rFonts w:ascii="Verdana" w:hAnsi="Verdana"/>
          <w:sz w:val="18"/>
          <w:szCs w:val="18"/>
        </w:rPr>
        <w:t xml:space="preserve">, </w:t>
      </w:r>
      <w:proofErr w:type="spellStart"/>
      <w:r w:rsidRPr="00D3321F" w:rsidR="00E841DA">
        <w:rPr>
          <w:rFonts w:ascii="Verdana" w:hAnsi="Verdana"/>
          <w:sz w:val="18"/>
          <w:szCs w:val="18"/>
        </w:rPr>
        <w:t>Cbw</w:t>
      </w:r>
      <w:proofErr w:type="spellEnd"/>
      <w:r w:rsidRPr="00D3321F">
        <w:rPr>
          <w:rFonts w:ascii="Verdana" w:hAnsi="Verdana"/>
          <w:sz w:val="18"/>
          <w:szCs w:val="18"/>
        </w:rPr>
        <w:t xml:space="preserve"> is geregeld welke taken de bevoegde autoriteit heeft.</w:t>
      </w:r>
      <w:r w:rsidRPr="00D3321F" w:rsidR="001B1977">
        <w:rPr>
          <w:rFonts w:ascii="Verdana" w:hAnsi="Verdana"/>
          <w:sz w:val="18"/>
          <w:szCs w:val="18"/>
        </w:rPr>
        <w:t xml:space="preserve"> De bevoegde autoriteit heeft onder meer de taak om te zorgen voor de bestuursrechtelijke handhaving van het bepaalde bij of krachtens de </w:t>
      </w:r>
      <w:proofErr w:type="spellStart"/>
      <w:r w:rsidRPr="00D3321F" w:rsidR="001B1977">
        <w:rPr>
          <w:rFonts w:ascii="Verdana" w:hAnsi="Verdana"/>
          <w:sz w:val="18"/>
          <w:szCs w:val="18"/>
        </w:rPr>
        <w:t>Cbw</w:t>
      </w:r>
      <w:proofErr w:type="spellEnd"/>
      <w:r w:rsidRPr="00D3321F" w:rsidR="001B1977">
        <w:rPr>
          <w:rFonts w:ascii="Verdana" w:hAnsi="Verdana"/>
          <w:sz w:val="18"/>
          <w:szCs w:val="18"/>
        </w:rPr>
        <w:t xml:space="preserve"> ten aanzien van essentiële entiteiten en belangrijke entiteiten. Over het toezicht op de naleving van de </w:t>
      </w:r>
      <w:proofErr w:type="spellStart"/>
      <w:r w:rsidRPr="00D3321F" w:rsidR="001B1977">
        <w:rPr>
          <w:rFonts w:ascii="Verdana" w:hAnsi="Verdana"/>
          <w:sz w:val="18"/>
          <w:szCs w:val="18"/>
        </w:rPr>
        <w:t>Cbw</w:t>
      </w:r>
      <w:proofErr w:type="spellEnd"/>
      <w:r w:rsidRPr="00D3321F" w:rsidR="001B1977">
        <w:rPr>
          <w:rFonts w:ascii="Verdana" w:hAnsi="Verdana"/>
          <w:sz w:val="18"/>
          <w:szCs w:val="18"/>
        </w:rPr>
        <w:t xml:space="preserve"> door overheidsinstanties wordt het volgende opgemerkt. </w:t>
      </w:r>
      <w:r w:rsidRPr="00D3321F" w:rsidR="008A7B5F">
        <w:rPr>
          <w:rFonts w:ascii="Verdana" w:hAnsi="Verdana"/>
          <w:sz w:val="18"/>
          <w:szCs w:val="18"/>
        </w:rPr>
        <w:t xml:space="preserve">In artikel 31, vierde lid, NIS2-richtlijn is bepaald dat lidstaten ervoor moeten zorgen dat de bevoegde autoriteiten bij het toezicht op de naleving van de NIS2-richtlijn door overheidsinstanties en bij het opleggen van handhavingsmaatregelen inzake inbreuken op de NIS2-richtlijn over passende bevoegdheden beschikken om bij de uitvoering van deze taken operationeel onafhankelijk te zijn van de overheidsinstanties waarop zij toezicht houden. Het toezicht op de naleving van het bepaalde bij of krachtens de </w:t>
      </w:r>
      <w:proofErr w:type="spellStart"/>
      <w:r w:rsidRPr="00D3321F" w:rsidR="008A7B5F">
        <w:rPr>
          <w:rFonts w:ascii="Verdana" w:hAnsi="Verdana"/>
          <w:sz w:val="18"/>
          <w:szCs w:val="18"/>
        </w:rPr>
        <w:t>Cbw</w:t>
      </w:r>
      <w:proofErr w:type="spellEnd"/>
      <w:r w:rsidRPr="00D3321F" w:rsidR="008A7B5F">
        <w:rPr>
          <w:rFonts w:ascii="Verdana" w:hAnsi="Verdana"/>
          <w:sz w:val="18"/>
          <w:szCs w:val="18"/>
        </w:rPr>
        <w:t xml:space="preserve"> ten aanzien van entiteiten uit de sector overheid (met uitzondering van de waterschappen) zal worden uitgevoerd door de RDI. De RDI valt onder het Ministerie van Economische Zaken en zal de hiervoor bedoelde taken uitvoeren namens de Minister van Binnenlandse Zaken en Koninkrijksrelaties als bevoegde autoriteit van de entiteiten die vallen binnen de sector overheid, met uitzondering van de waterschappen. Aangezien beide ministeries zelf ook onder de </w:t>
      </w:r>
      <w:proofErr w:type="spellStart"/>
      <w:r w:rsidRPr="00D3321F" w:rsidR="008A7B5F">
        <w:rPr>
          <w:rFonts w:ascii="Verdana" w:hAnsi="Verdana"/>
          <w:sz w:val="18"/>
          <w:szCs w:val="18"/>
        </w:rPr>
        <w:t>Cbw</w:t>
      </w:r>
      <w:proofErr w:type="spellEnd"/>
      <w:r w:rsidRPr="00D3321F" w:rsidR="008A7B5F">
        <w:rPr>
          <w:rFonts w:ascii="Verdana" w:hAnsi="Verdana"/>
          <w:sz w:val="18"/>
          <w:szCs w:val="18"/>
        </w:rPr>
        <w:t xml:space="preserve"> zullen vallen, dient het toezicht in voldoende mate operationeel onafhankelijk te zijn. Ten aanzien van het Ministerie van Binnenlandse Zaken en Koninkrijksrelaties is er </w:t>
      </w:r>
      <w:r w:rsidR="0010134E">
        <w:rPr>
          <w:rFonts w:ascii="Verdana" w:hAnsi="Verdana"/>
          <w:sz w:val="18"/>
          <w:szCs w:val="18"/>
        </w:rPr>
        <w:t xml:space="preserve">een </w:t>
      </w:r>
      <w:r w:rsidR="00E01609">
        <w:rPr>
          <w:rFonts w:ascii="Verdana" w:hAnsi="Verdana"/>
          <w:sz w:val="18"/>
          <w:szCs w:val="18"/>
        </w:rPr>
        <w:t>organisatorische</w:t>
      </w:r>
      <w:r w:rsidRPr="00D3321F" w:rsidR="00E01609">
        <w:rPr>
          <w:rFonts w:ascii="Verdana" w:hAnsi="Verdana"/>
          <w:sz w:val="18"/>
          <w:szCs w:val="18"/>
        </w:rPr>
        <w:t xml:space="preserve"> </w:t>
      </w:r>
      <w:r w:rsidRPr="00D3321F" w:rsidR="008A7B5F">
        <w:rPr>
          <w:rFonts w:ascii="Verdana" w:hAnsi="Verdana"/>
          <w:sz w:val="18"/>
          <w:szCs w:val="18"/>
        </w:rPr>
        <w:t xml:space="preserve">scheiding doordat de RDI onder een ander ministerie valt. </w:t>
      </w:r>
      <w:r w:rsidR="0010134E">
        <w:rPr>
          <w:rFonts w:ascii="Verdana" w:hAnsi="Verdana"/>
          <w:sz w:val="18"/>
          <w:szCs w:val="18"/>
        </w:rPr>
        <w:t>Verder</w:t>
      </w:r>
      <w:r w:rsidRPr="00D3321F" w:rsidR="008A7B5F">
        <w:rPr>
          <w:rFonts w:ascii="Verdana" w:hAnsi="Verdana"/>
          <w:sz w:val="18"/>
          <w:szCs w:val="18"/>
        </w:rPr>
        <w:t xml:space="preserve"> is de operationele onafhankelijkheid mede geborgd door de Aanwijzingen inzake de rijksinspecties. Zo is in aanwijzing 14, vijfde lid, bepaald dat de </w:t>
      </w:r>
      <w:r w:rsidR="0010134E">
        <w:rPr>
          <w:rFonts w:ascii="Verdana" w:hAnsi="Verdana"/>
          <w:sz w:val="18"/>
          <w:szCs w:val="18"/>
        </w:rPr>
        <w:t xml:space="preserve">beleidsinhoudelijk verantwoordelijke </w:t>
      </w:r>
      <w:r w:rsidRPr="00D3321F" w:rsidR="008A7B5F">
        <w:rPr>
          <w:rFonts w:ascii="Verdana" w:hAnsi="Verdana"/>
          <w:sz w:val="18"/>
          <w:szCs w:val="18"/>
        </w:rPr>
        <w:t>minister zijn aanwijzingsbevoegdheid niet gebruikt om een rijksinspectie ervan te weerhouden een specifiek onderzoek te verrichten of af te ronden, noch om in te grijpen in de wijze waarop een rijksinspectie een specifiek onderzoek verricht, noch om invloed uit te oefenen op de bevindingen, oordelen en adviezen van een rijksinspectie</w:t>
      </w:r>
      <w:bookmarkStart w:name="_Hlk196918792" w:id="261"/>
      <w:r w:rsidRPr="00D3321F" w:rsidR="008A7B5F">
        <w:rPr>
          <w:rFonts w:ascii="Verdana" w:hAnsi="Verdana"/>
          <w:sz w:val="18"/>
          <w:szCs w:val="18"/>
        </w:rPr>
        <w:t>. D</w:t>
      </w:r>
      <w:r w:rsidR="0010134E">
        <w:rPr>
          <w:rFonts w:ascii="Verdana" w:hAnsi="Verdana"/>
          <w:sz w:val="18"/>
          <w:szCs w:val="18"/>
        </w:rPr>
        <w:t>e</w:t>
      </w:r>
      <w:r w:rsidRPr="00D3321F" w:rsidR="008A7B5F">
        <w:rPr>
          <w:rFonts w:ascii="Verdana" w:hAnsi="Verdana"/>
          <w:sz w:val="18"/>
          <w:szCs w:val="18"/>
        </w:rPr>
        <w:t xml:space="preserve"> Minister van Binnenlandse Zaken en Koninkrijksrelaties </w:t>
      </w:r>
      <w:r w:rsidR="0010134E">
        <w:rPr>
          <w:rFonts w:ascii="Verdana" w:hAnsi="Verdana"/>
          <w:sz w:val="18"/>
          <w:szCs w:val="18"/>
        </w:rPr>
        <w:t xml:space="preserve">zal </w:t>
      </w:r>
      <w:r w:rsidRPr="00D3321F" w:rsidR="008A7B5F">
        <w:rPr>
          <w:rFonts w:ascii="Verdana" w:hAnsi="Verdana"/>
          <w:sz w:val="18"/>
          <w:szCs w:val="18"/>
        </w:rPr>
        <w:t>vanuit zijn verantwoordelijkheid als bevoegde autoriteit van de entiteiten die vallen binnen de sector overheid borgen dat er geen operationele bemoeien</w:t>
      </w:r>
      <w:r w:rsidR="00E01609">
        <w:rPr>
          <w:rFonts w:ascii="Verdana" w:hAnsi="Verdana"/>
          <w:sz w:val="18"/>
          <w:szCs w:val="18"/>
        </w:rPr>
        <w:t>is</w:t>
      </w:r>
      <w:r w:rsidRPr="00D3321F" w:rsidR="008A7B5F">
        <w:rPr>
          <w:rFonts w:ascii="Verdana" w:hAnsi="Verdana"/>
          <w:sz w:val="18"/>
          <w:szCs w:val="18"/>
        </w:rPr>
        <w:t xml:space="preserve"> is</w:t>
      </w:r>
      <w:r w:rsidR="00E01609">
        <w:rPr>
          <w:rFonts w:ascii="Verdana" w:hAnsi="Verdana"/>
          <w:sz w:val="18"/>
          <w:szCs w:val="18"/>
        </w:rPr>
        <w:t>, z</w:t>
      </w:r>
      <w:r w:rsidRPr="00D3321F" w:rsidR="008A7B5F">
        <w:rPr>
          <w:rFonts w:ascii="Verdana" w:hAnsi="Verdana"/>
          <w:sz w:val="18"/>
          <w:szCs w:val="18"/>
        </w:rPr>
        <w:t xml:space="preserve">oals via openbaar kenbare relatiestatuten, regelingen of procedures. </w:t>
      </w:r>
      <w:bookmarkEnd w:id="261"/>
    </w:p>
    <w:bookmarkEnd w:id="260"/>
    <w:p w:rsidRPr="00D3321F" w:rsidR="00041C09" w:rsidP="00D3321F" w:rsidRDefault="00041C09" w14:paraId="79615452" w14:textId="4D7ADEDB">
      <w:pPr>
        <w:pStyle w:val="Geenafstand"/>
        <w:rPr>
          <w:rFonts w:ascii="Verdana" w:hAnsi="Verdana"/>
          <w:sz w:val="18"/>
          <w:szCs w:val="18"/>
        </w:rPr>
      </w:pPr>
    </w:p>
    <w:p w:rsidRPr="00BD3C4A" w:rsidR="00155394" w:rsidP="00155394" w:rsidRDefault="00155394" w14:paraId="6347C77A" w14:textId="3FCDAB4B">
      <w:pPr>
        <w:pStyle w:val="Geenafstand"/>
        <w:rPr>
          <w:rFonts w:ascii="Verdana" w:hAnsi="Verdana"/>
          <w:b/>
          <w:bCs/>
          <w:sz w:val="18"/>
          <w:szCs w:val="18"/>
        </w:rPr>
      </w:pPr>
      <w:bookmarkStart w:name="_Hlk179319466" w:id="262"/>
      <w:r w:rsidRPr="00BD3C4A">
        <w:rPr>
          <w:rFonts w:ascii="Verdana" w:hAnsi="Verdana"/>
          <w:b/>
          <w:bCs/>
          <w:sz w:val="18"/>
          <w:szCs w:val="18"/>
        </w:rPr>
        <w:t xml:space="preserve">Artikel </w:t>
      </w:r>
      <w:r>
        <w:rPr>
          <w:rFonts w:ascii="Verdana" w:hAnsi="Verdana"/>
          <w:b/>
          <w:bCs/>
          <w:sz w:val="18"/>
          <w:szCs w:val="18"/>
        </w:rPr>
        <w:t>16</w:t>
      </w:r>
      <w:r w:rsidRPr="00BD3C4A">
        <w:rPr>
          <w:rFonts w:ascii="Verdana" w:hAnsi="Verdana"/>
          <w:b/>
          <w:bCs/>
          <w:sz w:val="18"/>
          <w:szCs w:val="18"/>
        </w:rPr>
        <w:t xml:space="preserve"> (aanwijzing</w:t>
      </w:r>
      <w:r w:rsidR="006467C3">
        <w:rPr>
          <w:rFonts w:ascii="Verdana" w:hAnsi="Verdana"/>
          <w:b/>
          <w:bCs/>
          <w:sz w:val="18"/>
          <w:szCs w:val="18"/>
        </w:rPr>
        <w:t>,</w:t>
      </w:r>
      <w:r w:rsidRPr="00BD3C4A">
        <w:rPr>
          <w:rFonts w:ascii="Verdana" w:hAnsi="Verdana"/>
          <w:b/>
          <w:bCs/>
          <w:sz w:val="18"/>
          <w:szCs w:val="18"/>
        </w:rPr>
        <w:t xml:space="preserve"> taken</w:t>
      </w:r>
      <w:r w:rsidR="006467C3">
        <w:rPr>
          <w:rFonts w:ascii="Verdana" w:hAnsi="Verdana"/>
          <w:b/>
          <w:bCs/>
          <w:sz w:val="18"/>
          <w:szCs w:val="18"/>
        </w:rPr>
        <w:t xml:space="preserve"> en eisen</w:t>
      </w:r>
      <w:r w:rsidRPr="00BD3C4A">
        <w:rPr>
          <w:rFonts w:ascii="Verdana" w:hAnsi="Verdana"/>
          <w:b/>
          <w:bCs/>
          <w:sz w:val="18"/>
          <w:szCs w:val="18"/>
        </w:rPr>
        <w:t xml:space="preserve"> CSIRT)</w:t>
      </w:r>
    </w:p>
    <w:bookmarkEnd w:id="262"/>
    <w:p w:rsidRPr="00C47325" w:rsidR="00CE333A" w:rsidP="00CE333A" w:rsidRDefault="00CE333A" w14:paraId="5577FB37" w14:textId="77777777">
      <w:pPr>
        <w:pStyle w:val="Geenafstand"/>
        <w:rPr>
          <w:rFonts w:ascii="Verdana" w:hAnsi="Verdana"/>
          <w:sz w:val="18"/>
          <w:szCs w:val="18"/>
        </w:rPr>
      </w:pPr>
    </w:p>
    <w:p w:rsidRPr="00E70E2D" w:rsidR="00E449F6" w:rsidP="00CE333A" w:rsidRDefault="00E449F6" w14:paraId="7AAABA8C" w14:textId="7CB99D4D">
      <w:pPr>
        <w:spacing w:after="0" w:line="240" w:lineRule="auto"/>
        <w:rPr>
          <w:rFonts w:ascii="Verdana" w:hAnsi="Verdana"/>
          <w:i/>
          <w:iCs/>
          <w:sz w:val="18"/>
          <w:szCs w:val="18"/>
        </w:rPr>
      </w:pPr>
      <w:r>
        <w:rPr>
          <w:rFonts w:ascii="Verdana" w:hAnsi="Verdana"/>
          <w:i/>
          <w:iCs/>
          <w:sz w:val="18"/>
          <w:szCs w:val="18"/>
        </w:rPr>
        <w:t>Aanwijzing CSIRT van alle essentiële entiteiten en belangrijke entiteiten</w:t>
      </w:r>
    </w:p>
    <w:p w:rsidRPr="00F52982" w:rsidR="00F52982" w:rsidP="00CE333A" w:rsidRDefault="00F52982" w14:paraId="6FE2967E" w14:textId="50313782">
      <w:pPr>
        <w:spacing w:after="0" w:line="240" w:lineRule="auto"/>
        <w:rPr>
          <w:rFonts w:ascii="Verdana" w:hAnsi="Verdana"/>
          <w:sz w:val="18"/>
          <w:szCs w:val="18"/>
        </w:rPr>
      </w:pPr>
      <w:r>
        <w:rPr>
          <w:rFonts w:ascii="Verdana" w:hAnsi="Verdana"/>
          <w:sz w:val="18"/>
          <w:szCs w:val="18"/>
        </w:rPr>
        <w:t>Artikel 1</w:t>
      </w:r>
      <w:r w:rsidR="00012A9F">
        <w:rPr>
          <w:rFonts w:ascii="Verdana" w:hAnsi="Verdana"/>
          <w:sz w:val="18"/>
          <w:szCs w:val="18"/>
        </w:rPr>
        <w:t>6</w:t>
      </w:r>
      <w:r>
        <w:rPr>
          <w:rFonts w:ascii="Verdana" w:hAnsi="Verdana"/>
          <w:sz w:val="18"/>
          <w:szCs w:val="18"/>
        </w:rPr>
        <w:t xml:space="preserve">, eerste lid, </w:t>
      </w:r>
      <w:proofErr w:type="spellStart"/>
      <w:r>
        <w:rPr>
          <w:rFonts w:ascii="Verdana" w:hAnsi="Verdana"/>
          <w:sz w:val="18"/>
          <w:szCs w:val="18"/>
        </w:rPr>
        <w:t>Cbw</w:t>
      </w:r>
      <w:proofErr w:type="spellEnd"/>
      <w:r w:rsidRPr="00C47325" w:rsidR="00CE333A">
        <w:rPr>
          <w:rFonts w:ascii="Verdana" w:hAnsi="Verdana"/>
          <w:sz w:val="18"/>
          <w:szCs w:val="18"/>
        </w:rPr>
        <w:t xml:space="preserve"> betreft de implementatie van artikel 10, eerste lid, NIS2-richtlijn.</w:t>
      </w:r>
      <w:r w:rsidRPr="00C47325" w:rsidR="00EA661F">
        <w:rPr>
          <w:rFonts w:ascii="Verdana" w:hAnsi="Verdana"/>
          <w:sz w:val="18"/>
          <w:szCs w:val="18"/>
        </w:rPr>
        <w:t xml:space="preserve"> </w:t>
      </w:r>
      <w:r w:rsidRPr="00C47325">
        <w:rPr>
          <w:rFonts w:ascii="Verdana" w:hAnsi="Verdana"/>
          <w:sz w:val="18"/>
          <w:szCs w:val="18"/>
        </w:rPr>
        <w:t xml:space="preserve">In artikel </w:t>
      </w:r>
      <w:r>
        <w:rPr>
          <w:rFonts w:ascii="Verdana" w:hAnsi="Verdana"/>
          <w:sz w:val="18"/>
          <w:szCs w:val="18"/>
        </w:rPr>
        <w:t>1</w:t>
      </w:r>
      <w:r w:rsidR="00012A9F">
        <w:rPr>
          <w:rFonts w:ascii="Verdana" w:hAnsi="Verdana"/>
          <w:sz w:val="18"/>
          <w:szCs w:val="18"/>
        </w:rPr>
        <w:t>6</w:t>
      </w:r>
      <w:r w:rsidRPr="00C47325">
        <w:rPr>
          <w:rFonts w:ascii="Verdana" w:hAnsi="Verdana"/>
          <w:sz w:val="18"/>
          <w:szCs w:val="18"/>
        </w:rPr>
        <w:t xml:space="preserve">, eerste lid, </w:t>
      </w:r>
      <w:proofErr w:type="spellStart"/>
      <w:r w:rsidRPr="00C47325">
        <w:rPr>
          <w:rFonts w:ascii="Verdana" w:hAnsi="Verdana"/>
          <w:sz w:val="18"/>
          <w:szCs w:val="18"/>
        </w:rPr>
        <w:t>Cbw</w:t>
      </w:r>
      <w:proofErr w:type="spellEnd"/>
      <w:r w:rsidRPr="00C47325">
        <w:rPr>
          <w:rFonts w:ascii="Verdana" w:hAnsi="Verdana"/>
          <w:sz w:val="18"/>
          <w:szCs w:val="18"/>
        </w:rPr>
        <w:t xml:space="preserve"> is geregeld dat bij </w:t>
      </w:r>
      <w:r>
        <w:rPr>
          <w:rFonts w:ascii="Verdana" w:hAnsi="Verdana"/>
          <w:sz w:val="18"/>
          <w:szCs w:val="18"/>
        </w:rPr>
        <w:t xml:space="preserve">of krachtens </w:t>
      </w:r>
      <w:proofErr w:type="spellStart"/>
      <w:r w:rsidRPr="00C47325">
        <w:rPr>
          <w:rFonts w:ascii="Verdana" w:hAnsi="Verdana"/>
          <w:sz w:val="18"/>
          <w:szCs w:val="18"/>
        </w:rPr>
        <w:t>amvb</w:t>
      </w:r>
      <w:proofErr w:type="spellEnd"/>
      <w:r w:rsidRPr="00C47325">
        <w:rPr>
          <w:rFonts w:ascii="Verdana" w:hAnsi="Verdana"/>
          <w:sz w:val="18"/>
          <w:szCs w:val="18"/>
        </w:rPr>
        <w:t xml:space="preserve"> het CSIRT wordt aangewezen voor</w:t>
      </w:r>
      <w:r>
        <w:rPr>
          <w:rFonts w:ascii="Verdana" w:hAnsi="Verdana"/>
          <w:sz w:val="18"/>
          <w:szCs w:val="18"/>
        </w:rPr>
        <w:t xml:space="preserve"> alle essentiële entiteiten en belangrijke entiteiten. Deze bepaling ziet op de aanwijzing van het CSIRT voor alle essentiële entiteiten en belangrijke entiteiten, dus ook de entiteiten die op grond van artikel 10 </w:t>
      </w:r>
      <w:proofErr w:type="spellStart"/>
      <w:r>
        <w:rPr>
          <w:rFonts w:ascii="Verdana" w:hAnsi="Verdana"/>
          <w:sz w:val="18"/>
          <w:szCs w:val="18"/>
        </w:rPr>
        <w:t>Cbw</w:t>
      </w:r>
      <w:proofErr w:type="spellEnd"/>
      <w:r>
        <w:rPr>
          <w:rFonts w:ascii="Verdana" w:hAnsi="Verdana"/>
          <w:sz w:val="18"/>
          <w:szCs w:val="18"/>
        </w:rPr>
        <w:t xml:space="preserve"> zijn aangewezen als essentiële entiteit, de instellingen voor hoger onderwijs die op grond van de artikelen 11 of 13 </w:t>
      </w:r>
      <w:proofErr w:type="spellStart"/>
      <w:r>
        <w:rPr>
          <w:rFonts w:ascii="Verdana" w:hAnsi="Verdana"/>
          <w:sz w:val="18"/>
          <w:szCs w:val="18"/>
        </w:rPr>
        <w:t>Cbw</w:t>
      </w:r>
      <w:proofErr w:type="spellEnd"/>
      <w:r>
        <w:rPr>
          <w:rFonts w:ascii="Verdana" w:hAnsi="Verdana"/>
          <w:sz w:val="18"/>
          <w:szCs w:val="18"/>
        </w:rPr>
        <w:t xml:space="preserve"> zijn aangewezen als essentiële entiteit respectievelijk belangrijke entiteit en kritieke entiteiten als bedoeld in artikel 6, eerste lid, </w:t>
      </w:r>
      <w:proofErr w:type="spellStart"/>
      <w:r>
        <w:rPr>
          <w:rFonts w:ascii="Verdana" w:hAnsi="Verdana"/>
          <w:sz w:val="18"/>
          <w:szCs w:val="18"/>
        </w:rPr>
        <w:t>Wwke</w:t>
      </w:r>
      <w:proofErr w:type="spellEnd"/>
      <w:r w:rsidR="00BE78A4">
        <w:rPr>
          <w:rFonts w:ascii="Verdana" w:hAnsi="Verdana"/>
          <w:sz w:val="18"/>
          <w:szCs w:val="18"/>
        </w:rPr>
        <w:t xml:space="preserve">. De laatstgenoemde entiteiten zijn </w:t>
      </w:r>
      <w:r>
        <w:rPr>
          <w:rFonts w:ascii="Verdana" w:hAnsi="Verdana"/>
          <w:sz w:val="18"/>
          <w:szCs w:val="18"/>
        </w:rPr>
        <w:t xml:space="preserve">op grond van artikel 8, eerste lid, onderdeel i, </w:t>
      </w:r>
      <w:proofErr w:type="spellStart"/>
      <w:r>
        <w:rPr>
          <w:rFonts w:ascii="Verdana" w:hAnsi="Verdana"/>
          <w:sz w:val="18"/>
          <w:szCs w:val="18"/>
        </w:rPr>
        <w:t>Cbw</w:t>
      </w:r>
      <w:proofErr w:type="spellEnd"/>
      <w:r>
        <w:rPr>
          <w:rFonts w:ascii="Verdana" w:hAnsi="Verdana"/>
          <w:sz w:val="18"/>
          <w:szCs w:val="18"/>
        </w:rPr>
        <w:t xml:space="preserve"> van rechtswege ook essentiële entiteit. Voor alle hiervoor genoemde entiteiten moet dus het CSIRT word</w:t>
      </w:r>
      <w:r w:rsidRPr="00F52982">
        <w:rPr>
          <w:rFonts w:ascii="Verdana" w:hAnsi="Verdana"/>
          <w:sz w:val="18"/>
          <w:szCs w:val="18"/>
        </w:rPr>
        <w:t xml:space="preserve">en aangewezen. </w:t>
      </w:r>
    </w:p>
    <w:p w:rsidRPr="00C47325" w:rsidR="0064610B" w:rsidP="00CE333A" w:rsidRDefault="0064610B" w14:paraId="7B161278" w14:textId="61FD20C7">
      <w:pPr>
        <w:spacing w:after="0" w:line="240" w:lineRule="auto"/>
        <w:rPr>
          <w:rFonts w:ascii="Verdana" w:hAnsi="Verdana"/>
          <w:sz w:val="18"/>
          <w:szCs w:val="18"/>
        </w:rPr>
      </w:pPr>
      <w:r w:rsidRPr="00F52982">
        <w:rPr>
          <w:rFonts w:ascii="Verdana" w:hAnsi="Verdana"/>
          <w:sz w:val="18"/>
          <w:szCs w:val="18"/>
        </w:rPr>
        <w:t xml:space="preserve">De aanwijzing van een CSIRT kan geschieden voor een hele sector of </w:t>
      </w:r>
      <w:proofErr w:type="spellStart"/>
      <w:r w:rsidRPr="00F52982">
        <w:rPr>
          <w:rFonts w:ascii="Verdana" w:hAnsi="Verdana"/>
          <w:sz w:val="18"/>
          <w:szCs w:val="18"/>
        </w:rPr>
        <w:t>subsector</w:t>
      </w:r>
      <w:proofErr w:type="spellEnd"/>
      <w:r w:rsidRPr="00F52982">
        <w:rPr>
          <w:rFonts w:ascii="Verdana" w:hAnsi="Verdana"/>
          <w:sz w:val="18"/>
          <w:szCs w:val="18"/>
        </w:rPr>
        <w:t xml:space="preserve">, voor alle entiteiten die binnen een soort entiteit of categorie van entiteiten vallen en voor specifieke essentiële entiteiten en belangrijke entiteiten. </w:t>
      </w:r>
    </w:p>
    <w:p w:rsidR="00CE333A" w:rsidP="00CE333A" w:rsidRDefault="00CE333A" w14:paraId="07B4589C" w14:textId="77777777">
      <w:pPr>
        <w:spacing w:after="0" w:line="240" w:lineRule="auto"/>
        <w:rPr>
          <w:rFonts w:ascii="Verdana" w:hAnsi="Verdana"/>
          <w:sz w:val="18"/>
          <w:szCs w:val="18"/>
        </w:rPr>
      </w:pPr>
    </w:p>
    <w:p w:rsidRPr="00E70E2D" w:rsidR="00E449F6" w:rsidP="00CE333A" w:rsidRDefault="00E449F6" w14:paraId="31BB8719" w14:textId="46DF5ABE">
      <w:pPr>
        <w:spacing w:after="0" w:line="240" w:lineRule="auto"/>
        <w:rPr>
          <w:rFonts w:ascii="Verdana" w:hAnsi="Verdana"/>
          <w:i/>
          <w:iCs/>
          <w:sz w:val="18"/>
          <w:szCs w:val="18"/>
        </w:rPr>
      </w:pPr>
      <w:r>
        <w:rPr>
          <w:rFonts w:ascii="Verdana" w:hAnsi="Verdana"/>
          <w:i/>
          <w:iCs/>
          <w:sz w:val="18"/>
          <w:szCs w:val="18"/>
        </w:rPr>
        <w:t>Delegatiegrondslag</w:t>
      </w:r>
    </w:p>
    <w:p w:rsidR="00707C10" w:rsidP="00CE333A" w:rsidRDefault="00881AC4" w14:paraId="13D09246" w14:textId="667A9F1D">
      <w:pPr>
        <w:spacing w:after="0" w:line="240" w:lineRule="auto"/>
        <w:rPr>
          <w:rFonts w:ascii="Verdana" w:hAnsi="Verdana"/>
          <w:sz w:val="18"/>
          <w:szCs w:val="18"/>
        </w:rPr>
      </w:pPr>
      <w:bookmarkStart w:name="_Hlk181184166" w:id="263"/>
      <w:r>
        <w:rPr>
          <w:rFonts w:ascii="Verdana" w:hAnsi="Verdana"/>
          <w:sz w:val="18"/>
          <w:szCs w:val="18"/>
        </w:rPr>
        <w:t xml:space="preserve">Artikel </w:t>
      </w:r>
      <w:r w:rsidR="007A53BF">
        <w:rPr>
          <w:rFonts w:ascii="Verdana" w:hAnsi="Verdana"/>
          <w:sz w:val="18"/>
          <w:szCs w:val="18"/>
        </w:rPr>
        <w:t>1</w:t>
      </w:r>
      <w:r w:rsidR="008442BB">
        <w:rPr>
          <w:rFonts w:ascii="Verdana" w:hAnsi="Verdana"/>
          <w:sz w:val="18"/>
          <w:szCs w:val="18"/>
        </w:rPr>
        <w:t>6</w:t>
      </w:r>
      <w:r>
        <w:rPr>
          <w:rFonts w:ascii="Verdana" w:hAnsi="Verdana"/>
          <w:sz w:val="18"/>
          <w:szCs w:val="18"/>
        </w:rPr>
        <w:t xml:space="preserve">, </w:t>
      </w:r>
      <w:r w:rsidR="00304FD1">
        <w:rPr>
          <w:rFonts w:ascii="Verdana" w:hAnsi="Verdana"/>
          <w:sz w:val="18"/>
          <w:szCs w:val="18"/>
        </w:rPr>
        <w:t xml:space="preserve">zevende </w:t>
      </w:r>
      <w:r>
        <w:rPr>
          <w:rFonts w:ascii="Verdana" w:hAnsi="Verdana"/>
          <w:sz w:val="18"/>
          <w:szCs w:val="18"/>
        </w:rPr>
        <w:t xml:space="preserve">lid, </w:t>
      </w:r>
      <w:proofErr w:type="spellStart"/>
      <w:r>
        <w:rPr>
          <w:rFonts w:ascii="Verdana" w:hAnsi="Verdana"/>
          <w:sz w:val="18"/>
          <w:szCs w:val="18"/>
        </w:rPr>
        <w:t>Cbw</w:t>
      </w:r>
      <w:proofErr w:type="spellEnd"/>
      <w:r>
        <w:rPr>
          <w:rFonts w:ascii="Verdana" w:hAnsi="Verdana"/>
          <w:sz w:val="18"/>
          <w:szCs w:val="18"/>
        </w:rPr>
        <w:t xml:space="preserve"> betreft een delegatiegrondslag om bij </w:t>
      </w:r>
      <w:r w:rsidR="00EE1C8E">
        <w:rPr>
          <w:rFonts w:ascii="Verdana" w:hAnsi="Verdana"/>
          <w:sz w:val="18"/>
          <w:szCs w:val="18"/>
        </w:rPr>
        <w:t xml:space="preserve">of krachtens </w:t>
      </w:r>
      <w:proofErr w:type="spellStart"/>
      <w:r w:rsidR="00EE1C8E">
        <w:rPr>
          <w:rFonts w:ascii="Verdana" w:hAnsi="Verdana"/>
          <w:sz w:val="18"/>
          <w:szCs w:val="18"/>
        </w:rPr>
        <w:t>amvb</w:t>
      </w:r>
      <w:proofErr w:type="spellEnd"/>
      <w:r>
        <w:rPr>
          <w:rFonts w:ascii="Verdana" w:hAnsi="Verdana"/>
          <w:sz w:val="18"/>
          <w:szCs w:val="18"/>
        </w:rPr>
        <w:t xml:space="preserve"> regels te stellen over </w:t>
      </w:r>
      <w:r w:rsidR="00BA1F43">
        <w:rPr>
          <w:rFonts w:ascii="Verdana" w:hAnsi="Verdana"/>
          <w:sz w:val="18"/>
          <w:szCs w:val="18"/>
        </w:rPr>
        <w:t>vereisten</w:t>
      </w:r>
      <w:r>
        <w:rPr>
          <w:rFonts w:ascii="Verdana" w:hAnsi="Verdana"/>
          <w:sz w:val="18"/>
          <w:szCs w:val="18"/>
        </w:rPr>
        <w:t xml:space="preserve"> </w:t>
      </w:r>
      <w:r w:rsidR="00304FD1">
        <w:rPr>
          <w:rFonts w:ascii="Verdana" w:hAnsi="Verdana"/>
          <w:sz w:val="18"/>
          <w:szCs w:val="18"/>
        </w:rPr>
        <w:t xml:space="preserve">ten aanzien </w:t>
      </w:r>
      <w:r>
        <w:rPr>
          <w:rFonts w:ascii="Verdana" w:hAnsi="Verdana"/>
          <w:sz w:val="18"/>
          <w:szCs w:val="18"/>
        </w:rPr>
        <w:t xml:space="preserve">van de organisatie die </w:t>
      </w:r>
      <w:r w:rsidR="00BA1F43">
        <w:rPr>
          <w:rFonts w:ascii="Verdana" w:hAnsi="Verdana"/>
          <w:sz w:val="18"/>
          <w:szCs w:val="18"/>
        </w:rPr>
        <w:t>wordt</w:t>
      </w:r>
      <w:r>
        <w:rPr>
          <w:rFonts w:ascii="Verdana" w:hAnsi="Verdana"/>
          <w:sz w:val="18"/>
          <w:szCs w:val="18"/>
        </w:rPr>
        <w:t xml:space="preserve"> belast met de uitvoering van de CSIRT-taken.</w:t>
      </w:r>
      <w:r w:rsidR="00EE1C8E">
        <w:rPr>
          <w:rFonts w:ascii="Verdana" w:hAnsi="Verdana"/>
          <w:sz w:val="18"/>
          <w:szCs w:val="18"/>
        </w:rPr>
        <w:t xml:space="preserve"> </w:t>
      </w:r>
      <w:r w:rsidR="00304FD1">
        <w:rPr>
          <w:rFonts w:ascii="Verdana" w:hAnsi="Verdana"/>
          <w:sz w:val="18"/>
          <w:szCs w:val="18"/>
        </w:rPr>
        <w:t xml:space="preserve">Met deze grondslag </w:t>
      </w:r>
      <w:r w:rsidR="00EE1C8E">
        <w:rPr>
          <w:rFonts w:ascii="Verdana" w:hAnsi="Verdana"/>
          <w:sz w:val="18"/>
          <w:szCs w:val="18"/>
        </w:rPr>
        <w:t xml:space="preserve">kunnen generieke eisen </w:t>
      </w:r>
      <w:r w:rsidR="00304FD1">
        <w:rPr>
          <w:rFonts w:ascii="Verdana" w:hAnsi="Verdana"/>
          <w:sz w:val="18"/>
          <w:szCs w:val="18"/>
        </w:rPr>
        <w:t xml:space="preserve">worden gesteld </w:t>
      </w:r>
      <w:r w:rsidR="00EE1C8E">
        <w:rPr>
          <w:rFonts w:ascii="Verdana" w:hAnsi="Verdana"/>
          <w:sz w:val="18"/>
          <w:szCs w:val="18"/>
        </w:rPr>
        <w:t>aan elk CSIRT</w:t>
      </w:r>
      <w:r w:rsidR="00304FD1">
        <w:rPr>
          <w:rFonts w:ascii="Verdana" w:hAnsi="Verdana"/>
          <w:sz w:val="18"/>
          <w:szCs w:val="18"/>
        </w:rPr>
        <w:t>,</w:t>
      </w:r>
      <w:r w:rsidR="00EE1C8E">
        <w:rPr>
          <w:rFonts w:ascii="Verdana" w:hAnsi="Verdana"/>
          <w:sz w:val="18"/>
          <w:szCs w:val="18"/>
        </w:rPr>
        <w:t xml:space="preserve"> bijvoorbeeld ten aanzien van het volwassenheidsniveau of de omgang met vertrouwelijke gegevens.</w:t>
      </w:r>
      <w:r>
        <w:rPr>
          <w:rFonts w:ascii="Verdana" w:hAnsi="Verdana"/>
          <w:sz w:val="18"/>
          <w:szCs w:val="18"/>
        </w:rPr>
        <w:t xml:space="preserve"> </w:t>
      </w:r>
      <w:bookmarkStart w:name="_Hlk177650663" w:id="264"/>
      <w:r w:rsidR="009C371D">
        <w:rPr>
          <w:rFonts w:ascii="Verdana" w:hAnsi="Verdana"/>
          <w:sz w:val="18"/>
          <w:szCs w:val="18"/>
        </w:rPr>
        <w:t xml:space="preserve">Met de grondslag kunnen ook regels worden gesteld over onder andere </w:t>
      </w:r>
      <w:r w:rsidRPr="00707C10" w:rsidR="009C371D">
        <w:rPr>
          <w:rFonts w:ascii="Verdana" w:hAnsi="Verdana"/>
          <w:sz w:val="18"/>
          <w:szCs w:val="18"/>
        </w:rPr>
        <w:t xml:space="preserve">de wijze van informeren aan de </w:t>
      </w:r>
      <w:r w:rsidR="009C371D">
        <w:rPr>
          <w:rFonts w:ascii="Verdana" w:hAnsi="Verdana"/>
          <w:sz w:val="18"/>
          <w:szCs w:val="18"/>
        </w:rPr>
        <w:t>vakminister</w:t>
      </w:r>
      <w:r w:rsidRPr="00707C10" w:rsidR="009C371D">
        <w:rPr>
          <w:rFonts w:ascii="Verdana" w:hAnsi="Verdana"/>
          <w:sz w:val="18"/>
          <w:szCs w:val="18"/>
        </w:rPr>
        <w:t>, het aanstellingsbeleid, verantwoording en inzicht in de kostenontwikkeling.</w:t>
      </w:r>
      <w:r w:rsidR="009C371D">
        <w:rPr>
          <w:rFonts w:ascii="Verdana" w:hAnsi="Verdana"/>
          <w:sz w:val="18"/>
          <w:szCs w:val="18"/>
        </w:rPr>
        <w:t xml:space="preserve"> Deze regels kunnen nodig zijn, omdat de</w:t>
      </w:r>
      <w:r w:rsidR="00BA1F43">
        <w:rPr>
          <w:rFonts w:ascii="Verdana" w:hAnsi="Verdana"/>
          <w:sz w:val="18"/>
          <w:szCs w:val="18"/>
        </w:rPr>
        <w:t xml:space="preserve"> organisaties die naar verwachting worden belast</w:t>
      </w:r>
      <w:r w:rsidR="009C371D">
        <w:rPr>
          <w:rFonts w:ascii="Verdana" w:hAnsi="Verdana"/>
          <w:sz w:val="18"/>
          <w:szCs w:val="18"/>
        </w:rPr>
        <w:t xml:space="preserve"> met de uitvoering van CSIRT-taken</w:t>
      </w:r>
      <w:r w:rsidR="00BA1F43">
        <w:rPr>
          <w:rFonts w:ascii="Verdana" w:hAnsi="Verdana"/>
          <w:sz w:val="18"/>
          <w:szCs w:val="18"/>
        </w:rPr>
        <w:t xml:space="preserve"> </w:t>
      </w:r>
      <w:r w:rsidR="00EE1C8E">
        <w:rPr>
          <w:rFonts w:ascii="Verdana" w:hAnsi="Verdana"/>
          <w:sz w:val="18"/>
          <w:szCs w:val="18"/>
        </w:rPr>
        <w:t xml:space="preserve">kunnen </w:t>
      </w:r>
      <w:r w:rsidR="00707C10">
        <w:rPr>
          <w:rFonts w:ascii="Verdana" w:hAnsi="Verdana"/>
          <w:sz w:val="18"/>
          <w:szCs w:val="18"/>
        </w:rPr>
        <w:t>verschillen</w:t>
      </w:r>
      <w:r>
        <w:rPr>
          <w:rFonts w:ascii="Verdana" w:hAnsi="Verdana"/>
          <w:sz w:val="18"/>
          <w:szCs w:val="18"/>
        </w:rPr>
        <w:t xml:space="preserve"> </w:t>
      </w:r>
      <w:r w:rsidRPr="00707C10" w:rsidR="00707C10">
        <w:rPr>
          <w:rFonts w:ascii="Verdana" w:hAnsi="Verdana"/>
          <w:sz w:val="18"/>
          <w:szCs w:val="18"/>
        </w:rPr>
        <w:t xml:space="preserve">op het gebied van eigenaarschap, aansturing en financiering. Tegelijkertijd veronderstelt de </w:t>
      </w:r>
      <w:proofErr w:type="spellStart"/>
      <w:r w:rsidRPr="00707C10" w:rsidR="00707C10">
        <w:rPr>
          <w:rFonts w:ascii="Verdana" w:hAnsi="Verdana"/>
          <w:sz w:val="18"/>
          <w:szCs w:val="18"/>
        </w:rPr>
        <w:t>Cbw</w:t>
      </w:r>
      <w:proofErr w:type="spellEnd"/>
      <w:r w:rsidRPr="00707C10" w:rsidR="00707C10">
        <w:rPr>
          <w:rFonts w:ascii="Verdana" w:hAnsi="Verdana"/>
          <w:sz w:val="18"/>
          <w:szCs w:val="18"/>
        </w:rPr>
        <w:t xml:space="preserve"> een gelijk niveau van dienstverlening tussen de </w:t>
      </w:r>
      <w:proofErr w:type="spellStart"/>
      <w:r w:rsidRPr="00707C10" w:rsidR="00707C10">
        <w:rPr>
          <w:rFonts w:ascii="Verdana" w:hAnsi="Verdana"/>
          <w:sz w:val="18"/>
          <w:szCs w:val="18"/>
        </w:rPr>
        <w:t>CSIRT</w:t>
      </w:r>
      <w:r>
        <w:rPr>
          <w:rFonts w:ascii="Verdana" w:hAnsi="Verdana"/>
          <w:sz w:val="18"/>
          <w:szCs w:val="18"/>
        </w:rPr>
        <w:t>’</w:t>
      </w:r>
      <w:r w:rsidRPr="00707C10" w:rsidR="00707C10">
        <w:rPr>
          <w:rFonts w:ascii="Verdana" w:hAnsi="Verdana"/>
          <w:sz w:val="18"/>
          <w:szCs w:val="18"/>
        </w:rPr>
        <w:t>s</w:t>
      </w:r>
      <w:proofErr w:type="spellEnd"/>
      <w:r w:rsidRPr="00707C10" w:rsidR="00707C10">
        <w:rPr>
          <w:rFonts w:ascii="Verdana" w:hAnsi="Verdana"/>
          <w:sz w:val="18"/>
          <w:szCs w:val="18"/>
        </w:rPr>
        <w:t xml:space="preserve"> en dient elk CSIRT de taken uit de </w:t>
      </w:r>
      <w:proofErr w:type="spellStart"/>
      <w:r w:rsidRPr="00707C10" w:rsidR="00707C10">
        <w:rPr>
          <w:rFonts w:ascii="Verdana" w:hAnsi="Verdana"/>
          <w:sz w:val="18"/>
          <w:szCs w:val="18"/>
        </w:rPr>
        <w:t>Cbw</w:t>
      </w:r>
      <w:proofErr w:type="spellEnd"/>
      <w:r w:rsidRPr="00707C10" w:rsidR="00707C10">
        <w:rPr>
          <w:rFonts w:ascii="Verdana" w:hAnsi="Verdana"/>
          <w:sz w:val="18"/>
          <w:szCs w:val="18"/>
        </w:rPr>
        <w:t xml:space="preserve"> te kunnen uitvoeren</w:t>
      </w:r>
      <w:r w:rsidR="00677259">
        <w:rPr>
          <w:rFonts w:ascii="Verdana" w:hAnsi="Verdana"/>
          <w:sz w:val="18"/>
          <w:szCs w:val="18"/>
        </w:rPr>
        <w:t xml:space="preserve"> en aan alle eisen uit artikel 11, eerste lid, NIS2-richtlijn te voldoen</w:t>
      </w:r>
      <w:r w:rsidRPr="00707C10" w:rsidR="00707C10">
        <w:rPr>
          <w:rFonts w:ascii="Verdana" w:hAnsi="Verdana"/>
          <w:sz w:val="18"/>
          <w:szCs w:val="18"/>
        </w:rPr>
        <w:t>.</w:t>
      </w:r>
    </w:p>
    <w:p w:rsidR="00ED41BB" w:rsidP="00CE333A" w:rsidRDefault="00ED41BB" w14:paraId="5E8F9731" w14:textId="77777777">
      <w:pPr>
        <w:spacing w:after="0" w:line="240" w:lineRule="auto"/>
        <w:rPr>
          <w:rFonts w:ascii="Verdana" w:hAnsi="Verdana"/>
          <w:sz w:val="18"/>
          <w:szCs w:val="18"/>
        </w:rPr>
      </w:pPr>
    </w:p>
    <w:p w:rsidRPr="00E70E2D" w:rsidR="00E449F6" w:rsidP="00CE333A" w:rsidRDefault="00E449F6" w14:paraId="2EC02239" w14:textId="5E644717">
      <w:pPr>
        <w:spacing w:after="0" w:line="240" w:lineRule="auto"/>
        <w:rPr>
          <w:rFonts w:ascii="Verdana" w:hAnsi="Verdana"/>
          <w:i/>
          <w:iCs/>
          <w:sz w:val="18"/>
          <w:szCs w:val="18"/>
        </w:rPr>
      </w:pPr>
      <w:r>
        <w:rPr>
          <w:rFonts w:ascii="Verdana" w:hAnsi="Verdana"/>
          <w:i/>
          <w:iCs/>
          <w:sz w:val="18"/>
          <w:szCs w:val="18"/>
        </w:rPr>
        <w:t>De taken van het CSIRT</w:t>
      </w:r>
    </w:p>
    <w:bookmarkEnd w:id="263"/>
    <w:bookmarkEnd w:id="264"/>
    <w:p w:rsidR="00BA1F43" w:rsidP="00881AC4" w:rsidRDefault="00881AC4" w14:paraId="652D1698" w14:textId="734AE3E5">
      <w:pPr>
        <w:spacing w:after="0" w:line="240" w:lineRule="auto"/>
        <w:rPr>
          <w:rFonts w:ascii="Verdana" w:hAnsi="Verdana"/>
          <w:sz w:val="18"/>
          <w:szCs w:val="18"/>
        </w:rPr>
      </w:pPr>
      <w:r w:rsidRPr="00C47325">
        <w:rPr>
          <w:rFonts w:ascii="Verdana" w:hAnsi="Verdana"/>
          <w:sz w:val="18"/>
          <w:szCs w:val="18"/>
        </w:rPr>
        <w:t xml:space="preserve">In de overige leden van artikel </w:t>
      </w:r>
      <w:r w:rsidR="007A53BF">
        <w:rPr>
          <w:rFonts w:ascii="Verdana" w:hAnsi="Verdana"/>
          <w:sz w:val="18"/>
          <w:szCs w:val="18"/>
        </w:rPr>
        <w:t>1</w:t>
      </w:r>
      <w:r w:rsidR="008442BB">
        <w:rPr>
          <w:rFonts w:ascii="Verdana" w:hAnsi="Verdana"/>
          <w:sz w:val="18"/>
          <w:szCs w:val="18"/>
        </w:rPr>
        <w:t>6</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zijn de taken van het CSIRT opgenomen. Dit betreft de implementatie van artikel 11, derde, vierde en vijfde lid, NIS2-richtlijn</w:t>
      </w:r>
      <w:r w:rsidRPr="00BA1F43" w:rsidR="00BA1F43">
        <w:t xml:space="preserve"> </w:t>
      </w:r>
      <w:r w:rsidRPr="00BA1F43" w:rsidR="00BA1F43">
        <w:rPr>
          <w:rFonts w:ascii="Verdana" w:hAnsi="Verdana"/>
          <w:sz w:val="18"/>
          <w:szCs w:val="18"/>
        </w:rPr>
        <w:t xml:space="preserve">en het voortzetten van bestaand beleid uit de </w:t>
      </w:r>
      <w:proofErr w:type="spellStart"/>
      <w:r w:rsidRPr="00BA1F43" w:rsidR="00BA1F43">
        <w:rPr>
          <w:rFonts w:ascii="Verdana" w:hAnsi="Verdana"/>
          <w:sz w:val="18"/>
          <w:szCs w:val="18"/>
        </w:rPr>
        <w:t>Wbni</w:t>
      </w:r>
      <w:proofErr w:type="spellEnd"/>
      <w:r w:rsidRPr="00BA1F43" w:rsidR="00BA1F43">
        <w:rPr>
          <w:rFonts w:ascii="Verdana" w:hAnsi="Verdana"/>
          <w:sz w:val="18"/>
          <w:szCs w:val="18"/>
        </w:rPr>
        <w:t xml:space="preserve"> ten aanzien van de samenwerking in brede zin met de Minister van Economische Zaken uit hoofde van de </w:t>
      </w:r>
      <w:proofErr w:type="spellStart"/>
      <w:r w:rsidRPr="00BA1F43" w:rsidR="00BA1F43">
        <w:rPr>
          <w:rFonts w:ascii="Verdana" w:hAnsi="Verdana"/>
          <w:sz w:val="18"/>
          <w:szCs w:val="18"/>
        </w:rPr>
        <w:t>Wbdwb</w:t>
      </w:r>
      <w:proofErr w:type="spellEnd"/>
      <w:r w:rsidRPr="00C47325">
        <w:rPr>
          <w:rFonts w:ascii="Verdana" w:hAnsi="Verdana"/>
          <w:sz w:val="18"/>
          <w:szCs w:val="18"/>
        </w:rPr>
        <w:t xml:space="preserve">. </w:t>
      </w:r>
    </w:p>
    <w:p w:rsidR="00881AC4" w:rsidP="00881AC4" w:rsidRDefault="00CA14AB" w14:paraId="4B5CA1E3" w14:textId="6388BBCC">
      <w:pPr>
        <w:spacing w:after="0" w:line="240" w:lineRule="auto"/>
        <w:rPr>
          <w:rFonts w:ascii="Verdana" w:hAnsi="Verdana"/>
          <w:sz w:val="18"/>
          <w:szCs w:val="18"/>
        </w:rPr>
      </w:pPr>
      <w:r>
        <w:rPr>
          <w:rFonts w:ascii="Verdana" w:hAnsi="Verdana"/>
          <w:sz w:val="18"/>
          <w:szCs w:val="18"/>
        </w:rPr>
        <w:t xml:space="preserve">Hierbij wordt opgemerkt dat in artikel 16, </w:t>
      </w:r>
      <w:r w:rsidR="009D090D">
        <w:rPr>
          <w:rFonts w:ascii="Verdana" w:hAnsi="Verdana"/>
          <w:sz w:val="18"/>
          <w:szCs w:val="18"/>
        </w:rPr>
        <w:t xml:space="preserve">tweede </w:t>
      </w:r>
      <w:r>
        <w:rPr>
          <w:rFonts w:ascii="Verdana" w:hAnsi="Verdana"/>
          <w:sz w:val="18"/>
          <w:szCs w:val="18"/>
        </w:rPr>
        <w:t xml:space="preserve">lid, onderdeel b, </w:t>
      </w:r>
      <w:proofErr w:type="spellStart"/>
      <w:r>
        <w:rPr>
          <w:rFonts w:ascii="Verdana" w:hAnsi="Verdana"/>
          <w:sz w:val="18"/>
          <w:szCs w:val="18"/>
        </w:rPr>
        <w:t>Cbw</w:t>
      </w:r>
      <w:proofErr w:type="spellEnd"/>
      <w:r>
        <w:rPr>
          <w:rFonts w:ascii="Verdana" w:hAnsi="Verdana"/>
          <w:sz w:val="18"/>
          <w:szCs w:val="18"/>
        </w:rPr>
        <w:t xml:space="preserve"> de</w:t>
      </w:r>
      <w:r w:rsidRPr="00C47325" w:rsidR="00881AC4">
        <w:rPr>
          <w:rFonts w:ascii="Verdana" w:hAnsi="Verdana"/>
          <w:sz w:val="18"/>
          <w:szCs w:val="18"/>
        </w:rPr>
        <w:t xml:space="preserve"> in artikel 11, derde lid, onderdeel b, NIS2-richtlijn gebruikte terminologie “relevante belanghebbenden” niet </w:t>
      </w:r>
      <w:r>
        <w:rPr>
          <w:rFonts w:ascii="Verdana" w:hAnsi="Verdana"/>
          <w:sz w:val="18"/>
          <w:szCs w:val="18"/>
        </w:rPr>
        <w:t xml:space="preserve">is </w:t>
      </w:r>
      <w:r w:rsidRPr="00C47325" w:rsidR="00881AC4">
        <w:rPr>
          <w:rFonts w:ascii="Verdana" w:hAnsi="Verdana"/>
          <w:sz w:val="18"/>
          <w:szCs w:val="18"/>
        </w:rPr>
        <w:t>overgenomen</w:t>
      </w:r>
      <w:r>
        <w:rPr>
          <w:rFonts w:ascii="Verdana" w:hAnsi="Verdana"/>
          <w:sz w:val="18"/>
          <w:szCs w:val="18"/>
        </w:rPr>
        <w:t>. Het betreft in dit verband immers</w:t>
      </w:r>
      <w:r w:rsidRPr="00C47325" w:rsidR="00881AC4">
        <w:rPr>
          <w:rFonts w:ascii="Verdana" w:hAnsi="Verdana"/>
          <w:sz w:val="18"/>
          <w:szCs w:val="18"/>
        </w:rPr>
        <w:t xml:space="preserve"> niet de belanghebbenden in de zin van artikel 1:2 </w:t>
      </w:r>
      <w:proofErr w:type="spellStart"/>
      <w:r w:rsidRPr="00C47325" w:rsidR="00881AC4">
        <w:rPr>
          <w:rFonts w:ascii="Verdana" w:hAnsi="Verdana"/>
          <w:sz w:val="18"/>
          <w:szCs w:val="18"/>
        </w:rPr>
        <w:t>Awb</w:t>
      </w:r>
      <w:proofErr w:type="spellEnd"/>
      <w:r w:rsidRPr="00C47325" w:rsidR="00881AC4">
        <w:rPr>
          <w:rFonts w:ascii="Verdana" w:hAnsi="Verdana"/>
          <w:sz w:val="18"/>
          <w:szCs w:val="18"/>
        </w:rPr>
        <w:t xml:space="preserve">. Om die reden is in artikel </w:t>
      </w:r>
      <w:r w:rsidR="007A53BF">
        <w:rPr>
          <w:rFonts w:ascii="Verdana" w:hAnsi="Verdana"/>
          <w:sz w:val="18"/>
          <w:szCs w:val="18"/>
        </w:rPr>
        <w:t>1</w:t>
      </w:r>
      <w:r w:rsidR="008442BB">
        <w:rPr>
          <w:rFonts w:ascii="Verdana" w:hAnsi="Verdana"/>
          <w:sz w:val="18"/>
          <w:szCs w:val="18"/>
        </w:rPr>
        <w:t>6</w:t>
      </w:r>
      <w:r w:rsidRPr="00C47325" w:rsidR="00881AC4">
        <w:rPr>
          <w:rFonts w:ascii="Verdana" w:hAnsi="Verdana"/>
          <w:sz w:val="18"/>
          <w:szCs w:val="18"/>
        </w:rPr>
        <w:t xml:space="preserve">, </w:t>
      </w:r>
      <w:r w:rsidR="009D090D">
        <w:rPr>
          <w:rFonts w:ascii="Verdana" w:hAnsi="Verdana"/>
          <w:sz w:val="18"/>
          <w:szCs w:val="18"/>
        </w:rPr>
        <w:t>tweede</w:t>
      </w:r>
      <w:r w:rsidRPr="00C47325" w:rsidR="009D090D">
        <w:rPr>
          <w:rFonts w:ascii="Verdana" w:hAnsi="Verdana"/>
          <w:sz w:val="18"/>
          <w:szCs w:val="18"/>
        </w:rPr>
        <w:t xml:space="preserve"> </w:t>
      </w:r>
      <w:r w:rsidRPr="00C47325" w:rsidR="00881AC4">
        <w:rPr>
          <w:rFonts w:ascii="Verdana" w:hAnsi="Verdana"/>
          <w:sz w:val="18"/>
          <w:szCs w:val="18"/>
        </w:rPr>
        <w:t xml:space="preserve">lid, onderdeel b, </w:t>
      </w:r>
      <w:proofErr w:type="spellStart"/>
      <w:r w:rsidRPr="00C47325" w:rsidR="00881AC4">
        <w:rPr>
          <w:rFonts w:ascii="Verdana" w:hAnsi="Verdana"/>
          <w:sz w:val="18"/>
          <w:szCs w:val="18"/>
        </w:rPr>
        <w:t>Cbw</w:t>
      </w:r>
      <w:proofErr w:type="spellEnd"/>
      <w:r w:rsidRPr="00C47325" w:rsidR="00881AC4">
        <w:rPr>
          <w:rFonts w:ascii="Verdana" w:hAnsi="Verdana"/>
          <w:sz w:val="18"/>
          <w:szCs w:val="18"/>
        </w:rPr>
        <w:t xml:space="preserve"> gekozen voor de terminologie “andere relevante partijen”. </w:t>
      </w:r>
    </w:p>
    <w:p w:rsidR="00881AC4" w:rsidP="00CF7060" w:rsidRDefault="00881AC4" w14:paraId="689A88A7" w14:textId="77777777">
      <w:pPr>
        <w:pStyle w:val="Geenafstand"/>
        <w:rPr>
          <w:rFonts w:ascii="Verdana" w:hAnsi="Verdana"/>
          <w:sz w:val="18"/>
          <w:szCs w:val="18"/>
        </w:rPr>
      </w:pPr>
    </w:p>
    <w:p w:rsidRPr="001F5FF2" w:rsidR="00881AC4" w:rsidP="00CF7060" w:rsidRDefault="00881AC4" w14:paraId="5DB13907" w14:textId="5DFC6635">
      <w:pPr>
        <w:pStyle w:val="Geenafstand"/>
        <w:rPr>
          <w:rFonts w:ascii="Verdana" w:hAnsi="Verdana"/>
          <w:i/>
          <w:iCs/>
          <w:sz w:val="18"/>
          <w:szCs w:val="18"/>
        </w:rPr>
      </w:pPr>
      <w:r>
        <w:rPr>
          <w:rFonts w:ascii="Verdana" w:hAnsi="Verdana"/>
          <w:i/>
          <w:iCs/>
          <w:sz w:val="18"/>
          <w:szCs w:val="18"/>
        </w:rPr>
        <w:t>Relevante partijen</w:t>
      </w:r>
    </w:p>
    <w:p w:rsidR="00685AB0" w:rsidP="00CF7060" w:rsidRDefault="00881AC4" w14:paraId="1DDD2037" w14:textId="4DFE6D21">
      <w:pPr>
        <w:pStyle w:val="Geenafstand"/>
        <w:rPr>
          <w:rFonts w:ascii="Verdana" w:hAnsi="Verdana"/>
          <w:sz w:val="18"/>
          <w:szCs w:val="18"/>
        </w:rPr>
      </w:pPr>
      <w:r>
        <w:rPr>
          <w:rFonts w:ascii="Verdana" w:hAnsi="Verdana"/>
          <w:sz w:val="18"/>
          <w:szCs w:val="18"/>
        </w:rPr>
        <w:t>H</w:t>
      </w:r>
      <w:r w:rsidRPr="00FF46E3" w:rsidR="00CF7060">
        <w:rPr>
          <w:rFonts w:ascii="Verdana" w:hAnsi="Verdana"/>
          <w:sz w:val="18"/>
          <w:szCs w:val="18"/>
        </w:rPr>
        <w:t>et CSIRT</w:t>
      </w:r>
      <w:r>
        <w:rPr>
          <w:rFonts w:ascii="Verdana" w:hAnsi="Verdana"/>
          <w:sz w:val="18"/>
          <w:szCs w:val="18"/>
        </w:rPr>
        <w:t xml:space="preserve"> kan</w:t>
      </w:r>
      <w:r w:rsidRPr="00FF46E3" w:rsidR="00CF7060">
        <w:rPr>
          <w:rFonts w:ascii="Verdana" w:hAnsi="Verdana"/>
          <w:sz w:val="18"/>
          <w:szCs w:val="18"/>
        </w:rPr>
        <w:t xml:space="preserve">, ter uitvoering van </w:t>
      </w:r>
      <w:r w:rsidR="00691D26">
        <w:rPr>
          <w:rFonts w:ascii="Verdana" w:hAnsi="Verdana"/>
          <w:sz w:val="18"/>
          <w:szCs w:val="18"/>
        </w:rPr>
        <w:t>haar</w:t>
      </w:r>
      <w:r w:rsidRPr="00FF46E3" w:rsidR="00691D26">
        <w:rPr>
          <w:rFonts w:ascii="Verdana" w:hAnsi="Verdana"/>
          <w:sz w:val="18"/>
          <w:szCs w:val="18"/>
        </w:rPr>
        <w:t xml:space="preserve"> </w:t>
      </w:r>
      <w:r w:rsidRPr="00FF46E3" w:rsidR="00CF7060">
        <w:rPr>
          <w:rFonts w:ascii="Verdana" w:hAnsi="Verdana"/>
          <w:sz w:val="18"/>
          <w:szCs w:val="18"/>
        </w:rPr>
        <w:t xml:space="preserve">taken, informatie </w:t>
      </w:r>
      <w:r w:rsidR="00D90F51">
        <w:rPr>
          <w:rFonts w:ascii="Verdana" w:hAnsi="Verdana"/>
          <w:sz w:val="18"/>
          <w:szCs w:val="18"/>
        </w:rPr>
        <w:t xml:space="preserve">over cyberdreigingen, kwetsbaarheden en incidenten </w:t>
      </w:r>
      <w:r w:rsidRPr="00FF46E3" w:rsidR="00CF7060">
        <w:rPr>
          <w:rFonts w:ascii="Verdana" w:hAnsi="Verdana"/>
          <w:sz w:val="18"/>
          <w:szCs w:val="18"/>
        </w:rPr>
        <w:t xml:space="preserve">delen met relevante partijen. </w:t>
      </w:r>
      <w:r w:rsidR="00685AB0">
        <w:rPr>
          <w:rFonts w:ascii="Verdana" w:hAnsi="Verdana"/>
          <w:sz w:val="18"/>
          <w:szCs w:val="18"/>
        </w:rPr>
        <w:t>Partijen kunnen relevant zijn</w:t>
      </w:r>
      <w:r w:rsidRPr="00FF46E3" w:rsidR="00CF7060">
        <w:rPr>
          <w:rFonts w:ascii="Verdana" w:hAnsi="Verdana"/>
          <w:sz w:val="18"/>
          <w:szCs w:val="18"/>
        </w:rPr>
        <w:t xml:space="preserve"> omdat de informatie die het CSIRT heeft</w:t>
      </w:r>
      <w:r w:rsidR="008D1480">
        <w:rPr>
          <w:rFonts w:ascii="Verdana" w:hAnsi="Verdana"/>
          <w:sz w:val="18"/>
          <w:szCs w:val="18"/>
        </w:rPr>
        <w:t xml:space="preserve"> relevant is</w:t>
      </w:r>
      <w:r w:rsidRPr="00FF46E3" w:rsidR="00CF7060">
        <w:rPr>
          <w:rFonts w:ascii="Verdana" w:hAnsi="Verdana"/>
          <w:sz w:val="18"/>
          <w:szCs w:val="18"/>
        </w:rPr>
        <w:t xml:space="preserve"> voor hun cyberweerbaarheid of </w:t>
      </w:r>
      <w:r w:rsidR="008D1480">
        <w:rPr>
          <w:rFonts w:ascii="Verdana" w:hAnsi="Verdana"/>
          <w:sz w:val="18"/>
          <w:szCs w:val="18"/>
        </w:rPr>
        <w:t>die van</w:t>
      </w:r>
      <w:r w:rsidRPr="00FF46E3" w:rsidR="00CF7060">
        <w:rPr>
          <w:rFonts w:ascii="Verdana" w:hAnsi="Verdana"/>
          <w:sz w:val="18"/>
          <w:szCs w:val="18"/>
        </w:rPr>
        <w:t xml:space="preserve"> hun achterban. Door deze informatie met hen te delen weten deze relevante partijen dat ze kwetsbaar zijn en kunnen zij de benodigde maatregelen treffen. </w:t>
      </w:r>
    </w:p>
    <w:p w:rsidR="00CF7060" w:rsidP="00CF7060" w:rsidRDefault="00CF7060" w14:paraId="72E752C0" w14:textId="034D5334">
      <w:pPr>
        <w:pStyle w:val="Geenafstand"/>
        <w:rPr>
          <w:rFonts w:ascii="Verdana" w:hAnsi="Verdana"/>
          <w:sz w:val="18"/>
          <w:szCs w:val="18"/>
        </w:rPr>
      </w:pPr>
      <w:r w:rsidRPr="00FF46E3">
        <w:rPr>
          <w:rFonts w:ascii="Verdana" w:hAnsi="Verdana"/>
          <w:sz w:val="18"/>
          <w:szCs w:val="18"/>
        </w:rPr>
        <w:t xml:space="preserve">Partijen die in het concrete geval door het CSIRT worden aangemerkt als relevante partij voor het ontvangen van bepaalde informatie worden geacht eventuele in die informatie opgenomen persoonsgegevens te verwerken conform de </w:t>
      </w:r>
      <w:proofErr w:type="spellStart"/>
      <w:r w:rsidRPr="00FF46E3">
        <w:rPr>
          <w:rFonts w:ascii="Verdana" w:hAnsi="Verdana"/>
          <w:sz w:val="18"/>
          <w:szCs w:val="18"/>
        </w:rPr>
        <w:t>Avg</w:t>
      </w:r>
      <w:proofErr w:type="spellEnd"/>
      <w:r w:rsidRPr="00FF46E3">
        <w:rPr>
          <w:rFonts w:ascii="Verdana" w:hAnsi="Verdana"/>
          <w:sz w:val="18"/>
          <w:szCs w:val="18"/>
        </w:rPr>
        <w:t xml:space="preserve">, voor zover de </w:t>
      </w:r>
      <w:proofErr w:type="spellStart"/>
      <w:r w:rsidRPr="00FF46E3">
        <w:rPr>
          <w:rFonts w:ascii="Verdana" w:hAnsi="Verdana"/>
          <w:sz w:val="18"/>
          <w:szCs w:val="18"/>
        </w:rPr>
        <w:t>Avg</w:t>
      </w:r>
      <w:proofErr w:type="spellEnd"/>
      <w:r w:rsidRPr="00FF46E3">
        <w:rPr>
          <w:rFonts w:ascii="Verdana" w:hAnsi="Verdana"/>
          <w:sz w:val="18"/>
          <w:szCs w:val="18"/>
        </w:rPr>
        <w:t xml:space="preserve"> op de betreffende partij van toepassing is. Daarnaast worden relevante partijen geacht de van het CSIRT ontvangen informatie zorgvuldig te verwerken en de vertrouwelijkheid van deze informatie voldoende te waarborgen.</w:t>
      </w:r>
      <w:r w:rsidR="001B5335">
        <w:rPr>
          <w:rFonts w:ascii="Verdana" w:hAnsi="Verdana"/>
          <w:sz w:val="18"/>
          <w:szCs w:val="18"/>
        </w:rPr>
        <w:t xml:space="preserve"> </w:t>
      </w:r>
      <w:r w:rsidR="00685AB0">
        <w:rPr>
          <w:rFonts w:ascii="Verdana" w:hAnsi="Verdana"/>
          <w:sz w:val="18"/>
          <w:szCs w:val="18"/>
        </w:rPr>
        <w:t>Uiteraard mag dit niet verhinderen dat partijen die geraakt zijn, geïnformeerd mogen worden.</w:t>
      </w:r>
      <w:r w:rsidRPr="00FF46E3" w:rsidR="00685AB0">
        <w:rPr>
          <w:rFonts w:ascii="Verdana" w:hAnsi="Verdana"/>
          <w:sz w:val="18"/>
          <w:szCs w:val="18"/>
        </w:rPr>
        <w:t xml:space="preserve"> </w:t>
      </w:r>
      <w:r w:rsidRPr="00FF46E3">
        <w:rPr>
          <w:rFonts w:ascii="Verdana" w:hAnsi="Verdana"/>
          <w:sz w:val="18"/>
          <w:szCs w:val="18"/>
        </w:rPr>
        <w:t xml:space="preserve">Daarmee wordt ervoor gezorgd dat het CSIRT beschikt over een passende, veilige en weerbare communicatie- en informatie-infrastructuur voor informatie-uitwisseling tussen het CSIRT en – in dit geval – relevante partijen (artikel 10, derde lid, NIS2-richtlijn). </w:t>
      </w:r>
    </w:p>
    <w:p w:rsidRPr="004E3EC4" w:rsidR="000C3816" w:rsidP="004E3EC4" w:rsidRDefault="000C3816" w14:paraId="2F5FD314" w14:textId="77777777">
      <w:pPr>
        <w:pStyle w:val="Geenafstand"/>
        <w:rPr>
          <w:rFonts w:ascii="Verdana" w:hAnsi="Verdana"/>
          <w:sz w:val="18"/>
          <w:szCs w:val="18"/>
        </w:rPr>
      </w:pPr>
    </w:p>
    <w:p w:rsidRPr="004E3EC4" w:rsidR="004E3EC4" w:rsidP="004E3EC4" w:rsidRDefault="004E3EC4" w14:paraId="32A95C91" w14:textId="7A2430A1">
      <w:pPr>
        <w:pStyle w:val="Geenafstand"/>
        <w:rPr>
          <w:rFonts w:ascii="Verdana" w:hAnsi="Verdana"/>
          <w:i/>
          <w:iCs/>
          <w:sz w:val="18"/>
          <w:szCs w:val="18"/>
        </w:rPr>
      </w:pPr>
      <w:r w:rsidRPr="004E3EC4">
        <w:rPr>
          <w:rFonts w:ascii="Verdana" w:hAnsi="Verdana"/>
          <w:i/>
          <w:iCs/>
          <w:sz w:val="18"/>
          <w:szCs w:val="18"/>
        </w:rPr>
        <w:t>Minister van Economische Zaken</w:t>
      </w:r>
    </w:p>
    <w:p w:rsidRPr="004E3EC4" w:rsidR="004E3EC4" w:rsidP="004E3EC4" w:rsidRDefault="004E3EC4" w14:paraId="1DF4FCC8" w14:textId="0048572F">
      <w:pPr>
        <w:pStyle w:val="Geenafstand"/>
        <w:rPr>
          <w:rFonts w:ascii="Verdana" w:hAnsi="Verdana"/>
          <w:sz w:val="18"/>
          <w:szCs w:val="18"/>
        </w:rPr>
      </w:pPr>
      <w:r w:rsidRPr="004E3EC4">
        <w:rPr>
          <w:rFonts w:ascii="Verdana" w:hAnsi="Verdana"/>
          <w:sz w:val="18"/>
          <w:szCs w:val="18"/>
        </w:rPr>
        <w:t xml:space="preserve">Met de </w:t>
      </w:r>
      <w:proofErr w:type="spellStart"/>
      <w:r w:rsidRPr="004E3EC4">
        <w:rPr>
          <w:rFonts w:ascii="Verdana" w:hAnsi="Verdana"/>
          <w:sz w:val="18"/>
          <w:szCs w:val="18"/>
        </w:rPr>
        <w:t>Cbw</w:t>
      </w:r>
      <w:proofErr w:type="spellEnd"/>
      <w:r w:rsidRPr="004E3EC4">
        <w:rPr>
          <w:rFonts w:ascii="Verdana" w:hAnsi="Verdana"/>
          <w:sz w:val="18"/>
          <w:szCs w:val="18"/>
        </w:rPr>
        <w:t xml:space="preserve"> wordt de </w:t>
      </w:r>
      <w:proofErr w:type="spellStart"/>
      <w:r w:rsidRPr="004E3EC4">
        <w:rPr>
          <w:rFonts w:ascii="Verdana" w:hAnsi="Verdana"/>
          <w:sz w:val="18"/>
          <w:szCs w:val="18"/>
        </w:rPr>
        <w:t>Wbni</w:t>
      </w:r>
      <w:proofErr w:type="spellEnd"/>
      <w:r w:rsidRPr="004E3EC4">
        <w:rPr>
          <w:rFonts w:ascii="Verdana" w:hAnsi="Verdana"/>
          <w:sz w:val="18"/>
          <w:szCs w:val="18"/>
        </w:rPr>
        <w:t xml:space="preserve"> ingetrokken. Daarom dient het in de </w:t>
      </w:r>
      <w:proofErr w:type="spellStart"/>
      <w:r w:rsidRPr="004E3EC4">
        <w:rPr>
          <w:rFonts w:ascii="Verdana" w:hAnsi="Verdana"/>
          <w:sz w:val="18"/>
          <w:szCs w:val="18"/>
        </w:rPr>
        <w:t>Wbni</w:t>
      </w:r>
      <w:proofErr w:type="spellEnd"/>
      <w:r w:rsidRPr="004E3EC4">
        <w:rPr>
          <w:rFonts w:ascii="Verdana" w:hAnsi="Verdana"/>
          <w:sz w:val="18"/>
          <w:szCs w:val="18"/>
        </w:rPr>
        <w:t xml:space="preserve"> bepaalde met betrekking tot de informatieverstrekking vanuit </w:t>
      </w:r>
      <w:proofErr w:type="spellStart"/>
      <w:r w:rsidRPr="004E3EC4">
        <w:rPr>
          <w:rFonts w:ascii="Verdana" w:hAnsi="Verdana"/>
          <w:sz w:val="18"/>
          <w:szCs w:val="18"/>
        </w:rPr>
        <w:t>CSIRT</w:t>
      </w:r>
      <w:r>
        <w:rPr>
          <w:rFonts w:ascii="Verdana" w:hAnsi="Verdana"/>
          <w:sz w:val="18"/>
          <w:szCs w:val="18"/>
        </w:rPr>
        <w:t>’</w:t>
      </w:r>
      <w:r w:rsidRPr="004E3EC4">
        <w:rPr>
          <w:rFonts w:ascii="Verdana" w:hAnsi="Verdana"/>
          <w:sz w:val="18"/>
          <w:szCs w:val="18"/>
        </w:rPr>
        <w:t>s</w:t>
      </w:r>
      <w:proofErr w:type="spellEnd"/>
      <w:r w:rsidRPr="004E3EC4">
        <w:rPr>
          <w:rFonts w:ascii="Verdana" w:hAnsi="Verdana"/>
          <w:sz w:val="18"/>
          <w:szCs w:val="18"/>
        </w:rPr>
        <w:t xml:space="preserve"> aan de Minister van Economische Zaken ter uitvoering van de taken en bevoegdheden die de </w:t>
      </w:r>
      <w:proofErr w:type="spellStart"/>
      <w:r w:rsidRPr="004E3EC4">
        <w:rPr>
          <w:rFonts w:ascii="Verdana" w:hAnsi="Verdana"/>
          <w:sz w:val="18"/>
          <w:szCs w:val="18"/>
        </w:rPr>
        <w:t>Wbdwb</w:t>
      </w:r>
      <w:proofErr w:type="spellEnd"/>
      <w:r w:rsidRPr="004E3EC4">
        <w:rPr>
          <w:rFonts w:ascii="Verdana" w:hAnsi="Verdana"/>
          <w:sz w:val="18"/>
          <w:szCs w:val="18"/>
        </w:rPr>
        <w:t xml:space="preserve"> aan hem toekent, in</w:t>
      </w:r>
      <w:r>
        <w:rPr>
          <w:rFonts w:ascii="Verdana" w:hAnsi="Verdana"/>
          <w:sz w:val="18"/>
          <w:szCs w:val="18"/>
        </w:rPr>
        <w:t xml:space="preserve"> de </w:t>
      </w:r>
      <w:proofErr w:type="spellStart"/>
      <w:r>
        <w:rPr>
          <w:rFonts w:ascii="Verdana" w:hAnsi="Verdana"/>
          <w:sz w:val="18"/>
          <w:szCs w:val="18"/>
        </w:rPr>
        <w:t>Cbw</w:t>
      </w:r>
      <w:proofErr w:type="spellEnd"/>
      <w:r w:rsidRPr="004E3EC4">
        <w:rPr>
          <w:rFonts w:ascii="Verdana" w:hAnsi="Verdana"/>
          <w:sz w:val="18"/>
          <w:szCs w:val="18"/>
        </w:rPr>
        <w:t xml:space="preserve"> beleidsneutraal te worden omgezet. Hiertoe wordt de Minister van Economische Zaken in artikel </w:t>
      </w:r>
      <w:r>
        <w:rPr>
          <w:rFonts w:ascii="Verdana" w:hAnsi="Verdana"/>
          <w:sz w:val="18"/>
          <w:szCs w:val="18"/>
        </w:rPr>
        <w:t xml:space="preserve">16, </w:t>
      </w:r>
      <w:r w:rsidR="009D090D">
        <w:rPr>
          <w:rFonts w:ascii="Verdana" w:hAnsi="Verdana"/>
          <w:sz w:val="18"/>
          <w:szCs w:val="18"/>
        </w:rPr>
        <w:t xml:space="preserve">tweede </w:t>
      </w:r>
      <w:r>
        <w:rPr>
          <w:rFonts w:ascii="Verdana" w:hAnsi="Verdana"/>
          <w:sz w:val="18"/>
          <w:szCs w:val="18"/>
        </w:rPr>
        <w:t xml:space="preserve">lid, onderdeel b, </w:t>
      </w:r>
      <w:proofErr w:type="spellStart"/>
      <w:r>
        <w:rPr>
          <w:rFonts w:ascii="Verdana" w:hAnsi="Verdana"/>
          <w:sz w:val="18"/>
          <w:szCs w:val="18"/>
        </w:rPr>
        <w:t>Cbw</w:t>
      </w:r>
      <w:proofErr w:type="spellEnd"/>
      <w:r>
        <w:rPr>
          <w:rFonts w:ascii="Verdana" w:hAnsi="Verdana"/>
          <w:sz w:val="18"/>
          <w:szCs w:val="18"/>
        </w:rPr>
        <w:t xml:space="preserve"> </w:t>
      </w:r>
      <w:r w:rsidRPr="004E3EC4">
        <w:rPr>
          <w:rFonts w:ascii="Verdana" w:hAnsi="Verdana"/>
          <w:sz w:val="18"/>
          <w:szCs w:val="18"/>
        </w:rPr>
        <w:t>genoemd als een partij waarvoor een CSIRT tot taak heeft om informatie aan te verstrekken en een samenwerkingsrelatie mee tot stand te brengen (</w:t>
      </w:r>
      <w:r>
        <w:rPr>
          <w:rFonts w:ascii="Verdana" w:hAnsi="Verdana"/>
          <w:sz w:val="18"/>
          <w:szCs w:val="18"/>
        </w:rPr>
        <w:t xml:space="preserve">artikel 16, </w:t>
      </w:r>
      <w:r w:rsidR="00DA2E14">
        <w:rPr>
          <w:rFonts w:ascii="Verdana" w:hAnsi="Verdana"/>
          <w:sz w:val="18"/>
          <w:szCs w:val="18"/>
        </w:rPr>
        <w:t>vijfde</w:t>
      </w:r>
      <w:r w:rsidRPr="004E3EC4" w:rsidR="00DA2E14">
        <w:rPr>
          <w:rFonts w:ascii="Verdana" w:hAnsi="Verdana"/>
          <w:sz w:val="18"/>
          <w:szCs w:val="18"/>
        </w:rPr>
        <w:t xml:space="preserve"> </w:t>
      </w:r>
      <w:r w:rsidRPr="004E3EC4">
        <w:rPr>
          <w:rFonts w:ascii="Verdana" w:hAnsi="Verdana"/>
          <w:sz w:val="18"/>
          <w:szCs w:val="18"/>
        </w:rPr>
        <w:t>lid</w:t>
      </w:r>
      <w:r>
        <w:rPr>
          <w:rFonts w:ascii="Verdana" w:hAnsi="Verdana"/>
          <w:sz w:val="18"/>
          <w:szCs w:val="18"/>
        </w:rPr>
        <w:t xml:space="preserve">, </w:t>
      </w:r>
      <w:proofErr w:type="spellStart"/>
      <w:r>
        <w:rPr>
          <w:rFonts w:ascii="Verdana" w:hAnsi="Verdana"/>
          <w:sz w:val="18"/>
          <w:szCs w:val="18"/>
        </w:rPr>
        <w:t>Cbw</w:t>
      </w:r>
      <w:proofErr w:type="spellEnd"/>
      <w:r w:rsidRPr="004E3EC4">
        <w:rPr>
          <w:rFonts w:ascii="Verdana" w:hAnsi="Verdana"/>
          <w:sz w:val="18"/>
          <w:szCs w:val="18"/>
        </w:rPr>
        <w:t xml:space="preserve">). In het kader van de uitoefening van deze taken kunnen de </w:t>
      </w:r>
      <w:proofErr w:type="spellStart"/>
      <w:r w:rsidRPr="004E3EC4">
        <w:rPr>
          <w:rFonts w:ascii="Verdana" w:hAnsi="Verdana"/>
          <w:sz w:val="18"/>
          <w:szCs w:val="18"/>
        </w:rPr>
        <w:t>CSIRT’s</w:t>
      </w:r>
      <w:proofErr w:type="spellEnd"/>
      <w:r w:rsidRPr="004E3EC4">
        <w:rPr>
          <w:rFonts w:ascii="Verdana" w:hAnsi="Verdana"/>
          <w:sz w:val="18"/>
          <w:szCs w:val="18"/>
        </w:rPr>
        <w:t xml:space="preserve"> relevante gegevens, waaronder persoonsgegevens, met de Minister van Economische Zaken delen.</w:t>
      </w:r>
    </w:p>
    <w:p w:rsidRPr="004E3EC4" w:rsidR="00BA1F43" w:rsidP="004E3EC4" w:rsidRDefault="00BA1F43" w14:paraId="145A27EA" w14:textId="77777777">
      <w:pPr>
        <w:pStyle w:val="Geenafstand"/>
        <w:rPr>
          <w:rFonts w:ascii="Verdana" w:hAnsi="Verdana"/>
          <w:sz w:val="18"/>
          <w:szCs w:val="18"/>
        </w:rPr>
      </w:pPr>
    </w:p>
    <w:p w:rsidRPr="001F5FF2" w:rsidR="00F71AEE" w:rsidP="000C3816" w:rsidRDefault="00F71AEE" w14:paraId="4EA7F68C" w14:textId="6BDB9EB2">
      <w:pPr>
        <w:pStyle w:val="Geenafstand"/>
        <w:rPr>
          <w:rFonts w:ascii="Verdana" w:hAnsi="Verdana"/>
          <w:i/>
          <w:iCs/>
          <w:sz w:val="18"/>
          <w:szCs w:val="18"/>
        </w:rPr>
      </w:pPr>
      <w:r>
        <w:rPr>
          <w:rFonts w:ascii="Verdana" w:hAnsi="Verdana"/>
          <w:i/>
          <w:iCs/>
          <w:sz w:val="18"/>
          <w:szCs w:val="18"/>
        </w:rPr>
        <w:t>Schakelorganisaties</w:t>
      </w:r>
    </w:p>
    <w:p w:rsidRPr="00FF46E3" w:rsidR="000C3816" w:rsidP="000C3816" w:rsidRDefault="000C3816" w14:paraId="26856F12" w14:textId="191C283D">
      <w:pPr>
        <w:pStyle w:val="Geenafstand"/>
        <w:rPr>
          <w:rFonts w:ascii="Verdana" w:hAnsi="Verdana"/>
          <w:b/>
          <w:bCs/>
          <w:sz w:val="18"/>
          <w:szCs w:val="18"/>
          <w:u w:val="single"/>
        </w:rPr>
      </w:pPr>
      <w:r w:rsidRPr="00FF46E3">
        <w:rPr>
          <w:rFonts w:ascii="Verdana" w:hAnsi="Verdana"/>
          <w:sz w:val="18"/>
          <w:szCs w:val="18"/>
        </w:rPr>
        <w:t xml:space="preserve">Een aantal organisaties </w:t>
      </w:r>
      <w:r w:rsidR="00744916">
        <w:rPr>
          <w:rFonts w:ascii="Verdana" w:hAnsi="Verdana"/>
          <w:sz w:val="18"/>
          <w:szCs w:val="18"/>
        </w:rPr>
        <w:t>is</w:t>
      </w:r>
      <w:r w:rsidRPr="00FF46E3">
        <w:rPr>
          <w:rFonts w:ascii="Verdana" w:hAnsi="Verdana"/>
          <w:sz w:val="18"/>
          <w:szCs w:val="18"/>
        </w:rPr>
        <w:t xml:space="preserve"> op grond van de </w:t>
      </w:r>
      <w:proofErr w:type="spellStart"/>
      <w:r w:rsidRPr="00FF46E3">
        <w:rPr>
          <w:rFonts w:ascii="Verdana" w:hAnsi="Verdana"/>
          <w:sz w:val="18"/>
          <w:szCs w:val="18"/>
        </w:rPr>
        <w:t>Wbni</w:t>
      </w:r>
      <w:proofErr w:type="spellEnd"/>
      <w:r w:rsidRPr="00FF46E3">
        <w:rPr>
          <w:rFonts w:ascii="Verdana" w:hAnsi="Verdana"/>
          <w:sz w:val="18"/>
          <w:szCs w:val="18"/>
        </w:rPr>
        <w:t xml:space="preserve"> aangewezen als </w:t>
      </w:r>
      <w:r>
        <w:rPr>
          <w:rFonts w:ascii="Verdana" w:hAnsi="Verdana"/>
          <w:sz w:val="18"/>
          <w:szCs w:val="18"/>
        </w:rPr>
        <w:t xml:space="preserve">een organisatie die </w:t>
      </w:r>
      <w:r w:rsidRPr="00FF46E3">
        <w:rPr>
          <w:rFonts w:ascii="Verdana" w:hAnsi="Verdana"/>
          <w:sz w:val="18"/>
          <w:szCs w:val="18"/>
        </w:rPr>
        <w:t xml:space="preserve">objectief kenbaar tot taak </w:t>
      </w:r>
      <w:r>
        <w:rPr>
          <w:rFonts w:ascii="Verdana" w:hAnsi="Verdana"/>
          <w:sz w:val="18"/>
          <w:szCs w:val="18"/>
        </w:rPr>
        <w:t xml:space="preserve">(OKTT) </w:t>
      </w:r>
      <w:r w:rsidRPr="00FF46E3">
        <w:rPr>
          <w:rFonts w:ascii="Verdana" w:hAnsi="Verdana"/>
          <w:sz w:val="18"/>
          <w:szCs w:val="18"/>
        </w:rPr>
        <w:t>heeft om andere organisaties of het publiek te informeren over dreigingen en incidenten met betrekking tot andere netwerk- en informatiesystemen</w:t>
      </w:r>
      <w:r w:rsidRPr="00FF46E3">
        <w:rPr>
          <w:rFonts w:ascii="Verdana" w:hAnsi="Verdana"/>
          <w:sz w:val="18"/>
          <w:szCs w:val="18"/>
          <w:vertAlign w:val="superscript"/>
        </w:rPr>
        <w:footnoteReference w:id="89"/>
      </w:r>
      <w:r w:rsidRPr="00FF46E3">
        <w:rPr>
          <w:rFonts w:ascii="Verdana" w:hAnsi="Verdana"/>
          <w:sz w:val="18"/>
          <w:szCs w:val="18"/>
          <w:vertAlign w:val="superscript"/>
        </w:rPr>
        <w:t xml:space="preserve"> </w:t>
      </w:r>
      <w:r w:rsidRPr="00FF46E3">
        <w:rPr>
          <w:rFonts w:ascii="Verdana" w:hAnsi="Verdana"/>
          <w:sz w:val="18"/>
          <w:szCs w:val="18"/>
        </w:rPr>
        <w:t>of CSIRT</w:t>
      </w:r>
      <w:r w:rsidR="00615102">
        <w:rPr>
          <w:rFonts w:ascii="Verdana" w:hAnsi="Verdana"/>
          <w:sz w:val="18"/>
          <w:szCs w:val="18"/>
        </w:rPr>
        <w:t>.</w:t>
      </w:r>
      <w:r w:rsidRPr="00FF46E3">
        <w:rPr>
          <w:rFonts w:ascii="Verdana" w:hAnsi="Verdana"/>
          <w:sz w:val="18"/>
          <w:szCs w:val="18"/>
          <w:vertAlign w:val="superscript"/>
        </w:rPr>
        <w:footnoteReference w:id="90"/>
      </w:r>
      <w:r w:rsidRPr="00FF46E3">
        <w:rPr>
          <w:rFonts w:ascii="Verdana" w:hAnsi="Verdana"/>
          <w:sz w:val="18"/>
          <w:szCs w:val="18"/>
        </w:rPr>
        <w:t xml:space="preserve"> Met het intrekken van de </w:t>
      </w:r>
      <w:proofErr w:type="spellStart"/>
      <w:r w:rsidRPr="00FF46E3">
        <w:rPr>
          <w:rFonts w:ascii="Verdana" w:hAnsi="Verdana"/>
          <w:sz w:val="18"/>
          <w:szCs w:val="18"/>
        </w:rPr>
        <w:t>Wbni</w:t>
      </w:r>
      <w:proofErr w:type="spellEnd"/>
      <w:r w:rsidRPr="00FF46E3">
        <w:rPr>
          <w:rFonts w:ascii="Verdana" w:hAnsi="Verdana"/>
          <w:sz w:val="18"/>
          <w:szCs w:val="18"/>
        </w:rPr>
        <w:t xml:space="preserve"> komen die aanwijzingen te vervallen. Wat </w:t>
      </w:r>
      <w:r>
        <w:rPr>
          <w:rFonts w:ascii="Verdana" w:hAnsi="Verdana"/>
          <w:sz w:val="18"/>
          <w:szCs w:val="18"/>
        </w:rPr>
        <w:t>deze</w:t>
      </w:r>
      <w:r w:rsidRPr="00FF46E3">
        <w:rPr>
          <w:rFonts w:ascii="Verdana" w:hAnsi="Verdana"/>
          <w:sz w:val="18"/>
          <w:szCs w:val="18"/>
        </w:rPr>
        <w:t xml:space="preserve"> organisaties </w:t>
      </w:r>
      <w:r>
        <w:rPr>
          <w:rFonts w:ascii="Verdana" w:hAnsi="Verdana"/>
          <w:sz w:val="18"/>
          <w:szCs w:val="18"/>
        </w:rPr>
        <w:t xml:space="preserve">met elkaar </w:t>
      </w:r>
      <w:r w:rsidRPr="00FF46E3">
        <w:rPr>
          <w:rFonts w:ascii="Verdana" w:hAnsi="Verdana"/>
          <w:sz w:val="18"/>
          <w:szCs w:val="18"/>
        </w:rPr>
        <w:t xml:space="preserve">gemeen hebben, is dat zij ten behoeve van een achterban informatie verspreiden, welke zij ontvangen van het NCSC. Deze </w:t>
      </w:r>
      <w:r>
        <w:rPr>
          <w:rFonts w:ascii="Verdana" w:hAnsi="Verdana"/>
          <w:sz w:val="18"/>
          <w:szCs w:val="18"/>
        </w:rPr>
        <w:t>o</w:t>
      </w:r>
      <w:r w:rsidRPr="00FF46E3">
        <w:rPr>
          <w:rFonts w:ascii="Verdana" w:hAnsi="Verdana"/>
          <w:sz w:val="18"/>
          <w:szCs w:val="18"/>
        </w:rPr>
        <w:t>rganisaties</w:t>
      </w:r>
      <w:r>
        <w:rPr>
          <w:rFonts w:ascii="Verdana" w:hAnsi="Verdana"/>
          <w:sz w:val="18"/>
          <w:szCs w:val="18"/>
        </w:rPr>
        <w:t>,</w:t>
      </w:r>
      <w:r w:rsidRPr="00FF46E3">
        <w:rPr>
          <w:rFonts w:ascii="Verdana" w:hAnsi="Verdana"/>
          <w:sz w:val="18"/>
          <w:szCs w:val="18"/>
        </w:rPr>
        <w:t xml:space="preserve"> die fungeren als schakelorganisatie voor een achterban van aanbieders</w:t>
      </w:r>
      <w:r>
        <w:rPr>
          <w:rFonts w:ascii="Verdana" w:hAnsi="Verdana"/>
          <w:sz w:val="18"/>
          <w:szCs w:val="18"/>
        </w:rPr>
        <w:t>,</w:t>
      </w:r>
      <w:r w:rsidRPr="00FF46E3">
        <w:rPr>
          <w:rFonts w:ascii="Verdana" w:hAnsi="Verdana"/>
          <w:sz w:val="18"/>
          <w:szCs w:val="18"/>
        </w:rPr>
        <w:t xml:space="preserve"> kunnen onder het regime van de </w:t>
      </w:r>
      <w:proofErr w:type="spellStart"/>
      <w:r w:rsidRPr="00FF46E3">
        <w:rPr>
          <w:rFonts w:ascii="Verdana" w:hAnsi="Verdana"/>
          <w:sz w:val="18"/>
          <w:szCs w:val="18"/>
        </w:rPr>
        <w:t>Cbw</w:t>
      </w:r>
      <w:proofErr w:type="spellEnd"/>
      <w:r w:rsidRPr="00FF46E3">
        <w:rPr>
          <w:rFonts w:ascii="Verdana" w:hAnsi="Verdana"/>
          <w:sz w:val="18"/>
          <w:szCs w:val="18"/>
        </w:rPr>
        <w:t xml:space="preserve"> onder omstandigheden worden gekwalificeerd als een relevante partij als bedoeld in artikel </w:t>
      </w:r>
      <w:r>
        <w:rPr>
          <w:rFonts w:ascii="Verdana" w:hAnsi="Verdana"/>
          <w:sz w:val="18"/>
          <w:szCs w:val="18"/>
        </w:rPr>
        <w:t>16</w:t>
      </w:r>
      <w:r w:rsidRPr="00FF46E3">
        <w:rPr>
          <w:rFonts w:ascii="Verdana" w:hAnsi="Verdana"/>
          <w:sz w:val="18"/>
          <w:szCs w:val="18"/>
        </w:rPr>
        <w:t xml:space="preserve">, </w:t>
      </w:r>
      <w:r w:rsidR="009D090D">
        <w:rPr>
          <w:rFonts w:ascii="Verdana" w:hAnsi="Verdana"/>
          <w:sz w:val="18"/>
          <w:szCs w:val="18"/>
        </w:rPr>
        <w:t>tweede</w:t>
      </w:r>
      <w:r w:rsidRPr="00FF46E3" w:rsidR="009D090D">
        <w:rPr>
          <w:rFonts w:ascii="Verdana" w:hAnsi="Verdana"/>
          <w:sz w:val="18"/>
          <w:szCs w:val="18"/>
        </w:rPr>
        <w:t xml:space="preserve"> </w:t>
      </w:r>
      <w:r w:rsidRPr="00FF46E3">
        <w:rPr>
          <w:rFonts w:ascii="Verdana" w:hAnsi="Verdana"/>
          <w:sz w:val="18"/>
          <w:szCs w:val="18"/>
        </w:rPr>
        <w:t xml:space="preserve">lid, onderdeel b, </w:t>
      </w:r>
      <w:proofErr w:type="spellStart"/>
      <w:r w:rsidRPr="00FF46E3">
        <w:rPr>
          <w:rFonts w:ascii="Verdana" w:hAnsi="Verdana"/>
          <w:sz w:val="18"/>
          <w:szCs w:val="18"/>
        </w:rPr>
        <w:t>Cbw</w:t>
      </w:r>
      <w:proofErr w:type="spellEnd"/>
      <w:r w:rsidRPr="00FF46E3">
        <w:rPr>
          <w:rFonts w:ascii="Verdana" w:hAnsi="Verdana"/>
          <w:sz w:val="18"/>
          <w:szCs w:val="18"/>
        </w:rPr>
        <w:t>. In dat geval heeft het CSIRT tot taak bepaalde informatie als bedoeld in genoemd artikellid ook te verstrekken aan die organisatie ten behoeve van de achterban. Voor het antwoord op de vraag of een schakelorganisatie ook in de toekomst in het concrete geval als relevante partij voor het ontvangen van bepaalde informatie kan worden aangemerkt, is bepalend of de achterban van aanbieders bestaat uit essentiële entiteiten, belangrijke entiteiten dan wel relevante partijen. Ten aanzien van schakelorganisaties zal het CSIRT uiteraard de in de vorige alinea aangehaalde vertrouwelijkheid en zorgvuldigheid van informatie-uitwisseling meewegen om te bepalen of en welke informatie met een dergelijke partij kan worden uitgewisseld.</w:t>
      </w:r>
    </w:p>
    <w:p w:rsidRPr="00C47325" w:rsidR="001079CB" w:rsidP="00CE333A" w:rsidRDefault="001079CB" w14:paraId="0E08870F" w14:textId="77777777">
      <w:pPr>
        <w:spacing w:after="0" w:line="240" w:lineRule="auto"/>
        <w:rPr>
          <w:rFonts w:ascii="Verdana" w:hAnsi="Verdana"/>
          <w:sz w:val="18"/>
          <w:szCs w:val="18"/>
        </w:rPr>
      </w:pPr>
    </w:p>
    <w:p w:rsidRPr="00BD3C4A" w:rsidR="00155394" w:rsidP="00155394" w:rsidRDefault="00155394" w14:paraId="629AA5F0" w14:textId="519DFEEE">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17</w:t>
      </w:r>
      <w:r w:rsidRPr="00BD3C4A">
        <w:rPr>
          <w:rFonts w:ascii="Verdana" w:hAnsi="Verdana"/>
          <w:b/>
          <w:bCs/>
          <w:sz w:val="18"/>
          <w:szCs w:val="18"/>
        </w:rPr>
        <w:t xml:space="preserve"> (aanwijzing en taken coördinator bekendmaking kwetsbaarheden)</w:t>
      </w:r>
    </w:p>
    <w:p w:rsidRPr="00C47325" w:rsidR="00CE333A" w:rsidP="00CE333A" w:rsidRDefault="00CE333A" w14:paraId="4511BF17" w14:textId="77777777">
      <w:pPr>
        <w:pStyle w:val="Geenafstand"/>
        <w:rPr>
          <w:rFonts w:ascii="Verdana" w:hAnsi="Verdana"/>
          <w:b/>
          <w:bCs/>
          <w:sz w:val="18"/>
          <w:szCs w:val="18"/>
        </w:rPr>
      </w:pPr>
    </w:p>
    <w:p w:rsidRPr="00C47325" w:rsidR="00CE333A" w:rsidP="00CE333A" w:rsidRDefault="00F46FFA" w14:paraId="54DCA980" w14:textId="42FDADE0">
      <w:pPr>
        <w:spacing w:after="0" w:line="240" w:lineRule="auto"/>
        <w:rPr>
          <w:rFonts w:ascii="Verdana" w:hAnsi="Verdana"/>
          <w:b/>
          <w:bCs/>
          <w:sz w:val="18"/>
          <w:szCs w:val="18"/>
        </w:rPr>
      </w:pPr>
      <w:r>
        <w:rPr>
          <w:rFonts w:ascii="Verdana" w:hAnsi="Verdana"/>
          <w:sz w:val="18"/>
          <w:szCs w:val="18"/>
        </w:rPr>
        <w:t xml:space="preserve">In artikel 12, eerste lid, NIS2-richtlijn is bepaald dat elke lidstaat één van zijn </w:t>
      </w:r>
      <w:proofErr w:type="spellStart"/>
      <w:r>
        <w:rPr>
          <w:rFonts w:ascii="Verdana" w:hAnsi="Verdana"/>
          <w:sz w:val="18"/>
          <w:szCs w:val="18"/>
        </w:rPr>
        <w:t>CSIRT</w:t>
      </w:r>
      <w:r w:rsidR="00F12F81">
        <w:rPr>
          <w:rFonts w:ascii="Verdana" w:hAnsi="Verdana"/>
          <w:sz w:val="18"/>
          <w:szCs w:val="18"/>
        </w:rPr>
        <w:t>’</w:t>
      </w:r>
      <w:r>
        <w:rPr>
          <w:rFonts w:ascii="Verdana" w:hAnsi="Verdana"/>
          <w:sz w:val="18"/>
          <w:szCs w:val="18"/>
        </w:rPr>
        <w:t>s</w:t>
      </w:r>
      <w:proofErr w:type="spellEnd"/>
      <w:r>
        <w:rPr>
          <w:rFonts w:ascii="Verdana" w:hAnsi="Verdana"/>
          <w:sz w:val="18"/>
          <w:szCs w:val="18"/>
        </w:rPr>
        <w:t xml:space="preserve"> aanwijst als </w:t>
      </w:r>
      <w:bookmarkStart w:name="_Hlk175835045" w:id="265"/>
      <w:r w:rsidRPr="00C47325" w:rsidR="00CE333A">
        <w:rPr>
          <w:rFonts w:ascii="Verdana" w:hAnsi="Verdana"/>
          <w:sz w:val="18"/>
          <w:szCs w:val="18"/>
        </w:rPr>
        <w:t>coördinator met het oog op een gecoördineerde bekendmaking van kwetsbaarheden</w:t>
      </w:r>
      <w:bookmarkEnd w:id="265"/>
      <w:r w:rsidRPr="00C47325" w:rsidR="00CE333A">
        <w:rPr>
          <w:rFonts w:ascii="Verdana" w:hAnsi="Verdana"/>
          <w:sz w:val="18"/>
          <w:szCs w:val="18"/>
        </w:rPr>
        <w:t xml:space="preserve">. </w:t>
      </w:r>
      <w:r>
        <w:rPr>
          <w:rFonts w:ascii="Verdana" w:hAnsi="Verdana"/>
          <w:sz w:val="18"/>
          <w:szCs w:val="18"/>
        </w:rPr>
        <w:t xml:space="preserve">In artikel </w:t>
      </w:r>
      <w:r w:rsidR="00887DC0">
        <w:rPr>
          <w:rFonts w:ascii="Verdana" w:hAnsi="Verdana"/>
          <w:sz w:val="18"/>
          <w:szCs w:val="18"/>
        </w:rPr>
        <w:t>1</w:t>
      </w:r>
      <w:r w:rsidR="00615102">
        <w:rPr>
          <w:rFonts w:ascii="Verdana" w:hAnsi="Verdana"/>
          <w:sz w:val="18"/>
          <w:szCs w:val="18"/>
        </w:rPr>
        <w:t>7</w:t>
      </w:r>
      <w:r>
        <w:rPr>
          <w:rFonts w:ascii="Verdana" w:hAnsi="Verdana"/>
          <w:sz w:val="18"/>
          <w:szCs w:val="18"/>
        </w:rPr>
        <w:t xml:space="preserve">, eerste lid, </w:t>
      </w:r>
      <w:proofErr w:type="spellStart"/>
      <w:r>
        <w:rPr>
          <w:rFonts w:ascii="Verdana" w:hAnsi="Verdana"/>
          <w:sz w:val="18"/>
          <w:szCs w:val="18"/>
        </w:rPr>
        <w:t>Cbw</w:t>
      </w:r>
      <w:proofErr w:type="spellEnd"/>
      <w:r>
        <w:rPr>
          <w:rFonts w:ascii="Verdana" w:hAnsi="Verdana"/>
          <w:sz w:val="18"/>
          <w:szCs w:val="18"/>
        </w:rPr>
        <w:t xml:space="preserve"> is geregeld dat in Nederland die coördinator bij </w:t>
      </w:r>
      <w:r w:rsidR="00302034">
        <w:rPr>
          <w:rFonts w:ascii="Verdana" w:hAnsi="Verdana"/>
          <w:sz w:val="18"/>
          <w:szCs w:val="18"/>
        </w:rPr>
        <w:t xml:space="preserve">of krachtens </w:t>
      </w:r>
      <w:proofErr w:type="spellStart"/>
      <w:r>
        <w:rPr>
          <w:rFonts w:ascii="Verdana" w:hAnsi="Verdana"/>
          <w:sz w:val="18"/>
          <w:szCs w:val="18"/>
        </w:rPr>
        <w:t>amvb</w:t>
      </w:r>
      <w:proofErr w:type="spellEnd"/>
      <w:r>
        <w:rPr>
          <w:rFonts w:ascii="Verdana" w:hAnsi="Verdana"/>
          <w:sz w:val="18"/>
          <w:szCs w:val="18"/>
        </w:rPr>
        <w:t xml:space="preserve"> </w:t>
      </w:r>
      <w:r w:rsidR="00643C25">
        <w:rPr>
          <w:rFonts w:ascii="Verdana" w:hAnsi="Verdana"/>
          <w:sz w:val="18"/>
          <w:szCs w:val="18"/>
        </w:rPr>
        <w:t>wordt</w:t>
      </w:r>
      <w:r>
        <w:rPr>
          <w:rFonts w:ascii="Verdana" w:hAnsi="Verdana"/>
          <w:sz w:val="18"/>
          <w:szCs w:val="18"/>
        </w:rPr>
        <w:t xml:space="preserve"> aangewezen. In artikel </w:t>
      </w:r>
      <w:r w:rsidR="00887DC0">
        <w:rPr>
          <w:rFonts w:ascii="Verdana" w:hAnsi="Verdana"/>
          <w:sz w:val="18"/>
          <w:szCs w:val="18"/>
        </w:rPr>
        <w:t>1</w:t>
      </w:r>
      <w:r w:rsidR="001E4D0A">
        <w:rPr>
          <w:rFonts w:ascii="Verdana" w:hAnsi="Verdana"/>
          <w:sz w:val="18"/>
          <w:szCs w:val="18"/>
        </w:rPr>
        <w:t>7</w:t>
      </w:r>
      <w:r>
        <w:rPr>
          <w:rFonts w:ascii="Verdana" w:hAnsi="Verdana"/>
          <w:sz w:val="18"/>
          <w:szCs w:val="18"/>
        </w:rPr>
        <w:t xml:space="preserve">, tweede lid, </w:t>
      </w:r>
      <w:proofErr w:type="spellStart"/>
      <w:r>
        <w:rPr>
          <w:rFonts w:ascii="Verdana" w:hAnsi="Verdana"/>
          <w:sz w:val="18"/>
          <w:szCs w:val="18"/>
        </w:rPr>
        <w:t>Cbw</w:t>
      </w:r>
      <w:proofErr w:type="spellEnd"/>
      <w:r w:rsidR="003C43B6">
        <w:rPr>
          <w:rFonts w:ascii="Verdana" w:hAnsi="Verdana"/>
          <w:sz w:val="18"/>
          <w:szCs w:val="18"/>
        </w:rPr>
        <w:t xml:space="preserve"> zijn</w:t>
      </w:r>
      <w:r w:rsidR="003A6E54">
        <w:rPr>
          <w:rFonts w:ascii="Verdana" w:hAnsi="Verdana"/>
          <w:sz w:val="18"/>
          <w:szCs w:val="18"/>
        </w:rPr>
        <w:t>, ter implementatie van artikel 12 NIS2-richtlijn,</w:t>
      </w:r>
      <w:r w:rsidR="003C43B6">
        <w:rPr>
          <w:rFonts w:ascii="Verdana" w:hAnsi="Verdana"/>
          <w:sz w:val="18"/>
          <w:szCs w:val="18"/>
        </w:rPr>
        <w:t xml:space="preserve"> de taken van die coördinator opgenomen. </w:t>
      </w:r>
    </w:p>
    <w:p w:rsidRPr="00C47325" w:rsidR="00CE333A" w:rsidP="00CE333A" w:rsidRDefault="00CE333A" w14:paraId="305F6CAA" w14:textId="77777777">
      <w:pPr>
        <w:pStyle w:val="Geenafstand"/>
        <w:rPr>
          <w:rFonts w:ascii="Verdana" w:hAnsi="Verdana"/>
          <w:b/>
          <w:bCs/>
          <w:sz w:val="18"/>
          <w:szCs w:val="18"/>
        </w:rPr>
      </w:pPr>
    </w:p>
    <w:p w:rsidRPr="00BD3C4A" w:rsidR="00155394" w:rsidP="00155394" w:rsidRDefault="00155394" w14:paraId="33E4D7F5" w14:textId="68969A9F">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18</w:t>
      </w:r>
      <w:r w:rsidRPr="00BD3C4A">
        <w:rPr>
          <w:rFonts w:ascii="Verdana" w:hAnsi="Verdana"/>
          <w:b/>
          <w:bCs/>
          <w:sz w:val="18"/>
          <w:szCs w:val="18"/>
        </w:rPr>
        <w:t xml:space="preserve"> (aanwijzing en taken cybercrisisbeheerautoriteit)</w:t>
      </w:r>
    </w:p>
    <w:p w:rsidRPr="00C47325" w:rsidR="00CE333A" w:rsidP="00CE333A" w:rsidRDefault="00CE333A" w14:paraId="2AE9E82B" w14:textId="77777777">
      <w:pPr>
        <w:pStyle w:val="Geenafstand"/>
        <w:rPr>
          <w:rFonts w:ascii="Verdana" w:hAnsi="Verdana"/>
          <w:sz w:val="18"/>
          <w:szCs w:val="18"/>
        </w:rPr>
      </w:pPr>
    </w:p>
    <w:p w:rsidRPr="00C47325" w:rsidR="00CE333A" w:rsidP="00CE333A" w:rsidRDefault="00CE333A" w14:paraId="6A7C8479" w14:textId="20830715">
      <w:pPr>
        <w:spacing w:after="0" w:line="240" w:lineRule="auto"/>
        <w:rPr>
          <w:rFonts w:ascii="Verdana" w:hAnsi="Verdana"/>
          <w:sz w:val="18"/>
          <w:szCs w:val="18"/>
        </w:rPr>
      </w:pPr>
      <w:r w:rsidRPr="00C47325">
        <w:rPr>
          <w:rFonts w:ascii="Verdana" w:hAnsi="Verdana"/>
          <w:sz w:val="18"/>
          <w:szCs w:val="18"/>
        </w:rPr>
        <w:t xml:space="preserve">In artikel </w:t>
      </w:r>
      <w:r w:rsidR="00887DC0">
        <w:rPr>
          <w:rFonts w:ascii="Verdana" w:hAnsi="Verdana"/>
          <w:sz w:val="18"/>
          <w:szCs w:val="18"/>
        </w:rPr>
        <w:t>1</w:t>
      </w:r>
      <w:r w:rsidR="001E4D0A">
        <w:rPr>
          <w:rFonts w:ascii="Verdana" w:hAnsi="Verdana"/>
          <w:sz w:val="18"/>
          <w:szCs w:val="18"/>
        </w:rPr>
        <w:t>8</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wordt de Minister van Justitie en Veiligheid aangewezen als de cybercrisisbeheerautoriteit</w:t>
      </w:r>
      <w:r w:rsidR="003C43B6">
        <w:rPr>
          <w:rFonts w:ascii="Verdana" w:hAnsi="Verdana"/>
          <w:sz w:val="18"/>
          <w:szCs w:val="18"/>
        </w:rPr>
        <w:t>,</w:t>
      </w:r>
      <w:r w:rsidRPr="00C47325">
        <w:rPr>
          <w:rFonts w:ascii="Verdana" w:hAnsi="Verdana"/>
          <w:sz w:val="18"/>
          <w:szCs w:val="18"/>
        </w:rPr>
        <w:t xml:space="preserve"> bedoeld in artikel 9, eerste lid, NIS2-richtlijn. Deze rol wordt feitelijk vervuld door onderdelen die werken onder de verantwoordelijkheid van de </w:t>
      </w:r>
      <w:r w:rsidR="003C43B6">
        <w:rPr>
          <w:rFonts w:ascii="Verdana" w:hAnsi="Verdana"/>
          <w:sz w:val="18"/>
          <w:szCs w:val="18"/>
        </w:rPr>
        <w:t>M</w:t>
      </w:r>
      <w:r w:rsidRPr="00C47325">
        <w:rPr>
          <w:rFonts w:ascii="Verdana" w:hAnsi="Verdana"/>
          <w:sz w:val="18"/>
          <w:szCs w:val="18"/>
        </w:rPr>
        <w:t>inister</w:t>
      </w:r>
      <w:r w:rsidR="003C43B6">
        <w:rPr>
          <w:rFonts w:ascii="Verdana" w:hAnsi="Verdana"/>
          <w:sz w:val="18"/>
          <w:szCs w:val="18"/>
        </w:rPr>
        <w:t xml:space="preserve"> van Justitie en Veiligheid</w:t>
      </w:r>
      <w:r w:rsidRPr="00C47325">
        <w:rPr>
          <w:rFonts w:ascii="Verdana" w:hAnsi="Verdana"/>
          <w:sz w:val="18"/>
          <w:szCs w:val="18"/>
        </w:rPr>
        <w:t xml:space="preserve">, te weten de </w:t>
      </w:r>
      <w:r w:rsidRPr="006C135F" w:rsidR="006C135F">
        <w:rPr>
          <w:rFonts w:ascii="Verdana" w:hAnsi="Verdana"/>
          <w:sz w:val="18"/>
          <w:szCs w:val="18"/>
        </w:rPr>
        <w:t>Nationaal Coördinator Terrorismebestrijding en Veiligheid</w:t>
      </w:r>
      <w:r w:rsidR="006C135F">
        <w:rPr>
          <w:rFonts w:ascii="Verdana" w:hAnsi="Verdana"/>
          <w:sz w:val="18"/>
          <w:szCs w:val="18"/>
        </w:rPr>
        <w:t xml:space="preserve"> (</w:t>
      </w:r>
      <w:r w:rsidRPr="00C47325">
        <w:rPr>
          <w:rFonts w:ascii="Verdana" w:hAnsi="Verdana"/>
          <w:sz w:val="18"/>
          <w:szCs w:val="18"/>
        </w:rPr>
        <w:t>NCTV</w:t>
      </w:r>
      <w:r w:rsidR="006C135F">
        <w:rPr>
          <w:rFonts w:ascii="Verdana" w:hAnsi="Verdana"/>
          <w:sz w:val="18"/>
          <w:szCs w:val="18"/>
        </w:rPr>
        <w:t>)</w:t>
      </w:r>
      <w:r w:rsidRPr="00C47325">
        <w:rPr>
          <w:rFonts w:ascii="Verdana" w:hAnsi="Verdana"/>
          <w:sz w:val="18"/>
          <w:szCs w:val="18"/>
        </w:rPr>
        <w:t xml:space="preserve"> en het NCSC. Beide organisatieonderdelen hebben een rol bij een grootschalige cybercrisis, zoals vastgelegd in het Landelijk Crisisplan Digitaal.</w:t>
      </w:r>
      <w:r w:rsidRPr="00C47325">
        <w:rPr>
          <w:rFonts w:ascii="Verdana" w:hAnsi="Verdana"/>
          <w:sz w:val="18"/>
          <w:szCs w:val="18"/>
          <w:vertAlign w:val="superscript"/>
        </w:rPr>
        <w:footnoteReference w:id="91"/>
      </w:r>
      <w:r w:rsidRPr="00C47325">
        <w:rPr>
          <w:rFonts w:ascii="Verdana" w:hAnsi="Verdana"/>
          <w:sz w:val="18"/>
          <w:szCs w:val="18"/>
        </w:rPr>
        <w:t xml:space="preserve"> Het beleggen van de taken en verantwoordelijkheid rondom het beheer van grootschalige cyberbeveiligingsincidenten en crises bij de Minister van Justitie en Veiligheid in </w:t>
      </w:r>
      <w:r w:rsidR="003C43B6">
        <w:rPr>
          <w:rFonts w:ascii="Verdana" w:hAnsi="Verdana"/>
          <w:sz w:val="18"/>
          <w:szCs w:val="18"/>
        </w:rPr>
        <w:t xml:space="preserve">de </w:t>
      </w:r>
      <w:proofErr w:type="spellStart"/>
      <w:r w:rsidR="003C43B6">
        <w:rPr>
          <w:rFonts w:ascii="Verdana" w:hAnsi="Verdana"/>
          <w:sz w:val="18"/>
          <w:szCs w:val="18"/>
        </w:rPr>
        <w:t>Cbw</w:t>
      </w:r>
      <w:proofErr w:type="spellEnd"/>
      <w:r w:rsidRPr="00C47325">
        <w:rPr>
          <w:rFonts w:ascii="Verdana" w:hAnsi="Verdana"/>
          <w:sz w:val="18"/>
          <w:szCs w:val="18"/>
        </w:rPr>
        <w:t>, sluit aan op de huidige</w:t>
      </w:r>
      <w:r w:rsidRPr="00C47325" w:rsidR="00ED232D">
        <w:rPr>
          <w:rFonts w:ascii="Verdana" w:hAnsi="Verdana"/>
          <w:sz w:val="18"/>
          <w:szCs w:val="18"/>
        </w:rPr>
        <w:t xml:space="preserve"> </w:t>
      </w:r>
      <w:r w:rsidRPr="00C47325">
        <w:rPr>
          <w:rFonts w:ascii="Verdana" w:hAnsi="Verdana"/>
          <w:sz w:val="18"/>
          <w:szCs w:val="18"/>
        </w:rPr>
        <w:t xml:space="preserve">uitvoering. Daarnaast geeft het gevolg aan de operationele noodzaak van de onderdelen om bij de tenuitvoerlegging van deze taken effectief op te kunnen treden gedurende grootschalige cyberbeveiligingsincidenten en -crises. </w:t>
      </w:r>
    </w:p>
    <w:p w:rsidRPr="00C47325" w:rsidR="00CE333A" w:rsidP="00CE333A" w:rsidRDefault="00CE333A" w14:paraId="45F30167" w14:textId="77777777">
      <w:pPr>
        <w:pStyle w:val="Geenafstand"/>
        <w:rPr>
          <w:rFonts w:ascii="Verdana" w:hAnsi="Verdana"/>
          <w:sz w:val="18"/>
          <w:szCs w:val="18"/>
        </w:rPr>
      </w:pPr>
    </w:p>
    <w:p w:rsidRPr="00BD3C4A" w:rsidR="00155394" w:rsidP="00155394" w:rsidRDefault="00155394" w14:paraId="7F95A1CB" w14:textId="1E7A1895">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19</w:t>
      </w:r>
      <w:r w:rsidRPr="00BD3C4A">
        <w:rPr>
          <w:rFonts w:ascii="Verdana" w:hAnsi="Verdana"/>
          <w:b/>
          <w:bCs/>
          <w:sz w:val="18"/>
          <w:szCs w:val="18"/>
        </w:rPr>
        <w:t xml:space="preserve"> (</w:t>
      </w:r>
      <w:bookmarkStart w:name="_Hlk178764890" w:id="266"/>
      <w:r w:rsidRPr="00BD3C4A">
        <w:rPr>
          <w:rFonts w:ascii="Verdana" w:hAnsi="Verdana"/>
          <w:b/>
          <w:bCs/>
          <w:sz w:val="18"/>
          <w:szCs w:val="18"/>
        </w:rPr>
        <w:t>nationale cyberbeveiligingsstrategie</w:t>
      </w:r>
      <w:bookmarkEnd w:id="266"/>
      <w:r w:rsidRPr="00BD3C4A">
        <w:rPr>
          <w:rFonts w:ascii="Verdana" w:hAnsi="Verdana"/>
          <w:b/>
          <w:bCs/>
          <w:sz w:val="18"/>
          <w:szCs w:val="18"/>
        </w:rPr>
        <w:t>)</w:t>
      </w:r>
    </w:p>
    <w:p w:rsidRPr="00C47325" w:rsidR="00CE333A" w:rsidP="00CE333A" w:rsidRDefault="00CE333A" w14:paraId="3C73A45A" w14:textId="77777777">
      <w:pPr>
        <w:pStyle w:val="Geenafstand"/>
        <w:rPr>
          <w:rFonts w:ascii="Verdana" w:hAnsi="Verdana"/>
          <w:sz w:val="18"/>
          <w:szCs w:val="18"/>
        </w:rPr>
      </w:pPr>
    </w:p>
    <w:p w:rsidRPr="00C47325" w:rsidR="00CE333A" w:rsidP="00CE333A" w:rsidRDefault="00CE333A" w14:paraId="3B74EA3C" w14:textId="4D0DD961">
      <w:pPr>
        <w:spacing w:after="0" w:line="240" w:lineRule="auto"/>
        <w:rPr>
          <w:rFonts w:ascii="Verdana" w:hAnsi="Verdana"/>
          <w:sz w:val="18"/>
          <w:szCs w:val="18"/>
        </w:rPr>
      </w:pPr>
      <w:r w:rsidRPr="00C47325">
        <w:rPr>
          <w:rFonts w:ascii="Verdana" w:hAnsi="Verdana"/>
          <w:sz w:val="18"/>
          <w:szCs w:val="18"/>
        </w:rPr>
        <w:t xml:space="preserve">Artikel </w:t>
      </w:r>
      <w:r w:rsidR="00887DC0">
        <w:rPr>
          <w:rFonts w:ascii="Verdana" w:hAnsi="Verdana"/>
          <w:sz w:val="18"/>
          <w:szCs w:val="18"/>
        </w:rPr>
        <w:t>1</w:t>
      </w:r>
      <w:r w:rsidR="005D0BEB">
        <w:rPr>
          <w:rFonts w:ascii="Verdana" w:hAnsi="Verdana"/>
          <w:sz w:val="18"/>
          <w:szCs w:val="18"/>
        </w:rPr>
        <w:t>9</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7 NIS2-richtlijn en verplicht de Minister van Justitie en Veiligheid </w:t>
      </w:r>
      <w:r w:rsidRPr="00C47325" w:rsidR="00032AC0">
        <w:rPr>
          <w:rFonts w:ascii="Verdana" w:hAnsi="Verdana"/>
          <w:sz w:val="18"/>
          <w:szCs w:val="18"/>
        </w:rPr>
        <w:t xml:space="preserve">in overeenstemming met de </w:t>
      </w:r>
      <w:r w:rsidR="003C43B6">
        <w:rPr>
          <w:rFonts w:ascii="Verdana" w:hAnsi="Verdana"/>
          <w:sz w:val="18"/>
          <w:szCs w:val="18"/>
        </w:rPr>
        <w:t>m</w:t>
      </w:r>
      <w:r w:rsidRPr="00C47325" w:rsidR="00032AC0">
        <w:rPr>
          <w:rFonts w:ascii="Verdana" w:hAnsi="Verdana"/>
          <w:sz w:val="18"/>
          <w:szCs w:val="18"/>
        </w:rPr>
        <w:t xml:space="preserve">inister die het aangaat </w:t>
      </w:r>
      <w:r w:rsidRPr="00C47325">
        <w:rPr>
          <w:rFonts w:ascii="Verdana" w:hAnsi="Verdana"/>
          <w:sz w:val="18"/>
          <w:szCs w:val="18"/>
        </w:rPr>
        <w:t xml:space="preserve">tot het opstellen van een nationale cyberbeveiligingsstrategie en uitvoerend beleid. </w:t>
      </w:r>
    </w:p>
    <w:p w:rsidRPr="00C47325" w:rsidR="00CE333A" w:rsidP="00CE333A" w:rsidRDefault="00CE333A" w14:paraId="0F4ADBF6" w14:textId="77777777">
      <w:pPr>
        <w:pStyle w:val="Geenafstand"/>
        <w:rPr>
          <w:rFonts w:ascii="Verdana" w:hAnsi="Verdana"/>
          <w:sz w:val="18"/>
          <w:szCs w:val="18"/>
        </w:rPr>
      </w:pPr>
    </w:p>
    <w:p w:rsidRPr="00BD3C4A" w:rsidR="00155394" w:rsidP="00155394" w:rsidRDefault="00155394" w14:paraId="4B101E1C" w14:textId="2759427F">
      <w:pPr>
        <w:pStyle w:val="Geenafstand"/>
        <w:rPr>
          <w:rFonts w:ascii="Verdana" w:hAnsi="Verdana"/>
          <w:sz w:val="18"/>
          <w:szCs w:val="18"/>
        </w:rPr>
      </w:pPr>
      <w:r w:rsidRPr="00BD3C4A">
        <w:rPr>
          <w:rFonts w:ascii="Verdana" w:hAnsi="Verdana"/>
          <w:b/>
          <w:bCs/>
          <w:sz w:val="18"/>
          <w:szCs w:val="18"/>
        </w:rPr>
        <w:t xml:space="preserve">Artikel </w:t>
      </w:r>
      <w:r>
        <w:rPr>
          <w:rFonts w:ascii="Verdana" w:hAnsi="Verdana"/>
          <w:b/>
          <w:bCs/>
          <w:sz w:val="18"/>
          <w:szCs w:val="18"/>
        </w:rPr>
        <w:t>20</w:t>
      </w:r>
      <w:r w:rsidRPr="00BD3C4A">
        <w:rPr>
          <w:rFonts w:ascii="Verdana" w:hAnsi="Verdana"/>
          <w:b/>
          <w:bCs/>
          <w:sz w:val="18"/>
          <w:szCs w:val="18"/>
        </w:rPr>
        <w:t xml:space="preserve"> (nationaal plan voor grootschalige cyberbeveiligingsincidenten en crisisrespons)</w:t>
      </w:r>
    </w:p>
    <w:p w:rsidRPr="00C47325" w:rsidR="00CE333A" w:rsidP="00CE333A" w:rsidRDefault="00CE333A" w14:paraId="046A9778" w14:textId="77777777">
      <w:pPr>
        <w:pStyle w:val="Geenafstand"/>
        <w:rPr>
          <w:rFonts w:ascii="Verdana" w:hAnsi="Verdana"/>
          <w:sz w:val="18"/>
          <w:szCs w:val="18"/>
        </w:rPr>
      </w:pPr>
    </w:p>
    <w:p w:rsidRPr="00C47325" w:rsidR="00CE333A" w:rsidP="00CE333A" w:rsidRDefault="00CE333A" w14:paraId="08418A13" w14:textId="2658B6F7">
      <w:pPr>
        <w:pStyle w:val="Geenafstand"/>
        <w:rPr>
          <w:rFonts w:ascii="Verdana" w:hAnsi="Verdana"/>
          <w:sz w:val="18"/>
          <w:szCs w:val="18"/>
        </w:rPr>
      </w:pPr>
      <w:r w:rsidRPr="00C47325">
        <w:rPr>
          <w:rFonts w:ascii="Verdana" w:hAnsi="Verdana"/>
          <w:sz w:val="18"/>
          <w:szCs w:val="18"/>
        </w:rPr>
        <w:t xml:space="preserve">Artikel </w:t>
      </w:r>
      <w:r w:rsidR="005D0BEB">
        <w:rPr>
          <w:rFonts w:ascii="Verdana" w:hAnsi="Verdana"/>
          <w:sz w:val="18"/>
          <w:szCs w:val="18"/>
        </w:rPr>
        <w:t>20</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9, vierde lid, NIS2-richtlijn.</w:t>
      </w:r>
      <w:r w:rsidR="00465094">
        <w:rPr>
          <w:rFonts w:ascii="Verdana" w:hAnsi="Verdana"/>
          <w:sz w:val="18"/>
          <w:szCs w:val="18"/>
        </w:rPr>
        <w:t xml:space="preserve"> In Nederland bestaat al een dergelijk plan, namelijk het Landelijk Crisisplan Digitaal. </w:t>
      </w:r>
    </w:p>
    <w:p w:rsidRPr="00C47325" w:rsidR="00CE333A" w:rsidP="00CE333A" w:rsidRDefault="00CE333A" w14:paraId="555AA636" w14:textId="77777777">
      <w:pPr>
        <w:pStyle w:val="Geenafstand"/>
        <w:rPr>
          <w:rFonts w:ascii="Verdana" w:hAnsi="Verdana"/>
          <w:sz w:val="18"/>
          <w:szCs w:val="18"/>
        </w:rPr>
      </w:pPr>
    </w:p>
    <w:p w:rsidRPr="00BD3C4A" w:rsidR="00155394" w:rsidP="00155394" w:rsidRDefault="00155394" w14:paraId="16149553" w14:textId="346FD761">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21</w:t>
      </w:r>
      <w:r w:rsidRPr="00BD3C4A">
        <w:rPr>
          <w:rFonts w:ascii="Verdana" w:hAnsi="Verdana"/>
          <w:b/>
          <w:bCs/>
          <w:sz w:val="18"/>
          <w:szCs w:val="18"/>
        </w:rPr>
        <w:t xml:space="preserve"> (zorgplicht)</w:t>
      </w:r>
    </w:p>
    <w:p w:rsidRPr="00C47325" w:rsidR="00CE333A" w:rsidP="00CE333A" w:rsidRDefault="00CE333A" w14:paraId="2BEC0EE2" w14:textId="77777777">
      <w:pPr>
        <w:spacing w:after="0" w:line="240" w:lineRule="auto"/>
        <w:rPr>
          <w:rFonts w:ascii="Verdana" w:hAnsi="Verdana"/>
          <w:sz w:val="18"/>
          <w:szCs w:val="18"/>
        </w:rPr>
      </w:pPr>
    </w:p>
    <w:p w:rsidRPr="00756015" w:rsidR="00756015" w:rsidP="00CE333A" w:rsidRDefault="00756015" w14:paraId="3F5E3933" w14:textId="7C89DE1E">
      <w:pPr>
        <w:spacing w:after="0" w:line="240" w:lineRule="auto"/>
        <w:rPr>
          <w:rFonts w:ascii="Verdana" w:hAnsi="Verdana"/>
          <w:i/>
          <w:iCs/>
          <w:sz w:val="18"/>
          <w:szCs w:val="18"/>
        </w:rPr>
      </w:pPr>
      <w:r>
        <w:rPr>
          <w:rFonts w:ascii="Verdana" w:hAnsi="Verdana"/>
          <w:i/>
          <w:iCs/>
          <w:sz w:val="18"/>
          <w:szCs w:val="18"/>
        </w:rPr>
        <w:t>Algemeen</w:t>
      </w:r>
    </w:p>
    <w:p w:rsidRPr="00C47325" w:rsidR="00CE333A" w:rsidP="00CE333A" w:rsidRDefault="00CE333A" w14:paraId="1A03C9BF" w14:textId="1DD2E9C0">
      <w:pPr>
        <w:spacing w:after="0" w:line="240" w:lineRule="auto"/>
        <w:rPr>
          <w:rFonts w:ascii="Verdana" w:hAnsi="Verdana"/>
          <w:b/>
          <w:bCs/>
          <w:sz w:val="18"/>
          <w:szCs w:val="18"/>
        </w:rPr>
      </w:pPr>
      <w:r w:rsidRPr="00C47325">
        <w:rPr>
          <w:rFonts w:ascii="Verdana" w:hAnsi="Verdana"/>
          <w:sz w:val="18"/>
          <w:szCs w:val="18"/>
        </w:rPr>
        <w:t xml:space="preserve">Artikel </w:t>
      </w:r>
      <w:r w:rsidR="00887DC0">
        <w:rPr>
          <w:rFonts w:ascii="Verdana" w:hAnsi="Verdana"/>
          <w:sz w:val="18"/>
          <w:szCs w:val="18"/>
        </w:rPr>
        <w:t>2</w:t>
      </w:r>
      <w:r w:rsidR="005D0BEB">
        <w:rPr>
          <w:rFonts w:ascii="Verdana" w:hAnsi="Verdana"/>
          <w:sz w:val="18"/>
          <w:szCs w:val="18"/>
        </w:rPr>
        <w:t>1</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ziet op de zorgplicht en betreft de implementatie van artikel 21 NIS2-richtlijn. </w:t>
      </w:r>
      <w:r w:rsidR="00887DC0">
        <w:rPr>
          <w:rFonts w:ascii="Verdana" w:hAnsi="Verdana"/>
          <w:sz w:val="18"/>
          <w:szCs w:val="18"/>
        </w:rPr>
        <w:t>Paragraaf 5.2 gaat uitgebreid in op de zorgplicht.</w:t>
      </w:r>
    </w:p>
    <w:p w:rsidR="00BB0831" w:rsidP="00BB0831" w:rsidRDefault="00BB0831" w14:paraId="64D703A6" w14:textId="77777777">
      <w:pPr>
        <w:widowControl w:val="0"/>
        <w:autoSpaceDE w:val="0"/>
        <w:autoSpaceDN w:val="0"/>
        <w:adjustRightInd w:val="0"/>
        <w:spacing w:after="0" w:line="240" w:lineRule="auto"/>
        <w:rPr>
          <w:rFonts w:ascii="Verdana" w:hAnsi="Verdana"/>
          <w:i/>
          <w:iCs/>
          <w:sz w:val="18"/>
          <w:szCs w:val="18"/>
        </w:rPr>
      </w:pPr>
    </w:p>
    <w:p w:rsidRPr="001F5FF2" w:rsidR="00301909" w:rsidP="009116C9" w:rsidRDefault="00301909" w14:paraId="1D6E2DFA" w14:textId="59B94156">
      <w:pPr>
        <w:widowControl w:val="0"/>
        <w:autoSpaceDE w:val="0"/>
        <w:autoSpaceDN w:val="0"/>
        <w:adjustRightInd w:val="0"/>
        <w:spacing w:after="0" w:line="240" w:lineRule="auto"/>
        <w:rPr>
          <w:rFonts w:ascii="Verdana" w:hAnsi="Verdana"/>
          <w:i/>
          <w:iCs/>
          <w:sz w:val="18"/>
          <w:szCs w:val="18"/>
        </w:rPr>
      </w:pPr>
      <w:r>
        <w:rPr>
          <w:rFonts w:ascii="Verdana" w:hAnsi="Verdana"/>
          <w:i/>
          <w:iCs/>
          <w:sz w:val="18"/>
          <w:szCs w:val="18"/>
        </w:rPr>
        <w:t>Beveiliging van de toeleveringsketen</w:t>
      </w:r>
    </w:p>
    <w:p w:rsidRPr="00FF46E3" w:rsidR="009116C9" w:rsidP="00CB6D88" w:rsidRDefault="00887DC0" w14:paraId="1D2743DE" w14:textId="4A35F7A6">
      <w:pPr>
        <w:pStyle w:val="Geenafstand"/>
        <w:rPr>
          <w:rFonts w:ascii="Verdana" w:hAnsi="Verdana"/>
          <w:sz w:val="18"/>
          <w:szCs w:val="18"/>
        </w:rPr>
      </w:pPr>
      <w:r>
        <w:rPr>
          <w:rFonts w:ascii="Verdana" w:hAnsi="Verdana"/>
          <w:sz w:val="18"/>
          <w:szCs w:val="18"/>
        </w:rPr>
        <w:t>Artikel 2</w:t>
      </w:r>
      <w:r w:rsidR="005D0BEB">
        <w:rPr>
          <w:rFonts w:ascii="Verdana" w:hAnsi="Verdana"/>
          <w:sz w:val="18"/>
          <w:szCs w:val="18"/>
        </w:rPr>
        <w:t>1</w:t>
      </w:r>
      <w:r>
        <w:rPr>
          <w:rFonts w:ascii="Verdana" w:hAnsi="Verdana"/>
          <w:sz w:val="18"/>
          <w:szCs w:val="18"/>
        </w:rPr>
        <w:t xml:space="preserve">, eerste lid, </w:t>
      </w:r>
      <w:proofErr w:type="spellStart"/>
      <w:r>
        <w:rPr>
          <w:rFonts w:ascii="Verdana" w:hAnsi="Verdana"/>
          <w:sz w:val="18"/>
          <w:szCs w:val="18"/>
        </w:rPr>
        <w:t>Cbw</w:t>
      </w:r>
      <w:proofErr w:type="spellEnd"/>
      <w:r>
        <w:rPr>
          <w:rFonts w:ascii="Verdana" w:hAnsi="Verdana"/>
          <w:sz w:val="18"/>
          <w:szCs w:val="18"/>
        </w:rPr>
        <w:t xml:space="preserve"> bepaalt dat </w:t>
      </w:r>
      <w:r w:rsidRPr="00887DC0">
        <w:rPr>
          <w:rFonts w:ascii="Verdana" w:hAnsi="Verdana"/>
          <w:sz w:val="18"/>
          <w:szCs w:val="18"/>
        </w:rPr>
        <w:t>essentiële entiteit</w:t>
      </w:r>
      <w:r>
        <w:rPr>
          <w:rFonts w:ascii="Verdana" w:hAnsi="Verdana"/>
          <w:sz w:val="18"/>
          <w:szCs w:val="18"/>
        </w:rPr>
        <w:t>en</w:t>
      </w:r>
      <w:r w:rsidRPr="00887DC0">
        <w:rPr>
          <w:rFonts w:ascii="Verdana" w:hAnsi="Verdana"/>
          <w:sz w:val="18"/>
          <w:szCs w:val="18"/>
        </w:rPr>
        <w:t xml:space="preserve"> en belangrijke entiteit</w:t>
      </w:r>
      <w:r>
        <w:rPr>
          <w:rFonts w:ascii="Verdana" w:hAnsi="Verdana"/>
          <w:sz w:val="18"/>
          <w:szCs w:val="18"/>
        </w:rPr>
        <w:t xml:space="preserve">en </w:t>
      </w:r>
      <w:r w:rsidRPr="00887DC0">
        <w:rPr>
          <w:rFonts w:ascii="Verdana" w:hAnsi="Verdana"/>
          <w:sz w:val="18"/>
          <w:szCs w:val="18"/>
        </w:rPr>
        <w:t>passende en evenredige technische, operationele en organisatorische maatregelen</w:t>
      </w:r>
      <w:r>
        <w:rPr>
          <w:rFonts w:ascii="Verdana" w:hAnsi="Verdana"/>
          <w:sz w:val="18"/>
          <w:szCs w:val="18"/>
        </w:rPr>
        <w:t xml:space="preserve"> moeten nemen</w:t>
      </w:r>
      <w:r w:rsidRPr="00887DC0">
        <w:rPr>
          <w:rFonts w:ascii="Verdana" w:hAnsi="Verdana"/>
          <w:sz w:val="18"/>
          <w:szCs w:val="18"/>
        </w:rPr>
        <w:t xml:space="preserve"> om de risico’s voor de beveiliging van </w:t>
      </w:r>
      <w:r>
        <w:rPr>
          <w:rFonts w:ascii="Verdana" w:hAnsi="Verdana"/>
          <w:sz w:val="18"/>
          <w:szCs w:val="18"/>
        </w:rPr>
        <w:t>hun</w:t>
      </w:r>
      <w:r w:rsidRPr="00887DC0">
        <w:rPr>
          <w:rFonts w:ascii="Verdana" w:hAnsi="Verdana"/>
          <w:sz w:val="18"/>
          <w:szCs w:val="18"/>
        </w:rPr>
        <w:t xml:space="preserve"> netwerk- en informatiesystemen, die zij voor </w:t>
      </w:r>
      <w:r>
        <w:rPr>
          <w:rFonts w:ascii="Verdana" w:hAnsi="Verdana"/>
          <w:sz w:val="18"/>
          <w:szCs w:val="18"/>
        </w:rPr>
        <w:t>hun</w:t>
      </w:r>
      <w:r w:rsidRPr="00887DC0">
        <w:rPr>
          <w:rFonts w:ascii="Verdana" w:hAnsi="Verdana"/>
          <w:sz w:val="18"/>
          <w:szCs w:val="18"/>
        </w:rPr>
        <w:t xml:space="preserve"> werkzaamheden of voor het verlenen van </w:t>
      </w:r>
      <w:r>
        <w:rPr>
          <w:rFonts w:ascii="Verdana" w:hAnsi="Verdana"/>
          <w:sz w:val="18"/>
          <w:szCs w:val="18"/>
        </w:rPr>
        <w:t>hun</w:t>
      </w:r>
      <w:r w:rsidRPr="00887DC0">
        <w:rPr>
          <w:rFonts w:ascii="Verdana" w:hAnsi="Verdana"/>
          <w:sz w:val="18"/>
          <w:szCs w:val="18"/>
        </w:rPr>
        <w:t xml:space="preserve"> diensten </w:t>
      </w:r>
      <w:r>
        <w:rPr>
          <w:rFonts w:ascii="Verdana" w:hAnsi="Verdana"/>
          <w:sz w:val="18"/>
          <w:szCs w:val="18"/>
        </w:rPr>
        <w:t>gebruiken</w:t>
      </w:r>
      <w:r w:rsidRPr="00887DC0">
        <w:rPr>
          <w:rFonts w:ascii="Verdana" w:hAnsi="Verdana"/>
          <w:sz w:val="18"/>
          <w:szCs w:val="18"/>
        </w:rPr>
        <w:t xml:space="preserve">, te beheersen. </w:t>
      </w:r>
      <w:r w:rsidRPr="002961E3" w:rsidR="002961E3">
        <w:rPr>
          <w:rFonts w:ascii="Verdana" w:hAnsi="Verdana"/>
          <w:sz w:val="18"/>
          <w:szCs w:val="18"/>
        </w:rPr>
        <w:t xml:space="preserve">Ook nemen zij deze maatregelen om incidenten te voorkomen of de gevolgen van incidenten voor de afnemers van hun diensten en voor andere diensten te beperken. </w:t>
      </w:r>
      <w:r>
        <w:rPr>
          <w:rFonts w:ascii="Verdana" w:hAnsi="Verdana"/>
          <w:sz w:val="18"/>
          <w:szCs w:val="18"/>
        </w:rPr>
        <w:t>Artikel 2</w:t>
      </w:r>
      <w:r w:rsidR="005D0BEB">
        <w:rPr>
          <w:rFonts w:ascii="Verdana" w:hAnsi="Verdana"/>
          <w:sz w:val="18"/>
          <w:szCs w:val="18"/>
        </w:rPr>
        <w:t>1</w:t>
      </w:r>
      <w:r>
        <w:rPr>
          <w:rFonts w:ascii="Verdana" w:hAnsi="Verdana"/>
          <w:sz w:val="18"/>
          <w:szCs w:val="18"/>
        </w:rPr>
        <w:t xml:space="preserve">, derde lid, </w:t>
      </w:r>
      <w:proofErr w:type="spellStart"/>
      <w:r>
        <w:rPr>
          <w:rFonts w:ascii="Verdana" w:hAnsi="Verdana"/>
          <w:sz w:val="18"/>
          <w:szCs w:val="18"/>
        </w:rPr>
        <w:t>Cbw</w:t>
      </w:r>
      <w:proofErr w:type="spellEnd"/>
      <w:r>
        <w:rPr>
          <w:rFonts w:ascii="Verdana" w:hAnsi="Verdana"/>
          <w:sz w:val="18"/>
          <w:szCs w:val="18"/>
        </w:rPr>
        <w:t xml:space="preserve"> bevat een opsomming van waar de maatregelen ten minste uit moeten bestaan. Eén van de in die opsomming genoemde aspecten is d</w:t>
      </w:r>
      <w:r w:rsidRPr="00FF46E3" w:rsidR="009116C9">
        <w:rPr>
          <w:rFonts w:ascii="Verdana" w:hAnsi="Verdana"/>
          <w:sz w:val="18"/>
          <w:szCs w:val="18"/>
        </w:rPr>
        <w:t>e beveiliging van de toeleveringsketen (</w:t>
      </w:r>
      <w:r>
        <w:rPr>
          <w:rFonts w:ascii="Verdana" w:hAnsi="Verdana"/>
          <w:sz w:val="18"/>
          <w:szCs w:val="18"/>
        </w:rPr>
        <w:t>artikel 2</w:t>
      </w:r>
      <w:r w:rsidR="005D0BEB">
        <w:rPr>
          <w:rFonts w:ascii="Verdana" w:hAnsi="Verdana"/>
          <w:sz w:val="18"/>
          <w:szCs w:val="18"/>
        </w:rPr>
        <w:t>1</w:t>
      </w:r>
      <w:r>
        <w:rPr>
          <w:rFonts w:ascii="Verdana" w:hAnsi="Verdana"/>
          <w:sz w:val="18"/>
          <w:szCs w:val="18"/>
        </w:rPr>
        <w:t>, derde lid, onderdeel</w:t>
      </w:r>
      <w:r w:rsidRPr="00FF46E3" w:rsidR="009116C9">
        <w:rPr>
          <w:rFonts w:ascii="Verdana" w:hAnsi="Verdana"/>
          <w:sz w:val="18"/>
          <w:szCs w:val="18"/>
        </w:rPr>
        <w:t xml:space="preserve"> d</w:t>
      </w:r>
      <w:r>
        <w:rPr>
          <w:rFonts w:ascii="Verdana" w:hAnsi="Verdana"/>
          <w:sz w:val="18"/>
          <w:szCs w:val="18"/>
        </w:rPr>
        <w:t xml:space="preserve">, </w:t>
      </w:r>
      <w:proofErr w:type="spellStart"/>
      <w:r>
        <w:rPr>
          <w:rFonts w:ascii="Verdana" w:hAnsi="Verdana"/>
          <w:sz w:val="18"/>
          <w:szCs w:val="18"/>
        </w:rPr>
        <w:t>Cbw</w:t>
      </w:r>
      <w:proofErr w:type="spellEnd"/>
      <w:r w:rsidRPr="00FF46E3" w:rsidR="009116C9">
        <w:rPr>
          <w:rFonts w:ascii="Verdana" w:hAnsi="Verdana"/>
          <w:sz w:val="18"/>
          <w:szCs w:val="18"/>
        </w:rPr>
        <w:t>)</w:t>
      </w:r>
      <w:r>
        <w:rPr>
          <w:rFonts w:ascii="Verdana" w:hAnsi="Verdana"/>
          <w:sz w:val="18"/>
          <w:szCs w:val="18"/>
        </w:rPr>
        <w:t>.</w:t>
      </w:r>
      <w:r w:rsidR="00301909">
        <w:rPr>
          <w:rFonts w:ascii="Verdana" w:hAnsi="Verdana"/>
          <w:sz w:val="18"/>
          <w:szCs w:val="18"/>
        </w:rPr>
        <w:t xml:space="preserve"> Hierover</w:t>
      </w:r>
      <w:r w:rsidRPr="00FF46E3" w:rsidR="009116C9">
        <w:rPr>
          <w:rFonts w:ascii="Verdana" w:hAnsi="Verdana"/>
          <w:sz w:val="18"/>
          <w:szCs w:val="18"/>
        </w:rPr>
        <w:t xml:space="preserve"> wordt in artikel 21, tweede lid, onderdeel d, en derde lid, NIS2-richtlijn aangegeven dat dit met inbegrip is van </w:t>
      </w:r>
      <w:proofErr w:type="spellStart"/>
      <w:r w:rsidRPr="00FF46E3" w:rsidR="009116C9">
        <w:rPr>
          <w:rFonts w:ascii="Verdana" w:hAnsi="Verdana"/>
          <w:sz w:val="18"/>
          <w:szCs w:val="18"/>
        </w:rPr>
        <w:t>beveiliging</w:t>
      </w:r>
      <w:r w:rsidR="005D0BEB">
        <w:rPr>
          <w:rFonts w:ascii="Verdana" w:hAnsi="Verdana"/>
          <w:sz w:val="18"/>
          <w:szCs w:val="18"/>
        </w:rPr>
        <w:t>s</w:t>
      </w:r>
      <w:r w:rsidRPr="00FF46E3" w:rsidR="009116C9">
        <w:rPr>
          <w:rFonts w:ascii="Verdana" w:hAnsi="Verdana"/>
          <w:sz w:val="18"/>
          <w:szCs w:val="18"/>
        </w:rPr>
        <w:t>gerelateerde</w:t>
      </w:r>
      <w:proofErr w:type="spellEnd"/>
      <w:r w:rsidRPr="00FF46E3" w:rsidR="009116C9">
        <w:rPr>
          <w:rFonts w:ascii="Verdana" w:hAnsi="Verdana"/>
          <w:sz w:val="18"/>
          <w:szCs w:val="18"/>
        </w:rPr>
        <w:t xml:space="preserve"> aspecten met betrekking tot de relaties tussen elke entiteit en haar rechtstreekse leveranciers of dienstverleners. Wanneer essentiële entiteiten en belangrijke entiteiten overwegen welke maatregelen in dit verband passend zijn, moeten zij rekening houden met de specifieke kwetsbaarheden van </w:t>
      </w:r>
      <w:r w:rsidR="000C03F9">
        <w:rPr>
          <w:rFonts w:ascii="Verdana" w:hAnsi="Verdana"/>
          <w:sz w:val="18"/>
          <w:szCs w:val="18"/>
        </w:rPr>
        <w:t xml:space="preserve">hun </w:t>
      </w:r>
      <w:r w:rsidR="00D829AF">
        <w:rPr>
          <w:rFonts w:ascii="Verdana" w:hAnsi="Verdana"/>
          <w:sz w:val="18"/>
          <w:szCs w:val="18"/>
        </w:rPr>
        <w:t xml:space="preserve">rechtstreekse </w:t>
      </w:r>
      <w:r w:rsidRPr="00FF46E3" w:rsidR="009116C9">
        <w:rPr>
          <w:rFonts w:ascii="Verdana" w:hAnsi="Verdana"/>
          <w:sz w:val="18"/>
          <w:szCs w:val="18"/>
        </w:rPr>
        <w:t>leverancier</w:t>
      </w:r>
      <w:r w:rsidR="000C03F9">
        <w:rPr>
          <w:rFonts w:ascii="Verdana" w:hAnsi="Verdana"/>
          <w:sz w:val="18"/>
          <w:szCs w:val="18"/>
        </w:rPr>
        <w:t>s</w:t>
      </w:r>
      <w:r w:rsidRPr="00FF46E3" w:rsidR="009116C9">
        <w:rPr>
          <w:rFonts w:ascii="Verdana" w:hAnsi="Verdana"/>
          <w:sz w:val="18"/>
          <w:szCs w:val="18"/>
        </w:rPr>
        <w:t xml:space="preserve"> en dienstverlener</w:t>
      </w:r>
      <w:r w:rsidR="000C03F9">
        <w:rPr>
          <w:rFonts w:ascii="Verdana" w:hAnsi="Verdana"/>
          <w:sz w:val="18"/>
          <w:szCs w:val="18"/>
        </w:rPr>
        <w:t>s</w:t>
      </w:r>
      <w:r w:rsidRPr="00FF46E3" w:rsidR="009116C9">
        <w:rPr>
          <w:rFonts w:ascii="Verdana" w:hAnsi="Verdana"/>
          <w:sz w:val="18"/>
          <w:szCs w:val="18"/>
        </w:rPr>
        <w:t xml:space="preserve"> en met de algemene kwaliteit van de producten en de cyberbeveiligingspraktijken van hun</w:t>
      </w:r>
      <w:r w:rsidR="009116C9">
        <w:rPr>
          <w:rFonts w:ascii="Verdana" w:hAnsi="Verdana"/>
          <w:sz w:val="18"/>
          <w:szCs w:val="18"/>
        </w:rPr>
        <w:t xml:space="preserve"> </w:t>
      </w:r>
      <w:r w:rsidRPr="00FF46E3" w:rsidR="009116C9">
        <w:rPr>
          <w:rFonts w:ascii="Verdana" w:hAnsi="Verdana"/>
          <w:sz w:val="18"/>
          <w:szCs w:val="18"/>
        </w:rPr>
        <w:t>leveranciers en dienstverleners, met inbegrip van hun veilige ontwikkelingsprocedures. Ook houden zij rekening met de resultaten van gecoördineerde risicobeoordelingen van kritieke toeleveringsketens als bedoeld in artikel 22 NIS2-richtlijn.</w:t>
      </w:r>
      <w:r w:rsidR="009116C9">
        <w:rPr>
          <w:rFonts w:ascii="Verdana" w:hAnsi="Verdana"/>
          <w:sz w:val="18"/>
          <w:szCs w:val="18"/>
        </w:rPr>
        <w:t xml:space="preserve"> </w:t>
      </w:r>
      <w:r w:rsidRPr="00CF5E24" w:rsidR="009116C9">
        <w:rPr>
          <w:rFonts w:ascii="Verdana" w:hAnsi="Verdana"/>
          <w:sz w:val="18"/>
          <w:szCs w:val="18"/>
        </w:rPr>
        <w:t xml:space="preserve">Producten met digitale elementen die vanaf medio 2027 in de EU op de markt worden gebracht, moeten op grond van de </w:t>
      </w:r>
      <w:r w:rsidRPr="00F50299" w:rsidR="00A320FB">
        <w:rPr>
          <w:rFonts w:ascii="Verdana" w:hAnsi="Verdana"/>
          <w:sz w:val="18"/>
          <w:szCs w:val="18"/>
        </w:rPr>
        <w:t>Verordening cyberweerbaarheid (</w:t>
      </w:r>
      <w:r w:rsidRPr="00CB6D88" w:rsidR="00A320FB">
        <w:rPr>
          <w:rFonts w:ascii="Verdana" w:hAnsi="Verdana"/>
          <w:i/>
          <w:iCs/>
          <w:sz w:val="18"/>
          <w:szCs w:val="18"/>
        </w:rPr>
        <w:t xml:space="preserve">Cyber </w:t>
      </w:r>
      <w:proofErr w:type="spellStart"/>
      <w:r w:rsidRPr="00CB6D88" w:rsidR="00A320FB">
        <w:rPr>
          <w:rFonts w:ascii="Verdana" w:hAnsi="Verdana"/>
          <w:i/>
          <w:iCs/>
          <w:sz w:val="18"/>
          <w:szCs w:val="18"/>
        </w:rPr>
        <w:t>Resilience</w:t>
      </w:r>
      <w:proofErr w:type="spellEnd"/>
      <w:r w:rsidRPr="00CB6D88" w:rsidR="00A320FB">
        <w:rPr>
          <w:rFonts w:ascii="Verdana" w:hAnsi="Verdana"/>
          <w:i/>
          <w:iCs/>
          <w:sz w:val="18"/>
          <w:szCs w:val="18"/>
        </w:rPr>
        <w:t xml:space="preserve"> Act</w:t>
      </w:r>
      <w:r w:rsidRPr="00F50299" w:rsidR="00A320FB">
        <w:rPr>
          <w:rFonts w:ascii="Verdana" w:hAnsi="Verdana"/>
          <w:sz w:val="18"/>
          <w:szCs w:val="18"/>
        </w:rPr>
        <w:t>)</w:t>
      </w:r>
      <w:r w:rsidR="00A320FB">
        <w:rPr>
          <w:rFonts w:ascii="Verdana" w:hAnsi="Verdana"/>
          <w:sz w:val="18"/>
          <w:szCs w:val="18"/>
        </w:rPr>
        <w:t xml:space="preserve"> </w:t>
      </w:r>
      <w:r w:rsidRPr="00CF5E24" w:rsidR="009116C9">
        <w:rPr>
          <w:rFonts w:ascii="Verdana" w:hAnsi="Verdana"/>
          <w:sz w:val="18"/>
          <w:szCs w:val="18"/>
        </w:rPr>
        <w:t>aan de daarin gestelde cybersecurity-eisen voldoen (en draadloos verbonden apparaten vanaf augustus 2025 op grond van de gedelegeerde handeling onder de</w:t>
      </w:r>
      <w:r w:rsidRPr="00A320FB" w:rsidR="00A320FB">
        <w:rPr>
          <w:rFonts w:ascii="Verdana" w:hAnsi="Verdana"/>
          <w:sz w:val="18"/>
          <w:szCs w:val="18"/>
        </w:rPr>
        <w:t xml:space="preserve"> </w:t>
      </w:r>
      <w:r w:rsidRPr="00F50299" w:rsidR="00A320FB">
        <w:rPr>
          <w:rFonts w:ascii="Verdana" w:hAnsi="Verdana"/>
          <w:sz w:val="18"/>
          <w:szCs w:val="18"/>
        </w:rPr>
        <w:t>zogeheten Radioapparatenrichtlijn</w:t>
      </w:r>
      <w:r w:rsidRPr="00CF5E24" w:rsidR="009116C9">
        <w:rPr>
          <w:rFonts w:ascii="Verdana" w:hAnsi="Verdana"/>
          <w:sz w:val="18"/>
          <w:szCs w:val="18"/>
        </w:rPr>
        <w:t xml:space="preserve">). Deze eisen gelden voor fabrikanten, importeurs en distributeurs van </w:t>
      </w:r>
      <w:r w:rsidR="008D1480">
        <w:rPr>
          <w:rFonts w:ascii="Verdana" w:hAnsi="Verdana"/>
          <w:sz w:val="18"/>
          <w:szCs w:val="18"/>
        </w:rPr>
        <w:t xml:space="preserve">de volgende </w:t>
      </w:r>
      <w:r w:rsidRPr="00CF5E24" w:rsidR="009116C9">
        <w:rPr>
          <w:rFonts w:ascii="Verdana" w:hAnsi="Verdana"/>
          <w:sz w:val="18"/>
          <w:szCs w:val="18"/>
        </w:rPr>
        <w:t xml:space="preserve">producten: hardware, software én los aangeboden componenten voor deze producten. Deze eisen zullen behulpzaam zijn bij de beveiliging van de toeleveringsketen van essentiële </w:t>
      </w:r>
      <w:r w:rsidR="005D0BEB">
        <w:rPr>
          <w:rFonts w:ascii="Verdana" w:hAnsi="Verdana"/>
          <w:sz w:val="18"/>
          <w:szCs w:val="18"/>
        </w:rPr>
        <w:t xml:space="preserve">entiteiten </w:t>
      </w:r>
      <w:r w:rsidRPr="00CF5E24" w:rsidR="009116C9">
        <w:rPr>
          <w:rFonts w:ascii="Verdana" w:hAnsi="Verdana"/>
          <w:sz w:val="18"/>
          <w:szCs w:val="18"/>
        </w:rPr>
        <w:t xml:space="preserve">en belangrijke entiteiten. Bij de aankoop van producten kunnen afnemers, waaronder deze entiteiten, hogere eisen stellen dan waartoe de Verordening </w:t>
      </w:r>
      <w:r w:rsidR="00A320FB">
        <w:rPr>
          <w:rFonts w:ascii="Verdana" w:hAnsi="Verdana"/>
          <w:sz w:val="18"/>
          <w:szCs w:val="18"/>
        </w:rPr>
        <w:t>c</w:t>
      </w:r>
      <w:r w:rsidRPr="00CF5E24" w:rsidR="009116C9">
        <w:rPr>
          <w:rFonts w:ascii="Verdana" w:hAnsi="Verdana"/>
          <w:sz w:val="18"/>
          <w:szCs w:val="18"/>
        </w:rPr>
        <w:t>yberweerbaarheid de fabrikant verplicht.</w:t>
      </w:r>
      <w:r w:rsidR="009116C9">
        <w:rPr>
          <w:rFonts w:ascii="Verdana" w:hAnsi="Verdana"/>
          <w:sz w:val="18"/>
          <w:szCs w:val="18"/>
        </w:rPr>
        <w:t xml:space="preserve"> </w:t>
      </w:r>
    </w:p>
    <w:p w:rsidR="009116C9" w:rsidP="00BB0831" w:rsidRDefault="009116C9" w14:paraId="3D612906" w14:textId="77777777">
      <w:pPr>
        <w:widowControl w:val="0"/>
        <w:autoSpaceDE w:val="0"/>
        <w:autoSpaceDN w:val="0"/>
        <w:adjustRightInd w:val="0"/>
        <w:spacing w:after="0" w:line="240" w:lineRule="auto"/>
        <w:rPr>
          <w:rFonts w:ascii="Verdana" w:hAnsi="Verdana"/>
          <w:i/>
          <w:iCs/>
          <w:sz w:val="18"/>
          <w:szCs w:val="18"/>
        </w:rPr>
      </w:pPr>
    </w:p>
    <w:p w:rsidRPr="003561D4" w:rsidR="00BB0831" w:rsidP="00BB0831" w:rsidRDefault="00887DC0" w14:paraId="6A8E1BDE" w14:textId="43B40002">
      <w:pPr>
        <w:widowControl w:val="0"/>
        <w:autoSpaceDE w:val="0"/>
        <w:autoSpaceDN w:val="0"/>
        <w:adjustRightInd w:val="0"/>
        <w:spacing w:after="0" w:line="240" w:lineRule="auto"/>
        <w:rPr>
          <w:rFonts w:ascii="Verdana" w:hAnsi="Verdana"/>
          <w:i/>
          <w:iCs/>
          <w:sz w:val="18"/>
          <w:szCs w:val="18"/>
        </w:rPr>
      </w:pPr>
      <w:r>
        <w:rPr>
          <w:rFonts w:ascii="Verdana" w:hAnsi="Verdana"/>
          <w:i/>
          <w:iCs/>
          <w:sz w:val="18"/>
          <w:szCs w:val="18"/>
        </w:rPr>
        <w:t>L</w:t>
      </w:r>
      <w:r w:rsidR="00BB0831">
        <w:rPr>
          <w:rFonts w:ascii="Verdana" w:hAnsi="Verdana"/>
          <w:i/>
          <w:iCs/>
          <w:sz w:val="18"/>
          <w:szCs w:val="18"/>
        </w:rPr>
        <w:t>agere regelgeving</w:t>
      </w:r>
    </w:p>
    <w:p w:rsidRPr="006D5106" w:rsidR="00004D96" w:rsidP="006D5106" w:rsidRDefault="00B004D1" w14:paraId="1DDA7B92" w14:textId="67DC844F">
      <w:pPr>
        <w:pStyle w:val="Geenafstand"/>
        <w:rPr>
          <w:rFonts w:ascii="Verdana" w:hAnsi="Verdana"/>
          <w:sz w:val="18"/>
          <w:szCs w:val="18"/>
        </w:rPr>
      </w:pPr>
      <w:r w:rsidRPr="006D5106">
        <w:rPr>
          <w:rFonts w:ascii="Verdana" w:hAnsi="Verdana"/>
          <w:sz w:val="18"/>
          <w:szCs w:val="18"/>
        </w:rPr>
        <w:t xml:space="preserve">In artikel 21, vijfde lid, </w:t>
      </w:r>
      <w:proofErr w:type="spellStart"/>
      <w:r w:rsidRPr="006D5106">
        <w:rPr>
          <w:rFonts w:ascii="Verdana" w:hAnsi="Verdana"/>
          <w:sz w:val="18"/>
          <w:szCs w:val="18"/>
        </w:rPr>
        <w:t>Cbw</w:t>
      </w:r>
      <w:proofErr w:type="spellEnd"/>
      <w:r w:rsidRPr="006D5106">
        <w:rPr>
          <w:rFonts w:ascii="Verdana" w:hAnsi="Verdana"/>
          <w:sz w:val="18"/>
          <w:szCs w:val="18"/>
        </w:rPr>
        <w:t xml:space="preserve"> is bepaald dat bij of krachtens </w:t>
      </w:r>
      <w:proofErr w:type="spellStart"/>
      <w:r w:rsidRPr="006D5106">
        <w:rPr>
          <w:rFonts w:ascii="Verdana" w:hAnsi="Verdana"/>
          <w:sz w:val="18"/>
          <w:szCs w:val="18"/>
        </w:rPr>
        <w:t>amvb</w:t>
      </w:r>
      <w:proofErr w:type="spellEnd"/>
      <w:r w:rsidRPr="006D5106">
        <w:rPr>
          <w:rFonts w:ascii="Verdana" w:hAnsi="Verdana"/>
          <w:sz w:val="18"/>
          <w:szCs w:val="18"/>
        </w:rPr>
        <w:t xml:space="preserve"> regels worden gesteld over de maatregelen die essentiële entiteiten en belangrijke entiteiten in het kader van de zorgplicht moeten nemen en dat eisen kunnen worden gesteld aan die entiteiten met betrekking tot die maatregelen. Deze delegatiegrondslag biedt </w:t>
      </w:r>
      <w:r w:rsidRPr="006D5106" w:rsidR="00004D96">
        <w:rPr>
          <w:rFonts w:ascii="Verdana" w:hAnsi="Verdana"/>
          <w:sz w:val="18"/>
          <w:szCs w:val="18"/>
        </w:rPr>
        <w:t xml:space="preserve">hiermee ook </w:t>
      </w:r>
      <w:r w:rsidRPr="006D5106">
        <w:rPr>
          <w:rFonts w:ascii="Verdana" w:hAnsi="Verdana"/>
          <w:sz w:val="18"/>
          <w:szCs w:val="18"/>
        </w:rPr>
        <w:t xml:space="preserve">de mogelijkheid om in een </w:t>
      </w:r>
      <w:proofErr w:type="spellStart"/>
      <w:r w:rsidRPr="006D5106">
        <w:rPr>
          <w:rFonts w:ascii="Verdana" w:hAnsi="Verdana"/>
          <w:sz w:val="18"/>
          <w:szCs w:val="18"/>
        </w:rPr>
        <w:t>amvb</w:t>
      </w:r>
      <w:proofErr w:type="spellEnd"/>
      <w:r w:rsidRPr="006D5106">
        <w:rPr>
          <w:rFonts w:ascii="Verdana" w:hAnsi="Verdana"/>
          <w:sz w:val="18"/>
          <w:szCs w:val="18"/>
        </w:rPr>
        <w:t xml:space="preserve"> te voorzien in een grondslag om bij regeling van de vakminister, indien nodig, </w:t>
      </w:r>
      <w:r w:rsidR="00A321AD">
        <w:rPr>
          <w:rFonts w:ascii="Verdana" w:hAnsi="Verdana"/>
          <w:sz w:val="18"/>
          <w:szCs w:val="18"/>
        </w:rPr>
        <w:t>(</w:t>
      </w:r>
      <w:r w:rsidRPr="006D5106">
        <w:rPr>
          <w:rFonts w:ascii="Verdana" w:hAnsi="Verdana"/>
          <w:sz w:val="18"/>
          <w:szCs w:val="18"/>
        </w:rPr>
        <w:t>sector</w:t>
      </w:r>
      <w:r w:rsidR="00A321AD">
        <w:rPr>
          <w:rFonts w:ascii="Verdana" w:hAnsi="Verdana"/>
          <w:sz w:val="18"/>
          <w:szCs w:val="18"/>
        </w:rPr>
        <w:t>)</w:t>
      </w:r>
      <w:r w:rsidRPr="006D5106">
        <w:rPr>
          <w:rFonts w:ascii="Verdana" w:hAnsi="Verdana"/>
          <w:sz w:val="18"/>
          <w:szCs w:val="18"/>
        </w:rPr>
        <w:t xml:space="preserve">specifieke regels te stellen over de maatregelen of </w:t>
      </w:r>
      <w:r w:rsidR="00A321AD">
        <w:rPr>
          <w:rFonts w:ascii="Verdana" w:hAnsi="Verdana"/>
          <w:sz w:val="18"/>
          <w:szCs w:val="18"/>
        </w:rPr>
        <w:t>(</w:t>
      </w:r>
      <w:r w:rsidRPr="006D5106">
        <w:rPr>
          <w:rFonts w:ascii="Verdana" w:hAnsi="Verdana"/>
          <w:sz w:val="18"/>
          <w:szCs w:val="18"/>
        </w:rPr>
        <w:t>sector</w:t>
      </w:r>
      <w:r w:rsidR="00A321AD">
        <w:rPr>
          <w:rFonts w:ascii="Verdana" w:hAnsi="Verdana"/>
          <w:sz w:val="18"/>
          <w:szCs w:val="18"/>
        </w:rPr>
        <w:t>)</w:t>
      </w:r>
      <w:r w:rsidRPr="006D5106">
        <w:rPr>
          <w:rFonts w:ascii="Verdana" w:hAnsi="Verdana"/>
          <w:sz w:val="18"/>
          <w:szCs w:val="18"/>
        </w:rPr>
        <w:t>specifieke eisen te stellen aan die entiteiten met betrekking tot de hiervoor bedoelde maatregelen.</w:t>
      </w:r>
      <w:r w:rsidRPr="006D5106" w:rsidR="008265E7">
        <w:rPr>
          <w:rFonts w:ascii="Verdana" w:hAnsi="Verdana"/>
          <w:sz w:val="18"/>
          <w:szCs w:val="18"/>
        </w:rPr>
        <w:t xml:space="preserve"> </w:t>
      </w:r>
    </w:p>
    <w:p w:rsidRPr="006D5106" w:rsidR="00004D96" w:rsidP="006D5106" w:rsidRDefault="00004D96" w14:paraId="39FA25DC" w14:textId="77777777">
      <w:pPr>
        <w:pStyle w:val="Geenafstand"/>
        <w:rPr>
          <w:rFonts w:ascii="Verdana" w:hAnsi="Verdana"/>
          <w:sz w:val="18"/>
          <w:szCs w:val="18"/>
        </w:rPr>
      </w:pPr>
      <w:r w:rsidRPr="006D5106">
        <w:rPr>
          <w:rFonts w:ascii="Verdana" w:hAnsi="Verdana"/>
          <w:sz w:val="18"/>
          <w:szCs w:val="18"/>
        </w:rPr>
        <w:t xml:space="preserve">De delegatiegrondslag in artikel 21, vijfde lid, </w:t>
      </w:r>
      <w:proofErr w:type="spellStart"/>
      <w:r w:rsidRPr="006D5106">
        <w:rPr>
          <w:rFonts w:ascii="Verdana" w:hAnsi="Verdana"/>
          <w:sz w:val="18"/>
          <w:szCs w:val="18"/>
        </w:rPr>
        <w:t>Cbw</w:t>
      </w:r>
      <w:proofErr w:type="spellEnd"/>
      <w:r w:rsidRPr="006D5106">
        <w:rPr>
          <w:rFonts w:ascii="Verdana" w:hAnsi="Verdana"/>
          <w:sz w:val="18"/>
          <w:szCs w:val="18"/>
        </w:rPr>
        <w:t xml:space="preserve"> biedt onder meer de mogelijkheid om te regelen dat de betrokken vakminister aan een essentiële entiteit of een belangrijke entiteit de verplichting kan opleggen om in onderdelen van diens netwerk- en informatiesystemen producten of diensten van specifieke leveranciers te weren, indien dat naar zijn oordeel voor het beheersen van risico’s voor de beveiliging van die systemen noodzakelijk is.</w:t>
      </w:r>
    </w:p>
    <w:p w:rsidRPr="003F5536" w:rsidR="00BB0831" w:rsidP="00D3321F" w:rsidRDefault="00004D96" w14:paraId="0DF30DC6" w14:textId="5D44A56E">
      <w:pPr>
        <w:widowControl w:val="0"/>
        <w:autoSpaceDE w:val="0"/>
        <w:autoSpaceDN w:val="0"/>
        <w:adjustRightInd w:val="0"/>
        <w:spacing w:after="0" w:line="240" w:lineRule="auto"/>
        <w:rPr>
          <w:rFonts w:ascii="Verdana" w:hAnsi="Verdana"/>
          <w:sz w:val="18"/>
          <w:szCs w:val="18"/>
        </w:rPr>
      </w:pPr>
      <w:r>
        <w:rPr>
          <w:rFonts w:ascii="Verdana" w:hAnsi="Verdana"/>
          <w:sz w:val="18"/>
          <w:szCs w:val="18"/>
        </w:rPr>
        <w:t>Daarnaast</w:t>
      </w:r>
      <w:r w:rsidRPr="003F5536" w:rsidR="00BB0831">
        <w:rPr>
          <w:rFonts w:ascii="Verdana" w:hAnsi="Verdana"/>
          <w:sz w:val="18"/>
          <w:szCs w:val="18"/>
        </w:rPr>
        <w:t xml:space="preserve"> biedt </w:t>
      </w:r>
      <w:r>
        <w:rPr>
          <w:rFonts w:ascii="Verdana" w:hAnsi="Verdana"/>
          <w:sz w:val="18"/>
          <w:szCs w:val="18"/>
        </w:rPr>
        <w:t xml:space="preserve">het </w:t>
      </w:r>
      <w:r w:rsidRPr="003F5536" w:rsidR="00BB0831">
        <w:rPr>
          <w:rFonts w:ascii="Verdana" w:hAnsi="Verdana"/>
          <w:sz w:val="18"/>
          <w:szCs w:val="18"/>
        </w:rPr>
        <w:t xml:space="preserve">ook de mogelijkheid om aan essentiële </w:t>
      </w:r>
      <w:r w:rsidR="0013183F">
        <w:rPr>
          <w:rFonts w:ascii="Verdana" w:hAnsi="Verdana"/>
          <w:sz w:val="18"/>
          <w:szCs w:val="18"/>
        </w:rPr>
        <w:t xml:space="preserve">entiteiten </w:t>
      </w:r>
      <w:r w:rsidRPr="003F5536" w:rsidR="00BB0831">
        <w:rPr>
          <w:rFonts w:ascii="Verdana" w:hAnsi="Verdana"/>
          <w:sz w:val="18"/>
          <w:szCs w:val="18"/>
        </w:rPr>
        <w:t xml:space="preserve">en belangrijke entiteiten op te leggen dat zij bepaalde ICT-producten, ICT-diensten en ICT-processen moeten gebruiken die zijn gecertificeerd op grond van artikel 49 van de </w:t>
      </w:r>
      <w:r w:rsidR="00AB4F60">
        <w:rPr>
          <w:rFonts w:ascii="Verdana" w:hAnsi="Verdana"/>
          <w:sz w:val="18"/>
          <w:szCs w:val="18"/>
        </w:rPr>
        <w:t xml:space="preserve">zogeheten </w:t>
      </w:r>
      <w:r w:rsidRPr="003F5536" w:rsidR="00BB0831">
        <w:rPr>
          <w:rFonts w:ascii="Verdana" w:hAnsi="Verdana"/>
          <w:sz w:val="18"/>
          <w:szCs w:val="18"/>
        </w:rPr>
        <w:t>cyberbeveiligingsverordening</w:t>
      </w:r>
      <w:r w:rsidR="00AB4F60">
        <w:rPr>
          <w:rStyle w:val="Voetnootmarkering"/>
          <w:rFonts w:ascii="Verdana" w:hAnsi="Verdana"/>
          <w:sz w:val="18"/>
          <w:szCs w:val="18"/>
        </w:rPr>
        <w:footnoteReference w:id="92"/>
      </w:r>
      <w:r w:rsidRPr="003F5536" w:rsidR="00BB0831">
        <w:rPr>
          <w:rFonts w:ascii="Verdana" w:hAnsi="Verdana"/>
          <w:sz w:val="18"/>
          <w:szCs w:val="18"/>
        </w:rPr>
        <w:t xml:space="preserve">. Dit ter implementatie van artikel 24, eerste lid, NIS2-richtlijn. Op grond van artikel 24, tweede lid, NIS2-richtlijn heeft </w:t>
      </w:r>
      <w:r w:rsidR="00B009CA">
        <w:rPr>
          <w:rFonts w:ascii="Verdana" w:hAnsi="Verdana"/>
          <w:sz w:val="18"/>
          <w:szCs w:val="18"/>
        </w:rPr>
        <w:t xml:space="preserve">daarnaast ook </w:t>
      </w:r>
      <w:r w:rsidRPr="003F5536" w:rsidR="00BB0831">
        <w:rPr>
          <w:rFonts w:ascii="Verdana" w:hAnsi="Verdana"/>
          <w:sz w:val="18"/>
          <w:szCs w:val="18"/>
        </w:rPr>
        <w:t xml:space="preserve">de Europese Commissie een vergelijkbare bevoegdheid. Zij kan via gedelegeerde handelingen aan essentiële </w:t>
      </w:r>
      <w:r w:rsidR="0013183F">
        <w:rPr>
          <w:rFonts w:ascii="Verdana" w:hAnsi="Verdana"/>
          <w:sz w:val="18"/>
          <w:szCs w:val="18"/>
        </w:rPr>
        <w:t xml:space="preserve">entiteiten </w:t>
      </w:r>
      <w:r w:rsidRPr="003F5536" w:rsidR="00BB0831">
        <w:rPr>
          <w:rFonts w:ascii="Verdana" w:hAnsi="Verdana"/>
          <w:sz w:val="18"/>
          <w:szCs w:val="18"/>
        </w:rPr>
        <w:t xml:space="preserve">en belangrijke entiteiten opleggen dat zij gebruik moeten maken van bepaalde ICT-producten, ICT-diensten en ICT-processen of een certificaat moeten verkrijgen die ook op grond van artikel 49 cyberbeveiligingsverordening is vastgesteld. </w:t>
      </w:r>
      <w:r w:rsidRPr="00B009CA" w:rsidR="00B009CA">
        <w:rPr>
          <w:rFonts w:ascii="Verdana" w:hAnsi="Verdana"/>
          <w:sz w:val="18"/>
          <w:szCs w:val="18"/>
        </w:rPr>
        <w:t>Indien de Europese Commissie een niet</w:t>
      </w:r>
      <w:r w:rsidR="00B009CA">
        <w:rPr>
          <w:rFonts w:ascii="Verdana" w:hAnsi="Verdana"/>
          <w:sz w:val="18"/>
          <w:szCs w:val="18"/>
        </w:rPr>
        <w:t xml:space="preserve"> </w:t>
      </w:r>
      <w:r w:rsidRPr="00B009CA" w:rsidR="00B009CA">
        <w:rPr>
          <w:rFonts w:ascii="Verdana" w:hAnsi="Verdana"/>
          <w:sz w:val="18"/>
          <w:szCs w:val="18"/>
        </w:rPr>
        <w:t>rechtstreeks</w:t>
      </w:r>
      <w:r w:rsidR="00B009CA">
        <w:rPr>
          <w:rFonts w:ascii="Verdana" w:hAnsi="Verdana"/>
          <w:sz w:val="18"/>
          <w:szCs w:val="18"/>
        </w:rPr>
        <w:t xml:space="preserve"> </w:t>
      </w:r>
      <w:r w:rsidRPr="00B009CA" w:rsidR="00B009CA">
        <w:rPr>
          <w:rFonts w:ascii="Verdana" w:hAnsi="Verdana"/>
          <w:sz w:val="18"/>
          <w:szCs w:val="18"/>
        </w:rPr>
        <w:t xml:space="preserve">werkende gedelegeerde handeling vaststelt biedt de delegatiegrondslag van artikel 21, vijfde lid, </w:t>
      </w:r>
      <w:proofErr w:type="spellStart"/>
      <w:r w:rsidRPr="00B009CA" w:rsidR="00B009CA">
        <w:rPr>
          <w:rFonts w:ascii="Verdana" w:hAnsi="Verdana"/>
          <w:sz w:val="18"/>
          <w:szCs w:val="18"/>
        </w:rPr>
        <w:t>Cbw</w:t>
      </w:r>
      <w:proofErr w:type="spellEnd"/>
      <w:r w:rsidRPr="00B009CA" w:rsidR="00B009CA">
        <w:rPr>
          <w:rFonts w:ascii="Verdana" w:hAnsi="Verdana"/>
          <w:sz w:val="18"/>
          <w:szCs w:val="18"/>
        </w:rPr>
        <w:t xml:space="preserve">, de ruimte om dit in de </w:t>
      </w:r>
      <w:proofErr w:type="spellStart"/>
      <w:r w:rsidRPr="00B009CA" w:rsidR="00B009CA">
        <w:rPr>
          <w:rFonts w:ascii="Verdana" w:hAnsi="Verdana"/>
          <w:sz w:val="18"/>
          <w:szCs w:val="18"/>
        </w:rPr>
        <w:t>Cbw</w:t>
      </w:r>
      <w:proofErr w:type="spellEnd"/>
      <w:r w:rsidRPr="00B009CA" w:rsidR="00B009CA">
        <w:rPr>
          <w:rFonts w:ascii="Verdana" w:hAnsi="Verdana"/>
          <w:sz w:val="18"/>
          <w:szCs w:val="18"/>
        </w:rPr>
        <w:t xml:space="preserve"> te implementeren.</w:t>
      </w:r>
    </w:p>
    <w:p w:rsidRPr="00FF46E3" w:rsidR="00BB0831" w:rsidP="00BB0831" w:rsidRDefault="00BB0831" w14:paraId="40641077" w14:textId="7D68CFCF">
      <w:pPr>
        <w:widowControl w:val="0"/>
        <w:autoSpaceDE w:val="0"/>
        <w:autoSpaceDN w:val="0"/>
        <w:adjustRightInd w:val="0"/>
        <w:spacing w:after="0" w:line="240" w:lineRule="auto"/>
        <w:rPr>
          <w:rFonts w:ascii="Verdana" w:hAnsi="Verdana"/>
          <w:sz w:val="18"/>
          <w:szCs w:val="18"/>
        </w:rPr>
      </w:pPr>
      <w:r w:rsidRPr="00CB6D88">
        <w:rPr>
          <w:rFonts w:ascii="Verdana" w:hAnsi="Verdana"/>
          <w:sz w:val="18"/>
          <w:szCs w:val="18"/>
        </w:rPr>
        <w:t xml:space="preserve">Mocht de wens bestaan om aan entiteiten uit een bepaalde sector verplichte certificering op te leggen, dan zal moeten worden beoordeeld of dit beter op nationaal niveau </w:t>
      </w:r>
      <w:r w:rsidRPr="00CB6D88" w:rsidR="00C92C14">
        <w:rPr>
          <w:rFonts w:ascii="Verdana" w:hAnsi="Verdana"/>
          <w:sz w:val="18"/>
          <w:szCs w:val="18"/>
        </w:rPr>
        <w:t>(</w:t>
      </w:r>
      <w:r w:rsidRPr="00CB6D88">
        <w:rPr>
          <w:rFonts w:ascii="Verdana" w:hAnsi="Verdana"/>
          <w:sz w:val="18"/>
          <w:szCs w:val="18"/>
        </w:rPr>
        <w:t xml:space="preserve">via de delegatiegrondslag van artikel </w:t>
      </w:r>
      <w:r w:rsidRPr="00CB6D88" w:rsidR="00C92C14">
        <w:rPr>
          <w:rFonts w:ascii="Verdana" w:hAnsi="Verdana"/>
          <w:sz w:val="18"/>
          <w:szCs w:val="18"/>
        </w:rPr>
        <w:t xml:space="preserve">21, vijfde lid, </w:t>
      </w:r>
      <w:proofErr w:type="spellStart"/>
      <w:r w:rsidRPr="00CB6D88">
        <w:rPr>
          <w:rFonts w:ascii="Verdana" w:hAnsi="Verdana"/>
          <w:sz w:val="18"/>
          <w:szCs w:val="18"/>
        </w:rPr>
        <w:t>Cbw</w:t>
      </w:r>
      <w:proofErr w:type="spellEnd"/>
      <w:r w:rsidRPr="00CB6D88" w:rsidR="00C92C14">
        <w:rPr>
          <w:rFonts w:ascii="Verdana" w:hAnsi="Verdana"/>
          <w:sz w:val="18"/>
          <w:szCs w:val="18"/>
        </w:rPr>
        <w:t>)</w:t>
      </w:r>
      <w:r w:rsidRPr="00CB6D88">
        <w:rPr>
          <w:rFonts w:ascii="Verdana" w:hAnsi="Verdana"/>
          <w:sz w:val="18"/>
          <w:szCs w:val="18"/>
        </w:rPr>
        <w:t xml:space="preserve"> of via de gedelegeerde handelingen van de Europese Commissie </w:t>
      </w:r>
      <w:r w:rsidRPr="00CB6D88" w:rsidR="00C92C14">
        <w:rPr>
          <w:rFonts w:ascii="Verdana" w:hAnsi="Verdana"/>
          <w:sz w:val="18"/>
          <w:szCs w:val="18"/>
        </w:rPr>
        <w:t>(</w:t>
      </w:r>
      <w:r w:rsidRPr="00CB6D88">
        <w:rPr>
          <w:rFonts w:ascii="Verdana" w:hAnsi="Verdana"/>
          <w:sz w:val="18"/>
          <w:szCs w:val="18"/>
        </w:rPr>
        <w:t>bedoeld in artikel 24, tweede lid, NIS2-richtlijn</w:t>
      </w:r>
      <w:r w:rsidRPr="00CB6D88" w:rsidR="00C92C14">
        <w:rPr>
          <w:rFonts w:ascii="Verdana" w:hAnsi="Verdana"/>
          <w:sz w:val="18"/>
          <w:szCs w:val="18"/>
        </w:rPr>
        <w:t>) kan worden geregeld</w:t>
      </w:r>
      <w:r w:rsidRPr="00CB6D88">
        <w:rPr>
          <w:rFonts w:ascii="Verdana" w:hAnsi="Verdana"/>
          <w:sz w:val="18"/>
          <w:szCs w:val="18"/>
        </w:rPr>
        <w:t>. Een belangrijke overweging om het op Europees niveau te regelen kan zijn</w:t>
      </w:r>
      <w:r w:rsidRPr="00CB6D88" w:rsidR="00C92C14">
        <w:rPr>
          <w:rFonts w:ascii="Verdana" w:hAnsi="Verdana"/>
          <w:sz w:val="18"/>
          <w:szCs w:val="18"/>
        </w:rPr>
        <w:t>:</w:t>
      </w:r>
      <w:r w:rsidRPr="00CB6D88">
        <w:rPr>
          <w:rFonts w:ascii="Verdana" w:hAnsi="Verdana"/>
          <w:sz w:val="18"/>
          <w:szCs w:val="18"/>
        </w:rPr>
        <w:t xml:space="preserve"> het creëren van een gelijk speelveld voor sectoren die internationaal georiënteerd zijn. </w:t>
      </w:r>
      <w:r w:rsidRPr="00C92C14" w:rsidR="003805C7">
        <w:rPr>
          <w:rFonts w:ascii="Verdana" w:hAnsi="Verdana"/>
          <w:sz w:val="18"/>
          <w:szCs w:val="18"/>
        </w:rPr>
        <w:t xml:space="preserve">Mocht dit laatste het geval zijn, dan kan Nederland hiervoor internationaal pleiten, maar in hoeverre dit kan worden gerealiseerd hangt ook af van de wens van de </w:t>
      </w:r>
      <w:r w:rsidRPr="00C92C14" w:rsidR="00877E93">
        <w:rPr>
          <w:rFonts w:ascii="Verdana" w:hAnsi="Verdana"/>
          <w:sz w:val="18"/>
          <w:szCs w:val="18"/>
        </w:rPr>
        <w:t xml:space="preserve">Europese </w:t>
      </w:r>
      <w:r w:rsidRPr="00C92C14" w:rsidR="003805C7">
        <w:rPr>
          <w:rFonts w:ascii="Verdana" w:hAnsi="Verdana"/>
          <w:sz w:val="18"/>
          <w:szCs w:val="18"/>
        </w:rPr>
        <w:t xml:space="preserve">Commissie en andere lidstaten om gebruik te maken van dit certificeringsinstrument op Europees niveau. </w:t>
      </w:r>
      <w:r w:rsidRPr="00CB6D88">
        <w:rPr>
          <w:rFonts w:ascii="Verdana" w:hAnsi="Verdana"/>
          <w:sz w:val="18"/>
          <w:szCs w:val="18"/>
        </w:rPr>
        <w:t xml:space="preserve">Voor </w:t>
      </w:r>
      <w:r w:rsidRPr="00CB6D88" w:rsidR="00C92C14">
        <w:rPr>
          <w:rFonts w:ascii="Verdana" w:hAnsi="Verdana"/>
          <w:sz w:val="18"/>
          <w:szCs w:val="18"/>
        </w:rPr>
        <w:t xml:space="preserve">de </w:t>
      </w:r>
      <w:r w:rsidRPr="00CB6D88">
        <w:rPr>
          <w:rFonts w:ascii="Verdana" w:hAnsi="Verdana"/>
          <w:sz w:val="18"/>
          <w:szCs w:val="18"/>
        </w:rPr>
        <w:t xml:space="preserve">sectoren die vooral nationaal zijn georganiseerd zal een nationale invulling van de verplichting meer voor de hand liggen. Bij de overweging om een certificeringsschema op grond van artikel 49 cyberbeveiligingsverordening verplicht te stellen moet worden beoordeeld of het schema geschikt is om de (vermoedelijke) conformiteit met bepaalde eisen van de zorgplicht uit de </w:t>
      </w:r>
      <w:proofErr w:type="spellStart"/>
      <w:r w:rsidRPr="00CB6D88">
        <w:rPr>
          <w:rFonts w:ascii="Verdana" w:hAnsi="Verdana"/>
          <w:sz w:val="18"/>
          <w:szCs w:val="18"/>
        </w:rPr>
        <w:t>Cbw</w:t>
      </w:r>
      <w:proofErr w:type="spellEnd"/>
      <w:r w:rsidRPr="00CB6D88">
        <w:rPr>
          <w:rFonts w:ascii="Verdana" w:hAnsi="Verdana"/>
          <w:sz w:val="18"/>
          <w:szCs w:val="18"/>
        </w:rPr>
        <w:t xml:space="preserve"> aan te tonen. Tot slot, indien er wordt gekozen voor verplichte certificering zal onder andere rekening moeten worden houden met de gevolgen die de maatregelen hebben voor de fabrikanten of aanbieders van zulke ICT-producten, -diensten of -processen en voor de gebruikers in termen van de kosten van die maatregelen, evenals de maatschappelijke of economische voordelen die voortvloeien uit de verwachte betere beveiliging voor de beoogde ICT-producten, -diensten of -processen.</w:t>
      </w:r>
      <w:r w:rsidRPr="00C92C14" w:rsidR="002E10DC">
        <w:rPr>
          <w:rFonts w:ascii="Verdana" w:hAnsi="Verdana"/>
          <w:sz w:val="18"/>
          <w:szCs w:val="18"/>
        </w:rPr>
        <w:t xml:space="preserve"> Dit wordt in beoordeeld aan de hand van een regeldruktoets.</w:t>
      </w:r>
      <w:r w:rsidR="002E10DC">
        <w:rPr>
          <w:rFonts w:ascii="Verdana" w:hAnsi="Verdana"/>
          <w:sz w:val="18"/>
          <w:szCs w:val="18"/>
        </w:rPr>
        <w:t xml:space="preserve"> </w:t>
      </w:r>
    </w:p>
    <w:p w:rsidR="006D5132" w:rsidP="006D5132" w:rsidRDefault="006D5132" w14:paraId="035F5A05" w14:textId="43792563">
      <w:pPr>
        <w:widowControl w:val="0"/>
        <w:autoSpaceDE w:val="0"/>
        <w:autoSpaceDN w:val="0"/>
        <w:adjustRightInd w:val="0"/>
        <w:spacing w:after="0" w:line="240" w:lineRule="auto"/>
        <w:rPr>
          <w:rFonts w:ascii="Verdana" w:hAnsi="Verdana"/>
          <w:sz w:val="18"/>
          <w:szCs w:val="18"/>
        </w:rPr>
      </w:pPr>
      <w:r>
        <w:rPr>
          <w:rFonts w:ascii="Verdana" w:hAnsi="Verdana"/>
          <w:sz w:val="18"/>
          <w:szCs w:val="18"/>
        </w:rPr>
        <w:t>Bij het</w:t>
      </w:r>
      <w:r w:rsidR="00C92C14">
        <w:rPr>
          <w:rFonts w:ascii="Verdana" w:hAnsi="Verdana"/>
          <w:sz w:val="18"/>
          <w:szCs w:val="18"/>
        </w:rPr>
        <w:t xml:space="preserve"> in lagere regelgeving</w:t>
      </w:r>
      <w:r>
        <w:rPr>
          <w:rFonts w:ascii="Verdana" w:hAnsi="Verdana"/>
          <w:sz w:val="18"/>
          <w:szCs w:val="18"/>
        </w:rPr>
        <w:t xml:space="preserve"> stellen van </w:t>
      </w:r>
      <w:r w:rsidR="00C92C14">
        <w:rPr>
          <w:rFonts w:ascii="Verdana" w:hAnsi="Verdana"/>
          <w:sz w:val="18"/>
          <w:szCs w:val="18"/>
        </w:rPr>
        <w:t xml:space="preserve">regels over de maatregelen </w:t>
      </w:r>
      <w:r>
        <w:rPr>
          <w:rFonts w:ascii="Verdana" w:hAnsi="Verdana"/>
          <w:sz w:val="18"/>
          <w:szCs w:val="18"/>
        </w:rPr>
        <w:t xml:space="preserve">zal zoveel als mogelijk </w:t>
      </w:r>
      <w:r w:rsidRPr="008F2190">
        <w:rPr>
          <w:rFonts w:ascii="Verdana" w:hAnsi="Verdana"/>
          <w:sz w:val="18"/>
          <w:szCs w:val="18"/>
        </w:rPr>
        <w:t xml:space="preserve">rekening worden gehouden met bestaande normenkaders. Datzelfde geldt ook voor de door </w:t>
      </w:r>
      <w:proofErr w:type="spellStart"/>
      <w:r w:rsidRPr="008F2190">
        <w:rPr>
          <w:rFonts w:ascii="Verdana" w:hAnsi="Verdana"/>
          <w:sz w:val="18"/>
          <w:szCs w:val="18"/>
        </w:rPr>
        <w:t>Enisa</w:t>
      </w:r>
      <w:proofErr w:type="spellEnd"/>
      <w:r w:rsidRPr="008F2190">
        <w:rPr>
          <w:rFonts w:ascii="Verdana" w:hAnsi="Verdana"/>
          <w:sz w:val="18"/>
          <w:szCs w:val="18"/>
        </w:rPr>
        <w:t xml:space="preserve"> krachtens artikel 25 NIS2-richtlijn op te stellen richtsnoeren over technische gebieden die in het kader van de zorgplicht in acht moeten worden genomen én over de daarover reeds bestaande nationale en internationale normen. Met dat laatste wordt ook bevorderd dat partijen die Europees opereren zoveel als mogelijk te maken krijgen met een eenduidige invulling van de zorgplicht binnen de diverse lidstaten.</w:t>
      </w:r>
    </w:p>
    <w:p w:rsidR="00237E1A" w:rsidP="006D5132" w:rsidRDefault="00237E1A" w14:paraId="1B4B64F2" w14:textId="77777777">
      <w:pPr>
        <w:widowControl w:val="0"/>
        <w:autoSpaceDE w:val="0"/>
        <w:autoSpaceDN w:val="0"/>
        <w:adjustRightInd w:val="0"/>
        <w:spacing w:after="0" w:line="240" w:lineRule="auto"/>
        <w:rPr>
          <w:rFonts w:ascii="Verdana" w:hAnsi="Verdana"/>
          <w:sz w:val="18"/>
          <w:szCs w:val="18"/>
        </w:rPr>
      </w:pPr>
    </w:p>
    <w:p w:rsidRPr="00237E1A" w:rsidR="00237E1A" w:rsidP="006D5132" w:rsidRDefault="00237E1A" w14:paraId="40CF7E11" w14:textId="3C88F5B0">
      <w:pPr>
        <w:widowControl w:val="0"/>
        <w:autoSpaceDE w:val="0"/>
        <w:autoSpaceDN w:val="0"/>
        <w:adjustRightInd w:val="0"/>
        <w:spacing w:after="0" w:line="240" w:lineRule="auto"/>
        <w:rPr>
          <w:rFonts w:ascii="Verdana" w:hAnsi="Verdana"/>
          <w:i/>
          <w:iCs/>
          <w:sz w:val="18"/>
          <w:szCs w:val="18"/>
        </w:rPr>
      </w:pPr>
      <w:bookmarkStart w:name="_Hlk198132166" w:id="267"/>
      <w:r>
        <w:rPr>
          <w:rFonts w:ascii="Verdana" w:hAnsi="Verdana"/>
          <w:i/>
          <w:iCs/>
          <w:sz w:val="18"/>
          <w:szCs w:val="18"/>
        </w:rPr>
        <w:t>Assets</w:t>
      </w:r>
    </w:p>
    <w:p w:rsidR="00D8622A" w:rsidP="00551E02" w:rsidRDefault="00D8622A" w14:paraId="59A98A95" w14:textId="5F74F739">
      <w:pPr>
        <w:widowControl w:val="0"/>
        <w:autoSpaceDE w:val="0"/>
        <w:autoSpaceDN w:val="0"/>
        <w:adjustRightInd w:val="0"/>
        <w:spacing w:after="0" w:line="240" w:lineRule="auto"/>
        <w:rPr>
          <w:rFonts w:ascii="Verdana" w:hAnsi="Verdana"/>
          <w:sz w:val="18"/>
          <w:szCs w:val="18"/>
        </w:rPr>
      </w:pPr>
      <w:r>
        <w:rPr>
          <w:rFonts w:ascii="Verdana" w:hAnsi="Verdana"/>
          <w:sz w:val="18"/>
          <w:szCs w:val="18"/>
        </w:rPr>
        <w:t>A</w:t>
      </w:r>
      <w:r w:rsidRPr="00237E1A" w:rsidR="00237E1A">
        <w:rPr>
          <w:rFonts w:ascii="Verdana" w:hAnsi="Verdana"/>
          <w:sz w:val="18"/>
          <w:szCs w:val="18"/>
        </w:rPr>
        <w:t>rtikel 21</w:t>
      </w:r>
      <w:r>
        <w:rPr>
          <w:rFonts w:ascii="Verdana" w:hAnsi="Verdana"/>
          <w:sz w:val="18"/>
          <w:szCs w:val="18"/>
        </w:rPr>
        <w:t xml:space="preserve">, derde lid, onderdeel i, </w:t>
      </w:r>
      <w:proofErr w:type="spellStart"/>
      <w:r>
        <w:rPr>
          <w:rFonts w:ascii="Verdana" w:hAnsi="Verdana"/>
          <w:sz w:val="18"/>
          <w:szCs w:val="18"/>
        </w:rPr>
        <w:t>Cbw</w:t>
      </w:r>
      <w:proofErr w:type="spellEnd"/>
      <w:r>
        <w:rPr>
          <w:rFonts w:ascii="Verdana" w:hAnsi="Verdana"/>
          <w:sz w:val="18"/>
          <w:szCs w:val="18"/>
        </w:rPr>
        <w:t xml:space="preserve"> </w:t>
      </w:r>
      <w:r w:rsidR="00A0241B">
        <w:rPr>
          <w:rFonts w:ascii="Verdana" w:hAnsi="Verdana"/>
          <w:sz w:val="18"/>
          <w:szCs w:val="18"/>
        </w:rPr>
        <w:t>betreft de implementatie van artikel 21, tweede lid, onderdeel i, NIS2-richtlijn. Artikel 21, tweede lid, onderdeel i, NIS2-richtlijn bevat de term “activa”. Er is ervoor gekozen om in a</w:t>
      </w:r>
      <w:r w:rsidRPr="00237E1A" w:rsidR="00A0241B">
        <w:rPr>
          <w:rFonts w:ascii="Verdana" w:hAnsi="Verdana"/>
          <w:sz w:val="18"/>
          <w:szCs w:val="18"/>
        </w:rPr>
        <w:t>rtikel 21</w:t>
      </w:r>
      <w:r w:rsidR="00A0241B">
        <w:rPr>
          <w:rFonts w:ascii="Verdana" w:hAnsi="Verdana"/>
          <w:sz w:val="18"/>
          <w:szCs w:val="18"/>
        </w:rPr>
        <w:t xml:space="preserve">, derde lid, onderdeel i, </w:t>
      </w:r>
      <w:proofErr w:type="spellStart"/>
      <w:r w:rsidR="00A0241B">
        <w:rPr>
          <w:rFonts w:ascii="Verdana" w:hAnsi="Verdana"/>
          <w:sz w:val="18"/>
          <w:szCs w:val="18"/>
        </w:rPr>
        <w:t>Cbw</w:t>
      </w:r>
      <w:proofErr w:type="spellEnd"/>
      <w:r w:rsidR="00A0241B">
        <w:rPr>
          <w:rFonts w:ascii="Verdana" w:hAnsi="Verdana"/>
          <w:sz w:val="18"/>
          <w:szCs w:val="18"/>
        </w:rPr>
        <w:t xml:space="preserve"> </w:t>
      </w:r>
      <w:r w:rsidR="00EC02A1">
        <w:rPr>
          <w:rFonts w:ascii="Verdana" w:hAnsi="Verdana"/>
          <w:sz w:val="18"/>
          <w:szCs w:val="18"/>
        </w:rPr>
        <w:t>niet de term “activa” te hanteren, maar de term “assets”. Dit is namelijk in het</w:t>
      </w:r>
      <w:r w:rsidR="00A0241B">
        <w:rPr>
          <w:rFonts w:ascii="Verdana" w:hAnsi="Verdana"/>
          <w:sz w:val="18"/>
          <w:szCs w:val="18"/>
        </w:rPr>
        <w:t xml:space="preserve"> IT-domein een zeer gangbare term</w:t>
      </w:r>
      <w:r w:rsidR="00EC02A1">
        <w:rPr>
          <w:rFonts w:ascii="Verdana" w:hAnsi="Verdana"/>
          <w:sz w:val="18"/>
          <w:szCs w:val="18"/>
        </w:rPr>
        <w:t>. Bovendien is ui</w:t>
      </w:r>
      <w:r w:rsidR="00A0241B">
        <w:rPr>
          <w:rFonts w:ascii="Verdana" w:hAnsi="Verdana"/>
          <w:sz w:val="18"/>
          <w:szCs w:val="18"/>
        </w:rPr>
        <w:t>t de internetconsultatie gebleken dat de term “activa” tot veel onduidelijkheid leidt</w:t>
      </w:r>
      <w:r w:rsidR="00EC02A1">
        <w:rPr>
          <w:rFonts w:ascii="Verdana" w:hAnsi="Verdana"/>
          <w:sz w:val="18"/>
          <w:szCs w:val="18"/>
        </w:rPr>
        <w:t xml:space="preserve"> en dat de term “assets” duidelijker en meer passend is</w:t>
      </w:r>
      <w:r w:rsidR="00A0241B">
        <w:rPr>
          <w:rFonts w:ascii="Verdana" w:hAnsi="Verdana"/>
          <w:sz w:val="18"/>
          <w:szCs w:val="18"/>
        </w:rPr>
        <w:t xml:space="preserve">. Ten aanzien van de term “assets” wordt </w:t>
      </w:r>
      <w:r w:rsidR="00EC02A1">
        <w:rPr>
          <w:rFonts w:ascii="Verdana" w:hAnsi="Verdana"/>
          <w:sz w:val="18"/>
          <w:szCs w:val="18"/>
        </w:rPr>
        <w:t xml:space="preserve">overigens </w:t>
      </w:r>
      <w:r w:rsidR="00A0241B">
        <w:rPr>
          <w:rFonts w:ascii="Verdana" w:hAnsi="Verdana"/>
          <w:sz w:val="18"/>
          <w:szCs w:val="18"/>
        </w:rPr>
        <w:t xml:space="preserve">opgemerkt dat dit aansluit bij het in de Nederlandse versie van de </w:t>
      </w:r>
      <w:r w:rsidRPr="00237E1A" w:rsidR="00237E1A">
        <w:rPr>
          <w:rFonts w:ascii="Verdana" w:hAnsi="Verdana"/>
          <w:sz w:val="18"/>
          <w:szCs w:val="18"/>
        </w:rPr>
        <w:t xml:space="preserve">ISO 27001 </w:t>
      </w:r>
      <w:r w:rsidR="00551E02">
        <w:rPr>
          <w:rFonts w:ascii="Verdana" w:hAnsi="Verdana"/>
          <w:sz w:val="18"/>
          <w:szCs w:val="18"/>
        </w:rPr>
        <w:t xml:space="preserve">gebruikte </w:t>
      </w:r>
      <w:r w:rsidRPr="00237E1A" w:rsidR="00237E1A">
        <w:rPr>
          <w:rFonts w:ascii="Verdana" w:hAnsi="Verdana"/>
          <w:sz w:val="18"/>
          <w:szCs w:val="18"/>
        </w:rPr>
        <w:t>begrip “informatie en andere gerelateerde bedrijfsmiddelen”.</w:t>
      </w:r>
      <w:r w:rsidR="00551E02">
        <w:rPr>
          <w:rFonts w:ascii="Verdana" w:hAnsi="Verdana"/>
          <w:sz w:val="18"/>
          <w:szCs w:val="18"/>
        </w:rPr>
        <w:t xml:space="preserve"> </w:t>
      </w:r>
    </w:p>
    <w:bookmarkEnd w:id="267"/>
    <w:p w:rsidRPr="00C47325" w:rsidR="00CE333A" w:rsidP="00CE333A" w:rsidRDefault="00CE333A" w14:paraId="1E5F6F78" w14:textId="77777777">
      <w:pPr>
        <w:pStyle w:val="Geenafstand"/>
        <w:rPr>
          <w:rFonts w:ascii="Verdana" w:hAnsi="Verdana"/>
          <w:b/>
          <w:bCs/>
          <w:sz w:val="18"/>
          <w:szCs w:val="18"/>
        </w:rPr>
      </w:pPr>
    </w:p>
    <w:p w:rsidRPr="00BD3C4A" w:rsidR="00155394" w:rsidDel="00462384" w:rsidP="00155394" w:rsidRDefault="00155394" w14:paraId="52C1810C" w14:textId="199C278D">
      <w:pPr>
        <w:pStyle w:val="Geenafstand"/>
        <w:rPr>
          <w:rFonts w:ascii="Verdana" w:hAnsi="Verdana"/>
          <w:b/>
          <w:bCs/>
          <w:sz w:val="18"/>
          <w:szCs w:val="18"/>
        </w:rPr>
      </w:pPr>
      <w:bookmarkStart w:name="_Hlk149853094" w:id="268"/>
      <w:r w:rsidRPr="00BD3C4A" w:rsidDel="00462384">
        <w:rPr>
          <w:rFonts w:ascii="Verdana" w:hAnsi="Verdana"/>
          <w:b/>
          <w:bCs/>
          <w:sz w:val="18"/>
          <w:szCs w:val="18"/>
        </w:rPr>
        <w:t xml:space="preserve">Artikel </w:t>
      </w:r>
      <w:r>
        <w:rPr>
          <w:rFonts w:ascii="Verdana" w:hAnsi="Verdana"/>
          <w:b/>
          <w:bCs/>
          <w:sz w:val="18"/>
          <w:szCs w:val="18"/>
        </w:rPr>
        <w:t>22</w:t>
      </w:r>
      <w:r w:rsidRPr="00BD3C4A" w:rsidDel="00462384">
        <w:rPr>
          <w:rFonts w:ascii="Verdana" w:hAnsi="Verdana"/>
          <w:b/>
          <w:bCs/>
          <w:sz w:val="18"/>
          <w:szCs w:val="18"/>
        </w:rPr>
        <w:t xml:space="preserve"> (sectorspecifieke rechtshandelingen</w:t>
      </w:r>
      <w:r>
        <w:rPr>
          <w:rFonts w:ascii="Verdana" w:hAnsi="Verdana"/>
          <w:b/>
          <w:bCs/>
          <w:sz w:val="18"/>
          <w:szCs w:val="18"/>
        </w:rPr>
        <w:t xml:space="preserve"> zorgplicht</w:t>
      </w:r>
      <w:r w:rsidRPr="00BD3C4A" w:rsidDel="00462384">
        <w:rPr>
          <w:rFonts w:ascii="Verdana" w:hAnsi="Verdana"/>
          <w:b/>
          <w:bCs/>
          <w:sz w:val="18"/>
          <w:szCs w:val="18"/>
        </w:rPr>
        <w:t>)</w:t>
      </w:r>
    </w:p>
    <w:p w:rsidRPr="00C47325" w:rsidR="00CE333A" w:rsidP="00CE333A" w:rsidRDefault="00CE333A" w14:paraId="2215FDF4" w14:textId="77777777">
      <w:pPr>
        <w:pStyle w:val="Geenafstand"/>
        <w:rPr>
          <w:rFonts w:ascii="Verdana" w:hAnsi="Verdana"/>
          <w:sz w:val="18"/>
          <w:szCs w:val="18"/>
        </w:rPr>
      </w:pPr>
    </w:p>
    <w:p w:rsidRPr="00FF46E3" w:rsidR="000A5597" w:rsidP="000A5597" w:rsidRDefault="000A5597" w14:paraId="0DE9D484" w14:textId="77777777">
      <w:pPr>
        <w:pStyle w:val="Geenafstand"/>
        <w:rPr>
          <w:rFonts w:ascii="Verdana" w:hAnsi="Verdana"/>
          <w:sz w:val="18"/>
          <w:szCs w:val="18"/>
        </w:rPr>
      </w:pPr>
      <w:bookmarkStart w:name="_Hlk150079172" w:id="269"/>
      <w:r w:rsidRPr="00FF46E3">
        <w:rPr>
          <w:rFonts w:ascii="Verdana" w:hAnsi="Verdana"/>
          <w:sz w:val="18"/>
          <w:szCs w:val="18"/>
        </w:rPr>
        <w:t xml:space="preserve">In artikel 4 NIS2-richtlijn is bepaald dat als sectorspecifieke rechtshandelingen van de EU voorschrijven dat essentiële entiteiten of belangrijke entiteiten risicobeheersmaatregelen op het gebied van cyberbeveiliging moeten nemen of significante incidenten moeten melden, en </w:t>
      </w:r>
    </w:p>
    <w:p w:rsidRPr="00FF46E3" w:rsidR="000A5597" w:rsidP="000A5597" w:rsidRDefault="000A5597" w14:paraId="5E8A8B1E" w14:textId="7F49B03C">
      <w:pPr>
        <w:pStyle w:val="Geenafstand"/>
        <w:rPr>
          <w:rFonts w:ascii="Verdana" w:hAnsi="Verdana"/>
          <w:sz w:val="18"/>
          <w:szCs w:val="18"/>
        </w:rPr>
      </w:pPr>
      <w:r w:rsidRPr="00FF46E3">
        <w:rPr>
          <w:rFonts w:ascii="Verdana" w:hAnsi="Verdana"/>
          <w:sz w:val="18"/>
          <w:szCs w:val="18"/>
        </w:rPr>
        <w:t xml:space="preserve">als deze eisen ten minste gelijkwaardig zijn aan de in de NIS2-richtlijn vastgestelde verplichtingen, de relevante bepalingen van de NIS2-richtlijn, waaronder die over het toezicht en de handhaving, dan niet van toepassing zijn op die entiteiten. </w:t>
      </w:r>
      <w:r w:rsidR="003C4945">
        <w:rPr>
          <w:rFonts w:ascii="Verdana" w:hAnsi="Verdana"/>
          <w:sz w:val="18"/>
          <w:szCs w:val="18"/>
        </w:rPr>
        <w:t xml:space="preserve">Zo wordt voorkomen dat entiteiten aan verschillende wettelijke kaders moeten voldoen die (minimaal) hetzelfde niveau van cyberbeveiliging regelen. </w:t>
      </w:r>
      <w:r w:rsidRPr="00FF46E3">
        <w:rPr>
          <w:rFonts w:ascii="Verdana" w:hAnsi="Verdana"/>
          <w:sz w:val="18"/>
          <w:szCs w:val="18"/>
        </w:rPr>
        <w:t xml:space="preserve">Artikel 4 NIS2-richtlijn is geïmplementeerd in de artikelen </w:t>
      </w:r>
      <w:r w:rsidR="00C92C14">
        <w:rPr>
          <w:rFonts w:ascii="Verdana" w:hAnsi="Verdana"/>
          <w:sz w:val="18"/>
          <w:szCs w:val="18"/>
        </w:rPr>
        <w:t>22</w:t>
      </w:r>
      <w:r w:rsidRPr="00FF46E3" w:rsidR="00C92C14">
        <w:rPr>
          <w:rFonts w:ascii="Verdana" w:hAnsi="Verdana"/>
          <w:sz w:val="18"/>
          <w:szCs w:val="18"/>
        </w:rPr>
        <w:t xml:space="preserve"> </w:t>
      </w:r>
      <w:r w:rsidRPr="00FF46E3">
        <w:rPr>
          <w:rFonts w:ascii="Verdana" w:hAnsi="Verdana"/>
          <w:sz w:val="18"/>
          <w:szCs w:val="18"/>
        </w:rPr>
        <w:t xml:space="preserve">en </w:t>
      </w:r>
      <w:r w:rsidR="00C92C14">
        <w:rPr>
          <w:rFonts w:ascii="Verdana" w:hAnsi="Verdana"/>
          <w:sz w:val="18"/>
          <w:szCs w:val="18"/>
        </w:rPr>
        <w:t>31</w:t>
      </w:r>
      <w:r w:rsidRPr="00FF46E3" w:rsidR="00C92C14">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w:t>
      </w:r>
    </w:p>
    <w:p w:rsidRPr="00FF46E3" w:rsidR="00301909" w:rsidP="000A5597" w:rsidRDefault="00301909" w14:paraId="028AD279" w14:textId="77777777">
      <w:pPr>
        <w:pStyle w:val="Geenafstand"/>
        <w:rPr>
          <w:rFonts w:ascii="Verdana" w:hAnsi="Verdana"/>
          <w:sz w:val="18"/>
          <w:szCs w:val="18"/>
        </w:rPr>
      </w:pPr>
    </w:p>
    <w:p w:rsidRPr="00FF46E3" w:rsidR="000A5597" w:rsidP="000A5597" w:rsidRDefault="000A5597" w14:paraId="3CA1572F" w14:textId="18FE824E">
      <w:pPr>
        <w:pStyle w:val="Geenafstand"/>
        <w:rPr>
          <w:rFonts w:ascii="Verdana" w:hAnsi="Verdana"/>
          <w:sz w:val="18"/>
          <w:szCs w:val="18"/>
        </w:rPr>
      </w:pPr>
      <w:r w:rsidRPr="00FF46E3">
        <w:rPr>
          <w:rFonts w:ascii="Verdana" w:hAnsi="Verdana"/>
          <w:sz w:val="18"/>
          <w:szCs w:val="18"/>
        </w:rPr>
        <w:t xml:space="preserve">Hierbij gaat het meer concreet om de zorgplicht en de meldplicht uit de </w:t>
      </w:r>
      <w:proofErr w:type="spellStart"/>
      <w:r w:rsidRPr="00FF46E3">
        <w:rPr>
          <w:rFonts w:ascii="Verdana" w:hAnsi="Verdana"/>
          <w:sz w:val="18"/>
          <w:szCs w:val="18"/>
        </w:rPr>
        <w:t>Cbw</w:t>
      </w:r>
      <w:proofErr w:type="spellEnd"/>
      <w:r w:rsidRPr="00FF46E3">
        <w:rPr>
          <w:rFonts w:ascii="Verdana" w:hAnsi="Verdana"/>
          <w:sz w:val="18"/>
          <w:szCs w:val="18"/>
        </w:rPr>
        <w:t xml:space="preserve">, die dan niet van toepassing zijn op de betrokken entiteiten. Als de zorgplicht niet van toepassing is op een entiteit, zijn ook de verplichtingen over de </w:t>
      </w:r>
      <w:proofErr w:type="spellStart"/>
      <w:r w:rsidRPr="00FF46E3">
        <w:rPr>
          <w:rFonts w:ascii="Verdana" w:hAnsi="Verdana"/>
          <w:sz w:val="18"/>
          <w:szCs w:val="18"/>
        </w:rPr>
        <w:t>governance</w:t>
      </w:r>
      <w:proofErr w:type="spellEnd"/>
      <w:r w:rsidRPr="00FF46E3">
        <w:rPr>
          <w:rFonts w:ascii="Verdana" w:hAnsi="Verdana"/>
          <w:sz w:val="18"/>
          <w:szCs w:val="18"/>
        </w:rPr>
        <w:t xml:space="preserve"> (artikel </w:t>
      </w:r>
      <w:r w:rsidR="00C92C14">
        <w:rPr>
          <w:rFonts w:ascii="Verdana" w:hAnsi="Verdana"/>
          <w:sz w:val="18"/>
          <w:szCs w:val="18"/>
        </w:rPr>
        <w:t>24</w:t>
      </w:r>
      <w:r w:rsidRPr="00FF46E3" w:rsidR="00C92C14">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niet van toepassing op die entiteit. Dit is geregeld in artikel </w:t>
      </w:r>
      <w:r w:rsidR="00C92C14">
        <w:rPr>
          <w:rFonts w:ascii="Verdana" w:hAnsi="Verdana"/>
          <w:sz w:val="18"/>
          <w:szCs w:val="18"/>
        </w:rPr>
        <w:t>24</w:t>
      </w:r>
      <w:r w:rsidRPr="00FF46E3">
        <w:rPr>
          <w:rFonts w:ascii="Verdana" w:hAnsi="Verdana"/>
          <w:sz w:val="18"/>
          <w:szCs w:val="18"/>
        </w:rPr>
        <w:t xml:space="preserve">, </w:t>
      </w:r>
      <w:r w:rsidR="00C92C14">
        <w:rPr>
          <w:rFonts w:ascii="Verdana" w:hAnsi="Verdana"/>
          <w:sz w:val="18"/>
          <w:szCs w:val="18"/>
        </w:rPr>
        <w:t>dertiende</w:t>
      </w:r>
      <w:r w:rsidRPr="00FF46E3" w:rsidR="00C92C14">
        <w:rPr>
          <w:rFonts w:ascii="Verdana" w:hAnsi="Verdana"/>
          <w:sz w:val="18"/>
          <w:szCs w:val="18"/>
        </w:rPr>
        <w:t xml:space="preserve"> </w:t>
      </w:r>
      <w:r w:rsidRPr="00FF46E3">
        <w:rPr>
          <w:rFonts w:ascii="Verdana" w:hAnsi="Verdana"/>
          <w:sz w:val="18"/>
          <w:szCs w:val="18"/>
        </w:rPr>
        <w:t xml:space="preserve">lid, </w:t>
      </w:r>
      <w:proofErr w:type="spellStart"/>
      <w:r w:rsidRPr="00FF46E3">
        <w:rPr>
          <w:rFonts w:ascii="Verdana" w:hAnsi="Verdana"/>
          <w:sz w:val="18"/>
          <w:szCs w:val="18"/>
        </w:rPr>
        <w:t>Cbw</w:t>
      </w:r>
      <w:proofErr w:type="spellEnd"/>
      <w:r w:rsidRPr="00FF46E3">
        <w:rPr>
          <w:rFonts w:ascii="Verdana" w:hAnsi="Verdana"/>
          <w:sz w:val="18"/>
          <w:szCs w:val="18"/>
        </w:rPr>
        <w:t xml:space="preserve">. Die verplichtingen op het gebied van de </w:t>
      </w:r>
      <w:proofErr w:type="spellStart"/>
      <w:r w:rsidRPr="00FF46E3">
        <w:rPr>
          <w:rFonts w:ascii="Verdana" w:hAnsi="Verdana"/>
          <w:sz w:val="18"/>
          <w:szCs w:val="18"/>
        </w:rPr>
        <w:t>governance</w:t>
      </w:r>
      <w:proofErr w:type="spellEnd"/>
      <w:r w:rsidRPr="00FF46E3">
        <w:rPr>
          <w:rFonts w:ascii="Verdana" w:hAnsi="Verdana"/>
          <w:sz w:val="18"/>
          <w:szCs w:val="18"/>
        </w:rPr>
        <w:t xml:space="preserve"> zijn immers bedoeld ten behoeve van het voldoen aan de zorgplicht. </w:t>
      </w:r>
    </w:p>
    <w:p w:rsidRPr="00FF46E3" w:rsidR="00301909" w:rsidP="000A5597" w:rsidRDefault="00301909" w14:paraId="73D3BE56" w14:textId="77777777">
      <w:pPr>
        <w:pStyle w:val="Geenafstand"/>
        <w:rPr>
          <w:rFonts w:ascii="Verdana" w:hAnsi="Verdana"/>
          <w:sz w:val="18"/>
          <w:szCs w:val="18"/>
        </w:rPr>
      </w:pPr>
    </w:p>
    <w:p w:rsidRPr="00C47325" w:rsidR="000A5597" w:rsidP="00CE333A" w:rsidRDefault="000A5597" w14:paraId="0493F629" w14:textId="31BF1927">
      <w:pPr>
        <w:pStyle w:val="Geenafstand"/>
        <w:rPr>
          <w:rFonts w:ascii="Verdana" w:hAnsi="Verdana"/>
          <w:sz w:val="18"/>
          <w:szCs w:val="18"/>
        </w:rPr>
      </w:pPr>
      <w:r w:rsidRPr="00FF46E3">
        <w:rPr>
          <w:rFonts w:ascii="Verdana" w:hAnsi="Verdana"/>
          <w:sz w:val="18"/>
          <w:szCs w:val="18"/>
        </w:rPr>
        <w:t xml:space="preserve">Het voorgaande ziet alleen op sectorspecifieke rechtshandelingen waardoor de zorgplicht, de meldplicht en de verplichtingen over de </w:t>
      </w:r>
      <w:proofErr w:type="spellStart"/>
      <w:r w:rsidRPr="00FF46E3">
        <w:rPr>
          <w:rFonts w:ascii="Verdana" w:hAnsi="Verdana"/>
          <w:sz w:val="18"/>
          <w:szCs w:val="18"/>
        </w:rPr>
        <w:t>governance</w:t>
      </w:r>
      <w:proofErr w:type="spellEnd"/>
      <w:r w:rsidRPr="00FF46E3">
        <w:rPr>
          <w:rFonts w:ascii="Verdana" w:hAnsi="Verdana"/>
          <w:sz w:val="18"/>
          <w:szCs w:val="18"/>
        </w:rPr>
        <w:t xml:space="preserve"> niet meer van toepassing zijn op entiteiten. De andere bepalingen uit de </w:t>
      </w:r>
      <w:proofErr w:type="spellStart"/>
      <w:r w:rsidRPr="00FF46E3">
        <w:rPr>
          <w:rFonts w:ascii="Verdana" w:hAnsi="Verdana"/>
          <w:sz w:val="18"/>
          <w:szCs w:val="18"/>
        </w:rPr>
        <w:t>Cbw</w:t>
      </w:r>
      <w:proofErr w:type="spellEnd"/>
      <w:r w:rsidRPr="00FF46E3">
        <w:rPr>
          <w:rFonts w:ascii="Verdana" w:hAnsi="Verdana"/>
          <w:sz w:val="18"/>
          <w:szCs w:val="18"/>
        </w:rPr>
        <w:t xml:space="preserve"> blijven van toepassing op die entiteiten. </w:t>
      </w:r>
    </w:p>
    <w:bookmarkEnd w:id="269"/>
    <w:p w:rsidRPr="00C47325" w:rsidR="00CE333A" w:rsidP="00CE333A" w:rsidRDefault="00CE333A" w14:paraId="128DF65C" w14:textId="77777777">
      <w:pPr>
        <w:pStyle w:val="Geenafstand"/>
        <w:rPr>
          <w:rFonts w:ascii="Verdana" w:hAnsi="Verdana"/>
          <w:sz w:val="18"/>
          <w:szCs w:val="18"/>
        </w:rPr>
      </w:pPr>
    </w:p>
    <w:p w:rsidRPr="00BD3C4A" w:rsidR="00155394" w:rsidP="00155394" w:rsidRDefault="00155394" w14:paraId="34E4170C" w14:textId="76D9B257">
      <w:pPr>
        <w:pStyle w:val="Geenafstand"/>
        <w:rPr>
          <w:rFonts w:ascii="Verdana" w:hAnsi="Verdana"/>
          <w:b/>
          <w:bCs/>
          <w:sz w:val="18"/>
          <w:szCs w:val="18"/>
        </w:rPr>
      </w:pPr>
      <w:bookmarkStart w:name="_Hlk180481638" w:id="270"/>
      <w:bookmarkEnd w:id="268"/>
      <w:r w:rsidRPr="00BD3C4A">
        <w:rPr>
          <w:rFonts w:ascii="Verdana" w:hAnsi="Verdana"/>
          <w:b/>
          <w:bCs/>
          <w:sz w:val="18"/>
          <w:szCs w:val="18"/>
        </w:rPr>
        <w:t xml:space="preserve">Artikel </w:t>
      </w:r>
      <w:r>
        <w:rPr>
          <w:rFonts w:ascii="Verdana" w:hAnsi="Verdana"/>
          <w:b/>
          <w:bCs/>
          <w:sz w:val="18"/>
          <w:szCs w:val="18"/>
        </w:rPr>
        <w:t>23</w:t>
      </w:r>
      <w:r w:rsidRPr="00BD3C4A">
        <w:rPr>
          <w:rFonts w:ascii="Verdana" w:hAnsi="Verdana"/>
          <w:b/>
          <w:bCs/>
          <w:sz w:val="18"/>
          <w:szCs w:val="18"/>
        </w:rPr>
        <w:t xml:space="preserve"> (ontheffing zorgplicht)</w:t>
      </w:r>
    </w:p>
    <w:p w:rsidRPr="00C47325" w:rsidR="00CE333A" w:rsidP="00CE333A" w:rsidRDefault="00CE333A" w14:paraId="4EDF9D7B" w14:textId="77777777">
      <w:pPr>
        <w:pStyle w:val="Geenafstand"/>
        <w:rPr>
          <w:rFonts w:ascii="Verdana" w:hAnsi="Verdana"/>
          <w:sz w:val="18"/>
          <w:szCs w:val="18"/>
        </w:rPr>
      </w:pPr>
    </w:p>
    <w:p w:rsidR="00381A4B" w:rsidP="00CE333A" w:rsidRDefault="00486354" w14:paraId="1C7D67C1" w14:textId="29E124C8">
      <w:pPr>
        <w:pStyle w:val="Geenafstand"/>
        <w:rPr>
          <w:rFonts w:ascii="Verdana" w:hAnsi="Verdana"/>
          <w:sz w:val="18"/>
          <w:szCs w:val="18"/>
        </w:rPr>
      </w:pPr>
      <w:r w:rsidRPr="00FF46E3">
        <w:rPr>
          <w:rFonts w:ascii="Verdana" w:hAnsi="Verdana"/>
          <w:sz w:val="18"/>
          <w:szCs w:val="18"/>
        </w:rPr>
        <w:t>Overheidsinstanties die in hoofdzaak activiteiten uitvoeren op het gebied van nationale veiligheid, openbare veiligheid, defensie of rechtshandhaving, met inbegrip van het voorkomen, onderzoeken, opsporen en vervolgen van strafbare feiten,</w:t>
      </w:r>
      <w:r w:rsidRPr="00FF46E3">
        <w:rPr>
          <w:rFonts w:ascii="Verdana" w:hAnsi="Verdana"/>
        </w:rPr>
        <w:t xml:space="preserve"> </w:t>
      </w:r>
      <w:r w:rsidRPr="00FF46E3">
        <w:rPr>
          <w:rFonts w:ascii="Verdana" w:hAnsi="Verdana"/>
          <w:sz w:val="18"/>
          <w:szCs w:val="18"/>
        </w:rPr>
        <w:t>zijn van rechtswege uitgesloten van het toepassingsgebied van de NIS2-richtlijn. Overheidsinstanties waarvan de activiteiten slechts zijdelings verband houden met die gebieden, zijn daarentegen niet uitgesloten van het toepassingsgebied.</w:t>
      </w:r>
    </w:p>
    <w:p w:rsidR="00654C06" w:rsidP="00CE333A" w:rsidRDefault="00654C06" w14:paraId="7A87BA81" w14:textId="77777777">
      <w:pPr>
        <w:pStyle w:val="Geenafstand"/>
        <w:rPr>
          <w:rFonts w:ascii="Verdana" w:hAnsi="Verdana"/>
          <w:sz w:val="18"/>
          <w:szCs w:val="18"/>
        </w:rPr>
      </w:pPr>
    </w:p>
    <w:p w:rsidR="00654C06" w:rsidP="00CE333A" w:rsidRDefault="00486354" w14:paraId="163828A4" w14:textId="458B6AEF">
      <w:pPr>
        <w:pStyle w:val="Geenafstand"/>
        <w:rPr>
          <w:rFonts w:ascii="Verdana" w:hAnsi="Verdana"/>
          <w:sz w:val="18"/>
          <w:szCs w:val="18"/>
        </w:rPr>
      </w:pPr>
      <w:r w:rsidRPr="00FF46E3">
        <w:rPr>
          <w:rFonts w:ascii="Verdana" w:hAnsi="Verdana"/>
          <w:sz w:val="18"/>
          <w:szCs w:val="18"/>
        </w:rPr>
        <w:t>Artikel 2, achtste lid, NIS2-richtlijn biedt lidstaten de mogelijkheid om entiteiten die activiteiten uitvoeren op het gebied van nationale veiligheid, openbare veiligheid, defensie of rechtshandhaving, of die uitsluitend diensten verlenen aan overheidsinstanties die in hoofdzaak zulke activiteiten uitvoeren, met betrekking tot die activiteiten of diensten te ontheffen van bepaalde verplichtingen, waaronder de zorgplicht.</w:t>
      </w:r>
      <w:r>
        <w:rPr>
          <w:rFonts w:ascii="Verdana" w:hAnsi="Verdana"/>
          <w:sz w:val="18"/>
          <w:szCs w:val="18"/>
        </w:rPr>
        <w:t xml:space="preserve"> Deze activiteiten vallen namelijk binnen de uitsluitende verantwoordelijkheid van lidstaten</w:t>
      </w:r>
      <w:r w:rsidR="006334CB">
        <w:rPr>
          <w:rFonts w:ascii="Verdana" w:hAnsi="Verdana"/>
          <w:sz w:val="18"/>
          <w:szCs w:val="18"/>
        </w:rPr>
        <w:t xml:space="preserve"> </w:t>
      </w:r>
      <w:r w:rsidRPr="00654C06" w:rsidR="006334CB">
        <w:rPr>
          <w:rFonts w:ascii="Verdana" w:hAnsi="Verdana"/>
          <w:sz w:val="18"/>
          <w:szCs w:val="18"/>
        </w:rPr>
        <w:t>en verantwoorden daarmee om ook deze entiteiten te ontheffen van bepaalde verplichtingen</w:t>
      </w:r>
      <w:r w:rsidRPr="00654C06">
        <w:rPr>
          <w:rFonts w:ascii="Verdana" w:hAnsi="Verdana"/>
          <w:sz w:val="18"/>
          <w:szCs w:val="18"/>
        </w:rPr>
        <w:t xml:space="preserve">. </w:t>
      </w:r>
    </w:p>
    <w:p w:rsidR="00654C06" w:rsidP="00CE333A" w:rsidRDefault="00654C06" w14:paraId="34F45068" w14:textId="77777777">
      <w:pPr>
        <w:pStyle w:val="Geenafstand"/>
        <w:rPr>
          <w:rFonts w:ascii="Verdana" w:hAnsi="Verdana"/>
          <w:sz w:val="18"/>
          <w:szCs w:val="18"/>
        </w:rPr>
      </w:pPr>
    </w:p>
    <w:p w:rsidRPr="00C47325" w:rsidR="006543A8" w:rsidP="00CE333A" w:rsidRDefault="006543A8" w14:paraId="25ABC726" w14:textId="10921BE2">
      <w:pPr>
        <w:pStyle w:val="Geenafstand"/>
        <w:rPr>
          <w:rFonts w:ascii="Verdana" w:hAnsi="Verdana"/>
          <w:sz w:val="18"/>
          <w:szCs w:val="18"/>
        </w:rPr>
      </w:pPr>
      <w:r w:rsidRPr="00C47325">
        <w:rPr>
          <w:rFonts w:ascii="Verdana" w:hAnsi="Verdana"/>
          <w:sz w:val="18"/>
          <w:szCs w:val="18"/>
        </w:rPr>
        <w:t xml:space="preserve">Artikel </w:t>
      </w:r>
      <w:r w:rsidR="00931566">
        <w:rPr>
          <w:rFonts w:ascii="Verdana" w:hAnsi="Verdana"/>
          <w:sz w:val="18"/>
          <w:szCs w:val="18"/>
        </w:rPr>
        <w:t>2</w:t>
      </w:r>
      <w:r w:rsidR="0013183F">
        <w:rPr>
          <w:rFonts w:ascii="Verdana" w:hAnsi="Verdana"/>
          <w:sz w:val="18"/>
          <w:szCs w:val="18"/>
        </w:rPr>
        <w:t>3</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strekt tot de implementatie van artikel 2, achtste lid, NIS2-richtlijn</w:t>
      </w:r>
      <w:r>
        <w:rPr>
          <w:rFonts w:ascii="Verdana" w:hAnsi="Verdana"/>
          <w:sz w:val="18"/>
          <w:szCs w:val="18"/>
        </w:rPr>
        <w:t>, specifiek ten aanzien van de zorgplicht</w:t>
      </w:r>
      <w:r w:rsidRPr="00C47325">
        <w:rPr>
          <w:rFonts w:ascii="Verdana" w:hAnsi="Verdana"/>
          <w:sz w:val="18"/>
          <w:szCs w:val="18"/>
        </w:rPr>
        <w:t>.</w:t>
      </w:r>
      <w:r>
        <w:rPr>
          <w:rFonts w:ascii="Verdana" w:hAnsi="Verdana"/>
          <w:sz w:val="18"/>
          <w:szCs w:val="18"/>
        </w:rPr>
        <w:t xml:space="preserve"> </w:t>
      </w:r>
      <w:r w:rsidRPr="00FF46E3" w:rsidR="00486354">
        <w:rPr>
          <w:rFonts w:ascii="Verdana" w:hAnsi="Verdana"/>
          <w:sz w:val="18"/>
          <w:szCs w:val="18"/>
        </w:rPr>
        <w:t xml:space="preserve">De bevoegdheid om </w:t>
      </w:r>
      <w:r>
        <w:rPr>
          <w:rFonts w:ascii="Verdana" w:hAnsi="Verdana"/>
          <w:sz w:val="18"/>
          <w:szCs w:val="18"/>
        </w:rPr>
        <w:t xml:space="preserve">de hiervoor bedoelde </w:t>
      </w:r>
      <w:r w:rsidRPr="00FF46E3" w:rsidR="00486354">
        <w:rPr>
          <w:rFonts w:ascii="Verdana" w:hAnsi="Verdana"/>
          <w:sz w:val="18"/>
          <w:szCs w:val="18"/>
        </w:rPr>
        <w:t>entiteiten te ontheffen van</w:t>
      </w:r>
      <w:r>
        <w:rPr>
          <w:rFonts w:ascii="Verdana" w:hAnsi="Verdana"/>
          <w:sz w:val="18"/>
          <w:szCs w:val="18"/>
        </w:rPr>
        <w:t xml:space="preserve"> de zorgplicht</w:t>
      </w:r>
      <w:r w:rsidRPr="00FF46E3" w:rsidR="00486354">
        <w:rPr>
          <w:rFonts w:ascii="Verdana" w:hAnsi="Verdana"/>
          <w:sz w:val="18"/>
          <w:szCs w:val="18"/>
        </w:rPr>
        <w:t xml:space="preserve"> wordt belegd bij de vakminister. De vakminister kan overgaan tot het verlenen van een ontheffing in overeenstemming met de Minister van Justitie en Veiligheid. </w:t>
      </w:r>
    </w:p>
    <w:bookmarkEnd w:id="270"/>
    <w:p w:rsidRPr="00C47325" w:rsidR="00CE333A" w:rsidP="00CE333A" w:rsidRDefault="00CE333A" w14:paraId="434740BB" w14:textId="77777777">
      <w:pPr>
        <w:pStyle w:val="Geenafstand"/>
        <w:rPr>
          <w:rFonts w:ascii="Verdana" w:hAnsi="Verdana"/>
          <w:sz w:val="18"/>
          <w:szCs w:val="18"/>
        </w:rPr>
      </w:pPr>
    </w:p>
    <w:p w:rsidRPr="00BD3C4A" w:rsidR="00155394" w:rsidDel="009909CF" w:rsidP="00155394" w:rsidRDefault="00155394" w14:paraId="7E89D6A3" w14:textId="50446466">
      <w:pPr>
        <w:pStyle w:val="Geenafstand"/>
        <w:rPr>
          <w:rFonts w:ascii="Verdana" w:hAnsi="Verdana"/>
          <w:b/>
          <w:bCs/>
          <w:sz w:val="18"/>
          <w:szCs w:val="18"/>
        </w:rPr>
      </w:pPr>
      <w:bookmarkStart w:name="_Hlk192162699" w:id="271"/>
      <w:r w:rsidRPr="00BD3C4A" w:rsidDel="009909CF">
        <w:rPr>
          <w:rFonts w:ascii="Verdana" w:hAnsi="Verdana"/>
          <w:b/>
          <w:bCs/>
          <w:sz w:val="18"/>
          <w:szCs w:val="18"/>
        </w:rPr>
        <w:t xml:space="preserve">Artikel </w:t>
      </w:r>
      <w:r>
        <w:rPr>
          <w:rFonts w:ascii="Verdana" w:hAnsi="Verdana"/>
          <w:b/>
          <w:bCs/>
          <w:sz w:val="18"/>
          <w:szCs w:val="18"/>
        </w:rPr>
        <w:t>24</w:t>
      </w:r>
      <w:r w:rsidRPr="00BD3C4A" w:rsidDel="009909CF">
        <w:rPr>
          <w:rFonts w:ascii="Verdana" w:hAnsi="Verdana"/>
          <w:b/>
          <w:bCs/>
          <w:sz w:val="18"/>
          <w:szCs w:val="18"/>
        </w:rPr>
        <w:t xml:space="preserve"> (</w:t>
      </w:r>
      <w:proofErr w:type="spellStart"/>
      <w:r w:rsidRPr="00BD3C4A" w:rsidDel="009909CF">
        <w:rPr>
          <w:rFonts w:ascii="Verdana" w:hAnsi="Verdana"/>
          <w:b/>
          <w:bCs/>
          <w:sz w:val="18"/>
          <w:szCs w:val="18"/>
        </w:rPr>
        <w:t>governance</w:t>
      </w:r>
      <w:proofErr w:type="spellEnd"/>
      <w:r w:rsidRPr="00BD3C4A" w:rsidDel="009909CF">
        <w:rPr>
          <w:rFonts w:ascii="Verdana" w:hAnsi="Verdana"/>
          <w:b/>
          <w:bCs/>
          <w:sz w:val="18"/>
          <w:szCs w:val="18"/>
        </w:rPr>
        <w:t>)</w:t>
      </w:r>
    </w:p>
    <w:p w:rsidRPr="00C47325" w:rsidR="00CE333A" w:rsidP="00CE333A" w:rsidRDefault="00CE333A" w14:paraId="34916028" w14:textId="77777777">
      <w:pPr>
        <w:pStyle w:val="Geenafstand"/>
        <w:rPr>
          <w:rFonts w:ascii="Verdana" w:hAnsi="Verdana"/>
          <w:sz w:val="18"/>
          <w:szCs w:val="18"/>
        </w:rPr>
      </w:pPr>
    </w:p>
    <w:p w:rsidR="00CE333A" w:rsidP="00CE333A" w:rsidRDefault="00CE333A" w14:paraId="4822C003" w14:textId="0526B8D6">
      <w:pPr>
        <w:pStyle w:val="Geenafstand"/>
        <w:rPr>
          <w:rFonts w:ascii="Verdana" w:hAnsi="Verdana"/>
          <w:sz w:val="18"/>
          <w:szCs w:val="18"/>
        </w:rPr>
      </w:pPr>
      <w:r w:rsidRPr="00C47325">
        <w:rPr>
          <w:rFonts w:ascii="Verdana" w:hAnsi="Verdana"/>
          <w:sz w:val="18"/>
          <w:szCs w:val="18"/>
        </w:rPr>
        <w:t xml:space="preserve">Artikel </w:t>
      </w:r>
      <w:r w:rsidR="00747F11">
        <w:rPr>
          <w:rFonts w:ascii="Verdana" w:hAnsi="Verdana"/>
          <w:sz w:val="18"/>
          <w:szCs w:val="18"/>
        </w:rPr>
        <w:t>2</w:t>
      </w:r>
      <w:r w:rsidR="0013183F">
        <w:rPr>
          <w:rFonts w:ascii="Verdana" w:hAnsi="Verdana"/>
          <w:sz w:val="18"/>
          <w:szCs w:val="18"/>
        </w:rPr>
        <w:t>4</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20 NIS2-richtlijn</w:t>
      </w:r>
      <w:r w:rsidR="00747F11">
        <w:rPr>
          <w:rFonts w:ascii="Verdana" w:hAnsi="Verdana"/>
          <w:sz w:val="18"/>
          <w:szCs w:val="18"/>
        </w:rPr>
        <w:t xml:space="preserve"> en gaat over </w:t>
      </w:r>
      <w:proofErr w:type="spellStart"/>
      <w:r w:rsidR="00747F11">
        <w:rPr>
          <w:rFonts w:ascii="Verdana" w:hAnsi="Verdana"/>
          <w:sz w:val="18"/>
          <w:szCs w:val="18"/>
        </w:rPr>
        <w:t>governance</w:t>
      </w:r>
      <w:proofErr w:type="spellEnd"/>
      <w:r w:rsidRPr="00C47325">
        <w:rPr>
          <w:rFonts w:ascii="Verdana" w:hAnsi="Verdana"/>
          <w:sz w:val="18"/>
          <w:szCs w:val="18"/>
        </w:rPr>
        <w:t>. Zie paragraaf 5.</w:t>
      </w:r>
      <w:r w:rsidR="00747F11">
        <w:rPr>
          <w:rFonts w:ascii="Verdana" w:hAnsi="Verdana"/>
          <w:sz w:val="18"/>
          <w:szCs w:val="18"/>
        </w:rPr>
        <w:t xml:space="preserve">3 </w:t>
      </w:r>
      <w:r w:rsidRPr="00C47325">
        <w:rPr>
          <w:rFonts w:ascii="Verdana" w:hAnsi="Verdana"/>
          <w:sz w:val="18"/>
          <w:szCs w:val="18"/>
        </w:rPr>
        <w:t xml:space="preserve">voor een nadere toelichting. </w:t>
      </w:r>
    </w:p>
    <w:p w:rsidRPr="001F5FF2" w:rsidR="00241760" w:rsidP="00CE333A" w:rsidRDefault="00241760" w14:paraId="2894382D" w14:textId="77777777">
      <w:pPr>
        <w:pStyle w:val="Geenafstand"/>
        <w:rPr>
          <w:rFonts w:ascii="Verdana" w:hAnsi="Verdana"/>
          <w:i/>
          <w:iCs/>
          <w:sz w:val="18"/>
          <w:szCs w:val="18"/>
        </w:rPr>
      </w:pPr>
    </w:p>
    <w:p w:rsidR="00EB2CDF" w:rsidP="00952434" w:rsidRDefault="00EB2CDF" w14:paraId="29CB41E3" w14:textId="0E98B4BF">
      <w:pPr>
        <w:pStyle w:val="Geenafstand"/>
        <w:rPr>
          <w:rFonts w:ascii="Verdana" w:hAnsi="Verdana"/>
          <w:sz w:val="18"/>
          <w:szCs w:val="18"/>
        </w:rPr>
      </w:pPr>
      <w:r>
        <w:rPr>
          <w:rFonts w:ascii="Verdana" w:hAnsi="Verdana"/>
          <w:sz w:val="18"/>
          <w:szCs w:val="18"/>
        </w:rPr>
        <w:t xml:space="preserve">In artikel 24, dertiende lid, </w:t>
      </w:r>
      <w:proofErr w:type="spellStart"/>
      <w:r>
        <w:rPr>
          <w:rFonts w:ascii="Verdana" w:hAnsi="Verdana"/>
          <w:sz w:val="18"/>
          <w:szCs w:val="18"/>
        </w:rPr>
        <w:t>Cbw</w:t>
      </w:r>
      <w:proofErr w:type="spellEnd"/>
      <w:r>
        <w:rPr>
          <w:rFonts w:ascii="Verdana" w:hAnsi="Verdana"/>
          <w:sz w:val="18"/>
          <w:szCs w:val="18"/>
        </w:rPr>
        <w:t xml:space="preserve"> is bepaald dat artikel 24 </w:t>
      </w:r>
      <w:proofErr w:type="spellStart"/>
      <w:r>
        <w:rPr>
          <w:rFonts w:ascii="Verdana" w:hAnsi="Verdana"/>
          <w:sz w:val="18"/>
          <w:szCs w:val="18"/>
        </w:rPr>
        <w:t>Cbw</w:t>
      </w:r>
      <w:proofErr w:type="spellEnd"/>
      <w:r>
        <w:rPr>
          <w:rFonts w:ascii="Verdana" w:hAnsi="Verdana"/>
          <w:sz w:val="18"/>
          <w:szCs w:val="18"/>
        </w:rPr>
        <w:t xml:space="preserve"> niet van toepassing is op een essentiële entiteit of belangrijke entiteit als de zorgplicht (artikel 21 </w:t>
      </w:r>
      <w:proofErr w:type="spellStart"/>
      <w:r>
        <w:rPr>
          <w:rFonts w:ascii="Verdana" w:hAnsi="Verdana"/>
          <w:sz w:val="18"/>
          <w:szCs w:val="18"/>
        </w:rPr>
        <w:t>Cbw</w:t>
      </w:r>
      <w:proofErr w:type="spellEnd"/>
      <w:r>
        <w:rPr>
          <w:rFonts w:ascii="Verdana" w:hAnsi="Verdana"/>
          <w:sz w:val="18"/>
          <w:szCs w:val="18"/>
        </w:rPr>
        <w:t>) niet van toepassing is</w:t>
      </w:r>
      <w:r w:rsidRPr="00E82A03" w:rsidR="00E82A03">
        <w:rPr>
          <w:rFonts w:ascii="Verdana" w:hAnsi="Verdana"/>
          <w:sz w:val="18"/>
          <w:szCs w:val="18"/>
        </w:rPr>
        <w:t xml:space="preserve"> </w:t>
      </w:r>
      <w:r w:rsidR="00E82A03">
        <w:rPr>
          <w:rFonts w:ascii="Verdana" w:hAnsi="Verdana"/>
          <w:sz w:val="18"/>
          <w:szCs w:val="18"/>
        </w:rPr>
        <w:t>op die entiteit</w:t>
      </w:r>
      <w:r>
        <w:rPr>
          <w:rFonts w:ascii="Verdana" w:hAnsi="Verdana"/>
          <w:sz w:val="18"/>
          <w:szCs w:val="18"/>
        </w:rPr>
        <w:t xml:space="preserve">. </w:t>
      </w:r>
      <w:r w:rsidRPr="00FF46E3">
        <w:rPr>
          <w:rFonts w:ascii="Verdana" w:hAnsi="Verdana"/>
          <w:sz w:val="18"/>
          <w:szCs w:val="18"/>
        </w:rPr>
        <w:t>D</w:t>
      </w:r>
      <w:r>
        <w:rPr>
          <w:rFonts w:ascii="Verdana" w:hAnsi="Verdana"/>
          <w:sz w:val="18"/>
          <w:szCs w:val="18"/>
        </w:rPr>
        <w:t xml:space="preserve">e in artikel 24 </w:t>
      </w:r>
      <w:proofErr w:type="spellStart"/>
      <w:r>
        <w:rPr>
          <w:rFonts w:ascii="Verdana" w:hAnsi="Verdana"/>
          <w:sz w:val="18"/>
          <w:szCs w:val="18"/>
        </w:rPr>
        <w:t>Cbw</w:t>
      </w:r>
      <w:proofErr w:type="spellEnd"/>
      <w:r>
        <w:rPr>
          <w:rFonts w:ascii="Verdana" w:hAnsi="Verdana"/>
          <w:sz w:val="18"/>
          <w:szCs w:val="18"/>
        </w:rPr>
        <w:t xml:space="preserve"> opgenomen</w:t>
      </w:r>
      <w:r w:rsidRPr="00FF46E3">
        <w:rPr>
          <w:rFonts w:ascii="Verdana" w:hAnsi="Verdana"/>
          <w:sz w:val="18"/>
          <w:szCs w:val="18"/>
        </w:rPr>
        <w:t xml:space="preserve"> verplichtingen op het gebied van de </w:t>
      </w:r>
      <w:proofErr w:type="spellStart"/>
      <w:r w:rsidRPr="00FF46E3">
        <w:rPr>
          <w:rFonts w:ascii="Verdana" w:hAnsi="Verdana"/>
          <w:sz w:val="18"/>
          <w:szCs w:val="18"/>
        </w:rPr>
        <w:t>governance</w:t>
      </w:r>
      <w:proofErr w:type="spellEnd"/>
      <w:r w:rsidRPr="00FF46E3">
        <w:rPr>
          <w:rFonts w:ascii="Verdana" w:hAnsi="Verdana"/>
          <w:sz w:val="18"/>
          <w:szCs w:val="18"/>
        </w:rPr>
        <w:t xml:space="preserve"> zijn immers bedoeld ten behoeve van het voldoen aan de zorgplicht.</w:t>
      </w:r>
    </w:p>
    <w:p w:rsidRPr="00C47325" w:rsidR="00CE333A" w:rsidP="00CE333A" w:rsidRDefault="00CE333A" w14:paraId="782D18FD" w14:textId="77777777">
      <w:pPr>
        <w:pStyle w:val="Geenafstand"/>
        <w:rPr>
          <w:rFonts w:ascii="Verdana" w:hAnsi="Verdana"/>
          <w:sz w:val="18"/>
          <w:szCs w:val="18"/>
        </w:rPr>
      </w:pPr>
    </w:p>
    <w:p w:rsidRPr="00C47325" w:rsidR="00CE333A" w:rsidP="00CE333A" w:rsidRDefault="00CE333A" w14:paraId="7524A34F" w14:textId="4685533B">
      <w:pPr>
        <w:pStyle w:val="Geenafstand"/>
        <w:rPr>
          <w:rFonts w:ascii="Verdana" w:hAnsi="Verdana"/>
          <w:b/>
          <w:bCs/>
          <w:sz w:val="18"/>
          <w:szCs w:val="18"/>
        </w:rPr>
      </w:pPr>
      <w:bookmarkStart w:name="_Hlk149051260" w:id="272"/>
      <w:bookmarkEnd w:id="271"/>
      <w:r w:rsidRPr="00C47325">
        <w:rPr>
          <w:rFonts w:ascii="Verdana" w:hAnsi="Verdana"/>
          <w:b/>
          <w:bCs/>
          <w:sz w:val="18"/>
          <w:szCs w:val="18"/>
        </w:rPr>
        <w:t xml:space="preserve">De artikelen </w:t>
      </w:r>
      <w:r w:rsidR="00155394">
        <w:rPr>
          <w:rFonts w:ascii="Verdana" w:hAnsi="Verdana"/>
          <w:b/>
          <w:bCs/>
          <w:sz w:val="18"/>
          <w:szCs w:val="18"/>
        </w:rPr>
        <w:t>25</w:t>
      </w:r>
      <w:r w:rsidRPr="00C47325">
        <w:rPr>
          <w:rFonts w:ascii="Verdana" w:hAnsi="Verdana"/>
          <w:b/>
          <w:bCs/>
          <w:sz w:val="18"/>
          <w:szCs w:val="18"/>
        </w:rPr>
        <w:t xml:space="preserve"> tot en met </w:t>
      </w:r>
      <w:r w:rsidR="00155394">
        <w:rPr>
          <w:rFonts w:ascii="Verdana" w:hAnsi="Verdana"/>
          <w:b/>
          <w:bCs/>
          <w:sz w:val="18"/>
          <w:szCs w:val="18"/>
        </w:rPr>
        <w:t>29</w:t>
      </w:r>
      <w:r w:rsidRPr="00C47325">
        <w:rPr>
          <w:rFonts w:ascii="Verdana" w:hAnsi="Verdana"/>
          <w:b/>
          <w:bCs/>
          <w:sz w:val="18"/>
          <w:szCs w:val="18"/>
        </w:rPr>
        <w:t xml:space="preserve"> (meldplicht significante incidenten en de fase</w:t>
      </w:r>
      <w:r w:rsidR="00AA152B">
        <w:rPr>
          <w:rFonts w:ascii="Verdana" w:hAnsi="Verdana"/>
          <w:b/>
          <w:bCs/>
          <w:sz w:val="18"/>
          <w:szCs w:val="18"/>
        </w:rPr>
        <w:t>n</w:t>
      </w:r>
      <w:r w:rsidRPr="00C47325">
        <w:rPr>
          <w:rFonts w:ascii="Verdana" w:hAnsi="Verdana"/>
          <w:b/>
          <w:bCs/>
          <w:sz w:val="18"/>
          <w:szCs w:val="18"/>
        </w:rPr>
        <w:t xml:space="preserve"> van de melding)</w:t>
      </w:r>
    </w:p>
    <w:p w:rsidRPr="00C47325" w:rsidR="00CE333A" w:rsidP="00CE333A" w:rsidRDefault="00CE333A" w14:paraId="199A0237" w14:textId="77777777">
      <w:pPr>
        <w:pStyle w:val="Geenafstand"/>
        <w:rPr>
          <w:rFonts w:ascii="Verdana" w:hAnsi="Verdana"/>
          <w:b/>
          <w:bCs/>
          <w:sz w:val="18"/>
          <w:szCs w:val="18"/>
        </w:rPr>
      </w:pPr>
    </w:p>
    <w:p w:rsidRPr="00C47325" w:rsidR="00CE333A" w:rsidP="00CE333A" w:rsidRDefault="00CE333A" w14:paraId="4453BCD7" w14:textId="2B64EEDF">
      <w:pPr>
        <w:pStyle w:val="Geenafstand"/>
        <w:rPr>
          <w:rFonts w:ascii="Verdana" w:hAnsi="Verdana"/>
          <w:sz w:val="18"/>
          <w:szCs w:val="18"/>
        </w:rPr>
      </w:pPr>
      <w:r w:rsidRPr="00C47325">
        <w:rPr>
          <w:rFonts w:ascii="Verdana" w:hAnsi="Verdana"/>
          <w:sz w:val="18"/>
          <w:szCs w:val="18"/>
        </w:rPr>
        <w:t xml:space="preserve">In de artikelen </w:t>
      </w:r>
      <w:r w:rsidR="00241760">
        <w:rPr>
          <w:rFonts w:ascii="Verdana" w:hAnsi="Verdana"/>
          <w:sz w:val="18"/>
          <w:szCs w:val="18"/>
        </w:rPr>
        <w:t>2</w:t>
      </w:r>
      <w:r w:rsidR="00EE1BC4">
        <w:rPr>
          <w:rFonts w:ascii="Verdana" w:hAnsi="Verdana"/>
          <w:sz w:val="18"/>
          <w:szCs w:val="18"/>
        </w:rPr>
        <w:t>5</w:t>
      </w:r>
      <w:r w:rsidRPr="00C47325">
        <w:rPr>
          <w:rFonts w:ascii="Verdana" w:hAnsi="Verdana"/>
          <w:sz w:val="18"/>
          <w:szCs w:val="18"/>
        </w:rPr>
        <w:t xml:space="preserve"> tot en met </w:t>
      </w:r>
      <w:r w:rsidR="00241760">
        <w:rPr>
          <w:rFonts w:ascii="Verdana" w:hAnsi="Verdana"/>
          <w:sz w:val="18"/>
          <w:szCs w:val="18"/>
        </w:rPr>
        <w:t>2</w:t>
      </w:r>
      <w:r w:rsidR="00EE1BC4">
        <w:rPr>
          <w:rFonts w:ascii="Verdana" w:hAnsi="Verdana"/>
          <w:sz w:val="18"/>
          <w:szCs w:val="18"/>
        </w:rPr>
        <w:t>9</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is artikel 23, eerste, derde en vierde lid, NIS2-richtlijn geïmplementeerd. Artikel </w:t>
      </w:r>
      <w:r w:rsidR="00241760">
        <w:rPr>
          <w:rFonts w:ascii="Verdana" w:hAnsi="Verdana"/>
          <w:sz w:val="18"/>
          <w:szCs w:val="18"/>
        </w:rPr>
        <w:t>2</w:t>
      </w:r>
      <w:r w:rsidR="00EE1BC4">
        <w:rPr>
          <w:rFonts w:ascii="Verdana" w:hAnsi="Verdana"/>
          <w:sz w:val="18"/>
          <w:szCs w:val="18"/>
        </w:rPr>
        <w:t>5</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ziet op de meldplicht voor essentiële entiteiten en belangrijke entiteiten van significante incidenten. De artikelen </w:t>
      </w:r>
      <w:r w:rsidR="00241760">
        <w:rPr>
          <w:rFonts w:ascii="Verdana" w:hAnsi="Verdana"/>
          <w:sz w:val="18"/>
          <w:szCs w:val="18"/>
        </w:rPr>
        <w:t>2</w:t>
      </w:r>
      <w:r w:rsidR="00EE1BC4">
        <w:rPr>
          <w:rFonts w:ascii="Verdana" w:hAnsi="Verdana"/>
          <w:sz w:val="18"/>
          <w:szCs w:val="18"/>
        </w:rPr>
        <w:t>6</w:t>
      </w:r>
      <w:r w:rsidRPr="00C47325">
        <w:rPr>
          <w:rFonts w:ascii="Verdana" w:hAnsi="Verdana"/>
          <w:sz w:val="18"/>
          <w:szCs w:val="18"/>
        </w:rPr>
        <w:t xml:space="preserve"> tot en met </w:t>
      </w:r>
      <w:r w:rsidR="00241760">
        <w:rPr>
          <w:rFonts w:ascii="Verdana" w:hAnsi="Verdana"/>
          <w:sz w:val="18"/>
          <w:szCs w:val="18"/>
        </w:rPr>
        <w:t>2</w:t>
      </w:r>
      <w:r w:rsidR="00EE1BC4">
        <w:rPr>
          <w:rFonts w:ascii="Verdana" w:hAnsi="Verdana"/>
          <w:sz w:val="18"/>
          <w:szCs w:val="18"/>
        </w:rPr>
        <w:t>9</w:t>
      </w:r>
      <w:r w:rsidR="00E0275D">
        <w:rPr>
          <w:rFonts w:ascii="Verdana" w:hAnsi="Verdana"/>
          <w:sz w:val="18"/>
          <w:szCs w:val="18"/>
        </w:rPr>
        <w:t xml:space="preserve"> </w:t>
      </w:r>
      <w:proofErr w:type="spellStart"/>
      <w:r w:rsidR="00E0275D">
        <w:rPr>
          <w:rFonts w:ascii="Verdana" w:hAnsi="Verdana"/>
          <w:sz w:val="18"/>
          <w:szCs w:val="18"/>
        </w:rPr>
        <w:t>Cbw</w:t>
      </w:r>
      <w:proofErr w:type="spellEnd"/>
      <w:r w:rsidRPr="00C47325">
        <w:rPr>
          <w:rFonts w:ascii="Verdana" w:hAnsi="Verdana"/>
          <w:sz w:val="18"/>
          <w:szCs w:val="18"/>
        </w:rPr>
        <w:t xml:space="preserve"> zien op de verschillende fase</w:t>
      </w:r>
      <w:r w:rsidR="00AA152B">
        <w:rPr>
          <w:rFonts w:ascii="Verdana" w:hAnsi="Verdana"/>
          <w:sz w:val="18"/>
          <w:szCs w:val="18"/>
        </w:rPr>
        <w:t>n</w:t>
      </w:r>
      <w:r w:rsidRPr="00C47325">
        <w:rPr>
          <w:rFonts w:ascii="Verdana" w:hAnsi="Verdana"/>
          <w:sz w:val="18"/>
          <w:szCs w:val="18"/>
        </w:rPr>
        <w:t xml:space="preserve"> van de melding. </w:t>
      </w:r>
      <w:r w:rsidR="00241760">
        <w:rPr>
          <w:rFonts w:ascii="Verdana" w:hAnsi="Verdana"/>
          <w:sz w:val="18"/>
          <w:szCs w:val="18"/>
        </w:rPr>
        <w:t>Paragraaf 5.4 gaat ook in op de meldplicht.</w:t>
      </w:r>
      <w:r w:rsidRPr="00C47325" w:rsidR="00EA661F">
        <w:rPr>
          <w:rFonts w:ascii="Verdana" w:hAnsi="Verdana"/>
          <w:sz w:val="18"/>
          <w:szCs w:val="18"/>
        </w:rPr>
        <w:t xml:space="preserve"> </w:t>
      </w:r>
    </w:p>
    <w:p w:rsidRPr="00C47325" w:rsidR="005E0EFB" w:rsidP="00CE333A" w:rsidRDefault="005E0EFB" w14:paraId="2F3DE31C" w14:textId="77777777">
      <w:pPr>
        <w:pStyle w:val="Geenafstand"/>
        <w:rPr>
          <w:rFonts w:ascii="Verdana" w:hAnsi="Verdana"/>
          <w:sz w:val="18"/>
          <w:szCs w:val="18"/>
        </w:rPr>
      </w:pPr>
    </w:p>
    <w:p w:rsidR="00241760" w:rsidP="00CE333A" w:rsidRDefault="00287BF0" w14:paraId="697B2457" w14:textId="018BF92E">
      <w:pPr>
        <w:pStyle w:val="Geenafstand"/>
        <w:rPr>
          <w:rFonts w:ascii="Verdana" w:hAnsi="Verdana"/>
          <w:sz w:val="18"/>
          <w:szCs w:val="18"/>
        </w:rPr>
      </w:pPr>
      <w:r w:rsidRPr="00C47325">
        <w:rPr>
          <w:rFonts w:ascii="Verdana" w:hAnsi="Verdana"/>
          <w:sz w:val="18"/>
          <w:szCs w:val="18"/>
        </w:rPr>
        <w:t xml:space="preserve">Artikel </w:t>
      </w:r>
      <w:r w:rsidR="00241760">
        <w:rPr>
          <w:rFonts w:ascii="Verdana" w:hAnsi="Verdana"/>
          <w:sz w:val="18"/>
          <w:szCs w:val="18"/>
        </w:rPr>
        <w:t>2</w:t>
      </w:r>
      <w:r w:rsidR="00EE1BC4">
        <w:rPr>
          <w:rFonts w:ascii="Verdana" w:hAnsi="Verdana"/>
          <w:sz w:val="18"/>
          <w:szCs w:val="18"/>
        </w:rPr>
        <w:t>6</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gaat over het geven van een vroegtijdige waarschuwing over een significant incident. </w:t>
      </w:r>
      <w:r w:rsidRPr="00C47325" w:rsidR="00282ECC">
        <w:rPr>
          <w:rFonts w:ascii="Verdana" w:hAnsi="Verdana"/>
          <w:sz w:val="18"/>
          <w:szCs w:val="18"/>
        </w:rPr>
        <w:t xml:space="preserve">In artikel </w:t>
      </w:r>
      <w:r w:rsidR="00241760">
        <w:rPr>
          <w:rFonts w:ascii="Verdana" w:hAnsi="Verdana"/>
          <w:sz w:val="18"/>
          <w:szCs w:val="18"/>
        </w:rPr>
        <w:t>2</w:t>
      </w:r>
      <w:r w:rsidR="00EE1BC4">
        <w:rPr>
          <w:rFonts w:ascii="Verdana" w:hAnsi="Verdana"/>
          <w:sz w:val="18"/>
          <w:szCs w:val="18"/>
        </w:rPr>
        <w:t>6</w:t>
      </w:r>
      <w:r w:rsidRPr="00C47325" w:rsidR="00282ECC">
        <w:rPr>
          <w:rFonts w:ascii="Verdana" w:hAnsi="Verdana"/>
          <w:sz w:val="18"/>
          <w:szCs w:val="18"/>
        </w:rPr>
        <w:t xml:space="preserve">, eerste lid, </w:t>
      </w:r>
      <w:proofErr w:type="spellStart"/>
      <w:r w:rsidRPr="00C47325" w:rsidR="00282ECC">
        <w:rPr>
          <w:rFonts w:ascii="Verdana" w:hAnsi="Verdana"/>
          <w:sz w:val="18"/>
          <w:szCs w:val="18"/>
        </w:rPr>
        <w:t>Cbw</w:t>
      </w:r>
      <w:proofErr w:type="spellEnd"/>
      <w:r w:rsidRPr="00C47325" w:rsidR="00282ECC">
        <w:rPr>
          <w:rFonts w:ascii="Verdana" w:hAnsi="Verdana"/>
          <w:sz w:val="18"/>
          <w:szCs w:val="18"/>
        </w:rPr>
        <w:t xml:space="preserve"> is bepaald dat e</w:t>
      </w:r>
      <w:r w:rsidRPr="00C47325">
        <w:rPr>
          <w:rFonts w:ascii="Verdana" w:hAnsi="Verdana"/>
          <w:sz w:val="18"/>
          <w:szCs w:val="18"/>
        </w:rPr>
        <w:t xml:space="preserve">ntiteiten dat onverwijld </w:t>
      </w:r>
      <w:r w:rsidRPr="00C47325" w:rsidR="00282ECC">
        <w:rPr>
          <w:rFonts w:ascii="Verdana" w:hAnsi="Verdana"/>
          <w:sz w:val="18"/>
          <w:szCs w:val="18"/>
        </w:rPr>
        <w:t xml:space="preserve">moeten </w:t>
      </w:r>
      <w:r w:rsidRPr="00C47325">
        <w:rPr>
          <w:rFonts w:ascii="Verdana" w:hAnsi="Verdana"/>
          <w:sz w:val="18"/>
          <w:szCs w:val="18"/>
        </w:rPr>
        <w:t xml:space="preserve">doen of, indien dat niet mogelijk is, binnen 24 uur nadat zij kennis hebben gekregen van dat incident. </w:t>
      </w:r>
      <w:r w:rsidR="004E0384">
        <w:rPr>
          <w:rFonts w:ascii="Verdana" w:hAnsi="Verdana"/>
          <w:sz w:val="18"/>
          <w:szCs w:val="18"/>
        </w:rPr>
        <w:t xml:space="preserve">Dit betreffen klokuren. </w:t>
      </w:r>
      <w:r w:rsidRPr="00C47325">
        <w:rPr>
          <w:rFonts w:ascii="Verdana" w:hAnsi="Verdana"/>
          <w:sz w:val="18"/>
          <w:szCs w:val="18"/>
        </w:rPr>
        <w:t xml:space="preserve">De passage </w:t>
      </w:r>
      <w:r w:rsidRPr="00C47325" w:rsidR="00192C0E">
        <w:rPr>
          <w:rFonts w:ascii="Verdana" w:hAnsi="Verdana"/>
          <w:sz w:val="18"/>
          <w:szCs w:val="18"/>
        </w:rPr>
        <w:t xml:space="preserve">“onverwijld of, indien dat niet mogelijk is, binnen 24 uur” </w:t>
      </w:r>
      <w:r w:rsidRPr="00C47325">
        <w:rPr>
          <w:rFonts w:ascii="Verdana" w:hAnsi="Verdana"/>
          <w:sz w:val="18"/>
          <w:szCs w:val="18"/>
        </w:rPr>
        <w:t>wijkt af van de in artikel 23</w:t>
      </w:r>
      <w:r w:rsidRPr="00C47325" w:rsidR="00192C0E">
        <w:rPr>
          <w:rFonts w:ascii="Verdana" w:hAnsi="Verdana"/>
          <w:sz w:val="18"/>
          <w:szCs w:val="18"/>
        </w:rPr>
        <w:t>,</w:t>
      </w:r>
      <w:r w:rsidRPr="00C47325">
        <w:rPr>
          <w:rFonts w:ascii="Verdana" w:hAnsi="Verdana"/>
          <w:sz w:val="18"/>
          <w:szCs w:val="18"/>
        </w:rPr>
        <w:t xml:space="preserve"> vierde lid, </w:t>
      </w:r>
      <w:r w:rsidRPr="00C47325" w:rsidR="00282ECC">
        <w:rPr>
          <w:rFonts w:ascii="Verdana" w:hAnsi="Verdana"/>
          <w:sz w:val="18"/>
          <w:szCs w:val="18"/>
        </w:rPr>
        <w:t xml:space="preserve">onderdeel a, </w:t>
      </w:r>
      <w:r w:rsidRPr="00C47325">
        <w:rPr>
          <w:rFonts w:ascii="Verdana" w:hAnsi="Verdana"/>
          <w:sz w:val="18"/>
          <w:szCs w:val="18"/>
        </w:rPr>
        <w:t>NIS2-richtlijn gebruikte bewoordingen van “onverwijld en in elk geval binnen 24 uur”</w:t>
      </w:r>
      <w:r w:rsidRPr="00C47325" w:rsidR="00192C0E">
        <w:rPr>
          <w:rFonts w:ascii="Verdana" w:hAnsi="Verdana"/>
          <w:sz w:val="18"/>
          <w:szCs w:val="18"/>
        </w:rPr>
        <w:t>. Hiermee is echter geen inhoudelijke wijziging ten opzichte van het bepaalde in de NIS2-richtlijn beoogd. Er is gekozen voor een andere formulering</w:t>
      </w:r>
      <w:r w:rsidRPr="00C47325" w:rsidR="0016522C">
        <w:rPr>
          <w:rFonts w:ascii="Verdana" w:hAnsi="Verdana"/>
          <w:sz w:val="18"/>
          <w:szCs w:val="18"/>
        </w:rPr>
        <w:t xml:space="preserve"> in de </w:t>
      </w:r>
      <w:proofErr w:type="spellStart"/>
      <w:r w:rsidRPr="00C47325" w:rsidR="0016522C">
        <w:rPr>
          <w:rFonts w:ascii="Verdana" w:hAnsi="Verdana"/>
          <w:sz w:val="18"/>
          <w:szCs w:val="18"/>
        </w:rPr>
        <w:t>Cbw</w:t>
      </w:r>
      <w:proofErr w:type="spellEnd"/>
      <w:r w:rsidRPr="00C47325" w:rsidR="00192C0E">
        <w:rPr>
          <w:rFonts w:ascii="Verdana" w:hAnsi="Verdana"/>
          <w:sz w:val="18"/>
          <w:szCs w:val="18"/>
        </w:rPr>
        <w:t xml:space="preserve">, omdat een strikte lezing van de bewoordingen “onverwijld en in elk geval binnen 24 uur” </w:t>
      </w:r>
      <w:r w:rsidRPr="00C47325" w:rsidR="00282ECC">
        <w:rPr>
          <w:rFonts w:ascii="Verdana" w:hAnsi="Verdana"/>
          <w:sz w:val="18"/>
          <w:szCs w:val="18"/>
        </w:rPr>
        <w:t xml:space="preserve">uit de NIS2-richtlijn zou betekenen dat entiteiten tweemaal een vroegtijdige waarschuwing moeten geven. Dat is niet de bedoeling. Voor de duidelijkheid is daarom artikel </w:t>
      </w:r>
      <w:r w:rsidR="00241760">
        <w:rPr>
          <w:rFonts w:ascii="Verdana" w:hAnsi="Verdana"/>
          <w:sz w:val="18"/>
          <w:szCs w:val="18"/>
        </w:rPr>
        <w:t>2</w:t>
      </w:r>
      <w:r w:rsidR="00EE1BC4">
        <w:rPr>
          <w:rFonts w:ascii="Verdana" w:hAnsi="Verdana"/>
          <w:sz w:val="18"/>
          <w:szCs w:val="18"/>
        </w:rPr>
        <w:t>6</w:t>
      </w:r>
      <w:r w:rsidRPr="00C47325" w:rsidR="00282ECC">
        <w:rPr>
          <w:rFonts w:ascii="Verdana" w:hAnsi="Verdana"/>
          <w:sz w:val="18"/>
          <w:szCs w:val="18"/>
        </w:rPr>
        <w:t xml:space="preserve">, eerste lid, </w:t>
      </w:r>
      <w:proofErr w:type="spellStart"/>
      <w:r w:rsidRPr="00C47325" w:rsidR="00282ECC">
        <w:rPr>
          <w:rFonts w:ascii="Verdana" w:hAnsi="Verdana"/>
          <w:sz w:val="18"/>
          <w:szCs w:val="18"/>
        </w:rPr>
        <w:t>Cbw</w:t>
      </w:r>
      <w:proofErr w:type="spellEnd"/>
      <w:r w:rsidRPr="00C47325" w:rsidR="00282ECC">
        <w:rPr>
          <w:rFonts w:ascii="Verdana" w:hAnsi="Verdana"/>
          <w:sz w:val="18"/>
          <w:szCs w:val="18"/>
        </w:rPr>
        <w:t xml:space="preserve"> zodanig geformuleerd dat duidelijk is dat entiteiten éénmaal een vroegtijdige waarschuwing moeten geven. Dat doen zij onverwijld. Indien dat niet lukt, dan rust op hen de verplichting om in elk geval binnen 24 uur na de kennisname van het incident, een vroegtijdige waarschuwing te geven. </w:t>
      </w:r>
      <w:r w:rsidRPr="00C47325">
        <w:rPr>
          <w:rFonts w:ascii="Verdana" w:hAnsi="Verdana"/>
          <w:sz w:val="18"/>
          <w:szCs w:val="18"/>
        </w:rPr>
        <w:t xml:space="preserve">Deze toelichting is ook van toepassing op artikel </w:t>
      </w:r>
      <w:r w:rsidR="00B22B5E">
        <w:rPr>
          <w:rFonts w:ascii="Verdana" w:hAnsi="Verdana"/>
          <w:sz w:val="18"/>
          <w:szCs w:val="18"/>
        </w:rPr>
        <w:t>27</w:t>
      </w:r>
      <w:r w:rsidRPr="00C47325">
        <w:rPr>
          <w:rFonts w:ascii="Verdana" w:hAnsi="Verdana"/>
          <w:sz w:val="18"/>
          <w:szCs w:val="18"/>
        </w:rPr>
        <w:t xml:space="preserve">, eerste en tweede lid, </w:t>
      </w:r>
      <w:proofErr w:type="spellStart"/>
      <w:r w:rsidRPr="00C47325">
        <w:rPr>
          <w:rFonts w:ascii="Verdana" w:hAnsi="Verdana"/>
          <w:sz w:val="18"/>
          <w:szCs w:val="18"/>
        </w:rPr>
        <w:t>Cbw</w:t>
      </w:r>
      <w:proofErr w:type="spellEnd"/>
      <w:r w:rsidRPr="00C47325">
        <w:rPr>
          <w:rFonts w:ascii="Verdana" w:hAnsi="Verdana"/>
          <w:sz w:val="18"/>
          <w:szCs w:val="18"/>
        </w:rPr>
        <w:t xml:space="preserve">, </w:t>
      </w:r>
      <w:r w:rsidRPr="00C47325" w:rsidR="00537E85">
        <w:rPr>
          <w:rFonts w:ascii="Verdana" w:hAnsi="Verdana"/>
          <w:sz w:val="18"/>
          <w:szCs w:val="18"/>
        </w:rPr>
        <w:t>waarin</w:t>
      </w:r>
      <w:r w:rsidRPr="00C47325">
        <w:rPr>
          <w:rFonts w:ascii="Verdana" w:hAnsi="Verdana"/>
          <w:sz w:val="18"/>
          <w:szCs w:val="18"/>
        </w:rPr>
        <w:t xml:space="preserve"> eveneens de passage “onverwijld of, indien dat niet mogelijk is” </w:t>
      </w:r>
      <w:r w:rsidRPr="00C47325" w:rsidR="00537E85">
        <w:rPr>
          <w:rFonts w:ascii="Verdana" w:hAnsi="Verdana"/>
          <w:sz w:val="18"/>
          <w:szCs w:val="18"/>
        </w:rPr>
        <w:t>voorkomen</w:t>
      </w:r>
      <w:r w:rsidRPr="00C47325">
        <w:rPr>
          <w:rFonts w:ascii="Verdana" w:hAnsi="Verdana"/>
          <w:sz w:val="18"/>
          <w:szCs w:val="18"/>
        </w:rPr>
        <w:t>.</w:t>
      </w:r>
    </w:p>
    <w:p w:rsidR="00241760" w:rsidP="00CE333A" w:rsidRDefault="00241760" w14:paraId="65B9BF8C" w14:textId="77777777">
      <w:pPr>
        <w:pStyle w:val="Geenafstand"/>
        <w:rPr>
          <w:rFonts w:ascii="Verdana" w:hAnsi="Verdana"/>
          <w:sz w:val="18"/>
          <w:szCs w:val="18"/>
        </w:rPr>
      </w:pPr>
    </w:p>
    <w:p w:rsidR="00241760" w:rsidP="00CE333A" w:rsidRDefault="00241760" w14:paraId="65515F13" w14:textId="685D1A05">
      <w:pPr>
        <w:pStyle w:val="Geenafstand"/>
        <w:rPr>
          <w:rFonts w:ascii="Verdana" w:hAnsi="Verdana"/>
          <w:sz w:val="18"/>
          <w:szCs w:val="18"/>
        </w:rPr>
      </w:pPr>
      <w:r>
        <w:rPr>
          <w:rFonts w:ascii="Verdana" w:hAnsi="Verdana"/>
          <w:sz w:val="18"/>
          <w:szCs w:val="18"/>
        </w:rPr>
        <w:t>De meldplicht bestaat uit de volgende fasen:</w:t>
      </w:r>
    </w:p>
    <w:p w:rsidRPr="00C47325" w:rsidR="00287BF0" w:rsidP="00CE333A" w:rsidRDefault="00287BF0" w14:paraId="0BA01EA8" w14:textId="16CA2DF2">
      <w:pPr>
        <w:pStyle w:val="Geenafstand"/>
        <w:rPr>
          <w:rFonts w:ascii="Verdana" w:hAnsi="Verdana"/>
          <w:b/>
          <w:bCs/>
          <w:sz w:val="18"/>
          <w:szCs w:val="18"/>
        </w:rPr>
      </w:pPr>
      <w:r w:rsidRPr="00C47325">
        <w:rPr>
          <w:rFonts w:ascii="Verdana" w:hAnsi="Verdana"/>
          <w:sz w:val="18"/>
          <w:szCs w:val="18"/>
        </w:rPr>
        <w:t xml:space="preserve"> </w:t>
      </w:r>
    </w:p>
    <w:p w:rsidRPr="00FF46E3" w:rsidR="009142C0" w:rsidP="009142C0" w:rsidRDefault="009142C0" w14:paraId="1DA6B768" w14:textId="77777777">
      <w:pPr>
        <w:pStyle w:val="Geenafstand"/>
        <w:rPr>
          <w:rFonts w:ascii="Verdana" w:hAnsi="Verdana"/>
          <w:i/>
          <w:iCs/>
          <w:sz w:val="18"/>
          <w:szCs w:val="18"/>
        </w:rPr>
      </w:pPr>
      <w:r w:rsidRPr="00FF46E3">
        <w:rPr>
          <w:rFonts w:ascii="Verdana" w:hAnsi="Verdana"/>
          <w:i/>
          <w:iCs/>
          <w:sz w:val="18"/>
          <w:szCs w:val="18"/>
        </w:rPr>
        <w:t xml:space="preserve">1. Vroegtijdige waarschuwing </w:t>
      </w:r>
    </w:p>
    <w:p w:rsidRPr="00FF46E3" w:rsidR="009142C0" w:rsidP="009142C0" w:rsidRDefault="009142C0" w14:paraId="1FD6DABD" w14:textId="2C12EF6F">
      <w:pPr>
        <w:pStyle w:val="Geenafstand"/>
        <w:rPr>
          <w:rFonts w:ascii="Verdana" w:hAnsi="Verdana"/>
          <w:sz w:val="18"/>
          <w:szCs w:val="18"/>
        </w:rPr>
      </w:pPr>
      <w:r w:rsidRPr="00FF46E3">
        <w:rPr>
          <w:rFonts w:ascii="Verdana" w:hAnsi="Verdana"/>
          <w:sz w:val="18"/>
          <w:szCs w:val="18"/>
        </w:rPr>
        <w:t xml:space="preserve">Wanneer een essentiële entiteit of belangrijke entiteit zich bewust wordt van een significant incident, moet zij onverwijld of, als dat niet mogelijk is, binnen 24 uur een vroegtijdige waarschuwing geven over het incident aan haar CSIRT en de toezichthoudende instantie. Bij de vroegtijdige waarschuwing is het voldoende om alleen informatie te geven die noodzakelijk is om het CSIRT en de toezichthoudende instantie op de hoogte te brengen van het significante incident en om de betrokken entiteit in staat te stellen om indien nodig bijstand te vragen. Wel moet de entiteit daarbij aangeven of het significante incident vermoedelijk door onrechtmatige of kwaadwillige handelingen is veroorzaakt en of het waarschijnlijk grensoverschrijdende gevolgen heeft. </w:t>
      </w:r>
      <w:proofErr w:type="spellStart"/>
      <w:r w:rsidRPr="00FF46E3">
        <w:rPr>
          <w:rFonts w:ascii="Verdana" w:hAnsi="Verdana"/>
          <w:sz w:val="18"/>
          <w:szCs w:val="18"/>
        </w:rPr>
        <w:t>Ransomware</w:t>
      </w:r>
      <w:proofErr w:type="spellEnd"/>
      <w:r w:rsidRPr="00FF46E3">
        <w:rPr>
          <w:rFonts w:ascii="Verdana" w:hAnsi="Verdana"/>
          <w:sz w:val="18"/>
          <w:szCs w:val="18"/>
        </w:rPr>
        <w:t xml:space="preserve"> en criminele afpersing door een hack zijn voorbeelden van zulke onrechtmatige of kwaadwillige handelingen die significante incidenten kunnen veroorzaken.</w:t>
      </w:r>
    </w:p>
    <w:p w:rsidRPr="00FF46E3" w:rsidR="009142C0" w:rsidP="009142C0" w:rsidRDefault="009142C0" w14:paraId="109242DB" w14:textId="77777777">
      <w:pPr>
        <w:pStyle w:val="Geenafstand"/>
        <w:rPr>
          <w:rFonts w:ascii="Verdana" w:hAnsi="Verdana"/>
          <w:sz w:val="18"/>
          <w:szCs w:val="18"/>
        </w:rPr>
      </w:pPr>
    </w:p>
    <w:p w:rsidRPr="00FF46E3" w:rsidR="009142C0" w:rsidP="009142C0" w:rsidRDefault="009142C0" w14:paraId="561B75E4" w14:textId="77777777">
      <w:pPr>
        <w:pStyle w:val="Geenafstand"/>
        <w:rPr>
          <w:rFonts w:ascii="Verdana" w:hAnsi="Verdana"/>
          <w:i/>
          <w:iCs/>
          <w:sz w:val="18"/>
          <w:szCs w:val="18"/>
        </w:rPr>
      </w:pPr>
      <w:r w:rsidRPr="00FF46E3">
        <w:rPr>
          <w:rFonts w:ascii="Verdana" w:hAnsi="Verdana"/>
          <w:i/>
          <w:iCs/>
          <w:sz w:val="18"/>
          <w:szCs w:val="18"/>
        </w:rPr>
        <w:t xml:space="preserve">2. Melding met update en initiële beoordeling </w:t>
      </w:r>
    </w:p>
    <w:p w:rsidRPr="00FF46E3" w:rsidR="009142C0" w:rsidP="009142C0" w:rsidRDefault="009142C0" w14:paraId="76869DB7" w14:textId="77777777">
      <w:pPr>
        <w:pStyle w:val="Geenafstand"/>
        <w:rPr>
          <w:rFonts w:ascii="Verdana" w:hAnsi="Verdana"/>
          <w:sz w:val="18"/>
          <w:szCs w:val="18"/>
        </w:rPr>
      </w:pPr>
      <w:r w:rsidRPr="00FF46E3">
        <w:rPr>
          <w:rFonts w:ascii="Verdana" w:hAnsi="Verdana"/>
          <w:sz w:val="18"/>
          <w:szCs w:val="18"/>
        </w:rPr>
        <w:t xml:space="preserve">De vroegtijdige waarschuwing moet worden gevolgd door de melding van het incident met een update van de gegeven informatie in het kader van de vroegtijdige waarschuwing, een initiële beoordeling van het significante incident, de ernst en de gevolgen ervan en, indien beschikbaar, de indicatoren voor aantasting. De melding is dus met name om de informatie bij te werken die bij de vroegtijdige waarschuwing is ingediend en om een initiële beoordeling door de entiteit van het significante incident kenbaar te maken. Bij de initiële beoordeling moet rekening worden gehouden met onder meer de getroffen netwerk- en informatiesystemen, het belang daarvan voor de door de entiteit verleende diensten, de ernst en technische kenmerken van een cyberdreiging en eventuele onderliggende kwetsbaarheden die worden uitgebuit, en de ervaring van de entiteit met soortgelijke incidenten. </w:t>
      </w:r>
    </w:p>
    <w:p w:rsidRPr="00FF46E3" w:rsidR="009142C0" w:rsidP="009142C0" w:rsidRDefault="009142C0" w14:paraId="255D7948" w14:textId="77777777">
      <w:pPr>
        <w:pStyle w:val="Geenafstand"/>
        <w:rPr>
          <w:rFonts w:ascii="Verdana" w:hAnsi="Verdana"/>
          <w:sz w:val="18"/>
          <w:szCs w:val="18"/>
        </w:rPr>
      </w:pPr>
    </w:p>
    <w:p w:rsidRPr="00FF46E3" w:rsidR="009142C0" w:rsidP="009142C0" w:rsidRDefault="009142C0" w14:paraId="0E02861E" w14:textId="77777777">
      <w:pPr>
        <w:pStyle w:val="Geenafstand"/>
        <w:rPr>
          <w:rFonts w:ascii="Verdana" w:hAnsi="Verdana"/>
          <w:i/>
          <w:iCs/>
          <w:sz w:val="18"/>
          <w:szCs w:val="18"/>
        </w:rPr>
      </w:pPr>
      <w:r w:rsidRPr="00FF46E3">
        <w:rPr>
          <w:rFonts w:ascii="Verdana" w:hAnsi="Verdana"/>
          <w:i/>
          <w:iCs/>
          <w:sz w:val="18"/>
          <w:szCs w:val="18"/>
        </w:rPr>
        <w:t>3. Tussentijds verslag (alleen na verzoek van CSIRT of toezichthoudende instantie)</w:t>
      </w:r>
    </w:p>
    <w:p w:rsidRPr="00FF46E3" w:rsidR="009142C0" w:rsidP="009142C0" w:rsidRDefault="009142C0" w14:paraId="11DFE0E7" w14:textId="77777777">
      <w:pPr>
        <w:pStyle w:val="Geenafstand"/>
        <w:rPr>
          <w:rFonts w:ascii="Verdana" w:hAnsi="Verdana"/>
          <w:sz w:val="18"/>
          <w:szCs w:val="18"/>
        </w:rPr>
      </w:pPr>
      <w:r w:rsidRPr="00FF46E3">
        <w:rPr>
          <w:rFonts w:ascii="Verdana" w:hAnsi="Verdana"/>
          <w:sz w:val="18"/>
          <w:szCs w:val="18"/>
        </w:rPr>
        <w:t xml:space="preserve">Het CSIRT en de toezichthoudende instantie kunnen naar aanleiding van de melding een essentiële entiteit of een belangrijke entiteit verzoeken om een tussentijds verslag over relevante updates van de situatie. </w:t>
      </w:r>
    </w:p>
    <w:p w:rsidRPr="00FF46E3" w:rsidR="009142C0" w:rsidP="009142C0" w:rsidRDefault="009142C0" w14:paraId="54C3B3A4" w14:textId="77777777">
      <w:pPr>
        <w:pStyle w:val="Geenafstand"/>
        <w:rPr>
          <w:rFonts w:ascii="Verdana" w:hAnsi="Verdana"/>
          <w:sz w:val="18"/>
          <w:szCs w:val="18"/>
        </w:rPr>
      </w:pPr>
    </w:p>
    <w:p w:rsidRPr="00FF46E3" w:rsidR="009142C0" w:rsidP="009142C0" w:rsidRDefault="009142C0" w14:paraId="72CF7D7B" w14:textId="77777777">
      <w:pPr>
        <w:pStyle w:val="Geenafstand"/>
        <w:rPr>
          <w:rFonts w:ascii="Verdana" w:hAnsi="Verdana"/>
          <w:i/>
          <w:iCs/>
          <w:sz w:val="18"/>
          <w:szCs w:val="18"/>
        </w:rPr>
      </w:pPr>
      <w:r w:rsidRPr="00FF46E3">
        <w:rPr>
          <w:rFonts w:ascii="Verdana" w:hAnsi="Verdana"/>
          <w:i/>
          <w:iCs/>
          <w:sz w:val="18"/>
          <w:szCs w:val="18"/>
        </w:rPr>
        <w:t>4. Eindverslag</w:t>
      </w:r>
    </w:p>
    <w:p w:rsidRPr="00FF46E3" w:rsidR="009142C0" w:rsidP="009142C0" w:rsidRDefault="009142C0" w14:paraId="1D0DCEE6" w14:textId="77777777">
      <w:pPr>
        <w:pStyle w:val="Geenafstand"/>
        <w:rPr>
          <w:rFonts w:ascii="Verdana" w:hAnsi="Verdana"/>
          <w:sz w:val="18"/>
          <w:szCs w:val="18"/>
        </w:rPr>
      </w:pPr>
      <w:r w:rsidRPr="00FF46E3">
        <w:rPr>
          <w:rFonts w:ascii="Verdana" w:hAnsi="Verdana"/>
          <w:sz w:val="18"/>
          <w:szCs w:val="18"/>
        </w:rPr>
        <w:t xml:space="preserve">Uiterlijk een maand na de melding van het incident moet een eindverslag worden ingediend. Als het incident nog aan de gang is op het moment dat het eindverslag wordt ingediend, moet de betrokken entiteit op dat moment een voortgangsverslag indienen (in plaats van een eindverslag) en binnen één maand nadat het significante incident is afgehandeld, een eindverslag indienen. Het voortgangsverslag is qua inhoud vergelijkbaar met het tussentijds verslag. </w:t>
      </w:r>
    </w:p>
    <w:p w:rsidRPr="00FF46E3" w:rsidR="009142C0" w:rsidP="009142C0" w:rsidRDefault="009142C0" w14:paraId="35C700BB" w14:textId="77777777">
      <w:pPr>
        <w:pStyle w:val="Geenafstand"/>
        <w:rPr>
          <w:rFonts w:ascii="Verdana" w:hAnsi="Verdana"/>
          <w:sz w:val="18"/>
          <w:szCs w:val="18"/>
        </w:rPr>
      </w:pPr>
      <w:r w:rsidRPr="00FF46E3">
        <w:rPr>
          <w:rFonts w:ascii="Verdana" w:hAnsi="Verdana"/>
          <w:sz w:val="18"/>
          <w:szCs w:val="18"/>
        </w:rPr>
        <w:t xml:space="preserve">Het eindverslag moet een gedetailleerde beschrijving van het incident, inclusief technische details, de ernst en de gevolgen ervan bevatten. Ook moet hierin het soort bedreiging of grondoorzaak van het significante incident worden gemeld. </w:t>
      </w:r>
    </w:p>
    <w:p w:rsidRPr="00FF46E3" w:rsidR="009142C0" w:rsidP="009142C0" w:rsidRDefault="009142C0" w14:paraId="2E73E219" w14:textId="77777777">
      <w:pPr>
        <w:pStyle w:val="Geenafstand"/>
        <w:rPr>
          <w:rFonts w:ascii="Verdana" w:hAnsi="Verdana"/>
          <w:sz w:val="18"/>
          <w:szCs w:val="18"/>
        </w:rPr>
      </w:pPr>
    </w:p>
    <w:p w:rsidRPr="00BD3C4A" w:rsidR="00155394" w:rsidP="00155394" w:rsidRDefault="00155394" w14:paraId="3FBC47D8" w14:textId="6D783C34">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30</w:t>
      </w:r>
      <w:r w:rsidRPr="00BD3C4A">
        <w:rPr>
          <w:rFonts w:ascii="Verdana" w:hAnsi="Verdana"/>
          <w:b/>
          <w:bCs/>
          <w:sz w:val="18"/>
          <w:szCs w:val="18"/>
        </w:rPr>
        <w:t xml:space="preserve"> (informeren van ontvangers van diensten) </w:t>
      </w:r>
    </w:p>
    <w:p w:rsidRPr="00C47325" w:rsidR="00CE333A" w:rsidP="00CE333A" w:rsidRDefault="00CE333A" w14:paraId="545AABED" w14:textId="77777777">
      <w:pPr>
        <w:pStyle w:val="Geenafstand"/>
        <w:rPr>
          <w:rFonts w:ascii="Verdana" w:hAnsi="Verdana"/>
          <w:b/>
          <w:bCs/>
          <w:sz w:val="18"/>
          <w:szCs w:val="18"/>
        </w:rPr>
      </w:pPr>
    </w:p>
    <w:p w:rsidRPr="00C47325" w:rsidR="00CE333A" w:rsidP="00CE333A" w:rsidRDefault="00CE333A" w14:paraId="358289D3" w14:textId="38AA90A6">
      <w:pPr>
        <w:pStyle w:val="Geenafstand"/>
        <w:rPr>
          <w:rFonts w:ascii="Verdana" w:hAnsi="Verdana"/>
          <w:sz w:val="18"/>
          <w:szCs w:val="18"/>
        </w:rPr>
      </w:pPr>
      <w:r w:rsidRPr="00C47325">
        <w:rPr>
          <w:rFonts w:ascii="Verdana" w:hAnsi="Verdana"/>
          <w:sz w:val="18"/>
          <w:szCs w:val="18"/>
        </w:rPr>
        <w:t xml:space="preserve">Artikel </w:t>
      </w:r>
      <w:r w:rsidR="00136AF0">
        <w:rPr>
          <w:rFonts w:ascii="Verdana" w:hAnsi="Verdana"/>
          <w:sz w:val="18"/>
          <w:szCs w:val="18"/>
        </w:rPr>
        <w:t>30</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23, eerste en tweede lid, NIS2-richtlijn. </w:t>
      </w:r>
    </w:p>
    <w:p w:rsidRPr="00FF46E3" w:rsidR="007C186B" w:rsidP="007C186B" w:rsidRDefault="007C186B" w14:paraId="1D79DDD0" w14:textId="77777777">
      <w:pPr>
        <w:pStyle w:val="Geenafstand"/>
        <w:rPr>
          <w:rFonts w:ascii="Verdana" w:hAnsi="Verdana"/>
          <w:i/>
          <w:iCs/>
          <w:sz w:val="18"/>
          <w:szCs w:val="18"/>
        </w:rPr>
      </w:pPr>
    </w:p>
    <w:p w:rsidRPr="00FF46E3" w:rsidR="007C186B" w:rsidP="007C186B" w:rsidRDefault="007C186B" w14:paraId="189F453C" w14:textId="77777777">
      <w:pPr>
        <w:pStyle w:val="Geenafstand"/>
        <w:rPr>
          <w:rFonts w:ascii="Verdana" w:hAnsi="Verdana"/>
          <w:sz w:val="18"/>
          <w:szCs w:val="18"/>
        </w:rPr>
      </w:pPr>
      <w:r w:rsidRPr="00FF46E3">
        <w:rPr>
          <w:rFonts w:ascii="Verdana" w:hAnsi="Verdana"/>
          <w:sz w:val="18"/>
          <w:szCs w:val="18"/>
        </w:rPr>
        <w:t>De essentiële entiteit respectievelijk</w:t>
      </w:r>
      <w:r w:rsidRPr="00FF46E3" w:rsidDel="001D7E75">
        <w:rPr>
          <w:rFonts w:ascii="Verdana" w:hAnsi="Verdana"/>
          <w:sz w:val="18"/>
          <w:szCs w:val="18"/>
        </w:rPr>
        <w:t xml:space="preserve"> </w:t>
      </w:r>
      <w:r w:rsidRPr="00FF46E3">
        <w:rPr>
          <w:rFonts w:ascii="Verdana" w:hAnsi="Verdana"/>
          <w:sz w:val="18"/>
          <w:szCs w:val="18"/>
        </w:rPr>
        <w:t xml:space="preserve">de belangrijke entiteit stelt in voorkomend geval zo snel mogelijk de ontvangers van haar diensten in kennis van significante incidenten die een nadelige invloed kunnen hebben op de verlening van die diensten. Ook deelt de entiteit alle maatregelen of voorzieningen die de ontvanger van de dienst ter beschikking staan om de risico’s die uit een cyberdreiging voortvloeien te beperken. Vooral wanneer de cyberdreigingen waarschijnlijk tot incidenten zullen leiden, moeten die entiteiten de ontvangers van hun dienst ook op de hoogte brengen van de dreiging zelf. Dit doen zij naar hun beste vermogen, maar het ontslaat hen niet van de verplichting om op eigen kosten passende en onmiddellijke maatregelen te nemen om dergelijke dreigingen te voorkomen of te verhelpen en het normale beveiligingsniveau van de dienst te herstellen. Dergelijke informatie over cyberdreigingen aan de ontvangers van de dienst moet zonder kosten worden verstrekt en in gemakkelijk te begrijpen taal worden opgesteld. </w:t>
      </w:r>
    </w:p>
    <w:p w:rsidRPr="00FF46E3" w:rsidR="007C186B" w:rsidP="007C186B" w:rsidRDefault="007C186B" w14:paraId="312FC81E" w14:textId="77777777">
      <w:pPr>
        <w:pStyle w:val="Geenafstand"/>
        <w:rPr>
          <w:rFonts w:ascii="Verdana" w:hAnsi="Verdana"/>
          <w:sz w:val="18"/>
          <w:szCs w:val="18"/>
        </w:rPr>
      </w:pPr>
    </w:p>
    <w:p w:rsidRPr="00C47325" w:rsidR="007C186B" w:rsidP="00CB6D88" w:rsidRDefault="007C186B" w14:paraId="2070074F" w14:textId="6C9533FD">
      <w:pPr>
        <w:pStyle w:val="Geenafstand"/>
        <w:rPr>
          <w:rFonts w:ascii="Verdana" w:hAnsi="Verdana"/>
          <w:b/>
          <w:bCs/>
          <w:sz w:val="18"/>
          <w:szCs w:val="18"/>
        </w:rPr>
      </w:pPr>
      <w:r w:rsidRPr="00FF46E3">
        <w:rPr>
          <w:rFonts w:ascii="Verdana" w:hAnsi="Verdana"/>
          <w:sz w:val="18"/>
          <w:szCs w:val="18"/>
        </w:rPr>
        <w:t xml:space="preserve">Meer in het bijzonder geldt voor aanbieders van openbare elektronische communicatienetwerken en van openbare elektronische communicatiediensten dat zij security (en privacy) </w:t>
      </w:r>
      <w:proofErr w:type="spellStart"/>
      <w:r w:rsidRPr="00FF46E3">
        <w:rPr>
          <w:rFonts w:ascii="Verdana" w:hAnsi="Verdana"/>
          <w:i/>
          <w:iCs/>
          <w:sz w:val="18"/>
          <w:szCs w:val="18"/>
        </w:rPr>
        <w:t>by</w:t>
      </w:r>
      <w:proofErr w:type="spellEnd"/>
      <w:r w:rsidRPr="00FF46E3">
        <w:rPr>
          <w:rFonts w:ascii="Verdana" w:hAnsi="Verdana"/>
          <w:i/>
          <w:iCs/>
          <w:sz w:val="18"/>
          <w:szCs w:val="18"/>
        </w:rPr>
        <w:t xml:space="preserve"> default</w:t>
      </w:r>
      <w:r w:rsidRPr="00FF46E3">
        <w:rPr>
          <w:rFonts w:ascii="Verdana" w:hAnsi="Verdana"/>
          <w:sz w:val="18"/>
          <w:szCs w:val="18"/>
        </w:rPr>
        <w:t xml:space="preserve"> en </w:t>
      </w:r>
      <w:proofErr w:type="spellStart"/>
      <w:r w:rsidRPr="00FF46E3">
        <w:rPr>
          <w:rFonts w:ascii="Verdana" w:hAnsi="Verdana"/>
          <w:i/>
          <w:iCs/>
          <w:sz w:val="18"/>
          <w:szCs w:val="18"/>
        </w:rPr>
        <w:t>by</w:t>
      </w:r>
      <w:proofErr w:type="spellEnd"/>
      <w:r w:rsidRPr="00FF46E3">
        <w:rPr>
          <w:rFonts w:ascii="Verdana" w:hAnsi="Verdana"/>
          <w:i/>
          <w:iCs/>
          <w:sz w:val="18"/>
          <w:szCs w:val="18"/>
        </w:rPr>
        <w:t xml:space="preserve"> design</w:t>
      </w:r>
      <w:r w:rsidRPr="00FF46E3">
        <w:rPr>
          <w:rFonts w:ascii="Verdana" w:hAnsi="Verdana"/>
          <w:sz w:val="18"/>
          <w:szCs w:val="18"/>
        </w:rPr>
        <w:t xml:space="preserve"> moeten bieden. Ook moeten zij hun dienstontvangers op de hoogte brengen van significante cyberdreigingen en van de maatregelen die zij kunnen nemen om de beveiliging van hun apparaten en communicatie te beschermen, bijvoorbeeld door gebruik te maken van specifieke soorten software of encryptietechnologieën.</w:t>
      </w:r>
      <w:r w:rsidRPr="00FF46E3">
        <w:rPr>
          <w:rStyle w:val="Voetnootmarkering"/>
          <w:rFonts w:ascii="Verdana" w:hAnsi="Verdana"/>
          <w:sz w:val="18"/>
          <w:szCs w:val="18"/>
        </w:rPr>
        <w:footnoteReference w:id="93"/>
      </w:r>
    </w:p>
    <w:p w:rsidRPr="00C47325" w:rsidR="00CE333A" w:rsidP="00CE333A" w:rsidRDefault="00CE333A" w14:paraId="6BEE3E9D" w14:textId="77777777">
      <w:pPr>
        <w:spacing w:after="0" w:line="240" w:lineRule="auto"/>
        <w:rPr>
          <w:rFonts w:ascii="Verdana" w:hAnsi="Verdana"/>
          <w:b/>
          <w:bCs/>
          <w:sz w:val="18"/>
          <w:szCs w:val="18"/>
        </w:rPr>
      </w:pPr>
    </w:p>
    <w:p w:rsidRPr="00BD3C4A" w:rsidR="00155394" w:rsidP="00155394" w:rsidRDefault="00155394" w14:paraId="73A46B4C" w14:textId="32F86786">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31</w:t>
      </w:r>
      <w:r w:rsidRPr="00BD3C4A">
        <w:rPr>
          <w:rFonts w:ascii="Verdana" w:hAnsi="Verdana"/>
          <w:b/>
          <w:bCs/>
          <w:sz w:val="18"/>
          <w:szCs w:val="18"/>
        </w:rPr>
        <w:t xml:space="preserve"> (sectorspecifieke rechtshandelingen</w:t>
      </w:r>
      <w:r>
        <w:rPr>
          <w:rFonts w:ascii="Verdana" w:hAnsi="Verdana"/>
          <w:b/>
          <w:bCs/>
          <w:sz w:val="18"/>
          <w:szCs w:val="18"/>
        </w:rPr>
        <w:t xml:space="preserve"> meldplicht</w:t>
      </w:r>
      <w:r w:rsidRPr="00BD3C4A">
        <w:rPr>
          <w:rFonts w:ascii="Verdana" w:hAnsi="Verdana"/>
          <w:b/>
          <w:bCs/>
          <w:sz w:val="18"/>
          <w:szCs w:val="18"/>
        </w:rPr>
        <w:t>)</w:t>
      </w:r>
    </w:p>
    <w:p w:rsidRPr="00C47325" w:rsidR="00CE333A" w:rsidP="00CE333A" w:rsidRDefault="00CE333A" w14:paraId="446B0F3D" w14:textId="77777777">
      <w:pPr>
        <w:pStyle w:val="Geenafstand"/>
        <w:rPr>
          <w:rFonts w:ascii="Verdana" w:hAnsi="Verdana"/>
          <w:sz w:val="18"/>
          <w:szCs w:val="18"/>
        </w:rPr>
      </w:pPr>
    </w:p>
    <w:p w:rsidRPr="00FF46E3" w:rsidR="000A5597" w:rsidP="000A5597" w:rsidRDefault="000A5597" w14:paraId="3F064D8C" w14:textId="77777777">
      <w:pPr>
        <w:pStyle w:val="Geenafstand"/>
        <w:rPr>
          <w:rFonts w:ascii="Verdana" w:hAnsi="Verdana"/>
          <w:sz w:val="18"/>
          <w:szCs w:val="18"/>
        </w:rPr>
      </w:pPr>
      <w:r w:rsidRPr="00FF46E3">
        <w:rPr>
          <w:rFonts w:ascii="Verdana" w:hAnsi="Verdana"/>
          <w:sz w:val="18"/>
          <w:szCs w:val="18"/>
        </w:rPr>
        <w:t xml:space="preserve">In artikel 4 NIS2-richtlijn is bepaald dat als sectorspecifieke rechtshandelingen van de EU voorschrijven dat essentiële entiteiten of belangrijke entiteiten risicobeheersmaatregelen op het gebied van cyberbeveiliging moeten nemen of significante incidenten moeten melden, en </w:t>
      </w:r>
    </w:p>
    <w:p w:rsidRPr="00FF46E3" w:rsidR="000A5597" w:rsidP="000A5597" w:rsidRDefault="000A5597" w14:paraId="6FD9C3E1" w14:textId="1C484BF0">
      <w:pPr>
        <w:pStyle w:val="Geenafstand"/>
        <w:rPr>
          <w:rFonts w:ascii="Verdana" w:hAnsi="Verdana"/>
          <w:sz w:val="18"/>
          <w:szCs w:val="18"/>
        </w:rPr>
      </w:pPr>
      <w:r w:rsidRPr="00FF46E3">
        <w:rPr>
          <w:rFonts w:ascii="Verdana" w:hAnsi="Verdana"/>
          <w:sz w:val="18"/>
          <w:szCs w:val="18"/>
        </w:rPr>
        <w:t xml:space="preserve">als deze eisen ten minste gelijkwaardig zijn aan de in de NIS2-richtlijn vastgestelde verplichtingen, de relevante bepalingen van de NIS2-richtlijn, waaronder die over het toezicht en de handhaving, dan niet van toepassing zijn op die entiteiten. </w:t>
      </w:r>
      <w:r w:rsidR="003C4945">
        <w:rPr>
          <w:rFonts w:ascii="Verdana" w:hAnsi="Verdana"/>
          <w:sz w:val="18"/>
          <w:szCs w:val="18"/>
        </w:rPr>
        <w:t xml:space="preserve">Zo wordt voorkomen dat entiteiten aan verschillende wettelijke kaders moeten voldoen die (minimaal) hetzelfde niveau van cyberbeveiliging regelen. </w:t>
      </w:r>
      <w:r w:rsidRPr="00FF46E3">
        <w:rPr>
          <w:rFonts w:ascii="Verdana" w:hAnsi="Verdana"/>
          <w:sz w:val="18"/>
          <w:szCs w:val="18"/>
        </w:rPr>
        <w:t xml:space="preserve">Artikel 4 NIS2-richtlijn is geïmplementeerd in de artikelen </w:t>
      </w:r>
      <w:r w:rsidR="00372EFE">
        <w:rPr>
          <w:rFonts w:ascii="Verdana" w:hAnsi="Verdana"/>
          <w:sz w:val="18"/>
          <w:szCs w:val="18"/>
        </w:rPr>
        <w:t>2</w:t>
      </w:r>
      <w:r w:rsidR="00136AF0">
        <w:rPr>
          <w:rFonts w:ascii="Verdana" w:hAnsi="Verdana"/>
          <w:sz w:val="18"/>
          <w:szCs w:val="18"/>
        </w:rPr>
        <w:t>2</w:t>
      </w:r>
      <w:r w:rsidRPr="00FF46E3">
        <w:rPr>
          <w:rFonts w:ascii="Verdana" w:hAnsi="Verdana"/>
          <w:sz w:val="18"/>
          <w:szCs w:val="18"/>
        </w:rPr>
        <w:t xml:space="preserve"> en </w:t>
      </w:r>
      <w:r w:rsidR="00372EFE">
        <w:rPr>
          <w:rFonts w:ascii="Verdana" w:hAnsi="Verdana"/>
          <w:sz w:val="18"/>
          <w:szCs w:val="18"/>
        </w:rPr>
        <w:t>3</w:t>
      </w:r>
      <w:r w:rsidR="00136AF0">
        <w:rPr>
          <w:rFonts w:ascii="Verdana" w:hAnsi="Verdana"/>
          <w:sz w:val="18"/>
          <w:szCs w:val="18"/>
        </w:rPr>
        <w:t>1</w:t>
      </w:r>
      <w:r w:rsidRPr="00FF46E3">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w:t>
      </w:r>
    </w:p>
    <w:p w:rsidR="00372EFE" w:rsidP="000A5597" w:rsidRDefault="00372EFE" w14:paraId="31FC8642" w14:textId="77777777">
      <w:pPr>
        <w:pStyle w:val="Geenafstand"/>
        <w:rPr>
          <w:rFonts w:ascii="Verdana" w:hAnsi="Verdana"/>
          <w:sz w:val="18"/>
          <w:szCs w:val="18"/>
        </w:rPr>
      </w:pPr>
    </w:p>
    <w:p w:rsidRPr="00FF46E3" w:rsidR="000A5597" w:rsidP="000A5597" w:rsidRDefault="000A5597" w14:paraId="7E3905D0" w14:textId="1C0CCC0B">
      <w:pPr>
        <w:pStyle w:val="Geenafstand"/>
        <w:rPr>
          <w:rFonts w:ascii="Verdana" w:hAnsi="Verdana"/>
          <w:sz w:val="18"/>
          <w:szCs w:val="18"/>
        </w:rPr>
      </w:pPr>
      <w:r w:rsidRPr="00FF46E3">
        <w:rPr>
          <w:rFonts w:ascii="Verdana" w:hAnsi="Verdana"/>
          <w:sz w:val="18"/>
          <w:szCs w:val="18"/>
        </w:rPr>
        <w:t>Hierbij gaat het meer concreet om de zorgplicht</w:t>
      </w:r>
      <w:r w:rsidR="00CA0AA0">
        <w:rPr>
          <w:rFonts w:ascii="Verdana" w:hAnsi="Verdana"/>
          <w:sz w:val="18"/>
          <w:szCs w:val="18"/>
        </w:rPr>
        <w:t xml:space="preserve">, de verplichtingen over de </w:t>
      </w:r>
      <w:proofErr w:type="spellStart"/>
      <w:r w:rsidR="00CA0AA0">
        <w:rPr>
          <w:rFonts w:ascii="Verdana" w:hAnsi="Verdana"/>
          <w:sz w:val="18"/>
          <w:szCs w:val="18"/>
        </w:rPr>
        <w:t>governance</w:t>
      </w:r>
      <w:proofErr w:type="spellEnd"/>
      <w:r w:rsidRPr="00FF46E3">
        <w:rPr>
          <w:rFonts w:ascii="Verdana" w:hAnsi="Verdana"/>
          <w:sz w:val="18"/>
          <w:szCs w:val="18"/>
        </w:rPr>
        <w:t xml:space="preserve"> en de meldplicht uit de </w:t>
      </w:r>
      <w:proofErr w:type="spellStart"/>
      <w:r w:rsidRPr="00FF46E3">
        <w:rPr>
          <w:rFonts w:ascii="Verdana" w:hAnsi="Verdana"/>
          <w:sz w:val="18"/>
          <w:szCs w:val="18"/>
        </w:rPr>
        <w:t>Cbw</w:t>
      </w:r>
      <w:proofErr w:type="spellEnd"/>
      <w:r w:rsidRPr="00FF46E3">
        <w:rPr>
          <w:rFonts w:ascii="Verdana" w:hAnsi="Verdana"/>
          <w:sz w:val="18"/>
          <w:szCs w:val="18"/>
        </w:rPr>
        <w:t xml:space="preserve">, die dan niet van toepassing zijn op de betrokken entiteiten. De andere bepalingen uit de </w:t>
      </w:r>
      <w:proofErr w:type="spellStart"/>
      <w:r w:rsidRPr="00FF46E3">
        <w:rPr>
          <w:rFonts w:ascii="Verdana" w:hAnsi="Verdana"/>
          <w:sz w:val="18"/>
          <w:szCs w:val="18"/>
        </w:rPr>
        <w:t>Cbw</w:t>
      </w:r>
      <w:proofErr w:type="spellEnd"/>
      <w:r w:rsidRPr="00FF46E3">
        <w:rPr>
          <w:rFonts w:ascii="Verdana" w:hAnsi="Verdana"/>
          <w:sz w:val="18"/>
          <w:szCs w:val="18"/>
        </w:rPr>
        <w:t xml:space="preserve"> blijven van toepassing op die entiteiten. </w:t>
      </w:r>
    </w:p>
    <w:p w:rsidRPr="00C47325" w:rsidR="00CE333A" w:rsidP="00CE333A" w:rsidRDefault="00CE333A" w14:paraId="29053CFE" w14:textId="77777777">
      <w:pPr>
        <w:pStyle w:val="Geenafstand"/>
        <w:rPr>
          <w:rFonts w:ascii="Verdana" w:hAnsi="Verdana"/>
          <w:sz w:val="18"/>
          <w:szCs w:val="18"/>
        </w:rPr>
      </w:pPr>
    </w:p>
    <w:p w:rsidRPr="00BD3C4A" w:rsidR="00155394" w:rsidP="00155394" w:rsidRDefault="00155394" w14:paraId="0C1A01C3" w14:textId="1C95FBA6">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32</w:t>
      </w:r>
      <w:r w:rsidRPr="00BD3C4A">
        <w:rPr>
          <w:rFonts w:ascii="Verdana" w:hAnsi="Verdana"/>
          <w:b/>
          <w:bCs/>
          <w:sz w:val="18"/>
          <w:szCs w:val="18"/>
        </w:rPr>
        <w:t xml:space="preserve"> (ontheffing meldplicht)</w:t>
      </w:r>
    </w:p>
    <w:p w:rsidRPr="00C47325" w:rsidR="00CE333A" w:rsidP="00CE333A" w:rsidRDefault="00CE333A" w14:paraId="5F5B833C" w14:textId="77777777">
      <w:pPr>
        <w:pStyle w:val="Geenafstand"/>
        <w:rPr>
          <w:rFonts w:ascii="Verdana" w:hAnsi="Verdana"/>
          <w:sz w:val="18"/>
          <w:szCs w:val="18"/>
        </w:rPr>
      </w:pPr>
    </w:p>
    <w:p w:rsidR="006543A8" w:rsidP="006543A8" w:rsidRDefault="006543A8" w14:paraId="499BCB03" w14:textId="77777777">
      <w:pPr>
        <w:pStyle w:val="Geenafstand"/>
        <w:rPr>
          <w:rFonts w:ascii="Verdana" w:hAnsi="Verdana"/>
          <w:sz w:val="18"/>
          <w:szCs w:val="18"/>
        </w:rPr>
      </w:pPr>
      <w:bookmarkStart w:name="_Hlk180481828" w:id="273"/>
      <w:r w:rsidRPr="00FF46E3">
        <w:rPr>
          <w:rFonts w:ascii="Verdana" w:hAnsi="Verdana"/>
          <w:sz w:val="18"/>
          <w:szCs w:val="18"/>
        </w:rPr>
        <w:t>Overheidsinstanties die in hoofdzaak activiteiten uitvoeren op het gebied van nationale veiligheid, openbare veiligheid, defensie of rechtshandhaving, met inbegrip van het voorkomen, onderzoeken, opsporen en vervolgen van strafbare feiten,</w:t>
      </w:r>
      <w:r w:rsidRPr="00FF46E3">
        <w:rPr>
          <w:rFonts w:ascii="Verdana" w:hAnsi="Verdana"/>
        </w:rPr>
        <w:t xml:space="preserve"> </w:t>
      </w:r>
      <w:r w:rsidRPr="00FF46E3">
        <w:rPr>
          <w:rFonts w:ascii="Verdana" w:hAnsi="Verdana"/>
          <w:sz w:val="18"/>
          <w:szCs w:val="18"/>
        </w:rPr>
        <w:t>zijn van rechtswege uitgesloten van het toepassingsgebied van de NIS2-richtlijn. Overheidsinstanties waarvan de activiteiten slechts zijdelings verband houden met die gebieden, zijn daarentegen niet uitgesloten van het toepassingsgebied.</w:t>
      </w:r>
    </w:p>
    <w:bookmarkEnd w:id="273"/>
    <w:p w:rsidR="00372EFE" w:rsidP="006543A8" w:rsidRDefault="00372EFE" w14:paraId="10D53F38" w14:textId="77777777">
      <w:pPr>
        <w:pStyle w:val="Geenafstand"/>
        <w:rPr>
          <w:rFonts w:ascii="Verdana" w:hAnsi="Verdana"/>
          <w:sz w:val="18"/>
          <w:szCs w:val="18"/>
        </w:rPr>
      </w:pPr>
    </w:p>
    <w:p w:rsidR="006543A8" w:rsidP="006543A8" w:rsidRDefault="006543A8" w14:paraId="78C80A21" w14:textId="6B386B99">
      <w:pPr>
        <w:pStyle w:val="Geenafstand"/>
        <w:rPr>
          <w:rFonts w:ascii="Verdana" w:hAnsi="Verdana"/>
          <w:sz w:val="18"/>
          <w:szCs w:val="18"/>
        </w:rPr>
      </w:pPr>
      <w:bookmarkStart w:name="_Hlk180481848" w:id="274"/>
      <w:r w:rsidRPr="00FF46E3">
        <w:rPr>
          <w:rFonts w:ascii="Verdana" w:hAnsi="Verdana"/>
          <w:sz w:val="18"/>
          <w:szCs w:val="18"/>
        </w:rPr>
        <w:t xml:space="preserve">Artikel 2, achtste lid, NIS2-richtlijn biedt lidstaten de mogelijkheid om entiteiten die activiteiten uitvoeren op het gebied van nationale veiligheid, openbare veiligheid, defensie of rechtshandhaving, of die uitsluitend diensten verlenen aan overheidsinstanties die in hoofdzaak zulke activiteiten uitvoeren, met betrekking tot die activiteiten of diensten te ontheffen van bepaalde verplichtingen, waaronder de </w:t>
      </w:r>
      <w:r>
        <w:rPr>
          <w:rFonts w:ascii="Verdana" w:hAnsi="Verdana"/>
          <w:sz w:val="18"/>
          <w:szCs w:val="18"/>
        </w:rPr>
        <w:t>meld</w:t>
      </w:r>
      <w:r w:rsidRPr="00FF46E3">
        <w:rPr>
          <w:rFonts w:ascii="Verdana" w:hAnsi="Verdana"/>
          <w:sz w:val="18"/>
          <w:szCs w:val="18"/>
        </w:rPr>
        <w:t>plicht.</w:t>
      </w:r>
      <w:r>
        <w:rPr>
          <w:rFonts w:ascii="Verdana" w:hAnsi="Verdana"/>
          <w:sz w:val="18"/>
          <w:szCs w:val="18"/>
        </w:rPr>
        <w:t xml:space="preserve"> </w:t>
      </w:r>
      <w:r w:rsidR="00654C06">
        <w:rPr>
          <w:rFonts w:ascii="Verdana" w:hAnsi="Verdana"/>
          <w:sz w:val="18"/>
          <w:szCs w:val="18"/>
        </w:rPr>
        <w:t xml:space="preserve">Deze activiteiten vallen namelijk binnen de uitsluitende verantwoordelijkheid van lidstaten </w:t>
      </w:r>
      <w:r w:rsidRPr="00654C06" w:rsidR="00654C06">
        <w:rPr>
          <w:rFonts w:ascii="Verdana" w:hAnsi="Verdana"/>
          <w:sz w:val="18"/>
          <w:szCs w:val="18"/>
        </w:rPr>
        <w:t>en verantwoorden daarmee om ook deze entiteiten te ontheffen van bepaalde verplichtingen.</w:t>
      </w:r>
    </w:p>
    <w:bookmarkEnd w:id="274"/>
    <w:p w:rsidR="00372EFE" w:rsidP="006543A8" w:rsidRDefault="00372EFE" w14:paraId="49E12FAA" w14:textId="77777777">
      <w:pPr>
        <w:pStyle w:val="Geenafstand"/>
        <w:rPr>
          <w:rFonts w:ascii="Verdana" w:hAnsi="Verdana"/>
          <w:sz w:val="18"/>
          <w:szCs w:val="18"/>
        </w:rPr>
      </w:pPr>
    </w:p>
    <w:p w:rsidR="006543A8" w:rsidP="006543A8" w:rsidRDefault="006543A8" w14:paraId="2D397E3D" w14:textId="6E84AF2F">
      <w:pPr>
        <w:pStyle w:val="Geenafstand"/>
        <w:rPr>
          <w:rFonts w:ascii="Verdana" w:hAnsi="Verdana"/>
          <w:sz w:val="18"/>
          <w:szCs w:val="18"/>
        </w:rPr>
      </w:pPr>
      <w:bookmarkStart w:name="_Hlk180481899" w:id="275"/>
      <w:r w:rsidRPr="00C47325">
        <w:rPr>
          <w:rFonts w:ascii="Verdana" w:hAnsi="Verdana"/>
          <w:sz w:val="18"/>
          <w:szCs w:val="18"/>
        </w:rPr>
        <w:t xml:space="preserve">Artikel </w:t>
      </w:r>
      <w:r w:rsidR="00372EFE">
        <w:rPr>
          <w:rFonts w:ascii="Verdana" w:hAnsi="Verdana"/>
          <w:sz w:val="18"/>
          <w:szCs w:val="18"/>
        </w:rPr>
        <w:t>3</w:t>
      </w:r>
      <w:r w:rsidR="00136AF0">
        <w:rPr>
          <w:rFonts w:ascii="Verdana" w:hAnsi="Verdana"/>
          <w:sz w:val="18"/>
          <w:szCs w:val="18"/>
        </w:rPr>
        <w:t>2</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strekt tot de implementatie van artikel 2, achtste lid, NIS2-richtlijn</w:t>
      </w:r>
      <w:r>
        <w:rPr>
          <w:rFonts w:ascii="Verdana" w:hAnsi="Verdana"/>
          <w:sz w:val="18"/>
          <w:szCs w:val="18"/>
        </w:rPr>
        <w:t>, specifiek ten aanzien van de meldplicht</w:t>
      </w:r>
      <w:r w:rsidRPr="00C47325">
        <w:rPr>
          <w:rFonts w:ascii="Verdana" w:hAnsi="Verdana"/>
          <w:sz w:val="18"/>
          <w:szCs w:val="18"/>
        </w:rPr>
        <w:t>.</w:t>
      </w:r>
      <w:r>
        <w:rPr>
          <w:rFonts w:ascii="Verdana" w:hAnsi="Verdana"/>
          <w:sz w:val="18"/>
          <w:szCs w:val="18"/>
        </w:rPr>
        <w:t xml:space="preserve"> </w:t>
      </w:r>
      <w:r w:rsidRPr="00FF46E3">
        <w:rPr>
          <w:rFonts w:ascii="Verdana" w:hAnsi="Verdana"/>
          <w:sz w:val="18"/>
          <w:szCs w:val="18"/>
        </w:rPr>
        <w:t xml:space="preserve">De bevoegdheid om </w:t>
      </w:r>
      <w:r>
        <w:rPr>
          <w:rFonts w:ascii="Verdana" w:hAnsi="Verdana"/>
          <w:sz w:val="18"/>
          <w:szCs w:val="18"/>
        </w:rPr>
        <w:t xml:space="preserve">de hiervoor bedoelde </w:t>
      </w:r>
      <w:r w:rsidRPr="00FF46E3">
        <w:rPr>
          <w:rFonts w:ascii="Verdana" w:hAnsi="Verdana"/>
          <w:sz w:val="18"/>
          <w:szCs w:val="18"/>
        </w:rPr>
        <w:t>entiteiten te ontheffen van</w:t>
      </w:r>
      <w:r>
        <w:rPr>
          <w:rFonts w:ascii="Verdana" w:hAnsi="Verdana"/>
          <w:sz w:val="18"/>
          <w:szCs w:val="18"/>
        </w:rPr>
        <w:t xml:space="preserve"> de meldplicht</w:t>
      </w:r>
      <w:r w:rsidRPr="00FF46E3">
        <w:rPr>
          <w:rFonts w:ascii="Verdana" w:hAnsi="Verdana"/>
          <w:sz w:val="18"/>
          <w:szCs w:val="18"/>
        </w:rPr>
        <w:t xml:space="preserve"> wordt belegd bij de vakminister. De vakminister kan overgaan tot het verlenen van een ontheffing in overeenstemming met de Minister van Justitie en Veiligheid. </w:t>
      </w:r>
    </w:p>
    <w:bookmarkEnd w:id="275"/>
    <w:p w:rsidRPr="00C47325" w:rsidR="00CE333A" w:rsidP="00CE333A" w:rsidRDefault="00CE333A" w14:paraId="5E15F7C9" w14:textId="77777777">
      <w:pPr>
        <w:pStyle w:val="Geenafstand"/>
        <w:rPr>
          <w:rFonts w:ascii="Verdana" w:hAnsi="Verdana"/>
          <w:sz w:val="18"/>
          <w:szCs w:val="18"/>
        </w:rPr>
      </w:pPr>
    </w:p>
    <w:p w:rsidRPr="00BD3C4A" w:rsidR="00155394" w:rsidP="00155394" w:rsidRDefault="00155394" w14:paraId="048ACF84" w14:textId="73419FC6">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33</w:t>
      </w:r>
      <w:r w:rsidRPr="00BD3C4A">
        <w:rPr>
          <w:rFonts w:ascii="Verdana" w:hAnsi="Verdana"/>
          <w:b/>
          <w:bCs/>
          <w:sz w:val="18"/>
          <w:szCs w:val="18"/>
        </w:rPr>
        <w:t xml:space="preserve"> (vrijwillige meldingen van significante incidenten, incidenten, bijna-incidenten en cyberdreigingen)</w:t>
      </w:r>
    </w:p>
    <w:p w:rsidRPr="00C47325" w:rsidR="00CE333A" w:rsidP="00CE333A" w:rsidRDefault="00CE333A" w14:paraId="3EE83A68" w14:textId="77777777">
      <w:pPr>
        <w:pStyle w:val="Geenafstand"/>
        <w:rPr>
          <w:rFonts w:ascii="Verdana" w:hAnsi="Verdana"/>
          <w:b/>
          <w:bCs/>
          <w:sz w:val="18"/>
          <w:szCs w:val="18"/>
        </w:rPr>
      </w:pPr>
    </w:p>
    <w:p w:rsidRPr="00FF46E3" w:rsidR="00C02F47" w:rsidP="00067E4A" w:rsidRDefault="00CE333A" w14:paraId="771D4FF2" w14:textId="379B58F4">
      <w:pPr>
        <w:spacing w:after="0" w:line="240" w:lineRule="auto"/>
      </w:pPr>
      <w:r w:rsidRPr="00C47325">
        <w:rPr>
          <w:rFonts w:ascii="Verdana" w:hAnsi="Verdana"/>
          <w:sz w:val="18"/>
          <w:szCs w:val="18"/>
        </w:rPr>
        <w:t xml:space="preserve">Artikel </w:t>
      </w:r>
      <w:r w:rsidR="00B01BFF">
        <w:rPr>
          <w:rFonts w:ascii="Verdana" w:hAnsi="Verdana"/>
          <w:sz w:val="18"/>
          <w:szCs w:val="18"/>
        </w:rPr>
        <w:t>3</w:t>
      </w:r>
      <w:r w:rsidR="00136AF0">
        <w:rPr>
          <w:rFonts w:ascii="Verdana" w:hAnsi="Verdana"/>
          <w:sz w:val="18"/>
          <w:szCs w:val="18"/>
        </w:rPr>
        <w:t>3</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30, eerste en tweede lid, NIS2-richtlijn en gaat over vrijwillige meldingen van significante incidenten, incidenten, bijna-incidenten en cyberdreigingen. </w:t>
      </w:r>
    </w:p>
    <w:p w:rsidRPr="00FF46E3" w:rsidR="00C02F47" w:rsidP="00C02F47" w:rsidRDefault="00C02F47" w14:paraId="3A90FDC9" w14:textId="77777777">
      <w:pPr>
        <w:pStyle w:val="Geenafstand"/>
        <w:rPr>
          <w:rFonts w:ascii="Verdana" w:hAnsi="Verdana"/>
          <w:sz w:val="18"/>
          <w:szCs w:val="18"/>
        </w:rPr>
      </w:pPr>
    </w:p>
    <w:p w:rsidRPr="00FF46E3" w:rsidR="00C02F47" w:rsidP="00C02F47" w:rsidRDefault="00C02F47" w14:paraId="6764E00F" w14:textId="52E158CD">
      <w:pPr>
        <w:pStyle w:val="Geenafstand"/>
        <w:rPr>
          <w:rFonts w:ascii="Verdana" w:hAnsi="Verdana"/>
          <w:sz w:val="18"/>
          <w:szCs w:val="18"/>
        </w:rPr>
      </w:pPr>
      <w:r w:rsidRPr="00FF46E3">
        <w:rPr>
          <w:rFonts w:ascii="Verdana" w:hAnsi="Verdana"/>
          <w:sz w:val="18"/>
          <w:szCs w:val="18"/>
        </w:rPr>
        <w:t xml:space="preserve">Essentiële entiteiten en belangrijke entiteiten kunnen te maken hebben met incidenten (die niet worden gekwalificeerd als significant), bijna-incidenten en cyberdreigingen. Deze termen zijn gedefinieerd in artikel </w:t>
      </w:r>
      <w:r>
        <w:rPr>
          <w:rFonts w:ascii="Verdana" w:hAnsi="Verdana"/>
          <w:sz w:val="18"/>
          <w:szCs w:val="18"/>
        </w:rPr>
        <w:t xml:space="preserve">1 </w:t>
      </w:r>
      <w:proofErr w:type="spellStart"/>
      <w:r>
        <w:rPr>
          <w:rFonts w:ascii="Verdana" w:hAnsi="Verdana"/>
          <w:sz w:val="18"/>
          <w:szCs w:val="18"/>
        </w:rPr>
        <w:t>Cbw</w:t>
      </w:r>
      <w:proofErr w:type="spellEnd"/>
      <w:r w:rsidRPr="00FF46E3">
        <w:rPr>
          <w:rFonts w:ascii="Verdana" w:hAnsi="Verdana"/>
          <w:sz w:val="18"/>
          <w:szCs w:val="18"/>
        </w:rPr>
        <w:t xml:space="preserve">. Om te voorkomen dat incidenten (die niet significant zijn), bijna-incidenten en cyberdreigingen tot incidenten kunnen leiden die aanzienlijke schade kunnen veroorzaken, is het belangrijk dat deze ook worden gemeld overeenkomstig artikel </w:t>
      </w:r>
      <w:r w:rsidR="00135888">
        <w:rPr>
          <w:rFonts w:ascii="Verdana" w:hAnsi="Verdana"/>
          <w:sz w:val="18"/>
          <w:szCs w:val="18"/>
        </w:rPr>
        <w:t>25</w:t>
      </w:r>
      <w:r w:rsidRPr="00FF46E3" w:rsidR="00135888">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De </w:t>
      </w:r>
      <w:proofErr w:type="spellStart"/>
      <w:r w:rsidRPr="00FF46E3">
        <w:rPr>
          <w:rFonts w:ascii="Verdana" w:hAnsi="Verdana"/>
          <w:sz w:val="18"/>
          <w:szCs w:val="18"/>
        </w:rPr>
        <w:t>Cbw</w:t>
      </w:r>
      <w:proofErr w:type="spellEnd"/>
      <w:r w:rsidRPr="00FF46E3">
        <w:rPr>
          <w:rFonts w:ascii="Verdana" w:hAnsi="Verdana"/>
          <w:sz w:val="18"/>
          <w:szCs w:val="18"/>
        </w:rPr>
        <w:t xml:space="preserve"> regelt daarom dat essentiële entiteiten en belangrijke entiteiten op vrijwillige basis hiervan melding kunnen maken. Dit kunnen zij doen bij hun CSIRT. Hiermee kan onder meer worden voorkomen dat cyberdreigingen tot incidenten kunnen leiden die aanzienlijke materiële of immateriële schade kunnen veroorzaken. </w:t>
      </w:r>
    </w:p>
    <w:p w:rsidRPr="00FF46E3" w:rsidR="00C02F47" w:rsidP="00C02F47" w:rsidRDefault="00C02F47" w14:paraId="23F489B3" w14:textId="77777777">
      <w:pPr>
        <w:pStyle w:val="Geenafstand"/>
        <w:rPr>
          <w:rFonts w:ascii="Verdana" w:hAnsi="Verdana"/>
          <w:sz w:val="18"/>
          <w:szCs w:val="18"/>
        </w:rPr>
      </w:pPr>
    </w:p>
    <w:p w:rsidRPr="00FF46E3" w:rsidR="00C02F47" w:rsidP="00C02F47" w:rsidRDefault="00C02F47" w14:paraId="7753613B" w14:textId="590834A1">
      <w:pPr>
        <w:pStyle w:val="Geenafstand"/>
        <w:rPr>
          <w:rFonts w:ascii="Verdana" w:hAnsi="Verdana"/>
          <w:sz w:val="18"/>
          <w:szCs w:val="18"/>
        </w:rPr>
      </w:pPr>
      <w:r>
        <w:rPr>
          <w:rFonts w:ascii="Verdana" w:hAnsi="Verdana"/>
          <w:sz w:val="18"/>
          <w:szCs w:val="18"/>
        </w:rPr>
        <w:t>O</w:t>
      </w:r>
      <w:r w:rsidRPr="00FF46E3">
        <w:rPr>
          <w:rFonts w:ascii="Verdana" w:hAnsi="Verdana"/>
          <w:sz w:val="18"/>
          <w:szCs w:val="18"/>
        </w:rPr>
        <w:t xml:space="preserve">ok entiteiten die geen essentiële entiteit of belangrijke entiteit </w:t>
      </w:r>
      <w:r>
        <w:rPr>
          <w:rFonts w:ascii="Verdana" w:hAnsi="Verdana"/>
          <w:sz w:val="18"/>
          <w:szCs w:val="18"/>
        </w:rPr>
        <w:t xml:space="preserve">zijn </w:t>
      </w:r>
      <w:r w:rsidRPr="00FF46E3">
        <w:rPr>
          <w:rFonts w:ascii="Verdana" w:hAnsi="Verdana"/>
          <w:sz w:val="18"/>
          <w:szCs w:val="18"/>
        </w:rPr>
        <w:t>kunnen te maken hebben met significante incidenten, incidenten, bijna-incidenten en cyberdreigingen</w:t>
      </w:r>
      <w:r>
        <w:rPr>
          <w:rFonts w:ascii="Verdana" w:hAnsi="Verdana"/>
          <w:sz w:val="18"/>
          <w:szCs w:val="18"/>
        </w:rPr>
        <w:t xml:space="preserve">. Artikel </w:t>
      </w:r>
      <w:r w:rsidR="00B01BFF">
        <w:rPr>
          <w:rFonts w:ascii="Verdana" w:hAnsi="Verdana"/>
          <w:sz w:val="18"/>
          <w:szCs w:val="18"/>
        </w:rPr>
        <w:t>3</w:t>
      </w:r>
      <w:r w:rsidR="00136AF0">
        <w:rPr>
          <w:rFonts w:ascii="Verdana" w:hAnsi="Verdana"/>
          <w:sz w:val="18"/>
          <w:szCs w:val="18"/>
        </w:rPr>
        <w:t>3</w:t>
      </w:r>
      <w:r>
        <w:rPr>
          <w:rFonts w:ascii="Verdana" w:hAnsi="Verdana"/>
          <w:sz w:val="18"/>
          <w:szCs w:val="18"/>
        </w:rPr>
        <w:t>, eerste lid,</w:t>
      </w:r>
      <w:r w:rsidRPr="00FF46E3">
        <w:rPr>
          <w:rFonts w:ascii="Verdana" w:hAnsi="Verdana"/>
          <w:sz w:val="18"/>
          <w:szCs w:val="18"/>
        </w:rPr>
        <w:t xml:space="preserve"> </w:t>
      </w:r>
      <w:r w:rsidR="005D7E18">
        <w:rPr>
          <w:rFonts w:ascii="Verdana" w:hAnsi="Verdana"/>
          <w:sz w:val="18"/>
          <w:szCs w:val="18"/>
        </w:rPr>
        <w:t xml:space="preserve">onderdeel b, </w:t>
      </w:r>
      <w:proofErr w:type="spellStart"/>
      <w:r w:rsidRPr="00FF46E3">
        <w:rPr>
          <w:rFonts w:ascii="Verdana" w:hAnsi="Verdana"/>
          <w:sz w:val="18"/>
          <w:szCs w:val="18"/>
        </w:rPr>
        <w:t>Cbw</w:t>
      </w:r>
      <w:proofErr w:type="spellEnd"/>
      <w:r w:rsidRPr="00FF46E3">
        <w:rPr>
          <w:rFonts w:ascii="Verdana" w:hAnsi="Verdana"/>
          <w:sz w:val="18"/>
          <w:szCs w:val="18"/>
        </w:rPr>
        <w:t xml:space="preserve"> regelt dat iedereen, ongeacht </w:t>
      </w:r>
      <w:r w:rsidR="005D7E18">
        <w:rPr>
          <w:rFonts w:ascii="Verdana" w:hAnsi="Verdana"/>
          <w:sz w:val="18"/>
          <w:szCs w:val="18"/>
        </w:rPr>
        <w:t>de kwalificatie van al dan niet</w:t>
      </w:r>
      <w:r w:rsidRPr="00FF46E3">
        <w:rPr>
          <w:rFonts w:ascii="Verdana" w:hAnsi="Verdana"/>
          <w:sz w:val="18"/>
          <w:szCs w:val="18"/>
        </w:rPr>
        <w:t xml:space="preserve"> essentiële entiteit of belangrijke entiteit </w:t>
      </w:r>
      <w:r w:rsidR="005D7E18">
        <w:rPr>
          <w:rFonts w:ascii="Verdana" w:hAnsi="Verdana"/>
          <w:sz w:val="18"/>
          <w:szCs w:val="18"/>
        </w:rPr>
        <w:t xml:space="preserve">in de zin van de </w:t>
      </w:r>
      <w:proofErr w:type="spellStart"/>
      <w:r w:rsidR="005D7E18">
        <w:rPr>
          <w:rFonts w:ascii="Verdana" w:hAnsi="Verdana"/>
          <w:sz w:val="18"/>
          <w:szCs w:val="18"/>
        </w:rPr>
        <w:t>Cbw</w:t>
      </w:r>
      <w:proofErr w:type="spellEnd"/>
      <w:r w:rsidRPr="00FF46E3">
        <w:rPr>
          <w:rFonts w:ascii="Verdana" w:hAnsi="Verdana"/>
          <w:sz w:val="18"/>
          <w:szCs w:val="18"/>
        </w:rPr>
        <w:t>, op vrijwillige basis een melding kan doen van significante incidenten, incidenten, bijna-incidenten en cyberdreigingen bij een CSIRT.</w:t>
      </w:r>
      <w:r w:rsidRPr="00821565">
        <w:rPr>
          <w:rFonts w:ascii="Verdana" w:hAnsi="Verdana"/>
          <w:sz w:val="18"/>
          <w:szCs w:val="18"/>
        </w:rPr>
        <w:t xml:space="preserve"> </w:t>
      </w:r>
      <w:r>
        <w:rPr>
          <w:rFonts w:ascii="Verdana" w:hAnsi="Verdana"/>
          <w:sz w:val="18"/>
          <w:szCs w:val="18"/>
        </w:rPr>
        <w:t>Iedereen wordt</w:t>
      </w:r>
      <w:r w:rsidRPr="00E218F1">
        <w:rPr>
          <w:rFonts w:ascii="Verdana" w:hAnsi="Verdana"/>
          <w:sz w:val="18"/>
          <w:szCs w:val="18"/>
        </w:rPr>
        <w:t xml:space="preserve"> aangemoedigd </w:t>
      </w:r>
      <w:r>
        <w:rPr>
          <w:rFonts w:ascii="Verdana" w:hAnsi="Verdana"/>
          <w:sz w:val="18"/>
          <w:szCs w:val="18"/>
        </w:rPr>
        <w:t xml:space="preserve">om </w:t>
      </w:r>
      <w:r w:rsidRPr="00E218F1">
        <w:rPr>
          <w:rFonts w:ascii="Verdana" w:hAnsi="Verdana"/>
          <w:sz w:val="18"/>
          <w:szCs w:val="18"/>
        </w:rPr>
        <w:t>bijna-incidenten te melden, aangezien dit soort meldingen waardevolle informatie kunnen bevatten die gedeeld kan worden om bij andere organisaties incidenten te voorkomen.</w:t>
      </w:r>
      <w:r>
        <w:rPr>
          <w:rFonts w:ascii="Verdana" w:hAnsi="Verdana"/>
          <w:sz w:val="18"/>
          <w:szCs w:val="18"/>
        </w:rPr>
        <w:t xml:space="preserve"> Het CSIRT kan daarnaast ook bijstand verlenen na een vrijwillige melding.</w:t>
      </w:r>
    </w:p>
    <w:p w:rsidRPr="00FF46E3" w:rsidR="00C02F47" w:rsidP="00C02F47" w:rsidRDefault="00C02F47" w14:paraId="54C60008" w14:textId="77777777">
      <w:pPr>
        <w:pStyle w:val="Geenafstand"/>
        <w:rPr>
          <w:rFonts w:ascii="Verdana" w:hAnsi="Verdana"/>
          <w:sz w:val="18"/>
          <w:szCs w:val="18"/>
        </w:rPr>
      </w:pPr>
    </w:p>
    <w:p w:rsidRPr="00FF46E3" w:rsidR="00C02F47" w:rsidP="00C02F47" w:rsidRDefault="00C02F47" w14:paraId="4AFC0673" w14:textId="77777777">
      <w:pPr>
        <w:pStyle w:val="Geenafstand"/>
        <w:rPr>
          <w:rFonts w:ascii="Verdana" w:hAnsi="Verdana"/>
          <w:sz w:val="18"/>
          <w:szCs w:val="18"/>
        </w:rPr>
      </w:pPr>
      <w:r w:rsidRPr="00FF46E3">
        <w:rPr>
          <w:rFonts w:ascii="Verdana" w:hAnsi="Verdana"/>
          <w:sz w:val="18"/>
          <w:szCs w:val="18"/>
        </w:rPr>
        <w:t>Onverminderd de voorkoming van, het onderzoek naar en de opsporing en de vervolging van strafbare feiten, leidt een vrijwillige melding er niet toe dat de melder bijkomende verplichtingen worden opgelegd waaraan zij niet onderworpen zou zijn geweest als zij de melding niet had ingediend.</w:t>
      </w:r>
      <w:r w:rsidRPr="00FF46E3">
        <w:rPr>
          <w:rStyle w:val="Voetnootmarkering"/>
          <w:rFonts w:ascii="Verdana" w:hAnsi="Verdana"/>
          <w:sz w:val="18"/>
          <w:szCs w:val="18"/>
        </w:rPr>
        <w:footnoteReference w:id="94"/>
      </w:r>
    </w:p>
    <w:p w:rsidRPr="00C47325" w:rsidR="00CE333A" w:rsidP="00CE333A" w:rsidRDefault="00CE333A" w14:paraId="49FAE3DB" w14:textId="77777777">
      <w:pPr>
        <w:spacing w:after="0" w:line="240" w:lineRule="auto"/>
        <w:rPr>
          <w:rFonts w:ascii="Verdana" w:hAnsi="Verdana"/>
          <w:sz w:val="18"/>
          <w:szCs w:val="18"/>
        </w:rPr>
      </w:pPr>
    </w:p>
    <w:p w:rsidRPr="00BD3C4A" w:rsidR="00155394" w:rsidP="00155394" w:rsidRDefault="00155394" w14:paraId="24D3CA5F" w14:textId="0E840270">
      <w:pPr>
        <w:pStyle w:val="Geenafstand"/>
        <w:rPr>
          <w:rFonts w:ascii="Verdana" w:hAnsi="Verdana" w:eastAsia="Times New Roman" w:cs="Arial"/>
          <w:b/>
          <w:bCs/>
          <w:sz w:val="18"/>
          <w:szCs w:val="18"/>
          <w:lang w:eastAsia="nl-NL"/>
        </w:rPr>
      </w:pPr>
      <w:r w:rsidRPr="00BD3C4A">
        <w:rPr>
          <w:rFonts w:ascii="Verdana" w:hAnsi="Verdana" w:eastAsia="Times New Roman" w:cs="Arial"/>
          <w:b/>
          <w:bCs/>
          <w:sz w:val="18"/>
          <w:szCs w:val="18"/>
          <w:lang w:eastAsia="nl-NL"/>
        </w:rPr>
        <w:t xml:space="preserve">Artikel </w:t>
      </w:r>
      <w:r>
        <w:rPr>
          <w:rFonts w:ascii="Verdana" w:hAnsi="Verdana" w:eastAsia="Times New Roman" w:cs="Arial"/>
          <w:b/>
          <w:bCs/>
          <w:sz w:val="18"/>
          <w:szCs w:val="18"/>
          <w:lang w:eastAsia="nl-NL"/>
        </w:rPr>
        <w:t>34</w:t>
      </w:r>
      <w:r w:rsidRPr="00BD3C4A">
        <w:rPr>
          <w:rFonts w:ascii="Verdana" w:hAnsi="Verdana" w:eastAsia="Times New Roman" w:cs="Arial"/>
          <w:b/>
          <w:bCs/>
          <w:sz w:val="18"/>
          <w:szCs w:val="18"/>
          <w:lang w:eastAsia="nl-NL"/>
        </w:rPr>
        <w:t xml:space="preserve"> (vrijwillige meldingen van kwetsbaarheden) </w:t>
      </w:r>
    </w:p>
    <w:p w:rsidRPr="00C47325" w:rsidR="00CE333A" w:rsidP="00CE333A" w:rsidRDefault="00CE333A" w14:paraId="6FA56958" w14:textId="77777777">
      <w:pPr>
        <w:pStyle w:val="Geenafstand"/>
        <w:rPr>
          <w:rFonts w:ascii="Verdana" w:hAnsi="Verdana"/>
          <w:sz w:val="18"/>
          <w:szCs w:val="18"/>
          <w:shd w:val="clear" w:color="auto" w:fill="FFFFFF"/>
        </w:rPr>
      </w:pPr>
    </w:p>
    <w:p w:rsidRPr="00C47325" w:rsidR="00CE333A" w:rsidP="00CE333A" w:rsidRDefault="00CE333A" w14:paraId="37C74357" w14:textId="14F09843">
      <w:pPr>
        <w:pStyle w:val="Geenafstand"/>
        <w:rPr>
          <w:rFonts w:ascii="Verdana" w:hAnsi="Verdana"/>
          <w:sz w:val="18"/>
          <w:szCs w:val="18"/>
        </w:rPr>
      </w:pPr>
      <w:r w:rsidRPr="00C47325">
        <w:rPr>
          <w:rFonts w:ascii="Verdana" w:hAnsi="Verdana"/>
          <w:sz w:val="18"/>
          <w:szCs w:val="18"/>
          <w:shd w:val="clear" w:color="auto" w:fill="FFFFFF"/>
        </w:rPr>
        <w:t xml:space="preserve">Artikel </w:t>
      </w:r>
      <w:r w:rsidR="00B01BFF">
        <w:rPr>
          <w:rFonts w:ascii="Verdana" w:hAnsi="Verdana"/>
          <w:sz w:val="18"/>
          <w:szCs w:val="18"/>
          <w:shd w:val="clear" w:color="auto" w:fill="FFFFFF"/>
        </w:rPr>
        <w:t>3</w:t>
      </w:r>
      <w:r w:rsidR="00136AF0">
        <w:rPr>
          <w:rFonts w:ascii="Verdana" w:hAnsi="Verdana"/>
          <w:sz w:val="18"/>
          <w:szCs w:val="18"/>
          <w:shd w:val="clear" w:color="auto" w:fill="FFFFFF"/>
        </w:rPr>
        <w:t>4</w:t>
      </w:r>
      <w:r w:rsidRPr="00C47325">
        <w:rPr>
          <w:rFonts w:ascii="Verdana" w:hAnsi="Verdana"/>
          <w:sz w:val="18"/>
          <w:szCs w:val="18"/>
          <w:shd w:val="clear" w:color="auto" w:fill="FFFFFF"/>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shd w:val="clear" w:color="auto" w:fill="FFFFFF"/>
        </w:rPr>
        <w:t xml:space="preserve"> strekt tot de implementatie van artikel 12, eerste lid, NIS2-richtlijn en biedt natuurlijke personen en rechtspersonen de mogelijkheid om op vrijwillige basis melding te maken van een kwetsbaarheid bij de coördinator met het oog op een gecoördineerde bekendmaking van kwetsbaarheden, genoemd in artikel </w:t>
      </w:r>
      <w:r w:rsidR="00101607">
        <w:rPr>
          <w:rFonts w:ascii="Verdana" w:hAnsi="Verdana"/>
          <w:sz w:val="18"/>
          <w:szCs w:val="18"/>
          <w:shd w:val="clear" w:color="auto" w:fill="FFFFFF"/>
        </w:rPr>
        <w:t>17</w:t>
      </w:r>
      <w:r w:rsidRPr="00C47325" w:rsidR="00101607">
        <w:rPr>
          <w:rFonts w:ascii="Verdana" w:hAnsi="Verdana"/>
          <w:sz w:val="18"/>
          <w:szCs w:val="18"/>
          <w:shd w:val="clear" w:color="auto" w:fill="FFFFFF"/>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shd w:val="clear" w:color="auto" w:fill="FFFFFF"/>
        </w:rPr>
        <w:t xml:space="preserve">. </w:t>
      </w:r>
    </w:p>
    <w:p w:rsidRPr="00C47325" w:rsidR="00CE333A" w:rsidP="00CE333A" w:rsidRDefault="00CE333A" w14:paraId="726F2982" w14:textId="77777777">
      <w:pPr>
        <w:spacing w:after="0" w:line="240" w:lineRule="auto"/>
        <w:rPr>
          <w:rFonts w:ascii="Verdana" w:hAnsi="Verdana"/>
          <w:b/>
          <w:bCs/>
          <w:sz w:val="18"/>
          <w:szCs w:val="18"/>
        </w:rPr>
      </w:pPr>
    </w:p>
    <w:p w:rsidRPr="00BD3C4A" w:rsidR="00155394" w:rsidP="00155394" w:rsidRDefault="00155394" w14:paraId="2FBD8B90" w14:textId="2AD7FAE0">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35</w:t>
      </w:r>
      <w:r w:rsidRPr="00BD3C4A">
        <w:rPr>
          <w:rFonts w:ascii="Verdana" w:hAnsi="Verdana"/>
          <w:b/>
          <w:bCs/>
          <w:sz w:val="18"/>
          <w:szCs w:val="18"/>
        </w:rPr>
        <w:t xml:space="preserve"> (nadere regels over meldingen)</w:t>
      </w:r>
    </w:p>
    <w:p w:rsidRPr="00C47325" w:rsidR="00CE333A" w:rsidP="00CE333A" w:rsidRDefault="00CE333A" w14:paraId="48341F17" w14:textId="77777777">
      <w:pPr>
        <w:pStyle w:val="Geenafstand"/>
        <w:rPr>
          <w:rFonts w:ascii="Verdana" w:hAnsi="Verdana"/>
          <w:sz w:val="18"/>
          <w:szCs w:val="18"/>
        </w:rPr>
      </w:pPr>
    </w:p>
    <w:p w:rsidRPr="00C47325" w:rsidR="00CE333A" w:rsidP="00CE333A" w:rsidRDefault="00CE333A" w14:paraId="1299A201" w14:textId="7BEDB92B">
      <w:pPr>
        <w:pStyle w:val="Geenafstand"/>
        <w:rPr>
          <w:rFonts w:ascii="Verdana" w:hAnsi="Verdana"/>
          <w:sz w:val="18"/>
          <w:szCs w:val="18"/>
        </w:rPr>
      </w:pPr>
      <w:r w:rsidRPr="00C47325">
        <w:rPr>
          <w:rFonts w:ascii="Verdana" w:hAnsi="Verdana"/>
          <w:sz w:val="18"/>
          <w:szCs w:val="18"/>
        </w:rPr>
        <w:t xml:space="preserve">De delegatiegrondslag in artikel </w:t>
      </w:r>
      <w:r w:rsidR="00B01BFF">
        <w:rPr>
          <w:rFonts w:ascii="Verdana" w:hAnsi="Verdana"/>
          <w:sz w:val="18"/>
          <w:szCs w:val="18"/>
        </w:rPr>
        <w:t>3</w:t>
      </w:r>
      <w:r w:rsidR="00136AF0">
        <w:rPr>
          <w:rFonts w:ascii="Verdana" w:hAnsi="Verdana"/>
          <w:sz w:val="18"/>
          <w:szCs w:val="18"/>
        </w:rPr>
        <w:t>5</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biedt de mogelijkheid om bij </w:t>
      </w:r>
      <w:proofErr w:type="spellStart"/>
      <w:r w:rsidRPr="00C47325" w:rsidR="00E031E9">
        <w:rPr>
          <w:rFonts w:ascii="Verdana" w:hAnsi="Verdana"/>
          <w:sz w:val="18"/>
          <w:szCs w:val="18"/>
        </w:rPr>
        <w:t>amvb</w:t>
      </w:r>
      <w:proofErr w:type="spellEnd"/>
      <w:r w:rsidRPr="00C47325" w:rsidR="00E031E9">
        <w:rPr>
          <w:rFonts w:ascii="Verdana" w:hAnsi="Verdana"/>
          <w:sz w:val="18"/>
          <w:szCs w:val="18"/>
        </w:rPr>
        <w:t xml:space="preserve"> </w:t>
      </w:r>
      <w:r w:rsidRPr="00C47325">
        <w:rPr>
          <w:rFonts w:ascii="Verdana" w:hAnsi="Verdana"/>
          <w:sz w:val="18"/>
          <w:szCs w:val="18"/>
        </w:rPr>
        <w:t xml:space="preserve">nadere regels te stellen ter uitwerking van de artikelen </w:t>
      </w:r>
      <w:r w:rsidR="005D7E18">
        <w:rPr>
          <w:rFonts w:ascii="Verdana" w:hAnsi="Verdana"/>
          <w:sz w:val="18"/>
          <w:szCs w:val="18"/>
        </w:rPr>
        <w:t>26</w:t>
      </w:r>
      <w:r w:rsidRPr="00C47325" w:rsidR="005D7E18">
        <w:rPr>
          <w:rFonts w:ascii="Verdana" w:hAnsi="Verdana"/>
          <w:sz w:val="18"/>
          <w:szCs w:val="18"/>
        </w:rPr>
        <w:t xml:space="preserve"> </w:t>
      </w:r>
      <w:r w:rsidRPr="00C47325">
        <w:rPr>
          <w:rFonts w:ascii="Verdana" w:hAnsi="Verdana"/>
          <w:sz w:val="18"/>
          <w:szCs w:val="18"/>
        </w:rPr>
        <w:t xml:space="preserve">tot en met </w:t>
      </w:r>
      <w:r w:rsidR="00101607">
        <w:rPr>
          <w:rFonts w:ascii="Verdana" w:hAnsi="Verdana"/>
          <w:sz w:val="18"/>
          <w:szCs w:val="18"/>
        </w:rPr>
        <w:t>30</w:t>
      </w:r>
      <w:r w:rsidRPr="00C47325">
        <w:rPr>
          <w:rFonts w:ascii="Verdana" w:hAnsi="Verdana"/>
          <w:sz w:val="18"/>
          <w:szCs w:val="18"/>
        </w:rPr>
        <w:t xml:space="preserve">, </w:t>
      </w:r>
      <w:r w:rsidR="00101607">
        <w:rPr>
          <w:rFonts w:ascii="Verdana" w:hAnsi="Verdana"/>
          <w:sz w:val="18"/>
          <w:szCs w:val="18"/>
        </w:rPr>
        <w:t>33</w:t>
      </w:r>
      <w:r w:rsidRPr="00C47325" w:rsidR="00101607">
        <w:rPr>
          <w:rFonts w:ascii="Verdana" w:hAnsi="Verdana"/>
          <w:sz w:val="18"/>
          <w:szCs w:val="18"/>
        </w:rPr>
        <w:t xml:space="preserve"> </w:t>
      </w:r>
      <w:r w:rsidRPr="00C47325">
        <w:rPr>
          <w:rFonts w:ascii="Verdana" w:hAnsi="Verdana"/>
          <w:sz w:val="18"/>
          <w:szCs w:val="18"/>
        </w:rPr>
        <w:t xml:space="preserve">en </w:t>
      </w:r>
      <w:r w:rsidR="00101607">
        <w:rPr>
          <w:rFonts w:ascii="Verdana" w:hAnsi="Verdana"/>
          <w:sz w:val="18"/>
          <w:szCs w:val="18"/>
        </w:rPr>
        <w:t>34</w:t>
      </w:r>
      <w:r w:rsidRPr="00C47325">
        <w:rPr>
          <w:rFonts w:ascii="Verdana" w:hAnsi="Verdana"/>
          <w:sz w:val="18"/>
          <w:szCs w:val="18"/>
        </w:rPr>
        <w:t>. Deze delegatiegrondslag wordt besproken in paragraaf 5.</w:t>
      </w:r>
      <w:r w:rsidR="00B01BFF">
        <w:rPr>
          <w:rFonts w:ascii="Verdana" w:hAnsi="Verdana"/>
          <w:sz w:val="18"/>
          <w:szCs w:val="18"/>
        </w:rPr>
        <w:t>4</w:t>
      </w:r>
      <w:r w:rsidRPr="00C47325">
        <w:rPr>
          <w:rFonts w:ascii="Verdana" w:hAnsi="Verdana"/>
          <w:sz w:val="18"/>
          <w:szCs w:val="18"/>
        </w:rPr>
        <w:t xml:space="preserve">. </w:t>
      </w:r>
    </w:p>
    <w:p w:rsidRPr="00C47325" w:rsidR="00CE333A" w:rsidP="00CE333A" w:rsidRDefault="00CE333A" w14:paraId="2AE8C260" w14:textId="77777777">
      <w:pPr>
        <w:pStyle w:val="Geenafstand"/>
        <w:rPr>
          <w:rFonts w:ascii="Verdana" w:hAnsi="Verdana"/>
          <w:sz w:val="18"/>
          <w:szCs w:val="18"/>
        </w:rPr>
      </w:pPr>
    </w:p>
    <w:p w:rsidRPr="008D1480" w:rsidR="00155394" w:rsidP="00155394" w:rsidRDefault="00155394" w14:paraId="76A00F9F" w14:textId="4E8197FC">
      <w:pPr>
        <w:pStyle w:val="Geenafstand"/>
        <w:rPr>
          <w:rFonts w:ascii="Verdana" w:hAnsi="Verdana"/>
          <w:b/>
          <w:bCs/>
          <w:sz w:val="18"/>
          <w:szCs w:val="18"/>
        </w:rPr>
      </w:pPr>
      <w:r w:rsidRPr="008D1480">
        <w:rPr>
          <w:rFonts w:ascii="Verdana" w:hAnsi="Verdana"/>
          <w:b/>
          <w:bCs/>
          <w:sz w:val="18"/>
          <w:szCs w:val="18"/>
        </w:rPr>
        <w:t>Artikel 36 (taken CSIRT</w:t>
      </w:r>
      <w:r w:rsidRPr="008D1480" w:rsidDel="007E0E8B">
        <w:rPr>
          <w:rFonts w:ascii="Verdana" w:hAnsi="Verdana"/>
          <w:b/>
          <w:bCs/>
          <w:sz w:val="18"/>
          <w:szCs w:val="18"/>
        </w:rPr>
        <w:t xml:space="preserve"> </w:t>
      </w:r>
      <w:r w:rsidRPr="008D1480">
        <w:rPr>
          <w:rFonts w:ascii="Verdana" w:hAnsi="Verdana"/>
          <w:b/>
          <w:bCs/>
          <w:sz w:val="18"/>
          <w:szCs w:val="18"/>
        </w:rPr>
        <w:t>na melding significant incident)</w:t>
      </w:r>
    </w:p>
    <w:p w:rsidRPr="00C47325" w:rsidR="00CE333A" w:rsidP="00CE333A" w:rsidRDefault="00CE333A" w14:paraId="4514BA79" w14:textId="77777777">
      <w:pPr>
        <w:pStyle w:val="Geenafstand"/>
        <w:rPr>
          <w:rFonts w:ascii="Verdana" w:hAnsi="Verdana"/>
          <w:sz w:val="18"/>
          <w:szCs w:val="18"/>
        </w:rPr>
      </w:pPr>
    </w:p>
    <w:p w:rsidRPr="00C47325" w:rsidR="00CE333A" w:rsidP="00CE333A" w:rsidRDefault="00CE333A" w14:paraId="47427E23" w14:textId="5CB0825A">
      <w:pPr>
        <w:pStyle w:val="Geenafstand"/>
        <w:rPr>
          <w:rFonts w:ascii="Verdana" w:hAnsi="Verdana"/>
          <w:b/>
          <w:bCs/>
          <w:sz w:val="18"/>
          <w:szCs w:val="18"/>
        </w:rPr>
      </w:pPr>
      <w:r w:rsidRPr="00C47325">
        <w:rPr>
          <w:rFonts w:ascii="Verdana" w:hAnsi="Verdana"/>
          <w:sz w:val="18"/>
          <w:szCs w:val="18"/>
        </w:rPr>
        <w:t xml:space="preserve">Artikel </w:t>
      </w:r>
      <w:r w:rsidR="00B01BFF">
        <w:rPr>
          <w:rFonts w:ascii="Verdana" w:hAnsi="Verdana"/>
          <w:sz w:val="18"/>
          <w:szCs w:val="18"/>
        </w:rPr>
        <w:t>3</w:t>
      </w:r>
      <w:r w:rsidR="00136AF0">
        <w:rPr>
          <w:rFonts w:ascii="Verdana" w:hAnsi="Verdana"/>
          <w:sz w:val="18"/>
          <w:szCs w:val="18"/>
        </w:rPr>
        <w:t>6</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23, vijfde lid, NIS2-richtlijn. Dit artikel verplicht het CSIRT om een terugkoppeling te geven aan een entiteit als reactie op de door de entiteit gegeven vroegtijdige waarschuwing. Ook verleent het CSIRT indien gewenst technische ondersteuning en biedt het richtsnoeren om het incident te melden bij rechtshandhavingsinstanties indien het significante incident van criminele aard is.</w:t>
      </w:r>
      <w:r w:rsidRPr="00C47325" w:rsidR="00EA661F">
        <w:rPr>
          <w:rFonts w:ascii="Verdana" w:hAnsi="Verdana"/>
          <w:sz w:val="18"/>
          <w:szCs w:val="18"/>
        </w:rPr>
        <w:t xml:space="preserve"> </w:t>
      </w:r>
    </w:p>
    <w:p w:rsidRPr="00C47325" w:rsidR="00CE333A" w:rsidP="00CE333A" w:rsidRDefault="00CE333A" w14:paraId="5CEDD7CF" w14:textId="77777777">
      <w:pPr>
        <w:pStyle w:val="Geenafstand"/>
        <w:rPr>
          <w:rFonts w:ascii="Verdana" w:hAnsi="Verdana"/>
          <w:b/>
          <w:bCs/>
          <w:sz w:val="18"/>
          <w:szCs w:val="18"/>
        </w:rPr>
      </w:pPr>
    </w:p>
    <w:p w:rsidRPr="00BD3C4A" w:rsidR="00155394" w:rsidP="00155394" w:rsidRDefault="00155394" w14:paraId="13C3BAF9" w14:textId="7A858E6F">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37</w:t>
      </w:r>
      <w:r w:rsidRPr="00BD3C4A">
        <w:rPr>
          <w:rFonts w:ascii="Verdana" w:hAnsi="Verdana"/>
          <w:b/>
          <w:bCs/>
          <w:sz w:val="18"/>
          <w:szCs w:val="18"/>
        </w:rPr>
        <w:t xml:space="preserve"> (openbaarmaking significant incident door CSIRT of bevoegde autoriteit)</w:t>
      </w:r>
    </w:p>
    <w:p w:rsidRPr="00C47325" w:rsidR="00CE333A" w:rsidP="00CE333A" w:rsidRDefault="00CE333A" w14:paraId="7717E634" w14:textId="77777777">
      <w:pPr>
        <w:pStyle w:val="Geenafstand"/>
        <w:rPr>
          <w:rFonts w:ascii="Verdana" w:hAnsi="Verdana"/>
          <w:sz w:val="18"/>
          <w:szCs w:val="18"/>
        </w:rPr>
      </w:pPr>
    </w:p>
    <w:p w:rsidRPr="00C47325" w:rsidR="00CE333A" w:rsidP="00CE333A" w:rsidRDefault="00CE333A" w14:paraId="6AE7521F" w14:textId="70B62D0F">
      <w:pPr>
        <w:spacing w:after="0" w:line="240" w:lineRule="auto"/>
        <w:rPr>
          <w:rFonts w:ascii="Verdana" w:hAnsi="Verdana"/>
          <w:sz w:val="18"/>
          <w:szCs w:val="18"/>
        </w:rPr>
      </w:pPr>
      <w:r w:rsidRPr="00C47325">
        <w:rPr>
          <w:rFonts w:ascii="Verdana" w:hAnsi="Verdana"/>
          <w:sz w:val="18"/>
          <w:szCs w:val="18"/>
        </w:rPr>
        <w:t xml:space="preserve">Artikel </w:t>
      </w:r>
      <w:r w:rsidR="00B01BFF">
        <w:rPr>
          <w:rFonts w:ascii="Verdana" w:hAnsi="Verdana"/>
          <w:sz w:val="18"/>
          <w:szCs w:val="18"/>
        </w:rPr>
        <w:t>3</w:t>
      </w:r>
      <w:r w:rsidR="00136AF0">
        <w:rPr>
          <w:rFonts w:ascii="Verdana" w:hAnsi="Verdana"/>
          <w:sz w:val="18"/>
          <w:szCs w:val="18"/>
        </w:rPr>
        <w:t>7</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strekt tot de implementatie van artikel 23, zevende lid, NIS2-richtlijn en ziet op het informeren van het publiek over een significant incident. </w:t>
      </w:r>
    </w:p>
    <w:p w:rsidRPr="00C47325" w:rsidR="00CE333A" w:rsidP="00CE333A" w:rsidRDefault="00CE333A" w14:paraId="47466B91" w14:textId="77777777">
      <w:pPr>
        <w:pStyle w:val="Geenafstand"/>
        <w:rPr>
          <w:rFonts w:ascii="Verdana" w:hAnsi="Verdana"/>
          <w:sz w:val="18"/>
          <w:szCs w:val="18"/>
        </w:rPr>
      </w:pPr>
    </w:p>
    <w:p w:rsidRPr="00BD3C4A" w:rsidR="00155394" w:rsidP="00155394" w:rsidRDefault="00155394" w14:paraId="650CD300" w14:textId="351E92DE">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38</w:t>
      </w:r>
      <w:r w:rsidRPr="00BD3C4A">
        <w:rPr>
          <w:rFonts w:ascii="Verdana" w:hAnsi="Verdana"/>
          <w:b/>
          <w:bCs/>
          <w:sz w:val="18"/>
          <w:szCs w:val="18"/>
        </w:rPr>
        <w:t xml:space="preserve"> (</w:t>
      </w:r>
      <w:proofErr w:type="spellStart"/>
      <w:r w:rsidRPr="00BD3C4A">
        <w:rPr>
          <w:rFonts w:ascii="Verdana" w:hAnsi="Verdana"/>
          <w:b/>
          <w:bCs/>
          <w:sz w:val="18"/>
          <w:szCs w:val="18"/>
        </w:rPr>
        <w:t>inkennisstelling</w:t>
      </w:r>
      <w:proofErr w:type="spellEnd"/>
      <w:r w:rsidRPr="00BD3C4A">
        <w:rPr>
          <w:rFonts w:ascii="Verdana" w:hAnsi="Verdana"/>
          <w:b/>
          <w:bCs/>
          <w:sz w:val="18"/>
          <w:szCs w:val="18"/>
        </w:rPr>
        <w:t xml:space="preserve"> natuurlijke personen of rechtspersonen door entiteit)</w:t>
      </w:r>
    </w:p>
    <w:p w:rsidRPr="00C47325" w:rsidR="00CE333A" w:rsidP="00CE333A" w:rsidRDefault="00CE333A" w14:paraId="62EB49DD" w14:textId="77777777">
      <w:pPr>
        <w:pStyle w:val="Geenafstand"/>
        <w:rPr>
          <w:rFonts w:ascii="Verdana" w:hAnsi="Verdana"/>
          <w:sz w:val="18"/>
          <w:szCs w:val="18"/>
        </w:rPr>
      </w:pPr>
    </w:p>
    <w:p w:rsidRPr="00C47325" w:rsidR="00CE333A" w:rsidP="00CE333A" w:rsidRDefault="00CE333A" w14:paraId="777D806B" w14:textId="70F518C0">
      <w:pPr>
        <w:pStyle w:val="Geenafstand"/>
        <w:rPr>
          <w:rFonts w:ascii="Verdana" w:hAnsi="Verdana"/>
          <w:sz w:val="18"/>
          <w:szCs w:val="18"/>
        </w:rPr>
      </w:pPr>
      <w:r w:rsidRPr="00C47325">
        <w:rPr>
          <w:rFonts w:ascii="Verdana" w:hAnsi="Verdana"/>
          <w:sz w:val="18"/>
          <w:szCs w:val="18"/>
        </w:rPr>
        <w:t xml:space="preserve">Artikel </w:t>
      </w:r>
      <w:r w:rsidR="00B01BFF">
        <w:rPr>
          <w:rFonts w:ascii="Verdana" w:hAnsi="Verdana"/>
          <w:sz w:val="18"/>
          <w:szCs w:val="18"/>
        </w:rPr>
        <w:t>3</w:t>
      </w:r>
      <w:r w:rsidR="00136AF0">
        <w:rPr>
          <w:rFonts w:ascii="Verdana" w:hAnsi="Verdana"/>
          <w:sz w:val="18"/>
          <w:szCs w:val="18"/>
        </w:rPr>
        <w:t>8</w:t>
      </w:r>
      <w:r w:rsidRPr="00C47325">
        <w:rPr>
          <w:rFonts w:ascii="Verdana" w:hAnsi="Verdana"/>
          <w:sz w:val="18"/>
          <w:szCs w:val="18"/>
        </w:rPr>
        <w:t xml:space="preserve"> </w:t>
      </w:r>
      <w:proofErr w:type="spellStart"/>
      <w:r w:rsidRPr="00C47325" w:rsidR="00604685">
        <w:rPr>
          <w:rFonts w:ascii="Verdana" w:hAnsi="Verdana"/>
          <w:sz w:val="18"/>
          <w:szCs w:val="18"/>
        </w:rPr>
        <w:t>Cbw</w:t>
      </w:r>
      <w:proofErr w:type="spellEnd"/>
      <w:r w:rsidRPr="00C47325">
        <w:rPr>
          <w:rFonts w:ascii="Verdana" w:hAnsi="Verdana"/>
          <w:sz w:val="18"/>
          <w:szCs w:val="18"/>
        </w:rPr>
        <w:t xml:space="preserve"> ziet op de bevoegdheid van de toezichthouder om een essentiële entiteit of belangrijke entiteit te verplichten om de natuurlijke personen of rechtspersonen aan wie de entiteit diensten verleent of voor wie de entiteit activiteiten uitvoert, die mogelijkerwijs door een significante cyberdreiging worden beïnvloed, in kennis te stellen van de aard van de dreiging en alle mogelijke beschermings- of herstelmaatregelen die deze natuurlijke personen of rechtspersonen kunnen nemen als reactie op die dreiging. Dit artikel betreft de implementatie van de artikelen 32, vierde lid, onderdeel e, en 33, vierde lid, onderdeel e, NIS2-richtlijn.</w:t>
      </w:r>
    </w:p>
    <w:p w:rsidRPr="00C47325" w:rsidR="00CE333A" w:rsidP="00CE333A" w:rsidRDefault="00CE333A" w14:paraId="24B4809C" w14:textId="77777777">
      <w:pPr>
        <w:pStyle w:val="Geenafstand"/>
        <w:rPr>
          <w:rFonts w:ascii="Verdana" w:hAnsi="Verdana"/>
          <w:sz w:val="18"/>
          <w:szCs w:val="18"/>
        </w:rPr>
      </w:pPr>
    </w:p>
    <w:p w:rsidR="00C603BA" w:rsidP="00155394" w:rsidRDefault="00C603BA" w14:paraId="569017A9" w14:textId="77777777">
      <w:pPr>
        <w:pStyle w:val="Geenafstand"/>
        <w:rPr>
          <w:rFonts w:ascii="Verdana" w:hAnsi="Verdana"/>
          <w:b/>
          <w:bCs/>
          <w:sz w:val="18"/>
          <w:szCs w:val="18"/>
          <w:shd w:val="clear" w:color="auto" w:fill="FFFFFF"/>
        </w:rPr>
      </w:pPr>
      <w:bookmarkStart w:name="_Hlk150083478" w:id="276"/>
      <w:bookmarkStart w:name="_Hlk142557309" w:id="277"/>
    </w:p>
    <w:p w:rsidR="00C603BA" w:rsidP="00155394" w:rsidRDefault="00C603BA" w14:paraId="23FB94C1" w14:textId="77777777">
      <w:pPr>
        <w:pStyle w:val="Geenafstand"/>
        <w:rPr>
          <w:rFonts w:ascii="Verdana" w:hAnsi="Verdana"/>
          <w:b/>
          <w:bCs/>
          <w:sz w:val="18"/>
          <w:szCs w:val="18"/>
          <w:shd w:val="clear" w:color="auto" w:fill="FFFFFF"/>
        </w:rPr>
      </w:pPr>
    </w:p>
    <w:p w:rsidRPr="00BD3C4A" w:rsidR="00155394" w:rsidP="00155394" w:rsidRDefault="00155394" w14:paraId="7E17831D" w14:textId="70E889CE">
      <w:pPr>
        <w:pStyle w:val="Geenafstand"/>
        <w:rPr>
          <w:rFonts w:ascii="Verdana" w:hAnsi="Verdana"/>
          <w:b/>
          <w:bCs/>
          <w:sz w:val="18"/>
          <w:szCs w:val="18"/>
          <w:shd w:val="clear" w:color="auto" w:fill="FFFFFF"/>
        </w:rPr>
      </w:pPr>
      <w:r w:rsidRPr="00BD3C4A">
        <w:rPr>
          <w:rFonts w:ascii="Verdana" w:hAnsi="Verdana"/>
          <w:b/>
          <w:bCs/>
          <w:sz w:val="18"/>
          <w:szCs w:val="18"/>
          <w:shd w:val="clear" w:color="auto" w:fill="FFFFFF"/>
        </w:rPr>
        <w:t xml:space="preserve">Artikel </w:t>
      </w:r>
      <w:r>
        <w:rPr>
          <w:rFonts w:ascii="Verdana" w:hAnsi="Verdana"/>
          <w:b/>
          <w:bCs/>
          <w:sz w:val="18"/>
          <w:szCs w:val="18"/>
          <w:shd w:val="clear" w:color="auto" w:fill="FFFFFF"/>
        </w:rPr>
        <w:t>39</w:t>
      </w:r>
      <w:r w:rsidRPr="00BD3C4A">
        <w:rPr>
          <w:rFonts w:ascii="Verdana" w:hAnsi="Verdana"/>
          <w:b/>
          <w:bCs/>
          <w:sz w:val="18"/>
          <w:szCs w:val="18"/>
          <w:shd w:val="clear" w:color="auto" w:fill="FFFFFF"/>
        </w:rPr>
        <w:t xml:space="preserve"> (informatie</w:t>
      </w:r>
      <w:r w:rsidRPr="00BD3C4A">
        <w:rPr>
          <w:rFonts w:ascii="Verdana" w:hAnsi="Verdana"/>
          <w:b/>
          <w:bCs/>
          <w:sz w:val="18"/>
          <w:szCs w:val="18"/>
        </w:rPr>
        <w:t>verstrekking over gemelde significante incidenten, incidenten, bijna-incidenten en cyberdreigingen</w:t>
      </w:r>
      <w:r w:rsidRPr="00BD3C4A">
        <w:rPr>
          <w:rFonts w:ascii="Verdana" w:hAnsi="Verdana"/>
          <w:b/>
          <w:bCs/>
          <w:sz w:val="18"/>
          <w:szCs w:val="18"/>
          <w:shd w:val="clear" w:color="auto" w:fill="FFFFFF"/>
        </w:rPr>
        <w:t xml:space="preserve">) </w:t>
      </w:r>
    </w:p>
    <w:bookmarkEnd w:id="276"/>
    <w:p w:rsidRPr="00C47325" w:rsidR="00CE333A" w:rsidP="00CE333A" w:rsidRDefault="00CE333A" w14:paraId="67E535E3" w14:textId="77777777">
      <w:pPr>
        <w:pStyle w:val="Geenafstand"/>
        <w:rPr>
          <w:rFonts w:ascii="Verdana" w:hAnsi="Verdana"/>
          <w:sz w:val="18"/>
          <w:szCs w:val="18"/>
          <w:shd w:val="clear" w:color="auto" w:fill="FFFFFF"/>
        </w:rPr>
      </w:pPr>
    </w:p>
    <w:p w:rsidRPr="00C47325" w:rsidR="00CE333A" w:rsidP="00CE333A" w:rsidRDefault="00CE333A" w14:paraId="5F512DD7" w14:textId="35B5C2FB">
      <w:pPr>
        <w:pStyle w:val="Geenafstand"/>
        <w:rPr>
          <w:rFonts w:ascii="Verdana" w:hAnsi="Verdana" w:cs="Arial"/>
          <w:sz w:val="18"/>
          <w:szCs w:val="18"/>
        </w:rPr>
      </w:pPr>
      <w:r w:rsidRPr="00C47325">
        <w:rPr>
          <w:rFonts w:ascii="Verdana" w:hAnsi="Verdana" w:eastAsia="Times New Roman" w:cs="Arial"/>
          <w:sz w:val="18"/>
          <w:szCs w:val="18"/>
          <w:lang w:eastAsia="nl-NL"/>
        </w:rPr>
        <w:t xml:space="preserve">Artikel </w:t>
      </w:r>
      <w:r w:rsidR="00B01BFF">
        <w:rPr>
          <w:rFonts w:ascii="Verdana" w:hAnsi="Verdana" w:eastAsia="Times New Roman" w:cs="Arial"/>
          <w:sz w:val="18"/>
          <w:szCs w:val="18"/>
          <w:lang w:eastAsia="nl-NL"/>
        </w:rPr>
        <w:t>3</w:t>
      </w:r>
      <w:r w:rsidR="00136AF0">
        <w:rPr>
          <w:rFonts w:ascii="Verdana" w:hAnsi="Verdana" w:eastAsia="Times New Roman" w:cs="Arial"/>
          <w:sz w:val="18"/>
          <w:szCs w:val="18"/>
          <w:lang w:eastAsia="nl-NL"/>
        </w:rPr>
        <w:t>9</w:t>
      </w:r>
      <w:r w:rsidRPr="00C47325">
        <w:rPr>
          <w:rFonts w:ascii="Verdana" w:hAnsi="Verdana" w:eastAsia="Times New Roman" w:cs="Arial"/>
          <w:sz w:val="18"/>
          <w:szCs w:val="18"/>
          <w:lang w:eastAsia="nl-NL"/>
        </w:rPr>
        <w:t xml:space="preserve"> </w:t>
      </w:r>
      <w:proofErr w:type="spellStart"/>
      <w:r w:rsidRPr="00C47325" w:rsidR="00604685">
        <w:rPr>
          <w:rFonts w:ascii="Verdana" w:hAnsi="Verdana"/>
          <w:sz w:val="18"/>
          <w:szCs w:val="18"/>
        </w:rPr>
        <w:t>Cbw</w:t>
      </w:r>
      <w:proofErr w:type="spellEnd"/>
      <w:r w:rsidRPr="00C47325">
        <w:rPr>
          <w:rFonts w:ascii="Verdana" w:hAnsi="Verdana" w:eastAsia="Times New Roman" w:cs="Arial"/>
          <w:sz w:val="18"/>
          <w:szCs w:val="18"/>
          <w:lang w:eastAsia="nl-NL"/>
        </w:rPr>
        <w:t xml:space="preserve"> strekt tot de implementatie van </w:t>
      </w:r>
      <w:r w:rsidRPr="00C47325">
        <w:rPr>
          <w:rFonts w:ascii="Verdana" w:hAnsi="Verdana" w:cs="Arial"/>
          <w:sz w:val="18"/>
          <w:szCs w:val="18"/>
          <w:shd w:val="clear" w:color="auto" w:fill="FFFFFF"/>
        </w:rPr>
        <w:t xml:space="preserve">de artikelen </w:t>
      </w:r>
      <w:r w:rsidRPr="00C47325">
        <w:rPr>
          <w:rStyle w:val="cf01"/>
          <w:rFonts w:ascii="Verdana" w:hAnsi="Verdana"/>
        </w:rPr>
        <w:t xml:space="preserve">13, eerste en derde lid, en 23, eerste lid (laatste volzin), zesde, achtste en negende lid, NIS2-richtlijn. </w:t>
      </w:r>
    </w:p>
    <w:p w:rsidRPr="00C47325" w:rsidR="00101607" w:rsidP="00CE333A" w:rsidRDefault="00101607" w14:paraId="76775539" w14:textId="77777777">
      <w:pPr>
        <w:pStyle w:val="Geenafstand"/>
        <w:rPr>
          <w:rFonts w:ascii="Verdana" w:hAnsi="Verdana"/>
          <w:sz w:val="18"/>
          <w:szCs w:val="18"/>
        </w:rPr>
      </w:pPr>
    </w:p>
    <w:p w:rsidRPr="00C47325" w:rsidR="00CE333A" w:rsidP="00CE333A" w:rsidRDefault="00CE333A" w14:paraId="0330F5E9" w14:textId="6CA957BA">
      <w:pPr>
        <w:spacing w:after="0" w:line="240" w:lineRule="auto"/>
        <w:rPr>
          <w:rFonts w:ascii="Verdana" w:hAnsi="Verdana" w:eastAsia="Times New Roman" w:cs="Arial"/>
          <w:sz w:val="18"/>
          <w:szCs w:val="18"/>
          <w:lang w:eastAsia="nl-NL"/>
        </w:rPr>
      </w:pPr>
      <w:r w:rsidRPr="00C47325">
        <w:rPr>
          <w:rFonts w:ascii="Verdana" w:hAnsi="Verdana"/>
          <w:sz w:val="18"/>
          <w:szCs w:val="18"/>
        </w:rPr>
        <w:t>Dit artikel gaat over de verstrekking van informatie over significante incidenten, incidenten, cyberdreigingen en bijna-incidenten die in Nederland en in andere lidstaten zijn gemeld. Die informatie moet aan, via en door het centrale contactpunt worden verstrekt.</w:t>
      </w:r>
      <w:r w:rsidRPr="00C47325">
        <w:rPr>
          <w:rFonts w:ascii="Verdana" w:hAnsi="Verdana" w:eastAsia="Times New Roman" w:cs="Arial"/>
          <w:sz w:val="18"/>
          <w:szCs w:val="18"/>
          <w:lang w:eastAsia="nl-NL"/>
        </w:rPr>
        <w:t xml:space="preserve"> Ten aanzien van het eerste lid wordt opgemerkt dat dit strekt ter uitvoering van artikel 13, derde lid, NIS2-richtlijn. De in dit lid genoemde meldingen van significante incidenten worden gedaan bij het CSIRT en de bevoegde autoriteit. De vrijwillige meldingen van incidenten, bijna-incidenten en cyberdreigingen als bedoeld in artikel </w:t>
      </w:r>
      <w:r w:rsidR="005150C2">
        <w:rPr>
          <w:rFonts w:ascii="Verdana" w:hAnsi="Verdana" w:eastAsia="Times New Roman" w:cs="Arial"/>
          <w:sz w:val="18"/>
          <w:szCs w:val="18"/>
          <w:lang w:eastAsia="nl-NL"/>
        </w:rPr>
        <w:t>33</w:t>
      </w:r>
      <w:r w:rsidRPr="00C47325">
        <w:rPr>
          <w:rFonts w:ascii="Verdana" w:hAnsi="Verdana" w:eastAsia="Times New Roman" w:cs="Arial"/>
          <w:sz w:val="18"/>
          <w:szCs w:val="18"/>
          <w:lang w:eastAsia="nl-NL"/>
        </w:rPr>
        <w:t xml:space="preserve">, eerste lid, onderdeel a, </w:t>
      </w:r>
      <w:proofErr w:type="spellStart"/>
      <w:r w:rsidRPr="00C47325" w:rsidR="00E30722">
        <w:rPr>
          <w:rFonts w:ascii="Verdana" w:hAnsi="Verdana" w:eastAsia="Times New Roman" w:cs="Arial"/>
          <w:sz w:val="18"/>
          <w:szCs w:val="18"/>
          <w:lang w:eastAsia="nl-NL"/>
        </w:rPr>
        <w:t>Cbw</w:t>
      </w:r>
      <w:proofErr w:type="spellEnd"/>
      <w:r w:rsidRPr="00C47325" w:rsidR="00E30722">
        <w:rPr>
          <w:rFonts w:ascii="Verdana" w:hAnsi="Verdana" w:eastAsia="Times New Roman" w:cs="Arial"/>
          <w:sz w:val="18"/>
          <w:szCs w:val="18"/>
          <w:lang w:eastAsia="nl-NL"/>
        </w:rPr>
        <w:t xml:space="preserve"> </w:t>
      </w:r>
      <w:r w:rsidRPr="00C47325">
        <w:rPr>
          <w:rFonts w:ascii="Verdana" w:hAnsi="Verdana" w:eastAsia="Times New Roman" w:cs="Arial"/>
          <w:sz w:val="18"/>
          <w:szCs w:val="18"/>
          <w:lang w:eastAsia="nl-NL"/>
        </w:rPr>
        <w:t xml:space="preserve">moeten door essentiële entiteiten en belangrijke entiteiten worden gedaan bij het CSIRT. Dit artikel zorgt ervoor dat de Minister van Justitie als het centrale contactpunt het overzicht heeft van alle meldingen die zijn gedaan op grond van de artikelen </w:t>
      </w:r>
      <w:r w:rsidR="00101607">
        <w:rPr>
          <w:rFonts w:ascii="Verdana" w:hAnsi="Verdana" w:eastAsia="Times New Roman" w:cs="Arial"/>
          <w:sz w:val="18"/>
          <w:szCs w:val="18"/>
          <w:lang w:eastAsia="nl-NL"/>
        </w:rPr>
        <w:t>25</w:t>
      </w:r>
      <w:r w:rsidRPr="00C47325" w:rsidR="00101607">
        <w:rPr>
          <w:rFonts w:ascii="Verdana" w:hAnsi="Verdana" w:eastAsia="Times New Roman" w:cs="Arial"/>
          <w:sz w:val="18"/>
          <w:szCs w:val="18"/>
          <w:lang w:eastAsia="nl-NL"/>
        </w:rPr>
        <w:t xml:space="preserve"> </w:t>
      </w:r>
      <w:r w:rsidRPr="00C47325">
        <w:rPr>
          <w:rFonts w:ascii="Verdana" w:hAnsi="Verdana" w:eastAsia="Times New Roman" w:cs="Arial"/>
          <w:sz w:val="18"/>
          <w:szCs w:val="18"/>
          <w:lang w:eastAsia="nl-NL"/>
        </w:rPr>
        <w:t xml:space="preserve">en </w:t>
      </w:r>
      <w:r w:rsidR="00101607">
        <w:rPr>
          <w:rFonts w:ascii="Verdana" w:hAnsi="Verdana" w:eastAsia="Times New Roman" w:cs="Arial"/>
          <w:sz w:val="18"/>
          <w:szCs w:val="18"/>
          <w:lang w:eastAsia="nl-NL"/>
        </w:rPr>
        <w:t>33</w:t>
      </w:r>
      <w:r w:rsidRPr="00C47325">
        <w:rPr>
          <w:rFonts w:ascii="Verdana" w:hAnsi="Verdana" w:eastAsia="Times New Roman" w:cs="Arial"/>
          <w:sz w:val="18"/>
          <w:szCs w:val="18"/>
          <w:lang w:eastAsia="nl-NL"/>
        </w:rPr>
        <w:t xml:space="preserve">, eerste lid, onderdeel a, </w:t>
      </w:r>
      <w:proofErr w:type="spellStart"/>
      <w:r w:rsidRPr="00C47325" w:rsidR="00604685">
        <w:rPr>
          <w:rFonts w:ascii="Verdana" w:hAnsi="Verdana"/>
          <w:sz w:val="18"/>
          <w:szCs w:val="18"/>
        </w:rPr>
        <w:t>Cbw</w:t>
      </w:r>
      <w:proofErr w:type="spellEnd"/>
      <w:r w:rsidRPr="00C47325">
        <w:rPr>
          <w:rFonts w:ascii="Verdana" w:hAnsi="Verdana" w:eastAsia="Times New Roman" w:cs="Arial"/>
          <w:sz w:val="18"/>
          <w:szCs w:val="18"/>
          <w:lang w:eastAsia="nl-NL"/>
        </w:rPr>
        <w:t>.</w:t>
      </w:r>
      <w:r w:rsidRPr="00C47325" w:rsidR="00EA661F">
        <w:rPr>
          <w:rFonts w:ascii="Verdana" w:hAnsi="Verdana" w:eastAsia="Times New Roman" w:cs="Arial"/>
          <w:sz w:val="18"/>
          <w:szCs w:val="18"/>
          <w:lang w:eastAsia="nl-NL"/>
        </w:rPr>
        <w:t xml:space="preserve"> </w:t>
      </w:r>
    </w:p>
    <w:p w:rsidRPr="00C47325" w:rsidR="00CE333A" w:rsidP="00CE333A" w:rsidRDefault="00CE333A" w14:paraId="08568F77" w14:textId="77777777">
      <w:pPr>
        <w:spacing w:after="0" w:line="240" w:lineRule="auto"/>
        <w:rPr>
          <w:rFonts w:ascii="Verdana" w:hAnsi="Verdana" w:eastAsia="Times New Roman" w:cs="Arial"/>
          <w:sz w:val="18"/>
          <w:szCs w:val="18"/>
          <w:lang w:eastAsia="nl-NL"/>
        </w:rPr>
      </w:pPr>
    </w:p>
    <w:p w:rsidRPr="00C47325" w:rsidR="00CE333A" w:rsidP="00CE333A" w:rsidRDefault="00CE333A" w14:paraId="7BCA74F6" w14:textId="591ADB1E">
      <w:pPr>
        <w:spacing w:after="0" w:line="240" w:lineRule="auto"/>
        <w:rPr>
          <w:rFonts w:ascii="Verdana" w:hAnsi="Verdana"/>
          <w:b/>
          <w:bCs/>
          <w:sz w:val="18"/>
          <w:szCs w:val="18"/>
          <w:shd w:val="clear" w:color="auto" w:fill="FFFFFF"/>
        </w:rPr>
      </w:pPr>
      <w:r w:rsidRPr="00C47325">
        <w:rPr>
          <w:rFonts w:ascii="Verdana" w:hAnsi="Verdana" w:eastAsia="Times New Roman" w:cs="Arial"/>
          <w:sz w:val="18"/>
          <w:szCs w:val="18"/>
          <w:lang w:eastAsia="nl-NL"/>
        </w:rPr>
        <w:t xml:space="preserve">Dit artikel schrijft niet voor dat ook de </w:t>
      </w:r>
      <w:r w:rsidR="00101607">
        <w:rPr>
          <w:rFonts w:ascii="Verdana" w:hAnsi="Verdana" w:eastAsia="Times New Roman" w:cs="Arial"/>
          <w:sz w:val="18"/>
          <w:szCs w:val="18"/>
          <w:lang w:eastAsia="nl-NL"/>
        </w:rPr>
        <w:t>toezichthoudende instantie</w:t>
      </w:r>
      <w:r w:rsidRPr="00C47325" w:rsidR="00101607">
        <w:rPr>
          <w:rFonts w:ascii="Verdana" w:hAnsi="Verdana" w:eastAsia="Times New Roman" w:cs="Arial"/>
          <w:sz w:val="18"/>
          <w:szCs w:val="18"/>
          <w:lang w:eastAsia="nl-NL"/>
        </w:rPr>
        <w:t xml:space="preserve"> </w:t>
      </w:r>
      <w:r w:rsidRPr="00C47325">
        <w:rPr>
          <w:rFonts w:ascii="Verdana" w:hAnsi="Verdana" w:eastAsia="Times New Roman" w:cs="Arial"/>
          <w:sz w:val="18"/>
          <w:szCs w:val="18"/>
          <w:lang w:eastAsia="nl-NL"/>
        </w:rPr>
        <w:t xml:space="preserve">(in </w:t>
      </w:r>
      <w:r w:rsidRPr="00C47325" w:rsidR="00C7540A">
        <w:rPr>
          <w:rFonts w:ascii="Verdana" w:hAnsi="Verdana" w:eastAsia="Times New Roman" w:cs="Arial"/>
          <w:sz w:val="18"/>
          <w:szCs w:val="18"/>
          <w:lang w:eastAsia="nl-NL"/>
        </w:rPr>
        <w:t xml:space="preserve">de </w:t>
      </w:r>
      <w:proofErr w:type="spellStart"/>
      <w:r w:rsidRPr="00C47325" w:rsidR="00C7540A">
        <w:rPr>
          <w:rFonts w:ascii="Verdana" w:hAnsi="Verdana"/>
          <w:sz w:val="18"/>
          <w:szCs w:val="18"/>
        </w:rPr>
        <w:t>Cbw</w:t>
      </w:r>
      <w:proofErr w:type="spellEnd"/>
      <w:r w:rsidRPr="00C47325">
        <w:rPr>
          <w:rFonts w:ascii="Verdana" w:hAnsi="Verdana" w:eastAsia="Times New Roman" w:cs="Arial"/>
          <w:sz w:val="18"/>
          <w:szCs w:val="18"/>
          <w:lang w:eastAsia="nl-NL"/>
        </w:rPr>
        <w:t xml:space="preserve"> genoemd: de bevoegde autoriteit) de in dit artikel bedoelde incidentinformatie moet verstrekken aan het centrale contactpunt. Ten aanzien van de meldplicht voor significante incidenten geldt immers dat essentiële entiteiten en belangrijke entiteiten deze incidenten moeten melden bij zowel het CSIRT als bij de bevoegde autoriteit. Het gaat hierbij om een melding van hetzelfde incident bij twee instanties. Omdat het </w:t>
      </w:r>
      <w:r w:rsidR="00CB2D10">
        <w:rPr>
          <w:rFonts w:ascii="Verdana" w:hAnsi="Verdana" w:eastAsia="Times New Roman" w:cs="Arial"/>
          <w:sz w:val="18"/>
          <w:szCs w:val="18"/>
          <w:lang w:eastAsia="nl-NL"/>
        </w:rPr>
        <w:t xml:space="preserve">in die gevallen </w:t>
      </w:r>
      <w:r w:rsidRPr="00C47325">
        <w:rPr>
          <w:rFonts w:ascii="Verdana" w:hAnsi="Verdana" w:eastAsia="Times New Roman" w:cs="Arial"/>
          <w:sz w:val="18"/>
          <w:szCs w:val="18"/>
          <w:lang w:eastAsia="nl-NL"/>
        </w:rPr>
        <w:t xml:space="preserve">gaat om hetzelfde incident volstaat het om </w:t>
      </w:r>
      <w:r w:rsidR="00CB2D10">
        <w:rPr>
          <w:rFonts w:ascii="Verdana" w:hAnsi="Verdana" w:eastAsia="Times New Roman" w:cs="Arial"/>
          <w:sz w:val="18"/>
          <w:szCs w:val="18"/>
          <w:lang w:eastAsia="nl-NL"/>
        </w:rPr>
        <w:t xml:space="preserve">daarvoor </w:t>
      </w:r>
      <w:r w:rsidRPr="00C47325">
        <w:rPr>
          <w:rFonts w:ascii="Verdana" w:hAnsi="Verdana" w:eastAsia="Times New Roman" w:cs="Arial"/>
          <w:sz w:val="18"/>
          <w:szCs w:val="18"/>
          <w:lang w:eastAsia="nl-NL"/>
        </w:rPr>
        <w:t xml:space="preserve">te regelen dat alleen het CSIRT de incidentgegevens moet verstrekken aan het centrale contactpunt. </w:t>
      </w:r>
    </w:p>
    <w:bookmarkEnd w:id="277"/>
    <w:p w:rsidRPr="00C47325" w:rsidR="00CE333A" w:rsidP="00CE333A" w:rsidRDefault="00CE333A" w14:paraId="20F60310" w14:textId="77777777">
      <w:pPr>
        <w:pStyle w:val="Geenafstand"/>
        <w:rPr>
          <w:rFonts w:ascii="Verdana" w:hAnsi="Verdana"/>
          <w:b/>
          <w:bCs/>
          <w:sz w:val="18"/>
          <w:szCs w:val="18"/>
        </w:rPr>
      </w:pPr>
    </w:p>
    <w:p w:rsidRPr="00BD3C4A" w:rsidR="00155394" w:rsidP="00155394" w:rsidRDefault="00155394" w14:paraId="16016F9A" w14:textId="0BC752C3">
      <w:pPr>
        <w:pStyle w:val="Geenafstand"/>
        <w:rPr>
          <w:rFonts w:ascii="Verdana" w:hAnsi="Verdana"/>
          <w:b/>
          <w:bCs/>
          <w:sz w:val="18"/>
          <w:szCs w:val="18"/>
        </w:rPr>
      </w:pPr>
      <w:bookmarkStart w:name="_Hlk142557328" w:id="278"/>
      <w:bookmarkStart w:name="_Hlk144197873" w:id="279"/>
      <w:r w:rsidRPr="00BD3C4A">
        <w:rPr>
          <w:rFonts w:ascii="Verdana" w:hAnsi="Verdana"/>
          <w:b/>
          <w:bCs/>
          <w:sz w:val="18"/>
          <w:szCs w:val="18"/>
        </w:rPr>
        <w:t xml:space="preserve">Artikel </w:t>
      </w:r>
      <w:r>
        <w:rPr>
          <w:rFonts w:ascii="Verdana" w:hAnsi="Verdana"/>
          <w:b/>
          <w:bCs/>
          <w:sz w:val="18"/>
          <w:szCs w:val="18"/>
        </w:rPr>
        <w:t>40</w:t>
      </w:r>
      <w:r w:rsidRPr="00BD3C4A">
        <w:rPr>
          <w:rFonts w:ascii="Verdana" w:hAnsi="Verdana"/>
          <w:b/>
          <w:bCs/>
          <w:sz w:val="18"/>
          <w:szCs w:val="18"/>
        </w:rPr>
        <w:t xml:space="preserve"> (informatieverstrekking over gemelde significante incidenten, incidenten, bijna-incidenten en cyberdreigingen door essentiële entiteiten die tevens kritieke entiteiten zijn) </w:t>
      </w:r>
    </w:p>
    <w:bookmarkEnd w:id="278"/>
    <w:bookmarkEnd w:id="279"/>
    <w:p w:rsidRPr="00C47325" w:rsidR="00CE333A" w:rsidP="00CE333A" w:rsidRDefault="00CE333A" w14:paraId="6BCBD700" w14:textId="77777777">
      <w:pPr>
        <w:pStyle w:val="Geenafstand"/>
        <w:rPr>
          <w:rFonts w:ascii="Verdana" w:hAnsi="Verdana" w:eastAsia="Times New Roman" w:cs="Arial"/>
          <w:sz w:val="18"/>
          <w:szCs w:val="18"/>
          <w:lang w:eastAsia="nl-NL"/>
        </w:rPr>
      </w:pPr>
    </w:p>
    <w:p w:rsidRPr="00C47325" w:rsidR="00CE333A" w:rsidP="00CE333A" w:rsidRDefault="00CE333A" w14:paraId="06040FAB" w14:textId="45E09DAF">
      <w:pPr>
        <w:spacing w:after="0" w:line="240" w:lineRule="auto"/>
        <w:rPr>
          <w:rFonts w:ascii="Verdana" w:hAnsi="Verdana" w:eastAsia="Times New Roman" w:cs="Arial"/>
          <w:sz w:val="18"/>
          <w:szCs w:val="18"/>
          <w:lang w:eastAsia="nl-NL"/>
        </w:rPr>
      </w:pPr>
      <w:r w:rsidRPr="00C47325">
        <w:rPr>
          <w:rFonts w:ascii="Verdana" w:hAnsi="Verdana" w:eastAsia="Times New Roman" w:cs="Arial"/>
          <w:sz w:val="18"/>
          <w:szCs w:val="18"/>
          <w:lang w:eastAsia="nl-NL"/>
        </w:rPr>
        <w:t xml:space="preserve">Artikel </w:t>
      </w:r>
      <w:r w:rsidR="00C961C2">
        <w:rPr>
          <w:rFonts w:ascii="Verdana" w:hAnsi="Verdana" w:eastAsia="Times New Roman" w:cs="Arial"/>
          <w:sz w:val="18"/>
          <w:szCs w:val="18"/>
          <w:lang w:eastAsia="nl-NL"/>
        </w:rPr>
        <w:t>40</w:t>
      </w:r>
      <w:r w:rsidRPr="00C47325">
        <w:rPr>
          <w:rFonts w:ascii="Verdana" w:hAnsi="Verdana" w:eastAsia="Times New Roman" w:cs="Arial"/>
          <w:sz w:val="18"/>
          <w:szCs w:val="18"/>
          <w:lang w:eastAsia="nl-NL"/>
        </w:rPr>
        <w:t xml:space="preserve"> </w:t>
      </w:r>
      <w:proofErr w:type="spellStart"/>
      <w:r w:rsidRPr="00C47325" w:rsidR="00C7540A">
        <w:rPr>
          <w:rFonts w:ascii="Verdana" w:hAnsi="Verdana"/>
          <w:sz w:val="18"/>
          <w:szCs w:val="18"/>
        </w:rPr>
        <w:t>Cbw</w:t>
      </w:r>
      <w:proofErr w:type="spellEnd"/>
      <w:r w:rsidRPr="00C47325">
        <w:rPr>
          <w:rFonts w:ascii="Verdana" w:hAnsi="Verdana" w:eastAsia="Times New Roman" w:cs="Arial"/>
          <w:sz w:val="18"/>
          <w:szCs w:val="18"/>
          <w:lang w:eastAsia="nl-NL"/>
        </w:rPr>
        <w:t xml:space="preserve"> strekt tot de implementatie van artikel 23, tiende lid, NIS2-richtlijn. Het artikel ziet op het verstrekken van informatie aan de bevoegde autoriteit, bedoeld in artikel 8 </w:t>
      </w:r>
      <w:proofErr w:type="spellStart"/>
      <w:r w:rsidRPr="00C47325">
        <w:rPr>
          <w:rFonts w:ascii="Verdana" w:hAnsi="Verdana" w:eastAsia="Times New Roman" w:cs="Arial"/>
          <w:sz w:val="18"/>
          <w:szCs w:val="18"/>
          <w:lang w:eastAsia="nl-NL"/>
        </w:rPr>
        <w:t>Wwke</w:t>
      </w:r>
      <w:proofErr w:type="spellEnd"/>
      <w:r w:rsidR="004C30C3">
        <w:rPr>
          <w:rFonts w:ascii="Verdana" w:hAnsi="Verdana" w:eastAsia="Times New Roman" w:cs="Arial"/>
          <w:sz w:val="18"/>
          <w:szCs w:val="18"/>
          <w:lang w:eastAsia="nl-NL"/>
        </w:rPr>
        <w:t>,</w:t>
      </w:r>
      <w:r w:rsidRPr="00C47325">
        <w:rPr>
          <w:rFonts w:ascii="Verdana" w:hAnsi="Verdana" w:eastAsia="Times New Roman" w:cs="Arial"/>
          <w:sz w:val="18"/>
          <w:szCs w:val="18"/>
          <w:lang w:eastAsia="nl-NL"/>
        </w:rPr>
        <w:t xml:space="preserve"> over gemelde significante incidenten door essentiële entiteiten die tevens kritieke entiteiten als bedoeld in de </w:t>
      </w:r>
      <w:proofErr w:type="spellStart"/>
      <w:r w:rsidRPr="00C47325">
        <w:rPr>
          <w:rFonts w:ascii="Verdana" w:hAnsi="Verdana" w:eastAsia="Times New Roman" w:cs="Arial"/>
          <w:sz w:val="18"/>
          <w:szCs w:val="18"/>
          <w:lang w:eastAsia="nl-NL"/>
        </w:rPr>
        <w:t>Wwke</w:t>
      </w:r>
      <w:proofErr w:type="spellEnd"/>
      <w:r w:rsidRPr="00C47325">
        <w:rPr>
          <w:rFonts w:ascii="Verdana" w:hAnsi="Verdana" w:eastAsia="Times New Roman" w:cs="Arial"/>
          <w:sz w:val="18"/>
          <w:szCs w:val="18"/>
          <w:lang w:eastAsia="nl-NL"/>
        </w:rPr>
        <w:t xml:space="preserve"> zijn. De </w:t>
      </w:r>
      <w:proofErr w:type="spellStart"/>
      <w:r w:rsidRPr="00C47325">
        <w:rPr>
          <w:rFonts w:ascii="Verdana" w:hAnsi="Verdana" w:eastAsia="Times New Roman" w:cs="Arial"/>
          <w:sz w:val="18"/>
          <w:szCs w:val="18"/>
          <w:lang w:eastAsia="nl-NL"/>
        </w:rPr>
        <w:t>Wwke</w:t>
      </w:r>
      <w:proofErr w:type="spellEnd"/>
      <w:r w:rsidRPr="00C47325">
        <w:rPr>
          <w:rFonts w:ascii="Verdana" w:hAnsi="Verdana" w:eastAsia="Times New Roman" w:cs="Arial"/>
          <w:sz w:val="18"/>
          <w:szCs w:val="18"/>
          <w:lang w:eastAsia="nl-NL"/>
        </w:rPr>
        <w:t xml:space="preserve"> betreft de nationale wet waarin de CER-richtlijn is geïmplementeerd. Over de verhouding tussen die richtlijn en de NIS2-richtlijn is in de NIS2-richtlijn onder meer toegelicht dat er een coherente aanpak moet worden gewaarborgd tussen beide richtlijnen, gezien de onderlinge verbanden tussen cyberbeveiliging en de fysieke beveiliging van entiteiten. Daartoe moeten entiteiten die uit hoofde van de CER-richtlijn als kritieke entiteiten worden aangemerkt, als essentiële entiteiten uit hoofde van de NIS2-richtlijn worden beschouwd. Bovendien moeten lidstaten ervoor zorgen dat de bevoegde autoriteiten van beide richtlijnen met elkaar samen werken en informatie uitwisselen over onder meer cyberdreigingen en incidenten die kritieke entiteiten treffen.</w:t>
      </w:r>
      <w:r w:rsidRPr="00C47325">
        <w:rPr>
          <w:rFonts w:ascii="Verdana" w:hAnsi="Verdana" w:eastAsia="Times New Roman" w:cs="Arial"/>
          <w:sz w:val="18"/>
          <w:szCs w:val="18"/>
          <w:vertAlign w:val="superscript"/>
          <w:lang w:eastAsia="nl-NL"/>
        </w:rPr>
        <w:footnoteReference w:id="95"/>
      </w:r>
    </w:p>
    <w:p w:rsidRPr="00C47325" w:rsidR="00CE333A" w:rsidP="00CE333A" w:rsidRDefault="00CE333A" w14:paraId="64D9BF8D" w14:textId="77777777">
      <w:pPr>
        <w:pStyle w:val="Geenafstand"/>
        <w:rPr>
          <w:rFonts w:ascii="Verdana" w:hAnsi="Verdana" w:eastAsia="Times New Roman" w:cs="Arial"/>
          <w:sz w:val="18"/>
          <w:szCs w:val="18"/>
          <w:lang w:eastAsia="nl-NL"/>
        </w:rPr>
      </w:pPr>
    </w:p>
    <w:p w:rsidRPr="00BD3C4A" w:rsidR="00155394" w:rsidP="00155394" w:rsidRDefault="00155394" w14:paraId="3E111EF4" w14:textId="49143FB3">
      <w:pPr>
        <w:pStyle w:val="Geenafstand"/>
        <w:rPr>
          <w:rFonts w:ascii="Verdana" w:hAnsi="Verdana" w:eastAsia="Times New Roman" w:cs="Arial"/>
          <w:b/>
          <w:bCs/>
          <w:color w:val="000000"/>
          <w:sz w:val="18"/>
          <w:szCs w:val="18"/>
          <w:lang w:eastAsia="nl-NL"/>
        </w:rPr>
      </w:pPr>
      <w:r w:rsidRPr="00BD3C4A">
        <w:rPr>
          <w:rFonts w:ascii="Verdana" w:hAnsi="Verdana" w:eastAsia="Times New Roman" w:cs="Arial"/>
          <w:b/>
          <w:bCs/>
          <w:color w:val="000000"/>
          <w:sz w:val="18"/>
          <w:szCs w:val="18"/>
          <w:lang w:eastAsia="nl-NL"/>
        </w:rPr>
        <w:t xml:space="preserve">Artikel </w:t>
      </w:r>
      <w:r>
        <w:rPr>
          <w:rFonts w:ascii="Verdana" w:hAnsi="Verdana" w:eastAsia="Times New Roman" w:cs="Arial"/>
          <w:b/>
          <w:bCs/>
          <w:color w:val="000000"/>
          <w:sz w:val="18"/>
          <w:szCs w:val="18"/>
          <w:lang w:eastAsia="nl-NL"/>
        </w:rPr>
        <w:t>41</w:t>
      </w:r>
      <w:r w:rsidRPr="00BD3C4A">
        <w:rPr>
          <w:rFonts w:ascii="Verdana" w:hAnsi="Verdana" w:eastAsia="Times New Roman" w:cs="Arial"/>
          <w:b/>
          <w:bCs/>
          <w:color w:val="000000"/>
          <w:sz w:val="18"/>
          <w:szCs w:val="18"/>
          <w:lang w:eastAsia="nl-NL"/>
        </w:rPr>
        <w:t xml:space="preserve"> (informatieverstrekking in verband met incidenten met betrekking tot financiële entiteiten)</w:t>
      </w:r>
    </w:p>
    <w:p w:rsidRPr="00C47325" w:rsidR="00CE333A" w:rsidP="00CE333A" w:rsidRDefault="00CE333A" w14:paraId="77BC8E47" w14:textId="77777777">
      <w:pPr>
        <w:spacing w:after="0" w:line="240" w:lineRule="auto"/>
        <w:rPr>
          <w:rFonts w:ascii="Verdana" w:hAnsi="Verdana" w:eastAsia="Times New Roman" w:cs="Arial"/>
          <w:b/>
          <w:bCs/>
          <w:sz w:val="18"/>
          <w:szCs w:val="18"/>
          <w:lang w:eastAsia="nl-NL"/>
        </w:rPr>
      </w:pPr>
    </w:p>
    <w:p w:rsidRPr="00C47325" w:rsidR="00CE333A" w:rsidP="00CE333A" w:rsidRDefault="00CE333A" w14:paraId="17AB3188" w14:textId="19AB0FC7">
      <w:pPr>
        <w:spacing w:after="0" w:line="240" w:lineRule="auto"/>
        <w:rPr>
          <w:rFonts w:ascii="Verdana" w:hAnsi="Verdana" w:eastAsia="Times New Roman" w:cs="Arial"/>
          <w:sz w:val="18"/>
          <w:szCs w:val="18"/>
          <w:lang w:eastAsia="nl-NL"/>
        </w:rPr>
      </w:pPr>
      <w:r w:rsidRPr="00C47325">
        <w:rPr>
          <w:rFonts w:ascii="Verdana" w:hAnsi="Verdana" w:eastAsia="Times New Roman" w:cs="Arial"/>
          <w:sz w:val="18"/>
          <w:szCs w:val="18"/>
          <w:lang w:eastAsia="nl-NL"/>
        </w:rPr>
        <w:t xml:space="preserve">Artikel </w:t>
      </w:r>
      <w:r w:rsidR="00B01BFF">
        <w:rPr>
          <w:rFonts w:ascii="Verdana" w:hAnsi="Verdana" w:eastAsia="Times New Roman" w:cs="Arial"/>
          <w:sz w:val="18"/>
          <w:szCs w:val="18"/>
          <w:lang w:eastAsia="nl-NL"/>
        </w:rPr>
        <w:t>4</w:t>
      </w:r>
      <w:r w:rsidR="00C961C2">
        <w:rPr>
          <w:rFonts w:ascii="Verdana" w:hAnsi="Verdana" w:eastAsia="Times New Roman" w:cs="Arial"/>
          <w:sz w:val="18"/>
          <w:szCs w:val="18"/>
          <w:lang w:eastAsia="nl-NL"/>
        </w:rPr>
        <w:t>1</w:t>
      </w:r>
      <w:r w:rsidRPr="00C47325" w:rsidR="00FD41E2">
        <w:rPr>
          <w:rFonts w:ascii="Verdana" w:hAnsi="Verdana" w:eastAsia="Times New Roman" w:cs="Arial"/>
          <w:sz w:val="18"/>
          <w:szCs w:val="18"/>
          <w:lang w:eastAsia="nl-NL"/>
        </w:rPr>
        <w:t xml:space="preserve"> </w:t>
      </w:r>
      <w:proofErr w:type="spellStart"/>
      <w:r w:rsidRPr="00C47325" w:rsidR="00C7540A">
        <w:rPr>
          <w:rFonts w:ascii="Verdana" w:hAnsi="Verdana"/>
          <w:sz w:val="18"/>
          <w:szCs w:val="18"/>
        </w:rPr>
        <w:t>Cbw</w:t>
      </w:r>
      <w:proofErr w:type="spellEnd"/>
      <w:r w:rsidRPr="00C47325">
        <w:rPr>
          <w:rFonts w:ascii="Verdana" w:hAnsi="Verdana" w:eastAsia="Times New Roman" w:cs="Arial"/>
          <w:sz w:val="18"/>
          <w:szCs w:val="18"/>
          <w:lang w:eastAsia="nl-NL"/>
        </w:rPr>
        <w:t xml:space="preserve"> strekt tot de implementatie van hetgeen in overweging 40 </w:t>
      </w:r>
      <w:r w:rsidR="00DF67C4">
        <w:rPr>
          <w:rFonts w:ascii="Verdana" w:hAnsi="Verdana" w:eastAsia="Times New Roman" w:cs="Arial"/>
          <w:sz w:val="18"/>
          <w:szCs w:val="18"/>
          <w:lang w:eastAsia="nl-NL"/>
        </w:rPr>
        <w:t xml:space="preserve">van de </w:t>
      </w:r>
      <w:r w:rsidRPr="00C47325">
        <w:rPr>
          <w:rFonts w:ascii="Verdana" w:hAnsi="Verdana" w:eastAsia="Times New Roman" w:cs="Arial"/>
          <w:sz w:val="18"/>
          <w:szCs w:val="18"/>
          <w:lang w:eastAsia="nl-NL"/>
        </w:rPr>
        <w:t xml:space="preserve">NIS2-richtlijn is opgenomen over het doorsturen van informatie over incidenten met betrekking tot financiële entiteiten aan de </w:t>
      </w:r>
      <w:proofErr w:type="spellStart"/>
      <w:r w:rsidRPr="00C47325">
        <w:rPr>
          <w:rFonts w:ascii="Verdana" w:hAnsi="Verdana" w:eastAsia="Times New Roman" w:cs="Arial"/>
          <w:sz w:val="18"/>
          <w:szCs w:val="18"/>
          <w:lang w:eastAsia="nl-NL"/>
        </w:rPr>
        <w:t>CSIRT</w:t>
      </w:r>
      <w:r w:rsidR="00F12F81">
        <w:rPr>
          <w:rFonts w:ascii="Verdana" w:hAnsi="Verdana" w:eastAsia="Times New Roman" w:cs="Arial"/>
          <w:sz w:val="18"/>
          <w:szCs w:val="18"/>
          <w:lang w:eastAsia="nl-NL"/>
        </w:rPr>
        <w:t>’</w:t>
      </w:r>
      <w:r w:rsidRPr="00C47325">
        <w:rPr>
          <w:rFonts w:ascii="Verdana" w:hAnsi="Verdana" w:eastAsia="Times New Roman" w:cs="Arial"/>
          <w:sz w:val="18"/>
          <w:szCs w:val="18"/>
          <w:lang w:eastAsia="nl-NL"/>
        </w:rPr>
        <w:t>s</w:t>
      </w:r>
      <w:proofErr w:type="spellEnd"/>
      <w:r w:rsidRPr="00C47325">
        <w:rPr>
          <w:rFonts w:ascii="Verdana" w:hAnsi="Verdana" w:eastAsia="Times New Roman" w:cs="Arial"/>
          <w:sz w:val="18"/>
          <w:szCs w:val="18"/>
          <w:lang w:eastAsia="nl-NL"/>
        </w:rPr>
        <w:t xml:space="preserve"> en de bevoegde autoriteiten als bedoeld in deze wet. Het centrale contactpunt kan zulke informatie ontvangen van de bevoegde autoriteiten uit hoofde van de </w:t>
      </w:r>
      <w:r w:rsidR="009754FB">
        <w:rPr>
          <w:rFonts w:ascii="Verdana" w:hAnsi="Verdana"/>
          <w:sz w:val="18"/>
          <w:szCs w:val="18"/>
        </w:rPr>
        <w:t>DORA</w:t>
      </w:r>
      <w:r w:rsidRPr="00C47325">
        <w:rPr>
          <w:rFonts w:ascii="Verdana" w:hAnsi="Verdana" w:eastAsia="Times New Roman" w:cs="Arial"/>
          <w:sz w:val="18"/>
          <w:szCs w:val="18"/>
          <w:lang w:eastAsia="nl-NL"/>
        </w:rPr>
        <w:t xml:space="preserve">. In dat geval kan hij die informatie doorsturen naar de </w:t>
      </w:r>
      <w:proofErr w:type="spellStart"/>
      <w:r w:rsidRPr="00C47325">
        <w:rPr>
          <w:rFonts w:ascii="Verdana" w:hAnsi="Verdana" w:eastAsia="Times New Roman" w:cs="Arial"/>
          <w:sz w:val="18"/>
          <w:szCs w:val="18"/>
          <w:lang w:eastAsia="nl-NL"/>
        </w:rPr>
        <w:t>CSIRT</w:t>
      </w:r>
      <w:r w:rsidR="00F12F81">
        <w:rPr>
          <w:rFonts w:ascii="Verdana" w:hAnsi="Verdana" w:eastAsia="Times New Roman" w:cs="Arial"/>
          <w:sz w:val="18"/>
          <w:szCs w:val="18"/>
          <w:lang w:eastAsia="nl-NL"/>
        </w:rPr>
        <w:t>’</w:t>
      </w:r>
      <w:r w:rsidRPr="00C47325">
        <w:rPr>
          <w:rFonts w:ascii="Verdana" w:hAnsi="Verdana" w:eastAsia="Times New Roman" w:cs="Arial"/>
          <w:sz w:val="18"/>
          <w:szCs w:val="18"/>
          <w:lang w:eastAsia="nl-NL"/>
        </w:rPr>
        <w:t>s</w:t>
      </w:r>
      <w:proofErr w:type="spellEnd"/>
      <w:r w:rsidRPr="00C47325">
        <w:rPr>
          <w:rFonts w:ascii="Verdana" w:hAnsi="Verdana" w:eastAsia="Times New Roman" w:cs="Arial"/>
          <w:sz w:val="18"/>
          <w:szCs w:val="18"/>
          <w:lang w:eastAsia="nl-NL"/>
        </w:rPr>
        <w:t xml:space="preserve"> en de bevoegde autoriteiten. </w:t>
      </w:r>
    </w:p>
    <w:p w:rsidRPr="00C47325" w:rsidR="00CE333A" w:rsidP="00CE333A" w:rsidRDefault="00CE333A" w14:paraId="1D97EC13" w14:textId="77777777">
      <w:pPr>
        <w:spacing w:after="0" w:line="240" w:lineRule="auto"/>
        <w:rPr>
          <w:rFonts w:ascii="Verdana" w:hAnsi="Verdana"/>
          <w:sz w:val="18"/>
          <w:szCs w:val="18"/>
        </w:rPr>
      </w:pPr>
    </w:p>
    <w:p w:rsidRPr="00BD3C4A" w:rsidR="00155394" w:rsidP="00155394" w:rsidRDefault="00155394" w14:paraId="1245349F" w14:textId="2FD01199">
      <w:pPr>
        <w:pStyle w:val="Geenafstand"/>
        <w:rPr>
          <w:rFonts w:ascii="Verdana" w:hAnsi="Verdana"/>
          <w:b/>
          <w:bCs/>
          <w:sz w:val="18"/>
          <w:szCs w:val="18"/>
        </w:rPr>
      </w:pPr>
      <w:bookmarkStart w:name="_Hlk177389247" w:id="280"/>
      <w:bookmarkEnd w:id="272"/>
      <w:r w:rsidRPr="00BD3C4A">
        <w:rPr>
          <w:rFonts w:ascii="Verdana" w:hAnsi="Verdana"/>
          <w:b/>
          <w:bCs/>
          <w:sz w:val="18"/>
          <w:szCs w:val="18"/>
        </w:rPr>
        <w:t xml:space="preserve">Artikel </w:t>
      </w:r>
      <w:r>
        <w:rPr>
          <w:rFonts w:ascii="Verdana" w:hAnsi="Verdana"/>
          <w:b/>
          <w:bCs/>
          <w:sz w:val="18"/>
          <w:szCs w:val="18"/>
        </w:rPr>
        <w:t>42</w:t>
      </w:r>
      <w:r w:rsidRPr="00BD3C4A">
        <w:rPr>
          <w:rFonts w:ascii="Verdana" w:hAnsi="Verdana"/>
          <w:b/>
          <w:bCs/>
          <w:sz w:val="18"/>
          <w:szCs w:val="18"/>
        </w:rPr>
        <w:t xml:space="preserve"> (aanwijzing vertegenwoordiger)</w:t>
      </w:r>
    </w:p>
    <w:bookmarkEnd w:id="280"/>
    <w:p w:rsidRPr="00C47325" w:rsidR="00CE333A" w:rsidP="00CE333A" w:rsidRDefault="00CE333A" w14:paraId="3ADF0273" w14:textId="77777777">
      <w:pPr>
        <w:pStyle w:val="Geenafstand"/>
        <w:rPr>
          <w:rFonts w:ascii="Verdana" w:hAnsi="Verdana"/>
          <w:sz w:val="18"/>
          <w:szCs w:val="18"/>
        </w:rPr>
      </w:pPr>
    </w:p>
    <w:p w:rsidRPr="00C47325" w:rsidR="00CE333A" w:rsidP="00CE333A" w:rsidRDefault="00CE333A" w14:paraId="186DD098" w14:textId="1BC76DF6">
      <w:pPr>
        <w:pStyle w:val="Geenafstand"/>
        <w:rPr>
          <w:rFonts w:ascii="Verdana" w:hAnsi="Verdana"/>
          <w:sz w:val="18"/>
          <w:szCs w:val="18"/>
        </w:rPr>
      </w:pPr>
      <w:r w:rsidRPr="00C47325">
        <w:rPr>
          <w:rFonts w:ascii="Verdana" w:hAnsi="Verdana"/>
          <w:sz w:val="18"/>
          <w:szCs w:val="18"/>
        </w:rPr>
        <w:t xml:space="preserve">Artikel </w:t>
      </w:r>
      <w:r w:rsidR="00B01BFF">
        <w:rPr>
          <w:rFonts w:ascii="Verdana" w:hAnsi="Verdana"/>
          <w:sz w:val="18"/>
          <w:szCs w:val="18"/>
        </w:rPr>
        <w:t>4</w:t>
      </w:r>
      <w:r w:rsidR="00C961C2">
        <w:rPr>
          <w:rFonts w:ascii="Verdana" w:hAnsi="Verdana"/>
          <w:sz w:val="18"/>
          <w:szCs w:val="18"/>
        </w:rPr>
        <w:t>2</w:t>
      </w:r>
      <w:r w:rsidRPr="00C47325" w:rsidR="00FD41E2">
        <w:rPr>
          <w:rFonts w:ascii="Verdana" w:hAnsi="Verdana"/>
          <w:sz w:val="18"/>
          <w:szCs w:val="18"/>
        </w:rPr>
        <w:t xml:space="preserv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bevat de verplichting voor bepaalde entiteiten om een vertegenwoordiger aan te wijzen. Wat onder vertegenwoordiger wordt verstaan, is gedefinieerd in artikel 1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Artikel </w:t>
      </w:r>
      <w:r w:rsidR="00B01BFF">
        <w:rPr>
          <w:rFonts w:ascii="Verdana" w:hAnsi="Verdana"/>
          <w:sz w:val="18"/>
          <w:szCs w:val="18"/>
        </w:rPr>
        <w:t>4</w:t>
      </w:r>
      <w:r w:rsidR="00C961C2">
        <w:rPr>
          <w:rFonts w:ascii="Verdana" w:hAnsi="Verdana"/>
          <w:sz w:val="18"/>
          <w:szCs w:val="18"/>
        </w:rPr>
        <w:t>2</w:t>
      </w:r>
      <w:r w:rsidRPr="00C47325" w:rsidR="00FD41E2">
        <w:rPr>
          <w:rFonts w:ascii="Verdana" w:hAnsi="Verdana"/>
          <w:sz w:val="18"/>
          <w:szCs w:val="18"/>
        </w:rPr>
        <w:t xml:space="preserv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betreft de implementatie van artikel 26, derde lid, NIS2-richtlijn.</w:t>
      </w:r>
    </w:p>
    <w:p w:rsidR="00CE333A" w:rsidP="00CE333A" w:rsidRDefault="00CE333A" w14:paraId="47E81064" w14:textId="77777777">
      <w:pPr>
        <w:pStyle w:val="Geenafstand"/>
        <w:rPr>
          <w:rFonts w:ascii="Verdana" w:hAnsi="Verdana"/>
          <w:sz w:val="18"/>
          <w:szCs w:val="18"/>
        </w:rPr>
      </w:pPr>
    </w:p>
    <w:p w:rsidR="00E04B59" w:rsidP="00CE333A" w:rsidRDefault="00E04B59" w14:paraId="256150B2" w14:textId="77777777">
      <w:pPr>
        <w:pStyle w:val="Geenafstand"/>
        <w:rPr>
          <w:rFonts w:ascii="Verdana" w:hAnsi="Verdana"/>
          <w:sz w:val="18"/>
          <w:szCs w:val="18"/>
        </w:rPr>
      </w:pPr>
    </w:p>
    <w:p w:rsidR="00E04B59" w:rsidP="00CE333A" w:rsidRDefault="00E04B59" w14:paraId="3220865D" w14:textId="77777777">
      <w:pPr>
        <w:pStyle w:val="Geenafstand"/>
        <w:rPr>
          <w:rFonts w:ascii="Verdana" w:hAnsi="Verdana"/>
          <w:sz w:val="18"/>
          <w:szCs w:val="18"/>
        </w:rPr>
      </w:pPr>
    </w:p>
    <w:p w:rsidRPr="00C47325" w:rsidR="00E04B59" w:rsidP="00CE333A" w:rsidRDefault="00E04B59" w14:paraId="7D667C39" w14:textId="77777777">
      <w:pPr>
        <w:pStyle w:val="Geenafstand"/>
        <w:rPr>
          <w:rFonts w:ascii="Verdana" w:hAnsi="Verdana"/>
          <w:sz w:val="18"/>
          <w:szCs w:val="18"/>
        </w:rPr>
      </w:pPr>
    </w:p>
    <w:p w:rsidRPr="00BD3C4A" w:rsidR="00155394" w:rsidP="00155394" w:rsidRDefault="00155394" w14:paraId="639EEAC6" w14:textId="4CD23D53">
      <w:pPr>
        <w:pStyle w:val="Geenafstand"/>
        <w:rPr>
          <w:rFonts w:ascii="Verdana" w:hAnsi="Verdana"/>
          <w:b/>
          <w:bCs/>
          <w:sz w:val="18"/>
          <w:szCs w:val="18"/>
        </w:rPr>
      </w:pPr>
      <w:bookmarkStart w:name="_Hlk141262435" w:id="281"/>
      <w:r w:rsidRPr="00BD3C4A">
        <w:rPr>
          <w:rFonts w:ascii="Verdana" w:hAnsi="Verdana"/>
          <w:b/>
          <w:bCs/>
          <w:sz w:val="18"/>
          <w:szCs w:val="18"/>
        </w:rPr>
        <w:t xml:space="preserve">Artikel </w:t>
      </w:r>
      <w:r>
        <w:rPr>
          <w:rFonts w:ascii="Verdana" w:hAnsi="Verdana"/>
          <w:b/>
          <w:bCs/>
          <w:sz w:val="18"/>
          <w:szCs w:val="18"/>
        </w:rPr>
        <w:t>43</w:t>
      </w:r>
      <w:r w:rsidRPr="00BD3C4A">
        <w:rPr>
          <w:rFonts w:ascii="Verdana" w:hAnsi="Verdana"/>
          <w:b/>
          <w:bCs/>
          <w:sz w:val="18"/>
          <w:szCs w:val="18"/>
        </w:rPr>
        <w:t xml:space="preserve"> (nationaal register van entiteiten)</w:t>
      </w:r>
    </w:p>
    <w:p w:rsidRPr="00C47325" w:rsidR="00887DC0" w:rsidP="00887DC0" w:rsidRDefault="00887DC0" w14:paraId="3A059D63" w14:textId="77777777">
      <w:pPr>
        <w:pStyle w:val="Geenafstand"/>
        <w:rPr>
          <w:rFonts w:ascii="Verdana" w:hAnsi="Verdana"/>
          <w:sz w:val="18"/>
          <w:szCs w:val="18"/>
        </w:rPr>
      </w:pPr>
    </w:p>
    <w:p w:rsidR="00887DC0" w:rsidP="00887DC0" w:rsidRDefault="00887DC0" w14:paraId="0473A76D" w14:textId="3F676B0A">
      <w:pPr>
        <w:spacing w:after="0" w:line="240" w:lineRule="auto"/>
        <w:rPr>
          <w:rFonts w:ascii="Verdana" w:hAnsi="Verdana"/>
          <w:sz w:val="18"/>
          <w:szCs w:val="18"/>
        </w:rPr>
      </w:pPr>
      <w:r w:rsidRPr="00C47325">
        <w:rPr>
          <w:rFonts w:ascii="Verdana" w:hAnsi="Verdana"/>
          <w:sz w:val="18"/>
          <w:szCs w:val="18"/>
        </w:rPr>
        <w:t xml:space="preserve">Artikel </w:t>
      </w:r>
      <w:r w:rsidR="00B01BFF">
        <w:rPr>
          <w:rFonts w:ascii="Verdana" w:hAnsi="Verdana"/>
          <w:sz w:val="18"/>
          <w:szCs w:val="18"/>
        </w:rPr>
        <w:t>4</w:t>
      </w:r>
      <w:r w:rsidR="00C961C2">
        <w:rPr>
          <w:rFonts w:ascii="Verdana" w:hAnsi="Verdana"/>
          <w:sz w:val="18"/>
          <w:szCs w:val="18"/>
        </w:rPr>
        <w:t>3</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implementeert artikel 3, derde lid, NIS2-richtlijn. Die richtlijnbepaling verplicht lidstaten om een lijst van essentiële entiteiten, belangrijke entiteiten en entiteiten die domeinnaamregistratiediensten verlenen bij te houden. Artikel 3, derde lid, NIS2-richtlijn wordt in de </w:t>
      </w:r>
      <w:proofErr w:type="spellStart"/>
      <w:r w:rsidRPr="00C47325">
        <w:rPr>
          <w:rFonts w:ascii="Verdana" w:hAnsi="Verdana"/>
          <w:sz w:val="18"/>
          <w:szCs w:val="18"/>
        </w:rPr>
        <w:t>Cbw</w:t>
      </w:r>
      <w:proofErr w:type="spellEnd"/>
      <w:r w:rsidRPr="00C47325">
        <w:rPr>
          <w:rFonts w:ascii="Verdana" w:hAnsi="Verdana"/>
          <w:sz w:val="18"/>
          <w:szCs w:val="18"/>
        </w:rPr>
        <w:t xml:space="preserve"> geïmplementeerd als een verplichting van de Minister van Justitie en Veiligheid om een nationaal register van entiteiten tot stand te laten komen en te beheren. In artikel </w:t>
      </w:r>
      <w:r w:rsidR="00B01BFF">
        <w:rPr>
          <w:rFonts w:ascii="Verdana" w:hAnsi="Verdana"/>
          <w:sz w:val="18"/>
          <w:szCs w:val="18"/>
        </w:rPr>
        <w:t>4</w:t>
      </w:r>
      <w:r w:rsidR="00C961C2">
        <w:rPr>
          <w:rFonts w:ascii="Verdana" w:hAnsi="Verdana"/>
          <w:sz w:val="18"/>
          <w:szCs w:val="18"/>
        </w:rPr>
        <w:t>4</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is opgenomen welke informatie entiteiten moeten aanleveren bij de Minister van Justitie en Veiligheid ten behoeve van dat register. </w:t>
      </w:r>
    </w:p>
    <w:p w:rsidR="009D7E25" w:rsidP="00887DC0" w:rsidRDefault="009D7E25" w14:paraId="4C7FCD42" w14:textId="77777777">
      <w:pPr>
        <w:spacing w:after="0" w:line="240" w:lineRule="auto"/>
        <w:rPr>
          <w:rFonts w:ascii="Verdana" w:hAnsi="Verdana"/>
          <w:sz w:val="18"/>
          <w:szCs w:val="18"/>
        </w:rPr>
      </w:pPr>
    </w:p>
    <w:p w:rsidRPr="00C47325" w:rsidR="009D7E25" w:rsidP="00887DC0" w:rsidRDefault="009D7E25" w14:paraId="1BB30C85" w14:textId="6CCBA534">
      <w:pPr>
        <w:spacing w:after="0" w:line="240" w:lineRule="auto"/>
        <w:rPr>
          <w:rFonts w:ascii="Verdana" w:hAnsi="Verdana"/>
          <w:sz w:val="18"/>
          <w:szCs w:val="18"/>
        </w:rPr>
      </w:pPr>
      <w:r>
        <w:rPr>
          <w:rFonts w:ascii="Verdana" w:hAnsi="Verdana"/>
          <w:sz w:val="18"/>
          <w:szCs w:val="18"/>
        </w:rPr>
        <w:t>Artikel 4</w:t>
      </w:r>
      <w:r w:rsidR="00C961C2">
        <w:rPr>
          <w:rFonts w:ascii="Verdana" w:hAnsi="Verdana"/>
          <w:sz w:val="18"/>
          <w:szCs w:val="18"/>
        </w:rPr>
        <w:t>3</w:t>
      </w:r>
      <w:r>
        <w:rPr>
          <w:rFonts w:ascii="Verdana" w:hAnsi="Verdana"/>
          <w:sz w:val="18"/>
          <w:szCs w:val="18"/>
        </w:rPr>
        <w:t xml:space="preserve">, derde lid, </w:t>
      </w:r>
      <w:proofErr w:type="spellStart"/>
      <w:r>
        <w:rPr>
          <w:rFonts w:ascii="Verdana" w:hAnsi="Verdana"/>
          <w:sz w:val="18"/>
          <w:szCs w:val="18"/>
        </w:rPr>
        <w:t>Cbw</w:t>
      </w:r>
      <w:proofErr w:type="spellEnd"/>
      <w:r>
        <w:rPr>
          <w:rFonts w:ascii="Verdana" w:hAnsi="Verdana"/>
          <w:sz w:val="18"/>
          <w:szCs w:val="18"/>
        </w:rPr>
        <w:t xml:space="preserve"> bepaalt dat de Minister van Justitie en Veiligheid</w:t>
      </w:r>
      <w:r w:rsidR="00FF2EC0">
        <w:rPr>
          <w:rFonts w:ascii="Verdana" w:hAnsi="Verdana"/>
          <w:sz w:val="18"/>
          <w:szCs w:val="18"/>
        </w:rPr>
        <w:t>,</w:t>
      </w:r>
      <w:r>
        <w:rPr>
          <w:rFonts w:ascii="Verdana" w:hAnsi="Verdana"/>
          <w:sz w:val="18"/>
          <w:szCs w:val="18"/>
        </w:rPr>
        <w:t xml:space="preserve"> </w:t>
      </w:r>
      <w:r w:rsidR="00FF2EC0">
        <w:rPr>
          <w:rFonts w:ascii="Verdana" w:hAnsi="Verdana"/>
          <w:sz w:val="18"/>
          <w:szCs w:val="18"/>
        </w:rPr>
        <w:t xml:space="preserve">in overeenstemming met de bevoegde autoriteit die het aangaat, </w:t>
      </w:r>
      <w:r>
        <w:rPr>
          <w:rFonts w:ascii="Verdana" w:hAnsi="Verdana"/>
          <w:sz w:val="18"/>
          <w:szCs w:val="18"/>
        </w:rPr>
        <w:t xml:space="preserve">een registratie kan wijzigen, weigeren of beëindigen, als de grond voor registratie is gewijzigd, vervallen of ontbreekt. Een wijziging van een registratie is bijvoorbeeld denkbaar in het geval dat een entiteit in het nationale register is opgenomen als essentiële entiteit en inmiddels niet meer kwalificeert als essentiële entiteit, maar wel als belangrijke entiteit. Dit is een voorbeeld van een geval waarin de Minister van Justitie en Veiligheid de registratie wijzigt. Een weigering van een registratie is denkbaar in het geval dat een entiteit op grond van het bepaalde bij of krachtens de </w:t>
      </w:r>
      <w:proofErr w:type="spellStart"/>
      <w:r>
        <w:rPr>
          <w:rFonts w:ascii="Verdana" w:hAnsi="Verdana"/>
          <w:sz w:val="18"/>
          <w:szCs w:val="18"/>
        </w:rPr>
        <w:t>Cbw</w:t>
      </w:r>
      <w:proofErr w:type="spellEnd"/>
      <w:r>
        <w:rPr>
          <w:rFonts w:ascii="Verdana" w:hAnsi="Verdana"/>
          <w:sz w:val="18"/>
          <w:szCs w:val="18"/>
        </w:rPr>
        <w:t xml:space="preserve"> niet kwalificeert als essentiële entiteit, belangrijke entiteit of entiteit die domeinnaamregistratiediensten verleent. Een beëindiging van een registratie is denkbaar in het geval dat een entiteit in het register is opgenomen als essentiële entiteit, belangrijke entiteit of entiteit die domeinnaamregistratiediensten verleent, maar op een gegeven moment niet meer als zodanig te kwalificeren is. </w:t>
      </w:r>
      <w:r w:rsidR="00B56D90">
        <w:rPr>
          <w:rFonts w:ascii="Verdana" w:hAnsi="Verdana"/>
          <w:sz w:val="18"/>
          <w:szCs w:val="18"/>
        </w:rPr>
        <w:t xml:space="preserve">Dit kan bijvoorbeeld het geval zijn bij een essentiële entiteit die bepaalde activiteiten niet meer verricht of bepaalde diensten niet meer verleent, waardoor deze entiteit op grond van de </w:t>
      </w:r>
      <w:proofErr w:type="spellStart"/>
      <w:r w:rsidR="00B56D90">
        <w:rPr>
          <w:rFonts w:ascii="Verdana" w:hAnsi="Verdana"/>
          <w:sz w:val="18"/>
          <w:szCs w:val="18"/>
        </w:rPr>
        <w:t>Cbw</w:t>
      </w:r>
      <w:proofErr w:type="spellEnd"/>
      <w:r w:rsidR="00B56D90">
        <w:rPr>
          <w:rFonts w:ascii="Verdana" w:hAnsi="Verdana"/>
          <w:sz w:val="18"/>
          <w:szCs w:val="18"/>
        </w:rPr>
        <w:t xml:space="preserve"> niet meer wordt aangemerkt als essentiële entiteit (noch als belangrijke entiteit en entiteit die domeinnaamregistratiediensten verleent). </w:t>
      </w:r>
    </w:p>
    <w:p w:rsidRPr="00C47325" w:rsidR="00887DC0" w:rsidP="00887DC0" w:rsidRDefault="00887DC0" w14:paraId="63EAA682" w14:textId="77777777">
      <w:pPr>
        <w:spacing w:after="0" w:line="240" w:lineRule="auto"/>
        <w:rPr>
          <w:rFonts w:ascii="Verdana" w:hAnsi="Verdana"/>
          <w:b/>
          <w:bCs/>
          <w:sz w:val="18"/>
          <w:szCs w:val="18"/>
        </w:rPr>
      </w:pPr>
    </w:p>
    <w:p w:rsidRPr="00BD3C4A" w:rsidR="00155394" w:rsidP="00155394" w:rsidRDefault="00155394" w14:paraId="22BEE6AE" w14:textId="09191BFC">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44</w:t>
      </w:r>
      <w:r w:rsidRPr="00BD3C4A">
        <w:rPr>
          <w:rFonts w:ascii="Verdana" w:hAnsi="Verdana"/>
          <w:b/>
          <w:bCs/>
          <w:sz w:val="18"/>
          <w:szCs w:val="18"/>
        </w:rPr>
        <w:t xml:space="preserve"> (informatieverstrekking ten behoeve van nationale register)</w:t>
      </w:r>
    </w:p>
    <w:p w:rsidRPr="00C47325" w:rsidR="00CE333A" w:rsidP="00CE333A" w:rsidRDefault="00CE333A" w14:paraId="4C9FCC52" w14:textId="77777777">
      <w:pPr>
        <w:pStyle w:val="Geenafstand"/>
        <w:rPr>
          <w:rFonts w:ascii="Verdana" w:hAnsi="Verdana"/>
          <w:sz w:val="18"/>
          <w:szCs w:val="18"/>
        </w:rPr>
      </w:pPr>
    </w:p>
    <w:p w:rsidRPr="00C47325" w:rsidR="00CE333A" w:rsidP="00CE333A" w:rsidRDefault="00CE333A" w14:paraId="296E507D" w14:textId="235345BA">
      <w:pPr>
        <w:pStyle w:val="Geenafstand"/>
        <w:rPr>
          <w:rFonts w:ascii="Verdana" w:hAnsi="Verdana"/>
          <w:sz w:val="18"/>
          <w:szCs w:val="18"/>
        </w:rPr>
      </w:pPr>
      <w:r w:rsidRPr="00C47325">
        <w:rPr>
          <w:rFonts w:ascii="Verdana" w:hAnsi="Verdana"/>
          <w:sz w:val="18"/>
          <w:szCs w:val="18"/>
        </w:rPr>
        <w:t xml:space="preserve">Artikel </w:t>
      </w:r>
      <w:r w:rsidR="00B01BFF">
        <w:rPr>
          <w:rFonts w:ascii="Verdana" w:hAnsi="Verdana"/>
          <w:sz w:val="18"/>
          <w:szCs w:val="18"/>
        </w:rPr>
        <w:t>4</w:t>
      </w:r>
      <w:r w:rsidR="00C961C2">
        <w:rPr>
          <w:rFonts w:ascii="Verdana" w:hAnsi="Verdana"/>
          <w:sz w:val="18"/>
          <w:szCs w:val="18"/>
        </w:rPr>
        <w:t>4</w:t>
      </w:r>
      <w:r w:rsidRPr="00C47325" w:rsidR="00FD41E2">
        <w:rPr>
          <w:rFonts w:ascii="Verdana" w:hAnsi="Verdana"/>
          <w:sz w:val="18"/>
          <w:szCs w:val="18"/>
        </w:rPr>
        <w:t xml:space="preserv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strekt tot de implementatie van artikel 3, vierde lid, NIS2-richtlijn. Die richtlijnbepaling schrijft voor dat lidstaten ervoor moeten zorgen dat entiteiten informatie aanleveren ten behoeve van een door lidstaten op te stellen lijst van entiteiten. Die lijst wordt in </w:t>
      </w:r>
      <w:r w:rsidRPr="00C47325" w:rsidR="00C7540A">
        <w:rPr>
          <w:rFonts w:ascii="Verdana" w:hAnsi="Verdana"/>
          <w:sz w:val="18"/>
          <w:szCs w:val="18"/>
        </w:rPr>
        <w:t xml:space="preserve">de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het nationale register genoemd en de taak van het tot stand brengen van het nationale register wordt belegd bij de Minister van Justitie en Veiligheid. </w:t>
      </w:r>
    </w:p>
    <w:p w:rsidRPr="00C47325" w:rsidR="00CE333A" w:rsidP="00CE333A" w:rsidRDefault="00CE333A" w14:paraId="08129811" w14:textId="77777777">
      <w:pPr>
        <w:pStyle w:val="Geenafstand"/>
        <w:rPr>
          <w:rFonts w:ascii="Verdana" w:hAnsi="Verdana"/>
          <w:sz w:val="18"/>
          <w:szCs w:val="18"/>
        </w:rPr>
      </w:pPr>
    </w:p>
    <w:p w:rsidRPr="00C47325" w:rsidR="00CE333A" w:rsidP="00CE333A" w:rsidRDefault="00CE333A" w14:paraId="4C6070AF" w14:textId="4CA6A65E">
      <w:pPr>
        <w:pStyle w:val="Geenafstand"/>
        <w:rPr>
          <w:rFonts w:ascii="Verdana" w:hAnsi="Verdana"/>
          <w:sz w:val="18"/>
          <w:szCs w:val="18"/>
        </w:rPr>
      </w:pPr>
      <w:r w:rsidRPr="00C47325">
        <w:rPr>
          <w:rFonts w:ascii="Verdana" w:hAnsi="Verdana"/>
          <w:sz w:val="18"/>
          <w:szCs w:val="18"/>
        </w:rPr>
        <w:t xml:space="preserve">In artikel </w:t>
      </w:r>
      <w:r w:rsidR="00B01BFF">
        <w:rPr>
          <w:rFonts w:ascii="Verdana" w:hAnsi="Verdana"/>
          <w:sz w:val="18"/>
          <w:szCs w:val="18"/>
        </w:rPr>
        <w:t>4</w:t>
      </w:r>
      <w:r w:rsidR="00C961C2">
        <w:rPr>
          <w:rFonts w:ascii="Verdana" w:hAnsi="Verdana"/>
          <w:sz w:val="18"/>
          <w:szCs w:val="18"/>
        </w:rPr>
        <w:t>4</w:t>
      </w:r>
      <w:r w:rsidRPr="00C47325">
        <w:rPr>
          <w:rFonts w:ascii="Verdana" w:hAnsi="Verdana"/>
          <w:sz w:val="18"/>
          <w:szCs w:val="18"/>
        </w:rPr>
        <w:t xml:space="preserve">, eerste lid, onderdeel c,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is de zinsnede “indien van toepassing” opgenomen, omdat de nadere specificering van sector en </w:t>
      </w:r>
      <w:proofErr w:type="spellStart"/>
      <w:r w:rsidRPr="00C47325">
        <w:rPr>
          <w:rFonts w:ascii="Verdana" w:hAnsi="Verdana"/>
          <w:sz w:val="18"/>
          <w:szCs w:val="18"/>
        </w:rPr>
        <w:t>subsector</w:t>
      </w:r>
      <w:proofErr w:type="spellEnd"/>
      <w:r w:rsidRPr="00C47325">
        <w:rPr>
          <w:rFonts w:ascii="Verdana" w:hAnsi="Verdana"/>
          <w:sz w:val="18"/>
          <w:szCs w:val="18"/>
        </w:rPr>
        <w:t xml:space="preserve"> alleen kan worden gedaan door entiteiten die zijn genoemd in bijlage 1 en 2 van </w:t>
      </w:r>
      <w:r w:rsidRPr="00C47325" w:rsidR="00C7540A">
        <w:rPr>
          <w:rFonts w:ascii="Verdana" w:hAnsi="Verdana"/>
          <w:sz w:val="18"/>
          <w:szCs w:val="18"/>
        </w:rPr>
        <w:t xml:space="preserve">de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Deze verplichting om de sector en </w:t>
      </w:r>
      <w:proofErr w:type="spellStart"/>
      <w:r w:rsidRPr="00C47325">
        <w:rPr>
          <w:rFonts w:ascii="Verdana" w:hAnsi="Verdana"/>
          <w:sz w:val="18"/>
          <w:szCs w:val="18"/>
        </w:rPr>
        <w:t>subsector</w:t>
      </w:r>
      <w:proofErr w:type="spellEnd"/>
      <w:r w:rsidRPr="00C47325">
        <w:rPr>
          <w:rFonts w:ascii="Verdana" w:hAnsi="Verdana"/>
          <w:sz w:val="18"/>
          <w:szCs w:val="18"/>
        </w:rPr>
        <w:t xml:space="preserve">, bedoeld in bijlage 1 of 2 van deze wet, waartoe de entiteit behoort op te geven geldt dus bijvoorbeeld niet voor entiteiten die domeinnaamregistratiediensten verlenen, aangezien zij niet zijn opgenomen in bijlage 1 of 2 van </w:t>
      </w:r>
      <w:r w:rsidRPr="00C47325" w:rsidR="00C7540A">
        <w:rPr>
          <w:rFonts w:ascii="Verdana" w:hAnsi="Verdana"/>
          <w:sz w:val="18"/>
          <w:szCs w:val="18"/>
        </w:rPr>
        <w:t xml:space="preserve">de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w:t>
      </w:r>
    </w:p>
    <w:p w:rsidRPr="00C47325" w:rsidR="00CE333A" w:rsidP="00CE333A" w:rsidRDefault="00CE333A" w14:paraId="2ACFBF5E" w14:textId="77777777">
      <w:pPr>
        <w:pStyle w:val="Geenafstand"/>
        <w:rPr>
          <w:rFonts w:ascii="Verdana" w:hAnsi="Verdana"/>
          <w:sz w:val="18"/>
          <w:szCs w:val="18"/>
        </w:rPr>
      </w:pPr>
    </w:p>
    <w:p w:rsidRPr="00C47325" w:rsidR="00CE333A" w:rsidP="00CE333A" w:rsidRDefault="00CE333A" w14:paraId="7EED5229" w14:textId="074308E9">
      <w:pPr>
        <w:pStyle w:val="Geenafstand"/>
        <w:rPr>
          <w:rFonts w:ascii="Verdana" w:hAnsi="Verdana"/>
          <w:sz w:val="18"/>
          <w:szCs w:val="18"/>
        </w:rPr>
      </w:pPr>
      <w:r w:rsidRPr="00C47325">
        <w:rPr>
          <w:rFonts w:ascii="Verdana" w:hAnsi="Verdana"/>
          <w:sz w:val="18"/>
          <w:szCs w:val="18"/>
        </w:rPr>
        <w:t xml:space="preserve">De delegatiegrondslag in artikel </w:t>
      </w:r>
      <w:r w:rsidR="00B01BFF">
        <w:rPr>
          <w:rFonts w:ascii="Verdana" w:hAnsi="Verdana"/>
          <w:sz w:val="18"/>
          <w:szCs w:val="18"/>
        </w:rPr>
        <w:t>4</w:t>
      </w:r>
      <w:r w:rsidR="00C961C2">
        <w:rPr>
          <w:rFonts w:ascii="Verdana" w:hAnsi="Verdana"/>
          <w:sz w:val="18"/>
          <w:szCs w:val="18"/>
        </w:rPr>
        <w:t>4</w:t>
      </w:r>
      <w:r w:rsidRPr="00C47325">
        <w:rPr>
          <w:rFonts w:ascii="Verdana" w:hAnsi="Verdana"/>
          <w:sz w:val="18"/>
          <w:szCs w:val="18"/>
        </w:rPr>
        <w:t xml:space="preserve">, eerste lid, onderdeel </w:t>
      </w:r>
      <w:r w:rsidR="00101607">
        <w:rPr>
          <w:rFonts w:ascii="Verdana" w:hAnsi="Verdana"/>
          <w:sz w:val="18"/>
          <w:szCs w:val="18"/>
        </w:rPr>
        <w:t>f</w:t>
      </w:r>
      <w:r w:rsidRPr="00C47325">
        <w:rPr>
          <w:rFonts w:ascii="Verdana" w:hAnsi="Verdana"/>
          <w:sz w:val="18"/>
          <w:szCs w:val="18"/>
        </w:rPr>
        <w:t xml:space="preserv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biedt de mogelijkheid om de opsomming van de verplicht te verstrekken informatie uit te breiden, bijvoorbeeld als in de toekomst blijkt dat er meer informatie nodig is om de taken uit de wet goed uit te kunnen voeren.</w:t>
      </w:r>
    </w:p>
    <w:p w:rsidRPr="00C47325" w:rsidR="00CE333A" w:rsidP="00CE333A" w:rsidRDefault="00CE333A" w14:paraId="7175E700" w14:textId="77777777">
      <w:pPr>
        <w:pStyle w:val="Geenafstand"/>
        <w:rPr>
          <w:rFonts w:ascii="Verdana" w:hAnsi="Verdana"/>
          <w:sz w:val="18"/>
          <w:szCs w:val="18"/>
        </w:rPr>
      </w:pPr>
    </w:p>
    <w:p w:rsidRPr="00C47325" w:rsidR="00CE333A" w:rsidP="00CE333A" w:rsidRDefault="00CE333A" w14:paraId="532BF1CC" w14:textId="0AF87440">
      <w:pPr>
        <w:pStyle w:val="Geenafstand"/>
        <w:rPr>
          <w:rFonts w:ascii="Verdana" w:hAnsi="Verdana"/>
          <w:sz w:val="18"/>
          <w:szCs w:val="18"/>
        </w:rPr>
      </w:pPr>
      <w:r w:rsidRPr="00C47325">
        <w:rPr>
          <w:rFonts w:ascii="Verdana" w:hAnsi="Verdana"/>
          <w:sz w:val="18"/>
          <w:szCs w:val="18"/>
        </w:rPr>
        <w:t xml:space="preserve">De delegatiegrondslag in artikel </w:t>
      </w:r>
      <w:r w:rsidR="00B01BFF">
        <w:rPr>
          <w:rFonts w:ascii="Verdana" w:hAnsi="Verdana"/>
          <w:sz w:val="18"/>
          <w:szCs w:val="18"/>
        </w:rPr>
        <w:t>4</w:t>
      </w:r>
      <w:r w:rsidR="00C961C2">
        <w:rPr>
          <w:rFonts w:ascii="Verdana" w:hAnsi="Verdana"/>
          <w:sz w:val="18"/>
          <w:szCs w:val="18"/>
        </w:rPr>
        <w:t>4</w:t>
      </w:r>
      <w:r w:rsidRPr="00C47325">
        <w:rPr>
          <w:rFonts w:ascii="Verdana" w:hAnsi="Verdana"/>
          <w:sz w:val="18"/>
          <w:szCs w:val="18"/>
        </w:rPr>
        <w:t xml:space="preserve">, </w:t>
      </w:r>
      <w:r w:rsidR="005150C2">
        <w:rPr>
          <w:rFonts w:ascii="Verdana" w:hAnsi="Verdana"/>
          <w:sz w:val="18"/>
          <w:szCs w:val="18"/>
        </w:rPr>
        <w:t>derde</w:t>
      </w:r>
      <w:r w:rsidRPr="00C47325" w:rsidR="005150C2">
        <w:rPr>
          <w:rFonts w:ascii="Verdana" w:hAnsi="Verdana"/>
          <w:sz w:val="18"/>
          <w:szCs w:val="18"/>
        </w:rPr>
        <w:t xml:space="preserve"> </w:t>
      </w:r>
      <w:r w:rsidRPr="00C47325">
        <w:rPr>
          <w:rFonts w:ascii="Verdana" w:hAnsi="Verdana"/>
          <w:sz w:val="18"/>
          <w:szCs w:val="18"/>
        </w:rPr>
        <w:t xml:space="preserve">lid,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maakt het mogelijk om bij of krachtens </w:t>
      </w:r>
      <w:proofErr w:type="spellStart"/>
      <w:r w:rsidRPr="00C47325" w:rsidR="00E031E9">
        <w:rPr>
          <w:rFonts w:ascii="Verdana" w:hAnsi="Verdana"/>
          <w:sz w:val="18"/>
          <w:szCs w:val="18"/>
        </w:rPr>
        <w:t>amvb</w:t>
      </w:r>
      <w:proofErr w:type="spellEnd"/>
      <w:r w:rsidRPr="00C47325" w:rsidR="00E031E9">
        <w:rPr>
          <w:rFonts w:ascii="Verdana" w:hAnsi="Verdana"/>
          <w:sz w:val="18"/>
          <w:szCs w:val="18"/>
        </w:rPr>
        <w:t xml:space="preserve"> </w:t>
      </w:r>
      <w:r w:rsidRPr="00C47325">
        <w:rPr>
          <w:rFonts w:ascii="Verdana" w:hAnsi="Verdana"/>
          <w:sz w:val="18"/>
          <w:szCs w:val="18"/>
        </w:rPr>
        <w:t xml:space="preserve">nadere regels te stellen over de informatieverstrekking. Op basis hiervan kunnen nadere vereisten worden opgenomen over de manier waarop entiteiten de informatie dienen te verstrekken. </w:t>
      </w:r>
    </w:p>
    <w:p w:rsidRPr="00C47325" w:rsidR="00CE333A" w:rsidP="00CE333A" w:rsidRDefault="00CE333A" w14:paraId="57E7F041" w14:textId="77777777">
      <w:pPr>
        <w:pStyle w:val="Geenafstand"/>
        <w:rPr>
          <w:rFonts w:ascii="Verdana" w:hAnsi="Verdana"/>
          <w:sz w:val="18"/>
          <w:szCs w:val="18"/>
        </w:rPr>
      </w:pPr>
    </w:p>
    <w:bookmarkEnd w:id="281"/>
    <w:p w:rsidRPr="00BD3C4A" w:rsidR="00155394" w:rsidP="00155394" w:rsidRDefault="00155394" w14:paraId="04B73137" w14:textId="04A4BE38">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45</w:t>
      </w:r>
      <w:r w:rsidRPr="00BD3C4A">
        <w:rPr>
          <w:rFonts w:ascii="Verdana" w:hAnsi="Verdana"/>
          <w:b/>
          <w:bCs/>
          <w:sz w:val="18"/>
          <w:szCs w:val="18"/>
        </w:rPr>
        <w:t xml:space="preserve"> (ontheffing verplichting informatieverstrekking nationale register)</w:t>
      </w:r>
    </w:p>
    <w:p w:rsidRPr="00C47325" w:rsidR="00CE333A" w:rsidP="00CE333A" w:rsidRDefault="00CE333A" w14:paraId="22276F5A" w14:textId="77777777">
      <w:pPr>
        <w:pStyle w:val="Geenafstand"/>
        <w:rPr>
          <w:rFonts w:ascii="Verdana" w:hAnsi="Verdana"/>
          <w:sz w:val="18"/>
          <w:szCs w:val="18"/>
        </w:rPr>
      </w:pPr>
    </w:p>
    <w:p w:rsidR="006543A8" w:rsidP="006543A8" w:rsidRDefault="006543A8" w14:paraId="79D55196" w14:textId="77777777">
      <w:pPr>
        <w:pStyle w:val="Geenafstand"/>
        <w:rPr>
          <w:rFonts w:ascii="Verdana" w:hAnsi="Verdana"/>
          <w:sz w:val="18"/>
          <w:szCs w:val="18"/>
        </w:rPr>
      </w:pPr>
      <w:bookmarkStart w:name="_Hlk180481948" w:id="282"/>
      <w:r w:rsidRPr="00FF46E3">
        <w:rPr>
          <w:rFonts w:ascii="Verdana" w:hAnsi="Verdana"/>
          <w:sz w:val="18"/>
          <w:szCs w:val="18"/>
        </w:rPr>
        <w:t>Overheidsinstanties die in hoofdzaak activiteiten uitvoeren op het gebied van nationale veiligheid, openbare veiligheid, defensie of rechtshandhaving, met inbegrip van het voorkomen, onderzoeken, opsporen en vervolgen van strafbare feiten,</w:t>
      </w:r>
      <w:r w:rsidRPr="00FF46E3">
        <w:rPr>
          <w:rFonts w:ascii="Verdana" w:hAnsi="Verdana"/>
        </w:rPr>
        <w:t xml:space="preserve"> </w:t>
      </w:r>
      <w:r w:rsidRPr="00FF46E3">
        <w:rPr>
          <w:rFonts w:ascii="Verdana" w:hAnsi="Verdana"/>
          <w:sz w:val="18"/>
          <w:szCs w:val="18"/>
        </w:rPr>
        <w:t>zijn van rechtswege uitgesloten van het toepassingsgebied van de NIS2-richtlijn. Overheidsinstanties waarvan de activiteiten slechts zijdelings verband houden met die gebieden, zijn daarentegen niet uitgesloten van het toepassingsgebied.</w:t>
      </w:r>
    </w:p>
    <w:bookmarkEnd w:id="282"/>
    <w:p w:rsidR="00654C06" w:rsidP="006543A8" w:rsidRDefault="00654C06" w14:paraId="51E78481" w14:textId="77777777">
      <w:pPr>
        <w:pStyle w:val="Geenafstand"/>
        <w:rPr>
          <w:rFonts w:ascii="Verdana" w:hAnsi="Verdana"/>
          <w:sz w:val="18"/>
          <w:szCs w:val="18"/>
        </w:rPr>
      </w:pPr>
    </w:p>
    <w:p w:rsidR="006543A8" w:rsidP="006543A8" w:rsidRDefault="006543A8" w14:paraId="07A7F1AB" w14:textId="26055146">
      <w:pPr>
        <w:pStyle w:val="Geenafstand"/>
        <w:rPr>
          <w:rFonts w:ascii="Verdana" w:hAnsi="Verdana"/>
          <w:sz w:val="18"/>
          <w:szCs w:val="18"/>
        </w:rPr>
      </w:pPr>
      <w:bookmarkStart w:name="_Hlk180481962" w:id="283"/>
      <w:r w:rsidRPr="00FF46E3">
        <w:rPr>
          <w:rFonts w:ascii="Verdana" w:hAnsi="Verdana"/>
          <w:sz w:val="18"/>
          <w:szCs w:val="18"/>
        </w:rPr>
        <w:t xml:space="preserve">Artikel 2, achtste lid, NIS2-richtlijn biedt lidstaten de mogelijkheid om entiteiten die activiteiten uitvoeren op het gebied van nationale veiligheid, openbare veiligheid, defensie of rechtshandhaving, of die uitsluitend diensten verlenen aan overheidsinstanties die in hoofdzaak zulke activiteiten uitvoeren, met betrekking tot die activiteiten of diensten te ontheffen van bepaalde verplichtingen, waaronder de </w:t>
      </w:r>
      <w:r w:rsidRPr="00C47325">
        <w:rPr>
          <w:rFonts w:ascii="Verdana" w:hAnsi="Verdana"/>
          <w:sz w:val="18"/>
          <w:szCs w:val="18"/>
        </w:rPr>
        <w:t>verplichting om informatie te verstrekken ten behoeve van het nationale register</w:t>
      </w:r>
      <w:r w:rsidRPr="00FF46E3">
        <w:rPr>
          <w:rFonts w:ascii="Verdana" w:hAnsi="Verdana"/>
          <w:sz w:val="18"/>
          <w:szCs w:val="18"/>
        </w:rPr>
        <w:t>.</w:t>
      </w:r>
      <w:r>
        <w:rPr>
          <w:rFonts w:ascii="Verdana" w:hAnsi="Verdana"/>
          <w:sz w:val="18"/>
          <w:szCs w:val="18"/>
        </w:rPr>
        <w:t xml:space="preserve"> </w:t>
      </w:r>
      <w:r w:rsidR="00654C06">
        <w:rPr>
          <w:rFonts w:ascii="Verdana" w:hAnsi="Verdana"/>
          <w:sz w:val="18"/>
          <w:szCs w:val="18"/>
        </w:rPr>
        <w:t xml:space="preserve">Deze activiteiten vallen namelijk binnen de uitsluitende verantwoordelijkheid van lidstaten </w:t>
      </w:r>
      <w:r w:rsidRPr="00654C06" w:rsidR="00654C06">
        <w:rPr>
          <w:rFonts w:ascii="Verdana" w:hAnsi="Verdana"/>
          <w:sz w:val="18"/>
          <w:szCs w:val="18"/>
        </w:rPr>
        <w:t xml:space="preserve">en verantwoorden daarmee om ook deze entiteiten te ontheffen van bepaalde verplichtingen. </w:t>
      </w:r>
    </w:p>
    <w:bookmarkEnd w:id="283"/>
    <w:p w:rsidR="00654C06" w:rsidP="006543A8" w:rsidRDefault="00654C06" w14:paraId="7CD5148D" w14:textId="77777777">
      <w:pPr>
        <w:pStyle w:val="Geenafstand"/>
        <w:rPr>
          <w:rFonts w:ascii="Verdana" w:hAnsi="Verdana"/>
          <w:sz w:val="18"/>
          <w:szCs w:val="18"/>
        </w:rPr>
      </w:pPr>
    </w:p>
    <w:p w:rsidR="006543A8" w:rsidP="006543A8" w:rsidRDefault="006543A8" w14:paraId="50EECF36" w14:textId="1EA945EC">
      <w:pPr>
        <w:pStyle w:val="Geenafstand"/>
        <w:rPr>
          <w:rFonts w:ascii="Verdana" w:hAnsi="Verdana"/>
          <w:sz w:val="18"/>
          <w:szCs w:val="18"/>
        </w:rPr>
      </w:pPr>
      <w:r w:rsidRPr="00C47325">
        <w:rPr>
          <w:rFonts w:ascii="Verdana" w:hAnsi="Verdana"/>
          <w:sz w:val="18"/>
          <w:szCs w:val="18"/>
        </w:rPr>
        <w:t xml:space="preserve">Artikel </w:t>
      </w:r>
      <w:r w:rsidR="00654C06">
        <w:rPr>
          <w:rFonts w:ascii="Verdana" w:hAnsi="Verdana"/>
          <w:sz w:val="18"/>
          <w:szCs w:val="18"/>
        </w:rPr>
        <w:t>4</w:t>
      </w:r>
      <w:r w:rsidR="00C961C2">
        <w:rPr>
          <w:rFonts w:ascii="Verdana" w:hAnsi="Verdana"/>
          <w:sz w:val="18"/>
          <w:szCs w:val="18"/>
        </w:rPr>
        <w:t>5</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strekt tot de implementatie van artikel 2, achtste lid, NIS2-richtlijn</w:t>
      </w:r>
      <w:r>
        <w:rPr>
          <w:rFonts w:ascii="Verdana" w:hAnsi="Verdana"/>
          <w:sz w:val="18"/>
          <w:szCs w:val="18"/>
        </w:rPr>
        <w:t xml:space="preserve">, specifiek ten aanzien van de </w:t>
      </w:r>
      <w:r w:rsidRPr="00C47325">
        <w:rPr>
          <w:rFonts w:ascii="Verdana" w:hAnsi="Verdana"/>
          <w:sz w:val="18"/>
          <w:szCs w:val="18"/>
        </w:rPr>
        <w:t>verplichting om informatie te verstrekken ten behoeve van het nationale register.</w:t>
      </w:r>
      <w:r>
        <w:rPr>
          <w:rFonts w:ascii="Verdana" w:hAnsi="Verdana"/>
          <w:sz w:val="18"/>
          <w:szCs w:val="18"/>
        </w:rPr>
        <w:t xml:space="preserve"> </w:t>
      </w:r>
      <w:r w:rsidRPr="00FF46E3">
        <w:rPr>
          <w:rFonts w:ascii="Verdana" w:hAnsi="Verdana"/>
          <w:sz w:val="18"/>
          <w:szCs w:val="18"/>
        </w:rPr>
        <w:t xml:space="preserve">De bevoegdheid om </w:t>
      </w:r>
      <w:r>
        <w:rPr>
          <w:rFonts w:ascii="Verdana" w:hAnsi="Verdana"/>
          <w:sz w:val="18"/>
          <w:szCs w:val="18"/>
        </w:rPr>
        <w:t xml:space="preserve">de hiervoor bedoelde </w:t>
      </w:r>
      <w:r w:rsidRPr="00FF46E3">
        <w:rPr>
          <w:rFonts w:ascii="Verdana" w:hAnsi="Verdana"/>
          <w:sz w:val="18"/>
          <w:szCs w:val="18"/>
        </w:rPr>
        <w:t>entiteiten te ontheffen van</w:t>
      </w:r>
      <w:r>
        <w:rPr>
          <w:rFonts w:ascii="Verdana" w:hAnsi="Verdana"/>
          <w:sz w:val="18"/>
          <w:szCs w:val="18"/>
        </w:rPr>
        <w:t xml:space="preserve"> die verplichting</w:t>
      </w:r>
      <w:r w:rsidRPr="00FF46E3">
        <w:rPr>
          <w:rFonts w:ascii="Verdana" w:hAnsi="Verdana"/>
          <w:sz w:val="18"/>
          <w:szCs w:val="18"/>
        </w:rPr>
        <w:t xml:space="preserve"> wordt belegd bij de vakminister. De vakminister kan overgaan tot het verlenen van een ontheffing in overeenstemming met de Minister van Justitie en Veiligheid. </w:t>
      </w:r>
    </w:p>
    <w:p w:rsidRPr="00C47325" w:rsidR="00CE333A" w:rsidP="00CE333A" w:rsidRDefault="00CE333A" w14:paraId="18E19B28" w14:textId="77777777">
      <w:pPr>
        <w:pStyle w:val="Geenafstand"/>
        <w:rPr>
          <w:rFonts w:ascii="Verdana" w:hAnsi="Verdana"/>
          <w:sz w:val="18"/>
          <w:szCs w:val="18"/>
        </w:rPr>
      </w:pPr>
    </w:p>
    <w:p w:rsidRPr="00BD3C4A" w:rsidR="00155394" w:rsidP="00155394" w:rsidRDefault="00155394" w14:paraId="455E99A8" w14:textId="5EEC39D0">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46</w:t>
      </w:r>
      <w:r w:rsidRPr="00BD3C4A">
        <w:rPr>
          <w:rFonts w:ascii="Verdana" w:hAnsi="Verdana"/>
          <w:b/>
          <w:bCs/>
          <w:sz w:val="18"/>
          <w:szCs w:val="18"/>
        </w:rPr>
        <w:t xml:space="preserve"> (toegang tot nationale register)</w:t>
      </w:r>
    </w:p>
    <w:p w:rsidRPr="00C47325" w:rsidR="00CE333A" w:rsidP="00CE333A" w:rsidRDefault="00CE333A" w14:paraId="73E40642" w14:textId="77777777">
      <w:pPr>
        <w:pStyle w:val="Geenafstand"/>
        <w:rPr>
          <w:rFonts w:ascii="Verdana" w:hAnsi="Verdana"/>
          <w:sz w:val="18"/>
          <w:szCs w:val="18"/>
        </w:rPr>
      </w:pPr>
    </w:p>
    <w:p w:rsidRPr="00C47325" w:rsidR="00CE333A" w:rsidP="00CE333A" w:rsidRDefault="00CE333A" w14:paraId="0DD112A2" w14:textId="2772BA8E">
      <w:pPr>
        <w:pStyle w:val="Geenafstand"/>
        <w:rPr>
          <w:rFonts w:ascii="Verdana" w:hAnsi="Verdana"/>
          <w:sz w:val="18"/>
          <w:szCs w:val="18"/>
        </w:rPr>
      </w:pPr>
      <w:r w:rsidRPr="00C47325">
        <w:rPr>
          <w:rFonts w:ascii="Verdana" w:hAnsi="Verdana"/>
          <w:sz w:val="18"/>
          <w:szCs w:val="18"/>
        </w:rPr>
        <w:t xml:space="preserve">Artikel </w:t>
      </w:r>
      <w:r w:rsidR="00B01BFF">
        <w:rPr>
          <w:rFonts w:ascii="Verdana" w:hAnsi="Verdana"/>
          <w:sz w:val="18"/>
          <w:szCs w:val="18"/>
        </w:rPr>
        <w:t>4</w:t>
      </w:r>
      <w:r w:rsidR="00C961C2">
        <w:rPr>
          <w:rFonts w:ascii="Verdana" w:hAnsi="Verdana"/>
          <w:sz w:val="18"/>
          <w:szCs w:val="18"/>
        </w:rPr>
        <w:t>6</w:t>
      </w:r>
      <w:r w:rsidRPr="00C47325" w:rsidR="00FD41E2">
        <w:rPr>
          <w:rFonts w:ascii="Verdana" w:hAnsi="Verdana"/>
          <w:sz w:val="18"/>
          <w:szCs w:val="18"/>
        </w:rPr>
        <w:t xml:space="preserv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bevat de verplichting voor de Minister van Justitie en Veiligheid om de bevoegde autoriteit en het CSIRT toegang te verlenen tot het nationale register van entiteiten, ten behoeve van de uitoefening van hun taken, alleen voor zover de toegang ziet op informatie over de entiteiten waarvoor zij zijn aangewezen als de bevoegde autoriteit respectievelijk het CSIRT. </w:t>
      </w:r>
    </w:p>
    <w:p w:rsidRPr="00C47325" w:rsidR="00CE333A" w:rsidP="00CE333A" w:rsidRDefault="00CE333A" w14:paraId="28C47FAF" w14:textId="77777777">
      <w:pPr>
        <w:pStyle w:val="Geenafstand"/>
        <w:rPr>
          <w:rFonts w:ascii="Verdana" w:hAnsi="Verdana"/>
          <w:sz w:val="18"/>
          <w:szCs w:val="18"/>
        </w:rPr>
      </w:pPr>
    </w:p>
    <w:p w:rsidRPr="00BD3C4A" w:rsidR="00155394" w:rsidP="00155394" w:rsidRDefault="00155394" w14:paraId="545ED1C4" w14:textId="776B92D4">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47</w:t>
      </w:r>
      <w:r w:rsidRPr="00BD3C4A">
        <w:rPr>
          <w:rFonts w:ascii="Verdana" w:hAnsi="Verdana"/>
          <w:b/>
          <w:bCs/>
          <w:sz w:val="18"/>
          <w:szCs w:val="18"/>
        </w:rPr>
        <w:t xml:space="preserve"> (informatieverstrekking ten behoeve van register van </w:t>
      </w:r>
      <w:proofErr w:type="spellStart"/>
      <w:r w:rsidRPr="00BD3C4A">
        <w:rPr>
          <w:rFonts w:ascii="Verdana" w:hAnsi="Verdana"/>
          <w:b/>
          <w:bCs/>
          <w:sz w:val="18"/>
          <w:szCs w:val="18"/>
        </w:rPr>
        <w:t>Enisa</w:t>
      </w:r>
      <w:proofErr w:type="spellEnd"/>
      <w:r w:rsidRPr="00BD3C4A">
        <w:rPr>
          <w:rFonts w:ascii="Verdana" w:hAnsi="Verdana"/>
          <w:b/>
          <w:bCs/>
          <w:sz w:val="18"/>
          <w:szCs w:val="18"/>
        </w:rPr>
        <w:t>)</w:t>
      </w:r>
    </w:p>
    <w:p w:rsidRPr="00C47325" w:rsidR="00CE333A" w:rsidP="00CE333A" w:rsidRDefault="00CE333A" w14:paraId="1770D19C" w14:textId="77777777">
      <w:pPr>
        <w:pStyle w:val="Geenafstand"/>
        <w:rPr>
          <w:rFonts w:ascii="Verdana" w:hAnsi="Verdana"/>
          <w:b/>
          <w:bCs/>
          <w:sz w:val="18"/>
          <w:szCs w:val="18"/>
        </w:rPr>
      </w:pPr>
    </w:p>
    <w:p w:rsidRPr="00C47325" w:rsidR="00CE333A" w:rsidP="00CE333A" w:rsidRDefault="00CE333A" w14:paraId="5E2604AB" w14:textId="3A88F818">
      <w:pPr>
        <w:spacing w:after="0" w:line="240" w:lineRule="auto"/>
        <w:rPr>
          <w:rFonts w:ascii="Verdana" w:hAnsi="Verdana"/>
          <w:sz w:val="18"/>
          <w:szCs w:val="18"/>
        </w:rPr>
      </w:pPr>
      <w:r w:rsidRPr="00C47325">
        <w:rPr>
          <w:rFonts w:ascii="Verdana" w:hAnsi="Verdana"/>
          <w:sz w:val="18"/>
          <w:szCs w:val="18"/>
        </w:rPr>
        <w:t xml:space="preserve">Artikel </w:t>
      </w:r>
      <w:r w:rsidR="00B01BFF">
        <w:rPr>
          <w:rFonts w:ascii="Verdana" w:hAnsi="Verdana"/>
          <w:sz w:val="18"/>
          <w:szCs w:val="18"/>
        </w:rPr>
        <w:t>4</w:t>
      </w:r>
      <w:r w:rsidR="00C961C2">
        <w:rPr>
          <w:rFonts w:ascii="Verdana" w:hAnsi="Verdana"/>
          <w:sz w:val="18"/>
          <w:szCs w:val="18"/>
        </w:rPr>
        <w:t>7</w:t>
      </w:r>
      <w:r w:rsidRPr="00C47325" w:rsidR="00FD41E2">
        <w:rPr>
          <w:rFonts w:ascii="Verdana" w:hAnsi="Verdana"/>
          <w:sz w:val="18"/>
          <w:szCs w:val="18"/>
        </w:rPr>
        <w:t xml:space="preserve">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strekt tot de implementatie van artikel 27 NIS2-richtlijn. De in artikel </w:t>
      </w:r>
      <w:r w:rsidR="00B01BFF">
        <w:rPr>
          <w:rFonts w:ascii="Verdana" w:hAnsi="Verdana"/>
          <w:sz w:val="18"/>
          <w:szCs w:val="18"/>
        </w:rPr>
        <w:t>4</w:t>
      </w:r>
      <w:r w:rsidR="00C961C2">
        <w:rPr>
          <w:rFonts w:ascii="Verdana" w:hAnsi="Verdana"/>
          <w:sz w:val="18"/>
          <w:szCs w:val="18"/>
        </w:rPr>
        <w:t>7</w:t>
      </w:r>
      <w:r w:rsidRPr="00C47325">
        <w:rPr>
          <w:rFonts w:ascii="Verdana" w:hAnsi="Verdana"/>
          <w:sz w:val="18"/>
          <w:szCs w:val="18"/>
        </w:rPr>
        <w:t xml:space="preserve">, eerste lid, </w:t>
      </w:r>
      <w:proofErr w:type="spellStart"/>
      <w:r w:rsidRPr="00C47325" w:rsidR="00C7540A">
        <w:rPr>
          <w:rFonts w:ascii="Verdana" w:hAnsi="Verdana"/>
          <w:sz w:val="18"/>
          <w:szCs w:val="18"/>
        </w:rPr>
        <w:t>Cbw</w:t>
      </w:r>
      <w:proofErr w:type="spellEnd"/>
      <w:r w:rsidRPr="00C47325">
        <w:rPr>
          <w:rFonts w:ascii="Verdana" w:hAnsi="Verdana"/>
          <w:sz w:val="18"/>
          <w:szCs w:val="18"/>
        </w:rPr>
        <w:t xml:space="preserve"> genoemde entiteiten moeten de in het tweede lid genoemde informatie verstrekken aan het centrale contactpunt. De Minister van Justitie en Veiligheid is aangewezen als het centrale contactpunt en in de praktijk worden de taken van het centrale contactpunt uitgevoerd door het NCSC. </w:t>
      </w:r>
    </w:p>
    <w:p w:rsidRPr="00C47325" w:rsidR="00CE333A" w:rsidP="00CE333A" w:rsidRDefault="00CE333A" w14:paraId="738DFA65" w14:textId="77777777">
      <w:pPr>
        <w:spacing w:after="0" w:line="240" w:lineRule="auto"/>
        <w:rPr>
          <w:rFonts w:ascii="Verdana" w:hAnsi="Verdana"/>
          <w:sz w:val="18"/>
          <w:szCs w:val="18"/>
        </w:rPr>
      </w:pPr>
    </w:p>
    <w:p w:rsidRPr="00C47325" w:rsidR="00CE333A" w:rsidP="00CE333A" w:rsidRDefault="00CE333A" w14:paraId="28CBF293" w14:textId="77777777">
      <w:pPr>
        <w:spacing w:after="0" w:line="240" w:lineRule="auto"/>
        <w:rPr>
          <w:rFonts w:ascii="Verdana" w:hAnsi="Verdana"/>
          <w:sz w:val="18"/>
          <w:szCs w:val="18"/>
        </w:rPr>
      </w:pPr>
      <w:r w:rsidRPr="00C47325">
        <w:rPr>
          <w:rFonts w:ascii="Verdana" w:hAnsi="Verdana"/>
          <w:sz w:val="18"/>
          <w:szCs w:val="18"/>
        </w:rPr>
        <w:t xml:space="preserve">Na de ontvangst van de informatie zendt het NCSC die informatie door naar </w:t>
      </w:r>
      <w:proofErr w:type="spellStart"/>
      <w:r w:rsidRPr="00C47325">
        <w:rPr>
          <w:rFonts w:ascii="Verdana" w:hAnsi="Verdana"/>
          <w:sz w:val="18"/>
          <w:szCs w:val="18"/>
        </w:rPr>
        <w:t>Enisa</w:t>
      </w:r>
      <w:proofErr w:type="spellEnd"/>
      <w:r w:rsidRPr="00C47325">
        <w:rPr>
          <w:rFonts w:ascii="Verdana" w:hAnsi="Verdana"/>
          <w:sz w:val="18"/>
          <w:szCs w:val="18"/>
        </w:rPr>
        <w:t xml:space="preserve"> ten behoeve van het register van entiteiten dat </w:t>
      </w:r>
      <w:proofErr w:type="spellStart"/>
      <w:r w:rsidRPr="00C47325">
        <w:rPr>
          <w:rFonts w:ascii="Verdana" w:hAnsi="Verdana"/>
          <w:sz w:val="18"/>
          <w:szCs w:val="18"/>
        </w:rPr>
        <w:t>Enisa</w:t>
      </w:r>
      <w:proofErr w:type="spellEnd"/>
      <w:r w:rsidRPr="00C47325">
        <w:rPr>
          <w:rFonts w:ascii="Verdana" w:hAnsi="Verdana"/>
          <w:sz w:val="18"/>
          <w:szCs w:val="18"/>
        </w:rPr>
        <w:t xml:space="preserve"> onderhoudt. Hiermee wordt bewerkstelligd dat er een duidelijk overzicht is van de entiteiten die onder het toepassingsbereik van artikel 27, eerste lid, NIS2-richtlijn vallen. </w:t>
      </w:r>
    </w:p>
    <w:p w:rsidRPr="00C47325" w:rsidR="00CE333A" w:rsidP="00CE333A" w:rsidRDefault="00CE333A" w14:paraId="3325AAE0" w14:textId="77777777">
      <w:pPr>
        <w:pStyle w:val="Geenafstand"/>
        <w:rPr>
          <w:rFonts w:ascii="Verdana" w:hAnsi="Verdana"/>
          <w:b/>
          <w:bCs/>
          <w:sz w:val="18"/>
          <w:szCs w:val="18"/>
        </w:rPr>
      </w:pPr>
    </w:p>
    <w:p w:rsidRPr="00BD3C4A" w:rsidR="00155394" w:rsidP="00155394" w:rsidRDefault="00155394" w14:paraId="5C3A98EF" w14:textId="33A27C79">
      <w:pPr>
        <w:pStyle w:val="Geenafstand"/>
        <w:rPr>
          <w:rFonts w:ascii="Verdana" w:hAnsi="Verdana"/>
          <w:b/>
          <w:bCs/>
          <w:sz w:val="18"/>
          <w:szCs w:val="18"/>
        </w:rPr>
      </w:pPr>
      <w:bookmarkStart w:name="_Hlk174450082" w:id="284"/>
      <w:r w:rsidRPr="00BD3C4A">
        <w:rPr>
          <w:rFonts w:ascii="Verdana" w:hAnsi="Verdana"/>
          <w:b/>
          <w:bCs/>
          <w:sz w:val="18"/>
          <w:szCs w:val="18"/>
        </w:rPr>
        <w:t xml:space="preserve">Artikel </w:t>
      </w:r>
      <w:r>
        <w:rPr>
          <w:rFonts w:ascii="Verdana" w:hAnsi="Verdana"/>
          <w:b/>
          <w:bCs/>
          <w:sz w:val="18"/>
          <w:szCs w:val="18"/>
        </w:rPr>
        <w:t>48</w:t>
      </w:r>
      <w:r w:rsidRPr="00BD3C4A">
        <w:rPr>
          <w:rFonts w:ascii="Verdana" w:hAnsi="Verdana"/>
          <w:b/>
          <w:bCs/>
          <w:sz w:val="18"/>
          <w:szCs w:val="18"/>
        </w:rPr>
        <w:t xml:space="preserve"> (ontheffing verplichting informatieverstrekking register van </w:t>
      </w:r>
      <w:proofErr w:type="spellStart"/>
      <w:r w:rsidRPr="00BD3C4A">
        <w:rPr>
          <w:rFonts w:ascii="Verdana" w:hAnsi="Verdana"/>
          <w:b/>
          <w:bCs/>
          <w:sz w:val="18"/>
          <w:szCs w:val="18"/>
        </w:rPr>
        <w:t>Enisa</w:t>
      </w:r>
      <w:proofErr w:type="spellEnd"/>
      <w:r w:rsidRPr="00BD3C4A">
        <w:rPr>
          <w:rFonts w:ascii="Verdana" w:hAnsi="Verdana"/>
          <w:b/>
          <w:bCs/>
          <w:sz w:val="18"/>
          <w:szCs w:val="18"/>
        </w:rPr>
        <w:t>)</w:t>
      </w:r>
    </w:p>
    <w:bookmarkEnd w:id="284"/>
    <w:p w:rsidRPr="00C47325" w:rsidR="00CE333A" w:rsidP="00CE333A" w:rsidRDefault="00CE333A" w14:paraId="27FD35CA" w14:textId="77777777">
      <w:pPr>
        <w:pStyle w:val="Geenafstand"/>
        <w:rPr>
          <w:rFonts w:ascii="Verdana" w:hAnsi="Verdana"/>
          <w:sz w:val="18"/>
          <w:szCs w:val="18"/>
        </w:rPr>
      </w:pPr>
    </w:p>
    <w:p w:rsidR="006543A8" w:rsidP="006543A8" w:rsidRDefault="006543A8" w14:paraId="5E55F474" w14:textId="3978ECAA">
      <w:pPr>
        <w:pStyle w:val="Geenafstand"/>
        <w:rPr>
          <w:rFonts w:ascii="Verdana" w:hAnsi="Verdana"/>
          <w:sz w:val="18"/>
          <w:szCs w:val="18"/>
        </w:rPr>
      </w:pPr>
      <w:r w:rsidRPr="00FF46E3">
        <w:rPr>
          <w:rFonts w:ascii="Verdana" w:hAnsi="Verdana"/>
          <w:sz w:val="18"/>
          <w:szCs w:val="18"/>
        </w:rPr>
        <w:t>Overheidsinstanties die in hoofdzaak activiteiten uitvoeren op het gebied van nationale veiligheid, openbare veiligheid, defensie of rechtshandhaving, met inbegrip van het voorkomen, onderzoeken, opsporen en vervolgen van strafbare feiten,</w:t>
      </w:r>
      <w:r w:rsidRPr="00FF46E3">
        <w:rPr>
          <w:rFonts w:ascii="Verdana" w:hAnsi="Verdana"/>
        </w:rPr>
        <w:t xml:space="preserve"> </w:t>
      </w:r>
      <w:r w:rsidRPr="00FF46E3">
        <w:rPr>
          <w:rFonts w:ascii="Verdana" w:hAnsi="Verdana"/>
          <w:sz w:val="18"/>
          <w:szCs w:val="18"/>
        </w:rPr>
        <w:t>zijn van rechtswege uitgesloten van het toepassingsgebied van de NIS2-richtlijn. Overheidsinstanties waarvan de activiteiten slechts zijdelings verband houden met die gebieden, zijn daarentegen niet uitgesloten van het toepassingsgebied.</w:t>
      </w:r>
    </w:p>
    <w:p w:rsidR="00654C06" w:rsidP="006543A8" w:rsidRDefault="00654C06" w14:paraId="15C09C59" w14:textId="77777777">
      <w:pPr>
        <w:pStyle w:val="Geenafstand"/>
        <w:rPr>
          <w:rFonts w:ascii="Verdana" w:hAnsi="Verdana"/>
          <w:sz w:val="18"/>
          <w:szCs w:val="18"/>
        </w:rPr>
      </w:pPr>
    </w:p>
    <w:p w:rsidR="006543A8" w:rsidP="006543A8" w:rsidRDefault="006543A8" w14:paraId="228FED2B" w14:textId="1D615919">
      <w:pPr>
        <w:pStyle w:val="Geenafstand"/>
        <w:rPr>
          <w:rFonts w:ascii="Verdana" w:hAnsi="Verdana"/>
          <w:sz w:val="18"/>
          <w:szCs w:val="18"/>
        </w:rPr>
      </w:pPr>
      <w:r w:rsidRPr="00FF46E3">
        <w:rPr>
          <w:rFonts w:ascii="Verdana" w:hAnsi="Verdana"/>
          <w:sz w:val="18"/>
          <w:szCs w:val="18"/>
        </w:rPr>
        <w:t xml:space="preserve">Artikel 2, achtste lid, NIS2-richtlijn biedt lidstaten de mogelijkheid om entiteiten die activiteiten uitvoeren op het gebied van nationale veiligheid, openbare veiligheid, defensie of rechtshandhaving, of die uitsluitend diensten verlenen aan overheidsinstanties die in hoofdzaak zulke activiteiten uitvoeren, met betrekking tot die activiteiten of diensten te ontheffen van bepaalde verplichtingen, waaronder de </w:t>
      </w:r>
      <w:r w:rsidRPr="00C47325">
        <w:rPr>
          <w:rFonts w:ascii="Verdana" w:hAnsi="Verdana"/>
          <w:sz w:val="18"/>
          <w:szCs w:val="18"/>
        </w:rPr>
        <w:t xml:space="preserve">verplichting om informatie te verstrekken ten behoeve van het </w:t>
      </w:r>
      <w:proofErr w:type="spellStart"/>
      <w:r w:rsidR="005242E8">
        <w:rPr>
          <w:rFonts w:ascii="Verdana" w:hAnsi="Verdana"/>
          <w:sz w:val="18"/>
          <w:szCs w:val="18"/>
        </w:rPr>
        <w:t>Enisa</w:t>
      </w:r>
      <w:proofErr w:type="spellEnd"/>
      <w:r w:rsidR="005242E8">
        <w:rPr>
          <w:rFonts w:ascii="Verdana" w:hAnsi="Verdana"/>
          <w:sz w:val="18"/>
          <w:szCs w:val="18"/>
        </w:rPr>
        <w:t>-</w:t>
      </w:r>
      <w:r w:rsidRPr="00C47325">
        <w:rPr>
          <w:rFonts w:ascii="Verdana" w:hAnsi="Verdana"/>
          <w:sz w:val="18"/>
          <w:szCs w:val="18"/>
        </w:rPr>
        <w:t>register</w:t>
      </w:r>
      <w:r w:rsidRPr="00FF46E3">
        <w:rPr>
          <w:rFonts w:ascii="Verdana" w:hAnsi="Verdana"/>
          <w:sz w:val="18"/>
          <w:szCs w:val="18"/>
        </w:rPr>
        <w:t>.</w:t>
      </w:r>
      <w:r>
        <w:rPr>
          <w:rFonts w:ascii="Verdana" w:hAnsi="Verdana"/>
          <w:sz w:val="18"/>
          <w:szCs w:val="18"/>
        </w:rPr>
        <w:t xml:space="preserve"> </w:t>
      </w:r>
      <w:r w:rsidR="00654C06">
        <w:rPr>
          <w:rFonts w:ascii="Verdana" w:hAnsi="Verdana"/>
          <w:sz w:val="18"/>
          <w:szCs w:val="18"/>
        </w:rPr>
        <w:t xml:space="preserve">Deze activiteiten vallen namelijk binnen de uitsluitende verantwoordelijkheid van lidstaten </w:t>
      </w:r>
      <w:r w:rsidRPr="00654C06" w:rsidR="00654C06">
        <w:rPr>
          <w:rFonts w:ascii="Verdana" w:hAnsi="Verdana"/>
          <w:sz w:val="18"/>
          <w:szCs w:val="18"/>
        </w:rPr>
        <w:t xml:space="preserve">en verantwoorden daarmee om ook deze entiteiten te ontheffen van bepaalde verplichtingen. </w:t>
      </w:r>
    </w:p>
    <w:p w:rsidR="00654C06" w:rsidP="00CE333A" w:rsidRDefault="00654C06" w14:paraId="19A181C6" w14:textId="77777777">
      <w:pPr>
        <w:pStyle w:val="Geenafstand"/>
        <w:rPr>
          <w:rFonts w:ascii="Verdana" w:hAnsi="Verdana"/>
          <w:sz w:val="18"/>
          <w:szCs w:val="18"/>
        </w:rPr>
      </w:pPr>
    </w:p>
    <w:p w:rsidRPr="00C47325" w:rsidR="00CE333A" w:rsidP="00CE333A" w:rsidRDefault="006543A8" w14:paraId="38054C37" w14:textId="19977EF4">
      <w:pPr>
        <w:pStyle w:val="Geenafstand"/>
        <w:rPr>
          <w:rFonts w:ascii="Verdana" w:hAnsi="Verdana"/>
          <w:sz w:val="18"/>
          <w:szCs w:val="18"/>
        </w:rPr>
      </w:pPr>
      <w:r w:rsidRPr="00C47325">
        <w:rPr>
          <w:rFonts w:ascii="Verdana" w:hAnsi="Verdana"/>
          <w:sz w:val="18"/>
          <w:szCs w:val="18"/>
        </w:rPr>
        <w:t xml:space="preserve">Artikel </w:t>
      </w:r>
      <w:r w:rsidR="00654C06">
        <w:rPr>
          <w:rFonts w:ascii="Verdana" w:hAnsi="Verdana"/>
          <w:sz w:val="18"/>
          <w:szCs w:val="18"/>
        </w:rPr>
        <w:t>4</w:t>
      </w:r>
      <w:r w:rsidR="00C961C2">
        <w:rPr>
          <w:rFonts w:ascii="Verdana" w:hAnsi="Verdana"/>
          <w:sz w:val="18"/>
          <w:szCs w:val="18"/>
        </w:rPr>
        <w:t>8</w:t>
      </w:r>
      <w:r w:rsidRPr="00C47325">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strekt tot de implementatie van artikel 2, achtste lid, NIS2-richtlijn</w:t>
      </w:r>
      <w:r>
        <w:rPr>
          <w:rFonts w:ascii="Verdana" w:hAnsi="Verdana"/>
          <w:sz w:val="18"/>
          <w:szCs w:val="18"/>
        </w:rPr>
        <w:t xml:space="preserve">, specifiek ten aanzien van de </w:t>
      </w:r>
      <w:r w:rsidRPr="00C47325">
        <w:rPr>
          <w:rFonts w:ascii="Verdana" w:hAnsi="Verdana"/>
          <w:sz w:val="18"/>
          <w:szCs w:val="18"/>
        </w:rPr>
        <w:t xml:space="preserve">verplichting om informatie te verstrekken ten behoeve van het </w:t>
      </w:r>
      <w:proofErr w:type="spellStart"/>
      <w:r w:rsidR="005242E8">
        <w:rPr>
          <w:rFonts w:ascii="Verdana" w:hAnsi="Verdana"/>
          <w:sz w:val="18"/>
          <w:szCs w:val="18"/>
        </w:rPr>
        <w:t>Enisa</w:t>
      </w:r>
      <w:proofErr w:type="spellEnd"/>
      <w:r w:rsidR="005242E8">
        <w:rPr>
          <w:rFonts w:ascii="Verdana" w:hAnsi="Verdana"/>
          <w:sz w:val="18"/>
          <w:szCs w:val="18"/>
        </w:rPr>
        <w:t>-</w:t>
      </w:r>
      <w:r w:rsidRPr="00C47325">
        <w:rPr>
          <w:rFonts w:ascii="Verdana" w:hAnsi="Verdana"/>
          <w:sz w:val="18"/>
          <w:szCs w:val="18"/>
        </w:rPr>
        <w:t>register.</w:t>
      </w:r>
      <w:r>
        <w:rPr>
          <w:rFonts w:ascii="Verdana" w:hAnsi="Verdana"/>
          <w:sz w:val="18"/>
          <w:szCs w:val="18"/>
        </w:rPr>
        <w:t xml:space="preserve"> </w:t>
      </w:r>
      <w:r w:rsidRPr="00FF46E3">
        <w:rPr>
          <w:rFonts w:ascii="Verdana" w:hAnsi="Verdana"/>
          <w:sz w:val="18"/>
          <w:szCs w:val="18"/>
        </w:rPr>
        <w:t xml:space="preserve">De bevoegdheid om </w:t>
      </w:r>
      <w:r>
        <w:rPr>
          <w:rFonts w:ascii="Verdana" w:hAnsi="Verdana"/>
          <w:sz w:val="18"/>
          <w:szCs w:val="18"/>
        </w:rPr>
        <w:t xml:space="preserve">de hiervoor bedoelde </w:t>
      </w:r>
      <w:r w:rsidRPr="00FF46E3">
        <w:rPr>
          <w:rFonts w:ascii="Verdana" w:hAnsi="Verdana"/>
          <w:sz w:val="18"/>
          <w:szCs w:val="18"/>
        </w:rPr>
        <w:t>entiteiten te ontheffen van</w:t>
      </w:r>
      <w:r>
        <w:rPr>
          <w:rFonts w:ascii="Verdana" w:hAnsi="Verdana"/>
          <w:sz w:val="18"/>
          <w:szCs w:val="18"/>
        </w:rPr>
        <w:t xml:space="preserve"> die verplichting</w:t>
      </w:r>
      <w:r w:rsidRPr="00FF46E3">
        <w:rPr>
          <w:rFonts w:ascii="Verdana" w:hAnsi="Verdana"/>
          <w:sz w:val="18"/>
          <w:szCs w:val="18"/>
        </w:rPr>
        <w:t xml:space="preserve"> wordt belegd bij de vakminister. De vakminister kan overgaan tot het verlenen van een ontheffing in overeenstemming met de Minister van Justitie en Veiligheid.</w:t>
      </w:r>
      <w:r w:rsidR="008265E7">
        <w:rPr>
          <w:rFonts w:ascii="Verdana" w:hAnsi="Verdana"/>
          <w:sz w:val="18"/>
          <w:szCs w:val="18"/>
        </w:rPr>
        <w:t xml:space="preserve"> </w:t>
      </w:r>
    </w:p>
    <w:p w:rsidR="00CE333A" w:rsidP="00CE333A" w:rsidRDefault="00CE333A" w14:paraId="3E49BEE9" w14:textId="77777777">
      <w:pPr>
        <w:pStyle w:val="Geenafstand"/>
        <w:rPr>
          <w:rFonts w:ascii="Verdana" w:hAnsi="Verdana"/>
          <w:sz w:val="18"/>
          <w:szCs w:val="18"/>
        </w:rPr>
      </w:pPr>
    </w:p>
    <w:p w:rsidR="00E04B59" w:rsidP="00CE333A" w:rsidRDefault="00E04B59" w14:paraId="61CD78B5" w14:textId="77777777">
      <w:pPr>
        <w:pStyle w:val="Geenafstand"/>
        <w:rPr>
          <w:rFonts w:ascii="Verdana" w:hAnsi="Verdana"/>
          <w:sz w:val="18"/>
          <w:szCs w:val="18"/>
        </w:rPr>
      </w:pPr>
    </w:p>
    <w:p w:rsidRPr="00C47325" w:rsidR="00E04B59" w:rsidP="00CE333A" w:rsidRDefault="00E04B59" w14:paraId="2E52449C" w14:textId="77777777">
      <w:pPr>
        <w:pStyle w:val="Geenafstand"/>
        <w:rPr>
          <w:rFonts w:ascii="Verdana" w:hAnsi="Verdana"/>
          <w:sz w:val="18"/>
          <w:szCs w:val="18"/>
        </w:rPr>
      </w:pPr>
    </w:p>
    <w:p w:rsidRPr="00BD3C4A" w:rsidR="00155394" w:rsidP="00155394" w:rsidRDefault="00155394" w14:paraId="62515F12" w14:textId="42D07B47">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49</w:t>
      </w:r>
      <w:r w:rsidRPr="00BD3C4A">
        <w:rPr>
          <w:rFonts w:ascii="Verdana" w:hAnsi="Verdana"/>
          <w:b/>
          <w:bCs/>
          <w:sz w:val="18"/>
          <w:szCs w:val="18"/>
        </w:rPr>
        <w:t xml:space="preserve"> (database met domeinnaamregistratiegegevens)</w:t>
      </w:r>
    </w:p>
    <w:p w:rsidRPr="00D513F7" w:rsidR="00CE333A" w:rsidP="00D513F7" w:rsidRDefault="00CE333A" w14:paraId="2BD7FE94" w14:textId="77777777">
      <w:pPr>
        <w:pStyle w:val="Geenafstand"/>
        <w:rPr>
          <w:rFonts w:ascii="Verdana" w:hAnsi="Verdana"/>
          <w:sz w:val="18"/>
          <w:szCs w:val="18"/>
        </w:rPr>
      </w:pPr>
    </w:p>
    <w:p w:rsidRPr="00D513F7" w:rsidR="00A52A57" w:rsidP="00D513F7" w:rsidRDefault="00C432BF" w14:paraId="5DFDCEBB" w14:textId="17715C22">
      <w:pPr>
        <w:pStyle w:val="Geenafstand"/>
        <w:rPr>
          <w:rFonts w:ascii="Verdana" w:hAnsi="Verdana"/>
          <w:sz w:val="18"/>
          <w:szCs w:val="18"/>
          <w:lang w:eastAsia="nl-NL"/>
        </w:rPr>
      </w:pPr>
      <w:r w:rsidRPr="00D513F7">
        <w:rPr>
          <w:rFonts w:ascii="Verdana" w:hAnsi="Verdana"/>
          <w:sz w:val="18"/>
          <w:szCs w:val="18"/>
          <w:lang w:eastAsia="nl-NL"/>
        </w:rPr>
        <w:t xml:space="preserve">Artikel 49 </w:t>
      </w:r>
      <w:proofErr w:type="spellStart"/>
      <w:r w:rsidRPr="00D513F7" w:rsidR="00A52A57">
        <w:rPr>
          <w:rFonts w:ascii="Verdana" w:hAnsi="Verdana"/>
          <w:sz w:val="18"/>
          <w:szCs w:val="18"/>
          <w:lang w:eastAsia="nl-NL"/>
        </w:rPr>
        <w:t>Cbw</w:t>
      </w:r>
      <w:proofErr w:type="spellEnd"/>
      <w:r w:rsidRPr="00D513F7">
        <w:rPr>
          <w:rFonts w:ascii="Verdana" w:hAnsi="Verdana"/>
          <w:sz w:val="18"/>
          <w:szCs w:val="18"/>
          <w:lang w:eastAsia="nl-NL"/>
        </w:rPr>
        <w:t xml:space="preserve"> betreft de implementatie van artikel 28, eerste tot en met vierde en zesde lid, NIS2-richtlijn. Dit artikel is alleen van toepassing op registers voor topleveldomeinnamen en de entiteiten die domeinnaamregistratiediensten verlenen. </w:t>
      </w:r>
      <w:r w:rsidRPr="00D513F7" w:rsidR="00615965">
        <w:rPr>
          <w:rFonts w:ascii="Verdana" w:hAnsi="Verdana"/>
          <w:sz w:val="18"/>
          <w:szCs w:val="18"/>
          <w:lang w:eastAsia="nl-NL"/>
        </w:rPr>
        <w:t xml:space="preserve">Deze worden in artikel 1 </w:t>
      </w:r>
      <w:proofErr w:type="spellStart"/>
      <w:r w:rsidRPr="00D513F7" w:rsidR="00615965">
        <w:rPr>
          <w:rFonts w:ascii="Verdana" w:hAnsi="Verdana"/>
          <w:sz w:val="18"/>
          <w:szCs w:val="18"/>
          <w:lang w:eastAsia="nl-NL"/>
        </w:rPr>
        <w:t>Cbw</w:t>
      </w:r>
      <w:proofErr w:type="spellEnd"/>
      <w:r w:rsidRPr="00D513F7" w:rsidR="00615965">
        <w:rPr>
          <w:rFonts w:ascii="Verdana" w:hAnsi="Verdana"/>
          <w:sz w:val="18"/>
          <w:szCs w:val="18"/>
          <w:lang w:eastAsia="nl-NL"/>
        </w:rPr>
        <w:t xml:space="preserve"> gedefinieerd. </w:t>
      </w:r>
    </w:p>
    <w:p w:rsidR="00615965" w:rsidP="00615965" w:rsidRDefault="00615965" w14:paraId="55C74843" w14:textId="77777777">
      <w:pPr>
        <w:pStyle w:val="Geenafstand"/>
        <w:rPr>
          <w:rFonts w:ascii="Verdana" w:hAnsi="Verdana"/>
          <w:sz w:val="18"/>
          <w:szCs w:val="18"/>
          <w:lang w:eastAsia="nl-NL"/>
        </w:rPr>
      </w:pPr>
    </w:p>
    <w:p w:rsidRPr="00D513F7" w:rsidR="00C432BF" w:rsidP="00D513F7" w:rsidRDefault="00C432BF" w14:paraId="5309E143" w14:textId="14AF950B">
      <w:pPr>
        <w:pStyle w:val="Geenafstand"/>
        <w:rPr>
          <w:rFonts w:ascii="Verdana" w:hAnsi="Verdana"/>
          <w:sz w:val="18"/>
          <w:szCs w:val="18"/>
          <w:lang w:eastAsia="nl-NL"/>
        </w:rPr>
      </w:pPr>
      <w:r w:rsidRPr="00D513F7">
        <w:rPr>
          <w:rFonts w:ascii="Verdana" w:hAnsi="Verdana"/>
          <w:sz w:val="18"/>
          <w:szCs w:val="18"/>
          <w:lang w:eastAsia="nl-NL"/>
        </w:rPr>
        <w:t>Artikel 49</w:t>
      </w:r>
      <w:r w:rsidR="00615965">
        <w:rPr>
          <w:rFonts w:ascii="Verdana" w:hAnsi="Verdana"/>
          <w:sz w:val="18"/>
          <w:szCs w:val="18"/>
          <w:lang w:eastAsia="nl-NL"/>
        </w:rPr>
        <w:t xml:space="preserve">, eerste lid, </w:t>
      </w:r>
      <w:proofErr w:type="spellStart"/>
      <w:r w:rsidR="00615965">
        <w:rPr>
          <w:rFonts w:ascii="Verdana" w:hAnsi="Verdana"/>
          <w:sz w:val="18"/>
          <w:szCs w:val="18"/>
          <w:lang w:eastAsia="nl-NL"/>
        </w:rPr>
        <w:t>Cbw</w:t>
      </w:r>
      <w:proofErr w:type="spellEnd"/>
      <w:r w:rsidRPr="00B4390C">
        <w:rPr>
          <w:rFonts w:ascii="Verdana" w:hAnsi="Verdana"/>
          <w:sz w:val="18"/>
          <w:szCs w:val="18"/>
          <w:lang w:eastAsia="nl-NL"/>
        </w:rPr>
        <w:t xml:space="preserve"> bevat de verplichting voor registers voor topleveldomeinnamen en entiteiten die domeinnaamregistratiediensten verlenen om nauwkeurige en volledige domeinnaamregistratiegegevens te verzamelen in een database. Ook moeten zij die gegevens bijhouden. Deze verplichting is hen opgelegd om bij te dragen aan de beveiliging, stabiliteit en weerbaarheid van het </w:t>
      </w:r>
      <w:r w:rsidR="00D513F7">
        <w:rPr>
          <w:rFonts w:ascii="Verdana" w:hAnsi="Verdana"/>
          <w:sz w:val="18"/>
          <w:szCs w:val="18"/>
          <w:lang w:eastAsia="nl-NL"/>
        </w:rPr>
        <w:t>DNS</w:t>
      </w:r>
      <w:r w:rsidRPr="00D513F7">
        <w:rPr>
          <w:rFonts w:ascii="Verdana" w:hAnsi="Verdana"/>
          <w:sz w:val="18"/>
          <w:szCs w:val="18"/>
          <w:lang w:eastAsia="nl-NL"/>
        </w:rPr>
        <w:t>.</w:t>
      </w:r>
    </w:p>
    <w:p w:rsidR="00615965" w:rsidP="00615965" w:rsidRDefault="00615965" w14:paraId="66C74D2F" w14:textId="77777777">
      <w:pPr>
        <w:pStyle w:val="Geenafstand"/>
        <w:rPr>
          <w:rFonts w:ascii="Verdana" w:hAnsi="Verdana"/>
          <w:kern w:val="2"/>
          <w:sz w:val="18"/>
          <w:szCs w:val="18"/>
        </w:rPr>
      </w:pPr>
    </w:p>
    <w:p w:rsidRPr="00D513F7" w:rsidR="00C432BF" w:rsidP="00D513F7" w:rsidRDefault="00615965" w14:paraId="3D13A261" w14:textId="682D335A">
      <w:pPr>
        <w:pStyle w:val="Geenafstand"/>
        <w:rPr>
          <w:rFonts w:ascii="Verdana" w:hAnsi="Verdana"/>
          <w:kern w:val="2"/>
          <w:sz w:val="18"/>
          <w:szCs w:val="18"/>
        </w:rPr>
      </w:pPr>
      <w:r>
        <w:rPr>
          <w:rFonts w:ascii="Verdana" w:hAnsi="Verdana"/>
          <w:kern w:val="2"/>
          <w:sz w:val="18"/>
          <w:szCs w:val="18"/>
        </w:rPr>
        <w:t xml:space="preserve">Artikel 49, tweede lid, </w:t>
      </w:r>
      <w:proofErr w:type="spellStart"/>
      <w:r>
        <w:rPr>
          <w:rFonts w:ascii="Verdana" w:hAnsi="Verdana"/>
          <w:kern w:val="2"/>
          <w:sz w:val="18"/>
          <w:szCs w:val="18"/>
        </w:rPr>
        <w:t>Cbw</w:t>
      </w:r>
      <w:proofErr w:type="spellEnd"/>
      <w:r>
        <w:rPr>
          <w:rFonts w:ascii="Verdana" w:hAnsi="Verdana"/>
          <w:kern w:val="2"/>
          <w:sz w:val="18"/>
          <w:szCs w:val="18"/>
        </w:rPr>
        <w:t xml:space="preserve"> schrijft voor</w:t>
      </w:r>
      <w:r w:rsidRPr="00B4390C" w:rsidR="00C432BF">
        <w:rPr>
          <w:rFonts w:ascii="Verdana" w:hAnsi="Verdana"/>
          <w:kern w:val="2"/>
          <w:sz w:val="18"/>
          <w:szCs w:val="18"/>
        </w:rPr>
        <w:t xml:space="preserve"> welke gegevens de database moet bevatten. Dit betreffen de gegevens die noodzakelijk zijn om de houders van de domeinnamen en de contactpunten </w:t>
      </w:r>
      <w:r w:rsidRPr="00B4390C" w:rsidR="00C432BF">
        <w:rPr>
          <w:rFonts w:ascii="Verdana" w:hAnsi="Verdana" w:cs="Arial"/>
          <w:kern w:val="2"/>
          <w:sz w:val="18"/>
          <w:szCs w:val="18"/>
        </w:rPr>
        <w:t xml:space="preserve">die de domeinnamen onder de topleveldomeinnamen te beheren, te identificeren en te contacteren. </w:t>
      </w:r>
      <w:r w:rsidR="0068772B">
        <w:rPr>
          <w:rFonts w:ascii="Verdana" w:hAnsi="Verdana" w:cs="Arial"/>
          <w:kern w:val="2"/>
          <w:sz w:val="18"/>
          <w:szCs w:val="18"/>
        </w:rPr>
        <w:t xml:space="preserve">Het is </w:t>
      </w:r>
      <w:r w:rsidRPr="00B4390C" w:rsidR="00C432BF">
        <w:rPr>
          <w:rFonts w:ascii="Verdana" w:hAnsi="Verdana" w:cs="Arial"/>
          <w:kern w:val="2"/>
          <w:sz w:val="18"/>
          <w:szCs w:val="18"/>
        </w:rPr>
        <w:t>onvoldoende om de gegevens te verstrekken van de aanbieder van de privacy- of proxy-registratiedienst die mogelijk bij het registratieproces van de domeinnaam is gebruikt. De registers voor topleveldomeinnamen en de entiteiten die domeinnaamregistratiediensten verlenen dienen de registratiegegevens van de uiteindelijk</w:t>
      </w:r>
      <w:r w:rsidR="0068772B">
        <w:rPr>
          <w:rFonts w:ascii="Verdana" w:hAnsi="Verdana" w:cs="Arial"/>
          <w:kern w:val="2"/>
          <w:sz w:val="18"/>
          <w:szCs w:val="18"/>
        </w:rPr>
        <w:t>e</w:t>
      </w:r>
      <w:r w:rsidRPr="00D513F7" w:rsidR="00C432BF">
        <w:rPr>
          <w:rFonts w:ascii="Verdana" w:hAnsi="Verdana" w:cs="Arial"/>
          <w:kern w:val="2"/>
          <w:sz w:val="18"/>
          <w:szCs w:val="18"/>
        </w:rPr>
        <w:t xml:space="preserve"> domeinnaamhouder te registeren.</w:t>
      </w:r>
      <w:r w:rsidRPr="00D513F7" w:rsidR="0095498E">
        <w:rPr>
          <w:rFonts w:ascii="Verdana" w:hAnsi="Verdana"/>
          <w:kern w:val="2"/>
          <w:sz w:val="18"/>
          <w:szCs w:val="18"/>
        </w:rPr>
        <w:t xml:space="preserve"> </w:t>
      </w:r>
    </w:p>
    <w:p w:rsidRPr="00D513F7" w:rsidR="00C432BF" w:rsidP="00D513F7" w:rsidRDefault="00C432BF" w14:paraId="35493151" w14:textId="77777777">
      <w:pPr>
        <w:pStyle w:val="Geenafstand"/>
        <w:rPr>
          <w:rFonts w:ascii="Verdana" w:hAnsi="Verdana"/>
          <w:kern w:val="2"/>
          <w:sz w:val="18"/>
          <w:szCs w:val="18"/>
        </w:rPr>
      </w:pPr>
    </w:p>
    <w:p w:rsidRPr="0068772B" w:rsidR="00C432BF" w:rsidP="00D513F7" w:rsidRDefault="0068772B" w14:paraId="53F5AE3E" w14:textId="29180373">
      <w:pPr>
        <w:pStyle w:val="Geenafstand"/>
        <w:rPr>
          <w:rFonts w:ascii="Verdana" w:hAnsi="Verdana"/>
          <w:sz w:val="18"/>
          <w:szCs w:val="18"/>
          <w:lang w:eastAsia="nl-NL"/>
        </w:rPr>
      </w:pPr>
      <w:r>
        <w:rPr>
          <w:rFonts w:ascii="Verdana" w:hAnsi="Verdana"/>
          <w:sz w:val="18"/>
          <w:szCs w:val="18"/>
          <w:lang w:eastAsia="nl-NL"/>
        </w:rPr>
        <w:t xml:space="preserve">Artikel 49, derde lid, </w:t>
      </w:r>
      <w:proofErr w:type="spellStart"/>
      <w:r>
        <w:rPr>
          <w:rFonts w:ascii="Verdana" w:hAnsi="Verdana"/>
          <w:sz w:val="18"/>
          <w:szCs w:val="18"/>
          <w:lang w:eastAsia="nl-NL"/>
        </w:rPr>
        <w:t>Cbw</w:t>
      </w:r>
      <w:proofErr w:type="spellEnd"/>
      <w:r w:rsidRPr="00B4390C" w:rsidR="00C432BF">
        <w:rPr>
          <w:rFonts w:ascii="Verdana" w:hAnsi="Verdana"/>
          <w:sz w:val="18"/>
          <w:szCs w:val="18"/>
          <w:lang w:eastAsia="nl-NL"/>
        </w:rPr>
        <w:t xml:space="preserve"> bevat de verplichting voor registers voor topleveldomeinnamen en entiteiten die domeinnaamregistratiediensten verlenen om het beleid en de procedures, waaronder verificatieprocedures, vast te stellen om ervoor te zorgen dat de database juiste en volledige informatie bevat. Dat beleid en die procedures zien op het verzamelen en bijhouden van nauwkeurige en volledige domeinnaamregistratiegegevens en het voorkomen en corrigeren van onjuiste registratiegegevens. De verificatieprocedures kunnen bijvoorbeeld betrekking hebben op controles vooraf die worden uitgevoerd bij de registratie, en controles achteraf die worden uitgevoerd na de registratie. Uit overweging 111 van de NIS2-richtlijn volgt dat in het kader van verificatie, de registers voor topleveldomeinnamen en de entiteiten die domeinnaamregistratiediensten verlenen onder meer ten minste één van de verificatie manieren moeten gebruiken om met de domeinnaamhouder contact op te nemen. Daarnaast zullen het hierboven genoemde beleid en procedures ook moeten ingaan op de bekendmaking en openbaarmaking van registratiegegevens, met inbegrip van overeenkomsten inzake het dienstverleningsniveau voor de behandeling van verzoeken om toegang van verzoekers om legitieme toegang (artikel 50, derde lid</w:t>
      </w:r>
      <w:r>
        <w:rPr>
          <w:rFonts w:ascii="Verdana" w:hAnsi="Verdana"/>
          <w:sz w:val="18"/>
          <w:szCs w:val="18"/>
          <w:lang w:eastAsia="nl-NL"/>
        </w:rPr>
        <w:t xml:space="preserve">, </w:t>
      </w:r>
      <w:proofErr w:type="spellStart"/>
      <w:r>
        <w:rPr>
          <w:rFonts w:ascii="Verdana" w:hAnsi="Verdana"/>
          <w:sz w:val="18"/>
          <w:szCs w:val="18"/>
          <w:lang w:eastAsia="nl-NL"/>
        </w:rPr>
        <w:t>Cbw</w:t>
      </w:r>
      <w:proofErr w:type="spellEnd"/>
      <w:r w:rsidRPr="0068772B" w:rsidR="00C432BF">
        <w:rPr>
          <w:rFonts w:ascii="Verdana" w:hAnsi="Verdana"/>
          <w:sz w:val="18"/>
          <w:szCs w:val="18"/>
          <w:lang w:eastAsia="nl-NL"/>
        </w:rPr>
        <w:t>). Bij het vaststellen van het beleid en procedures houden de entiteiten zoveel mogelijk rekening met richtsnoeren en normen die in internationaal verband zijn ontwikkeld (overweging 111 van de NIS2-richtlijn).</w:t>
      </w:r>
    </w:p>
    <w:p w:rsidRPr="0068772B" w:rsidR="00C432BF" w:rsidP="00D513F7" w:rsidRDefault="00C432BF" w14:paraId="132A54BF" w14:textId="77777777">
      <w:pPr>
        <w:pStyle w:val="Geenafstand"/>
        <w:rPr>
          <w:rFonts w:ascii="Verdana" w:hAnsi="Verdana"/>
          <w:sz w:val="18"/>
          <w:szCs w:val="18"/>
          <w:lang w:eastAsia="nl-NL"/>
        </w:rPr>
      </w:pPr>
    </w:p>
    <w:p w:rsidRPr="00B4390C" w:rsidR="00C432BF" w:rsidP="00D513F7" w:rsidRDefault="0068772B" w14:paraId="5A01DD28" w14:textId="19492101">
      <w:pPr>
        <w:pStyle w:val="Geenafstand"/>
        <w:rPr>
          <w:rFonts w:ascii="Verdana" w:hAnsi="Verdana"/>
          <w:sz w:val="18"/>
          <w:szCs w:val="18"/>
          <w:lang w:eastAsia="nl-NL"/>
        </w:rPr>
      </w:pPr>
      <w:r>
        <w:rPr>
          <w:rFonts w:ascii="Verdana" w:hAnsi="Verdana"/>
          <w:sz w:val="18"/>
          <w:szCs w:val="18"/>
          <w:lang w:eastAsia="nl-NL"/>
        </w:rPr>
        <w:t xml:space="preserve">Artikel 49, vierde lid, </w:t>
      </w:r>
      <w:proofErr w:type="spellStart"/>
      <w:r>
        <w:rPr>
          <w:rFonts w:ascii="Verdana" w:hAnsi="Verdana"/>
          <w:sz w:val="18"/>
          <w:szCs w:val="18"/>
          <w:lang w:eastAsia="nl-NL"/>
        </w:rPr>
        <w:t>Cbw</w:t>
      </w:r>
      <w:proofErr w:type="spellEnd"/>
      <w:r w:rsidRPr="00B4390C" w:rsidR="00C432BF">
        <w:rPr>
          <w:rFonts w:ascii="Verdana" w:hAnsi="Verdana"/>
          <w:sz w:val="18"/>
          <w:szCs w:val="18"/>
          <w:lang w:eastAsia="nl-NL"/>
        </w:rPr>
        <w:t xml:space="preserve"> bevat de verplichting voor registers voor topleveldomeinnamen en entiteiten die domeinnaamregistratiediensten verlenen om domeinnaamregistratiegegevens die geen persoonsgegevens zijn, onverwijld na de registratie van een domeinnaam openbaar te maken. Uit de NIS2-richtlijn</w:t>
      </w:r>
      <w:r w:rsidRPr="00B4390C" w:rsidR="0095498E">
        <w:rPr>
          <w:rFonts w:ascii="Verdana" w:hAnsi="Verdana"/>
          <w:sz w:val="18"/>
          <w:szCs w:val="18"/>
          <w:lang w:eastAsia="nl-NL"/>
        </w:rPr>
        <w:t xml:space="preserve"> </w:t>
      </w:r>
      <w:r w:rsidRPr="00B4390C" w:rsidR="00C432BF">
        <w:rPr>
          <w:rFonts w:ascii="Verdana" w:hAnsi="Verdana"/>
          <w:sz w:val="18"/>
          <w:szCs w:val="18"/>
          <w:lang w:eastAsia="nl-NL"/>
        </w:rPr>
        <w:t xml:space="preserve">volgt dat zij voor rechtspersonen ten minste de naam en het telefoonnummer van de domeinnaamhouder openbaar moeten maken. Ook het e-mailadres moet bekend worden gemaakt, op voorwaarde dat het geen persoonsgegevens bevat, zoals bij e-mailaliassen of functionele mailboxen. </w:t>
      </w:r>
    </w:p>
    <w:p w:rsidRPr="00B4390C" w:rsidR="00C432BF" w:rsidP="00D513F7" w:rsidRDefault="00C432BF" w14:paraId="148E2319" w14:textId="77777777">
      <w:pPr>
        <w:pStyle w:val="Geenafstand"/>
        <w:rPr>
          <w:rFonts w:ascii="Verdana" w:hAnsi="Verdana"/>
          <w:sz w:val="18"/>
          <w:szCs w:val="18"/>
          <w:lang w:eastAsia="nl-NL"/>
        </w:rPr>
      </w:pPr>
    </w:p>
    <w:p w:rsidRPr="0068772B" w:rsidR="00C432BF" w:rsidP="00615965" w:rsidRDefault="0068772B" w14:paraId="2BE52836" w14:textId="2583EF1E">
      <w:pPr>
        <w:pStyle w:val="Geenafstand"/>
        <w:rPr>
          <w:rStyle w:val="normaltextrun"/>
          <w:rFonts w:ascii="Verdana" w:hAnsi="Verdana" w:cs="Segoe UI" w:eastAsiaTheme="majorEastAsia"/>
          <w:sz w:val="18"/>
          <w:szCs w:val="18"/>
        </w:rPr>
      </w:pPr>
      <w:r w:rsidRPr="0068772B">
        <w:rPr>
          <w:rFonts w:ascii="Verdana" w:hAnsi="Verdana"/>
          <w:sz w:val="18"/>
          <w:szCs w:val="18"/>
          <w:lang w:eastAsia="nl-NL"/>
        </w:rPr>
        <w:t xml:space="preserve">Artikel 49, vijfde lid, </w:t>
      </w:r>
      <w:proofErr w:type="spellStart"/>
      <w:r w:rsidRPr="0068772B">
        <w:rPr>
          <w:rFonts w:ascii="Verdana" w:hAnsi="Verdana"/>
          <w:sz w:val="18"/>
          <w:szCs w:val="18"/>
          <w:lang w:eastAsia="nl-NL"/>
        </w:rPr>
        <w:t>Cbw</w:t>
      </w:r>
      <w:proofErr w:type="spellEnd"/>
      <w:r w:rsidRPr="0068772B">
        <w:rPr>
          <w:rFonts w:ascii="Verdana" w:hAnsi="Verdana"/>
          <w:sz w:val="18"/>
          <w:szCs w:val="18"/>
          <w:lang w:eastAsia="nl-NL"/>
        </w:rPr>
        <w:t xml:space="preserve"> regelt </w:t>
      </w:r>
      <w:r w:rsidRPr="00B4390C" w:rsidR="00C432BF">
        <w:rPr>
          <w:rFonts w:ascii="Verdana" w:hAnsi="Verdana"/>
          <w:sz w:val="18"/>
          <w:szCs w:val="18"/>
          <w:lang w:eastAsia="nl-NL"/>
        </w:rPr>
        <w:t>dat de registers voor topleveldomeinnamen en de entiteiten die domeinnaamregistratiediensten</w:t>
      </w:r>
      <w:r w:rsidRPr="00B4390C" w:rsidR="0095498E">
        <w:rPr>
          <w:rFonts w:ascii="Verdana" w:hAnsi="Verdana"/>
          <w:sz w:val="18"/>
          <w:szCs w:val="18"/>
          <w:lang w:eastAsia="nl-NL"/>
        </w:rPr>
        <w:t xml:space="preserve"> </w:t>
      </w:r>
      <w:r w:rsidRPr="00B4390C" w:rsidR="00C432BF">
        <w:rPr>
          <w:rFonts w:ascii="Verdana" w:hAnsi="Verdana"/>
          <w:sz w:val="18"/>
          <w:szCs w:val="18"/>
          <w:lang w:eastAsia="nl-NL"/>
        </w:rPr>
        <w:t>verlenen, samenwerken om te voorkomen dat domeinnaamregistratiegegevens tweemaal worden</w:t>
      </w:r>
      <w:r w:rsidRPr="00B4390C" w:rsidR="0095498E">
        <w:rPr>
          <w:rFonts w:ascii="Verdana" w:hAnsi="Verdana"/>
          <w:sz w:val="18"/>
          <w:szCs w:val="18"/>
          <w:lang w:eastAsia="nl-NL"/>
        </w:rPr>
        <w:t xml:space="preserve"> </w:t>
      </w:r>
      <w:r w:rsidRPr="00B4390C" w:rsidR="00C432BF">
        <w:rPr>
          <w:rFonts w:ascii="Verdana" w:hAnsi="Verdana"/>
          <w:sz w:val="18"/>
          <w:szCs w:val="18"/>
          <w:lang w:eastAsia="nl-NL"/>
        </w:rPr>
        <w:t xml:space="preserve">verzameld. </w:t>
      </w:r>
      <w:r w:rsidRPr="0068772B" w:rsidR="00C432BF">
        <w:rPr>
          <w:rStyle w:val="normaltextrun"/>
          <w:rFonts w:ascii="Verdana" w:hAnsi="Verdana" w:cs="Segoe UI" w:eastAsiaTheme="majorEastAsia"/>
          <w:sz w:val="18"/>
          <w:szCs w:val="18"/>
        </w:rPr>
        <w:t>Op deze wijze worden administratieve lasten voorkomen. Afspraken over deze samenwerking kunnen bijvoorbeeld gemaakt worden in de vorm van contractuele afspraken tussen het register voor topleveldomeinnamen en de entiteiten die domeinnaamregistratiediensten</w:t>
      </w:r>
      <w:r w:rsidRPr="0068772B" w:rsidR="00C432BF">
        <w:rPr>
          <w:rStyle w:val="eop"/>
          <w:rFonts w:ascii="Verdana" w:hAnsi="Verdana" w:cs="Segoe UI" w:eastAsiaTheme="majorEastAsia"/>
          <w:sz w:val="18"/>
          <w:szCs w:val="18"/>
        </w:rPr>
        <w:t xml:space="preserve"> onder die topleveldomeinnaam </w:t>
      </w:r>
      <w:r w:rsidRPr="0068772B" w:rsidR="00C432BF">
        <w:rPr>
          <w:rStyle w:val="normaltextrun"/>
          <w:rFonts w:ascii="Verdana" w:hAnsi="Verdana" w:cs="Segoe UI" w:eastAsiaTheme="majorEastAsia"/>
          <w:sz w:val="18"/>
          <w:szCs w:val="18"/>
        </w:rPr>
        <w:t>verlenen.</w:t>
      </w:r>
    </w:p>
    <w:p w:rsidRPr="0068772B" w:rsidR="0068772B" w:rsidP="0068772B" w:rsidRDefault="0068772B" w14:paraId="7DB93511" w14:textId="77777777">
      <w:pPr>
        <w:pStyle w:val="Geenafstand"/>
        <w:rPr>
          <w:rFonts w:ascii="Verdana" w:hAnsi="Verdana"/>
          <w:color w:val="FF0000"/>
          <w:sz w:val="18"/>
          <w:szCs w:val="18"/>
          <w:lang w:eastAsia="nl-NL"/>
        </w:rPr>
      </w:pPr>
    </w:p>
    <w:p w:rsidRPr="0068772B" w:rsidR="00C432BF" w:rsidP="0068772B" w:rsidRDefault="0068772B" w14:paraId="114466F4" w14:textId="528C2023">
      <w:pPr>
        <w:pStyle w:val="Geenafstand"/>
        <w:rPr>
          <w:rFonts w:ascii="Verdana" w:hAnsi="Verdana"/>
          <w:sz w:val="18"/>
          <w:szCs w:val="18"/>
          <w:lang w:eastAsia="nl-NL"/>
        </w:rPr>
      </w:pPr>
      <w:r>
        <w:rPr>
          <w:rFonts w:ascii="Verdana" w:hAnsi="Verdana"/>
          <w:sz w:val="18"/>
          <w:szCs w:val="18"/>
          <w:lang w:eastAsia="nl-NL"/>
        </w:rPr>
        <w:t xml:space="preserve">Artikel 49, </w:t>
      </w:r>
      <w:r w:rsidR="006F391B">
        <w:rPr>
          <w:rFonts w:ascii="Verdana" w:hAnsi="Verdana"/>
          <w:sz w:val="18"/>
          <w:szCs w:val="18"/>
          <w:lang w:eastAsia="nl-NL"/>
        </w:rPr>
        <w:t>zes</w:t>
      </w:r>
      <w:r>
        <w:rPr>
          <w:rFonts w:ascii="Verdana" w:hAnsi="Verdana"/>
          <w:sz w:val="18"/>
          <w:szCs w:val="18"/>
          <w:lang w:eastAsia="nl-NL"/>
        </w:rPr>
        <w:t xml:space="preserve">de lid, </w:t>
      </w:r>
      <w:proofErr w:type="spellStart"/>
      <w:r>
        <w:rPr>
          <w:rFonts w:ascii="Verdana" w:hAnsi="Verdana"/>
          <w:sz w:val="18"/>
          <w:szCs w:val="18"/>
          <w:lang w:eastAsia="nl-NL"/>
        </w:rPr>
        <w:t>Cbw</w:t>
      </w:r>
      <w:proofErr w:type="spellEnd"/>
      <w:r>
        <w:rPr>
          <w:rFonts w:ascii="Verdana" w:hAnsi="Verdana"/>
          <w:sz w:val="18"/>
          <w:szCs w:val="18"/>
          <w:lang w:eastAsia="nl-NL"/>
        </w:rPr>
        <w:t xml:space="preserve"> betreft de grondslag</w:t>
      </w:r>
      <w:r w:rsidRPr="00B4390C" w:rsidR="00C432BF">
        <w:rPr>
          <w:rFonts w:ascii="Verdana" w:hAnsi="Verdana"/>
          <w:sz w:val="18"/>
          <w:szCs w:val="18"/>
          <w:lang w:eastAsia="nl-NL"/>
        </w:rPr>
        <w:t xml:space="preserve"> voor een ministeriële regeling van de Minister van Economische Zaken</w:t>
      </w:r>
      <w:r>
        <w:rPr>
          <w:rFonts w:ascii="Verdana" w:hAnsi="Verdana"/>
          <w:sz w:val="18"/>
          <w:szCs w:val="18"/>
          <w:lang w:eastAsia="nl-NL"/>
        </w:rPr>
        <w:t>. Door middel van die grondslag kan hij</w:t>
      </w:r>
      <w:r w:rsidR="008265E7">
        <w:rPr>
          <w:rFonts w:ascii="Verdana" w:hAnsi="Verdana"/>
          <w:sz w:val="18"/>
          <w:szCs w:val="18"/>
          <w:lang w:eastAsia="nl-NL"/>
        </w:rPr>
        <w:t xml:space="preserve"> </w:t>
      </w:r>
      <w:r w:rsidRPr="0068772B" w:rsidR="00C432BF">
        <w:rPr>
          <w:rFonts w:ascii="Verdana" w:hAnsi="Verdana"/>
          <w:sz w:val="18"/>
          <w:szCs w:val="18"/>
          <w:lang w:eastAsia="nl-NL"/>
        </w:rPr>
        <w:t xml:space="preserve">nadere regels stellen over het bepaalde in artikel </w:t>
      </w:r>
      <w:r>
        <w:rPr>
          <w:rFonts w:ascii="Verdana" w:hAnsi="Verdana"/>
          <w:sz w:val="18"/>
          <w:szCs w:val="18"/>
          <w:lang w:eastAsia="nl-NL"/>
        </w:rPr>
        <w:t xml:space="preserve">49 </w:t>
      </w:r>
      <w:proofErr w:type="spellStart"/>
      <w:r>
        <w:rPr>
          <w:rFonts w:ascii="Verdana" w:hAnsi="Verdana"/>
          <w:sz w:val="18"/>
          <w:szCs w:val="18"/>
          <w:lang w:eastAsia="nl-NL"/>
        </w:rPr>
        <w:t>Cbw</w:t>
      </w:r>
      <w:proofErr w:type="spellEnd"/>
      <w:r>
        <w:rPr>
          <w:rFonts w:ascii="Verdana" w:hAnsi="Verdana"/>
          <w:sz w:val="18"/>
          <w:szCs w:val="18"/>
          <w:lang w:eastAsia="nl-NL"/>
        </w:rPr>
        <w:t xml:space="preserve"> </w:t>
      </w:r>
      <w:r w:rsidRPr="0068772B" w:rsidR="00C432BF">
        <w:rPr>
          <w:rFonts w:ascii="Verdana" w:hAnsi="Verdana"/>
          <w:sz w:val="18"/>
          <w:szCs w:val="18"/>
          <w:lang w:eastAsia="nl-NL"/>
        </w:rPr>
        <w:t xml:space="preserve">die van administratieve of uitvoeringstechnische aard zijn. </w:t>
      </w:r>
    </w:p>
    <w:p w:rsidR="00CE333A" w:rsidP="00615965" w:rsidRDefault="00CE333A" w14:paraId="57196391" w14:textId="77777777">
      <w:pPr>
        <w:pStyle w:val="Geenafstand"/>
        <w:rPr>
          <w:rFonts w:ascii="Verdana" w:hAnsi="Verdana"/>
          <w:sz w:val="18"/>
          <w:szCs w:val="18"/>
        </w:rPr>
      </w:pPr>
    </w:p>
    <w:p w:rsidR="00E04B59" w:rsidP="00615965" w:rsidRDefault="00E04B59" w14:paraId="2C63A3C6" w14:textId="77777777">
      <w:pPr>
        <w:pStyle w:val="Geenafstand"/>
        <w:rPr>
          <w:rFonts w:ascii="Verdana" w:hAnsi="Verdana"/>
          <w:sz w:val="18"/>
          <w:szCs w:val="18"/>
        </w:rPr>
      </w:pPr>
    </w:p>
    <w:p w:rsidRPr="0068772B" w:rsidR="00E04B59" w:rsidP="00615965" w:rsidRDefault="00E04B59" w14:paraId="4FFB0297" w14:textId="77777777">
      <w:pPr>
        <w:pStyle w:val="Geenafstand"/>
        <w:rPr>
          <w:rFonts w:ascii="Verdana" w:hAnsi="Verdana"/>
          <w:sz w:val="18"/>
          <w:szCs w:val="18"/>
        </w:rPr>
      </w:pPr>
    </w:p>
    <w:p w:rsidRPr="00BD3C4A" w:rsidR="00155394" w:rsidP="00155394" w:rsidRDefault="00155394" w14:paraId="4A76B36E" w14:textId="64B9ADC3">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50</w:t>
      </w:r>
      <w:r w:rsidRPr="00BD3C4A">
        <w:rPr>
          <w:rFonts w:ascii="Verdana" w:hAnsi="Verdana"/>
          <w:b/>
          <w:bCs/>
          <w:sz w:val="18"/>
          <w:szCs w:val="18"/>
        </w:rPr>
        <w:t xml:space="preserve"> (verzoeken om toegang tot gegevens over registratie van domeinnamen)</w:t>
      </w:r>
    </w:p>
    <w:p w:rsidRPr="00C47325" w:rsidR="00CE333A" w:rsidP="00CE333A" w:rsidRDefault="00CE333A" w14:paraId="158BC5B1" w14:textId="77777777">
      <w:pPr>
        <w:spacing w:after="0" w:line="240" w:lineRule="auto"/>
        <w:rPr>
          <w:rFonts w:ascii="Verdana" w:hAnsi="Verdana"/>
          <w:sz w:val="18"/>
          <w:szCs w:val="18"/>
        </w:rPr>
      </w:pPr>
    </w:p>
    <w:p w:rsidR="00AB52C0" w:rsidP="00C432BF" w:rsidRDefault="00C432BF" w14:paraId="2676FAC9" w14:textId="793DBA1B">
      <w:pPr>
        <w:spacing w:after="0" w:line="240" w:lineRule="auto"/>
        <w:rPr>
          <w:rFonts w:ascii="Verdana" w:hAnsi="Verdana"/>
          <w:sz w:val="18"/>
          <w:szCs w:val="18"/>
        </w:rPr>
      </w:pPr>
      <w:r w:rsidRPr="00C432BF">
        <w:rPr>
          <w:rFonts w:ascii="Verdana" w:hAnsi="Verdana"/>
          <w:sz w:val="18"/>
          <w:szCs w:val="18"/>
        </w:rPr>
        <w:t xml:space="preserve">Artikel 50 </w:t>
      </w:r>
      <w:proofErr w:type="spellStart"/>
      <w:r w:rsidR="00AB52C0">
        <w:rPr>
          <w:rFonts w:ascii="Verdana" w:hAnsi="Verdana"/>
          <w:sz w:val="18"/>
          <w:szCs w:val="18"/>
        </w:rPr>
        <w:t>Cbw</w:t>
      </w:r>
      <w:proofErr w:type="spellEnd"/>
      <w:r w:rsidRPr="00C432BF">
        <w:rPr>
          <w:rFonts w:ascii="Verdana" w:hAnsi="Verdana"/>
          <w:sz w:val="18"/>
          <w:szCs w:val="18"/>
        </w:rPr>
        <w:t xml:space="preserve"> betreft de implementatie van artikel 28, vijfde lid, NIS2-richtlijn. Net als artikel 49 </w:t>
      </w:r>
      <w:proofErr w:type="spellStart"/>
      <w:r w:rsidR="00AB52C0">
        <w:rPr>
          <w:rFonts w:ascii="Verdana" w:hAnsi="Verdana"/>
          <w:sz w:val="18"/>
          <w:szCs w:val="18"/>
        </w:rPr>
        <w:t>Cbw</w:t>
      </w:r>
      <w:proofErr w:type="spellEnd"/>
      <w:r w:rsidRPr="00C432BF">
        <w:rPr>
          <w:rFonts w:ascii="Verdana" w:hAnsi="Verdana"/>
          <w:sz w:val="18"/>
          <w:szCs w:val="18"/>
        </w:rPr>
        <w:t xml:space="preserve"> is artikel 50 </w:t>
      </w:r>
      <w:proofErr w:type="spellStart"/>
      <w:r w:rsidR="00AB52C0">
        <w:rPr>
          <w:rFonts w:ascii="Verdana" w:hAnsi="Verdana"/>
          <w:sz w:val="18"/>
          <w:szCs w:val="18"/>
        </w:rPr>
        <w:t>Cbw</w:t>
      </w:r>
      <w:proofErr w:type="spellEnd"/>
      <w:r w:rsidR="00AB52C0">
        <w:rPr>
          <w:rFonts w:ascii="Verdana" w:hAnsi="Verdana"/>
          <w:sz w:val="18"/>
          <w:szCs w:val="18"/>
        </w:rPr>
        <w:t xml:space="preserve"> </w:t>
      </w:r>
      <w:r w:rsidRPr="00C432BF">
        <w:rPr>
          <w:rFonts w:ascii="Verdana" w:hAnsi="Verdana"/>
          <w:sz w:val="18"/>
          <w:szCs w:val="18"/>
        </w:rPr>
        <w:t xml:space="preserve">alleen van toepassing op registers voor topleveldomeinnamen en entiteiten die domeinnaamregistratiediensten verlenen. </w:t>
      </w:r>
    </w:p>
    <w:p w:rsidR="00AB52C0" w:rsidP="00C432BF" w:rsidRDefault="00AB52C0" w14:paraId="6AB54218" w14:textId="77777777">
      <w:pPr>
        <w:spacing w:after="0" w:line="240" w:lineRule="auto"/>
        <w:rPr>
          <w:rFonts w:ascii="Verdana" w:hAnsi="Verdana"/>
          <w:sz w:val="18"/>
          <w:szCs w:val="18"/>
        </w:rPr>
      </w:pPr>
    </w:p>
    <w:p w:rsidR="00C432BF" w:rsidP="00C432BF" w:rsidRDefault="00AB52C0" w14:paraId="2CAC40B8" w14:textId="3B6A4157">
      <w:pPr>
        <w:spacing w:after="0" w:line="240" w:lineRule="auto"/>
        <w:rPr>
          <w:rFonts w:ascii="Verdana" w:hAnsi="Verdana"/>
          <w:sz w:val="18"/>
          <w:szCs w:val="18"/>
        </w:rPr>
      </w:pPr>
      <w:r>
        <w:rPr>
          <w:rFonts w:ascii="Verdana" w:hAnsi="Verdana"/>
          <w:sz w:val="18"/>
          <w:szCs w:val="18"/>
        </w:rPr>
        <w:t xml:space="preserve">Artikel 50, eerste lid, </w:t>
      </w:r>
      <w:proofErr w:type="spellStart"/>
      <w:r>
        <w:rPr>
          <w:rFonts w:ascii="Verdana" w:hAnsi="Verdana"/>
          <w:sz w:val="18"/>
          <w:szCs w:val="18"/>
        </w:rPr>
        <w:t>Cbw</w:t>
      </w:r>
      <w:proofErr w:type="spellEnd"/>
      <w:r>
        <w:rPr>
          <w:rFonts w:ascii="Verdana" w:hAnsi="Verdana"/>
          <w:sz w:val="18"/>
          <w:szCs w:val="18"/>
        </w:rPr>
        <w:t xml:space="preserve"> verplicht</w:t>
      </w:r>
      <w:r w:rsidRPr="00C432BF" w:rsidR="00C432BF">
        <w:rPr>
          <w:rFonts w:ascii="Verdana" w:hAnsi="Verdana"/>
          <w:sz w:val="18"/>
          <w:szCs w:val="18"/>
        </w:rPr>
        <w:t xml:space="preserve"> het register voor topleveldomeinnamen </w:t>
      </w:r>
      <w:r w:rsidR="002D32F5">
        <w:rPr>
          <w:rFonts w:ascii="Verdana" w:hAnsi="Verdana"/>
          <w:sz w:val="18"/>
          <w:szCs w:val="18"/>
        </w:rPr>
        <w:t>en</w:t>
      </w:r>
      <w:r w:rsidRPr="00C432BF" w:rsidR="00C432BF">
        <w:rPr>
          <w:rFonts w:ascii="Verdana" w:hAnsi="Verdana"/>
          <w:sz w:val="18"/>
          <w:szCs w:val="18"/>
        </w:rPr>
        <w:t xml:space="preserve"> de entiteit die domeinnaamregistratiediensten verleent op een rechtmatig en naar behoren gemotiveerd verzoek van een legitieme toegang vragende partij die daar</w:t>
      </w:r>
      <w:r w:rsidR="002D32F5">
        <w:rPr>
          <w:rFonts w:ascii="Verdana" w:hAnsi="Verdana"/>
          <w:sz w:val="18"/>
          <w:szCs w:val="18"/>
        </w:rPr>
        <w:t xml:space="preserve"> </w:t>
      </w:r>
      <w:r w:rsidRPr="00C432BF" w:rsidR="00C432BF">
        <w:rPr>
          <w:rFonts w:ascii="Verdana" w:hAnsi="Verdana"/>
          <w:sz w:val="18"/>
          <w:szCs w:val="18"/>
        </w:rPr>
        <w:t>om verzoekt</w:t>
      </w:r>
      <w:r w:rsidR="002D32F5">
        <w:rPr>
          <w:rFonts w:ascii="Verdana" w:hAnsi="Verdana"/>
          <w:sz w:val="18"/>
          <w:szCs w:val="18"/>
        </w:rPr>
        <w:t>,</w:t>
      </w:r>
      <w:r w:rsidRPr="00C432BF" w:rsidR="00C432BF">
        <w:rPr>
          <w:rFonts w:ascii="Verdana" w:hAnsi="Verdana"/>
          <w:sz w:val="18"/>
          <w:szCs w:val="18"/>
        </w:rPr>
        <w:t xml:space="preserve"> toegang te verlenen tot specifieke gegevens over de registratie van domeinnamen. Uit overweging 110 </w:t>
      </w:r>
      <w:r w:rsidR="00DF67C4">
        <w:rPr>
          <w:rFonts w:ascii="Verdana" w:hAnsi="Verdana"/>
          <w:sz w:val="18"/>
          <w:szCs w:val="18"/>
        </w:rPr>
        <w:t xml:space="preserve">van de </w:t>
      </w:r>
      <w:r w:rsidRPr="00C432BF" w:rsidR="00C432BF">
        <w:rPr>
          <w:rFonts w:ascii="Verdana" w:hAnsi="Verdana"/>
          <w:sz w:val="18"/>
          <w:szCs w:val="18"/>
        </w:rPr>
        <w:t>NIS2-richtlijn volgt dat onder verzoeker om legitieme toegang wordt verstaan</w:t>
      </w:r>
      <w:r w:rsidR="002D32F5">
        <w:rPr>
          <w:rFonts w:ascii="Verdana" w:hAnsi="Verdana"/>
          <w:sz w:val="18"/>
          <w:szCs w:val="18"/>
        </w:rPr>
        <w:t>:</w:t>
      </w:r>
      <w:r w:rsidRPr="00C432BF" w:rsidR="00C432BF">
        <w:rPr>
          <w:rFonts w:ascii="Verdana" w:hAnsi="Verdana"/>
          <w:sz w:val="18"/>
          <w:szCs w:val="18"/>
        </w:rPr>
        <w:t xml:space="preserve"> elke natuurlijke en rechtspersoon die een verzoek indient krachtens het Unie- of nationale recht. Iedere natuurlijke of rechtspersoon die op basis van nationaal of Europees recht een grondslag heeft om (registratie)gegevens te verzoeken en dat onderbouw</w:t>
      </w:r>
      <w:r w:rsidR="002D32F5">
        <w:rPr>
          <w:rFonts w:ascii="Verdana" w:hAnsi="Verdana"/>
          <w:sz w:val="18"/>
          <w:szCs w:val="18"/>
        </w:rPr>
        <w:t>t</w:t>
      </w:r>
      <w:r w:rsidRPr="00C432BF" w:rsidR="00C432BF">
        <w:rPr>
          <w:rFonts w:ascii="Verdana" w:hAnsi="Verdana"/>
          <w:sz w:val="18"/>
          <w:szCs w:val="18"/>
        </w:rPr>
        <w:t>, heeft derhalve recht op die gegevens die voor de desbetreffende verzoeker nodig zijn voor de doeleinden van het toegangsverzoek. Het kan onder meer gaan om de bevoegde autoriteit</w:t>
      </w:r>
      <w:r w:rsidR="002D32F5">
        <w:rPr>
          <w:rFonts w:ascii="Verdana" w:hAnsi="Verdana"/>
          <w:sz w:val="18"/>
          <w:szCs w:val="18"/>
        </w:rPr>
        <w:t xml:space="preserve">, bedoeld in de </w:t>
      </w:r>
      <w:proofErr w:type="spellStart"/>
      <w:r w:rsidR="002D32F5">
        <w:rPr>
          <w:rFonts w:ascii="Verdana" w:hAnsi="Verdana"/>
          <w:sz w:val="18"/>
          <w:szCs w:val="18"/>
        </w:rPr>
        <w:t>Cbw</w:t>
      </w:r>
      <w:proofErr w:type="spellEnd"/>
      <w:r w:rsidR="002D32F5">
        <w:rPr>
          <w:rFonts w:ascii="Verdana" w:hAnsi="Verdana"/>
          <w:sz w:val="18"/>
          <w:szCs w:val="18"/>
        </w:rPr>
        <w:t>,</w:t>
      </w:r>
      <w:r w:rsidRPr="00C432BF" w:rsidR="00C432BF">
        <w:rPr>
          <w:rFonts w:ascii="Verdana" w:hAnsi="Verdana"/>
          <w:sz w:val="18"/>
          <w:szCs w:val="18"/>
        </w:rPr>
        <w:t xml:space="preserve"> om autoriteiten die krachtens het Unie- of nationale recht bevoegd zijn voor het voorkomen, onderzoeken, opsporen of vervolgen van strafbare feiten, </w:t>
      </w:r>
      <w:r w:rsidR="002D32F5">
        <w:rPr>
          <w:rFonts w:ascii="Verdana" w:hAnsi="Verdana"/>
          <w:sz w:val="18"/>
          <w:szCs w:val="18"/>
        </w:rPr>
        <w:t>en om</w:t>
      </w:r>
      <w:r w:rsidRPr="00C432BF" w:rsidR="002D32F5">
        <w:rPr>
          <w:rFonts w:ascii="Verdana" w:hAnsi="Verdana"/>
          <w:sz w:val="18"/>
          <w:szCs w:val="18"/>
        </w:rPr>
        <w:t xml:space="preserve"> </w:t>
      </w:r>
      <w:proofErr w:type="spellStart"/>
      <w:r w:rsidRPr="00C432BF" w:rsidR="00C432BF">
        <w:rPr>
          <w:rFonts w:ascii="Verdana" w:hAnsi="Verdana"/>
          <w:sz w:val="18"/>
          <w:szCs w:val="18"/>
        </w:rPr>
        <w:t>CSIRT’s</w:t>
      </w:r>
      <w:proofErr w:type="spellEnd"/>
      <w:r w:rsidRPr="00C432BF" w:rsidR="00C432BF">
        <w:rPr>
          <w:rFonts w:ascii="Verdana" w:hAnsi="Verdana"/>
          <w:sz w:val="18"/>
          <w:szCs w:val="18"/>
        </w:rPr>
        <w:t xml:space="preserve">. Het verzoek moet vergezeld gaan van een motivering aan de hand waarvan kan worden beoordeeld of toegang tot de gegevens noodzakelijk is. De beschikbaarheid en tijdige toegankelijkheid van domeinnaamregistratiegegevens voor verzoekers, waaronder bevoegd autoriteiten en </w:t>
      </w:r>
      <w:proofErr w:type="spellStart"/>
      <w:r w:rsidRPr="00C432BF" w:rsidR="00C432BF">
        <w:rPr>
          <w:rFonts w:ascii="Verdana" w:hAnsi="Verdana"/>
          <w:sz w:val="18"/>
          <w:szCs w:val="18"/>
        </w:rPr>
        <w:t>CSIRT</w:t>
      </w:r>
      <w:r>
        <w:rPr>
          <w:rFonts w:ascii="Verdana" w:hAnsi="Verdana"/>
          <w:sz w:val="18"/>
          <w:szCs w:val="18"/>
        </w:rPr>
        <w:t>’</w:t>
      </w:r>
      <w:r w:rsidRPr="00C432BF" w:rsidR="00C432BF">
        <w:rPr>
          <w:rFonts w:ascii="Verdana" w:hAnsi="Verdana"/>
          <w:sz w:val="18"/>
          <w:szCs w:val="18"/>
        </w:rPr>
        <w:t>s</w:t>
      </w:r>
      <w:proofErr w:type="spellEnd"/>
      <w:r w:rsidRPr="00C432BF" w:rsidR="00C432BF">
        <w:rPr>
          <w:rFonts w:ascii="Verdana" w:hAnsi="Verdana"/>
          <w:sz w:val="18"/>
          <w:szCs w:val="18"/>
        </w:rPr>
        <w:t xml:space="preserve"> om legitieme toegang is van essentieel belang om misbruik van het DNS te voorkomen en te bestrijden en om incidenten te voorkomen, op te sporen en erop te reageren. </w:t>
      </w:r>
    </w:p>
    <w:p w:rsidRPr="00C432BF" w:rsidR="00C432BF" w:rsidP="00C432BF" w:rsidRDefault="00C432BF" w14:paraId="73FB5049" w14:textId="77777777">
      <w:pPr>
        <w:spacing w:after="0" w:line="240" w:lineRule="auto"/>
        <w:rPr>
          <w:rFonts w:ascii="Verdana" w:hAnsi="Verdana"/>
          <w:sz w:val="18"/>
          <w:szCs w:val="18"/>
        </w:rPr>
      </w:pPr>
    </w:p>
    <w:p w:rsidR="0065329E" w:rsidP="00C432BF" w:rsidRDefault="002D32F5" w14:paraId="56D1CE7C" w14:textId="0218637A">
      <w:pPr>
        <w:spacing w:after="0" w:line="240" w:lineRule="auto"/>
        <w:rPr>
          <w:rFonts w:ascii="Verdana" w:hAnsi="Verdana"/>
          <w:sz w:val="18"/>
          <w:szCs w:val="18"/>
        </w:rPr>
      </w:pPr>
      <w:r>
        <w:rPr>
          <w:rFonts w:ascii="Verdana" w:hAnsi="Verdana"/>
          <w:sz w:val="18"/>
          <w:szCs w:val="18"/>
        </w:rPr>
        <w:t xml:space="preserve">Artikel 50, tweede lid, </w:t>
      </w:r>
      <w:proofErr w:type="spellStart"/>
      <w:r>
        <w:rPr>
          <w:rFonts w:ascii="Verdana" w:hAnsi="Verdana"/>
          <w:sz w:val="18"/>
          <w:szCs w:val="18"/>
        </w:rPr>
        <w:t>Cbw</w:t>
      </w:r>
      <w:proofErr w:type="spellEnd"/>
      <w:r>
        <w:rPr>
          <w:rFonts w:ascii="Verdana" w:hAnsi="Verdana"/>
          <w:sz w:val="18"/>
          <w:szCs w:val="18"/>
        </w:rPr>
        <w:t xml:space="preserve"> schrijft voor dat</w:t>
      </w:r>
      <w:r w:rsidRPr="00C432BF" w:rsidR="00C432BF">
        <w:rPr>
          <w:rFonts w:ascii="Verdana" w:hAnsi="Verdana"/>
          <w:sz w:val="18"/>
          <w:szCs w:val="18"/>
        </w:rPr>
        <w:t xml:space="preserve"> het register voor topleveldomeinnamen </w:t>
      </w:r>
      <w:r>
        <w:rPr>
          <w:rFonts w:ascii="Verdana" w:hAnsi="Verdana"/>
          <w:sz w:val="18"/>
          <w:szCs w:val="18"/>
        </w:rPr>
        <w:t>en</w:t>
      </w:r>
      <w:r w:rsidRPr="00C432BF" w:rsidR="00C432BF">
        <w:rPr>
          <w:rFonts w:ascii="Verdana" w:hAnsi="Verdana"/>
          <w:sz w:val="18"/>
          <w:szCs w:val="18"/>
        </w:rPr>
        <w:t xml:space="preserve"> de entiteit die domeinnaamregistratiediensten verleent onverwijld doch uiterlijk binnen 72 uur </w:t>
      </w:r>
      <w:r>
        <w:rPr>
          <w:rFonts w:ascii="Verdana" w:hAnsi="Verdana"/>
          <w:sz w:val="18"/>
          <w:szCs w:val="18"/>
        </w:rPr>
        <w:t>moet</w:t>
      </w:r>
      <w:r w:rsidRPr="00C432BF" w:rsidR="00C432BF">
        <w:rPr>
          <w:rFonts w:ascii="Verdana" w:hAnsi="Verdana"/>
          <w:sz w:val="18"/>
          <w:szCs w:val="18"/>
        </w:rPr>
        <w:t xml:space="preserve"> reageren op </w:t>
      </w:r>
      <w:r>
        <w:rPr>
          <w:rFonts w:ascii="Verdana" w:hAnsi="Verdana"/>
          <w:sz w:val="18"/>
          <w:szCs w:val="18"/>
        </w:rPr>
        <w:t>het</w:t>
      </w:r>
      <w:r w:rsidRPr="00C432BF" w:rsidR="00C432BF">
        <w:rPr>
          <w:rFonts w:ascii="Verdana" w:hAnsi="Verdana"/>
          <w:sz w:val="18"/>
          <w:szCs w:val="18"/>
        </w:rPr>
        <w:t xml:space="preserve"> verzoek. Met een reactie wordt een inhoudelijke reactie (met bijvoorbeeld de desbetreffende gegevens of een uitleg wanneer de gegevens komen of dat het verzoek onvoldoende gemotiveerd is) </w:t>
      </w:r>
      <w:r>
        <w:rPr>
          <w:rFonts w:ascii="Verdana" w:hAnsi="Verdana"/>
          <w:sz w:val="18"/>
          <w:szCs w:val="18"/>
        </w:rPr>
        <w:t xml:space="preserve">bedoeld </w:t>
      </w:r>
      <w:r w:rsidRPr="00C432BF" w:rsidR="00C432BF">
        <w:rPr>
          <w:rFonts w:ascii="Verdana" w:hAnsi="Verdana"/>
          <w:sz w:val="18"/>
          <w:szCs w:val="18"/>
        </w:rPr>
        <w:t xml:space="preserve">en geen uitsluitend procedurele reactie. </w:t>
      </w:r>
    </w:p>
    <w:p w:rsidR="0065329E" w:rsidP="00C432BF" w:rsidRDefault="0065329E" w14:paraId="63A47993" w14:textId="77777777">
      <w:pPr>
        <w:spacing w:after="0" w:line="240" w:lineRule="auto"/>
        <w:rPr>
          <w:rFonts w:ascii="Verdana" w:hAnsi="Verdana"/>
          <w:sz w:val="18"/>
          <w:szCs w:val="18"/>
        </w:rPr>
      </w:pPr>
    </w:p>
    <w:p w:rsidRPr="00C432BF" w:rsidR="00C432BF" w:rsidP="00C432BF" w:rsidRDefault="0065329E" w14:paraId="673B92FB" w14:textId="71CCCF77">
      <w:pPr>
        <w:spacing w:after="0" w:line="240" w:lineRule="auto"/>
        <w:rPr>
          <w:rFonts w:ascii="Verdana" w:hAnsi="Verdana"/>
          <w:sz w:val="18"/>
          <w:szCs w:val="18"/>
        </w:rPr>
      </w:pPr>
      <w:r w:rsidRPr="0065329E">
        <w:rPr>
          <w:rFonts w:ascii="Verdana" w:hAnsi="Verdana"/>
          <w:sz w:val="18"/>
          <w:szCs w:val="18"/>
        </w:rPr>
        <w:t>Artikel 50</w:t>
      </w:r>
      <w:r w:rsidR="00B82FDB">
        <w:rPr>
          <w:rFonts w:ascii="Verdana" w:hAnsi="Verdana"/>
          <w:sz w:val="18"/>
          <w:szCs w:val="18"/>
        </w:rPr>
        <w:t>,</w:t>
      </w:r>
      <w:r w:rsidRPr="0065329E">
        <w:rPr>
          <w:rFonts w:ascii="Verdana" w:hAnsi="Verdana"/>
          <w:sz w:val="18"/>
          <w:szCs w:val="18"/>
        </w:rPr>
        <w:t xml:space="preserve"> derde lid</w:t>
      </w:r>
      <w:r w:rsidR="00B82FDB">
        <w:rPr>
          <w:rFonts w:ascii="Verdana" w:hAnsi="Verdana"/>
          <w:sz w:val="18"/>
          <w:szCs w:val="18"/>
        </w:rPr>
        <w:t xml:space="preserve">, </w:t>
      </w:r>
      <w:proofErr w:type="spellStart"/>
      <w:r w:rsidR="00B82FDB">
        <w:rPr>
          <w:rFonts w:ascii="Verdana" w:hAnsi="Verdana"/>
          <w:sz w:val="18"/>
          <w:szCs w:val="18"/>
        </w:rPr>
        <w:t>Cbw</w:t>
      </w:r>
      <w:proofErr w:type="spellEnd"/>
      <w:r w:rsidRPr="0065329E">
        <w:rPr>
          <w:rFonts w:ascii="Verdana" w:hAnsi="Verdana"/>
          <w:sz w:val="18"/>
          <w:szCs w:val="18"/>
        </w:rPr>
        <w:t xml:space="preserve"> schrijft voor dat </w:t>
      </w:r>
      <w:r w:rsidR="00B82FDB">
        <w:rPr>
          <w:rFonts w:ascii="Verdana" w:hAnsi="Verdana"/>
          <w:sz w:val="18"/>
          <w:szCs w:val="18"/>
        </w:rPr>
        <w:t>het</w:t>
      </w:r>
      <w:r w:rsidRPr="0065329E">
        <w:rPr>
          <w:rFonts w:ascii="Verdana" w:hAnsi="Verdana"/>
          <w:sz w:val="18"/>
          <w:szCs w:val="18"/>
        </w:rPr>
        <w:t xml:space="preserve"> register voor topleveldomeinnamen en </w:t>
      </w:r>
      <w:r w:rsidR="00B82FDB">
        <w:rPr>
          <w:rFonts w:ascii="Verdana" w:hAnsi="Verdana"/>
          <w:sz w:val="18"/>
          <w:szCs w:val="18"/>
        </w:rPr>
        <w:t xml:space="preserve">de </w:t>
      </w:r>
      <w:r w:rsidRPr="0065329E">
        <w:rPr>
          <w:rFonts w:ascii="Verdana" w:hAnsi="Verdana"/>
          <w:sz w:val="18"/>
          <w:szCs w:val="18"/>
        </w:rPr>
        <w:t>entiteit die domeinnaamregistratiediensten verle</w:t>
      </w:r>
      <w:r w:rsidR="00B82FDB">
        <w:rPr>
          <w:rFonts w:ascii="Verdana" w:hAnsi="Verdana"/>
          <w:sz w:val="18"/>
          <w:szCs w:val="18"/>
        </w:rPr>
        <w:t>e</w:t>
      </w:r>
      <w:r w:rsidRPr="0065329E">
        <w:rPr>
          <w:rFonts w:ascii="Verdana" w:hAnsi="Verdana"/>
          <w:sz w:val="18"/>
          <w:szCs w:val="18"/>
        </w:rPr>
        <w:t>n</w:t>
      </w:r>
      <w:r w:rsidR="00B82FDB">
        <w:rPr>
          <w:rFonts w:ascii="Verdana" w:hAnsi="Verdana"/>
          <w:sz w:val="18"/>
          <w:szCs w:val="18"/>
        </w:rPr>
        <w:t>t</w:t>
      </w:r>
      <w:r w:rsidRPr="0065329E">
        <w:rPr>
          <w:rFonts w:ascii="Verdana" w:hAnsi="Verdana"/>
          <w:sz w:val="18"/>
          <w:szCs w:val="18"/>
        </w:rPr>
        <w:t>, beleid en procedures moeten openbaren met betrekking tot de bekendmaking van gegevens.</w:t>
      </w:r>
      <w:r w:rsidRPr="00C432BF" w:rsidR="00C432BF">
        <w:rPr>
          <w:rFonts w:ascii="Verdana" w:hAnsi="Verdana"/>
          <w:sz w:val="18"/>
          <w:szCs w:val="18"/>
        </w:rPr>
        <w:br/>
      </w:r>
      <w:r w:rsidRPr="00C432BF" w:rsidR="00C432BF">
        <w:rPr>
          <w:rFonts w:ascii="Verdana" w:hAnsi="Verdana"/>
          <w:sz w:val="18"/>
          <w:szCs w:val="18"/>
        </w:rPr>
        <w:br/>
      </w:r>
      <w:r w:rsidR="002D32F5">
        <w:rPr>
          <w:rFonts w:ascii="Verdana" w:hAnsi="Verdana"/>
          <w:sz w:val="18"/>
          <w:szCs w:val="18"/>
          <w:lang w:eastAsia="nl-NL"/>
        </w:rPr>
        <w:t xml:space="preserve">Artikel 50, vierde lid, </w:t>
      </w:r>
      <w:proofErr w:type="spellStart"/>
      <w:r w:rsidR="002D32F5">
        <w:rPr>
          <w:rFonts w:ascii="Verdana" w:hAnsi="Verdana"/>
          <w:sz w:val="18"/>
          <w:szCs w:val="18"/>
          <w:lang w:eastAsia="nl-NL"/>
        </w:rPr>
        <w:t>Cbw</w:t>
      </w:r>
      <w:proofErr w:type="spellEnd"/>
      <w:r w:rsidR="002D32F5">
        <w:rPr>
          <w:rFonts w:ascii="Verdana" w:hAnsi="Verdana"/>
          <w:sz w:val="18"/>
          <w:szCs w:val="18"/>
          <w:lang w:eastAsia="nl-NL"/>
        </w:rPr>
        <w:t xml:space="preserve"> betreft de grondslag</w:t>
      </w:r>
      <w:r w:rsidRPr="00405862" w:rsidR="002D32F5">
        <w:rPr>
          <w:rFonts w:ascii="Verdana" w:hAnsi="Verdana"/>
          <w:sz w:val="18"/>
          <w:szCs w:val="18"/>
          <w:lang w:eastAsia="nl-NL"/>
        </w:rPr>
        <w:t xml:space="preserve"> voor een ministeriële regeling van de Minister van Economische Zaken</w:t>
      </w:r>
      <w:r w:rsidR="002D32F5">
        <w:rPr>
          <w:rFonts w:ascii="Verdana" w:hAnsi="Verdana"/>
          <w:sz w:val="18"/>
          <w:szCs w:val="18"/>
          <w:lang w:eastAsia="nl-NL"/>
        </w:rPr>
        <w:t xml:space="preserve">. Door middel van die grondslag kan hij </w:t>
      </w:r>
      <w:r w:rsidRPr="0068772B" w:rsidR="002D32F5">
        <w:rPr>
          <w:rFonts w:ascii="Verdana" w:hAnsi="Verdana"/>
          <w:sz w:val="18"/>
          <w:szCs w:val="18"/>
          <w:lang w:eastAsia="nl-NL"/>
        </w:rPr>
        <w:t xml:space="preserve">nadere regels stellen over het bepaalde in artikel </w:t>
      </w:r>
      <w:r w:rsidR="002D32F5">
        <w:rPr>
          <w:rFonts w:ascii="Verdana" w:hAnsi="Verdana"/>
          <w:sz w:val="18"/>
          <w:szCs w:val="18"/>
          <w:lang w:eastAsia="nl-NL"/>
        </w:rPr>
        <w:t xml:space="preserve">50 </w:t>
      </w:r>
      <w:proofErr w:type="spellStart"/>
      <w:r w:rsidR="002D32F5">
        <w:rPr>
          <w:rFonts w:ascii="Verdana" w:hAnsi="Verdana"/>
          <w:sz w:val="18"/>
          <w:szCs w:val="18"/>
          <w:lang w:eastAsia="nl-NL"/>
        </w:rPr>
        <w:t>Cbw</w:t>
      </w:r>
      <w:proofErr w:type="spellEnd"/>
      <w:r w:rsidR="002D32F5">
        <w:rPr>
          <w:rFonts w:ascii="Verdana" w:hAnsi="Verdana"/>
          <w:sz w:val="18"/>
          <w:szCs w:val="18"/>
          <w:lang w:eastAsia="nl-NL"/>
        </w:rPr>
        <w:t xml:space="preserve"> </w:t>
      </w:r>
      <w:r w:rsidRPr="0068772B" w:rsidR="002D32F5">
        <w:rPr>
          <w:rFonts w:ascii="Verdana" w:hAnsi="Verdana"/>
          <w:sz w:val="18"/>
          <w:szCs w:val="18"/>
          <w:lang w:eastAsia="nl-NL"/>
        </w:rPr>
        <w:t>die van administratieve of uitvoeringstechnische aard zijn.</w:t>
      </w:r>
      <w:r w:rsidRPr="00C432BF" w:rsidDel="002D32F5" w:rsidR="002D32F5">
        <w:rPr>
          <w:rFonts w:ascii="Verdana" w:hAnsi="Verdana"/>
          <w:sz w:val="18"/>
          <w:szCs w:val="18"/>
        </w:rPr>
        <w:t xml:space="preserve"> </w:t>
      </w:r>
    </w:p>
    <w:p w:rsidRPr="00C47325" w:rsidR="00CE333A" w:rsidP="00CE333A" w:rsidRDefault="00CE333A" w14:paraId="1CBDB25C" w14:textId="77777777">
      <w:pPr>
        <w:pStyle w:val="Geenafstand"/>
        <w:rPr>
          <w:rFonts w:ascii="Verdana" w:hAnsi="Verdana"/>
          <w:sz w:val="18"/>
          <w:szCs w:val="18"/>
        </w:rPr>
      </w:pPr>
    </w:p>
    <w:p w:rsidRPr="00BD3C4A" w:rsidR="00155394" w:rsidP="00155394" w:rsidRDefault="00155394" w14:paraId="6A96D277" w14:textId="593FF566">
      <w:pPr>
        <w:pStyle w:val="Default"/>
        <w:rPr>
          <w:rFonts w:ascii="Verdana" w:hAnsi="Verdana"/>
          <w:sz w:val="18"/>
          <w:szCs w:val="18"/>
        </w:rPr>
      </w:pPr>
      <w:bookmarkStart w:name="_Hlk168396319" w:id="285"/>
      <w:r w:rsidRPr="00BD3C4A">
        <w:rPr>
          <w:rFonts w:ascii="Verdana" w:hAnsi="Verdana"/>
          <w:b/>
          <w:bCs/>
          <w:sz w:val="18"/>
          <w:szCs w:val="18"/>
        </w:rPr>
        <w:t xml:space="preserve">Artikel </w:t>
      </w:r>
      <w:r>
        <w:rPr>
          <w:rFonts w:ascii="Verdana" w:hAnsi="Verdana"/>
          <w:b/>
          <w:bCs/>
          <w:sz w:val="18"/>
          <w:szCs w:val="18"/>
        </w:rPr>
        <w:t>51</w:t>
      </w:r>
      <w:r w:rsidRPr="00BD3C4A">
        <w:rPr>
          <w:rFonts w:ascii="Verdana" w:hAnsi="Verdana"/>
          <w:b/>
          <w:bCs/>
          <w:sz w:val="18"/>
          <w:szCs w:val="18"/>
        </w:rPr>
        <w:t xml:space="preserve"> (samenwerking en informatie-uitwisseling tussen instanties)</w:t>
      </w:r>
    </w:p>
    <w:bookmarkEnd w:id="285"/>
    <w:p w:rsidRPr="00C47325" w:rsidR="00CE333A" w:rsidP="00CE333A" w:rsidRDefault="00CE333A" w14:paraId="4F967FF2" w14:textId="77777777">
      <w:pPr>
        <w:spacing w:after="0" w:line="240" w:lineRule="auto"/>
        <w:rPr>
          <w:rFonts w:ascii="Verdana" w:hAnsi="Verdana"/>
          <w:sz w:val="18"/>
          <w:szCs w:val="18"/>
        </w:rPr>
      </w:pPr>
    </w:p>
    <w:p w:rsidR="004A2F45" w:rsidP="00477E41" w:rsidRDefault="00CE333A" w14:paraId="625BECF9" w14:textId="0886BFE5">
      <w:pPr>
        <w:pStyle w:val="Geenafstand"/>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51</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w:t>
      </w:r>
      <w:r w:rsidR="00946741">
        <w:rPr>
          <w:rFonts w:ascii="Verdana" w:hAnsi="Verdana"/>
          <w:sz w:val="18"/>
          <w:szCs w:val="18"/>
        </w:rPr>
        <w:t xml:space="preserve">in hoofdzaak </w:t>
      </w:r>
      <w:r w:rsidRPr="00C47325">
        <w:rPr>
          <w:rFonts w:ascii="Verdana" w:hAnsi="Verdana"/>
          <w:sz w:val="18"/>
          <w:szCs w:val="18"/>
        </w:rPr>
        <w:t>tot de implementatie van artikel 13, eerste</w:t>
      </w:r>
      <w:r w:rsidR="00796BD1">
        <w:rPr>
          <w:rFonts w:ascii="Verdana" w:hAnsi="Verdana"/>
          <w:sz w:val="18"/>
          <w:szCs w:val="18"/>
        </w:rPr>
        <w:t xml:space="preserve"> en</w:t>
      </w:r>
      <w:r w:rsidRPr="00C47325">
        <w:rPr>
          <w:rFonts w:ascii="Verdana" w:hAnsi="Verdana"/>
          <w:sz w:val="18"/>
          <w:szCs w:val="18"/>
        </w:rPr>
        <w:t xml:space="preserve"> vierde lid, NIS2-richtlijn. </w:t>
      </w:r>
    </w:p>
    <w:p w:rsidR="00796BD1" w:rsidP="00477E41" w:rsidRDefault="00796BD1" w14:paraId="5705E618" w14:textId="77777777">
      <w:pPr>
        <w:pStyle w:val="Geenafstand"/>
        <w:rPr>
          <w:rFonts w:ascii="Verdana" w:hAnsi="Verdana"/>
          <w:sz w:val="18"/>
          <w:szCs w:val="18"/>
        </w:rPr>
      </w:pPr>
    </w:p>
    <w:p w:rsidR="00796BD1" w:rsidP="00477E41" w:rsidRDefault="00796BD1" w14:paraId="308F3D01" w14:textId="22C6BD9E">
      <w:pPr>
        <w:pStyle w:val="Geenafstand"/>
        <w:rPr>
          <w:rFonts w:ascii="Verdana" w:hAnsi="Verdana"/>
          <w:sz w:val="18"/>
          <w:szCs w:val="18"/>
        </w:rPr>
      </w:pPr>
      <w:r w:rsidRPr="00796BD1">
        <w:rPr>
          <w:rFonts w:ascii="Verdana" w:hAnsi="Verdana"/>
          <w:sz w:val="18"/>
          <w:szCs w:val="18"/>
        </w:rPr>
        <w:t xml:space="preserve">In artikel 51, eerste lid, </w:t>
      </w:r>
      <w:proofErr w:type="spellStart"/>
      <w:r w:rsidRPr="00796BD1">
        <w:rPr>
          <w:rFonts w:ascii="Verdana" w:hAnsi="Verdana"/>
          <w:sz w:val="18"/>
          <w:szCs w:val="18"/>
        </w:rPr>
        <w:t>Cbw</w:t>
      </w:r>
      <w:proofErr w:type="spellEnd"/>
      <w:r w:rsidRPr="00796BD1">
        <w:rPr>
          <w:rFonts w:ascii="Verdana" w:hAnsi="Verdana"/>
          <w:sz w:val="18"/>
          <w:szCs w:val="18"/>
        </w:rPr>
        <w:t xml:space="preserve"> is artikel 13, eerste lid, </w:t>
      </w:r>
      <w:r>
        <w:rPr>
          <w:rFonts w:ascii="Verdana" w:hAnsi="Verdana"/>
          <w:sz w:val="18"/>
          <w:szCs w:val="18"/>
        </w:rPr>
        <w:t xml:space="preserve">NIS2-richtlijn </w:t>
      </w:r>
      <w:r w:rsidRPr="00796BD1">
        <w:rPr>
          <w:rFonts w:ascii="Verdana" w:hAnsi="Verdana"/>
          <w:sz w:val="18"/>
          <w:szCs w:val="18"/>
        </w:rPr>
        <w:t xml:space="preserve">geïmplementeerd. </w:t>
      </w:r>
      <w:r>
        <w:rPr>
          <w:rFonts w:ascii="Verdana" w:hAnsi="Verdana"/>
          <w:sz w:val="18"/>
          <w:szCs w:val="18"/>
        </w:rPr>
        <w:t xml:space="preserve">Uit de laatstgenoemde bepaling volgt </w:t>
      </w:r>
      <w:r w:rsidRPr="00796BD1">
        <w:rPr>
          <w:rFonts w:ascii="Verdana" w:hAnsi="Verdana"/>
          <w:sz w:val="18"/>
          <w:szCs w:val="18"/>
        </w:rPr>
        <w:t xml:space="preserve">dat wanneer in een lidstaat de bevoegde autoriteiten, het centrale contactpunt en de </w:t>
      </w:r>
      <w:proofErr w:type="spellStart"/>
      <w:r w:rsidRPr="00796BD1">
        <w:rPr>
          <w:rFonts w:ascii="Verdana" w:hAnsi="Verdana"/>
          <w:sz w:val="18"/>
          <w:szCs w:val="18"/>
        </w:rPr>
        <w:t>CSIRT</w:t>
      </w:r>
      <w:r>
        <w:rPr>
          <w:rFonts w:ascii="Verdana" w:hAnsi="Verdana"/>
          <w:sz w:val="18"/>
          <w:szCs w:val="18"/>
        </w:rPr>
        <w:t>’s</w:t>
      </w:r>
      <w:proofErr w:type="spellEnd"/>
      <w:r w:rsidRPr="00796BD1">
        <w:rPr>
          <w:rFonts w:ascii="Verdana" w:hAnsi="Verdana"/>
          <w:sz w:val="18"/>
          <w:szCs w:val="18"/>
        </w:rPr>
        <w:t xml:space="preserve"> niet dezelfde partij zijn, dat zij met elkaar </w:t>
      </w:r>
      <w:r>
        <w:rPr>
          <w:rFonts w:ascii="Verdana" w:hAnsi="Verdana"/>
          <w:sz w:val="18"/>
          <w:szCs w:val="18"/>
        </w:rPr>
        <w:t xml:space="preserve">moeten samenwerken </w:t>
      </w:r>
      <w:r w:rsidRPr="00796BD1">
        <w:rPr>
          <w:rFonts w:ascii="Verdana" w:hAnsi="Verdana"/>
          <w:sz w:val="18"/>
          <w:szCs w:val="18"/>
        </w:rPr>
        <w:t xml:space="preserve">om de in de </w:t>
      </w:r>
      <w:r>
        <w:rPr>
          <w:rFonts w:ascii="Verdana" w:hAnsi="Verdana"/>
          <w:sz w:val="18"/>
          <w:szCs w:val="18"/>
        </w:rPr>
        <w:t>NIS2-</w:t>
      </w:r>
      <w:r w:rsidRPr="00796BD1">
        <w:rPr>
          <w:rFonts w:ascii="Verdana" w:hAnsi="Verdana"/>
          <w:sz w:val="18"/>
          <w:szCs w:val="18"/>
        </w:rPr>
        <w:t xml:space="preserve">richtlijn vastgestelde verplichtingen na te komen. Een verdeling van deze rollen over verschillende partijen mag </w:t>
      </w:r>
      <w:r>
        <w:rPr>
          <w:rFonts w:ascii="Verdana" w:hAnsi="Verdana"/>
          <w:sz w:val="18"/>
          <w:szCs w:val="18"/>
        </w:rPr>
        <w:t xml:space="preserve">geen </w:t>
      </w:r>
      <w:r w:rsidRPr="00796BD1">
        <w:rPr>
          <w:rFonts w:ascii="Verdana" w:hAnsi="Verdana"/>
          <w:sz w:val="18"/>
          <w:szCs w:val="18"/>
        </w:rPr>
        <w:t xml:space="preserve">afbreuk doen aan de effectieve uitvoering van de NIS2-richtlijn. Aangezien onder de </w:t>
      </w:r>
      <w:proofErr w:type="spellStart"/>
      <w:r w:rsidRPr="00796BD1">
        <w:rPr>
          <w:rFonts w:ascii="Verdana" w:hAnsi="Verdana"/>
          <w:sz w:val="18"/>
          <w:szCs w:val="18"/>
        </w:rPr>
        <w:t>Cbw</w:t>
      </w:r>
      <w:proofErr w:type="spellEnd"/>
      <w:r w:rsidRPr="00796BD1">
        <w:rPr>
          <w:rFonts w:ascii="Verdana" w:hAnsi="Verdana"/>
          <w:sz w:val="18"/>
          <w:szCs w:val="18"/>
        </w:rPr>
        <w:t xml:space="preserve"> de rol van bevoegde autoriteit, </w:t>
      </w:r>
      <w:r>
        <w:rPr>
          <w:rFonts w:ascii="Verdana" w:hAnsi="Verdana"/>
          <w:sz w:val="18"/>
          <w:szCs w:val="18"/>
        </w:rPr>
        <w:t xml:space="preserve">het </w:t>
      </w:r>
      <w:r w:rsidRPr="00796BD1">
        <w:rPr>
          <w:rFonts w:ascii="Verdana" w:hAnsi="Verdana"/>
          <w:sz w:val="18"/>
          <w:szCs w:val="18"/>
        </w:rPr>
        <w:t>central</w:t>
      </w:r>
      <w:r>
        <w:rPr>
          <w:rFonts w:ascii="Verdana" w:hAnsi="Verdana"/>
          <w:sz w:val="18"/>
          <w:szCs w:val="18"/>
        </w:rPr>
        <w:t>e</w:t>
      </w:r>
      <w:r w:rsidRPr="00796BD1">
        <w:rPr>
          <w:rFonts w:ascii="Verdana" w:hAnsi="Verdana"/>
          <w:sz w:val="18"/>
          <w:szCs w:val="18"/>
        </w:rPr>
        <w:t xml:space="preserve"> contactpunt en </w:t>
      </w:r>
      <w:r>
        <w:rPr>
          <w:rFonts w:ascii="Verdana" w:hAnsi="Verdana"/>
          <w:sz w:val="18"/>
          <w:szCs w:val="18"/>
        </w:rPr>
        <w:t xml:space="preserve">het </w:t>
      </w:r>
      <w:r w:rsidRPr="00796BD1">
        <w:rPr>
          <w:rFonts w:ascii="Verdana" w:hAnsi="Verdana"/>
          <w:sz w:val="18"/>
          <w:szCs w:val="18"/>
        </w:rPr>
        <w:t xml:space="preserve">CSIRT bij verschillende partijen is belegd, voorziet artikel 51, eerste lid, </w:t>
      </w:r>
      <w:proofErr w:type="spellStart"/>
      <w:r w:rsidRPr="00796BD1">
        <w:rPr>
          <w:rFonts w:ascii="Verdana" w:hAnsi="Verdana"/>
          <w:sz w:val="18"/>
          <w:szCs w:val="18"/>
        </w:rPr>
        <w:t>Cbw</w:t>
      </w:r>
      <w:proofErr w:type="spellEnd"/>
      <w:r w:rsidRPr="00796BD1">
        <w:rPr>
          <w:rFonts w:ascii="Verdana" w:hAnsi="Verdana"/>
          <w:sz w:val="18"/>
          <w:szCs w:val="18"/>
        </w:rPr>
        <w:t xml:space="preserve"> in een verplichting voor deze partijen om met elkaar samen te werken voor de doeltreffende en doelmatige uitvoering van elkaars respectievelijke taken uit hoofde van de </w:t>
      </w:r>
      <w:proofErr w:type="spellStart"/>
      <w:r w:rsidRPr="00796BD1">
        <w:rPr>
          <w:rFonts w:ascii="Verdana" w:hAnsi="Verdana"/>
          <w:sz w:val="18"/>
          <w:szCs w:val="18"/>
        </w:rPr>
        <w:t>Cbw</w:t>
      </w:r>
      <w:proofErr w:type="spellEnd"/>
      <w:r w:rsidRPr="00796BD1">
        <w:rPr>
          <w:rFonts w:ascii="Verdana" w:hAnsi="Verdana"/>
          <w:sz w:val="18"/>
          <w:szCs w:val="18"/>
        </w:rPr>
        <w:t xml:space="preserve"> en dat zij daartoe onderling alle daarvoor noodzakelijke gegevens dienen uit te wisselen, inclusief persoonsgegevens. De kern van deze bepaling is dat de bevoegde autoriteit, het central</w:t>
      </w:r>
      <w:r>
        <w:rPr>
          <w:rFonts w:ascii="Verdana" w:hAnsi="Verdana"/>
          <w:sz w:val="18"/>
          <w:szCs w:val="18"/>
        </w:rPr>
        <w:t>e</w:t>
      </w:r>
      <w:r w:rsidRPr="00796BD1">
        <w:rPr>
          <w:rFonts w:ascii="Verdana" w:hAnsi="Verdana"/>
          <w:sz w:val="18"/>
          <w:szCs w:val="18"/>
        </w:rPr>
        <w:t xml:space="preserve"> contactpunt en het CSIRT elkaar zoveel mogelijk in staat stellen om ieders respectievelijke wettelijke taken onder de </w:t>
      </w:r>
      <w:proofErr w:type="spellStart"/>
      <w:r w:rsidRPr="00796BD1">
        <w:rPr>
          <w:rFonts w:ascii="Verdana" w:hAnsi="Verdana"/>
          <w:sz w:val="18"/>
          <w:szCs w:val="18"/>
        </w:rPr>
        <w:t>Cbw</w:t>
      </w:r>
      <w:proofErr w:type="spellEnd"/>
      <w:r w:rsidRPr="00796BD1">
        <w:rPr>
          <w:rFonts w:ascii="Verdana" w:hAnsi="Verdana"/>
          <w:sz w:val="18"/>
          <w:szCs w:val="18"/>
        </w:rPr>
        <w:t xml:space="preserve"> op een doelmatige en doeltreffende uit te voeren en om zo institutionele barrières die daaraan in de weg staan te voorkomen. Artikel 51, eerste lid, </w:t>
      </w:r>
      <w:proofErr w:type="spellStart"/>
      <w:r>
        <w:rPr>
          <w:rFonts w:ascii="Verdana" w:hAnsi="Verdana"/>
          <w:sz w:val="18"/>
          <w:szCs w:val="18"/>
        </w:rPr>
        <w:t>Cbw</w:t>
      </w:r>
      <w:proofErr w:type="spellEnd"/>
      <w:r>
        <w:rPr>
          <w:rFonts w:ascii="Verdana" w:hAnsi="Verdana"/>
          <w:sz w:val="18"/>
          <w:szCs w:val="18"/>
        </w:rPr>
        <w:t xml:space="preserve"> </w:t>
      </w:r>
      <w:r w:rsidRPr="00796BD1">
        <w:rPr>
          <w:rFonts w:ascii="Verdana" w:hAnsi="Verdana"/>
          <w:sz w:val="18"/>
          <w:szCs w:val="18"/>
        </w:rPr>
        <w:t>voorziet daarbij ook uitdrukkelijk in een grondslag om gegevens, inclusief persoonsgegevens, die daartoe nodig zijn in het kader van die samenwerking uit te wisselen. Dit kunnen ook vertrouwelijke gegevens betreffen zoals nader geregeld in artikel 66</w:t>
      </w:r>
      <w:r>
        <w:rPr>
          <w:rFonts w:ascii="Verdana" w:hAnsi="Verdana"/>
          <w:sz w:val="18"/>
          <w:szCs w:val="18"/>
        </w:rPr>
        <w:t xml:space="preserve"> </w:t>
      </w:r>
      <w:proofErr w:type="spellStart"/>
      <w:r>
        <w:rPr>
          <w:rFonts w:ascii="Verdana" w:hAnsi="Verdana"/>
          <w:sz w:val="18"/>
          <w:szCs w:val="18"/>
        </w:rPr>
        <w:t>Cbw</w:t>
      </w:r>
      <w:proofErr w:type="spellEnd"/>
      <w:r w:rsidRPr="00796BD1">
        <w:rPr>
          <w:rFonts w:ascii="Verdana" w:hAnsi="Verdana"/>
          <w:sz w:val="18"/>
          <w:szCs w:val="18"/>
        </w:rPr>
        <w:t>.</w:t>
      </w:r>
    </w:p>
    <w:p w:rsidR="004A2F45" w:rsidP="00477E41" w:rsidRDefault="004A2F45" w14:paraId="40DD199E" w14:textId="77777777">
      <w:pPr>
        <w:pStyle w:val="Geenafstand"/>
        <w:rPr>
          <w:rFonts w:ascii="Verdana" w:hAnsi="Verdana"/>
          <w:sz w:val="18"/>
          <w:szCs w:val="18"/>
        </w:rPr>
      </w:pPr>
    </w:p>
    <w:p w:rsidR="004A2F45" w:rsidP="00477E41" w:rsidRDefault="00796BD1" w14:paraId="4E36ECEB" w14:textId="426E7D8A">
      <w:pPr>
        <w:pStyle w:val="Geenafstand"/>
        <w:rPr>
          <w:rFonts w:ascii="Verdana" w:hAnsi="Verdana"/>
          <w:sz w:val="18"/>
          <w:szCs w:val="18"/>
        </w:rPr>
      </w:pPr>
      <w:r w:rsidRPr="00796BD1">
        <w:rPr>
          <w:rFonts w:ascii="Verdana" w:hAnsi="Verdana"/>
          <w:sz w:val="18"/>
          <w:szCs w:val="18"/>
        </w:rPr>
        <w:t xml:space="preserve">In artikel 51, tweede lid, </w:t>
      </w:r>
      <w:proofErr w:type="spellStart"/>
      <w:r w:rsidR="005150C2">
        <w:rPr>
          <w:rFonts w:ascii="Verdana" w:hAnsi="Verdana"/>
          <w:sz w:val="18"/>
          <w:szCs w:val="18"/>
        </w:rPr>
        <w:t>Cbw</w:t>
      </w:r>
      <w:proofErr w:type="spellEnd"/>
      <w:r w:rsidR="005150C2">
        <w:rPr>
          <w:rFonts w:ascii="Verdana" w:hAnsi="Verdana"/>
          <w:sz w:val="18"/>
          <w:szCs w:val="18"/>
        </w:rPr>
        <w:t xml:space="preserve"> </w:t>
      </w:r>
      <w:r w:rsidRPr="00796BD1">
        <w:rPr>
          <w:rFonts w:ascii="Verdana" w:hAnsi="Verdana"/>
          <w:sz w:val="18"/>
          <w:szCs w:val="18"/>
        </w:rPr>
        <w:t xml:space="preserve">is artikel 13, vierde lid, NIS2-richtlijn geïmplementeerd. </w:t>
      </w:r>
      <w:r w:rsidRPr="00C47325" w:rsidR="00CE333A">
        <w:rPr>
          <w:rFonts w:ascii="Verdana" w:hAnsi="Verdana"/>
          <w:sz w:val="18"/>
          <w:szCs w:val="18"/>
        </w:rPr>
        <w:t>Om te garanderen dat de bevoegde autoriteiten</w:t>
      </w:r>
      <w:r w:rsidR="00946741">
        <w:rPr>
          <w:rFonts w:ascii="Verdana" w:hAnsi="Verdana"/>
          <w:sz w:val="18"/>
          <w:szCs w:val="18"/>
        </w:rPr>
        <w:t xml:space="preserve">, </w:t>
      </w:r>
      <w:r w:rsidRPr="00C47325" w:rsidR="00CE333A">
        <w:rPr>
          <w:rFonts w:ascii="Verdana" w:hAnsi="Verdana"/>
          <w:sz w:val="18"/>
          <w:szCs w:val="18"/>
        </w:rPr>
        <w:t xml:space="preserve">de </w:t>
      </w:r>
      <w:proofErr w:type="spellStart"/>
      <w:r w:rsidRPr="00C47325" w:rsidR="00CE333A">
        <w:rPr>
          <w:rFonts w:ascii="Verdana" w:hAnsi="Verdana"/>
          <w:sz w:val="18"/>
          <w:szCs w:val="18"/>
        </w:rPr>
        <w:t>CSIRT</w:t>
      </w:r>
      <w:r w:rsidR="00946741">
        <w:rPr>
          <w:rFonts w:ascii="Verdana" w:hAnsi="Verdana"/>
          <w:sz w:val="18"/>
          <w:szCs w:val="18"/>
        </w:rPr>
        <w:t>’</w:t>
      </w:r>
      <w:r w:rsidRPr="00C47325" w:rsidR="00CE333A">
        <w:rPr>
          <w:rFonts w:ascii="Verdana" w:hAnsi="Verdana"/>
          <w:sz w:val="18"/>
          <w:szCs w:val="18"/>
        </w:rPr>
        <w:t>s</w:t>
      </w:r>
      <w:proofErr w:type="spellEnd"/>
      <w:r w:rsidR="00946741">
        <w:rPr>
          <w:rFonts w:ascii="Verdana" w:hAnsi="Verdana"/>
          <w:sz w:val="18"/>
          <w:szCs w:val="18"/>
        </w:rPr>
        <w:t xml:space="preserve"> en het centrale contactpunt</w:t>
      </w:r>
      <w:r w:rsidRPr="00C47325" w:rsidR="00CE333A">
        <w:rPr>
          <w:rFonts w:ascii="Verdana" w:hAnsi="Verdana"/>
          <w:sz w:val="18"/>
          <w:szCs w:val="18"/>
        </w:rPr>
        <w:t xml:space="preserve"> hun taken uit deze wet doeltreffend en doelmatig uitvoeren, moeten zij niet alleen met elkaar samenwerken en relevante informatie uitwisselen, maar ook </w:t>
      </w:r>
      <w:r w:rsidRPr="00E07E7D" w:rsidR="00E07E7D">
        <w:rPr>
          <w:rFonts w:ascii="Verdana" w:hAnsi="Verdana"/>
          <w:sz w:val="18"/>
          <w:szCs w:val="18"/>
        </w:rPr>
        <w:t xml:space="preserve">samenwerken </w:t>
      </w:r>
      <w:r w:rsidR="00946741">
        <w:rPr>
          <w:rFonts w:ascii="Verdana" w:hAnsi="Verdana"/>
          <w:sz w:val="18"/>
          <w:szCs w:val="18"/>
        </w:rPr>
        <w:t xml:space="preserve">en in het kader daarvan informatie uitwisselen </w:t>
      </w:r>
      <w:r w:rsidRPr="00E07E7D" w:rsidR="00E07E7D">
        <w:rPr>
          <w:rFonts w:ascii="Verdana" w:hAnsi="Verdana"/>
          <w:sz w:val="18"/>
          <w:szCs w:val="18"/>
        </w:rPr>
        <w:t xml:space="preserve">met de in </w:t>
      </w:r>
      <w:r w:rsidR="00477E41">
        <w:rPr>
          <w:rFonts w:ascii="Verdana" w:hAnsi="Verdana"/>
          <w:sz w:val="18"/>
          <w:szCs w:val="18"/>
        </w:rPr>
        <w:t xml:space="preserve">artikel 51, </w:t>
      </w:r>
      <w:r w:rsidRPr="00E07E7D" w:rsidR="00E07E7D">
        <w:rPr>
          <w:rFonts w:ascii="Verdana" w:hAnsi="Verdana"/>
          <w:sz w:val="18"/>
          <w:szCs w:val="18"/>
        </w:rPr>
        <w:t>tweede lid</w:t>
      </w:r>
      <w:r w:rsidR="00477E41">
        <w:rPr>
          <w:rFonts w:ascii="Verdana" w:hAnsi="Verdana"/>
          <w:sz w:val="18"/>
          <w:szCs w:val="18"/>
        </w:rPr>
        <w:t xml:space="preserve">, </w:t>
      </w:r>
      <w:proofErr w:type="spellStart"/>
      <w:r w:rsidR="00477E41">
        <w:rPr>
          <w:rFonts w:ascii="Verdana" w:hAnsi="Verdana"/>
          <w:sz w:val="18"/>
          <w:szCs w:val="18"/>
        </w:rPr>
        <w:t>Cbw</w:t>
      </w:r>
      <w:proofErr w:type="spellEnd"/>
      <w:r w:rsidRPr="00E07E7D" w:rsidR="00E07E7D">
        <w:rPr>
          <w:rFonts w:ascii="Verdana" w:hAnsi="Verdana"/>
          <w:sz w:val="18"/>
          <w:szCs w:val="18"/>
        </w:rPr>
        <w:t xml:space="preserve"> opgesomde andere instanties, zoals de politie, het </w:t>
      </w:r>
      <w:r w:rsidR="00E110AE">
        <w:rPr>
          <w:rFonts w:ascii="Verdana" w:hAnsi="Verdana"/>
          <w:sz w:val="18"/>
          <w:szCs w:val="18"/>
        </w:rPr>
        <w:t>o</w:t>
      </w:r>
      <w:r w:rsidR="00F86A60">
        <w:rPr>
          <w:rFonts w:ascii="Verdana" w:hAnsi="Verdana"/>
          <w:sz w:val="18"/>
          <w:szCs w:val="18"/>
        </w:rPr>
        <w:t xml:space="preserve">penbaar </w:t>
      </w:r>
      <w:r w:rsidR="00E110AE">
        <w:rPr>
          <w:rFonts w:ascii="Verdana" w:hAnsi="Verdana"/>
          <w:sz w:val="18"/>
          <w:szCs w:val="18"/>
        </w:rPr>
        <w:t>m</w:t>
      </w:r>
      <w:r w:rsidR="00F86A60">
        <w:rPr>
          <w:rFonts w:ascii="Verdana" w:hAnsi="Verdana"/>
          <w:sz w:val="18"/>
          <w:szCs w:val="18"/>
        </w:rPr>
        <w:t>inisterie</w:t>
      </w:r>
      <w:r w:rsidRPr="00E07E7D" w:rsidR="00E07E7D">
        <w:rPr>
          <w:rFonts w:ascii="Verdana" w:hAnsi="Verdana"/>
          <w:sz w:val="18"/>
          <w:szCs w:val="18"/>
        </w:rPr>
        <w:t xml:space="preserve">, </w:t>
      </w:r>
      <w:r w:rsidR="00E07E7D">
        <w:rPr>
          <w:rFonts w:ascii="Verdana" w:hAnsi="Verdana"/>
          <w:sz w:val="18"/>
          <w:szCs w:val="18"/>
        </w:rPr>
        <w:t xml:space="preserve">de </w:t>
      </w:r>
      <w:r w:rsidRPr="00E07E7D" w:rsidR="00E07E7D">
        <w:rPr>
          <w:rFonts w:ascii="Verdana" w:hAnsi="Verdana"/>
          <w:sz w:val="18"/>
          <w:szCs w:val="18"/>
        </w:rPr>
        <w:t xml:space="preserve">bijzondere opsporingsdiensten, de AP en de bevoegde autoriteiten van de </w:t>
      </w:r>
      <w:proofErr w:type="spellStart"/>
      <w:r w:rsidRPr="00E07E7D" w:rsidR="00E07E7D">
        <w:rPr>
          <w:rFonts w:ascii="Verdana" w:hAnsi="Verdana"/>
          <w:sz w:val="18"/>
          <w:szCs w:val="18"/>
        </w:rPr>
        <w:t>Wwke</w:t>
      </w:r>
      <w:proofErr w:type="spellEnd"/>
      <w:r w:rsidRPr="00E07E7D" w:rsidR="00E07E7D">
        <w:rPr>
          <w:rFonts w:ascii="Verdana" w:hAnsi="Verdana"/>
          <w:sz w:val="18"/>
          <w:szCs w:val="18"/>
        </w:rPr>
        <w:t xml:space="preserve">. </w:t>
      </w:r>
      <w:r w:rsidR="00946741">
        <w:rPr>
          <w:rFonts w:ascii="Verdana" w:hAnsi="Verdana"/>
          <w:sz w:val="18"/>
          <w:szCs w:val="18"/>
        </w:rPr>
        <w:t xml:space="preserve">Tot de opsomming van instanties waarmee wordt samengewerkt behoren ook de inlichtingen- en veiligheidsdiensten, die op grond van de </w:t>
      </w:r>
      <w:r w:rsidRPr="00FF46E3" w:rsidR="00946741">
        <w:rPr>
          <w:rFonts w:ascii="Verdana" w:hAnsi="Verdana"/>
          <w:sz w:val="18"/>
          <w:szCs w:val="18"/>
        </w:rPr>
        <w:t xml:space="preserve">Wet op de inlichtingen- en veiligheidsdiensten 2017 de taak </w:t>
      </w:r>
      <w:r w:rsidR="00946741">
        <w:rPr>
          <w:rFonts w:ascii="Verdana" w:hAnsi="Verdana"/>
          <w:sz w:val="18"/>
          <w:szCs w:val="18"/>
        </w:rPr>
        <w:t xml:space="preserve">hebben </w:t>
      </w:r>
      <w:r w:rsidRPr="00FF46E3" w:rsidR="00946741">
        <w:rPr>
          <w:rFonts w:ascii="Verdana" w:hAnsi="Verdana"/>
          <w:sz w:val="18"/>
          <w:szCs w:val="18"/>
        </w:rPr>
        <w:t>om</w:t>
      </w:r>
      <w:r w:rsidR="00946741">
        <w:rPr>
          <w:rFonts w:ascii="Verdana" w:hAnsi="Verdana"/>
          <w:sz w:val="18"/>
          <w:szCs w:val="18"/>
        </w:rPr>
        <w:t xml:space="preserve"> in het belang van de nationale veiligheid onder meer</w:t>
      </w:r>
      <w:r w:rsidRPr="00946741" w:rsidR="00946741">
        <w:rPr>
          <w:rFonts w:ascii="Verdana" w:hAnsi="Verdana"/>
          <w:sz w:val="18"/>
          <w:szCs w:val="18"/>
        </w:rPr>
        <w:t xml:space="preserve"> </w:t>
      </w:r>
      <w:r w:rsidRPr="00FF46E3" w:rsidR="00946741">
        <w:rPr>
          <w:rFonts w:ascii="Verdana" w:hAnsi="Verdana"/>
          <w:sz w:val="18"/>
          <w:szCs w:val="18"/>
        </w:rPr>
        <w:t xml:space="preserve">onderzoek te verrichten naar organisaties die een gevaar vormen voor </w:t>
      </w:r>
      <w:r w:rsidR="00946741">
        <w:rPr>
          <w:rFonts w:ascii="Verdana" w:hAnsi="Verdana"/>
          <w:sz w:val="18"/>
          <w:szCs w:val="18"/>
        </w:rPr>
        <w:t xml:space="preserve">het voortbestaan van </w:t>
      </w:r>
      <w:r w:rsidRPr="00FF46E3" w:rsidR="00946741">
        <w:rPr>
          <w:rFonts w:ascii="Verdana" w:hAnsi="Verdana"/>
          <w:sz w:val="18"/>
          <w:szCs w:val="18"/>
        </w:rPr>
        <w:t>de democratische rechtsorde</w:t>
      </w:r>
      <w:r w:rsidR="00946741">
        <w:rPr>
          <w:rFonts w:ascii="Verdana" w:hAnsi="Verdana"/>
          <w:sz w:val="18"/>
          <w:szCs w:val="18"/>
        </w:rPr>
        <w:t xml:space="preserve"> en maatregelen te </w:t>
      </w:r>
      <w:r w:rsidRPr="00FF46E3" w:rsidR="00946741">
        <w:rPr>
          <w:rFonts w:ascii="Verdana" w:hAnsi="Verdana"/>
          <w:sz w:val="18"/>
          <w:szCs w:val="18"/>
        </w:rPr>
        <w:t>bevorderen ter bescherming van</w:t>
      </w:r>
      <w:r w:rsidR="00946741">
        <w:rPr>
          <w:rFonts w:ascii="Verdana" w:hAnsi="Verdana"/>
          <w:sz w:val="18"/>
          <w:szCs w:val="18"/>
        </w:rPr>
        <w:t xml:space="preserve"> onder andere die onderdelen van de overheid en het bedrijfsleven die van vitaal </w:t>
      </w:r>
      <w:r w:rsidRPr="00FF46E3" w:rsidR="00946741">
        <w:rPr>
          <w:rFonts w:ascii="Verdana" w:hAnsi="Verdana"/>
          <w:sz w:val="18"/>
          <w:szCs w:val="18"/>
        </w:rPr>
        <w:t>belang</w:t>
      </w:r>
      <w:r w:rsidR="00946741">
        <w:rPr>
          <w:rFonts w:ascii="Verdana" w:hAnsi="Verdana"/>
          <w:sz w:val="18"/>
          <w:szCs w:val="18"/>
        </w:rPr>
        <w:t xml:space="preserve"> zij</w:t>
      </w:r>
      <w:r w:rsidRPr="00FF46E3" w:rsidR="00946741">
        <w:rPr>
          <w:rFonts w:ascii="Verdana" w:hAnsi="Verdana"/>
          <w:sz w:val="18"/>
          <w:szCs w:val="18"/>
        </w:rPr>
        <w:t>n</w:t>
      </w:r>
      <w:r w:rsidR="00946741">
        <w:rPr>
          <w:rFonts w:ascii="Verdana" w:hAnsi="Verdana"/>
          <w:sz w:val="18"/>
          <w:szCs w:val="18"/>
        </w:rPr>
        <w:t xml:space="preserve"> voor de instandhouding van het maatschappelijk leven.</w:t>
      </w:r>
      <w:r w:rsidRPr="00426A63" w:rsidR="00426A63">
        <w:rPr>
          <w:rFonts w:ascii="Verdana" w:hAnsi="Verdana"/>
          <w:sz w:val="18"/>
          <w:szCs w:val="18"/>
        </w:rPr>
        <w:t xml:space="preserve"> </w:t>
      </w:r>
      <w:r w:rsidRPr="00FF46E3" w:rsidR="00426A63">
        <w:rPr>
          <w:rFonts w:ascii="Verdana" w:hAnsi="Verdana"/>
          <w:sz w:val="18"/>
          <w:szCs w:val="18"/>
        </w:rPr>
        <w:t>De</w:t>
      </w:r>
      <w:r w:rsidR="00426A63">
        <w:rPr>
          <w:rFonts w:ascii="Verdana" w:hAnsi="Verdana"/>
          <w:sz w:val="18"/>
          <w:szCs w:val="18"/>
        </w:rPr>
        <w:t xml:space="preserve">ze </w:t>
      </w:r>
      <w:r w:rsidRPr="00FF46E3" w:rsidR="00426A63">
        <w:rPr>
          <w:rFonts w:ascii="Verdana" w:hAnsi="Verdana"/>
          <w:sz w:val="18"/>
          <w:szCs w:val="18"/>
        </w:rPr>
        <w:t xml:space="preserve">diensten zijn </w:t>
      </w:r>
      <w:r w:rsidR="00426A63">
        <w:rPr>
          <w:rFonts w:ascii="Verdana" w:hAnsi="Verdana"/>
          <w:sz w:val="18"/>
          <w:szCs w:val="18"/>
        </w:rPr>
        <w:t>met de van een CSIRT, een bevoegde autoriteit of het centrale contactpunt te ontvangen informatie</w:t>
      </w:r>
      <w:r w:rsidRPr="00FF46E3" w:rsidR="00426A63">
        <w:rPr>
          <w:rFonts w:ascii="Verdana" w:hAnsi="Verdana"/>
          <w:sz w:val="18"/>
          <w:szCs w:val="18"/>
        </w:rPr>
        <w:t xml:space="preserve"> beter in staat om </w:t>
      </w:r>
      <w:r w:rsidR="00426A63">
        <w:rPr>
          <w:rFonts w:ascii="Verdana" w:hAnsi="Verdana"/>
          <w:sz w:val="18"/>
          <w:szCs w:val="18"/>
        </w:rPr>
        <w:t xml:space="preserve">bijvoorbeeld </w:t>
      </w:r>
      <w:r w:rsidRPr="00FF46E3" w:rsidR="00426A63">
        <w:rPr>
          <w:rFonts w:ascii="Verdana" w:hAnsi="Verdana"/>
          <w:sz w:val="18"/>
          <w:szCs w:val="18"/>
        </w:rPr>
        <w:t xml:space="preserve">onderzoek te doen naar actoren die achter een incident zitten bij een </w:t>
      </w:r>
      <w:r w:rsidR="00426A63">
        <w:rPr>
          <w:rFonts w:ascii="Verdana" w:hAnsi="Verdana"/>
          <w:sz w:val="18"/>
          <w:szCs w:val="18"/>
        </w:rPr>
        <w:t xml:space="preserve">essentiële entiteit of </w:t>
      </w:r>
      <w:r w:rsidRPr="00FF46E3" w:rsidR="00426A63">
        <w:rPr>
          <w:rFonts w:ascii="Verdana" w:hAnsi="Verdana"/>
          <w:sz w:val="18"/>
          <w:szCs w:val="18"/>
        </w:rPr>
        <w:t>belangrijke entiteit. Dit vergroot het zicht op de dreiging richting Nederlandse belangen</w:t>
      </w:r>
      <w:r w:rsidR="00426A63">
        <w:rPr>
          <w:rFonts w:ascii="Verdana" w:hAnsi="Verdana"/>
          <w:sz w:val="18"/>
          <w:szCs w:val="18"/>
        </w:rPr>
        <w:t xml:space="preserve"> </w:t>
      </w:r>
      <w:r w:rsidRPr="00FF46E3" w:rsidR="00426A63">
        <w:rPr>
          <w:rFonts w:ascii="Verdana" w:hAnsi="Verdana"/>
          <w:sz w:val="18"/>
          <w:szCs w:val="18"/>
        </w:rPr>
        <w:t>en stelt</w:t>
      </w:r>
      <w:r w:rsidR="00426A63">
        <w:rPr>
          <w:rFonts w:ascii="Verdana" w:hAnsi="Verdana"/>
          <w:sz w:val="18"/>
          <w:szCs w:val="18"/>
        </w:rPr>
        <w:t xml:space="preserve"> </w:t>
      </w:r>
      <w:r w:rsidRPr="00FF46E3" w:rsidR="00426A63">
        <w:rPr>
          <w:rFonts w:ascii="Verdana" w:hAnsi="Verdana"/>
          <w:sz w:val="18"/>
          <w:szCs w:val="18"/>
        </w:rPr>
        <w:t>de inlichtingen- en veiligheidsdiensten</w:t>
      </w:r>
      <w:r w:rsidR="00426A63">
        <w:rPr>
          <w:rFonts w:ascii="Verdana" w:hAnsi="Verdana"/>
          <w:sz w:val="18"/>
          <w:szCs w:val="18"/>
        </w:rPr>
        <w:t>, net</w:t>
      </w:r>
      <w:r w:rsidRPr="00FF46E3" w:rsidR="00426A63">
        <w:rPr>
          <w:rFonts w:ascii="Verdana" w:hAnsi="Verdana"/>
          <w:sz w:val="18"/>
          <w:szCs w:val="18"/>
        </w:rPr>
        <w:t xml:space="preserve"> als </w:t>
      </w:r>
      <w:r w:rsidR="00426A63">
        <w:rPr>
          <w:rFonts w:ascii="Verdana" w:hAnsi="Verdana"/>
          <w:sz w:val="18"/>
          <w:szCs w:val="18"/>
        </w:rPr>
        <w:t xml:space="preserve">bijvoorbeeld een </w:t>
      </w:r>
      <w:r w:rsidRPr="00FF46E3" w:rsidR="00426A63">
        <w:rPr>
          <w:rFonts w:ascii="Verdana" w:hAnsi="Verdana"/>
          <w:sz w:val="18"/>
          <w:szCs w:val="18"/>
        </w:rPr>
        <w:t xml:space="preserve">CSIRT </w:t>
      </w:r>
      <w:r w:rsidR="00426A63">
        <w:rPr>
          <w:rFonts w:ascii="Verdana" w:hAnsi="Verdana"/>
          <w:sz w:val="18"/>
          <w:szCs w:val="18"/>
        </w:rPr>
        <w:t xml:space="preserve">na ontvangst van nadere informatie van die diensten, </w:t>
      </w:r>
      <w:r w:rsidRPr="00FF46E3" w:rsidR="00426A63">
        <w:rPr>
          <w:rFonts w:ascii="Verdana" w:hAnsi="Verdana"/>
          <w:sz w:val="18"/>
          <w:szCs w:val="18"/>
        </w:rPr>
        <w:t xml:space="preserve">beter in staat om mitigerende maatregelen te treffen. </w:t>
      </w:r>
      <w:r w:rsidRPr="00E07E7D" w:rsidR="00E07E7D">
        <w:rPr>
          <w:rFonts w:ascii="Verdana" w:hAnsi="Verdana"/>
          <w:sz w:val="18"/>
          <w:szCs w:val="18"/>
        </w:rPr>
        <w:t xml:space="preserve">Verstrekking van gegevens </w:t>
      </w:r>
      <w:r w:rsidR="00946741">
        <w:rPr>
          <w:rFonts w:ascii="Verdana" w:hAnsi="Verdana"/>
          <w:sz w:val="18"/>
          <w:szCs w:val="18"/>
        </w:rPr>
        <w:t xml:space="preserve">door de bevoegde autoriteiten, de </w:t>
      </w:r>
      <w:proofErr w:type="spellStart"/>
      <w:r w:rsidR="00946741">
        <w:rPr>
          <w:rFonts w:ascii="Verdana" w:hAnsi="Verdana"/>
          <w:sz w:val="18"/>
          <w:szCs w:val="18"/>
        </w:rPr>
        <w:t>CSIRT’s</w:t>
      </w:r>
      <w:proofErr w:type="spellEnd"/>
      <w:r w:rsidR="00946741">
        <w:rPr>
          <w:rFonts w:ascii="Verdana" w:hAnsi="Verdana"/>
          <w:sz w:val="18"/>
          <w:szCs w:val="18"/>
        </w:rPr>
        <w:t xml:space="preserve"> en het centrale contactpunt </w:t>
      </w:r>
      <w:r w:rsidRPr="00E07E7D" w:rsidR="00E07E7D">
        <w:rPr>
          <w:rFonts w:ascii="Verdana" w:hAnsi="Verdana"/>
          <w:sz w:val="18"/>
          <w:szCs w:val="18"/>
        </w:rPr>
        <w:t>aan d</w:t>
      </w:r>
      <w:r w:rsidR="00946741">
        <w:rPr>
          <w:rFonts w:ascii="Verdana" w:hAnsi="Verdana"/>
          <w:sz w:val="18"/>
          <w:szCs w:val="18"/>
        </w:rPr>
        <w:t xml:space="preserve">e in </w:t>
      </w:r>
      <w:r w:rsidR="00CD6A79">
        <w:rPr>
          <w:rFonts w:ascii="Verdana" w:hAnsi="Verdana"/>
          <w:sz w:val="18"/>
          <w:szCs w:val="18"/>
        </w:rPr>
        <w:t>artikel 51,</w:t>
      </w:r>
      <w:r w:rsidR="00946741">
        <w:rPr>
          <w:rFonts w:ascii="Verdana" w:hAnsi="Verdana"/>
          <w:sz w:val="18"/>
          <w:szCs w:val="18"/>
        </w:rPr>
        <w:t xml:space="preserve"> tweede lid</w:t>
      </w:r>
      <w:r w:rsidR="00CD6A79">
        <w:rPr>
          <w:rFonts w:ascii="Verdana" w:hAnsi="Verdana"/>
          <w:sz w:val="18"/>
          <w:szCs w:val="18"/>
        </w:rPr>
        <w:t xml:space="preserve">, </w:t>
      </w:r>
      <w:proofErr w:type="spellStart"/>
      <w:r w:rsidR="00CD6A79">
        <w:rPr>
          <w:rFonts w:ascii="Verdana" w:hAnsi="Verdana"/>
          <w:sz w:val="18"/>
          <w:szCs w:val="18"/>
        </w:rPr>
        <w:t>Cbw</w:t>
      </w:r>
      <w:proofErr w:type="spellEnd"/>
      <w:r w:rsidR="00946741">
        <w:rPr>
          <w:rFonts w:ascii="Verdana" w:hAnsi="Verdana"/>
          <w:sz w:val="18"/>
          <w:szCs w:val="18"/>
        </w:rPr>
        <w:t xml:space="preserve"> opgesomde</w:t>
      </w:r>
      <w:r w:rsidRPr="00E07E7D" w:rsidR="00E07E7D">
        <w:rPr>
          <w:rFonts w:ascii="Verdana" w:hAnsi="Verdana"/>
          <w:sz w:val="18"/>
          <w:szCs w:val="18"/>
        </w:rPr>
        <w:t xml:space="preserve"> instanties zal steeds plaatsvinden voor zover dat noodzakelijk is in het kader van de samenwerking én gegevens betreffen die voor die andere instanties gelet op hun eigen wettelijke taken relevant zijn.</w:t>
      </w:r>
      <w:r w:rsidR="00CB2D10">
        <w:rPr>
          <w:rFonts w:ascii="Verdana" w:hAnsi="Verdana"/>
          <w:sz w:val="18"/>
          <w:szCs w:val="18"/>
        </w:rPr>
        <w:t xml:space="preserve"> </w:t>
      </w:r>
    </w:p>
    <w:p w:rsidR="004A2F45" w:rsidP="00477E41" w:rsidRDefault="004A2F45" w14:paraId="78CDD4A7" w14:textId="77777777">
      <w:pPr>
        <w:pStyle w:val="Geenafstand"/>
        <w:rPr>
          <w:rFonts w:ascii="Verdana" w:hAnsi="Verdana"/>
          <w:sz w:val="18"/>
          <w:szCs w:val="18"/>
        </w:rPr>
      </w:pPr>
    </w:p>
    <w:p w:rsidR="00CB2D10" w:rsidP="00477E41" w:rsidRDefault="004A2F45" w14:paraId="2C81E5D5" w14:textId="386FC8DF">
      <w:pPr>
        <w:pStyle w:val="Geenafstand"/>
        <w:rPr>
          <w:rFonts w:ascii="Verdana" w:hAnsi="Verdana"/>
          <w:sz w:val="18"/>
          <w:szCs w:val="18"/>
        </w:rPr>
      </w:pPr>
      <w:r>
        <w:rPr>
          <w:rFonts w:ascii="Verdana" w:hAnsi="Verdana"/>
          <w:sz w:val="18"/>
          <w:szCs w:val="18"/>
        </w:rPr>
        <w:t xml:space="preserve">Artikel 51, derde lid, </w:t>
      </w:r>
      <w:proofErr w:type="spellStart"/>
      <w:r>
        <w:rPr>
          <w:rFonts w:ascii="Verdana" w:hAnsi="Verdana"/>
          <w:sz w:val="18"/>
          <w:szCs w:val="18"/>
        </w:rPr>
        <w:t>Cbw</w:t>
      </w:r>
      <w:proofErr w:type="spellEnd"/>
      <w:r w:rsidR="00CB2D10">
        <w:rPr>
          <w:rFonts w:ascii="Verdana" w:hAnsi="Verdana"/>
          <w:sz w:val="18"/>
          <w:szCs w:val="18"/>
        </w:rPr>
        <w:t xml:space="preserve"> regelt dat de bevoegde autoriteiten, de </w:t>
      </w:r>
      <w:proofErr w:type="spellStart"/>
      <w:r w:rsidR="00CB2D10">
        <w:rPr>
          <w:rFonts w:ascii="Verdana" w:hAnsi="Verdana"/>
          <w:sz w:val="18"/>
          <w:szCs w:val="18"/>
        </w:rPr>
        <w:t>CSIRT’s</w:t>
      </w:r>
      <w:proofErr w:type="spellEnd"/>
      <w:r w:rsidR="00CB2D10">
        <w:rPr>
          <w:rFonts w:ascii="Verdana" w:hAnsi="Verdana"/>
          <w:sz w:val="18"/>
          <w:szCs w:val="18"/>
        </w:rPr>
        <w:t xml:space="preserve"> en het centrale contactpunt in geval van een collegiale toetsing als bedoeld in artikel 19, </w:t>
      </w:r>
      <w:r>
        <w:rPr>
          <w:rFonts w:ascii="Verdana" w:hAnsi="Verdana"/>
          <w:sz w:val="18"/>
          <w:szCs w:val="18"/>
        </w:rPr>
        <w:t xml:space="preserve">eerste </w:t>
      </w:r>
      <w:r w:rsidR="00CB2D10">
        <w:rPr>
          <w:rFonts w:ascii="Verdana" w:hAnsi="Verdana"/>
          <w:sz w:val="18"/>
          <w:szCs w:val="18"/>
        </w:rPr>
        <w:t xml:space="preserve">lid, NIS2-richtlijn aan de voor het uitvoeren </w:t>
      </w:r>
      <w:r>
        <w:rPr>
          <w:rFonts w:ascii="Verdana" w:hAnsi="Verdana"/>
          <w:sz w:val="18"/>
          <w:szCs w:val="18"/>
        </w:rPr>
        <w:t xml:space="preserve">van die toetsing </w:t>
      </w:r>
      <w:r w:rsidR="00CB2D10">
        <w:rPr>
          <w:rFonts w:ascii="Verdana" w:hAnsi="Verdana"/>
          <w:sz w:val="18"/>
          <w:szCs w:val="18"/>
        </w:rPr>
        <w:t>aangewezen cyberbeveiligingsdeskundigen alle informatie kunnen verstrekken</w:t>
      </w:r>
      <w:r>
        <w:rPr>
          <w:rFonts w:ascii="Verdana" w:hAnsi="Verdana"/>
          <w:sz w:val="18"/>
          <w:szCs w:val="18"/>
        </w:rPr>
        <w:t xml:space="preserve"> die die deskundigen nodig hebben voor de toetsing</w:t>
      </w:r>
      <w:r w:rsidR="00CB2D10">
        <w:rPr>
          <w:rFonts w:ascii="Verdana" w:hAnsi="Verdana"/>
          <w:sz w:val="18"/>
          <w:szCs w:val="18"/>
        </w:rPr>
        <w:t xml:space="preserve">. </w:t>
      </w:r>
      <w:r w:rsidR="00C9418A">
        <w:rPr>
          <w:rFonts w:ascii="Verdana" w:hAnsi="Verdana"/>
          <w:sz w:val="18"/>
          <w:szCs w:val="18"/>
        </w:rPr>
        <w:t xml:space="preserve">Artikel 19, </w:t>
      </w:r>
      <w:r w:rsidR="00DF3979">
        <w:rPr>
          <w:rFonts w:ascii="Verdana" w:hAnsi="Verdana"/>
          <w:sz w:val="18"/>
          <w:szCs w:val="18"/>
        </w:rPr>
        <w:t>zesde lid, NIS2-richtlijn schrijft namelijk voor dat de aan een collegiale toetsing onderworpen lidstaat de aangewezen cyberbeveiligingsdeskundigen de informatie verstrekt die nodig is voor de beoordeling.</w:t>
      </w:r>
      <w:r w:rsidR="00CB2D10">
        <w:rPr>
          <w:rFonts w:ascii="Verdana" w:hAnsi="Verdana"/>
          <w:sz w:val="18"/>
          <w:szCs w:val="18"/>
        </w:rPr>
        <w:t xml:space="preserve"> </w:t>
      </w:r>
    </w:p>
    <w:p w:rsidRPr="00C47325" w:rsidR="00CE333A" w:rsidP="00CE333A" w:rsidRDefault="00CE333A" w14:paraId="23FC1298" w14:textId="77777777">
      <w:pPr>
        <w:pStyle w:val="Geenafstand"/>
        <w:rPr>
          <w:rFonts w:ascii="Verdana" w:hAnsi="Verdana"/>
          <w:b/>
          <w:bCs/>
          <w:sz w:val="18"/>
          <w:szCs w:val="18"/>
          <w:u w:val="single"/>
        </w:rPr>
      </w:pPr>
    </w:p>
    <w:p w:rsidRPr="00BD3C4A" w:rsidR="00155394" w:rsidP="00155394" w:rsidRDefault="00155394" w14:paraId="4E011BAF" w14:textId="6B0FF427">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52</w:t>
      </w:r>
      <w:r w:rsidRPr="00BD3C4A">
        <w:rPr>
          <w:rFonts w:ascii="Verdana" w:hAnsi="Verdana"/>
          <w:b/>
          <w:bCs/>
          <w:sz w:val="18"/>
          <w:szCs w:val="18"/>
        </w:rPr>
        <w:t xml:space="preserve"> (samenwerking en informatie-uitwisseling tussen </w:t>
      </w:r>
      <w:proofErr w:type="spellStart"/>
      <w:r w:rsidRPr="00BD3C4A">
        <w:rPr>
          <w:rFonts w:ascii="Verdana" w:hAnsi="Verdana"/>
          <w:b/>
          <w:bCs/>
          <w:sz w:val="18"/>
          <w:szCs w:val="18"/>
        </w:rPr>
        <w:t>CSIRT’s</w:t>
      </w:r>
      <w:proofErr w:type="spellEnd"/>
      <w:r w:rsidRPr="00BD3C4A">
        <w:rPr>
          <w:rFonts w:ascii="Verdana" w:hAnsi="Verdana"/>
          <w:b/>
          <w:bCs/>
          <w:sz w:val="18"/>
          <w:szCs w:val="18"/>
        </w:rPr>
        <w:t>)</w:t>
      </w:r>
    </w:p>
    <w:p w:rsidRPr="00C47325" w:rsidR="00CE333A" w:rsidP="00CE333A" w:rsidRDefault="00CE333A" w14:paraId="03FBEB19" w14:textId="77777777">
      <w:pPr>
        <w:spacing w:after="0" w:line="240" w:lineRule="auto"/>
        <w:rPr>
          <w:rFonts w:ascii="Verdana" w:hAnsi="Verdana"/>
          <w:sz w:val="18"/>
          <w:szCs w:val="18"/>
        </w:rPr>
      </w:pPr>
    </w:p>
    <w:p w:rsidR="003D7D72" w:rsidP="00CE333A" w:rsidRDefault="00CE333A" w14:paraId="7FB5B118" w14:textId="1FA956CD">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52</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artikel 10, vierde lid, NIS2-richtlijn. </w:t>
      </w:r>
      <w:r w:rsidR="00CB2D10">
        <w:rPr>
          <w:rFonts w:ascii="Verdana" w:hAnsi="Verdana"/>
          <w:sz w:val="18"/>
          <w:szCs w:val="18"/>
        </w:rPr>
        <w:t xml:space="preserve">Hiermee wordt erin voorzien dat de </w:t>
      </w:r>
      <w:proofErr w:type="spellStart"/>
      <w:r w:rsidR="00CB2D10">
        <w:rPr>
          <w:rFonts w:ascii="Verdana" w:hAnsi="Verdana"/>
          <w:sz w:val="18"/>
          <w:szCs w:val="18"/>
        </w:rPr>
        <w:t>CSIRT’s</w:t>
      </w:r>
      <w:proofErr w:type="spellEnd"/>
      <w:r w:rsidR="00CB2D10">
        <w:rPr>
          <w:rFonts w:ascii="Verdana" w:hAnsi="Verdana"/>
          <w:sz w:val="18"/>
          <w:szCs w:val="18"/>
        </w:rPr>
        <w:t xml:space="preserve"> voor de doeltreffende en doelmatige uitvoering van hun taken uit hoofde van deze wet samenwerken en in het kader </w:t>
      </w:r>
      <w:r w:rsidR="009F1DB3">
        <w:rPr>
          <w:rFonts w:ascii="Verdana" w:hAnsi="Verdana"/>
          <w:sz w:val="18"/>
          <w:szCs w:val="18"/>
        </w:rPr>
        <w:t xml:space="preserve">daarvan </w:t>
      </w:r>
      <w:r w:rsidR="00CB2D10">
        <w:rPr>
          <w:rFonts w:ascii="Verdana" w:hAnsi="Verdana"/>
          <w:sz w:val="18"/>
          <w:szCs w:val="18"/>
        </w:rPr>
        <w:t xml:space="preserve">informatie kunnen uitwisselen met zowel elkaar als met </w:t>
      </w:r>
      <w:proofErr w:type="spellStart"/>
      <w:r w:rsidR="00CB2D10">
        <w:rPr>
          <w:rFonts w:ascii="Verdana" w:hAnsi="Verdana"/>
          <w:sz w:val="18"/>
          <w:szCs w:val="18"/>
        </w:rPr>
        <w:t>CSIRT’s</w:t>
      </w:r>
      <w:proofErr w:type="spellEnd"/>
      <w:r w:rsidR="00CB2D10">
        <w:rPr>
          <w:rFonts w:ascii="Verdana" w:hAnsi="Verdana"/>
          <w:sz w:val="18"/>
          <w:szCs w:val="18"/>
        </w:rPr>
        <w:t xml:space="preserve"> van andere lidstaten.</w:t>
      </w:r>
    </w:p>
    <w:p w:rsidR="003D7D72" w:rsidP="00CE333A" w:rsidRDefault="003D7D72" w14:paraId="2F49BC71" w14:textId="77777777">
      <w:pPr>
        <w:spacing w:after="0" w:line="240" w:lineRule="auto"/>
        <w:rPr>
          <w:rFonts w:ascii="Verdana" w:hAnsi="Verdana"/>
          <w:sz w:val="18"/>
          <w:szCs w:val="18"/>
        </w:rPr>
      </w:pPr>
    </w:p>
    <w:p w:rsidRPr="00C47325" w:rsidR="003D7D72" w:rsidP="00CE333A" w:rsidRDefault="003D7D72" w14:paraId="2B5046ED" w14:textId="654E6A37">
      <w:pPr>
        <w:spacing w:after="0" w:line="240" w:lineRule="auto"/>
        <w:rPr>
          <w:rFonts w:ascii="Verdana" w:hAnsi="Verdana"/>
          <w:sz w:val="18"/>
          <w:szCs w:val="18"/>
        </w:rPr>
      </w:pPr>
      <w:r w:rsidRPr="003D7D72">
        <w:rPr>
          <w:rFonts w:ascii="Verdana" w:hAnsi="Verdana"/>
          <w:sz w:val="18"/>
          <w:szCs w:val="18"/>
        </w:rPr>
        <w:t xml:space="preserve">Zoals omschreven in paragraaf 5.5.1 is de verwachting dat er onder de </w:t>
      </w:r>
      <w:proofErr w:type="spellStart"/>
      <w:r w:rsidRPr="003D7D72">
        <w:rPr>
          <w:rFonts w:ascii="Verdana" w:hAnsi="Verdana"/>
          <w:sz w:val="18"/>
          <w:szCs w:val="18"/>
        </w:rPr>
        <w:t>Cbw</w:t>
      </w:r>
      <w:proofErr w:type="spellEnd"/>
      <w:r w:rsidRPr="003D7D72">
        <w:rPr>
          <w:rFonts w:ascii="Verdana" w:hAnsi="Verdana"/>
          <w:sz w:val="18"/>
          <w:szCs w:val="18"/>
        </w:rPr>
        <w:t xml:space="preserve"> meerdere </w:t>
      </w:r>
      <w:proofErr w:type="spellStart"/>
      <w:r w:rsidRPr="003D7D72">
        <w:rPr>
          <w:rFonts w:ascii="Verdana" w:hAnsi="Verdana"/>
          <w:sz w:val="18"/>
          <w:szCs w:val="18"/>
        </w:rPr>
        <w:t>CSIRT</w:t>
      </w:r>
      <w:r>
        <w:rPr>
          <w:rFonts w:ascii="Verdana" w:hAnsi="Verdana"/>
          <w:sz w:val="18"/>
          <w:szCs w:val="18"/>
        </w:rPr>
        <w:t>’</w:t>
      </w:r>
      <w:r w:rsidRPr="003D7D72">
        <w:rPr>
          <w:rFonts w:ascii="Verdana" w:hAnsi="Verdana"/>
          <w:sz w:val="18"/>
          <w:szCs w:val="18"/>
        </w:rPr>
        <w:t>s</w:t>
      </w:r>
      <w:proofErr w:type="spellEnd"/>
      <w:r w:rsidRPr="003D7D72">
        <w:rPr>
          <w:rFonts w:ascii="Verdana" w:hAnsi="Verdana"/>
          <w:sz w:val="18"/>
          <w:szCs w:val="18"/>
        </w:rPr>
        <w:t xml:space="preserve"> zullen worden aangewezen. Nauwe samenwerking tussen deze </w:t>
      </w:r>
      <w:proofErr w:type="spellStart"/>
      <w:r w:rsidRPr="003D7D72">
        <w:rPr>
          <w:rFonts w:ascii="Verdana" w:hAnsi="Verdana"/>
          <w:sz w:val="18"/>
          <w:szCs w:val="18"/>
        </w:rPr>
        <w:t>CSIRT</w:t>
      </w:r>
      <w:r>
        <w:rPr>
          <w:rFonts w:ascii="Verdana" w:hAnsi="Verdana"/>
          <w:sz w:val="18"/>
          <w:szCs w:val="18"/>
        </w:rPr>
        <w:t>’</w:t>
      </w:r>
      <w:r w:rsidRPr="003D7D72">
        <w:rPr>
          <w:rFonts w:ascii="Verdana" w:hAnsi="Verdana"/>
          <w:sz w:val="18"/>
          <w:szCs w:val="18"/>
        </w:rPr>
        <w:t>s</w:t>
      </w:r>
      <w:proofErr w:type="spellEnd"/>
      <w:r w:rsidRPr="003D7D72">
        <w:rPr>
          <w:rFonts w:ascii="Verdana" w:hAnsi="Verdana"/>
          <w:sz w:val="18"/>
          <w:szCs w:val="18"/>
        </w:rPr>
        <w:t xml:space="preserve"> en het uitwisselen van relevante informatie is noodzakelijk voor de goede uitvoering van hun taken onder de </w:t>
      </w:r>
      <w:proofErr w:type="spellStart"/>
      <w:r w:rsidRPr="003D7D72">
        <w:rPr>
          <w:rFonts w:ascii="Verdana" w:hAnsi="Verdana"/>
          <w:sz w:val="18"/>
          <w:szCs w:val="18"/>
        </w:rPr>
        <w:t>Cbw</w:t>
      </w:r>
      <w:proofErr w:type="spellEnd"/>
      <w:r w:rsidRPr="003D7D72">
        <w:rPr>
          <w:rFonts w:ascii="Verdana" w:hAnsi="Verdana"/>
          <w:sz w:val="18"/>
          <w:szCs w:val="18"/>
        </w:rPr>
        <w:t>, aangezien cyberdreigingen, kwetsbaarheden en incidenten vaak voor verschillende sectoren relevant zijn en in gevallen een gecoördineerde aanpak vereisen.</w:t>
      </w:r>
    </w:p>
    <w:p w:rsidRPr="00C47325" w:rsidR="00CE333A" w:rsidP="00CE333A" w:rsidRDefault="00CE333A" w14:paraId="5329EE6E" w14:textId="77777777">
      <w:pPr>
        <w:spacing w:after="0" w:line="240" w:lineRule="auto"/>
        <w:rPr>
          <w:rFonts w:ascii="Verdana" w:hAnsi="Verdana"/>
          <w:b/>
          <w:bCs/>
          <w:sz w:val="18"/>
          <w:szCs w:val="18"/>
        </w:rPr>
      </w:pPr>
    </w:p>
    <w:p w:rsidRPr="00BD3C4A" w:rsidR="00155394" w:rsidP="00155394" w:rsidRDefault="00155394" w14:paraId="313750C5" w14:textId="5E167ACC">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53</w:t>
      </w:r>
      <w:r w:rsidRPr="00BD3C4A">
        <w:rPr>
          <w:rFonts w:ascii="Verdana" w:hAnsi="Verdana"/>
          <w:b/>
          <w:bCs/>
          <w:sz w:val="18"/>
          <w:szCs w:val="18"/>
        </w:rPr>
        <w:t xml:space="preserve"> (informatie-uitwisseling met entiteiten en gemeenschappen van entiteiten)</w:t>
      </w:r>
    </w:p>
    <w:p w:rsidRPr="00C47325" w:rsidR="00CE333A" w:rsidP="00CE333A" w:rsidRDefault="00CE333A" w14:paraId="24E7A88E" w14:textId="77777777">
      <w:pPr>
        <w:pStyle w:val="Geenafstand"/>
        <w:rPr>
          <w:rFonts w:ascii="Verdana" w:hAnsi="Verdana"/>
          <w:sz w:val="18"/>
          <w:szCs w:val="18"/>
        </w:rPr>
      </w:pPr>
    </w:p>
    <w:p w:rsidRPr="00C47325" w:rsidR="00CE333A" w:rsidP="00CE333A" w:rsidRDefault="00CE333A" w14:paraId="663A2647" w14:textId="04D245EA">
      <w:pPr>
        <w:pStyle w:val="Geenafstand"/>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53</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implementeert artikel </w:t>
      </w:r>
      <w:r w:rsidRPr="00C47325">
        <w:rPr>
          <w:rStyle w:val="cf01"/>
          <w:rFonts w:ascii="Verdana" w:hAnsi="Verdana"/>
        </w:rPr>
        <w:t xml:space="preserve">10, vierde lid, jo. </w:t>
      </w:r>
      <w:r w:rsidR="000C1552">
        <w:rPr>
          <w:rStyle w:val="cf01"/>
          <w:rFonts w:ascii="Verdana" w:hAnsi="Verdana"/>
        </w:rPr>
        <w:t>a</w:t>
      </w:r>
      <w:r w:rsidRPr="00C47325">
        <w:rPr>
          <w:rStyle w:val="cf01"/>
          <w:rFonts w:ascii="Verdana" w:hAnsi="Verdana"/>
        </w:rPr>
        <w:t>rtikel 29 NIS2-richtlijn.</w:t>
      </w:r>
      <w:r w:rsidR="0049116B">
        <w:rPr>
          <w:rStyle w:val="cf01"/>
          <w:rFonts w:ascii="Verdana" w:hAnsi="Verdana"/>
        </w:rPr>
        <w:t xml:space="preserve"> Dit artikel regelt dat </w:t>
      </w:r>
      <w:proofErr w:type="spellStart"/>
      <w:r w:rsidRPr="0049116B" w:rsidR="0049116B">
        <w:rPr>
          <w:rStyle w:val="cf01"/>
          <w:rFonts w:ascii="Verdana" w:hAnsi="Verdana"/>
        </w:rPr>
        <w:t>CSIRT</w:t>
      </w:r>
      <w:r w:rsidR="0049116B">
        <w:rPr>
          <w:rStyle w:val="cf01"/>
          <w:rFonts w:ascii="Verdana" w:hAnsi="Verdana"/>
        </w:rPr>
        <w:t>’</w:t>
      </w:r>
      <w:r w:rsidRPr="0049116B" w:rsidR="0049116B">
        <w:rPr>
          <w:rStyle w:val="cf01"/>
          <w:rFonts w:ascii="Verdana" w:hAnsi="Verdana"/>
        </w:rPr>
        <w:t>s</w:t>
      </w:r>
      <w:proofErr w:type="spellEnd"/>
      <w:r w:rsidRPr="0049116B" w:rsidR="0049116B">
        <w:rPr>
          <w:rStyle w:val="cf01"/>
          <w:rFonts w:ascii="Verdana" w:hAnsi="Verdana"/>
        </w:rPr>
        <w:t xml:space="preserve"> </w:t>
      </w:r>
      <w:r w:rsidR="0049116B">
        <w:rPr>
          <w:rStyle w:val="cf01"/>
          <w:rFonts w:ascii="Verdana" w:hAnsi="Verdana"/>
        </w:rPr>
        <w:t>relevante informatie uit</w:t>
      </w:r>
      <w:r w:rsidRPr="0049116B" w:rsidR="0049116B">
        <w:rPr>
          <w:rStyle w:val="cf01"/>
          <w:rFonts w:ascii="Verdana" w:hAnsi="Verdana"/>
        </w:rPr>
        <w:t>wisselen met essentiële entiteiten, belangrijke entiteiten, entiteiten die domeinnaamregistratiediensten verlenen en gemeenschappen van entiteiten als bedoeld in artikel 29 NIS2-richtlijn. Met gemeenschappen van entiteiten wordt bedoeld</w:t>
      </w:r>
      <w:r w:rsidR="0049116B">
        <w:rPr>
          <w:rStyle w:val="cf01"/>
          <w:rFonts w:ascii="Verdana" w:hAnsi="Verdana"/>
        </w:rPr>
        <w:t>:</w:t>
      </w:r>
      <w:r w:rsidRPr="0049116B" w:rsidR="0049116B">
        <w:rPr>
          <w:rStyle w:val="cf01"/>
          <w:rFonts w:ascii="Verdana" w:hAnsi="Verdana"/>
        </w:rPr>
        <w:t xml:space="preserve"> een groep van essentiële </w:t>
      </w:r>
      <w:r w:rsidR="00064853">
        <w:rPr>
          <w:rStyle w:val="cf01"/>
          <w:rFonts w:ascii="Verdana" w:hAnsi="Verdana"/>
        </w:rPr>
        <w:t xml:space="preserve">entiteiten </w:t>
      </w:r>
      <w:r w:rsidRPr="0049116B" w:rsidR="0049116B">
        <w:rPr>
          <w:rStyle w:val="cf01"/>
          <w:rFonts w:ascii="Verdana" w:hAnsi="Verdana"/>
        </w:rPr>
        <w:t>en belangrijke entiteiten en, indien van toepassing, hun leveranciers of dienstverleners.</w:t>
      </w:r>
    </w:p>
    <w:p w:rsidRPr="00C47325" w:rsidR="00CE333A" w:rsidP="00CE333A" w:rsidRDefault="00CE333A" w14:paraId="5FDB51B3" w14:textId="77777777">
      <w:pPr>
        <w:pStyle w:val="Geenafstand"/>
        <w:rPr>
          <w:rFonts w:ascii="Verdana" w:hAnsi="Verdana"/>
          <w:b/>
          <w:bCs/>
          <w:sz w:val="18"/>
          <w:szCs w:val="18"/>
        </w:rPr>
      </w:pPr>
    </w:p>
    <w:p w:rsidR="00C603BA" w:rsidP="00155394" w:rsidRDefault="00C603BA" w14:paraId="13E038E7" w14:textId="77777777">
      <w:pPr>
        <w:pStyle w:val="Geenafstand"/>
        <w:rPr>
          <w:rFonts w:ascii="Verdana" w:hAnsi="Verdana"/>
          <w:b/>
          <w:bCs/>
          <w:sz w:val="18"/>
          <w:szCs w:val="18"/>
        </w:rPr>
      </w:pPr>
    </w:p>
    <w:p w:rsidR="00C603BA" w:rsidP="00155394" w:rsidRDefault="00C603BA" w14:paraId="7125F1C9" w14:textId="77777777">
      <w:pPr>
        <w:pStyle w:val="Geenafstand"/>
        <w:rPr>
          <w:rFonts w:ascii="Verdana" w:hAnsi="Verdana"/>
          <w:b/>
          <w:bCs/>
          <w:sz w:val="18"/>
          <w:szCs w:val="18"/>
        </w:rPr>
      </w:pPr>
    </w:p>
    <w:p w:rsidRPr="00BD3C4A" w:rsidR="00155394" w:rsidP="00155394" w:rsidRDefault="00155394" w14:paraId="3CD0E278" w14:textId="1BF3C053">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54</w:t>
      </w:r>
      <w:r w:rsidRPr="00BD3C4A">
        <w:rPr>
          <w:rFonts w:ascii="Verdana" w:hAnsi="Verdana"/>
          <w:b/>
          <w:bCs/>
          <w:sz w:val="18"/>
          <w:szCs w:val="18"/>
        </w:rPr>
        <w:t xml:space="preserve"> (samenwerking en informatie-uitwisseling met derde landen)</w:t>
      </w:r>
    </w:p>
    <w:p w:rsidRPr="00C47325" w:rsidR="00CE333A" w:rsidP="00CE333A" w:rsidRDefault="00CE333A" w14:paraId="7BFF0A36" w14:textId="77777777">
      <w:pPr>
        <w:pStyle w:val="Geenafstand"/>
        <w:rPr>
          <w:rFonts w:ascii="Verdana" w:hAnsi="Verdana"/>
          <w:sz w:val="18"/>
          <w:szCs w:val="18"/>
        </w:rPr>
      </w:pPr>
    </w:p>
    <w:p w:rsidRPr="00C47325" w:rsidR="00CE333A" w:rsidP="00CE333A" w:rsidRDefault="00CE333A" w14:paraId="0237A658" w14:textId="0D3E8357">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54</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gaat over de samenwerking en informatie-uitwisseling met derde landen en betreft de implementatie van artikel 10, zevende en achtste lid, NIS2-richtlijn. </w:t>
      </w:r>
    </w:p>
    <w:p w:rsidRPr="00C47325" w:rsidR="00101607" w:rsidP="00CE333A" w:rsidRDefault="00101607" w14:paraId="340CCEE6" w14:textId="77777777">
      <w:pPr>
        <w:pStyle w:val="Geenafstand"/>
        <w:rPr>
          <w:rFonts w:ascii="Verdana" w:hAnsi="Verdana"/>
          <w:sz w:val="18"/>
          <w:szCs w:val="18"/>
        </w:rPr>
      </w:pPr>
    </w:p>
    <w:p w:rsidRPr="00C47325" w:rsidR="00CE333A" w:rsidP="00CE333A" w:rsidRDefault="00CE333A" w14:paraId="75F2D10E" w14:textId="4829CF2B">
      <w:pPr>
        <w:pStyle w:val="Geenafstand"/>
        <w:rPr>
          <w:rFonts w:ascii="Verdana" w:hAnsi="Verdana"/>
          <w:sz w:val="18"/>
          <w:szCs w:val="18"/>
        </w:rPr>
      </w:pPr>
      <w:r w:rsidRPr="00C47325">
        <w:rPr>
          <w:rFonts w:ascii="Verdana" w:hAnsi="Verdana"/>
          <w:sz w:val="18"/>
          <w:szCs w:val="18"/>
        </w:rPr>
        <w:t xml:space="preserve">Het eerste lid van artikel </w:t>
      </w:r>
      <w:r w:rsidR="000C1552">
        <w:rPr>
          <w:rFonts w:ascii="Verdana" w:hAnsi="Verdana"/>
          <w:sz w:val="18"/>
          <w:szCs w:val="18"/>
        </w:rPr>
        <w:t>54</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artikel 10, zevende lid, NIS2-richtlijn en ziet op het tot stand brengen van een samenwerkingsrelatie tussen het CSIRT en een nationaal </w:t>
      </w:r>
      <w:r w:rsidRPr="00C47325" w:rsidR="00F534EA">
        <w:rPr>
          <w:rFonts w:ascii="Verdana" w:hAnsi="Verdana"/>
          <w:sz w:val="18"/>
          <w:szCs w:val="18"/>
        </w:rPr>
        <w:t>CSIRT</w:t>
      </w:r>
      <w:r w:rsidRPr="00C47325">
        <w:rPr>
          <w:rFonts w:ascii="Verdana" w:hAnsi="Verdana"/>
          <w:sz w:val="18"/>
          <w:szCs w:val="18"/>
        </w:rPr>
        <w:t xml:space="preserve"> van een derde land. In de richtlijnbepaling is hierover opgenomen dat in het kader van dergelijke samenwerkingsrelaties de lidstaten de doeltreffende, efficiënte en veilige informatie-uitwisseling moeten vergemakkelijken met die nationale </w:t>
      </w:r>
      <w:proofErr w:type="spellStart"/>
      <w:r w:rsidRPr="00C47325" w:rsidR="00F534EA">
        <w:rPr>
          <w:rFonts w:ascii="Verdana" w:hAnsi="Verdana"/>
          <w:sz w:val="18"/>
          <w:szCs w:val="18"/>
        </w:rPr>
        <w:t>CSIRT</w:t>
      </w:r>
      <w:r w:rsidR="00F12F81">
        <w:rPr>
          <w:rFonts w:ascii="Verdana" w:hAnsi="Verdana"/>
          <w:sz w:val="18"/>
          <w:szCs w:val="18"/>
        </w:rPr>
        <w:t>’</w:t>
      </w:r>
      <w:r w:rsidRPr="00C47325" w:rsidR="00F534EA">
        <w:rPr>
          <w:rFonts w:ascii="Verdana" w:hAnsi="Verdana"/>
          <w:sz w:val="18"/>
          <w:szCs w:val="18"/>
        </w:rPr>
        <w:t>s</w:t>
      </w:r>
      <w:proofErr w:type="spellEnd"/>
      <w:r w:rsidRPr="00C47325">
        <w:rPr>
          <w:rFonts w:ascii="Verdana" w:hAnsi="Verdana"/>
          <w:sz w:val="18"/>
          <w:szCs w:val="18"/>
        </w:rPr>
        <w:t xml:space="preserve"> van derde landen, met gebruikmaking van relevante informatie-uitwisselingsprotocollen, waaronder het verkeerslichtprotocol (“traffic light protocol”). </w:t>
      </w:r>
    </w:p>
    <w:p w:rsidR="00101607" w:rsidP="00CE333A" w:rsidRDefault="00101607" w14:paraId="084409C0" w14:textId="77777777">
      <w:pPr>
        <w:pStyle w:val="Geenafstand"/>
        <w:rPr>
          <w:rFonts w:ascii="Verdana" w:hAnsi="Verdana"/>
          <w:sz w:val="18"/>
          <w:szCs w:val="18"/>
        </w:rPr>
      </w:pPr>
    </w:p>
    <w:p w:rsidRPr="00C47325" w:rsidR="00CE333A" w:rsidP="00CE333A" w:rsidRDefault="00CE333A" w14:paraId="7F4AF8DF" w14:textId="696E6680">
      <w:pPr>
        <w:pStyle w:val="Geenafstand"/>
        <w:rPr>
          <w:rFonts w:ascii="Verdana" w:hAnsi="Verdana"/>
          <w:sz w:val="18"/>
          <w:szCs w:val="18"/>
        </w:rPr>
      </w:pPr>
      <w:r w:rsidRPr="00C47325">
        <w:rPr>
          <w:rFonts w:ascii="Verdana" w:hAnsi="Verdana"/>
          <w:sz w:val="18"/>
          <w:szCs w:val="18"/>
        </w:rPr>
        <w:t xml:space="preserve">Het CSIRT kan binnen de samenwerkingsrelatie informatie uitwisselen voor zover dat noodzakelijk is voor de doeltreffende en doelmatige uitvoering van haar taken uit hoofde van </w:t>
      </w:r>
      <w:r w:rsidR="000C1552">
        <w:rPr>
          <w:rFonts w:ascii="Verdana" w:hAnsi="Verdana"/>
          <w:sz w:val="18"/>
          <w:szCs w:val="18"/>
        </w:rPr>
        <w:t xml:space="preserve">de </w:t>
      </w:r>
      <w:proofErr w:type="spellStart"/>
      <w:r w:rsidR="000C1552">
        <w:rPr>
          <w:rFonts w:ascii="Verdana" w:hAnsi="Verdana"/>
          <w:sz w:val="18"/>
          <w:szCs w:val="18"/>
        </w:rPr>
        <w:t>Cbw</w:t>
      </w:r>
      <w:proofErr w:type="spellEnd"/>
      <w:r w:rsidRPr="00C47325">
        <w:rPr>
          <w:rFonts w:ascii="Verdana" w:hAnsi="Verdana"/>
          <w:sz w:val="18"/>
          <w:szCs w:val="18"/>
        </w:rPr>
        <w:t xml:space="preserve">. Te denken valt aan de situatie dat het CSIRT informatie verkrijgt over een server die door middel van malware gegevens uitwisselt met andere servers in landen binnen en buiten de </w:t>
      </w:r>
      <w:r w:rsidRPr="00C47325" w:rsidR="00733ABA">
        <w:rPr>
          <w:rFonts w:ascii="Verdana" w:hAnsi="Verdana"/>
          <w:sz w:val="18"/>
          <w:szCs w:val="18"/>
        </w:rPr>
        <w:t>EU</w:t>
      </w:r>
      <w:r w:rsidRPr="00C47325">
        <w:rPr>
          <w:rFonts w:ascii="Verdana" w:hAnsi="Verdana"/>
          <w:sz w:val="18"/>
          <w:szCs w:val="18"/>
        </w:rPr>
        <w:t xml:space="preserve">: een zogenaamde </w:t>
      </w:r>
      <w:proofErr w:type="spellStart"/>
      <w:r w:rsidRPr="00C47325">
        <w:rPr>
          <w:rFonts w:ascii="Verdana" w:hAnsi="Verdana"/>
          <w:i/>
          <w:iCs/>
          <w:sz w:val="18"/>
          <w:szCs w:val="18"/>
        </w:rPr>
        <w:t>command</w:t>
      </w:r>
      <w:proofErr w:type="spellEnd"/>
      <w:r w:rsidRPr="00C47325">
        <w:rPr>
          <w:rFonts w:ascii="Verdana" w:hAnsi="Verdana"/>
          <w:i/>
          <w:iCs/>
          <w:sz w:val="18"/>
          <w:szCs w:val="18"/>
        </w:rPr>
        <w:t>-</w:t>
      </w:r>
      <w:proofErr w:type="spellStart"/>
      <w:r w:rsidRPr="00C47325">
        <w:rPr>
          <w:rFonts w:ascii="Verdana" w:hAnsi="Verdana"/>
          <w:i/>
          <w:iCs/>
          <w:sz w:val="18"/>
          <w:szCs w:val="18"/>
        </w:rPr>
        <w:t>and</w:t>
      </w:r>
      <w:proofErr w:type="spellEnd"/>
      <w:r w:rsidRPr="00C47325">
        <w:rPr>
          <w:rFonts w:ascii="Verdana" w:hAnsi="Verdana"/>
          <w:i/>
          <w:iCs/>
          <w:sz w:val="18"/>
          <w:szCs w:val="18"/>
        </w:rPr>
        <w:t>-control server</w:t>
      </w:r>
      <w:r w:rsidRPr="00C47325">
        <w:rPr>
          <w:rFonts w:ascii="Verdana" w:hAnsi="Verdana"/>
          <w:sz w:val="18"/>
          <w:szCs w:val="18"/>
        </w:rPr>
        <w:t>, veelgebruikt bij datadiefst</w:t>
      </w:r>
      <w:r w:rsidR="00064853">
        <w:rPr>
          <w:rFonts w:ascii="Verdana" w:hAnsi="Verdana"/>
          <w:sz w:val="18"/>
          <w:szCs w:val="18"/>
        </w:rPr>
        <w:t>a</w:t>
      </w:r>
      <w:r w:rsidRPr="00C47325">
        <w:rPr>
          <w:rFonts w:ascii="Verdana" w:hAnsi="Verdana"/>
          <w:sz w:val="18"/>
          <w:szCs w:val="18"/>
        </w:rPr>
        <w:t xml:space="preserve">l, </w:t>
      </w:r>
      <w:proofErr w:type="spellStart"/>
      <w:r w:rsidRPr="00C47325">
        <w:rPr>
          <w:rFonts w:ascii="Verdana" w:hAnsi="Verdana"/>
          <w:sz w:val="18"/>
          <w:szCs w:val="18"/>
        </w:rPr>
        <w:t>distributed</w:t>
      </w:r>
      <w:proofErr w:type="spellEnd"/>
      <w:r w:rsidRPr="00C47325">
        <w:rPr>
          <w:rFonts w:ascii="Verdana" w:hAnsi="Verdana"/>
          <w:sz w:val="18"/>
          <w:szCs w:val="18"/>
        </w:rPr>
        <w:t>-</w:t>
      </w:r>
      <w:proofErr w:type="spellStart"/>
      <w:r w:rsidRPr="00C47325">
        <w:rPr>
          <w:rFonts w:ascii="Verdana" w:hAnsi="Verdana"/>
          <w:sz w:val="18"/>
          <w:szCs w:val="18"/>
        </w:rPr>
        <w:t>denial</w:t>
      </w:r>
      <w:proofErr w:type="spellEnd"/>
      <w:r w:rsidRPr="00C47325">
        <w:rPr>
          <w:rFonts w:ascii="Verdana" w:hAnsi="Verdana"/>
          <w:sz w:val="18"/>
          <w:szCs w:val="18"/>
        </w:rPr>
        <w:t>-of-serviceaanvallen (</w:t>
      </w:r>
      <w:proofErr w:type="spellStart"/>
      <w:r w:rsidRPr="00C47325">
        <w:rPr>
          <w:rFonts w:ascii="Verdana" w:hAnsi="Verdana"/>
          <w:sz w:val="18"/>
          <w:szCs w:val="18"/>
        </w:rPr>
        <w:t>D</w:t>
      </w:r>
      <w:r w:rsidRPr="00C47325" w:rsidR="00ED232D">
        <w:rPr>
          <w:rFonts w:ascii="Verdana" w:hAnsi="Verdana"/>
          <w:sz w:val="18"/>
          <w:szCs w:val="18"/>
        </w:rPr>
        <w:t>d</w:t>
      </w:r>
      <w:r w:rsidRPr="00C47325">
        <w:rPr>
          <w:rFonts w:ascii="Verdana" w:hAnsi="Verdana"/>
          <w:sz w:val="18"/>
          <w:szCs w:val="18"/>
        </w:rPr>
        <w:t>oS</w:t>
      </w:r>
      <w:proofErr w:type="spellEnd"/>
      <w:r w:rsidRPr="00C47325">
        <w:rPr>
          <w:rFonts w:ascii="Verdana" w:hAnsi="Verdana"/>
          <w:sz w:val="18"/>
          <w:szCs w:val="18"/>
        </w:rPr>
        <w:t xml:space="preserve">) en andere malware. Het CSIRT informeert dan Europese </w:t>
      </w:r>
      <w:proofErr w:type="spellStart"/>
      <w:r w:rsidRPr="00C47325">
        <w:rPr>
          <w:rFonts w:ascii="Verdana" w:hAnsi="Verdana"/>
          <w:sz w:val="18"/>
          <w:szCs w:val="18"/>
        </w:rPr>
        <w:t>CSIRT</w:t>
      </w:r>
      <w:r w:rsidR="00F12F81">
        <w:rPr>
          <w:rFonts w:ascii="Verdana" w:hAnsi="Verdana"/>
          <w:sz w:val="18"/>
          <w:szCs w:val="18"/>
        </w:rPr>
        <w:t>’</w:t>
      </w:r>
      <w:r w:rsidRPr="00C47325">
        <w:rPr>
          <w:rFonts w:ascii="Verdana" w:hAnsi="Verdana"/>
          <w:sz w:val="18"/>
          <w:szCs w:val="18"/>
        </w:rPr>
        <w:t>s</w:t>
      </w:r>
      <w:proofErr w:type="spellEnd"/>
      <w:r w:rsidRPr="00C47325">
        <w:rPr>
          <w:rFonts w:ascii="Verdana" w:hAnsi="Verdana"/>
          <w:sz w:val="18"/>
          <w:szCs w:val="18"/>
        </w:rPr>
        <w:t xml:space="preserve"> om hen in staat te stellen om essentiële entiteiten en belangrijke entiteiten binnen die lidstaten te informeren en maatregelen te treffen. Om echter dergelijke kwaadwillende infrastructuur duurzaam te bestrijden, is het noodzakelijk om ook nationale </w:t>
      </w:r>
      <w:proofErr w:type="spellStart"/>
      <w:r w:rsidRPr="00C47325">
        <w:rPr>
          <w:rFonts w:ascii="Verdana" w:hAnsi="Verdana"/>
          <w:sz w:val="18"/>
          <w:szCs w:val="18"/>
        </w:rPr>
        <w:t>CSIRT</w:t>
      </w:r>
      <w:r w:rsidR="00F12F81">
        <w:rPr>
          <w:rFonts w:ascii="Verdana" w:hAnsi="Verdana"/>
          <w:sz w:val="18"/>
          <w:szCs w:val="18"/>
        </w:rPr>
        <w:t>’</w:t>
      </w:r>
      <w:r w:rsidRPr="00C47325">
        <w:rPr>
          <w:rFonts w:ascii="Verdana" w:hAnsi="Verdana"/>
          <w:sz w:val="18"/>
          <w:szCs w:val="18"/>
        </w:rPr>
        <w:t>s</w:t>
      </w:r>
      <w:proofErr w:type="spellEnd"/>
      <w:r w:rsidRPr="00C47325">
        <w:rPr>
          <w:rFonts w:ascii="Verdana" w:hAnsi="Verdana"/>
          <w:sz w:val="18"/>
          <w:szCs w:val="18"/>
        </w:rPr>
        <w:t xml:space="preserve"> of </w:t>
      </w:r>
      <w:proofErr w:type="spellStart"/>
      <w:r w:rsidRPr="00C47325">
        <w:rPr>
          <w:rFonts w:ascii="Verdana" w:hAnsi="Verdana"/>
          <w:sz w:val="18"/>
          <w:szCs w:val="18"/>
        </w:rPr>
        <w:t>CERT</w:t>
      </w:r>
      <w:r w:rsidR="00F12F81">
        <w:rPr>
          <w:rFonts w:ascii="Verdana" w:hAnsi="Verdana"/>
          <w:sz w:val="18"/>
          <w:szCs w:val="18"/>
        </w:rPr>
        <w:t>’</w:t>
      </w:r>
      <w:r w:rsidRPr="00C47325">
        <w:rPr>
          <w:rFonts w:ascii="Verdana" w:hAnsi="Verdana"/>
          <w:sz w:val="18"/>
          <w:szCs w:val="18"/>
        </w:rPr>
        <w:t>s</w:t>
      </w:r>
      <w:proofErr w:type="spellEnd"/>
      <w:r w:rsidRPr="00C47325">
        <w:rPr>
          <w:rFonts w:ascii="Verdana" w:hAnsi="Verdana"/>
          <w:sz w:val="18"/>
          <w:szCs w:val="18"/>
        </w:rPr>
        <w:t xml:space="preserve"> van derde landen te informeren. Wanneer dat niet gebeurt, blijft daarmee het risico (het bestaan van die kwaadwillende infrastructuur) voor Nederlandse essentiële entiteiten en belangrijke entiteiten voortbestaan. </w:t>
      </w:r>
    </w:p>
    <w:p w:rsidR="00101607" w:rsidP="00CE333A" w:rsidRDefault="00101607" w14:paraId="07E6CAE5" w14:textId="77777777">
      <w:pPr>
        <w:pStyle w:val="Geenafstand"/>
        <w:rPr>
          <w:rFonts w:ascii="Verdana" w:hAnsi="Verdana"/>
          <w:sz w:val="18"/>
          <w:szCs w:val="18"/>
        </w:rPr>
      </w:pPr>
    </w:p>
    <w:p w:rsidRPr="00C47325" w:rsidR="00CE333A" w:rsidP="00CE333A" w:rsidRDefault="00CE333A" w14:paraId="7A3A8DB3" w14:textId="5986152A">
      <w:pPr>
        <w:pStyle w:val="Geenafstand"/>
        <w:rPr>
          <w:rFonts w:ascii="Verdana" w:hAnsi="Verdana"/>
          <w:sz w:val="18"/>
          <w:szCs w:val="18"/>
        </w:rPr>
      </w:pPr>
      <w:r w:rsidRPr="00C47325">
        <w:rPr>
          <w:rFonts w:ascii="Verdana" w:hAnsi="Verdana"/>
          <w:sz w:val="18"/>
          <w:szCs w:val="18"/>
        </w:rPr>
        <w:t xml:space="preserve">Ook kan worden gedacht aan de situatie dat het CSIRT beschikt over informatie over een nieuwe </w:t>
      </w:r>
      <w:proofErr w:type="spellStart"/>
      <w:r w:rsidRPr="00C47325">
        <w:rPr>
          <w:rFonts w:ascii="Verdana" w:hAnsi="Verdana"/>
          <w:sz w:val="18"/>
          <w:szCs w:val="18"/>
        </w:rPr>
        <w:t>ransomwarevariant</w:t>
      </w:r>
      <w:proofErr w:type="spellEnd"/>
      <w:r w:rsidRPr="00C47325">
        <w:rPr>
          <w:rFonts w:ascii="Verdana" w:hAnsi="Verdana"/>
          <w:sz w:val="18"/>
          <w:szCs w:val="18"/>
        </w:rPr>
        <w:t xml:space="preserve">. Het kan noodzakelijk zijn om die informatie ook buiten de </w:t>
      </w:r>
      <w:r w:rsidRPr="00C47325" w:rsidR="00733ABA">
        <w:rPr>
          <w:rFonts w:ascii="Verdana" w:hAnsi="Verdana"/>
          <w:sz w:val="18"/>
          <w:szCs w:val="18"/>
        </w:rPr>
        <w:t>EU</w:t>
      </w:r>
      <w:r w:rsidRPr="00C47325">
        <w:rPr>
          <w:rFonts w:ascii="Verdana" w:hAnsi="Verdana"/>
          <w:sz w:val="18"/>
          <w:szCs w:val="18"/>
        </w:rPr>
        <w:t xml:space="preserve"> te delen, om te voorkomen dat partijen die zijn gevestigd buiten de </w:t>
      </w:r>
      <w:r w:rsidRPr="00C47325" w:rsidR="00733ABA">
        <w:rPr>
          <w:rFonts w:ascii="Verdana" w:hAnsi="Verdana"/>
          <w:sz w:val="18"/>
          <w:szCs w:val="18"/>
        </w:rPr>
        <w:t>EU</w:t>
      </w:r>
      <w:r w:rsidRPr="00C47325">
        <w:rPr>
          <w:rFonts w:ascii="Verdana" w:hAnsi="Verdana"/>
          <w:sz w:val="18"/>
          <w:szCs w:val="18"/>
        </w:rPr>
        <w:t xml:space="preserve">, die in de keten een relatie hebben met een in Nederland gevestigde entiteit (bijvoorbeeld een dochteronderneming), besmet raken of blijven. Die ketens waaruit netwerk- en informatiesystemen bestaan zijn vaak EU-overstijgend. Hiervan was bijvoorbeeld sprake bij de </w:t>
      </w:r>
      <w:proofErr w:type="spellStart"/>
      <w:r w:rsidRPr="00C47325">
        <w:rPr>
          <w:rFonts w:ascii="Verdana" w:hAnsi="Verdana"/>
          <w:sz w:val="18"/>
          <w:szCs w:val="18"/>
        </w:rPr>
        <w:t>Lockergoga</w:t>
      </w:r>
      <w:proofErr w:type="spellEnd"/>
      <w:r w:rsidRPr="00C47325">
        <w:rPr>
          <w:rFonts w:ascii="Verdana" w:hAnsi="Verdana"/>
          <w:sz w:val="18"/>
          <w:szCs w:val="18"/>
        </w:rPr>
        <w:t xml:space="preserve">-casus, waarbij uiteindelijk gegevens zijn gedeeld met partijen buiten de </w:t>
      </w:r>
      <w:r w:rsidRPr="00C47325" w:rsidR="00733ABA">
        <w:rPr>
          <w:rFonts w:ascii="Verdana" w:hAnsi="Verdana"/>
          <w:sz w:val="18"/>
          <w:szCs w:val="18"/>
        </w:rPr>
        <w:t>EU</w:t>
      </w:r>
      <w:r w:rsidRPr="00C47325">
        <w:rPr>
          <w:rFonts w:ascii="Verdana" w:hAnsi="Verdana"/>
          <w:sz w:val="18"/>
          <w:szCs w:val="18"/>
        </w:rPr>
        <w:t xml:space="preserve">. </w:t>
      </w:r>
    </w:p>
    <w:p w:rsidR="00101607" w:rsidP="008C71D8" w:rsidRDefault="00101607" w14:paraId="2199B3EF" w14:textId="77777777">
      <w:pPr>
        <w:pStyle w:val="Geenafstand"/>
        <w:rPr>
          <w:rFonts w:ascii="Verdana" w:hAnsi="Verdana"/>
          <w:sz w:val="18"/>
          <w:szCs w:val="18"/>
        </w:rPr>
      </w:pPr>
      <w:bookmarkStart w:name="_Hlk180569992" w:id="286"/>
    </w:p>
    <w:p w:rsidRPr="00C47325" w:rsidR="008C71D8" w:rsidP="008C71D8" w:rsidRDefault="005F68E1" w14:paraId="46E36139" w14:textId="4F1BB011">
      <w:pPr>
        <w:pStyle w:val="Geenafstand"/>
        <w:rPr>
          <w:rFonts w:ascii="Verdana" w:hAnsi="Verdana"/>
          <w:sz w:val="18"/>
          <w:szCs w:val="18"/>
        </w:rPr>
      </w:pPr>
      <w:r>
        <w:rPr>
          <w:rFonts w:ascii="Verdana" w:hAnsi="Verdana"/>
          <w:sz w:val="18"/>
          <w:szCs w:val="18"/>
        </w:rPr>
        <w:t>In het kader van bovenbedoelde informatie-uitwisseling kan het ook gaan om verstrekking van persoonsgegevens</w:t>
      </w:r>
      <w:r w:rsidR="00E91794">
        <w:rPr>
          <w:rFonts w:ascii="Verdana" w:hAnsi="Verdana"/>
          <w:sz w:val="18"/>
          <w:szCs w:val="18"/>
        </w:rPr>
        <w:t>,</w:t>
      </w:r>
      <w:r w:rsidR="0084132A">
        <w:rPr>
          <w:rFonts w:ascii="Verdana" w:hAnsi="Verdana"/>
          <w:sz w:val="18"/>
          <w:szCs w:val="18"/>
        </w:rPr>
        <w:t xml:space="preserve"> bijvoorbeeld inloggegevens of mailbestanden</w:t>
      </w:r>
      <w:r>
        <w:rPr>
          <w:rFonts w:ascii="Verdana" w:hAnsi="Verdana"/>
          <w:sz w:val="18"/>
          <w:szCs w:val="18"/>
        </w:rPr>
        <w:t xml:space="preserve">. </w:t>
      </w:r>
      <w:bookmarkStart w:name="_Hlk195097898" w:id="287"/>
      <w:r>
        <w:rPr>
          <w:rFonts w:ascii="Verdana" w:hAnsi="Verdana"/>
          <w:sz w:val="18"/>
          <w:szCs w:val="18"/>
        </w:rPr>
        <w:t>Daarvoor geldt dat n</w:t>
      </w:r>
      <w:r w:rsidRPr="008E14C6" w:rsidR="008E14C6">
        <w:rPr>
          <w:rFonts w:ascii="Verdana" w:hAnsi="Verdana"/>
          <w:sz w:val="18"/>
          <w:szCs w:val="18"/>
        </w:rPr>
        <w:t>aast de</w:t>
      </w:r>
      <w:r>
        <w:rPr>
          <w:rFonts w:ascii="Verdana" w:hAnsi="Verdana"/>
          <w:sz w:val="18"/>
          <w:szCs w:val="18"/>
        </w:rPr>
        <w:t xml:space="preserve"> met dit artikel in de </w:t>
      </w:r>
      <w:proofErr w:type="spellStart"/>
      <w:r>
        <w:rPr>
          <w:rFonts w:ascii="Verdana" w:hAnsi="Verdana"/>
          <w:sz w:val="18"/>
          <w:szCs w:val="18"/>
        </w:rPr>
        <w:t>Cbw</w:t>
      </w:r>
      <w:proofErr w:type="spellEnd"/>
      <w:r>
        <w:rPr>
          <w:rFonts w:ascii="Verdana" w:hAnsi="Verdana"/>
          <w:sz w:val="18"/>
          <w:szCs w:val="18"/>
        </w:rPr>
        <w:t xml:space="preserve"> vervatte </w:t>
      </w:r>
      <w:r w:rsidRPr="008E14C6" w:rsidR="008E14C6">
        <w:rPr>
          <w:rFonts w:ascii="Verdana" w:hAnsi="Verdana"/>
          <w:sz w:val="18"/>
          <w:szCs w:val="18"/>
        </w:rPr>
        <w:t>grondslag voor het kunnen verstrekken van persoonsgegeven</w:t>
      </w:r>
      <w:r>
        <w:rPr>
          <w:rFonts w:ascii="Verdana" w:hAnsi="Verdana"/>
          <w:sz w:val="18"/>
          <w:szCs w:val="18"/>
        </w:rPr>
        <w:t>s</w:t>
      </w:r>
      <w:r w:rsidRPr="008E14C6" w:rsidR="008E14C6">
        <w:rPr>
          <w:rFonts w:ascii="Verdana" w:hAnsi="Verdana"/>
          <w:sz w:val="18"/>
          <w:szCs w:val="18"/>
        </w:rPr>
        <w:t>, die voor rechtmatige verwerking in elk geval wordt vereist,</w:t>
      </w:r>
      <w:r>
        <w:rPr>
          <w:rFonts w:ascii="Verdana" w:hAnsi="Verdana"/>
          <w:sz w:val="18"/>
          <w:szCs w:val="18"/>
        </w:rPr>
        <w:t xml:space="preserve"> </w:t>
      </w:r>
      <w:r w:rsidR="008E14C6">
        <w:rPr>
          <w:rFonts w:ascii="Verdana" w:hAnsi="Verdana"/>
          <w:sz w:val="18"/>
          <w:szCs w:val="18"/>
        </w:rPr>
        <w:t xml:space="preserve">op grond van de </w:t>
      </w:r>
      <w:proofErr w:type="spellStart"/>
      <w:r w:rsidRPr="008E14C6" w:rsidR="008E14C6">
        <w:rPr>
          <w:rFonts w:ascii="Verdana" w:hAnsi="Verdana"/>
          <w:sz w:val="18"/>
          <w:szCs w:val="18"/>
        </w:rPr>
        <w:t>A</w:t>
      </w:r>
      <w:r w:rsidR="008E14C6">
        <w:rPr>
          <w:rFonts w:ascii="Verdana" w:hAnsi="Verdana"/>
          <w:sz w:val="18"/>
          <w:szCs w:val="18"/>
        </w:rPr>
        <w:t>vg</w:t>
      </w:r>
      <w:proofErr w:type="spellEnd"/>
      <w:r w:rsidRPr="008E14C6" w:rsidR="008E14C6">
        <w:rPr>
          <w:rFonts w:ascii="Verdana" w:hAnsi="Verdana"/>
          <w:sz w:val="18"/>
          <w:szCs w:val="18"/>
        </w:rPr>
        <w:t xml:space="preserve"> ook nog specifieke eisen voor verstrekkingen aan landen buiten de EU (waarvoor de </w:t>
      </w:r>
      <w:proofErr w:type="spellStart"/>
      <w:r w:rsidRPr="008E14C6" w:rsidR="008E14C6">
        <w:rPr>
          <w:rFonts w:ascii="Verdana" w:hAnsi="Verdana"/>
          <w:sz w:val="18"/>
          <w:szCs w:val="18"/>
        </w:rPr>
        <w:t>A</w:t>
      </w:r>
      <w:r w:rsidR="008E14C6">
        <w:rPr>
          <w:rFonts w:ascii="Verdana" w:hAnsi="Verdana"/>
          <w:sz w:val="18"/>
          <w:szCs w:val="18"/>
        </w:rPr>
        <w:t>vg</w:t>
      </w:r>
      <w:proofErr w:type="spellEnd"/>
      <w:r w:rsidRPr="008E14C6" w:rsidR="008E14C6">
        <w:rPr>
          <w:rFonts w:ascii="Verdana" w:hAnsi="Verdana"/>
          <w:sz w:val="18"/>
          <w:szCs w:val="18"/>
        </w:rPr>
        <w:t xml:space="preserve"> immers niet geldt)</w:t>
      </w:r>
      <w:r w:rsidR="0084132A">
        <w:rPr>
          <w:rFonts w:ascii="Verdana" w:hAnsi="Verdana"/>
          <w:sz w:val="18"/>
          <w:szCs w:val="18"/>
        </w:rPr>
        <w:t xml:space="preserve"> van toepassing zijn</w:t>
      </w:r>
      <w:r w:rsidRPr="008E14C6" w:rsidR="008E14C6">
        <w:rPr>
          <w:rFonts w:ascii="Verdana" w:hAnsi="Verdana"/>
          <w:sz w:val="18"/>
          <w:szCs w:val="18"/>
        </w:rPr>
        <w:t xml:space="preserve">. Voor die verstrekkingen zal er </w:t>
      </w:r>
      <w:r w:rsidR="0084132A">
        <w:rPr>
          <w:rFonts w:ascii="Verdana" w:hAnsi="Verdana"/>
          <w:sz w:val="18"/>
          <w:szCs w:val="18"/>
        </w:rPr>
        <w:t xml:space="preserve">op basis hiervan </w:t>
      </w:r>
      <w:r w:rsidRPr="008E14C6" w:rsidR="008E14C6">
        <w:rPr>
          <w:rFonts w:ascii="Verdana" w:hAnsi="Verdana"/>
          <w:sz w:val="18"/>
          <w:szCs w:val="18"/>
        </w:rPr>
        <w:t xml:space="preserve">sprake moeten zijn van een adequaatheidsbesluit van de </w:t>
      </w:r>
      <w:r w:rsidR="001F3ECA">
        <w:rPr>
          <w:rFonts w:ascii="Verdana" w:hAnsi="Verdana"/>
          <w:sz w:val="18"/>
          <w:szCs w:val="18"/>
        </w:rPr>
        <w:t xml:space="preserve">Europese </w:t>
      </w:r>
      <w:r w:rsidRPr="008E14C6" w:rsidR="008E14C6">
        <w:rPr>
          <w:rFonts w:ascii="Verdana" w:hAnsi="Verdana"/>
          <w:sz w:val="18"/>
          <w:szCs w:val="18"/>
        </w:rPr>
        <w:t xml:space="preserve">Commissie, waaruit blijkt dat het betreffende derde land een passend beschermingsniveau heeft, of van bijvoorbeeld een ander in artikel 46 </w:t>
      </w:r>
      <w:proofErr w:type="spellStart"/>
      <w:r w:rsidRPr="008E14C6" w:rsidR="008E14C6">
        <w:rPr>
          <w:rFonts w:ascii="Verdana" w:hAnsi="Verdana"/>
          <w:sz w:val="18"/>
          <w:szCs w:val="18"/>
        </w:rPr>
        <w:t>A</w:t>
      </w:r>
      <w:r w:rsidR="001F3ECA">
        <w:rPr>
          <w:rFonts w:ascii="Verdana" w:hAnsi="Verdana"/>
          <w:sz w:val="18"/>
          <w:szCs w:val="18"/>
        </w:rPr>
        <w:t>vg</w:t>
      </w:r>
      <w:proofErr w:type="spellEnd"/>
      <w:r w:rsidRPr="008E14C6" w:rsidR="008E14C6">
        <w:rPr>
          <w:rFonts w:ascii="Verdana" w:hAnsi="Verdana"/>
          <w:sz w:val="18"/>
          <w:szCs w:val="18"/>
        </w:rPr>
        <w:t xml:space="preserve"> genoemd juridisch instrument (b</w:t>
      </w:r>
      <w:r w:rsidR="001F3ECA">
        <w:rPr>
          <w:rFonts w:ascii="Verdana" w:hAnsi="Verdana"/>
          <w:sz w:val="18"/>
          <w:szCs w:val="18"/>
        </w:rPr>
        <w:t>ijvoorbeeld</w:t>
      </w:r>
      <w:r w:rsidRPr="008E14C6" w:rsidR="008E14C6">
        <w:rPr>
          <w:rFonts w:ascii="Verdana" w:hAnsi="Verdana"/>
          <w:sz w:val="18"/>
          <w:szCs w:val="18"/>
        </w:rPr>
        <w:t xml:space="preserve"> een verdrag of anderszins afdwingbaar document) waaruit ten aanzien van het derde land blijkt van passende waarborgen</w:t>
      </w:r>
      <w:r w:rsidR="001F3ECA">
        <w:rPr>
          <w:rFonts w:ascii="Verdana" w:hAnsi="Verdana"/>
          <w:sz w:val="18"/>
          <w:szCs w:val="18"/>
        </w:rPr>
        <w:t>.</w:t>
      </w:r>
      <w:r w:rsidRPr="008E14C6" w:rsidR="008E14C6">
        <w:rPr>
          <w:rFonts w:ascii="Verdana" w:hAnsi="Verdana"/>
          <w:sz w:val="18"/>
          <w:szCs w:val="18"/>
        </w:rPr>
        <w:t xml:space="preserve"> Mocht van beide geen sprake zijn, dan kan een doorgifte plaatsvinden in enkele in artikel 49 </w:t>
      </w:r>
      <w:proofErr w:type="spellStart"/>
      <w:r w:rsidRPr="008E14C6" w:rsidR="008E14C6">
        <w:rPr>
          <w:rFonts w:ascii="Verdana" w:hAnsi="Verdana"/>
          <w:sz w:val="18"/>
          <w:szCs w:val="18"/>
        </w:rPr>
        <w:t>A</w:t>
      </w:r>
      <w:r w:rsidR="001F3ECA">
        <w:rPr>
          <w:rFonts w:ascii="Verdana" w:hAnsi="Verdana"/>
          <w:sz w:val="18"/>
          <w:szCs w:val="18"/>
        </w:rPr>
        <w:t>vg</w:t>
      </w:r>
      <w:proofErr w:type="spellEnd"/>
      <w:r w:rsidRPr="008E14C6" w:rsidR="008E14C6">
        <w:rPr>
          <w:rFonts w:ascii="Verdana" w:hAnsi="Verdana"/>
          <w:sz w:val="18"/>
          <w:szCs w:val="18"/>
        </w:rPr>
        <w:t xml:space="preserve"> genoemde situaties.</w:t>
      </w:r>
      <w:r w:rsidR="008E14C6">
        <w:rPr>
          <w:rFonts w:ascii="Verdana" w:hAnsi="Verdana"/>
          <w:sz w:val="18"/>
          <w:szCs w:val="18"/>
        </w:rPr>
        <w:t xml:space="preserve"> </w:t>
      </w:r>
      <w:bookmarkEnd w:id="287"/>
      <w:r w:rsidRPr="00C47325" w:rsidR="008C71D8">
        <w:rPr>
          <w:rFonts w:ascii="Verdana" w:hAnsi="Verdana"/>
          <w:sz w:val="18"/>
          <w:szCs w:val="18"/>
        </w:rPr>
        <w:t xml:space="preserve">De hierboven genoemde voorbeelden </w:t>
      </w:r>
      <w:r w:rsidR="0084132A">
        <w:rPr>
          <w:rFonts w:ascii="Verdana" w:hAnsi="Verdana"/>
          <w:sz w:val="18"/>
          <w:szCs w:val="18"/>
        </w:rPr>
        <w:t xml:space="preserve">van verstrekkingen aan </w:t>
      </w:r>
      <w:proofErr w:type="spellStart"/>
      <w:r w:rsidR="0084132A">
        <w:rPr>
          <w:rFonts w:ascii="Verdana" w:hAnsi="Verdana"/>
          <w:sz w:val="18"/>
          <w:szCs w:val="18"/>
        </w:rPr>
        <w:t>CSIRT’s</w:t>
      </w:r>
      <w:proofErr w:type="spellEnd"/>
      <w:r w:rsidR="0084132A">
        <w:rPr>
          <w:rFonts w:ascii="Verdana" w:hAnsi="Verdana"/>
          <w:sz w:val="18"/>
          <w:szCs w:val="18"/>
        </w:rPr>
        <w:t xml:space="preserve"> buiten de EU </w:t>
      </w:r>
      <w:r w:rsidRPr="00C47325" w:rsidR="008C71D8">
        <w:rPr>
          <w:rFonts w:ascii="Verdana" w:hAnsi="Verdana"/>
          <w:sz w:val="18"/>
          <w:szCs w:val="18"/>
        </w:rPr>
        <w:t xml:space="preserve">kunnen </w:t>
      </w:r>
      <w:r w:rsidR="0084132A">
        <w:rPr>
          <w:rFonts w:ascii="Verdana" w:hAnsi="Verdana"/>
          <w:sz w:val="18"/>
          <w:szCs w:val="18"/>
        </w:rPr>
        <w:t xml:space="preserve">in dat laatste geval </w:t>
      </w:r>
      <w:r w:rsidRPr="00C47325" w:rsidR="008C71D8">
        <w:rPr>
          <w:rFonts w:ascii="Verdana" w:hAnsi="Verdana"/>
          <w:sz w:val="18"/>
          <w:szCs w:val="18"/>
        </w:rPr>
        <w:t xml:space="preserve">dan </w:t>
      </w:r>
      <w:r w:rsidR="0084132A">
        <w:rPr>
          <w:rFonts w:ascii="Verdana" w:hAnsi="Verdana"/>
          <w:sz w:val="18"/>
          <w:szCs w:val="18"/>
        </w:rPr>
        <w:t xml:space="preserve">bijvoorbeeld gelden </w:t>
      </w:r>
      <w:r w:rsidRPr="00C47325" w:rsidR="008C71D8">
        <w:rPr>
          <w:rFonts w:ascii="Verdana" w:hAnsi="Verdana"/>
          <w:sz w:val="18"/>
          <w:szCs w:val="18"/>
        </w:rPr>
        <w:t xml:space="preserve">als </w:t>
      </w:r>
      <w:r w:rsidR="0084132A">
        <w:rPr>
          <w:rFonts w:ascii="Verdana" w:hAnsi="Verdana"/>
          <w:sz w:val="18"/>
          <w:szCs w:val="18"/>
        </w:rPr>
        <w:t xml:space="preserve">doorgiften die noodzakelijk zijn wegens </w:t>
      </w:r>
      <w:r w:rsidRPr="00C47325" w:rsidR="008C71D8">
        <w:rPr>
          <w:rFonts w:ascii="Verdana" w:hAnsi="Verdana"/>
          <w:sz w:val="18"/>
          <w:szCs w:val="18"/>
        </w:rPr>
        <w:t>gewichtige redenen van algemeen belang. Immers, het algemeen belang van Nederland vergt dan dat kwaadwillende infrastructuur wordt uitgeschakeld of dat ketens gevrijwaard worden van kwaadwillende besmettingen.</w:t>
      </w:r>
      <w:bookmarkEnd w:id="286"/>
      <w:r w:rsidRPr="00C47325" w:rsidR="008C71D8">
        <w:rPr>
          <w:rFonts w:ascii="Verdana" w:hAnsi="Verdana"/>
          <w:sz w:val="18"/>
          <w:szCs w:val="18"/>
        </w:rPr>
        <w:t xml:space="preserve"> </w:t>
      </w:r>
    </w:p>
    <w:p w:rsidRPr="00C47325" w:rsidR="00CE333A" w:rsidP="00CE333A" w:rsidRDefault="00CE333A" w14:paraId="4832F6B2" w14:textId="77777777">
      <w:pPr>
        <w:pStyle w:val="Geenafstand"/>
        <w:rPr>
          <w:rFonts w:ascii="Verdana" w:hAnsi="Verdana"/>
          <w:sz w:val="18"/>
          <w:szCs w:val="18"/>
        </w:rPr>
      </w:pPr>
    </w:p>
    <w:p w:rsidRPr="00C47325" w:rsidR="00CE333A" w:rsidP="00CE333A" w:rsidRDefault="000C1552" w14:paraId="662EE9D2" w14:textId="5C15E81A">
      <w:pPr>
        <w:pStyle w:val="Geenafstand"/>
        <w:rPr>
          <w:rFonts w:ascii="Verdana" w:hAnsi="Verdana"/>
          <w:sz w:val="18"/>
          <w:szCs w:val="18"/>
        </w:rPr>
      </w:pPr>
      <w:r>
        <w:rPr>
          <w:rFonts w:ascii="Verdana" w:hAnsi="Verdana"/>
          <w:sz w:val="18"/>
          <w:szCs w:val="18"/>
        </w:rPr>
        <w:t>A</w:t>
      </w:r>
      <w:r w:rsidRPr="00C47325" w:rsidR="00CE333A">
        <w:rPr>
          <w:rFonts w:ascii="Verdana" w:hAnsi="Verdana"/>
          <w:sz w:val="18"/>
          <w:szCs w:val="18"/>
        </w:rPr>
        <w:t xml:space="preserve">rtikel </w:t>
      </w:r>
      <w:r>
        <w:rPr>
          <w:rFonts w:ascii="Verdana" w:hAnsi="Verdana"/>
          <w:sz w:val="18"/>
          <w:szCs w:val="18"/>
        </w:rPr>
        <w:t>54, tweede lid,</w:t>
      </w:r>
      <w:r w:rsidRPr="00C47325">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sidR="00CE333A">
        <w:rPr>
          <w:rFonts w:ascii="Verdana" w:hAnsi="Verdana"/>
          <w:sz w:val="18"/>
          <w:szCs w:val="18"/>
        </w:rPr>
        <w:t xml:space="preserve"> strekt tot de implementatie van artikel 10, achtste lid, NIS2-richtlijn en ziet op de samenwerking tussen het CSIRT en een nationaal CSIRT of gelijkwaardig orgaan van een derde land. </w:t>
      </w:r>
    </w:p>
    <w:p w:rsidRPr="00C47325" w:rsidR="00CE333A" w:rsidP="00CE333A" w:rsidRDefault="00CE333A" w14:paraId="30CD115B" w14:textId="77777777">
      <w:pPr>
        <w:spacing w:after="0" w:line="240" w:lineRule="auto"/>
        <w:rPr>
          <w:rFonts w:ascii="Verdana" w:hAnsi="Verdana"/>
          <w:sz w:val="18"/>
          <w:szCs w:val="18"/>
        </w:rPr>
      </w:pPr>
    </w:p>
    <w:p w:rsidR="00C603BA" w:rsidP="00155394" w:rsidRDefault="00C603BA" w14:paraId="09BD50B3" w14:textId="77777777">
      <w:pPr>
        <w:pStyle w:val="Geenafstand"/>
        <w:rPr>
          <w:rFonts w:ascii="Verdana" w:hAnsi="Verdana"/>
          <w:b/>
          <w:bCs/>
          <w:sz w:val="18"/>
          <w:szCs w:val="18"/>
        </w:rPr>
      </w:pPr>
    </w:p>
    <w:p w:rsidR="00C603BA" w:rsidP="00155394" w:rsidRDefault="00C603BA" w14:paraId="6E7E56C4" w14:textId="77777777">
      <w:pPr>
        <w:pStyle w:val="Geenafstand"/>
        <w:rPr>
          <w:rFonts w:ascii="Verdana" w:hAnsi="Verdana"/>
          <w:b/>
          <w:bCs/>
          <w:sz w:val="18"/>
          <w:szCs w:val="18"/>
        </w:rPr>
      </w:pPr>
    </w:p>
    <w:p w:rsidR="00C603BA" w:rsidP="00155394" w:rsidRDefault="00C603BA" w14:paraId="7510C787" w14:textId="77777777">
      <w:pPr>
        <w:pStyle w:val="Geenafstand"/>
        <w:rPr>
          <w:rFonts w:ascii="Verdana" w:hAnsi="Verdana"/>
          <w:b/>
          <w:bCs/>
          <w:sz w:val="18"/>
          <w:szCs w:val="18"/>
        </w:rPr>
      </w:pPr>
    </w:p>
    <w:p w:rsidRPr="00BD3C4A" w:rsidR="00155394" w:rsidP="00155394" w:rsidRDefault="00155394" w14:paraId="77E9FC97" w14:textId="7FD3A292">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55</w:t>
      </w:r>
      <w:r w:rsidRPr="00BD3C4A">
        <w:rPr>
          <w:rFonts w:ascii="Verdana" w:hAnsi="Verdana"/>
          <w:b/>
          <w:bCs/>
          <w:sz w:val="18"/>
          <w:szCs w:val="18"/>
        </w:rPr>
        <w:t xml:space="preserve"> (samenwerking en informatie-uitwisseling tussen bevoegde autoriteiten van deze wet) </w:t>
      </w:r>
    </w:p>
    <w:p w:rsidRPr="00C47325" w:rsidR="00CE333A" w:rsidP="00CE333A" w:rsidRDefault="00CE333A" w14:paraId="4419B884" w14:textId="77777777">
      <w:pPr>
        <w:pStyle w:val="Geenafstand"/>
        <w:rPr>
          <w:rFonts w:ascii="Verdana" w:hAnsi="Verdana"/>
          <w:b/>
          <w:bCs/>
          <w:sz w:val="18"/>
          <w:szCs w:val="18"/>
        </w:rPr>
      </w:pPr>
    </w:p>
    <w:p w:rsidRPr="00C47325" w:rsidR="00CE333A" w:rsidP="00CE333A" w:rsidRDefault="00CE333A" w14:paraId="65D673CF" w14:textId="0448A7C5">
      <w:pPr>
        <w:spacing w:after="0" w:line="240" w:lineRule="auto"/>
        <w:rPr>
          <w:rFonts w:ascii="Verdana" w:hAnsi="Verdana"/>
          <w:sz w:val="18"/>
          <w:szCs w:val="18"/>
        </w:rPr>
      </w:pPr>
      <w:r w:rsidRPr="00062BDF">
        <w:rPr>
          <w:rFonts w:ascii="Verdana" w:hAnsi="Verdana"/>
          <w:sz w:val="18"/>
          <w:szCs w:val="18"/>
        </w:rPr>
        <w:t xml:space="preserve">Artikel </w:t>
      </w:r>
      <w:r w:rsidRPr="00062BDF" w:rsidR="000C1552">
        <w:rPr>
          <w:rFonts w:ascii="Verdana" w:hAnsi="Verdana"/>
          <w:sz w:val="18"/>
          <w:szCs w:val="18"/>
        </w:rPr>
        <w:t xml:space="preserve">55 </w:t>
      </w:r>
      <w:proofErr w:type="spellStart"/>
      <w:r w:rsidRPr="00062BDF" w:rsidR="00D3260B">
        <w:rPr>
          <w:rFonts w:ascii="Verdana" w:hAnsi="Verdana"/>
          <w:sz w:val="18"/>
          <w:szCs w:val="18"/>
        </w:rPr>
        <w:t>Cbw</w:t>
      </w:r>
      <w:proofErr w:type="spellEnd"/>
      <w:r w:rsidRPr="00062BDF">
        <w:rPr>
          <w:rFonts w:ascii="Verdana" w:hAnsi="Verdana"/>
          <w:sz w:val="18"/>
          <w:szCs w:val="18"/>
        </w:rPr>
        <w:t xml:space="preserve"> strekt tot de implementatie van artikel 13, vijfde lid, NIS2-richtlijn.</w:t>
      </w:r>
      <w:r w:rsidRPr="00062BDF" w:rsidR="000C1552">
        <w:rPr>
          <w:rFonts w:ascii="Verdana" w:hAnsi="Verdana"/>
          <w:sz w:val="18"/>
          <w:szCs w:val="18"/>
        </w:rPr>
        <w:t xml:space="preserve"> </w:t>
      </w:r>
      <w:r w:rsidRPr="00062BDF" w:rsidR="00062BDF">
        <w:rPr>
          <w:rFonts w:ascii="Verdana" w:hAnsi="Verdana"/>
          <w:sz w:val="18"/>
          <w:szCs w:val="18"/>
        </w:rPr>
        <w:t>Paragraaf 5.6.</w:t>
      </w:r>
      <w:r w:rsidR="00556DDC">
        <w:rPr>
          <w:rFonts w:ascii="Verdana" w:hAnsi="Verdana"/>
          <w:sz w:val="18"/>
          <w:szCs w:val="18"/>
        </w:rPr>
        <w:t>8</w:t>
      </w:r>
      <w:r w:rsidRPr="00062BDF" w:rsidR="00062BDF">
        <w:rPr>
          <w:rFonts w:ascii="Verdana" w:hAnsi="Verdana"/>
          <w:sz w:val="18"/>
          <w:szCs w:val="18"/>
        </w:rPr>
        <w:t xml:space="preserve"> gaat in op de samenwerking tussen de toezichthoudende instanties.</w:t>
      </w:r>
    </w:p>
    <w:p w:rsidR="003378EA" w:rsidP="00CE333A" w:rsidRDefault="003378EA" w14:paraId="25D0F755" w14:textId="77777777">
      <w:pPr>
        <w:spacing w:after="0" w:line="240" w:lineRule="auto"/>
        <w:rPr>
          <w:rFonts w:ascii="Verdana" w:hAnsi="Verdana"/>
          <w:b/>
          <w:bCs/>
          <w:sz w:val="18"/>
          <w:szCs w:val="18"/>
        </w:rPr>
      </w:pPr>
    </w:p>
    <w:p w:rsidRPr="00C47325" w:rsidR="00E04B59" w:rsidP="00CE333A" w:rsidRDefault="00E04B59" w14:paraId="584D6476" w14:textId="77777777">
      <w:pPr>
        <w:spacing w:after="0" w:line="240" w:lineRule="auto"/>
        <w:rPr>
          <w:rFonts w:ascii="Verdana" w:hAnsi="Verdana"/>
          <w:b/>
          <w:bCs/>
          <w:sz w:val="18"/>
          <w:szCs w:val="18"/>
        </w:rPr>
      </w:pPr>
    </w:p>
    <w:p w:rsidRPr="00BD3C4A" w:rsidR="00155394" w:rsidP="00155394" w:rsidRDefault="00155394" w14:paraId="09476F5D" w14:textId="1DD3C6A0">
      <w:pPr>
        <w:pStyle w:val="Geenafstand"/>
        <w:rPr>
          <w:rFonts w:ascii="Verdana" w:hAnsi="Verdana"/>
          <w:sz w:val="18"/>
          <w:szCs w:val="18"/>
        </w:rPr>
      </w:pPr>
      <w:bookmarkStart w:name="_Hlk173936471" w:id="288"/>
      <w:r w:rsidRPr="00BD3C4A">
        <w:rPr>
          <w:rFonts w:ascii="Verdana" w:hAnsi="Verdana"/>
          <w:b/>
          <w:bCs/>
          <w:sz w:val="18"/>
          <w:szCs w:val="18"/>
        </w:rPr>
        <w:t xml:space="preserve">Artikel </w:t>
      </w:r>
      <w:r>
        <w:rPr>
          <w:rFonts w:ascii="Verdana" w:hAnsi="Verdana"/>
          <w:b/>
          <w:bCs/>
          <w:sz w:val="18"/>
          <w:szCs w:val="18"/>
        </w:rPr>
        <w:t>56</w:t>
      </w:r>
      <w:r w:rsidRPr="00BD3C4A">
        <w:rPr>
          <w:rFonts w:ascii="Verdana" w:hAnsi="Verdana"/>
          <w:b/>
          <w:bCs/>
          <w:sz w:val="18"/>
          <w:szCs w:val="18"/>
        </w:rPr>
        <w:t xml:space="preserve"> (samenwerking en informatie-uitwisseling met bevoegde autoriteiten</w:t>
      </w:r>
      <w:r w:rsidRPr="00BD3C4A">
        <w:rPr>
          <w:rFonts w:ascii="Verdana" w:hAnsi="Verdana"/>
          <w:sz w:val="18"/>
          <w:szCs w:val="18"/>
        </w:rPr>
        <w:t xml:space="preserve"> </w:t>
      </w:r>
      <w:r w:rsidRPr="00BD3C4A">
        <w:rPr>
          <w:rFonts w:ascii="Verdana" w:hAnsi="Verdana"/>
          <w:b/>
          <w:bCs/>
          <w:sz w:val="18"/>
          <w:szCs w:val="18"/>
        </w:rPr>
        <w:t>Wet weerbaarheid kritieke entiteiten)</w:t>
      </w:r>
    </w:p>
    <w:bookmarkEnd w:id="288"/>
    <w:p w:rsidRPr="00C47325" w:rsidR="00CE333A" w:rsidP="00CE333A" w:rsidRDefault="00CE333A" w14:paraId="13F20D34" w14:textId="77777777">
      <w:pPr>
        <w:pStyle w:val="Default"/>
        <w:rPr>
          <w:rFonts w:ascii="Verdana" w:hAnsi="Verdana"/>
          <w:color w:val="auto"/>
          <w:sz w:val="18"/>
          <w:szCs w:val="18"/>
        </w:rPr>
      </w:pPr>
    </w:p>
    <w:p w:rsidRPr="00C47325" w:rsidR="00CE333A" w:rsidP="00CE333A" w:rsidRDefault="00CE333A" w14:paraId="47F13591" w14:textId="74548D0E">
      <w:pPr>
        <w:spacing w:after="0" w:line="240" w:lineRule="auto"/>
        <w:rPr>
          <w:rFonts w:ascii="Verdana" w:hAnsi="Verdana"/>
          <w:sz w:val="18"/>
          <w:szCs w:val="18"/>
        </w:rPr>
      </w:pPr>
      <w:r w:rsidRPr="00C47325">
        <w:rPr>
          <w:rFonts w:ascii="Verdana" w:hAnsi="Verdana" w:eastAsia="Times New Roman" w:cs="Arial"/>
          <w:sz w:val="18"/>
          <w:szCs w:val="18"/>
          <w:lang w:eastAsia="nl-NL"/>
        </w:rPr>
        <w:t xml:space="preserve">Artikel </w:t>
      </w:r>
      <w:r w:rsidR="000C1552">
        <w:rPr>
          <w:rFonts w:ascii="Verdana" w:hAnsi="Verdana" w:eastAsia="Times New Roman" w:cs="Arial"/>
          <w:sz w:val="18"/>
          <w:szCs w:val="18"/>
          <w:lang w:eastAsia="nl-NL"/>
        </w:rPr>
        <w:t>56</w:t>
      </w:r>
      <w:r w:rsidRPr="00C47325" w:rsidR="000C1552">
        <w:rPr>
          <w:rFonts w:ascii="Verdana" w:hAnsi="Verdana" w:eastAsia="Times New Roman" w:cs="Arial"/>
          <w:sz w:val="18"/>
          <w:szCs w:val="18"/>
          <w:lang w:eastAsia="nl-NL"/>
        </w:rPr>
        <w:t xml:space="preserve"> </w:t>
      </w:r>
      <w:proofErr w:type="spellStart"/>
      <w:r w:rsidRPr="00C47325" w:rsidR="00D3260B">
        <w:rPr>
          <w:rFonts w:ascii="Verdana" w:hAnsi="Verdana"/>
          <w:sz w:val="18"/>
          <w:szCs w:val="18"/>
        </w:rPr>
        <w:t>Cbw</w:t>
      </w:r>
      <w:proofErr w:type="spellEnd"/>
      <w:r w:rsidRPr="00C47325">
        <w:rPr>
          <w:rFonts w:ascii="Verdana" w:hAnsi="Verdana" w:eastAsia="Times New Roman" w:cs="Arial"/>
          <w:sz w:val="18"/>
          <w:szCs w:val="18"/>
          <w:lang w:eastAsia="nl-NL"/>
        </w:rPr>
        <w:t xml:space="preserve"> strekt tot de implementatie van artikel 13, vijfde lid, NIS2-richtlijn. Dit artikel ziet op de samenwerking en informatie-uitwisseling door de bevoegde autoriteit</w:t>
      </w:r>
      <w:r w:rsidR="004C30C3">
        <w:rPr>
          <w:rFonts w:ascii="Verdana" w:hAnsi="Verdana" w:eastAsia="Times New Roman" w:cs="Arial"/>
          <w:sz w:val="18"/>
          <w:szCs w:val="18"/>
          <w:lang w:eastAsia="nl-NL"/>
        </w:rPr>
        <w:t>,</w:t>
      </w:r>
      <w:r w:rsidRPr="00C47325">
        <w:rPr>
          <w:rFonts w:ascii="Verdana" w:hAnsi="Verdana" w:eastAsia="Times New Roman" w:cs="Arial"/>
          <w:sz w:val="18"/>
          <w:szCs w:val="18"/>
          <w:lang w:eastAsia="nl-NL"/>
        </w:rPr>
        <w:t xml:space="preserve"> bedoeld in </w:t>
      </w:r>
      <w:r w:rsidR="004C30C3">
        <w:rPr>
          <w:rFonts w:ascii="Verdana" w:hAnsi="Verdana" w:eastAsia="Times New Roman" w:cs="Arial"/>
          <w:sz w:val="18"/>
          <w:szCs w:val="18"/>
          <w:lang w:eastAsia="nl-NL"/>
        </w:rPr>
        <w:t xml:space="preserve">de </w:t>
      </w:r>
      <w:proofErr w:type="spellStart"/>
      <w:r w:rsidR="004C30C3">
        <w:rPr>
          <w:rFonts w:ascii="Verdana" w:hAnsi="Verdana" w:eastAsia="Times New Roman" w:cs="Arial"/>
          <w:sz w:val="18"/>
          <w:szCs w:val="18"/>
          <w:lang w:eastAsia="nl-NL"/>
        </w:rPr>
        <w:t>Cbw</w:t>
      </w:r>
      <w:proofErr w:type="spellEnd"/>
      <w:r w:rsidR="004C30C3">
        <w:rPr>
          <w:rFonts w:ascii="Verdana" w:hAnsi="Verdana" w:eastAsia="Times New Roman" w:cs="Arial"/>
          <w:sz w:val="18"/>
          <w:szCs w:val="18"/>
          <w:lang w:eastAsia="nl-NL"/>
        </w:rPr>
        <w:t>,</w:t>
      </w:r>
      <w:r w:rsidRPr="00C47325">
        <w:rPr>
          <w:rFonts w:ascii="Verdana" w:hAnsi="Verdana" w:eastAsia="Times New Roman" w:cs="Arial"/>
          <w:sz w:val="18"/>
          <w:szCs w:val="18"/>
          <w:lang w:eastAsia="nl-NL"/>
        </w:rPr>
        <w:t xml:space="preserve"> met de bevoegde autoriteit</w:t>
      </w:r>
      <w:r w:rsidR="004C30C3">
        <w:rPr>
          <w:rFonts w:ascii="Verdana" w:hAnsi="Verdana" w:eastAsia="Times New Roman" w:cs="Arial"/>
          <w:sz w:val="18"/>
          <w:szCs w:val="18"/>
          <w:lang w:eastAsia="nl-NL"/>
        </w:rPr>
        <w:t>,</w:t>
      </w:r>
      <w:r w:rsidRPr="00C47325">
        <w:rPr>
          <w:rFonts w:ascii="Verdana" w:hAnsi="Verdana" w:eastAsia="Times New Roman" w:cs="Arial"/>
          <w:sz w:val="18"/>
          <w:szCs w:val="18"/>
          <w:lang w:eastAsia="nl-NL"/>
        </w:rPr>
        <w:t xml:space="preserve"> bedoeld in de </w:t>
      </w:r>
      <w:proofErr w:type="spellStart"/>
      <w:r w:rsidRPr="00C47325">
        <w:rPr>
          <w:rFonts w:ascii="Verdana" w:hAnsi="Verdana" w:eastAsia="Times New Roman" w:cs="Arial"/>
          <w:sz w:val="18"/>
          <w:szCs w:val="18"/>
          <w:lang w:eastAsia="nl-NL"/>
        </w:rPr>
        <w:t>Wwke</w:t>
      </w:r>
      <w:proofErr w:type="spellEnd"/>
      <w:r w:rsidRPr="00C47325">
        <w:rPr>
          <w:rFonts w:ascii="Verdana" w:hAnsi="Verdana" w:eastAsia="Times New Roman" w:cs="Arial"/>
          <w:sz w:val="18"/>
          <w:szCs w:val="18"/>
          <w:lang w:eastAsia="nl-NL"/>
        </w:rPr>
        <w:t xml:space="preserve">. De </w:t>
      </w:r>
      <w:proofErr w:type="spellStart"/>
      <w:r w:rsidRPr="00C47325">
        <w:rPr>
          <w:rFonts w:ascii="Verdana" w:hAnsi="Verdana" w:eastAsia="Times New Roman" w:cs="Arial"/>
          <w:sz w:val="18"/>
          <w:szCs w:val="18"/>
          <w:lang w:eastAsia="nl-NL"/>
        </w:rPr>
        <w:t>Wwke</w:t>
      </w:r>
      <w:proofErr w:type="spellEnd"/>
      <w:r w:rsidRPr="00C47325">
        <w:rPr>
          <w:rFonts w:ascii="Verdana" w:hAnsi="Verdana" w:eastAsia="Times New Roman" w:cs="Arial"/>
          <w:sz w:val="18"/>
          <w:szCs w:val="18"/>
          <w:lang w:eastAsia="nl-NL"/>
        </w:rPr>
        <w:t xml:space="preserve"> betreft de nationale wet waarin de CER-richtlijn is geïmplementeerd. Over de verhouding tussen die richtlijn en de NIS2-richtlijn is in de NIS2-richtlijn onder meer toegelicht dat er een coherente aanpak moet worden gewaarborgd tussen beide richtlijnen, gezien de onderlinge verbanden tussen cyberbeveiliging en de fysieke beveiliging van entiteiten. Daartoe moeten entiteiten die uit hoofde van de CER-richtlijn als kritieke entiteiten worden aangemerkt, als essentiële entiteiten uit hoofde van de NIS2-richtlijn worden beschouwd. Bovendien moeten lidstaten ervoor zorgen dat de bevoegde autoriteiten van beide richtlijnen met elkaar samen werken en informatie uitwisselen over onder meer cyberdreigingen en incidenten die kritieke entiteiten treffen.</w:t>
      </w:r>
      <w:r w:rsidRPr="00C47325">
        <w:rPr>
          <w:rFonts w:ascii="Verdana" w:hAnsi="Verdana" w:eastAsia="Times New Roman" w:cs="Arial"/>
          <w:sz w:val="18"/>
          <w:szCs w:val="18"/>
          <w:vertAlign w:val="superscript"/>
          <w:lang w:eastAsia="nl-NL"/>
        </w:rPr>
        <w:footnoteReference w:id="96"/>
      </w:r>
    </w:p>
    <w:p w:rsidRPr="00C47325" w:rsidR="00CE333A" w:rsidP="00CE333A" w:rsidRDefault="00CE333A" w14:paraId="0BA0E5ED" w14:textId="77777777">
      <w:pPr>
        <w:pStyle w:val="Default"/>
        <w:rPr>
          <w:rFonts w:ascii="Verdana" w:hAnsi="Verdana"/>
          <w:color w:val="auto"/>
          <w:sz w:val="18"/>
          <w:szCs w:val="18"/>
        </w:rPr>
      </w:pPr>
    </w:p>
    <w:p w:rsidRPr="00BD3C4A" w:rsidR="00155394" w:rsidP="00155394" w:rsidRDefault="00155394" w14:paraId="120000D0" w14:textId="6077B094">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57</w:t>
      </w:r>
      <w:r w:rsidRPr="00BD3C4A">
        <w:rPr>
          <w:rFonts w:ascii="Verdana" w:hAnsi="Verdana"/>
          <w:b/>
          <w:bCs/>
          <w:sz w:val="18"/>
          <w:szCs w:val="18"/>
        </w:rPr>
        <w:t xml:space="preserve"> (samenwerking met bevoegde autoriteit Verordening (EU) 2022/2554)</w:t>
      </w:r>
    </w:p>
    <w:p w:rsidRPr="00C47325" w:rsidR="00CE333A" w:rsidP="00CE333A" w:rsidRDefault="00CE333A" w14:paraId="6C773B91" w14:textId="77777777">
      <w:pPr>
        <w:pStyle w:val="Geenafstand"/>
        <w:rPr>
          <w:rFonts w:ascii="Verdana" w:hAnsi="Verdana"/>
          <w:sz w:val="18"/>
          <w:szCs w:val="18"/>
        </w:rPr>
      </w:pPr>
    </w:p>
    <w:p w:rsidRPr="00C47325" w:rsidR="0071011B" w:rsidP="0071011B" w:rsidRDefault="00CE333A" w14:paraId="0B9A5683" w14:textId="71C0DCBE">
      <w:pPr>
        <w:spacing w:after="0" w:line="240" w:lineRule="auto"/>
        <w:rPr>
          <w:rFonts w:ascii="Verdana" w:hAnsi="Verdana" w:eastAsia="Times New Roman" w:cs="Arial"/>
          <w:sz w:val="18"/>
          <w:szCs w:val="18"/>
          <w:lang w:eastAsia="nl-NL"/>
        </w:rPr>
      </w:pPr>
      <w:r w:rsidRPr="00C47325">
        <w:rPr>
          <w:rFonts w:ascii="Verdana" w:hAnsi="Verdana" w:eastAsia="Times New Roman" w:cs="Arial"/>
          <w:sz w:val="18"/>
          <w:szCs w:val="18"/>
          <w:lang w:eastAsia="nl-NL"/>
        </w:rPr>
        <w:t xml:space="preserve">Artikel </w:t>
      </w:r>
      <w:r w:rsidR="000C1552">
        <w:rPr>
          <w:rFonts w:ascii="Verdana" w:hAnsi="Verdana" w:eastAsia="Times New Roman" w:cs="Arial"/>
          <w:sz w:val="18"/>
          <w:szCs w:val="18"/>
          <w:lang w:eastAsia="nl-NL"/>
        </w:rPr>
        <w:t>57</w:t>
      </w:r>
      <w:r w:rsidRPr="00C47325" w:rsidR="000C1552">
        <w:rPr>
          <w:rFonts w:ascii="Verdana" w:hAnsi="Verdana" w:eastAsia="Times New Roman" w:cs="Arial"/>
          <w:sz w:val="18"/>
          <w:szCs w:val="18"/>
          <w:lang w:eastAsia="nl-NL"/>
        </w:rPr>
        <w:t xml:space="preserve"> </w:t>
      </w:r>
      <w:proofErr w:type="spellStart"/>
      <w:r w:rsidRPr="00C47325" w:rsidR="00D3260B">
        <w:rPr>
          <w:rFonts w:ascii="Verdana" w:hAnsi="Verdana"/>
          <w:sz w:val="18"/>
          <w:szCs w:val="18"/>
        </w:rPr>
        <w:t>Cbw</w:t>
      </w:r>
      <w:proofErr w:type="spellEnd"/>
      <w:r w:rsidRPr="00C47325">
        <w:rPr>
          <w:rFonts w:ascii="Verdana" w:hAnsi="Verdana" w:eastAsia="Times New Roman" w:cs="Arial"/>
          <w:sz w:val="18"/>
          <w:szCs w:val="18"/>
          <w:lang w:eastAsia="nl-NL"/>
        </w:rPr>
        <w:t xml:space="preserve"> strekt tot de implementatie van artikel 32, tiende lid, en artikel 33, zesde lid, NIS2-richtlijn.</w:t>
      </w:r>
      <w:r w:rsidRPr="00C47325" w:rsidR="0071011B">
        <w:rPr>
          <w:rFonts w:ascii="Verdana" w:hAnsi="Verdana" w:eastAsia="Times New Roman" w:cs="Arial"/>
          <w:sz w:val="18"/>
          <w:szCs w:val="18"/>
          <w:lang w:eastAsia="nl-NL"/>
        </w:rPr>
        <w:t xml:space="preserve"> De bevoegde autoriteiten kunnen de lijst van kritieke derde aanbieders van ICT-diensten die op grond van artikel 31, negende lid, Verordening betreffende digitale operationele weerbaarheid voor de financiële sector door de</w:t>
      </w:r>
      <w:r w:rsidRPr="00101607" w:rsidR="00101607">
        <w:t xml:space="preserve"> </w:t>
      </w:r>
      <w:r w:rsidRPr="00101607" w:rsidR="00101607">
        <w:rPr>
          <w:rFonts w:ascii="Verdana" w:hAnsi="Verdana" w:eastAsia="Times New Roman" w:cs="Arial"/>
          <w:sz w:val="18"/>
          <w:szCs w:val="18"/>
          <w:lang w:eastAsia="nl-NL"/>
        </w:rPr>
        <w:t>Europese toezichthoudende autoriteiten</w:t>
      </w:r>
      <w:r w:rsidRPr="00C47325" w:rsidR="0071011B">
        <w:rPr>
          <w:rFonts w:ascii="Verdana" w:hAnsi="Verdana" w:eastAsia="Times New Roman" w:cs="Arial"/>
          <w:sz w:val="18"/>
          <w:szCs w:val="18"/>
          <w:lang w:eastAsia="nl-NL"/>
        </w:rPr>
        <w:t xml:space="preserve"> wordt opgesteld en geactualiseerd</w:t>
      </w:r>
      <w:r w:rsidR="00064853">
        <w:rPr>
          <w:rFonts w:ascii="Verdana" w:hAnsi="Verdana" w:eastAsia="Times New Roman" w:cs="Arial"/>
          <w:sz w:val="18"/>
          <w:szCs w:val="18"/>
          <w:lang w:eastAsia="nl-NL"/>
        </w:rPr>
        <w:t>,</w:t>
      </w:r>
      <w:r w:rsidRPr="00C47325" w:rsidR="0071011B">
        <w:rPr>
          <w:rFonts w:ascii="Verdana" w:hAnsi="Verdana" w:eastAsia="Times New Roman" w:cs="Arial"/>
          <w:sz w:val="18"/>
          <w:szCs w:val="18"/>
          <w:lang w:eastAsia="nl-NL"/>
        </w:rPr>
        <w:t xml:space="preserve"> gebruiken om dergelijke aanbieders ten behoeve van artikel </w:t>
      </w:r>
      <w:r w:rsidR="000C1552">
        <w:rPr>
          <w:rFonts w:ascii="Verdana" w:hAnsi="Verdana" w:eastAsia="Times New Roman" w:cs="Arial"/>
          <w:sz w:val="18"/>
          <w:szCs w:val="18"/>
          <w:lang w:eastAsia="nl-NL"/>
        </w:rPr>
        <w:t>57</w:t>
      </w:r>
      <w:r w:rsidRPr="00C47325" w:rsidR="0071011B">
        <w:rPr>
          <w:rFonts w:ascii="Verdana" w:hAnsi="Verdana" w:eastAsia="Times New Roman" w:cs="Arial"/>
          <w:sz w:val="18"/>
          <w:szCs w:val="18"/>
          <w:lang w:eastAsia="nl-NL"/>
        </w:rPr>
        <w:t xml:space="preserve">, tweede lid, </w:t>
      </w:r>
      <w:proofErr w:type="spellStart"/>
      <w:r w:rsidRPr="00C47325" w:rsidR="00606E4E">
        <w:rPr>
          <w:rFonts w:ascii="Verdana" w:hAnsi="Verdana"/>
          <w:sz w:val="18"/>
          <w:szCs w:val="18"/>
        </w:rPr>
        <w:t>Cbw</w:t>
      </w:r>
      <w:proofErr w:type="spellEnd"/>
      <w:r w:rsidRPr="00C47325" w:rsidR="0071011B">
        <w:rPr>
          <w:rFonts w:ascii="Verdana" w:hAnsi="Verdana" w:eastAsia="Times New Roman" w:cs="Arial"/>
          <w:sz w:val="18"/>
          <w:szCs w:val="18"/>
          <w:lang w:eastAsia="nl-NL"/>
        </w:rPr>
        <w:t xml:space="preserve"> te identificeren.</w:t>
      </w:r>
    </w:p>
    <w:p w:rsidRPr="00C47325" w:rsidR="00CE333A" w:rsidP="00CE333A" w:rsidRDefault="00CE333A" w14:paraId="52A2F959" w14:textId="77777777">
      <w:pPr>
        <w:pStyle w:val="Geenafstand"/>
        <w:rPr>
          <w:rFonts w:ascii="Verdana" w:hAnsi="Verdana"/>
          <w:sz w:val="18"/>
          <w:szCs w:val="18"/>
        </w:rPr>
      </w:pPr>
    </w:p>
    <w:p w:rsidRPr="00BD3C4A" w:rsidR="00155394" w:rsidP="00155394" w:rsidRDefault="00155394" w14:paraId="31E11ED7" w14:textId="0EE14862">
      <w:pPr>
        <w:pStyle w:val="Default"/>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58</w:t>
      </w:r>
      <w:r w:rsidRPr="00BD3C4A">
        <w:rPr>
          <w:rFonts w:ascii="Verdana" w:hAnsi="Verdana"/>
          <w:b/>
          <w:bCs/>
          <w:sz w:val="18"/>
          <w:szCs w:val="18"/>
        </w:rPr>
        <w:t xml:space="preserve"> (samenwerking met toezichthoudende autoriteiten in het kader van inbreuken in verband met persoonsgegevens)</w:t>
      </w:r>
    </w:p>
    <w:p w:rsidRPr="00C47325" w:rsidR="00CE333A" w:rsidP="00CE333A" w:rsidRDefault="00CE333A" w14:paraId="529DEDDA" w14:textId="77777777">
      <w:pPr>
        <w:pStyle w:val="Default"/>
        <w:tabs>
          <w:tab w:val="left" w:pos="2646"/>
        </w:tabs>
        <w:rPr>
          <w:rFonts w:ascii="Verdana" w:hAnsi="Verdana"/>
          <w:color w:val="auto"/>
          <w:sz w:val="18"/>
          <w:szCs w:val="18"/>
        </w:rPr>
      </w:pPr>
    </w:p>
    <w:p w:rsidRPr="00C47325" w:rsidR="00CE333A" w:rsidP="00CE333A" w:rsidRDefault="00CE333A" w14:paraId="0FBAAB9A" w14:textId="150C38F6">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58</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w:t>
      </w:r>
      <w:r w:rsidRPr="00C47325" w:rsidR="009E579D">
        <w:rPr>
          <w:rFonts w:ascii="Verdana" w:hAnsi="Verdana"/>
          <w:sz w:val="18"/>
          <w:szCs w:val="18"/>
        </w:rPr>
        <w:t xml:space="preserve">de </w:t>
      </w:r>
      <w:r w:rsidRPr="00C47325">
        <w:rPr>
          <w:rFonts w:ascii="Verdana" w:hAnsi="Verdana"/>
          <w:sz w:val="18"/>
          <w:szCs w:val="18"/>
        </w:rPr>
        <w:t>artikel</w:t>
      </w:r>
      <w:r w:rsidRPr="00C47325" w:rsidR="009E579D">
        <w:rPr>
          <w:rFonts w:ascii="Verdana" w:hAnsi="Verdana"/>
          <w:sz w:val="18"/>
          <w:szCs w:val="18"/>
        </w:rPr>
        <w:t>en</w:t>
      </w:r>
      <w:r w:rsidRPr="00C47325">
        <w:rPr>
          <w:rFonts w:ascii="Verdana" w:hAnsi="Verdana"/>
          <w:sz w:val="18"/>
          <w:szCs w:val="18"/>
        </w:rPr>
        <w:t xml:space="preserve"> 31, derde lid, en 35 NIS2-richtlijn. </w:t>
      </w:r>
    </w:p>
    <w:p w:rsidRPr="00C47325" w:rsidR="00CE333A" w:rsidP="00CE333A" w:rsidRDefault="00CE333A" w14:paraId="0755D98A" w14:textId="77777777">
      <w:pPr>
        <w:spacing w:after="0" w:line="240" w:lineRule="auto"/>
        <w:rPr>
          <w:rFonts w:ascii="Verdana" w:hAnsi="Verdana"/>
          <w:sz w:val="18"/>
          <w:szCs w:val="18"/>
        </w:rPr>
      </w:pPr>
    </w:p>
    <w:p w:rsidRPr="00C47325" w:rsidR="00CE333A" w:rsidP="00CE333A" w:rsidRDefault="00CE333A" w14:paraId="03872527" w14:textId="1C1A405C">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58</w:t>
      </w:r>
      <w:r w:rsidRPr="00C47325">
        <w:rPr>
          <w:rFonts w:ascii="Verdana" w:hAnsi="Verdana"/>
          <w:sz w:val="18"/>
          <w:szCs w:val="18"/>
        </w:rPr>
        <w:t xml:space="preserve">, eerste lid,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ziet op de samenwerking tussen de bevoegde autoriteit met de toezichthoudende autoriteiten uit hoofde van de </w:t>
      </w:r>
      <w:proofErr w:type="spellStart"/>
      <w:r w:rsidRPr="00C47325" w:rsidR="005020A0">
        <w:rPr>
          <w:rFonts w:ascii="Verdana" w:hAnsi="Verdana"/>
          <w:sz w:val="18"/>
          <w:szCs w:val="18"/>
        </w:rPr>
        <w:t>Avg</w:t>
      </w:r>
      <w:proofErr w:type="spellEnd"/>
      <w:r w:rsidRPr="00C47325">
        <w:rPr>
          <w:rFonts w:ascii="Verdana" w:hAnsi="Verdana"/>
          <w:sz w:val="18"/>
          <w:szCs w:val="18"/>
        </w:rPr>
        <w:t xml:space="preserve">. </w:t>
      </w:r>
    </w:p>
    <w:p w:rsidRPr="00C47325" w:rsidR="00CE333A" w:rsidP="00CE333A" w:rsidRDefault="00CE333A" w14:paraId="72A90E79" w14:textId="77777777">
      <w:pPr>
        <w:spacing w:after="0" w:line="240" w:lineRule="auto"/>
        <w:rPr>
          <w:rFonts w:ascii="Verdana" w:hAnsi="Verdana"/>
          <w:sz w:val="18"/>
          <w:szCs w:val="18"/>
        </w:rPr>
      </w:pPr>
    </w:p>
    <w:p w:rsidRPr="00C47325" w:rsidR="00CE333A" w:rsidP="00CE333A" w:rsidRDefault="00CE333A" w14:paraId="5A9D38D5" w14:textId="6AB45941">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58</w:t>
      </w:r>
      <w:r w:rsidRPr="00C47325">
        <w:rPr>
          <w:rFonts w:ascii="Verdana" w:hAnsi="Verdana"/>
          <w:sz w:val="18"/>
          <w:szCs w:val="18"/>
        </w:rPr>
        <w:t xml:space="preserve">, tweede lid,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gaat over overtredingen van de zorgplicht en van de meldplicht die een inbreuk in verband met persoonsgegevens kunnen inhouden. Hierin is bepaald dat wanneer de bevoegde autoriteit bij toezicht of handhaving er kennis van krijgt dat een overtreding van de zorgplicht of van de meldplicht een inbreuk in verband met persoonsgegevens kan inhouden</w:t>
      </w:r>
      <w:r w:rsidRPr="00C47325" w:rsidR="00703847">
        <w:rPr>
          <w:rFonts w:ascii="Verdana" w:hAnsi="Verdana"/>
          <w:sz w:val="18"/>
          <w:szCs w:val="18"/>
        </w:rPr>
        <w:t xml:space="preserve"> die op grond van artikel 33 </w:t>
      </w:r>
      <w:proofErr w:type="spellStart"/>
      <w:r w:rsidRPr="00C47325" w:rsidR="005020A0">
        <w:rPr>
          <w:rFonts w:ascii="Verdana" w:hAnsi="Verdana"/>
          <w:sz w:val="18"/>
          <w:szCs w:val="18"/>
        </w:rPr>
        <w:t>Avg</w:t>
      </w:r>
      <w:proofErr w:type="spellEnd"/>
      <w:r w:rsidRPr="00C47325" w:rsidR="00703847">
        <w:rPr>
          <w:rFonts w:ascii="Verdana" w:hAnsi="Verdana"/>
          <w:sz w:val="18"/>
          <w:szCs w:val="18"/>
        </w:rPr>
        <w:t xml:space="preserve"> gemeld zou moeten worden</w:t>
      </w:r>
      <w:r w:rsidRPr="00C47325">
        <w:rPr>
          <w:rFonts w:ascii="Verdana" w:hAnsi="Verdana"/>
          <w:sz w:val="18"/>
          <w:szCs w:val="18"/>
        </w:rPr>
        <w:t xml:space="preserve">, zij de bevoegde toezichthoudende autoriteiten als bedoeld in de artikelen 55 en 56 </w:t>
      </w:r>
      <w:proofErr w:type="spellStart"/>
      <w:r w:rsidRPr="00C47325" w:rsidR="005020A0">
        <w:rPr>
          <w:rFonts w:ascii="Verdana" w:hAnsi="Verdana"/>
          <w:sz w:val="18"/>
          <w:szCs w:val="18"/>
        </w:rPr>
        <w:t>Avg</w:t>
      </w:r>
      <w:proofErr w:type="spellEnd"/>
      <w:r w:rsidRPr="00C47325">
        <w:rPr>
          <w:rFonts w:ascii="Verdana" w:hAnsi="Verdana"/>
          <w:sz w:val="18"/>
          <w:szCs w:val="18"/>
        </w:rPr>
        <w:t xml:space="preserve"> onverwijld daarvan in kennis moet stellen. </w:t>
      </w:r>
    </w:p>
    <w:p w:rsidRPr="00C47325" w:rsidR="009E579D" w:rsidP="00CE333A" w:rsidRDefault="009E579D" w14:paraId="75BE9A03" w14:textId="77777777">
      <w:pPr>
        <w:spacing w:after="0" w:line="240" w:lineRule="auto"/>
        <w:rPr>
          <w:rFonts w:ascii="Verdana" w:hAnsi="Verdana"/>
          <w:sz w:val="18"/>
          <w:szCs w:val="18"/>
        </w:rPr>
      </w:pPr>
    </w:p>
    <w:p w:rsidRPr="00C47325" w:rsidR="009E579D" w:rsidP="00CE333A" w:rsidRDefault="009E579D" w14:paraId="7EDB9A9D" w14:textId="7ACC9111">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58</w:t>
      </w:r>
      <w:r w:rsidRPr="00C47325">
        <w:rPr>
          <w:rFonts w:ascii="Verdana" w:hAnsi="Verdana"/>
          <w:sz w:val="18"/>
          <w:szCs w:val="18"/>
        </w:rPr>
        <w:t xml:space="preserve">, derde lid, </w:t>
      </w:r>
      <w:proofErr w:type="spellStart"/>
      <w:r w:rsidRPr="00C47325">
        <w:rPr>
          <w:rFonts w:ascii="Verdana" w:hAnsi="Verdana"/>
          <w:sz w:val="18"/>
          <w:szCs w:val="18"/>
        </w:rPr>
        <w:t>Cbw</w:t>
      </w:r>
      <w:proofErr w:type="spellEnd"/>
      <w:r w:rsidRPr="00C47325">
        <w:rPr>
          <w:rFonts w:ascii="Verdana" w:hAnsi="Verdana"/>
          <w:sz w:val="18"/>
          <w:szCs w:val="18"/>
        </w:rPr>
        <w:t xml:space="preserve"> </w:t>
      </w:r>
      <w:r w:rsidRPr="00C47325" w:rsidR="00CF1D8A">
        <w:rPr>
          <w:rFonts w:ascii="Verdana" w:hAnsi="Verdana"/>
          <w:sz w:val="18"/>
          <w:szCs w:val="18"/>
        </w:rPr>
        <w:t xml:space="preserve">strekt tot de implementatie van artikel 35, tweede lid, NIS2-richtlijn. Deze bepaling gaat over de gevallen waarin één gedraging zowel een inbreuk in verband met persoonsgegevens als bedoeld in artikel 4, onderdeel 12, </w:t>
      </w:r>
      <w:proofErr w:type="spellStart"/>
      <w:r w:rsidRPr="00C47325" w:rsidR="00CF1D8A">
        <w:rPr>
          <w:rFonts w:ascii="Verdana" w:hAnsi="Verdana"/>
          <w:sz w:val="18"/>
          <w:szCs w:val="18"/>
        </w:rPr>
        <w:t>Avg</w:t>
      </w:r>
      <w:proofErr w:type="spellEnd"/>
      <w:r w:rsidRPr="00C47325" w:rsidR="00CF1D8A">
        <w:rPr>
          <w:rFonts w:ascii="Verdana" w:hAnsi="Verdana"/>
          <w:sz w:val="18"/>
          <w:szCs w:val="18"/>
        </w:rPr>
        <w:t xml:space="preserve"> inhoudt, als een schending van een verplichting uit de </w:t>
      </w:r>
      <w:proofErr w:type="spellStart"/>
      <w:r w:rsidRPr="00C47325" w:rsidR="00CF1D8A">
        <w:rPr>
          <w:rFonts w:ascii="Verdana" w:hAnsi="Verdana"/>
          <w:sz w:val="18"/>
          <w:szCs w:val="18"/>
        </w:rPr>
        <w:t>Cbw</w:t>
      </w:r>
      <w:proofErr w:type="spellEnd"/>
      <w:r w:rsidRPr="00C47325" w:rsidR="00CF1D8A">
        <w:rPr>
          <w:rFonts w:ascii="Verdana" w:hAnsi="Verdana"/>
          <w:sz w:val="18"/>
          <w:szCs w:val="18"/>
        </w:rPr>
        <w:t xml:space="preserve">. Als de AP of een andere bevoegde toezichthoudende autoriteit, bedoeld in de artikelen 55 en 56 </w:t>
      </w:r>
      <w:proofErr w:type="spellStart"/>
      <w:r w:rsidRPr="00C47325" w:rsidR="00CF1D8A">
        <w:rPr>
          <w:rFonts w:ascii="Verdana" w:hAnsi="Verdana"/>
          <w:sz w:val="18"/>
          <w:szCs w:val="18"/>
        </w:rPr>
        <w:t>Avg</w:t>
      </w:r>
      <w:proofErr w:type="spellEnd"/>
      <w:r w:rsidRPr="00C47325" w:rsidR="00CF1D8A">
        <w:rPr>
          <w:rFonts w:ascii="Verdana" w:hAnsi="Verdana"/>
          <w:sz w:val="18"/>
          <w:szCs w:val="18"/>
        </w:rPr>
        <w:t xml:space="preserve">, in zulke gevallen al een bestuurlijke boete heeft opgelegd </w:t>
      </w:r>
      <w:r w:rsidRPr="00C47325" w:rsidR="003303DF">
        <w:rPr>
          <w:rFonts w:ascii="Verdana" w:hAnsi="Verdana"/>
          <w:sz w:val="18"/>
          <w:szCs w:val="18"/>
        </w:rPr>
        <w:t xml:space="preserve">voor de inbreuk in verband met persoonsgegevens, </w:t>
      </w:r>
      <w:r w:rsidRPr="00C47325" w:rsidR="00CF1D8A">
        <w:rPr>
          <w:rFonts w:ascii="Verdana" w:hAnsi="Verdana"/>
          <w:sz w:val="18"/>
          <w:szCs w:val="18"/>
        </w:rPr>
        <w:t xml:space="preserve">dan mag de bevoegde autoriteit, bedoeld in de </w:t>
      </w:r>
      <w:proofErr w:type="spellStart"/>
      <w:r w:rsidRPr="00C47325" w:rsidR="00CF1D8A">
        <w:rPr>
          <w:rFonts w:ascii="Verdana" w:hAnsi="Verdana"/>
          <w:sz w:val="18"/>
          <w:szCs w:val="18"/>
        </w:rPr>
        <w:t>Cbw</w:t>
      </w:r>
      <w:proofErr w:type="spellEnd"/>
      <w:r w:rsidRPr="00C47325" w:rsidR="00CF1D8A">
        <w:rPr>
          <w:rFonts w:ascii="Verdana" w:hAnsi="Verdana"/>
          <w:sz w:val="18"/>
          <w:szCs w:val="18"/>
        </w:rPr>
        <w:t xml:space="preserve">, </w:t>
      </w:r>
      <w:r w:rsidRPr="00C47325" w:rsidR="003303DF">
        <w:rPr>
          <w:rFonts w:ascii="Verdana" w:hAnsi="Verdana"/>
          <w:sz w:val="18"/>
          <w:szCs w:val="18"/>
        </w:rPr>
        <w:t xml:space="preserve">voor diezelfde gedraging </w:t>
      </w:r>
      <w:r w:rsidRPr="00C47325" w:rsidR="00CF1D8A">
        <w:rPr>
          <w:rFonts w:ascii="Verdana" w:hAnsi="Verdana"/>
          <w:sz w:val="18"/>
          <w:szCs w:val="18"/>
        </w:rPr>
        <w:t xml:space="preserve">geen bestuurlijke boete opleggen op grond van de </w:t>
      </w:r>
      <w:proofErr w:type="spellStart"/>
      <w:r w:rsidRPr="00C47325" w:rsidR="00CF1D8A">
        <w:rPr>
          <w:rFonts w:ascii="Verdana" w:hAnsi="Verdana"/>
          <w:sz w:val="18"/>
          <w:szCs w:val="18"/>
        </w:rPr>
        <w:t>Cbw</w:t>
      </w:r>
      <w:proofErr w:type="spellEnd"/>
      <w:r w:rsidRPr="00C47325" w:rsidR="00CF1D8A">
        <w:rPr>
          <w:rFonts w:ascii="Verdana" w:hAnsi="Verdana"/>
          <w:sz w:val="18"/>
          <w:szCs w:val="18"/>
        </w:rPr>
        <w:t xml:space="preserve"> in verband met de schending van een verplichting uit de </w:t>
      </w:r>
      <w:proofErr w:type="spellStart"/>
      <w:r w:rsidRPr="00C47325" w:rsidR="00CF1D8A">
        <w:rPr>
          <w:rFonts w:ascii="Verdana" w:hAnsi="Verdana"/>
          <w:sz w:val="18"/>
          <w:szCs w:val="18"/>
        </w:rPr>
        <w:t>Cbw</w:t>
      </w:r>
      <w:proofErr w:type="spellEnd"/>
      <w:r w:rsidRPr="00C47325" w:rsidR="00CF1D8A">
        <w:rPr>
          <w:rFonts w:ascii="Verdana" w:hAnsi="Verdana"/>
          <w:sz w:val="18"/>
          <w:szCs w:val="18"/>
        </w:rPr>
        <w:t xml:space="preserve">. Overigens, zoals ook is bepaald in artikel 35, tweede lid, NIS2-richtlijn, </w:t>
      </w:r>
      <w:r w:rsidRPr="00C47325" w:rsidR="00427053">
        <w:rPr>
          <w:rFonts w:ascii="Verdana" w:hAnsi="Verdana"/>
          <w:sz w:val="18"/>
          <w:szCs w:val="18"/>
        </w:rPr>
        <w:t xml:space="preserve">blijft </w:t>
      </w:r>
      <w:r w:rsidRPr="00C47325" w:rsidR="00CF1D8A">
        <w:rPr>
          <w:rFonts w:ascii="Verdana" w:hAnsi="Verdana"/>
          <w:sz w:val="18"/>
          <w:szCs w:val="18"/>
        </w:rPr>
        <w:t xml:space="preserve">de bevoegde autoriteit </w:t>
      </w:r>
      <w:r w:rsidRPr="00C47325" w:rsidR="00427053">
        <w:rPr>
          <w:rFonts w:ascii="Verdana" w:hAnsi="Verdana"/>
          <w:sz w:val="18"/>
          <w:szCs w:val="18"/>
        </w:rPr>
        <w:t xml:space="preserve">bevoegd om andere </w:t>
      </w:r>
      <w:r w:rsidRPr="00C47325" w:rsidR="00CF1D8A">
        <w:rPr>
          <w:rFonts w:ascii="Verdana" w:hAnsi="Verdana"/>
          <w:sz w:val="18"/>
          <w:szCs w:val="18"/>
        </w:rPr>
        <w:t>handhavingsmaatregelen</w:t>
      </w:r>
      <w:r w:rsidRPr="00C47325" w:rsidR="00427053">
        <w:rPr>
          <w:rFonts w:ascii="Verdana" w:hAnsi="Verdana"/>
          <w:sz w:val="18"/>
          <w:szCs w:val="18"/>
        </w:rPr>
        <w:t xml:space="preserve"> dan een bestuurlijke boete</w:t>
      </w:r>
      <w:r w:rsidRPr="00C47325" w:rsidR="00CF1D8A">
        <w:rPr>
          <w:rFonts w:ascii="Verdana" w:hAnsi="Verdana"/>
          <w:sz w:val="18"/>
          <w:szCs w:val="18"/>
        </w:rPr>
        <w:t xml:space="preserve"> (zoals een last onder dwangsom) op te leggen in geval van een </w:t>
      </w:r>
      <w:r w:rsidRPr="00C47325" w:rsidR="00704AAC">
        <w:rPr>
          <w:rFonts w:ascii="Verdana" w:hAnsi="Verdana"/>
          <w:sz w:val="18"/>
          <w:szCs w:val="18"/>
        </w:rPr>
        <w:t>schending</w:t>
      </w:r>
      <w:r w:rsidRPr="00C47325" w:rsidR="00CF1D8A">
        <w:rPr>
          <w:rFonts w:ascii="Verdana" w:hAnsi="Verdana"/>
          <w:sz w:val="18"/>
          <w:szCs w:val="18"/>
        </w:rPr>
        <w:t xml:space="preserve"> van een verplichting uit de </w:t>
      </w:r>
      <w:proofErr w:type="spellStart"/>
      <w:r w:rsidRPr="00C47325" w:rsidR="00CF1D8A">
        <w:rPr>
          <w:rFonts w:ascii="Verdana" w:hAnsi="Verdana"/>
          <w:sz w:val="18"/>
          <w:szCs w:val="18"/>
        </w:rPr>
        <w:t>Cbw</w:t>
      </w:r>
      <w:proofErr w:type="spellEnd"/>
      <w:r w:rsidRPr="00C47325" w:rsidR="00CF1D8A">
        <w:rPr>
          <w:rFonts w:ascii="Verdana" w:hAnsi="Verdana"/>
          <w:sz w:val="18"/>
          <w:szCs w:val="18"/>
        </w:rPr>
        <w:t>.</w:t>
      </w:r>
      <w:r w:rsidR="00E94F11">
        <w:rPr>
          <w:rFonts w:ascii="Verdana" w:hAnsi="Verdana"/>
          <w:sz w:val="18"/>
          <w:szCs w:val="18"/>
        </w:rPr>
        <w:t xml:space="preserve"> Eenzelfde gedraging kan onder de </w:t>
      </w:r>
      <w:proofErr w:type="spellStart"/>
      <w:r w:rsidR="00E94F11">
        <w:rPr>
          <w:rFonts w:ascii="Verdana" w:hAnsi="Verdana"/>
          <w:sz w:val="18"/>
          <w:szCs w:val="18"/>
        </w:rPr>
        <w:t>Cbw</w:t>
      </w:r>
      <w:proofErr w:type="spellEnd"/>
      <w:r w:rsidR="00E94F11">
        <w:rPr>
          <w:rFonts w:ascii="Verdana" w:hAnsi="Verdana"/>
          <w:sz w:val="18"/>
          <w:szCs w:val="18"/>
        </w:rPr>
        <w:t xml:space="preserve"> en de </w:t>
      </w:r>
      <w:proofErr w:type="spellStart"/>
      <w:r w:rsidR="00E94F11">
        <w:rPr>
          <w:rFonts w:ascii="Verdana" w:hAnsi="Verdana"/>
          <w:sz w:val="18"/>
          <w:szCs w:val="18"/>
        </w:rPr>
        <w:t>Avg</w:t>
      </w:r>
      <w:proofErr w:type="spellEnd"/>
      <w:r w:rsidR="00E94F11">
        <w:rPr>
          <w:rFonts w:ascii="Verdana" w:hAnsi="Verdana"/>
          <w:sz w:val="18"/>
          <w:szCs w:val="18"/>
        </w:rPr>
        <w:t xml:space="preserve"> tot een verschil in ernst van de overtreding en bijhorende gevolgen voor individuen en maatschappij leiden. Het ligt daarom in de rede dat de </w:t>
      </w:r>
      <w:r w:rsidR="00173B13">
        <w:rPr>
          <w:rFonts w:ascii="Verdana" w:hAnsi="Verdana"/>
          <w:sz w:val="18"/>
          <w:szCs w:val="18"/>
        </w:rPr>
        <w:t xml:space="preserve">AP </w:t>
      </w:r>
      <w:r w:rsidR="00E94F11">
        <w:rPr>
          <w:rFonts w:ascii="Verdana" w:hAnsi="Verdana"/>
          <w:sz w:val="18"/>
          <w:szCs w:val="18"/>
        </w:rPr>
        <w:t xml:space="preserve">en de toezichthouders onder de </w:t>
      </w:r>
      <w:proofErr w:type="spellStart"/>
      <w:r w:rsidR="00E94F11">
        <w:rPr>
          <w:rFonts w:ascii="Verdana" w:hAnsi="Verdana"/>
          <w:sz w:val="18"/>
          <w:szCs w:val="18"/>
        </w:rPr>
        <w:t>Cbw</w:t>
      </w:r>
      <w:proofErr w:type="spellEnd"/>
      <w:r w:rsidR="00E94F11">
        <w:rPr>
          <w:rFonts w:ascii="Verdana" w:hAnsi="Verdana"/>
          <w:sz w:val="18"/>
          <w:szCs w:val="18"/>
        </w:rPr>
        <w:t xml:space="preserve"> in overleg treden wanneer een in artikel 58, derde lid, </w:t>
      </w:r>
      <w:proofErr w:type="spellStart"/>
      <w:r w:rsidR="005150C2">
        <w:rPr>
          <w:rFonts w:ascii="Verdana" w:hAnsi="Verdana"/>
          <w:sz w:val="18"/>
          <w:szCs w:val="18"/>
        </w:rPr>
        <w:t>Cbw</w:t>
      </w:r>
      <w:proofErr w:type="spellEnd"/>
      <w:r w:rsidR="005150C2">
        <w:rPr>
          <w:rFonts w:ascii="Verdana" w:hAnsi="Verdana"/>
          <w:sz w:val="18"/>
          <w:szCs w:val="18"/>
        </w:rPr>
        <w:t xml:space="preserve"> </w:t>
      </w:r>
      <w:r w:rsidR="00E94F11">
        <w:rPr>
          <w:rFonts w:ascii="Verdana" w:hAnsi="Verdana"/>
          <w:sz w:val="18"/>
          <w:szCs w:val="18"/>
        </w:rPr>
        <w:t>bedoeld geval optreedt, alvorens een bestuurlijke boete wordt opgelegd, om zo ervoor te zorgen dat het opleggen van de boete door de een niet onevenredig afbreuk doet aan de mogelijkheid van de andere toezichthouder om doeltreffend, evenredig en afschrikkend te sanctioneren.</w:t>
      </w:r>
      <w:r w:rsidR="00E94F11">
        <w:rPr>
          <w:rStyle w:val="Voetnootmarkering"/>
          <w:rFonts w:ascii="Verdana" w:hAnsi="Verdana"/>
          <w:sz w:val="18"/>
          <w:szCs w:val="18"/>
        </w:rPr>
        <w:footnoteReference w:id="97"/>
      </w:r>
      <w:r w:rsidR="0095498E">
        <w:rPr>
          <w:rFonts w:ascii="Verdana" w:hAnsi="Verdana"/>
          <w:sz w:val="18"/>
          <w:szCs w:val="18"/>
        </w:rPr>
        <w:t xml:space="preserve"> </w:t>
      </w:r>
    </w:p>
    <w:p w:rsidRPr="00C47325" w:rsidR="00CE333A" w:rsidP="00CE333A" w:rsidRDefault="00CE333A" w14:paraId="5C9A2D67" w14:textId="77777777">
      <w:pPr>
        <w:spacing w:after="0" w:line="240" w:lineRule="auto"/>
        <w:rPr>
          <w:rFonts w:ascii="Verdana" w:hAnsi="Verdana"/>
          <w:sz w:val="18"/>
          <w:szCs w:val="18"/>
        </w:rPr>
      </w:pPr>
    </w:p>
    <w:p w:rsidRPr="00C47325" w:rsidR="00CE333A" w:rsidP="00CE333A" w:rsidRDefault="00CE333A" w14:paraId="21CCA315" w14:textId="2D9A9654">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58</w:t>
      </w:r>
      <w:r w:rsidRPr="00C47325">
        <w:rPr>
          <w:rFonts w:ascii="Verdana" w:hAnsi="Verdana"/>
          <w:sz w:val="18"/>
          <w:szCs w:val="18"/>
        </w:rPr>
        <w:t xml:space="preserve">, </w:t>
      </w:r>
      <w:r w:rsidRPr="00C47325" w:rsidR="009E579D">
        <w:rPr>
          <w:rFonts w:ascii="Verdana" w:hAnsi="Verdana"/>
          <w:sz w:val="18"/>
          <w:szCs w:val="18"/>
        </w:rPr>
        <w:t>vierde</w:t>
      </w:r>
      <w:r w:rsidRPr="00C47325">
        <w:rPr>
          <w:rFonts w:ascii="Verdana" w:hAnsi="Verdana"/>
          <w:sz w:val="18"/>
          <w:szCs w:val="18"/>
        </w:rPr>
        <w:t xml:space="preserve"> lid,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ziet op de gevallen waarin de op grond van de </w:t>
      </w:r>
      <w:proofErr w:type="spellStart"/>
      <w:r w:rsidRPr="00C47325" w:rsidR="005020A0">
        <w:rPr>
          <w:rFonts w:ascii="Verdana" w:hAnsi="Verdana"/>
          <w:sz w:val="18"/>
          <w:szCs w:val="18"/>
        </w:rPr>
        <w:t>Avg</w:t>
      </w:r>
      <w:proofErr w:type="spellEnd"/>
      <w:r w:rsidRPr="00C47325">
        <w:rPr>
          <w:rFonts w:ascii="Verdana" w:hAnsi="Verdana"/>
          <w:sz w:val="18"/>
          <w:szCs w:val="18"/>
        </w:rPr>
        <w:t xml:space="preserve"> bevoegde toezichthoudende autoriteit in een andere lidstaat dan in Nederland is gevestigd. De bevoegde autoriteit moet dan de in Nederland gevestigde toezichthoudende autoriteit in kennis stellen van de potentiële inbreuk in verband met persoonsgegevens.</w:t>
      </w:r>
    </w:p>
    <w:p w:rsidRPr="00C47325" w:rsidR="00CE333A" w:rsidP="00CE333A" w:rsidRDefault="00CE333A" w14:paraId="42992E3A" w14:textId="77777777">
      <w:pPr>
        <w:pStyle w:val="Default"/>
        <w:tabs>
          <w:tab w:val="left" w:pos="2646"/>
        </w:tabs>
        <w:rPr>
          <w:rFonts w:ascii="Verdana" w:hAnsi="Verdana"/>
          <w:color w:val="auto"/>
          <w:sz w:val="18"/>
          <w:szCs w:val="18"/>
        </w:rPr>
      </w:pPr>
    </w:p>
    <w:p w:rsidRPr="00BD3C4A" w:rsidR="00155394" w:rsidP="00155394" w:rsidRDefault="00155394" w14:paraId="6F43D6C8" w14:textId="3CEF5940">
      <w:pPr>
        <w:pStyle w:val="Geenafstand"/>
        <w:rPr>
          <w:rFonts w:ascii="Verdana" w:hAnsi="Verdana"/>
          <w:sz w:val="18"/>
          <w:szCs w:val="18"/>
        </w:rPr>
      </w:pPr>
      <w:r w:rsidRPr="00BD3C4A">
        <w:rPr>
          <w:rFonts w:ascii="Verdana" w:hAnsi="Verdana"/>
          <w:b/>
          <w:bCs/>
          <w:sz w:val="18"/>
          <w:szCs w:val="18"/>
        </w:rPr>
        <w:t xml:space="preserve">Artikel </w:t>
      </w:r>
      <w:r>
        <w:rPr>
          <w:rFonts w:ascii="Verdana" w:hAnsi="Verdana"/>
          <w:b/>
          <w:bCs/>
          <w:sz w:val="18"/>
          <w:szCs w:val="18"/>
        </w:rPr>
        <w:t>59</w:t>
      </w:r>
      <w:r w:rsidRPr="00BD3C4A">
        <w:rPr>
          <w:rFonts w:ascii="Verdana" w:hAnsi="Verdana"/>
          <w:b/>
          <w:bCs/>
          <w:sz w:val="18"/>
          <w:szCs w:val="18"/>
        </w:rPr>
        <w:t xml:space="preserve"> (informatie-uitwisseling met andere bevoegde autoriteiten)</w:t>
      </w:r>
    </w:p>
    <w:p w:rsidRPr="00C47325" w:rsidR="00CE333A" w:rsidP="00CE333A" w:rsidRDefault="00CE333A" w14:paraId="569D691E" w14:textId="77777777">
      <w:pPr>
        <w:spacing w:after="0" w:line="240" w:lineRule="auto"/>
        <w:rPr>
          <w:rFonts w:ascii="Verdana" w:hAnsi="Verdana"/>
          <w:sz w:val="18"/>
          <w:szCs w:val="18"/>
        </w:rPr>
      </w:pPr>
    </w:p>
    <w:p w:rsidRPr="00C47325" w:rsidR="00CE333A" w:rsidP="00CE333A" w:rsidRDefault="00CE333A" w14:paraId="6FD695A3" w14:textId="3572A032">
      <w:pPr>
        <w:spacing w:after="0" w:line="240" w:lineRule="auto"/>
        <w:rPr>
          <w:rFonts w:ascii="Verdana" w:hAnsi="Verdana"/>
          <w:b/>
          <w:bCs/>
          <w:sz w:val="18"/>
          <w:szCs w:val="18"/>
        </w:rPr>
      </w:pPr>
      <w:r w:rsidRPr="00C47325">
        <w:rPr>
          <w:rFonts w:ascii="Verdana" w:hAnsi="Verdana"/>
          <w:sz w:val="18"/>
          <w:szCs w:val="18"/>
        </w:rPr>
        <w:t xml:space="preserve">Artikel </w:t>
      </w:r>
      <w:r w:rsidR="000C1552">
        <w:rPr>
          <w:rFonts w:ascii="Verdana" w:hAnsi="Verdana"/>
          <w:sz w:val="18"/>
          <w:szCs w:val="18"/>
        </w:rPr>
        <w:t>59</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artikel 13, vijfde lid, NIS2-richtlijn.</w:t>
      </w:r>
    </w:p>
    <w:p w:rsidRPr="00C47325" w:rsidR="00CE333A" w:rsidP="00CE333A" w:rsidRDefault="00CE333A" w14:paraId="16378414" w14:textId="77777777">
      <w:pPr>
        <w:pStyle w:val="Geenafstand"/>
        <w:rPr>
          <w:rFonts w:ascii="Verdana" w:hAnsi="Verdana"/>
          <w:b/>
          <w:bCs/>
          <w:sz w:val="18"/>
          <w:szCs w:val="18"/>
          <w:u w:val="single"/>
        </w:rPr>
      </w:pPr>
    </w:p>
    <w:p w:rsidRPr="00BD3C4A" w:rsidR="00155394" w:rsidP="00155394" w:rsidRDefault="00155394" w14:paraId="393A4D36" w14:textId="453FBB99">
      <w:pPr>
        <w:pStyle w:val="Geenafstand"/>
        <w:rPr>
          <w:rFonts w:ascii="Verdana" w:hAnsi="Verdana"/>
          <w:sz w:val="18"/>
          <w:szCs w:val="18"/>
        </w:rPr>
      </w:pPr>
      <w:r w:rsidRPr="00BD3C4A">
        <w:rPr>
          <w:rFonts w:ascii="Verdana" w:hAnsi="Verdana"/>
          <w:b/>
          <w:bCs/>
          <w:sz w:val="18"/>
          <w:szCs w:val="18"/>
        </w:rPr>
        <w:t xml:space="preserve">Artikel </w:t>
      </w:r>
      <w:r>
        <w:rPr>
          <w:rFonts w:ascii="Verdana" w:hAnsi="Verdana"/>
          <w:b/>
          <w:bCs/>
          <w:sz w:val="18"/>
          <w:szCs w:val="18"/>
        </w:rPr>
        <w:t>60</w:t>
      </w:r>
      <w:r w:rsidRPr="00BD3C4A">
        <w:rPr>
          <w:rFonts w:ascii="Verdana" w:hAnsi="Verdana"/>
          <w:b/>
          <w:bCs/>
          <w:sz w:val="18"/>
          <w:szCs w:val="18"/>
        </w:rPr>
        <w:t xml:space="preserve"> (samenwerking met en bijstandsverzoek van de bevoegde autoriteit van een andere lidstaat van de Europese Unie)</w:t>
      </w:r>
    </w:p>
    <w:p w:rsidRPr="00C47325" w:rsidR="00CE333A" w:rsidP="00CE333A" w:rsidRDefault="00CE333A" w14:paraId="327B28D9" w14:textId="77777777">
      <w:pPr>
        <w:pStyle w:val="Geenafstand"/>
        <w:rPr>
          <w:rFonts w:ascii="Verdana" w:hAnsi="Verdana"/>
          <w:sz w:val="18"/>
          <w:szCs w:val="18"/>
        </w:rPr>
      </w:pPr>
    </w:p>
    <w:p w:rsidRPr="00C47325" w:rsidR="00CE333A" w:rsidP="00CE333A" w:rsidRDefault="00CE333A" w14:paraId="39DAC999" w14:textId="12AB5F27">
      <w:pPr>
        <w:spacing w:after="0" w:line="240" w:lineRule="auto"/>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60</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betreft de implementatie van artikel 37 NIS2-richtlijn en ziet specifiek op de samenwerking van de Nederlandse bevoegde autoriteit met de bevoegde autoriteiten van de NIS2-richtlijn van andere lidstaten. De samenwerking houdt onder meer in dat de bevoegde autoriteiten elkaar via het centrale contactpunt informeren over genomen toezicht- en handhavingsmaatregelen met betrekking tot de in artikel </w:t>
      </w:r>
      <w:r w:rsidR="000C1552">
        <w:rPr>
          <w:rFonts w:ascii="Verdana" w:hAnsi="Verdana"/>
          <w:sz w:val="18"/>
          <w:szCs w:val="18"/>
        </w:rPr>
        <w:t>60</w:t>
      </w:r>
      <w:r w:rsidRPr="00C47325">
        <w:rPr>
          <w:rFonts w:ascii="Verdana" w:hAnsi="Verdana"/>
          <w:sz w:val="18"/>
          <w:szCs w:val="18"/>
        </w:rPr>
        <w:t xml:space="preserve">, eerste lid,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genoemde entiteiten.</w:t>
      </w:r>
    </w:p>
    <w:p w:rsidRPr="00C47325" w:rsidR="00CE333A" w:rsidP="00CE333A" w:rsidRDefault="00CE333A" w14:paraId="1974D856" w14:textId="77777777">
      <w:pPr>
        <w:spacing w:after="0" w:line="240" w:lineRule="auto"/>
        <w:rPr>
          <w:rFonts w:ascii="Verdana" w:hAnsi="Verdana"/>
          <w:sz w:val="18"/>
          <w:szCs w:val="18"/>
        </w:rPr>
      </w:pPr>
    </w:p>
    <w:p w:rsidRPr="00C47325" w:rsidR="00703847" w:rsidP="00703847" w:rsidRDefault="00CE333A" w14:paraId="1397BD10" w14:textId="390CC422">
      <w:pPr>
        <w:spacing w:after="0" w:line="240" w:lineRule="auto"/>
        <w:rPr>
          <w:rFonts w:ascii="Verdana" w:hAnsi="Verdana"/>
          <w:sz w:val="18"/>
          <w:szCs w:val="18"/>
        </w:rPr>
      </w:pPr>
      <w:r w:rsidRPr="00C47325">
        <w:rPr>
          <w:rFonts w:ascii="Verdana" w:hAnsi="Verdana"/>
          <w:sz w:val="18"/>
          <w:szCs w:val="18"/>
        </w:rPr>
        <w:t xml:space="preserve">Verder schrijft de </w:t>
      </w:r>
      <w:r w:rsidR="000C1552">
        <w:rPr>
          <w:rFonts w:ascii="Verdana" w:hAnsi="Verdana"/>
          <w:sz w:val="18"/>
          <w:szCs w:val="18"/>
        </w:rPr>
        <w:t>NIS2-</w:t>
      </w:r>
      <w:r w:rsidRPr="00C47325">
        <w:rPr>
          <w:rFonts w:ascii="Verdana" w:hAnsi="Verdana"/>
          <w:sz w:val="18"/>
          <w:szCs w:val="18"/>
        </w:rPr>
        <w:t xml:space="preserve">richtlijn voor dat deze bevoegde autoriteiten ook elkaar indien nodig bijstand moeten verlenen. Het doel hiervan om ervoor te zorgen dat de bevoegde autoriteiten in de verschillende lidstaten met elkaar samenwerken om zo tot effectief toezicht te komen, ook over grenzen heen. Het bijstandsverzoek van een bevoegde autoriteit van een andere lidstaat kan zien op het verstrekken van informatie of op het nemen van </w:t>
      </w:r>
      <w:proofErr w:type="spellStart"/>
      <w:r w:rsidRPr="00C47325">
        <w:rPr>
          <w:rFonts w:ascii="Verdana" w:hAnsi="Verdana"/>
          <w:sz w:val="18"/>
          <w:szCs w:val="18"/>
        </w:rPr>
        <w:t>toezichtsmaatregelen</w:t>
      </w:r>
      <w:proofErr w:type="spellEnd"/>
      <w:r w:rsidRPr="00C47325">
        <w:rPr>
          <w:rFonts w:ascii="Verdana" w:hAnsi="Verdana"/>
          <w:sz w:val="18"/>
          <w:szCs w:val="18"/>
        </w:rPr>
        <w:t>, met inbegrip van inspecties ter plaatse, toezicht elders of audits.</w:t>
      </w:r>
      <w:r w:rsidRPr="00C47325" w:rsidR="00703847">
        <w:rPr>
          <w:rFonts w:ascii="Verdana" w:hAnsi="Verdana"/>
          <w:sz w:val="18"/>
          <w:szCs w:val="18"/>
        </w:rPr>
        <w:t xml:space="preserve"> Verder is in artikel </w:t>
      </w:r>
      <w:r w:rsidR="000C1552">
        <w:rPr>
          <w:rFonts w:ascii="Verdana" w:hAnsi="Verdana"/>
          <w:sz w:val="18"/>
          <w:szCs w:val="18"/>
        </w:rPr>
        <w:t>60</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sidR="00D3260B">
        <w:rPr>
          <w:rFonts w:ascii="Verdana" w:hAnsi="Verdana"/>
          <w:sz w:val="18"/>
          <w:szCs w:val="18"/>
        </w:rPr>
        <w:t xml:space="preserve"> </w:t>
      </w:r>
      <w:r w:rsidRPr="00C47325" w:rsidR="00703847">
        <w:rPr>
          <w:rFonts w:ascii="Verdana" w:hAnsi="Verdana"/>
          <w:sz w:val="18"/>
          <w:szCs w:val="18"/>
        </w:rPr>
        <w:t xml:space="preserve">verduidelijkt dat de jurisdictieregeling van artikel 4 </w:t>
      </w:r>
      <w:proofErr w:type="spellStart"/>
      <w:r w:rsidRPr="00C47325" w:rsidR="00D3260B">
        <w:rPr>
          <w:rFonts w:ascii="Verdana" w:hAnsi="Verdana"/>
          <w:sz w:val="18"/>
          <w:szCs w:val="18"/>
        </w:rPr>
        <w:t>Cbw</w:t>
      </w:r>
      <w:proofErr w:type="spellEnd"/>
      <w:r w:rsidRPr="00C47325" w:rsidR="00703847">
        <w:rPr>
          <w:rFonts w:ascii="Verdana" w:hAnsi="Verdana"/>
          <w:sz w:val="18"/>
          <w:szCs w:val="18"/>
        </w:rPr>
        <w:t xml:space="preserve"> er niet aan in de weg staat dat toezichthouders hun toezichtsbevoegdheden inzetten voor het verlenen van bijstand aan bevoegde autoriteiten uit andere lidstaten.</w:t>
      </w:r>
    </w:p>
    <w:p w:rsidRPr="00C47325" w:rsidR="00CE333A" w:rsidP="00CE333A" w:rsidRDefault="00CE333A" w14:paraId="329C2858" w14:textId="3F3CC270">
      <w:pPr>
        <w:spacing w:after="0" w:line="240" w:lineRule="auto"/>
        <w:rPr>
          <w:rFonts w:ascii="Verdana" w:hAnsi="Verdana"/>
          <w:sz w:val="18"/>
          <w:szCs w:val="18"/>
        </w:rPr>
      </w:pPr>
    </w:p>
    <w:p w:rsidRPr="00C47325" w:rsidR="00CE333A" w:rsidP="00CE333A" w:rsidRDefault="00CE333A" w14:paraId="2E9369F3" w14:textId="77777777">
      <w:pPr>
        <w:autoSpaceDE w:val="0"/>
        <w:autoSpaceDN w:val="0"/>
        <w:adjustRightInd w:val="0"/>
        <w:spacing w:after="0" w:line="240" w:lineRule="auto"/>
        <w:rPr>
          <w:rFonts w:ascii="Verdana" w:hAnsi="Verdana" w:cs="EUAlbertina"/>
          <w:sz w:val="18"/>
          <w:szCs w:val="18"/>
        </w:rPr>
      </w:pPr>
      <w:r w:rsidRPr="00C47325">
        <w:rPr>
          <w:rFonts w:ascii="Verdana" w:hAnsi="Verdana" w:cs="EUAlbertina"/>
          <w:sz w:val="18"/>
          <w:szCs w:val="18"/>
        </w:rPr>
        <w:t>Wanneer de Nederlandse bevoegde autoriteit het vermoeden heeft van mogelijke gevolgen voor de wezenlijke belangen van de nationale veiligheid, de openbare veiligheid of de defensie, dan initieert die autoriteit de afstemming ter onderbouwing van de afwijzing. Om de eventuele gevolgen voor de nationale veiligheid, openbare veiligheid of defensie volledig in kaart te brengen en te onderbouwen consulteert de betreffende bevoegde autoriteit met de departementen die beleidsmatig verantwoordelijk zijn voor deze domeinen en, waar relevant, met andere betrokken bevoegde autoriteiten en de inlichtingen- en veiligheidsdiensten.</w:t>
      </w:r>
    </w:p>
    <w:p w:rsidRPr="00C47325" w:rsidR="00CE333A" w:rsidP="00CE333A" w:rsidRDefault="00CE333A" w14:paraId="68546A8A" w14:textId="77777777">
      <w:pPr>
        <w:autoSpaceDE w:val="0"/>
        <w:autoSpaceDN w:val="0"/>
        <w:adjustRightInd w:val="0"/>
        <w:spacing w:after="0" w:line="240" w:lineRule="auto"/>
        <w:rPr>
          <w:rFonts w:ascii="Verdana" w:hAnsi="Verdana" w:cs="EUAlbertina"/>
          <w:sz w:val="18"/>
          <w:szCs w:val="18"/>
        </w:rPr>
      </w:pPr>
    </w:p>
    <w:p w:rsidR="00E04B59" w:rsidP="00027328" w:rsidRDefault="00CE333A" w14:paraId="1F571410" w14:textId="55B75097">
      <w:pPr>
        <w:autoSpaceDE w:val="0"/>
        <w:autoSpaceDN w:val="0"/>
        <w:adjustRightInd w:val="0"/>
        <w:spacing w:after="0" w:line="240" w:lineRule="auto"/>
        <w:rPr>
          <w:rFonts w:ascii="Verdana" w:hAnsi="Verdana"/>
          <w:sz w:val="18"/>
          <w:szCs w:val="18"/>
        </w:rPr>
      </w:pPr>
      <w:r w:rsidRPr="00C47325">
        <w:rPr>
          <w:rFonts w:ascii="Verdana" w:hAnsi="Verdana" w:cs="EUAlbertina"/>
          <w:sz w:val="18"/>
          <w:szCs w:val="18"/>
        </w:rPr>
        <w:t xml:space="preserve">Als de netwerk- of informatiesystemen of vestigingen van een entiteit als bedoeld in artikel </w:t>
      </w:r>
      <w:r w:rsidR="000C1552">
        <w:rPr>
          <w:rFonts w:ascii="Verdana" w:hAnsi="Verdana" w:cs="EUAlbertina"/>
          <w:sz w:val="18"/>
          <w:szCs w:val="18"/>
        </w:rPr>
        <w:t>60</w:t>
      </w:r>
      <w:r w:rsidRPr="00C47325">
        <w:rPr>
          <w:rFonts w:ascii="Verdana" w:hAnsi="Verdana" w:cs="EUAlbertina"/>
          <w:sz w:val="18"/>
          <w:szCs w:val="18"/>
        </w:rPr>
        <w:t xml:space="preserve">, tweede lid, </w:t>
      </w:r>
      <w:proofErr w:type="spellStart"/>
      <w:r w:rsidRPr="00C47325" w:rsidR="00D3260B">
        <w:rPr>
          <w:rFonts w:ascii="Verdana" w:hAnsi="Verdana"/>
          <w:sz w:val="18"/>
          <w:szCs w:val="18"/>
        </w:rPr>
        <w:t>Cbw</w:t>
      </w:r>
      <w:proofErr w:type="spellEnd"/>
      <w:r w:rsidRPr="00C47325">
        <w:rPr>
          <w:rFonts w:ascii="Verdana" w:hAnsi="Verdana" w:cs="EUAlbertina"/>
          <w:sz w:val="18"/>
          <w:szCs w:val="18"/>
        </w:rPr>
        <w:t xml:space="preserve"> zich in Nederland bevinden, terwijl de hoofdvestiging van de entiteit zich in een andere lidstaat bevindt, dan is de bevoegde autoriteit bevoegd om in het kader van een aan haar gericht bijstandsverzoek </w:t>
      </w:r>
      <w:proofErr w:type="spellStart"/>
      <w:r w:rsidRPr="00C47325">
        <w:rPr>
          <w:rFonts w:ascii="Verdana" w:hAnsi="Verdana" w:cs="EUAlbertina"/>
          <w:sz w:val="18"/>
          <w:szCs w:val="18"/>
        </w:rPr>
        <w:t>toezichtsmaatregelen</w:t>
      </w:r>
      <w:proofErr w:type="spellEnd"/>
      <w:r w:rsidRPr="00C47325">
        <w:rPr>
          <w:rFonts w:ascii="Verdana" w:hAnsi="Verdana" w:cs="EUAlbertina"/>
          <w:sz w:val="18"/>
          <w:szCs w:val="18"/>
        </w:rPr>
        <w:t xml:space="preserve"> uit te voeren. Deze bepaling betreft de implementatie van artikel 26, vijfde lid, NIS2-richtlijn. Hiermee wordt voorkomen dat een lidstaat door de jurisdictieregeling van artikel 26 NIS2-richtlijn onbevoegd zou zijn om bijstand te verlenen. In het geval de hoofdvestiging zich in Nederland bevindt en vestigingen of netwerk- en informatiesystemen zich in andere lidstaten bevinden, is het uiteraard voor de bevoegde autoriteit in Nederland om een wederzijds bijstandsverzoek te richten aan de betrokken bevoegde autoriteit(en) van de betreffende lidstaat.</w:t>
      </w:r>
    </w:p>
    <w:p w:rsidRPr="00C47325" w:rsidR="00E04B59" w:rsidP="00CE333A" w:rsidRDefault="00E04B59" w14:paraId="01CDEAA2" w14:textId="77777777">
      <w:pPr>
        <w:spacing w:after="0" w:line="240" w:lineRule="auto"/>
        <w:rPr>
          <w:rFonts w:ascii="Verdana" w:hAnsi="Verdana"/>
          <w:sz w:val="18"/>
          <w:szCs w:val="18"/>
        </w:rPr>
      </w:pPr>
    </w:p>
    <w:p w:rsidRPr="00BD3C4A" w:rsidR="00D0002B" w:rsidP="00D0002B" w:rsidRDefault="00D0002B" w14:paraId="2AD96ED7" w14:textId="1E7B1532">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61</w:t>
      </w:r>
      <w:r w:rsidRPr="00BD3C4A">
        <w:rPr>
          <w:rFonts w:ascii="Verdana" w:hAnsi="Verdana"/>
          <w:b/>
          <w:bCs/>
          <w:sz w:val="18"/>
          <w:szCs w:val="18"/>
        </w:rPr>
        <w:t xml:space="preserve"> (bijstandsverzoek aan de bevoegde autoriteit van een andere lidstaat</w:t>
      </w:r>
      <w:r>
        <w:rPr>
          <w:rFonts w:ascii="Verdana" w:hAnsi="Verdana"/>
          <w:b/>
          <w:bCs/>
          <w:sz w:val="18"/>
          <w:szCs w:val="18"/>
        </w:rPr>
        <w:t xml:space="preserve"> van de Europese Unie</w:t>
      </w:r>
      <w:r w:rsidRPr="00BD3C4A">
        <w:rPr>
          <w:rFonts w:ascii="Verdana" w:hAnsi="Verdana"/>
          <w:b/>
          <w:bCs/>
          <w:sz w:val="18"/>
          <w:szCs w:val="18"/>
        </w:rPr>
        <w:t>)</w:t>
      </w:r>
    </w:p>
    <w:p w:rsidRPr="00C47325" w:rsidR="00CE333A" w:rsidP="00CE333A" w:rsidRDefault="00CE333A" w14:paraId="1899EF1D" w14:textId="77777777">
      <w:pPr>
        <w:pStyle w:val="Geenafstand"/>
        <w:rPr>
          <w:rFonts w:ascii="Verdana" w:hAnsi="Verdana"/>
          <w:sz w:val="18"/>
          <w:szCs w:val="18"/>
        </w:rPr>
      </w:pPr>
    </w:p>
    <w:p w:rsidRPr="00C47325" w:rsidR="00CE333A" w:rsidP="00CE333A" w:rsidRDefault="00CE333A" w14:paraId="6476E467" w14:textId="5355B50F">
      <w:pPr>
        <w:spacing w:after="0" w:line="240" w:lineRule="auto"/>
        <w:rPr>
          <w:rFonts w:ascii="Verdana" w:hAnsi="Verdana"/>
          <w:b/>
          <w:bCs/>
          <w:sz w:val="18"/>
          <w:szCs w:val="18"/>
          <w:u w:val="single"/>
        </w:rPr>
      </w:pPr>
      <w:r w:rsidRPr="00C47325">
        <w:rPr>
          <w:rFonts w:ascii="Verdana" w:hAnsi="Verdana"/>
          <w:sz w:val="18"/>
          <w:szCs w:val="18"/>
        </w:rPr>
        <w:t xml:space="preserve">Artikel </w:t>
      </w:r>
      <w:r w:rsidR="000C1552">
        <w:rPr>
          <w:rFonts w:ascii="Verdana" w:hAnsi="Verdana"/>
          <w:sz w:val="18"/>
          <w:szCs w:val="18"/>
        </w:rPr>
        <w:t>61</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betreft de implementatie van artikel 37, meer in het bijzonder het eerste lid, onderdeel b, NIS2-richtlijn, en ziet op de bevoegdheid van de Nederlandse bevoegde autoriteit om een bijstandsverzoek te doen aan de bevoegde autoriteiten van de NIS2-richtlijn van andere lidstaten.</w:t>
      </w:r>
    </w:p>
    <w:p w:rsidR="00CE333A" w:rsidP="00CE333A" w:rsidRDefault="00CE333A" w14:paraId="40253E73" w14:textId="77777777">
      <w:pPr>
        <w:pStyle w:val="Geenafstand"/>
        <w:rPr>
          <w:rFonts w:ascii="Verdana" w:hAnsi="Verdana"/>
          <w:sz w:val="18"/>
          <w:szCs w:val="18"/>
        </w:rPr>
      </w:pPr>
    </w:p>
    <w:p w:rsidRPr="00BA00AF" w:rsidR="00D0002B" w:rsidP="00D0002B" w:rsidRDefault="00D0002B" w14:paraId="75857317" w14:textId="72E8E359">
      <w:pPr>
        <w:pStyle w:val="Geenafstand"/>
        <w:rPr>
          <w:rFonts w:ascii="Verdana" w:hAnsi="Verdana"/>
          <w:b/>
          <w:bCs/>
          <w:sz w:val="18"/>
          <w:szCs w:val="18"/>
        </w:rPr>
      </w:pPr>
      <w:bookmarkStart w:name="_Hlk181193049" w:id="289"/>
      <w:r w:rsidRPr="00BA00AF">
        <w:rPr>
          <w:rFonts w:ascii="Verdana" w:hAnsi="Verdana"/>
          <w:b/>
          <w:bCs/>
          <w:sz w:val="18"/>
          <w:szCs w:val="18"/>
        </w:rPr>
        <w:t xml:space="preserve">Artikel </w:t>
      </w:r>
      <w:r>
        <w:rPr>
          <w:rFonts w:ascii="Verdana" w:hAnsi="Verdana"/>
          <w:b/>
          <w:bCs/>
          <w:sz w:val="18"/>
          <w:szCs w:val="18"/>
        </w:rPr>
        <w:t>62</w:t>
      </w:r>
      <w:r w:rsidRPr="00BA00AF">
        <w:rPr>
          <w:rFonts w:ascii="Verdana" w:hAnsi="Verdana"/>
          <w:b/>
          <w:bCs/>
          <w:sz w:val="18"/>
          <w:szCs w:val="18"/>
        </w:rPr>
        <w:t xml:space="preserve"> (informatie-uitwisseling tussen entiteiten) </w:t>
      </w:r>
    </w:p>
    <w:bookmarkEnd w:id="289"/>
    <w:p w:rsidR="000C1552" w:rsidP="00CE333A" w:rsidRDefault="000C1552" w14:paraId="0C042E9E" w14:textId="77777777">
      <w:pPr>
        <w:pStyle w:val="Geenafstand"/>
        <w:rPr>
          <w:rFonts w:ascii="Verdana" w:hAnsi="Verdana"/>
          <w:sz w:val="18"/>
          <w:szCs w:val="18"/>
        </w:rPr>
      </w:pPr>
    </w:p>
    <w:p w:rsidR="00C9305E" w:rsidP="00CE333A" w:rsidRDefault="00DE79D9" w14:paraId="1B71760C" w14:textId="77777777">
      <w:pPr>
        <w:pStyle w:val="Geenafstand"/>
        <w:rPr>
          <w:rFonts w:ascii="Verdana" w:hAnsi="Verdana"/>
          <w:sz w:val="18"/>
          <w:szCs w:val="18"/>
        </w:rPr>
      </w:pPr>
      <w:bookmarkStart w:name="_Hlk181277712" w:id="290"/>
      <w:r w:rsidRPr="00DE79D9">
        <w:rPr>
          <w:rFonts w:ascii="Verdana" w:hAnsi="Verdana"/>
          <w:sz w:val="18"/>
          <w:szCs w:val="18"/>
        </w:rPr>
        <w:t xml:space="preserve">Artikel </w:t>
      </w:r>
      <w:r>
        <w:rPr>
          <w:rFonts w:ascii="Verdana" w:hAnsi="Verdana"/>
          <w:sz w:val="18"/>
          <w:szCs w:val="18"/>
        </w:rPr>
        <w:t xml:space="preserve">62, eerste lid, </w:t>
      </w:r>
      <w:proofErr w:type="spellStart"/>
      <w:r>
        <w:rPr>
          <w:rFonts w:ascii="Verdana" w:hAnsi="Verdana"/>
          <w:sz w:val="18"/>
          <w:szCs w:val="18"/>
        </w:rPr>
        <w:t>Cbw</w:t>
      </w:r>
      <w:proofErr w:type="spellEnd"/>
      <w:r>
        <w:rPr>
          <w:rFonts w:ascii="Verdana" w:hAnsi="Verdana"/>
          <w:sz w:val="18"/>
          <w:szCs w:val="18"/>
        </w:rPr>
        <w:t xml:space="preserve"> strekt tot de implementatie van artikel </w:t>
      </w:r>
      <w:r w:rsidR="002C4EEF">
        <w:rPr>
          <w:rFonts w:ascii="Verdana" w:hAnsi="Verdana"/>
          <w:sz w:val="18"/>
          <w:szCs w:val="18"/>
        </w:rPr>
        <w:t>29, eerste lid, NIS2-richtlijn en gaat over het op vrijwillige basis uitwisselen van relevante informatie over cyberbeveiliging</w:t>
      </w:r>
      <w:r w:rsidRPr="002C4EEF" w:rsidR="002C4EEF">
        <w:rPr>
          <w:rFonts w:ascii="Verdana" w:hAnsi="Verdana"/>
          <w:sz w:val="18"/>
          <w:szCs w:val="18"/>
        </w:rPr>
        <w:t xml:space="preserve"> </w:t>
      </w:r>
      <w:r w:rsidR="002C4EEF">
        <w:rPr>
          <w:rFonts w:ascii="Verdana" w:hAnsi="Verdana"/>
          <w:sz w:val="18"/>
          <w:szCs w:val="18"/>
        </w:rPr>
        <w:t>door entiteiten. Het is in het kader van hun cyberweerbaarheid van belang dat zij in staat worden gesteld om</w:t>
      </w:r>
      <w:r w:rsidRPr="002C4EEF" w:rsidR="002C4EEF">
        <w:rPr>
          <w:rFonts w:ascii="Verdana" w:hAnsi="Verdana"/>
          <w:sz w:val="18"/>
          <w:szCs w:val="18"/>
        </w:rPr>
        <w:t xml:space="preserve"> van elkaar te leren en elkaar te helpen bij het voorkomen, detecteren en reageren op incidenten of </w:t>
      </w:r>
      <w:r w:rsidR="002C4EEF">
        <w:rPr>
          <w:rFonts w:ascii="Verdana" w:hAnsi="Verdana"/>
          <w:sz w:val="18"/>
          <w:szCs w:val="18"/>
        </w:rPr>
        <w:t xml:space="preserve">om van incidenten </w:t>
      </w:r>
      <w:r w:rsidRPr="002C4EEF" w:rsidR="002C4EEF">
        <w:rPr>
          <w:rFonts w:ascii="Verdana" w:hAnsi="Verdana"/>
          <w:sz w:val="18"/>
          <w:szCs w:val="18"/>
        </w:rPr>
        <w:t>te herstellen. In een aantal gevallen zullen entiteiten ook hun dienstverleners en leveranciers willen betrekken</w:t>
      </w:r>
      <w:r w:rsidR="002C4EEF">
        <w:rPr>
          <w:rFonts w:ascii="Verdana" w:hAnsi="Verdana"/>
          <w:sz w:val="18"/>
          <w:szCs w:val="18"/>
        </w:rPr>
        <w:t>,</w:t>
      </w:r>
      <w:r w:rsidRPr="002C4EEF" w:rsidR="002C4EEF">
        <w:rPr>
          <w:rFonts w:ascii="Verdana" w:hAnsi="Verdana"/>
          <w:sz w:val="18"/>
          <w:szCs w:val="18"/>
        </w:rPr>
        <w:t xml:space="preserve"> aangezien deze partijen ook invloed kunnen hebben op de cyberweerbaarheid van entiteiten.</w:t>
      </w:r>
      <w:r w:rsidR="002C4EEF">
        <w:rPr>
          <w:rFonts w:ascii="Verdana" w:hAnsi="Verdana"/>
          <w:sz w:val="18"/>
          <w:szCs w:val="18"/>
        </w:rPr>
        <w:t xml:space="preserve"> </w:t>
      </w:r>
    </w:p>
    <w:p w:rsidR="00C9305E" w:rsidP="00CE333A" w:rsidRDefault="00C9305E" w14:paraId="778A0496" w14:textId="77777777">
      <w:pPr>
        <w:pStyle w:val="Geenafstand"/>
        <w:rPr>
          <w:rFonts w:ascii="Verdana" w:hAnsi="Verdana"/>
          <w:sz w:val="18"/>
          <w:szCs w:val="18"/>
        </w:rPr>
      </w:pPr>
    </w:p>
    <w:p w:rsidR="00C9305E" w:rsidP="00CE333A" w:rsidRDefault="002C4EEF" w14:paraId="57A40389" w14:textId="77777777">
      <w:pPr>
        <w:pStyle w:val="Geenafstand"/>
        <w:rPr>
          <w:rFonts w:ascii="Verdana" w:hAnsi="Verdana"/>
          <w:sz w:val="18"/>
          <w:szCs w:val="18"/>
        </w:rPr>
      </w:pPr>
      <w:r>
        <w:rPr>
          <w:rFonts w:ascii="Verdana" w:hAnsi="Verdana"/>
          <w:sz w:val="18"/>
          <w:szCs w:val="18"/>
        </w:rPr>
        <w:t xml:space="preserve">Artikel 62, tweede lid, </w:t>
      </w:r>
      <w:proofErr w:type="spellStart"/>
      <w:r>
        <w:rPr>
          <w:rFonts w:ascii="Verdana" w:hAnsi="Verdana"/>
          <w:sz w:val="18"/>
          <w:szCs w:val="18"/>
        </w:rPr>
        <w:t>Cbw</w:t>
      </w:r>
      <w:proofErr w:type="spellEnd"/>
      <w:r>
        <w:rPr>
          <w:rFonts w:ascii="Verdana" w:hAnsi="Verdana"/>
          <w:sz w:val="18"/>
          <w:szCs w:val="18"/>
        </w:rPr>
        <w:t>, waarin artikel 29, tweede lid, NIS2-richtlijn is geïmplementeerd, regelt dat de hiervoor bedoelde informatie-uitwisseling kan plaatsvinden b</w:t>
      </w:r>
      <w:r w:rsidRPr="002C4EEF">
        <w:rPr>
          <w:rFonts w:ascii="Verdana" w:hAnsi="Verdana"/>
          <w:sz w:val="18"/>
          <w:szCs w:val="18"/>
        </w:rPr>
        <w:t xml:space="preserve">innen gemeenschappen van entiteiten en, indien van toepassing, hun leveranciers en dienstverleners op basis van informatie-uitwisselingsregelingen op het gebied van cyberbeveiliging met betrekking tot de potentieel gevoelige aard van de uitgewisselde informatie. </w:t>
      </w:r>
    </w:p>
    <w:p w:rsidR="00C9305E" w:rsidP="00CE333A" w:rsidRDefault="00C9305E" w14:paraId="649EA9BD" w14:textId="77777777">
      <w:pPr>
        <w:pStyle w:val="Geenafstand"/>
        <w:rPr>
          <w:rFonts w:ascii="Verdana" w:hAnsi="Verdana"/>
          <w:sz w:val="18"/>
          <w:szCs w:val="18"/>
        </w:rPr>
      </w:pPr>
    </w:p>
    <w:p w:rsidR="002C4EEF" w:rsidP="00CE333A" w:rsidRDefault="00D64A18" w14:paraId="2BAD757E" w14:textId="5FEB656B">
      <w:pPr>
        <w:pStyle w:val="Geenafstand"/>
        <w:rPr>
          <w:rFonts w:ascii="Verdana" w:hAnsi="Verdana"/>
          <w:sz w:val="18"/>
          <w:szCs w:val="18"/>
        </w:rPr>
      </w:pPr>
      <w:r>
        <w:rPr>
          <w:rFonts w:ascii="Verdana" w:hAnsi="Verdana"/>
          <w:sz w:val="18"/>
          <w:szCs w:val="18"/>
        </w:rPr>
        <w:t xml:space="preserve">Artikel 62, derde lid, </w:t>
      </w:r>
      <w:proofErr w:type="spellStart"/>
      <w:r>
        <w:rPr>
          <w:rFonts w:ascii="Verdana" w:hAnsi="Verdana"/>
          <w:sz w:val="18"/>
          <w:szCs w:val="18"/>
        </w:rPr>
        <w:t>Cbw</w:t>
      </w:r>
      <w:proofErr w:type="spellEnd"/>
      <w:r>
        <w:rPr>
          <w:rFonts w:ascii="Verdana" w:hAnsi="Verdana"/>
          <w:sz w:val="18"/>
          <w:szCs w:val="18"/>
        </w:rPr>
        <w:t xml:space="preserve"> bevat een delegatiegrondslag om bij of krachtens </w:t>
      </w:r>
      <w:proofErr w:type="spellStart"/>
      <w:r>
        <w:rPr>
          <w:rFonts w:ascii="Verdana" w:hAnsi="Verdana"/>
          <w:sz w:val="18"/>
          <w:szCs w:val="18"/>
        </w:rPr>
        <w:t>amvb</w:t>
      </w:r>
      <w:proofErr w:type="spellEnd"/>
      <w:r>
        <w:rPr>
          <w:rFonts w:ascii="Verdana" w:hAnsi="Verdana"/>
          <w:sz w:val="18"/>
          <w:szCs w:val="18"/>
        </w:rPr>
        <w:t xml:space="preserve"> </w:t>
      </w:r>
      <w:r w:rsidRPr="00D64A18">
        <w:rPr>
          <w:rFonts w:ascii="Verdana" w:hAnsi="Verdana"/>
          <w:sz w:val="18"/>
          <w:szCs w:val="18"/>
        </w:rPr>
        <w:t>regels</w:t>
      </w:r>
      <w:r>
        <w:rPr>
          <w:rFonts w:ascii="Verdana" w:hAnsi="Verdana"/>
          <w:sz w:val="18"/>
          <w:szCs w:val="18"/>
        </w:rPr>
        <w:t xml:space="preserve"> te stellen </w:t>
      </w:r>
      <w:r w:rsidRPr="00D64A18">
        <w:rPr>
          <w:rFonts w:ascii="Verdana" w:hAnsi="Verdana"/>
          <w:sz w:val="18"/>
          <w:szCs w:val="18"/>
        </w:rPr>
        <w:t>ter uitvoering van het bepaalde in artikel 29, derde lid, NIS2-richtlijn.</w:t>
      </w:r>
    </w:p>
    <w:p w:rsidR="002C4EEF" w:rsidP="00CE333A" w:rsidRDefault="002C4EEF" w14:paraId="1F621DD2" w14:textId="77777777">
      <w:pPr>
        <w:pStyle w:val="Geenafstand"/>
        <w:rPr>
          <w:rFonts w:ascii="Verdana" w:hAnsi="Verdana"/>
          <w:sz w:val="18"/>
          <w:szCs w:val="18"/>
        </w:rPr>
      </w:pPr>
    </w:p>
    <w:p w:rsidR="002C4EEF" w:rsidP="00CE333A" w:rsidRDefault="002C4EEF" w14:paraId="4935B845" w14:textId="6B66B268">
      <w:pPr>
        <w:pStyle w:val="Geenafstand"/>
        <w:rPr>
          <w:rFonts w:ascii="Verdana" w:hAnsi="Verdana"/>
          <w:sz w:val="18"/>
          <w:szCs w:val="18"/>
        </w:rPr>
      </w:pPr>
      <w:r>
        <w:rPr>
          <w:rFonts w:ascii="Verdana" w:hAnsi="Verdana"/>
          <w:sz w:val="18"/>
          <w:szCs w:val="18"/>
        </w:rPr>
        <w:t xml:space="preserve">Artikel 29, vierde lid, NIS2-richtlijn is overigens geïmplementeerd in artikel 44, eerste lid, onderdeel e, </w:t>
      </w:r>
      <w:proofErr w:type="spellStart"/>
      <w:r>
        <w:rPr>
          <w:rFonts w:ascii="Verdana" w:hAnsi="Verdana"/>
          <w:sz w:val="18"/>
          <w:szCs w:val="18"/>
        </w:rPr>
        <w:t>Cbw</w:t>
      </w:r>
      <w:proofErr w:type="spellEnd"/>
      <w:r>
        <w:rPr>
          <w:rFonts w:ascii="Verdana" w:hAnsi="Verdana"/>
          <w:sz w:val="18"/>
          <w:szCs w:val="18"/>
        </w:rPr>
        <w:t xml:space="preserve">. </w:t>
      </w:r>
      <w:bookmarkEnd w:id="290"/>
    </w:p>
    <w:p w:rsidRPr="00C47325" w:rsidR="000C1552" w:rsidP="00CE333A" w:rsidRDefault="000C1552" w14:paraId="295EDA44" w14:textId="77777777">
      <w:pPr>
        <w:pStyle w:val="Geenafstand"/>
        <w:rPr>
          <w:rFonts w:ascii="Verdana" w:hAnsi="Verdana"/>
          <w:sz w:val="18"/>
          <w:szCs w:val="18"/>
        </w:rPr>
      </w:pPr>
    </w:p>
    <w:p w:rsidRPr="00BD3C4A" w:rsidR="00D0002B" w:rsidP="00D0002B" w:rsidRDefault="00D0002B" w14:paraId="58B4A383" w14:textId="5DD74155">
      <w:pPr>
        <w:pStyle w:val="Geenafstand"/>
        <w:rPr>
          <w:rFonts w:ascii="Verdana" w:hAnsi="Verdana"/>
          <w:b/>
          <w:bCs/>
          <w:sz w:val="18"/>
          <w:szCs w:val="18"/>
        </w:rPr>
      </w:pPr>
      <w:bookmarkStart w:name="_Hlk181193054" w:id="291"/>
      <w:r w:rsidRPr="00BD3C4A">
        <w:rPr>
          <w:rFonts w:ascii="Verdana" w:hAnsi="Verdana"/>
          <w:b/>
          <w:bCs/>
          <w:sz w:val="18"/>
          <w:szCs w:val="18"/>
        </w:rPr>
        <w:t xml:space="preserve">Artikel </w:t>
      </w:r>
      <w:r>
        <w:rPr>
          <w:rFonts w:ascii="Verdana" w:hAnsi="Verdana"/>
          <w:b/>
          <w:bCs/>
          <w:sz w:val="18"/>
          <w:szCs w:val="18"/>
        </w:rPr>
        <w:t>63</w:t>
      </w:r>
      <w:r w:rsidRPr="00BD3C4A">
        <w:rPr>
          <w:rFonts w:ascii="Verdana" w:hAnsi="Verdana"/>
          <w:b/>
          <w:bCs/>
          <w:sz w:val="18"/>
          <w:szCs w:val="18"/>
        </w:rPr>
        <w:t xml:space="preserve"> (verwerkingsverantwoordelijkheid)</w:t>
      </w:r>
    </w:p>
    <w:bookmarkEnd w:id="291"/>
    <w:p w:rsidRPr="00C47325" w:rsidR="00CE333A" w:rsidP="00CE333A" w:rsidRDefault="00CE333A" w14:paraId="1D94EE61" w14:textId="77777777">
      <w:pPr>
        <w:pStyle w:val="Geenafstand"/>
        <w:rPr>
          <w:rFonts w:ascii="Verdana" w:hAnsi="Verdana"/>
          <w:b/>
          <w:bCs/>
          <w:sz w:val="18"/>
          <w:szCs w:val="18"/>
        </w:rPr>
      </w:pPr>
    </w:p>
    <w:p w:rsidRPr="00C47325" w:rsidR="00CE333A" w:rsidP="00CE333A" w:rsidRDefault="00CE333A" w14:paraId="7589CB70" w14:textId="39C0DD6B">
      <w:pPr>
        <w:pStyle w:val="Geenafstand"/>
        <w:rPr>
          <w:rFonts w:ascii="Verdana" w:hAnsi="Verdana"/>
          <w:sz w:val="18"/>
          <w:szCs w:val="18"/>
        </w:rPr>
      </w:pPr>
      <w:r w:rsidRPr="00C47325">
        <w:rPr>
          <w:rFonts w:ascii="Verdana" w:hAnsi="Verdana"/>
          <w:sz w:val="18"/>
          <w:szCs w:val="18"/>
        </w:rPr>
        <w:t xml:space="preserve">Artikel </w:t>
      </w:r>
      <w:r w:rsidR="000C1552">
        <w:rPr>
          <w:rFonts w:ascii="Verdana" w:hAnsi="Verdana"/>
          <w:sz w:val="18"/>
          <w:szCs w:val="18"/>
        </w:rPr>
        <w:t>63</w:t>
      </w:r>
      <w:r w:rsidRPr="00C47325" w:rsidR="000C1552">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regelt de verwerkingsverantwoordelijkheid.</w:t>
      </w:r>
    </w:p>
    <w:p w:rsidRPr="00C47325" w:rsidR="00092EC7" w:rsidP="00CE333A" w:rsidRDefault="00092EC7" w14:paraId="64F2B2B5" w14:textId="77777777">
      <w:pPr>
        <w:pStyle w:val="Geenafstand"/>
        <w:rPr>
          <w:rFonts w:ascii="Verdana" w:hAnsi="Verdana"/>
          <w:sz w:val="18"/>
          <w:szCs w:val="18"/>
        </w:rPr>
      </w:pPr>
    </w:p>
    <w:p w:rsidRPr="00C0592E" w:rsidR="00D0002B" w:rsidP="00D0002B" w:rsidRDefault="00D0002B" w14:paraId="36E4594D" w14:textId="77777777">
      <w:pPr>
        <w:pStyle w:val="Geenafstand"/>
        <w:rPr>
          <w:rFonts w:ascii="Verdana" w:hAnsi="Verdana"/>
          <w:b/>
          <w:bCs/>
          <w:sz w:val="18"/>
          <w:szCs w:val="18"/>
        </w:rPr>
      </w:pPr>
      <w:bookmarkStart w:name="_Hlk181193058" w:id="292"/>
      <w:r w:rsidRPr="00C0592E">
        <w:rPr>
          <w:rFonts w:ascii="Verdana" w:hAnsi="Verdana"/>
          <w:b/>
          <w:bCs/>
          <w:sz w:val="18"/>
          <w:szCs w:val="18"/>
        </w:rPr>
        <w:t xml:space="preserve">Artikel </w:t>
      </w:r>
      <w:r>
        <w:rPr>
          <w:rFonts w:ascii="Verdana" w:hAnsi="Verdana"/>
          <w:b/>
          <w:bCs/>
          <w:sz w:val="18"/>
          <w:szCs w:val="18"/>
        </w:rPr>
        <w:t>64</w:t>
      </w:r>
      <w:r w:rsidRPr="00C0592E">
        <w:rPr>
          <w:rFonts w:ascii="Verdana" w:hAnsi="Verdana"/>
          <w:b/>
          <w:bCs/>
          <w:sz w:val="18"/>
          <w:szCs w:val="18"/>
        </w:rPr>
        <w:t xml:space="preserve"> (bijzondere </w:t>
      </w:r>
      <w:r w:rsidRPr="001B2FD9">
        <w:rPr>
          <w:rFonts w:ascii="Verdana" w:hAnsi="Verdana"/>
          <w:b/>
          <w:bCs/>
          <w:sz w:val="18"/>
          <w:szCs w:val="18"/>
        </w:rPr>
        <w:t xml:space="preserve">categorieën van </w:t>
      </w:r>
      <w:r w:rsidRPr="00C0592E">
        <w:rPr>
          <w:rFonts w:ascii="Verdana" w:hAnsi="Verdana"/>
          <w:b/>
          <w:bCs/>
          <w:sz w:val="18"/>
          <w:szCs w:val="18"/>
        </w:rPr>
        <w:t>persoonsgegevens)</w:t>
      </w:r>
    </w:p>
    <w:bookmarkEnd w:id="292"/>
    <w:p w:rsidRPr="00C47325" w:rsidR="00092EC7" w:rsidP="00CE333A" w:rsidRDefault="00092EC7" w14:paraId="72BB7E60" w14:textId="77777777">
      <w:pPr>
        <w:pStyle w:val="Geenafstand"/>
        <w:rPr>
          <w:rFonts w:ascii="Verdana" w:hAnsi="Verdana"/>
          <w:sz w:val="18"/>
          <w:szCs w:val="18"/>
        </w:rPr>
      </w:pPr>
    </w:p>
    <w:p w:rsidR="008A1483" w:rsidP="00CE333A" w:rsidRDefault="007827B5" w14:paraId="5D61DB81" w14:textId="77777777">
      <w:pPr>
        <w:pStyle w:val="Geenafstand"/>
        <w:rPr>
          <w:rFonts w:ascii="Verdana" w:hAnsi="Verdana"/>
          <w:sz w:val="18"/>
          <w:szCs w:val="18"/>
        </w:rPr>
      </w:pPr>
      <w:r>
        <w:rPr>
          <w:rFonts w:ascii="Verdana" w:hAnsi="Verdana"/>
          <w:sz w:val="18"/>
          <w:szCs w:val="18"/>
        </w:rPr>
        <w:t>Dit</w:t>
      </w:r>
      <w:r w:rsidRPr="00C47325" w:rsidR="000620D7">
        <w:rPr>
          <w:rFonts w:ascii="Verdana" w:hAnsi="Verdana"/>
          <w:sz w:val="18"/>
          <w:szCs w:val="18"/>
        </w:rPr>
        <w:t xml:space="preserve"> artikel </w:t>
      </w:r>
      <w:r>
        <w:rPr>
          <w:rFonts w:ascii="Verdana" w:hAnsi="Verdana"/>
          <w:sz w:val="18"/>
          <w:szCs w:val="18"/>
        </w:rPr>
        <w:t>biedt de</w:t>
      </w:r>
      <w:r w:rsidRPr="00C47325" w:rsidR="000620D7">
        <w:rPr>
          <w:rFonts w:ascii="Verdana" w:hAnsi="Verdana"/>
          <w:sz w:val="18"/>
          <w:szCs w:val="18"/>
        </w:rPr>
        <w:t xml:space="preserve"> grondslag voor de verwerking van bijzondere </w:t>
      </w:r>
      <w:r>
        <w:rPr>
          <w:rFonts w:ascii="Verdana" w:hAnsi="Verdana"/>
          <w:sz w:val="18"/>
          <w:szCs w:val="18"/>
        </w:rPr>
        <w:t xml:space="preserve">categorieën van </w:t>
      </w:r>
      <w:r w:rsidRPr="00C47325" w:rsidR="000620D7">
        <w:rPr>
          <w:rFonts w:ascii="Verdana" w:hAnsi="Verdana"/>
          <w:sz w:val="18"/>
          <w:szCs w:val="18"/>
        </w:rPr>
        <w:t>persoo</w:t>
      </w:r>
      <w:r w:rsidRPr="00C47325" w:rsidR="00A76A6B">
        <w:rPr>
          <w:rFonts w:ascii="Verdana" w:hAnsi="Verdana"/>
          <w:sz w:val="18"/>
          <w:szCs w:val="18"/>
        </w:rPr>
        <w:t>n</w:t>
      </w:r>
      <w:r w:rsidRPr="00C47325" w:rsidR="000620D7">
        <w:rPr>
          <w:rFonts w:ascii="Verdana" w:hAnsi="Verdana"/>
          <w:sz w:val="18"/>
          <w:szCs w:val="18"/>
        </w:rPr>
        <w:t xml:space="preserve">sgegevens door het CSIRT en de bevoegde autoriteit. </w:t>
      </w:r>
    </w:p>
    <w:p w:rsidR="008A1483" w:rsidP="008A1483" w:rsidRDefault="008A1483" w14:paraId="312EE1AA" w14:textId="77777777">
      <w:pPr>
        <w:pStyle w:val="Geenafstand"/>
        <w:rPr>
          <w:rFonts w:ascii="Verdana" w:hAnsi="Verdana"/>
          <w:sz w:val="18"/>
          <w:szCs w:val="18"/>
        </w:rPr>
      </w:pPr>
    </w:p>
    <w:p w:rsidRPr="008A1483" w:rsidR="008A1483" w:rsidP="008A1483" w:rsidRDefault="008A1483" w14:paraId="7225C284" w14:textId="4C197BA8">
      <w:pPr>
        <w:pStyle w:val="Geenafstand"/>
        <w:rPr>
          <w:rFonts w:ascii="Verdana" w:hAnsi="Verdana"/>
          <w:sz w:val="18"/>
          <w:szCs w:val="18"/>
        </w:rPr>
      </w:pPr>
      <w:r>
        <w:rPr>
          <w:rFonts w:ascii="Verdana" w:hAnsi="Verdana"/>
          <w:sz w:val="18"/>
          <w:szCs w:val="18"/>
        </w:rPr>
        <w:t xml:space="preserve">Artikel 64, eerste lid, </w:t>
      </w:r>
      <w:proofErr w:type="spellStart"/>
      <w:r>
        <w:rPr>
          <w:rFonts w:ascii="Verdana" w:hAnsi="Verdana"/>
          <w:sz w:val="18"/>
          <w:szCs w:val="18"/>
        </w:rPr>
        <w:t>Cbw</w:t>
      </w:r>
      <w:proofErr w:type="spellEnd"/>
      <w:r>
        <w:rPr>
          <w:rFonts w:ascii="Verdana" w:hAnsi="Verdana"/>
          <w:sz w:val="18"/>
          <w:szCs w:val="18"/>
        </w:rPr>
        <w:t xml:space="preserve"> regelt </w:t>
      </w:r>
      <w:r w:rsidRPr="008A1483">
        <w:rPr>
          <w:rFonts w:ascii="Verdana" w:hAnsi="Verdana"/>
          <w:sz w:val="18"/>
          <w:szCs w:val="18"/>
        </w:rPr>
        <w:t xml:space="preserve">de grondslag voor de verwerking van bijzondere categorieën van persoonsgegevens voor zover het gaat om de taakuitoefening van de bevoegde autoriteit. Die grondslag ziet op de uitoefening van alle in de </w:t>
      </w:r>
      <w:proofErr w:type="spellStart"/>
      <w:r w:rsidRPr="008A1483">
        <w:rPr>
          <w:rFonts w:ascii="Verdana" w:hAnsi="Verdana"/>
          <w:sz w:val="18"/>
          <w:szCs w:val="18"/>
        </w:rPr>
        <w:t>Cbw</w:t>
      </w:r>
      <w:proofErr w:type="spellEnd"/>
      <w:r w:rsidRPr="008A1483">
        <w:rPr>
          <w:rFonts w:ascii="Verdana" w:hAnsi="Verdana"/>
          <w:sz w:val="18"/>
          <w:szCs w:val="18"/>
        </w:rPr>
        <w:t xml:space="preserve"> geregelde taken van de bevoegde autoriteit. Het is de verwachting dat in het kader van de uitoefening van al deze taken van de bevoegde autoriteit (waaronder de taken in het kader van het toezicht, maar ook bijvoorbeeld die in het kader van meldingen van significante incidenten) het noodzakelijk kan zijn dat de bevoegde autoriteit bijzondere categorieën van persoonsgegevens moet verwerken.</w:t>
      </w:r>
    </w:p>
    <w:p w:rsidRPr="008A1483" w:rsidR="008A1483" w:rsidP="008A1483" w:rsidRDefault="008A1483" w14:paraId="2DA44168" w14:textId="77777777">
      <w:pPr>
        <w:pStyle w:val="Geenafstand"/>
        <w:rPr>
          <w:rFonts w:ascii="Verdana" w:hAnsi="Verdana"/>
          <w:sz w:val="18"/>
          <w:szCs w:val="18"/>
        </w:rPr>
      </w:pPr>
    </w:p>
    <w:p w:rsidR="008A1483" w:rsidP="008A1483" w:rsidRDefault="008A1483" w14:paraId="2EE56AD6" w14:textId="23D10688">
      <w:pPr>
        <w:pStyle w:val="Geenafstand"/>
        <w:rPr>
          <w:rFonts w:ascii="Verdana" w:hAnsi="Verdana"/>
          <w:sz w:val="18"/>
          <w:szCs w:val="18"/>
        </w:rPr>
      </w:pPr>
      <w:r>
        <w:rPr>
          <w:rFonts w:ascii="Verdana" w:hAnsi="Verdana"/>
          <w:sz w:val="18"/>
          <w:szCs w:val="18"/>
        </w:rPr>
        <w:t xml:space="preserve">Artikel 64, tweede lid, </w:t>
      </w:r>
      <w:proofErr w:type="spellStart"/>
      <w:r>
        <w:rPr>
          <w:rFonts w:ascii="Verdana" w:hAnsi="Verdana"/>
          <w:sz w:val="18"/>
          <w:szCs w:val="18"/>
        </w:rPr>
        <w:t>Cbw</w:t>
      </w:r>
      <w:proofErr w:type="spellEnd"/>
      <w:r>
        <w:rPr>
          <w:rFonts w:ascii="Verdana" w:hAnsi="Verdana"/>
          <w:sz w:val="18"/>
          <w:szCs w:val="18"/>
        </w:rPr>
        <w:t xml:space="preserve"> regelt </w:t>
      </w:r>
      <w:r w:rsidRPr="008A1483">
        <w:rPr>
          <w:rFonts w:ascii="Verdana" w:hAnsi="Verdana"/>
          <w:sz w:val="18"/>
          <w:szCs w:val="18"/>
        </w:rPr>
        <w:t xml:space="preserve">de grondslag voor de verwerking van bijzondere categorieën van persoonsgegevens door het CSIRT. Die laatstbedoelde grondslag is beperkt tot de taken die zijn opgenomen in artikel 16, </w:t>
      </w:r>
      <w:r w:rsidR="009D090D">
        <w:rPr>
          <w:rFonts w:ascii="Verdana" w:hAnsi="Verdana"/>
          <w:sz w:val="18"/>
          <w:szCs w:val="18"/>
        </w:rPr>
        <w:t>tweede</w:t>
      </w:r>
      <w:r w:rsidRPr="008A1483" w:rsidR="009D090D">
        <w:rPr>
          <w:rFonts w:ascii="Verdana" w:hAnsi="Verdana"/>
          <w:sz w:val="18"/>
          <w:szCs w:val="18"/>
        </w:rPr>
        <w:t xml:space="preserve"> </w:t>
      </w:r>
      <w:r w:rsidRPr="008A1483">
        <w:rPr>
          <w:rFonts w:ascii="Verdana" w:hAnsi="Verdana"/>
          <w:sz w:val="18"/>
          <w:szCs w:val="18"/>
        </w:rPr>
        <w:t xml:space="preserve">lid, onderdelen a tot en met e, </w:t>
      </w:r>
      <w:proofErr w:type="spellStart"/>
      <w:r w:rsidRPr="008A1483">
        <w:rPr>
          <w:rFonts w:ascii="Verdana" w:hAnsi="Verdana"/>
          <w:sz w:val="18"/>
          <w:szCs w:val="18"/>
        </w:rPr>
        <w:t>Cbw</w:t>
      </w:r>
      <w:proofErr w:type="spellEnd"/>
      <w:r w:rsidRPr="008A1483">
        <w:rPr>
          <w:rFonts w:ascii="Verdana" w:hAnsi="Verdana"/>
          <w:sz w:val="18"/>
          <w:szCs w:val="18"/>
        </w:rPr>
        <w:t>. Het CSIRT moet bij het uitvoeren van die taken soms bijzondere categorieën van persoonsgegevens verwerken. Te denken valt aan een dataset die inloggegevens (</w:t>
      </w:r>
      <w:proofErr w:type="spellStart"/>
      <w:r w:rsidRPr="001A7282">
        <w:rPr>
          <w:rFonts w:ascii="Verdana" w:hAnsi="Verdana"/>
          <w:i/>
          <w:iCs/>
          <w:sz w:val="18"/>
          <w:szCs w:val="18"/>
        </w:rPr>
        <w:t>credentials</w:t>
      </w:r>
      <w:proofErr w:type="spellEnd"/>
      <w:r w:rsidRPr="008A1483">
        <w:rPr>
          <w:rFonts w:ascii="Verdana" w:hAnsi="Verdana"/>
          <w:sz w:val="18"/>
          <w:szCs w:val="18"/>
        </w:rPr>
        <w:t>) bevat waarin ook e-mailadressen zitten waaruit het lidmaatschap van een vakbond, vereniging voor LHBTI-rechten of politieke partij blijkt. Daarnaast kan het bijvoorbeeld voorkomen dat een server van een zorginstelling op het internet staat die medische gegevens bevat of andere bijzondere persoonsgegevens, zoals de dieetwensen van cliënten of patiënten waaruit de geloofsovertuiging kan worden afgeleid.</w:t>
      </w:r>
    </w:p>
    <w:p w:rsidR="008A1483" w:rsidP="00CE333A" w:rsidRDefault="008A1483" w14:paraId="7AFD13D6" w14:textId="77777777">
      <w:pPr>
        <w:pStyle w:val="Geenafstand"/>
        <w:rPr>
          <w:rFonts w:ascii="Verdana" w:hAnsi="Verdana"/>
          <w:sz w:val="18"/>
          <w:szCs w:val="18"/>
        </w:rPr>
      </w:pPr>
    </w:p>
    <w:p w:rsidR="00C603BA" w:rsidP="00CE333A" w:rsidRDefault="00C603BA" w14:paraId="28950C92" w14:textId="77777777">
      <w:pPr>
        <w:pStyle w:val="Geenafstand"/>
        <w:rPr>
          <w:rFonts w:ascii="Verdana" w:hAnsi="Verdana"/>
          <w:sz w:val="18"/>
          <w:szCs w:val="18"/>
        </w:rPr>
      </w:pPr>
    </w:p>
    <w:p w:rsidR="007827B5" w:rsidP="00CE333A" w:rsidRDefault="007827B5" w14:paraId="6F401B34" w14:textId="1FC37610">
      <w:pPr>
        <w:pStyle w:val="Geenafstand"/>
        <w:rPr>
          <w:rFonts w:ascii="Verdana" w:hAnsi="Verdana"/>
          <w:sz w:val="18"/>
          <w:szCs w:val="18"/>
        </w:rPr>
      </w:pPr>
      <w:r>
        <w:rPr>
          <w:rFonts w:ascii="Verdana" w:hAnsi="Verdana"/>
          <w:sz w:val="18"/>
          <w:szCs w:val="18"/>
        </w:rPr>
        <w:t>Voor een toelichting over dit onderwerp wordt verwezen naar</w:t>
      </w:r>
      <w:r w:rsidRPr="00C47325" w:rsidR="000620D7">
        <w:rPr>
          <w:rFonts w:ascii="Verdana" w:hAnsi="Verdana"/>
          <w:sz w:val="18"/>
          <w:szCs w:val="18"/>
        </w:rPr>
        <w:t xml:space="preserve"> paragraaf 6.</w:t>
      </w:r>
      <w:r w:rsidR="00B93338">
        <w:rPr>
          <w:rFonts w:ascii="Verdana" w:hAnsi="Verdana"/>
          <w:sz w:val="18"/>
          <w:szCs w:val="18"/>
        </w:rPr>
        <w:t>5</w:t>
      </w:r>
      <w:r w:rsidRPr="00C47325" w:rsidR="000620D7">
        <w:rPr>
          <w:rFonts w:ascii="Verdana" w:hAnsi="Verdana"/>
          <w:sz w:val="18"/>
          <w:szCs w:val="18"/>
        </w:rPr>
        <w:t xml:space="preserve">. </w:t>
      </w:r>
    </w:p>
    <w:p w:rsidRPr="00C47325" w:rsidR="00CE333A" w:rsidP="00CE333A" w:rsidRDefault="00CE333A" w14:paraId="424E7D7A" w14:textId="77777777">
      <w:pPr>
        <w:pStyle w:val="Geenafstand"/>
        <w:rPr>
          <w:rFonts w:ascii="Verdana" w:hAnsi="Verdana"/>
          <w:b/>
          <w:bCs/>
          <w:sz w:val="18"/>
          <w:szCs w:val="18"/>
        </w:rPr>
      </w:pPr>
    </w:p>
    <w:p w:rsidRPr="00FB0A9D" w:rsidR="00D0002B" w:rsidP="00D0002B" w:rsidRDefault="00D0002B" w14:paraId="191BD209" w14:textId="77777777">
      <w:pPr>
        <w:pStyle w:val="Geenafstand"/>
        <w:rPr>
          <w:rFonts w:ascii="Verdana" w:hAnsi="Verdana"/>
          <w:b/>
          <w:bCs/>
          <w:sz w:val="18"/>
          <w:szCs w:val="18"/>
        </w:rPr>
      </w:pPr>
      <w:bookmarkStart w:name="_Hlk149815310" w:id="293"/>
      <w:r w:rsidRPr="00C0592E">
        <w:rPr>
          <w:rFonts w:ascii="Verdana" w:hAnsi="Verdana"/>
          <w:b/>
          <w:bCs/>
          <w:sz w:val="18"/>
          <w:szCs w:val="18"/>
        </w:rPr>
        <w:t xml:space="preserve">Artikel </w:t>
      </w:r>
      <w:r>
        <w:rPr>
          <w:rFonts w:ascii="Verdana" w:hAnsi="Verdana"/>
          <w:b/>
          <w:bCs/>
          <w:sz w:val="18"/>
          <w:szCs w:val="18"/>
        </w:rPr>
        <w:t>65</w:t>
      </w:r>
      <w:r w:rsidRPr="00C0592E">
        <w:rPr>
          <w:rFonts w:ascii="Verdana" w:hAnsi="Verdana"/>
          <w:b/>
          <w:bCs/>
          <w:sz w:val="18"/>
          <w:szCs w:val="18"/>
        </w:rPr>
        <w:t xml:space="preserve"> (</w:t>
      </w:r>
      <w:r>
        <w:rPr>
          <w:rFonts w:ascii="Verdana" w:hAnsi="Verdana"/>
          <w:b/>
          <w:bCs/>
          <w:sz w:val="18"/>
          <w:szCs w:val="18"/>
        </w:rPr>
        <w:t>bewaring van gegevens</w:t>
      </w:r>
      <w:r w:rsidRPr="00C0592E">
        <w:rPr>
          <w:rFonts w:ascii="Verdana" w:hAnsi="Verdana"/>
          <w:b/>
          <w:bCs/>
          <w:sz w:val="18"/>
          <w:szCs w:val="18"/>
        </w:rPr>
        <w:t>)</w:t>
      </w:r>
    </w:p>
    <w:p w:rsidR="006E795D" w:rsidP="003F2349" w:rsidRDefault="006E795D" w14:paraId="3EABFD55" w14:textId="77777777">
      <w:pPr>
        <w:pStyle w:val="Geenafstand"/>
        <w:rPr>
          <w:rFonts w:ascii="Verdana" w:hAnsi="Verdana"/>
          <w:sz w:val="18"/>
          <w:szCs w:val="18"/>
          <w:highlight w:val="yellow"/>
        </w:rPr>
      </w:pPr>
    </w:p>
    <w:p w:rsidR="00D0002B" w:rsidP="003F2349" w:rsidRDefault="00B940BD" w14:paraId="2DEDB914" w14:textId="2A096262">
      <w:pPr>
        <w:pStyle w:val="Geenafstand"/>
        <w:rPr>
          <w:rFonts w:ascii="Verdana" w:hAnsi="Verdana"/>
          <w:sz w:val="18"/>
          <w:szCs w:val="18"/>
        </w:rPr>
      </w:pPr>
      <w:r w:rsidRPr="00B940BD">
        <w:rPr>
          <w:rFonts w:ascii="Verdana" w:hAnsi="Verdana"/>
          <w:sz w:val="18"/>
          <w:szCs w:val="18"/>
        </w:rPr>
        <w:t xml:space="preserve">Artikel </w:t>
      </w:r>
      <w:r>
        <w:rPr>
          <w:rFonts w:ascii="Verdana" w:hAnsi="Verdana"/>
          <w:sz w:val="18"/>
          <w:szCs w:val="18"/>
        </w:rPr>
        <w:t xml:space="preserve">65, eerste lid, </w:t>
      </w:r>
      <w:proofErr w:type="spellStart"/>
      <w:r>
        <w:rPr>
          <w:rFonts w:ascii="Verdana" w:hAnsi="Verdana"/>
          <w:sz w:val="18"/>
          <w:szCs w:val="18"/>
        </w:rPr>
        <w:t>Cbw</w:t>
      </w:r>
      <w:proofErr w:type="spellEnd"/>
      <w:r w:rsidRPr="00B940BD">
        <w:rPr>
          <w:rFonts w:ascii="Verdana" w:hAnsi="Verdana"/>
          <w:sz w:val="18"/>
          <w:szCs w:val="18"/>
        </w:rPr>
        <w:t xml:space="preserve"> schrijft voor dat bij of krachtens </w:t>
      </w:r>
      <w:proofErr w:type="spellStart"/>
      <w:r w:rsidRPr="00B940BD">
        <w:rPr>
          <w:rFonts w:ascii="Verdana" w:hAnsi="Verdana"/>
          <w:sz w:val="18"/>
          <w:szCs w:val="18"/>
        </w:rPr>
        <w:t>amvb</w:t>
      </w:r>
      <w:proofErr w:type="spellEnd"/>
      <w:r w:rsidRPr="00B940BD">
        <w:rPr>
          <w:rFonts w:ascii="Verdana" w:hAnsi="Verdana"/>
          <w:sz w:val="18"/>
          <w:szCs w:val="18"/>
        </w:rPr>
        <w:t xml:space="preserve"> regels worden gesteld over de bewaring van persoonsgegevens die ter uitvoering van de </w:t>
      </w:r>
      <w:proofErr w:type="spellStart"/>
      <w:r>
        <w:rPr>
          <w:rFonts w:ascii="Verdana" w:hAnsi="Verdana"/>
          <w:sz w:val="18"/>
          <w:szCs w:val="18"/>
        </w:rPr>
        <w:t>Cbw</w:t>
      </w:r>
      <w:proofErr w:type="spellEnd"/>
      <w:r w:rsidRPr="00B940BD">
        <w:rPr>
          <w:rFonts w:ascii="Verdana" w:hAnsi="Verdana"/>
          <w:sz w:val="18"/>
          <w:szCs w:val="18"/>
        </w:rPr>
        <w:t xml:space="preserve"> worden verwerkt.</w:t>
      </w:r>
    </w:p>
    <w:p w:rsidR="00B940BD" w:rsidP="003F2349" w:rsidRDefault="00B940BD" w14:paraId="37227636" w14:textId="77777777">
      <w:pPr>
        <w:pStyle w:val="Geenafstand"/>
        <w:rPr>
          <w:rFonts w:ascii="Verdana" w:hAnsi="Verdana"/>
          <w:sz w:val="18"/>
          <w:szCs w:val="18"/>
        </w:rPr>
      </w:pPr>
    </w:p>
    <w:p w:rsidR="00B940BD" w:rsidP="003F2349" w:rsidRDefault="00B940BD" w14:paraId="4848C5B6" w14:textId="5265A9E0">
      <w:pPr>
        <w:pStyle w:val="Geenafstand"/>
        <w:rPr>
          <w:rFonts w:ascii="Verdana" w:hAnsi="Verdana"/>
          <w:sz w:val="18"/>
          <w:szCs w:val="18"/>
        </w:rPr>
      </w:pPr>
      <w:r>
        <w:rPr>
          <w:rFonts w:ascii="Verdana" w:hAnsi="Verdana"/>
          <w:sz w:val="18"/>
          <w:szCs w:val="18"/>
        </w:rPr>
        <w:t xml:space="preserve">Artikel 65, tweede lid, </w:t>
      </w:r>
      <w:proofErr w:type="spellStart"/>
      <w:r>
        <w:rPr>
          <w:rFonts w:ascii="Verdana" w:hAnsi="Verdana"/>
          <w:sz w:val="18"/>
          <w:szCs w:val="18"/>
        </w:rPr>
        <w:t>Cbw</w:t>
      </w:r>
      <w:proofErr w:type="spellEnd"/>
      <w:r>
        <w:rPr>
          <w:rFonts w:ascii="Verdana" w:hAnsi="Verdana"/>
          <w:sz w:val="18"/>
          <w:szCs w:val="18"/>
        </w:rPr>
        <w:t xml:space="preserve"> bepaalt dat de bijzondere categorieën van persoonsgegevens die door de bevoegde autoriteit worden verwerkt niet langer worden bewaard dan noodzakelijk is ter uitvoering van </w:t>
      </w:r>
      <w:r w:rsidR="001F172D">
        <w:rPr>
          <w:rFonts w:ascii="Verdana" w:hAnsi="Verdana"/>
          <w:sz w:val="18"/>
          <w:szCs w:val="18"/>
        </w:rPr>
        <w:t xml:space="preserve">haar </w:t>
      </w:r>
      <w:r>
        <w:rPr>
          <w:rFonts w:ascii="Verdana" w:hAnsi="Verdana"/>
          <w:sz w:val="18"/>
          <w:szCs w:val="18"/>
        </w:rPr>
        <w:t xml:space="preserve">taken op grond van de </w:t>
      </w:r>
      <w:proofErr w:type="spellStart"/>
      <w:r>
        <w:rPr>
          <w:rFonts w:ascii="Verdana" w:hAnsi="Verdana"/>
          <w:sz w:val="18"/>
          <w:szCs w:val="18"/>
        </w:rPr>
        <w:t>Cbw</w:t>
      </w:r>
      <w:proofErr w:type="spellEnd"/>
      <w:r>
        <w:rPr>
          <w:rFonts w:ascii="Verdana" w:hAnsi="Verdana"/>
          <w:sz w:val="18"/>
          <w:szCs w:val="18"/>
        </w:rPr>
        <w:t>, maar dat deze in elk geval uiterlijk binnen 60 maanden na de eerste verwerking worden verwijderd.</w:t>
      </w:r>
    </w:p>
    <w:p w:rsidR="001F172D" w:rsidP="003F2349" w:rsidRDefault="001F172D" w14:paraId="58343273" w14:textId="77777777">
      <w:pPr>
        <w:pStyle w:val="Geenafstand"/>
        <w:rPr>
          <w:rFonts w:ascii="Verdana" w:hAnsi="Verdana"/>
          <w:sz w:val="18"/>
          <w:szCs w:val="18"/>
        </w:rPr>
      </w:pPr>
    </w:p>
    <w:p w:rsidR="001F172D" w:rsidP="003F2349" w:rsidRDefault="001F172D" w14:paraId="2108CBB8" w14:textId="738D78D8">
      <w:pPr>
        <w:pStyle w:val="Geenafstand"/>
        <w:rPr>
          <w:rFonts w:ascii="Verdana" w:hAnsi="Verdana"/>
          <w:sz w:val="18"/>
          <w:szCs w:val="18"/>
          <w:highlight w:val="yellow"/>
        </w:rPr>
      </w:pPr>
      <w:r>
        <w:rPr>
          <w:rFonts w:ascii="Verdana" w:hAnsi="Verdana"/>
          <w:sz w:val="18"/>
          <w:szCs w:val="18"/>
        </w:rPr>
        <w:t xml:space="preserve">Artikel 65, derde lid, </w:t>
      </w:r>
      <w:proofErr w:type="spellStart"/>
      <w:r>
        <w:rPr>
          <w:rFonts w:ascii="Verdana" w:hAnsi="Verdana"/>
          <w:sz w:val="18"/>
          <w:szCs w:val="18"/>
        </w:rPr>
        <w:t>Cbw</w:t>
      </w:r>
      <w:proofErr w:type="spellEnd"/>
      <w:r>
        <w:rPr>
          <w:rFonts w:ascii="Verdana" w:hAnsi="Verdana"/>
          <w:sz w:val="18"/>
          <w:szCs w:val="18"/>
        </w:rPr>
        <w:t xml:space="preserve"> bepaalt dat de bijzondere categorieën van persoonsgegevens die door het CSIRT worden verwerkt niet langer worden bewaard dan noodzakelijk is ter uitvoering van haar taken op grond van de </w:t>
      </w:r>
      <w:proofErr w:type="spellStart"/>
      <w:r>
        <w:rPr>
          <w:rFonts w:ascii="Verdana" w:hAnsi="Verdana"/>
          <w:sz w:val="18"/>
          <w:szCs w:val="18"/>
        </w:rPr>
        <w:t>Cbw</w:t>
      </w:r>
      <w:proofErr w:type="spellEnd"/>
      <w:r>
        <w:rPr>
          <w:rFonts w:ascii="Verdana" w:hAnsi="Verdana"/>
          <w:sz w:val="18"/>
          <w:szCs w:val="18"/>
        </w:rPr>
        <w:t xml:space="preserve">, maar dat deze in elk geval uiterlijk binnen </w:t>
      </w:r>
      <w:r w:rsidR="00F64E21">
        <w:rPr>
          <w:rFonts w:ascii="Verdana" w:hAnsi="Verdana"/>
          <w:sz w:val="18"/>
          <w:szCs w:val="18"/>
        </w:rPr>
        <w:t>12</w:t>
      </w:r>
      <w:r>
        <w:rPr>
          <w:rFonts w:ascii="Verdana" w:hAnsi="Verdana"/>
          <w:sz w:val="18"/>
          <w:szCs w:val="18"/>
        </w:rPr>
        <w:t xml:space="preserve"> maanden na de eerste verwerking worden verwijderd.</w:t>
      </w:r>
    </w:p>
    <w:p w:rsidRPr="00C47325" w:rsidR="00D0002B" w:rsidP="003F2349" w:rsidRDefault="00D0002B" w14:paraId="53D1540C" w14:textId="77777777">
      <w:pPr>
        <w:pStyle w:val="Geenafstand"/>
        <w:rPr>
          <w:rFonts w:ascii="Verdana" w:hAnsi="Verdana"/>
          <w:sz w:val="18"/>
          <w:szCs w:val="18"/>
          <w:highlight w:val="yellow"/>
        </w:rPr>
      </w:pPr>
    </w:p>
    <w:p w:rsidRPr="00BD3C4A" w:rsidR="00D0002B" w:rsidP="00D0002B" w:rsidRDefault="00D0002B" w14:paraId="681810AB" w14:textId="42E0E115">
      <w:pPr>
        <w:pStyle w:val="Geenafstand"/>
        <w:rPr>
          <w:rFonts w:ascii="Verdana" w:hAnsi="Verdana" w:eastAsia="Calibri" w:cs="Arial"/>
          <w:b/>
          <w:bCs/>
          <w:sz w:val="18"/>
          <w:szCs w:val="18"/>
        </w:rPr>
      </w:pPr>
      <w:r w:rsidRPr="00BD3C4A">
        <w:rPr>
          <w:rFonts w:ascii="Verdana" w:hAnsi="Verdana" w:eastAsia="Calibri" w:cs="Arial"/>
          <w:b/>
          <w:bCs/>
          <w:sz w:val="18"/>
          <w:szCs w:val="18"/>
        </w:rPr>
        <w:t xml:space="preserve">Artikel </w:t>
      </w:r>
      <w:r>
        <w:rPr>
          <w:rFonts w:ascii="Verdana" w:hAnsi="Verdana" w:eastAsia="Calibri" w:cs="Arial"/>
          <w:b/>
          <w:bCs/>
          <w:sz w:val="18"/>
          <w:szCs w:val="18"/>
        </w:rPr>
        <w:t>66</w:t>
      </w:r>
      <w:r w:rsidRPr="00BD3C4A">
        <w:rPr>
          <w:rFonts w:ascii="Verdana" w:hAnsi="Verdana" w:eastAsia="Calibri" w:cs="Arial"/>
          <w:b/>
          <w:bCs/>
          <w:sz w:val="18"/>
          <w:szCs w:val="18"/>
        </w:rPr>
        <w:t xml:space="preserve"> (vertrouwelijke gegevens)</w:t>
      </w:r>
    </w:p>
    <w:p w:rsidR="00D0002B" w:rsidP="00D52456" w:rsidRDefault="00D0002B" w14:paraId="3C7653DD" w14:textId="77777777">
      <w:pPr>
        <w:pStyle w:val="Geenafstand"/>
        <w:rPr>
          <w:rFonts w:ascii="Verdana" w:hAnsi="Verdana"/>
          <w:kern w:val="2"/>
          <w:sz w:val="18"/>
          <w:szCs w:val="18"/>
        </w:rPr>
      </w:pPr>
    </w:p>
    <w:p w:rsidRPr="00107914" w:rsidR="002D6248" w:rsidP="00D52456" w:rsidRDefault="00D52456" w14:paraId="32165D27" w14:textId="1813BF87">
      <w:pPr>
        <w:pStyle w:val="Geenafstand"/>
        <w:rPr>
          <w:rFonts w:ascii="Verdana" w:hAnsi="Verdana"/>
          <w:kern w:val="2"/>
          <w:sz w:val="18"/>
          <w:szCs w:val="18"/>
        </w:rPr>
      </w:pPr>
      <w:r w:rsidRPr="00107914">
        <w:rPr>
          <w:rFonts w:ascii="Verdana" w:hAnsi="Verdana"/>
          <w:kern w:val="2"/>
          <w:sz w:val="18"/>
          <w:szCs w:val="18"/>
        </w:rPr>
        <w:t>Artikel 6</w:t>
      </w:r>
      <w:r w:rsidR="0069451D">
        <w:rPr>
          <w:rFonts w:ascii="Verdana" w:hAnsi="Verdana"/>
          <w:kern w:val="2"/>
          <w:sz w:val="18"/>
          <w:szCs w:val="18"/>
        </w:rPr>
        <w:t>6</w:t>
      </w:r>
      <w:r w:rsidR="00F448F9">
        <w:rPr>
          <w:rFonts w:ascii="Verdana" w:hAnsi="Verdana"/>
          <w:kern w:val="2"/>
          <w:sz w:val="18"/>
          <w:szCs w:val="18"/>
        </w:rPr>
        <w:t>, eerste lid,</w:t>
      </w:r>
      <w:r w:rsidRPr="00107914">
        <w:rPr>
          <w:rFonts w:ascii="Verdana" w:hAnsi="Verdana"/>
          <w:kern w:val="2"/>
          <w:sz w:val="18"/>
          <w:szCs w:val="18"/>
        </w:rPr>
        <w:t xml:space="preserve"> </w:t>
      </w:r>
      <w:proofErr w:type="spellStart"/>
      <w:r w:rsidRPr="00107914">
        <w:rPr>
          <w:rFonts w:ascii="Verdana" w:hAnsi="Verdana"/>
          <w:kern w:val="2"/>
          <w:sz w:val="18"/>
          <w:szCs w:val="18"/>
        </w:rPr>
        <w:t>Cbw</w:t>
      </w:r>
      <w:proofErr w:type="spellEnd"/>
      <w:r w:rsidRPr="00107914">
        <w:rPr>
          <w:rFonts w:ascii="Verdana" w:hAnsi="Verdana"/>
          <w:kern w:val="2"/>
          <w:sz w:val="18"/>
          <w:szCs w:val="18"/>
        </w:rPr>
        <w:t xml:space="preserve"> gaat over de uitwisseling van vertrouwelijke gegevens</w:t>
      </w:r>
      <w:r w:rsidRPr="00107914" w:rsidR="00B61FF7">
        <w:rPr>
          <w:rFonts w:ascii="Verdana" w:hAnsi="Verdana"/>
          <w:kern w:val="2"/>
          <w:sz w:val="18"/>
          <w:szCs w:val="18"/>
        </w:rPr>
        <w:t xml:space="preserve"> en voorziet in de waarborgen voor die gegevensuitwisseling</w:t>
      </w:r>
      <w:r w:rsidRPr="00107914">
        <w:rPr>
          <w:rFonts w:ascii="Verdana" w:hAnsi="Verdana"/>
          <w:kern w:val="2"/>
          <w:sz w:val="18"/>
          <w:szCs w:val="18"/>
        </w:rPr>
        <w:t xml:space="preserve">. </w:t>
      </w:r>
      <w:r w:rsidRPr="00107914" w:rsidR="002D6248">
        <w:rPr>
          <w:rFonts w:ascii="Verdana" w:hAnsi="Verdana"/>
          <w:kern w:val="2"/>
          <w:sz w:val="18"/>
          <w:szCs w:val="18"/>
        </w:rPr>
        <w:t xml:space="preserve">Deze waarborgen vloeien voort uit artikel 2, dertiende lid, NIS2-richtlijn. In de praktijk zal het met name gaan om vertrouwelijke gegevens waarover het CSIRT beschikt bij de uitvoering van </w:t>
      </w:r>
      <w:r w:rsidR="00F448F9">
        <w:rPr>
          <w:rFonts w:ascii="Verdana" w:hAnsi="Verdana"/>
          <w:kern w:val="2"/>
          <w:sz w:val="18"/>
          <w:szCs w:val="18"/>
        </w:rPr>
        <w:t>haar</w:t>
      </w:r>
      <w:r w:rsidRPr="00107914" w:rsidR="00F448F9">
        <w:rPr>
          <w:rFonts w:ascii="Verdana" w:hAnsi="Verdana"/>
          <w:kern w:val="2"/>
          <w:sz w:val="18"/>
          <w:szCs w:val="18"/>
        </w:rPr>
        <w:t xml:space="preserve"> </w:t>
      </w:r>
      <w:r w:rsidRPr="00107914" w:rsidR="002D6248">
        <w:rPr>
          <w:rFonts w:ascii="Verdana" w:hAnsi="Verdana"/>
          <w:kern w:val="2"/>
          <w:sz w:val="18"/>
          <w:szCs w:val="18"/>
        </w:rPr>
        <w:t>taken</w:t>
      </w:r>
      <w:r w:rsidR="00F448F9">
        <w:rPr>
          <w:rFonts w:ascii="Verdana" w:hAnsi="Verdana"/>
          <w:kern w:val="2"/>
          <w:sz w:val="18"/>
          <w:szCs w:val="18"/>
        </w:rPr>
        <w:t>, waaronder die</w:t>
      </w:r>
      <w:r w:rsidRPr="00107914" w:rsidR="002D6248">
        <w:rPr>
          <w:rFonts w:ascii="Verdana" w:hAnsi="Verdana"/>
          <w:kern w:val="2"/>
          <w:sz w:val="18"/>
          <w:szCs w:val="18"/>
        </w:rPr>
        <w:t xml:space="preserve"> in het kader van de meldplicht, waarover de coördinator met het oog op een gecoördineerde bekendmaking van kwetsbaarheden beschikt bij de taak van het optreden als tussenpersoon en waarover de toezichthouder beschikt bij haar taken ten aanzien van de meldplicht en het toezicht op de naleving van het bepaalde bij of krachtens de </w:t>
      </w:r>
      <w:proofErr w:type="spellStart"/>
      <w:r w:rsidRPr="00107914" w:rsidR="002D6248">
        <w:rPr>
          <w:rFonts w:ascii="Verdana" w:hAnsi="Verdana"/>
          <w:kern w:val="2"/>
          <w:sz w:val="18"/>
          <w:szCs w:val="18"/>
        </w:rPr>
        <w:t>Cbw</w:t>
      </w:r>
      <w:proofErr w:type="spellEnd"/>
      <w:r w:rsidRPr="00107914" w:rsidR="002D6248">
        <w:rPr>
          <w:rFonts w:ascii="Verdana" w:hAnsi="Verdana"/>
          <w:kern w:val="2"/>
          <w:sz w:val="18"/>
          <w:szCs w:val="18"/>
        </w:rPr>
        <w:t>.</w:t>
      </w:r>
    </w:p>
    <w:p w:rsidR="00E87B40" w:rsidP="00D52456" w:rsidRDefault="00E87B40" w14:paraId="11F1B848" w14:textId="77777777">
      <w:pPr>
        <w:pStyle w:val="Geenafstand"/>
        <w:rPr>
          <w:rFonts w:ascii="Verdana" w:hAnsi="Verdana"/>
          <w:kern w:val="2"/>
          <w:sz w:val="18"/>
          <w:szCs w:val="18"/>
        </w:rPr>
      </w:pPr>
    </w:p>
    <w:p w:rsidRPr="00107914" w:rsidR="00D52456" w:rsidP="00D52456" w:rsidRDefault="00D52456" w14:paraId="2420CF15" w14:textId="25570040">
      <w:pPr>
        <w:pStyle w:val="Geenafstand"/>
        <w:rPr>
          <w:rFonts w:ascii="Verdana" w:hAnsi="Verdana"/>
          <w:kern w:val="2"/>
          <w:sz w:val="18"/>
          <w:szCs w:val="18"/>
        </w:rPr>
      </w:pPr>
      <w:r w:rsidRPr="00107914">
        <w:rPr>
          <w:rFonts w:ascii="Verdana" w:hAnsi="Verdana"/>
          <w:kern w:val="2"/>
          <w:sz w:val="18"/>
          <w:szCs w:val="18"/>
        </w:rPr>
        <w:t xml:space="preserve">Onder vertrouwelijke gegevens worden in beginsel die gegevens verstaan die door entiteiten vertrouwelijk aan het CSIRT en de bevoegde autoriteit zijn verstrekt. Daaronder vallen in ieder geval </w:t>
      </w:r>
      <w:r w:rsidR="00FA3B7F">
        <w:rPr>
          <w:rFonts w:ascii="Verdana" w:hAnsi="Verdana"/>
          <w:kern w:val="2"/>
          <w:sz w:val="18"/>
          <w:szCs w:val="18"/>
        </w:rPr>
        <w:t>bedrijfsgeheimen</w:t>
      </w:r>
      <w:r w:rsidRPr="00107914">
        <w:rPr>
          <w:rFonts w:ascii="Verdana" w:hAnsi="Verdana"/>
          <w:kern w:val="2"/>
          <w:sz w:val="18"/>
          <w:szCs w:val="18"/>
        </w:rPr>
        <w:t xml:space="preserve">. Bij bedrijfsgeheimen </w:t>
      </w:r>
      <w:r w:rsidRPr="00107914" w:rsidR="00283C24">
        <w:rPr>
          <w:rFonts w:ascii="Verdana" w:hAnsi="Verdana"/>
          <w:kern w:val="2"/>
          <w:sz w:val="18"/>
          <w:szCs w:val="18"/>
        </w:rPr>
        <w:t>kan worden</w:t>
      </w:r>
      <w:r w:rsidRPr="00107914">
        <w:rPr>
          <w:rFonts w:ascii="Verdana" w:hAnsi="Verdana"/>
          <w:kern w:val="2"/>
          <w:sz w:val="18"/>
          <w:szCs w:val="18"/>
        </w:rPr>
        <w:t xml:space="preserve"> gedacht aan technologische informatie, zoals gebruikte beveiligingsmethoden en algoritmes, maar ook aan handelsgegevens, zoals risicoanalyses of informatiebeveiligingsstrategieën. Deze vertrouwelijke gegevens kunnen ook zien op kwetsbaarheden in specifieke netwerk- en informatiesystemen (ongeacht of er sprake is van een concrete dreiging), of op specifieke informatie over dreigingen of incidenten met betrekking tot die specifieke, door die entiteit of entiteiten gebruikte systemen, voor zover dergelijke informatie niet reeds openbare informatie betreft, zoals een </w:t>
      </w:r>
      <w:proofErr w:type="spellStart"/>
      <w:r w:rsidRPr="00107914">
        <w:rPr>
          <w:rFonts w:ascii="Verdana" w:hAnsi="Verdana"/>
          <w:kern w:val="2"/>
          <w:sz w:val="18"/>
          <w:szCs w:val="18"/>
        </w:rPr>
        <w:t>Autonomous</w:t>
      </w:r>
      <w:proofErr w:type="spellEnd"/>
      <w:r w:rsidRPr="00107914">
        <w:rPr>
          <w:rFonts w:ascii="Verdana" w:hAnsi="Verdana"/>
          <w:kern w:val="2"/>
          <w:sz w:val="18"/>
          <w:szCs w:val="18"/>
        </w:rPr>
        <w:t xml:space="preserve"> System</w:t>
      </w:r>
      <w:r w:rsidR="0072462A">
        <w:rPr>
          <w:rFonts w:ascii="Verdana" w:hAnsi="Verdana"/>
          <w:kern w:val="2"/>
          <w:sz w:val="18"/>
          <w:szCs w:val="18"/>
        </w:rPr>
        <w:t>-</w:t>
      </w:r>
      <w:r w:rsidRPr="00107914">
        <w:rPr>
          <w:rFonts w:ascii="Verdana" w:hAnsi="Verdana"/>
          <w:kern w:val="2"/>
          <w:sz w:val="18"/>
          <w:szCs w:val="18"/>
        </w:rPr>
        <w:t xml:space="preserve">nummer (AS-nummer) of toegewezen of gebruikte IP-adressen. Ook kan worden gedacht aan concrete informatie over de entiteit die door een dreiging of incident is getroffen waarbij verdere verspreiding tot gevolg heeft dat die entiteit daarvan nadeel ondervindt (bijvoorbeeld omdat klanten weglopen, of omdat gegevens bekend worden waar concurrenten of kwaadwillende actoren binnen het cyberdomein hun voordeel mee kunnen doen). </w:t>
      </w:r>
      <w:r w:rsidRPr="00F448F9" w:rsidR="00F448F9">
        <w:rPr>
          <w:rFonts w:ascii="Verdana" w:hAnsi="Verdana"/>
          <w:kern w:val="2"/>
          <w:sz w:val="18"/>
          <w:szCs w:val="18"/>
        </w:rPr>
        <w:t>Ook kan het informatie betreffen over cyberbeveiligingsmaatregelen die een entiteit al dan niet heeft getroffen.</w:t>
      </w:r>
    </w:p>
    <w:p w:rsidR="00E87B40" w:rsidP="003F2349" w:rsidRDefault="00E87B40" w14:paraId="42D459E9" w14:textId="77777777">
      <w:pPr>
        <w:pStyle w:val="Geenafstand"/>
        <w:rPr>
          <w:rFonts w:ascii="Verdana" w:hAnsi="Verdana"/>
          <w:kern w:val="2"/>
          <w:sz w:val="18"/>
          <w:szCs w:val="18"/>
        </w:rPr>
      </w:pPr>
    </w:p>
    <w:p w:rsidR="00D52456" w:rsidP="003F2349" w:rsidRDefault="00D52456" w14:paraId="3D75E539" w14:textId="49D1B3F1">
      <w:pPr>
        <w:pStyle w:val="Geenafstand"/>
        <w:rPr>
          <w:rFonts w:ascii="Verdana" w:hAnsi="Verdana"/>
          <w:kern w:val="2"/>
          <w:sz w:val="18"/>
          <w:szCs w:val="18"/>
        </w:rPr>
      </w:pPr>
      <w:r w:rsidRPr="00107914">
        <w:rPr>
          <w:rFonts w:ascii="Verdana" w:hAnsi="Verdana"/>
          <w:kern w:val="2"/>
          <w:sz w:val="18"/>
          <w:szCs w:val="18"/>
        </w:rPr>
        <w:t xml:space="preserve">Vertrouwelijke gegevens kunnen ook gegevens betreffen die krachtens Unie- of nationale voorschriften </w:t>
      </w:r>
      <w:r w:rsidR="00F448F9">
        <w:rPr>
          <w:rFonts w:ascii="Verdana" w:hAnsi="Verdana"/>
          <w:kern w:val="2"/>
          <w:sz w:val="18"/>
          <w:szCs w:val="18"/>
        </w:rPr>
        <w:t xml:space="preserve">als </w:t>
      </w:r>
      <w:r w:rsidRPr="00107914">
        <w:rPr>
          <w:rFonts w:ascii="Verdana" w:hAnsi="Verdana"/>
          <w:kern w:val="2"/>
          <w:sz w:val="18"/>
          <w:szCs w:val="18"/>
        </w:rPr>
        <w:t>vertrouwelijk zijn</w:t>
      </w:r>
      <w:r w:rsidR="00F448F9">
        <w:rPr>
          <w:rFonts w:ascii="Verdana" w:hAnsi="Verdana"/>
          <w:kern w:val="2"/>
          <w:sz w:val="18"/>
          <w:szCs w:val="18"/>
        </w:rPr>
        <w:t xml:space="preserve"> gekenmerkt</w:t>
      </w:r>
      <w:r w:rsidRPr="00107914">
        <w:rPr>
          <w:rFonts w:ascii="Verdana" w:hAnsi="Verdana"/>
          <w:kern w:val="2"/>
          <w:sz w:val="18"/>
          <w:szCs w:val="18"/>
        </w:rPr>
        <w:t xml:space="preserve">. Hierbij wordt in elk geval gedacht aan bedrijfs- en fabricagegegevens die door </w:t>
      </w:r>
      <w:r w:rsidRPr="00107914" w:rsidR="00283C24">
        <w:rPr>
          <w:rFonts w:ascii="Verdana" w:hAnsi="Verdana"/>
          <w:kern w:val="2"/>
          <w:sz w:val="18"/>
          <w:szCs w:val="18"/>
        </w:rPr>
        <w:t>entiteiten</w:t>
      </w:r>
      <w:r w:rsidRPr="00107914">
        <w:rPr>
          <w:rFonts w:ascii="Verdana" w:hAnsi="Verdana"/>
          <w:kern w:val="2"/>
          <w:sz w:val="18"/>
          <w:szCs w:val="18"/>
        </w:rPr>
        <w:t xml:space="preserve"> vertrouwelijk aan de overheid zijn meegedeeld</w:t>
      </w:r>
      <w:r w:rsidR="00F448F9">
        <w:rPr>
          <w:rFonts w:ascii="Verdana" w:hAnsi="Verdana"/>
          <w:kern w:val="2"/>
          <w:sz w:val="18"/>
          <w:szCs w:val="18"/>
        </w:rPr>
        <w:t xml:space="preserve"> als bedoeld in</w:t>
      </w:r>
      <w:r w:rsidRPr="00107914">
        <w:rPr>
          <w:rFonts w:ascii="Verdana" w:hAnsi="Verdana"/>
          <w:kern w:val="2"/>
          <w:sz w:val="18"/>
          <w:szCs w:val="18"/>
        </w:rPr>
        <w:t xml:space="preserve"> artikel 5.1, eerste lid, onderdeel c, Wet open overheid</w:t>
      </w:r>
      <w:r w:rsidR="00F55F88">
        <w:rPr>
          <w:rFonts w:ascii="Verdana" w:hAnsi="Verdana"/>
          <w:kern w:val="2"/>
          <w:sz w:val="18"/>
          <w:szCs w:val="18"/>
        </w:rPr>
        <w:t xml:space="preserve"> (hierna: Woo)</w:t>
      </w:r>
      <w:r w:rsidRPr="00107914">
        <w:rPr>
          <w:rFonts w:ascii="Verdana" w:hAnsi="Verdana"/>
          <w:kern w:val="2"/>
          <w:sz w:val="18"/>
          <w:szCs w:val="18"/>
        </w:rPr>
        <w:t xml:space="preserve">. </w:t>
      </w:r>
      <w:r w:rsidRPr="00107914" w:rsidR="00283C24">
        <w:rPr>
          <w:rFonts w:ascii="Verdana" w:hAnsi="Verdana"/>
          <w:kern w:val="2"/>
          <w:sz w:val="18"/>
          <w:szCs w:val="18"/>
        </w:rPr>
        <w:t xml:space="preserve">In relatie tot de </w:t>
      </w:r>
      <w:proofErr w:type="spellStart"/>
      <w:r w:rsidRPr="00107914" w:rsidR="00283C24">
        <w:rPr>
          <w:rFonts w:ascii="Verdana" w:hAnsi="Verdana"/>
          <w:kern w:val="2"/>
          <w:sz w:val="18"/>
          <w:szCs w:val="18"/>
        </w:rPr>
        <w:t>Cbw</w:t>
      </w:r>
      <w:proofErr w:type="spellEnd"/>
      <w:r w:rsidRPr="00107914" w:rsidR="00283C24">
        <w:rPr>
          <w:rFonts w:ascii="Verdana" w:hAnsi="Verdana"/>
          <w:kern w:val="2"/>
          <w:sz w:val="18"/>
          <w:szCs w:val="18"/>
        </w:rPr>
        <w:t xml:space="preserve"> kan hierbij worden gedacht aan</w:t>
      </w:r>
      <w:r w:rsidRPr="00107914">
        <w:rPr>
          <w:rFonts w:ascii="Verdana" w:hAnsi="Verdana"/>
          <w:kern w:val="2"/>
          <w:sz w:val="18"/>
          <w:szCs w:val="18"/>
        </w:rPr>
        <w:t xml:space="preserve"> gegevens die door een entiteit in het kader van de meldplicht van de </w:t>
      </w:r>
      <w:proofErr w:type="spellStart"/>
      <w:r w:rsidRPr="00C47325">
        <w:rPr>
          <w:rFonts w:ascii="Verdana" w:hAnsi="Verdana"/>
          <w:sz w:val="18"/>
          <w:szCs w:val="18"/>
        </w:rPr>
        <w:t>Cbw</w:t>
      </w:r>
      <w:proofErr w:type="spellEnd"/>
      <w:r w:rsidRPr="00107914">
        <w:rPr>
          <w:rFonts w:ascii="Verdana" w:hAnsi="Verdana"/>
          <w:kern w:val="2"/>
          <w:sz w:val="18"/>
          <w:szCs w:val="18"/>
        </w:rPr>
        <w:t xml:space="preserve"> aan de overheid zijn verstrekt en daarbij zijn aangemerkt als vertrouwelijke bedrijfs- of fabricagegegevens. </w:t>
      </w:r>
      <w:bookmarkStart w:name="_Hlk177633126" w:id="294"/>
      <w:r w:rsidRPr="00107914" w:rsidR="00283C24">
        <w:rPr>
          <w:rFonts w:ascii="Verdana" w:hAnsi="Verdana"/>
          <w:kern w:val="2"/>
          <w:sz w:val="18"/>
          <w:szCs w:val="18"/>
        </w:rPr>
        <w:t>Overigens</w:t>
      </w:r>
      <w:r w:rsidRPr="00107914">
        <w:rPr>
          <w:rFonts w:ascii="Verdana" w:hAnsi="Verdana"/>
          <w:kern w:val="2"/>
          <w:sz w:val="18"/>
          <w:szCs w:val="18"/>
        </w:rPr>
        <w:t xml:space="preserve"> ligt </w:t>
      </w:r>
      <w:r w:rsidRPr="00107914" w:rsidR="00283C24">
        <w:rPr>
          <w:rFonts w:ascii="Verdana" w:hAnsi="Verdana"/>
          <w:kern w:val="2"/>
          <w:sz w:val="18"/>
          <w:szCs w:val="18"/>
        </w:rPr>
        <w:t xml:space="preserve">het </w:t>
      </w:r>
      <w:r w:rsidRPr="00107914">
        <w:rPr>
          <w:rFonts w:ascii="Verdana" w:hAnsi="Verdana"/>
          <w:kern w:val="2"/>
          <w:sz w:val="18"/>
          <w:szCs w:val="18"/>
        </w:rPr>
        <w:t xml:space="preserve">voor de hand dat de </w:t>
      </w:r>
      <w:r w:rsidR="00F448F9">
        <w:rPr>
          <w:rFonts w:ascii="Verdana" w:hAnsi="Verdana"/>
          <w:kern w:val="2"/>
          <w:sz w:val="18"/>
          <w:szCs w:val="18"/>
        </w:rPr>
        <w:t>eerder genoemde</w:t>
      </w:r>
      <w:r w:rsidRPr="00107914">
        <w:rPr>
          <w:rFonts w:ascii="Verdana" w:hAnsi="Verdana"/>
          <w:kern w:val="2"/>
          <w:sz w:val="18"/>
          <w:szCs w:val="18"/>
        </w:rPr>
        <w:t xml:space="preserve"> bedrijfsgeheimen veelal ook vertrouwelijk aan de overheid verstrekte bedrijfs- en fabricagegegevens zijn, maar dat </w:t>
      </w:r>
      <w:r w:rsidR="00F448F9">
        <w:rPr>
          <w:rFonts w:ascii="Verdana" w:hAnsi="Verdana"/>
          <w:kern w:val="2"/>
          <w:sz w:val="18"/>
          <w:szCs w:val="18"/>
        </w:rPr>
        <w:t>hoeft</w:t>
      </w:r>
      <w:r w:rsidRPr="00107914">
        <w:rPr>
          <w:rFonts w:ascii="Verdana" w:hAnsi="Verdana"/>
          <w:kern w:val="2"/>
          <w:sz w:val="18"/>
          <w:szCs w:val="18"/>
        </w:rPr>
        <w:t xml:space="preserve"> niet per definitie het geval</w:t>
      </w:r>
      <w:r w:rsidR="00F448F9">
        <w:rPr>
          <w:rFonts w:ascii="Verdana" w:hAnsi="Verdana"/>
          <w:kern w:val="2"/>
          <w:sz w:val="18"/>
          <w:szCs w:val="18"/>
        </w:rPr>
        <w:t xml:space="preserve"> te zijn</w:t>
      </w:r>
      <w:r w:rsidRPr="00107914">
        <w:rPr>
          <w:rFonts w:ascii="Verdana" w:hAnsi="Verdana"/>
          <w:kern w:val="2"/>
          <w:sz w:val="18"/>
          <w:szCs w:val="18"/>
        </w:rPr>
        <w:t>.</w:t>
      </w:r>
      <w:bookmarkEnd w:id="294"/>
    </w:p>
    <w:p w:rsidR="00F448F9" w:rsidP="003F2349" w:rsidRDefault="00F448F9" w14:paraId="391E40B5" w14:textId="77777777">
      <w:pPr>
        <w:pStyle w:val="Geenafstand"/>
        <w:rPr>
          <w:rFonts w:ascii="Verdana" w:hAnsi="Verdana"/>
          <w:kern w:val="2"/>
          <w:sz w:val="18"/>
          <w:szCs w:val="18"/>
        </w:rPr>
      </w:pPr>
    </w:p>
    <w:p w:rsidR="00F448F9" w:rsidP="003F2349" w:rsidRDefault="00F448F9" w14:paraId="114D26EC" w14:textId="4DB2D1E5">
      <w:pPr>
        <w:pStyle w:val="Geenafstand"/>
        <w:rPr>
          <w:rFonts w:ascii="Verdana" w:hAnsi="Verdana"/>
          <w:kern w:val="2"/>
          <w:sz w:val="18"/>
          <w:szCs w:val="18"/>
        </w:rPr>
      </w:pPr>
      <w:r w:rsidRPr="00F448F9">
        <w:rPr>
          <w:rFonts w:ascii="Verdana" w:hAnsi="Verdana"/>
          <w:kern w:val="2"/>
          <w:sz w:val="18"/>
          <w:szCs w:val="18"/>
        </w:rPr>
        <w:t xml:space="preserve">De bevoegde autoriteit, het CSIRT, het centrale contactpunt en de Minister van Justitie en Veiligheid kunnen in het kader van de uitoefening van hun taken uit de </w:t>
      </w:r>
      <w:proofErr w:type="spellStart"/>
      <w:r w:rsidRPr="00F448F9">
        <w:rPr>
          <w:rFonts w:ascii="Verdana" w:hAnsi="Verdana"/>
          <w:kern w:val="2"/>
          <w:sz w:val="18"/>
          <w:szCs w:val="18"/>
        </w:rPr>
        <w:t>Cbw</w:t>
      </w:r>
      <w:proofErr w:type="spellEnd"/>
      <w:r w:rsidRPr="00F448F9">
        <w:rPr>
          <w:rFonts w:ascii="Verdana" w:hAnsi="Verdana"/>
          <w:kern w:val="2"/>
          <w:sz w:val="18"/>
          <w:szCs w:val="18"/>
        </w:rPr>
        <w:t xml:space="preserve"> vertrouwelijke informatie aan derden verstrekken, doch uitsluitend onder de voorwaarden van de onderdelen a tot en met d van artikel 66, eerste lid, </w:t>
      </w:r>
      <w:proofErr w:type="spellStart"/>
      <w:r w:rsidRPr="00F448F9">
        <w:rPr>
          <w:rFonts w:ascii="Verdana" w:hAnsi="Verdana"/>
          <w:kern w:val="2"/>
          <w:sz w:val="18"/>
          <w:szCs w:val="18"/>
        </w:rPr>
        <w:t>Cbw</w:t>
      </w:r>
      <w:proofErr w:type="spellEnd"/>
      <w:r w:rsidRPr="00F448F9">
        <w:rPr>
          <w:rFonts w:ascii="Verdana" w:hAnsi="Verdana"/>
          <w:kern w:val="2"/>
          <w:sz w:val="18"/>
          <w:szCs w:val="18"/>
        </w:rPr>
        <w:t>.</w:t>
      </w:r>
    </w:p>
    <w:p w:rsidR="00F448F9" w:rsidP="003F2349" w:rsidRDefault="00F448F9" w14:paraId="05A65FDF" w14:textId="77777777">
      <w:pPr>
        <w:pStyle w:val="Geenafstand"/>
        <w:rPr>
          <w:rFonts w:ascii="Verdana" w:hAnsi="Verdana"/>
          <w:kern w:val="2"/>
          <w:sz w:val="18"/>
          <w:szCs w:val="18"/>
        </w:rPr>
      </w:pPr>
    </w:p>
    <w:p w:rsidR="00F448F9" w:rsidP="003F2349" w:rsidRDefault="00F448F9" w14:paraId="6D36E33C" w14:textId="1A5A702A">
      <w:pPr>
        <w:pStyle w:val="Geenafstand"/>
        <w:rPr>
          <w:rFonts w:ascii="Verdana" w:hAnsi="Verdana"/>
          <w:kern w:val="2"/>
          <w:sz w:val="18"/>
          <w:szCs w:val="18"/>
        </w:rPr>
      </w:pPr>
      <w:r w:rsidRPr="00F448F9">
        <w:rPr>
          <w:rFonts w:ascii="Verdana" w:hAnsi="Verdana"/>
          <w:kern w:val="2"/>
          <w:sz w:val="18"/>
          <w:szCs w:val="18"/>
        </w:rPr>
        <w:t xml:space="preserve">Onderdeel a beschrijft dat de verstrekking noodzakelijk moet zijn ter uitvoering van de taken </w:t>
      </w:r>
      <w:r w:rsidR="00F9464C">
        <w:rPr>
          <w:rFonts w:ascii="Verdana" w:hAnsi="Verdana"/>
          <w:kern w:val="2"/>
          <w:sz w:val="18"/>
          <w:szCs w:val="18"/>
        </w:rPr>
        <w:t xml:space="preserve">uit de </w:t>
      </w:r>
      <w:proofErr w:type="spellStart"/>
      <w:r w:rsidR="00F9464C">
        <w:rPr>
          <w:rFonts w:ascii="Verdana" w:hAnsi="Verdana"/>
          <w:kern w:val="2"/>
          <w:sz w:val="18"/>
          <w:szCs w:val="18"/>
        </w:rPr>
        <w:t>Cbw</w:t>
      </w:r>
      <w:proofErr w:type="spellEnd"/>
      <w:r w:rsidR="00F9464C">
        <w:rPr>
          <w:rFonts w:ascii="Verdana" w:hAnsi="Verdana"/>
          <w:kern w:val="2"/>
          <w:sz w:val="18"/>
          <w:szCs w:val="18"/>
        </w:rPr>
        <w:t xml:space="preserve"> </w:t>
      </w:r>
      <w:r w:rsidRPr="00F448F9">
        <w:rPr>
          <w:rFonts w:ascii="Verdana" w:hAnsi="Verdana"/>
          <w:kern w:val="2"/>
          <w:sz w:val="18"/>
          <w:szCs w:val="18"/>
        </w:rPr>
        <w:t>van de bevoegde autoriteit, het CSIRT, het central</w:t>
      </w:r>
      <w:r w:rsidR="00F21D23">
        <w:rPr>
          <w:rFonts w:ascii="Verdana" w:hAnsi="Verdana"/>
          <w:kern w:val="2"/>
          <w:sz w:val="18"/>
          <w:szCs w:val="18"/>
        </w:rPr>
        <w:t>e</w:t>
      </w:r>
      <w:r w:rsidRPr="00F448F9">
        <w:rPr>
          <w:rFonts w:ascii="Verdana" w:hAnsi="Verdana"/>
          <w:kern w:val="2"/>
          <w:sz w:val="18"/>
          <w:szCs w:val="18"/>
        </w:rPr>
        <w:t xml:space="preserve"> contactpunt en de Minister van Justitie en Veiligheid. Onder taak wordt hierbij zowel gedoeld op expliciete taakomschrijvingen in de </w:t>
      </w:r>
      <w:proofErr w:type="spellStart"/>
      <w:r w:rsidRPr="00F448F9">
        <w:rPr>
          <w:rFonts w:ascii="Verdana" w:hAnsi="Verdana"/>
          <w:kern w:val="2"/>
          <w:sz w:val="18"/>
          <w:szCs w:val="18"/>
        </w:rPr>
        <w:t>Cbw</w:t>
      </w:r>
      <w:proofErr w:type="spellEnd"/>
      <w:r w:rsidR="00F9464C">
        <w:rPr>
          <w:rFonts w:ascii="Verdana" w:hAnsi="Verdana"/>
          <w:kern w:val="2"/>
          <w:sz w:val="18"/>
          <w:szCs w:val="18"/>
        </w:rPr>
        <w:t>,</w:t>
      </w:r>
      <w:r w:rsidRPr="00F448F9">
        <w:rPr>
          <w:rFonts w:ascii="Verdana" w:hAnsi="Verdana"/>
          <w:kern w:val="2"/>
          <w:sz w:val="18"/>
          <w:szCs w:val="18"/>
        </w:rPr>
        <w:t xml:space="preserve"> als </w:t>
      </w:r>
      <w:r w:rsidR="00F9464C">
        <w:rPr>
          <w:rFonts w:ascii="Verdana" w:hAnsi="Verdana"/>
          <w:kern w:val="2"/>
          <w:sz w:val="18"/>
          <w:szCs w:val="18"/>
        </w:rPr>
        <w:t xml:space="preserve">op </w:t>
      </w:r>
      <w:r w:rsidRPr="00F448F9">
        <w:rPr>
          <w:rFonts w:ascii="Verdana" w:hAnsi="Verdana"/>
          <w:kern w:val="2"/>
          <w:sz w:val="18"/>
          <w:szCs w:val="18"/>
        </w:rPr>
        <w:t xml:space="preserve">het nakomen van verplichtingen in de </w:t>
      </w:r>
      <w:proofErr w:type="spellStart"/>
      <w:r w:rsidRPr="00F448F9">
        <w:rPr>
          <w:rFonts w:ascii="Verdana" w:hAnsi="Verdana"/>
          <w:kern w:val="2"/>
          <w:sz w:val="18"/>
          <w:szCs w:val="18"/>
        </w:rPr>
        <w:t>Cbw</w:t>
      </w:r>
      <w:proofErr w:type="spellEnd"/>
      <w:r w:rsidRPr="00F448F9">
        <w:rPr>
          <w:rFonts w:ascii="Verdana" w:hAnsi="Verdana"/>
          <w:kern w:val="2"/>
          <w:sz w:val="18"/>
          <w:szCs w:val="18"/>
        </w:rPr>
        <w:t xml:space="preserve"> en het uitoefenen van bevoegdheden in relatie tot die taken en verplichtingen van de </w:t>
      </w:r>
      <w:r w:rsidR="00F9464C">
        <w:rPr>
          <w:rFonts w:ascii="Verdana" w:hAnsi="Verdana"/>
          <w:kern w:val="2"/>
          <w:sz w:val="18"/>
          <w:szCs w:val="18"/>
        </w:rPr>
        <w:t xml:space="preserve">hiervoor </w:t>
      </w:r>
      <w:r w:rsidRPr="00F448F9">
        <w:rPr>
          <w:rFonts w:ascii="Verdana" w:hAnsi="Verdana"/>
          <w:kern w:val="2"/>
          <w:sz w:val="18"/>
          <w:szCs w:val="18"/>
        </w:rPr>
        <w:t>genoemde instanties. Zo kan het bijvoorbeeld gaan om de taken van een CSIRT, genoemd in artikel 16</w:t>
      </w:r>
      <w:r w:rsidR="00F9464C">
        <w:rPr>
          <w:rFonts w:ascii="Verdana" w:hAnsi="Verdana"/>
          <w:kern w:val="2"/>
          <w:sz w:val="18"/>
          <w:szCs w:val="18"/>
        </w:rPr>
        <w:t xml:space="preserve">, </w:t>
      </w:r>
      <w:r w:rsidR="009D090D">
        <w:rPr>
          <w:rFonts w:ascii="Verdana" w:hAnsi="Verdana"/>
          <w:kern w:val="2"/>
          <w:sz w:val="18"/>
          <w:szCs w:val="18"/>
        </w:rPr>
        <w:t xml:space="preserve">tweede </w:t>
      </w:r>
      <w:r w:rsidR="00F9464C">
        <w:rPr>
          <w:rFonts w:ascii="Verdana" w:hAnsi="Verdana"/>
          <w:kern w:val="2"/>
          <w:sz w:val="18"/>
          <w:szCs w:val="18"/>
        </w:rPr>
        <w:t>lid</w:t>
      </w:r>
      <w:r w:rsidRPr="00F448F9">
        <w:rPr>
          <w:rFonts w:ascii="Verdana" w:hAnsi="Verdana"/>
          <w:kern w:val="2"/>
          <w:sz w:val="18"/>
          <w:szCs w:val="18"/>
        </w:rPr>
        <w:t xml:space="preserve"> </w:t>
      </w:r>
      <w:proofErr w:type="spellStart"/>
      <w:r w:rsidRPr="00F448F9">
        <w:rPr>
          <w:rFonts w:ascii="Verdana" w:hAnsi="Verdana"/>
          <w:kern w:val="2"/>
          <w:sz w:val="18"/>
          <w:szCs w:val="18"/>
        </w:rPr>
        <w:t>Cbw</w:t>
      </w:r>
      <w:proofErr w:type="spellEnd"/>
      <w:r w:rsidRPr="00F448F9">
        <w:rPr>
          <w:rFonts w:ascii="Verdana" w:hAnsi="Verdana"/>
          <w:kern w:val="2"/>
          <w:sz w:val="18"/>
          <w:szCs w:val="18"/>
        </w:rPr>
        <w:t>, of de taken van de bevoegde autoriteit, genoemd in artikel 15</w:t>
      </w:r>
      <w:r w:rsidR="00F9464C">
        <w:rPr>
          <w:rFonts w:ascii="Verdana" w:hAnsi="Verdana"/>
          <w:kern w:val="2"/>
          <w:sz w:val="18"/>
          <w:szCs w:val="18"/>
        </w:rPr>
        <w:t>, zesde lid,</w:t>
      </w:r>
      <w:r w:rsidRPr="00F448F9">
        <w:rPr>
          <w:rFonts w:ascii="Verdana" w:hAnsi="Verdana"/>
          <w:kern w:val="2"/>
          <w:sz w:val="18"/>
          <w:szCs w:val="18"/>
        </w:rPr>
        <w:t xml:space="preserve"> </w:t>
      </w:r>
      <w:proofErr w:type="spellStart"/>
      <w:r w:rsidRPr="00F448F9">
        <w:rPr>
          <w:rFonts w:ascii="Verdana" w:hAnsi="Verdana"/>
          <w:kern w:val="2"/>
          <w:sz w:val="18"/>
          <w:szCs w:val="18"/>
        </w:rPr>
        <w:t>Cbw</w:t>
      </w:r>
      <w:proofErr w:type="spellEnd"/>
      <w:r w:rsidRPr="00F448F9">
        <w:rPr>
          <w:rFonts w:ascii="Verdana" w:hAnsi="Verdana"/>
          <w:kern w:val="2"/>
          <w:sz w:val="18"/>
          <w:szCs w:val="18"/>
        </w:rPr>
        <w:t xml:space="preserve">, maar kan het ook gaan om de taken die strekken tot het uitvoering geven aan de verplichtingen in de </w:t>
      </w:r>
      <w:proofErr w:type="spellStart"/>
      <w:r w:rsidRPr="00F448F9">
        <w:rPr>
          <w:rFonts w:ascii="Verdana" w:hAnsi="Verdana"/>
          <w:kern w:val="2"/>
          <w:sz w:val="18"/>
          <w:szCs w:val="18"/>
        </w:rPr>
        <w:t>Cbw</w:t>
      </w:r>
      <w:proofErr w:type="spellEnd"/>
      <w:r w:rsidRPr="00F448F9">
        <w:rPr>
          <w:rFonts w:ascii="Verdana" w:hAnsi="Verdana"/>
          <w:kern w:val="2"/>
          <w:sz w:val="18"/>
          <w:szCs w:val="18"/>
        </w:rPr>
        <w:t xml:space="preserve"> voor deze instanties, zoals samenwerking en </w:t>
      </w:r>
      <w:r w:rsidR="00F9464C">
        <w:rPr>
          <w:rFonts w:ascii="Verdana" w:hAnsi="Verdana"/>
          <w:kern w:val="2"/>
          <w:sz w:val="18"/>
          <w:szCs w:val="18"/>
        </w:rPr>
        <w:t>gegevens</w:t>
      </w:r>
      <w:r w:rsidRPr="00F448F9">
        <w:rPr>
          <w:rFonts w:ascii="Verdana" w:hAnsi="Verdana"/>
          <w:kern w:val="2"/>
          <w:sz w:val="18"/>
          <w:szCs w:val="18"/>
        </w:rPr>
        <w:t xml:space="preserve">uitwisseling op grond van de artikelen </w:t>
      </w:r>
      <w:r w:rsidRPr="00F9464C">
        <w:rPr>
          <w:rFonts w:ascii="Verdana" w:hAnsi="Verdana"/>
          <w:kern w:val="2"/>
          <w:sz w:val="18"/>
          <w:szCs w:val="18"/>
        </w:rPr>
        <w:t xml:space="preserve">51 tot en met 59 </w:t>
      </w:r>
      <w:proofErr w:type="spellStart"/>
      <w:r w:rsidRPr="00F9464C">
        <w:rPr>
          <w:rFonts w:ascii="Verdana" w:hAnsi="Verdana"/>
          <w:kern w:val="2"/>
          <w:sz w:val="18"/>
          <w:szCs w:val="18"/>
        </w:rPr>
        <w:t>Cbw</w:t>
      </w:r>
      <w:proofErr w:type="spellEnd"/>
      <w:r w:rsidRPr="00F448F9">
        <w:rPr>
          <w:rFonts w:ascii="Verdana" w:hAnsi="Verdana"/>
          <w:kern w:val="2"/>
          <w:sz w:val="18"/>
          <w:szCs w:val="18"/>
        </w:rPr>
        <w:t xml:space="preserve">. Ook kan het gaan om de uitoefening van bevoegdheden, zoals die in het kader van het toezicht op de naleving van de verplichtingen uit de </w:t>
      </w:r>
      <w:proofErr w:type="spellStart"/>
      <w:r w:rsidRPr="00F448F9">
        <w:rPr>
          <w:rFonts w:ascii="Verdana" w:hAnsi="Verdana"/>
          <w:kern w:val="2"/>
          <w:sz w:val="18"/>
          <w:szCs w:val="18"/>
        </w:rPr>
        <w:t>Cbw</w:t>
      </w:r>
      <w:proofErr w:type="spellEnd"/>
      <w:r w:rsidRPr="00F448F9">
        <w:rPr>
          <w:rFonts w:ascii="Verdana" w:hAnsi="Verdana"/>
          <w:kern w:val="2"/>
          <w:sz w:val="18"/>
          <w:szCs w:val="18"/>
        </w:rPr>
        <w:t>.</w:t>
      </w:r>
    </w:p>
    <w:p w:rsidR="00F448F9" w:rsidP="003F2349" w:rsidRDefault="00F448F9" w14:paraId="3D98A22B" w14:textId="77777777">
      <w:pPr>
        <w:pStyle w:val="Geenafstand"/>
        <w:rPr>
          <w:rFonts w:ascii="Verdana" w:hAnsi="Verdana"/>
          <w:kern w:val="2"/>
          <w:sz w:val="18"/>
          <w:szCs w:val="18"/>
        </w:rPr>
      </w:pPr>
    </w:p>
    <w:p w:rsidR="00F448F9" w:rsidP="003F2349" w:rsidRDefault="00F448F9" w14:paraId="7FD2D4AD" w14:textId="1C082D35">
      <w:pPr>
        <w:pStyle w:val="Geenafstand"/>
        <w:rPr>
          <w:rFonts w:ascii="Verdana" w:hAnsi="Verdana"/>
          <w:kern w:val="2"/>
          <w:sz w:val="18"/>
          <w:szCs w:val="18"/>
        </w:rPr>
      </w:pPr>
      <w:r w:rsidRPr="00F448F9">
        <w:rPr>
          <w:rFonts w:ascii="Verdana" w:hAnsi="Verdana"/>
          <w:kern w:val="2"/>
          <w:sz w:val="18"/>
          <w:szCs w:val="18"/>
        </w:rPr>
        <w:t>Onderdeel b beschrijft dat de verstrekking beperkt blijft tot die vertrouwelijke gegevens die relevant zijn voor de ontvangende partij en dat de verstrekking evenredig moet zijn aan het doel van die verstrekking. Onderdeel c beschrijft dat de vertrouwelijkheid van de verstrekte vertrouwelijke gegevens gewaarborgd dient te worden en onderdeel d beschrijft dat de veiligheids- en commerciële belangen van de betrokken entiteit worden beschermd.</w:t>
      </w:r>
    </w:p>
    <w:p w:rsidR="00F21D23" w:rsidP="003F2349" w:rsidRDefault="00F21D23" w14:paraId="2FFBE5AC" w14:textId="77777777">
      <w:pPr>
        <w:pStyle w:val="Geenafstand"/>
        <w:rPr>
          <w:rFonts w:ascii="Verdana" w:hAnsi="Verdana"/>
          <w:kern w:val="2"/>
          <w:sz w:val="18"/>
          <w:szCs w:val="18"/>
        </w:rPr>
      </w:pPr>
    </w:p>
    <w:p w:rsidRPr="00F21D23" w:rsidR="00F21D23" w:rsidP="00F21D23" w:rsidRDefault="00F21D23" w14:paraId="3CE61CAC" w14:textId="75327920">
      <w:pPr>
        <w:pStyle w:val="Geenafstand"/>
        <w:rPr>
          <w:rFonts w:ascii="Verdana" w:hAnsi="Verdana"/>
          <w:kern w:val="2"/>
          <w:sz w:val="18"/>
          <w:szCs w:val="18"/>
        </w:rPr>
      </w:pPr>
      <w:r w:rsidRPr="00F21D23">
        <w:rPr>
          <w:rFonts w:ascii="Verdana" w:hAnsi="Verdana"/>
          <w:kern w:val="2"/>
          <w:sz w:val="18"/>
          <w:szCs w:val="18"/>
        </w:rPr>
        <w:t xml:space="preserve">Artikel 66, tweede lid, </w:t>
      </w:r>
      <w:proofErr w:type="spellStart"/>
      <w:r w:rsidRPr="00F21D23">
        <w:rPr>
          <w:rFonts w:ascii="Verdana" w:hAnsi="Verdana"/>
          <w:kern w:val="2"/>
          <w:sz w:val="18"/>
          <w:szCs w:val="18"/>
        </w:rPr>
        <w:t>Cbw</w:t>
      </w:r>
      <w:proofErr w:type="spellEnd"/>
      <w:r w:rsidRPr="00F21D23">
        <w:rPr>
          <w:rFonts w:ascii="Verdana" w:hAnsi="Verdana"/>
          <w:kern w:val="2"/>
          <w:sz w:val="18"/>
          <w:szCs w:val="18"/>
        </w:rPr>
        <w:t xml:space="preserve"> regelt dat de Woo niet van toepassing is op vertrouwelijke gegevens als bedoeld in </w:t>
      </w:r>
      <w:r w:rsidR="0019655D">
        <w:rPr>
          <w:rFonts w:ascii="Verdana" w:hAnsi="Verdana"/>
          <w:kern w:val="2"/>
          <w:sz w:val="18"/>
          <w:szCs w:val="18"/>
        </w:rPr>
        <w:t xml:space="preserve">artikel 66, eerste lid, </w:t>
      </w:r>
      <w:proofErr w:type="spellStart"/>
      <w:r w:rsidR="0019655D">
        <w:rPr>
          <w:rFonts w:ascii="Verdana" w:hAnsi="Verdana"/>
          <w:kern w:val="2"/>
          <w:sz w:val="18"/>
          <w:szCs w:val="18"/>
        </w:rPr>
        <w:t>Cbw</w:t>
      </w:r>
      <w:proofErr w:type="spellEnd"/>
      <w:r w:rsidRPr="00F21D23">
        <w:rPr>
          <w:rFonts w:ascii="Verdana" w:hAnsi="Verdana"/>
          <w:kern w:val="2"/>
          <w:sz w:val="18"/>
          <w:szCs w:val="18"/>
        </w:rPr>
        <w:t xml:space="preserve">. Er is aanleiding gezien om dit expliciet in de </w:t>
      </w:r>
      <w:proofErr w:type="spellStart"/>
      <w:r w:rsidRPr="00F21D23">
        <w:rPr>
          <w:rFonts w:ascii="Verdana" w:hAnsi="Verdana"/>
          <w:kern w:val="2"/>
          <w:sz w:val="18"/>
          <w:szCs w:val="18"/>
        </w:rPr>
        <w:t>Cbw</w:t>
      </w:r>
      <w:proofErr w:type="spellEnd"/>
      <w:r w:rsidRPr="00F21D23">
        <w:rPr>
          <w:rFonts w:ascii="Verdana" w:hAnsi="Verdana"/>
          <w:kern w:val="2"/>
          <w:sz w:val="18"/>
          <w:szCs w:val="18"/>
        </w:rPr>
        <w:t xml:space="preserve"> te regelen, omdat het van groot belang is dat de vertrouwelijkheid van gegevens die bijvoorbeeld door entiteiten als zodanig aan het CSIRT of de bevoegde autoriteit worden verstrekt zo veel mogelijk wordt gewaarborgd. </w:t>
      </w:r>
    </w:p>
    <w:p w:rsidRPr="00F21D23" w:rsidR="00F21D23" w:rsidP="00F21D23" w:rsidRDefault="00F21D23" w14:paraId="62E6C50E" w14:textId="6556AD26">
      <w:pPr>
        <w:pStyle w:val="Geenafstand"/>
        <w:rPr>
          <w:rFonts w:ascii="Verdana" w:hAnsi="Verdana"/>
          <w:kern w:val="2"/>
          <w:sz w:val="18"/>
          <w:szCs w:val="18"/>
        </w:rPr>
      </w:pPr>
      <w:r w:rsidRPr="00F21D23">
        <w:rPr>
          <w:rFonts w:ascii="Verdana" w:hAnsi="Verdana"/>
          <w:kern w:val="2"/>
          <w:sz w:val="18"/>
          <w:szCs w:val="18"/>
        </w:rPr>
        <w:t xml:space="preserve">In het geval van het CSIRT geldt dat de redenen daarvoor zijn gelegen in het zo veel mogelijk voorkomen van schade bij entiteiten, zoals reputatieschade, toegenomen kwetsbaarheid voor aanvallen en benadeling van de concurrentiepositie, en het door het CSIRT voor onder meer bijstand aan entiteiten kunnen gebruiken van deze gegevens zonder daarbij gehinderd te worden door het mogelijk vroegtijdig openbaar worden daarvan. Daarnaast is ook van belang dat als het gaat om gegevens die niet verplicht hoeven te worden gemeld, het risico bestaat dat entiteiten terughoudend worden met het delen van die informatie, als de vertrouwelijkheid daarvan niet zo veel mogelijk is gewaarborgd, en het CSIRT daardoor serieus benadeeld wordt in de goede uitoefening van zijn wettelijke taken. In de huidige praktijk onder de </w:t>
      </w:r>
      <w:proofErr w:type="spellStart"/>
      <w:r w:rsidR="00EC6E6E">
        <w:rPr>
          <w:rFonts w:ascii="Verdana" w:hAnsi="Verdana"/>
          <w:kern w:val="2"/>
          <w:sz w:val="18"/>
          <w:szCs w:val="18"/>
        </w:rPr>
        <w:t>Wbni</w:t>
      </w:r>
      <w:proofErr w:type="spellEnd"/>
      <w:r w:rsidRPr="00F21D23">
        <w:rPr>
          <w:rFonts w:ascii="Verdana" w:hAnsi="Verdana"/>
          <w:kern w:val="2"/>
          <w:sz w:val="18"/>
          <w:szCs w:val="18"/>
        </w:rPr>
        <w:t xml:space="preserve"> is namelijk al gebleken dat het NCSC</w:t>
      </w:r>
      <w:r w:rsidR="00841F9C">
        <w:rPr>
          <w:rFonts w:ascii="Verdana" w:hAnsi="Verdana"/>
          <w:kern w:val="2"/>
          <w:sz w:val="18"/>
          <w:szCs w:val="18"/>
        </w:rPr>
        <w:t xml:space="preserve"> </w:t>
      </w:r>
      <w:r w:rsidRPr="00F21D23">
        <w:rPr>
          <w:rFonts w:ascii="Verdana" w:hAnsi="Verdana"/>
          <w:kern w:val="2"/>
          <w:sz w:val="18"/>
          <w:szCs w:val="18"/>
        </w:rPr>
        <w:t xml:space="preserve">als CSIRT voor zijn taakuitoefening in grote mate afhankelijk is van vrijwillige meldingen. Artikel 66, tweede lid, </w:t>
      </w:r>
      <w:proofErr w:type="spellStart"/>
      <w:r w:rsidRPr="00F21D23">
        <w:rPr>
          <w:rFonts w:ascii="Verdana" w:hAnsi="Verdana"/>
          <w:kern w:val="2"/>
          <w:sz w:val="18"/>
          <w:szCs w:val="18"/>
        </w:rPr>
        <w:t>Cbw</w:t>
      </w:r>
      <w:proofErr w:type="spellEnd"/>
      <w:r w:rsidRPr="00F21D23">
        <w:rPr>
          <w:rFonts w:ascii="Verdana" w:hAnsi="Verdana"/>
          <w:kern w:val="2"/>
          <w:sz w:val="18"/>
          <w:szCs w:val="18"/>
        </w:rPr>
        <w:t xml:space="preserve"> biedt entiteiten op voorhand de zekerheid dat vertrouwelijke gegevens niet openbaar kunnen worden gemaakt op grond van de Woo. Het is noodzakelijk om die zekerheid op voorhand te kunnen bieden, om zo onder meer te voorkomen dat informatie, die van groot belang is voor de goede taakuitoefening van het CSIRT, niet met het CSIRT wordt gedeeld en daardoor de goede taakuitoefening door het CSIRT in het geding komt. </w:t>
      </w:r>
    </w:p>
    <w:p w:rsidRPr="00F21D23" w:rsidR="00F21D23" w:rsidP="00F21D23" w:rsidRDefault="00F21D23" w14:paraId="4A228A5E" w14:textId="4EA0A95A">
      <w:pPr>
        <w:pStyle w:val="Geenafstand"/>
        <w:rPr>
          <w:rFonts w:ascii="Verdana" w:hAnsi="Verdana"/>
          <w:kern w:val="2"/>
          <w:sz w:val="18"/>
          <w:szCs w:val="18"/>
        </w:rPr>
      </w:pPr>
      <w:r w:rsidRPr="00F21D23">
        <w:rPr>
          <w:rFonts w:ascii="Verdana" w:hAnsi="Verdana"/>
          <w:kern w:val="2"/>
          <w:sz w:val="18"/>
          <w:szCs w:val="18"/>
        </w:rPr>
        <w:t xml:space="preserve">Het centrale contactpunt heeft onder andere als taak om andere lidstaten te informeren in het geval van incidenten met grensoverschrijdende gevolgen. Om dit te kunnen doen dient het centrale contactpunt relevante informatie te delen met centrale contactpunten van andere lidstaten. Daarbij kan het gaan om informatie die het CSIRT heeft verkregen vanuit de meldplicht of vanuit een vrijwillige melding. Het is van belang om te voorkomen dat dezelfde informatie, die bij het CSIRT op voorhand is voorzien van bovenbedoelde waarborgen, niet van deze waarborgen is voorzien als deze berust bij het centrale contactpunt. Tevens dient de uitzondering op de toepasselijkheid van de Woo om te waarborgen dat in geval van entiteiten die in meerdere lidstaten actief zijn Nederlandse wet- en regelgeving er niet voor zorgt dat vertrouwelijke informatie die door deze entiteiten vertrouwelijk is verstrekt in Nederland onbedoeld openbaar wordt. Het is daarom noodzakelijk om dezelfde zekerheid op voorhand te bieden dat vertrouwelijke gegevens, die berusten bij het centrale contactpunt, niet openbaar kunnen worden gemaakt. </w:t>
      </w:r>
    </w:p>
    <w:p w:rsidRPr="00107914" w:rsidR="00F21D23" w:rsidP="00F21D23" w:rsidRDefault="00F21D23" w14:paraId="102C9A17" w14:textId="2A2321A6">
      <w:pPr>
        <w:pStyle w:val="Geenafstand"/>
        <w:rPr>
          <w:rFonts w:ascii="Verdana" w:hAnsi="Verdana"/>
          <w:kern w:val="2"/>
          <w:sz w:val="18"/>
          <w:szCs w:val="18"/>
        </w:rPr>
      </w:pPr>
      <w:r w:rsidRPr="00F21D23">
        <w:rPr>
          <w:rFonts w:ascii="Verdana" w:hAnsi="Verdana"/>
          <w:kern w:val="2"/>
          <w:sz w:val="18"/>
          <w:szCs w:val="18"/>
        </w:rPr>
        <w:t xml:space="preserve">Voor de bevoegde autoriteit geldt de overweging dat deze ter uitvoering van haar </w:t>
      </w:r>
      <w:proofErr w:type="spellStart"/>
      <w:r w:rsidRPr="00F21D23">
        <w:rPr>
          <w:rFonts w:ascii="Verdana" w:hAnsi="Verdana"/>
          <w:kern w:val="2"/>
          <w:sz w:val="18"/>
          <w:szCs w:val="18"/>
        </w:rPr>
        <w:t>toezichtsactiviteiten</w:t>
      </w:r>
      <w:proofErr w:type="spellEnd"/>
      <w:r w:rsidRPr="00F21D23">
        <w:rPr>
          <w:rFonts w:ascii="Verdana" w:hAnsi="Verdana"/>
          <w:kern w:val="2"/>
          <w:sz w:val="18"/>
          <w:szCs w:val="18"/>
        </w:rPr>
        <w:t xml:space="preserve"> komt te beschikken over vertrouwelijke informatie over de stand van de beveiliging van de netwerk- en informatiesystemen van essentiële entiteiten en belangrijke entiteiten, evenals incidenten bij deze entiteiten. De vertrouwelijkheid van gegevens moet zo veel mogelijk worden geborgd om reputatieschade, benadeling van de concurrentiepositie en toegenomen kwetsbaarheid voor aanvallen te voorkomen. Artikel 66, tweede lid, </w:t>
      </w:r>
      <w:proofErr w:type="spellStart"/>
      <w:r w:rsidRPr="00F21D23">
        <w:rPr>
          <w:rFonts w:ascii="Verdana" w:hAnsi="Verdana"/>
          <w:kern w:val="2"/>
          <w:sz w:val="18"/>
          <w:szCs w:val="18"/>
        </w:rPr>
        <w:t>Cbw</w:t>
      </w:r>
      <w:proofErr w:type="spellEnd"/>
      <w:r w:rsidRPr="00F21D23">
        <w:rPr>
          <w:rFonts w:ascii="Verdana" w:hAnsi="Verdana"/>
          <w:kern w:val="2"/>
          <w:sz w:val="18"/>
          <w:szCs w:val="18"/>
        </w:rPr>
        <w:t xml:space="preserve"> biedt entiteiten op voorhand de zekerheid dat deze vertrouwelijke gegevens niet openbaar kunnen worden gemaakt door de bevoegde autoriteit op grond van de Woo. Hiermee geldt er een gelijkluidend regime voor het CSIRT, het centrale contactpunt en de bevoegde autoriteit.</w:t>
      </w:r>
    </w:p>
    <w:p w:rsidRPr="00107914" w:rsidR="0019655D" w:rsidP="003F2349" w:rsidRDefault="0019655D" w14:paraId="3F991F03" w14:textId="77777777">
      <w:pPr>
        <w:pStyle w:val="Geenafstand"/>
        <w:rPr>
          <w:rFonts w:ascii="Verdana" w:hAnsi="Verdana"/>
          <w:i/>
          <w:iCs/>
          <w:kern w:val="2"/>
          <w:sz w:val="18"/>
          <w:szCs w:val="18"/>
        </w:rPr>
      </w:pPr>
    </w:p>
    <w:p w:rsidRPr="00107914" w:rsidR="001E4C95" w:rsidP="003F2349" w:rsidRDefault="00F21D23" w14:paraId="0CBEBD4E" w14:textId="688FFA22">
      <w:pPr>
        <w:pStyle w:val="Geenafstand"/>
        <w:rPr>
          <w:rFonts w:ascii="Verdana" w:hAnsi="Verdana"/>
          <w:kern w:val="2"/>
          <w:sz w:val="18"/>
          <w:szCs w:val="18"/>
        </w:rPr>
      </w:pPr>
      <w:r w:rsidRPr="00F21D23">
        <w:rPr>
          <w:rFonts w:ascii="Verdana" w:hAnsi="Verdana"/>
          <w:kern w:val="2"/>
          <w:sz w:val="18"/>
          <w:szCs w:val="18"/>
        </w:rPr>
        <w:t xml:space="preserve">Deze uitzondering op de toepasselijkheid van de Woo voor vertrouwelijke gegevens als bedoeld in artikel 66, eerste lid, </w:t>
      </w:r>
      <w:proofErr w:type="spellStart"/>
      <w:r w:rsidR="0019655D">
        <w:rPr>
          <w:rFonts w:ascii="Verdana" w:hAnsi="Verdana"/>
          <w:kern w:val="2"/>
          <w:sz w:val="18"/>
          <w:szCs w:val="18"/>
        </w:rPr>
        <w:t>Cbw</w:t>
      </w:r>
      <w:proofErr w:type="spellEnd"/>
      <w:r w:rsidR="0019655D">
        <w:rPr>
          <w:rFonts w:ascii="Verdana" w:hAnsi="Verdana"/>
          <w:kern w:val="2"/>
          <w:sz w:val="18"/>
          <w:szCs w:val="18"/>
        </w:rPr>
        <w:t xml:space="preserve"> </w:t>
      </w:r>
      <w:r w:rsidRPr="00F21D23">
        <w:rPr>
          <w:rFonts w:ascii="Verdana" w:hAnsi="Verdana"/>
          <w:kern w:val="2"/>
          <w:sz w:val="18"/>
          <w:szCs w:val="18"/>
        </w:rPr>
        <w:t xml:space="preserve">geldt ook als deze gegevens bij een ander overheidsorgaan berusten na verstrekking door de bevoegde autoriteit, het centrale contactpunt, het CSIRT of de Minister van Justitie en Veiligheid. In lijn met het bepaalde in artikel 20, zevende lid, </w:t>
      </w:r>
      <w:proofErr w:type="spellStart"/>
      <w:r w:rsidRPr="00F21D23">
        <w:rPr>
          <w:rFonts w:ascii="Verdana" w:hAnsi="Verdana"/>
          <w:kern w:val="2"/>
          <w:sz w:val="18"/>
          <w:szCs w:val="18"/>
        </w:rPr>
        <w:t>Wbni</w:t>
      </w:r>
      <w:proofErr w:type="spellEnd"/>
      <w:r w:rsidRPr="00F21D23">
        <w:rPr>
          <w:rFonts w:ascii="Verdana" w:hAnsi="Verdana"/>
          <w:kern w:val="2"/>
          <w:sz w:val="18"/>
          <w:szCs w:val="18"/>
        </w:rPr>
        <w:t xml:space="preserve"> geldt deze uitzondering</w:t>
      </w:r>
      <w:r w:rsidRPr="00E87B40" w:rsidR="00E87B40">
        <w:rPr>
          <w:rFonts w:ascii="Verdana" w:hAnsi="Verdana"/>
          <w:kern w:val="2"/>
          <w:sz w:val="18"/>
          <w:szCs w:val="18"/>
        </w:rPr>
        <w:t xml:space="preserve"> niet voor milieu-informatie. </w:t>
      </w:r>
      <w:r w:rsidRPr="00107914" w:rsidR="001E4C95">
        <w:rPr>
          <w:rFonts w:ascii="Verdana" w:hAnsi="Verdana"/>
          <w:kern w:val="2"/>
          <w:sz w:val="18"/>
          <w:szCs w:val="18"/>
        </w:rPr>
        <w:t>De Woo kent aparte regels voor milieu-informatie, omdat dit voortvloeit uit het Verdrag van Aarhus</w:t>
      </w:r>
      <w:r w:rsidRPr="004C3DD2" w:rsidR="00E87B40">
        <w:rPr>
          <w:rFonts w:ascii="Verdana" w:hAnsi="Verdana"/>
          <w:sz w:val="18"/>
          <w:szCs w:val="18"/>
          <w:vertAlign w:val="superscript"/>
        </w:rPr>
        <w:footnoteReference w:id="98"/>
      </w:r>
      <w:r w:rsidRPr="004C3DD2" w:rsidR="001E4C95">
        <w:rPr>
          <w:rFonts w:ascii="Verdana" w:hAnsi="Verdana"/>
          <w:sz w:val="18"/>
          <w:szCs w:val="18"/>
          <w:vertAlign w:val="superscript"/>
        </w:rPr>
        <w:t xml:space="preserve"> </w:t>
      </w:r>
      <w:r w:rsidRPr="00107914" w:rsidR="001E4C95">
        <w:rPr>
          <w:rFonts w:ascii="Verdana" w:hAnsi="Verdana"/>
          <w:kern w:val="2"/>
          <w:sz w:val="18"/>
          <w:szCs w:val="18"/>
        </w:rPr>
        <w:t xml:space="preserve">en </w:t>
      </w:r>
      <w:r w:rsidR="004C3DD2">
        <w:rPr>
          <w:rFonts w:ascii="Verdana" w:hAnsi="Verdana"/>
          <w:kern w:val="2"/>
          <w:sz w:val="18"/>
          <w:szCs w:val="18"/>
        </w:rPr>
        <w:t>R</w:t>
      </w:r>
      <w:r w:rsidRPr="00107914" w:rsidR="001E4C95">
        <w:rPr>
          <w:rFonts w:ascii="Verdana" w:hAnsi="Verdana"/>
          <w:kern w:val="2"/>
          <w:sz w:val="18"/>
          <w:szCs w:val="18"/>
        </w:rPr>
        <w:t>ichtlijn 2003/4/EG</w:t>
      </w:r>
      <w:r w:rsidRPr="004C3DD2" w:rsidR="004C3DD2">
        <w:rPr>
          <w:rFonts w:ascii="Verdana" w:hAnsi="Verdana"/>
          <w:sz w:val="18"/>
          <w:vertAlign w:val="superscript"/>
        </w:rPr>
        <w:footnoteReference w:id="99"/>
      </w:r>
      <w:r w:rsidRPr="00107914" w:rsidR="001E4C95">
        <w:rPr>
          <w:rFonts w:ascii="Verdana" w:hAnsi="Verdana"/>
          <w:kern w:val="2"/>
          <w:sz w:val="18"/>
          <w:szCs w:val="18"/>
        </w:rPr>
        <w:t>. Voor de definitie van milieu-informatie wordt in de Woo verwezen naar artikel 19.1a Wet milieubeheer.</w:t>
      </w:r>
      <w:r w:rsidRPr="00107914" w:rsidDel="00F46714" w:rsidR="001E4C95">
        <w:rPr>
          <w:rFonts w:ascii="Verdana" w:hAnsi="Verdana"/>
          <w:kern w:val="2"/>
          <w:sz w:val="18"/>
          <w:szCs w:val="18"/>
        </w:rPr>
        <w:t xml:space="preserve"> </w:t>
      </w:r>
      <w:r w:rsidRPr="00107914" w:rsidR="001E4C95">
        <w:rPr>
          <w:rFonts w:ascii="Verdana" w:hAnsi="Verdana"/>
          <w:kern w:val="2"/>
          <w:sz w:val="18"/>
          <w:szCs w:val="18"/>
        </w:rPr>
        <w:t>Zo geldt dat als e</w:t>
      </w:r>
      <w:r w:rsidR="00FA3B7F">
        <w:rPr>
          <w:rFonts w:ascii="Verdana" w:hAnsi="Verdana"/>
          <w:kern w:val="2"/>
          <w:sz w:val="18"/>
          <w:szCs w:val="18"/>
        </w:rPr>
        <w:t>r</w:t>
      </w:r>
      <w:r w:rsidRPr="00107914" w:rsidR="001E4C95">
        <w:rPr>
          <w:rFonts w:ascii="Verdana" w:hAnsi="Verdana"/>
          <w:kern w:val="2"/>
          <w:sz w:val="18"/>
          <w:szCs w:val="18"/>
        </w:rPr>
        <w:t xml:space="preserve"> sprake is van een zwaarwegend belang, waaronder het belang van het milieu valt, </w:t>
      </w:r>
      <w:r w:rsidR="0019655D">
        <w:rPr>
          <w:rFonts w:ascii="Verdana" w:hAnsi="Verdana"/>
          <w:kern w:val="2"/>
          <w:sz w:val="18"/>
          <w:szCs w:val="18"/>
        </w:rPr>
        <w:t xml:space="preserve">dat </w:t>
      </w:r>
      <w:r w:rsidRPr="00107914" w:rsidR="001E4C95">
        <w:rPr>
          <w:rFonts w:ascii="Verdana" w:hAnsi="Verdana"/>
          <w:kern w:val="2"/>
          <w:sz w:val="18"/>
          <w:szCs w:val="18"/>
        </w:rPr>
        <w:t xml:space="preserve">dan een bestuursorgaan informatie actief openbaar </w:t>
      </w:r>
      <w:r w:rsidR="0019655D">
        <w:rPr>
          <w:rFonts w:ascii="Verdana" w:hAnsi="Verdana"/>
          <w:kern w:val="2"/>
          <w:sz w:val="18"/>
          <w:szCs w:val="18"/>
        </w:rPr>
        <w:t xml:space="preserve">mag </w:t>
      </w:r>
      <w:r w:rsidRPr="00107914" w:rsidR="001E4C95">
        <w:rPr>
          <w:rFonts w:ascii="Verdana" w:hAnsi="Verdana"/>
          <w:kern w:val="2"/>
          <w:sz w:val="18"/>
          <w:szCs w:val="18"/>
        </w:rPr>
        <w:t xml:space="preserve">maken, ook al zijn </w:t>
      </w:r>
      <w:r w:rsidR="00A178AE">
        <w:rPr>
          <w:rFonts w:ascii="Verdana" w:hAnsi="Verdana"/>
          <w:kern w:val="2"/>
          <w:sz w:val="18"/>
          <w:szCs w:val="18"/>
        </w:rPr>
        <w:t>éé</w:t>
      </w:r>
      <w:r w:rsidRPr="00107914" w:rsidR="001E4C95">
        <w:rPr>
          <w:rFonts w:ascii="Verdana" w:hAnsi="Verdana"/>
          <w:kern w:val="2"/>
          <w:sz w:val="18"/>
          <w:szCs w:val="18"/>
        </w:rPr>
        <w:t xml:space="preserve">n of meer uitzonderingen op de openbaarmaking van toepassing (artikel 3.4 Woo). Voor de relatieve weigeringsgrond </w:t>
      </w:r>
      <w:r w:rsidRPr="00107914" w:rsidR="001E4C95">
        <w:rPr>
          <w:rFonts w:ascii="Verdana" w:hAnsi="Verdana"/>
          <w:i/>
          <w:iCs/>
          <w:kern w:val="2"/>
          <w:sz w:val="18"/>
          <w:szCs w:val="18"/>
        </w:rPr>
        <w:t>economische of financiële belangen van de Staat, andere publiekrechtelijke lichamen of bestuursorganen</w:t>
      </w:r>
      <w:r w:rsidRPr="00107914" w:rsidR="001E4C95">
        <w:rPr>
          <w:rFonts w:ascii="Verdana" w:hAnsi="Verdana"/>
          <w:kern w:val="2"/>
          <w:sz w:val="18"/>
          <w:szCs w:val="18"/>
        </w:rPr>
        <w:t xml:space="preserve"> geldt dat in het geval van milieu-informatie enkel een beroep op deze grond kan worden gedaan als de informatie een vertrouwelijk karakter heeft (artikel 5</w:t>
      </w:r>
      <w:r w:rsidR="00FA3B7F">
        <w:rPr>
          <w:rFonts w:ascii="Verdana" w:hAnsi="Verdana"/>
          <w:kern w:val="2"/>
          <w:sz w:val="18"/>
          <w:szCs w:val="18"/>
        </w:rPr>
        <w:t>.</w:t>
      </w:r>
      <w:r w:rsidR="002548EE">
        <w:rPr>
          <w:rFonts w:ascii="Verdana" w:hAnsi="Verdana"/>
          <w:kern w:val="2"/>
          <w:sz w:val="18"/>
          <w:szCs w:val="18"/>
        </w:rPr>
        <w:t>1</w:t>
      </w:r>
      <w:r w:rsidRPr="00107914" w:rsidR="001E4C95">
        <w:rPr>
          <w:rFonts w:ascii="Verdana" w:hAnsi="Verdana"/>
          <w:kern w:val="2"/>
          <w:sz w:val="18"/>
          <w:szCs w:val="18"/>
        </w:rPr>
        <w:t>, tweede lid, onderdeel b, Woo). Als relatieve weigeringsgrond is daarnaast opgenomen dat het belang van openbaarmaking van de desbetreffende informatie moet kunnen worden afgewogen tegenover het belang van het milieu waar de informatie op ziet (artikel 5</w:t>
      </w:r>
      <w:r w:rsidR="00FA3B7F">
        <w:rPr>
          <w:rFonts w:ascii="Verdana" w:hAnsi="Verdana"/>
          <w:kern w:val="2"/>
          <w:sz w:val="18"/>
          <w:szCs w:val="18"/>
        </w:rPr>
        <w:t>.</w:t>
      </w:r>
      <w:r w:rsidR="002548EE">
        <w:rPr>
          <w:rFonts w:ascii="Verdana" w:hAnsi="Verdana"/>
          <w:kern w:val="2"/>
          <w:sz w:val="18"/>
          <w:szCs w:val="18"/>
        </w:rPr>
        <w:t>1</w:t>
      </w:r>
      <w:r w:rsidRPr="00107914" w:rsidR="001E4C95">
        <w:rPr>
          <w:rFonts w:ascii="Verdana" w:hAnsi="Verdana"/>
          <w:kern w:val="2"/>
          <w:sz w:val="18"/>
          <w:szCs w:val="18"/>
        </w:rPr>
        <w:t>, tweede lid, onderdeel g, Woo)</w:t>
      </w:r>
      <w:r>
        <w:rPr>
          <w:rFonts w:ascii="Verdana" w:hAnsi="Verdana"/>
          <w:kern w:val="2"/>
          <w:sz w:val="18"/>
          <w:szCs w:val="18"/>
        </w:rPr>
        <w:t>.</w:t>
      </w:r>
      <w:r w:rsidRPr="00107914" w:rsidR="001E4C95">
        <w:rPr>
          <w:rFonts w:ascii="Verdana" w:hAnsi="Verdana"/>
          <w:kern w:val="2"/>
          <w:sz w:val="18"/>
          <w:szCs w:val="18"/>
        </w:rPr>
        <w:t xml:space="preserve"> Hoewel als hoofdregel geldt dat persoonlijke beleidsopvattingen niet (dan wel in niet-herleidbare vorm) openbaar worden gemaakt, geldt met betrekking tot milieu-informatie dat de openbaarmaking van de persoonlijke beleidsopvatting moet worden afgewogen tegen het belang van de openbaarmaking van de milieu-informatie (artikel 5.2, vierde lid, Woo). Tenslotte wordt in dit verband opgemerkt dat milieu-informatie die betrekking heeft op emissies (schadelijke stoffen) in het milieu altijd openbaar gemaakt moet worden (artikel 5.1, zevende lid, Woo).</w:t>
      </w:r>
      <w:r w:rsidRPr="00107914" w:rsidR="00EA661F">
        <w:rPr>
          <w:rFonts w:ascii="Verdana" w:hAnsi="Verdana"/>
          <w:kern w:val="2"/>
          <w:sz w:val="18"/>
          <w:szCs w:val="18"/>
        </w:rPr>
        <w:t xml:space="preserve"> </w:t>
      </w:r>
    </w:p>
    <w:p w:rsidRPr="00107914" w:rsidR="003F2349" w:rsidP="003F2349" w:rsidRDefault="003F2349" w14:paraId="23F31301" w14:textId="77777777">
      <w:pPr>
        <w:pStyle w:val="Geenafstand"/>
        <w:rPr>
          <w:rFonts w:ascii="Verdana" w:hAnsi="Verdana"/>
          <w:kern w:val="2"/>
          <w:sz w:val="18"/>
          <w:szCs w:val="18"/>
        </w:rPr>
      </w:pPr>
    </w:p>
    <w:p w:rsidRPr="00BD3C4A" w:rsidR="00D0002B" w:rsidP="00D0002B" w:rsidRDefault="00D0002B" w14:paraId="2F17CCF0" w14:textId="71838E32">
      <w:pPr>
        <w:pStyle w:val="Geenafstand"/>
        <w:rPr>
          <w:rFonts w:ascii="Verdana" w:hAnsi="Verdana"/>
          <w:b/>
          <w:bCs/>
          <w:sz w:val="18"/>
          <w:szCs w:val="18"/>
        </w:rPr>
      </w:pPr>
      <w:r w:rsidRPr="00BD3C4A">
        <w:rPr>
          <w:rFonts w:ascii="Verdana" w:hAnsi="Verdana"/>
          <w:b/>
          <w:bCs/>
          <w:sz w:val="18"/>
          <w:szCs w:val="18"/>
        </w:rPr>
        <w:t xml:space="preserve">Artikel </w:t>
      </w:r>
      <w:r>
        <w:rPr>
          <w:rFonts w:ascii="Verdana" w:hAnsi="Verdana"/>
          <w:b/>
          <w:bCs/>
          <w:sz w:val="18"/>
          <w:szCs w:val="18"/>
        </w:rPr>
        <w:t>67</w:t>
      </w:r>
      <w:r w:rsidRPr="00BD3C4A">
        <w:rPr>
          <w:rFonts w:ascii="Verdana" w:hAnsi="Verdana"/>
          <w:b/>
          <w:bCs/>
          <w:sz w:val="18"/>
          <w:szCs w:val="18"/>
        </w:rPr>
        <w:t xml:space="preserve"> (</w:t>
      </w:r>
      <w:bookmarkStart w:name="_Hlk162009977" w:id="295"/>
      <w:r w:rsidRPr="00BD3C4A">
        <w:rPr>
          <w:rFonts w:ascii="Verdana" w:hAnsi="Verdana"/>
          <w:b/>
          <w:bCs/>
          <w:sz w:val="18"/>
          <w:szCs w:val="18"/>
        </w:rPr>
        <w:t>verstrekking van gegevens in relatie tot nationale veiligheid, openbare veiligheid en defensie</w:t>
      </w:r>
      <w:bookmarkEnd w:id="295"/>
      <w:r w:rsidRPr="00BD3C4A">
        <w:rPr>
          <w:rFonts w:ascii="Verdana" w:hAnsi="Verdana"/>
          <w:b/>
          <w:bCs/>
          <w:sz w:val="18"/>
          <w:szCs w:val="18"/>
        </w:rPr>
        <w:t>)</w:t>
      </w:r>
    </w:p>
    <w:p w:rsidRPr="00C47325" w:rsidR="00877E7C" w:rsidP="00877E7C" w:rsidRDefault="00877E7C" w14:paraId="5BBCAC04" w14:textId="77777777">
      <w:pPr>
        <w:pStyle w:val="Geenafstand"/>
        <w:rPr>
          <w:rFonts w:ascii="Verdana" w:hAnsi="Verdana" w:eastAsia="Calibri" w:cs="Arial"/>
          <w:sz w:val="18"/>
          <w:szCs w:val="18"/>
        </w:rPr>
      </w:pPr>
    </w:p>
    <w:p w:rsidRPr="00C47325" w:rsidR="00B2192F" w:rsidP="00877E7C" w:rsidRDefault="00877E7C" w14:paraId="04179580" w14:textId="64C498EE">
      <w:pPr>
        <w:pStyle w:val="Geenafstand"/>
        <w:rPr>
          <w:rFonts w:ascii="Verdana" w:hAnsi="Verdana" w:eastAsia="Calibri" w:cs="Arial"/>
          <w:sz w:val="18"/>
          <w:szCs w:val="18"/>
        </w:rPr>
      </w:pPr>
      <w:r w:rsidRPr="00C47325">
        <w:rPr>
          <w:rFonts w:ascii="Verdana" w:hAnsi="Verdana" w:eastAsia="Calibri" w:cs="Arial"/>
          <w:sz w:val="18"/>
          <w:szCs w:val="18"/>
        </w:rPr>
        <w:t>In artikel 6</w:t>
      </w:r>
      <w:r w:rsidR="003839A2">
        <w:rPr>
          <w:rFonts w:ascii="Verdana" w:hAnsi="Verdana" w:eastAsia="Calibri" w:cs="Arial"/>
          <w:sz w:val="18"/>
          <w:szCs w:val="18"/>
        </w:rPr>
        <w:t>7</w:t>
      </w:r>
      <w:r w:rsidRPr="00C47325">
        <w:rPr>
          <w:rFonts w:ascii="Verdana" w:hAnsi="Verdana" w:eastAsia="Calibri" w:cs="Arial"/>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eastAsia="Calibri" w:cs="Arial"/>
          <w:sz w:val="18"/>
          <w:szCs w:val="18"/>
        </w:rPr>
        <w:t xml:space="preserve"> is artikel 2, elfde lid, NIS2-richtlijn geïmplementeerd. </w:t>
      </w:r>
      <w:r w:rsidR="00BE12FE">
        <w:rPr>
          <w:rFonts w:ascii="Verdana" w:hAnsi="Verdana" w:eastAsia="Calibri" w:cs="Arial"/>
          <w:sz w:val="18"/>
          <w:szCs w:val="18"/>
        </w:rPr>
        <w:t xml:space="preserve">In artikel 67 </w:t>
      </w:r>
      <w:proofErr w:type="spellStart"/>
      <w:r w:rsidR="00BE12FE">
        <w:rPr>
          <w:rFonts w:ascii="Verdana" w:hAnsi="Verdana" w:eastAsia="Calibri" w:cs="Arial"/>
          <w:sz w:val="18"/>
          <w:szCs w:val="18"/>
        </w:rPr>
        <w:t>Cbw</w:t>
      </w:r>
      <w:proofErr w:type="spellEnd"/>
      <w:r w:rsidR="00BE12FE">
        <w:rPr>
          <w:rFonts w:ascii="Verdana" w:hAnsi="Verdana" w:eastAsia="Calibri" w:cs="Arial"/>
          <w:sz w:val="18"/>
          <w:szCs w:val="18"/>
        </w:rPr>
        <w:t xml:space="preserve"> is bepaald dat de </w:t>
      </w:r>
      <w:proofErr w:type="spellStart"/>
      <w:r w:rsidR="00BE12FE">
        <w:rPr>
          <w:rFonts w:ascii="Verdana" w:hAnsi="Verdana" w:eastAsia="Calibri" w:cs="Arial"/>
          <w:sz w:val="18"/>
          <w:szCs w:val="18"/>
        </w:rPr>
        <w:t>Cbw</w:t>
      </w:r>
      <w:proofErr w:type="spellEnd"/>
      <w:r w:rsidR="00BE12FE">
        <w:rPr>
          <w:rFonts w:ascii="Verdana" w:hAnsi="Verdana" w:eastAsia="Calibri" w:cs="Arial"/>
          <w:sz w:val="18"/>
          <w:szCs w:val="18"/>
        </w:rPr>
        <w:t xml:space="preserve"> geen betrekking heeft op de verstrekking van informatie</w:t>
      </w:r>
      <w:r w:rsidRPr="00C47325">
        <w:rPr>
          <w:rFonts w:ascii="Verdana" w:hAnsi="Verdana" w:eastAsia="Calibri" w:cs="Arial"/>
          <w:sz w:val="18"/>
          <w:szCs w:val="18"/>
        </w:rPr>
        <w:t xml:space="preserve"> waarvan de bekendmaking strijdig is met de wezenlijke belangen van nationale veiligheid, openbare veiligheid of defensie. </w:t>
      </w:r>
      <w:r w:rsidRPr="00546EA8" w:rsidR="00BE12FE">
        <w:rPr>
          <w:rFonts w:ascii="Verdana" w:hAnsi="Verdana"/>
          <w:sz w:val="18"/>
          <w:szCs w:val="18"/>
        </w:rPr>
        <w:t xml:space="preserve">Het gaat hierbij in elk geval om overheidsinformatie welke is gerubriceerd op grond van het Besluit Voorschrift Informatiebeveiliging Rijksdienst Bijzondere Informatie 2013 (VIRBI 2013). Gerubriceerde informatie zal dus niet worden uitgewisseld in het kader van </w:t>
      </w:r>
      <w:r w:rsidR="00BE12FE">
        <w:rPr>
          <w:rFonts w:ascii="Verdana" w:hAnsi="Verdana"/>
          <w:sz w:val="18"/>
          <w:szCs w:val="18"/>
        </w:rPr>
        <w:t xml:space="preserve">de </w:t>
      </w:r>
      <w:proofErr w:type="spellStart"/>
      <w:r w:rsidR="00611254">
        <w:rPr>
          <w:rFonts w:ascii="Verdana" w:hAnsi="Verdana"/>
          <w:sz w:val="18"/>
          <w:szCs w:val="18"/>
        </w:rPr>
        <w:t>Cbw</w:t>
      </w:r>
      <w:proofErr w:type="spellEnd"/>
      <w:r w:rsidRPr="00546EA8" w:rsidR="00BE12FE">
        <w:rPr>
          <w:rFonts w:ascii="Verdana" w:hAnsi="Verdana"/>
          <w:sz w:val="18"/>
          <w:szCs w:val="18"/>
        </w:rPr>
        <w:t xml:space="preserve">. Te denken valt </w:t>
      </w:r>
      <w:r w:rsidR="00BE12FE">
        <w:rPr>
          <w:rFonts w:ascii="Verdana" w:hAnsi="Verdana"/>
          <w:sz w:val="18"/>
          <w:szCs w:val="18"/>
        </w:rPr>
        <w:t xml:space="preserve">bijvoorbeeld </w:t>
      </w:r>
      <w:r w:rsidRPr="00546EA8" w:rsidR="00BE12FE">
        <w:rPr>
          <w:rFonts w:ascii="Verdana" w:hAnsi="Verdana"/>
          <w:sz w:val="18"/>
          <w:szCs w:val="18"/>
        </w:rPr>
        <w:t>aan inlichtingenberichten.</w:t>
      </w:r>
    </w:p>
    <w:bookmarkEnd w:id="293"/>
    <w:p w:rsidRPr="00C47325" w:rsidR="00CE333A" w:rsidP="00CE333A" w:rsidRDefault="00CE333A" w14:paraId="03E9D4EC" w14:textId="77777777">
      <w:pPr>
        <w:pStyle w:val="Geenafstand"/>
        <w:rPr>
          <w:rFonts w:ascii="Verdana" w:hAnsi="Verdana"/>
          <w:sz w:val="18"/>
          <w:szCs w:val="18"/>
        </w:rPr>
      </w:pPr>
    </w:p>
    <w:p w:rsidRPr="00BD3C4A" w:rsidR="00D0002B" w:rsidP="00D0002B" w:rsidRDefault="00D0002B" w14:paraId="5A0B70F4" w14:textId="3643CB3F">
      <w:pPr>
        <w:pStyle w:val="Geenafstand"/>
        <w:rPr>
          <w:rFonts w:ascii="Verdana" w:hAnsi="Verdana" w:cs="Arial"/>
          <w:b/>
          <w:bCs/>
          <w:sz w:val="18"/>
          <w:szCs w:val="18"/>
        </w:rPr>
      </w:pPr>
      <w:r w:rsidRPr="00BD3C4A">
        <w:rPr>
          <w:rFonts w:ascii="Verdana" w:hAnsi="Verdana" w:cs="Arial"/>
          <w:b/>
          <w:bCs/>
          <w:sz w:val="18"/>
          <w:szCs w:val="18"/>
        </w:rPr>
        <w:t xml:space="preserve">Artikel </w:t>
      </w:r>
      <w:r>
        <w:rPr>
          <w:rFonts w:ascii="Verdana" w:hAnsi="Verdana" w:cs="Arial"/>
          <w:b/>
          <w:bCs/>
          <w:sz w:val="18"/>
          <w:szCs w:val="18"/>
        </w:rPr>
        <w:t>68</w:t>
      </w:r>
      <w:r w:rsidRPr="00BD3C4A">
        <w:rPr>
          <w:rFonts w:ascii="Verdana" w:hAnsi="Verdana" w:cs="Arial"/>
          <w:b/>
          <w:bCs/>
          <w:sz w:val="18"/>
          <w:szCs w:val="18"/>
        </w:rPr>
        <w:t xml:space="preserve"> (toezichthouders)</w:t>
      </w:r>
    </w:p>
    <w:p w:rsidRPr="00C47325" w:rsidR="00CE333A" w:rsidP="00CE333A" w:rsidRDefault="00CE333A" w14:paraId="7C551F7F" w14:textId="77777777">
      <w:pPr>
        <w:pStyle w:val="Geenafstand"/>
        <w:rPr>
          <w:rFonts w:ascii="Verdana" w:hAnsi="Verdana" w:cs="Arial"/>
          <w:sz w:val="18"/>
          <w:szCs w:val="18"/>
        </w:rPr>
      </w:pPr>
    </w:p>
    <w:p w:rsidRPr="00C47325" w:rsidR="00CE333A" w:rsidP="00CE333A" w:rsidRDefault="00CE333A" w14:paraId="68A63C34" w14:textId="3FE7CBCB">
      <w:pPr>
        <w:pStyle w:val="Geenafstand"/>
        <w:rPr>
          <w:rFonts w:ascii="Verdana" w:hAnsi="Verdana" w:cs="Arial"/>
          <w:sz w:val="18"/>
          <w:szCs w:val="18"/>
        </w:rPr>
      </w:pPr>
      <w:r w:rsidRPr="00C47325">
        <w:rPr>
          <w:rFonts w:ascii="Verdana" w:hAnsi="Verdana" w:cs="Arial"/>
          <w:sz w:val="18"/>
          <w:szCs w:val="18"/>
        </w:rPr>
        <w:t>Artikel 6</w:t>
      </w:r>
      <w:r w:rsidR="003839A2">
        <w:rPr>
          <w:rFonts w:ascii="Verdana" w:hAnsi="Verdana" w:cs="Arial"/>
          <w:sz w:val="18"/>
          <w:szCs w:val="18"/>
        </w:rPr>
        <w:t>8</w:t>
      </w:r>
      <w:r w:rsidRPr="00C47325">
        <w:rPr>
          <w:rFonts w:ascii="Verdana" w:hAnsi="Verdana" w:cs="Arial"/>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cs="Arial"/>
          <w:sz w:val="18"/>
          <w:szCs w:val="18"/>
        </w:rPr>
        <w:t xml:space="preserve"> ziet op de aanwijzing van natuurlijke personen die zijn belast met het toezicht op de naleving van het bepaalde bij of krachtens </w:t>
      </w:r>
      <w:r w:rsidRPr="00C47325" w:rsidR="00D3260B">
        <w:rPr>
          <w:rFonts w:ascii="Verdana" w:hAnsi="Verdana" w:cs="Arial"/>
          <w:sz w:val="18"/>
          <w:szCs w:val="18"/>
        </w:rPr>
        <w:t xml:space="preserve">de </w:t>
      </w:r>
      <w:proofErr w:type="spellStart"/>
      <w:r w:rsidRPr="00C47325" w:rsidR="00D3260B">
        <w:rPr>
          <w:rFonts w:ascii="Verdana" w:hAnsi="Verdana"/>
          <w:sz w:val="18"/>
          <w:szCs w:val="18"/>
        </w:rPr>
        <w:t>Cbw</w:t>
      </w:r>
      <w:proofErr w:type="spellEnd"/>
      <w:r w:rsidR="005B0D06">
        <w:rPr>
          <w:rFonts w:ascii="Verdana" w:hAnsi="Verdana"/>
          <w:sz w:val="18"/>
          <w:szCs w:val="18"/>
        </w:rPr>
        <w:t xml:space="preserve"> en </w:t>
      </w:r>
      <w:r w:rsidRPr="005B0D06" w:rsidR="005B0D06">
        <w:rPr>
          <w:rFonts w:ascii="Verdana" w:hAnsi="Verdana"/>
          <w:sz w:val="18"/>
          <w:szCs w:val="18"/>
        </w:rPr>
        <w:t>het bepaalde in de op grond van de artikelen 21, vijfde lid, en 23, elfde lid, NIS2-richtlijn vastgestelde uitvoeringshandelingen en de op grond van artikel 24, tweede lid, NIS2-richtlijn vastgestelde gedelegeerde handelingen</w:t>
      </w:r>
      <w:r w:rsidR="005B0D06">
        <w:rPr>
          <w:rFonts w:ascii="Verdana" w:hAnsi="Verdana"/>
          <w:sz w:val="18"/>
          <w:szCs w:val="18"/>
        </w:rPr>
        <w:t>, voor zover daarin is bepaald</w:t>
      </w:r>
      <w:r w:rsidRPr="005B0D06" w:rsidR="005B0D06">
        <w:rPr>
          <w:rFonts w:ascii="Verdana" w:hAnsi="Verdana"/>
          <w:sz w:val="18"/>
          <w:szCs w:val="18"/>
        </w:rPr>
        <w:t xml:space="preserve"> dat deze verbindend zijn en rechtstreeks toepasselijk zijn in elke lidstaat</w:t>
      </w:r>
      <w:r w:rsidRPr="00C47325">
        <w:rPr>
          <w:rFonts w:ascii="Verdana" w:hAnsi="Verdana" w:cs="Arial"/>
          <w:sz w:val="18"/>
          <w:szCs w:val="18"/>
        </w:rPr>
        <w:t xml:space="preserve">. Deze natuurlijke personen beschikken na de aanwijzing over de bevoegdheden uit titel 5.2 </w:t>
      </w:r>
      <w:proofErr w:type="spellStart"/>
      <w:r w:rsidRPr="00C47325">
        <w:rPr>
          <w:rFonts w:ascii="Verdana" w:hAnsi="Verdana" w:cs="Arial"/>
          <w:sz w:val="18"/>
          <w:szCs w:val="18"/>
        </w:rPr>
        <w:t>Awb</w:t>
      </w:r>
      <w:proofErr w:type="spellEnd"/>
      <w:r w:rsidRPr="00C47325">
        <w:rPr>
          <w:rFonts w:ascii="Verdana" w:hAnsi="Verdana" w:cs="Arial"/>
          <w:sz w:val="18"/>
          <w:szCs w:val="18"/>
        </w:rPr>
        <w:t xml:space="preserve"> en de toezichtsbevoegdheden </w:t>
      </w:r>
      <w:r w:rsidR="005B0D06">
        <w:rPr>
          <w:rFonts w:ascii="Verdana" w:hAnsi="Verdana" w:cs="Arial"/>
          <w:sz w:val="18"/>
          <w:szCs w:val="18"/>
        </w:rPr>
        <w:t>uit</w:t>
      </w:r>
      <w:r w:rsidRPr="00C47325" w:rsidR="005B0D06">
        <w:rPr>
          <w:rFonts w:ascii="Verdana" w:hAnsi="Verdana" w:cs="Arial"/>
          <w:sz w:val="18"/>
          <w:szCs w:val="18"/>
        </w:rPr>
        <w:t xml:space="preserve"> </w:t>
      </w:r>
      <w:r w:rsidRPr="00C47325" w:rsidR="00606E4E">
        <w:rPr>
          <w:rFonts w:ascii="Verdana" w:hAnsi="Verdana" w:cs="Arial"/>
          <w:sz w:val="18"/>
          <w:szCs w:val="18"/>
        </w:rPr>
        <w:t xml:space="preserve">de </w:t>
      </w:r>
      <w:proofErr w:type="spellStart"/>
      <w:r w:rsidRPr="00C47325" w:rsidR="00606E4E">
        <w:rPr>
          <w:rFonts w:ascii="Verdana" w:hAnsi="Verdana"/>
          <w:sz w:val="18"/>
          <w:szCs w:val="18"/>
        </w:rPr>
        <w:t>Cbw</w:t>
      </w:r>
      <w:proofErr w:type="spellEnd"/>
      <w:r w:rsidRPr="00C47325">
        <w:rPr>
          <w:rFonts w:ascii="Verdana" w:hAnsi="Verdana" w:cs="Arial"/>
          <w:sz w:val="18"/>
          <w:szCs w:val="18"/>
        </w:rPr>
        <w:t xml:space="preserve">. </w:t>
      </w:r>
    </w:p>
    <w:p w:rsidR="00CE333A" w:rsidP="00CE333A" w:rsidRDefault="00CE333A" w14:paraId="4C60747A" w14:textId="77777777">
      <w:pPr>
        <w:pStyle w:val="Geenafstand"/>
        <w:rPr>
          <w:rFonts w:ascii="Verdana" w:hAnsi="Verdana" w:cs="Arial"/>
          <w:sz w:val="18"/>
          <w:szCs w:val="18"/>
        </w:rPr>
      </w:pPr>
    </w:p>
    <w:p w:rsidRPr="005615E1" w:rsidR="005615E1" w:rsidP="00CE333A" w:rsidRDefault="005615E1" w14:paraId="1B8F632A" w14:textId="70DF7AC0">
      <w:pPr>
        <w:pStyle w:val="Geenafstand"/>
        <w:rPr>
          <w:rFonts w:ascii="Verdana" w:hAnsi="Verdana" w:cs="Arial"/>
          <w:b/>
          <w:bCs/>
          <w:sz w:val="18"/>
          <w:szCs w:val="18"/>
        </w:rPr>
      </w:pPr>
      <w:r w:rsidRPr="005615E1">
        <w:rPr>
          <w:rFonts w:ascii="Verdana" w:hAnsi="Verdana" w:cs="Arial"/>
          <w:b/>
          <w:bCs/>
          <w:sz w:val="18"/>
          <w:szCs w:val="18"/>
        </w:rPr>
        <w:t xml:space="preserve">Artikel </w:t>
      </w:r>
      <w:r w:rsidR="005B0D06">
        <w:rPr>
          <w:rFonts w:ascii="Verdana" w:hAnsi="Verdana" w:cs="Arial"/>
          <w:b/>
          <w:bCs/>
          <w:sz w:val="18"/>
          <w:szCs w:val="18"/>
        </w:rPr>
        <w:t>69</w:t>
      </w:r>
      <w:r w:rsidRPr="005615E1" w:rsidR="005B0D06">
        <w:rPr>
          <w:rFonts w:ascii="Verdana" w:hAnsi="Verdana" w:cs="Arial"/>
          <w:b/>
          <w:bCs/>
          <w:sz w:val="18"/>
          <w:szCs w:val="18"/>
        </w:rPr>
        <w:t xml:space="preserve"> </w:t>
      </w:r>
      <w:r w:rsidRPr="005615E1">
        <w:rPr>
          <w:rFonts w:ascii="Verdana" w:hAnsi="Verdana" w:cs="Arial"/>
          <w:b/>
          <w:bCs/>
          <w:sz w:val="18"/>
          <w:szCs w:val="18"/>
        </w:rPr>
        <w:t>(</w:t>
      </w:r>
      <w:r w:rsidR="005B0D06">
        <w:rPr>
          <w:rFonts w:ascii="Verdana" w:hAnsi="Verdana" w:cs="Arial"/>
          <w:b/>
          <w:bCs/>
          <w:sz w:val="18"/>
          <w:szCs w:val="18"/>
        </w:rPr>
        <w:t>toepassing handhavingsinstrumentarium</w:t>
      </w:r>
      <w:r w:rsidRPr="005615E1">
        <w:rPr>
          <w:rFonts w:ascii="Verdana" w:hAnsi="Verdana" w:cs="Arial"/>
          <w:b/>
          <w:bCs/>
          <w:sz w:val="18"/>
          <w:szCs w:val="18"/>
        </w:rPr>
        <w:t>)</w:t>
      </w:r>
    </w:p>
    <w:p w:rsidR="005615E1" w:rsidP="00CE333A" w:rsidRDefault="005615E1" w14:paraId="66CDD6A3" w14:textId="77777777">
      <w:pPr>
        <w:pStyle w:val="Geenafstand"/>
        <w:rPr>
          <w:rFonts w:ascii="Verdana" w:hAnsi="Verdana" w:cs="Arial"/>
          <w:sz w:val="18"/>
          <w:szCs w:val="18"/>
        </w:rPr>
      </w:pPr>
    </w:p>
    <w:p w:rsidR="005615E1" w:rsidP="00CE333A" w:rsidRDefault="005615E1" w14:paraId="7F79D011" w14:textId="7148754E">
      <w:pPr>
        <w:pStyle w:val="Geenafstand"/>
        <w:rPr>
          <w:rFonts w:ascii="Verdana" w:hAnsi="Verdana" w:cs="Arial"/>
          <w:sz w:val="18"/>
          <w:szCs w:val="18"/>
        </w:rPr>
      </w:pPr>
      <w:r w:rsidRPr="005615E1">
        <w:rPr>
          <w:rFonts w:ascii="Verdana" w:hAnsi="Verdana"/>
          <w:sz w:val="18"/>
          <w:szCs w:val="18"/>
        </w:rPr>
        <w:t xml:space="preserve">Artikel </w:t>
      </w:r>
      <w:r w:rsidR="005B0D06">
        <w:rPr>
          <w:rFonts w:ascii="Verdana" w:hAnsi="Verdana"/>
          <w:sz w:val="18"/>
          <w:szCs w:val="18"/>
        </w:rPr>
        <w:t>69</w:t>
      </w:r>
      <w:r w:rsidRPr="005615E1">
        <w:rPr>
          <w:rFonts w:ascii="Verdana" w:hAnsi="Verdana"/>
          <w:sz w:val="18"/>
          <w:szCs w:val="18"/>
        </w:rPr>
        <w:t xml:space="preserve"> </w:t>
      </w:r>
      <w:proofErr w:type="spellStart"/>
      <w:r w:rsidRPr="005615E1">
        <w:rPr>
          <w:rFonts w:ascii="Verdana" w:hAnsi="Verdana"/>
          <w:sz w:val="18"/>
          <w:szCs w:val="18"/>
        </w:rPr>
        <w:t>Cbw</w:t>
      </w:r>
      <w:proofErr w:type="spellEnd"/>
      <w:r w:rsidRPr="005615E1">
        <w:rPr>
          <w:rFonts w:ascii="Verdana" w:hAnsi="Verdana"/>
          <w:sz w:val="18"/>
          <w:szCs w:val="18"/>
        </w:rPr>
        <w:t xml:space="preserve"> strekt tot de implementatie van de artikelen 32, zevende lid, en 33, vijfde lid, NIS2-richtlijn. </w:t>
      </w:r>
      <w:r w:rsidRPr="005B0D06">
        <w:rPr>
          <w:rFonts w:ascii="Verdana" w:hAnsi="Verdana"/>
          <w:sz w:val="18"/>
          <w:szCs w:val="18"/>
        </w:rPr>
        <w:t>Artikel</w:t>
      </w:r>
      <w:r w:rsidRPr="00B05DE3">
        <w:rPr>
          <w:rFonts w:ascii="Verdana" w:hAnsi="Verdana"/>
          <w:sz w:val="18"/>
          <w:szCs w:val="18"/>
        </w:rPr>
        <w:t xml:space="preserve"> </w:t>
      </w:r>
      <w:r w:rsidRPr="00B05DE3" w:rsidR="005B0D06">
        <w:rPr>
          <w:rFonts w:ascii="Verdana" w:hAnsi="Verdana"/>
          <w:sz w:val="18"/>
          <w:szCs w:val="18"/>
        </w:rPr>
        <w:t>69</w:t>
      </w:r>
      <w:r w:rsidRPr="005615E1">
        <w:rPr>
          <w:rFonts w:ascii="Verdana" w:hAnsi="Verdana"/>
          <w:sz w:val="18"/>
          <w:szCs w:val="18"/>
        </w:rPr>
        <w:t xml:space="preserve"> </w:t>
      </w:r>
      <w:proofErr w:type="spellStart"/>
      <w:r w:rsidRPr="005615E1">
        <w:rPr>
          <w:rFonts w:ascii="Verdana" w:hAnsi="Verdana"/>
          <w:sz w:val="18"/>
          <w:szCs w:val="18"/>
        </w:rPr>
        <w:t>Cbw</w:t>
      </w:r>
      <w:proofErr w:type="spellEnd"/>
      <w:r w:rsidRPr="005615E1">
        <w:rPr>
          <w:rFonts w:ascii="Verdana" w:hAnsi="Verdana"/>
          <w:sz w:val="18"/>
          <w:szCs w:val="18"/>
        </w:rPr>
        <w:t xml:space="preserve"> vereist dat de bevoegde autoriteit bij het nemen van een handhavingsmaatregel ten minste rekening moet houden met een aantal specifieke omstandigheden.</w:t>
      </w:r>
      <w:r>
        <w:rPr>
          <w:rFonts w:ascii="Verdana" w:hAnsi="Verdana"/>
          <w:sz w:val="18"/>
          <w:szCs w:val="18"/>
        </w:rPr>
        <w:t xml:space="preserve"> Hiermee worden waarborgen toegekend aan entiteiten waarvan de bevoegde autoriteit voornemens is een handhavingsmaatregel op te leggen.</w:t>
      </w:r>
      <w:r w:rsidRPr="005A1DD4" w:rsidR="00EB7C17">
        <w:rPr>
          <w:rStyle w:val="Voetnootmarkering"/>
          <w:rFonts w:ascii="Verdana" w:hAnsi="Verdana"/>
          <w:sz w:val="18"/>
          <w:szCs w:val="18"/>
        </w:rPr>
        <w:footnoteReference w:id="100"/>
      </w:r>
    </w:p>
    <w:p w:rsidRPr="00C47325" w:rsidR="005615E1" w:rsidP="00CE333A" w:rsidRDefault="005615E1" w14:paraId="7BDD146A" w14:textId="77777777">
      <w:pPr>
        <w:pStyle w:val="Geenafstand"/>
        <w:rPr>
          <w:rFonts w:ascii="Verdana" w:hAnsi="Verdana" w:cs="Arial"/>
          <w:sz w:val="18"/>
          <w:szCs w:val="18"/>
        </w:rPr>
      </w:pPr>
    </w:p>
    <w:p w:rsidRPr="00BD3C4A" w:rsidR="00D0002B" w:rsidP="00D0002B" w:rsidRDefault="00D0002B" w14:paraId="00305B44" w14:textId="5CEE2ED5">
      <w:pPr>
        <w:pStyle w:val="Geenafstand"/>
        <w:rPr>
          <w:rFonts w:ascii="Verdana" w:hAnsi="Verdana"/>
          <w:b/>
          <w:bCs/>
          <w:sz w:val="18"/>
          <w:szCs w:val="18"/>
        </w:rPr>
      </w:pPr>
      <w:r w:rsidRPr="00BD3C4A">
        <w:rPr>
          <w:rFonts w:ascii="Verdana" w:hAnsi="Verdana"/>
          <w:b/>
          <w:bCs/>
          <w:sz w:val="18"/>
          <w:szCs w:val="18"/>
        </w:rPr>
        <w:t xml:space="preserve">Artikel </w:t>
      </w:r>
      <w:r w:rsidR="005B0D06">
        <w:rPr>
          <w:rFonts w:ascii="Verdana" w:hAnsi="Verdana"/>
          <w:b/>
          <w:bCs/>
          <w:sz w:val="18"/>
          <w:szCs w:val="18"/>
        </w:rPr>
        <w:t>70</w:t>
      </w:r>
      <w:r w:rsidRPr="00BD3C4A" w:rsidR="005B0D06">
        <w:rPr>
          <w:rFonts w:ascii="Verdana" w:hAnsi="Verdana"/>
          <w:b/>
          <w:bCs/>
          <w:sz w:val="18"/>
          <w:szCs w:val="18"/>
        </w:rPr>
        <w:t xml:space="preserve"> </w:t>
      </w:r>
      <w:r w:rsidRPr="00BD3C4A">
        <w:rPr>
          <w:rFonts w:ascii="Verdana" w:hAnsi="Verdana"/>
          <w:b/>
          <w:bCs/>
          <w:sz w:val="18"/>
          <w:szCs w:val="18"/>
        </w:rPr>
        <w:t>(controlefunctionaris)</w:t>
      </w:r>
    </w:p>
    <w:p w:rsidR="00CC4DA9" w:rsidP="00CC4DA9" w:rsidRDefault="00CC4DA9" w14:paraId="670DB73E" w14:textId="77777777">
      <w:pPr>
        <w:pStyle w:val="Geenafstand"/>
        <w:rPr>
          <w:rFonts w:ascii="Verdana" w:hAnsi="Verdana"/>
          <w:sz w:val="18"/>
          <w:szCs w:val="18"/>
        </w:rPr>
      </w:pPr>
    </w:p>
    <w:p w:rsidRPr="00C47325" w:rsidR="00CC4DA9" w:rsidP="00CC4DA9" w:rsidRDefault="00CC4DA9" w14:paraId="60730BA4" w14:textId="0FB1CFE9">
      <w:pPr>
        <w:pStyle w:val="Geenafstand"/>
        <w:rPr>
          <w:rFonts w:ascii="Verdana" w:hAnsi="Verdana"/>
          <w:sz w:val="18"/>
          <w:szCs w:val="18"/>
        </w:rPr>
      </w:pPr>
      <w:r w:rsidRPr="00C47325">
        <w:rPr>
          <w:rFonts w:ascii="Verdana" w:hAnsi="Verdana"/>
          <w:sz w:val="18"/>
          <w:szCs w:val="18"/>
        </w:rPr>
        <w:t xml:space="preserve">Artikel </w:t>
      </w:r>
      <w:r w:rsidR="005B0D06">
        <w:rPr>
          <w:rFonts w:ascii="Verdana" w:hAnsi="Verdana"/>
          <w:sz w:val="18"/>
          <w:szCs w:val="18"/>
        </w:rPr>
        <w:t>70</w:t>
      </w:r>
      <w:r w:rsidRPr="00C47325" w:rsidR="005B0D06">
        <w:rPr>
          <w:rFonts w:ascii="Verdana" w:hAnsi="Verdana"/>
          <w:sz w:val="18"/>
          <w:szCs w:val="18"/>
        </w:rPr>
        <w:t xml:space="preserve"> </w:t>
      </w:r>
      <w:proofErr w:type="spellStart"/>
      <w:r w:rsidRPr="00C47325">
        <w:rPr>
          <w:rFonts w:ascii="Verdana" w:hAnsi="Verdana"/>
          <w:sz w:val="18"/>
          <w:szCs w:val="18"/>
        </w:rPr>
        <w:t>Cbw</w:t>
      </w:r>
      <w:proofErr w:type="spellEnd"/>
      <w:r w:rsidRPr="00C47325">
        <w:rPr>
          <w:rFonts w:ascii="Verdana" w:hAnsi="Verdana"/>
          <w:sz w:val="18"/>
          <w:szCs w:val="18"/>
        </w:rPr>
        <w:t xml:space="preserve"> strekt tot de implementatie van artikel 32, vierde lid, onderdeel g, NIS2-richtlijn en ziet op de bevoegdheid van de toezichthouder om bij een essentiële entiteit een controlefunctionaris aan te wijzen.</w:t>
      </w:r>
    </w:p>
    <w:p w:rsidRPr="00C47325" w:rsidR="00CE333A" w:rsidP="00CE333A" w:rsidRDefault="00CE333A" w14:paraId="4D0CCD3B" w14:textId="77777777">
      <w:pPr>
        <w:pStyle w:val="Geenafstand"/>
        <w:rPr>
          <w:rFonts w:ascii="Verdana" w:hAnsi="Verdana"/>
          <w:sz w:val="18"/>
          <w:szCs w:val="18"/>
        </w:rPr>
      </w:pPr>
    </w:p>
    <w:p w:rsidRPr="00FF46E3" w:rsidR="009E3901" w:rsidP="009E3901" w:rsidRDefault="009E3901" w14:paraId="32B4D446" w14:textId="53444CE3">
      <w:pPr>
        <w:pStyle w:val="Geenafstand"/>
        <w:rPr>
          <w:rFonts w:ascii="Verdana" w:hAnsi="Verdana"/>
          <w:sz w:val="18"/>
          <w:szCs w:val="18"/>
        </w:rPr>
      </w:pPr>
      <w:r w:rsidRPr="00FF46E3">
        <w:rPr>
          <w:rFonts w:ascii="Verdana" w:hAnsi="Verdana"/>
          <w:sz w:val="18"/>
          <w:szCs w:val="18"/>
        </w:rPr>
        <w:t xml:space="preserve">Zoals bepaald in artikel 32, vierde lid, onderdeel g, NIS2-richtlijn kan de toezichthoudende instantie bij essentiële entiteiten een controlefunctionaris aanwijzen. Deze bepaling uit de richtlijn is geïmplementeerd in artikel </w:t>
      </w:r>
      <w:r w:rsidR="005B0D06">
        <w:rPr>
          <w:rFonts w:ascii="Verdana" w:hAnsi="Verdana"/>
          <w:sz w:val="18"/>
          <w:szCs w:val="18"/>
        </w:rPr>
        <w:t>70</w:t>
      </w:r>
      <w:r w:rsidRPr="00FF46E3" w:rsidR="005B0D06">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Deze bevoegdheid ziet alleen op essentiële entiteiten en niet op belangrijke entiteiten. Deze bevoegdheid ziet evenmin op entiteiten die domeinnaamregistratiediensten verlenen voor zover zij niet al op grond van de </w:t>
      </w:r>
      <w:proofErr w:type="spellStart"/>
      <w:r w:rsidRPr="00FF46E3">
        <w:rPr>
          <w:rFonts w:ascii="Verdana" w:hAnsi="Verdana"/>
          <w:sz w:val="18"/>
          <w:szCs w:val="18"/>
        </w:rPr>
        <w:t>Cbw</w:t>
      </w:r>
      <w:proofErr w:type="spellEnd"/>
      <w:r w:rsidRPr="00FF46E3">
        <w:rPr>
          <w:rFonts w:ascii="Verdana" w:hAnsi="Verdana"/>
          <w:sz w:val="18"/>
          <w:szCs w:val="18"/>
        </w:rPr>
        <w:t xml:space="preserve"> worden aangemerkt of zijn aangewezen als essentiële entiteit. </w:t>
      </w:r>
    </w:p>
    <w:p w:rsidR="00027328" w:rsidP="009E3901" w:rsidRDefault="00027328" w14:paraId="0D7B07F8" w14:textId="77777777">
      <w:pPr>
        <w:pStyle w:val="Geenafstand"/>
        <w:rPr>
          <w:rFonts w:ascii="Verdana" w:hAnsi="Verdana"/>
          <w:sz w:val="18"/>
          <w:szCs w:val="18"/>
        </w:rPr>
      </w:pPr>
    </w:p>
    <w:p w:rsidRPr="00FF46E3" w:rsidR="009E3901" w:rsidP="009E3901" w:rsidRDefault="009E3901" w14:paraId="5E404709" w14:textId="749B8645">
      <w:pPr>
        <w:pStyle w:val="Geenafstand"/>
        <w:rPr>
          <w:rFonts w:ascii="Verdana" w:hAnsi="Verdana"/>
          <w:sz w:val="18"/>
          <w:szCs w:val="18"/>
        </w:rPr>
      </w:pPr>
      <w:r w:rsidRPr="00FF46E3">
        <w:rPr>
          <w:rFonts w:ascii="Verdana" w:hAnsi="Verdana"/>
          <w:sz w:val="18"/>
          <w:szCs w:val="18"/>
        </w:rPr>
        <w:t xml:space="preserve">De controlefunctionaris is niet een toezichthouder als bedoeld in de </w:t>
      </w:r>
      <w:proofErr w:type="spellStart"/>
      <w:r w:rsidRPr="00FF46E3">
        <w:rPr>
          <w:rFonts w:ascii="Verdana" w:hAnsi="Verdana"/>
          <w:sz w:val="18"/>
          <w:szCs w:val="18"/>
        </w:rPr>
        <w:t>Awb</w:t>
      </w:r>
      <w:proofErr w:type="spellEnd"/>
      <w:r w:rsidRPr="00FF46E3">
        <w:rPr>
          <w:rFonts w:ascii="Verdana" w:hAnsi="Verdana"/>
          <w:sz w:val="18"/>
          <w:szCs w:val="18"/>
        </w:rPr>
        <w:t xml:space="preserve">. De aanwijzing van een controlefunctionaris betreft een besluit in de zin van de </w:t>
      </w:r>
      <w:proofErr w:type="spellStart"/>
      <w:r w:rsidRPr="00FF46E3">
        <w:rPr>
          <w:rFonts w:ascii="Verdana" w:hAnsi="Verdana"/>
          <w:sz w:val="18"/>
          <w:szCs w:val="18"/>
        </w:rPr>
        <w:t>Awb</w:t>
      </w:r>
      <w:proofErr w:type="spellEnd"/>
      <w:r w:rsidRPr="00FF46E3">
        <w:rPr>
          <w:rFonts w:ascii="Verdana" w:hAnsi="Verdana"/>
          <w:sz w:val="18"/>
          <w:szCs w:val="18"/>
        </w:rPr>
        <w:t xml:space="preserve"> waar bezwaar, beroep en hoger beroep tegen open staat. </w:t>
      </w:r>
    </w:p>
    <w:p w:rsidRPr="00FF46E3" w:rsidR="009E3901" w:rsidP="009E3901" w:rsidRDefault="009E3901" w14:paraId="62F21AA8" w14:textId="77777777">
      <w:pPr>
        <w:pStyle w:val="Geenafstand"/>
        <w:rPr>
          <w:rFonts w:ascii="Verdana" w:hAnsi="Verdana"/>
          <w:sz w:val="18"/>
          <w:szCs w:val="18"/>
        </w:rPr>
      </w:pPr>
    </w:p>
    <w:p w:rsidRPr="00FF46E3" w:rsidR="009E3901" w:rsidP="009E3901" w:rsidRDefault="009E3901" w14:paraId="701F5533" w14:textId="1640F665">
      <w:pPr>
        <w:pStyle w:val="Geenafstand"/>
        <w:rPr>
          <w:rFonts w:ascii="Verdana" w:hAnsi="Verdana"/>
          <w:sz w:val="18"/>
          <w:szCs w:val="18"/>
        </w:rPr>
      </w:pPr>
      <w:r w:rsidRPr="00FF46E3">
        <w:rPr>
          <w:rFonts w:ascii="Verdana" w:hAnsi="Verdana"/>
          <w:sz w:val="18"/>
          <w:szCs w:val="18"/>
        </w:rPr>
        <w:t xml:space="preserve">Een controlefunctionaris is een ter zake deskundige natuurlijk persoon die gedurende een bepaalde periode moet monitoren dat een essentiële entiteit voldoet aan de zorgplicht en de meldplicht. Ook moet de controlefunctionaris de toezichthoudende instantie en het bestuur van een essentiële entiteit informeren over de naleving van die verplichtingen door die entiteit. Voor de effectieve inzet van een controlefunctionaris dient deze een voldoende zelfstandige en onafhankelijke positie te hebben. Een controlefunctionaris kan een medewerker van de betrokken entiteit zijn of extern worden aangesteld. De controlefunctionaris mag geen conflict van belangen hebben die een goede taakoefening in de weg kunnen staan. Gezien de specifieke organisatiestructuur van elke organisatie moet dit van geval tot geval worden beoordeeld. In het algemeen kan het niet om een persoon van het hoger management van de betreffende entiteit gaan. De toezichthoudende instantie neemt deze factoren mee in haar besluit tot de aanwijzing van een controlefunctionaris. In artikel </w:t>
      </w:r>
      <w:r w:rsidR="005B0D06">
        <w:rPr>
          <w:rFonts w:ascii="Verdana" w:hAnsi="Verdana"/>
          <w:sz w:val="18"/>
          <w:szCs w:val="18"/>
        </w:rPr>
        <w:t>70</w:t>
      </w:r>
      <w:r w:rsidRPr="00FF46E3">
        <w:rPr>
          <w:rFonts w:ascii="Verdana" w:hAnsi="Verdana"/>
          <w:sz w:val="18"/>
          <w:szCs w:val="18"/>
        </w:rPr>
        <w:t xml:space="preserve">, tweede lid, </w:t>
      </w:r>
      <w:proofErr w:type="spellStart"/>
      <w:r w:rsidRPr="00FF46E3">
        <w:rPr>
          <w:rFonts w:ascii="Verdana" w:hAnsi="Verdana"/>
          <w:sz w:val="18"/>
          <w:szCs w:val="18"/>
        </w:rPr>
        <w:t>Cbw</w:t>
      </w:r>
      <w:proofErr w:type="spellEnd"/>
      <w:r w:rsidRPr="00FF46E3">
        <w:rPr>
          <w:rFonts w:ascii="Verdana" w:hAnsi="Verdana"/>
          <w:sz w:val="18"/>
          <w:szCs w:val="18"/>
        </w:rPr>
        <w:t xml:space="preserve"> staan de taken van de controlefunctionaris omschreven. </w:t>
      </w:r>
    </w:p>
    <w:p w:rsidRPr="00FF46E3" w:rsidR="009E3901" w:rsidP="009E3901" w:rsidRDefault="009E3901" w14:paraId="7D146F8C" w14:textId="77777777">
      <w:pPr>
        <w:pStyle w:val="Geenafstand"/>
        <w:rPr>
          <w:rFonts w:ascii="Verdana" w:hAnsi="Verdana"/>
          <w:sz w:val="18"/>
          <w:szCs w:val="18"/>
        </w:rPr>
      </w:pPr>
    </w:p>
    <w:p w:rsidRPr="00FF46E3" w:rsidR="009E3901" w:rsidP="009E3901" w:rsidRDefault="009E3901" w14:paraId="14084EF7" w14:textId="77777777">
      <w:pPr>
        <w:pStyle w:val="Geenafstand"/>
        <w:rPr>
          <w:rFonts w:ascii="Verdana" w:hAnsi="Verdana"/>
          <w:sz w:val="18"/>
          <w:szCs w:val="18"/>
        </w:rPr>
      </w:pPr>
      <w:r w:rsidRPr="00FF46E3">
        <w:rPr>
          <w:rFonts w:ascii="Verdana" w:hAnsi="Verdana"/>
          <w:sz w:val="18"/>
          <w:szCs w:val="18"/>
        </w:rPr>
        <w:t xml:space="preserve">Voor de effectieve inzet van een controlefunctionaris is het ook noodzakelijk dat deze de middelen, faciliteiten en toegang tot informatie en andere organisatieonderdelen van de entiteit krijgt om zijn taak doeltreffend te kunnen uitoefenen. Dit vereist daarom actieve ondersteuning vanuit het bestuur van de entiteit. De controlefunctionaris dient dan ook naar behoren en tijdig te worden betrokken bij alle aangelegenheden van de betrokken entiteit die verband houden met zijn taken. </w:t>
      </w:r>
    </w:p>
    <w:p w:rsidRPr="00FF46E3" w:rsidR="009E3901" w:rsidP="009E3901" w:rsidRDefault="009E3901" w14:paraId="1DCA0C03" w14:textId="77777777">
      <w:pPr>
        <w:pStyle w:val="Geenafstand"/>
        <w:rPr>
          <w:rFonts w:ascii="Verdana" w:hAnsi="Verdana"/>
          <w:sz w:val="18"/>
          <w:szCs w:val="18"/>
        </w:rPr>
      </w:pPr>
    </w:p>
    <w:p w:rsidRPr="00FF46E3" w:rsidR="009E3901" w:rsidP="009E3901" w:rsidRDefault="009E3901" w14:paraId="6B3B7DFE" w14:textId="77777777">
      <w:pPr>
        <w:pStyle w:val="Geenafstand"/>
        <w:rPr>
          <w:rFonts w:ascii="Verdana" w:hAnsi="Verdana"/>
          <w:sz w:val="18"/>
          <w:szCs w:val="18"/>
        </w:rPr>
      </w:pPr>
      <w:r w:rsidRPr="00FF46E3">
        <w:rPr>
          <w:rFonts w:ascii="Verdana" w:hAnsi="Verdana"/>
          <w:sz w:val="18"/>
          <w:szCs w:val="18"/>
        </w:rPr>
        <w:t>Het bestuur van de essentiële entiteit kan vervolgens op basis van de toegekomen informatie gepaste actie ondernemen om ervoor te zorgen dat de entiteit voldoet aan de zorgplicht en de meldplicht. Het doel van het aanwijzen van een controlefunctionaris is het bevorderen van de naleving van de zorgplicht en meldplicht door de betrokken essentiële entiteit. De controlefunctionaris neemt daarbij geen verantwoordelijkheden over van de betreffende entiteit. De betreffende entiteiten zijn en blijven verantwoordelijk voor de naleving van de zorgplicht en de meldplicht.</w:t>
      </w:r>
    </w:p>
    <w:p w:rsidRPr="00C47325" w:rsidR="00CE333A" w:rsidP="00CE333A" w:rsidRDefault="00CE333A" w14:paraId="10B5A4D2" w14:textId="77777777">
      <w:pPr>
        <w:pStyle w:val="Geenafstand"/>
        <w:rPr>
          <w:rFonts w:ascii="Verdana" w:hAnsi="Verdana"/>
          <w:sz w:val="18"/>
          <w:szCs w:val="18"/>
        </w:rPr>
      </w:pPr>
    </w:p>
    <w:p w:rsidR="005F5FB2" w:rsidP="00CE333A" w:rsidRDefault="005F5FB2" w14:paraId="0FEA9F4A" w14:textId="5F79FAD8">
      <w:pPr>
        <w:pStyle w:val="Geenafstand"/>
        <w:rPr>
          <w:rFonts w:ascii="Verdana" w:hAnsi="Verdana"/>
          <w:sz w:val="18"/>
          <w:szCs w:val="18"/>
        </w:rPr>
      </w:pPr>
      <w:r w:rsidRPr="005F5FB2">
        <w:rPr>
          <w:rFonts w:ascii="Verdana" w:hAnsi="Verdana"/>
          <w:sz w:val="18"/>
          <w:szCs w:val="18"/>
        </w:rPr>
        <w:t xml:space="preserve">In de </w:t>
      </w:r>
      <w:proofErr w:type="spellStart"/>
      <w:r w:rsidRPr="005F5FB2">
        <w:rPr>
          <w:rFonts w:ascii="Verdana" w:hAnsi="Verdana"/>
          <w:sz w:val="18"/>
          <w:szCs w:val="18"/>
        </w:rPr>
        <w:t>Cbw</w:t>
      </w:r>
      <w:proofErr w:type="spellEnd"/>
      <w:r w:rsidRPr="005F5FB2">
        <w:rPr>
          <w:rFonts w:ascii="Verdana" w:hAnsi="Verdana"/>
          <w:sz w:val="18"/>
          <w:szCs w:val="18"/>
        </w:rPr>
        <w:t xml:space="preserve"> is ervoor gekozen om de kosten van een controlefunctionaris te laten dragen door de betrokken entiteit</w:t>
      </w:r>
      <w:r>
        <w:rPr>
          <w:rFonts w:ascii="Verdana" w:hAnsi="Verdana"/>
          <w:sz w:val="18"/>
          <w:szCs w:val="18"/>
        </w:rPr>
        <w:t xml:space="preserve"> (zie artikel </w:t>
      </w:r>
      <w:r w:rsidR="005B0D06">
        <w:rPr>
          <w:rFonts w:ascii="Verdana" w:hAnsi="Verdana"/>
          <w:sz w:val="18"/>
          <w:szCs w:val="18"/>
        </w:rPr>
        <w:t>70</w:t>
      </w:r>
      <w:r>
        <w:rPr>
          <w:rFonts w:ascii="Verdana" w:hAnsi="Verdana"/>
          <w:sz w:val="18"/>
          <w:szCs w:val="18"/>
        </w:rPr>
        <w:t xml:space="preserve">, derde lid, </w:t>
      </w:r>
      <w:proofErr w:type="spellStart"/>
      <w:r>
        <w:rPr>
          <w:rFonts w:ascii="Verdana" w:hAnsi="Verdana"/>
          <w:sz w:val="18"/>
          <w:szCs w:val="18"/>
        </w:rPr>
        <w:t>Cbw</w:t>
      </w:r>
      <w:proofErr w:type="spellEnd"/>
      <w:r>
        <w:rPr>
          <w:rFonts w:ascii="Verdana" w:hAnsi="Verdana"/>
          <w:sz w:val="18"/>
          <w:szCs w:val="18"/>
        </w:rPr>
        <w:t>)</w:t>
      </w:r>
      <w:r w:rsidRPr="005F5FB2">
        <w:rPr>
          <w:rFonts w:ascii="Verdana" w:hAnsi="Verdana"/>
          <w:sz w:val="18"/>
          <w:szCs w:val="18"/>
        </w:rPr>
        <w:t xml:space="preserve">. Indien de toezichthouder bij een essentiële entiteit een controlefunctionaris aanwijst, bestaat er een sterk vermoeden dat die entiteit niet voldoet aan de zorgplicht en/of de meldplicht. Daarom is het redelijk om de kosten te laten dragen door die entiteit. </w:t>
      </w:r>
    </w:p>
    <w:p w:rsidR="005F5FB2" w:rsidP="00CE333A" w:rsidRDefault="005F5FB2" w14:paraId="2FF05DB7" w14:textId="77777777">
      <w:pPr>
        <w:pStyle w:val="Geenafstand"/>
        <w:rPr>
          <w:rFonts w:ascii="Verdana" w:hAnsi="Verdana"/>
          <w:sz w:val="18"/>
          <w:szCs w:val="18"/>
        </w:rPr>
      </w:pPr>
    </w:p>
    <w:p w:rsidRPr="00C47325" w:rsidR="00CE333A" w:rsidP="00CE333A" w:rsidRDefault="00CE333A" w14:paraId="2380B786" w14:textId="6D34848A">
      <w:pPr>
        <w:pStyle w:val="Geenafstand"/>
        <w:rPr>
          <w:rFonts w:ascii="Verdana" w:hAnsi="Verdana"/>
          <w:sz w:val="18"/>
          <w:szCs w:val="18"/>
        </w:rPr>
      </w:pPr>
      <w:r w:rsidRPr="00C47325">
        <w:rPr>
          <w:rFonts w:ascii="Verdana" w:hAnsi="Verdana"/>
          <w:sz w:val="18"/>
          <w:szCs w:val="18"/>
        </w:rPr>
        <w:t xml:space="preserve">Artikel </w:t>
      </w:r>
      <w:r w:rsidR="005B0D06">
        <w:rPr>
          <w:rFonts w:ascii="Verdana" w:hAnsi="Verdana"/>
          <w:sz w:val="18"/>
          <w:szCs w:val="18"/>
        </w:rPr>
        <w:t>70</w:t>
      </w:r>
      <w:r w:rsidRPr="00C47325">
        <w:rPr>
          <w:rFonts w:ascii="Verdana" w:hAnsi="Verdana"/>
          <w:sz w:val="18"/>
          <w:szCs w:val="18"/>
        </w:rPr>
        <w:t xml:space="preserve">, vierde lid,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betreft een grondslag om bij of krachtens </w:t>
      </w:r>
      <w:proofErr w:type="spellStart"/>
      <w:r w:rsidRPr="00C47325" w:rsidR="00E031E9">
        <w:rPr>
          <w:rFonts w:ascii="Verdana" w:hAnsi="Verdana"/>
          <w:sz w:val="18"/>
          <w:szCs w:val="18"/>
        </w:rPr>
        <w:t>amvb</w:t>
      </w:r>
      <w:proofErr w:type="spellEnd"/>
      <w:r w:rsidRPr="00C47325" w:rsidR="00E031E9">
        <w:rPr>
          <w:rFonts w:ascii="Verdana" w:hAnsi="Verdana"/>
          <w:sz w:val="18"/>
          <w:szCs w:val="18"/>
        </w:rPr>
        <w:t xml:space="preserve"> </w:t>
      </w:r>
      <w:r w:rsidRPr="00C47325">
        <w:rPr>
          <w:rFonts w:ascii="Verdana" w:hAnsi="Verdana"/>
          <w:sz w:val="18"/>
          <w:szCs w:val="18"/>
        </w:rPr>
        <w:t>nadere regels te stellen, onder meer over de vereisten die gelden voor de aanwijzing van de controlefunctionaris</w:t>
      </w:r>
      <w:r w:rsidR="00087053">
        <w:rPr>
          <w:rFonts w:ascii="Verdana" w:hAnsi="Verdana"/>
          <w:sz w:val="18"/>
          <w:szCs w:val="18"/>
        </w:rPr>
        <w:t>, zoals professionele kwalificaties.</w:t>
      </w:r>
    </w:p>
    <w:p w:rsidRPr="00C47325" w:rsidR="00CE333A" w:rsidP="00CE333A" w:rsidRDefault="00CE333A" w14:paraId="1C0D621A" w14:textId="77777777">
      <w:pPr>
        <w:pStyle w:val="Geenafstand"/>
        <w:rPr>
          <w:rFonts w:ascii="Verdana" w:hAnsi="Verdana"/>
          <w:sz w:val="18"/>
          <w:szCs w:val="18"/>
        </w:rPr>
      </w:pPr>
    </w:p>
    <w:p w:rsidRPr="00BD3C4A" w:rsidR="00D0002B" w:rsidP="00D0002B" w:rsidRDefault="00D0002B" w14:paraId="1CB29EC6" w14:textId="3F1CD319">
      <w:pPr>
        <w:pStyle w:val="Geenafstand"/>
        <w:rPr>
          <w:rFonts w:ascii="Verdana" w:hAnsi="Verdana"/>
          <w:b/>
          <w:bCs/>
          <w:sz w:val="18"/>
          <w:szCs w:val="18"/>
        </w:rPr>
      </w:pPr>
      <w:r w:rsidRPr="00BD3C4A">
        <w:rPr>
          <w:rFonts w:ascii="Verdana" w:hAnsi="Verdana"/>
          <w:b/>
          <w:bCs/>
          <w:sz w:val="18"/>
          <w:szCs w:val="18"/>
        </w:rPr>
        <w:t xml:space="preserve">Artikel </w:t>
      </w:r>
      <w:r w:rsidR="005B0D06">
        <w:rPr>
          <w:rFonts w:ascii="Verdana" w:hAnsi="Verdana"/>
          <w:b/>
          <w:bCs/>
          <w:sz w:val="18"/>
          <w:szCs w:val="18"/>
        </w:rPr>
        <w:t>71</w:t>
      </w:r>
      <w:r w:rsidRPr="00BD3C4A" w:rsidR="005B0D06">
        <w:rPr>
          <w:rFonts w:ascii="Verdana" w:hAnsi="Verdana"/>
          <w:b/>
          <w:bCs/>
          <w:sz w:val="18"/>
          <w:szCs w:val="18"/>
        </w:rPr>
        <w:t xml:space="preserve"> </w:t>
      </w:r>
      <w:r w:rsidRPr="00BD3C4A">
        <w:rPr>
          <w:rFonts w:ascii="Verdana" w:hAnsi="Verdana"/>
          <w:b/>
          <w:bCs/>
          <w:sz w:val="18"/>
          <w:szCs w:val="18"/>
        </w:rPr>
        <w:t>(beveiligingsscan)</w:t>
      </w:r>
    </w:p>
    <w:p w:rsidRPr="00C47325" w:rsidR="00CE333A" w:rsidP="00CE333A" w:rsidRDefault="00CE333A" w14:paraId="7143A41F" w14:textId="77777777">
      <w:pPr>
        <w:pStyle w:val="Geenafstand"/>
        <w:rPr>
          <w:rFonts w:ascii="Verdana" w:hAnsi="Verdana"/>
          <w:sz w:val="18"/>
          <w:szCs w:val="18"/>
        </w:rPr>
      </w:pPr>
    </w:p>
    <w:p w:rsidR="00CE333A" w:rsidP="00CE333A" w:rsidRDefault="00CE333A" w14:paraId="4AFC2F20" w14:textId="2CC20BC7">
      <w:pPr>
        <w:pStyle w:val="Geenafstand"/>
        <w:rPr>
          <w:rFonts w:ascii="Verdana" w:hAnsi="Verdana"/>
          <w:sz w:val="18"/>
          <w:szCs w:val="18"/>
        </w:rPr>
      </w:pPr>
      <w:r w:rsidRPr="00C47325">
        <w:rPr>
          <w:rFonts w:ascii="Verdana" w:hAnsi="Verdana"/>
          <w:sz w:val="18"/>
          <w:szCs w:val="18"/>
        </w:rPr>
        <w:t xml:space="preserve">Artikel </w:t>
      </w:r>
      <w:r w:rsidR="005B0D06">
        <w:rPr>
          <w:rFonts w:ascii="Verdana" w:hAnsi="Verdana"/>
          <w:sz w:val="18"/>
          <w:szCs w:val="18"/>
        </w:rPr>
        <w:t>71</w:t>
      </w:r>
      <w:r w:rsidRPr="00C47325" w:rsidR="005B0D06">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betreft de implementatie van artikel 32, tweede lid, onderdeel d, NIS2-richtlijn en ziet op de bevoegdheid van de toezichthouder om een beveiligingsscan uit te voeren of uit te laten voeren bij een essentiële entiteit. </w:t>
      </w:r>
    </w:p>
    <w:p w:rsidR="009E3901" w:rsidP="00CE333A" w:rsidRDefault="009E3901" w14:paraId="2BCEF930" w14:textId="77777777">
      <w:pPr>
        <w:pStyle w:val="Geenafstand"/>
        <w:rPr>
          <w:rFonts w:ascii="Verdana" w:hAnsi="Verdana"/>
          <w:sz w:val="18"/>
          <w:szCs w:val="18"/>
        </w:rPr>
      </w:pPr>
    </w:p>
    <w:p w:rsidRPr="00FF46E3" w:rsidR="009E3901" w:rsidP="009E3901" w:rsidRDefault="009E3901" w14:paraId="538DD005" w14:textId="6367E465">
      <w:pPr>
        <w:pStyle w:val="Geenafstand"/>
        <w:rPr>
          <w:rFonts w:ascii="Verdana" w:hAnsi="Verdana" w:cs="Arial"/>
          <w:sz w:val="18"/>
          <w:szCs w:val="18"/>
        </w:rPr>
      </w:pPr>
      <w:r w:rsidRPr="00FF46E3">
        <w:rPr>
          <w:rFonts w:ascii="Verdana" w:hAnsi="Verdana" w:cs="Arial"/>
          <w:sz w:val="18"/>
          <w:szCs w:val="18"/>
        </w:rPr>
        <w:t xml:space="preserve">De </w:t>
      </w:r>
      <w:r w:rsidRPr="00FF46E3">
        <w:rPr>
          <w:rFonts w:ascii="Verdana" w:hAnsi="Verdana"/>
          <w:sz w:val="18"/>
          <w:szCs w:val="18"/>
        </w:rPr>
        <w:t>toezichthoudende instantie</w:t>
      </w:r>
      <w:r w:rsidRPr="00FF46E3">
        <w:rPr>
          <w:rFonts w:ascii="Verdana" w:hAnsi="Verdana" w:cs="Arial"/>
          <w:sz w:val="18"/>
          <w:szCs w:val="18"/>
        </w:rPr>
        <w:t xml:space="preserve"> is ten aanzien van essentiële entiteiten en belangrijke entiteiten bevoegd om zelf of middels een onafhankelijke deskundige beveiligingsscans uit te voeren op netwerk- en informatiesystemen van die entiteiten om kwetsbaarheden en risico’s voor de beveiliging van die netwerk- en informatiesystemen te identificeren. Deze bevoegdheid volgt uit de artikelen 32, tweede lid, onderdeel d, en 33, tweede lid, onderdeel c, NIS2-richtlijn en is geïmplementeerd in de artikelen </w:t>
      </w:r>
      <w:r w:rsidR="005B0D06">
        <w:rPr>
          <w:rFonts w:ascii="Verdana" w:hAnsi="Verdana" w:cs="Arial"/>
          <w:sz w:val="18"/>
          <w:szCs w:val="18"/>
        </w:rPr>
        <w:t>71</w:t>
      </w:r>
      <w:r w:rsidRPr="00FF46E3" w:rsidR="005B0D06">
        <w:rPr>
          <w:rFonts w:ascii="Verdana" w:hAnsi="Verdana" w:cs="Arial"/>
          <w:sz w:val="18"/>
          <w:szCs w:val="18"/>
        </w:rPr>
        <w:t xml:space="preserve"> </w:t>
      </w:r>
      <w:r w:rsidRPr="00FF46E3">
        <w:rPr>
          <w:rFonts w:ascii="Verdana" w:hAnsi="Verdana" w:cs="Arial"/>
          <w:sz w:val="18"/>
          <w:szCs w:val="18"/>
        </w:rPr>
        <w:t xml:space="preserve">en </w:t>
      </w:r>
      <w:r w:rsidR="005B0D06">
        <w:rPr>
          <w:rFonts w:ascii="Verdana" w:hAnsi="Verdana" w:cs="Arial"/>
          <w:sz w:val="18"/>
          <w:szCs w:val="18"/>
        </w:rPr>
        <w:t>82</w:t>
      </w:r>
      <w:r w:rsidRPr="00FF46E3" w:rsidR="005B0D06">
        <w:rPr>
          <w:rFonts w:ascii="Verdana" w:hAnsi="Verdana" w:cs="Arial"/>
          <w:sz w:val="18"/>
          <w:szCs w:val="18"/>
        </w:rPr>
        <w:t xml:space="preserve"> </w:t>
      </w:r>
      <w:proofErr w:type="spellStart"/>
      <w:r w:rsidRPr="00FF46E3">
        <w:rPr>
          <w:rFonts w:ascii="Verdana" w:hAnsi="Verdana"/>
          <w:sz w:val="18"/>
          <w:szCs w:val="18"/>
        </w:rPr>
        <w:t>Cbw</w:t>
      </w:r>
      <w:proofErr w:type="spellEnd"/>
      <w:r w:rsidRPr="00FF46E3">
        <w:rPr>
          <w:rFonts w:ascii="Verdana" w:hAnsi="Verdana" w:cs="Arial"/>
          <w:sz w:val="18"/>
          <w:szCs w:val="18"/>
        </w:rPr>
        <w:t xml:space="preserve">. </w:t>
      </w:r>
    </w:p>
    <w:p w:rsidRPr="00FF46E3" w:rsidR="009E3901" w:rsidP="009E3901" w:rsidRDefault="009E3901" w14:paraId="027230B4" w14:textId="77777777">
      <w:pPr>
        <w:pStyle w:val="Geenafstand"/>
        <w:rPr>
          <w:rFonts w:ascii="Verdana" w:hAnsi="Verdana" w:cs="Arial"/>
          <w:sz w:val="18"/>
          <w:szCs w:val="18"/>
        </w:rPr>
      </w:pPr>
    </w:p>
    <w:p w:rsidRPr="00FF46E3" w:rsidR="009E3901" w:rsidP="009E3901" w:rsidRDefault="009E3901" w14:paraId="71C3178B" w14:textId="0F2DF25D">
      <w:pPr>
        <w:pStyle w:val="Geenafstand"/>
        <w:rPr>
          <w:rFonts w:ascii="Verdana" w:hAnsi="Verdana" w:cs="Arial"/>
          <w:sz w:val="18"/>
          <w:szCs w:val="18"/>
        </w:rPr>
      </w:pPr>
      <w:r w:rsidRPr="00FF46E3">
        <w:rPr>
          <w:rFonts w:ascii="Verdana" w:hAnsi="Verdana" w:cs="Arial"/>
          <w:sz w:val="18"/>
          <w:szCs w:val="18"/>
        </w:rPr>
        <w:t>Het doel van beveiligingsscans is het verkrijgen van nader inzicht in de effectiviteit van de door de entiteit genomen beheersmaatregelen en het beveiligingsniveau van hun netwerk- en informatiesystemen. Voorbeelden van beveiligingsscans zijn kwetsbaarheidsonderzoeken en penetratietesten. Beveiligingsscans kunnen zowel intern als op afstand worden uitgevoerd</w:t>
      </w:r>
      <w:r w:rsidR="00BB77B8">
        <w:rPr>
          <w:rFonts w:ascii="Verdana" w:hAnsi="Verdana" w:cs="Arial"/>
          <w:sz w:val="18"/>
          <w:szCs w:val="18"/>
        </w:rPr>
        <w:t>.</w:t>
      </w:r>
    </w:p>
    <w:p w:rsidRPr="00FF46E3" w:rsidR="009E3901" w:rsidP="009E3901" w:rsidRDefault="009E3901" w14:paraId="646B2B81" w14:textId="77777777">
      <w:pPr>
        <w:pStyle w:val="Geenafstand"/>
        <w:rPr>
          <w:rFonts w:ascii="Verdana" w:hAnsi="Verdana" w:cs="Arial"/>
          <w:sz w:val="18"/>
          <w:szCs w:val="18"/>
        </w:rPr>
      </w:pPr>
    </w:p>
    <w:p w:rsidRPr="00FF46E3" w:rsidR="009E3901" w:rsidP="009E3901" w:rsidRDefault="009E3901" w14:paraId="7E70D5F1" w14:textId="77777777">
      <w:pPr>
        <w:pStyle w:val="Geenafstand"/>
        <w:rPr>
          <w:rFonts w:ascii="Verdana" w:hAnsi="Verdana" w:cs="Arial"/>
          <w:sz w:val="18"/>
          <w:szCs w:val="18"/>
        </w:rPr>
      </w:pPr>
      <w:r w:rsidRPr="00FF46E3">
        <w:rPr>
          <w:rFonts w:ascii="Verdana" w:hAnsi="Verdana" w:cs="Arial"/>
          <w:sz w:val="18"/>
          <w:szCs w:val="18"/>
        </w:rPr>
        <w:t>De beveiligingsscans dienen plaats te vinden op basis van objectieve, niet-discriminerende, eerlijke en transparante risicobeoordelingscriteria, indien nodig in samenwerking met de betrokken entiteit. Hiermee wordt onder andere tot uiting gebracht dat van tevoren het doel van de beveiligingsscan, de daarbij in te zetten middelen, de wijze van uitvoering en te gebruiken criteria door de bevoegde autoriteit dienen te worden bepaald. Een belangrijk aandachtspunt daarbij is het beheersen van de risico’s die gepaard kunnen gaan met de inzet beveiligingsscans, zodat onbedoelde verstoringen worden voorkomen. Daarmee ligt het in de rede dat mogelijke meer risicovolle beveiligingsscans die bijvoorbeeld de continuïteit van de dienstverlening kunnen raken pas na consultatie van de betreffende entiteit en indien nodig in samenwerking met de entiteit door de toezichthoudende instantie worden ingezet.</w:t>
      </w:r>
    </w:p>
    <w:p w:rsidRPr="00FF46E3" w:rsidR="009E3901" w:rsidP="009E3901" w:rsidRDefault="009E3901" w14:paraId="49CC75D6" w14:textId="77777777">
      <w:pPr>
        <w:pStyle w:val="Geenafstand"/>
        <w:rPr>
          <w:rFonts w:ascii="Verdana" w:hAnsi="Verdana" w:cs="Arial"/>
          <w:sz w:val="18"/>
          <w:szCs w:val="18"/>
        </w:rPr>
      </w:pPr>
    </w:p>
    <w:p w:rsidRPr="00C47325" w:rsidR="009E3901" w:rsidP="00CE333A" w:rsidRDefault="009E3901" w14:paraId="47247B77" w14:textId="47BCD6BB">
      <w:pPr>
        <w:pStyle w:val="Geenafstand"/>
        <w:rPr>
          <w:rFonts w:ascii="Verdana" w:hAnsi="Verdana"/>
          <w:sz w:val="18"/>
          <w:szCs w:val="18"/>
        </w:rPr>
      </w:pPr>
      <w:r w:rsidRPr="00FF46E3">
        <w:rPr>
          <w:rFonts w:ascii="Verdana" w:hAnsi="Verdana"/>
          <w:sz w:val="18"/>
          <w:szCs w:val="18"/>
        </w:rPr>
        <w:t xml:space="preserve">Conform overweging 124 </w:t>
      </w:r>
      <w:r w:rsidR="00DF67C4">
        <w:rPr>
          <w:rFonts w:ascii="Verdana" w:hAnsi="Verdana"/>
          <w:sz w:val="18"/>
          <w:szCs w:val="18"/>
        </w:rPr>
        <w:t xml:space="preserve">van de </w:t>
      </w:r>
      <w:r w:rsidRPr="00FF46E3">
        <w:rPr>
          <w:rFonts w:ascii="Verdana" w:hAnsi="Verdana"/>
          <w:sz w:val="18"/>
          <w:szCs w:val="18"/>
        </w:rPr>
        <w:t>NIS2-richtlijn kan de toezichthoudende instantie bij essentiële entiteiten de verplichting tot het laten uitvoeren van beveiligingsscans ex-ante inzetten als onderdeel van een risico-gebaseerd toezichtregime, waarbij de toezichthouder het type en de frequentie van verplichte beveiligingsscans kan bepalen.</w:t>
      </w:r>
    </w:p>
    <w:p w:rsidRPr="00C47325" w:rsidR="00CE333A" w:rsidP="00CE333A" w:rsidRDefault="00CE333A" w14:paraId="47A8ADD3" w14:textId="77777777">
      <w:pPr>
        <w:pStyle w:val="Geenafstand"/>
        <w:rPr>
          <w:rFonts w:ascii="Verdana" w:hAnsi="Verdana"/>
          <w:sz w:val="18"/>
          <w:szCs w:val="18"/>
        </w:rPr>
      </w:pPr>
    </w:p>
    <w:p w:rsidRPr="00BD3C4A" w:rsidR="00D0002B" w:rsidP="00D0002B" w:rsidRDefault="00D0002B" w14:paraId="3F43FF6E" w14:textId="7F402663">
      <w:pPr>
        <w:pStyle w:val="Geenafstand"/>
        <w:rPr>
          <w:rFonts w:ascii="Verdana" w:hAnsi="Verdana"/>
          <w:b/>
          <w:bCs/>
          <w:sz w:val="18"/>
          <w:szCs w:val="18"/>
        </w:rPr>
      </w:pPr>
      <w:r w:rsidRPr="00BD3C4A">
        <w:rPr>
          <w:rFonts w:ascii="Verdana" w:hAnsi="Verdana"/>
          <w:b/>
          <w:bCs/>
          <w:sz w:val="18"/>
          <w:szCs w:val="18"/>
        </w:rPr>
        <w:t xml:space="preserve">Artikel </w:t>
      </w:r>
      <w:r w:rsidR="005B0D06">
        <w:rPr>
          <w:rFonts w:ascii="Verdana" w:hAnsi="Verdana"/>
          <w:b/>
          <w:bCs/>
          <w:sz w:val="18"/>
          <w:szCs w:val="18"/>
        </w:rPr>
        <w:t>72</w:t>
      </w:r>
      <w:r w:rsidRPr="00BD3C4A" w:rsidR="005B0D06">
        <w:rPr>
          <w:rFonts w:ascii="Verdana" w:hAnsi="Verdana"/>
          <w:b/>
          <w:bCs/>
          <w:sz w:val="18"/>
          <w:szCs w:val="18"/>
        </w:rPr>
        <w:t xml:space="preserve"> </w:t>
      </w:r>
      <w:r w:rsidRPr="00BD3C4A">
        <w:rPr>
          <w:rFonts w:ascii="Verdana" w:hAnsi="Verdana"/>
          <w:b/>
          <w:bCs/>
          <w:sz w:val="18"/>
          <w:szCs w:val="18"/>
        </w:rPr>
        <w:t xml:space="preserve">(audit) </w:t>
      </w:r>
    </w:p>
    <w:p w:rsidRPr="00C47325" w:rsidR="00CE333A" w:rsidP="00CE333A" w:rsidRDefault="00CE333A" w14:paraId="723780D5" w14:textId="77777777">
      <w:pPr>
        <w:pStyle w:val="Geenafstand"/>
        <w:rPr>
          <w:rFonts w:ascii="Verdana" w:hAnsi="Verdana"/>
          <w:b/>
          <w:bCs/>
          <w:sz w:val="18"/>
          <w:szCs w:val="18"/>
        </w:rPr>
      </w:pPr>
    </w:p>
    <w:p w:rsidR="00CE333A" w:rsidP="00CE333A" w:rsidRDefault="00CD556F" w14:paraId="56565121" w14:textId="707AE631">
      <w:pPr>
        <w:pStyle w:val="Geenafstand"/>
        <w:rPr>
          <w:rFonts w:ascii="Verdana" w:hAnsi="Verdana"/>
          <w:sz w:val="18"/>
          <w:szCs w:val="18"/>
        </w:rPr>
      </w:pPr>
      <w:r>
        <w:rPr>
          <w:rFonts w:ascii="Verdana" w:hAnsi="Verdana"/>
          <w:sz w:val="18"/>
          <w:szCs w:val="18"/>
        </w:rPr>
        <w:t xml:space="preserve">Artikel </w:t>
      </w:r>
      <w:r w:rsidR="005B0D06">
        <w:rPr>
          <w:rFonts w:ascii="Verdana" w:hAnsi="Verdana"/>
          <w:sz w:val="18"/>
          <w:szCs w:val="18"/>
        </w:rPr>
        <w:t xml:space="preserve">72 </w:t>
      </w:r>
      <w:proofErr w:type="spellStart"/>
      <w:r>
        <w:rPr>
          <w:rFonts w:ascii="Verdana" w:hAnsi="Verdana"/>
          <w:sz w:val="18"/>
          <w:szCs w:val="18"/>
        </w:rPr>
        <w:t>Cbw</w:t>
      </w:r>
      <w:proofErr w:type="spellEnd"/>
      <w:r>
        <w:rPr>
          <w:rFonts w:ascii="Verdana" w:hAnsi="Verdana"/>
          <w:sz w:val="18"/>
          <w:szCs w:val="18"/>
        </w:rPr>
        <w:t xml:space="preserve"> gaat over de bevoegdheid van de toezichthoudende instantie om een essentiële entiteit te verplichten tot het uitvoeren van een audit. </w:t>
      </w:r>
      <w:r w:rsidRPr="00C47325" w:rsidR="00CE333A">
        <w:rPr>
          <w:rFonts w:ascii="Verdana" w:hAnsi="Verdana"/>
          <w:sz w:val="18"/>
          <w:szCs w:val="18"/>
        </w:rPr>
        <w:t xml:space="preserve">Artikel </w:t>
      </w:r>
      <w:r w:rsidR="005B0D06">
        <w:rPr>
          <w:rFonts w:ascii="Verdana" w:hAnsi="Verdana"/>
          <w:sz w:val="18"/>
          <w:szCs w:val="18"/>
        </w:rPr>
        <w:t>72</w:t>
      </w:r>
      <w:r w:rsidRPr="00C47325" w:rsidR="005B0D06">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sidR="00CE333A">
        <w:rPr>
          <w:rFonts w:ascii="Verdana" w:hAnsi="Verdana"/>
          <w:sz w:val="18"/>
          <w:szCs w:val="18"/>
        </w:rPr>
        <w:t xml:space="preserve"> implementeert artikel 32, tweede lid, onderdelen b, </w:t>
      </w:r>
      <w:r w:rsidRPr="00C47325" w:rsidR="000C1552">
        <w:rPr>
          <w:rFonts w:ascii="Verdana" w:hAnsi="Verdana"/>
          <w:sz w:val="18"/>
          <w:szCs w:val="18"/>
        </w:rPr>
        <w:t xml:space="preserve">c </w:t>
      </w:r>
      <w:r w:rsidRPr="00C47325" w:rsidR="00CE333A">
        <w:rPr>
          <w:rFonts w:ascii="Verdana" w:hAnsi="Verdana"/>
          <w:sz w:val="18"/>
          <w:szCs w:val="18"/>
        </w:rPr>
        <w:t>en g, een na laatste en laatste alinea, en artikel 32, vierde lid, onderdeel f, NIS2-richtlijn.</w:t>
      </w:r>
      <w:r w:rsidR="001F1EB8">
        <w:rPr>
          <w:rFonts w:ascii="Verdana" w:hAnsi="Verdana"/>
          <w:sz w:val="18"/>
          <w:szCs w:val="18"/>
        </w:rPr>
        <w:t xml:space="preserve"> Dit artikel ziet zowel op het uitvoeren van regelmatige en gerichte beveiligingsaudits als bedoeld in artikel 32, tweede lid, onderdeel b, NIS2-richtlijn, als op het uitvoeren van ad-</w:t>
      </w:r>
      <w:proofErr w:type="spellStart"/>
      <w:r w:rsidR="001F1EB8">
        <w:rPr>
          <w:rFonts w:ascii="Verdana" w:hAnsi="Verdana"/>
          <w:sz w:val="18"/>
          <w:szCs w:val="18"/>
        </w:rPr>
        <w:t>hocaudits</w:t>
      </w:r>
      <w:proofErr w:type="spellEnd"/>
      <w:r w:rsidR="001F1EB8">
        <w:rPr>
          <w:rFonts w:ascii="Verdana" w:hAnsi="Verdana"/>
          <w:sz w:val="18"/>
          <w:szCs w:val="18"/>
        </w:rPr>
        <w:t xml:space="preserve"> als bedoeld in artikel 32, tweede lid, onderdeel c, NIS2-richtlijn. </w:t>
      </w:r>
    </w:p>
    <w:p w:rsidR="009E3901" w:rsidP="00CE333A" w:rsidRDefault="009E3901" w14:paraId="69EDD09F" w14:textId="77777777">
      <w:pPr>
        <w:pStyle w:val="Geenafstand"/>
        <w:rPr>
          <w:rFonts w:ascii="Verdana" w:hAnsi="Verdana"/>
          <w:sz w:val="18"/>
          <w:szCs w:val="18"/>
        </w:rPr>
      </w:pPr>
    </w:p>
    <w:p w:rsidRPr="00FF46E3" w:rsidR="009E3901" w:rsidP="009E3901" w:rsidRDefault="009E3901" w14:paraId="748E7B9F" w14:textId="0E659C0D">
      <w:pPr>
        <w:pStyle w:val="Geenafstand"/>
        <w:rPr>
          <w:rFonts w:ascii="Verdana" w:hAnsi="Verdana"/>
          <w:sz w:val="18"/>
          <w:szCs w:val="18"/>
        </w:rPr>
      </w:pPr>
      <w:r w:rsidRPr="00FF46E3">
        <w:rPr>
          <w:rFonts w:ascii="Verdana" w:hAnsi="Verdana"/>
          <w:sz w:val="18"/>
          <w:szCs w:val="18"/>
        </w:rPr>
        <w:t>Bij een audit onderzoekt een onafhankelijke en gekwalificeerde deskundige de opzet en werking van de door de entiteit genomen beheers- of beveiligingsmaatre</w:t>
      </w:r>
      <w:r w:rsidR="00701277">
        <w:rPr>
          <w:rFonts w:ascii="Verdana" w:hAnsi="Verdana"/>
          <w:sz w:val="18"/>
          <w:szCs w:val="18"/>
        </w:rPr>
        <w:t>ge</w:t>
      </w:r>
      <w:r w:rsidRPr="00FF46E3">
        <w:rPr>
          <w:rFonts w:ascii="Verdana" w:hAnsi="Verdana"/>
          <w:sz w:val="18"/>
          <w:szCs w:val="18"/>
        </w:rPr>
        <w:t xml:space="preserve">len. De audit verschaft daarmee aanvullende inzichten voor de toezichthoudende instantie om te kunnen controleren in welke mate de entiteit voldoet aan </w:t>
      </w:r>
      <w:r w:rsidR="00027328">
        <w:rPr>
          <w:rFonts w:ascii="Verdana" w:hAnsi="Verdana"/>
          <w:sz w:val="18"/>
          <w:szCs w:val="18"/>
        </w:rPr>
        <w:t xml:space="preserve">de verplichtingen uit de </w:t>
      </w:r>
      <w:proofErr w:type="spellStart"/>
      <w:r w:rsidR="00027328">
        <w:rPr>
          <w:rFonts w:ascii="Verdana" w:hAnsi="Verdana"/>
          <w:sz w:val="18"/>
          <w:szCs w:val="18"/>
        </w:rPr>
        <w:t>Cbw</w:t>
      </w:r>
      <w:proofErr w:type="spellEnd"/>
      <w:r w:rsidRPr="00FF46E3">
        <w:rPr>
          <w:rFonts w:ascii="Verdana" w:hAnsi="Verdana"/>
          <w:sz w:val="18"/>
          <w:szCs w:val="18"/>
        </w:rPr>
        <w:t>.</w:t>
      </w:r>
      <w:r w:rsidR="00027328">
        <w:rPr>
          <w:rStyle w:val="Voetnootmarkering"/>
          <w:rFonts w:ascii="Verdana" w:hAnsi="Verdana"/>
          <w:sz w:val="18"/>
          <w:szCs w:val="18"/>
        </w:rPr>
        <w:footnoteReference w:id="101"/>
      </w:r>
      <w:r w:rsidRPr="00FF46E3">
        <w:rPr>
          <w:rFonts w:ascii="Verdana" w:hAnsi="Verdana"/>
          <w:sz w:val="18"/>
          <w:szCs w:val="18"/>
        </w:rPr>
        <w:t xml:space="preserve"> Ook geeft de audit de toezichthoudende instantie inzicht in welke mate de entiteit </w:t>
      </w:r>
      <w:r w:rsidRPr="00D65544">
        <w:rPr>
          <w:rFonts w:ascii="Verdana" w:hAnsi="Verdana"/>
          <w:i/>
          <w:iCs/>
          <w:sz w:val="18"/>
          <w:szCs w:val="18"/>
        </w:rPr>
        <w:t>in control</w:t>
      </w:r>
      <w:r w:rsidRPr="00FF46E3">
        <w:rPr>
          <w:rFonts w:ascii="Verdana" w:hAnsi="Verdana"/>
          <w:sz w:val="18"/>
          <w:szCs w:val="18"/>
        </w:rPr>
        <w:t xml:space="preserve"> is ten aanzien van het nemen van adequate beheers- of beveiligingsmaatregelen. De audit kan betrekking hebben op de gehele entiteit of specifieke processen binnen de entiteit. </w:t>
      </w:r>
    </w:p>
    <w:p w:rsidRPr="00FF46E3" w:rsidR="00E04B59" w:rsidP="009E3901" w:rsidRDefault="00E04B59" w14:paraId="79162B14" w14:textId="77777777">
      <w:pPr>
        <w:pStyle w:val="Geenafstand"/>
        <w:rPr>
          <w:rFonts w:ascii="Verdana" w:hAnsi="Verdana"/>
          <w:sz w:val="18"/>
          <w:szCs w:val="18"/>
        </w:rPr>
      </w:pPr>
    </w:p>
    <w:p w:rsidR="005F5FB2" w:rsidP="009E3901" w:rsidRDefault="009E3901" w14:paraId="66605BEA" w14:textId="016B4C18">
      <w:pPr>
        <w:pStyle w:val="Geenafstand"/>
        <w:rPr>
          <w:rFonts w:ascii="Verdana" w:hAnsi="Verdana"/>
          <w:sz w:val="18"/>
          <w:szCs w:val="18"/>
        </w:rPr>
      </w:pPr>
      <w:r w:rsidRPr="00FF46E3">
        <w:rPr>
          <w:rFonts w:ascii="Verdana" w:hAnsi="Verdana"/>
          <w:sz w:val="18"/>
          <w:szCs w:val="18"/>
        </w:rPr>
        <w:t xml:space="preserve">Conform overweging 124 </w:t>
      </w:r>
      <w:r w:rsidR="00DF67C4">
        <w:rPr>
          <w:rFonts w:ascii="Verdana" w:hAnsi="Verdana"/>
          <w:sz w:val="18"/>
          <w:szCs w:val="18"/>
        </w:rPr>
        <w:t xml:space="preserve">van de </w:t>
      </w:r>
      <w:r w:rsidRPr="00FF46E3">
        <w:rPr>
          <w:rFonts w:ascii="Verdana" w:hAnsi="Verdana"/>
          <w:sz w:val="18"/>
          <w:szCs w:val="18"/>
        </w:rPr>
        <w:t xml:space="preserve">NIS2-richtlijn kan de toezichthoudende instantie bij essentiële entiteiten de verplichting tot het laten uitvoeren van audits ex-ante inzetten als onderdeel van een risico-gebaseerd toezichtregime, waarbij de </w:t>
      </w:r>
      <w:r w:rsidR="00C5392C">
        <w:rPr>
          <w:rFonts w:ascii="Verdana" w:hAnsi="Verdana"/>
          <w:sz w:val="18"/>
          <w:szCs w:val="18"/>
        </w:rPr>
        <w:t>toezichthoudende instantie</w:t>
      </w:r>
      <w:r w:rsidRPr="00FF46E3">
        <w:rPr>
          <w:rFonts w:ascii="Verdana" w:hAnsi="Verdana"/>
          <w:sz w:val="18"/>
          <w:szCs w:val="18"/>
        </w:rPr>
        <w:t xml:space="preserve"> het type en de frequentie van verplichte audits kan bepalen.</w:t>
      </w:r>
    </w:p>
    <w:p w:rsidR="005F5FB2" w:rsidP="005F5FB2" w:rsidRDefault="005F5FB2" w14:paraId="1FD4E2DE" w14:textId="77777777">
      <w:pPr>
        <w:pStyle w:val="Geenafstand"/>
        <w:rPr>
          <w:rFonts w:ascii="Verdana" w:hAnsi="Verdana"/>
          <w:sz w:val="18"/>
          <w:szCs w:val="18"/>
        </w:rPr>
      </w:pPr>
    </w:p>
    <w:p w:rsidRPr="00C47325" w:rsidR="009E3901" w:rsidP="00CE333A" w:rsidRDefault="005F5FB2" w14:paraId="4CC645B0" w14:textId="14C34634">
      <w:pPr>
        <w:pStyle w:val="Geenafstand"/>
        <w:rPr>
          <w:rFonts w:ascii="Verdana" w:hAnsi="Verdana"/>
          <w:b/>
          <w:bCs/>
          <w:sz w:val="18"/>
          <w:szCs w:val="18"/>
        </w:rPr>
      </w:pPr>
      <w:r>
        <w:rPr>
          <w:rFonts w:ascii="Verdana" w:hAnsi="Verdana"/>
          <w:sz w:val="18"/>
          <w:szCs w:val="18"/>
        </w:rPr>
        <w:t xml:space="preserve">In artikel </w:t>
      </w:r>
      <w:r w:rsidR="005B0D06">
        <w:rPr>
          <w:rFonts w:ascii="Verdana" w:hAnsi="Verdana"/>
          <w:sz w:val="18"/>
          <w:szCs w:val="18"/>
        </w:rPr>
        <w:t>72</w:t>
      </w:r>
      <w:r>
        <w:rPr>
          <w:rFonts w:ascii="Verdana" w:hAnsi="Verdana"/>
          <w:sz w:val="18"/>
          <w:szCs w:val="18"/>
        </w:rPr>
        <w:t xml:space="preserve">, vierde lid, </w:t>
      </w:r>
      <w:proofErr w:type="spellStart"/>
      <w:r>
        <w:rPr>
          <w:rFonts w:ascii="Verdana" w:hAnsi="Verdana"/>
          <w:sz w:val="18"/>
          <w:szCs w:val="18"/>
        </w:rPr>
        <w:t>Cbw</w:t>
      </w:r>
      <w:proofErr w:type="spellEnd"/>
      <w:r>
        <w:rPr>
          <w:rFonts w:ascii="Verdana" w:hAnsi="Verdana"/>
          <w:sz w:val="18"/>
          <w:szCs w:val="18"/>
        </w:rPr>
        <w:t xml:space="preserve"> is bepaald dat </w:t>
      </w:r>
      <w:r w:rsidRPr="0048459B">
        <w:rPr>
          <w:rFonts w:ascii="Verdana" w:hAnsi="Verdana"/>
          <w:sz w:val="18"/>
          <w:szCs w:val="18"/>
        </w:rPr>
        <w:t xml:space="preserve">de kosten van een audit </w:t>
      </w:r>
      <w:r>
        <w:rPr>
          <w:rFonts w:ascii="Verdana" w:hAnsi="Verdana"/>
          <w:sz w:val="18"/>
          <w:szCs w:val="18"/>
        </w:rPr>
        <w:t>worden gedragen door</w:t>
      </w:r>
      <w:r w:rsidRPr="0048459B">
        <w:rPr>
          <w:rFonts w:ascii="Verdana" w:hAnsi="Verdana"/>
          <w:sz w:val="18"/>
          <w:szCs w:val="18"/>
        </w:rPr>
        <w:t xml:space="preserve"> de </w:t>
      </w:r>
      <w:r>
        <w:rPr>
          <w:rFonts w:ascii="Verdana" w:hAnsi="Verdana"/>
          <w:sz w:val="18"/>
          <w:szCs w:val="18"/>
        </w:rPr>
        <w:t xml:space="preserve">betrokken </w:t>
      </w:r>
      <w:r w:rsidRPr="0048459B">
        <w:rPr>
          <w:rFonts w:ascii="Verdana" w:hAnsi="Verdana"/>
          <w:sz w:val="18"/>
          <w:szCs w:val="18"/>
        </w:rPr>
        <w:t xml:space="preserve">entiteit. </w:t>
      </w:r>
      <w:r>
        <w:rPr>
          <w:rFonts w:ascii="Verdana" w:hAnsi="Verdana"/>
          <w:sz w:val="18"/>
          <w:szCs w:val="18"/>
        </w:rPr>
        <w:t xml:space="preserve">Dit betreft een implementatie van de NIS2-richtlijn. Van deze regel kan worden afgeweken als deze kosten naar het oordeel van de </w:t>
      </w:r>
      <w:r w:rsidR="00C5392C">
        <w:rPr>
          <w:rFonts w:ascii="Verdana" w:hAnsi="Verdana"/>
          <w:sz w:val="18"/>
          <w:szCs w:val="18"/>
        </w:rPr>
        <w:t>toezichthoudende instantie</w:t>
      </w:r>
      <w:r>
        <w:rPr>
          <w:rFonts w:ascii="Verdana" w:hAnsi="Verdana"/>
          <w:sz w:val="18"/>
          <w:szCs w:val="18"/>
        </w:rPr>
        <w:t xml:space="preserve"> moeten worden gedragen door haarzelf. </w:t>
      </w:r>
    </w:p>
    <w:p w:rsidRPr="00C47325" w:rsidR="00CE333A" w:rsidP="00CE333A" w:rsidRDefault="00CE333A" w14:paraId="4873529A" w14:textId="77777777">
      <w:pPr>
        <w:pStyle w:val="Geenafstand"/>
        <w:rPr>
          <w:rFonts w:ascii="Verdana" w:hAnsi="Verdana"/>
          <w:b/>
          <w:bCs/>
          <w:sz w:val="18"/>
          <w:szCs w:val="18"/>
        </w:rPr>
      </w:pPr>
    </w:p>
    <w:p w:rsidRPr="00BD3C4A" w:rsidR="00D0002B" w:rsidP="00D0002B" w:rsidRDefault="00D0002B" w14:paraId="37FB21AD" w14:textId="0526C54F">
      <w:pPr>
        <w:pStyle w:val="Geenafstand"/>
        <w:rPr>
          <w:rFonts w:ascii="Verdana" w:hAnsi="Verdana"/>
          <w:b/>
          <w:bCs/>
          <w:sz w:val="18"/>
          <w:szCs w:val="18"/>
        </w:rPr>
      </w:pPr>
      <w:r w:rsidRPr="00BD3C4A">
        <w:rPr>
          <w:rFonts w:ascii="Verdana" w:hAnsi="Verdana"/>
          <w:b/>
          <w:bCs/>
          <w:sz w:val="18"/>
          <w:szCs w:val="18"/>
        </w:rPr>
        <w:t xml:space="preserve">Artikel </w:t>
      </w:r>
      <w:r w:rsidR="005B0D06">
        <w:rPr>
          <w:rFonts w:ascii="Verdana" w:hAnsi="Verdana"/>
          <w:b/>
          <w:bCs/>
          <w:sz w:val="18"/>
          <w:szCs w:val="18"/>
        </w:rPr>
        <w:t>73</w:t>
      </w:r>
      <w:r w:rsidRPr="00BD3C4A" w:rsidR="005B0D06">
        <w:rPr>
          <w:rFonts w:ascii="Verdana" w:hAnsi="Verdana"/>
          <w:b/>
          <w:bCs/>
          <w:sz w:val="18"/>
          <w:szCs w:val="18"/>
        </w:rPr>
        <w:t xml:space="preserve"> </w:t>
      </w:r>
      <w:r w:rsidRPr="00BD3C4A">
        <w:rPr>
          <w:rFonts w:ascii="Verdana" w:hAnsi="Verdana"/>
          <w:b/>
          <w:bCs/>
          <w:sz w:val="18"/>
          <w:szCs w:val="18"/>
        </w:rPr>
        <w:t>(openbaarmaking overtreding)</w:t>
      </w:r>
    </w:p>
    <w:p w:rsidRPr="00C47325" w:rsidR="00CE333A" w:rsidP="00CE333A" w:rsidRDefault="00CE333A" w14:paraId="020AF9B8" w14:textId="77777777">
      <w:pPr>
        <w:pStyle w:val="Geenafstand"/>
        <w:rPr>
          <w:rFonts w:ascii="Verdana" w:hAnsi="Verdana"/>
          <w:sz w:val="18"/>
          <w:szCs w:val="18"/>
        </w:rPr>
      </w:pPr>
    </w:p>
    <w:p w:rsidR="00CE333A" w:rsidP="00CE333A" w:rsidRDefault="00CE333A" w14:paraId="7A1ABD7D" w14:textId="7DF0B53F">
      <w:pPr>
        <w:pStyle w:val="Geenafstand"/>
        <w:rPr>
          <w:rFonts w:ascii="Verdana" w:hAnsi="Verdana"/>
          <w:sz w:val="18"/>
          <w:szCs w:val="18"/>
        </w:rPr>
      </w:pPr>
      <w:r w:rsidRPr="00C47325">
        <w:rPr>
          <w:rFonts w:ascii="Verdana" w:hAnsi="Verdana"/>
          <w:sz w:val="18"/>
          <w:szCs w:val="18"/>
        </w:rPr>
        <w:t xml:space="preserve">Artikel </w:t>
      </w:r>
      <w:r w:rsidR="005B0D06">
        <w:rPr>
          <w:rFonts w:ascii="Verdana" w:hAnsi="Verdana"/>
          <w:sz w:val="18"/>
          <w:szCs w:val="18"/>
        </w:rPr>
        <w:t>73</w:t>
      </w:r>
      <w:r w:rsidRPr="00C47325" w:rsidR="005B0D06">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artikel 32, vierde lid, onderdeel h, NIS2-richtlijn en ziet op de bevoegdheid van de </w:t>
      </w:r>
      <w:r w:rsidR="00B2192F">
        <w:rPr>
          <w:rFonts w:ascii="Verdana" w:hAnsi="Verdana"/>
          <w:sz w:val="18"/>
          <w:szCs w:val="18"/>
        </w:rPr>
        <w:t>toezichthoudende instantie</w:t>
      </w:r>
      <w:r w:rsidRPr="00C47325" w:rsidR="00B2192F">
        <w:rPr>
          <w:rFonts w:ascii="Verdana" w:hAnsi="Verdana"/>
          <w:sz w:val="18"/>
          <w:szCs w:val="18"/>
        </w:rPr>
        <w:t xml:space="preserve"> </w:t>
      </w:r>
      <w:r w:rsidRPr="00C47325">
        <w:rPr>
          <w:rFonts w:ascii="Verdana" w:hAnsi="Verdana"/>
          <w:sz w:val="18"/>
          <w:szCs w:val="18"/>
        </w:rPr>
        <w:t>om een essentiële entiteit de verplichting op te leggen om onderdelen van een door de entiteit begane overtreding van het bepaalde bij of krachtens deze wet, openbaar te maken.</w:t>
      </w:r>
      <w:r w:rsidRPr="00AC2A93" w:rsidR="00AC2A93">
        <w:t xml:space="preserve"> </w:t>
      </w:r>
      <w:r w:rsidRPr="00AC2A93" w:rsidR="00AC2A93">
        <w:rPr>
          <w:rFonts w:ascii="Verdana" w:hAnsi="Verdana"/>
          <w:sz w:val="18"/>
          <w:szCs w:val="18"/>
        </w:rPr>
        <w:t>Dit geldt ook ten aanzien van het bepaalde in de op grond van de artikelen 21, vijfde lid, en 23, elfde lid, NIS2-richtlijn vastgestelde uitvoeringshandelingen en de op grond van artikel 24, tweede lid, NIS2-richtlijn vastgestelde gedelegeerde handelingen, voor zover daarin is bepaald dat deze verbindend zijn en rechtstreeks toepasselijk zijn in elke lidstaat.</w:t>
      </w:r>
    </w:p>
    <w:p w:rsidRPr="00C47325" w:rsidR="00CE333A" w:rsidP="00CE333A" w:rsidRDefault="00CE333A" w14:paraId="6EE466B6" w14:textId="77777777">
      <w:pPr>
        <w:pStyle w:val="Geenafstand"/>
        <w:rPr>
          <w:rFonts w:ascii="Verdana" w:hAnsi="Verdana"/>
          <w:sz w:val="18"/>
          <w:szCs w:val="18"/>
        </w:rPr>
      </w:pPr>
      <w:bookmarkStart w:name="_Hlk148279165" w:id="296"/>
    </w:p>
    <w:bookmarkEnd w:id="296"/>
    <w:p w:rsidRPr="00BD3C4A" w:rsidR="00D0002B" w:rsidP="00D0002B" w:rsidRDefault="00D0002B" w14:paraId="244870AA" w14:textId="5B3E7162">
      <w:pPr>
        <w:pStyle w:val="Geenafstand"/>
        <w:rPr>
          <w:rFonts w:ascii="Verdana" w:hAnsi="Verdana"/>
          <w:b/>
          <w:bCs/>
          <w:sz w:val="18"/>
          <w:szCs w:val="18"/>
        </w:rPr>
      </w:pPr>
      <w:r w:rsidRPr="00BD3C4A">
        <w:rPr>
          <w:rFonts w:ascii="Verdana" w:hAnsi="Verdana"/>
          <w:b/>
          <w:bCs/>
          <w:sz w:val="18"/>
          <w:szCs w:val="18"/>
        </w:rPr>
        <w:t xml:space="preserve">Artikel </w:t>
      </w:r>
      <w:r w:rsidR="00634B6C">
        <w:rPr>
          <w:rFonts w:ascii="Verdana" w:hAnsi="Verdana"/>
          <w:b/>
          <w:bCs/>
          <w:sz w:val="18"/>
          <w:szCs w:val="18"/>
        </w:rPr>
        <w:t>74</w:t>
      </w:r>
      <w:r w:rsidRPr="00BD3C4A" w:rsidR="00634B6C">
        <w:rPr>
          <w:rFonts w:ascii="Verdana" w:hAnsi="Verdana"/>
          <w:b/>
          <w:bCs/>
          <w:sz w:val="18"/>
          <w:szCs w:val="18"/>
        </w:rPr>
        <w:t xml:space="preserve"> </w:t>
      </w:r>
      <w:r w:rsidRPr="00BD3C4A">
        <w:rPr>
          <w:rFonts w:ascii="Verdana" w:hAnsi="Verdana"/>
          <w:b/>
          <w:bCs/>
          <w:sz w:val="18"/>
          <w:szCs w:val="18"/>
        </w:rPr>
        <w:t>(aanwijzing)</w:t>
      </w:r>
    </w:p>
    <w:p w:rsidRPr="00C47325" w:rsidR="00CE333A" w:rsidP="00CE333A" w:rsidRDefault="00CE333A" w14:paraId="3AB88274" w14:textId="77777777">
      <w:pPr>
        <w:pStyle w:val="Geenafstand"/>
        <w:rPr>
          <w:rFonts w:ascii="Verdana" w:hAnsi="Verdana"/>
          <w:sz w:val="18"/>
          <w:szCs w:val="18"/>
        </w:rPr>
      </w:pPr>
    </w:p>
    <w:p w:rsidR="00CE333A" w:rsidP="00CE333A" w:rsidRDefault="00CE333A" w14:paraId="53717CA6" w14:textId="08BDB524">
      <w:pPr>
        <w:pStyle w:val="Geenafstand"/>
        <w:rPr>
          <w:rFonts w:ascii="Verdana" w:hAnsi="Verdana"/>
          <w:sz w:val="18"/>
          <w:szCs w:val="18"/>
        </w:rPr>
      </w:pPr>
      <w:r w:rsidRPr="00C47325">
        <w:rPr>
          <w:rFonts w:ascii="Verdana" w:hAnsi="Verdana"/>
          <w:sz w:val="18"/>
          <w:szCs w:val="18"/>
        </w:rPr>
        <w:t xml:space="preserve">Artikel </w:t>
      </w:r>
      <w:r w:rsidR="00634B6C">
        <w:rPr>
          <w:rFonts w:ascii="Verdana" w:hAnsi="Verdana"/>
          <w:sz w:val="18"/>
          <w:szCs w:val="18"/>
        </w:rPr>
        <w:t>74</w:t>
      </w:r>
      <w:r w:rsidRPr="00C47325" w:rsidR="00634B6C">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ziet op de implementatie van artikel 32, vierde lid, onderdeel b, NIS2-richtlijn en ziet op de bevoegdheid van de toezichthouder tot het opleggen van een bindende aanwijzing aan een essentiële entiteit. </w:t>
      </w:r>
    </w:p>
    <w:p w:rsidR="009E3901" w:rsidP="00CE333A" w:rsidRDefault="009E3901" w14:paraId="08A86079" w14:textId="77777777">
      <w:pPr>
        <w:pStyle w:val="Geenafstand"/>
        <w:rPr>
          <w:rFonts w:ascii="Verdana" w:hAnsi="Verdana"/>
          <w:sz w:val="18"/>
          <w:szCs w:val="18"/>
        </w:rPr>
      </w:pPr>
    </w:p>
    <w:p w:rsidRPr="00FF46E3" w:rsidR="009E3901" w:rsidP="009E3901" w:rsidRDefault="009E3901" w14:paraId="7B4504D1" w14:textId="6ACEE21B">
      <w:pPr>
        <w:pStyle w:val="Geenafstand"/>
        <w:rPr>
          <w:rFonts w:ascii="Verdana" w:hAnsi="Verdana"/>
          <w:sz w:val="18"/>
          <w:szCs w:val="18"/>
        </w:rPr>
      </w:pPr>
      <w:r w:rsidRPr="00FF46E3">
        <w:rPr>
          <w:rFonts w:ascii="Verdana" w:hAnsi="Verdana"/>
          <w:sz w:val="18"/>
          <w:szCs w:val="18"/>
        </w:rPr>
        <w:t xml:space="preserve">De toezichthoudende instantie kan aan essentiële entiteiten een bindende aanwijzing opleggen om binnen een daarbij gestelde redelijke termijn de daarin omschreven handelingen te verrichten of de daarin omschreven maatregelen te nemen ter naleving van het bepaalde bij of krachtens de </w:t>
      </w:r>
      <w:proofErr w:type="spellStart"/>
      <w:r w:rsidRPr="00FF46E3">
        <w:rPr>
          <w:rFonts w:ascii="Verdana" w:hAnsi="Verdana"/>
          <w:sz w:val="18"/>
          <w:szCs w:val="18"/>
        </w:rPr>
        <w:t>Cbw</w:t>
      </w:r>
      <w:proofErr w:type="spellEnd"/>
      <w:r w:rsidRPr="00FF46E3">
        <w:rPr>
          <w:rFonts w:ascii="Verdana" w:hAnsi="Verdana"/>
          <w:sz w:val="18"/>
          <w:szCs w:val="18"/>
        </w:rPr>
        <w:t>.</w:t>
      </w:r>
      <w:r w:rsidR="00C5392C">
        <w:rPr>
          <w:rStyle w:val="Voetnootmarkering"/>
          <w:rFonts w:ascii="Verdana" w:hAnsi="Verdana"/>
          <w:sz w:val="18"/>
          <w:szCs w:val="18"/>
        </w:rPr>
        <w:footnoteReference w:id="102"/>
      </w:r>
      <w:r w:rsidR="00D61017">
        <w:rPr>
          <w:rFonts w:ascii="Verdana" w:hAnsi="Verdana"/>
          <w:sz w:val="18"/>
          <w:szCs w:val="18"/>
        </w:rPr>
        <w:t xml:space="preserve"> </w:t>
      </w:r>
      <w:r w:rsidRPr="00FF46E3">
        <w:rPr>
          <w:rFonts w:ascii="Verdana" w:hAnsi="Verdana"/>
          <w:sz w:val="18"/>
          <w:szCs w:val="18"/>
        </w:rPr>
        <w:t xml:space="preserve">Deze bevoegdheid volgt uit de artikelen 32, vierde lid, onderdeel b, en 33, vierde lid, onderdeel b, NIS2-richtlijn en is geïmplementeerd in de artikelen </w:t>
      </w:r>
      <w:r w:rsidR="009975AE">
        <w:rPr>
          <w:rFonts w:ascii="Verdana" w:hAnsi="Verdana"/>
          <w:sz w:val="18"/>
          <w:szCs w:val="18"/>
        </w:rPr>
        <w:t>74</w:t>
      </w:r>
      <w:r w:rsidRPr="00FF46E3" w:rsidR="009975AE">
        <w:rPr>
          <w:rFonts w:ascii="Verdana" w:hAnsi="Verdana"/>
          <w:sz w:val="18"/>
          <w:szCs w:val="18"/>
        </w:rPr>
        <w:t xml:space="preserve"> </w:t>
      </w:r>
      <w:r w:rsidRPr="00FF46E3">
        <w:rPr>
          <w:rFonts w:ascii="Verdana" w:hAnsi="Verdana"/>
          <w:sz w:val="18"/>
          <w:szCs w:val="18"/>
        </w:rPr>
        <w:t xml:space="preserve">en </w:t>
      </w:r>
      <w:r w:rsidR="009975AE">
        <w:rPr>
          <w:rFonts w:ascii="Verdana" w:hAnsi="Verdana"/>
          <w:sz w:val="18"/>
          <w:szCs w:val="18"/>
        </w:rPr>
        <w:t>85</w:t>
      </w:r>
      <w:r w:rsidRPr="00FF46E3" w:rsidR="009975AE">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w:t>
      </w:r>
    </w:p>
    <w:p w:rsidRPr="00FF46E3" w:rsidR="009E3901" w:rsidP="009E3901" w:rsidRDefault="009E3901" w14:paraId="21D6C23C" w14:textId="77777777">
      <w:pPr>
        <w:pStyle w:val="Geenafstand"/>
        <w:rPr>
          <w:rFonts w:ascii="Verdana" w:hAnsi="Verdana"/>
          <w:sz w:val="18"/>
          <w:szCs w:val="18"/>
        </w:rPr>
      </w:pPr>
    </w:p>
    <w:p w:rsidRPr="00C47325" w:rsidR="009E3901" w:rsidP="00CE333A" w:rsidRDefault="009E3901" w14:paraId="455285DD" w14:textId="71EB34F7">
      <w:pPr>
        <w:pStyle w:val="Geenafstand"/>
        <w:rPr>
          <w:rFonts w:ascii="Verdana" w:hAnsi="Verdana"/>
          <w:sz w:val="18"/>
          <w:szCs w:val="18"/>
        </w:rPr>
      </w:pPr>
      <w:r w:rsidRPr="00FF46E3">
        <w:rPr>
          <w:rFonts w:ascii="Verdana" w:hAnsi="Verdana"/>
          <w:sz w:val="18"/>
          <w:szCs w:val="18"/>
        </w:rPr>
        <w:t xml:space="preserve">De aanwijzing </w:t>
      </w:r>
      <w:r>
        <w:rPr>
          <w:rFonts w:ascii="Verdana" w:hAnsi="Verdana"/>
          <w:sz w:val="18"/>
          <w:szCs w:val="18"/>
        </w:rPr>
        <w:t>heeft</w:t>
      </w:r>
      <w:r w:rsidRPr="00FF46E3">
        <w:rPr>
          <w:rFonts w:ascii="Verdana" w:hAnsi="Verdana"/>
          <w:sz w:val="18"/>
          <w:szCs w:val="18"/>
        </w:rPr>
        <w:t xml:space="preserve"> een juridisch bindend karakter en is een beschikking in de zin van artikel 1:3 </w:t>
      </w:r>
      <w:proofErr w:type="spellStart"/>
      <w:r w:rsidRPr="00FF46E3">
        <w:rPr>
          <w:rFonts w:ascii="Verdana" w:hAnsi="Verdana"/>
          <w:sz w:val="18"/>
          <w:szCs w:val="18"/>
        </w:rPr>
        <w:t>Awb</w:t>
      </w:r>
      <w:proofErr w:type="spellEnd"/>
      <w:r w:rsidRPr="00FF46E3">
        <w:rPr>
          <w:rFonts w:ascii="Verdana" w:hAnsi="Verdana"/>
          <w:sz w:val="18"/>
          <w:szCs w:val="18"/>
        </w:rPr>
        <w:t xml:space="preserve"> waar bezwaar, beroep en hoger beroep tegen open staat. Een bindende aanwijzing is een </w:t>
      </w:r>
      <w:r w:rsidRPr="00FF46E3">
        <w:rPr>
          <w:rFonts w:ascii="Verdana" w:hAnsi="Verdana" w:cs="Arial"/>
          <w:sz w:val="18"/>
          <w:szCs w:val="18"/>
        </w:rPr>
        <w:t xml:space="preserve">enkele last tot het verrichten van bepaalde handelingen, bedoeld in artikel 5:2, tweede lid, </w:t>
      </w:r>
      <w:proofErr w:type="spellStart"/>
      <w:r w:rsidRPr="00FF46E3">
        <w:rPr>
          <w:rFonts w:ascii="Verdana" w:hAnsi="Verdana" w:cs="Arial"/>
          <w:sz w:val="18"/>
          <w:szCs w:val="18"/>
        </w:rPr>
        <w:t>Awb</w:t>
      </w:r>
      <w:proofErr w:type="spellEnd"/>
      <w:r w:rsidRPr="00FF46E3">
        <w:rPr>
          <w:rFonts w:ascii="Verdana" w:hAnsi="Verdana" w:cs="Arial"/>
          <w:sz w:val="18"/>
          <w:szCs w:val="18"/>
        </w:rPr>
        <w:t xml:space="preserve"> en geen bestuurlijke sanctie. De bindende aanwijzing wordt </w:t>
      </w:r>
      <w:r w:rsidRPr="00FF46E3">
        <w:rPr>
          <w:rFonts w:ascii="Verdana" w:hAnsi="Verdana" w:cs="EUAlbertina"/>
          <w:sz w:val="18"/>
          <w:szCs w:val="18"/>
        </w:rPr>
        <w:t>toegepast om te kunnen voldoen aan een wettelijke verplichting of norm. Daarmee wordt voor de entiteit die een aanwijzing krijgt opgelegd duidelijk waaraan moet worden voldaan en wat zij moet doen om aan die verplichting of norm te voldoen. Als niet aan de wettelijke verplichting of norm voldaan wordt, kan de toezichthoudende instantie vervolgens handhaven met bijvoorbeeld een last onder dwangsom of een bestuurlijke boete</w:t>
      </w:r>
      <w:r w:rsidRPr="00FF46E3">
        <w:rPr>
          <w:rFonts w:ascii="Verdana" w:hAnsi="Verdana" w:cs="Arial"/>
          <w:sz w:val="18"/>
          <w:szCs w:val="18"/>
        </w:rPr>
        <w:t>.</w:t>
      </w:r>
    </w:p>
    <w:p w:rsidRPr="00C47325" w:rsidR="00CE333A" w:rsidP="00CE333A" w:rsidRDefault="00CE333A" w14:paraId="43C7C458" w14:textId="77777777">
      <w:pPr>
        <w:pStyle w:val="Geenafstand"/>
        <w:rPr>
          <w:rFonts w:ascii="Verdana" w:hAnsi="Verdana"/>
          <w:sz w:val="18"/>
          <w:szCs w:val="18"/>
        </w:rPr>
      </w:pPr>
    </w:p>
    <w:p w:rsidRPr="00BD3C4A" w:rsidR="00D0002B" w:rsidP="00D0002B" w:rsidRDefault="00D0002B" w14:paraId="6CDE1D98" w14:textId="198BA664">
      <w:pPr>
        <w:pStyle w:val="Geenafstand"/>
        <w:rPr>
          <w:rFonts w:ascii="Verdana" w:hAnsi="Verdana"/>
          <w:b/>
          <w:bCs/>
          <w:sz w:val="18"/>
          <w:szCs w:val="18"/>
        </w:rPr>
      </w:pPr>
      <w:r w:rsidRPr="00BD3C4A">
        <w:rPr>
          <w:rFonts w:ascii="Verdana" w:hAnsi="Verdana"/>
          <w:b/>
          <w:bCs/>
          <w:sz w:val="18"/>
          <w:szCs w:val="18"/>
        </w:rPr>
        <w:t xml:space="preserve">Artikel </w:t>
      </w:r>
      <w:r w:rsidR="009975AE">
        <w:rPr>
          <w:rFonts w:ascii="Verdana" w:hAnsi="Verdana"/>
          <w:b/>
          <w:bCs/>
          <w:sz w:val="18"/>
          <w:szCs w:val="18"/>
        </w:rPr>
        <w:t>75</w:t>
      </w:r>
      <w:r w:rsidRPr="00BD3C4A" w:rsidR="009975AE">
        <w:rPr>
          <w:rFonts w:ascii="Verdana" w:hAnsi="Verdana"/>
          <w:b/>
          <w:bCs/>
          <w:sz w:val="18"/>
          <w:szCs w:val="18"/>
        </w:rPr>
        <w:t xml:space="preserve"> </w:t>
      </w:r>
      <w:r w:rsidRPr="00BD3C4A">
        <w:rPr>
          <w:rFonts w:ascii="Verdana" w:hAnsi="Verdana"/>
          <w:b/>
          <w:bCs/>
          <w:sz w:val="18"/>
          <w:szCs w:val="18"/>
        </w:rPr>
        <w:t>(last onder bestuursdwang)</w:t>
      </w:r>
    </w:p>
    <w:p w:rsidRPr="00C47325" w:rsidR="00CE333A" w:rsidP="00CE333A" w:rsidRDefault="00CE333A" w14:paraId="42F9838D" w14:textId="77777777">
      <w:pPr>
        <w:pStyle w:val="Geenafstand"/>
        <w:rPr>
          <w:rFonts w:ascii="Verdana" w:hAnsi="Verdana"/>
          <w:sz w:val="18"/>
          <w:szCs w:val="18"/>
        </w:rPr>
      </w:pPr>
    </w:p>
    <w:p w:rsidRPr="00C47325" w:rsidR="00CE333A" w:rsidP="00CE333A" w:rsidRDefault="00CE333A" w14:paraId="79387D74" w14:textId="453B2AB6">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75</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de artikelen 32, vierde lid, onderdeel c en d, en 34, zesde lid, NIS2-richtlijn en ziet op de bevoegdheid van de toezichthouder tot het opleggen van een last onder bestuursdwang aan een essentiële entiteit.</w:t>
      </w:r>
    </w:p>
    <w:p w:rsidRPr="00FF46E3" w:rsidR="009E3901" w:rsidP="009E3901" w:rsidRDefault="009E3901" w14:paraId="129BF774" w14:textId="77777777">
      <w:pPr>
        <w:pStyle w:val="Geenafstand"/>
        <w:rPr>
          <w:rFonts w:ascii="Verdana" w:hAnsi="Verdana" w:cs="EUAlbertina"/>
          <w:sz w:val="18"/>
          <w:szCs w:val="18"/>
        </w:rPr>
      </w:pPr>
    </w:p>
    <w:p w:rsidRPr="00FF46E3" w:rsidR="009E3901" w:rsidP="009E3901" w:rsidRDefault="009E3901" w14:paraId="0470CE86" w14:textId="7DF78DFD">
      <w:pPr>
        <w:pStyle w:val="Geenafstand"/>
        <w:rPr>
          <w:rFonts w:ascii="Verdana" w:hAnsi="Verdana"/>
          <w:sz w:val="18"/>
          <w:szCs w:val="18"/>
        </w:rPr>
      </w:pPr>
      <w:r w:rsidRPr="00FF46E3">
        <w:rPr>
          <w:rFonts w:ascii="Verdana" w:hAnsi="Verdana"/>
          <w:sz w:val="18"/>
          <w:szCs w:val="18"/>
        </w:rPr>
        <w:t xml:space="preserve">Op grond van de artikelen </w:t>
      </w:r>
      <w:r w:rsidR="009975AE">
        <w:rPr>
          <w:rFonts w:ascii="Verdana" w:hAnsi="Verdana"/>
          <w:sz w:val="18"/>
          <w:szCs w:val="18"/>
        </w:rPr>
        <w:t>75</w:t>
      </w:r>
      <w:r w:rsidRPr="00FF46E3" w:rsidR="009975AE">
        <w:rPr>
          <w:rFonts w:ascii="Verdana" w:hAnsi="Verdana"/>
          <w:sz w:val="18"/>
          <w:szCs w:val="18"/>
        </w:rPr>
        <w:t xml:space="preserve"> </w:t>
      </w:r>
      <w:r w:rsidRPr="00FF46E3">
        <w:rPr>
          <w:rFonts w:ascii="Verdana" w:hAnsi="Verdana"/>
          <w:sz w:val="18"/>
          <w:szCs w:val="18"/>
        </w:rPr>
        <w:t xml:space="preserve">en </w:t>
      </w:r>
      <w:r w:rsidR="009975AE">
        <w:rPr>
          <w:rFonts w:ascii="Verdana" w:hAnsi="Verdana"/>
          <w:sz w:val="18"/>
          <w:szCs w:val="18"/>
        </w:rPr>
        <w:t>86</w:t>
      </w:r>
      <w:r w:rsidRPr="00FF46E3" w:rsidR="009975AE">
        <w:rPr>
          <w:rFonts w:ascii="Verdana" w:hAnsi="Verdana"/>
          <w:sz w:val="18"/>
          <w:szCs w:val="18"/>
        </w:rPr>
        <w:t xml:space="preserve"> </w:t>
      </w:r>
      <w:proofErr w:type="spellStart"/>
      <w:r w:rsidRPr="00FF46E3">
        <w:rPr>
          <w:rFonts w:ascii="Verdana" w:hAnsi="Verdana"/>
          <w:sz w:val="18"/>
          <w:szCs w:val="18"/>
        </w:rPr>
        <w:t>Cbw</w:t>
      </w:r>
      <w:proofErr w:type="spellEnd"/>
      <w:r w:rsidRPr="00FF46E3">
        <w:rPr>
          <w:rFonts w:ascii="Verdana" w:hAnsi="Verdana"/>
          <w:sz w:val="18"/>
          <w:szCs w:val="18"/>
        </w:rPr>
        <w:t xml:space="preserve"> is de toezichthoudende instantie bevoegd tot het opleggen van een last onder bestuursdwang ten aanzien van een essentiële entiteit of een belangrijke entiteit. Er zijn situaties denkbaar waarin zij tot het oordeel komt dat deze herstelsanctie de meest passende maatregel betreft, bijvoorbeeld omdat het niet voldoen aan een last onder dwangsom enkel het gevolg heeft dat de dwangsom wordt verbeurd maar de overtreding door de overtreder niet ongedaan kan worden gemaakt</w:t>
      </w:r>
      <w:r w:rsidR="00257527">
        <w:rPr>
          <w:rFonts w:ascii="Verdana" w:hAnsi="Verdana"/>
          <w:sz w:val="18"/>
          <w:szCs w:val="18"/>
        </w:rPr>
        <w:t>.</w:t>
      </w:r>
      <w:r w:rsidRPr="00FF46E3">
        <w:rPr>
          <w:rFonts w:ascii="Verdana" w:hAnsi="Verdana"/>
          <w:sz w:val="18"/>
          <w:szCs w:val="18"/>
        </w:rPr>
        <w:t xml:space="preserve"> Zo is de situatie denkbaar waarin als gevolg van de overtreding van de zorgplicht de continuïteit van de dienstverlening in het geding is en er daardoor aanzienlijke gevolgen zijn voor dienstverlening van de entiteit, met mogelijk maatschappelijke ontwrichting tot gevolg. Een last onder bestuursdwang waarbij de bevoegde autoriteit zelf zorgt voor herstel, kan dan ervoor zorgen dat deze aanzienlijke negatieve gevolgen worden beperkt of voorkomen. Ook kunnen zich situaties voordoen waarin een last onder bestuursdwang de mogelijkheid biedt om de risico’s voor derden als gevolg van een overtreding van bijvoorbeeld de zorgplicht af te wenden. </w:t>
      </w:r>
    </w:p>
    <w:p w:rsidRPr="00FF46E3" w:rsidR="009E3901" w:rsidP="009E3901" w:rsidRDefault="009E3901" w14:paraId="76AF92B0" w14:textId="77777777">
      <w:pPr>
        <w:pStyle w:val="Geenafstand"/>
        <w:rPr>
          <w:rFonts w:ascii="Verdana" w:hAnsi="Verdana"/>
          <w:sz w:val="18"/>
          <w:szCs w:val="18"/>
        </w:rPr>
      </w:pPr>
    </w:p>
    <w:p w:rsidRPr="00FF46E3" w:rsidR="009E3901" w:rsidP="009E3901" w:rsidRDefault="009E3901" w14:paraId="0D3DF916" w14:textId="193AB7D5">
      <w:pPr>
        <w:pStyle w:val="Geenafstand"/>
        <w:rPr>
          <w:rFonts w:ascii="Verdana" w:hAnsi="Verdana"/>
          <w:sz w:val="18"/>
          <w:szCs w:val="18"/>
        </w:rPr>
      </w:pPr>
      <w:r w:rsidRPr="00FF46E3">
        <w:rPr>
          <w:rFonts w:ascii="Verdana" w:hAnsi="Verdana"/>
          <w:sz w:val="18"/>
          <w:szCs w:val="18"/>
        </w:rPr>
        <w:t xml:space="preserve">Op grond van artikel 5:32, eerste lid, </w:t>
      </w:r>
      <w:proofErr w:type="spellStart"/>
      <w:r w:rsidRPr="00FF46E3">
        <w:rPr>
          <w:rFonts w:ascii="Verdana" w:hAnsi="Verdana"/>
          <w:sz w:val="18"/>
          <w:szCs w:val="18"/>
        </w:rPr>
        <w:t>Awb</w:t>
      </w:r>
      <w:proofErr w:type="spellEnd"/>
      <w:r w:rsidRPr="00FF46E3">
        <w:rPr>
          <w:rFonts w:ascii="Verdana" w:hAnsi="Verdana"/>
          <w:sz w:val="18"/>
          <w:szCs w:val="18"/>
        </w:rPr>
        <w:t xml:space="preserve"> is de toezichthoudende instantie bevoegd om in plaats van een last onder bestuursdwang een last onder dwangsom op te leggen.</w:t>
      </w:r>
    </w:p>
    <w:p w:rsidRPr="00C47325" w:rsidR="009E3901" w:rsidP="00CE333A" w:rsidRDefault="009E3901" w14:paraId="512B9125" w14:textId="77777777">
      <w:pPr>
        <w:pStyle w:val="Geenafstand"/>
        <w:rPr>
          <w:rFonts w:ascii="Verdana" w:hAnsi="Verdana"/>
          <w:sz w:val="18"/>
          <w:szCs w:val="18"/>
        </w:rPr>
      </w:pPr>
    </w:p>
    <w:p w:rsidRPr="00C47325" w:rsidR="00CE333A" w:rsidP="00CE333A" w:rsidRDefault="00CE333A" w14:paraId="1B614B95" w14:textId="147953C4">
      <w:pPr>
        <w:pStyle w:val="Geenafstand"/>
        <w:rPr>
          <w:rFonts w:ascii="Verdana" w:hAnsi="Verdana"/>
          <w:b/>
          <w:bCs/>
          <w:sz w:val="18"/>
          <w:szCs w:val="18"/>
        </w:rPr>
      </w:pPr>
      <w:r w:rsidRPr="00C47325">
        <w:rPr>
          <w:rFonts w:ascii="Verdana" w:hAnsi="Verdana"/>
          <w:b/>
          <w:bCs/>
          <w:sz w:val="18"/>
          <w:szCs w:val="18"/>
        </w:rPr>
        <w:t xml:space="preserve">De artikelen </w:t>
      </w:r>
      <w:r w:rsidR="009975AE">
        <w:rPr>
          <w:rFonts w:ascii="Verdana" w:hAnsi="Verdana"/>
          <w:b/>
          <w:bCs/>
          <w:sz w:val="18"/>
          <w:szCs w:val="18"/>
        </w:rPr>
        <w:t>76</w:t>
      </w:r>
      <w:r w:rsidRPr="00C47325" w:rsidR="009975AE">
        <w:rPr>
          <w:rFonts w:ascii="Verdana" w:hAnsi="Verdana"/>
          <w:b/>
          <w:bCs/>
          <w:sz w:val="18"/>
          <w:szCs w:val="18"/>
        </w:rPr>
        <w:t xml:space="preserve"> </w:t>
      </w:r>
      <w:r w:rsidRPr="00C47325">
        <w:rPr>
          <w:rFonts w:ascii="Verdana" w:hAnsi="Verdana"/>
          <w:b/>
          <w:bCs/>
          <w:sz w:val="18"/>
          <w:szCs w:val="18"/>
        </w:rPr>
        <w:t xml:space="preserve">tot en met </w:t>
      </w:r>
      <w:r w:rsidR="009975AE">
        <w:rPr>
          <w:rFonts w:ascii="Verdana" w:hAnsi="Verdana"/>
          <w:b/>
          <w:bCs/>
          <w:sz w:val="18"/>
          <w:szCs w:val="18"/>
        </w:rPr>
        <w:t>78</w:t>
      </w:r>
      <w:r w:rsidRPr="00C47325" w:rsidR="009975AE">
        <w:rPr>
          <w:rFonts w:ascii="Verdana" w:hAnsi="Verdana"/>
          <w:b/>
          <w:bCs/>
          <w:sz w:val="18"/>
          <w:szCs w:val="18"/>
        </w:rPr>
        <w:t xml:space="preserve"> </w:t>
      </w:r>
      <w:r w:rsidRPr="00C47325">
        <w:rPr>
          <w:rFonts w:ascii="Verdana" w:hAnsi="Verdana"/>
          <w:b/>
          <w:bCs/>
          <w:sz w:val="18"/>
          <w:szCs w:val="18"/>
        </w:rPr>
        <w:t xml:space="preserve">(einddatum </w:t>
      </w:r>
      <w:bookmarkStart w:name="_Hlk161748158" w:id="297"/>
      <w:r w:rsidRPr="00C47325" w:rsidR="00640428">
        <w:rPr>
          <w:rFonts w:ascii="Verdana" w:hAnsi="Verdana"/>
          <w:b/>
          <w:bCs/>
          <w:sz w:val="18"/>
          <w:szCs w:val="18"/>
        </w:rPr>
        <w:t xml:space="preserve">beëindiging overtreding, </w:t>
      </w:r>
      <w:bookmarkEnd w:id="297"/>
      <w:r w:rsidRPr="00C47325">
        <w:rPr>
          <w:rFonts w:ascii="Verdana" w:hAnsi="Verdana"/>
          <w:b/>
          <w:bCs/>
          <w:sz w:val="18"/>
          <w:szCs w:val="18"/>
        </w:rPr>
        <w:t>verzoek tot schorsing certificering of vergunning en verzoek tot schorsing leden van het bestuur)</w:t>
      </w:r>
    </w:p>
    <w:p w:rsidRPr="00C47325" w:rsidR="00CE333A" w:rsidP="00CE333A" w:rsidRDefault="00CE333A" w14:paraId="7E9D4E05" w14:textId="77777777">
      <w:pPr>
        <w:pStyle w:val="Geenafstand"/>
        <w:rPr>
          <w:rFonts w:ascii="Verdana" w:hAnsi="Verdana"/>
          <w:sz w:val="18"/>
          <w:szCs w:val="18"/>
        </w:rPr>
      </w:pPr>
    </w:p>
    <w:p w:rsidR="00CE333A" w:rsidP="00CE333A" w:rsidRDefault="00CE333A" w14:paraId="73C70D2D" w14:textId="1198EA84">
      <w:pPr>
        <w:pStyle w:val="Geenafstand"/>
        <w:rPr>
          <w:rFonts w:ascii="Verdana" w:hAnsi="Verdana"/>
          <w:sz w:val="18"/>
          <w:szCs w:val="18"/>
        </w:rPr>
      </w:pPr>
      <w:r w:rsidRPr="00C47325">
        <w:rPr>
          <w:rFonts w:ascii="Verdana" w:hAnsi="Verdana"/>
          <w:sz w:val="18"/>
          <w:szCs w:val="18"/>
        </w:rPr>
        <w:t xml:space="preserve">In de artikelen </w:t>
      </w:r>
      <w:r w:rsidR="009975AE">
        <w:rPr>
          <w:rFonts w:ascii="Verdana" w:hAnsi="Verdana"/>
          <w:sz w:val="18"/>
          <w:szCs w:val="18"/>
        </w:rPr>
        <w:t>76</w:t>
      </w:r>
      <w:r w:rsidRPr="00C47325" w:rsidR="009975AE">
        <w:rPr>
          <w:rFonts w:ascii="Verdana" w:hAnsi="Verdana"/>
          <w:sz w:val="18"/>
          <w:szCs w:val="18"/>
        </w:rPr>
        <w:t xml:space="preserve"> </w:t>
      </w:r>
      <w:r w:rsidRPr="00C47325">
        <w:rPr>
          <w:rFonts w:ascii="Verdana" w:hAnsi="Verdana"/>
          <w:sz w:val="18"/>
          <w:szCs w:val="18"/>
        </w:rPr>
        <w:t xml:space="preserve">tot en met </w:t>
      </w:r>
      <w:r w:rsidR="009975AE">
        <w:rPr>
          <w:rFonts w:ascii="Verdana" w:hAnsi="Verdana"/>
          <w:sz w:val="18"/>
          <w:szCs w:val="18"/>
        </w:rPr>
        <w:t>78</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is artikel 32, vijfde lid, NIS2-richtlijn geïmplementeerd. De hierin opgenomen bevoegdheden van de </w:t>
      </w:r>
      <w:r w:rsidR="00B2192F">
        <w:rPr>
          <w:rFonts w:ascii="Verdana" w:hAnsi="Verdana"/>
          <w:sz w:val="18"/>
          <w:szCs w:val="18"/>
        </w:rPr>
        <w:t>toezichthoudende instantie</w:t>
      </w:r>
      <w:r w:rsidRPr="00C47325" w:rsidR="00B2192F">
        <w:rPr>
          <w:rFonts w:ascii="Verdana" w:hAnsi="Verdana"/>
          <w:sz w:val="18"/>
          <w:szCs w:val="18"/>
        </w:rPr>
        <w:t xml:space="preserve"> </w:t>
      </w:r>
      <w:r w:rsidRPr="00C47325">
        <w:rPr>
          <w:rFonts w:ascii="Verdana" w:hAnsi="Verdana"/>
          <w:sz w:val="18"/>
          <w:szCs w:val="18"/>
        </w:rPr>
        <w:t xml:space="preserve">zijn alleen van toepassing ten aanzien van essentiële entiteiten. Voor een uitgebreide toelichting hierop wordt verwezen naar paragraaf </w:t>
      </w:r>
      <w:r w:rsidR="008B6C06">
        <w:rPr>
          <w:rFonts w:ascii="Verdana" w:hAnsi="Verdana"/>
          <w:sz w:val="18"/>
          <w:szCs w:val="18"/>
        </w:rPr>
        <w:t>5.6.</w:t>
      </w:r>
      <w:r w:rsidR="00D003BE">
        <w:rPr>
          <w:rFonts w:ascii="Verdana" w:hAnsi="Verdana"/>
          <w:sz w:val="18"/>
          <w:szCs w:val="18"/>
        </w:rPr>
        <w:t>5</w:t>
      </w:r>
      <w:r w:rsidRPr="00C47325">
        <w:rPr>
          <w:rFonts w:ascii="Verdana" w:hAnsi="Verdana"/>
          <w:sz w:val="18"/>
          <w:szCs w:val="18"/>
        </w:rPr>
        <w:t xml:space="preserve">. </w:t>
      </w:r>
    </w:p>
    <w:p w:rsidR="00A9614C" w:rsidP="00CE333A" w:rsidRDefault="00A9614C" w14:paraId="7AE127A9" w14:textId="77777777">
      <w:pPr>
        <w:pStyle w:val="Geenafstand"/>
        <w:rPr>
          <w:rFonts w:ascii="Verdana" w:hAnsi="Verdana"/>
          <w:sz w:val="18"/>
          <w:szCs w:val="18"/>
        </w:rPr>
      </w:pPr>
    </w:p>
    <w:p w:rsidRPr="00BD3C4A" w:rsidR="00D0002B" w:rsidP="00D0002B" w:rsidRDefault="00D0002B" w14:paraId="392B545F" w14:textId="1728E6BC">
      <w:pPr>
        <w:pStyle w:val="Geenafstand"/>
        <w:rPr>
          <w:rFonts w:ascii="Verdana" w:hAnsi="Verdana"/>
          <w:b/>
          <w:bCs/>
          <w:sz w:val="18"/>
          <w:szCs w:val="18"/>
        </w:rPr>
      </w:pPr>
      <w:r w:rsidRPr="00BD3C4A">
        <w:rPr>
          <w:rFonts w:ascii="Verdana" w:hAnsi="Verdana"/>
          <w:b/>
          <w:bCs/>
          <w:sz w:val="18"/>
          <w:szCs w:val="18"/>
        </w:rPr>
        <w:t xml:space="preserve">Artikel </w:t>
      </w:r>
      <w:r w:rsidR="009975AE">
        <w:rPr>
          <w:rFonts w:ascii="Verdana" w:hAnsi="Verdana"/>
          <w:b/>
          <w:bCs/>
          <w:sz w:val="18"/>
          <w:szCs w:val="18"/>
        </w:rPr>
        <w:t>79</w:t>
      </w:r>
      <w:r w:rsidRPr="00BD3C4A" w:rsidR="009975AE">
        <w:rPr>
          <w:rFonts w:ascii="Verdana" w:hAnsi="Verdana"/>
          <w:b/>
          <w:bCs/>
          <w:sz w:val="18"/>
          <w:szCs w:val="18"/>
        </w:rPr>
        <w:t xml:space="preserve"> </w:t>
      </w:r>
      <w:r w:rsidRPr="00BD3C4A">
        <w:rPr>
          <w:rFonts w:ascii="Verdana" w:hAnsi="Verdana"/>
          <w:b/>
          <w:bCs/>
          <w:sz w:val="18"/>
          <w:szCs w:val="18"/>
        </w:rPr>
        <w:t>(uitzondering voor overheidsinstanties)</w:t>
      </w:r>
    </w:p>
    <w:p w:rsidR="00A9614C" w:rsidP="00CE333A" w:rsidRDefault="00A9614C" w14:paraId="70DCF297" w14:textId="77777777">
      <w:pPr>
        <w:pStyle w:val="Geenafstand"/>
        <w:rPr>
          <w:rFonts w:ascii="Verdana" w:hAnsi="Verdana"/>
          <w:sz w:val="18"/>
          <w:szCs w:val="18"/>
        </w:rPr>
      </w:pPr>
    </w:p>
    <w:p w:rsidRPr="00A9614C" w:rsidR="00A9614C" w:rsidP="00CE333A" w:rsidRDefault="00A9614C" w14:paraId="031D5E81" w14:textId="4612A6A4">
      <w:pPr>
        <w:pStyle w:val="Geenafstand"/>
        <w:rPr>
          <w:rFonts w:ascii="Verdana" w:hAnsi="Verdana"/>
          <w:sz w:val="18"/>
          <w:szCs w:val="18"/>
        </w:rPr>
      </w:pPr>
      <w:r>
        <w:rPr>
          <w:rFonts w:ascii="Verdana" w:hAnsi="Verdana"/>
          <w:sz w:val="18"/>
          <w:szCs w:val="18"/>
        </w:rPr>
        <w:t xml:space="preserve">Artikel </w:t>
      </w:r>
      <w:r w:rsidR="009975AE">
        <w:rPr>
          <w:rFonts w:ascii="Verdana" w:hAnsi="Verdana"/>
          <w:sz w:val="18"/>
          <w:szCs w:val="18"/>
        </w:rPr>
        <w:t xml:space="preserve">79 </w:t>
      </w:r>
      <w:proofErr w:type="spellStart"/>
      <w:r>
        <w:rPr>
          <w:rFonts w:ascii="Verdana" w:hAnsi="Verdana"/>
          <w:sz w:val="18"/>
          <w:szCs w:val="18"/>
        </w:rPr>
        <w:t>Cbw</w:t>
      </w:r>
      <w:proofErr w:type="spellEnd"/>
      <w:r>
        <w:rPr>
          <w:rFonts w:ascii="Verdana" w:hAnsi="Verdana"/>
          <w:sz w:val="18"/>
          <w:szCs w:val="18"/>
        </w:rPr>
        <w:t xml:space="preserve"> strekt tot de implementatie van artikel 32, vijfde lid, laatste zin, NIS2-richtlijn. </w:t>
      </w:r>
    </w:p>
    <w:p w:rsidRPr="00C47325" w:rsidR="00CE333A" w:rsidP="00CE333A" w:rsidRDefault="00CE333A" w14:paraId="36515ED3" w14:textId="77777777">
      <w:pPr>
        <w:pStyle w:val="Geenafstand"/>
        <w:rPr>
          <w:rFonts w:ascii="Verdana" w:hAnsi="Verdana"/>
          <w:sz w:val="18"/>
          <w:szCs w:val="18"/>
        </w:rPr>
      </w:pPr>
    </w:p>
    <w:p w:rsidRPr="00BD3C4A" w:rsidR="00D0002B" w:rsidP="00D0002B" w:rsidRDefault="00D0002B" w14:paraId="1360C78F" w14:textId="0E35D82A">
      <w:pPr>
        <w:pStyle w:val="Geenafstand"/>
        <w:rPr>
          <w:rFonts w:ascii="Verdana" w:hAnsi="Verdana"/>
          <w:b/>
          <w:bCs/>
          <w:sz w:val="18"/>
          <w:szCs w:val="18"/>
        </w:rPr>
      </w:pPr>
      <w:bookmarkStart w:name="_Hlk148275611" w:id="298"/>
      <w:r w:rsidRPr="00BD3C4A">
        <w:rPr>
          <w:rFonts w:ascii="Verdana" w:hAnsi="Verdana"/>
          <w:b/>
          <w:bCs/>
          <w:sz w:val="18"/>
          <w:szCs w:val="18"/>
        </w:rPr>
        <w:t xml:space="preserve">Artikel </w:t>
      </w:r>
      <w:r w:rsidR="009975AE">
        <w:rPr>
          <w:rFonts w:ascii="Verdana" w:hAnsi="Verdana"/>
          <w:b/>
          <w:bCs/>
          <w:sz w:val="18"/>
          <w:szCs w:val="18"/>
        </w:rPr>
        <w:t>80</w:t>
      </w:r>
      <w:r w:rsidRPr="00BD3C4A" w:rsidR="009975AE">
        <w:rPr>
          <w:rFonts w:ascii="Verdana" w:hAnsi="Verdana"/>
          <w:b/>
          <w:bCs/>
          <w:sz w:val="18"/>
          <w:szCs w:val="18"/>
        </w:rPr>
        <w:t xml:space="preserve"> </w:t>
      </w:r>
      <w:r w:rsidRPr="00BD3C4A">
        <w:rPr>
          <w:rFonts w:ascii="Verdana" w:hAnsi="Verdana"/>
          <w:b/>
          <w:bCs/>
          <w:sz w:val="18"/>
          <w:szCs w:val="18"/>
        </w:rPr>
        <w:t>(bestuurlijke boete)</w:t>
      </w:r>
    </w:p>
    <w:p w:rsidRPr="00C47325" w:rsidR="00CE333A" w:rsidP="00CE333A" w:rsidRDefault="00CE333A" w14:paraId="6D7FE388" w14:textId="77777777">
      <w:pPr>
        <w:pStyle w:val="Geenafstand"/>
        <w:rPr>
          <w:rFonts w:ascii="Verdana" w:hAnsi="Verdana"/>
          <w:sz w:val="18"/>
          <w:szCs w:val="18"/>
        </w:rPr>
      </w:pPr>
    </w:p>
    <w:p w:rsidRPr="00C47325" w:rsidR="00CE333A" w:rsidP="00CE333A" w:rsidRDefault="00CE333A" w14:paraId="5E48C055" w14:textId="51B2B27D">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80</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betreft de implementatie van de artikelen 32, vierde lid, onderdeel i, en 34, tweede en vierde lid, NIS2-richtlijn en ziet op de bevoegdheid van de </w:t>
      </w:r>
      <w:r w:rsidR="00B2192F">
        <w:rPr>
          <w:rFonts w:ascii="Verdana" w:hAnsi="Verdana"/>
          <w:sz w:val="18"/>
          <w:szCs w:val="18"/>
        </w:rPr>
        <w:t>toezichthoudende instantie</w:t>
      </w:r>
      <w:r w:rsidRPr="00C47325" w:rsidDel="00B2192F" w:rsidR="00B2192F">
        <w:rPr>
          <w:rFonts w:ascii="Verdana" w:hAnsi="Verdana"/>
          <w:sz w:val="18"/>
          <w:szCs w:val="18"/>
        </w:rPr>
        <w:t xml:space="preserve"> </w:t>
      </w:r>
      <w:r w:rsidRPr="00C47325">
        <w:rPr>
          <w:rFonts w:ascii="Verdana" w:hAnsi="Verdana"/>
          <w:sz w:val="18"/>
          <w:szCs w:val="18"/>
        </w:rPr>
        <w:t xml:space="preserve">om een bestuurlijke boete op te leggen aan een essentiële entiteit. </w:t>
      </w:r>
      <w:r w:rsidR="008B6C06">
        <w:rPr>
          <w:rFonts w:ascii="Verdana" w:hAnsi="Verdana"/>
          <w:sz w:val="18"/>
          <w:szCs w:val="18"/>
        </w:rPr>
        <w:t>Voor een uitgebreide toelichting op deze bevoegdheid wordt verwezen naar paragraaf 5.6.</w:t>
      </w:r>
      <w:r w:rsidR="00D003BE">
        <w:rPr>
          <w:rFonts w:ascii="Verdana" w:hAnsi="Verdana"/>
          <w:sz w:val="18"/>
          <w:szCs w:val="18"/>
        </w:rPr>
        <w:t>6</w:t>
      </w:r>
      <w:r w:rsidR="008B6C06">
        <w:rPr>
          <w:rFonts w:ascii="Verdana" w:hAnsi="Verdana"/>
          <w:sz w:val="18"/>
          <w:szCs w:val="18"/>
        </w:rPr>
        <w:t>.</w:t>
      </w:r>
      <w:r w:rsidRPr="00C47325">
        <w:rPr>
          <w:rFonts w:ascii="Verdana" w:hAnsi="Verdana"/>
          <w:sz w:val="18"/>
          <w:szCs w:val="18"/>
        </w:rPr>
        <w:t xml:space="preserve"> </w:t>
      </w:r>
    </w:p>
    <w:p w:rsidRPr="00C47325" w:rsidR="00CE333A" w:rsidP="00CE333A" w:rsidRDefault="00CE333A" w14:paraId="28075452" w14:textId="77777777">
      <w:pPr>
        <w:pStyle w:val="Geenafstand"/>
        <w:rPr>
          <w:rFonts w:ascii="Verdana" w:hAnsi="Verdana"/>
          <w:sz w:val="18"/>
          <w:szCs w:val="18"/>
        </w:rPr>
      </w:pPr>
    </w:p>
    <w:bookmarkEnd w:id="298"/>
    <w:p w:rsidRPr="00BD3C4A" w:rsidR="00D0002B" w:rsidP="00D0002B" w:rsidRDefault="00D0002B" w14:paraId="661BF9FB" w14:textId="2C571396">
      <w:pPr>
        <w:pStyle w:val="Geenafstand"/>
        <w:rPr>
          <w:rFonts w:ascii="Verdana" w:hAnsi="Verdana" w:cs="Arial"/>
          <w:b/>
          <w:bCs/>
          <w:sz w:val="18"/>
          <w:szCs w:val="18"/>
        </w:rPr>
      </w:pPr>
      <w:r w:rsidRPr="00BD3C4A">
        <w:rPr>
          <w:rFonts w:ascii="Verdana" w:hAnsi="Verdana" w:cs="Arial"/>
          <w:b/>
          <w:bCs/>
          <w:sz w:val="18"/>
          <w:szCs w:val="18"/>
        </w:rPr>
        <w:t xml:space="preserve">Artikel </w:t>
      </w:r>
      <w:r w:rsidR="009975AE">
        <w:rPr>
          <w:rFonts w:ascii="Verdana" w:hAnsi="Verdana" w:cs="Arial"/>
          <w:b/>
          <w:bCs/>
          <w:sz w:val="18"/>
          <w:szCs w:val="18"/>
        </w:rPr>
        <w:t>81</w:t>
      </w:r>
      <w:r w:rsidRPr="00BD3C4A" w:rsidR="009975AE">
        <w:rPr>
          <w:rFonts w:ascii="Verdana" w:hAnsi="Verdana" w:cs="Arial"/>
          <w:b/>
          <w:bCs/>
          <w:sz w:val="18"/>
          <w:szCs w:val="18"/>
        </w:rPr>
        <w:t xml:space="preserve"> </w:t>
      </w:r>
      <w:r w:rsidRPr="00BD3C4A">
        <w:rPr>
          <w:rFonts w:ascii="Verdana" w:hAnsi="Verdana" w:cs="Arial"/>
          <w:b/>
          <w:bCs/>
          <w:sz w:val="18"/>
          <w:szCs w:val="18"/>
        </w:rPr>
        <w:t>(reikwijdte)</w:t>
      </w:r>
    </w:p>
    <w:p w:rsidRPr="00C47325" w:rsidR="00CE333A" w:rsidP="00CE333A" w:rsidRDefault="00CE333A" w14:paraId="31183ED8" w14:textId="77777777">
      <w:pPr>
        <w:pStyle w:val="Geenafstand"/>
        <w:rPr>
          <w:rFonts w:ascii="Verdana" w:hAnsi="Verdana"/>
          <w:sz w:val="18"/>
          <w:szCs w:val="18"/>
        </w:rPr>
      </w:pPr>
    </w:p>
    <w:p w:rsidRPr="00C47325" w:rsidR="00CE333A" w:rsidP="00CE333A" w:rsidRDefault="00CE333A" w14:paraId="0A2FA6B5" w14:textId="7315E915">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81</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artikel 33, eerste lid, NIS2-richtlijn en maakt een belangrijk onderscheid tussen het toezicht op essentiële entiteit</w:t>
      </w:r>
      <w:r w:rsidR="00A9614C">
        <w:rPr>
          <w:rFonts w:ascii="Verdana" w:hAnsi="Verdana"/>
          <w:sz w:val="18"/>
          <w:szCs w:val="18"/>
        </w:rPr>
        <w:t>en</w:t>
      </w:r>
      <w:r w:rsidRPr="00C47325">
        <w:rPr>
          <w:rFonts w:ascii="Verdana" w:hAnsi="Verdana"/>
          <w:sz w:val="18"/>
          <w:szCs w:val="18"/>
        </w:rPr>
        <w:t xml:space="preserve"> en dat op belangrijke entiteiten. Paragraaf </w:t>
      </w:r>
      <w:r w:rsidR="008B6C06">
        <w:rPr>
          <w:rFonts w:ascii="Verdana" w:hAnsi="Verdana"/>
          <w:sz w:val="18"/>
          <w:szCs w:val="18"/>
        </w:rPr>
        <w:t>5.6.</w:t>
      </w:r>
      <w:r w:rsidR="003C6F3B">
        <w:rPr>
          <w:rFonts w:ascii="Verdana" w:hAnsi="Verdana"/>
          <w:sz w:val="18"/>
          <w:szCs w:val="18"/>
        </w:rPr>
        <w:t>3</w:t>
      </w:r>
      <w:r w:rsidR="00877E93">
        <w:rPr>
          <w:rFonts w:ascii="Verdana" w:hAnsi="Verdana"/>
          <w:sz w:val="18"/>
          <w:szCs w:val="18"/>
        </w:rPr>
        <w:t xml:space="preserve"> </w:t>
      </w:r>
      <w:r w:rsidRPr="00C47325">
        <w:rPr>
          <w:rFonts w:ascii="Verdana" w:hAnsi="Verdana"/>
          <w:sz w:val="18"/>
          <w:szCs w:val="18"/>
        </w:rPr>
        <w:t>gaat hier nader op in.</w:t>
      </w:r>
    </w:p>
    <w:p w:rsidRPr="00C47325" w:rsidR="00CE333A" w:rsidP="00CE333A" w:rsidRDefault="00CE333A" w14:paraId="611B371B" w14:textId="77777777">
      <w:pPr>
        <w:pStyle w:val="Geenafstand"/>
        <w:rPr>
          <w:rFonts w:ascii="Verdana" w:hAnsi="Verdana"/>
          <w:sz w:val="18"/>
          <w:szCs w:val="18"/>
        </w:rPr>
      </w:pPr>
    </w:p>
    <w:p w:rsidRPr="00BD3C4A" w:rsidR="00D0002B" w:rsidP="00D0002B" w:rsidRDefault="00D0002B" w14:paraId="78B75968" w14:textId="4D306E0A">
      <w:pPr>
        <w:pStyle w:val="Geenafstand"/>
        <w:rPr>
          <w:rFonts w:ascii="Verdana" w:hAnsi="Verdana"/>
          <w:b/>
          <w:bCs/>
          <w:sz w:val="18"/>
          <w:szCs w:val="18"/>
        </w:rPr>
      </w:pPr>
      <w:r w:rsidRPr="00BD3C4A">
        <w:rPr>
          <w:rFonts w:ascii="Verdana" w:hAnsi="Verdana"/>
          <w:b/>
          <w:bCs/>
          <w:sz w:val="18"/>
          <w:szCs w:val="18"/>
        </w:rPr>
        <w:t xml:space="preserve">Artikel </w:t>
      </w:r>
      <w:r w:rsidR="009975AE">
        <w:rPr>
          <w:rFonts w:ascii="Verdana" w:hAnsi="Verdana"/>
          <w:b/>
          <w:bCs/>
          <w:sz w:val="18"/>
          <w:szCs w:val="18"/>
        </w:rPr>
        <w:t>82</w:t>
      </w:r>
      <w:r w:rsidRPr="00BD3C4A" w:rsidR="009975AE">
        <w:rPr>
          <w:rFonts w:ascii="Verdana" w:hAnsi="Verdana"/>
          <w:b/>
          <w:bCs/>
          <w:sz w:val="18"/>
          <w:szCs w:val="18"/>
        </w:rPr>
        <w:t xml:space="preserve"> </w:t>
      </w:r>
      <w:r w:rsidRPr="00BD3C4A">
        <w:rPr>
          <w:rFonts w:ascii="Verdana" w:hAnsi="Verdana"/>
          <w:b/>
          <w:bCs/>
          <w:sz w:val="18"/>
          <w:szCs w:val="18"/>
        </w:rPr>
        <w:t>(beveiligingsscan)</w:t>
      </w:r>
    </w:p>
    <w:p w:rsidRPr="00C47325" w:rsidR="00CE333A" w:rsidP="00CE333A" w:rsidRDefault="00CE333A" w14:paraId="55FFFB45" w14:textId="77777777">
      <w:pPr>
        <w:pStyle w:val="Geenafstand"/>
        <w:rPr>
          <w:rFonts w:ascii="Verdana" w:hAnsi="Verdana"/>
          <w:sz w:val="18"/>
          <w:szCs w:val="18"/>
        </w:rPr>
      </w:pPr>
    </w:p>
    <w:p w:rsidRPr="00C47325" w:rsidR="00CE333A" w:rsidP="00CE333A" w:rsidRDefault="00CE333A" w14:paraId="58577509" w14:textId="2A9BBA0D">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82</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artikel 33, tweede lid, onderdeel c, NIS2-richtlijn en ziet op de bevoegdheid van de </w:t>
      </w:r>
      <w:r w:rsidR="00B2192F">
        <w:rPr>
          <w:rFonts w:ascii="Verdana" w:hAnsi="Verdana"/>
          <w:sz w:val="18"/>
          <w:szCs w:val="18"/>
        </w:rPr>
        <w:t>toezichthoudende instantie</w:t>
      </w:r>
      <w:r w:rsidRPr="00C47325" w:rsidDel="00B2192F" w:rsidR="00B2192F">
        <w:rPr>
          <w:rFonts w:ascii="Verdana" w:hAnsi="Verdana"/>
          <w:sz w:val="18"/>
          <w:szCs w:val="18"/>
        </w:rPr>
        <w:t xml:space="preserve"> </w:t>
      </w:r>
      <w:r w:rsidRPr="00C47325">
        <w:rPr>
          <w:rFonts w:ascii="Verdana" w:hAnsi="Verdana"/>
          <w:sz w:val="18"/>
          <w:szCs w:val="18"/>
        </w:rPr>
        <w:t xml:space="preserve">om een beveiligingsscan uit te voeren of uit te laten voeren bij een belangrijke entiteit. </w:t>
      </w:r>
      <w:r w:rsidR="00F43FEC">
        <w:rPr>
          <w:rFonts w:ascii="Verdana" w:hAnsi="Verdana"/>
          <w:sz w:val="18"/>
          <w:szCs w:val="18"/>
        </w:rPr>
        <w:t xml:space="preserve">Voor een toelichting op dit instrument wordt verwezen naar de artikelsgewijze toelichting </w:t>
      </w:r>
      <w:r w:rsidR="00204DD1">
        <w:rPr>
          <w:rFonts w:ascii="Verdana" w:hAnsi="Verdana"/>
          <w:sz w:val="18"/>
          <w:szCs w:val="18"/>
        </w:rPr>
        <w:t xml:space="preserve">op </w:t>
      </w:r>
      <w:r w:rsidR="00F43FEC">
        <w:rPr>
          <w:rFonts w:ascii="Verdana" w:hAnsi="Verdana"/>
          <w:sz w:val="18"/>
          <w:szCs w:val="18"/>
        </w:rPr>
        <w:t xml:space="preserve">artikel </w:t>
      </w:r>
      <w:r w:rsidR="00F64E49">
        <w:rPr>
          <w:rFonts w:ascii="Verdana" w:hAnsi="Verdana"/>
          <w:sz w:val="18"/>
          <w:szCs w:val="18"/>
        </w:rPr>
        <w:t xml:space="preserve">71 </w:t>
      </w:r>
      <w:proofErr w:type="spellStart"/>
      <w:r w:rsidR="00F43FEC">
        <w:rPr>
          <w:rFonts w:ascii="Verdana" w:hAnsi="Verdana"/>
          <w:sz w:val="18"/>
          <w:szCs w:val="18"/>
        </w:rPr>
        <w:t>Cbw</w:t>
      </w:r>
      <w:proofErr w:type="spellEnd"/>
      <w:r w:rsidR="00F43FEC">
        <w:rPr>
          <w:rFonts w:ascii="Verdana" w:hAnsi="Verdana"/>
          <w:sz w:val="18"/>
          <w:szCs w:val="18"/>
        </w:rPr>
        <w:t xml:space="preserve">. </w:t>
      </w:r>
    </w:p>
    <w:p w:rsidRPr="00C47325" w:rsidR="00CE333A" w:rsidP="00CE333A" w:rsidRDefault="00CE333A" w14:paraId="2E31B47C" w14:textId="77777777">
      <w:pPr>
        <w:pStyle w:val="Geenafstand"/>
        <w:rPr>
          <w:rFonts w:ascii="Verdana" w:hAnsi="Verdana"/>
          <w:b/>
          <w:bCs/>
          <w:sz w:val="18"/>
          <w:szCs w:val="18"/>
        </w:rPr>
      </w:pPr>
    </w:p>
    <w:p w:rsidRPr="00BD3C4A" w:rsidR="00D0002B" w:rsidP="00D0002B" w:rsidRDefault="00D0002B" w14:paraId="65B69C88" w14:textId="26EABB2F">
      <w:pPr>
        <w:pStyle w:val="Geenafstand"/>
        <w:rPr>
          <w:rFonts w:ascii="Verdana" w:hAnsi="Verdana"/>
          <w:b/>
          <w:bCs/>
          <w:sz w:val="18"/>
          <w:szCs w:val="18"/>
        </w:rPr>
      </w:pPr>
      <w:r w:rsidRPr="00BD3C4A">
        <w:rPr>
          <w:rFonts w:ascii="Verdana" w:hAnsi="Verdana"/>
          <w:b/>
          <w:bCs/>
          <w:sz w:val="18"/>
          <w:szCs w:val="18"/>
        </w:rPr>
        <w:t xml:space="preserve">Artikel </w:t>
      </w:r>
      <w:r w:rsidR="009975AE">
        <w:rPr>
          <w:rFonts w:ascii="Verdana" w:hAnsi="Verdana"/>
          <w:b/>
          <w:bCs/>
          <w:sz w:val="18"/>
          <w:szCs w:val="18"/>
        </w:rPr>
        <w:t>83</w:t>
      </w:r>
      <w:r w:rsidRPr="00BD3C4A" w:rsidR="009975AE">
        <w:rPr>
          <w:rFonts w:ascii="Verdana" w:hAnsi="Verdana"/>
          <w:b/>
          <w:bCs/>
          <w:sz w:val="18"/>
          <w:szCs w:val="18"/>
        </w:rPr>
        <w:t xml:space="preserve"> </w:t>
      </w:r>
      <w:r w:rsidRPr="00BD3C4A">
        <w:rPr>
          <w:rFonts w:ascii="Verdana" w:hAnsi="Verdana"/>
          <w:b/>
          <w:bCs/>
          <w:sz w:val="18"/>
          <w:szCs w:val="18"/>
        </w:rPr>
        <w:t>(audit)</w:t>
      </w:r>
    </w:p>
    <w:p w:rsidRPr="00C47325" w:rsidR="00CE333A" w:rsidP="00CE333A" w:rsidRDefault="00CE333A" w14:paraId="6117B44F" w14:textId="77777777">
      <w:pPr>
        <w:pStyle w:val="Geenafstand"/>
        <w:rPr>
          <w:rFonts w:ascii="Verdana" w:hAnsi="Verdana"/>
          <w:b/>
          <w:bCs/>
          <w:sz w:val="18"/>
          <w:szCs w:val="18"/>
        </w:rPr>
      </w:pPr>
    </w:p>
    <w:p w:rsidR="00CE333A" w:rsidP="00CE333A" w:rsidRDefault="00A9614C" w14:paraId="656D3129" w14:textId="43290E58">
      <w:pPr>
        <w:pStyle w:val="Geenafstand"/>
        <w:rPr>
          <w:rFonts w:ascii="Verdana" w:hAnsi="Verdana"/>
          <w:sz w:val="18"/>
          <w:szCs w:val="18"/>
        </w:rPr>
      </w:pPr>
      <w:r>
        <w:rPr>
          <w:rFonts w:ascii="Verdana" w:hAnsi="Verdana"/>
          <w:sz w:val="18"/>
          <w:szCs w:val="18"/>
        </w:rPr>
        <w:t xml:space="preserve">Artikel </w:t>
      </w:r>
      <w:r w:rsidR="009975AE">
        <w:rPr>
          <w:rFonts w:ascii="Verdana" w:hAnsi="Verdana"/>
          <w:sz w:val="18"/>
          <w:szCs w:val="18"/>
        </w:rPr>
        <w:t xml:space="preserve">83 </w:t>
      </w:r>
      <w:proofErr w:type="spellStart"/>
      <w:r>
        <w:rPr>
          <w:rFonts w:ascii="Verdana" w:hAnsi="Verdana"/>
          <w:sz w:val="18"/>
          <w:szCs w:val="18"/>
        </w:rPr>
        <w:t>Cbw</w:t>
      </w:r>
      <w:proofErr w:type="spellEnd"/>
      <w:r>
        <w:rPr>
          <w:rFonts w:ascii="Verdana" w:hAnsi="Verdana"/>
          <w:sz w:val="18"/>
          <w:szCs w:val="18"/>
        </w:rPr>
        <w:t xml:space="preserve"> gaat over de bevoegdheid van de toezichthoudende instantie om een belangrijke entiteit te verplichten tot het uitvoeren van een audit. </w:t>
      </w:r>
      <w:r w:rsidRPr="00C47325" w:rsidR="00CE333A">
        <w:rPr>
          <w:rFonts w:ascii="Verdana" w:hAnsi="Verdana"/>
          <w:sz w:val="18"/>
          <w:szCs w:val="18"/>
        </w:rPr>
        <w:t xml:space="preserve">Artikel </w:t>
      </w:r>
      <w:r w:rsidR="009975AE">
        <w:rPr>
          <w:rFonts w:ascii="Verdana" w:hAnsi="Verdana"/>
          <w:sz w:val="18"/>
          <w:szCs w:val="18"/>
        </w:rPr>
        <w:t>83</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sidR="00CE333A">
        <w:rPr>
          <w:rFonts w:ascii="Verdana" w:hAnsi="Verdana"/>
          <w:sz w:val="18"/>
          <w:szCs w:val="18"/>
        </w:rPr>
        <w:t xml:space="preserve"> implementeert artikel 33, tweede lid, onderdelen b en f, een na laatste en laatste alinea, en artikel 33, vierde lid, onderdeel f, NIS2-richtlijn. </w:t>
      </w:r>
    </w:p>
    <w:p w:rsidR="00A24F67" w:rsidP="00CE333A" w:rsidRDefault="00A24F67" w14:paraId="3C572C4B" w14:textId="77777777">
      <w:pPr>
        <w:pStyle w:val="Geenafstand"/>
        <w:rPr>
          <w:rFonts w:ascii="Verdana" w:hAnsi="Verdana"/>
          <w:sz w:val="18"/>
          <w:szCs w:val="18"/>
        </w:rPr>
      </w:pPr>
    </w:p>
    <w:p w:rsidRPr="00FF46E3" w:rsidR="00A24F67" w:rsidP="00A24F67" w:rsidRDefault="00A24F67" w14:paraId="69E5F066" w14:textId="6891C59B">
      <w:pPr>
        <w:pStyle w:val="Geenafstand"/>
        <w:rPr>
          <w:rFonts w:ascii="Verdana" w:hAnsi="Verdana"/>
          <w:sz w:val="18"/>
          <w:szCs w:val="18"/>
        </w:rPr>
      </w:pPr>
      <w:r w:rsidRPr="00FF46E3">
        <w:rPr>
          <w:rFonts w:ascii="Verdana" w:hAnsi="Verdana"/>
          <w:sz w:val="18"/>
          <w:szCs w:val="18"/>
        </w:rPr>
        <w:t>Bij een audit onderzoekt een onafhankelijke en gekwalificeerde deskundige de opzet en werking van de door de entiteit genomen beheers- of beveiligingsmaatre</w:t>
      </w:r>
      <w:r w:rsidR="00492B1D">
        <w:rPr>
          <w:rFonts w:ascii="Verdana" w:hAnsi="Verdana"/>
          <w:sz w:val="18"/>
          <w:szCs w:val="18"/>
        </w:rPr>
        <w:t>ge</w:t>
      </w:r>
      <w:r w:rsidRPr="00FF46E3">
        <w:rPr>
          <w:rFonts w:ascii="Verdana" w:hAnsi="Verdana"/>
          <w:sz w:val="18"/>
          <w:szCs w:val="18"/>
        </w:rPr>
        <w:t xml:space="preserve">len. De audit verschaft daarmee aanvullende inzichten voor de toezichthoudende instantie om te kunnen controleren in welke mate de entiteit voldoet aan </w:t>
      </w:r>
      <w:r w:rsidR="00C5392C">
        <w:rPr>
          <w:rFonts w:ascii="Verdana" w:hAnsi="Verdana"/>
          <w:sz w:val="18"/>
          <w:szCs w:val="18"/>
        </w:rPr>
        <w:t xml:space="preserve">de verplichtingen uit de </w:t>
      </w:r>
      <w:proofErr w:type="spellStart"/>
      <w:r w:rsidR="00C5392C">
        <w:rPr>
          <w:rFonts w:ascii="Verdana" w:hAnsi="Verdana"/>
          <w:sz w:val="18"/>
          <w:szCs w:val="18"/>
        </w:rPr>
        <w:t>Cbw</w:t>
      </w:r>
      <w:proofErr w:type="spellEnd"/>
      <w:r w:rsidRPr="00FF46E3">
        <w:rPr>
          <w:rFonts w:ascii="Verdana" w:hAnsi="Verdana"/>
          <w:sz w:val="18"/>
          <w:szCs w:val="18"/>
        </w:rPr>
        <w:t>.</w:t>
      </w:r>
      <w:r w:rsidR="00C5392C">
        <w:rPr>
          <w:rStyle w:val="Voetnootmarkering"/>
          <w:rFonts w:ascii="Verdana" w:hAnsi="Verdana"/>
          <w:sz w:val="18"/>
          <w:szCs w:val="18"/>
        </w:rPr>
        <w:footnoteReference w:id="103"/>
      </w:r>
      <w:r w:rsidRPr="00FF46E3" w:rsidR="00C5392C">
        <w:rPr>
          <w:rFonts w:ascii="Verdana" w:hAnsi="Verdana"/>
          <w:sz w:val="18"/>
          <w:szCs w:val="18"/>
        </w:rPr>
        <w:t xml:space="preserve"> </w:t>
      </w:r>
      <w:r w:rsidRPr="00FF46E3">
        <w:rPr>
          <w:rFonts w:ascii="Verdana" w:hAnsi="Verdana"/>
          <w:sz w:val="18"/>
          <w:szCs w:val="18"/>
        </w:rPr>
        <w:t xml:space="preserve">Ook geeft de audit de toezichthoudende instantie inzicht in welke mate de entiteit </w:t>
      </w:r>
      <w:r w:rsidRPr="001F2694">
        <w:rPr>
          <w:rFonts w:ascii="Verdana" w:hAnsi="Verdana"/>
          <w:i/>
          <w:iCs/>
          <w:sz w:val="18"/>
          <w:szCs w:val="18"/>
        </w:rPr>
        <w:t>in control</w:t>
      </w:r>
      <w:r w:rsidRPr="00FF46E3">
        <w:rPr>
          <w:rFonts w:ascii="Verdana" w:hAnsi="Verdana"/>
          <w:sz w:val="18"/>
          <w:szCs w:val="18"/>
        </w:rPr>
        <w:t xml:space="preserve"> is ten aanzien van het nemen van adequate beheers- of beveiligingsmaatregelen. De audit kan betrekking hebben op de gehele entiteit of specifieke processen binnen de entiteit. </w:t>
      </w:r>
    </w:p>
    <w:p w:rsidR="00A24F67" w:rsidP="00A24F67" w:rsidRDefault="00A24F67" w14:paraId="2811CC0C" w14:textId="77777777">
      <w:pPr>
        <w:pStyle w:val="Geenafstand"/>
        <w:rPr>
          <w:rFonts w:ascii="Verdana" w:hAnsi="Verdana"/>
          <w:sz w:val="18"/>
          <w:szCs w:val="18"/>
        </w:rPr>
      </w:pPr>
    </w:p>
    <w:p w:rsidRPr="00877E93" w:rsidR="00A24F67" w:rsidP="00CE333A" w:rsidRDefault="00A24F67" w14:paraId="2A2512DE" w14:textId="412F459F">
      <w:pPr>
        <w:pStyle w:val="Geenafstand"/>
        <w:rPr>
          <w:rFonts w:ascii="Verdana" w:hAnsi="Verdana"/>
          <w:b/>
          <w:bCs/>
          <w:sz w:val="18"/>
          <w:szCs w:val="18"/>
        </w:rPr>
      </w:pPr>
      <w:r>
        <w:rPr>
          <w:rFonts w:ascii="Verdana" w:hAnsi="Verdana"/>
          <w:sz w:val="18"/>
          <w:szCs w:val="18"/>
        </w:rPr>
        <w:t xml:space="preserve">In artikel </w:t>
      </w:r>
      <w:r w:rsidR="009975AE">
        <w:rPr>
          <w:rFonts w:ascii="Verdana" w:hAnsi="Verdana"/>
          <w:sz w:val="18"/>
          <w:szCs w:val="18"/>
        </w:rPr>
        <w:t>83</w:t>
      </w:r>
      <w:r>
        <w:rPr>
          <w:rFonts w:ascii="Verdana" w:hAnsi="Verdana"/>
          <w:sz w:val="18"/>
          <w:szCs w:val="18"/>
        </w:rPr>
        <w:t xml:space="preserve">, vierde lid, </w:t>
      </w:r>
      <w:proofErr w:type="spellStart"/>
      <w:r>
        <w:rPr>
          <w:rFonts w:ascii="Verdana" w:hAnsi="Verdana"/>
          <w:sz w:val="18"/>
          <w:szCs w:val="18"/>
        </w:rPr>
        <w:t>Cbw</w:t>
      </w:r>
      <w:proofErr w:type="spellEnd"/>
      <w:r>
        <w:rPr>
          <w:rFonts w:ascii="Verdana" w:hAnsi="Verdana"/>
          <w:sz w:val="18"/>
          <w:szCs w:val="18"/>
        </w:rPr>
        <w:t xml:space="preserve"> is bepaald dat </w:t>
      </w:r>
      <w:r w:rsidRPr="0048459B">
        <w:rPr>
          <w:rFonts w:ascii="Verdana" w:hAnsi="Verdana"/>
          <w:sz w:val="18"/>
          <w:szCs w:val="18"/>
        </w:rPr>
        <w:t xml:space="preserve">de kosten van een audit </w:t>
      </w:r>
      <w:r>
        <w:rPr>
          <w:rFonts w:ascii="Verdana" w:hAnsi="Verdana"/>
          <w:sz w:val="18"/>
          <w:szCs w:val="18"/>
        </w:rPr>
        <w:t>worden gedragen door</w:t>
      </w:r>
      <w:r w:rsidRPr="0048459B">
        <w:rPr>
          <w:rFonts w:ascii="Verdana" w:hAnsi="Verdana"/>
          <w:sz w:val="18"/>
          <w:szCs w:val="18"/>
        </w:rPr>
        <w:t xml:space="preserve"> de </w:t>
      </w:r>
      <w:r>
        <w:rPr>
          <w:rFonts w:ascii="Verdana" w:hAnsi="Verdana"/>
          <w:sz w:val="18"/>
          <w:szCs w:val="18"/>
        </w:rPr>
        <w:t xml:space="preserve">betrokken </w:t>
      </w:r>
      <w:r w:rsidRPr="0048459B">
        <w:rPr>
          <w:rFonts w:ascii="Verdana" w:hAnsi="Verdana"/>
          <w:sz w:val="18"/>
          <w:szCs w:val="18"/>
        </w:rPr>
        <w:t xml:space="preserve">entiteit. </w:t>
      </w:r>
      <w:r>
        <w:rPr>
          <w:rFonts w:ascii="Verdana" w:hAnsi="Verdana"/>
          <w:sz w:val="18"/>
          <w:szCs w:val="18"/>
        </w:rPr>
        <w:t xml:space="preserve">Dit betreft een implementatie van de NIS2-richtlijn. Van deze regel kan worden afgeweken als deze kosten naar het oordeel van de </w:t>
      </w:r>
      <w:r w:rsidR="00B2192F">
        <w:rPr>
          <w:rFonts w:ascii="Verdana" w:hAnsi="Verdana"/>
          <w:sz w:val="18"/>
          <w:szCs w:val="18"/>
        </w:rPr>
        <w:t>toezichthoudende instantie</w:t>
      </w:r>
      <w:r w:rsidDel="00B2192F" w:rsidR="00B2192F">
        <w:rPr>
          <w:rFonts w:ascii="Verdana" w:hAnsi="Verdana"/>
          <w:sz w:val="18"/>
          <w:szCs w:val="18"/>
        </w:rPr>
        <w:t xml:space="preserve"> </w:t>
      </w:r>
      <w:r>
        <w:rPr>
          <w:rFonts w:ascii="Verdana" w:hAnsi="Verdana"/>
          <w:sz w:val="18"/>
          <w:szCs w:val="18"/>
        </w:rPr>
        <w:t xml:space="preserve">moeten worden gedragen door haarzelf. </w:t>
      </w:r>
    </w:p>
    <w:p w:rsidRPr="00C47325" w:rsidR="001079CB" w:rsidP="00CE333A" w:rsidRDefault="001079CB" w14:paraId="0EBFBACF" w14:textId="77777777">
      <w:pPr>
        <w:pStyle w:val="Geenafstand"/>
        <w:rPr>
          <w:rFonts w:ascii="Verdana" w:hAnsi="Verdana"/>
          <w:sz w:val="18"/>
          <w:szCs w:val="18"/>
        </w:rPr>
      </w:pPr>
    </w:p>
    <w:p w:rsidRPr="00BD3C4A" w:rsidR="00D0002B" w:rsidP="00D0002B" w:rsidRDefault="00D0002B" w14:paraId="7B21FF59" w14:textId="41F5982D">
      <w:pPr>
        <w:pStyle w:val="Geenafstand"/>
        <w:rPr>
          <w:rFonts w:ascii="Verdana" w:hAnsi="Verdana"/>
          <w:b/>
          <w:bCs/>
          <w:sz w:val="18"/>
          <w:szCs w:val="18"/>
        </w:rPr>
      </w:pPr>
      <w:bookmarkStart w:name="_Hlk181193281" w:id="299"/>
      <w:r w:rsidRPr="00BD3C4A">
        <w:rPr>
          <w:rFonts w:ascii="Verdana" w:hAnsi="Verdana"/>
          <w:b/>
          <w:bCs/>
          <w:sz w:val="18"/>
          <w:szCs w:val="18"/>
        </w:rPr>
        <w:t xml:space="preserve">Artikel </w:t>
      </w:r>
      <w:r w:rsidR="009975AE">
        <w:rPr>
          <w:rFonts w:ascii="Verdana" w:hAnsi="Verdana"/>
          <w:b/>
          <w:bCs/>
          <w:sz w:val="18"/>
          <w:szCs w:val="18"/>
        </w:rPr>
        <w:t>84</w:t>
      </w:r>
      <w:r w:rsidRPr="00BD3C4A" w:rsidR="009975AE">
        <w:rPr>
          <w:rFonts w:ascii="Verdana" w:hAnsi="Verdana"/>
          <w:b/>
          <w:bCs/>
          <w:sz w:val="18"/>
          <w:szCs w:val="18"/>
        </w:rPr>
        <w:t xml:space="preserve"> </w:t>
      </w:r>
      <w:r w:rsidRPr="00BD3C4A">
        <w:rPr>
          <w:rFonts w:ascii="Verdana" w:hAnsi="Verdana"/>
          <w:b/>
          <w:bCs/>
          <w:sz w:val="18"/>
          <w:szCs w:val="18"/>
        </w:rPr>
        <w:t>(openbaarmaking overtreding)</w:t>
      </w:r>
    </w:p>
    <w:bookmarkEnd w:id="299"/>
    <w:p w:rsidRPr="00C47325" w:rsidR="00CE333A" w:rsidP="00CE333A" w:rsidRDefault="00CE333A" w14:paraId="5AF81FC0" w14:textId="77777777">
      <w:pPr>
        <w:pStyle w:val="Geenafstand"/>
        <w:rPr>
          <w:rFonts w:ascii="Verdana" w:hAnsi="Verdana"/>
          <w:b/>
          <w:bCs/>
          <w:sz w:val="18"/>
          <w:szCs w:val="18"/>
        </w:rPr>
      </w:pPr>
    </w:p>
    <w:p w:rsidRPr="00C47325" w:rsidR="00CC0DBF" w:rsidP="00CE333A" w:rsidRDefault="00CE333A" w14:paraId="7DA16AC0" w14:textId="3204FA7A">
      <w:pPr>
        <w:pStyle w:val="Geenafstand"/>
        <w:rPr>
          <w:rFonts w:ascii="Verdana" w:hAnsi="Verdana"/>
          <w:b/>
          <w:bCs/>
          <w:sz w:val="18"/>
          <w:szCs w:val="18"/>
        </w:rPr>
      </w:pPr>
      <w:r w:rsidRPr="00C47325">
        <w:rPr>
          <w:rFonts w:ascii="Verdana" w:hAnsi="Verdana"/>
          <w:sz w:val="18"/>
          <w:szCs w:val="18"/>
        </w:rPr>
        <w:t xml:space="preserve">Artikel </w:t>
      </w:r>
      <w:r w:rsidR="009975AE">
        <w:rPr>
          <w:rFonts w:ascii="Verdana" w:hAnsi="Verdana"/>
          <w:sz w:val="18"/>
          <w:szCs w:val="18"/>
        </w:rPr>
        <w:t>84</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artikel 33, vierde lid, onderdeel g, NIS2-richtlijn en ziet op de bevoegdheid van de </w:t>
      </w:r>
      <w:r w:rsidR="00B2192F">
        <w:rPr>
          <w:rFonts w:ascii="Verdana" w:hAnsi="Verdana"/>
          <w:sz w:val="18"/>
          <w:szCs w:val="18"/>
        </w:rPr>
        <w:t>toezichthoudende instantie</w:t>
      </w:r>
      <w:r w:rsidRPr="00C47325" w:rsidDel="00B2192F" w:rsidR="00B2192F">
        <w:rPr>
          <w:rFonts w:ascii="Verdana" w:hAnsi="Verdana"/>
          <w:sz w:val="18"/>
          <w:szCs w:val="18"/>
        </w:rPr>
        <w:t xml:space="preserve"> </w:t>
      </w:r>
      <w:r w:rsidRPr="00C47325">
        <w:rPr>
          <w:rFonts w:ascii="Verdana" w:hAnsi="Verdana"/>
          <w:sz w:val="18"/>
          <w:szCs w:val="18"/>
        </w:rPr>
        <w:t>om een belangrijke entiteit de verplichting op te leggen om onderdelen van een door de entiteit begane overtreding van het bepaalde bij of krachtens deze wet, openbaar te maken.</w:t>
      </w:r>
    </w:p>
    <w:p w:rsidRPr="00C47325" w:rsidR="00CE333A" w:rsidP="00CE333A" w:rsidRDefault="00CE333A" w14:paraId="66D12705" w14:textId="77777777">
      <w:pPr>
        <w:pStyle w:val="Geenafstand"/>
        <w:rPr>
          <w:rFonts w:ascii="Verdana" w:hAnsi="Verdana"/>
          <w:b/>
          <w:bCs/>
          <w:sz w:val="18"/>
          <w:szCs w:val="18"/>
        </w:rPr>
      </w:pPr>
    </w:p>
    <w:p w:rsidRPr="00BD3C4A" w:rsidR="00D0002B" w:rsidP="00D0002B" w:rsidRDefault="00D0002B" w14:paraId="3516033F" w14:textId="5A936302">
      <w:pPr>
        <w:pStyle w:val="Geenafstand"/>
        <w:rPr>
          <w:rFonts w:ascii="Verdana" w:hAnsi="Verdana"/>
          <w:b/>
          <w:bCs/>
          <w:sz w:val="18"/>
          <w:szCs w:val="18"/>
        </w:rPr>
      </w:pPr>
      <w:r w:rsidRPr="00BD3C4A">
        <w:rPr>
          <w:rFonts w:ascii="Verdana" w:hAnsi="Verdana"/>
          <w:b/>
          <w:bCs/>
          <w:sz w:val="18"/>
          <w:szCs w:val="18"/>
        </w:rPr>
        <w:t xml:space="preserve">Artikel </w:t>
      </w:r>
      <w:r w:rsidR="009975AE">
        <w:rPr>
          <w:rFonts w:ascii="Verdana" w:hAnsi="Verdana"/>
          <w:b/>
          <w:bCs/>
          <w:sz w:val="18"/>
          <w:szCs w:val="18"/>
        </w:rPr>
        <w:t>85</w:t>
      </w:r>
      <w:r w:rsidRPr="00BD3C4A" w:rsidR="009975AE">
        <w:rPr>
          <w:rFonts w:ascii="Verdana" w:hAnsi="Verdana"/>
          <w:b/>
          <w:bCs/>
          <w:sz w:val="18"/>
          <w:szCs w:val="18"/>
        </w:rPr>
        <w:t xml:space="preserve"> </w:t>
      </w:r>
      <w:r w:rsidRPr="00BD3C4A">
        <w:rPr>
          <w:rFonts w:ascii="Verdana" w:hAnsi="Verdana"/>
          <w:b/>
          <w:bCs/>
          <w:sz w:val="18"/>
          <w:szCs w:val="18"/>
        </w:rPr>
        <w:t>(aanwijzing)</w:t>
      </w:r>
    </w:p>
    <w:p w:rsidRPr="00C47325" w:rsidR="00CE333A" w:rsidP="00CE333A" w:rsidRDefault="00CE333A" w14:paraId="359D7B5A" w14:textId="77777777">
      <w:pPr>
        <w:pStyle w:val="Geenafstand"/>
        <w:rPr>
          <w:rFonts w:ascii="Verdana" w:hAnsi="Verdana"/>
          <w:sz w:val="18"/>
          <w:szCs w:val="18"/>
        </w:rPr>
      </w:pPr>
    </w:p>
    <w:p w:rsidRPr="00C47325" w:rsidR="00CE333A" w:rsidP="00CE333A" w:rsidRDefault="00CE333A" w14:paraId="759205FB" w14:textId="412CFD42">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85</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ziet op de implementatie van artikel 33, vierde lid, onderdeel b, NIS2-richtlijn en ziet op de bevoegdheid van de </w:t>
      </w:r>
      <w:r w:rsidR="00B2192F">
        <w:rPr>
          <w:rFonts w:ascii="Verdana" w:hAnsi="Verdana"/>
          <w:sz w:val="18"/>
          <w:szCs w:val="18"/>
        </w:rPr>
        <w:t>toezichthoudende instantie</w:t>
      </w:r>
      <w:r w:rsidRPr="00C47325" w:rsidDel="00B2192F" w:rsidR="00B2192F">
        <w:rPr>
          <w:rFonts w:ascii="Verdana" w:hAnsi="Verdana"/>
          <w:sz w:val="18"/>
          <w:szCs w:val="18"/>
        </w:rPr>
        <w:t xml:space="preserve"> </w:t>
      </w:r>
      <w:r w:rsidRPr="00C47325">
        <w:rPr>
          <w:rFonts w:ascii="Verdana" w:hAnsi="Verdana"/>
          <w:sz w:val="18"/>
          <w:szCs w:val="18"/>
        </w:rPr>
        <w:t xml:space="preserve">tot het opleggen van een bindende aanwijzing aan een belangrijke entiteit. </w:t>
      </w:r>
      <w:r w:rsidR="00B93338">
        <w:rPr>
          <w:rFonts w:ascii="Verdana" w:hAnsi="Verdana"/>
          <w:sz w:val="18"/>
          <w:szCs w:val="18"/>
        </w:rPr>
        <w:t xml:space="preserve">Voor een toelichting op deze bevoegdheid wordt verwezen naar de artikelsgewijze toelichting </w:t>
      </w:r>
      <w:r w:rsidR="00204DD1">
        <w:rPr>
          <w:rFonts w:ascii="Verdana" w:hAnsi="Verdana"/>
          <w:sz w:val="18"/>
          <w:szCs w:val="18"/>
        </w:rPr>
        <w:t xml:space="preserve">op </w:t>
      </w:r>
      <w:r w:rsidR="00B93338">
        <w:rPr>
          <w:rFonts w:ascii="Verdana" w:hAnsi="Verdana"/>
          <w:sz w:val="18"/>
          <w:szCs w:val="18"/>
        </w:rPr>
        <w:t xml:space="preserve">artikel </w:t>
      </w:r>
      <w:r w:rsidR="009975AE">
        <w:rPr>
          <w:rFonts w:ascii="Verdana" w:hAnsi="Verdana"/>
          <w:sz w:val="18"/>
          <w:szCs w:val="18"/>
        </w:rPr>
        <w:t xml:space="preserve">74 </w:t>
      </w:r>
      <w:proofErr w:type="spellStart"/>
      <w:r w:rsidR="00B93338">
        <w:rPr>
          <w:rFonts w:ascii="Verdana" w:hAnsi="Verdana"/>
          <w:sz w:val="18"/>
          <w:szCs w:val="18"/>
        </w:rPr>
        <w:t>Cbw</w:t>
      </w:r>
      <w:proofErr w:type="spellEnd"/>
      <w:r w:rsidR="00B93338">
        <w:rPr>
          <w:rFonts w:ascii="Verdana" w:hAnsi="Verdana"/>
          <w:sz w:val="18"/>
          <w:szCs w:val="18"/>
        </w:rPr>
        <w:t>.</w:t>
      </w:r>
      <w:r w:rsidRPr="00C47325">
        <w:rPr>
          <w:rFonts w:ascii="Verdana" w:hAnsi="Verdana"/>
          <w:sz w:val="18"/>
          <w:szCs w:val="18"/>
        </w:rPr>
        <w:t xml:space="preserve"> </w:t>
      </w:r>
    </w:p>
    <w:p w:rsidRPr="00C47325" w:rsidR="00CE333A" w:rsidP="00CE333A" w:rsidRDefault="00CE333A" w14:paraId="7DFC7520" w14:textId="77777777">
      <w:pPr>
        <w:pStyle w:val="Geenafstand"/>
        <w:rPr>
          <w:rFonts w:ascii="Verdana" w:hAnsi="Verdana"/>
          <w:sz w:val="18"/>
          <w:szCs w:val="18"/>
        </w:rPr>
      </w:pPr>
    </w:p>
    <w:p w:rsidRPr="00BD3C4A" w:rsidR="00D0002B" w:rsidP="00D0002B" w:rsidRDefault="00D0002B" w14:paraId="66084DBC" w14:textId="27D42B30">
      <w:pPr>
        <w:pStyle w:val="Geenafstand"/>
        <w:rPr>
          <w:rFonts w:ascii="Verdana" w:hAnsi="Verdana"/>
          <w:b/>
          <w:bCs/>
          <w:sz w:val="18"/>
          <w:szCs w:val="18"/>
        </w:rPr>
      </w:pPr>
      <w:r w:rsidRPr="00BD3C4A">
        <w:rPr>
          <w:rFonts w:ascii="Verdana" w:hAnsi="Verdana"/>
          <w:b/>
          <w:bCs/>
          <w:sz w:val="18"/>
          <w:szCs w:val="18"/>
        </w:rPr>
        <w:t xml:space="preserve">Artikel </w:t>
      </w:r>
      <w:r w:rsidR="009975AE">
        <w:rPr>
          <w:rFonts w:ascii="Verdana" w:hAnsi="Verdana"/>
          <w:b/>
          <w:bCs/>
          <w:sz w:val="18"/>
          <w:szCs w:val="18"/>
        </w:rPr>
        <w:t>86</w:t>
      </w:r>
      <w:r w:rsidRPr="00BD3C4A" w:rsidR="009975AE">
        <w:rPr>
          <w:rFonts w:ascii="Verdana" w:hAnsi="Verdana"/>
          <w:b/>
          <w:bCs/>
          <w:sz w:val="18"/>
          <w:szCs w:val="18"/>
        </w:rPr>
        <w:t xml:space="preserve"> </w:t>
      </w:r>
      <w:r w:rsidRPr="00BD3C4A">
        <w:rPr>
          <w:rFonts w:ascii="Verdana" w:hAnsi="Verdana"/>
          <w:b/>
          <w:bCs/>
          <w:sz w:val="18"/>
          <w:szCs w:val="18"/>
        </w:rPr>
        <w:t>(last onder bestuursdwang)</w:t>
      </w:r>
    </w:p>
    <w:p w:rsidRPr="00C47325" w:rsidR="00CE333A" w:rsidP="00CE333A" w:rsidRDefault="00CE333A" w14:paraId="2E2769B6" w14:textId="77777777">
      <w:pPr>
        <w:pStyle w:val="Geenafstand"/>
        <w:rPr>
          <w:rFonts w:ascii="Verdana" w:hAnsi="Verdana"/>
          <w:sz w:val="18"/>
          <w:szCs w:val="18"/>
        </w:rPr>
      </w:pPr>
    </w:p>
    <w:p w:rsidRPr="00C47325" w:rsidR="00CE333A" w:rsidP="00CE333A" w:rsidRDefault="00CE333A" w14:paraId="390F378B" w14:textId="484D09C4">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86</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strekt tot de implementatie van de artikelen 33, vierde lid, onderdeel c en d, en 34, zesde lid, NIS2-richtlijn en ziet op de bevoegdheid van de </w:t>
      </w:r>
      <w:r w:rsidR="00B2192F">
        <w:rPr>
          <w:rFonts w:ascii="Verdana" w:hAnsi="Verdana"/>
          <w:sz w:val="18"/>
          <w:szCs w:val="18"/>
        </w:rPr>
        <w:t>toezichthoudende instantie</w:t>
      </w:r>
      <w:r w:rsidRPr="00C47325" w:rsidDel="00B2192F" w:rsidR="00B2192F">
        <w:rPr>
          <w:rFonts w:ascii="Verdana" w:hAnsi="Verdana"/>
          <w:sz w:val="18"/>
          <w:szCs w:val="18"/>
        </w:rPr>
        <w:t xml:space="preserve"> </w:t>
      </w:r>
      <w:r w:rsidRPr="00C47325">
        <w:rPr>
          <w:rFonts w:ascii="Verdana" w:hAnsi="Verdana"/>
          <w:sz w:val="18"/>
          <w:szCs w:val="18"/>
        </w:rPr>
        <w:t xml:space="preserve">tot het opleggen van een last onder bestuursdwang aan een belangrijke entiteit. </w:t>
      </w:r>
      <w:r w:rsidR="00B93338">
        <w:rPr>
          <w:rFonts w:ascii="Verdana" w:hAnsi="Verdana"/>
          <w:sz w:val="18"/>
          <w:szCs w:val="18"/>
        </w:rPr>
        <w:t xml:space="preserve">Voor een toelichting op deze bevoegdheid wordt verwezen naar de artikelsgewijze toelichting </w:t>
      </w:r>
      <w:r w:rsidR="00204DD1">
        <w:rPr>
          <w:rFonts w:ascii="Verdana" w:hAnsi="Verdana"/>
          <w:sz w:val="18"/>
          <w:szCs w:val="18"/>
        </w:rPr>
        <w:t xml:space="preserve">op </w:t>
      </w:r>
      <w:r w:rsidR="00B93338">
        <w:rPr>
          <w:rFonts w:ascii="Verdana" w:hAnsi="Verdana"/>
          <w:sz w:val="18"/>
          <w:szCs w:val="18"/>
        </w:rPr>
        <w:t xml:space="preserve">artikel </w:t>
      </w:r>
      <w:r w:rsidR="009975AE">
        <w:rPr>
          <w:rFonts w:ascii="Verdana" w:hAnsi="Verdana"/>
          <w:sz w:val="18"/>
          <w:szCs w:val="18"/>
        </w:rPr>
        <w:t xml:space="preserve">75 </w:t>
      </w:r>
      <w:proofErr w:type="spellStart"/>
      <w:r w:rsidR="00B93338">
        <w:rPr>
          <w:rFonts w:ascii="Verdana" w:hAnsi="Verdana"/>
          <w:sz w:val="18"/>
          <w:szCs w:val="18"/>
        </w:rPr>
        <w:t>Cbw</w:t>
      </w:r>
      <w:proofErr w:type="spellEnd"/>
      <w:r w:rsidR="00B93338">
        <w:rPr>
          <w:rFonts w:ascii="Verdana" w:hAnsi="Verdana"/>
          <w:sz w:val="18"/>
          <w:szCs w:val="18"/>
        </w:rPr>
        <w:t xml:space="preserve">. </w:t>
      </w:r>
    </w:p>
    <w:p w:rsidRPr="00C47325" w:rsidR="00CE333A" w:rsidP="00CE333A" w:rsidRDefault="00CE333A" w14:paraId="17D2B3D4" w14:textId="77777777">
      <w:pPr>
        <w:pStyle w:val="Geenafstand"/>
        <w:rPr>
          <w:rFonts w:ascii="Verdana" w:hAnsi="Verdana"/>
          <w:sz w:val="18"/>
          <w:szCs w:val="18"/>
        </w:rPr>
      </w:pPr>
    </w:p>
    <w:p w:rsidRPr="00BD3C4A" w:rsidR="00D0002B" w:rsidP="00D0002B" w:rsidRDefault="00D0002B" w14:paraId="0674137A" w14:textId="5EC48489">
      <w:pPr>
        <w:pStyle w:val="Geenafstand"/>
        <w:rPr>
          <w:rFonts w:ascii="Verdana" w:hAnsi="Verdana"/>
          <w:b/>
          <w:bCs/>
          <w:sz w:val="18"/>
          <w:szCs w:val="18"/>
        </w:rPr>
      </w:pPr>
      <w:r w:rsidRPr="00BD3C4A">
        <w:rPr>
          <w:rFonts w:ascii="Verdana" w:hAnsi="Verdana"/>
          <w:b/>
          <w:bCs/>
          <w:sz w:val="18"/>
          <w:szCs w:val="18"/>
        </w:rPr>
        <w:t xml:space="preserve">Artikel </w:t>
      </w:r>
      <w:r w:rsidR="009975AE">
        <w:rPr>
          <w:rFonts w:ascii="Verdana" w:hAnsi="Verdana"/>
          <w:b/>
          <w:bCs/>
          <w:sz w:val="18"/>
          <w:szCs w:val="18"/>
        </w:rPr>
        <w:t>87</w:t>
      </w:r>
      <w:r w:rsidRPr="00BD3C4A" w:rsidR="009975AE">
        <w:rPr>
          <w:rFonts w:ascii="Verdana" w:hAnsi="Verdana"/>
          <w:b/>
          <w:bCs/>
          <w:sz w:val="18"/>
          <w:szCs w:val="18"/>
        </w:rPr>
        <w:t xml:space="preserve"> </w:t>
      </w:r>
      <w:r w:rsidRPr="00BD3C4A">
        <w:rPr>
          <w:rFonts w:ascii="Verdana" w:hAnsi="Verdana"/>
          <w:b/>
          <w:bCs/>
          <w:sz w:val="18"/>
          <w:szCs w:val="18"/>
        </w:rPr>
        <w:t>(bestuurlijke boete)</w:t>
      </w:r>
    </w:p>
    <w:p w:rsidRPr="00C47325" w:rsidR="00CE333A" w:rsidP="00CE333A" w:rsidRDefault="00CE333A" w14:paraId="64EBE817" w14:textId="77777777">
      <w:pPr>
        <w:pStyle w:val="Geenafstand"/>
        <w:rPr>
          <w:rFonts w:ascii="Verdana" w:hAnsi="Verdana"/>
          <w:sz w:val="18"/>
          <w:szCs w:val="18"/>
        </w:rPr>
      </w:pPr>
    </w:p>
    <w:p w:rsidRPr="00C47325" w:rsidR="00CE333A" w:rsidP="00CE333A" w:rsidRDefault="00CE333A" w14:paraId="493396AB" w14:textId="12FA883E">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87</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betreft de implementatie van de artikelen 33, vierde lid, onderdeel h, en 34, tweede en vijfde lid, NIS2-richtlijn en ziet op de bevoegdheid van de </w:t>
      </w:r>
      <w:r w:rsidR="00B2192F">
        <w:rPr>
          <w:rFonts w:ascii="Verdana" w:hAnsi="Verdana"/>
          <w:sz w:val="18"/>
          <w:szCs w:val="18"/>
        </w:rPr>
        <w:t>toezichthoudende instantie</w:t>
      </w:r>
      <w:r w:rsidRPr="00C47325" w:rsidDel="00B2192F" w:rsidR="00B2192F">
        <w:rPr>
          <w:rFonts w:ascii="Verdana" w:hAnsi="Verdana"/>
          <w:sz w:val="18"/>
          <w:szCs w:val="18"/>
        </w:rPr>
        <w:t xml:space="preserve"> </w:t>
      </w:r>
      <w:r w:rsidRPr="00C47325">
        <w:rPr>
          <w:rFonts w:ascii="Verdana" w:hAnsi="Verdana"/>
          <w:sz w:val="18"/>
          <w:szCs w:val="18"/>
        </w:rPr>
        <w:t xml:space="preserve">om een bestuurlijke boete op te leggen aan een belangrijke entiteit. Paragraaf </w:t>
      </w:r>
      <w:r w:rsidR="00B93338">
        <w:rPr>
          <w:rFonts w:ascii="Verdana" w:hAnsi="Verdana"/>
          <w:sz w:val="18"/>
          <w:szCs w:val="18"/>
        </w:rPr>
        <w:t>5.6.</w:t>
      </w:r>
      <w:r w:rsidR="003C6F3B">
        <w:rPr>
          <w:rFonts w:ascii="Verdana" w:hAnsi="Verdana"/>
          <w:sz w:val="18"/>
          <w:szCs w:val="18"/>
        </w:rPr>
        <w:t>6</w:t>
      </w:r>
      <w:r w:rsidRPr="00C47325">
        <w:rPr>
          <w:rFonts w:ascii="Verdana" w:hAnsi="Verdana"/>
          <w:sz w:val="18"/>
          <w:szCs w:val="18"/>
        </w:rPr>
        <w:t xml:space="preserve"> gaat uitgebreid in op deze bevoegdheid. </w:t>
      </w:r>
    </w:p>
    <w:p w:rsidRPr="00C47325" w:rsidR="00CE333A" w:rsidP="00CE333A" w:rsidRDefault="00CE333A" w14:paraId="5B27EF91" w14:textId="77777777">
      <w:pPr>
        <w:pStyle w:val="Geenafstand"/>
        <w:rPr>
          <w:rFonts w:ascii="Verdana" w:hAnsi="Verdana" w:cs="Arial"/>
          <w:b/>
          <w:bCs/>
          <w:sz w:val="18"/>
          <w:szCs w:val="18"/>
        </w:rPr>
      </w:pPr>
    </w:p>
    <w:p w:rsidRPr="00BD3C4A" w:rsidR="00D0002B" w:rsidP="00D0002B" w:rsidRDefault="00D0002B" w14:paraId="5D49A35F" w14:textId="039B1B6C">
      <w:pPr>
        <w:pStyle w:val="Geenafstand"/>
        <w:rPr>
          <w:rFonts w:ascii="Verdana" w:hAnsi="Verdana" w:cs="Arial"/>
          <w:b/>
          <w:bCs/>
          <w:sz w:val="18"/>
          <w:szCs w:val="18"/>
        </w:rPr>
      </w:pPr>
      <w:r w:rsidRPr="00BD3C4A">
        <w:rPr>
          <w:rFonts w:ascii="Verdana" w:hAnsi="Verdana" w:cs="Arial"/>
          <w:b/>
          <w:bCs/>
          <w:sz w:val="18"/>
          <w:szCs w:val="18"/>
        </w:rPr>
        <w:t xml:space="preserve">Artikel </w:t>
      </w:r>
      <w:r w:rsidR="009975AE">
        <w:rPr>
          <w:rFonts w:ascii="Verdana" w:hAnsi="Verdana" w:cs="Arial"/>
          <w:b/>
          <w:bCs/>
          <w:sz w:val="18"/>
          <w:szCs w:val="18"/>
        </w:rPr>
        <w:t>88</w:t>
      </w:r>
      <w:r w:rsidRPr="00BD3C4A" w:rsidR="009975AE">
        <w:rPr>
          <w:rFonts w:ascii="Verdana" w:hAnsi="Verdana" w:cs="Arial"/>
          <w:b/>
          <w:bCs/>
          <w:sz w:val="18"/>
          <w:szCs w:val="18"/>
        </w:rPr>
        <w:t xml:space="preserve"> </w:t>
      </w:r>
      <w:r w:rsidRPr="00BD3C4A">
        <w:rPr>
          <w:rFonts w:ascii="Verdana" w:hAnsi="Verdana" w:cs="Arial"/>
          <w:b/>
          <w:bCs/>
          <w:sz w:val="18"/>
          <w:szCs w:val="18"/>
        </w:rPr>
        <w:t>(reikwijdte)</w:t>
      </w:r>
    </w:p>
    <w:p w:rsidRPr="00C47325" w:rsidR="00CE333A" w:rsidP="00CE333A" w:rsidRDefault="00CE333A" w14:paraId="7A028744" w14:textId="77777777">
      <w:pPr>
        <w:pStyle w:val="Geenafstand"/>
        <w:rPr>
          <w:rFonts w:ascii="Verdana" w:hAnsi="Verdana"/>
          <w:sz w:val="18"/>
          <w:szCs w:val="18"/>
        </w:rPr>
      </w:pPr>
    </w:p>
    <w:p w:rsidRPr="00C47325" w:rsidR="00CE333A" w:rsidP="00CE333A" w:rsidRDefault="00CE333A" w14:paraId="4E0C2CB2" w14:textId="6E5F1040">
      <w:pPr>
        <w:pStyle w:val="Geenafstand"/>
        <w:rPr>
          <w:rFonts w:ascii="Verdana" w:hAnsi="Verdana"/>
          <w:sz w:val="18"/>
          <w:szCs w:val="18"/>
        </w:rPr>
      </w:pPr>
      <w:r w:rsidRPr="00C47325">
        <w:rPr>
          <w:rFonts w:ascii="Verdana" w:hAnsi="Verdana"/>
          <w:sz w:val="18"/>
          <w:szCs w:val="18"/>
        </w:rPr>
        <w:t xml:space="preserve">Artikel </w:t>
      </w:r>
      <w:r w:rsidR="009975AE">
        <w:rPr>
          <w:rFonts w:ascii="Verdana" w:hAnsi="Verdana"/>
          <w:sz w:val="18"/>
          <w:szCs w:val="18"/>
        </w:rPr>
        <w:t>88</w:t>
      </w:r>
      <w:r w:rsidRPr="00C47325" w:rsidR="009975AE">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Pr>
          <w:rFonts w:ascii="Verdana" w:hAnsi="Verdana"/>
          <w:sz w:val="18"/>
          <w:szCs w:val="18"/>
        </w:rPr>
        <w:t xml:space="preserve"> verduidelijkt dat de artikelen </w:t>
      </w:r>
      <w:r w:rsidR="009975AE">
        <w:rPr>
          <w:rFonts w:ascii="Verdana" w:hAnsi="Verdana"/>
          <w:sz w:val="18"/>
          <w:szCs w:val="18"/>
        </w:rPr>
        <w:t>89</w:t>
      </w:r>
      <w:r w:rsidRPr="00C47325" w:rsidR="009975AE">
        <w:rPr>
          <w:rFonts w:ascii="Verdana" w:hAnsi="Verdana"/>
          <w:sz w:val="18"/>
          <w:szCs w:val="18"/>
        </w:rPr>
        <w:t xml:space="preserve"> </w:t>
      </w:r>
      <w:r w:rsidRPr="00C47325">
        <w:rPr>
          <w:rFonts w:ascii="Verdana" w:hAnsi="Verdana"/>
          <w:sz w:val="18"/>
          <w:szCs w:val="18"/>
        </w:rPr>
        <w:t xml:space="preserve">tot en met </w:t>
      </w:r>
      <w:r w:rsidR="009975AE">
        <w:rPr>
          <w:rFonts w:ascii="Verdana" w:hAnsi="Verdana"/>
          <w:sz w:val="18"/>
          <w:szCs w:val="18"/>
        </w:rPr>
        <w:t>91</w:t>
      </w:r>
      <w:r w:rsidRPr="00C47325" w:rsidR="009975AE">
        <w:rPr>
          <w:rFonts w:ascii="Verdana" w:hAnsi="Verdana"/>
          <w:sz w:val="18"/>
          <w:szCs w:val="18"/>
        </w:rPr>
        <w:t xml:space="preserve"> </w:t>
      </w:r>
      <w:proofErr w:type="spellStart"/>
      <w:r w:rsidRPr="00C47325" w:rsidR="00606E4E">
        <w:rPr>
          <w:rFonts w:ascii="Verdana" w:hAnsi="Verdana"/>
          <w:sz w:val="18"/>
          <w:szCs w:val="18"/>
        </w:rPr>
        <w:t>Cbw</w:t>
      </w:r>
      <w:proofErr w:type="spellEnd"/>
      <w:r w:rsidRPr="00C47325">
        <w:rPr>
          <w:rFonts w:ascii="Verdana" w:hAnsi="Verdana"/>
          <w:sz w:val="18"/>
          <w:szCs w:val="18"/>
        </w:rPr>
        <w:t xml:space="preserve"> alleen van toepassing zijn op de entiteit die domeinnaamregistratiediensten verleent, die op grond van </w:t>
      </w:r>
      <w:r w:rsidRPr="00C47325" w:rsidR="00606E4E">
        <w:rPr>
          <w:rFonts w:ascii="Verdana" w:hAnsi="Verdana"/>
          <w:sz w:val="18"/>
          <w:szCs w:val="18"/>
        </w:rPr>
        <w:t xml:space="preserve">de </w:t>
      </w:r>
      <w:proofErr w:type="spellStart"/>
      <w:r w:rsidRPr="00C47325" w:rsidR="00606E4E">
        <w:rPr>
          <w:rFonts w:ascii="Verdana" w:hAnsi="Verdana"/>
          <w:sz w:val="18"/>
          <w:szCs w:val="18"/>
        </w:rPr>
        <w:t>Cbw</w:t>
      </w:r>
      <w:proofErr w:type="spellEnd"/>
      <w:r w:rsidRPr="00C47325">
        <w:rPr>
          <w:rFonts w:ascii="Verdana" w:hAnsi="Verdana"/>
          <w:sz w:val="18"/>
          <w:szCs w:val="18"/>
        </w:rPr>
        <w:t xml:space="preserve"> niet tevens essentiële entiteit of belangrijke entiteit is. Indien een entiteit die domeinnaamregistratiediensten verleent ook op grond van </w:t>
      </w:r>
      <w:r w:rsidRPr="00C47325" w:rsidR="00606E4E">
        <w:rPr>
          <w:rFonts w:ascii="Verdana" w:hAnsi="Verdana"/>
          <w:sz w:val="18"/>
          <w:szCs w:val="18"/>
        </w:rPr>
        <w:t xml:space="preserve">de </w:t>
      </w:r>
      <w:proofErr w:type="spellStart"/>
      <w:r w:rsidRPr="00C47325" w:rsidR="00606E4E">
        <w:rPr>
          <w:rFonts w:ascii="Verdana" w:hAnsi="Verdana"/>
          <w:sz w:val="18"/>
          <w:szCs w:val="18"/>
        </w:rPr>
        <w:t>Cbw</w:t>
      </w:r>
      <w:proofErr w:type="spellEnd"/>
      <w:r w:rsidRPr="00C47325">
        <w:rPr>
          <w:rFonts w:ascii="Verdana" w:hAnsi="Verdana"/>
          <w:sz w:val="18"/>
          <w:szCs w:val="18"/>
        </w:rPr>
        <w:t xml:space="preserve"> een essentiële entiteit of belangrijke entiteit is, dan gelden de bepalingen over het toezicht en de handhaving op essentiële entiteiten respectievelijk belangrijke entiteiten. </w:t>
      </w:r>
    </w:p>
    <w:p w:rsidRPr="00C47325" w:rsidR="00CE333A" w:rsidP="00CE333A" w:rsidRDefault="00CE333A" w14:paraId="441B7F35" w14:textId="77777777">
      <w:pPr>
        <w:pStyle w:val="Geenafstand"/>
        <w:rPr>
          <w:rFonts w:ascii="Verdana" w:hAnsi="Verdana"/>
          <w:sz w:val="18"/>
          <w:szCs w:val="18"/>
        </w:rPr>
      </w:pPr>
    </w:p>
    <w:p w:rsidRPr="00C47325" w:rsidR="00CE333A" w:rsidP="00CE333A" w:rsidRDefault="00CE333A" w14:paraId="6DEBE639" w14:textId="49DBD76E">
      <w:pPr>
        <w:pStyle w:val="Geenafstand"/>
        <w:rPr>
          <w:rFonts w:ascii="Verdana" w:hAnsi="Verdana"/>
          <w:b/>
          <w:bCs/>
          <w:sz w:val="18"/>
          <w:szCs w:val="18"/>
        </w:rPr>
      </w:pPr>
      <w:r w:rsidRPr="00C47325">
        <w:rPr>
          <w:rFonts w:ascii="Verdana" w:hAnsi="Verdana"/>
          <w:b/>
          <w:bCs/>
          <w:sz w:val="18"/>
          <w:szCs w:val="18"/>
        </w:rPr>
        <w:t xml:space="preserve">De artikelen </w:t>
      </w:r>
      <w:r w:rsidR="009975AE">
        <w:rPr>
          <w:rFonts w:ascii="Verdana" w:hAnsi="Verdana"/>
          <w:b/>
          <w:bCs/>
          <w:sz w:val="18"/>
          <w:szCs w:val="18"/>
        </w:rPr>
        <w:t>89</w:t>
      </w:r>
      <w:r w:rsidRPr="00C47325" w:rsidR="009975AE">
        <w:rPr>
          <w:rFonts w:ascii="Verdana" w:hAnsi="Verdana"/>
          <w:b/>
          <w:bCs/>
          <w:sz w:val="18"/>
          <w:szCs w:val="18"/>
        </w:rPr>
        <w:t xml:space="preserve"> </w:t>
      </w:r>
      <w:r w:rsidRPr="00C47325">
        <w:rPr>
          <w:rFonts w:ascii="Verdana" w:hAnsi="Verdana"/>
          <w:b/>
          <w:bCs/>
          <w:sz w:val="18"/>
          <w:szCs w:val="18"/>
        </w:rPr>
        <w:t xml:space="preserve">tot en met </w:t>
      </w:r>
      <w:r w:rsidR="009975AE">
        <w:rPr>
          <w:rFonts w:ascii="Verdana" w:hAnsi="Verdana"/>
          <w:b/>
          <w:bCs/>
          <w:sz w:val="18"/>
          <w:szCs w:val="18"/>
        </w:rPr>
        <w:t>91</w:t>
      </w:r>
      <w:r w:rsidRPr="00C47325" w:rsidR="009975AE">
        <w:rPr>
          <w:rFonts w:ascii="Verdana" w:hAnsi="Verdana"/>
          <w:b/>
          <w:bCs/>
          <w:sz w:val="18"/>
          <w:szCs w:val="18"/>
        </w:rPr>
        <w:t xml:space="preserve"> </w:t>
      </w:r>
      <w:r w:rsidRPr="00C47325">
        <w:rPr>
          <w:rFonts w:ascii="Verdana" w:hAnsi="Verdana"/>
          <w:b/>
          <w:bCs/>
          <w:sz w:val="18"/>
          <w:szCs w:val="18"/>
        </w:rPr>
        <w:t>(aanwijzing, last onder dwangsom en bestuurlijke boete)</w:t>
      </w:r>
    </w:p>
    <w:p w:rsidRPr="00C47325" w:rsidR="00CE333A" w:rsidP="00CE333A" w:rsidRDefault="00CE333A" w14:paraId="0DEC0DF9" w14:textId="77777777">
      <w:pPr>
        <w:pStyle w:val="Geenafstand"/>
        <w:rPr>
          <w:rFonts w:ascii="Verdana" w:hAnsi="Verdana"/>
          <w:sz w:val="18"/>
          <w:szCs w:val="18"/>
        </w:rPr>
      </w:pPr>
    </w:p>
    <w:p w:rsidRPr="00C47325" w:rsidR="00CE333A" w:rsidP="00CE333A" w:rsidRDefault="00CE333A" w14:paraId="33E0C746" w14:textId="77777777">
      <w:pPr>
        <w:pStyle w:val="Geenafstand"/>
        <w:rPr>
          <w:rFonts w:ascii="Verdana" w:hAnsi="Verdana"/>
          <w:sz w:val="18"/>
          <w:szCs w:val="18"/>
        </w:rPr>
      </w:pPr>
      <w:r w:rsidRPr="00C47325">
        <w:rPr>
          <w:rFonts w:ascii="Verdana" w:hAnsi="Verdana"/>
          <w:sz w:val="18"/>
          <w:szCs w:val="18"/>
        </w:rPr>
        <w:t xml:space="preserve">De NIS2-richtlijn bevat geen specifieke bepalingen over het toezicht op de naleving van de verplichtingen die gelden voor entiteiten die domeinnaamregistratiediensten verlenen, anders dan de algemene bepaling dat lidstaten ervoor moeten zorgen dat hun bevoegde autoriteiten effectief toezicht houden op en de noodzakelijke maatregelen nemen om te zorgen voor de naleving van de richtlijn (artikel 31, eerste lid, NIS2-richtlijn). Dit betekent dat het aan de lidstaten is om te komen tot een passende invulling van het toezicht op deze entiteiten. </w:t>
      </w:r>
    </w:p>
    <w:p w:rsidRPr="00C47325" w:rsidR="00CE333A" w:rsidP="00CE333A" w:rsidRDefault="00CE333A" w14:paraId="51499CA6" w14:textId="77777777">
      <w:pPr>
        <w:pStyle w:val="Geenafstand"/>
        <w:rPr>
          <w:rFonts w:ascii="Verdana" w:hAnsi="Verdana"/>
          <w:sz w:val="18"/>
          <w:szCs w:val="18"/>
        </w:rPr>
      </w:pPr>
    </w:p>
    <w:p w:rsidR="00CE333A" w:rsidP="00CE333A" w:rsidRDefault="00CE333A" w14:paraId="100B6C71" w14:textId="275FE553">
      <w:pPr>
        <w:pStyle w:val="Geenafstand"/>
        <w:rPr>
          <w:rFonts w:ascii="Verdana" w:hAnsi="Verdana"/>
          <w:sz w:val="18"/>
          <w:szCs w:val="18"/>
        </w:rPr>
      </w:pPr>
      <w:r w:rsidRPr="00C47325">
        <w:rPr>
          <w:rFonts w:ascii="Verdana" w:hAnsi="Verdana"/>
          <w:sz w:val="18"/>
          <w:szCs w:val="18"/>
        </w:rPr>
        <w:t xml:space="preserve">Voor het toezicht op entiteiten die domeinnaamregistratiediensten verlenen is gekozen voor de bevoegdheid van de toezichthouder tot het opleggen van een aanwijzing, last onder dwangsom en bestuurlijke boete. Er is gekozen om niet te voorzien in de bevoegdheid tot het opleggen van een last onder bestuursdwang. Paragraaf </w:t>
      </w:r>
      <w:r w:rsidR="00A24F67">
        <w:rPr>
          <w:rFonts w:ascii="Verdana" w:hAnsi="Verdana"/>
          <w:sz w:val="18"/>
          <w:szCs w:val="18"/>
        </w:rPr>
        <w:t>5.6.</w:t>
      </w:r>
      <w:r w:rsidR="003C6F3B">
        <w:rPr>
          <w:rFonts w:ascii="Verdana" w:hAnsi="Verdana"/>
          <w:sz w:val="18"/>
          <w:szCs w:val="18"/>
        </w:rPr>
        <w:t>3</w:t>
      </w:r>
      <w:r w:rsidRPr="00C47325">
        <w:rPr>
          <w:rFonts w:ascii="Verdana" w:hAnsi="Verdana"/>
          <w:sz w:val="18"/>
          <w:szCs w:val="18"/>
        </w:rPr>
        <w:t xml:space="preserve"> gaat hier nader op in. </w:t>
      </w:r>
    </w:p>
    <w:p w:rsidR="00D0002B" w:rsidP="00CE333A" w:rsidRDefault="00D0002B" w14:paraId="716007CD" w14:textId="77777777">
      <w:pPr>
        <w:pStyle w:val="Geenafstand"/>
        <w:rPr>
          <w:rFonts w:ascii="Verdana" w:hAnsi="Verdana"/>
          <w:sz w:val="18"/>
          <w:szCs w:val="18"/>
        </w:rPr>
      </w:pPr>
    </w:p>
    <w:p w:rsidRPr="00947945" w:rsidR="00D0002B" w:rsidP="00D0002B" w:rsidRDefault="008811BA" w14:paraId="29068AAA" w14:textId="546AA64D">
      <w:pPr>
        <w:pStyle w:val="Geenafstand"/>
        <w:rPr>
          <w:rFonts w:ascii="Verdana" w:hAnsi="Verdana"/>
          <w:b/>
          <w:bCs/>
          <w:sz w:val="18"/>
          <w:szCs w:val="18"/>
        </w:rPr>
      </w:pPr>
      <w:bookmarkStart w:name="_Hlk181278868" w:id="300"/>
      <w:r w:rsidRPr="00947945">
        <w:rPr>
          <w:rFonts w:ascii="Verdana" w:hAnsi="Verdana"/>
          <w:b/>
          <w:bCs/>
          <w:sz w:val="18"/>
          <w:szCs w:val="18"/>
        </w:rPr>
        <w:t>De a</w:t>
      </w:r>
      <w:r w:rsidRPr="00947945" w:rsidR="00D0002B">
        <w:rPr>
          <w:rFonts w:ascii="Verdana" w:hAnsi="Verdana"/>
          <w:b/>
          <w:bCs/>
          <w:sz w:val="18"/>
          <w:szCs w:val="18"/>
        </w:rPr>
        <w:t>rtikel</w:t>
      </w:r>
      <w:r w:rsidRPr="00947945">
        <w:rPr>
          <w:rFonts w:ascii="Verdana" w:hAnsi="Verdana"/>
          <w:b/>
          <w:bCs/>
          <w:sz w:val="18"/>
          <w:szCs w:val="18"/>
        </w:rPr>
        <w:t>en</w:t>
      </w:r>
      <w:r w:rsidRPr="00947945" w:rsidR="00D0002B">
        <w:rPr>
          <w:rFonts w:ascii="Verdana" w:hAnsi="Verdana"/>
          <w:b/>
          <w:bCs/>
          <w:sz w:val="18"/>
          <w:szCs w:val="18"/>
        </w:rPr>
        <w:t xml:space="preserve"> </w:t>
      </w:r>
      <w:r w:rsidR="009975AE">
        <w:rPr>
          <w:rFonts w:ascii="Verdana" w:hAnsi="Verdana"/>
          <w:b/>
          <w:bCs/>
          <w:sz w:val="18"/>
          <w:szCs w:val="18"/>
        </w:rPr>
        <w:t>92</w:t>
      </w:r>
      <w:r w:rsidRPr="00947945" w:rsidR="009975AE">
        <w:rPr>
          <w:rFonts w:ascii="Verdana" w:hAnsi="Verdana"/>
          <w:b/>
          <w:bCs/>
          <w:sz w:val="18"/>
          <w:szCs w:val="18"/>
        </w:rPr>
        <w:t xml:space="preserve"> </w:t>
      </w:r>
      <w:r w:rsidRPr="00947945">
        <w:rPr>
          <w:rFonts w:ascii="Verdana" w:hAnsi="Verdana"/>
          <w:b/>
          <w:bCs/>
          <w:sz w:val="18"/>
          <w:szCs w:val="18"/>
        </w:rPr>
        <w:t xml:space="preserve">en </w:t>
      </w:r>
      <w:r w:rsidR="009975AE">
        <w:rPr>
          <w:rFonts w:ascii="Verdana" w:hAnsi="Verdana"/>
          <w:b/>
          <w:bCs/>
          <w:sz w:val="18"/>
          <w:szCs w:val="18"/>
        </w:rPr>
        <w:t>93</w:t>
      </w:r>
      <w:r w:rsidRPr="00947945" w:rsidR="009975AE">
        <w:rPr>
          <w:rFonts w:ascii="Verdana" w:hAnsi="Verdana"/>
          <w:b/>
          <w:bCs/>
          <w:sz w:val="18"/>
          <w:szCs w:val="18"/>
        </w:rPr>
        <w:t xml:space="preserve"> </w:t>
      </w:r>
      <w:r w:rsidRPr="00947945" w:rsidR="00D0002B">
        <w:rPr>
          <w:rFonts w:ascii="Verdana" w:hAnsi="Verdana"/>
          <w:b/>
          <w:bCs/>
          <w:sz w:val="18"/>
          <w:szCs w:val="18"/>
        </w:rPr>
        <w:t>(last onder dwangsom</w:t>
      </w:r>
      <w:r w:rsidRPr="00947945">
        <w:rPr>
          <w:rFonts w:ascii="Verdana" w:hAnsi="Verdana"/>
          <w:b/>
          <w:bCs/>
          <w:sz w:val="18"/>
          <w:szCs w:val="18"/>
        </w:rPr>
        <w:t xml:space="preserve"> en bestuurlijke boete</w:t>
      </w:r>
      <w:r w:rsidRPr="00947945" w:rsidR="00D0002B">
        <w:rPr>
          <w:rFonts w:ascii="Verdana" w:hAnsi="Verdana"/>
          <w:b/>
          <w:bCs/>
          <w:sz w:val="18"/>
          <w:szCs w:val="18"/>
        </w:rPr>
        <w:t>)</w:t>
      </w:r>
    </w:p>
    <w:p w:rsidR="00D0002B" w:rsidP="00CE333A" w:rsidRDefault="00D0002B" w14:paraId="7F965AC4" w14:textId="77777777">
      <w:pPr>
        <w:pStyle w:val="Geenafstand"/>
        <w:rPr>
          <w:rFonts w:ascii="Verdana" w:hAnsi="Verdana"/>
          <w:sz w:val="18"/>
          <w:szCs w:val="18"/>
        </w:rPr>
      </w:pPr>
    </w:p>
    <w:p w:rsidRPr="00B2192F" w:rsidR="00B2192F" w:rsidP="00B2192F" w:rsidRDefault="00B2192F" w14:paraId="242F5BA4" w14:textId="13ED7603">
      <w:pPr>
        <w:pStyle w:val="Geenafstand"/>
        <w:rPr>
          <w:rFonts w:ascii="Verdana" w:hAnsi="Verdana"/>
          <w:sz w:val="18"/>
          <w:szCs w:val="18"/>
        </w:rPr>
      </w:pPr>
      <w:r w:rsidRPr="00B2192F">
        <w:rPr>
          <w:rFonts w:ascii="Verdana" w:hAnsi="Verdana"/>
          <w:sz w:val="18"/>
          <w:szCs w:val="18"/>
        </w:rPr>
        <w:t xml:space="preserve">De NIS2-richtlijn bevat geen specifieke bepalingen over het toezicht op de naleving van de verplichtingen die zijn geïmplementeerd </w:t>
      </w:r>
      <w:r w:rsidR="008811BA">
        <w:rPr>
          <w:rFonts w:ascii="Verdana" w:hAnsi="Verdana"/>
          <w:sz w:val="18"/>
          <w:szCs w:val="18"/>
        </w:rPr>
        <w:t xml:space="preserve">in </w:t>
      </w:r>
      <w:r w:rsidRPr="00B2192F">
        <w:rPr>
          <w:rFonts w:ascii="Verdana" w:hAnsi="Verdana"/>
          <w:sz w:val="18"/>
          <w:szCs w:val="18"/>
        </w:rPr>
        <w:t xml:space="preserve">artikel 24, tweede tot en met zesde lid, </w:t>
      </w:r>
      <w:proofErr w:type="spellStart"/>
      <w:r w:rsidRPr="00B2192F">
        <w:rPr>
          <w:rFonts w:ascii="Verdana" w:hAnsi="Verdana"/>
          <w:sz w:val="18"/>
          <w:szCs w:val="18"/>
        </w:rPr>
        <w:t>Cbw</w:t>
      </w:r>
      <w:proofErr w:type="spellEnd"/>
      <w:r w:rsidRPr="00B2192F">
        <w:rPr>
          <w:rFonts w:ascii="Verdana" w:hAnsi="Verdana"/>
          <w:sz w:val="18"/>
          <w:szCs w:val="18"/>
        </w:rPr>
        <w:t xml:space="preserve">, die van toepassing zijn op leden van het bestuur van essentiële entiteiten en belangrijke entiteiten. De NIS2-richtlijn bevat alleen de algemene bepaling dat lidstaten ervoor moeten zorgen dat hun bevoegde autoriteiten effectief toezicht houden op en de noodzakelijke maatregelen nemen om te zorgen voor de naleving van de richtlijn (artikel 31, eerste lid, NIS2-richtlijn). Dit betekent dat het aan de lidstaten is om te komen tot een passende invulling van het toezicht op deze entiteiten. </w:t>
      </w:r>
    </w:p>
    <w:p w:rsidR="008811BA" w:rsidP="00B2192F" w:rsidRDefault="008811BA" w14:paraId="3D236838" w14:textId="77777777">
      <w:pPr>
        <w:pStyle w:val="Geenafstand"/>
        <w:rPr>
          <w:rFonts w:ascii="Verdana" w:hAnsi="Verdana"/>
          <w:sz w:val="18"/>
          <w:szCs w:val="18"/>
        </w:rPr>
      </w:pPr>
    </w:p>
    <w:p w:rsidR="008811BA" w:rsidP="008811BA" w:rsidRDefault="008811BA" w14:paraId="13A24978" w14:textId="1C0BD65B">
      <w:pPr>
        <w:pStyle w:val="Geenafstand"/>
        <w:rPr>
          <w:rFonts w:ascii="Verdana" w:hAnsi="Verdana"/>
          <w:sz w:val="18"/>
          <w:szCs w:val="18"/>
        </w:rPr>
      </w:pPr>
      <w:r>
        <w:rPr>
          <w:rFonts w:ascii="Verdana" w:hAnsi="Verdana"/>
          <w:sz w:val="18"/>
          <w:szCs w:val="18"/>
        </w:rPr>
        <w:t xml:space="preserve">Voor het toezicht op de leden van het bestuur van essentiële entiteiten en belangrijke entiteiten ten aanzien van de handhaving van </w:t>
      </w:r>
      <w:r w:rsidRPr="00B2192F" w:rsidR="00B2192F">
        <w:rPr>
          <w:rFonts w:ascii="Verdana" w:hAnsi="Verdana"/>
          <w:sz w:val="18"/>
          <w:szCs w:val="18"/>
        </w:rPr>
        <w:t xml:space="preserve">de verplichtingen uit artikel 24, tweede tot en met zesde lid, </w:t>
      </w:r>
      <w:proofErr w:type="spellStart"/>
      <w:r w:rsidRPr="00B2192F" w:rsidR="00B2192F">
        <w:rPr>
          <w:rFonts w:ascii="Verdana" w:hAnsi="Verdana"/>
          <w:sz w:val="18"/>
          <w:szCs w:val="18"/>
        </w:rPr>
        <w:t>Cbw</w:t>
      </w:r>
      <w:proofErr w:type="spellEnd"/>
      <w:r w:rsidRPr="00B2192F" w:rsidR="00B2192F">
        <w:rPr>
          <w:rFonts w:ascii="Verdana" w:hAnsi="Verdana"/>
          <w:sz w:val="18"/>
          <w:szCs w:val="18"/>
        </w:rPr>
        <w:t xml:space="preserve"> </w:t>
      </w:r>
      <w:r>
        <w:rPr>
          <w:rFonts w:ascii="Verdana" w:hAnsi="Verdana"/>
          <w:sz w:val="18"/>
          <w:szCs w:val="18"/>
        </w:rPr>
        <w:t>is gekozen voor de bevoegdheid van de toezichthoudende instantie tot het opleggen van een last onder dwangsom en bestuurlijke boete. Paragraaf 5.6.</w:t>
      </w:r>
      <w:r w:rsidR="003C6F3B">
        <w:rPr>
          <w:rFonts w:ascii="Verdana" w:hAnsi="Verdana"/>
          <w:sz w:val="18"/>
          <w:szCs w:val="18"/>
        </w:rPr>
        <w:t>3</w:t>
      </w:r>
      <w:r>
        <w:rPr>
          <w:rFonts w:ascii="Verdana" w:hAnsi="Verdana"/>
          <w:sz w:val="18"/>
          <w:szCs w:val="18"/>
        </w:rPr>
        <w:t xml:space="preserve"> gaat hier nader op in.</w:t>
      </w:r>
    </w:p>
    <w:bookmarkEnd w:id="300"/>
    <w:p w:rsidR="00D0002B" w:rsidP="00CE333A" w:rsidRDefault="00D0002B" w14:paraId="256C55BD" w14:textId="77777777">
      <w:pPr>
        <w:pStyle w:val="Geenafstand"/>
        <w:rPr>
          <w:rFonts w:ascii="Verdana" w:hAnsi="Verdana"/>
          <w:sz w:val="18"/>
          <w:szCs w:val="18"/>
        </w:rPr>
      </w:pPr>
    </w:p>
    <w:p w:rsidR="00D0002B" w:rsidP="00D0002B" w:rsidRDefault="00D0002B" w14:paraId="2912FAFF" w14:textId="4C9082BE">
      <w:pPr>
        <w:pStyle w:val="Geenafstand"/>
        <w:rPr>
          <w:rFonts w:ascii="Verdana" w:hAnsi="Verdana"/>
          <w:b/>
          <w:bCs/>
          <w:sz w:val="18"/>
          <w:szCs w:val="18"/>
        </w:rPr>
      </w:pPr>
      <w:r>
        <w:rPr>
          <w:rFonts w:ascii="Verdana" w:hAnsi="Verdana"/>
          <w:b/>
          <w:bCs/>
          <w:sz w:val="18"/>
          <w:szCs w:val="18"/>
        </w:rPr>
        <w:t xml:space="preserve">Artikel </w:t>
      </w:r>
      <w:r w:rsidR="00791639">
        <w:rPr>
          <w:rFonts w:ascii="Verdana" w:hAnsi="Verdana"/>
          <w:b/>
          <w:bCs/>
          <w:sz w:val="18"/>
          <w:szCs w:val="18"/>
        </w:rPr>
        <w:t xml:space="preserve">94 </w:t>
      </w:r>
      <w:r>
        <w:rPr>
          <w:rFonts w:ascii="Verdana" w:hAnsi="Verdana"/>
          <w:b/>
          <w:bCs/>
          <w:sz w:val="18"/>
          <w:szCs w:val="18"/>
        </w:rPr>
        <w:t>(evaluatiebepaling)</w:t>
      </w:r>
    </w:p>
    <w:p w:rsidR="00D0002B" w:rsidP="00D0002B" w:rsidRDefault="00D0002B" w14:paraId="5833CF4B" w14:textId="77777777">
      <w:pPr>
        <w:pStyle w:val="Geenafstand"/>
        <w:rPr>
          <w:rFonts w:ascii="Verdana" w:hAnsi="Verdana"/>
          <w:b/>
          <w:bCs/>
          <w:sz w:val="18"/>
          <w:szCs w:val="18"/>
        </w:rPr>
      </w:pPr>
    </w:p>
    <w:p w:rsidRPr="005A6C77" w:rsidR="00D0002B" w:rsidP="00D0002B" w:rsidRDefault="00D0002B" w14:paraId="56A45519" w14:textId="2DE7A725">
      <w:pPr>
        <w:pStyle w:val="Geenafstand"/>
        <w:rPr>
          <w:rFonts w:ascii="Verdana" w:hAnsi="Verdana"/>
          <w:sz w:val="18"/>
          <w:szCs w:val="18"/>
        </w:rPr>
      </w:pPr>
      <w:r w:rsidRPr="00877E93">
        <w:rPr>
          <w:rFonts w:ascii="Verdana" w:hAnsi="Verdana"/>
          <w:sz w:val="18"/>
          <w:szCs w:val="18"/>
        </w:rPr>
        <w:t xml:space="preserve">In artikel </w:t>
      </w:r>
      <w:r w:rsidR="00791639">
        <w:rPr>
          <w:rFonts w:ascii="Verdana" w:hAnsi="Verdana"/>
          <w:sz w:val="18"/>
          <w:szCs w:val="18"/>
        </w:rPr>
        <w:t>94</w:t>
      </w:r>
      <w:r w:rsidRPr="00877E93" w:rsidR="00791639">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w:t>
      </w:r>
      <w:r w:rsidRPr="00877E93">
        <w:rPr>
          <w:rFonts w:ascii="Verdana" w:hAnsi="Verdana"/>
          <w:sz w:val="18"/>
          <w:szCs w:val="18"/>
        </w:rPr>
        <w:t xml:space="preserve">is bepaald dat de doeltreffendheid en effectiviteit van de </w:t>
      </w:r>
      <w:proofErr w:type="spellStart"/>
      <w:r w:rsidRPr="00877E93">
        <w:rPr>
          <w:rFonts w:ascii="Verdana" w:hAnsi="Verdana"/>
          <w:sz w:val="18"/>
          <w:szCs w:val="18"/>
        </w:rPr>
        <w:t>Cbw</w:t>
      </w:r>
      <w:proofErr w:type="spellEnd"/>
      <w:r w:rsidRPr="00877E93">
        <w:rPr>
          <w:rFonts w:ascii="Verdana" w:hAnsi="Verdana"/>
          <w:sz w:val="18"/>
          <w:szCs w:val="18"/>
        </w:rPr>
        <w:t xml:space="preserve"> uiterlijk vijf jaar na </w:t>
      </w:r>
      <w:r>
        <w:rPr>
          <w:rFonts w:ascii="Verdana" w:hAnsi="Verdana"/>
          <w:sz w:val="18"/>
          <w:szCs w:val="18"/>
        </w:rPr>
        <w:t xml:space="preserve">de </w:t>
      </w:r>
      <w:r w:rsidRPr="00877E93">
        <w:rPr>
          <w:rFonts w:ascii="Verdana" w:hAnsi="Verdana"/>
          <w:sz w:val="18"/>
          <w:szCs w:val="18"/>
        </w:rPr>
        <w:t xml:space="preserve">inwerkingtreding </w:t>
      </w:r>
      <w:r>
        <w:rPr>
          <w:rFonts w:ascii="Verdana" w:hAnsi="Verdana"/>
          <w:sz w:val="18"/>
          <w:szCs w:val="18"/>
        </w:rPr>
        <w:t xml:space="preserve">van de </w:t>
      </w:r>
      <w:proofErr w:type="spellStart"/>
      <w:r>
        <w:rPr>
          <w:rFonts w:ascii="Verdana" w:hAnsi="Verdana"/>
          <w:sz w:val="18"/>
          <w:szCs w:val="18"/>
        </w:rPr>
        <w:t>Cbw</w:t>
      </w:r>
      <w:proofErr w:type="spellEnd"/>
      <w:r>
        <w:rPr>
          <w:rFonts w:ascii="Verdana" w:hAnsi="Verdana"/>
          <w:sz w:val="18"/>
          <w:szCs w:val="18"/>
        </w:rPr>
        <w:t xml:space="preserve"> </w:t>
      </w:r>
      <w:r w:rsidRPr="00877E93">
        <w:rPr>
          <w:rFonts w:ascii="Verdana" w:hAnsi="Verdana"/>
          <w:sz w:val="18"/>
          <w:szCs w:val="18"/>
        </w:rPr>
        <w:t>wordt geëvalueerd</w:t>
      </w:r>
      <w:r>
        <w:rPr>
          <w:rFonts w:ascii="Verdana" w:hAnsi="Verdana"/>
          <w:sz w:val="18"/>
          <w:szCs w:val="18"/>
        </w:rPr>
        <w:t xml:space="preserve"> en vervolgens elke drie jaar</w:t>
      </w:r>
      <w:r w:rsidRPr="00877E93">
        <w:rPr>
          <w:rFonts w:ascii="Verdana" w:hAnsi="Verdana"/>
          <w:sz w:val="18"/>
          <w:szCs w:val="18"/>
        </w:rPr>
        <w:t xml:space="preserve">. </w:t>
      </w:r>
      <w:r w:rsidRPr="0049068F">
        <w:rPr>
          <w:rFonts w:ascii="Verdana" w:hAnsi="Verdana"/>
          <w:sz w:val="18"/>
          <w:szCs w:val="18"/>
        </w:rPr>
        <w:t xml:space="preserve">Uit artikel 40 NIS2-richtlijn volgt dat de </w:t>
      </w:r>
      <w:r>
        <w:rPr>
          <w:rFonts w:ascii="Verdana" w:hAnsi="Verdana"/>
          <w:sz w:val="18"/>
          <w:szCs w:val="18"/>
        </w:rPr>
        <w:t xml:space="preserve">Europese </w:t>
      </w:r>
      <w:r w:rsidRPr="0049068F">
        <w:rPr>
          <w:rFonts w:ascii="Verdana" w:hAnsi="Verdana"/>
          <w:sz w:val="18"/>
          <w:szCs w:val="18"/>
        </w:rPr>
        <w:t>Commissie uiterlijk op 17 oktober 2027 en vervolgens om de 36 maanden de werking van de NIS2-richtlijn evalueert. Door te kiezen voor een termijn van vijf jaar</w:t>
      </w:r>
      <w:r>
        <w:rPr>
          <w:rFonts w:ascii="Verdana" w:hAnsi="Verdana"/>
          <w:sz w:val="18"/>
          <w:szCs w:val="18"/>
        </w:rPr>
        <w:t xml:space="preserve"> en daarna voor termijnen van drie jaar</w:t>
      </w:r>
      <w:r w:rsidRPr="0049068F">
        <w:rPr>
          <w:rFonts w:ascii="Verdana" w:hAnsi="Verdana"/>
          <w:sz w:val="18"/>
          <w:szCs w:val="18"/>
        </w:rPr>
        <w:t xml:space="preserve">, kan </w:t>
      </w:r>
      <w:r w:rsidRPr="00877E93">
        <w:rPr>
          <w:rFonts w:ascii="Verdana" w:hAnsi="Verdana"/>
          <w:sz w:val="18"/>
          <w:szCs w:val="18"/>
        </w:rPr>
        <w:t xml:space="preserve">bij de evaluatie van de </w:t>
      </w:r>
      <w:proofErr w:type="spellStart"/>
      <w:r w:rsidRPr="00877E93">
        <w:rPr>
          <w:rFonts w:ascii="Verdana" w:hAnsi="Verdana"/>
          <w:sz w:val="18"/>
          <w:szCs w:val="18"/>
        </w:rPr>
        <w:t>Cbw</w:t>
      </w:r>
      <w:proofErr w:type="spellEnd"/>
      <w:r w:rsidRPr="00877E93">
        <w:rPr>
          <w:rFonts w:ascii="Verdana" w:hAnsi="Verdana"/>
          <w:sz w:val="18"/>
          <w:szCs w:val="18"/>
        </w:rPr>
        <w:t xml:space="preserve"> </w:t>
      </w:r>
      <w:r>
        <w:rPr>
          <w:rFonts w:ascii="Verdana" w:hAnsi="Verdana"/>
          <w:sz w:val="18"/>
          <w:szCs w:val="18"/>
        </w:rPr>
        <w:t xml:space="preserve">worden aangesloten bij </w:t>
      </w:r>
      <w:r w:rsidRPr="00877E93">
        <w:rPr>
          <w:rFonts w:ascii="Verdana" w:hAnsi="Verdana"/>
          <w:sz w:val="18"/>
          <w:szCs w:val="18"/>
        </w:rPr>
        <w:t>de evaluatie</w:t>
      </w:r>
      <w:r>
        <w:rPr>
          <w:rFonts w:ascii="Verdana" w:hAnsi="Verdana"/>
          <w:sz w:val="18"/>
          <w:szCs w:val="18"/>
        </w:rPr>
        <w:t>cyclus</w:t>
      </w:r>
      <w:r w:rsidRPr="00877E93">
        <w:rPr>
          <w:rFonts w:ascii="Verdana" w:hAnsi="Verdana"/>
          <w:sz w:val="18"/>
          <w:szCs w:val="18"/>
        </w:rPr>
        <w:t xml:space="preserve"> van de Europese Commissie van de NIS2-richtlijn. </w:t>
      </w:r>
    </w:p>
    <w:p w:rsidR="00D0002B" w:rsidP="00F04178" w:rsidRDefault="00D0002B" w14:paraId="6F3AE80C" w14:textId="77777777">
      <w:pPr>
        <w:pStyle w:val="Geenafstand"/>
        <w:rPr>
          <w:rFonts w:ascii="Verdana" w:hAnsi="Verdana"/>
          <w:b/>
          <w:bCs/>
          <w:sz w:val="18"/>
          <w:szCs w:val="18"/>
        </w:rPr>
      </w:pPr>
    </w:p>
    <w:p w:rsidRPr="00BD7EEB" w:rsidR="00791639" w:rsidP="00791639" w:rsidRDefault="00791639" w14:paraId="0694F7FC" w14:textId="77777777">
      <w:pPr>
        <w:pStyle w:val="Geenafstand"/>
        <w:rPr>
          <w:rFonts w:ascii="Verdana" w:hAnsi="Verdana"/>
          <w:b/>
          <w:bCs/>
          <w:sz w:val="18"/>
          <w:szCs w:val="18"/>
        </w:rPr>
      </w:pPr>
      <w:r w:rsidRPr="00BD7EEB">
        <w:rPr>
          <w:rFonts w:ascii="Verdana" w:hAnsi="Verdana"/>
          <w:b/>
          <w:bCs/>
          <w:sz w:val="18"/>
          <w:szCs w:val="18"/>
        </w:rPr>
        <w:t xml:space="preserve">Artikel </w:t>
      </w:r>
      <w:r>
        <w:rPr>
          <w:rFonts w:ascii="Verdana" w:hAnsi="Verdana"/>
          <w:b/>
          <w:bCs/>
          <w:sz w:val="18"/>
          <w:szCs w:val="18"/>
        </w:rPr>
        <w:t>95</w:t>
      </w:r>
      <w:r w:rsidRPr="00BD7EEB">
        <w:rPr>
          <w:rFonts w:ascii="Verdana" w:hAnsi="Verdana"/>
          <w:b/>
          <w:bCs/>
          <w:sz w:val="18"/>
          <w:szCs w:val="18"/>
        </w:rPr>
        <w:t xml:space="preserve"> (besluiten en meldingen op grond van de Wet beveiliging netwerk- en informatiesystemen)</w:t>
      </w:r>
    </w:p>
    <w:p w:rsidR="00791639" w:rsidP="00791639" w:rsidRDefault="00791639" w14:paraId="1BFA4163" w14:textId="77777777">
      <w:pPr>
        <w:pStyle w:val="Geenafstand"/>
        <w:rPr>
          <w:rFonts w:ascii="Verdana" w:hAnsi="Verdana"/>
          <w:sz w:val="18"/>
          <w:szCs w:val="18"/>
        </w:rPr>
      </w:pPr>
    </w:p>
    <w:p w:rsidR="00791639" w:rsidP="00791639" w:rsidRDefault="00791639" w14:paraId="6AAB2756" w14:textId="77777777">
      <w:pPr>
        <w:pStyle w:val="Geenafstand"/>
        <w:rPr>
          <w:rFonts w:ascii="Verdana" w:hAnsi="Verdana"/>
          <w:sz w:val="18"/>
          <w:szCs w:val="18"/>
        </w:rPr>
      </w:pPr>
      <w:r>
        <w:rPr>
          <w:rFonts w:ascii="Verdana" w:hAnsi="Verdana"/>
          <w:sz w:val="18"/>
          <w:szCs w:val="18"/>
        </w:rPr>
        <w:t xml:space="preserve">Artikel 95 </w:t>
      </w:r>
      <w:proofErr w:type="spellStart"/>
      <w:r>
        <w:rPr>
          <w:rFonts w:ascii="Verdana" w:hAnsi="Verdana"/>
          <w:sz w:val="18"/>
          <w:szCs w:val="18"/>
        </w:rPr>
        <w:t>Cbw</w:t>
      </w:r>
      <w:proofErr w:type="spellEnd"/>
      <w:r>
        <w:rPr>
          <w:rFonts w:ascii="Verdana" w:hAnsi="Verdana"/>
          <w:sz w:val="18"/>
          <w:szCs w:val="18"/>
        </w:rPr>
        <w:t xml:space="preserve"> voorziet in overgangsrecht. </w:t>
      </w:r>
      <w:r w:rsidRPr="006064D1">
        <w:rPr>
          <w:rFonts w:ascii="Verdana" w:hAnsi="Verdana"/>
          <w:sz w:val="18"/>
          <w:szCs w:val="18"/>
        </w:rPr>
        <w:t xml:space="preserve">Dit is nodig, omdat de </w:t>
      </w:r>
      <w:proofErr w:type="spellStart"/>
      <w:r w:rsidRPr="006064D1">
        <w:rPr>
          <w:rFonts w:ascii="Verdana" w:hAnsi="Verdana"/>
          <w:sz w:val="18"/>
          <w:szCs w:val="18"/>
        </w:rPr>
        <w:t>Cbw</w:t>
      </w:r>
      <w:proofErr w:type="spellEnd"/>
      <w:r w:rsidRPr="006064D1">
        <w:rPr>
          <w:rFonts w:ascii="Verdana" w:hAnsi="Verdana"/>
          <w:sz w:val="18"/>
          <w:szCs w:val="18"/>
        </w:rPr>
        <w:t xml:space="preserve"> voorziet in het verval van de </w:t>
      </w:r>
      <w:proofErr w:type="spellStart"/>
      <w:r w:rsidRPr="006064D1">
        <w:rPr>
          <w:rFonts w:ascii="Verdana" w:hAnsi="Verdana"/>
          <w:sz w:val="18"/>
          <w:szCs w:val="18"/>
        </w:rPr>
        <w:t>Wbni</w:t>
      </w:r>
      <w:proofErr w:type="spellEnd"/>
      <w:r w:rsidRPr="006064D1">
        <w:rPr>
          <w:rFonts w:ascii="Verdana" w:hAnsi="Verdana"/>
          <w:sz w:val="18"/>
          <w:szCs w:val="18"/>
        </w:rPr>
        <w:t xml:space="preserve"> en er voor het moment van dat verval besluiten kunnen zijn genomen op grond van de </w:t>
      </w:r>
      <w:proofErr w:type="spellStart"/>
      <w:r w:rsidRPr="006064D1">
        <w:rPr>
          <w:rFonts w:ascii="Verdana" w:hAnsi="Verdana"/>
          <w:sz w:val="18"/>
          <w:szCs w:val="18"/>
        </w:rPr>
        <w:t>Wbni</w:t>
      </w:r>
      <w:proofErr w:type="spellEnd"/>
      <w:r w:rsidRPr="006064D1">
        <w:rPr>
          <w:rFonts w:ascii="Verdana" w:hAnsi="Verdana"/>
          <w:sz w:val="18"/>
          <w:szCs w:val="18"/>
        </w:rPr>
        <w:t xml:space="preserve"> of meldingen kunnen zijn gedaan op grond van artikel 10 </w:t>
      </w:r>
      <w:r>
        <w:rPr>
          <w:rFonts w:ascii="Verdana" w:hAnsi="Verdana"/>
          <w:sz w:val="18"/>
          <w:szCs w:val="18"/>
        </w:rPr>
        <w:t xml:space="preserve">of 13 </w:t>
      </w:r>
      <w:proofErr w:type="spellStart"/>
      <w:r w:rsidRPr="006064D1">
        <w:rPr>
          <w:rFonts w:ascii="Verdana" w:hAnsi="Verdana"/>
          <w:sz w:val="18"/>
          <w:szCs w:val="18"/>
        </w:rPr>
        <w:t>Wbni</w:t>
      </w:r>
      <w:proofErr w:type="spellEnd"/>
      <w:r w:rsidRPr="006064D1">
        <w:rPr>
          <w:rFonts w:ascii="Verdana" w:hAnsi="Verdana"/>
          <w:sz w:val="18"/>
          <w:szCs w:val="18"/>
        </w:rPr>
        <w:t xml:space="preserve">. In artikel </w:t>
      </w:r>
      <w:r>
        <w:rPr>
          <w:rFonts w:ascii="Verdana" w:hAnsi="Verdana"/>
          <w:sz w:val="18"/>
          <w:szCs w:val="18"/>
        </w:rPr>
        <w:t>95</w:t>
      </w:r>
      <w:r w:rsidRPr="006064D1">
        <w:rPr>
          <w:rFonts w:ascii="Verdana" w:hAnsi="Verdana"/>
          <w:sz w:val="18"/>
          <w:szCs w:val="18"/>
        </w:rPr>
        <w:t xml:space="preserve"> </w:t>
      </w:r>
      <w:proofErr w:type="spellStart"/>
      <w:r w:rsidRPr="006064D1">
        <w:rPr>
          <w:rFonts w:ascii="Verdana" w:hAnsi="Verdana"/>
          <w:sz w:val="18"/>
          <w:szCs w:val="18"/>
        </w:rPr>
        <w:t>Cbw</w:t>
      </w:r>
      <w:proofErr w:type="spellEnd"/>
      <w:r w:rsidRPr="006064D1">
        <w:rPr>
          <w:rFonts w:ascii="Verdana" w:hAnsi="Verdana"/>
          <w:sz w:val="18"/>
          <w:szCs w:val="18"/>
        </w:rPr>
        <w:t xml:space="preserve"> wordt geregeld welk recht van toepassing is indien er voor het verval van de </w:t>
      </w:r>
      <w:proofErr w:type="spellStart"/>
      <w:r w:rsidRPr="006064D1">
        <w:rPr>
          <w:rFonts w:ascii="Verdana" w:hAnsi="Verdana"/>
          <w:sz w:val="18"/>
          <w:szCs w:val="18"/>
        </w:rPr>
        <w:t>Wbni</w:t>
      </w:r>
      <w:proofErr w:type="spellEnd"/>
      <w:r w:rsidRPr="006064D1">
        <w:rPr>
          <w:rFonts w:ascii="Verdana" w:hAnsi="Verdana"/>
          <w:sz w:val="18"/>
          <w:szCs w:val="18"/>
        </w:rPr>
        <w:t xml:space="preserve"> een besluit is genomen op grond van de </w:t>
      </w:r>
      <w:proofErr w:type="spellStart"/>
      <w:r w:rsidRPr="006064D1">
        <w:rPr>
          <w:rFonts w:ascii="Verdana" w:hAnsi="Verdana"/>
          <w:sz w:val="18"/>
          <w:szCs w:val="18"/>
        </w:rPr>
        <w:t>Wbni</w:t>
      </w:r>
      <w:proofErr w:type="spellEnd"/>
      <w:r w:rsidRPr="006064D1">
        <w:rPr>
          <w:rFonts w:ascii="Verdana" w:hAnsi="Verdana"/>
          <w:sz w:val="18"/>
          <w:szCs w:val="18"/>
        </w:rPr>
        <w:t xml:space="preserve"> of een melding is gedaan op grond van artikel 10</w:t>
      </w:r>
      <w:r>
        <w:rPr>
          <w:rFonts w:ascii="Verdana" w:hAnsi="Verdana"/>
          <w:sz w:val="18"/>
          <w:szCs w:val="18"/>
        </w:rPr>
        <w:t xml:space="preserve"> of 13</w:t>
      </w:r>
      <w:r w:rsidRPr="006064D1">
        <w:rPr>
          <w:rFonts w:ascii="Verdana" w:hAnsi="Verdana"/>
          <w:sz w:val="18"/>
          <w:szCs w:val="18"/>
        </w:rPr>
        <w:t xml:space="preserve"> </w:t>
      </w:r>
      <w:proofErr w:type="spellStart"/>
      <w:r w:rsidRPr="006064D1">
        <w:rPr>
          <w:rFonts w:ascii="Verdana" w:hAnsi="Verdana"/>
          <w:sz w:val="18"/>
          <w:szCs w:val="18"/>
        </w:rPr>
        <w:t>Wbni</w:t>
      </w:r>
      <w:proofErr w:type="spellEnd"/>
      <w:r w:rsidRPr="006064D1">
        <w:rPr>
          <w:rFonts w:ascii="Verdana" w:hAnsi="Verdana"/>
          <w:sz w:val="18"/>
          <w:szCs w:val="18"/>
        </w:rPr>
        <w:t>.</w:t>
      </w:r>
    </w:p>
    <w:p w:rsidR="00791639" w:rsidP="00791639" w:rsidRDefault="00791639" w14:paraId="43110D2C" w14:textId="77777777">
      <w:pPr>
        <w:pStyle w:val="Geenafstand"/>
        <w:rPr>
          <w:rFonts w:ascii="Verdana" w:hAnsi="Verdana"/>
          <w:sz w:val="18"/>
          <w:szCs w:val="18"/>
        </w:rPr>
      </w:pPr>
    </w:p>
    <w:p w:rsidR="00791639" w:rsidP="00791639" w:rsidRDefault="00791639" w14:paraId="00331F4A" w14:textId="77777777">
      <w:pPr>
        <w:pStyle w:val="Geenafstand"/>
        <w:rPr>
          <w:rFonts w:ascii="Verdana" w:hAnsi="Verdana"/>
          <w:sz w:val="18"/>
          <w:szCs w:val="18"/>
        </w:rPr>
      </w:pPr>
      <w:r>
        <w:rPr>
          <w:rFonts w:ascii="Verdana" w:hAnsi="Verdana"/>
          <w:sz w:val="18"/>
          <w:szCs w:val="18"/>
        </w:rPr>
        <w:t xml:space="preserve">Artikel 95, eerste lid, </w:t>
      </w:r>
      <w:proofErr w:type="spellStart"/>
      <w:r>
        <w:rPr>
          <w:rFonts w:ascii="Verdana" w:hAnsi="Verdana"/>
          <w:sz w:val="18"/>
          <w:szCs w:val="18"/>
        </w:rPr>
        <w:t>Cbw</w:t>
      </w:r>
      <w:proofErr w:type="spellEnd"/>
      <w:r>
        <w:rPr>
          <w:rFonts w:ascii="Verdana" w:hAnsi="Verdana"/>
          <w:sz w:val="18"/>
          <w:szCs w:val="18"/>
        </w:rPr>
        <w:t xml:space="preserve"> ziet op besluiten die zijn genomen op grond van de </w:t>
      </w:r>
      <w:proofErr w:type="spellStart"/>
      <w:r>
        <w:rPr>
          <w:rFonts w:ascii="Verdana" w:hAnsi="Verdana"/>
          <w:sz w:val="18"/>
          <w:szCs w:val="18"/>
        </w:rPr>
        <w:t>Wbni</w:t>
      </w:r>
      <w:proofErr w:type="spellEnd"/>
      <w:r>
        <w:rPr>
          <w:rFonts w:ascii="Verdana" w:hAnsi="Verdana"/>
          <w:sz w:val="18"/>
          <w:szCs w:val="18"/>
        </w:rPr>
        <w:t xml:space="preserve">. Te denken valt bijvoorbeeld aan een bestuurlijke boete vanwege de schending van de zorgplicht uit de </w:t>
      </w:r>
      <w:proofErr w:type="spellStart"/>
      <w:r>
        <w:rPr>
          <w:rFonts w:ascii="Verdana" w:hAnsi="Verdana"/>
          <w:sz w:val="18"/>
          <w:szCs w:val="18"/>
        </w:rPr>
        <w:t>Wbni</w:t>
      </w:r>
      <w:proofErr w:type="spellEnd"/>
      <w:r>
        <w:rPr>
          <w:rFonts w:ascii="Verdana" w:hAnsi="Verdana"/>
          <w:sz w:val="18"/>
          <w:szCs w:val="18"/>
        </w:rPr>
        <w:t xml:space="preserve">. In artikel 95, eerste lid, </w:t>
      </w:r>
      <w:proofErr w:type="spellStart"/>
      <w:r>
        <w:rPr>
          <w:rFonts w:ascii="Verdana" w:hAnsi="Verdana"/>
          <w:sz w:val="18"/>
          <w:szCs w:val="18"/>
        </w:rPr>
        <w:t>Cbw</w:t>
      </w:r>
      <w:proofErr w:type="spellEnd"/>
      <w:r>
        <w:rPr>
          <w:rFonts w:ascii="Verdana" w:hAnsi="Verdana"/>
          <w:sz w:val="18"/>
          <w:szCs w:val="18"/>
        </w:rPr>
        <w:t xml:space="preserve"> is geregeld tot welk tijdstip het oude recht van toepassing blijft wanneer er voor het verval van de </w:t>
      </w:r>
      <w:proofErr w:type="spellStart"/>
      <w:r>
        <w:rPr>
          <w:rFonts w:ascii="Verdana" w:hAnsi="Verdana"/>
          <w:sz w:val="18"/>
          <w:szCs w:val="18"/>
        </w:rPr>
        <w:t>Wbni</w:t>
      </w:r>
      <w:proofErr w:type="spellEnd"/>
      <w:r>
        <w:rPr>
          <w:rFonts w:ascii="Verdana" w:hAnsi="Verdana"/>
          <w:sz w:val="18"/>
          <w:szCs w:val="18"/>
        </w:rPr>
        <w:t xml:space="preserve"> een besluit is genomen op grond van de </w:t>
      </w:r>
      <w:proofErr w:type="spellStart"/>
      <w:r>
        <w:rPr>
          <w:rFonts w:ascii="Verdana" w:hAnsi="Verdana"/>
          <w:sz w:val="18"/>
          <w:szCs w:val="18"/>
        </w:rPr>
        <w:t>Wbni</w:t>
      </w:r>
      <w:proofErr w:type="spellEnd"/>
      <w:r>
        <w:rPr>
          <w:rFonts w:ascii="Verdana" w:hAnsi="Verdana"/>
          <w:sz w:val="18"/>
          <w:szCs w:val="18"/>
        </w:rPr>
        <w:t xml:space="preserve">. </w:t>
      </w:r>
    </w:p>
    <w:p w:rsidR="00791639" w:rsidP="00791639" w:rsidRDefault="00791639" w14:paraId="4444063E" w14:textId="77777777">
      <w:pPr>
        <w:pStyle w:val="Geenafstand"/>
        <w:rPr>
          <w:rFonts w:ascii="Verdana" w:hAnsi="Verdana"/>
          <w:sz w:val="18"/>
          <w:szCs w:val="18"/>
        </w:rPr>
      </w:pPr>
    </w:p>
    <w:p w:rsidRPr="005465E9" w:rsidR="00791639" w:rsidP="00791639" w:rsidRDefault="00791639" w14:paraId="00B04063" w14:textId="77777777">
      <w:pPr>
        <w:pStyle w:val="Geenafstand"/>
        <w:rPr>
          <w:rFonts w:ascii="Verdana" w:hAnsi="Verdana"/>
          <w:sz w:val="18"/>
          <w:szCs w:val="18"/>
        </w:rPr>
      </w:pPr>
      <w:r>
        <w:rPr>
          <w:rFonts w:ascii="Verdana" w:hAnsi="Verdana"/>
          <w:sz w:val="18"/>
          <w:szCs w:val="18"/>
        </w:rPr>
        <w:t xml:space="preserve">Artikel </w:t>
      </w:r>
      <w:r w:rsidRPr="00E27874">
        <w:rPr>
          <w:rFonts w:ascii="Verdana" w:hAnsi="Verdana"/>
          <w:sz w:val="18"/>
          <w:szCs w:val="18"/>
        </w:rPr>
        <w:t>95, tweede</w:t>
      </w:r>
      <w:r>
        <w:rPr>
          <w:rFonts w:ascii="Verdana" w:hAnsi="Verdana"/>
          <w:sz w:val="18"/>
          <w:szCs w:val="18"/>
        </w:rPr>
        <w:t xml:space="preserve"> lid, </w:t>
      </w:r>
      <w:proofErr w:type="spellStart"/>
      <w:r>
        <w:rPr>
          <w:rFonts w:ascii="Verdana" w:hAnsi="Verdana"/>
          <w:sz w:val="18"/>
          <w:szCs w:val="18"/>
        </w:rPr>
        <w:t>Cbw</w:t>
      </w:r>
      <w:proofErr w:type="spellEnd"/>
      <w:r>
        <w:rPr>
          <w:rFonts w:ascii="Verdana" w:hAnsi="Verdana"/>
          <w:sz w:val="18"/>
          <w:szCs w:val="18"/>
        </w:rPr>
        <w:t xml:space="preserve"> ziet op meldingen die zijn gedaan op grond van artikel 10 of 13 </w:t>
      </w:r>
      <w:proofErr w:type="spellStart"/>
      <w:r>
        <w:rPr>
          <w:rFonts w:ascii="Verdana" w:hAnsi="Verdana"/>
          <w:sz w:val="18"/>
          <w:szCs w:val="18"/>
        </w:rPr>
        <w:t>Wbni</w:t>
      </w:r>
      <w:proofErr w:type="spellEnd"/>
      <w:r>
        <w:rPr>
          <w:rFonts w:ascii="Verdana" w:hAnsi="Verdana"/>
          <w:sz w:val="18"/>
          <w:szCs w:val="18"/>
        </w:rPr>
        <w:t xml:space="preserve">. Het is nodig om een regeling te treffen voor de entiteiten waarop na de inwerkingtreding van de </w:t>
      </w:r>
      <w:proofErr w:type="spellStart"/>
      <w:r>
        <w:rPr>
          <w:rFonts w:ascii="Verdana" w:hAnsi="Verdana"/>
          <w:sz w:val="18"/>
          <w:szCs w:val="18"/>
        </w:rPr>
        <w:t>Cbw</w:t>
      </w:r>
      <w:proofErr w:type="spellEnd"/>
      <w:r>
        <w:rPr>
          <w:rFonts w:ascii="Verdana" w:hAnsi="Verdana"/>
          <w:sz w:val="18"/>
          <w:szCs w:val="18"/>
        </w:rPr>
        <w:t xml:space="preserve"> de meldplicht uit de </w:t>
      </w:r>
      <w:proofErr w:type="spellStart"/>
      <w:r>
        <w:rPr>
          <w:rFonts w:ascii="Verdana" w:hAnsi="Verdana"/>
          <w:sz w:val="18"/>
          <w:szCs w:val="18"/>
        </w:rPr>
        <w:t>Cbw</w:t>
      </w:r>
      <w:proofErr w:type="spellEnd"/>
      <w:r>
        <w:rPr>
          <w:rFonts w:ascii="Verdana" w:hAnsi="Verdana"/>
          <w:sz w:val="18"/>
          <w:szCs w:val="18"/>
        </w:rPr>
        <w:t xml:space="preserve"> van toepassing is. Als een entiteit op grond van artikel 10 of 13 </w:t>
      </w:r>
      <w:proofErr w:type="spellStart"/>
      <w:r>
        <w:rPr>
          <w:rFonts w:ascii="Verdana" w:hAnsi="Verdana"/>
          <w:sz w:val="18"/>
          <w:szCs w:val="18"/>
        </w:rPr>
        <w:t>Wbni</w:t>
      </w:r>
      <w:proofErr w:type="spellEnd"/>
      <w:r>
        <w:rPr>
          <w:rFonts w:ascii="Verdana" w:hAnsi="Verdana"/>
          <w:sz w:val="18"/>
          <w:szCs w:val="18"/>
        </w:rPr>
        <w:t xml:space="preserve"> een melding heeft gedaan en artikel 25 </w:t>
      </w:r>
      <w:proofErr w:type="spellStart"/>
      <w:r>
        <w:rPr>
          <w:rFonts w:ascii="Verdana" w:hAnsi="Verdana"/>
          <w:sz w:val="18"/>
          <w:szCs w:val="18"/>
        </w:rPr>
        <w:t>Cbw</w:t>
      </w:r>
      <w:proofErr w:type="spellEnd"/>
      <w:r>
        <w:rPr>
          <w:rFonts w:ascii="Verdana" w:hAnsi="Verdana"/>
          <w:sz w:val="18"/>
          <w:szCs w:val="18"/>
        </w:rPr>
        <w:t xml:space="preserve"> van toepassing is op die entiteit, wordt de op grond van de </w:t>
      </w:r>
      <w:proofErr w:type="spellStart"/>
      <w:r>
        <w:rPr>
          <w:rFonts w:ascii="Verdana" w:hAnsi="Verdana"/>
          <w:sz w:val="18"/>
          <w:szCs w:val="18"/>
        </w:rPr>
        <w:t>Wbni</w:t>
      </w:r>
      <w:proofErr w:type="spellEnd"/>
      <w:r>
        <w:rPr>
          <w:rFonts w:ascii="Verdana" w:hAnsi="Verdana"/>
          <w:sz w:val="18"/>
          <w:szCs w:val="18"/>
        </w:rPr>
        <w:t xml:space="preserve"> gedane melding aangemerkt als een vroegtijdige waarschuwing als bedoeld in artikel 26 </w:t>
      </w:r>
      <w:proofErr w:type="spellStart"/>
      <w:r>
        <w:rPr>
          <w:rFonts w:ascii="Verdana" w:hAnsi="Verdana"/>
          <w:sz w:val="18"/>
          <w:szCs w:val="18"/>
        </w:rPr>
        <w:t>Cbw</w:t>
      </w:r>
      <w:proofErr w:type="spellEnd"/>
      <w:r>
        <w:rPr>
          <w:rFonts w:ascii="Verdana" w:hAnsi="Verdana"/>
          <w:sz w:val="18"/>
          <w:szCs w:val="18"/>
        </w:rPr>
        <w:t xml:space="preserve">. De laatste volzin van artikel 95, tweede lid, </w:t>
      </w:r>
      <w:proofErr w:type="spellStart"/>
      <w:r>
        <w:rPr>
          <w:rFonts w:ascii="Verdana" w:hAnsi="Verdana"/>
          <w:sz w:val="18"/>
          <w:szCs w:val="18"/>
        </w:rPr>
        <w:t>Cbw</w:t>
      </w:r>
      <w:proofErr w:type="spellEnd"/>
      <w:r>
        <w:rPr>
          <w:rFonts w:ascii="Verdana" w:hAnsi="Verdana"/>
          <w:sz w:val="18"/>
          <w:szCs w:val="18"/>
        </w:rPr>
        <w:t xml:space="preserve"> ziet op de gevallen waarin de op grond van de </w:t>
      </w:r>
      <w:proofErr w:type="spellStart"/>
      <w:r>
        <w:rPr>
          <w:rFonts w:ascii="Verdana" w:hAnsi="Verdana"/>
          <w:sz w:val="18"/>
          <w:szCs w:val="18"/>
        </w:rPr>
        <w:t>Wbni</w:t>
      </w:r>
      <w:proofErr w:type="spellEnd"/>
      <w:r>
        <w:rPr>
          <w:rFonts w:ascii="Verdana" w:hAnsi="Verdana"/>
          <w:sz w:val="18"/>
          <w:szCs w:val="18"/>
        </w:rPr>
        <w:t xml:space="preserve"> gedane melding ziet op een inbreuk als bedoeld in artikel 10, eerste lid, onderdeel b, </w:t>
      </w:r>
      <w:proofErr w:type="spellStart"/>
      <w:r>
        <w:rPr>
          <w:rFonts w:ascii="Verdana" w:hAnsi="Verdana"/>
          <w:sz w:val="18"/>
          <w:szCs w:val="18"/>
        </w:rPr>
        <w:t>Wbni</w:t>
      </w:r>
      <w:proofErr w:type="spellEnd"/>
      <w:r>
        <w:rPr>
          <w:rFonts w:ascii="Verdana" w:hAnsi="Verdana"/>
          <w:sz w:val="18"/>
          <w:szCs w:val="18"/>
        </w:rPr>
        <w:t xml:space="preserve">. In die gevallen is de melder op grond van artikel 10 </w:t>
      </w:r>
      <w:proofErr w:type="spellStart"/>
      <w:r>
        <w:rPr>
          <w:rFonts w:ascii="Verdana" w:hAnsi="Verdana"/>
          <w:sz w:val="18"/>
          <w:szCs w:val="18"/>
        </w:rPr>
        <w:t>Wbni</w:t>
      </w:r>
      <w:proofErr w:type="spellEnd"/>
      <w:r>
        <w:rPr>
          <w:rFonts w:ascii="Verdana" w:hAnsi="Verdana"/>
          <w:sz w:val="18"/>
          <w:szCs w:val="18"/>
        </w:rPr>
        <w:t xml:space="preserve"> namelijk alleen verplicht om een melding te doen bij de Minister van Justitie en Veiligheid (en niet ook bij de bevoegde autoriteit). Omdat de meldplicht uit de </w:t>
      </w:r>
      <w:proofErr w:type="spellStart"/>
      <w:r>
        <w:rPr>
          <w:rFonts w:ascii="Verdana" w:hAnsi="Verdana"/>
          <w:sz w:val="18"/>
          <w:szCs w:val="18"/>
        </w:rPr>
        <w:t>Cbw</w:t>
      </w:r>
      <w:proofErr w:type="spellEnd"/>
      <w:r>
        <w:rPr>
          <w:rFonts w:ascii="Verdana" w:hAnsi="Verdana"/>
          <w:sz w:val="18"/>
          <w:szCs w:val="18"/>
        </w:rPr>
        <w:t xml:space="preserve"> een dubbele meldplicht betreft bij zowel het CSIRT als de bevoegde autoriteit, wordt in de laatste volzin geregeld dat de Minister van Justitie en Veiligheid de melding van een hiervoor bedoelde inbreuk moet doorsturen aan de bevoegde autoriteit. </w:t>
      </w:r>
    </w:p>
    <w:p w:rsidRPr="00C47325" w:rsidR="00791639" w:rsidP="00791639" w:rsidRDefault="00791639" w14:paraId="04A2B8E3" w14:textId="77777777">
      <w:pPr>
        <w:pStyle w:val="Geenafstand"/>
        <w:rPr>
          <w:rFonts w:ascii="Verdana" w:hAnsi="Verdana"/>
          <w:sz w:val="18"/>
          <w:szCs w:val="18"/>
        </w:rPr>
      </w:pPr>
    </w:p>
    <w:p w:rsidRPr="00B4544F" w:rsidR="00791639" w:rsidP="00791639" w:rsidRDefault="00791639" w14:paraId="719B824D" w14:textId="77777777">
      <w:pPr>
        <w:spacing w:after="0" w:line="240" w:lineRule="auto"/>
        <w:rPr>
          <w:rFonts w:ascii="Verdana" w:hAnsi="Verdana"/>
          <w:b/>
          <w:bCs/>
          <w:sz w:val="18"/>
          <w:szCs w:val="18"/>
        </w:rPr>
      </w:pPr>
      <w:r w:rsidRPr="00B4544F">
        <w:rPr>
          <w:rFonts w:ascii="Verdana" w:hAnsi="Verdana"/>
          <w:b/>
          <w:bCs/>
          <w:sz w:val="18"/>
          <w:szCs w:val="18"/>
        </w:rPr>
        <w:t xml:space="preserve">Artikel </w:t>
      </w:r>
      <w:r>
        <w:rPr>
          <w:rFonts w:ascii="Verdana" w:hAnsi="Verdana"/>
          <w:b/>
          <w:bCs/>
          <w:sz w:val="18"/>
          <w:szCs w:val="18"/>
        </w:rPr>
        <w:t>96</w:t>
      </w:r>
      <w:r w:rsidRPr="00B4544F">
        <w:rPr>
          <w:rFonts w:ascii="Verdana" w:hAnsi="Verdana"/>
          <w:b/>
          <w:bCs/>
          <w:sz w:val="18"/>
          <w:szCs w:val="18"/>
        </w:rPr>
        <w:t xml:space="preserve"> (</w:t>
      </w:r>
      <w:r>
        <w:rPr>
          <w:rFonts w:ascii="Verdana" w:hAnsi="Verdana"/>
          <w:b/>
          <w:bCs/>
          <w:sz w:val="18"/>
          <w:szCs w:val="18"/>
        </w:rPr>
        <w:t>bijstand</w:t>
      </w:r>
      <w:r w:rsidRPr="00B4544F">
        <w:rPr>
          <w:rFonts w:ascii="Verdana" w:hAnsi="Verdana"/>
          <w:b/>
          <w:bCs/>
          <w:sz w:val="18"/>
          <w:szCs w:val="18"/>
        </w:rPr>
        <w:t xml:space="preserve"> ten behoeve van andere entiteiten)</w:t>
      </w:r>
    </w:p>
    <w:p w:rsidRPr="00B4544F" w:rsidR="00791639" w:rsidP="00791639" w:rsidRDefault="00791639" w14:paraId="75E2C541" w14:textId="77777777">
      <w:pPr>
        <w:spacing w:after="0" w:line="240" w:lineRule="auto"/>
        <w:rPr>
          <w:rFonts w:ascii="Verdana" w:hAnsi="Verdana"/>
          <w:sz w:val="18"/>
          <w:szCs w:val="18"/>
        </w:rPr>
      </w:pPr>
    </w:p>
    <w:p w:rsidR="00791639" w:rsidP="00791639" w:rsidRDefault="00791639" w14:paraId="17B6442E" w14:textId="350CCD83">
      <w:pPr>
        <w:spacing w:after="0" w:line="240" w:lineRule="auto"/>
        <w:rPr>
          <w:rFonts w:ascii="Verdana" w:hAnsi="Verdana"/>
          <w:sz w:val="18"/>
          <w:szCs w:val="18"/>
        </w:rPr>
      </w:pPr>
      <w:r>
        <w:rPr>
          <w:rFonts w:ascii="Verdana" w:hAnsi="Verdana"/>
          <w:sz w:val="18"/>
          <w:szCs w:val="18"/>
        </w:rPr>
        <w:t xml:space="preserve">Op grond van artikel 3, eerste lid, </w:t>
      </w:r>
      <w:proofErr w:type="spellStart"/>
      <w:r>
        <w:rPr>
          <w:rFonts w:ascii="Verdana" w:hAnsi="Verdana"/>
          <w:sz w:val="18"/>
          <w:szCs w:val="18"/>
        </w:rPr>
        <w:t>Wbni</w:t>
      </w:r>
      <w:proofErr w:type="spellEnd"/>
      <w:r>
        <w:rPr>
          <w:rFonts w:ascii="Verdana" w:hAnsi="Verdana"/>
          <w:sz w:val="18"/>
          <w:szCs w:val="18"/>
        </w:rPr>
        <w:t xml:space="preserve"> hebben vitale aanbieders en aanbieders die onderdeel zijn van de rijksoverheid recht op bijstand, informatie en advies van de Minister van Justitie en Veiligheid (in de praktijk: </w:t>
      </w:r>
      <w:r w:rsidRPr="00B4544F">
        <w:rPr>
          <w:rFonts w:ascii="Verdana" w:hAnsi="Verdana"/>
          <w:sz w:val="18"/>
          <w:szCs w:val="18"/>
        </w:rPr>
        <w:t>het NCSC</w:t>
      </w:r>
      <w:r>
        <w:rPr>
          <w:rFonts w:ascii="Verdana" w:hAnsi="Verdana"/>
          <w:sz w:val="18"/>
          <w:szCs w:val="18"/>
        </w:rPr>
        <w:t>)</w:t>
      </w:r>
      <w:r w:rsidRPr="00B4544F">
        <w:rPr>
          <w:rFonts w:ascii="Verdana" w:hAnsi="Verdana"/>
          <w:sz w:val="18"/>
          <w:szCs w:val="18"/>
        </w:rPr>
        <w:t xml:space="preserve"> </w:t>
      </w:r>
      <w:r>
        <w:rPr>
          <w:rFonts w:ascii="Verdana" w:hAnsi="Verdana"/>
          <w:sz w:val="18"/>
          <w:szCs w:val="18"/>
        </w:rPr>
        <w:t>in geval van dreigingen en incidenten. Een aantal van die aanbieders</w:t>
      </w:r>
      <w:r w:rsidRPr="00B4544F">
        <w:rPr>
          <w:rFonts w:ascii="Verdana" w:hAnsi="Verdana"/>
          <w:sz w:val="18"/>
          <w:szCs w:val="18"/>
        </w:rPr>
        <w:t xml:space="preserve"> </w:t>
      </w:r>
      <w:r>
        <w:rPr>
          <w:rFonts w:ascii="Verdana" w:hAnsi="Verdana"/>
          <w:sz w:val="18"/>
          <w:szCs w:val="18"/>
        </w:rPr>
        <w:t xml:space="preserve">vallen buiten de toepasselijkheid van de </w:t>
      </w:r>
      <w:proofErr w:type="spellStart"/>
      <w:r>
        <w:rPr>
          <w:rFonts w:ascii="Verdana" w:hAnsi="Verdana"/>
          <w:sz w:val="18"/>
          <w:szCs w:val="18"/>
        </w:rPr>
        <w:t>Cbw</w:t>
      </w:r>
      <w:proofErr w:type="spellEnd"/>
      <w:r>
        <w:rPr>
          <w:rFonts w:ascii="Verdana" w:hAnsi="Verdana"/>
          <w:sz w:val="18"/>
          <w:szCs w:val="18"/>
        </w:rPr>
        <w:t xml:space="preserve">, waardoor zij ook buiten de toepasselijkheid van bijvoorbeeld artikel 16 </w:t>
      </w:r>
      <w:proofErr w:type="spellStart"/>
      <w:r>
        <w:rPr>
          <w:rFonts w:ascii="Verdana" w:hAnsi="Verdana"/>
          <w:sz w:val="18"/>
          <w:szCs w:val="18"/>
        </w:rPr>
        <w:t>Cbw</w:t>
      </w:r>
      <w:proofErr w:type="spellEnd"/>
      <w:r>
        <w:rPr>
          <w:rFonts w:ascii="Verdana" w:hAnsi="Verdana"/>
          <w:sz w:val="18"/>
          <w:szCs w:val="18"/>
        </w:rPr>
        <w:t xml:space="preserve"> (over bijstand door een CSIRT etc.) vallen</w:t>
      </w:r>
      <w:r w:rsidRPr="00B4544F">
        <w:rPr>
          <w:rFonts w:ascii="Verdana" w:hAnsi="Verdana"/>
          <w:sz w:val="18"/>
          <w:szCs w:val="18"/>
        </w:rPr>
        <w:t xml:space="preserve">. </w:t>
      </w:r>
      <w:r>
        <w:rPr>
          <w:rFonts w:ascii="Verdana" w:hAnsi="Verdana"/>
          <w:sz w:val="18"/>
          <w:szCs w:val="18"/>
        </w:rPr>
        <w:t xml:space="preserve">Het gaat bij laatstbedoelde aanbieders met name om organisaties waarop de </w:t>
      </w:r>
      <w:proofErr w:type="spellStart"/>
      <w:r>
        <w:rPr>
          <w:rFonts w:ascii="Verdana" w:hAnsi="Verdana"/>
          <w:sz w:val="18"/>
          <w:szCs w:val="18"/>
        </w:rPr>
        <w:t>Cbw</w:t>
      </w:r>
      <w:proofErr w:type="spellEnd"/>
      <w:r>
        <w:rPr>
          <w:rFonts w:ascii="Verdana" w:hAnsi="Verdana"/>
          <w:sz w:val="18"/>
          <w:szCs w:val="18"/>
        </w:rPr>
        <w:t xml:space="preserve"> krachtens artikel 5, eerste lid, </w:t>
      </w:r>
      <w:proofErr w:type="spellStart"/>
      <w:r>
        <w:rPr>
          <w:rFonts w:ascii="Verdana" w:hAnsi="Verdana"/>
          <w:sz w:val="18"/>
          <w:szCs w:val="18"/>
        </w:rPr>
        <w:t>Cbw</w:t>
      </w:r>
      <w:proofErr w:type="spellEnd"/>
      <w:r>
        <w:rPr>
          <w:rFonts w:ascii="Verdana" w:hAnsi="Verdana"/>
          <w:sz w:val="18"/>
          <w:szCs w:val="18"/>
        </w:rPr>
        <w:t xml:space="preserve"> niet van toepassing is of die zijn uitgezonderd van de definitie van overheidsinstantie in artikel 1 </w:t>
      </w:r>
      <w:proofErr w:type="spellStart"/>
      <w:r>
        <w:rPr>
          <w:rFonts w:ascii="Verdana" w:hAnsi="Verdana"/>
          <w:sz w:val="18"/>
          <w:szCs w:val="18"/>
        </w:rPr>
        <w:t>Cbw</w:t>
      </w:r>
      <w:proofErr w:type="spellEnd"/>
      <w:r>
        <w:rPr>
          <w:rFonts w:ascii="Verdana" w:hAnsi="Verdana"/>
          <w:sz w:val="18"/>
          <w:szCs w:val="18"/>
        </w:rPr>
        <w:t xml:space="preserve"> (</w:t>
      </w:r>
      <w:r w:rsidR="001C33E0">
        <w:rPr>
          <w:rFonts w:ascii="Verdana" w:hAnsi="Verdana"/>
          <w:sz w:val="18"/>
          <w:szCs w:val="18"/>
        </w:rPr>
        <w:t>waaronder de rechtbanken en het parlement</w:t>
      </w:r>
      <w:r>
        <w:rPr>
          <w:rFonts w:ascii="Verdana" w:hAnsi="Verdana"/>
          <w:sz w:val="18"/>
          <w:szCs w:val="18"/>
        </w:rPr>
        <w:t xml:space="preserve">). </w:t>
      </w:r>
    </w:p>
    <w:p w:rsidR="00791639" w:rsidP="00791639" w:rsidRDefault="00791639" w14:paraId="46624C09" w14:textId="77777777">
      <w:pPr>
        <w:spacing w:after="0" w:line="240" w:lineRule="auto"/>
        <w:rPr>
          <w:rFonts w:ascii="Verdana" w:hAnsi="Verdana"/>
          <w:sz w:val="18"/>
          <w:szCs w:val="18"/>
        </w:rPr>
      </w:pPr>
    </w:p>
    <w:p w:rsidR="00791639" w:rsidP="00791639" w:rsidRDefault="00791639" w14:paraId="440BDF5E" w14:textId="54641F36">
      <w:pPr>
        <w:spacing w:after="0" w:line="240" w:lineRule="auto"/>
        <w:rPr>
          <w:rFonts w:ascii="Verdana" w:hAnsi="Verdana"/>
          <w:sz w:val="18"/>
          <w:szCs w:val="18"/>
        </w:rPr>
      </w:pPr>
      <w:r w:rsidRPr="00B4544F">
        <w:rPr>
          <w:rFonts w:ascii="Verdana" w:hAnsi="Verdana"/>
          <w:sz w:val="18"/>
          <w:szCs w:val="18"/>
        </w:rPr>
        <w:t xml:space="preserve">De </w:t>
      </w:r>
      <w:proofErr w:type="spellStart"/>
      <w:r w:rsidRPr="00B4544F">
        <w:rPr>
          <w:rFonts w:ascii="Verdana" w:hAnsi="Verdana"/>
          <w:sz w:val="18"/>
          <w:szCs w:val="18"/>
        </w:rPr>
        <w:t>Wbni</w:t>
      </w:r>
      <w:proofErr w:type="spellEnd"/>
      <w:r w:rsidRPr="00B4544F">
        <w:rPr>
          <w:rFonts w:ascii="Verdana" w:hAnsi="Verdana"/>
          <w:sz w:val="18"/>
          <w:szCs w:val="18"/>
        </w:rPr>
        <w:t xml:space="preserve"> zal </w:t>
      </w:r>
      <w:r>
        <w:rPr>
          <w:rFonts w:ascii="Verdana" w:hAnsi="Verdana"/>
          <w:sz w:val="18"/>
          <w:szCs w:val="18"/>
        </w:rPr>
        <w:t xml:space="preserve">echter </w:t>
      </w:r>
      <w:r w:rsidRPr="00B4544F">
        <w:rPr>
          <w:rFonts w:ascii="Verdana" w:hAnsi="Verdana"/>
          <w:sz w:val="18"/>
          <w:szCs w:val="18"/>
        </w:rPr>
        <w:t xml:space="preserve">worden ingetrokken (zie artikel </w:t>
      </w:r>
      <w:r w:rsidR="001C33E0">
        <w:rPr>
          <w:rFonts w:ascii="Verdana" w:hAnsi="Verdana"/>
          <w:sz w:val="18"/>
          <w:szCs w:val="18"/>
        </w:rPr>
        <w:t>106</w:t>
      </w:r>
      <w:r w:rsidRPr="00B4544F" w:rsidR="001C33E0">
        <w:rPr>
          <w:rFonts w:ascii="Verdana" w:hAnsi="Verdana"/>
          <w:sz w:val="18"/>
          <w:szCs w:val="18"/>
        </w:rPr>
        <w:t xml:space="preserve"> </w:t>
      </w:r>
      <w:proofErr w:type="spellStart"/>
      <w:r w:rsidRPr="00B4544F">
        <w:rPr>
          <w:rFonts w:ascii="Verdana" w:hAnsi="Verdana"/>
          <w:sz w:val="18"/>
          <w:szCs w:val="18"/>
        </w:rPr>
        <w:t>Cbw</w:t>
      </w:r>
      <w:proofErr w:type="spellEnd"/>
      <w:r w:rsidRPr="00B4544F">
        <w:rPr>
          <w:rFonts w:ascii="Verdana" w:hAnsi="Verdana"/>
          <w:sz w:val="18"/>
          <w:szCs w:val="18"/>
        </w:rPr>
        <w:t xml:space="preserve">). Zonder een aanvullende regeling zouden </w:t>
      </w:r>
      <w:r>
        <w:rPr>
          <w:rFonts w:ascii="Verdana" w:hAnsi="Verdana"/>
          <w:sz w:val="18"/>
          <w:szCs w:val="18"/>
        </w:rPr>
        <w:t>de hiervoor bedoelde</w:t>
      </w:r>
      <w:r w:rsidRPr="00B4544F">
        <w:rPr>
          <w:rFonts w:ascii="Verdana" w:hAnsi="Verdana"/>
          <w:sz w:val="18"/>
          <w:szCs w:val="18"/>
        </w:rPr>
        <w:t xml:space="preserve"> </w:t>
      </w:r>
      <w:r>
        <w:rPr>
          <w:rFonts w:ascii="Verdana" w:hAnsi="Verdana"/>
          <w:sz w:val="18"/>
          <w:szCs w:val="18"/>
        </w:rPr>
        <w:t xml:space="preserve">organisaties (die vitale aanbieder of aanbieder behorend tot de rijksoverheid als bedoeld in artikel 3, eerste lid, </w:t>
      </w:r>
      <w:proofErr w:type="spellStart"/>
      <w:r>
        <w:rPr>
          <w:rFonts w:ascii="Verdana" w:hAnsi="Verdana"/>
          <w:sz w:val="18"/>
          <w:szCs w:val="18"/>
        </w:rPr>
        <w:t>Wbni</w:t>
      </w:r>
      <w:proofErr w:type="spellEnd"/>
      <w:r>
        <w:rPr>
          <w:rFonts w:ascii="Verdana" w:hAnsi="Verdana"/>
          <w:sz w:val="18"/>
          <w:szCs w:val="18"/>
        </w:rPr>
        <w:t xml:space="preserve"> zijn, maar buiten de toepasselijkheid van de </w:t>
      </w:r>
      <w:proofErr w:type="spellStart"/>
      <w:r>
        <w:rPr>
          <w:rFonts w:ascii="Verdana" w:hAnsi="Verdana"/>
          <w:sz w:val="18"/>
          <w:szCs w:val="18"/>
        </w:rPr>
        <w:t>Cbw</w:t>
      </w:r>
      <w:proofErr w:type="spellEnd"/>
      <w:r>
        <w:rPr>
          <w:rFonts w:ascii="Verdana" w:hAnsi="Verdana"/>
          <w:sz w:val="18"/>
          <w:szCs w:val="18"/>
        </w:rPr>
        <w:t xml:space="preserve"> vallen) </w:t>
      </w:r>
      <w:r w:rsidRPr="00B4544F">
        <w:rPr>
          <w:rFonts w:ascii="Verdana" w:hAnsi="Verdana"/>
          <w:sz w:val="18"/>
          <w:szCs w:val="18"/>
        </w:rPr>
        <w:t>door</w:t>
      </w:r>
      <w:r>
        <w:rPr>
          <w:rFonts w:ascii="Verdana" w:hAnsi="Verdana"/>
          <w:sz w:val="18"/>
          <w:szCs w:val="18"/>
        </w:rPr>
        <w:t xml:space="preserve"> de</w:t>
      </w:r>
      <w:r w:rsidRPr="00B4544F">
        <w:rPr>
          <w:rFonts w:ascii="Verdana" w:hAnsi="Verdana"/>
          <w:sz w:val="18"/>
          <w:szCs w:val="18"/>
        </w:rPr>
        <w:t xml:space="preserve"> intrekking van de </w:t>
      </w:r>
      <w:proofErr w:type="spellStart"/>
      <w:r w:rsidRPr="00B4544F">
        <w:rPr>
          <w:rFonts w:ascii="Verdana" w:hAnsi="Verdana"/>
          <w:sz w:val="18"/>
          <w:szCs w:val="18"/>
        </w:rPr>
        <w:t>Wbni</w:t>
      </w:r>
      <w:proofErr w:type="spellEnd"/>
      <w:r w:rsidRPr="00B4544F">
        <w:rPr>
          <w:rFonts w:ascii="Verdana" w:hAnsi="Verdana"/>
          <w:sz w:val="18"/>
          <w:szCs w:val="18"/>
        </w:rPr>
        <w:t xml:space="preserve"> hun </w:t>
      </w:r>
      <w:r>
        <w:rPr>
          <w:rFonts w:ascii="Verdana" w:hAnsi="Verdana"/>
          <w:sz w:val="18"/>
          <w:szCs w:val="18"/>
        </w:rPr>
        <w:t xml:space="preserve">vorenbedoelde </w:t>
      </w:r>
      <w:r w:rsidRPr="00B4544F">
        <w:rPr>
          <w:rFonts w:ascii="Verdana" w:hAnsi="Verdana"/>
          <w:sz w:val="18"/>
          <w:szCs w:val="18"/>
        </w:rPr>
        <w:t>recht op bijstand</w:t>
      </w:r>
      <w:r>
        <w:rPr>
          <w:rFonts w:ascii="Verdana" w:hAnsi="Verdana"/>
          <w:sz w:val="18"/>
          <w:szCs w:val="18"/>
        </w:rPr>
        <w:t xml:space="preserve"> </w:t>
      </w:r>
      <w:r w:rsidRPr="00B4544F">
        <w:rPr>
          <w:rFonts w:ascii="Verdana" w:hAnsi="Verdana"/>
          <w:sz w:val="18"/>
          <w:szCs w:val="18"/>
        </w:rPr>
        <w:t>verliezen</w:t>
      </w:r>
      <w:r>
        <w:rPr>
          <w:rFonts w:ascii="Verdana" w:hAnsi="Verdana"/>
          <w:sz w:val="18"/>
          <w:szCs w:val="18"/>
        </w:rPr>
        <w:t>. D</w:t>
      </w:r>
      <w:r w:rsidRPr="00B4544F">
        <w:rPr>
          <w:rFonts w:ascii="Verdana" w:hAnsi="Verdana"/>
          <w:sz w:val="18"/>
          <w:szCs w:val="18"/>
        </w:rPr>
        <w:t xml:space="preserve">at is ongewenst. Het is in het belang van </w:t>
      </w:r>
      <w:r>
        <w:rPr>
          <w:rFonts w:ascii="Verdana" w:hAnsi="Verdana"/>
          <w:sz w:val="18"/>
          <w:szCs w:val="18"/>
        </w:rPr>
        <w:t xml:space="preserve">onder meer de </w:t>
      </w:r>
      <w:r w:rsidRPr="00B4544F">
        <w:rPr>
          <w:rFonts w:ascii="Verdana" w:hAnsi="Verdana"/>
          <w:sz w:val="18"/>
          <w:szCs w:val="18"/>
        </w:rPr>
        <w:t xml:space="preserve">nationale veiligheid dat </w:t>
      </w:r>
      <w:r>
        <w:rPr>
          <w:rFonts w:ascii="Verdana" w:hAnsi="Verdana"/>
          <w:sz w:val="18"/>
          <w:szCs w:val="18"/>
        </w:rPr>
        <w:t xml:space="preserve">bedoelde aanbieders </w:t>
      </w:r>
      <w:r w:rsidRPr="00B4544F">
        <w:rPr>
          <w:rFonts w:ascii="Verdana" w:hAnsi="Verdana"/>
          <w:sz w:val="18"/>
          <w:szCs w:val="18"/>
        </w:rPr>
        <w:t>hun recht op bijstand behouden</w:t>
      </w:r>
      <w:r>
        <w:rPr>
          <w:rFonts w:ascii="Verdana" w:hAnsi="Verdana"/>
          <w:sz w:val="18"/>
          <w:szCs w:val="18"/>
        </w:rPr>
        <w:t>, zodat zij op basis daarvan maatregelen kunnen nemen ter voorkoming of beperking van incidenten en daarmee nadelige maatschappelijke gevolgen kunnen worden voorkomen of beperkt</w:t>
      </w:r>
      <w:r w:rsidRPr="00B4544F">
        <w:rPr>
          <w:rFonts w:ascii="Verdana" w:hAnsi="Verdana"/>
          <w:sz w:val="18"/>
          <w:szCs w:val="18"/>
        </w:rPr>
        <w:t>. In artikel</w:t>
      </w:r>
      <w:r>
        <w:rPr>
          <w:rFonts w:ascii="Verdana" w:hAnsi="Verdana"/>
          <w:sz w:val="18"/>
          <w:szCs w:val="18"/>
        </w:rPr>
        <w:t xml:space="preserve"> 96</w:t>
      </w:r>
      <w:r w:rsidRPr="00B4544F">
        <w:rPr>
          <w:rFonts w:ascii="Verdana" w:hAnsi="Verdana"/>
          <w:sz w:val="18"/>
          <w:szCs w:val="18"/>
        </w:rPr>
        <w:t xml:space="preserve"> </w:t>
      </w:r>
      <w:proofErr w:type="spellStart"/>
      <w:r w:rsidRPr="00B4544F">
        <w:rPr>
          <w:rFonts w:ascii="Verdana" w:hAnsi="Verdana"/>
          <w:sz w:val="18"/>
          <w:szCs w:val="18"/>
        </w:rPr>
        <w:t>Cbw</w:t>
      </w:r>
      <w:proofErr w:type="spellEnd"/>
      <w:r w:rsidRPr="00B4544F">
        <w:rPr>
          <w:rFonts w:ascii="Verdana" w:hAnsi="Verdana"/>
          <w:sz w:val="18"/>
          <w:szCs w:val="18"/>
        </w:rPr>
        <w:t xml:space="preserve"> is daarom geregeld dat </w:t>
      </w:r>
      <w:r>
        <w:rPr>
          <w:rFonts w:ascii="Verdana" w:hAnsi="Verdana"/>
          <w:sz w:val="18"/>
          <w:szCs w:val="18"/>
        </w:rPr>
        <w:t>organisaties</w:t>
      </w:r>
      <w:r w:rsidRPr="00B4544F">
        <w:rPr>
          <w:rFonts w:ascii="Verdana" w:hAnsi="Verdana"/>
          <w:sz w:val="18"/>
          <w:szCs w:val="18"/>
        </w:rPr>
        <w:t xml:space="preserve"> </w:t>
      </w:r>
      <w:r>
        <w:rPr>
          <w:rFonts w:ascii="Verdana" w:hAnsi="Verdana"/>
          <w:sz w:val="18"/>
          <w:szCs w:val="18"/>
        </w:rPr>
        <w:t xml:space="preserve">die direct voorafgaand aan de intrekking van de </w:t>
      </w:r>
      <w:proofErr w:type="spellStart"/>
      <w:r>
        <w:rPr>
          <w:rFonts w:ascii="Verdana" w:hAnsi="Verdana"/>
          <w:sz w:val="18"/>
          <w:szCs w:val="18"/>
        </w:rPr>
        <w:t>Wbni</w:t>
      </w:r>
      <w:proofErr w:type="spellEnd"/>
      <w:r>
        <w:rPr>
          <w:rFonts w:ascii="Verdana" w:hAnsi="Verdana"/>
          <w:sz w:val="18"/>
          <w:szCs w:val="18"/>
        </w:rPr>
        <w:t xml:space="preserve"> vitale aanbieder of tot de rijksoverheid behorende aanbieder zijn als bedoeld in artikel 3, eerste lid, </w:t>
      </w:r>
      <w:proofErr w:type="spellStart"/>
      <w:r w:rsidRPr="00B4544F">
        <w:rPr>
          <w:rFonts w:ascii="Verdana" w:hAnsi="Verdana"/>
          <w:sz w:val="18"/>
          <w:szCs w:val="18"/>
        </w:rPr>
        <w:t>Wbni</w:t>
      </w:r>
      <w:proofErr w:type="spellEnd"/>
      <w:r w:rsidRPr="00B4544F">
        <w:rPr>
          <w:rFonts w:ascii="Verdana" w:hAnsi="Verdana"/>
          <w:sz w:val="18"/>
          <w:szCs w:val="18"/>
        </w:rPr>
        <w:t>,</w:t>
      </w:r>
      <w:r>
        <w:rPr>
          <w:rStyle w:val="Voetnootmarkering"/>
          <w:rFonts w:ascii="Verdana" w:hAnsi="Verdana"/>
          <w:sz w:val="18"/>
          <w:szCs w:val="18"/>
        </w:rPr>
        <w:footnoteReference w:id="104"/>
      </w:r>
      <w:r w:rsidRPr="00B4544F">
        <w:rPr>
          <w:rFonts w:ascii="Verdana" w:hAnsi="Verdana"/>
          <w:sz w:val="18"/>
          <w:szCs w:val="18"/>
        </w:rPr>
        <w:t xml:space="preserve"> en </w:t>
      </w:r>
      <w:r>
        <w:rPr>
          <w:rFonts w:ascii="Verdana" w:hAnsi="Verdana"/>
          <w:sz w:val="18"/>
          <w:szCs w:val="18"/>
        </w:rPr>
        <w:t>die geen essentiële entiteit of belangrijke entiteit zijn</w:t>
      </w:r>
      <w:r w:rsidRPr="00B4544F">
        <w:rPr>
          <w:rFonts w:ascii="Verdana" w:hAnsi="Verdana"/>
          <w:sz w:val="18"/>
          <w:szCs w:val="18"/>
        </w:rPr>
        <w:t xml:space="preserve">, recht </w:t>
      </w:r>
      <w:r>
        <w:rPr>
          <w:rFonts w:ascii="Verdana" w:hAnsi="Verdana"/>
          <w:sz w:val="18"/>
          <w:szCs w:val="18"/>
        </w:rPr>
        <w:t xml:space="preserve">blijven hebben </w:t>
      </w:r>
      <w:r w:rsidRPr="00B4544F">
        <w:rPr>
          <w:rFonts w:ascii="Verdana" w:hAnsi="Verdana"/>
          <w:sz w:val="18"/>
          <w:szCs w:val="18"/>
        </w:rPr>
        <w:t xml:space="preserve">op </w:t>
      </w:r>
      <w:r>
        <w:rPr>
          <w:rFonts w:ascii="Verdana" w:hAnsi="Verdana"/>
          <w:sz w:val="18"/>
          <w:szCs w:val="18"/>
        </w:rPr>
        <w:t xml:space="preserve">bijstand, informatie en advies in geval van dreigingen of incidenten met betrekking tot hun netwerk- of informatiesystemen. Die bijstand zal aan die organisaties worden verleend door de Minister van Justitie en Veiligheid (in de praktijk: het NCSC), zoals momenteel krachtens de </w:t>
      </w:r>
      <w:proofErr w:type="spellStart"/>
      <w:r>
        <w:rPr>
          <w:rFonts w:ascii="Verdana" w:hAnsi="Verdana"/>
          <w:sz w:val="18"/>
          <w:szCs w:val="18"/>
        </w:rPr>
        <w:t>Wbni</w:t>
      </w:r>
      <w:proofErr w:type="spellEnd"/>
      <w:r>
        <w:rPr>
          <w:rFonts w:ascii="Verdana" w:hAnsi="Verdana"/>
          <w:sz w:val="18"/>
          <w:szCs w:val="18"/>
        </w:rPr>
        <w:t xml:space="preserve"> het geval is, dan wel door een andere bij of krachtens </w:t>
      </w:r>
      <w:proofErr w:type="spellStart"/>
      <w:r>
        <w:rPr>
          <w:rFonts w:ascii="Verdana" w:hAnsi="Verdana"/>
          <w:sz w:val="18"/>
          <w:szCs w:val="18"/>
        </w:rPr>
        <w:t>amvb</w:t>
      </w:r>
      <w:proofErr w:type="spellEnd"/>
      <w:r>
        <w:rPr>
          <w:rFonts w:ascii="Verdana" w:hAnsi="Verdana"/>
          <w:sz w:val="18"/>
          <w:szCs w:val="18"/>
        </w:rPr>
        <w:t xml:space="preserve"> hiervoor aangewezen instantie. Net als nu in artikel 3, eerste lid, </w:t>
      </w:r>
      <w:proofErr w:type="spellStart"/>
      <w:r>
        <w:rPr>
          <w:rFonts w:ascii="Verdana" w:hAnsi="Verdana"/>
          <w:sz w:val="18"/>
          <w:szCs w:val="18"/>
        </w:rPr>
        <w:t>Wbni</w:t>
      </w:r>
      <w:proofErr w:type="spellEnd"/>
      <w:r>
        <w:rPr>
          <w:rFonts w:ascii="Verdana" w:hAnsi="Verdana"/>
          <w:sz w:val="18"/>
          <w:szCs w:val="18"/>
        </w:rPr>
        <w:t xml:space="preserve"> is geregeld heeft de minister of andere aangewezen instantie op grond van artikel 96 </w:t>
      </w:r>
      <w:proofErr w:type="spellStart"/>
      <w:r>
        <w:rPr>
          <w:rFonts w:ascii="Verdana" w:hAnsi="Verdana"/>
          <w:sz w:val="18"/>
          <w:szCs w:val="18"/>
        </w:rPr>
        <w:t>Cbw</w:t>
      </w:r>
      <w:proofErr w:type="spellEnd"/>
      <w:r>
        <w:rPr>
          <w:rFonts w:ascii="Verdana" w:hAnsi="Verdana"/>
          <w:sz w:val="18"/>
          <w:szCs w:val="18"/>
        </w:rPr>
        <w:t xml:space="preserve"> ook tot taak om, ten behoeve van laatstbedoelde bijstand, advisering en informatie, </w:t>
      </w:r>
      <w:r w:rsidRPr="00F33E22">
        <w:rPr>
          <w:rFonts w:ascii="Verdana" w:hAnsi="Verdana"/>
          <w:sz w:val="18"/>
          <w:szCs w:val="18"/>
        </w:rPr>
        <w:t xml:space="preserve">analyses en technisch onderzoek </w:t>
      </w:r>
      <w:r>
        <w:rPr>
          <w:rFonts w:ascii="Verdana" w:hAnsi="Verdana"/>
          <w:sz w:val="18"/>
          <w:szCs w:val="18"/>
        </w:rPr>
        <w:t xml:space="preserve">te verrichten </w:t>
      </w:r>
      <w:r w:rsidRPr="00F33E22">
        <w:rPr>
          <w:rFonts w:ascii="Verdana" w:hAnsi="Verdana"/>
          <w:sz w:val="18"/>
          <w:szCs w:val="18"/>
        </w:rPr>
        <w:t xml:space="preserve">naar aanleiding van (aanwijzingen voor) dreigingen en incidenten met betrekking tot </w:t>
      </w:r>
      <w:r>
        <w:rPr>
          <w:rFonts w:ascii="Verdana" w:hAnsi="Verdana"/>
          <w:sz w:val="18"/>
          <w:szCs w:val="18"/>
        </w:rPr>
        <w:t xml:space="preserve">de netwerk- en informatiesystemen van de organisaties waarop dit artikel van toepassing is. Daarbij geldt, eveneens in lijn met artikel 3, eerste lid, </w:t>
      </w:r>
      <w:proofErr w:type="spellStart"/>
      <w:r>
        <w:rPr>
          <w:rFonts w:ascii="Verdana" w:hAnsi="Verdana"/>
          <w:sz w:val="18"/>
          <w:szCs w:val="18"/>
        </w:rPr>
        <w:t>Wbni</w:t>
      </w:r>
      <w:proofErr w:type="spellEnd"/>
      <w:r>
        <w:rPr>
          <w:rFonts w:ascii="Verdana" w:hAnsi="Verdana"/>
          <w:sz w:val="18"/>
          <w:szCs w:val="18"/>
        </w:rPr>
        <w:t xml:space="preserve">, dat die analyses en dat technisch onderzoek geen onderzoek mogen betreffen naar </w:t>
      </w:r>
      <w:r w:rsidRPr="00F33E22">
        <w:rPr>
          <w:rFonts w:ascii="Verdana" w:hAnsi="Verdana"/>
          <w:sz w:val="18"/>
          <w:szCs w:val="18"/>
        </w:rPr>
        <w:t xml:space="preserve">personen of organisaties die verantwoordelijk zijn voor </w:t>
      </w:r>
      <w:r>
        <w:rPr>
          <w:rFonts w:ascii="Verdana" w:hAnsi="Verdana"/>
          <w:sz w:val="18"/>
          <w:szCs w:val="18"/>
        </w:rPr>
        <w:t>genoemde</w:t>
      </w:r>
      <w:r w:rsidRPr="00F33E22">
        <w:rPr>
          <w:rFonts w:ascii="Verdana" w:hAnsi="Verdana"/>
          <w:sz w:val="18"/>
          <w:szCs w:val="18"/>
        </w:rPr>
        <w:t xml:space="preserve"> dreigingen en incidenten. Dergelijk onderzoek is voorbehouden aan de inlichtingen- en veiligheidsdiensten, die daartoe beschikken over wettelijk geregelde bijzondere inlichtingenmiddelen, en aan de politie en het </w:t>
      </w:r>
      <w:r>
        <w:rPr>
          <w:rFonts w:ascii="Verdana" w:hAnsi="Verdana"/>
          <w:sz w:val="18"/>
          <w:szCs w:val="18"/>
        </w:rPr>
        <w:t>openbaar ministerie</w:t>
      </w:r>
      <w:r w:rsidRPr="00F33E22">
        <w:rPr>
          <w:rFonts w:ascii="Verdana" w:hAnsi="Verdana"/>
          <w:sz w:val="18"/>
          <w:szCs w:val="18"/>
        </w:rPr>
        <w:t>, die daartoe beschikken over opsporingsbevoegdheden.</w:t>
      </w:r>
      <w:r>
        <w:rPr>
          <w:rFonts w:ascii="Verdana" w:hAnsi="Verdana"/>
          <w:sz w:val="18"/>
          <w:szCs w:val="18"/>
        </w:rPr>
        <w:t xml:space="preserve"> </w:t>
      </w:r>
    </w:p>
    <w:p w:rsidR="00791639" w:rsidP="00791639" w:rsidRDefault="00791639" w14:paraId="5EC563EE" w14:textId="77777777">
      <w:pPr>
        <w:spacing w:after="0" w:line="240" w:lineRule="auto"/>
        <w:rPr>
          <w:rFonts w:ascii="Verdana" w:hAnsi="Verdana"/>
          <w:sz w:val="18"/>
          <w:szCs w:val="18"/>
        </w:rPr>
      </w:pPr>
    </w:p>
    <w:p w:rsidRPr="001368E4" w:rsidR="001368E4" w:rsidP="00B35E6F" w:rsidRDefault="001368E4" w14:paraId="0BB1F8A2" w14:textId="668FC6C6">
      <w:pPr>
        <w:pStyle w:val="Geenafstand"/>
        <w:rPr>
          <w:rFonts w:ascii="Verdana" w:hAnsi="Verdana"/>
          <w:b/>
          <w:bCs/>
          <w:sz w:val="18"/>
          <w:szCs w:val="18"/>
        </w:rPr>
      </w:pPr>
      <w:bookmarkStart w:name="_Hlk198130859" w:id="301"/>
      <w:r w:rsidRPr="001368E4">
        <w:rPr>
          <w:rFonts w:ascii="Verdana" w:hAnsi="Verdana"/>
          <w:b/>
          <w:bCs/>
          <w:sz w:val="18"/>
          <w:szCs w:val="18"/>
        </w:rPr>
        <w:t xml:space="preserve">Artikel </w:t>
      </w:r>
      <w:r w:rsidR="001C33E0">
        <w:rPr>
          <w:rFonts w:ascii="Verdana" w:hAnsi="Verdana"/>
          <w:b/>
          <w:bCs/>
          <w:sz w:val="18"/>
          <w:szCs w:val="18"/>
        </w:rPr>
        <w:t>97</w:t>
      </w:r>
      <w:r w:rsidRPr="001368E4" w:rsidR="001C33E0">
        <w:rPr>
          <w:rFonts w:ascii="Verdana" w:hAnsi="Verdana"/>
          <w:b/>
          <w:bCs/>
          <w:sz w:val="18"/>
          <w:szCs w:val="18"/>
        </w:rPr>
        <w:t xml:space="preserve"> </w:t>
      </w:r>
      <w:r w:rsidRPr="001368E4">
        <w:rPr>
          <w:rFonts w:ascii="Verdana" w:hAnsi="Verdana"/>
          <w:b/>
          <w:bCs/>
          <w:sz w:val="18"/>
          <w:szCs w:val="18"/>
        </w:rPr>
        <w:t>(</w:t>
      </w:r>
      <w:r w:rsidR="00791639">
        <w:rPr>
          <w:rFonts w:ascii="Verdana" w:hAnsi="Verdana"/>
          <w:b/>
          <w:bCs/>
          <w:sz w:val="18"/>
          <w:szCs w:val="18"/>
        </w:rPr>
        <w:t>inwerkingtreding</w:t>
      </w:r>
      <w:r w:rsidRPr="001368E4">
        <w:rPr>
          <w:rFonts w:ascii="Verdana" w:hAnsi="Verdana"/>
          <w:b/>
          <w:bCs/>
          <w:sz w:val="18"/>
          <w:szCs w:val="18"/>
        </w:rPr>
        <w:t xml:space="preserve"> zorgplicht</w:t>
      </w:r>
      <w:r w:rsidR="001C33E0">
        <w:rPr>
          <w:rFonts w:ascii="Verdana" w:hAnsi="Verdana"/>
          <w:b/>
          <w:bCs/>
          <w:sz w:val="18"/>
          <w:szCs w:val="18"/>
        </w:rPr>
        <w:t xml:space="preserve"> ten aanzien van instellingen voor hoger onderwijs</w:t>
      </w:r>
      <w:r w:rsidRPr="001368E4">
        <w:rPr>
          <w:rFonts w:ascii="Verdana" w:hAnsi="Verdana"/>
          <w:b/>
          <w:bCs/>
          <w:sz w:val="18"/>
          <w:szCs w:val="18"/>
        </w:rPr>
        <w:t>)</w:t>
      </w:r>
    </w:p>
    <w:p w:rsidR="00B35E6F" w:rsidP="00F04178" w:rsidRDefault="00B35E6F" w14:paraId="679CE14B" w14:textId="77777777">
      <w:pPr>
        <w:pStyle w:val="Geenafstand"/>
        <w:rPr>
          <w:rFonts w:ascii="Verdana" w:hAnsi="Verdana"/>
          <w:b/>
          <w:bCs/>
          <w:sz w:val="18"/>
          <w:szCs w:val="18"/>
        </w:rPr>
      </w:pPr>
    </w:p>
    <w:p w:rsidR="00B94DEC" w:rsidP="00F04178" w:rsidRDefault="00CC0561" w14:paraId="35BF2DB4" w14:textId="7FD70C42">
      <w:pPr>
        <w:pStyle w:val="Geenafstand"/>
        <w:rPr>
          <w:rFonts w:ascii="Verdana" w:hAnsi="Verdana"/>
          <w:sz w:val="18"/>
          <w:szCs w:val="18"/>
        </w:rPr>
      </w:pPr>
      <w:bookmarkStart w:name="_Hlk198219866" w:id="302"/>
      <w:r w:rsidRPr="00CC0561">
        <w:rPr>
          <w:rFonts w:ascii="Verdana" w:hAnsi="Verdana"/>
          <w:sz w:val="18"/>
          <w:szCs w:val="18"/>
        </w:rPr>
        <w:t xml:space="preserve">Artikel </w:t>
      </w:r>
      <w:r w:rsidR="001C33E0">
        <w:rPr>
          <w:rFonts w:ascii="Verdana" w:hAnsi="Verdana"/>
          <w:sz w:val="18"/>
          <w:szCs w:val="18"/>
        </w:rPr>
        <w:t>97</w:t>
      </w:r>
      <w:r w:rsidRPr="00CC0561" w:rsidR="001C33E0">
        <w:rPr>
          <w:rFonts w:ascii="Verdana" w:hAnsi="Verdana"/>
          <w:sz w:val="18"/>
          <w:szCs w:val="18"/>
        </w:rPr>
        <w:t xml:space="preserve"> </w:t>
      </w:r>
      <w:proofErr w:type="spellStart"/>
      <w:r w:rsidRPr="00CC0561">
        <w:rPr>
          <w:rFonts w:ascii="Verdana" w:hAnsi="Verdana"/>
          <w:sz w:val="18"/>
          <w:szCs w:val="18"/>
        </w:rPr>
        <w:t>Cbw</w:t>
      </w:r>
      <w:proofErr w:type="spellEnd"/>
      <w:r w:rsidRPr="00CC0561">
        <w:rPr>
          <w:rFonts w:ascii="Verdana" w:hAnsi="Verdana"/>
          <w:sz w:val="18"/>
          <w:szCs w:val="18"/>
        </w:rPr>
        <w:t xml:space="preserve"> regelt dat in het geval dat de Minister van Onderwijs, Cultuur en Wetenschap instellingen voor hoger onderwijs aanwijst als essentiële </w:t>
      </w:r>
      <w:r w:rsidR="008810F6">
        <w:rPr>
          <w:rFonts w:ascii="Verdana" w:hAnsi="Verdana"/>
          <w:sz w:val="18"/>
          <w:szCs w:val="18"/>
        </w:rPr>
        <w:t xml:space="preserve">entiteit </w:t>
      </w:r>
      <w:r w:rsidRPr="00CC0561">
        <w:rPr>
          <w:rFonts w:ascii="Verdana" w:hAnsi="Verdana"/>
          <w:sz w:val="18"/>
          <w:szCs w:val="18"/>
        </w:rPr>
        <w:t xml:space="preserve">of belangrijke entiteit op grond van artikel 11 respectievelijk artikel 13 </w:t>
      </w:r>
      <w:proofErr w:type="spellStart"/>
      <w:r w:rsidRPr="00CC0561">
        <w:rPr>
          <w:rFonts w:ascii="Verdana" w:hAnsi="Verdana"/>
          <w:sz w:val="18"/>
          <w:szCs w:val="18"/>
        </w:rPr>
        <w:t>Cbw</w:t>
      </w:r>
      <w:proofErr w:type="spellEnd"/>
      <w:r w:rsidRPr="00CC0561">
        <w:rPr>
          <w:rFonts w:ascii="Verdana" w:hAnsi="Verdana"/>
          <w:sz w:val="18"/>
          <w:szCs w:val="18"/>
        </w:rPr>
        <w:t xml:space="preserve">, de artikelen in de </w:t>
      </w:r>
      <w:proofErr w:type="spellStart"/>
      <w:r w:rsidRPr="00CC0561">
        <w:rPr>
          <w:rFonts w:ascii="Verdana" w:hAnsi="Verdana"/>
          <w:sz w:val="18"/>
          <w:szCs w:val="18"/>
        </w:rPr>
        <w:t>Cbw</w:t>
      </w:r>
      <w:proofErr w:type="spellEnd"/>
      <w:r w:rsidRPr="00CC0561">
        <w:rPr>
          <w:rFonts w:ascii="Verdana" w:hAnsi="Verdana"/>
          <w:sz w:val="18"/>
          <w:szCs w:val="18"/>
        </w:rPr>
        <w:t xml:space="preserve"> over de zorgplicht en </w:t>
      </w:r>
      <w:proofErr w:type="spellStart"/>
      <w:r w:rsidRPr="00CC0561">
        <w:rPr>
          <w:rFonts w:ascii="Verdana" w:hAnsi="Verdana"/>
          <w:sz w:val="18"/>
          <w:szCs w:val="18"/>
        </w:rPr>
        <w:t>governance</w:t>
      </w:r>
      <w:proofErr w:type="spellEnd"/>
      <w:r w:rsidRPr="00CC0561">
        <w:rPr>
          <w:rFonts w:ascii="Verdana" w:hAnsi="Verdana"/>
          <w:sz w:val="18"/>
          <w:szCs w:val="18"/>
        </w:rPr>
        <w:t xml:space="preserve">, </w:t>
      </w:r>
      <w:r w:rsidR="001E3766">
        <w:rPr>
          <w:rFonts w:ascii="Verdana" w:hAnsi="Verdana"/>
          <w:sz w:val="18"/>
          <w:szCs w:val="18"/>
        </w:rPr>
        <w:t>en</w:t>
      </w:r>
      <w:r w:rsidRPr="00CC0561" w:rsidR="001E3766">
        <w:rPr>
          <w:rFonts w:ascii="Verdana" w:hAnsi="Verdana"/>
          <w:sz w:val="18"/>
          <w:szCs w:val="18"/>
        </w:rPr>
        <w:t xml:space="preserve"> </w:t>
      </w:r>
      <w:r w:rsidRPr="00CC0561">
        <w:rPr>
          <w:rFonts w:ascii="Verdana" w:hAnsi="Verdana"/>
          <w:sz w:val="18"/>
          <w:szCs w:val="18"/>
        </w:rPr>
        <w:t xml:space="preserve">het op grond van die artikelen daarover bij of krachtens algemene maatregel </w:t>
      </w:r>
      <w:r w:rsidR="001E3766">
        <w:rPr>
          <w:rFonts w:ascii="Verdana" w:hAnsi="Verdana"/>
          <w:sz w:val="18"/>
          <w:szCs w:val="18"/>
        </w:rPr>
        <w:t xml:space="preserve">van bestuur </w:t>
      </w:r>
      <w:r w:rsidRPr="00CC0561">
        <w:rPr>
          <w:rFonts w:ascii="Verdana" w:hAnsi="Verdana"/>
          <w:sz w:val="18"/>
          <w:szCs w:val="18"/>
        </w:rPr>
        <w:t xml:space="preserve">bepaalde, ten aanzien van genoemde instellingen 36 maanden nadat aanwijzing heeft plaatsgevonden van toepassing zullen zijn. Dit betekent ook dat op de naleving van die specifieke bepalingen gedurende genoemde periode geen extern toezicht krachtens de </w:t>
      </w:r>
      <w:proofErr w:type="spellStart"/>
      <w:r w:rsidRPr="00CC0561">
        <w:rPr>
          <w:rFonts w:ascii="Verdana" w:hAnsi="Verdana"/>
          <w:sz w:val="18"/>
          <w:szCs w:val="18"/>
        </w:rPr>
        <w:t>Cbw</w:t>
      </w:r>
      <w:proofErr w:type="spellEnd"/>
      <w:r w:rsidRPr="00CC0561">
        <w:rPr>
          <w:rFonts w:ascii="Verdana" w:hAnsi="Verdana"/>
          <w:sz w:val="18"/>
          <w:szCs w:val="18"/>
        </w:rPr>
        <w:t xml:space="preserve"> </w:t>
      </w:r>
      <w:r w:rsidR="008810F6">
        <w:rPr>
          <w:rFonts w:ascii="Verdana" w:hAnsi="Verdana"/>
          <w:sz w:val="18"/>
          <w:szCs w:val="18"/>
        </w:rPr>
        <w:t>kan</w:t>
      </w:r>
      <w:r w:rsidRPr="00CC0561">
        <w:rPr>
          <w:rFonts w:ascii="Verdana" w:hAnsi="Verdana"/>
          <w:sz w:val="18"/>
          <w:szCs w:val="18"/>
        </w:rPr>
        <w:t xml:space="preserve"> worden gehouden door een daarvoor aangewezen bevoegde autoriteit.</w:t>
      </w:r>
    </w:p>
    <w:bookmarkEnd w:id="302"/>
    <w:p w:rsidR="00646F80" w:rsidP="00F04178" w:rsidRDefault="00646F80" w14:paraId="5F195788" w14:textId="77777777">
      <w:pPr>
        <w:pStyle w:val="Geenafstand"/>
        <w:rPr>
          <w:rFonts w:ascii="Verdana" w:hAnsi="Verdana"/>
          <w:sz w:val="18"/>
          <w:szCs w:val="18"/>
        </w:rPr>
      </w:pPr>
    </w:p>
    <w:p w:rsidRPr="006C56A2" w:rsidR="001368E4" w:rsidP="00F04178" w:rsidRDefault="00CC0561" w14:paraId="4D4EB78F" w14:textId="6859F67F">
      <w:pPr>
        <w:pStyle w:val="Geenafstand"/>
        <w:rPr>
          <w:rFonts w:ascii="Verdana" w:hAnsi="Verdana"/>
          <w:sz w:val="18"/>
          <w:szCs w:val="18"/>
        </w:rPr>
      </w:pPr>
      <w:r w:rsidRPr="00CC0561">
        <w:rPr>
          <w:rFonts w:ascii="Verdana" w:hAnsi="Verdana"/>
          <w:sz w:val="18"/>
          <w:szCs w:val="18"/>
        </w:rPr>
        <w:t xml:space="preserve">Een overgangsperiode van 36 maanden wordt met betrekking tot deze verplichtingen noodzakelijk geacht om de diverse entiteiten binnen deze sector zo goed mogelijk in staat te stellen om daaraan te kunnen voldoen. </w:t>
      </w:r>
      <w:r w:rsidR="00CB4C07">
        <w:rPr>
          <w:rFonts w:ascii="Verdana" w:hAnsi="Verdana"/>
          <w:sz w:val="18"/>
          <w:szCs w:val="18"/>
        </w:rPr>
        <w:t>Hiermee</w:t>
      </w:r>
      <w:r w:rsidRPr="00CC0561" w:rsidR="00CB4C07">
        <w:rPr>
          <w:rFonts w:ascii="Verdana" w:hAnsi="Verdana"/>
          <w:sz w:val="18"/>
          <w:szCs w:val="18"/>
        </w:rPr>
        <w:t xml:space="preserve"> </w:t>
      </w:r>
      <w:r w:rsidRPr="00CC0561">
        <w:rPr>
          <w:rFonts w:ascii="Verdana" w:hAnsi="Verdana"/>
          <w:sz w:val="18"/>
          <w:szCs w:val="18"/>
        </w:rPr>
        <w:t xml:space="preserve">worden deze entiteiten in staat gesteld de overgang te maken tussen de bestuurlijke afspraken cyberweerbaarheid die de Minister van Onderwijs, Cultuur en Wetenschap met de sector heeft gemaakt en het voldoen aan de bovenbedoelde artikelen op grond van de </w:t>
      </w:r>
      <w:proofErr w:type="spellStart"/>
      <w:r w:rsidRPr="00CC0561">
        <w:rPr>
          <w:rFonts w:ascii="Verdana" w:hAnsi="Verdana"/>
          <w:sz w:val="18"/>
          <w:szCs w:val="18"/>
        </w:rPr>
        <w:t>Cbw</w:t>
      </w:r>
      <w:proofErr w:type="spellEnd"/>
      <w:r w:rsidRPr="00CC0561">
        <w:rPr>
          <w:rFonts w:ascii="Verdana" w:hAnsi="Verdana"/>
          <w:sz w:val="18"/>
          <w:szCs w:val="18"/>
        </w:rPr>
        <w:t xml:space="preserve">. De overige artikelen in de </w:t>
      </w:r>
      <w:proofErr w:type="spellStart"/>
      <w:r w:rsidRPr="00CC0561">
        <w:rPr>
          <w:rFonts w:ascii="Verdana" w:hAnsi="Verdana"/>
          <w:sz w:val="18"/>
          <w:szCs w:val="18"/>
        </w:rPr>
        <w:t>Cbw</w:t>
      </w:r>
      <w:proofErr w:type="spellEnd"/>
      <w:r w:rsidRPr="00CC0561">
        <w:rPr>
          <w:rFonts w:ascii="Verdana" w:hAnsi="Verdana"/>
          <w:sz w:val="18"/>
          <w:szCs w:val="18"/>
        </w:rPr>
        <w:t xml:space="preserve"> en de daarop gebaseerde nadere regelgeving, waaronder die </w:t>
      </w:r>
      <w:r w:rsidR="00CB4C07">
        <w:rPr>
          <w:rFonts w:ascii="Verdana" w:hAnsi="Verdana"/>
          <w:sz w:val="18"/>
          <w:szCs w:val="18"/>
        </w:rPr>
        <w:t>over</w:t>
      </w:r>
      <w:r w:rsidRPr="00CC0561">
        <w:rPr>
          <w:rFonts w:ascii="Verdana" w:hAnsi="Verdana"/>
          <w:sz w:val="18"/>
          <w:szCs w:val="18"/>
        </w:rPr>
        <w:t xml:space="preserve"> de registratieplicht, de meldplicht en de aanwijzing van een CSIRT, zijn wel direct van toepassing in geval van aanwijzing. Dit is nodig om er onder meer voor te zorgen dat deze entiteiten vanaf het moment van aanwijzing een wettelijk recht hebben op bijstand door een CSIRT in geval van dreigingen en incidenten</w:t>
      </w:r>
      <w:r w:rsidRPr="00CC0561" w:rsidDel="00534318">
        <w:rPr>
          <w:rFonts w:ascii="Verdana" w:hAnsi="Verdana"/>
          <w:sz w:val="18"/>
          <w:szCs w:val="18"/>
        </w:rPr>
        <w:t xml:space="preserve"> </w:t>
      </w:r>
      <w:r w:rsidRPr="00CC0561">
        <w:rPr>
          <w:rFonts w:ascii="Verdana" w:hAnsi="Verdana"/>
          <w:sz w:val="18"/>
          <w:szCs w:val="18"/>
        </w:rPr>
        <w:t>en dat deze entiteiten de wettelijke verplichting hebben tot het melden van significante incidenten bij zowel het CSIRT als de toezichthouder</w:t>
      </w:r>
      <w:r w:rsidR="00CB4C07">
        <w:rPr>
          <w:rFonts w:ascii="Verdana" w:hAnsi="Verdana"/>
          <w:sz w:val="18"/>
          <w:szCs w:val="18"/>
        </w:rPr>
        <w:t>,</w:t>
      </w:r>
      <w:r w:rsidRPr="00CC0561">
        <w:rPr>
          <w:rFonts w:ascii="Verdana" w:hAnsi="Verdana"/>
          <w:sz w:val="18"/>
          <w:szCs w:val="18"/>
        </w:rPr>
        <w:t xml:space="preserve"> en er op wettelijke basis door die instanties informatiedeling kan plaatsvinden met andere relevante partijen. </w:t>
      </w:r>
    </w:p>
    <w:bookmarkEnd w:id="301"/>
    <w:p w:rsidR="001368E4" w:rsidP="00F04178" w:rsidRDefault="001368E4" w14:paraId="45A4CA18" w14:textId="77777777">
      <w:pPr>
        <w:pStyle w:val="Geenafstand"/>
        <w:rPr>
          <w:rFonts w:ascii="Verdana" w:hAnsi="Verdana"/>
          <w:b/>
          <w:bCs/>
          <w:sz w:val="18"/>
          <w:szCs w:val="18"/>
        </w:rPr>
      </w:pPr>
    </w:p>
    <w:p w:rsidR="00D0002B" w:rsidP="00D0002B" w:rsidRDefault="00D0002B" w14:paraId="269B2452" w14:textId="5E525F72">
      <w:pPr>
        <w:pStyle w:val="Geenafstand"/>
        <w:rPr>
          <w:rFonts w:ascii="Verdana" w:hAnsi="Verdana"/>
          <w:b/>
          <w:bCs/>
          <w:sz w:val="18"/>
          <w:szCs w:val="18"/>
        </w:rPr>
      </w:pPr>
      <w:r>
        <w:rPr>
          <w:rFonts w:ascii="Verdana" w:hAnsi="Verdana"/>
          <w:b/>
          <w:bCs/>
          <w:sz w:val="18"/>
          <w:szCs w:val="18"/>
        </w:rPr>
        <w:t xml:space="preserve">Artikel </w:t>
      </w:r>
      <w:r w:rsidR="001C33E0">
        <w:rPr>
          <w:rFonts w:ascii="Verdana" w:hAnsi="Verdana"/>
          <w:b/>
          <w:bCs/>
          <w:sz w:val="18"/>
          <w:szCs w:val="18"/>
        </w:rPr>
        <w:t xml:space="preserve">98 </w:t>
      </w:r>
      <w:r>
        <w:rPr>
          <w:rFonts w:ascii="Verdana" w:hAnsi="Verdana"/>
          <w:b/>
          <w:bCs/>
          <w:sz w:val="18"/>
          <w:szCs w:val="18"/>
        </w:rPr>
        <w:t>(totstandkoming nationaal register)</w:t>
      </w:r>
    </w:p>
    <w:p w:rsidR="004909D7" w:rsidP="00F04178" w:rsidRDefault="004909D7" w14:paraId="7DD09F80" w14:textId="77777777">
      <w:pPr>
        <w:pStyle w:val="Geenafstand"/>
        <w:rPr>
          <w:rFonts w:ascii="Verdana" w:hAnsi="Verdana"/>
          <w:b/>
          <w:bCs/>
          <w:sz w:val="18"/>
          <w:szCs w:val="18"/>
        </w:rPr>
      </w:pPr>
    </w:p>
    <w:p w:rsidR="004909D7" w:rsidP="00F04178" w:rsidRDefault="004909D7" w14:paraId="4552F8F4" w14:textId="2525469E">
      <w:pPr>
        <w:pStyle w:val="Geenafstand"/>
        <w:rPr>
          <w:rFonts w:ascii="Verdana" w:hAnsi="Verdana"/>
          <w:b/>
          <w:bCs/>
          <w:sz w:val="18"/>
          <w:szCs w:val="18"/>
        </w:rPr>
      </w:pPr>
      <w:r>
        <w:rPr>
          <w:rFonts w:ascii="Verdana" w:hAnsi="Verdana"/>
          <w:sz w:val="18"/>
          <w:szCs w:val="18"/>
        </w:rPr>
        <w:t xml:space="preserve">Artikel 3 NIS2-richtlijn bepaalt dat lidstaten uiterlijk op </w:t>
      </w:r>
      <w:r w:rsidRPr="004909D7">
        <w:rPr>
          <w:rFonts w:ascii="Verdana" w:hAnsi="Verdana"/>
          <w:sz w:val="18"/>
          <w:szCs w:val="18"/>
        </w:rPr>
        <w:t>17 april 2025</w:t>
      </w:r>
      <w:r>
        <w:rPr>
          <w:rFonts w:ascii="Verdana" w:hAnsi="Verdana"/>
          <w:sz w:val="18"/>
          <w:szCs w:val="18"/>
        </w:rPr>
        <w:t xml:space="preserve"> een lijst opstellen van essentiële entiteiten, belangrijke entiteiten en entiteiten die domeinnaamregistratiediensten verlenen. In de </w:t>
      </w:r>
      <w:proofErr w:type="spellStart"/>
      <w:r>
        <w:rPr>
          <w:rFonts w:ascii="Verdana" w:hAnsi="Verdana"/>
          <w:sz w:val="18"/>
          <w:szCs w:val="18"/>
        </w:rPr>
        <w:t>Cbw</w:t>
      </w:r>
      <w:proofErr w:type="spellEnd"/>
      <w:r>
        <w:rPr>
          <w:rFonts w:ascii="Verdana" w:hAnsi="Verdana"/>
          <w:sz w:val="18"/>
          <w:szCs w:val="18"/>
        </w:rPr>
        <w:t xml:space="preserve"> is dit geïmplementeerd als het nationale register. De hiervoor genoemde datum wordt echter niet behaald. Daarom is in artikel </w:t>
      </w:r>
      <w:r w:rsidR="001C33E0">
        <w:rPr>
          <w:rFonts w:ascii="Verdana" w:hAnsi="Verdana"/>
          <w:sz w:val="18"/>
          <w:szCs w:val="18"/>
        </w:rPr>
        <w:t xml:space="preserve">98 </w:t>
      </w:r>
      <w:proofErr w:type="spellStart"/>
      <w:r>
        <w:rPr>
          <w:rFonts w:ascii="Verdana" w:hAnsi="Verdana"/>
          <w:sz w:val="18"/>
          <w:szCs w:val="18"/>
        </w:rPr>
        <w:t>Cbw</w:t>
      </w:r>
      <w:proofErr w:type="spellEnd"/>
      <w:r>
        <w:rPr>
          <w:rFonts w:ascii="Verdana" w:hAnsi="Verdana"/>
          <w:sz w:val="18"/>
          <w:szCs w:val="18"/>
        </w:rPr>
        <w:t xml:space="preserve"> opgenomen dat het nationale register uiterlijk één maand na de inwerkingtreding van </w:t>
      </w:r>
      <w:r w:rsidR="00E27874">
        <w:rPr>
          <w:rFonts w:ascii="Verdana" w:hAnsi="Verdana"/>
          <w:sz w:val="18"/>
          <w:szCs w:val="18"/>
        </w:rPr>
        <w:t>artikel 43</w:t>
      </w:r>
      <w:r>
        <w:rPr>
          <w:rFonts w:ascii="Verdana" w:hAnsi="Verdana"/>
          <w:sz w:val="18"/>
          <w:szCs w:val="18"/>
        </w:rPr>
        <w:t xml:space="preserve"> </w:t>
      </w:r>
      <w:proofErr w:type="spellStart"/>
      <w:r>
        <w:rPr>
          <w:rFonts w:ascii="Verdana" w:hAnsi="Verdana"/>
          <w:sz w:val="18"/>
          <w:szCs w:val="18"/>
        </w:rPr>
        <w:t>Cbw</w:t>
      </w:r>
      <w:proofErr w:type="spellEnd"/>
      <w:r>
        <w:rPr>
          <w:rFonts w:ascii="Verdana" w:hAnsi="Verdana"/>
          <w:sz w:val="18"/>
          <w:szCs w:val="18"/>
        </w:rPr>
        <w:t xml:space="preserve"> tot stand komt. </w:t>
      </w:r>
    </w:p>
    <w:p w:rsidRPr="00C47325" w:rsidR="007770B8" w:rsidP="00CE333A" w:rsidRDefault="007770B8" w14:paraId="472934CD" w14:textId="77777777">
      <w:pPr>
        <w:pStyle w:val="Geenafstand"/>
        <w:rPr>
          <w:rFonts w:ascii="Verdana" w:hAnsi="Verdana"/>
          <w:b/>
          <w:bCs/>
          <w:sz w:val="18"/>
          <w:szCs w:val="18"/>
        </w:rPr>
      </w:pPr>
      <w:bookmarkStart w:name="_Hlk149914947" w:id="303"/>
    </w:p>
    <w:bookmarkEnd w:id="303"/>
    <w:p w:rsidRPr="00BD3C4A" w:rsidR="00D0002B" w:rsidP="00D0002B" w:rsidRDefault="00D0002B" w14:paraId="3822A2CB" w14:textId="05729BF4">
      <w:pPr>
        <w:pStyle w:val="Geenafstand"/>
        <w:rPr>
          <w:rFonts w:ascii="Verdana" w:hAnsi="Verdana"/>
          <w:b/>
          <w:bCs/>
          <w:sz w:val="18"/>
          <w:szCs w:val="18"/>
        </w:rPr>
      </w:pPr>
      <w:r w:rsidRPr="00BD3C4A">
        <w:rPr>
          <w:rFonts w:ascii="Verdana" w:hAnsi="Verdana"/>
          <w:b/>
          <w:bCs/>
          <w:sz w:val="18"/>
          <w:szCs w:val="18"/>
        </w:rPr>
        <w:t xml:space="preserve">Artikel </w:t>
      </w:r>
      <w:r w:rsidR="001C33E0">
        <w:rPr>
          <w:rFonts w:ascii="Verdana" w:hAnsi="Verdana"/>
          <w:b/>
          <w:bCs/>
          <w:sz w:val="18"/>
          <w:szCs w:val="18"/>
        </w:rPr>
        <w:t>99</w:t>
      </w:r>
      <w:r w:rsidRPr="00BD3C4A" w:rsidR="001C33E0">
        <w:rPr>
          <w:rFonts w:ascii="Verdana" w:hAnsi="Verdana"/>
          <w:b/>
          <w:bCs/>
          <w:sz w:val="18"/>
          <w:szCs w:val="18"/>
        </w:rPr>
        <w:t xml:space="preserve"> </w:t>
      </w:r>
      <w:r w:rsidRPr="00BD3C4A">
        <w:rPr>
          <w:rFonts w:ascii="Verdana" w:hAnsi="Verdana"/>
          <w:b/>
          <w:bCs/>
          <w:sz w:val="18"/>
          <w:szCs w:val="18"/>
        </w:rPr>
        <w:t xml:space="preserve">(wijziging Telecommunicatiewet) </w:t>
      </w:r>
    </w:p>
    <w:p w:rsidRPr="00C47325" w:rsidR="00CE333A" w:rsidP="003F2349" w:rsidRDefault="00CE333A" w14:paraId="5009B6FB" w14:textId="77777777">
      <w:pPr>
        <w:pStyle w:val="Geenafstand"/>
        <w:rPr>
          <w:rFonts w:ascii="Verdana" w:hAnsi="Verdana"/>
          <w:sz w:val="18"/>
          <w:szCs w:val="18"/>
        </w:rPr>
      </w:pPr>
    </w:p>
    <w:p w:rsidRPr="00C47325" w:rsidR="0030155D" w:rsidP="003F2349" w:rsidRDefault="00076F9A" w14:paraId="07F80448" w14:textId="2F83BA33">
      <w:pPr>
        <w:pStyle w:val="Geenafstand"/>
        <w:rPr>
          <w:rFonts w:ascii="Verdana" w:hAnsi="Verdana"/>
          <w:sz w:val="18"/>
          <w:szCs w:val="18"/>
        </w:rPr>
      </w:pPr>
      <w:r w:rsidRPr="00C47325">
        <w:rPr>
          <w:rFonts w:ascii="Verdana" w:hAnsi="Verdana"/>
          <w:sz w:val="18"/>
          <w:szCs w:val="18"/>
        </w:rPr>
        <w:t>Voor aanbieders van openbare elektronische communicatienetwerken en -diensten (telecomaanbieders) gold al voor de komst van de NIS2-richtlijn op grond van andere Europese regelgeving een meldplicht van incidenten en een zorgplicht. Deze zorg</w:t>
      </w:r>
      <w:r w:rsidRPr="00C47325" w:rsidR="002C4577">
        <w:rPr>
          <w:rFonts w:ascii="Verdana" w:hAnsi="Verdana"/>
          <w:sz w:val="18"/>
          <w:szCs w:val="18"/>
        </w:rPr>
        <w:t>plicht</w:t>
      </w:r>
      <w:r w:rsidRPr="00C47325">
        <w:rPr>
          <w:rFonts w:ascii="Verdana" w:hAnsi="Verdana"/>
          <w:sz w:val="18"/>
          <w:szCs w:val="18"/>
        </w:rPr>
        <w:t xml:space="preserve"> en meldplicht was geregeld in de </w:t>
      </w:r>
      <w:r w:rsidRPr="00C47325" w:rsidR="002C4577">
        <w:rPr>
          <w:rFonts w:ascii="Verdana" w:hAnsi="Verdana"/>
          <w:sz w:val="18"/>
          <w:szCs w:val="18"/>
        </w:rPr>
        <w:t>Richtlijn (EU) 2018/1972</w:t>
      </w:r>
      <w:r w:rsidRPr="000E397D">
        <w:rPr>
          <w:rStyle w:val="Voetnootmarkering"/>
          <w:rFonts w:ascii="Verdana" w:hAnsi="Verdana"/>
          <w:sz w:val="18"/>
          <w:szCs w:val="18"/>
        </w:rPr>
        <w:footnoteReference w:id="105"/>
      </w:r>
      <w:r w:rsidRPr="00C47325" w:rsidR="002C4577">
        <w:rPr>
          <w:rFonts w:ascii="Verdana" w:hAnsi="Verdana"/>
          <w:sz w:val="18"/>
          <w:szCs w:val="18"/>
        </w:rPr>
        <w:t>, ook wel Telecomcode genoemd,</w:t>
      </w:r>
      <w:r w:rsidRPr="00C47325">
        <w:rPr>
          <w:rFonts w:ascii="Verdana" w:hAnsi="Verdana"/>
          <w:sz w:val="18"/>
          <w:szCs w:val="18"/>
        </w:rPr>
        <w:t xml:space="preserve"> en is in Nederland geïmplementeerd in de </w:t>
      </w:r>
      <w:proofErr w:type="spellStart"/>
      <w:r w:rsidRPr="00C47325">
        <w:rPr>
          <w:rFonts w:ascii="Verdana" w:hAnsi="Verdana"/>
          <w:sz w:val="18"/>
          <w:szCs w:val="18"/>
        </w:rPr>
        <w:t>Tw.</w:t>
      </w:r>
      <w:proofErr w:type="spellEnd"/>
      <w:r w:rsidRPr="00C47325">
        <w:rPr>
          <w:rFonts w:ascii="Verdana" w:hAnsi="Verdana"/>
          <w:sz w:val="18"/>
          <w:szCs w:val="18"/>
        </w:rPr>
        <w:t xml:space="preserve"> </w:t>
      </w:r>
    </w:p>
    <w:p w:rsidRPr="00C47325" w:rsidR="0030155D" w:rsidP="003F2349" w:rsidRDefault="0030155D" w14:paraId="39B30B53" w14:textId="77777777">
      <w:pPr>
        <w:pStyle w:val="Geenafstand"/>
        <w:rPr>
          <w:rFonts w:ascii="Verdana" w:hAnsi="Verdana"/>
          <w:sz w:val="18"/>
          <w:szCs w:val="18"/>
        </w:rPr>
      </w:pPr>
    </w:p>
    <w:p w:rsidRPr="00C47325" w:rsidR="00076F9A" w:rsidP="003F2349" w:rsidRDefault="005C20E3" w14:paraId="65A653D9" w14:textId="585DB48D">
      <w:pPr>
        <w:pStyle w:val="Geenafstand"/>
        <w:rPr>
          <w:rFonts w:ascii="Verdana" w:hAnsi="Verdana"/>
          <w:sz w:val="18"/>
          <w:szCs w:val="18"/>
        </w:rPr>
      </w:pPr>
      <w:r w:rsidRPr="00C47325">
        <w:rPr>
          <w:rFonts w:ascii="Verdana" w:hAnsi="Verdana"/>
          <w:sz w:val="18"/>
          <w:szCs w:val="18"/>
        </w:rPr>
        <w:t>In de NIS2-richtlijn</w:t>
      </w:r>
      <w:r>
        <w:rPr>
          <w:rFonts w:ascii="Verdana" w:hAnsi="Verdana"/>
          <w:sz w:val="18"/>
          <w:szCs w:val="18"/>
        </w:rPr>
        <w:t xml:space="preserve"> zijn de maatregelen met betrekking tot de beveiliging van elektronische communicatienetwerken en -diensten </w:t>
      </w:r>
      <w:r w:rsidRPr="00C47325">
        <w:rPr>
          <w:rFonts w:ascii="Verdana" w:hAnsi="Verdana"/>
          <w:sz w:val="18"/>
          <w:szCs w:val="18"/>
        </w:rPr>
        <w:t>onder de werking van de NIS2-richtlijn gebracht</w:t>
      </w:r>
      <w:r>
        <w:rPr>
          <w:rFonts w:ascii="Verdana" w:hAnsi="Verdana"/>
          <w:sz w:val="18"/>
          <w:szCs w:val="18"/>
        </w:rPr>
        <w:t xml:space="preserve">. De NIS2-richtlijn </w:t>
      </w:r>
      <w:r w:rsidRPr="003B47D7">
        <w:rPr>
          <w:rFonts w:ascii="Verdana" w:hAnsi="Verdana"/>
          <w:sz w:val="18"/>
          <w:szCs w:val="18"/>
        </w:rPr>
        <w:t xml:space="preserve">heeft </w:t>
      </w:r>
      <w:r w:rsidRPr="003B47D7" w:rsidR="003B47D7">
        <w:rPr>
          <w:rFonts w:ascii="Verdana" w:hAnsi="Verdana"/>
          <w:sz w:val="18"/>
          <w:szCs w:val="18"/>
        </w:rPr>
        <w:t xml:space="preserve">met het schrappen van de artikelen 40 en 41 uit de Telecomcode </w:t>
      </w:r>
      <w:r w:rsidRPr="003B47D7">
        <w:rPr>
          <w:rFonts w:ascii="Verdana" w:hAnsi="Verdana"/>
          <w:sz w:val="18"/>
          <w:szCs w:val="18"/>
        </w:rPr>
        <w:t>grotendeels de maatregelen inzake de beveiliging van de telecomsector uit de Telecomcode</w:t>
      </w:r>
      <w:r w:rsidRPr="003B47D7" w:rsidR="003B47D7">
        <w:rPr>
          <w:rFonts w:ascii="Verdana" w:hAnsi="Verdana"/>
          <w:sz w:val="18"/>
          <w:szCs w:val="18"/>
        </w:rPr>
        <w:t xml:space="preserve"> geschrapt en vervangen</w:t>
      </w:r>
      <w:r w:rsidRPr="003B47D7">
        <w:rPr>
          <w:rFonts w:ascii="Verdana" w:hAnsi="Verdana"/>
          <w:sz w:val="18"/>
          <w:szCs w:val="18"/>
        </w:rPr>
        <w:t xml:space="preserve">. </w:t>
      </w:r>
      <w:bookmarkStart w:name="_Hlk194315612" w:id="304"/>
      <w:r w:rsidRPr="003B47D7">
        <w:rPr>
          <w:rFonts w:ascii="Verdana" w:hAnsi="Verdana"/>
          <w:sz w:val="18"/>
          <w:szCs w:val="18"/>
        </w:rPr>
        <w:t xml:space="preserve">Die </w:t>
      </w:r>
      <w:r w:rsidRPr="003B47D7" w:rsidR="003B47D7">
        <w:rPr>
          <w:rFonts w:ascii="Verdana" w:hAnsi="Verdana"/>
          <w:sz w:val="18"/>
          <w:szCs w:val="18"/>
        </w:rPr>
        <w:t xml:space="preserve">geschrapte </w:t>
      </w:r>
      <w:r w:rsidRPr="003B47D7">
        <w:rPr>
          <w:rFonts w:ascii="Verdana" w:hAnsi="Verdana"/>
          <w:sz w:val="18"/>
          <w:szCs w:val="18"/>
        </w:rPr>
        <w:t>artikelen gaan over de meldplicht, zorgplicht en het toezicht hierop.</w:t>
      </w:r>
      <w:bookmarkEnd w:id="304"/>
      <w:r w:rsidRPr="003B47D7">
        <w:rPr>
          <w:rFonts w:ascii="Verdana" w:hAnsi="Verdana"/>
          <w:sz w:val="18"/>
          <w:szCs w:val="18"/>
        </w:rPr>
        <w:t xml:space="preserve"> Bij de implementatie van de NIS2-richtlijn is bezien of als gevolg hiervan relevante bepalingen met betrekking tot de meldplicht, de zorgplicht en het toezicht uit de </w:t>
      </w:r>
      <w:proofErr w:type="spellStart"/>
      <w:r w:rsidRPr="003B47D7">
        <w:rPr>
          <w:rFonts w:ascii="Verdana" w:hAnsi="Verdana"/>
          <w:sz w:val="18"/>
          <w:szCs w:val="18"/>
        </w:rPr>
        <w:t>Tw</w:t>
      </w:r>
      <w:proofErr w:type="spellEnd"/>
      <w:r w:rsidRPr="003B47D7">
        <w:rPr>
          <w:rFonts w:ascii="Verdana" w:hAnsi="Verdana"/>
          <w:sz w:val="18"/>
          <w:szCs w:val="18"/>
        </w:rPr>
        <w:t xml:space="preserve"> moeten worden gewijzigd.</w:t>
      </w:r>
      <w:r w:rsidRPr="00C47325" w:rsidR="00076F9A">
        <w:rPr>
          <w:rFonts w:ascii="Verdana" w:hAnsi="Verdana"/>
          <w:sz w:val="18"/>
          <w:szCs w:val="18"/>
        </w:rPr>
        <w:br/>
      </w:r>
      <w:r w:rsidRPr="00C47325" w:rsidR="00076F9A">
        <w:rPr>
          <w:rFonts w:ascii="Verdana" w:hAnsi="Verdana"/>
          <w:sz w:val="18"/>
          <w:szCs w:val="18"/>
        </w:rPr>
        <w:br/>
        <w:t xml:space="preserve">Allereerst kan de meldplicht in de </w:t>
      </w:r>
      <w:proofErr w:type="spellStart"/>
      <w:r w:rsidRPr="00C47325" w:rsidR="00076F9A">
        <w:rPr>
          <w:rFonts w:ascii="Verdana" w:hAnsi="Verdana"/>
          <w:sz w:val="18"/>
          <w:szCs w:val="18"/>
        </w:rPr>
        <w:t>T</w:t>
      </w:r>
      <w:r w:rsidRPr="00C47325" w:rsidR="0030155D">
        <w:rPr>
          <w:rFonts w:ascii="Verdana" w:hAnsi="Verdana"/>
          <w:sz w:val="18"/>
          <w:szCs w:val="18"/>
        </w:rPr>
        <w:t>w</w:t>
      </w:r>
      <w:proofErr w:type="spellEnd"/>
      <w:r w:rsidRPr="00C47325" w:rsidR="0030155D">
        <w:rPr>
          <w:rFonts w:ascii="Verdana" w:hAnsi="Verdana"/>
          <w:sz w:val="18"/>
          <w:szCs w:val="18"/>
        </w:rPr>
        <w:t xml:space="preserve">, opgenomen in artikel 11a.2 </w:t>
      </w:r>
      <w:proofErr w:type="spellStart"/>
      <w:r w:rsidRPr="00C47325" w:rsidR="0030155D">
        <w:rPr>
          <w:rFonts w:ascii="Verdana" w:hAnsi="Verdana"/>
          <w:sz w:val="18"/>
          <w:szCs w:val="18"/>
        </w:rPr>
        <w:t>Tw</w:t>
      </w:r>
      <w:proofErr w:type="spellEnd"/>
      <w:r w:rsidRPr="00C47325" w:rsidR="0030155D">
        <w:rPr>
          <w:rFonts w:ascii="Verdana" w:hAnsi="Verdana"/>
          <w:sz w:val="18"/>
          <w:szCs w:val="18"/>
        </w:rPr>
        <w:t>,</w:t>
      </w:r>
      <w:r w:rsidRPr="00C47325" w:rsidR="00076F9A">
        <w:rPr>
          <w:rFonts w:ascii="Verdana" w:hAnsi="Verdana"/>
          <w:sz w:val="18"/>
          <w:szCs w:val="18"/>
        </w:rPr>
        <w:t xml:space="preserve"> worden vervangen door de meldplicht zoals opgenomen in </w:t>
      </w:r>
      <w:r w:rsidRPr="00C47325" w:rsidR="00D3260B">
        <w:rPr>
          <w:rFonts w:ascii="Verdana" w:hAnsi="Verdana"/>
          <w:sz w:val="18"/>
          <w:szCs w:val="18"/>
        </w:rPr>
        <w:t xml:space="preserve">de </w:t>
      </w:r>
      <w:proofErr w:type="spellStart"/>
      <w:r w:rsidRPr="00C47325" w:rsidR="00D3260B">
        <w:rPr>
          <w:rFonts w:ascii="Verdana" w:hAnsi="Verdana"/>
          <w:sz w:val="18"/>
          <w:szCs w:val="18"/>
        </w:rPr>
        <w:t>Cbw</w:t>
      </w:r>
      <w:proofErr w:type="spellEnd"/>
      <w:r w:rsidRPr="00C47325" w:rsidR="0030155D">
        <w:rPr>
          <w:rFonts w:ascii="Verdana" w:hAnsi="Verdana"/>
          <w:sz w:val="18"/>
          <w:szCs w:val="18"/>
        </w:rPr>
        <w:t>. Artikel</w:t>
      </w:r>
      <w:r w:rsidRPr="00C47325" w:rsidR="00076F9A">
        <w:rPr>
          <w:rFonts w:ascii="Verdana" w:hAnsi="Verdana"/>
          <w:sz w:val="18"/>
          <w:szCs w:val="18"/>
        </w:rPr>
        <w:t xml:space="preserve"> 11a.2 </w:t>
      </w:r>
      <w:proofErr w:type="spellStart"/>
      <w:r w:rsidRPr="00C47325" w:rsidR="0030155D">
        <w:rPr>
          <w:rFonts w:ascii="Verdana" w:hAnsi="Verdana"/>
          <w:sz w:val="18"/>
          <w:szCs w:val="18"/>
        </w:rPr>
        <w:t>Tw</w:t>
      </w:r>
      <w:proofErr w:type="spellEnd"/>
      <w:r w:rsidRPr="00C47325" w:rsidR="0030155D">
        <w:rPr>
          <w:rFonts w:ascii="Verdana" w:hAnsi="Verdana"/>
          <w:sz w:val="18"/>
          <w:szCs w:val="18"/>
        </w:rPr>
        <w:t xml:space="preserve"> kan dus komen te vervallen. </w:t>
      </w:r>
      <w:r w:rsidRPr="00C47325" w:rsidR="00076F9A">
        <w:rPr>
          <w:rFonts w:ascii="Verdana" w:hAnsi="Verdana"/>
          <w:sz w:val="18"/>
          <w:szCs w:val="18"/>
        </w:rPr>
        <w:br/>
      </w:r>
      <w:r w:rsidRPr="00C47325" w:rsidR="00076F9A">
        <w:rPr>
          <w:rFonts w:ascii="Verdana" w:hAnsi="Verdana"/>
          <w:sz w:val="18"/>
          <w:szCs w:val="18"/>
        </w:rPr>
        <w:br/>
        <w:t>Voor wat betreft de zorgplicht</w:t>
      </w:r>
      <w:r w:rsidRPr="00C47325" w:rsidR="0030155D">
        <w:rPr>
          <w:rFonts w:ascii="Verdana" w:hAnsi="Verdana"/>
          <w:sz w:val="18"/>
          <w:szCs w:val="18"/>
        </w:rPr>
        <w:t xml:space="preserve"> in de </w:t>
      </w:r>
      <w:proofErr w:type="spellStart"/>
      <w:r w:rsidRPr="00C47325" w:rsidR="0030155D">
        <w:rPr>
          <w:rFonts w:ascii="Verdana" w:hAnsi="Verdana"/>
          <w:sz w:val="18"/>
          <w:szCs w:val="18"/>
        </w:rPr>
        <w:t>Tw</w:t>
      </w:r>
      <w:proofErr w:type="spellEnd"/>
      <w:r w:rsidRPr="00C47325" w:rsidR="0030155D">
        <w:rPr>
          <w:rFonts w:ascii="Verdana" w:hAnsi="Verdana"/>
          <w:sz w:val="18"/>
          <w:szCs w:val="18"/>
        </w:rPr>
        <w:t>, opgenomen in</w:t>
      </w:r>
      <w:r w:rsidRPr="00C47325" w:rsidR="00076F9A">
        <w:rPr>
          <w:rFonts w:ascii="Verdana" w:hAnsi="Verdana"/>
          <w:sz w:val="18"/>
          <w:szCs w:val="18"/>
        </w:rPr>
        <w:t xml:space="preserve"> artikel 11a.1, eerste lid, </w:t>
      </w:r>
      <w:proofErr w:type="spellStart"/>
      <w:r w:rsidRPr="00C47325" w:rsidR="0030155D">
        <w:rPr>
          <w:rFonts w:ascii="Verdana" w:hAnsi="Verdana"/>
          <w:sz w:val="18"/>
          <w:szCs w:val="18"/>
        </w:rPr>
        <w:t>Tw</w:t>
      </w:r>
      <w:proofErr w:type="spellEnd"/>
      <w:r w:rsidRPr="00C47325" w:rsidR="0030155D">
        <w:rPr>
          <w:rFonts w:ascii="Verdana" w:hAnsi="Verdana"/>
          <w:sz w:val="18"/>
          <w:szCs w:val="18"/>
        </w:rPr>
        <w:t>,</w:t>
      </w:r>
      <w:r w:rsidRPr="00C47325" w:rsidR="00076F9A">
        <w:rPr>
          <w:rFonts w:ascii="Verdana" w:hAnsi="Verdana"/>
          <w:sz w:val="18"/>
          <w:szCs w:val="18"/>
        </w:rPr>
        <w:t xml:space="preserve"> </w:t>
      </w:r>
      <w:r w:rsidRPr="00C47325" w:rsidR="0030155D">
        <w:rPr>
          <w:rFonts w:ascii="Verdana" w:hAnsi="Verdana"/>
          <w:sz w:val="18"/>
          <w:szCs w:val="18"/>
        </w:rPr>
        <w:t xml:space="preserve">geldt dat deze </w:t>
      </w:r>
      <w:r w:rsidRPr="00C47325" w:rsidR="00076F9A">
        <w:rPr>
          <w:rFonts w:ascii="Verdana" w:hAnsi="Verdana"/>
          <w:sz w:val="18"/>
          <w:szCs w:val="18"/>
        </w:rPr>
        <w:t xml:space="preserve">niet gelijkluidend </w:t>
      </w:r>
      <w:r w:rsidRPr="00C47325" w:rsidR="0030155D">
        <w:rPr>
          <w:rFonts w:ascii="Verdana" w:hAnsi="Verdana"/>
          <w:sz w:val="18"/>
          <w:szCs w:val="18"/>
        </w:rPr>
        <w:t xml:space="preserve">is </w:t>
      </w:r>
      <w:r w:rsidRPr="00C47325" w:rsidR="00076F9A">
        <w:rPr>
          <w:rFonts w:ascii="Verdana" w:hAnsi="Verdana"/>
          <w:sz w:val="18"/>
          <w:szCs w:val="18"/>
        </w:rPr>
        <w:t>aan de zorgplicht</w:t>
      </w:r>
      <w:r w:rsidRPr="00C47325" w:rsidR="0030155D">
        <w:rPr>
          <w:rFonts w:ascii="Verdana" w:hAnsi="Verdana"/>
          <w:sz w:val="18"/>
          <w:szCs w:val="18"/>
        </w:rPr>
        <w:t>,</w:t>
      </w:r>
      <w:r w:rsidRPr="00C47325" w:rsidR="00076F9A">
        <w:rPr>
          <w:rFonts w:ascii="Verdana" w:hAnsi="Verdana"/>
          <w:sz w:val="18"/>
          <w:szCs w:val="18"/>
        </w:rPr>
        <w:t xml:space="preserve"> bedoeld in artikel 21, eerste lid, NIS2-richtlijn en </w:t>
      </w:r>
      <w:r w:rsidRPr="00C47325" w:rsidR="0030155D">
        <w:rPr>
          <w:rFonts w:ascii="Verdana" w:hAnsi="Verdana"/>
          <w:sz w:val="18"/>
          <w:szCs w:val="18"/>
        </w:rPr>
        <w:t>geïmplementeerd</w:t>
      </w:r>
      <w:r w:rsidRPr="00C47325" w:rsidR="00076F9A">
        <w:rPr>
          <w:rFonts w:ascii="Verdana" w:hAnsi="Verdana"/>
          <w:sz w:val="18"/>
          <w:szCs w:val="18"/>
        </w:rPr>
        <w:t xml:space="preserve"> in artikel </w:t>
      </w:r>
      <w:r w:rsidR="001C33E0">
        <w:rPr>
          <w:rFonts w:ascii="Verdana" w:hAnsi="Verdana"/>
          <w:sz w:val="18"/>
          <w:szCs w:val="18"/>
        </w:rPr>
        <w:t>21</w:t>
      </w:r>
      <w:r w:rsidRPr="00C47325" w:rsidR="001C33E0">
        <w:rPr>
          <w:rFonts w:ascii="Verdana" w:hAnsi="Verdana"/>
          <w:sz w:val="18"/>
          <w:szCs w:val="18"/>
        </w:rPr>
        <w:t xml:space="preserve"> </w:t>
      </w:r>
      <w:proofErr w:type="spellStart"/>
      <w:r w:rsidRPr="00C47325" w:rsidR="00D3260B">
        <w:rPr>
          <w:rFonts w:ascii="Verdana" w:hAnsi="Verdana"/>
          <w:sz w:val="18"/>
          <w:szCs w:val="18"/>
        </w:rPr>
        <w:t>Cbw</w:t>
      </w:r>
      <w:proofErr w:type="spellEnd"/>
      <w:r w:rsidRPr="00C47325" w:rsidR="00076F9A">
        <w:rPr>
          <w:rFonts w:ascii="Verdana" w:hAnsi="Verdana"/>
          <w:sz w:val="18"/>
          <w:szCs w:val="18"/>
        </w:rPr>
        <w:t>. Daar waar de huidige sectorspecifieke wetgeving aangeeft dat aanbieders van openbare elektronische communicatienetwerken of openbare elektronische communicatiediensten passende en evenredige technische en organisatorische maatregelen moeten nemen om de risico</w:t>
      </w:r>
      <w:r w:rsidR="00F12F81">
        <w:rPr>
          <w:rFonts w:ascii="Verdana" w:hAnsi="Verdana"/>
          <w:sz w:val="18"/>
          <w:szCs w:val="18"/>
        </w:rPr>
        <w:t>’</w:t>
      </w:r>
      <w:r w:rsidRPr="00C47325" w:rsidR="00076F9A">
        <w:rPr>
          <w:rFonts w:ascii="Verdana" w:hAnsi="Verdana"/>
          <w:sz w:val="18"/>
          <w:szCs w:val="18"/>
        </w:rPr>
        <w:t>s voor de beveiliging van hun netwerken of diensten te beheersen</w:t>
      </w:r>
      <w:r w:rsidRPr="00C47325" w:rsidR="0030155D">
        <w:rPr>
          <w:rFonts w:ascii="Verdana" w:hAnsi="Verdana"/>
          <w:sz w:val="18"/>
          <w:szCs w:val="18"/>
        </w:rPr>
        <w:t>,</w:t>
      </w:r>
      <w:r w:rsidRPr="00C47325" w:rsidR="00076F9A">
        <w:rPr>
          <w:rFonts w:ascii="Verdana" w:hAnsi="Verdana"/>
          <w:sz w:val="18"/>
          <w:szCs w:val="18"/>
        </w:rPr>
        <w:t xml:space="preserve"> gaat de NIS2-richtlijn uit van </w:t>
      </w:r>
      <w:r w:rsidRPr="00C47325" w:rsidR="0030155D">
        <w:rPr>
          <w:rFonts w:ascii="Verdana" w:hAnsi="Verdana"/>
          <w:sz w:val="18"/>
          <w:szCs w:val="18"/>
        </w:rPr>
        <w:t xml:space="preserve">de </w:t>
      </w:r>
      <w:r w:rsidRPr="00C47325" w:rsidR="00076F9A">
        <w:rPr>
          <w:rFonts w:ascii="Verdana" w:hAnsi="Verdana"/>
          <w:sz w:val="18"/>
          <w:szCs w:val="18"/>
        </w:rPr>
        <w:t>essentiële</w:t>
      </w:r>
      <w:r w:rsidRPr="00C47325" w:rsidR="0030155D">
        <w:rPr>
          <w:rFonts w:ascii="Verdana" w:hAnsi="Verdana"/>
          <w:sz w:val="18"/>
          <w:szCs w:val="18"/>
        </w:rPr>
        <w:t xml:space="preserve"> entiteit</w:t>
      </w:r>
      <w:r w:rsidRPr="00C47325" w:rsidR="00076F9A">
        <w:rPr>
          <w:rFonts w:ascii="Verdana" w:hAnsi="Verdana"/>
          <w:sz w:val="18"/>
          <w:szCs w:val="18"/>
        </w:rPr>
        <w:t xml:space="preserve"> respectievelijk de belangrijke entiteit die passende en evenredige technische, operationele en organisatorische maatregelen moet nemen om de risico</w:t>
      </w:r>
      <w:r w:rsidR="00F12F81">
        <w:rPr>
          <w:rFonts w:ascii="Verdana" w:hAnsi="Verdana"/>
          <w:sz w:val="18"/>
          <w:szCs w:val="18"/>
        </w:rPr>
        <w:t>’</w:t>
      </w:r>
      <w:r w:rsidRPr="00C47325" w:rsidR="00076F9A">
        <w:rPr>
          <w:rFonts w:ascii="Verdana" w:hAnsi="Verdana"/>
          <w:sz w:val="18"/>
          <w:szCs w:val="18"/>
        </w:rPr>
        <w:t xml:space="preserve">s </w:t>
      </w:r>
      <w:r w:rsidRPr="00C47325" w:rsidR="00076F9A">
        <w:rPr>
          <w:rFonts w:ascii="Verdana" w:hAnsi="Verdana"/>
          <w:i/>
          <w:iCs/>
          <w:sz w:val="18"/>
          <w:szCs w:val="18"/>
        </w:rPr>
        <w:t>voor de beveiliging van de netwerk- en informatiesystemen</w:t>
      </w:r>
      <w:r w:rsidRPr="00C47325" w:rsidR="00076F9A">
        <w:rPr>
          <w:rFonts w:ascii="Verdana" w:hAnsi="Verdana"/>
          <w:sz w:val="18"/>
          <w:szCs w:val="18"/>
        </w:rPr>
        <w:t xml:space="preserve">, die zij voor haar werkzaamheden of voor het verlenen van haar diensten gebruikt, te beheersen. De reikwijdte van de zorgplicht uit de telecommunicatiewetgeving verschilt van die uit de NI2-richtlijn. De huidige zorgplicht uit de </w:t>
      </w:r>
      <w:proofErr w:type="spellStart"/>
      <w:r w:rsidRPr="00C47325" w:rsidR="00076F9A">
        <w:rPr>
          <w:rFonts w:ascii="Verdana" w:hAnsi="Verdana"/>
          <w:sz w:val="18"/>
          <w:szCs w:val="18"/>
        </w:rPr>
        <w:t>T</w:t>
      </w:r>
      <w:r w:rsidRPr="00C47325" w:rsidR="0030155D">
        <w:rPr>
          <w:rFonts w:ascii="Verdana" w:hAnsi="Verdana"/>
          <w:sz w:val="18"/>
          <w:szCs w:val="18"/>
        </w:rPr>
        <w:t>w</w:t>
      </w:r>
      <w:proofErr w:type="spellEnd"/>
      <w:r w:rsidRPr="00C47325" w:rsidR="00076F9A">
        <w:rPr>
          <w:rFonts w:ascii="Verdana" w:hAnsi="Verdana"/>
          <w:sz w:val="18"/>
          <w:szCs w:val="18"/>
        </w:rPr>
        <w:t xml:space="preserve"> heeft een zeer brede reikwijdte die zowel op de totale beveiliging van de openbare elektronische communicatienetwerken als de openbare elektronische communicatiediensten ziet. De NIS2-richtlijn gaat over de beveiliging van netwerk- en informatiesystemen: hiertoe behoren in ieder geval de elektronische communicatienetwerken, aangezien in artikel 6, eerste lid, NIS2-richtlijn voor de definitie van “netwerk- en informatiesystemen” wordt verwezen naar de definitie van “elektronisch communicatienetwerk” zoals die in de Telecomcode is opgenomen. </w:t>
      </w:r>
      <w:r w:rsidRPr="00863CBA" w:rsidR="00863CBA">
        <w:rPr>
          <w:rFonts w:ascii="Verdana" w:hAnsi="Verdana"/>
          <w:sz w:val="18"/>
          <w:szCs w:val="18"/>
        </w:rPr>
        <w:t xml:space="preserve">Voor wat betreft de veiligheid van openbare elektronische communicatiediensten kan weliswaar worden gesteld dat een hoger niveau van beveiliging van netwerk- en informatiesystemen tot een hoger beveiligingsniveau zou moeten leiden van de diensten die via die netwerk- en informatiesystemen worden aangeboden. </w:t>
      </w:r>
      <w:r w:rsidRPr="00C47325" w:rsidR="00076F9A">
        <w:rPr>
          <w:rFonts w:ascii="Verdana" w:hAnsi="Verdana"/>
          <w:sz w:val="18"/>
          <w:szCs w:val="18"/>
        </w:rPr>
        <w:t>Echter, uit de “beveiliging van netwerk</w:t>
      </w:r>
      <w:r w:rsidRPr="00C47325" w:rsidR="003F2349">
        <w:rPr>
          <w:rFonts w:ascii="Verdana" w:hAnsi="Verdana"/>
          <w:sz w:val="18"/>
          <w:szCs w:val="18"/>
        </w:rPr>
        <w:t>-</w:t>
      </w:r>
      <w:r w:rsidRPr="00C47325" w:rsidR="00076F9A">
        <w:rPr>
          <w:rFonts w:ascii="Verdana" w:hAnsi="Verdana"/>
          <w:sz w:val="18"/>
          <w:szCs w:val="18"/>
        </w:rPr>
        <w:t xml:space="preserve"> en informatiesystemen” kan niet zonder meer worden afgeleid dat beveiligde netwerk- en informatiesystemen impliceren dat de openbare elektronische communicatiediensten die via deze systemen worden aangeboden daardoor ook in dezelfde mate veilig zijn. </w:t>
      </w:r>
      <w:r w:rsidRPr="005C20E3">
        <w:rPr>
          <w:rFonts w:ascii="Verdana" w:hAnsi="Verdana"/>
          <w:sz w:val="18"/>
          <w:szCs w:val="18"/>
        </w:rPr>
        <w:t>Met uitzondering van de verwijzing naar de beveiliging van netwerken (die dus is geschrapt) behoudt artikel 11a.1, eerste lid</w:t>
      </w:r>
      <w:r>
        <w:rPr>
          <w:rFonts w:ascii="Verdana" w:hAnsi="Verdana"/>
          <w:sz w:val="18"/>
          <w:szCs w:val="18"/>
        </w:rPr>
        <w:t>,</w:t>
      </w:r>
      <w:r w:rsidRPr="005C20E3">
        <w:rPr>
          <w:rFonts w:ascii="Verdana" w:hAnsi="Verdana"/>
          <w:sz w:val="18"/>
          <w:szCs w:val="18"/>
        </w:rPr>
        <w:t xml:space="preserve"> </w:t>
      </w:r>
      <w:proofErr w:type="spellStart"/>
      <w:r w:rsidRPr="005C20E3">
        <w:rPr>
          <w:rFonts w:ascii="Verdana" w:hAnsi="Verdana"/>
          <w:sz w:val="18"/>
          <w:szCs w:val="18"/>
        </w:rPr>
        <w:t>Tw</w:t>
      </w:r>
      <w:proofErr w:type="spellEnd"/>
      <w:r w:rsidRPr="005C20E3">
        <w:rPr>
          <w:rFonts w:ascii="Verdana" w:hAnsi="Verdana"/>
          <w:sz w:val="18"/>
          <w:szCs w:val="18"/>
        </w:rPr>
        <w:t xml:space="preserve"> </w:t>
      </w:r>
      <w:r>
        <w:rPr>
          <w:rFonts w:ascii="Verdana" w:hAnsi="Verdana"/>
          <w:sz w:val="18"/>
          <w:szCs w:val="18"/>
        </w:rPr>
        <w:t>de</w:t>
      </w:r>
      <w:r w:rsidRPr="005C20E3">
        <w:rPr>
          <w:rFonts w:ascii="Verdana" w:hAnsi="Verdana"/>
          <w:sz w:val="18"/>
          <w:szCs w:val="18"/>
        </w:rPr>
        <w:t xml:space="preserve"> huidige formulering.</w:t>
      </w:r>
    </w:p>
    <w:p w:rsidRPr="00C47325" w:rsidR="00172C1C" w:rsidP="003F2349" w:rsidRDefault="00172C1C" w14:paraId="7D846AA1" w14:textId="77777777">
      <w:pPr>
        <w:pStyle w:val="Geenafstand"/>
        <w:rPr>
          <w:rFonts w:ascii="Verdana" w:hAnsi="Verdana"/>
          <w:sz w:val="18"/>
          <w:szCs w:val="18"/>
        </w:rPr>
      </w:pPr>
    </w:p>
    <w:p w:rsidRPr="00C47325" w:rsidR="00076F9A" w:rsidP="003F2349" w:rsidRDefault="00076F9A" w14:paraId="38EB896B" w14:textId="4A46987F">
      <w:pPr>
        <w:pStyle w:val="Geenafstand"/>
        <w:rPr>
          <w:rFonts w:ascii="Verdana" w:hAnsi="Verdana"/>
          <w:sz w:val="18"/>
          <w:szCs w:val="18"/>
        </w:rPr>
      </w:pPr>
      <w:r w:rsidRPr="00C47325">
        <w:rPr>
          <w:rFonts w:ascii="Verdana" w:hAnsi="Verdana"/>
          <w:sz w:val="18"/>
          <w:szCs w:val="18"/>
        </w:rPr>
        <w:t xml:space="preserve">Nederland heeft de afgelopen jaren ook maatregelen </w:t>
      </w:r>
      <w:r w:rsidRPr="00C47325" w:rsidR="00172C1C">
        <w:rPr>
          <w:rFonts w:ascii="Verdana" w:hAnsi="Verdana"/>
          <w:sz w:val="18"/>
          <w:szCs w:val="18"/>
        </w:rPr>
        <w:t xml:space="preserve">genomen </w:t>
      </w:r>
      <w:r w:rsidRPr="00C47325">
        <w:rPr>
          <w:rFonts w:ascii="Verdana" w:hAnsi="Verdana"/>
          <w:sz w:val="18"/>
          <w:szCs w:val="18"/>
        </w:rPr>
        <w:t>met betrekking tot de mobiele openbare elektronische communicatienetwerken</w:t>
      </w:r>
      <w:r w:rsidRPr="00C47325" w:rsidR="00172C1C">
        <w:rPr>
          <w:rFonts w:ascii="Verdana" w:hAnsi="Verdana"/>
          <w:sz w:val="18"/>
          <w:szCs w:val="18"/>
        </w:rPr>
        <w:t>,</w:t>
      </w:r>
      <w:r w:rsidRPr="00C47325">
        <w:rPr>
          <w:rFonts w:ascii="Verdana" w:hAnsi="Verdana"/>
          <w:sz w:val="18"/>
          <w:szCs w:val="18"/>
        </w:rPr>
        <w:t xml:space="preserve"> om de toenemende risico</w:t>
      </w:r>
      <w:r w:rsidR="00F12F81">
        <w:rPr>
          <w:rFonts w:ascii="Verdana" w:hAnsi="Verdana"/>
          <w:sz w:val="18"/>
          <w:szCs w:val="18"/>
        </w:rPr>
        <w:t>’</w:t>
      </w:r>
      <w:r w:rsidRPr="00C47325">
        <w:rPr>
          <w:rFonts w:ascii="Verdana" w:hAnsi="Verdana"/>
          <w:sz w:val="18"/>
          <w:szCs w:val="18"/>
        </w:rPr>
        <w:t xml:space="preserve">s en dreigingen vanuit statelijke actoren te adresseren, met name als het om de toeleveringsketen gaat. Hiervoor zijn in het kader van de nationale veiligheid noodzakelijke wettelijke maatregelen getroffen. Het gaat hierbij om het </w:t>
      </w:r>
      <w:r w:rsidRPr="000E397D">
        <w:rPr>
          <w:rFonts w:ascii="Verdana" w:hAnsi="Verdana"/>
          <w:sz w:val="18"/>
          <w:szCs w:val="18"/>
        </w:rPr>
        <w:t>Besluit veiligheid en integriteit telecommunicatie en de Regeling veiligheid en integriteit telecommunicatie</w:t>
      </w:r>
      <w:r w:rsidRPr="00C47325">
        <w:rPr>
          <w:rFonts w:ascii="Verdana" w:hAnsi="Verdana"/>
          <w:i/>
          <w:iCs/>
          <w:sz w:val="18"/>
          <w:szCs w:val="18"/>
        </w:rPr>
        <w:t xml:space="preserve">. </w:t>
      </w:r>
      <w:r w:rsidRPr="00C47325">
        <w:rPr>
          <w:rFonts w:ascii="Verdana" w:hAnsi="Verdana"/>
          <w:sz w:val="18"/>
          <w:szCs w:val="18"/>
        </w:rPr>
        <w:t xml:space="preserve">In </w:t>
      </w:r>
      <w:r w:rsidRPr="00C47325" w:rsidR="00172C1C">
        <w:rPr>
          <w:rFonts w:ascii="Verdana" w:hAnsi="Verdana"/>
          <w:sz w:val="18"/>
          <w:szCs w:val="18"/>
        </w:rPr>
        <w:t>het Besluit veiligheid en integriteit telecommunicatie</w:t>
      </w:r>
      <w:r w:rsidRPr="00C47325" w:rsidDel="00172C1C" w:rsidR="00172C1C">
        <w:rPr>
          <w:rFonts w:ascii="Verdana" w:hAnsi="Verdana"/>
          <w:sz w:val="18"/>
          <w:szCs w:val="18"/>
        </w:rPr>
        <w:t xml:space="preserve"> </w:t>
      </w:r>
      <w:r w:rsidRPr="00C47325">
        <w:rPr>
          <w:rFonts w:ascii="Verdana" w:hAnsi="Verdana"/>
          <w:sz w:val="18"/>
          <w:szCs w:val="18"/>
        </w:rPr>
        <w:t xml:space="preserve">is de mogelijkheid gecreëerd om aan aanbieders de verplichting op te leggen om bepaalde leveranciers die apparatuur voor de telecommunicatienetwerken leveren te kunnen weren. In de </w:t>
      </w:r>
      <w:r w:rsidRPr="00C47325" w:rsidR="00451582">
        <w:rPr>
          <w:rFonts w:ascii="Verdana" w:hAnsi="Verdana"/>
          <w:sz w:val="18"/>
          <w:szCs w:val="18"/>
        </w:rPr>
        <w:t>Regeling veiligheid en integriteit telecommunicatie</w:t>
      </w:r>
      <w:r w:rsidRPr="00C47325" w:rsidDel="00451582" w:rsidR="00451582">
        <w:rPr>
          <w:rFonts w:ascii="Verdana" w:hAnsi="Verdana"/>
          <w:sz w:val="18"/>
          <w:szCs w:val="18"/>
        </w:rPr>
        <w:t xml:space="preserve"> </w:t>
      </w:r>
      <w:r w:rsidRPr="00C47325">
        <w:rPr>
          <w:rFonts w:ascii="Verdana" w:hAnsi="Verdana"/>
          <w:sz w:val="18"/>
          <w:szCs w:val="18"/>
        </w:rPr>
        <w:t xml:space="preserve">zijn meerdere, veelal technische beveiligingsmaatregelen opgenomen, onder andere op het gebied van toegangsbeheer, encryptie en configuratie van technische apparatuur. Met het oog op voortzetting van deze bestaande wetgeving </w:t>
      </w:r>
      <w:r w:rsidRPr="00C47325" w:rsidR="00DE54D4">
        <w:rPr>
          <w:rFonts w:ascii="Verdana" w:hAnsi="Verdana"/>
          <w:sz w:val="18"/>
          <w:szCs w:val="18"/>
        </w:rPr>
        <w:t xml:space="preserve">regelt artikel </w:t>
      </w:r>
      <w:r w:rsidR="001C33E0">
        <w:rPr>
          <w:rFonts w:ascii="Verdana" w:hAnsi="Verdana"/>
          <w:sz w:val="18"/>
          <w:szCs w:val="18"/>
        </w:rPr>
        <w:t>99</w:t>
      </w:r>
      <w:r w:rsidRPr="00C47325" w:rsidR="001C33E0">
        <w:rPr>
          <w:rFonts w:ascii="Verdana" w:hAnsi="Verdana"/>
          <w:sz w:val="18"/>
          <w:szCs w:val="18"/>
        </w:rPr>
        <w:t xml:space="preserve"> </w:t>
      </w:r>
      <w:proofErr w:type="spellStart"/>
      <w:r w:rsidRPr="00C47325" w:rsidR="00DE54D4">
        <w:rPr>
          <w:rFonts w:ascii="Verdana" w:hAnsi="Verdana"/>
          <w:sz w:val="18"/>
          <w:szCs w:val="18"/>
        </w:rPr>
        <w:t>Cbw</w:t>
      </w:r>
      <w:proofErr w:type="spellEnd"/>
      <w:r w:rsidRPr="00C47325" w:rsidR="00DE54D4">
        <w:rPr>
          <w:rFonts w:ascii="Verdana" w:hAnsi="Verdana"/>
          <w:sz w:val="18"/>
          <w:szCs w:val="18"/>
        </w:rPr>
        <w:t xml:space="preserve"> dat</w:t>
      </w:r>
      <w:r w:rsidRPr="00C47325">
        <w:rPr>
          <w:rFonts w:ascii="Verdana" w:hAnsi="Verdana"/>
          <w:sz w:val="18"/>
          <w:szCs w:val="18"/>
        </w:rPr>
        <w:t xml:space="preserve"> een delegatiegrondslag in de </w:t>
      </w:r>
      <w:proofErr w:type="spellStart"/>
      <w:r w:rsidRPr="00C47325">
        <w:rPr>
          <w:rFonts w:ascii="Verdana" w:hAnsi="Verdana"/>
          <w:sz w:val="18"/>
          <w:szCs w:val="18"/>
        </w:rPr>
        <w:t>T</w:t>
      </w:r>
      <w:r w:rsidRPr="00C47325" w:rsidR="00DE54D4">
        <w:rPr>
          <w:rFonts w:ascii="Verdana" w:hAnsi="Verdana"/>
          <w:sz w:val="18"/>
          <w:szCs w:val="18"/>
        </w:rPr>
        <w:t>w</w:t>
      </w:r>
      <w:proofErr w:type="spellEnd"/>
      <w:r w:rsidRPr="00C47325">
        <w:rPr>
          <w:rFonts w:ascii="Verdana" w:hAnsi="Verdana"/>
          <w:sz w:val="18"/>
          <w:szCs w:val="18"/>
        </w:rPr>
        <w:t xml:space="preserve"> </w:t>
      </w:r>
      <w:r w:rsidRPr="00C47325" w:rsidR="00DE54D4">
        <w:rPr>
          <w:rFonts w:ascii="Verdana" w:hAnsi="Verdana"/>
          <w:sz w:val="18"/>
          <w:szCs w:val="18"/>
        </w:rPr>
        <w:t xml:space="preserve">wordt </w:t>
      </w:r>
      <w:r w:rsidRPr="00C47325">
        <w:rPr>
          <w:rFonts w:ascii="Verdana" w:hAnsi="Verdana"/>
          <w:sz w:val="18"/>
          <w:szCs w:val="18"/>
        </w:rPr>
        <w:t xml:space="preserve">opgenomen. Dit is geregeld in het voorgestelde artikel 11a.1, tweede lid (nieuw), </w:t>
      </w:r>
      <w:proofErr w:type="spellStart"/>
      <w:r w:rsidRPr="00C47325" w:rsidR="0030155D">
        <w:rPr>
          <w:rFonts w:ascii="Verdana" w:hAnsi="Verdana"/>
          <w:sz w:val="18"/>
          <w:szCs w:val="18"/>
        </w:rPr>
        <w:t>Tw</w:t>
      </w:r>
      <w:r w:rsidRPr="00C47325">
        <w:rPr>
          <w:rFonts w:ascii="Verdana" w:hAnsi="Verdana"/>
          <w:sz w:val="18"/>
          <w:szCs w:val="18"/>
        </w:rPr>
        <w:t>.</w:t>
      </w:r>
      <w:proofErr w:type="spellEnd"/>
      <w:r w:rsidRPr="00C47325">
        <w:rPr>
          <w:rFonts w:ascii="Verdana" w:hAnsi="Verdana"/>
          <w:sz w:val="18"/>
          <w:szCs w:val="18"/>
        </w:rPr>
        <w:t xml:space="preserve"> </w:t>
      </w:r>
    </w:p>
    <w:p w:rsidR="003F2349" w:rsidP="003F2349" w:rsidRDefault="003F2349" w14:paraId="4AA57D86" w14:textId="77777777">
      <w:pPr>
        <w:pStyle w:val="Geenafstand"/>
        <w:rPr>
          <w:rFonts w:ascii="Verdana" w:hAnsi="Verdana"/>
          <w:sz w:val="18"/>
          <w:szCs w:val="18"/>
        </w:rPr>
      </w:pPr>
    </w:p>
    <w:p w:rsidR="00266935" w:rsidP="003F2349" w:rsidRDefault="00266935" w14:paraId="698D26D2" w14:textId="31974670">
      <w:pPr>
        <w:pStyle w:val="Geenafstand"/>
        <w:rPr>
          <w:rFonts w:ascii="Verdana" w:hAnsi="Verdana"/>
          <w:sz w:val="18"/>
          <w:szCs w:val="18"/>
        </w:rPr>
      </w:pPr>
      <w:r w:rsidRPr="00266935">
        <w:rPr>
          <w:rFonts w:ascii="Verdana" w:hAnsi="Verdana"/>
          <w:sz w:val="18"/>
          <w:szCs w:val="18"/>
        </w:rPr>
        <w:t>Met onderdeel D worden technische wijzigingen aangebracht in artikel 11a.3</w:t>
      </w:r>
      <w:r>
        <w:rPr>
          <w:rFonts w:ascii="Verdana" w:hAnsi="Verdana"/>
          <w:sz w:val="18"/>
          <w:szCs w:val="18"/>
        </w:rPr>
        <w:t xml:space="preserve"> </w:t>
      </w:r>
      <w:proofErr w:type="spellStart"/>
      <w:r>
        <w:rPr>
          <w:rFonts w:ascii="Verdana" w:hAnsi="Verdana"/>
          <w:sz w:val="18"/>
          <w:szCs w:val="18"/>
        </w:rPr>
        <w:t>Tw</w:t>
      </w:r>
      <w:r w:rsidRPr="00266935">
        <w:rPr>
          <w:rFonts w:ascii="Verdana" w:hAnsi="Verdana"/>
          <w:sz w:val="18"/>
          <w:szCs w:val="18"/>
        </w:rPr>
        <w:t>.</w:t>
      </w:r>
      <w:proofErr w:type="spellEnd"/>
      <w:r w:rsidRPr="00266935">
        <w:rPr>
          <w:rFonts w:ascii="Verdana" w:hAnsi="Verdana"/>
          <w:sz w:val="18"/>
          <w:szCs w:val="18"/>
        </w:rPr>
        <w:t xml:space="preserve"> Deze artikelen hebben betrekking op de continuïteit van de </w:t>
      </w:r>
      <w:proofErr w:type="spellStart"/>
      <w:r w:rsidRPr="00266935">
        <w:rPr>
          <w:rFonts w:ascii="Verdana" w:hAnsi="Verdana"/>
          <w:sz w:val="18"/>
          <w:szCs w:val="18"/>
        </w:rPr>
        <w:t>omroepetherdistributie</w:t>
      </w:r>
      <w:proofErr w:type="spellEnd"/>
      <w:r w:rsidRPr="00266935">
        <w:rPr>
          <w:rFonts w:ascii="Verdana" w:hAnsi="Verdana"/>
          <w:sz w:val="18"/>
          <w:szCs w:val="18"/>
        </w:rPr>
        <w:t xml:space="preserve"> onder de </w:t>
      </w:r>
      <w:proofErr w:type="spellStart"/>
      <w:r>
        <w:rPr>
          <w:rFonts w:ascii="Verdana" w:hAnsi="Verdana"/>
          <w:sz w:val="18"/>
          <w:szCs w:val="18"/>
        </w:rPr>
        <w:t>Tw</w:t>
      </w:r>
      <w:r w:rsidRPr="00266935">
        <w:rPr>
          <w:rFonts w:ascii="Verdana" w:hAnsi="Verdana"/>
          <w:sz w:val="18"/>
          <w:szCs w:val="18"/>
        </w:rPr>
        <w:t>.</w:t>
      </w:r>
      <w:proofErr w:type="spellEnd"/>
      <w:r w:rsidRPr="00266935">
        <w:rPr>
          <w:rFonts w:ascii="Verdana" w:hAnsi="Verdana"/>
          <w:sz w:val="18"/>
          <w:szCs w:val="18"/>
        </w:rPr>
        <w:t xml:space="preserve"> Een aanbieder van een bij of krachtens </w:t>
      </w:r>
      <w:proofErr w:type="spellStart"/>
      <w:r>
        <w:rPr>
          <w:rFonts w:ascii="Verdana" w:hAnsi="Verdana"/>
          <w:sz w:val="18"/>
          <w:szCs w:val="18"/>
        </w:rPr>
        <w:t>amvb</w:t>
      </w:r>
      <w:proofErr w:type="spellEnd"/>
      <w:r w:rsidRPr="00266935">
        <w:rPr>
          <w:rFonts w:ascii="Verdana" w:hAnsi="Verdana"/>
          <w:sz w:val="18"/>
          <w:szCs w:val="18"/>
        </w:rPr>
        <w:t xml:space="preserve"> aangewezen antenne-opstelpunt als bedoeld in artikel 5a.3, derde lid</w:t>
      </w:r>
      <w:r>
        <w:rPr>
          <w:rFonts w:ascii="Verdana" w:hAnsi="Verdana"/>
          <w:sz w:val="18"/>
          <w:szCs w:val="18"/>
        </w:rPr>
        <w:t xml:space="preserve">, </w:t>
      </w:r>
      <w:proofErr w:type="spellStart"/>
      <w:r>
        <w:rPr>
          <w:rFonts w:ascii="Verdana" w:hAnsi="Verdana"/>
          <w:sz w:val="18"/>
          <w:szCs w:val="18"/>
        </w:rPr>
        <w:t>Tw</w:t>
      </w:r>
      <w:proofErr w:type="spellEnd"/>
      <w:r w:rsidRPr="00266935">
        <w:rPr>
          <w:rFonts w:ascii="Verdana" w:hAnsi="Verdana"/>
          <w:sz w:val="18"/>
          <w:szCs w:val="18"/>
        </w:rPr>
        <w:t xml:space="preserve"> en een aanbieder van een openbare elektronisch communicatienetwerk dat bestaat uit radioapparaten die geschikt zijn voor het verspreiden van programma’s en dat door een aangewezen opstelpunt als bedoeld in artikel 5a.3, derde lid, </w:t>
      </w:r>
      <w:proofErr w:type="spellStart"/>
      <w:r>
        <w:rPr>
          <w:rFonts w:ascii="Verdana" w:hAnsi="Verdana"/>
          <w:sz w:val="18"/>
          <w:szCs w:val="18"/>
        </w:rPr>
        <w:t>Tw</w:t>
      </w:r>
      <w:proofErr w:type="spellEnd"/>
      <w:r w:rsidRPr="00266935">
        <w:rPr>
          <w:rFonts w:ascii="Verdana" w:hAnsi="Verdana"/>
          <w:sz w:val="18"/>
          <w:szCs w:val="18"/>
        </w:rPr>
        <w:t xml:space="preserve"> wordt ondersteund, behouden de zorgplicht en de verplichting om een continuïteitsplan op te stellen.</w:t>
      </w:r>
    </w:p>
    <w:p w:rsidRPr="00C47325" w:rsidR="00266935" w:rsidP="003F2349" w:rsidRDefault="00266935" w14:paraId="000CDA14" w14:textId="77777777">
      <w:pPr>
        <w:pStyle w:val="Geenafstand"/>
        <w:rPr>
          <w:rFonts w:ascii="Verdana" w:hAnsi="Verdana"/>
          <w:sz w:val="18"/>
          <w:szCs w:val="18"/>
        </w:rPr>
      </w:pPr>
    </w:p>
    <w:p w:rsidRPr="00C47325" w:rsidR="00076F9A" w:rsidP="003F2349" w:rsidRDefault="00076F9A" w14:paraId="3F03A2B1" w14:textId="07EFD9EC">
      <w:pPr>
        <w:pStyle w:val="Geenafstand"/>
        <w:rPr>
          <w:rFonts w:ascii="Verdana" w:hAnsi="Verdana"/>
          <w:sz w:val="18"/>
          <w:szCs w:val="18"/>
        </w:rPr>
      </w:pPr>
      <w:r w:rsidRPr="00C47325">
        <w:rPr>
          <w:rFonts w:ascii="Verdana" w:hAnsi="Verdana"/>
          <w:sz w:val="18"/>
          <w:szCs w:val="18"/>
        </w:rPr>
        <w:t xml:space="preserve">Met onderdeel E </w:t>
      </w:r>
      <w:r w:rsidRPr="00C47325" w:rsidR="00C20980">
        <w:rPr>
          <w:rFonts w:ascii="Verdana" w:hAnsi="Verdana"/>
          <w:sz w:val="18"/>
          <w:szCs w:val="18"/>
        </w:rPr>
        <w:t xml:space="preserve">van artikel </w:t>
      </w:r>
      <w:r w:rsidR="001C33E0">
        <w:rPr>
          <w:rFonts w:ascii="Verdana" w:hAnsi="Verdana"/>
          <w:sz w:val="18"/>
          <w:szCs w:val="18"/>
        </w:rPr>
        <w:t>99</w:t>
      </w:r>
      <w:r w:rsidRPr="00C47325" w:rsidR="001C33E0">
        <w:rPr>
          <w:rFonts w:ascii="Verdana" w:hAnsi="Verdana"/>
          <w:sz w:val="18"/>
          <w:szCs w:val="18"/>
        </w:rPr>
        <w:t xml:space="preserve"> </w:t>
      </w:r>
      <w:proofErr w:type="spellStart"/>
      <w:r w:rsidRPr="00C47325" w:rsidR="00C20980">
        <w:rPr>
          <w:rFonts w:ascii="Verdana" w:hAnsi="Verdana"/>
          <w:sz w:val="18"/>
          <w:szCs w:val="18"/>
        </w:rPr>
        <w:t>Cbw</w:t>
      </w:r>
      <w:proofErr w:type="spellEnd"/>
      <w:r w:rsidRPr="00C47325" w:rsidR="00C20980">
        <w:rPr>
          <w:rFonts w:ascii="Verdana" w:hAnsi="Verdana"/>
          <w:sz w:val="18"/>
          <w:szCs w:val="18"/>
        </w:rPr>
        <w:t xml:space="preserve"> </w:t>
      </w:r>
      <w:r w:rsidRPr="00C47325">
        <w:rPr>
          <w:rFonts w:ascii="Verdana" w:hAnsi="Verdana"/>
          <w:sz w:val="18"/>
          <w:szCs w:val="18"/>
        </w:rPr>
        <w:t xml:space="preserve">wordt het toezicht op de meldplicht in de </w:t>
      </w:r>
      <w:proofErr w:type="spellStart"/>
      <w:r w:rsidRPr="00C47325">
        <w:rPr>
          <w:rFonts w:ascii="Verdana" w:hAnsi="Verdana"/>
          <w:sz w:val="18"/>
          <w:szCs w:val="18"/>
        </w:rPr>
        <w:t>T</w:t>
      </w:r>
      <w:r w:rsidRPr="00C47325" w:rsidR="00C20980">
        <w:rPr>
          <w:rFonts w:ascii="Verdana" w:hAnsi="Verdana"/>
          <w:sz w:val="18"/>
          <w:szCs w:val="18"/>
        </w:rPr>
        <w:t>w</w:t>
      </w:r>
      <w:proofErr w:type="spellEnd"/>
      <w:r w:rsidRPr="00C47325">
        <w:rPr>
          <w:rFonts w:ascii="Verdana" w:hAnsi="Verdana"/>
          <w:sz w:val="18"/>
          <w:szCs w:val="18"/>
        </w:rPr>
        <w:t xml:space="preserve"> geschrapt aangezien de meldplicht alsmede het toezicht hierop volledig wordt geregeld in </w:t>
      </w:r>
      <w:r w:rsidRPr="00C47325" w:rsidR="00866C2E">
        <w:rPr>
          <w:rFonts w:ascii="Verdana" w:hAnsi="Verdana"/>
          <w:sz w:val="18"/>
          <w:szCs w:val="18"/>
        </w:rPr>
        <w:t xml:space="preserve">de </w:t>
      </w:r>
      <w:proofErr w:type="spellStart"/>
      <w:r w:rsidRPr="00C47325" w:rsidR="00866C2E">
        <w:rPr>
          <w:rFonts w:ascii="Verdana" w:hAnsi="Verdana"/>
          <w:sz w:val="18"/>
          <w:szCs w:val="18"/>
        </w:rPr>
        <w:t>Cbw</w:t>
      </w:r>
      <w:proofErr w:type="spellEnd"/>
      <w:r w:rsidRPr="00C47325">
        <w:rPr>
          <w:rFonts w:ascii="Verdana" w:hAnsi="Verdana"/>
          <w:sz w:val="18"/>
          <w:szCs w:val="18"/>
        </w:rPr>
        <w:t xml:space="preserve">. </w:t>
      </w:r>
    </w:p>
    <w:p w:rsidRPr="00721E9A" w:rsidR="003F2349" w:rsidP="00721E9A" w:rsidRDefault="003F2349" w14:paraId="5AB42033" w14:textId="77777777">
      <w:pPr>
        <w:pStyle w:val="Geenafstand"/>
        <w:rPr>
          <w:rFonts w:ascii="Verdana" w:hAnsi="Verdana"/>
          <w:sz w:val="18"/>
          <w:szCs w:val="18"/>
        </w:rPr>
      </w:pPr>
    </w:p>
    <w:p w:rsidRPr="008A4288" w:rsidR="00D0002B" w:rsidP="00D0002B" w:rsidRDefault="00D0002B" w14:paraId="16EEC055" w14:textId="7DF1675E">
      <w:pPr>
        <w:pStyle w:val="Geenafstand"/>
        <w:rPr>
          <w:rFonts w:ascii="Verdana" w:hAnsi="Verdana"/>
          <w:b/>
          <w:bCs/>
          <w:sz w:val="18"/>
          <w:szCs w:val="18"/>
        </w:rPr>
      </w:pPr>
      <w:r w:rsidRPr="008A4288">
        <w:rPr>
          <w:rFonts w:ascii="Verdana" w:hAnsi="Verdana"/>
          <w:b/>
          <w:bCs/>
          <w:sz w:val="18"/>
          <w:szCs w:val="18"/>
        </w:rPr>
        <w:t xml:space="preserve">Artikel </w:t>
      </w:r>
      <w:r w:rsidR="00CA2E55">
        <w:rPr>
          <w:rFonts w:ascii="Verdana" w:hAnsi="Verdana"/>
          <w:b/>
          <w:bCs/>
          <w:sz w:val="18"/>
          <w:szCs w:val="18"/>
        </w:rPr>
        <w:t>100</w:t>
      </w:r>
      <w:r w:rsidRPr="008A4288" w:rsidR="00CA2E55">
        <w:rPr>
          <w:rFonts w:ascii="Verdana" w:hAnsi="Verdana"/>
          <w:b/>
          <w:bCs/>
          <w:sz w:val="18"/>
          <w:szCs w:val="18"/>
        </w:rPr>
        <w:t xml:space="preserve"> </w:t>
      </w:r>
      <w:r w:rsidRPr="008A4288">
        <w:rPr>
          <w:rFonts w:ascii="Verdana" w:hAnsi="Verdana"/>
          <w:b/>
          <w:bCs/>
          <w:sz w:val="18"/>
          <w:szCs w:val="18"/>
        </w:rPr>
        <w:t>(wijziging Wet bevordering digitale weerbaarheid bedrijven)</w:t>
      </w:r>
    </w:p>
    <w:p w:rsidR="00721E9A" w:rsidP="00721E9A" w:rsidRDefault="00721E9A" w14:paraId="2D7B1D53" w14:textId="77777777">
      <w:pPr>
        <w:pStyle w:val="Geenafstand"/>
        <w:rPr>
          <w:rFonts w:ascii="Verdana" w:hAnsi="Verdana"/>
          <w:sz w:val="18"/>
          <w:szCs w:val="18"/>
        </w:rPr>
      </w:pPr>
    </w:p>
    <w:p w:rsidR="00F768AF" w:rsidP="00721E9A" w:rsidRDefault="00721E9A" w14:paraId="4CD0A84D" w14:textId="1B908A23">
      <w:pPr>
        <w:pStyle w:val="Geenafstand"/>
        <w:rPr>
          <w:rFonts w:ascii="Verdana" w:hAnsi="Verdana"/>
          <w:sz w:val="18"/>
          <w:szCs w:val="18"/>
        </w:rPr>
      </w:pPr>
      <w:r w:rsidRPr="00721E9A">
        <w:rPr>
          <w:rFonts w:ascii="Verdana" w:hAnsi="Verdana"/>
          <w:sz w:val="18"/>
          <w:szCs w:val="18"/>
        </w:rPr>
        <w:t xml:space="preserve">De </w:t>
      </w:r>
      <w:proofErr w:type="spellStart"/>
      <w:r w:rsidRPr="00721E9A">
        <w:rPr>
          <w:rFonts w:ascii="Verdana" w:hAnsi="Verdana"/>
          <w:sz w:val="18"/>
          <w:szCs w:val="18"/>
        </w:rPr>
        <w:t>Wbdwb</w:t>
      </w:r>
      <w:proofErr w:type="spellEnd"/>
      <w:r w:rsidRPr="00721E9A">
        <w:rPr>
          <w:rFonts w:ascii="Verdana" w:hAnsi="Verdana"/>
          <w:sz w:val="18"/>
          <w:szCs w:val="18"/>
        </w:rPr>
        <w:t xml:space="preserve"> legt de taken en bevoegdheden van de Minister van Economische Zaken </w:t>
      </w:r>
      <w:r w:rsidR="00F768AF">
        <w:rPr>
          <w:rFonts w:ascii="Verdana" w:hAnsi="Verdana"/>
          <w:sz w:val="18"/>
          <w:szCs w:val="18"/>
        </w:rPr>
        <w:t xml:space="preserve">vast </w:t>
      </w:r>
      <w:r w:rsidRPr="00721E9A">
        <w:rPr>
          <w:rFonts w:ascii="Verdana" w:hAnsi="Verdana"/>
          <w:sz w:val="18"/>
          <w:szCs w:val="18"/>
        </w:rPr>
        <w:t xml:space="preserve">op het gebied van de verbetering van de digitale weerbaarheid van het niet-vitale bedrijfsleven in Nederland. De taken zijn onder meer: het verwerken en verspreiden van informatie over kwetsbaarheden, dreigingen en incidenten aan bedrijven en het samenwerken met andere bestuursorganen en organisaties op het gebied van digitale weerbaarheid. Tevens regelt die wet de rechtstreekse informatie-uitwisseling tussen het NCSC en het CSIRT voor digitale diensten. Ten slotte voorziet die wet in de voorwaarden waaronder vertrouwelijke gegevens die bij de Minister van Economische Zaken berusten, verstrekt mogen worden aan derden. </w:t>
      </w:r>
    </w:p>
    <w:p w:rsidR="00A24F67" w:rsidP="00721E9A" w:rsidRDefault="00A24F67" w14:paraId="58F532B9" w14:textId="77777777">
      <w:pPr>
        <w:pStyle w:val="Geenafstand"/>
        <w:rPr>
          <w:rFonts w:ascii="Verdana" w:hAnsi="Verdana"/>
          <w:sz w:val="18"/>
          <w:szCs w:val="18"/>
        </w:rPr>
      </w:pPr>
    </w:p>
    <w:p w:rsidRPr="00721E9A" w:rsidR="00721E9A" w:rsidP="00721E9A" w:rsidRDefault="00721E9A" w14:paraId="6C4E4E1A" w14:textId="112B64DE">
      <w:pPr>
        <w:pStyle w:val="Geenafstand"/>
        <w:rPr>
          <w:rFonts w:ascii="Verdana" w:hAnsi="Verdana"/>
          <w:sz w:val="18"/>
          <w:szCs w:val="18"/>
        </w:rPr>
      </w:pPr>
      <w:r w:rsidRPr="00721E9A">
        <w:rPr>
          <w:rFonts w:ascii="Verdana" w:hAnsi="Verdana"/>
          <w:sz w:val="18"/>
          <w:szCs w:val="18"/>
        </w:rPr>
        <w:t xml:space="preserve">De </w:t>
      </w:r>
      <w:proofErr w:type="spellStart"/>
      <w:r w:rsidRPr="00721E9A">
        <w:rPr>
          <w:rFonts w:ascii="Verdana" w:hAnsi="Verdana"/>
          <w:sz w:val="18"/>
          <w:szCs w:val="18"/>
        </w:rPr>
        <w:t>Wbdwb</w:t>
      </w:r>
      <w:proofErr w:type="spellEnd"/>
      <w:r w:rsidRPr="00721E9A">
        <w:rPr>
          <w:rFonts w:ascii="Verdana" w:hAnsi="Verdana"/>
          <w:sz w:val="18"/>
          <w:szCs w:val="18"/>
        </w:rPr>
        <w:t xml:space="preserve"> moet vanwege de intrekking van de NIS1-richtlijn en de </w:t>
      </w:r>
      <w:proofErr w:type="spellStart"/>
      <w:r w:rsidRPr="00721E9A">
        <w:rPr>
          <w:rFonts w:ascii="Verdana" w:hAnsi="Verdana"/>
          <w:sz w:val="18"/>
          <w:szCs w:val="18"/>
        </w:rPr>
        <w:t>Wbni</w:t>
      </w:r>
      <w:proofErr w:type="spellEnd"/>
      <w:r w:rsidRPr="00721E9A">
        <w:rPr>
          <w:rFonts w:ascii="Verdana" w:hAnsi="Verdana"/>
          <w:sz w:val="18"/>
          <w:szCs w:val="18"/>
        </w:rPr>
        <w:t xml:space="preserve"> worden aangepast. Dat wordt in artikel </w:t>
      </w:r>
      <w:r w:rsidR="00CA2E55">
        <w:rPr>
          <w:rFonts w:ascii="Verdana" w:hAnsi="Verdana"/>
          <w:sz w:val="18"/>
          <w:szCs w:val="18"/>
        </w:rPr>
        <w:t>100</w:t>
      </w:r>
      <w:r w:rsidRPr="00721E9A" w:rsidR="00CA2E55">
        <w:rPr>
          <w:rFonts w:ascii="Verdana" w:hAnsi="Verdana"/>
          <w:sz w:val="18"/>
          <w:szCs w:val="18"/>
        </w:rPr>
        <w:t xml:space="preserve"> </w:t>
      </w:r>
      <w:proofErr w:type="spellStart"/>
      <w:r w:rsidRPr="00721E9A">
        <w:rPr>
          <w:rFonts w:ascii="Verdana" w:hAnsi="Verdana"/>
          <w:sz w:val="18"/>
          <w:szCs w:val="18"/>
        </w:rPr>
        <w:t>Cbw</w:t>
      </w:r>
      <w:proofErr w:type="spellEnd"/>
      <w:r w:rsidRPr="00721E9A">
        <w:rPr>
          <w:rFonts w:ascii="Verdana" w:hAnsi="Verdana"/>
          <w:sz w:val="18"/>
          <w:szCs w:val="18"/>
        </w:rPr>
        <w:t xml:space="preserve"> geregeld. Daarbij is het uitgangspunt </w:t>
      </w:r>
      <w:r w:rsidR="00F12F81">
        <w:rPr>
          <w:rFonts w:ascii="Verdana" w:hAnsi="Verdana"/>
          <w:sz w:val="18"/>
          <w:szCs w:val="18"/>
        </w:rPr>
        <w:t xml:space="preserve">dat </w:t>
      </w:r>
      <w:r w:rsidRPr="00721E9A">
        <w:rPr>
          <w:rFonts w:ascii="Verdana" w:hAnsi="Verdana"/>
          <w:sz w:val="18"/>
          <w:szCs w:val="18"/>
        </w:rPr>
        <w:t xml:space="preserve">het bestaand beleid beleidsneutraal </w:t>
      </w:r>
      <w:r w:rsidR="00F12F81">
        <w:rPr>
          <w:rFonts w:ascii="Verdana" w:hAnsi="Verdana"/>
          <w:sz w:val="18"/>
          <w:szCs w:val="18"/>
        </w:rPr>
        <w:t>wordt omgezet</w:t>
      </w:r>
      <w:r w:rsidRPr="00721E9A">
        <w:rPr>
          <w:rFonts w:ascii="Verdana" w:hAnsi="Verdana"/>
          <w:sz w:val="18"/>
          <w:szCs w:val="18"/>
        </w:rPr>
        <w:t xml:space="preserve"> en </w:t>
      </w:r>
      <w:r w:rsidR="00A327B8">
        <w:rPr>
          <w:rFonts w:ascii="Verdana" w:hAnsi="Verdana"/>
          <w:sz w:val="18"/>
          <w:szCs w:val="18"/>
        </w:rPr>
        <w:t xml:space="preserve">dat </w:t>
      </w:r>
      <w:r w:rsidRPr="00721E9A">
        <w:rPr>
          <w:rFonts w:ascii="Verdana" w:hAnsi="Verdana"/>
          <w:sz w:val="18"/>
          <w:szCs w:val="18"/>
        </w:rPr>
        <w:t xml:space="preserve">de informatiepositie van de Minister van Economische Zaken die de </w:t>
      </w:r>
      <w:proofErr w:type="spellStart"/>
      <w:r w:rsidRPr="00721E9A">
        <w:rPr>
          <w:rFonts w:ascii="Verdana" w:hAnsi="Verdana"/>
          <w:sz w:val="18"/>
          <w:szCs w:val="18"/>
        </w:rPr>
        <w:t>Wbdwb</w:t>
      </w:r>
      <w:proofErr w:type="spellEnd"/>
      <w:r w:rsidRPr="00721E9A">
        <w:rPr>
          <w:rFonts w:ascii="Verdana" w:hAnsi="Verdana"/>
          <w:sz w:val="18"/>
          <w:szCs w:val="18"/>
        </w:rPr>
        <w:t xml:space="preserve"> aan </w:t>
      </w:r>
      <w:r>
        <w:rPr>
          <w:rFonts w:ascii="Verdana" w:hAnsi="Verdana"/>
          <w:sz w:val="18"/>
          <w:szCs w:val="18"/>
        </w:rPr>
        <w:t>hem</w:t>
      </w:r>
      <w:r w:rsidRPr="00721E9A">
        <w:rPr>
          <w:rFonts w:ascii="Verdana" w:hAnsi="Verdana"/>
          <w:sz w:val="18"/>
          <w:szCs w:val="18"/>
        </w:rPr>
        <w:t xml:space="preserve"> toekent, </w:t>
      </w:r>
      <w:r w:rsidR="00F12F81">
        <w:rPr>
          <w:rFonts w:ascii="Verdana" w:hAnsi="Verdana"/>
          <w:sz w:val="18"/>
          <w:szCs w:val="18"/>
        </w:rPr>
        <w:t>wordt</w:t>
      </w:r>
      <w:r w:rsidRPr="00721E9A">
        <w:rPr>
          <w:rFonts w:ascii="Verdana" w:hAnsi="Verdana"/>
          <w:sz w:val="18"/>
          <w:szCs w:val="18"/>
        </w:rPr>
        <w:t xml:space="preserve"> behouden. </w:t>
      </w:r>
    </w:p>
    <w:p w:rsidR="00A24F67" w:rsidP="00721E9A" w:rsidRDefault="00A24F67" w14:paraId="0A7687AD" w14:textId="77777777">
      <w:pPr>
        <w:pStyle w:val="Geenafstand"/>
        <w:rPr>
          <w:rFonts w:ascii="Verdana" w:hAnsi="Verdana"/>
          <w:sz w:val="18"/>
          <w:szCs w:val="18"/>
        </w:rPr>
      </w:pPr>
    </w:p>
    <w:p w:rsidRPr="00721E9A" w:rsidR="00721E9A" w:rsidP="00721E9A" w:rsidRDefault="00F768AF" w14:paraId="13172420" w14:textId="32FAD057">
      <w:pPr>
        <w:pStyle w:val="Geenafstand"/>
        <w:rPr>
          <w:rFonts w:ascii="Verdana" w:hAnsi="Verdana"/>
          <w:sz w:val="18"/>
          <w:szCs w:val="18"/>
        </w:rPr>
      </w:pPr>
      <w:r>
        <w:rPr>
          <w:rFonts w:ascii="Verdana" w:hAnsi="Verdana"/>
          <w:sz w:val="18"/>
          <w:szCs w:val="18"/>
        </w:rPr>
        <w:t xml:space="preserve">Sommige definities die zijn opgenomen in de </w:t>
      </w:r>
      <w:proofErr w:type="spellStart"/>
      <w:r>
        <w:rPr>
          <w:rFonts w:ascii="Verdana" w:hAnsi="Verdana"/>
          <w:sz w:val="18"/>
          <w:szCs w:val="18"/>
        </w:rPr>
        <w:t>Wbdwb</w:t>
      </w:r>
      <w:proofErr w:type="spellEnd"/>
      <w:r>
        <w:rPr>
          <w:rFonts w:ascii="Verdana" w:hAnsi="Verdana"/>
          <w:sz w:val="18"/>
          <w:szCs w:val="18"/>
        </w:rPr>
        <w:t xml:space="preserve"> moeten als gevolg van het verval van de NIS1-richtlijn en de </w:t>
      </w:r>
      <w:proofErr w:type="spellStart"/>
      <w:r>
        <w:rPr>
          <w:rFonts w:ascii="Verdana" w:hAnsi="Verdana"/>
          <w:sz w:val="18"/>
          <w:szCs w:val="18"/>
        </w:rPr>
        <w:t>Wbni</w:t>
      </w:r>
      <w:proofErr w:type="spellEnd"/>
      <w:r>
        <w:rPr>
          <w:rFonts w:ascii="Verdana" w:hAnsi="Verdana"/>
          <w:sz w:val="18"/>
          <w:szCs w:val="18"/>
        </w:rPr>
        <w:t xml:space="preserve"> en de komst van de </w:t>
      </w:r>
      <w:proofErr w:type="spellStart"/>
      <w:r>
        <w:rPr>
          <w:rFonts w:ascii="Verdana" w:hAnsi="Verdana"/>
          <w:sz w:val="18"/>
          <w:szCs w:val="18"/>
        </w:rPr>
        <w:t>Cbw</w:t>
      </w:r>
      <w:proofErr w:type="spellEnd"/>
      <w:r>
        <w:rPr>
          <w:rFonts w:ascii="Verdana" w:hAnsi="Verdana"/>
          <w:sz w:val="18"/>
          <w:szCs w:val="18"/>
        </w:rPr>
        <w:t xml:space="preserve"> worden vervangen. Zo kan niet meer worden gesproken van </w:t>
      </w:r>
      <w:r w:rsidRPr="00CF5037" w:rsidR="00CF5037">
        <w:rPr>
          <w:rFonts w:ascii="Verdana" w:hAnsi="Verdana"/>
          <w:sz w:val="18"/>
          <w:szCs w:val="18"/>
        </w:rPr>
        <w:t xml:space="preserve">vitale aanbieders of </w:t>
      </w:r>
      <w:proofErr w:type="spellStart"/>
      <w:r w:rsidRPr="00CF5037" w:rsidR="00CF5037">
        <w:rPr>
          <w:rFonts w:ascii="Verdana" w:hAnsi="Verdana"/>
          <w:sz w:val="18"/>
          <w:szCs w:val="18"/>
        </w:rPr>
        <w:t>digitaledienstverleners</w:t>
      </w:r>
      <w:proofErr w:type="spellEnd"/>
      <w:r w:rsidRPr="00CF5037" w:rsidR="00CF5037">
        <w:rPr>
          <w:rFonts w:ascii="Verdana" w:hAnsi="Verdana"/>
          <w:sz w:val="18"/>
          <w:szCs w:val="18"/>
        </w:rPr>
        <w:t xml:space="preserve"> als bedoeld in artikel 1 </w:t>
      </w:r>
      <w:proofErr w:type="spellStart"/>
      <w:r w:rsidR="00CF5037">
        <w:rPr>
          <w:rFonts w:ascii="Verdana" w:hAnsi="Verdana"/>
          <w:sz w:val="18"/>
          <w:szCs w:val="18"/>
        </w:rPr>
        <w:t>Wbni</w:t>
      </w:r>
      <w:proofErr w:type="spellEnd"/>
      <w:r w:rsidR="00CF5037">
        <w:rPr>
          <w:rFonts w:ascii="Verdana" w:hAnsi="Verdana"/>
          <w:sz w:val="18"/>
          <w:szCs w:val="18"/>
        </w:rPr>
        <w:t xml:space="preserve">. Dat moet worden vervangen door een verwijzing naar essentiële entiteiten of belangrijke entiteiten in de zin van de </w:t>
      </w:r>
      <w:proofErr w:type="spellStart"/>
      <w:r w:rsidR="00CF5037">
        <w:rPr>
          <w:rFonts w:ascii="Verdana" w:hAnsi="Verdana"/>
          <w:sz w:val="18"/>
          <w:szCs w:val="18"/>
        </w:rPr>
        <w:t>Cbw</w:t>
      </w:r>
      <w:proofErr w:type="spellEnd"/>
      <w:r w:rsidR="00CF5037">
        <w:rPr>
          <w:rFonts w:ascii="Verdana" w:hAnsi="Verdana"/>
          <w:sz w:val="18"/>
          <w:szCs w:val="18"/>
        </w:rPr>
        <w:t xml:space="preserve">. Als gevolg hiervan moeten er ook wijzigingen plaatsvinden in de begripsbepaling van de </w:t>
      </w:r>
      <w:proofErr w:type="spellStart"/>
      <w:r w:rsidR="00CF5037">
        <w:rPr>
          <w:rFonts w:ascii="Verdana" w:hAnsi="Verdana"/>
          <w:sz w:val="18"/>
          <w:szCs w:val="18"/>
        </w:rPr>
        <w:t>Wbdwb</w:t>
      </w:r>
      <w:proofErr w:type="spellEnd"/>
      <w:r w:rsidR="00CF5037">
        <w:rPr>
          <w:rFonts w:ascii="Verdana" w:hAnsi="Verdana"/>
          <w:sz w:val="18"/>
          <w:szCs w:val="18"/>
        </w:rPr>
        <w:t xml:space="preserve"> (artikel 1 </w:t>
      </w:r>
      <w:proofErr w:type="spellStart"/>
      <w:r w:rsidR="00CF5037">
        <w:rPr>
          <w:rFonts w:ascii="Verdana" w:hAnsi="Verdana"/>
          <w:sz w:val="18"/>
          <w:szCs w:val="18"/>
        </w:rPr>
        <w:t>Wbdwb</w:t>
      </w:r>
      <w:proofErr w:type="spellEnd"/>
      <w:r w:rsidR="00CF5037">
        <w:rPr>
          <w:rFonts w:ascii="Verdana" w:hAnsi="Verdana"/>
          <w:sz w:val="18"/>
          <w:szCs w:val="18"/>
        </w:rPr>
        <w:t xml:space="preserve">). Dit wordt geregeld in onderdeel A. Deze wijzigingen, die dus nodig zijn vanwege het verval van de NIS1-richtlijn en de </w:t>
      </w:r>
      <w:proofErr w:type="spellStart"/>
      <w:r w:rsidR="00CF5037">
        <w:rPr>
          <w:rFonts w:ascii="Verdana" w:hAnsi="Verdana"/>
          <w:sz w:val="18"/>
          <w:szCs w:val="18"/>
        </w:rPr>
        <w:t>Wbni</w:t>
      </w:r>
      <w:proofErr w:type="spellEnd"/>
      <w:r w:rsidR="00CF5037">
        <w:rPr>
          <w:rFonts w:ascii="Verdana" w:hAnsi="Verdana"/>
          <w:sz w:val="18"/>
          <w:szCs w:val="18"/>
        </w:rPr>
        <w:t xml:space="preserve"> en de komst van de </w:t>
      </w:r>
      <w:proofErr w:type="spellStart"/>
      <w:r w:rsidR="00CF5037">
        <w:rPr>
          <w:rFonts w:ascii="Verdana" w:hAnsi="Verdana"/>
          <w:sz w:val="18"/>
          <w:szCs w:val="18"/>
        </w:rPr>
        <w:t>Cbw</w:t>
      </w:r>
      <w:proofErr w:type="spellEnd"/>
      <w:r w:rsidR="00CF5037">
        <w:rPr>
          <w:rFonts w:ascii="Verdana" w:hAnsi="Verdana"/>
          <w:sz w:val="18"/>
          <w:szCs w:val="18"/>
        </w:rPr>
        <w:t xml:space="preserve">, leiden tot een wijziging van de doelgroep van de </w:t>
      </w:r>
      <w:proofErr w:type="spellStart"/>
      <w:r w:rsidR="00CF5037">
        <w:rPr>
          <w:rFonts w:ascii="Verdana" w:hAnsi="Verdana"/>
          <w:sz w:val="18"/>
          <w:szCs w:val="18"/>
        </w:rPr>
        <w:t>Wbdwb</w:t>
      </w:r>
      <w:proofErr w:type="spellEnd"/>
      <w:r w:rsidR="00CF5037">
        <w:rPr>
          <w:rFonts w:ascii="Verdana" w:hAnsi="Verdana"/>
          <w:sz w:val="18"/>
          <w:szCs w:val="18"/>
        </w:rPr>
        <w:t xml:space="preserve">. </w:t>
      </w:r>
      <w:r w:rsidRPr="00721E9A" w:rsidR="00CF5037">
        <w:rPr>
          <w:rFonts w:ascii="Verdana" w:hAnsi="Verdana"/>
          <w:sz w:val="18"/>
          <w:szCs w:val="18"/>
        </w:rPr>
        <w:t xml:space="preserve">Het principe blijft dat organisaties die als essentiële entiteiten of belangrijke entiteiten onder de werking van de </w:t>
      </w:r>
      <w:proofErr w:type="spellStart"/>
      <w:r w:rsidR="00CF5037">
        <w:rPr>
          <w:rFonts w:ascii="Verdana" w:hAnsi="Verdana"/>
          <w:sz w:val="18"/>
          <w:szCs w:val="18"/>
        </w:rPr>
        <w:t>Cbw</w:t>
      </w:r>
      <w:proofErr w:type="spellEnd"/>
      <w:r w:rsidRPr="00721E9A" w:rsidR="00CF5037">
        <w:rPr>
          <w:rFonts w:ascii="Verdana" w:hAnsi="Verdana"/>
          <w:sz w:val="18"/>
          <w:szCs w:val="18"/>
        </w:rPr>
        <w:t xml:space="preserve"> vallen, geen doelgroep zijn onder de </w:t>
      </w:r>
      <w:proofErr w:type="spellStart"/>
      <w:r w:rsidRPr="00721E9A" w:rsidR="00CF5037">
        <w:rPr>
          <w:rFonts w:ascii="Verdana" w:hAnsi="Verdana"/>
          <w:sz w:val="18"/>
          <w:szCs w:val="18"/>
        </w:rPr>
        <w:t>Wbdwb</w:t>
      </w:r>
      <w:proofErr w:type="spellEnd"/>
      <w:r w:rsidRPr="00721E9A" w:rsidR="00CF5037">
        <w:rPr>
          <w:rFonts w:ascii="Verdana" w:hAnsi="Verdana"/>
          <w:sz w:val="18"/>
          <w:szCs w:val="18"/>
        </w:rPr>
        <w:t xml:space="preserve">. </w:t>
      </w:r>
      <w:r w:rsidRPr="00721E9A" w:rsidR="00721E9A">
        <w:rPr>
          <w:rFonts w:ascii="Verdana" w:hAnsi="Verdana"/>
          <w:sz w:val="18"/>
          <w:szCs w:val="18"/>
        </w:rPr>
        <w:t xml:space="preserve">Het doel van de </w:t>
      </w:r>
      <w:proofErr w:type="spellStart"/>
      <w:r w:rsidRPr="00721E9A" w:rsidR="00721E9A">
        <w:rPr>
          <w:rFonts w:ascii="Verdana" w:hAnsi="Verdana"/>
          <w:sz w:val="18"/>
          <w:szCs w:val="18"/>
        </w:rPr>
        <w:t>Wbdwb</w:t>
      </w:r>
      <w:proofErr w:type="spellEnd"/>
      <w:r w:rsidRPr="00721E9A" w:rsidR="00721E9A">
        <w:rPr>
          <w:rFonts w:ascii="Verdana" w:hAnsi="Verdana"/>
          <w:sz w:val="18"/>
          <w:szCs w:val="18"/>
        </w:rPr>
        <w:t xml:space="preserve"> is immers </w:t>
      </w:r>
      <w:r w:rsidR="00A327B8">
        <w:rPr>
          <w:rFonts w:ascii="Verdana" w:hAnsi="Verdana"/>
          <w:sz w:val="18"/>
          <w:szCs w:val="18"/>
        </w:rPr>
        <w:t>dat</w:t>
      </w:r>
      <w:r w:rsidRPr="00721E9A" w:rsidR="00721E9A">
        <w:rPr>
          <w:rFonts w:ascii="Verdana" w:hAnsi="Verdana"/>
          <w:sz w:val="18"/>
          <w:szCs w:val="18"/>
        </w:rPr>
        <w:t xml:space="preserve"> bedrijven die niet in aanmerking komen voor de informatievoorziening vanuit een CSIRT, door de Minister van Economische Zaken van de relevante informatie over kwetsbaarheden, dreigingen en incidenten kunnen worden voorzien. </w:t>
      </w:r>
    </w:p>
    <w:p w:rsidR="00A24F67" w:rsidP="00721E9A" w:rsidRDefault="00A24F67" w14:paraId="0FB400E1" w14:textId="77777777">
      <w:pPr>
        <w:pStyle w:val="Geenafstand"/>
        <w:rPr>
          <w:rFonts w:ascii="Verdana" w:hAnsi="Verdana"/>
          <w:sz w:val="18"/>
          <w:szCs w:val="18"/>
        </w:rPr>
      </w:pPr>
    </w:p>
    <w:p w:rsidRPr="00721E9A" w:rsidR="00721E9A" w:rsidP="00721E9A" w:rsidRDefault="00721E9A" w14:paraId="3B3728E2" w14:textId="71516A87">
      <w:pPr>
        <w:pStyle w:val="Geenafstand"/>
        <w:rPr>
          <w:rFonts w:ascii="Verdana" w:hAnsi="Verdana"/>
          <w:sz w:val="18"/>
          <w:szCs w:val="18"/>
        </w:rPr>
      </w:pPr>
      <w:r w:rsidRPr="00721E9A">
        <w:rPr>
          <w:rFonts w:ascii="Verdana" w:hAnsi="Verdana"/>
          <w:sz w:val="18"/>
          <w:szCs w:val="18"/>
        </w:rPr>
        <w:t xml:space="preserve">De keuze om in het kader van de implementatie van de NIS2-richtlijn de </w:t>
      </w:r>
      <w:proofErr w:type="spellStart"/>
      <w:r w:rsidRPr="00721E9A">
        <w:rPr>
          <w:rFonts w:ascii="Verdana" w:hAnsi="Verdana"/>
          <w:sz w:val="18"/>
          <w:szCs w:val="18"/>
        </w:rPr>
        <w:t>CSIRT’s</w:t>
      </w:r>
      <w:proofErr w:type="spellEnd"/>
      <w:r w:rsidRPr="00721E9A">
        <w:rPr>
          <w:rFonts w:ascii="Verdana" w:hAnsi="Verdana"/>
          <w:sz w:val="18"/>
          <w:szCs w:val="18"/>
        </w:rPr>
        <w:t xml:space="preserve"> niet meer bij wet aan te wijzen heeft tot gevolg dat de bepalingen inzake informatie-uitwisseling tussen de Minister van Economische Zaken op grond van de </w:t>
      </w:r>
      <w:proofErr w:type="spellStart"/>
      <w:r w:rsidRPr="00721E9A">
        <w:rPr>
          <w:rFonts w:ascii="Verdana" w:hAnsi="Verdana"/>
          <w:sz w:val="18"/>
          <w:szCs w:val="18"/>
        </w:rPr>
        <w:t>Wbdwb</w:t>
      </w:r>
      <w:proofErr w:type="spellEnd"/>
      <w:r w:rsidRPr="00721E9A">
        <w:rPr>
          <w:rFonts w:ascii="Verdana" w:hAnsi="Verdana"/>
          <w:sz w:val="18"/>
          <w:szCs w:val="18"/>
        </w:rPr>
        <w:t xml:space="preserve"> en de </w:t>
      </w:r>
      <w:proofErr w:type="spellStart"/>
      <w:r w:rsidRPr="00721E9A">
        <w:rPr>
          <w:rFonts w:ascii="Verdana" w:hAnsi="Verdana"/>
          <w:sz w:val="18"/>
          <w:szCs w:val="18"/>
        </w:rPr>
        <w:t>CSIRT’s</w:t>
      </w:r>
      <w:proofErr w:type="spellEnd"/>
      <w:r w:rsidRPr="00721E9A">
        <w:rPr>
          <w:rFonts w:ascii="Verdana" w:hAnsi="Verdana"/>
          <w:sz w:val="18"/>
          <w:szCs w:val="18"/>
        </w:rPr>
        <w:t xml:space="preserve"> </w:t>
      </w:r>
      <w:r w:rsidR="00CF5037">
        <w:rPr>
          <w:rFonts w:ascii="Verdana" w:hAnsi="Verdana"/>
          <w:sz w:val="18"/>
          <w:szCs w:val="18"/>
        </w:rPr>
        <w:t>dienen</w:t>
      </w:r>
      <w:r w:rsidRPr="00721E9A">
        <w:rPr>
          <w:rFonts w:ascii="Verdana" w:hAnsi="Verdana"/>
          <w:sz w:val="18"/>
          <w:szCs w:val="18"/>
        </w:rPr>
        <w:t xml:space="preserve"> te worden aangepast. Op basis van de </w:t>
      </w:r>
      <w:proofErr w:type="spellStart"/>
      <w:r w:rsidRPr="00721E9A">
        <w:rPr>
          <w:rFonts w:ascii="Verdana" w:hAnsi="Verdana"/>
          <w:sz w:val="18"/>
          <w:szCs w:val="18"/>
        </w:rPr>
        <w:t>Wbni</w:t>
      </w:r>
      <w:proofErr w:type="spellEnd"/>
      <w:r w:rsidRPr="00721E9A">
        <w:rPr>
          <w:rFonts w:ascii="Verdana" w:hAnsi="Verdana"/>
          <w:sz w:val="18"/>
          <w:szCs w:val="18"/>
        </w:rPr>
        <w:t xml:space="preserve"> </w:t>
      </w:r>
      <w:r w:rsidR="00CF5037">
        <w:rPr>
          <w:rFonts w:ascii="Verdana" w:hAnsi="Verdana"/>
          <w:sz w:val="18"/>
          <w:szCs w:val="18"/>
        </w:rPr>
        <w:t xml:space="preserve">is </w:t>
      </w:r>
      <w:r w:rsidRPr="00721E9A">
        <w:rPr>
          <w:rFonts w:ascii="Verdana" w:hAnsi="Verdana"/>
          <w:sz w:val="18"/>
          <w:szCs w:val="18"/>
        </w:rPr>
        <w:t xml:space="preserve">de Minister van Justitie en Veiligheid het CSIRT voor aanbieders van essentiële diensten en de </w:t>
      </w:r>
      <w:r w:rsidR="00CF5037">
        <w:rPr>
          <w:rFonts w:ascii="Verdana" w:hAnsi="Verdana"/>
          <w:sz w:val="18"/>
          <w:szCs w:val="18"/>
        </w:rPr>
        <w:t xml:space="preserve">is de </w:t>
      </w:r>
      <w:r w:rsidRPr="00721E9A">
        <w:rPr>
          <w:rFonts w:ascii="Verdana" w:hAnsi="Verdana"/>
          <w:sz w:val="18"/>
          <w:szCs w:val="18"/>
        </w:rPr>
        <w:t xml:space="preserve">Minister van Economische Zaken het CSIRT voor digitale diensten. Deze aanwijzing komt te vervallen met de intrekking van de </w:t>
      </w:r>
      <w:proofErr w:type="spellStart"/>
      <w:r w:rsidRPr="00721E9A">
        <w:rPr>
          <w:rFonts w:ascii="Verdana" w:hAnsi="Verdana"/>
          <w:sz w:val="18"/>
          <w:szCs w:val="18"/>
        </w:rPr>
        <w:t>Wbni</w:t>
      </w:r>
      <w:proofErr w:type="spellEnd"/>
      <w:r w:rsidRPr="00721E9A">
        <w:rPr>
          <w:rFonts w:ascii="Verdana" w:hAnsi="Verdana"/>
          <w:sz w:val="18"/>
          <w:szCs w:val="18"/>
        </w:rPr>
        <w:t xml:space="preserve">. Daarom regelen de onderdelen B en C dat de artikelen 2, tweede lid, en 4 </w:t>
      </w:r>
      <w:proofErr w:type="spellStart"/>
      <w:r w:rsidRPr="00721E9A">
        <w:rPr>
          <w:rFonts w:ascii="Verdana" w:hAnsi="Verdana"/>
          <w:sz w:val="18"/>
          <w:szCs w:val="18"/>
        </w:rPr>
        <w:t>Wbdwb</w:t>
      </w:r>
      <w:proofErr w:type="spellEnd"/>
      <w:r w:rsidRPr="00721E9A">
        <w:rPr>
          <w:rFonts w:ascii="Verdana" w:hAnsi="Verdana"/>
          <w:sz w:val="18"/>
          <w:szCs w:val="18"/>
        </w:rPr>
        <w:t xml:space="preserve"> zodanig worden aangepast, dat de informatie-uitwisseling tussen de Minister van Economische Zaken op grond van de </w:t>
      </w:r>
      <w:proofErr w:type="spellStart"/>
      <w:r w:rsidRPr="00721E9A">
        <w:rPr>
          <w:rFonts w:ascii="Verdana" w:hAnsi="Verdana"/>
          <w:sz w:val="18"/>
          <w:szCs w:val="18"/>
        </w:rPr>
        <w:t>Wbdwb</w:t>
      </w:r>
      <w:proofErr w:type="spellEnd"/>
      <w:r w:rsidRPr="00721E9A">
        <w:rPr>
          <w:rFonts w:ascii="Verdana" w:hAnsi="Verdana"/>
          <w:sz w:val="18"/>
          <w:szCs w:val="18"/>
        </w:rPr>
        <w:t xml:space="preserve"> en de </w:t>
      </w:r>
      <w:proofErr w:type="spellStart"/>
      <w:r w:rsidRPr="00721E9A">
        <w:rPr>
          <w:rFonts w:ascii="Verdana" w:hAnsi="Verdana"/>
          <w:sz w:val="18"/>
          <w:szCs w:val="18"/>
        </w:rPr>
        <w:t>CSIRT’s</w:t>
      </w:r>
      <w:proofErr w:type="spellEnd"/>
      <w:r w:rsidRPr="00721E9A">
        <w:rPr>
          <w:rFonts w:ascii="Verdana" w:hAnsi="Verdana"/>
          <w:sz w:val="18"/>
          <w:szCs w:val="18"/>
        </w:rPr>
        <w:t xml:space="preserve"> mogelijk blijft.</w:t>
      </w:r>
    </w:p>
    <w:p w:rsidR="00721E9A" w:rsidP="003F2349" w:rsidRDefault="00721E9A" w14:paraId="1355C0C8" w14:textId="77777777">
      <w:pPr>
        <w:pStyle w:val="Geenafstand"/>
        <w:rPr>
          <w:rFonts w:ascii="Verdana" w:hAnsi="Verdana"/>
          <w:sz w:val="18"/>
          <w:szCs w:val="18"/>
        </w:rPr>
      </w:pPr>
    </w:p>
    <w:p w:rsidRPr="00BD3C4A" w:rsidR="00D0002B" w:rsidP="00D0002B" w:rsidRDefault="00D0002B" w14:paraId="2B9A6EC3" w14:textId="50B67C03">
      <w:pPr>
        <w:pStyle w:val="Geenafstand"/>
        <w:rPr>
          <w:rFonts w:ascii="Verdana" w:hAnsi="Verdana"/>
          <w:b/>
          <w:bCs/>
          <w:sz w:val="18"/>
          <w:szCs w:val="18"/>
        </w:rPr>
      </w:pPr>
      <w:bookmarkStart w:name="_Hlk149146647" w:id="305"/>
      <w:r w:rsidRPr="00BD3C4A">
        <w:rPr>
          <w:rFonts w:ascii="Verdana" w:hAnsi="Verdana"/>
          <w:b/>
          <w:bCs/>
          <w:sz w:val="18"/>
          <w:szCs w:val="18"/>
        </w:rPr>
        <w:t xml:space="preserve">Artikel </w:t>
      </w:r>
      <w:r w:rsidR="00CA2E55">
        <w:rPr>
          <w:rFonts w:ascii="Verdana" w:hAnsi="Verdana"/>
          <w:b/>
          <w:bCs/>
          <w:sz w:val="18"/>
          <w:szCs w:val="18"/>
        </w:rPr>
        <w:t>101</w:t>
      </w:r>
      <w:r w:rsidRPr="00BD3C4A" w:rsidR="00CA2E55">
        <w:rPr>
          <w:rFonts w:ascii="Verdana" w:hAnsi="Verdana"/>
          <w:b/>
          <w:bCs/>
          <w:sz w:val="18"/>
          <w:szCs w:val="18"/>
        </w:rPr>
        <w:t xml:space="preserve"> </w:t>
      </w:r>
      <w:r w:rsidRPr="00BD3C4A">
        <w:rPr>
          <w:rFonts w:ascii="Verdana" w:hAnsi="Verdana"/>
          <w:b/>
          <w:bCs/>
          <w:sz w:val="18"/>
          <w:szCs w:val="18"/>
        </w:rPr>
        <w:t>(wijziging Wet open overheid)</w:t>
      </w:r>
    </w:p>
    <w:p w:rsidRPr="00C47325" w:rsidR="00CE333A" w:rsidP="00CE333A" w:rsidRDefault="00CE333A" w14:paraId="2C07A0E7" w14:textId="77777777">
      <w:pPr>
        <w:pStyle w:val="Geenafstand"/>
        <w:rPr>
          <w:rFonts w:ascii="Verdana" w:hAnsi="Verdana"/>
          <w:sz w:val="18"/>
          <w:szCs w:val="18"/>
        </w:rPr>
      </w:pPr>
    </w:p>
    <w:p w:rsidRPr="00C47325" w:rsidR="00CE333A" w:rsidP="00E469BF" w:rsidRDefault="00CE333A" w14:paraId="19DE59C6" w14:textId="0F0D2FB7">
      <w:pPr>
        <w:pStyle w:val="Geenafstand"/>
        <w:rPr>
          <w:rFonts w:ascii="Verdana" w:hAnsi="Verdana"/>
          <w:sz w:val="18"/>
          <w:szCs w:val="18"/>
        </w:rPr>
      </w:pPr>
      <w:r w:rsidRPr="00C47325">
        <w:rPr>
          <w:rFonts w:ascii="Verdana" w:hAnsi="Verdana"/>
          <w:sz w:val="18"/>
          <w:szCs w:val="18"/>
        </w:rPr>
        <w:t xml:space="preserve">Voor wat betreft de uitzondering op de </w:t>
      </w:r>
      <w:r w:rsidR="00F55F88">
        <w:rPr>
          <w:rFonts w:ascii="Verdana" w:hAnsi="Verdana"/>
          <w:sz w:val="18"/>
          <w:szCs w:val="18"/>
        </w:rPr>
        <w:t>Woo</w:t>
      </w:r>
      <w:r w:rsidRPr="00C47325">
        <w:rPr>
          <w:rFonts w:ascii="Verdana" w:hAnsi="Verdana"/>
          <w:sz w:val="18"/>
          <w:szCs w:val="18"/>
        </w:rPr>
        <w:t xml:space="preserve">, wordt </w:t>
      </w:r>
      <w:r w:rsidRPr="00C47325" w:rsidR="00E469BF">
        <w:rPr>
          <w:rFonts w:ascii="Verdana" w:hAnsi="Verdana"/>
          <w:sz w:val="18"/>
          <w:szCs w:val="18"/>
        </w:rPr>
        <w:t>de bijlage bij artikel 8.8. van de Woo</w:t>
      </w:r>
      <w:r w:rsidR="00042103">
        <w:rPr>
          <w:rFonts w:ascii="Verdana" w:hAnsi="Verdana"/>
          <w:sz w:val="18"/>
          <w:szCs w:val="18"/>
        </w:rPr>
        <w:t xml:space="preserve"> </w:t>
      </w:r>
      <w:r w:rsidRPr="00C47325" w:rsidR="00E469BF">
        <w:rPr>
          <w:rFonts w:ascii="Verdana" w:hAnsi="Verdana"/>
          <w:sz w:val="18"/>
          <w:szCs w:val="18"/>
        </w:rPr>
        <w:t xml:space="preserve">overeenkomstig is bepaald in artikel </w:t>
      </w:r>
      <w:r w:rsidR="00CA2E55">
        <w:rPr>
          <w:rFonts w:ascii="Verdana" w:hAnsi="Verdana"/>
          <w:sz w:val="18"/>
          <w:szCs w:val="18"/>
        </w:rPr>
        <w:t>66</w:t>
      </w:r>
      <w:r w:rsidRPr="00C47325" w:rsidR="00154ED6">
        <w:rPr>
          <w:rFonts w:ascii="Verdana" w:hAnsi="Verdana"/>
          <w:sz w:val="18"/>
          <w:szCs w:val="18"/>
        </w:rPr>
        <w:t>,</w:t>
      </w:r>
      <w:r w:rsidRPr="00C47325" w:rsidR="00E469BF">
        <w:rPr>
          <w:rFonts w:ascii="Verdana" w:hAnsi="Verdana"/>
          <w:sz w:val="18"/>
          <w:szCs w:val="18"/>
        </w:rPr>
        <w:t xml:space="preserve"> </w:t>
      </w:r>
      <w:r w:rsidR="00CA2E55">
        <w:rPr>
          <w:rFonts w:ascii="Verdana" w:hAnsi="Verdana"/>
          <w:sz w:val="18"/>
          <w:szCs w:val="18"/>
        </w:rPr>
        <w:t>tweede</w:t>
      </w:r>
      <w:r w:rsidRPr="00C47325" w:rsidR="00CA2E55">
        <w:rPr>
          <w:rFonts w:ascii="Verdana" w:hAnsi="Verdana"/>
          <w:sz w:val="18"/>
          <w:szCs w:val="18"/>
        </w:rPr>
        <w:t xml:space="preserve"> </w:t>
      </w:r>
      <w:r w:rsidRPr="00C47325" w:rsidR="00E469BF">
        <w:rPr>
          <w:rFonts w:ascii="Verdana" w:hAnsi="Verdana"/>
          <w:sz w:val="18"/>
          <w:szCs w:val="18"/>
        </w:rPr>
        <w:t>lid</w:t>
      </w:r>
      <w:r w:rsidRPr="00C47325" w:rsidR="00154ED6">
        <w:rPr>
          <w:rFonts w:ascii="Verdana" w:hAnsi="Verdana"/>
          <w:sz w:val="18"/>
          <w:szCs w:val="18"/>
        </w:rPr>
        <w:t>,</w:t>
      </w:r>
      <w:r w:rsidRPr="00C47325" w:rsidR="00E469BF">
        <w:rPr>
          <w:rFonts w:ascii="Verdana" w:hAnsi="Verdana"/>
          <w:sz w:val="18"/>
          <w:szCs w:val="18"/>
        </w:rPr>
        <w:t xml:space="preserve"> aangepast.</w:t>
      </w:r>
      <w:r w:rsidRPr="00C47325" w:rsidR="00BD4704">
        <w:rPr>
          <w:rFonts w:ascii="Verdana" w:hAnsi="Verdana"/>
          <w:sz w:val="18"/>
          <w:szCs w:val="18"/>
        </w:rPr>
        <w:t xml:space="preserve"> Tevens vervalt in genoemde bijlage de verwijzing naar de </w:t>
      </w:r>
      <w:proofErr w:type="spellStart"/>
      <w:r w:rsidRPr="00C47325" w:rsidR="00BD4704">
        <w:rPr>
          <w:rFonts w:ascii="Verdana" w:hAnsi="Verdana"/>
          <w:sz w:val="18"/>
          <w:szCs w:val="18"/>
        </w:rPr>
        <w:t>T</w:t>
      </w:r>
      <w:r w:rsidR="00F55F88">
        <w:rPr>
          <w:rFonts w:ascii="Verdana" w:hAnsi="Verdana"/>
          <w:sz w:val="18"/>
          <w:szCs w:val="18"/>
        </w:rPr>
        <w:t>w</w:t>
      </w:r>
      <w:r w:rsidRPr="00C47325" w:rsidR="00BD4704">
        <w:rPr>
          <w:rFonts w:ascii="Verdana" w:hAnsi="Verdana"/>
          <w:sz w:val="18"/>
          <w:szCs w:val="18"/>
        </w:rPr>
        <w:t>.</w:t>
      </w:r>
      <w:proofErr w:type="spellEnd"/>
      <w:r w:rsidRPr="00C47325" w:rsidR="00BD4704">
        <w:rPr>
          <w:rFonts w:ascii="Verdana" w:hAnsi="Verdana"/>
          <w:sz w:val="18"/>
          <w:szCs w:val="18"/>
        </w:rPr>
        <w:t xml:space="preserve"> </w:t>
      </w:r>
    </w:p>
    <w:p w:rsidR="00EF12D4" w:rsidP="00E469BF" w:rsidRDefault="00EF12D4" w14:paraId="1BD86039" w14:textId="77777777">
      <w:pPr>
        <w:pStyle w:val="Geenafstand"/>
        <w:rPr>
          <w:rFonts w:ascii="Verdana" w:hAnsi="Verdana"/>
          <w:sz w:val="18"/>
          <w:szCs w:val="18"/>
        </w:rPr>
      </w:pPr>
    </w:p>
    <w:p w:rsidR="00AB3A15" w:rsidP="00AB3A15" w:rsidRDefault="00AB3A15" w14:paraId="69C7C809" w14:textId="29B5E57B">
      <w:pPr>
        <w:pStyle w:val="Geenafstand"/>
        <w:rPr>
          <w:rFonts w:ascii="Verdana" w:hAnsi="Verdana"/>
          <w:sz w:val="18"/>
          <w:szCs w:val="18"/>
        </w:rPr>
      </w:pPr>
      <w:bookmarkStart w:name="_Hlk174372137" w:id="306"/>
      <w:r>
        <w:rPr>
          <w:rFonts w:ascii="Verdana" w:hAnsi="Verdana"/>
          <w:b/>
          <w:bCs/>
          <w:sz w:val="18"/>
          <w:szCs w:val="18"/>
        </w:rPr>
        <w:t xml:space="preserve">Artikel </w:t>
      </w:r>
      <w:r w:rsidR="00CA2E55">
        <w:rPr>
          <w:rFonts w:ascii="Verdana" w:hAnsi="Verdana"/>
          <w:b/>
          <w:bCs/>
          <w:sz w:val="18"/>
          <w:szCs w:val="18"/>
        </w:rPr>
        <w:t xml:space="preserve">102 </w:t>
      </w:r>
      <w:r>
        <w:rPr>
          <w:rFonts w:ascii="Verdana" w:hAnsi="Verdana"/>
          <w:b/>
          <w:bCs/>
          <w:sz w:val="18"/>
          <w:szCs w:val="18"/>
        </w:rPr>
        <w:t xml:space="preserve">(wijziging </w:t>
      </w:r>
      <w:r w:rsidRPr="008206AF">
        <w:rPr>
          <w:rFonts w:ascii="Verdana" w:hAnsi="Verdana"/>
          <w:b/>
          <w:bCs/>
          <w:sz w:val="18"/>
          <w:szCs w:val="18"/>
        </w:rPr>
        <w:t>Wet op het financieel toezicht</w:t>
      </w:r>
      <w:r>
        <w:rPr>
          <w:rFonts w:ascii="Verdana" w:hAnsi="Verdana"/>
          <w:b/>
          <w:bCs/>
          <w:sz w:val="18"/>
          <w:szCs w:val="18"/>
        </w:rPr>
        <w:t>)</w:t>
      </w:r>
    </w:p>
    <w:p w:rsidRPr="00EB7D68" w:rsidR="00AB3A15" w:rsidP="00EB7D68" w:rsidRDefault="00AB3A15" w14:paraId="3051E274" w14:textId="77777777">
      <w:pPr>
        <w:pStyle w:val="Geenafstand"/>
        <w:rPr>
          <w:rFonts w:ascii="Verdana" w:hAnsi="Verdana"/>
          <w:sz w:val="18"/>
          <w:szCs w:val="18"/>
        </w:rPr>
      </w:pPr>
    </w:p>
    <w:p w:rsidRPr="00EB7D68" w:rsidR="00EB7D68" w:rsidP="00EB7D68" w:rsidRDefault="00EB7D68" w14:paraId="3AEAE945" w14:textId="4C126E11">
      <w:pPr>
        <w:pStyle w:val="Geenafstand"/>
        <w:rPr>
          <w:rFonts w:ascii="Verdana" w:hAnsi="Verdana"/>
          <w:sz w:val="18"/>
          <w:szCs w:val="18"/>
        </w:rPr>
      </w:pPr>
      <w:r w:rsidRPr="00EB7D68">
        <w:rPr>
          <w:rFonts w:ascii="Verdana" w:hAnsi="Verdana"/>
          <w:sz w:val="18"/>
          <w:szCs w:val="18"/>
        </w:rPr>
        <w:t xml:space="preserve">In dit artikel wordt geregeld dat DNB en </w:t>
      </w:r>
      <w:r w:rsidRPr="00791639" w:rsidR="00791639">
        <w:rPr>
          <w:rFonts w:ascii="Verdana" w:hAnsi="Verdana"/>
          <w:sz w:val="18"/>
          <w:szCs w:val="18"/>
        </w:rPr>
        <w:t xml:space="preserve">de Autoriteit Financiële Markten </w:t>
      </w:r>
      <w:r w:rsidR="00791639">
        <w:rPr>
          <w:rFonts w:ascii="Verdana" w:hAnsi="Verdana"/>
          <w:sz w:val="18"/>
          <w:szCs w:val="18"/>
        </w:rPr>
        <w:t xml:space="preserve">(hierna: </w:t>
      </w:r>
      <w:r w:rsidRPr="00EB7D68">
        <w:rPr>
          <w:rFonts w:ascii="Verdana" w:hAnsi="Verdana"/>
          <w:sz w:val="18"/>
          <w:szCs w:val="18"/>
        </w:rPr>
        <w:t>AFM</w:t>
      </w:r>
      <w:r w:rsidR="00791639">
        <w:rPr>
          <w:rFonts w:ascii="Verdana" w:hAnsi="Verdana"/>
          <w:sz w:val="18"/>
          <w:szCs w:val="18"/>
        </w:rPr>
        <w:t>)</w:t>
      </w:r>
      <w:r w:rsidRPr="00EB7D68">
        <w:rPr>
          <w:rFonts w:ascii="Verdana" w:hAnsi="Verdana"/>
          <w:sz w:val="18"/>
          <w:szCs w:val="18"/>
        </w:rPr>
        <w:t xml:space="preserve"> als toezichthouder in de zin van de Wet op het financieel toezicht (hierna: </w:t>
      </w:r>
      <w:proofErr w:type="spellStart"/>
      <w:r w:rsidRPr="00EB7D68">
        <w:rPr>
          <w:rFonts w:ascii="Verdana" w:hAnsi="Verdana"/>
          <w:sz w:val="18"/>
          <w:szCs w:val="18"/>
        </w:rPr>
        <w:t>Wft</w:t>
      </w:r>
      <w:proofErr w:type="spellEnd"/>
      <w:r w:rsidRPr="00EB7D68">
        <w:rPr>
          <w:rFonts w:ascii="Verdana" w:hAnsi="Verdana"/>
          <w:sz w:val="18"/>
          <w:szCs w:val="18"/>
        </w:rPr>
        <w:t xml:space="preserve">) op entiteiten waarop de </w:t>
      </w:r>
      <w:r w:rsidR="009754FB">
        <w:rPr>
          <w:rFonts w:ascii="Verdana" w:hAnsi="Verdana"/>
          <w:sz w:val="18"/>
          <w:szCs w:val="18"/>
        </w:rPr>
        <w:t>DORA</w:t>
      </w:r>
      <w:r w:rsidRPr="00EB7D68">
        <w:rPr>
          <w:rFonts w:ascii="Verdana" w:hAnsi="Verdana"/>
          <w:sz w:val="18"/>
          <w:szCs w:val="18"/>
        </w:rPr>
        <w:t xml:space="preserve"> van toepassing is, in uitzondering op de voor hen geldende geheimhoudingsplicht van artikel 1:89 </w:t>
      </w:r>
      <w:proofErr w:type="spellStart"/>
      <w:r w:rsidRPr="00EB7D68">
        <w:rPr>
          <w:rFonts w:ascii="Verdana" w:hAnsi="Verdana"/>
          <w:sz w:val="18"/>
          <w:szCs w:val="18"/>
        </w:rPr>
        <w:t>Wft</w:t>
      </w:r>
      <w:proofErr w:type="spellEnd"/>
      <w:r w:rsidRPr="00EB7D68">
        <w:rPr>
          <w:rFonts w:ascii="Verdana" w:hAnsi="Verdana"/>
          <w:sz w:val="18"/>
          <w:szCs w:val="18"/>
        </w:rPr>
        <w:t xml:space="preserve"> vertrouwelijke informatie kunnen verstrekken aan de Minister van Financiën en het </w:t>
      </w:r>
      <w:r w:rsidR="00DA11FA">
        <w:rPr>
          <w:rFonts w:ascii="Verdana" w:hAnsi="Verdana"/>
          <w:sz w:val="18"/>
          <w:szCs w:val="18"/>
        </w:rPr>
        <w:t xml:space="preserve">CSIRT dat is aangewezen </w:t>
      </w:r>
      <w:r w:rsidRPr="00EB7D68">
        <w:rPr>
          <w:rFonts w:ascii="Verdana" w:hAnsi="Verdana"/>
          <w:sz w:val="18"/>
          <w:szCs w:val="18"/>
        </w:rPr>
        <w:t xml:space="preserve">voor entiteiten in de sectoren bankwezen en infrastructuur voor de financiële markt, wanneer zij dat nodig hebben voor een goede uitoefening van hun taken op grond van de </w:t>
      </w:r>
      <w:proofErr w:type="spellStart"/>
      <w:r w:rsidRPr="00EB7D68">
        <w:rPr>
          <w:rFonts w:ascii="Verdana" w:hAnsi="Verdana"/>
          <w:sz w:val="18"/>
          <w:szCs w:val="18"/>
        </w:rPr>
        <w:t>Cbw</w:t>
      </w:r>
      <w:proofErr w:type="spellEnd"/>
      <w:r w:rsidRPr="00EB7D68">
        <w:rPr>
          <w:rFonts w:ascii="Verdana" w:hAnsi="Verdana"/>
          <w:sz w:val="18"/>
          <w:szCs w:val="18"/>
        </w:rPr>
        <w:t xml:space="preserve">. </w:t>
      </w:r>
    </w:p>
    <w:p w:rsidR="00AB3A15" w:rsidP="00EB7D68" w:rsidRDefault="00EB7D68" w14:paraId="5901B4FB" w14:textId="700C8ACE">
      <w:pPr>
        <w:pStyle w:val="Geenafstand"/>
        <w:rPr>
          <w:rFonts w:ascii="Verdana" w:hAnsi="Verdana"/>
          <w:sz w:val="18"/>
          <w:szCs w:val="18"/>
        </w:rPr>
      </w:pPr>
      <w:r w:rsidRPr="00EB7D68">
        <w:rPr>
          <w:rFonts w:ascii="Verdana" w:hAnsi="Verdana"/>
          <w:sz w:val="18"/>
          <w:szCs w:val="18"/>
        </w:rPr>
        <w:t xml:space="preserve">Bepaalde financiële entiteiten vallen zowel onder de </w:t>
      </w:r>
      <w:r w:rsidR="009754FB">
        <w:rPr>
          <w:rFonts w:ascii="Verdana" w:hAnsi="Verdana"/>
          <w:sz w:val="18"/>
          <w:szCs w:val="18"/>
        </w:rPr>
        <w:t>DORA</w:t>
      </w:r>
      <w:r w:rsidRPr="00EB7D68">
        <w:rPr>
          <w:rFonts w:ascii="Verdana" w:hAnsi="Verdana"/>
          <w:sz w:val="18"/>
          <w:szCs w:val="18"/>
        </w:rPr>
        <w:t xml:space="preserve"> als onder de NIS2-richtlijn. Het betreft kredietinstellingen, exploitanten van handelsplatformen en centrale tegenpartijen. De toezichthouders op de naleving van de </w:t>
      </w:r>
      <w:r w:rsidR="009754FB">
        <w:rPr>
          <w:rFonts w:ascii="Verdana" w:hAnsi="Verdana"/>
          <w:sz w:val="18"/>
          <w:szCs w:val="18"/>
        </w:rPr>
        <w:t>DORA</w:t>
      </w:r>
      <w:r w:rsidRPr="00EB7D68">
        <w:rPr>
          <w:rFonts w:ascii="Verdana" w:hAnsi="Verdana"/>
          <w:sz w:val="18"/>
          <w:szCs w:val="18"/>
        </w:rPr>
        <w:t xml:space="preserve"> en de bevoegde autoriteiten als bedoeld in de </w:t>
      </w:r>
      <w:proofErr w:type="spellStart"/>
      <w:r w:rsidRPr="00EB7D68">
        <w:rPr>
          <w:rFonts w:ascii="Verdana" w:hAnsi="Verdana"/>
          <w:sz w:val="18"/>
          <w:szCs w:val="18"/>
        </w:rPr>
        <w:t>Cbw</w:t>
      </w:r>
      <w:proofErr w:type="spellEnd"/>
      <w:r w:rsidRPr="00EB7D68">
        <w:rPr>
          <w:rFonts w:ascii="Verdana" w:hAnsi="Verdana"/>
          <w:sz w:val="18"/>
          <w:szCs w:val="18"/>
        </w:rPr>
        <w:t xml:space="preserve"> worden geacht samen te werken en informatie te delen. Op basis van artikel 19 </w:t>
      </w:r>
      <w:r w:rsidR="009754FB">
        <w:rPr>
          <w:rFonts w:ascii="Verdana" w:hAnsi="Verdana"/>
          <w:sz w:val="18"/>
          <w:szCs w:val="18"/>
        </w:rPr>
        <w:t>DORA</w:t>
      </w:r>
      <w:r w:rsidRPr="00EB7D68">
        <w:rPr>
          <w:rFonts w:ascii="Verdana" w:hAnsi="Verdana"/>
          <w:sz w:val="18"/>
          <w:szCs w:val="18"/>
        </w:rPr>
        <w:t xml:space="preserve"> mogen DNB en AFM informatie delen met onder meer de bevoegde autoriteiten en de </w:t>
      </w:r>
      <w:proofErr w:type="spellStart"/>
      <w:r w:rsidRPr="00EB7D68">
        <w:rPr>
          <w:rFonts w:ascii="Verdana" w:hAnsi="Verdana"/>
          <w:sz w:val="18"/>
          <w:szCs w:val="18"/>
        </w:rPr>
        <w:t>CSIRT’s</w:t>
      </w:r>
      <w:proofErr w:type="spellEnd"/>
      <w:r w:rsidRPr="00EB7D68">
        <w:rPr>
          <w:rFonts w:ascii="Verdana" w:hAnsi="Verdana"/>
          <w:sz w:val="18"/>
          <w:szCs w:val="18"/>
        </w:rPr>
        <w:t xml:space="preserve"> die overeenkomstig de NIS2-richtlijn worden aangewezen of ingesteld, maar alleen met betrekking tot significante ICT-dreigingen en -incidenten. Het is echter goed mogelijk dat het Ministerie van Financiën of het voor de hiervoor bedoelde entiteiten aangewezen CSIRT ten behoeve van de uitoefening van hun taken op grond van de </w:t>
      </w:r>
      <w:proofErr w:type="spellStart"/>
      <w:r w:rsidRPr="00EB7D68">
        <w:rPr>
          <w:rFonts w:ascii="Verdana" w:hAnsi="Verdana"/>
          <w:sz w:val="18"/>
          <w:szCs w:val="18"/>
        </w:rPr>
        <w:t>Cbw</w:t>
      </w:r>
      <w:proofErr w:type="spellEnd"/>
      <w:r w:rsidRPr="00EB7D68">
        <w:rPr>
          <w:rFonts w:ascii="Verdana" w:hAnsi="Verdana"/>
          <w:sz w:val="18"/>
          <w:szCs w:val="18"/>
        </w:rPr>
        <w:t xml:space="preserve">, behoefte hebben aan meer informatie dan alleen over genoemde significante dreigingen en incidenten, bijvoorbeeld over andere dreigingen, kwetsbaarheden en incidenten en de maatregelen die in verband daarmee genomen zijn. De in de artikelen 51 en 57 </w:t>
      </w:r>
      <w:proofErr w:type="spellStart"/>
      <w:r w:rsidRPr="00EB7D68">
        <w:rPr>
          <w:rFonts w:ascii="Verdana" w:hAnsi="Verdana"/>
          <w:sz w:val="18"/>
          <w:szCs w:val="18"/>
        </w:rPr>
        <w:t>Cbw</w:t>
      </w:r>
      <w:proofErr w:type="spellEnd"/>
      <w:r w:rsidRPr="00EB7D68">
        <w:rPr>
          <w:rFonts w:ascii="Verdana" w:hAnsi="Verdana"/>
          <w:sz w:val="18"/>
          <w:szCs w:val="18"/>
        </w:rPr>
        <w:t xml:space="preserve"> opgenomen grondslag om noodzakelijke gegevens uit te wisselen is niet afdoende om de geheimhoudingsplicht van artikel 1:89 </w:t>
      </w:r>
      <w:proofErr w:type="spellStart"/>
      <w:r w:rsidRPr="00EB7D68">
        <w:rPr>
          <w:rFonts w:ascii="Verdana" w:hAnsi="Verdana"/>
          <w:sz w:val="18"/>
          <w:szCs w:val="18"/>
        </w:rPr>
        <w:t>Wft</w:t>
      </w:r>
      <w:proofErr w:type="spellEnd"/>
      <w:r w:rsidRPr="00EB7D68">
        <w:rPr>
          <w:rFonts w:ascii="Verdana" w:hAnsi="Verdana"/>
          <w:sz w:val="18"/>
          <w:szCs w:val="18"/>
        </w:rPr>
        <w:t xml:space="preserve"> op te heffen. Om te voorkomen dat DNB en AFM vanwege hun geheimhoudingsplicht niet alle benodigde informatie kunnen verstrekken voorziet artikel </w:t>
      </w:r>
      <w:r w:rsidR="00CA2E55">
        <w:rPr>
          <w:rFonts w:ascii="Verdana" w:hAnsi="Verdana"/>
          <w:sz w:val="18"/>
          <w:szCs w:val="18"/>
        </w:rPr>
        <w:t>102</w:t>
      </w:r>
      <w:r w:rsidRPr="00EB7D68" w:rsidR="00CA2E55">
        <w:rPr>
          <w:rFonts w:ascii="Verdana" w:hAnsi="Verdana"/>
          <w:sz w:val="18"/>
          <w:szCs w:val="18"/>
        </w:rPr>
        <w:t xml:space="preserve"> </w:t>
      </w:r>
      <w:proofErr w:type="spellStart"/>
      <w:r w:rsidRPr="00EB7D68">
        <w:rPr>
          <w:rFonts w:ascii="Verdana" w:hAnsi="Verdana"/>
          <w:sz w:val="18"/>
          <w:szCs w:val="18"/>
        </w:rPr>
        <w:t>Cbw</w:t>
      </w:r>
      <w:proofErr w:type="spellEnd"/>
      <w:r w:rsidRPr="00EB7D68">
        <w:rPr>
          <w:rFonts w:ascii="Verdana" w:hAnsi="Verdana"/>
          <w:sz w:val="18"/>
          <w:szCs w:val="18"/>
        </w:rPr>
        <w:t xml:space="preserve"> daarom middels een wijziging van artikel 1:93 </w:t>
      </w:r>
      <w:proofErr w:type="spellStart"/>
      <w:r w:rsidRPr="00EB7D68">
        <w:rPr>
          <w:rFonts w:ascii="Verdana" w:hAnsi="Verdana"/>
          <w:sz w:val="18"/>
          <w:szCs w:val="18"/>
        </w:rPr>
        <w:t>Wft</w:t>
      </w:r>
      <w:proofErr w:type="spellEnd"/>
      <w:r w:rsidRPr="00EB7D68">
        <w:rPr>
          <w:rFonts w:ascii="Verdana" w:hAnsi="Verdana"/>
          <w:sz w:val="18"/>
          <w:szCs w:val="18"/>
        </w:rPr>
        <w:t xml:space="preserve"> in een uitzondering op artikel 1:89 </w:t>
      </w:r>
      <w:proofErr w:type="spellStart"/>
      <w:r w:rsidRPr="00EB7D68">
        <w:rPr>
          <w:rFonts w:ascii="Verdana" w:hAnsi="Verdana"/>
          <w:sz w:val="18"/>
          <w:szCs w:val="18"/>
        </w:rPr>
        <w:t>Wft</w:t>
      </w:r>
      <w:proofErr w:type="spellEnd"/>
      <w:r w:rsidRPr="00EB7D68">
        <w:rPr>
          <w:rFonts w:ascii="Verdana" w:hAnsi="Verdana"/>
          <w:sz w:val="18"/>
          <w:szCs w:val="18"/>
        </w:rPr>
        <w:t xml:space="preserve">. De waarborgen van artikel 1:93, tweede en vierde lid, </w:t>
      </w:r>
      <w:proofErr w:type="spellStart"/>
      <w:r w:rsidRPr="00EB7D68">
        <w:rPr>
          <w:rFonts w:ascii="Verdana" w:hAnsi="Verdana"/>
          <w:sz w:val="18"/>
          <w:szCs w:val="18"/>
        </w:rPr>
        <w:t>Wft</w:t>
      </w:r>
      <w:proofErr w:type="spellEnd"/>
      <w:r w:rsidRPr="00EB7D68">
        <w:rPr>
          <w:rFonts w:ascii="Verdana" w:hAnsi="Verdana"/>
          <w:sz w:val="18"/>
          <w:szCs w:val="18"/>
        </w:rPr>
        <w:t xml:space="preserve"> zijn daarop van toepassing.</w:t>
      </w:r>
    </w:p>
    <w:p w:rsidRPr="00EB7D68" w:rsidR="00EB7D68" w:rsidP="00EB7D68" w:rsidRDefault="00EB7D68" w14:paraId="4F9AD3AF" w14:textId="77777777">
      <w:pPr>
        <w:pStyle w:val="Geenafstand"/>
        <w:rPr>
          <w:rFonts w:ascii="Verdana" w:hAnsi="Verdana"/>
          <w:sz w:val="18"/>
          <w:szCs w:val="18"/>
        </w:rPr>
      </w:pPr>
    </w:p>
    <w:p w:rsidR="00D0002B" w:rsidP="00D0002B" w:rsidRDefault="00D0002B" w14:paraId="369DD6D2" w14:textId="0E776E20">
      <w:pPr>
        <w:pStyle w:val="Geenafstand"/>
        <w:rPr>
          <w:rFonts w:ascii="Verdana" w:hAnsi="Verdana"/>
          <w:b/>
          <w:bCs/>
          <w:sz w:val="18"/>
          <w:szCs w:val="18"/>
        </w:rPr>
      </w:pPr>
      <w:r>
        <w:rPr>
          <w:rFonts w:ascii="Verdana" w:hAnsi="Verdana"/>
          <w:b/>
          <w:bCs/>
          <w:sz w:val="18"/>
          <w:szCs w:val="18"/>
        </w:rPr>
        <w:t xml:space="preserve">Artikel </w:t>
      </w:r>
      <w:r w:rsidR="00CA2E55">
        <w:rPr>
          <w:rFonts w:ascii="Verdana" w:hAnsi="Verdana"/>
          <w:b/>
          <w:bCs/>
          <w:sz w:val="18"/>
          <w:szCs w:val="18"/>
        </w:rPr>
        <w:t xml:space="preserve">103 </w:t>
      </w:r>
      <w:r>
        <w:rPr>
          <w:rFonts w:ascii="Verdana" w:hAnsi="Verdana"/>
          <w:b/>
          <w:bCs/>
          <w:sz w:val="18"/>
          <w:szCs w:val="18"/>
        </w:rPr>
        <w:t>(wijziging Algemene wet bestuursrecht)</w:t>
      </w:r>
    </w:p>
    <w:bookmarkEnd w:id="306"/>
    <w:p w:rsidR="004909D7" w:rsidP="004909D7" w:rsidRDefault="004909D7" w14:paraId="5A96530D" w14:textId="77777777">
      <w:pPr>
        <w:pStyle w:val="Geenafstand"/>
        <w:rPr>
          <w:rFonts w:ascii="Verdana" w:hAnsi="Verdana"/>
          <w:sz w:val="18"/>
          <w:szCs w:val="18"/>
        </w:rPr>
      </w:pPr>
    </w:p>
    <w:p w:rsidR="004909D7" w:rsidP="004909D7" w:rsidRDefault="004909D7" w14:paraId="53FCFCB4" w14:textId="325E19FB">
      <w:pPr>
        <w:pStyle w:val="Geenafstand"/>
        <w:rPr>
          <w:rFonts w:ascii="Verdana" w:hAnsi="Verdana"/>
          <w:sz w:val="18"/>
          <w:szCs w:val="18"/>
        </w:rPr>
      </w:pPr>
      <w:r>
        <w:rPr>
          <w:rFonts w:ascii="Verdana" w:hAnsi="Verdana"/>
          <w:sz w:val="18"/>
          <w:szCs w:val="18"/>
        </w:rPr>
        <w:t xml:space="preserve">Artikel </w:t>
      </w:r>
      <w:r w:rsidR="00CA2E55">
        <w:rPr>
          <w:rFonts w:ascii="Verdana" w:hAnsi="Verdana"/>
          <w:sz w:val="18"/>
          <w:szCs w:val="18"/>
        </w:rPr>
        <w:t xml:space="preserve">103 </w:t>
      </w:r>
      <w:proofErr w:type="spellStart"/>
      <w:r>
        <w:rPr>
          <w:rFonts w:ascii="Verdana" w:hAnsi="Verdana"/>
          <w:sz w:val="18"/>
          <w:szCs w:val="18"/>
        </w:rPr>
        <w:t>Cbw</w:t>
      </w:r>
      <w:proofErr w:type="spellEnd"/>
      <w:r>
        <w:rPr>
          <w:rFonts w:ascii="Verdana" w:hAnsi="Verdana"/>
          <w:sz w:val="18"/>
          <w:szCs w:val="18"/>
        </w:rPr>
        <w:t xml:space="preserve"> voorziet in een bijzondere bevoegdheidsregeling voor een aantal sectoren. </w:t>
      </w:r>
    </w:p>
    <w:p w:rsidR="004909D7" w:rsidP="004909D7" w:rsidRDefault="004909D7" w14:paraId="2B775D35" w14:textId="77777777">
      <w:pPr>
        <w:pStyle w:val="Geenafstand"/>
        <w:rPr>
          <w:rFonts w:ascii="Verdana" w:hAnsi="Verdana"/>
          <w:sz w:val="18"/>
          <w:szCs w:val="18"/>
        </w:rPr>
      </w:pPr>
    </w:p>
    <w:p w:rsidRPr="00FF46E3" w:rsidR="004909D7" w:rsidP="004909D7" w:rsidRDefault="004909D7" w14:paraId="1D3F8F9A" w14:textId="3D46FA93">
      <w:pPr>
        <w:pStyle w:val="Geenafstand"/>
        <w:rPr>
          <w:rFonts w:ascii="Verdana" w:hAnsi="Verdana"/>
          <w:sz w:val="18"/>
          <w:szCs w:val="18"/>
        </w:rPr>
      </w:pPr>
      <w:r w:rsidRPr="00FF46E3">
        <w:rPr>
          <w:rFonts w:ascii="Verdana" w:hAnsi="Verdana"/>
          <w:sz w:val="18"/>
          <w:szCs w:val="18"/>
        </w:rPr>
        <w:t xml:space="preserve">Voor de volgende sectoren wordt de rechtbank Rotterdam aangewezen als bevoegde rechtbank voor beroep in eerste instantie: energie, bankwezen, infrastructuur voor de financiële markt, digitale infrastructuur, beheer van ICT-diensten (business-to-business), post- en koeriersdiensten en productie, verwerking en distributie van levensmiddelen. Dit geldt ook voor de </w:t>
      </w:r>
      <w:proofErr w:type="spellStart"/>
      <w:r w:rsidRPr="00FF46E3">
        <w:rPr>
          <w:rFonts w:ascii="Verdana" w:hAnsi="Verdana"/>
          <w:sz w:val="18"/>
          <w:szCs w:val="18"/>
        </w:rPr>
        <w:t>subsectoren</w:t>
      </w:r>
      <w:proofErr w:type="spellEnd"/>
      <w:r w:rsidRPr="00FF46E3">
        <w:rPr>
          <w:rFonts w:ascii="Verdana" w:hAnsi="Verdana"/>
          <w:sz w:val="18"/>
          <w:szCs w:val="18"/>
        </w:rPr>
        <w:t xml:space="preserve"> spoor en vervaardiging van medische hulpmiddelen en medische hulpmiddelen voor in-vitrodiagnostiek. </w:t>
      </w:r>
    </w:p>
    <w:p w:rsidRPr="00FF46E3" w:rsidR="004909D7" w:rsidP="004909D7" w:rsidRDefault="004909D7" w14:paraId="2A74B627" w14:textId="77777777">
      <w:pPr>
        <w:pStyle w:val="Geenafstand"/>
        <w:rPr>
          <w:rFonts w:ascii="Verdana" w:hAnsi="Verdana"/>
          <w:sz w:val="18"/>
          <w:szCs w:val="18"/>
        </w:rPr>
      </w:pPr>
    </w:p>
    <w:p w:rsidRPr="00FF46E3" w:rsidR="004909D7" w:rsidP="004909D7" w:rsidRDefault="004909D7" w14:paraId="5A7CBA47" w14:textId="77777777">
      <w:pPr>
        <w:pStyle w:val="Geenafstand"/>
        <w:rPr>
          <w:rFonts w:ascii="Verdana" w:hAnsi="Verdana"/>
          <w:sz w:val="18"/>
          <w:szCs w:val="18"/>
        </w:rPr>
      </w:pPr>
      <w:r w:rsidRPr="00FF46E3">
        <w:rPr>
          <w:rFonts w:ascii="Verdana" w:hAnsi="Verdana"/>
          <w:sz w:val="18"/>
          <w:szCs w:val="18"/>
        </w:rPr>
        <w:t xml:space="preserve">Voor de volgende sectoren wordt het College van Beroep voor het bedrijfsleven aangewezen als hoger beroepsinstantie: energie, bankwezen, infrastructuur voor de financiële markt, digitale infrastructuur, beheer van ICT-diensten (business-to-business), post- en koeriersdiensten en productie, verwerking en distributie van levensmiddelen. Dit geldt ook voor de </w:t>
      </w:r>
      <w:proofErr w:type="spellStart"/>
      <w:r w:rsidRPr="00FF46E3">
        <w:rPr>
          <w:rFonts w:ascii="Verdana" w:hAnsi="Verdana"/>
          <w:sz w:val="18"/>
          <w:szCs w:val="18"/>
        </w:rPr>
        <w:t>subsector</w:t>
      </w:r>
      <w:proofErr w:type="spellEnd"/>
      <w:r w:rsidRPr="00FF46E3">
        <w:rPr>
          <w:rFonts w:ascii="Verdana" w:hAnsi="Verdana"/>
          <w:sz w:val="18"/>
          <w:szCs w:val="18"/>
        </w:rPr>
        <w:t xml:space="preserve"> spoor. </w:t>
      </w:r>
    </w:p>
    <w:p w:rsidRPr="00FF46E3" w:rsidR="004909D7" w:rsidP="004909D7" w:rsidRDefault="004909D7" w14:paraId="7E0313E6" w14:textId="77777777">
      <w:pPr>
        <w:pStyle w:val="Geenafstand"/>
        <w:rPr>
          <w:rFonts w:ascii="Verdana" w:hAnsi="Verdana"/>
          <w:sz w:val="18"/>
          <w:szCs w:val="18"/>
        </w:rPr>
      </w:pPr>
    </w:p>
    <w:p w:rsidRPr="00FF46E3" w:rsidR="004909D7" w:rsidP="004909D7" w:rsidRDefault="004909D7" w14:paraId="571F6427" w14:textId="77777777">
      <w:pPr>
        <w:pStyle w:val="Geenafstand"/>
        <w:rPr>
          <w:rFonts w:ascii="Verdana" w:hAnsi="Verdana"/>
          <w:sz w:val="18"/>
          <w:szCs w:val="18"/>
        </w:rPr>
      </w:pPr>
      <w:r w:rsidRPr="00FF46E3">
        <w:rPr>
          <w:rFonts w:ascii="Verdana" w:hAnsi="Verdana"/>
          <w:sz w:val="18"/>
          <w:szCs w:val="18"/>
        </w:rPr>
        <w:t xml:space="preserve">De reden voor deze bijzondere bevoegdheidsregeling is als volgt. Het is aannemelijk dat besluiten op grond van de </w:t>
      </w:r>
      <w:proofErr w:type="spellStart"/>
      <w:r w:rsidRPr="00FF46E3">
        <w:rPr>
          <w:rFonts w:ascii="Verdana" w:hAnsi="Verdana"/>
          <w:sz w:val="18"/>
          <w:szCs w:val="18"/>
        </w:rPr>
        <w:t>Cbw</w:t>
      </w:r>
      <w:proofErr w:type="spellEnd"/>
      <w:r w:rsidRPr="00FF46E3">
        <w:rPr>
          <w:rFonts w:ascii="Verdana" w:hAnsi="Verdana"/>
          <w:sz w:val="18"/>
          <w:szCs w:val="18"/>
        </w:rPr>
        <w:t xml:space="preserve"> in veel gevallen in samenhang met besluiten op grond van betrokken sectorale wet- en regelgeving zullen worden genomen. In die gevallen is het niet wenselijk dat voor besluiten op grond van sectorale wetten een bijzondere bestuursrechter bevoegd is, terwijl voor besluiten op grond van de </w:t>
      </w:r>
      <w:proofErr w:type="spellStart"/>
      <w:r w:rsidRPr="00FF46E3">
        <w:rPr>
          <w:rFonts w:ascii="Verdana" w:hAnsi="Verdana"/>
          <w:sz w:val="18"/>
          <w:szCs w:val="18"/>
        </w:rPr>
        <w:t>Cbw</w:t>
      </w:r>
      <w:proofErr w:type="spellEnd"/>
      <w:r w:rsidRPr="00FF46E3">
        <w:rPr>
          <w:rFonts w:ascii="Verdana" w:hAnsi="Verdana"/>
          <w:sz w:val="18"/>
          <w:szCs w:val="18"/>
        </w:rPr>
        <w:t xml:space="preserve"> de gewone bevoegdheidsregeling zou gelden. Voorts zal in het algemeen een goed oordeel over besluiten op grond van de </w:t>
      </w:r>
      <w:proofErr w:type="spellStart"/>
      <w:r w:rsidRPr="00FF46E3">
        <w:rPr>
          <w:rFonts w:ascii="Verdana" w:hAnsi="Verdana"/>
          <w:sz w:val="18"/>
          <w:szCs w:val="18"/>
        </w:rPr>
        <w:t>Cbw</w:t>
      </w:r>
      <w:proofErr w:type="spellEnd"/>
      <w:r w:rsidRPr="00FF46E3">
        <w:rPr>
          <w:rFonts w:ascii="Verdana" w:hAnsi="Verdana"/>
          <w:sz w:val="18"/>
          <w:szCs w:val="18"/>
        </w:rPr>
        <w:t xml:space="preserve"> niet gevormd kunnen worden zonder inzicht in de betrokken sector. Indien voor die sector een bijzondere bestuursrechter bevoegd is verklaard, zal die rechter inhoudelijke deskundigheid hebben opgebouwd ten aanzien van die sector. Het ligt dan voor de hand die rechter ook te laten oordelen over besluiten ten aanzien van die sector op grond van de </w:t>
      </w:r>
      <w:proofErr w:type="spellStart"/>
      <w:r w:rsidRPr="00FF46E3">
        <w:rPr>
          <w:rFonts w:ascii="Verdana" w:hAnsi="Verdana"/>
          <w:sz w:val="18"/>
          <w:szCs w:val="18"/>
        </w:rPr>
        <w:t>Cbw</w:t>
      </w:r>
      <w:proofErr w:type="spellEnd"/>
      <w:r w:rsidRPr="00FF46E3">
        <w:rPr>
          <w:rFonts w:ascii="Verdana" w:hAnsi="Verdana"/>
          <w:sz w:val="18"/>
          <w:szCs w:val="18"/>
        </w:rPr>
        <w:t xml:space="preserve">. </w:t>
      </w:r>
    </w:p>
    <w:p w:rsidRPr="00FF46E3" w:rsidR="004909D7" w:rsidP="004909D7" w:rsidRDefault="004909D7" w14:paraId="6A5200E9" w14:textId="77777777">
      <w:pPr>
        <w:pStyle w:val="Geenafstand"/>
        <w:rPr>
          <w:rFonts w:ascii="Verdana" w:hAnsi="Verdana"/>
          <w:sz w:val="18"/>
          <w:szCs w:val="18"/>
        </w:rPr>
      </w:pPr>
    </w:p>
    <w:p w:rsidRPr="00FF46E3" w:rsidR="004909D7" w:rsidP="004909D7" w:rsidRDefault="004909D7" w14:paraId="66F9D531" w14:textId="77777777">
      <w:pPr>
        <w:pStyle w:val="Geenafstand"/>
        <w:rPr>
          <w:rFonts w:ascii="Verdana" w:hAnsi="Verdana"/>
          <w:sz w:val="18"/>
          <w:szCs w:val="18"/>
        </w:rPr>
      </w:pPr>
      <w:r w:rsidRPr="00FF46E3">
        <w:rPr>
          <w:rFonts w:ascii="Verdana" w:hAnsi="Verdana"/>
          <w:sz w:val="18"/>
          <w:szCs w:val="18"/>
        </w:rPr>
        <w:t xml:space="preserve">Deze bijzondere bevoegdheidsregeling en de motivering daarvan sluit aan op de regeling die is getroffen voor de besluiten die op grond van de </w:t>
      </w:r>
      <w:proofErr w:type="spellStart"/>
      <w:r w:rsidRPr="00FF46E3">
        <w:rPr>
          <w:rFonts w:ascii="Verdana" w:hAnsi="Verdana"/>
          <w:sz w:val="18"/>
          <w:szCs w:val="18"/>
        </w:rPr>
        <w:t>Wbni</w:t>
      </w:r>
      <w:proofErr w:type="spellEnd"/>
      <w:r w:rsidRPr="00FF46E3">
        <w:rPr>
          <w:rFonts w:ascii="Verdana" w:hAnsi="Verdana"/>
          <w:sz w:val="18"/>
          <w:szCs w:val="18"/>
        </w:rPr>
        <w:t xml:space="preserve"> zijn genomen ten aanzien van de organisaties uit de betrokken (sub)sectoren. Voorts sluit deze bijzondere bevoegdheidsregeling aan op de regeling die is getroffen voor de besluiten die op grond van de </w:t>
      </w:r>
      <w:proofErr w:type="spellStart"/>
      <w:r w:rsidRPr="00FF46E3">
        <w:rPr>
          <w:rFonts w:ascii="Verdana" w:hAnsi="Verdana"/>
          <w:sz w:val="18"/>
          <w:szCs w:val="18"/>
        </w:rPr>
        <w:t>Wwke</w:t>
      </w:r>
      <w:proofErr w:type="spellEnd"/>
      <w:r w:rsidRPr="00FF46E3">
        <w:rPr>
          <w:rFonts w:ascii="Verdana" w:hAnsi="Verdana"/>
          <w:sz w:val="18"/>
          <w:szCs w:val="18"/>
        </w:rPr>
        <w:t xml:space="preserve"> zijn genomen ten aanzien van entiteiten uit de sectoren die </w:t>
      </w:r>
      <w:r>
        <w:rPr>
          <w:rFonts w:ascii="Verdana" w:hAnsi="Verdana"/>
          <w:sz w:val="18"/>
          <w:szCs w:val="18"/>
        </w:rPr>
        <w:t>ook voorkomen in</w:t>
      </w:r>
      <w:r w:rsidRPr="00FF46E3">
        <w:rPr>
          <w:rFonts w:ascii="Verdana" w:hAnsi="Verdana"/>
          <w:sz w:val="18"/>
          <w:szCs w:val="18"/>
        </w:rPr>
        <w:t xml:space="preserve"> de </w:t>
      </w:r>
      <w:proofErr w:type="spellStart"/>
      <w:r w:rsidRPr="00FF46E3">
        <w:rPr>
          <w:rFonts w:ascii="Verdana" w:hAnsi="Verdana"/>
          <w:sz w:val="18"/>
          <w:szCs w:val="18"/>
        </w:rPr>
        <w:t>Cbw</w:t>
      </w:r>
      <w:proofErr w:type="spellEnd"/>
      <w:r w:rsidRPr="00FF46E3">
        <w:rPr>
          <w:rFonts w:ascii="Verdana" w:hAnsi="Verdana"/>
          <w:sz w:val="18"/>
          <w:szCs w:val="18"/>
        </w:rPr>
        <w:t>.</w:t>
      </w:r>
    </w:p>
    <w:p w:rsidR="00791639" w:rsidP="00791639" w:rsidRDefault="00791639" w14:paraId="0143EB34" w14:textId="77777777">
      <w:pPr>
        <w:pStyle w:val="Geenafstand"/>
        <w:rPr>
          <w:rFonts w:ascii="Verdana" w:hAnsi="Verdana"/>
          <w:b/>
          <w:bCs/>
          <w:sz w:val="18"/>
          <w:szCs w:val="18"/>
        </w:rPr>
      </w:pPr>
      <w:bookmarkStart w:name="_Hlk162381550" w:id="307"/>
    </w:p>
    <w:p w:rsidR="00791639" w:rsidP="00791639" w:rsidRDefault="00791639" w14:paraId="2735549A" w14:textId="4955D61E">
      <w:pPr>
        <w:pStyle w:val="Geenafstand"/>
        <w:rPr>
          <w:rFonts w:ascii="Verdana" w:hAnsi="Verdana"/>
          <w:b/>
          <w:bCs/>
          <w:sz w:val="18"/>
          <w:szCs w:val="18"/>
        </w:rPr>
      </w:pPr>
      <w:r>
        <w:rPr>
          <w:rFonts w:ascii="Verdana" w:hAnsi="Verdana"/>
          <w:b/>
          <w:bCs/>
          <w:sz w:val="18"/>
          <w:szCs w:val="18"/>
        </w:rPr>
        <w:t xml:space="preserve">Artikel </w:t>
      </w:r>
      <w:r w:rsidR="00CA2E55">
        <w:rPr>
          <w:rFonts w:ascii="Verdana" w:hAnsi="Verdana"/>
          <w:b/>
          <w:bCs/>
          <w:sz w:val="18"/>
          <w:szCs w:val="18"/>
        </w:rPr>
        <w:t xml:space="preserve">104 </w:t>
      </w:r>
      <w:r>
        <w:rPr>
          <w:rFonts w:ascii="Verdana" w:hAnsi="Verdana"/>
          <w:b/>
          <w:bCs/>
          <w:sz w:val="18"/>
          <w:szCs w:val="18"/>
        </w:rPr>
        <w:t xml:space="preserve">(wijzigingen van de NIS2-richtlijn) </w:t>
      </w:r>
    </w:p>
    <w:p w:rsidR="00791639" w:rsidP="00791639" w:rsidRDefault="00791639" w14:paraId="43FB4F78" w14:textId="77777777">
      <w:pPr>
        <w:pStyle w:val="Geenafstand"/>
        <w:rPr>
          <w:rFonts w:ascii="Verdana" w:hAnsi="Verdana"/>
          <w:sz w:val="18"/>
          <w:szCs w:val="18"/>
        </w:rPr>
      </w:pPr>
    </w:p>
    <w:p w:rsidR="00791639" w:rsidP="00791639" w:rsidRDefault="00791639" w14:paraId="613FD6C4" w14:textId="308566A4">
      <w:pPr>
        <w:pStyle w:val="Geenafstand"/>
        <w:rPr>
          <w:rFonts w:ascii="Verdana" w:hAnsi="Verdana"/>
          <w:sz w:val="18"/>
          <w:szCs w:val="18"/>
        </w:rPr>
      </w:pPr>
      <w:r>
        <w:rPr>
          <w:rFonts w:ascii="Verdana" w:hAnsi="Verdana"/>
          <w:sz w:val="18"/>
          <w:szCs w:val="18"/>
        </w:rPr>
        <w:t xml:space="preserve">Artikel </w:t>
      </w:r>
      <w:r w:rsidR="00CA2E55">
        <w:rPr>
          <w:rFonts w:ascii="Verdana" w:hAnsi="Verdana"/>
          <w:sz w:val="18"/>
          <w:szCs w:val="18"/>
        </w:rPr>
        <w:t xml:space="preserve">104 </w:t>
      </w:r>
      <w:proofErr w:type="spellStart"/>
      <w:r>
        <w:rPr>
          <w:rFonts w:ascii="Verdana" w:hAnsi="Verdana"/>
          <w:sz w:val="18"/>
          <w:szCs w:val="18"/>
        </w:rPr>
        <w:t>Cbw</w:t>
      </w:r>
      <w:proofErr w:type="spellEnd"/>
      <w:r>
        <w:rPr>
          <w:rFonts w:ascii="Verdana" w:hAnsi="Verdana"/>
          <w:sz w:val="18"/>
          <w:szCs w:val="18"/>
        </w:rPr>
        <w:t xml:space="preserve"> ziet op wijzigingen van bepalingen uit de NIS2-richtlijn waarnaar in de </w:t>
      </w:r>
      <w:proofErr w:type="spellStart"/>
      <w:r>
        <w:rPr>
          <w:rFonts w:ascii="Verdana" w:hAnsi="Verdana"/>
          <w:sz w:val="18"/>
          <w:szCs w:val="18"/>
        </w:rPr>
        <w:t>Cbw</w:t>
      </w:r>
      <w:proofErr w:type="spellEnd"/>
      <w:r>
        <w:rPr>
          <w:rFonts w:ascii="Verdana" w:hAnsi="Verdana"/>
          <w:sz w:val="18"/>
          <w:szCs w:val="18"/>
        </w:rPr>
        <w:t xml:space="preserve"> wordt verwezen. </w:t>
      </w:r>
    </w:p>
    <w:bookmarkEnd w:id="307"/>
    <w:p w:rsidR="00791639" w:rsidP="00791639" w:rsidRDefault="00791639" w14:paraId="1C2AB8A6" w14:textId="77777777">
      <w:pPr>
        <w:pStyle w:val="Geenafstand"/>
        <w:rPr>
          <w:rFonts w:ascii="Verdana" w:hAnsi="Verdana"/>
          <w:b/>
          <w:bCs/>
          <w:sz w:val="18"/>
          <w:szCs w:val="18"/>
        </w:rPr>
      </w:pPr>
    </w:p>
    <w:p w:rsidRPr="007770B8" w:rsidR="00791639" w:rsidP="00791639" w:rsidRDefault="00791639" w14:paraId="2DFA6D95" w14:textId="2E9BB6AF">
      <w:pPr>
        <w:pStyle w:val="Geenafstand"/>
        <w:rPr>
          <w:rFonts w:ascii="Verdana" w:hAnsi="Verdana"/>
          <w:b/>
          <w:bCs/>
          <w:sz w:val="18"/>
          <w:szCs w:val="18"/>
        </w:rPr>
      </w:pPr>
      <w:r w:rsidRPr="007770B8">
        <w:rPr>
          <w:rFonts w:ascii="Verdana" w:hAnsi="Verdana"/>
          <w:b/>
          <w:bCs/>
          <w:sz w:val="18"/>
          <w:szCs w:val="18"/>
        </w:rPr>
        <w:t xml:space="preserve">Artikel </w:t>
      </w:r>
      <w:r w:rsidR="00B47124">
        <w:rPr>
          <w:rFonts w:ascii="Verdana" w:hAnsi="Verdana"/>
          <w:b/>
          <w:bCs/>
          <w:sz w:val="18"/>
          <w:szCs w:val="18"/>
        </w:rPr>
        <w:t>105</w:t>
      </w:r>
      <w:r w:rsidRPr="007770B8" w:rsidR="00B47124">
        <w:rPr>
          <w:rFonts w:ascii="Verdana" w:hAnsi="Verdana"/>
          <w:b/>
          <w:bCs/>
          <w:sz w:val="18"/>
          <w:szCs w:val="18"/>
        </w:rPr>
        <w:t xml:space="preserve"> </w:t>
      </w:r>
      <w:r w:rsidRPr="007770B8">
        <w:rPr>
          <w:rFonts w:ascii="Verdana" w:hAnsi="Verdana"/>
          <w:b/>
          <w:bCs/>
          <w:sz w:val="18"/>
          <w:szCs w:val="18"/>
        </w:rPr>
        <w:t>(inwerkingtreding onderdelen van de Wet bestuur en toezicht rechtspersonen)</w:t>
      </w:r>
    </w:p>
    <w:p w:rsidRPr="007770B8" w:rsidR="00791639" w:rsidP="00791639" w:rsidRDefault="00791639" w14:paraId="7B4AA639" w14:textId="77777777">
      <w:pPr>
        <w:pStyle w:val="Geenafstand"/>
        <w:rPr>
          <w:rFonts w:ascii="Verdana" w:hAnsi="Verdana"/>
          <w:b/>
          <w:bCs/>
          <w:sz w:val="18"/>
          <w:szCs w:val="18"/>
        </w:rPr>
      </w:pPr>
    </w:p>
    <w:p w:rsidRPr="007770B8" w:rsidR="00791639" w:rsidP="00791639" w:rsidRDefault="00791639" w14:paraId="79D7C247" w14:textId="39DE7255">
      <w:pPr>
        <w:pStyle w:val="Geenafstand"/>
        <w:rPr>
          <w:rFonts w:ascii="Verdana" w:hAnsi="Verdana"/>
          <w:sz w:val="18"/>
          <w:szCs w:val="18"/>
        </w:rPr>
      </w:pPr>
      <w:r w:rsidRPr="007770B8">
        <w:rPr>
          <w:rFonts w:ascii="Verdana" w:hAnsi="Verdana"/>
          <w:sz w:val="18"/>
          <w:szCs w:val="18"/>
        </w:rPr>
        <w:t xml:space="preserve">Artikel </w:t>
      </w:r>
      <w:r w:rsidR="00B47124">
        <w:rPr>
          <w:rFonts w:ascii="Verdana" w:hAnsi="Verdana"/>
          <w:sz w:val="18"/>
          <w:szCs w:val="18"/>
        </w:rPr>
        <w:t>105</w:t>
      </w:r>
      <w:r w:rsidRPr="007770B8" w:rsidR="00B47124">
        <w:rPr>
          <w:rFonts w:ascii="Verdana" w:hAnsi="Verdana"/>
          <w:sz w:val="18"/>
          <w:szCs w:val="18"/>
        </w:rPr>
        <w:t xml:space="preserve"> </w:t>
      </w:r>
      <w:proofErr w:type="spellStart"/>
      <w:r w:rsidRPr="007770B8">
        <w:rPr>
          <w:rFonts w:ascii="Verdana" w:hAnsi="Verdana"/>
          <w:sz w:val="18"/>
          <w:szCs w:val="18"/>
        </w:rPr>
        <w:t>Cbw</w:t>
      </w:r>
      <w:proofErr w:type="spellEnd"/>
      <w:r w:rsidRPr="007770B8">
        <w:rPr>
          <w:rFonts w:ascii="Verdana" w:hAnsi="Verdana"/>
          <w:sz w:val="18"/>
          <w:szCs w:val="18"/>
        </w:rPr>
        <w:t xml:space="preserve"> ziet op het geval dat artikel I, onderdelen E, onder 1, FA, L en BBBA van de Wet bestuur en toezicht rechtspersonen in werking treden. Die artikelen gaan over een monistisch bestuur voor stichtingen, verenigingen, onderlinge waarborgmaatschappijen en coöperaties. Als die onderdelen in werking treden, is het nodig om artikel 24, achtste lid, </w:t>
      </w:r>
      <w:proofErr w:type="spellStart"/>
      <w:r w:rsidRPr="007770B8">
        <w:rPr>
          <w:rFonts w:ascii="Verdana" w:hAnsi="Verdana"/>
          <w:sz w:val="18"/>
          <w:szCs w:val="18"/>
        </w:rPr>
        <w:t>Cbw</w:t>
      </w:r>
      <w:proofErr w:type="spellEnd"/>
      <w:r w:rsidRPr="007770B8">
        <w:rPr>
          <w:rFonts w:ascii="Verdana" w:hAnsi="Verdana"/>
          <w:sz w:val="18"/>
          <w:szCs w:val="18"/>
        </w:rPr>
        <w:t xml:space="preserve"> aan te passen zodat deze bepaling aansluit bij de nieuwe wetgeving.</w:t>
      </w:r>
    </w:p>
    <w:p w:rsidRPr="00C47325" w:rsidR="004909D7" w:rsidP="004909D7" w:rsidRDefault="004909D7" w14:paraId="19749DE2" w14:textId="77777777">
      <w:pPr>
        <w:pStyle w:val="Geenafstand"/>
        <w:rPr>
          <w:rFonts w:ascii="Verdana" w:hAnsi="Verdana"/>
          <w:sz w:val="18"/>
          <w:szCs w:val="18"/>
        </w:rPr>
      </w:pPr>
    </w:p>
    <w:p w:rsidRPr="00BD3C4A" w:rsidR="00D0002B" w:rsidP="00D0002B" w:rsidRDefault="00D0002B" w14:paraId="44D03928" w14:textId="4351D82B">
      <w:pPr>
        <w:pStyle w:val="Geenafstand"/>
        <w:rPr>
          <w:rFonts w:ascii="Verdana" w:hAnsi="Verdana"/>
          <w:b/>
          <w:bCs/>
          <w:sz w:val="18"/>
          <w:szCs w:val="18"/>
        </w:rPr>
      </w:pPr>
      <w:bookmarkStart w:name="_Hlk179470997" w:id="308"/>
      <w:r w:rsidRPr="00BD3C4A">
        <w:rPr>
          <w:rFonts w:ascii="Verdana" w:hAnsi="Verdana"/>
          <w:b/>
          <w:bCs/>
          <w:sz w:val="18"/>
          <w:szCs w:val="18"/>
        </w:rPr>
        <w:t xml:space="preserve">Artikel </w:t>
      </w:r>
      <w:r w:rsidR="00B47124">
        <w:rPr>
          <w:rFonts w:ascii="Verdana" w:hAnsi="Verdana"/>
          <w:b/>
          <w:bCs/>
          <w:sz w:val="18"/>
          <w:szCs w:val="18"/>
        </w:rPr>
        <w:t>106</w:t>
      </w:r>
      <w:r w:rsidRPr="00BD3C4A" w:rsidR="00B47124">
        <w:rPr>
          <w:rFonts w:ascii="Verdana" w:hAnsi="Verdana"/>
          <w:b/>
          <w:bCs/>
          <w:sz w:val="18"/>
          <w:szCs w:val="18"/>
        </w:rPr>
        <w:t xml:space="preserve"> </w:t>
      </w:r>
      <w:r w:rsidRPr="00BD3C4A">
        <w:rPr>
          <w:rFonts w:ascii="Verdana" w:hAnsi="Verdana"/>
          <w:b/>
          <w:bCs/>
          <w:sz w:val="18"/>
          <w:szCs w:val="18"/>
        </w:rPr>
        <w:t>(intrekking Wet beveiliging netwerk- en informatiesystemen)</w:t>
      </w:r>
    </w:p>
    <w:bookmarkEnd w:id="308"/>
    <w:p w:rsidRPr="00C47325" w:rsidR="00EF12D4" w:rsidP="00EF12D4" w:rsidRDefault="00EF12D4" w14:paraId="45A6B8F2" w14:textId="77777777">
      <w:pPr>
        <w:pStyle w:val="Geenafstand"/>
        <w:rPr>
          <w:rFonts w:ascii="Verdana" w:hAnsi="Verdana"/>
          <w:sz w:val="18"/>
          <w:szCs w:val="18"/>
        </w:rPr>
      </w:pPr>
    </w:p>
    <w:p w:rsidRPr="00C47325" w:rsidR="00CE333A" w:rsidP="00CE333A" w:rsidRDefault="0067742C" w14:paraId="0226D18E" w14:textId="184337DA">
      <w:pPr>
        <w:pStyle w:val="Geenafstand"/>
        <w:rPr>
          <w:rFonts w:ascii="Verdana" w:hAnsi="Verdana"/>
          <w:sz w:val="18"/>
          <w:szCs w:val="18"/>
        </w:rPr>
      </w:pPr>
      <w:r w:rsidRPr="00C47325">
        <w:rPr>
          <w:rFonts w:ascii="Verdana" w:hAnsi="Verdana"/>
          <w:sz w:val="18"/>
          <w:szCs w:val="18"/>
        </w:rPr>
        <w:t xml:space="preserve">De NIS1-richtlijn is in 2018 geïmplementeerd in de </w:t>
      </w:r>
      <w:proofErr w:type="spellStart"/>
      <w:r w:rsidRPr="00C47325">
        <w:rPr>
          <w:rFonts w:ascii="Verdana" w:hAnsi="Verdana"/>
          <w:sz w:val="18"/>
          <w:szCs w:val="18"/>
        </w:rPr>
        <w:t>Wbni</w:t>
      </w:r>
      <w:proofErr w:type="spellEnd"/>
      <w:r w:rsidRPr="00C47325">
        <w:rPr>
          <w:rFonts w:ascii="Verdana" w:hAnsi="Verdana"/>
          <w:sz w:val="18"/>
          <w:szCs w:val="18"/>
        </w:rPr>
        <w:t xml:space="preserve">. Omdat de NIS2-richtlijn de NIS1-richtlijn intrekt en vervangt, zal de </w:t>
      </w:r>
      <w:proofErr w:type="spellStart"/>
      <w:r w:rsidRPr="00C47325">
        <w:rPr>
          <w:rFonts w:ascii="Verdana" w:hAnsi="Verdana"/>
          <w:sz w:val="18"/>
          <w:szCs w:val="18"/>
        </w:rPr>
        <w:t>Wbni</w:t>
      </w:r>
      <w:proofErr w:type="spellEnd"/>
      <w:r w:rsidRPr="00C47325">
        <w:rPr>
          <w:rFonts w:ascii="Verdana" w:hAnsi="Verdana"/>
          <w:sz w:val="18"/>
          <w:szCs w:val="18"/>
        </w:rPr>
        <w:t xml:space="preserve"> worden ingetrokken.</w:t>
      </w:r>
    </w:p>
    <w:p w:rsidRPr="00C47325" w:rsidR="003F2349" w:rsidP="00CE333A" w:rsidRDefault="003F2349" w14:paraId="09A02BB0" w14:textId="77777777">
      <w:pPr>
        <w:pStyle w:val="Geenafstand"/>
        <w:rPr>
          <w:rFonts w:ascii="Verdana" w:hAnsi="Verdana"/>
          <w:sz w:val="18"/>
          <w:szCs w:val="18"/>
        </w:rPr>
      </w:pPr>
    </w:p>
    <w:bookmarkEnd w:id="305"/>
    <w:p w:rsidRPr="00BD3C4A" w:rsidR="00D0002B" w:rsidP="00D0002B" w:rsidRDefault="00D0002B" w14:paraId="183E04FD" w14:textId="36E92A7D">
      <w:pPr>
        <w:pStyle w:val="Geenafstand"/>
        <w:rPr>
          <w:rFonts w:ascii="Verdana" w:hAnsi="Verdana"/>
          <w:b/>
          <w:bCs/>
          <w:sz w:val="18"/>
          <w:szCs w:val="18"/>
        </w:rPr>
      </w:pPr>
      <w:r w:rsidRPr="00BD3C4A">
        <w:rPr>
          <w:rFonts w:ascii="Verdana" w:hAnsi="Verdana"/>
          <w:b/>
          <w:bCs/>
          <w:sz w:val="18"/>
          <w:szCs w:val="18"/>
        </w:rPr>
        <w:t xml:space="preserve">Artikel </w:t>
      </w:r>
      <w:r w:rsidR="00B47124">
        <w:rPr>
          <w:rFonts w:ascii="Verdana" w:hAnsi="Verdana"/>
          <w:b/>
          <w:bCs/>
          <w:sz w:val="18"/>
          <w:szCs w:val="18"/>
        </w:rPr>
        <w:t>107</w:t>
      </w:r>
      <w:r w:rsidRPr="00BD3C4A" w:rsidR="00B47124">
        <w:rPr>
          <w:rFonts w:ascii="Verdana" w:hAnsi="Verdana"/>
          <w:b/>
          <w:bCs/>
          <w:sz w:val="18"/>
          <w:szCs w:val="18"/>
        </w:rPr>
        <w:t xml:space="preserve"> </w:t>
      </w:r>
      <w:r w:rsidRPr="00BD3C4A">
        <w:rPr>
          <w:rFonts w:ascii="Verdana" w:hAnsi="Verdana"/>
          <w:b/>
          <w:bCs/>
          <w:sz w:val="18"/>
          <w:szCs w:val="18"/>
        </w:rPr>
        <w:t>(inwerkingtreding)</w:t>
      </w:r>
    </w:p>
    <w:p w:rsidRPr="00C47325" w:rsidR="00CE333A" w:rsidP="00CE333A" w:rsidRDefault="00CE333A" w14:paraId="4BFFE200" w14:textId="77777777">
      <w:pPr>
        <w:pStyle w:val="Geenafstand"/>
        <w:rPr>
          <w:rFonts w:ascii="Verdana" w:hAnsi="Verdana"/>
          <w:sz w:val="18"/>
          <w:szCs w:val="18"/>
        </w:rPr>
      </w:pPr>
    </w:p>
    <w:p w:rsidRPr="00C47325" w:rsidR="00CE333A" w:rsidP="00CE333A" w:rsidRDefault="009C2A66" w14:paraId="0B5D2A72" w14:textId="087A47B7">
      <w:pPr>
        <w:pStyle w:val="Geenafstand"/>
        <w:rPr>
          <w:rFonts w:ascii="Verdana" w:hAnsi="Verdana"/>
          <w:sz w:val="18"/>
          <w:szCs w:val="18"/>
        </w:rPr>
      </w:pPr>
      <w:r w:rsidRPr="009C2A66">
        <w:rPr>
          <w:rFonts w:ascii="Verdana" w:hAnsi="Verdana"/>
          <w:sz w:val="18"/>
          <w:szCs w:val="18"/>
        </w:rPr>
        <w:t xml:space="preserve">Artikel </w:t>
      </w:r>
      <w:r w:rsidR="00B47124">
        <w:rPr>
          <w:rFonts w:ascii="Verdana" w:hAnsi="Verdana"/>
          <w:sz w:val="18"/>
          <w:szCs w:val="18"/>
        </w:rPr>
        <w:t xml:space="preserve">107 </w:t>
      </w:r>
      <w:proofErr w:type="spellStart"/>
      <w:r>
        <w:rPr>
          <w:rFonts w:ascii="Verdana" w:hAnsi="Verdana"/>
          <w:sz w:val="18"/>
          <w:szCs w:val="18"/>
        </w:rPr>
        <w:t>Cbw</w:t>
      </w:r>
      <w:proofErr w:type="spellEnd"/>
      <w:r w:rsidRPr="009C2A66">
        <w:rPr>
          <w:rFonts w:ascii="Verdana" w:hAnsi="Verdana"/>
          <w:sz w:val="18"/>
          <w:szCs w:val="18"/>
        </w:rPr>
        <w:t xml:space="preserve"> bepaalt dat de </w:t>
      </w:r>
      <w:proofErr w:type="spellStart"/>
      <w:r w:rsidR="00211FDF">
        <w:rPr>
          <w:rFonts w:ascii="Verdana" w:hAnsi="Verdana"/>
          <w:sz w:val="18"/>
          <w:szCs w:val="18"/>
        </w:rPr>
        <w:t>Cbw</w:t>
      </w:r>
      <w:proofErr w:type="spellEnd"/>
      <w:r w:rsidRPr="009C2A66">
        <w:rPr>
          <w:rFonts w:ascii="Verdana" w:hAnsi="Verdana"/>
          <w:sz w:val="18"/>
          <w:szCs w:val="18"/>
        </w:rPr>
        <w:t xml:space="preserve"> in werking treedt op een bij koninklijk besluit te bepalen tijdstip, dat voor de verschillende artikelen of onderdelen daarvan verschillend kan worden vastgesteld. Op grond van dit artikel kan worden gekozen voor een gefaseerde inwerkingtreding. Dit is denkbaar in het geval dat bepaalde onderdelen van de </w:t>
      </w:r>
      <w:proofErr w:type="spellStart"/>
      <w:r w:rsidR="00211FDF">
        <w:rPr>
          <w:rFonts w:ascii="Verdana" w:hAnsi="Verdana"/>
          <w:sz w:val="18"/>
          <w:szCs w:val="18"/>
        </w:rPr>
        <w:t>Cbw</w:t>
      </w:r>
      <w:proofErr w:type="spellEnd"/>
      <w:r w:rsidRPr="009C2A66">
        <w:rPr>
          <w:rFonts w:ascii="Verdana" w:hAnsi="Verdana"/>
          <w:sz w:val="18"/>
          <w:szCs w:val="18"/>
        </w:rPr>
        <w:t xml:space="preserve"> nog niet in werking kunnen treden, terwijl </w:t>
      </w:r>
      <w:r w:rsidR="00854B54">
        <w:rPr>
          <w:rFonts w:ascii="Verdana" w:hAnsi="Verdana"/>
          <w:sz w:val="18"/>
          <w:szCs w:val="18"/>
        </w:rPr>
        <w:t xml:space="preserve">dat bij </w:t>
      </w:r>
      <w:r w:rsidRPr="009C2A66">
        <w:rPr>
          <w:rFonts w:ascii="Verdana" w:hAnsi="Verdana"/>
          <w:sz w:val="18"/>
          <w:szCs w:val="18"/>
        </w:rPr>
        <w:t xml:space="preserve">andere onderdelen van de </w:t>
      </w:r>
      <w:proofErr w:type="spellStart"/>
      <w:r w:rsidR="00211FDF">
        <w:rPr>
          <w:rFonts w:ascii="Verdana" w:hAnsi="Verdana"/>
          <w:sz w:val="18"/>
          <w:szCs w:val="18"/>
        </w:rPr>
        <w:t>Cbw</w:t>
      </w:r>
      <w:proofErr w:type="spellEnd"/>
      <w:r w:rsidRPr="009C2A66">
        <w:rPr>
          <w:rFonts w:ascii="Verdana" w:hAnsi="Verdana"/>
          <w:sz w:val="18"/>
          <w:szCs w:val="18"/>
        </w:rPr>
        <w:t xml:space="preserve"> </w:t>
      </w:r>
      <w:r w:rsidR="00854B54">
        <w:rPr>
          <w:rFonts w:ascii="Verdana" w:hAnsi="Verdana"/>
          <w:sz w:val="18"/>
          <w:szCs w:val="18"/>
        </w:rPr>
        <w:t>wel het geval is</w:t>
      </w:r>
      <w:r w:rsidRPr="009C2A66">
        <w:rPr>
          <w:rFonts w:ascii="Verdana" w:hAnsi="Verdana"/>
          <w:sz w:val="18"/>
          <w:szCs w:val="18"/>
        </w:rPr>
        <w:t xml:space="preserve">. De verwachting is dat bij de inwerkingtreding van (onderdelen van) de </w:t>
      </w:r>
      <w:proofErr w:type="spellStart"/>
      <w:r w:rsidR="00211FDF">
        <w:rPr>
          <w:rFonts w:ascii="Verdana" w:hAnsi="Verdana"/>
          <w:sz w:val="18"/>
          <w:szCs w:val="18"/>
        </w:rPr>
        <w:t>Cbw</w:t>
      </w:r>
      <w:proofErr w:type="spellEnd"/>
      <w:r w:rsidRPr="009C2A66">
        <w:rPr>
          <w:rFonts w:ascii="Verdana" w:hAnsi="Verdana"/>
          <w:sz w:val="18"/>
          <w:szCs w:val="18"/>
        </w:rPr>
        <w:t xml:space="preserve"> een uitzondering wordt gemaakt op de vaste verandermomenten en de minimuminvoeringstermijn, omdat de </w:t>
      </w:r>
      <w:proofErr w:type="spellStart"/>
      <w:r w:rsidR="00211FDF">
        <w:rPr>
          <w:rFonts w:ascii="Verdana" w:hAnsi="Verdana"/>
          <w:sz w:val="18"/>
          <w:szCs w:val="18"/>
        </w:rPr>
        <w:t>Cbw</w:t>
      </w:r>
      <w:proofErr w:type="spellEnd"/>
      <w:r w:rsidRPr="009C2A66">
        <w:rPr>
          <w:rFonts w:ascii="Verdana" w:hAnsi="Verdana"/>
          <w:sz w:val="18"/>
          <w:szCs w:val="18"/>
        </w:rPr>
        <w:t xml:space="preserve"> ziet op de implementatie van een bindende EU-rechtshandeling.</w:t>
      </w:r>
    </w:p>
    <w:p w:rsidRPr="00C47325" w:rsidR="00154ED6" w:rsidP="00CE333A" w:rsidRDefault="00154ED6" w14:paraId="12FC8B63" w14:textId="77777777">
      <w:pPr>
        <w:pStyle w:val="Geenafstand"/>
        <w:rPr>
          <w:rFonts w:ascii="Verdana" w:hAnsi="Verdana"/>
          <w:sz w:val="18"/>
          <w:szCs w:val="18"/>
        </w:rPr>
      </w:pPr>
    </w:p>
    <w:p w:rsidRPr="00BD3C4A" w:rsidR="00D0002B" w:rsidP="00D0002B" w:rsidRDefault="00D0002B" w14:paraId="01CEAB2F" w14:textId="7C4B9A30">
      <w:pPr>
        <w:pStyle w:val="Geenafstand"/>
        <w:rPr>
          <w:rFonts w:ascii="Verdana" w:hAnsi="Verdana"/>
          <w:b/>
          <w:bCs/>
          <w:sz w:val="18"/>
          <w:szCs w:val="18"/>
        </w:rPr>
      </w:pPr>
      <w:bookmarkStart w:name="_Hlk162381594" w:id="309"/>
      <w:r w:rsidRPr="00BD3C4A">
        <w:rPr>
          <w:rFonts w:ascii="Verdana" w:hAnsi="Verdana"/>
          <w:b/>
          <w:bCs/>
          <w:sz w:val="18"/>
          <w:szCs w:val="18"/>
        </w:rPr>
        <w:t xml:space="preserve">Artikel </w:t>
      </w:r>
      <w:r w:rsidR="00B47124">
        <w:rPr>
          <w:rFonts w:ascii="Verdana" w:hAnsi="Verdana"/>
          <w:b/>
          <w:bCs/>
          <w:sz w:val="18"/>
          <w:szCs w:val="18"/>
        </w:rPr>
        <w:t>108</w:t>
      </w:r>
      <w:r w:rsidRPr="00BD3C4A" w:rsidR="00B47124">
        <w:rPr>
          <w:rFonts w:ascii="Verdana" w:hAnsi="Verdana"/>
          <w:b/>
          <w:bCs/>
          <w:sz w:val="18"/>
          <w:szCs w:val="18"/>
        </w:rPr>
        <w:t xml:space="preserve"> </w:t>
      </w:r>
      <w:r w:rsidRPr="00BD3C4A">
        <w:rPr>
          <w:rFonts w:ascii="Verdana" w:hAnsi="Verdana"/>
          <w:b/>
          <w:bCs/>
          <w:sz w:val="18"/>
          <w:szCs w:val="18"/>
        </w:rPr>
        <w:t>(citeertitel)</w:t>
      </w:r>
    </w:p>
    <w:p w:rsidRPr="00C47325" w:rsidR="00CE333A" w:rsidP="00CE333A" w:rsidRDefault="00CE333A" w14:paraId="694350BC" w14:textId="77777777">
      <w:pPr>
        <w:pStyle w:val="Geenafstand"/>
        <w:rPr>
          <w:rFonts w:ascii="Verdana" w:hAnsi="Verdana"/>
          <w:sz w:val="18"/>
          <w:szCs w:val="18"/>
        </w:rPr>
      </w:pPr>
    </w:p>
    <w:p w:rsidRPr="00C47325" w:rsidR="00CE333A" w:rsidP="00C26497" w:rsidRDefault="00154ED6" w14:paraId="0654A047" w14:textId="6C756777">
      <w:pPr>
        <w:pStyle w:val="Geenafstand"/>
        <w:rPr>
          <w:rFonts w:ascii="Verdana" w:hAnsi="Verdana"/>
          <w:sz w:val="18"/>
          <w:szCs w:val="18"/>
        </w:rPr>
      </w:pPr>
      <w:r w:rsidRPr="00C47325">
        <w:rPr>
          <w:rFonts w:ascii="Verdana" w:hAnsi="Verdana"/>
          <w:sz w:val="18"/>
          <w:szCs w:val="18"/>
        </w:rPr>
        <w:t>Dit artikel bevat de citeertitel van deze wet</w:t>
      </w:r>
      <w:r w:rsidRPr="00C47325" w:rsidR="00ED232D">
        <w:rPr>
          <w:rFonts w:ascii="Verdana" w:hAnsi="Verdana"/>
          <w:sz w:val="18"/>
          <w:szCs w:val="18"/>
        </w:rPr>
        <w:t>:</w:t>
      </w:r>
      <w:r w:rsidRPr="00C47325" w:rsidR="00F2453A">
        <w:rPr>
          <w:rFonts w:ascii="Verdana" w:hAnsi="Verdana"/>
          <w:sz w:val="18"/>
          <w:szCs w:val="18"/>
        </w:rPr>
        <w:t xml:space="preserve"> Cyberbeveiligingswet</w:t>
      </w:r>
      <w:r w:rsidRPr="00C47325" w:rsidR="00ED232D">
        <w:rPr>
          <w:rFonts w:ascii="Verdana" w:hAnsi="Verdana"/>
          <w:sz w:val="18"/>
          <w:szCs w:val="18"/>
        </w:rPr>
        <w:t>.</w:t>
      </w:r>
      <w:r w:rsidRPr="00C47325">
        <w:rPr>
          <w:rFonts w:ascii="Verdana" w:hAnsi="Verdana"/>
          <w:sz w:val="18"/>
          <w:szCs w:val="18"/>
        </w:rPr>
        <w:t xml:space="preserve"> </w:t>
      </w:r>
    </w:p>
    <w:bookmarkEnd w:id="309"/>
    <w:p w:rsidRPr="00415503" w:rsidR="004909D7" w:rsidP="00415503" w:rsidRDefault="004909D7" w14:paraId="0085AADD" w14:textId="77777777">
      <w:pPr>
        <w:pStyle w:val="Geenafstand"/>
        <w:rPr>
          <w:rFonts w:ascii="Verdana" w:hAnsi="Verdana"/>
          <w:sz w:val="18"/>
          <w:szCs w:val="18"/>
        </w:rPr>
      </w:pPr>
    </w:p>
    <w:p w:rsidR="00C603BA" w:rsidP="000969EA" w:rsidRDefault="00C603BA" w14:paraId="75AFD0EC" w14:textId="77777777">
      <w:pPr>
        <w:pStyle w:val="Geenafstand"/>
        <w:rPr>
          <w:rFonts w:ascii="Verdana" w:hAnsi="Verdana"/>
          <w:b/>
          <w:bCs/>
          <w:sz w:val="18"/>
          <w:szCs w:val="18"/>
        </w:rPr>
      </w:pPr>
    </w:p>
    <w:p w:rsidR="00C603BA" w:rsidP="000969EA" w:rsidRDefault="00C603BA" w14:paraId="0A22C4DB" w14:textId="77777777">
      <w:pPr>
        <w:pStyle w:val="Geenafstand"/>
        <w:rPr>
          <w:rFonts w:ascii="Verdana" w:hAnsi="Verdana"/>
          <w:b/>
          <w:bCs/>
          <w:sz w:val="18"/>
          <w:szCs w:val="18"/>
        </w:rPr>
      </w:pPr>
    </w:p>
    <w:p w:rsidR="00C603BA" w:rsidP="000969EA" w:rsidRDefault="00C603BA" w14:paraId="1958144E" w14:textId="77777777">
      <w:pPr>
        <w:pStyle w:val="Geenafstand"/>
        <w:rPr>
          <w:rFonts w:ascii="Verdana" w:hAnsi="Verdana"/>
          <w:b/>
          <w:bCs/>
          <w:sz w:val="18"/>
          <w:szCs w:val="18"/>
        </w:rPr>
      </w:pPr>
    </w:p>
    <w:p w:rsidR="00C603BA" w:rsidP="000969EA" w:rsidRDefault="00C603BA" w14:paraId="6C7D1306" w14:textId="77777777">
      <w:pPr>
        <w:pStyle w:val="Geenafstand"/>
        <w:rPr>
          <w:rFonts w:ascii="Verdana" w:hAnsi="Verdana"/>
          <w:b/>
          <w:bCs/>
          <w:sz w:val="18"/>
          <w:szCs w:val="18"/>
        </w:rPr>
      </w:pPr>
    </w:p>
    <w:p w:rsidR="00C603BA" w:rsidP="000969EA" w:rsidRDefault="00C603BA" w14:paraId="2DE963FE" w14:textId="77777777">
      <w:pPr>
        <w:pStyle w:val="Geenafstand"/>
        <w:rPr>
          <w:rFonts w:ascii="Verdana" w:hAnsi="Verdana"/>
          <w:b/>
          <w:bCs/>
          <w:sz w:val="18"/>
          <w:szCs w:val="18"/>
        </w:rPr>
      </w:pPr>
    </w:p>
    <w:p w:rsidR="00C603BA" w:rsidP="000969EA" w:rsidRDefault="00C603BA" w14:paraId="4140571D" w14:textId="77777777">
      <w:pPr>
        <w:pStyle w:val="Geenafstand"/>
        <w:rPr>
          <w:rFonts w:ascii="Verdana" w:hAnsi="Verdana"/>
          <w:b/>
          <w:bCs/>
          <w:sz w:val="18"/>
          <w:szCs w:val="18"/>
        </w:rPr>
      </w:pPr>
    </w:p>
    <w:p w:rsidRPr="00C47325" w:rsidR="000969EA" w:rsidP="000969EA" w:rsidRDefault="000969EA" w14:paraId="01B3656C" w14:textId="6DADD7E5">
      <w:pPr>
        <w:pStyle w:val="Geenafstand"/>
        <w:rPr>
          <w:rFonts w:ascii="Verdana" w:hAnsi="Verdana"/>
          <w:b/>
          <w:bCs/>
          <w:sz w:val="18"/>
          <w:szCs w:val="18"/>
        </w:rPr>
      </w:pPr>
      <w:r w:rsidRPr="00C47325">
        <w:rPr>
          <w:rFonts w:ascii="Verdana" w:hAnsi="Verdana"/>
          <w:b/>
          <w:bCs/>
          <w:sz w:val="18"/>
          <w:szCs w:val="18"/>
        </w:rPr>
        <w:t>Bijlagen</w:t>
      </w:r>
    </w:p>
    <w:p w:rsidRPr="00C47325" w:rsidR="000969EA" w:rsidP="000969EA" w:rsidRDefault="000969EA" w14:paraId="5A469D73" w14:textId="77777777">
      <w:pPr>
        <w:pStyle w:val="Geenafstand"/>
        <w:rPr>
          <w:rFonts w:ascii="Verdana" w:hAnsi="Verdana"/>
          <w:b/>
          <w:bCs/>
          <w:sz w:val="18"/>
          <w:szCs w:val="18"/>
        </w:rPr>
      </w:pPr>
    </w:p>
    <w:p w:rsidRPr="00C47325" w:rsidR="000969EA" w:rsidP="000969EA" w:rsidRDefault="000969EA" w14:paraId="62133979" w14:textId="67679E9A">
      <w:pPr>
        <w:pStyle w:val="Geenafstand"/>
        <w:rPr>
          <w:rFonts w:ascii="Verdana" w:hAnsi="Verdana"/>
          <w:sz w:val="18"/>
          <w:szCs w:val="18"/>
        </w:rPr>
      </w:pPr>
      <w:r w:rsidRPr="00C47325">
        <w:rPr>
          <w:rFonts w:ascii="Verdana" w:hAnsi="Verdana"/>
          <w:sz w:val="18"/>
          <w:szCs w:val="18"/>
        </w:rPr>
        <w:t xml:space="preserve">Bijlage 1 van </w:t>
      </w:r>
      <w:r w:rsidRPr="00C47325" w:rsidR="00866C2E">
        <w:rPr>
          <w:rFonts w:ascii="Verdana" w:hAnsi="Verdana"/>
          <w:sz w:val="18"/>
          <w:szCs w:val="18"/>
        </w:rPr>
        <w:t xml:space="preserve">de </w:t>
      </w:r>
      <w:proofErr w:type="spellStart"/>
      <w:r w:rsidRPr="00C47325" w:rsidR="00866C2E">
        <w:rPr>
          <w:rFonts w:ascii="Verdana" w:hAnsi="Verdana"/>
          <w:sz w:val="18"/>
          <w:szCs w:val="18"/>
        </w:rPr>
        <w:t>Cbw</w:t>
      </w:r>
      <w:proofErr w:type="spellEnd"/>
      <w:r w:rsidRPr="00C47325">
        <w:rPr>
          <w:rFonts w:ascii="Verdana" w:hAnsi="Verdana"/>
          <w:sz w:val="18"/>
          <w:szCs w:val="18"/>
        </w:rPr>
        <w:t xml:space="preserve"> correspondeert met bijlage I van de NIS2-richtlijn en bijlage 2 van </w:t>
      </w:r>
      <w:r w:rsidRPr="00C47325" w:rsidR="00866C2E">
        <w:rPr>
          <w:rFonts w:ascii="Verdana" w:hAnsi="Verdana"/>
          <w:sz w:val="18"/>
          <w:szCs w:val="18"/>
        </w:rPr>
        <w:t xml:space="preserve">de </w:t>
      </w:r>
      <w:proofErr w:type="spellStart"/>
      <w:r w:rsidRPr="00C47325" w:rsidR="00866C2E">
        <w:rPr>
          <w:rFonts w:ascii="Verdana" w:hAnsi="Verdana"/>
          <w:sz w:val="18"/>
          <w:szCs w:val="18"/>
        </w:rPr>
        <w:t>Cbw</w:t>
      </w:r>
      <w:proofErr w:type="spellEnd"/>
      <w:r w:rsidRPr="00C47325">
        <w:rPr>
          <w:rFonts w:ascii="Verdana" w:hAnsi="Verdana"/>
          <w:sz w:val="18"/>
          <w:szCs w:val="18"/>
        </w:rPr>
        <w:t xml:space="preserve"> correspondeert met bijlage II van de NIS2-richtlijn.</w:t>
      </w:r>
    </w:p>
    <w:p w:rsidR="00CE333A" w:rsidP="00415503" w:rsidRDefault="00CE333A" w14:paraId="50CD6C65" w14:textId="3FCC6308">
      <w:pPr>
        <w:pStyle w:val="Geenafstand"/>
        <w:rPr>
          <w:rFonts w:ascii="Verdana" w:hAnsi="Verdana"/>
          <w:sz w:val="18"/>
          <w:szCs w:val="18"/>
        </w:rPr>
      </w:pPr>
    </w:p>
    <w:p w:rsidR="00C603BA" w:rsidP="00415503" w:rsidRDefault="00C603BA" w14:paraId="23B0A019" w14:textId="77777777">
      <w:pPr>
        <w:pStyle w:val="Geenafstand"/>
        <w:rPr>
          <w:rFonts w:ascii="Verdana" w:hAnsi="Verdana"/>
          <w:sz w:val="18"/>
          <w:szCs w:val="18"/>
        </w:rPr>
      </w:pPr>
    </w:p>
    <w:p w:rsidR="00C603BA" w:rsidP="00415503" w:rsidRDefault="00C603BA" w14:paraId="3186D390" w14:textId="77777777">
      <w:pPr>
        <w:pStyle w:val="Geenafstand"/>
        <w:rPr>
          <w:rFonts w:ascii="Verdana" w:hAnsi="Verdana"/>
          <w:sz w:val="18"/>
          <w:szCs w:val="18"/>
        </w:rPr>
      </w:pPr>
    </w:p>
    <w:p w:rsidR="00C603BA" w:rsidP="00415503" w:rsidRDefault="00C603BA" w14:paraId="6D09C526" w14:textId="77777777">
      <w:pPr>
        <w:pStyle w:val="Geenafstand"/>
        <w:rPr>
          <w:rFonts w:ascii="Verdana" w:hAnsi="Verdana"/>
          <w:sz w:val="18"/>
          <w:szCs w:val="18"/>
        </w:rPr>
      </w:pPr>
    </w:p>
    <w:p w:rsidRPr="00415503" w:rsidR="00C603BA" w:rsidP="00415503" w:rsidRDefault="00C603BA" w14:paraId="0121E65D" w14:textId="77777777">
      <w:pPr>
        <w:pStyle w:val="Geenafstand"/>
        <w:rPr>
          <w:rFonts w:ascii="Verdana" w:hAnsi="Verdana"/>
          <w:sz w:val="18"/>
          <w:szCs w:val="18"/>
        </w:rPr>
      </w:pPr>
    </w:p>
    <w:p w:rsidRPr="00415503" w:rsidR="00F63094" w:rsidP="00415503" w:rsidRDefault="001079CB" w14:paraId="6FF91221" w14:textId="633CDDC2">
      <w:pPr>
        <w:pStyle w:val="Geenafstand"/>
        <w:rPr>
          <w:rFonts w:ascii="Verdana" w:hAnsi="Verdana"/>
          <w:sz w:val="18"/>
          <w:szCs w:val="18"/>
        </w:rPr>
      </w:pPr>
      <w:r w:rsidRPr="00415503">
        <w:rPr>
          <w:rFonts w:ascii="Verdana" w:hAnsi="Verdana"/>
          <w:sz w:val="18"/>
          <w:szCs w:val="18"/>
        </w:rPr>
        <w:t>De Minister van Justitie en Veiligheid,</w:t>
      </w:r>
      <w:bookmarkEnd w:id="0"/>
      <w:bookmarkEnd w:id="248"/>
    </w:p>
    <w:sectPr w:rsidRPr="00415503" w:rsidR="00F63094" w:rsidSect="008379EC">
      <w:headerReference w:type="default" r:id="rId10"/>
      <w:footerReference w:type="even" r:id="rId11"/>
      <w:footerReference w:type="default" r:id="rId12"/>
      <w:footerReference w:type="first" r:id="rId13"/>
      <w:pgSz w:w="12240" w:h="15840"/>
      <w:pgMar w:top="1843"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FDFB" w14:textId="77777777" w:rsidR="00D74273" w:rsidRDefault="00D74273" w:rsidP="00775C6A">
      <w:pPr>
        <w:spacing w:after="0" w:line="240" w:lineRule="auto"/>
      </w:pPr>
      <w:r>
        <w:separator/>
      </w:r>
    </w:p>
  </w:endnote>
  <w:endnote w:type="continuationSeparator" w:id="0">
    <w:p w14:paraId="4A248721" w14:textId="77777777" w:rsidR="00D74273" w:rsidRDefault="00D74273" w:rsidP="00775C6A">
      <w:pPr>
        <w:spacing w:after="0" w:line="240" w:lineRule="auto"/>
      </w:pPr>
      <w:r>
        <w:continuationSeparator/>
      </w:r>
    </w:p>
  </w:endnote>
  <w:endnote w:type="continuationNotice" w:id="1">
    <w:p w14:paraId="7EA237B7" w14:textId="77777777" w:rsidR="00D74273" w:rsidRDefault="00D74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KDC M+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20BD" w14:textId="10672806" w:rsidR="00B47E4F" w:rsidRDefault="005A0509">
    <w:pPr>
      <w:pStyle w:val="Voettekst"/>
    </w:pPr>
    <w:r>
      <w:rPr>
        <w:noProof/>
      </w:rPr>
      <mc:AlternateContent>
        <mc:Choice Requires="wps">
          <w:drawing>
            <wp:anchor distT="0" distB="0" distL="0" distR="0" simplePos="0" relativeHeight="251659264" behindDoc="0" locked="0" layoutInCell="1" allowOverlap="1" wp14:anchorId="0648CE19" wp14:editId="47C94BA1">
              <wp:simplePos x="0" y="0"/>
              <wp:positionH relativeFrom="page">
                <wp:align>center</wp:align>
              </wp:positionH>
              <wp:positionV relativeFrom="page">
                <wp:align>bottom</wp:align>
              </wp:positionV>
              <wp:extent cx="443865" cy="443865"/>
              <wp:effectExtent l="0" t="0" r="0" b="0"/>
              <wp:wrapNone/>
              <wp:docPr id="19905416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B036F99" w14:textId="4DDD3685" w:rsidR="00B47E4F" w:rsidRPr="00B47E4F" w:rsidRDefault="00B47E4F" w:rsidP="00B47E4F">
                          <w:pPr>
                            <w:spacing w:after="0"/>
                            <w:rPr>
                              <w:rFonts w:ascii="Calibri" w:eastAsia="Calibri" w:hAnsi="Calibri" w:cs="Calibri"/>
                              <w:noProof/>
                              <w:color w:val="000000"/>
                              <w:sz w:val="16"/>
                              <w:szCs w:val="16"/>
                            </w:rPr>
                          </w:pPr>
                          <w:r w:rsidRPr="00B47E4F">
                            <w:rPr>
                              <w:rFonts w:ascii="Calibri" w:eastAsia="Calibri" w:hAnsi="Calibri" w:cs="Calibri"/>
                              <w:noProof/>
                              <w:color w:val="000000"/>
                              <w:sz w:val="16"/>
                              <w:szCs w:val="16"/>
                            </w:rPr>
                            <w:t>Classificatie: Algemeen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648CE19" id="_x0000_t202" coordsize="21600,21600" o:spt="202" path="m,l,21600r21600,l21600,xe">
              <v:stroke joinstyle="miter"/>
              <v:path gradientshapeok="t" o:connecttype="rect"/>
            </v:shapetype>
            <v:shape id="Tekstvak 2"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7B036F99" w14:textId="4DDD3685" w:rsidR="00B47E4F" w:rsidRPr="00B47E4F" w:rsidRDefault="00B47E4F" w:rsidP="00B47E4F">
                    <w:pPr>
                      <w:spacing w:after="0"/>
                      <w:rPr>
                        <w:rFonts w:ascii="Calibri" w:eastAsia="Calibri" w:hAnsi="Calibri" w:cs="Calibri"/>
                        <w:noProof/>
                        <w:color w:val="000000"/>
                        <w:sz w:val="16"/>
                        <w:szCs w:val="16"/>
                      </w:rPr>
                    </w:pPr>
                    <w:r w:rsidRPr="00B47E4F">
                      <w:rPr>
                        <w:rFonts w:ascii="Calibri" w:eastAsia="Calibri" w:hAnsi="Calibri" w:cs="Calibri"/>
                        <w:noProof/>
                        <w:color w:val="000000"/>
                        <w:sz w:val="16"/>
                        <w:szCs w:val="16"/>
                      </w:rPr>
                      <w:t>Classificatie: Algemeen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082396"/>
      <w:docPartObj>
        <w:docPartGallery w:val="Page Numbers (Bottom of Page)"/>
        <w:docPartUnique/>
      </w:docPartObj>
    </w:sdtPr>
    <w:sdtEndPr/>
    <w:sdtContent>
      <w:p w14:paraId="6F4D15EF" w14:textId="13B954A4" w:rsidR="00E425ED" w:rsidRDefault="00E425ED">
        <w:pPr>
          <w:pStyle w:val="Voettekst"/>
          <w:jc w:val="center"/>
        </w:pPr>
        <w:r>
          <w:fldChar w:fldCharType="begin"/>
        </w:r>
        <w:r>
          <w:instrText>PAGE   \* MERGEFORMAT</w:instrText>
        </w:r>
        <w:r>
          <w:fldChar w:fldCharType="separate"/>
        </w:r>
        <w:r>
          <w:t>2</w:t>
        </w:r>
        <w:r>
          <w:fldChar w:fldCharType="end"/>
        </w:r>
      </w:p>
    </w:sdtContent>
  </w:sdt>
  <w:p w14:paraId="18928EFB" w14:textId="77777777" w:rsidR="009C2250" w:rsidRDefault="009C22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75D9" w14:textId="771E6B42" w:rsidR="00B47E4F" w:rsidRDefault="005A0509">
    <w:pPr>
      <w:pStyle w:val="Voettekst"/>
    </w:pPr>
    <w:r>
      <w:rPr>
        <w:noProof/>
      </w:rPr>
      <mc:AlternateContent>
        <mc:Choice Requires="wps">
          <w:drawing>
            <wp:anchor distT="0" distB="0" distL="0" distR="0" simplePos="0" relativeHeight="251658240" behindDoc="0" locked="0" layoutInCell="1" allowOverlap="1" wp14:anchorId="7A266616" wp14:editId="4F86880E">
              <wp:simplePos x="0" y="0"/>
              <wp:positionH relativeFrom="page">
                <wp:align>center</wp:align>
              </wp:positionH>
              <wp:positionV relativeFrom="page">
                <wp:align>bottom</wp:align>
              </wp:positionV>
              <wp:extent cx="443865" cy="443865"/>
              <wp:effectExtent l="0" t="0" r="0" b="0"/>
              <wp:wrapNone/>
              <wp:docPr id="1426297659"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2605E8C" w14:textId="5617EFE8" w:rsidR="00B47E4F" w:rsidRPr="00B47E4F" w:rsidRDefault="00B47E4F" w:rsidP="00B47E4F">
                          <w:pPr>
                            <w:spacing w:after="0"/>
                            <w:rPr>
                              <w:rFonts w:ascii="Calibri" w:eastAsia="Calibri" w:hAnsi="Calibri" w:cs="Calibri"/>
                              <w:noProof/>
                              <w:color w:val="000000"/>
                              <w:sz w:val="16"/>
                              <w:szCs w:val="16"/>
                            </w:rPr>
                          </w:pPr>
                          <w:r w:rsidRPr="00B47E4F">
                            <w:rPr>
                              <w:rFonts w:ascii="Calibri" w:eastAsia="Calibri" w:hAnsi="Calibri" w:cs="Calibri"/>
                              <w:noProof/>
                              <w:color w:val="000000"/>
                              <w:sz w:val="16"/>
                              <w:szCs w:val="16"/>
                            </w:rPr>
                            <w:t>Classificatie: Algemeen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A266616" id="_x0000_t202" coordsize="21600,21600" o:spt="202" path="m,l,21600r21600,l21600,xe">
              <v:stroke joinstyle="miter"/>
              <v:path gradientshapeok="t" o:connecttype="rect"/>
            </v:shapetype>
            <v:shape id="Tekstvak 1"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RM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JPhJ2OXjPmn/Cqn&#10;uD20d0D6nNNTcTKZ5PXBTKb20L6QzlexEYWEldSu5LvJvAuDpOmdSLVapSTSlxNhY7dOTnuNXD73&#10;L8K7kfBAm3qASWaieMP7kBuJRrc6BGI/LeVM5Mg4aTOtdXxHUfy//qes82tf/gQ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5YL0&#10;TBYCAAA1BAAADgAAAAAAAAAAAAAAAAAuAgAAZHJzL2Uyb0RvYy54bWxQSwECLQAUAAYACAAAACEA&#10;N+3R+NkAAAADAQAADwAAAAAAAAAAAAAAAABwBAAAZHJzL2Rvd25yZXYueG1sUEsFBgAAAAAEAAQA&#10;8wAAAHYFAAAAAA==&#10;" filled="f" stroked="f">
              <v:textbox style="mso-fit-shape-to-text:t" inset="0,0,0,15pt">
                <w:txbxContent>
                  <w:p w14:paraId="52605E8C" w14:textId="5617EFE8" w:rsidR="00B47E4F" w:rsidRPr="00B47E4F" w:rsidRDefault="00B47E4F" w:rsidP="00B47E4F">
                    <w:pPr>
                      <w:spacing w:after="0"/>
                      <w:rPr>
                        <w:rFonts w:ascii="Calibri" w:eastAsia="Calibri" w:hAnsi="Calibri" w:cs="Calibri"/>
                        <w:noProof/>
                        <w:color w:val="000000"/>
                        <w:sz w:val="16"/>
                        <w:szCs w:val="16"/>
                      </w:rPr>
                    </w:pPr>
                    <w:r w:rsidRPr="00B47E4F">
                      <w:rPr>
                        <w:rFonts w:ascii="Calibri" w:eastAsia="Calibri" w:hAnsi="Calibri" w:cs="Calibri"/>
                        <w:noProof/>
                        <w:color w:val="000000"/>
                        <w:sz w:val="16"/>
                        <w:szCs w:val="16"/>
                      </w:rPr>
                      <w:t>Classificatie: Algemeen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BABC" w14:textId="77777777" w:rsidR="00D74273" w:rsidRDefault="00D74273" w:rsidP="00775C6A">
      <w:pPr>
        <w:spacing w:after="0" w:line="240" w:lineRule="auto"/>
      </w:pPr>
      <w:r>
        <w:separator/>
      </w:r>
    </w:p>
  </w:footnote>
  <w:footnote w:type="continuationSeparator" w:id="0">
    <w:p w14:paraId="037C8EEA" w14:textId="77777777" w:rsidR="00D74273" w:rsidRDefault="00D74273" w:rsidP="00775C6A">
      <w:pPr>
        <w:spacing w:after="0" w:line="240" w:lineRule="auto"/>
      </w:pPr>
      <w:r>
        <w:continuationSeparator/>
      </w:r>
    </w:p>
  </w:footnote>
  <w:footnote w:type="continuationNotice" w:id="1">
    <w:p w14:paraId="3533443B" w14:textId="77777777" w:rsidR="00D74273" w:rsidRDefault="00D74273">
      <w:pPr>
        <w:spacing w:after="0" w:line="240" w:lineRule="auto"/>
      </w:pPr>
    </w:p>
  </w:footnote>
  <w:footnote w:id="2">
    <w:p w14:paraId="213E9D96" w14:textId="1885A34B" w:rsidR="00B1345E" w:rsidRPr="003E4FF2" w:rsidRDefault="00B1345E" w:rsidP="00392392">
      <w:pPr>
        <w:pStyle w:val="Geenafstand"/>
        <w:rPr>
          <w:rFonts w:ascii="Verdana" w:hAnsi="Verdana"/>
          <w:sz w:val="15"/>
          <w:szCs w:val="15"/>
        </w:rPr>
      </w:pPr>
      <w:r w:rsidRPr="003E4FF2">
        <w:rPr>
          <w:rFonts w:ascii="Verdana" w:hAnsi="Verdana"/>
          <w:sz w:val="15"/>
          <w:szCs w:val="15"/>
          <w:vertAlign w:val="superscript"/>
        </w:rPr>
        <w:footnoteRef/>
      </w:r>
      <w:r w:rsidRPr="003E4FF2">
        <w:rPr>
          <w:rFonts w:ascii="Verdana" w:hAnsi="Verdana"/>
          <w:sz w:val="15"/>
          <w:szCs w:val="15"/>
        </w:rPr>
        <w:t xml:space="preserve"> </w:t>
      </w:r>
      <w:r w:rsidRPr="003E4FF2">
        <w:rPr>
          <w:rFonts w:ascii="Verdana" w:hAnsi="Verdana"/>
          <w:i/>
          <w:iCs/>
          <w:sz w:val="15"/>
          <w:szCs w:val="15"/>
        </w:rPr>
        <w:t xml:space="preserve">PbEU </w:t>
      </w:r>
      <w:r w:rsidRPr="003E4FF2">
        <w:rPr>
          <w:rFonts w:ascii="Verdana" w:hAnsi="Verdana"/>
          <w:sz w:val="15"/>
          <w:szCs w:val="15"/>
        </w:rPr>
        <w:t>2022, L 333.</w:t>
      </w:r>
    </w:p>
  </w:footnote>
  <w:footnote w:id="3">
    <w:p w14:paraId="09F1717D" w14:textId="273AEA46" w:rsidR="00804E5B" w:rsidRPr="003E4FF2" w:rsidRDefault="00804E5B"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Style w:val="Voetnootmarkering"/>
          <w:rFonts w:ascii="Verdana" w:hAnsi="Verdana"/>
          <w:sz w:val="15"/>
          <w:szCs w:val="15"/>
        </w:rPr>
        <w:t xml:space="preserve"> </w:t>
      </w:r>
      <w:r w:rsidRPr="003E4FF2">
        <w:rPr>
          <w:rFonts w:ascii="Verdana" w:hAnsi="Verdana"/>
          <w:sz w:val="15"/>
          <w:szCs w:val="15"/>
        </w:rPr>
        <w:t>Richtlijn (EU) 2016/1148 van het Europees Parlement en de Raad van 6 juli 2016 houdende maatregelen voor een hoog gemeenschappelijk niveau van beveiliging van netwerk- en informatiesystemen in de Unie (</w:t>
      </w:r>
      <w:r w:rsidRPr="003E4FF2">
        <w:rPr>
          <w:rFonts w:ascii="Verdana" w:hAnsi="Verdana"/>
          <w:i/>
          <w:iCs/>
          <w:sz w:val="15"/>
          <w:szCs w:val="15"/>
        </w:rPr>
        <w:t>PbEU</w:t>
      </w:r>
      <w:r w:rsidRPr="003E4FF2">
        <w:rPr>
          <w:rFonts w:ascii="Verdana" w:hAnsi="Verdana"/>
          <w:sz w:val="15"/>
          <w:szCs w:val="15"/>
        </w:rPr>
        <w:t xml:space="preserve"> 2016, L 194).</w:t>
      </w:r>
      <w:r w:rsidR="006E305C" w:rsidRPr="003E4FF2">
        <w:rPr>
          <w:rFonts w:ascii="Verdana" w:hAnsi="Verdana"/>
          <w:sz w:val="15"/>
          <w:szCs w:val="15"/>
        </w:rPr>
        <w:t xml:space="preserve"> </w:t>
      </w:r>
      <w:r w:rsidR="00337345" w:rsidRPr="003E4FF2">
        <w:rPr>
          <w:rFonts w:ascii="Verdana" w:hAnsi="Verdana"/>
          <w:sz w:val="15"/>
          <w:szCs w:val="15"/>
        </w:rPr>
        <w:t xml:space="preserve">Voor deze richtlijn worden verschillende afkortingen gebruikt. </w:t>
      </w:r>
      <w:r w:rsidR="00896B9A" w:rsidRPr="003E4FF2">
        <w:rPr>
          <w:rFonts w:ascii="Verdana" w:hAnsi="Verdana"/>
          <w:sz w:val="15"/>
          <w:szCs w:val="15"/>
        </w:rPr>
        <w:t xml:space="preserve">Naast de afkorting </w:t>
      </w:r>
      <w:r w:rsidR="00337345" w:rsidRPr="003E4FF2">
        <w:rPr>
          <w:rFonts w:ascii="Verdana" w:hAnsi="Verdana"/>
          <w:sz w:val="15"/>
          <w:szCs w:val="15"/>
        </w:rPr>
        <w:t xml:space="preserve">NIS1-richtlijn (naar de Engelse benaming van deze richtlijn) wordt de richtlijn in Nederland soms ook wel aangeduid als de </w:t>
      </w:r>
      <w:r w:rsidR="006E305C" w:rsidRPr="003E4FF2">
        <w:rPr>
          <w:rFonts w:ascii="Verdana" w:hAnsi="Verdana"/>
          <w:sz w:val="15"/>
          <w:szCs w:val="15"/>
        </w:rPr>
        <w:t>NIB-richtlijn of NIB1-richtlijn, waarbij voor die afkorting gebruik is gemaakt van de Nederlandse benaming van de richtlijn.</w:t>
      </w:r>
    </w:p>
  </w:footnote>
  <w:footnote w:id="4">
    <w:p w14:paraId="7B01A2DB" w14:textId="74E2C922" w:rsidR="00176746" w:rsidRPr="003E4FF2" w:rsidRDefault="00176746" w:rsidP="0017674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Overwegingen 2, 4 en 5 </w:t>
      </w:r>
      <w:r w:rsidR="00DF67C4" w:rsidRPr="003E4FF2">
        <w:rPr>
          <w:rFonts w:ascii="Verdana" w:hAnsi="Verdana"/>
          <w:sz w:val="15"/>
          <w:szCs w:val="15"/>
        </w:rPr>
        <w:t xml:space="preserve">van de </w:t>
      </w:r>
      <w:r w:rsidRPr="003E4FF2">
        <w:rPr>
          <w:rFonts w:ascii="Verdana" w:hAnsi="Verdana"/>
          <w:sz w:val="15"/>
          <w:szCs w:val="15"/>
        </w:rPr>
        <w:t xml:space="preserve">NIS2-richtlijn. </w:t>
      </w:r>
    </w:p>
  </w:footnote>
  <w:footnote w:id="5">
    <w:p w14:paraId="5523DA08" w14:textId="5FF62A11" w:rsidR="00B1345E" w:rsidRPr="003E4FF2" w:rsidRDefault="00B1345E"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 eerste lid, en </w:t>
      </w:r>
      <w:r w:rsidR="00D46281" w:rsidRPr="003E4FF2">
        <w:rPr>
          <w:rFonts w:ascii="Verdana" w:hAnsi="Verdana"/>
          <w:sz w:val="15"/>
          <w:szCs w:val="15"/>
        </w:rPr>
        <w:t xml:space="preserve">de </w:t>
      </w:r>
      <w:r w:rsidRPr="003E4FF2">
        <w:rPr>
          <w:rFonts w:ascii="Verdana" w:hAnsi="Verdana"/>
          <w:sz w:val="15"/>
          <w:szCs w:val="15"/>
        </w:rPr>
        <w:t>overweging</w:t>
      </w:r>
      <w:r w:rsidR="00D46281" w:rsidRPr="003E4FF2">
        <w:rPr>
          <w:rFonts w:ascii="Verdana" w:hAnsi="Verdana"/>
          <w:sz w:val="15"/>
          <w:szCs w:val="15"/>
        </w:rPr>
        <w:t>en</w:t>
      </w:r>
      <w:r w:rsidRPr="003E4FF2">
        <w:rPr>
          <w:rFonts w:ascii="Verdana" w:hAnsi="Verdana"/>
          <w:sz w:val="15"/>
          <w:szCs w:val="15"/>
        </w:rPr>
        <w:t xml:space="preserve"> 4 en 5 </w:t>
      </w:r>
      <w:r w:rsidR="00DF67C4" w:rsidRPr="003E4FF2">
        <w:rPr>
          <w:rFonts w:ascii="Verdana" w:hAnsi="Verdana"/>
          <w:sz w:val="15"/>
          <w:szCs w:val="15"/>
        </w:rPr>
        <w:t xml:space="preserve">van de </w:t>
      </w:r>
      <w:r w:rsidRPr="003E4FF2">
        <w:rPr>
          <w:rFonts w:ascii="Verdana" w:hAnsi="Verdana"/>
          <w:sz w:val="15"/>
          <w:szCs w:val="15"/>
        </w:rPr>
        <w:t xml:space="preserve">NIS2-richtlijn. </w:t>
      </w:r>
    </w:p>
  </w:footnote>
  <w:footnote w:id="6">
    <w:p w14:paraId="4A7FF048" w14:textId="77777777" w:rsidR="000448A7" w:rsidRPr="003E4FF2" w:rsidRDefault="000448A7" w:rsidP="000448A7">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5 NIS2-richtlijn.</w:t>
      </w:r>
    </w:p>
  </w:footnote>
  <w:footnote w:id="7">
    <w:p w14:paraId="3A884C86" w14:textId="535DA7C6" w:rsidR="00495FFD" w:rsidRPr="003E4FF2" w:rsidRDefault="00495FFD" w:rsidP="00495FFD">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Overweging 6 </w:t>
      </w:r>
      <w:r w:rsidR="00DF67C4" w:rsidRPr="003E4FF2">
        <w:rPr>
          <w:rFonts w:ascii="Verdana" w:hAnsi="Verdana"/>
          <w:sz w:val="15"/>
          <w:szCs w:val="15"/>
        </w:rPr>
        <w:t xml:space="preserve">van de </w:t>
      </w:r>
      <w:r w:rsidRPr="003E4FF2">
        <w:rPr>
          <w:rFonts w:ascii="Verdana" w:hAnsi="Verdana"/>
          <w:sz w:val="15"/>
          <w:szCs w:val="15"/>
        </w:rPr>
        <w:t>NIS2-richtlijn.</w:t>
      </w:r>
    </w:p>
  </w:footnote>
  <w:footnote w:id="8">
    <w:p w14:paraId="3991701F" w14:textId="0BCBF195" w:rsidR="0054109D" w:rsidRPr="003E4FF2" w:rsidRDefault="0054109D" w:rsidP="0054109D">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Overweging 109 </w:t>
      </w:r>
      <w:r w:rsidR="00DF67C4" w:rsidRPr="003E4FF2">
        <w:rPr>
          <w:rFonts w:ascii="Verdana" w:hAnsi="Verdana"/>
          <w:sz w:val="15"/>
          <w:szCs w:val="15"/>
        </w:rPr>
        <w:t xml:space="preserve">van de </w:t>
      </w:r>
      <w:r w:rsidRPr="003E4FF2">
        <w:rPr>
          <w:rFonts w:ascii="Verdana" w:hAnsi="Verdana"/>
          <w:sz w:val="15"/>
          <w:szCs w:val="15"/>
        </w:rPr>
        <w:t>NIS2-richtlijn.</w:t>
      </w:r>
    </w:p>
  </w:footnote>
  <w:footnote w:id="9">
    <w:p w14:paraId="414C3FEB" w14:textId="565806B5" w:rsidR="00C168BE" w:rsidRPr="003E4FF2" w:rsidRDefault="00C168BE" w:rsidP="00392392">
      <w:pPr>
        <w:pStyle w:val="Geenafstand"/>
        <w:rPr>
          <w:rFonts w:ascii="Verdana" w:hAnsi="Verdana"/>
          <w:sz w:val="15"/>
          <w:szCs w:val="15"/>
        </w:rPr>
      </w:pPr>
      <w:r w:rsidRPr="003E4FF2">
        <w:rPr>
          <w:rFonts w:ascii="Verdana" w:hAnsi="Verdana"/>
          <w:sz w:val="15"/>
          <w:szCs w:val="15"/>
          <w:vertAlign w:val="superscript"/>
        </w:rPr>
        <w:footnoteRef/>
      </w:r>
      <w:r w:rsidRPr="003E4FF2">
        <w:rPr>
          <w:rFonts w:ascii="Verdana" w:hAnsi="Verdana"/>
          <w:sz w:val="15"/>
          <w:szCs w:val="15"/>
        </w:rPr>
        <w:t xml:space="preserve"> De samenwerkingsgroep bestaat uit vertegenwoordigers van de lidstaten, de Europese Commissie en het Agentschap van de Europese Unie voor cyberbeveiliging (</w:t>
      </w:r>
      <w:r w:rsidRPr="003E4FF2">
        <w:rPr>
          <w:rFonts w:ascii="Verdana" w:hAnsi="Verdana"/>
          <w:sz w:val="15"/>
          <w:szCs w:val="15"/>
        </w:rPr>
        <w:t>Enisa).</w:t>
      </w:r>
    </w:p>
  </w:footnote>
  <w:footnote w:id="10">
    <w:p w14:paraId="04F54096" w14:textId="474E47C7" w:rsidR="00C20E44" w:rsidRPr="003E4FF2" w:rsidRDefault="00C20E44" w:rsidP="00C20E44">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Het CSIRT-netwerk dient een snelle en doeltreffende operationele samenwerking tussen de lidstaten te bevorderen. Het netwerk bestaat uit vertegenwoordigers van de nationale </w:t>
      </w:r>
      <w:r w:rsidRPr="003E4FF2">
        <w:rPr>
          <w:rFonts w:ascii="Verdana" w:hAnsi="Verdana"/>
          <w:sz w:val="15"/>
          <w:szCs w:val="15"/>
        </w:rPr>
        <w:t xml:space="preserve">CSIRT’s en het computercrisisresponsteam voor de instellingen, organen en instanties van de Unie (CERT-EU). </w:t>
      </w:r>
    </w:p>
  </w:footnote>
  <w:footnote w:id="11">
    <w:p w14:paraId="67EF480B" w14:textId="77777777" w:rsidR="00C20E44" w:rsidRPr="003E4FF2" w:rsidRDefault="00C20E44" w:rsidP="002503A0">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EU-</w:t>
      </w:r>
      <w:r w:rsidRPr="003E4FF2">
        <w:rPr>
          <w:rFonts w:ascii="Verdana" w:hAnsi="Verdana"/>
          <w:sz w:val="15"/>
          <w:szCs w:val="15"/>
        </w:rPr>
        <w:t>CyCLONe ondersteunt het gecoördineerde beheer van grootschalige cyberbeveiligingsincidenten en crises op</w:t>
      </w:r>
    </w:p>
    <w:p w14:paraId="5FD189F6" w14:textId="1C2B1EE5" w:rsidR="00C20E44" w:rsidRPr="003E4FF2" w:rsidRDefault="00C20E44" w:rsidP="002503A0">
      <w:pPr>
        <w:pStyle w:val="Voetnoottekst"/>
        <w:ind w:left="0" w:firstLine="0"/>
        <w:rPr>
          <w:rFonts w:ascii="Verdana" w:hAnsi="Verdana"/>
          <w:sz w:val="15"/>
          <w:szCs w:val="15"/>
        </w:rPr>
      </w:pPr>
      <w:r w:rsidRPr="003E4FF2">
        <w:rPr>
          <w:rFonts w:ascii="Verdana" w:hAnsi="Verdana"/>
          <w:sz w:val="15"/>
          <w:szCs w:val="15"/>
        </w:rPr>
        <w:t xml:space="preserve">operationeel niveau en zorgt voor informatie-uitwisseling tussen de lidstaten en de instellingen, organen en </w:t>
      </w:r>
    </w:p>
    <w:p w14:paraId="02908DC8" w14:textId="67033104" w:rsidR="00C20E44" w:rsidRPr="003E4FF2" w:rsidRDefault="00C20E44" w:rsidP="002503A0">
      <w:pPr>
        <w:pStyle w:val="Voetnoottekst"/>
        <w:ind w:left="0" w:firstLine="0"/>
        <w:rPr>
          <w:rFonts w:ascii="Verdana" w:hAnsi="Verdana"/>
          <w:sz w:val="15"/>
          <w:szCs w:val="15"/>
        </w:rPr>
      </w:pPr>
      <w:r w:rsidRPr="003E4FF2">
        <w:rPr>
          <w:rFonts w:ascii="Verdana" w:hAnsi="Verdana"/>
          <w:sz w:val="15"/>
          <w:szCs w:val="15"/>
        </w:rPr>
        <w:t xml:space="preserve">agentschappen van de </w:t>
      </w:r>
      <w:r w:rsidR="002503A0" w:rsidRPr="003E4FF2">
        <w:rPr>
          <w:rFonts w:ascii="Verdana" w:hAnsi="Verdana"/>
          <w:sz w:val="15"/>
          <w:szCs w:val="15"/>
        </w:rPr>
        <w:t>EU</w:t>
      </w:r>
      <w:r w:rsidRPr="003E4FF2">
        <w:rPr>
          <w:rFonts w:ascii="Verdana" w:hAnsi="Verdana"/>
          <w:sz w:val="15"/>
          <w:szCs w:val="15"/>
        </w:rPr>
        <w:t>. Dit netwerk bestaat uit de vertegenwoordigers van de cybercrisisbeheerautoriteiten</w:t>
      </w:r>
    </w:p>
    <w:p w14:paraId="3ADC24A4" w14:textId="77777777" w:rsidR="00C20E44" w:rsidRPr="003E4FF2" w:rsidRDefault="00C20E44">
      <w:pPr>
        <w:pStyle w:val="Voetnoottekst"/>
        <w:rPr>
          <w:rFonts w:ascii="Verdana" w:hAnsi="Verdana"/>
          <w:sz w:val="15"/>
          <w:szCs w:val="15"/>
        </w:rPr>
      </w:pPr>
      <w:r w:rsidRPr="003E4FF2">
        <w:rPr>
          <w:rFonts w:ascii="Verdana" w:hAnsi="Verdana"/>
          <w:sz w:val="15"/>
          <w:szCs w:val="15"/>
        </w:rPr>
        <w:t>van de lidstaten. Wanneer een grootschalig cyberbeveiligingsincident plaatsvindt of mogelijk plaats zal vinden met een</w:t>
      </w:r>
    </w:p>
    <w:p w14:paraId="66F1A863" w14:textId="77777777" w:rsidR="00C20E44" w:rsidRPr="003E4FF2" w:rsidRDefault="00C20E44">
      <w:pPr>
        <w:pStyle w:val="Voetnoottekst"/>
        <w:rPr>
          <w:rFonts w:ascii="Verdana" w:hAnsi="Verdana"/>
          <w:sz w:val="15"/>
          <w:szCs w:val="15"/>
        </w:rPr>
      </w:pPr>
      <w:r w:rsidRPr="003E4FF2">
        <w:rPr>
          <w:rFonts w:ascii="Verdana" w:hAnsi="Verdana"/>
          <w:sz w:val="15"/>
          <w:szCs w:val="15"/>
        </w:rPr>
        <w:t>(mogelijk) aanzienlijke impact op diensten en activiteiten die binnen het toepassingsgebied van de richtlijn vallen, dan</w:t>
      </w:r>
    </w:p>
    <w:p w14:paraId="66F4DBB2" w14:textId="6AD776B3" w:rsidR="00C20E44" w:rsidRPr="003E4FF2" w:rsidRDefault="00C20E44">
      <w:pPr>
        <w:pStyle w:val="Voetnoottekst"/>
        <w:rPr>
          <w:rFonts w:ascii="Verdana" w:hAnsi="Verdana"/>
          <w:sz w:val="15"/>
          <w:szCs w:val="15"/>
        </w:rPr>
      </w:pPr>
      <w:r w:rsidRPr="003E4FF2">
        <w:rPr>
          <w:rFonts w:ascii="Verdana" w:hAnsi="Verdana"/>
          <w:sz w:val="15"/>
          <w:szCs w:val="15"/>
        </w:rPr>
        <w:t>bestaat het netwerk ook uit de Europese Commissie.</w:t>
      </w:r>
    </w:p>
  </w:footnote>
  <w:footnote w:id="12">
    <w:p w14:paraId="7FE86437" w14:textId="77777777" w:rsidR="00C20E44" w:rsidRPr="003E4FF2" w:rsidRDefault="00C20E44" w:rsidP="00C20E44">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17 NIS2-richtlijn. </w:t>
      </w:r>
    </w:p>
  </w:footnote>
  <w:footnote w:id="13">
    <w:p w14:paraId="17CB48F2" w14:textId="524BCA5A" w:rsidR="00F7722A" w:rsidRPr="003E4FF2" w:rsidRDefault="00F7722A"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PbEU</w:t>
      </w:r>
      <w:r w:rsidRPr="003E4FF2">
        <w:rPr>
          <w:rFonts w:ascii="Verdana" w:hAnsi="Verdana"/>
          <w:sz w:val="15"/>
          <w:szCs w:val="15"/>
        </w:rPr>
        <w:t xml:space="preserve"> 2022, L 333.</w:t>
      </w:r>
    </w:p>
  </w:footnote>
  <w:footnote w:id="14">
    <w:p w14:paraId="1D3FC6F0" w14:textId="51015D56" w:rsidR="00A1414F" w:rsidRPr="003E4FF2" w:rsidRDefault="00A1414F" w:rsidP="00A1414F">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7F1DC1" w:rsidRPr="003E4FF2">
        <w:rPr>
          <w:rFonts w:ascii="Verdana" w:hAnsi="Verdana"/>
          <w:sz w:val="15"/>
          <w:szCs w:val="15"/>
        </w:rPr>
        <w:t>De a</w:t>
      </w:r>
      <w:r w:rsidRPr="003E4FF2">
        <w:rPr>
          <w:rFonts w:ascii="Verdana" w:hAnsi="Verdana"/>
          <w:sz w:val="15"/>
          <w:szCs w:val="15"/>
        </w:rPr>
        <w:t>rtikel</w:t>
      </w:r>
      <w:r w:rsidR="007F1DC1" w:rsidRPr="003E4FF2">
        <w:rPr>
          <w:rFonts w:ascii="Verdana" w:hAnsi="Verdana"/>
          <w:sz w:val="15"/>
          <w:szCs w:val="15"/>
        </w:rPr>
        <w:t>en</w:t>
      </w:r>
      <w:r w:rsidRPr="003E4FF2">
        <w:rPr>
          <w:rFonts w:ascii="Verdana" w:hAnsi="Verdana"/>
          <w:sz w:val="15"/>
          <w:szCs w:val="15"/>
        </w:rPr>
        <w:t xml:space="preserve"> 2, derde lid, en 3, eerste lid, onderdeel f, NIS2-richtlijn.</w:t>
      </w:r>
    </w:p>
  </w:footnote>
  <w:footnote w:id="15">
    <w:p w14:paraId="1D772315" w14:textId="77777777" w:rsidR="004B6AB9" w:rsidRPr="003E4FF2" w:rsidRDefault="004B6AB9" w:rsidP="004B6AB9">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 tweede lid, CER-richtlijn.</w:t>
      </w:r>
    </w:p>
  </w:footnote>
  <w:footnote w:id="16">
    <w:p w14:paraId="1473B804" w14:textId="4DC7D715" w:rsidR="00DB4039" w:rsidRPr="003E4FF2" w:rsidRDefault="00DB4039"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35357D" w:rsidRPr="003E4FF2">
        <w:rPr>
          <w:rFonts w:ascii="Verdana" w:hAnsi="Verdana"/>
          <w:sz w:val="15"/>
          <w:szCs w:val="15"/>
        </w:rPr>
        <w:t>Verordening (EU) 2022/2554 van het Europees Parlement en de Raad van 14 december 2022 betreffende digitale operationele weerbaarheid voor de financiële sector en tot wijziging van Verordeningen (EG) nr. 1060/2009, (EU) nr. 648/2012, (EU) nr. 600/2014, (EU) nr. 909/2014 en (EU) 2016/1011 (</w:t>
      </w:r>
      <w:r w:rsidRPr="003E4FF2">
        <w:rPr>
          <w:rFonts w:ascii="Verdana" w:hAnsi="Verdana"/>
          <w:i/>
          <w:iCs/>
          <w:sz w:val="15"/>
          <w:szCs w:val="15"/>
        </w:rPr>
        <w:t>PbEU</w:t>
      </w:r>
      <w:r w:rsidRPr="003E4FF2">
        <w:rPr>
          <w:rFonts w:ascii="Verdana" w:hAnsi="Verdana"/>
          <w:sz w:val="15"/>
          <w:szCs w:val="15"/>
        </w:rPr>
        <w:t xml:space="preserve"> 2022, L 333</w:t>
      </w:r>
      <w:r w:rsidR="0035357D" w:rsidRPr="003E4FF2">
        <w:rPr>
          <w:rFonts w:ascii="Verdana" w:hAnsi="Verdana"/>
          <w:sz w:val="15"/>
          <w:szCs w:val="15"/>
        </w:rPr>
        <w:t>)</w:t>
      </w:r>
      <w:r w:rsidRPr="003E4FF2">
        <w:rPr>
          <w:rFonts w:ascii="Verdana" w:hAnsi="Verdana"/>
          <w:sz w:val="15"/>
          <w:szCs w:val="15"/>
        </w:rPr>
        <w:t>.</w:t>
      </w:r>
    </w:p>
  </w:footnote>
  <w:footnote w:id="17">
    <w:p w14:paraId="00E5C75B" w14:textId="5CC22A04" w:rsidR="00982169" w:rsidRPr="003E4FF2" w:rsidRDefault="00982169" w:rsidP="00A3532E">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47 </w:t>
      </w:r>
      <w:r w:rsidR="009754FB" w:rsidRPr="003E4FF2">
        <w:rPr>
          <w:rFonts w:ascii="Verdana" w:hAnsi="Verdana"/>
          <w:sz w:val="15"/>
          <w:szCs w:val="15"/>
        </w:rPr>
        <w:t>DORA</w:t>
      </w:r>
      <w:r w:rsidR="00C96F62" w:rsidRPr="003E4FF2">
        <w:rPr>
          <w:rFonts w:ascii="Verdana" w:hAnsi="Verdana"/>
          <w:sz w:val="15"/>
          <w:szCs w:val="15"/>
        </w:rPr>
        <w:t>.</w:t>
      </w:r>
    </w:p>
  </w:footnote>
  <w:footnote w:id="18">
    <w:p w14:paraId="0C91102F" w14:textId="2E7F3325" w:rsidR="00982169" w:rsidRPr="003E4FF2" w:rsidRDefault="00982169" w:rsidP="00A3532E">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19</w:t>
      </w:r>
      <w:r w:rsidR="00935919" w:rsidRPr="003E4FF2">
        <w:rPr>
          <w:rFonts w:ascii="Verdana" w:hAnsi="Verdana"/>
          <w:sz w:val="15"/>
          <w:szCs w:val="15"/>
        </w:rPr>
        <w:t>, zesde</w:t>
      </w:r>
      <w:r w:rsidRPr="003E4FF2">
        <w:rPr>
          <w:rFonts w:ascii="Verdana" w:hAnsi="Verdana"/>
          <w:sz w:val="15"/>
          <w:szCs w:val="15"/>
        </w:rPr>
        <w:t xml:space="preserve"> lid</w:t>
      </w:r>
      <w:r w:rsidR="00935919" w:rsidRPr="003E4FF2">
        <w:rPr>
          <w:rFonts w:ascii="Verdana" w:hAnsi="Verdana"/>
          <w:sz w:val="15"/>
          <w:szCs w:val="15"/>
        </w:rPr>
        <w:t>, onderdeel c,</w:t>
      </w:r>
      <w:r w:rsidRPr="003E4FF2">
        <w:rPr>
          <w:rFonts w:ascii="Verdana" w:hAnsi="Verdana"/>
          <w:sz w:val="15"/>
          <w:szCs w:val="15"/>
        </w:rPr>
        <w:t xml:space="preserve"> </w:t>
      </w:r>
      <w:r w:rsidR="009754FB" w:rsidRPr="003E4FF2">
        <w:rPr>
          <w:rFonts w:ascii="Verdana" w:hAnsi="Verdana"/>
          <w:sz w:val="15"/>
          <w:szCs w:val="15"/>
        </w:rPr>
        <w:t>DORA</w:t>
      </w:r>
      <w:r w:rsidR="00C96F62" w:rsidRPr="003E4FF2">
        <w:rPr>
          <w:rFonts w:ascii="Verdana" w:hAnsi="Verdana"/>
          <w:sz w:val="15"/>
          <w:szCs w:val="15"/>
        </w:rPr>
        <w:t>.</w:t>
      </w:r>
    </w:p>
  </w:footnote>
  <w:footnote w:id="19">
    <w:p w14:paraId="07AEF7DA" w14:textId="1F94DC92" w:rsidR="000B506F" w:rsidRPr="003E4FF2" w:rsidRDefault="000B506F" w:rsidP="000B506F">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19, tweede lid, eerste alinea, jo. zesde lid, onderdeel c, </w:t>
      </w:r>
      <w:r w:rsidR="009754FB" w:rsidRPr="003E4FF2">
        <w:rPr>
          <w:rFonts w:ascii="Verdana" w:hAnsi="Verdana"/>
          <w:sz w:val="15"/>
          <w:szCs w:val="15"/>
        </w:rPr>
        <w:t>DORA</w:t>
      </w:r>
      <w:r w:rsidRPr="003E4FF2">
        <w:rPr>
          <w:rFonts w:ascii="Verdana" w:hAnsi="Verdana"/>
          <w:sz w:val="15"/>
          <w:szCs w:val="15"/>
        </w:rPr>
        <w:t>.</w:t>
      </w:r>
    </w:p>
  </w:footnote>
  <w:footnote w:id="20">
    <w:p w14:paraId="70FC4FF1" w14:textId="5200DB2D" w:rsidR="00A34053" w:rsidRPr="003E4FF2" w:rsidRDefault="00A34053" w:rsidP="00EF35C9">
      <w:pPr>
        <w:pStyle w:val="Geenafstand"/>
        <w:rPr>
          <w:rStyle w:val="Voetnootmarkering"/>
          <w:rFonts w:ascii="Verdana" w:eastAsia="Calibri" w:hAnsi="Verdana" w:cstheme="minorHAnsi"/>
          <w:sz w:val="15"/>
          <w:szCs w:val="15"/>
        </w:rPr>
      </w:pPr>
      <w:r w:rsidRPr="003E4FF2">
        <w:rPr>
          <w:rStyle w:val="Voetnootmarkering"/>
          <w:rFonts w:ascii="Verdana" w:eastAsia="Calibri" w:hAnsi="Verdana" w:cstheme="minorHAnsi"/>
          <w:sz w:val="15"/>
          <w:szCs w:val="15"/>
        </w:rPr>
        <w:footnoteRef/>
      </w:r>
      <w:r w:rsidRPr="003E4FF2">
        <w:rPr>
          <w:rStyle w:val="Voetnootmarkering"/>
          <w:rFonts w:ascii="Verdana" w:eastAsia="Calibri" w:hAnsi="Verdana" w:cstheme="minorHAnsi"/>
          <w:sz w:val="15"/>
          <w:szCs w:val="15"/>
          <w:vertAlign w:val="baseline"/>
        </w:rPr>
        <w:t xml:space="preserve"> </w:t>
      </w:r>
      <w:r w:rsidR="006048BA" w:rsidRPr="003E4FF2">
        <w:rPr>
          <w:rFonts w:ascii="Verdana" w:eastAsia="Calibri" w:hAnsi="Verdana" w:cstheme="minorHAnsi"/>
          <w:sz w:val="15"/>
          <w:szCs w:val="15"/>
        </w:rPr>
        <w:t>Verordening (EU) nr. 910/2014 van het Europees Parlement en de Raad van 23 juli 2014 betreffende elektronische identificatie en vertrouwensdiensten voor elektronische transacties in de interne markt en tot intrekking van Richtlijn 1999/93/EG (</w:t>
      </w:r>
      <w:r w:rsidR="004032E5" w:rsidRPr="003E4FF2">
        <w:rPr>
          <w:rFonts w:ascii="Verdana" w:eastAsia="Calibri" w:hAnsi="Verdana" w:cstheme="minorHAnsi"/>
          <w:i/>
          <w:iCs/>
          <w:sz w:val="15"/>
          <w:szCs w:val="15"/>
        </w:rPr>
        <w:t>PbEU</w:t>
      </w:r>
      <w:r w:rsidR="004032E5" w:rsidRPr="003E4FF2">
        <w:rPr>
          <w:rFonts w:ascii="Verdana" w:eastAsia="Calibri" w:hAnsi="Verdana" w:cstheme="minorHAnsi"/>
          <w:sz w:val="15"/>
          <w:szCs w:val="15"/>
        </w:rPr>
        <w:t xml:space="preserve"> 2014, L 257</w:t>
      </w:r>
      <w:r w:rsidR="006048BA" w:rsidRPr="003E4FF2">
        <w:rPr>
          <w:rFonts w:ascii="Verdana" w:eastAsia="Calibri" w:hAnsi="Verdana" w:cstheme="minorHAnsi"/>
          <w:sz w:val="15"/>
          <w:szCs w:val="15"/>
        </w:rPr>
        <w:t>)</w:t>
      </w:r>
      <w:r w:rsidR="004032E5" w:rsidRPr="003E4FF2">
        <w:rPr>
          <w:rFonts w:ascii="Verdana" w:eastAsia="Calibri" w:hAnsi="Verdana" w:cstheme="minorHAnsi"/>
          <w:sz w:val="15"/>
          <w:szCs w:val="15"/>
        </w:rPr>
        <w:t>.</w:t>
      </w:r>
      <w:r w:rsidR="006048BA" w:rsidRPr="003E4FF2">
        <w:rPr>
          <w:rFonts w:ascii="Verdana" w:hAnsi="Verdana"/>
          <w:sz w:val="15"/>
          <w:szCs w:val="15"/>
        </w:rPr>
        <w:t xml:space="preserve"> </w:t>
      </w:r>
    </w:p>
  </w:footnote>
  <w:footnote w:id="21">
    <w:p w14:paraId="4EB7883C" w14:textId="50A7D974" w:rsidR="001409D6" w:rsidRPr="003E4FF2" w:rsidRDefault="001409D6" w:rsidP="006E194B">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Verordening (EU) 2024/1183 van het Europees Parlement en de Raad van 11 april 2024 tot wijziging van Verordening (EU) nr. 910/2014, wat betreft de vaststelling van het Europees kader voor digitale identiteit (</w:t>
      </w:r>
      <w:r w:rsidRPr="003E4FF2">
        <w:rPr>
          <w:rFonts w:ascii="Verdana" w:hAnsi="Verdana"/>
          <w:i/>
          <w:iCs/>
          <w:sz w:val="15"/>
          <w:szCs w:val="15"/>
        </w:rPr>
        <w:t>PbEU</w:t>
      </w:r>
      <w:r w:rsidRPr="003E4FF2">
        <w:rPr>
          <w:rFonts w:ascii="Verdana" w:hAnsi="Verdana"/>
          <w:sz w:val="15"/>
          <w:szCs w:val="15"/>
        </w:rPr>
        <w:t xml:space="preserve"> 2024, L 1183).</w:t>
      </w:r>
    </w:p>
  </w:footnote>
  <w:footnote w:id="22">
    <w:p w14:paraId="4ED8171D" w14:textId="69FBFD63" w:rsidR="004E51D5" w:rsidRPr="003E4FF2" w:rsidRDefault="004E51D5">
      <w:pPr>
        <w:pStyle w:val="Voetnoottekst"/>
        <w:rPr>
          <w:rFonts w:ascii="Verdana" w:hAnsi="Verdana" w:cstheme="minorHAnsi"/>
          <w:sz w:val="15"/>
          <w:szCs w:val="15"/>
        </w:rPr>
      </w:pPr>
      <w:r w:rsidRPr="003E4FF2">
        <w:rPr>
          <w:rStyle w:val="Voetnootmarkering"/>
          <w:rFonts w:ascii="Verdana" w:hAnsi="Verdana" w:cstheme="minorHAnsi"/>
          <w:sz w:val="15"/>
          <w:szCs w:val="15"/>
        </w:rPr>
        <w:footnoteRef/>
      </w:r>
      <w:r w:rsidRPr="003E4FF2">
        <w:rPr>
          <w:rFonts w:ascii="Verdana" w:hAnsi="Verdana" w:cstheme="minorHAnsi"/>
          <w:sz w:val="15"/>
          <w:szCs w:val="15"/>
        </w:rPr>
        <w:t xml:space="preserve"> </w:t>
      </w:r>
      <w:r w:rsidRPr="003E4FF2">
        <w:rPr>
          <w:rFonts w:ascii="Verdana" w:hAnsi="Verdana" w:cstheme="minorHAnsi"/>
          <w:i/>
          <w:iCs/>
          <w:sz w:val="15"/>
          <w:szCs w:val="15"/>
        </w:rPr>
        <w:t>Kamerstukken II</w:t>
      </w:r>
      <w:r w:rsidRPr="003E4FF2">
        <w:rPr>
          <w:rFonts w:ascii="Verdana" w:hAnsi="Verdana" w:cstheme="minorHAnsi"/>
          <w:sz w:val="15"/>
          <w:szCs w:val="15"/>
        </w:rPr>
        <w:t xml:space="preserve"> 2022</w:t>
      </w:r>
      <w:r w:rsidR="004B65EA" w:rsidRPr="003E4FF2">
        <w:rPr>
          <w:rFonts w:ascii="Verdana" w:hAnsi="Verdana" w:cstheme="minorHAnsi"/>
          <w:sz w:val="15"/>
          <w:szCs w:val="15"/>
        </w:rPr>
        <w:t>/</w:t>
      </w:r>
      <w:r w:rsidRPr="003E4FF2">
        <w:rPr>
          <w:rFonts w:ascii="Verdana" w:hAnsi="Verdana" w:cstheme="minorHAnsi"/>
          <w:sz w:val="15"/>
          <w:szCs w:val="15"/>
        </w:rPr>
        <w:t>23, 26643</w:t>
      </w:r>
      <w:r w:rsidR="004B65EA" w:rsidRPr="003E4FF2">
        <w:rPr>
          <w:rFonts w:ascii="Verdana" w:hAnsi="Verdana" w:cstheme="minorHAnsi"/>
          <w:sz w:val="15"/>
          <w:szCs w:val="15"/>
        </w:rPr>
        <w:t>,</w:t>
      </w:r>
      <w:r w:rsidRPr="003E4FF2">
        <w:rPr>
          <w:rFonts w:ascii="Verdana" w:hAnsi="Verdana" w:cstheme="minorHAnsi"/>
          <w:sz w:val="15"/>
          <w:szCs w:val="15"/>
        </w:rPr>
        <w:t xml:space="preserve"> nr. 925</w:t>
      </w:r>
      <w:r w:rsidR="00C96F62" w:rsidRPr="003E4FF2">
        <w:rPr>
          <w:rFonts w:ascii="Verdana" w:hAnsi="Verdana" w:cstheme="minorHAnsi"/>
          <w:sz w:val="15"/>
          <w:szCs w:val="15"/>
        </w:rPr>
        <w:t>.</w:t>
      </w:r>
    </w:p>
  </w:footnote>
  <w:footnote w:id="23">
    <w:p w14:paraId="7F1E9F8E" w14:textId="3C669A2A" w:rsidR="00B1345E" w:rsidRPr="003E4FF2" w:rsidRDefault="00B1345E"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Voor entiteiten die geen essentiële entiteit of belangrijke entiteit zijn, geldt</w:t>
      </w:r>
      <w:r w:rsidR="00665CF9" w:rsidRPr="003E4FF2">
        <w:rPr>
          <w:rFonts w:ascii="Verdana" w:hAnsi="Verdana"/>
          <w:sz w:val="15"/>
          <w:szCs w:val="15"/>
        </w:rPr>
        <w:t xml:space="preserve"> </w:t>
      </w:r>
      <w:r w:rsidRPr="003E4FF2">
        <w:rPr>
          <w:rFonts w:ascii="Verdana" w:hAnsi="Verdana"/>
          <w:sz w:val="15"/>
          <w:szCs w:val="15"/>
        </w:rPr>
        <w:t xml:space="preserve">niet de verplichting om significante incidenten te melden. Zij kunnen wel op vrijwillige basis </w:t>
      </w:r>
      <w:r w:rsidR="009951F6" w:rsidRPr="003E4FF2">
        <w:rPr>
          <w:rFonts w:ascii="Verdana" w:hAnsi="Verdana"/>
          <w:sz w:val="15"/>
          <w:szCs w:val="15"/>
        </w:rPr>
        <w:t>significante en niet-significante</w:t>
      </w:r>
      <w:r w:rsidRPr="003E4FF2">
        <w:rPr>
          <w:rFonts w:ascii="Verdana" w:hAnsi="Verdana"/>
          <w:sz w:val="15"/>
          <w:szCs w:val="15"/>
        </w:rPr>
        <w:t xml:space="preserve"> incidenten melden. </w:t>
      </w:r>
    </w:p>
  </w:footnote>
  <w:footnote w:id="24">
    <w:p w14:paraId="7721745C" w14:textId="77777777" w:rsidR="00D3725A" w:rsidRPr="003E4FF2" w:rsidRDefault="00D3725A" w:rsidP="00D3725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Aanbeveling 2003/361/EG van de Commissie van 6 mei 2003 betreffende de definitie van kleine, middelgrote en micro-ondernemingen (</w:t>
      </w:r>
      <w:r w:rsidRPr="003E4FF2">
        <w:rPr>
          <w:rFonts w:ascii="Verdana" w:hAnsi="Verdana"/>
          <w:i/>
          <w:iCs/>
          <w:sz w:val="15"/>
          <w:szCs w:val="15"/>
        </w:rPr>
        <w:t>PbEU</w:t>
      </w:r>
      <w:r w:rsidRPr="003E4FF2">
        <w:rPr>
          <w:rFonts w:ascii="Verdana" w:hAnsi="Verdana"/>
          <w:sz w:val="15"/>
          <w:szCs w:val="15"/>
        </w:rPr>
        <w:t xml:space="preserve"> 2003, L 124).</w:t>
      </w:r>
    </w:p>
  </w:footnote>
  <w:footnote w:id="25">
    <w:p w14:paraId="7DB4D2E6" w14:textId="77777777" w:rsidR="00856B2B" w:rsidRPr="003E4FF2" w:rsidRDefault="00856B2B" w:rsidP="00856B2B">
      <w:pPr>
        <w:pStyle w:val="Voetnoottekst"/>
        <w:ind w:left="0" w:firstLine="0"/>
        <w:rPr>
          <w:rFonts w:ascii="Verdana" w:hAnsi="Verdana"/>
          <w:sz w:val="15"/>
          <w:szCs w:val="15"/>
        </w:rPr>
      </w:pPr>
      <w:r w:rsidRPr="003E4FF2">
        <w:rPr>
          <w:rFonts w:ascii="Verdana" w:eastAsiaTheme="minorHAnsi" w:hAnsi="Verdana" w:cstheme="minorBidi"/>
          <w:sz w:val="15"/>
          <w:szCs w:val="15"/>
          <w:vertAlign w:val="superscript"/>
        </w:rPr>
        <w:footnoteRef/>
      </w:r>
      <w:r w:rsidRPr="003E4FF2">
        <w:rPr>
          <w:rFonts w:ascii="Verdana" w:eastAsiaTheme="minorHAnsi" w:hAnsi="Verdana" w:cstheme="minorBidi"/>
          <w:sz w:val="15"/>
          <w:szCs w:val="15"/>
        </w:rPr>
        <w:t xml:space="preserve"> Het doel van de </w:t>
      </w:r>
      <w:r w:rsidRPr="003E4FF2">
        <w:rPr>
          <w:rFonts w:ascii="Verdana" w:eastAsiaTheme="minorHAnsi" w:hAnsi="Verdana" w:cstheme="minorBidi"/>
          <w:sz w:val="15"/>
          <w:szCs w:val="15"/>
        </w:rPr>
        <w:t xml:space="preserve">vitaalbeoordeling is om inzichtelijk te maken welke processen en diensten zo essentieel zijn voor de Nederlandse samenleving, dat uitval, verstoring of manipulatie daarvan kan leiden tot ernstige maatschappelijke ontwrichting, ernstige economische schade of – in het uiterste geval – een bedreiging van de nationale veiligheid. Deze geïdentificeerde processen worden vitale processen genoemd en gezamenlijk vormen deze vitale processen de vitale infrastructuur van Nederland. </w:t>
      </w:r>
    </w:p>
  </w:footnote>
  <w:footnote w:id="26">
    <w:p w14:paraId="5CCF90D5" w14:textId="6968B7B8" w:rsidR="000637A7" w:rsidRPr="003E4FF2" w:rsidRDefault="000637A7" w:rsidP="000637A7">
      <w:pPr>
        <w:pStyle w:val="Geenafstand"/>
        <w:rPr>
          <w:rStyle w:val="Voetnootmarkering"/>
          <w:rFonts w:ascii="Verdana" w:hAnsi="Verdana"/>
          <w:sz w:val="15"/>
          <w:szCs w:val="15"/>
        </w:rPr>
      </w:pPr>
      <w:r w:rsidRPr="003E4FF2">
        <w:rPr>
          <w:rStyle w:val="Voetnootmarkering"/>
          <w:rFonts w:ascii="Verdana" w:hAnsi="Verdana"/>
          <w:sz w:val="15"/>
          <w:szCs w:val="15"/>
        </w:rPr>
        <w:footnoteRef/>
      </w:r>
      <w:r w:rsidRPr="003E4FF2">
        <w:rPr>
          <w:rStyle w:val="Voetnootmarkering"/>
          <w:rFonts w:ascii="Verdana" w:hAnsi="Verdana"/>
          <w:sz w:val="15"/>
          <w:szCs w:val="15"/>
        </w:rPr>
        <w:t xml:space="preserve"> </w:t>
      </w:r>
      <w:r w:rsidRPr="003E4FF2">
        <w:rPr>
          <w:rStyle w:val="Voetnootmarkering"/>
          <w:rFonts w:ascii="Verdana" w:hAnsi="Verdana"/>
          <w:sz w:val="15"/>
          <w:szCs w:val="15"/>
          <w:vertAlign w:val="baseline"/>
        </w:rPr>
        <w:t>Artikel 2, tweede lid, onder</w:t>
      </w:r>
      <w:r w:rsidR="008D0185" w:rsidRPr="003E4FF2">
        <w:rPr>
          <w:rFonts w:ascii="Verdana" w:hAnsi="Verdana"/>
          <w:sz w:val="15"/>
          <w:szCs w:val="15"/>
        </w:rPr>
        <w:t>deel</w:t>
      </w:r>
      <w:r w:rsidRPr="003E4FF2">
        <w:rPr>
          <w:rStyle w:val="Voetnootmarkering"/>
          <w:rFonts w:ascii="Verdana" w:hAnsi="Verdana"/>
          <w:sz w:val="15"/>
          <w:szCs w:val="15"/>
          <w:vertAlign w:val="baseline"/>
        </w:rPr>
        <w:t xml:space="preserve"> f, </w:t>
      </w:r>
      <w:r w:rsidR="00F122CB" w:rsidRPr="003E4FF2">
        <w:rPr>
          <w:rFonts w:ascii="Verdana" w:hAnsi="Verdana"/>
          <w:sz w:val="15"/>
          <w:szCs w:val="15"/>
        </w:rPr>
        <w:t>sub</w:t>
      </w:r>
      <w:r w:rsidRPr="003E4FF2">
        <w:rPr>
          <w:rStyle w:val="Voetnootmarkering"/>
          <w:rFonts w:ascii="Verdana" w:hAnsi="Verdana"/>
          <w:sz w:val="15"/>
          <w:szCs w:val="15"/>
          <w:vertAlign w:val="baseline"/>
        </w:rPr>
        <w:t>onder</w:t>
      </w:r>
      <w:r w:rsidR="00F122CB" w:rsidRPr="003E4FF2">
        <w:rPr>
          <w:rStyle w:val="Voetnootmarkering"/>
          <w:rFonts w:ascii="Verdana" w:hAnsi="Verdana"/>
          <w:sz w:val="15"/>
          <w:szCs w:val="15"/>
          <w:vertAlign w:val="baseline"/>
        </w:rPr>
        <w:t>d</w:t>
      </w:r>
      <w:r w:rsidR="00F122CB" w:rsidRPr="003E4FF2">
        <w:rPr>
          <w:rFonts w:ascii="Verdana" w:hAnsi="Verdana"/>
          <w:sz w:val="15"/>
          <w:szCs w:val="15"/>
        </w:rPr>
        <w:t>eel</w:t>
      </w:r>
      <w:r w:rsidRPr="003E4FF2">
        <w:rPr>
          <w:rStyle w:val="Voetnootmarkering"/>
          <w:rFonts w:ascii="Verdana" w:hAnsi="Verdana"/>
          <w:sz w:val="15"/>
          <w:szCs w:val="15"/>
          <w:vertAlign w:val="baseline"/>
        </w:rPr>
        <w:t xml:space="preserve"> ii, NIS2-richtlijn.</w:t>
      </w:r>
    </w:p>
  </w:footnote>
  <w:footnote w:id="27">
    <w:p w14:paraId="21F418BE" w14:textId="246929DA" w:rsidR="000637A7" w:rsidRPr="003E4FF2" w:rsidRDefault="000637A7" w:rsidP="000637A7">
      <w:pPr>
        <w:pStyle w:val="Geenafstand"/>
        <w:rPr>
          <w:rStyle w:val="Voetnootmarkering"/>
          <w:rFonts w:ascii="Verdana" w:hAnsi="Verdana"/>
          <w:sz w:val="15"/>
          <w:szCs w:val="15"/>
        </w:rPr>
      </w:pPr>
      <w:r w:rsidRPr="003E4FF2">
        <w:rPr>
          <w:rStyle w:val="Voetnootmarkering"/>
          <w:rFonts w:ascii="Verdana" w:hAnsi="Verdana"/>
          <w:sz w:val="15"/>
          <w:szCs w:val="15"/>
        </w:rPr>
        <w:footnoteRef/>
      </w:r>
      <w:r w:rsidRPr="003E4FF2">
        <w:rPr>
          <w:rStyle w:val="Voetnootmarkering"/>
          <w:rFonts w:ascii="Verdana" w:hAnsi="Verdana"/>
          <w:sz w:val="15"/>
          <w:szCs w:val="15"/>
        </w:rPr>
        <w:t xml:space="preserve"> </w:t>
      </w:r>
      <w:r w:rsidRPr="003E4FF2">
        <w:rPr>
          <w:rStyle w:val="Voetnootmarkering"/>
          <w:rFonts w:ascii="Verdana" w:hAnsi="Verdana"/>
          <w:sz w:val="15"/>
          <w:szCs w:val="15"/>
          <w:vertAlign w:val="baseline"/>
        </w:rPr>
        <w:t>Artikel 2, vijfde lid, onder</w:t>
      </w:r>
      <w:r w:rsidR="008D0185" w:rsidRPr="003E4FF2">
        <w:rPr>
          <w:rStyle w:val="Voetnootmarkering"/>
          <w:rFonts w:ascii="Verdana" w:hAnsi="Verdana"/>
          <w:sz w:val="15"/>
          <w:szCs w:val="15"/>
          <w:vertAlign w:val="baseline"/>
        </w:rPr>
        <w:t>d</w:t>
      </w:r>
      <w:r w:rsidR="008D0185" w:rsidRPr="003E4FF2">
        <w:rPr>
          <w:rFonts w:ascii="Verdana" w:hAnsi="Verdana"/>
          <w:sz w:val="15"/>
          <w:szCs w:val="15"/>
        </w:rPr>
        <w:t>eel</w:t>
      </w:r>
      <w:r w:rsidRPr="003E4FF2">
        <w:rPr>
          <w:rStyle w:val="Voetnootmarkering"/>
          <w:rFonts w:ascii="Verdana" w:hAnsi="Verdana"/>
          <w:sz w:val="15"/>
          <w:szCs w:val="15"/>
          <w:vertAlign w:val="baseline"/>
        </w:rPr>
        <w:t xml:space="preserve"> a, NIS2-richtlijn.</w:t>
      </w:r>
    </w:p>
  </w:footnote>
  <w:footnote w:id="28">
    <w:p w14:paraId="2C65F0F0" w14:textId="77777777" w:rsidR="000637A7" w:rsidRPr="003E4FF2" w:rsidRDefault="000637A7" w:rsidP="000637A7">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In de Engelse versie van de NIS2-richtlijn wordt gesproken over “</w:t>
      </w:r>
      <w:r w:rsidRPr="003E4FF2">
        <w:rPr>
          <w:rFonts w:ascii="Verdana" w:hAnsi="Verdana"/>
          <w:sz w:val="15"/>
          <w:szCs w:val="15"/>
        </w:rPr>
        <w:t xml:space="preserve">administrative board”. </w:t>
      </w:r>
    </w:p>
  </w:footnote>
  <w:footnote w:id="29">
    <w:p w14:paraId="68B01F39" w14:textId="77777777" w:rsidR="000637A7" w:rsidRPr="003E4FF2" w:rsidRDefault="000637A7" w:rsidP="000637A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Stcrt.</w:t>
      </w:r>
      <w:r w:rsidRPr="003E4FF2">
        <w:rPr>
          <w:rFonts w:ascii="Verdana" w:hAnsi="Verdana"/>
          <w:sz w:val="15"/>
          <w:szCs w:val="15"/>
        </w:rPr>
        <w:t xml:space="preserve"> 2020, 7857. </w:t>
      </w:r>
    </w:p>
  </w:footnote>
  <w:footnote w:id="30">
    <w:p w14:paraId="47AAB3C2" w14:textId="57B32F0F" w:rsidR="000637A7" w:rsidRPr="003E4FF2" w:rsidRDefault="000637A7" w:rsidP="000637A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7F1DC1" w:rsidRPr="003E4FF2">
        <w:rPr>
          <w:rFonts w:ascii="Verdana" w:hAnsi="Verdana"/>
          <w:i/>
          <w:iCs/>
          <w:sz w:val="15"/>
          <w:szCs w:val="15"/>
        </w:rPr>
        <w:t>Werkagenda “</w:t>
      </w:r>
      <w:r w:rsidR="007F1DC1" w:rsidRPr="003E4FF2">
        <w:rPr>
          <w:rFonts w:ascii="Verdana" w:hAnsi="Verdana"/>
          <w:i/>
          <w:iCs/>
          <w:sz w:val="15"/>
          <w:szCs w:val="15"/>
        </w:rPr>
        <w:t>Waardengedreven Digitaliseren”</w:t>
      </w:r>
      <w:r w:rsidR="007F1DC1" w:rsidRPr="003E4FF2">
        <w:rPr>
          <w:rFonts w:ascii="Verdana" w:hAnsi="Verdana"/>
          <w:sz w:val="15"/>
          <w:szCs w:val="15"/>
        </w:rPr>
        <w:t>, bijlage bij</w:t>
      </w:r>
      <w:r w:rsidR="007F1DC1" w:rsidRPr="003E4FF2">
        <w:rPr>
          <w:rFonts w:ascii="Verdana" w:hAnsi="Verdana"/>
          <w:i/>
          <w:iCs/>
          <w:sz w:val="15"/>
          <w:szCs w:val="15"/>
        </w:rPr>
        <w:t xml:space="preserve"> </w:t>
      </w:r>
      <w:r w:rsidRPr="003E4FF2">
        <w:rPr>
          <w:rFonts w:ascii="Verdana" w:hAnsi="Verdana"/>
          <w:i/>
          <w:iCs/>
          <w:sz w:val="15"/>
          <w:szCs w:val="15"/>
        </w:rPr>
        <w:t>Kamerstukken II</w:t>
      </w:r>
      <w:r w:rsidRPr="003E4FF2">
        <w:rPr>
          <w:rFonts w:ascii="Verdana" w:hAnsi="Verdana"/>
          <w:sz w:val="15"/>
          <w:szCs w:val="15"/>
        </w:rPr>
        <w:t xml:space="preserve"> 2022/23, 26643, nr. 940.</w:t>
      </w:r>
    </w:p>
  </w:footnote>
  <w:footnote w:id="31">
    <w:p w14:paraId="7ABF0273" w14:textId="52F955AA" w:rsidR="000637A7" w:rsidRPr="003E4FF2" w:rsidRDefault="000637A7" w:rsidP="000637A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Stcrt.</w:t>
      </w:r>
      <w:r w:rsidRPr="003E4FF2">
        <w:rPr>
          <w:rFonts w:ascii="Verdana" w:hAnsi="Verdana"/>
          <w:sz w:val="15"/>
          <w:szCs w:val="15"/>
        </w:rPr>
        <w:t xml:space="preserve"> 2007, 122, p</w:t>
      </w:r>
      <w:r w:rsidR="00564EEF" w:rsidRPr="003E4FF2">
        <w:rPr>
          <w:rFonts w:ascii="Verdana" w:hAnsi="Verdana"/>
          <w:sz w:val="15"/>
          <w:szCs w:val="15"/>
        </w:rPr>
        <w:t>.</w:t>
      </w:r>
      <w:r w:rsidRPr="003E4FF2">
        <w:rPr>
          <w:rFonts w:ascii="Verdana" w:hAnsi="Verdana"/>
          <w:sz w:val="15"/>
          <w:szCs w:val="15"/>
        </w:rPr>
        <w:t xml:space="preserve"> 11.</w:t>
      </w:r>
    </w:p>
  </w:footnote>
  <w:footnote w:id="32">
    <w:p w14:paraId="0CCDE1FA" w14:textId="77777777" w:rsidR="000637A7" w:rsidRPr="003E4FF2" w:rsidRDefault="000637A7" w:rsidP="000637A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Stcrt.</w:t>
      </w:r>
      <w:r w:rsidRPr="003E4FF2">
        <w:rPr>
          <w:rFonts w:ascii="Verdana" w:hAnsi="Verdana"/>
          <w:sz w:val="15"/>
          <w:szCs w:val="15"/>
        </w:rPr>
        <w:t xml:space="preserve"> 2013, 15497.</w:t>
      </w:r>
    </w:p>
  </w:footnote>
  <w:footnote w:id="33">
    <w:p w14:paraId="7FF06A49" w14:textId="1021385B" w:rsidR="001D55B5" w:rsidRPr="003E4FF2" w:rsidRDefault="001D55B5" w:rsidP="001D55B5">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vertAlign w:val="superscript"/>
        </w:rPr>
        <w:t xml:space="preserve"> </w:t>
      </w:r>
      <w:r w:rsidR="007F1DC1" w:rsidRPr="003E4FF2">
        <w:rPr>
          <w:rFonts w:ascii="Verdana" w:hAnsi="Verdana"/>
          <w:sz w:val="15"/>
          <w:szCs w:val="15"/>
        </w:rPr>
        <w:t>J</w:t>
      </w:r>
      <w:r w:rsidRPr="003E4FF2">
        <w:rPr>
          <w:rFonts w:ascii="Verdana" w:hAnsi="Verdana"/>
          <w:sz w:val="15"/>
          <w:szCs w:val="15"/>
        </w:rPr>
        <w:t>aarverslag 2021</w:t>
      </w:r>
      <w:r w:rsidR="007F1DC1" w:rsidRPr="003E4FF2">
        <w:rPr>
          <w:rFonts w:ascii="Verdana" w:hAnsi="Verdana"/>
          <w:sz w:val="15"/>
          <w:szCs w:val="15"/>
        </w:rPr>
        <w:t xml:space="preserve"> van de Algemene Inlichtingen- en Veiligheidsdienst</w:t>
      </w:r>
      <w:r w:rsidRPr="003E4FF2">
        <w:rPr>
          <w:rFonts w:ascii="Verdana" w:hAnsi="Verdana"/>
          <w:sz w:val="15"/>
          <w:szCs w:val="15"/>
        </w:rPr>
        <w:t>, p</w:t>
      </w:r>
      <w:r w:rsidR="00E70DF8" w:rsidRPr="003E4FF2">
        <w:rPr>
          <w:rFonts w:ascii="Verdana" w:hAnsi="Verdana"/>
          <w:sz w:val="15"/>
          <w:szCs w:val="15"/>
        </w:rPr>
        <w:t xml:space="preserve">. </w:t>
      </w:r>
      <w:r w:rsidRPr="003E4FF2">
        <w:rPr>
          <w:rFonts w:ascii="Verdana" w:hAnsi="Verdana"/>
          <w:sz w:val="15"/>
          <w:szCs w:val="15"/>
        </w:rPr>
        <w:t>14-19</w:t>
      </w:r>
      <w:r w:rsidR="00E70DF8" w:rsidRPr="003E4FF2">
        <w:rPr>
          <w:rFonts w:ascii="Verdana" w:hAnsi="Verdana"/>
          <w:sz w:val="15"/>
          <w:szCs w:val="15"/>
        </w:rPr>
        <w:t>.</w:t>
      </w:r>
    </w:p>
  </w:footnote>
  <w:footnote w:id="34">
    <w:p w14:paraId="4636B236" w14:textId="71D3C0F1" w:rsidR="00F927E4" w:rsidRPr="003E4FF2" w:rsidRDefault="00F927E4">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Kamerstukken II</w:t>
      </w:r>
      <w:r w:rsidRPr="003E4FF2">
        <w:rPr>
          <w:rFonts w:ascii="Verdana" w:hAnsi="Verdana"/>
          <w:sz w:val="15"/>
          <w:szCs w:val="15"/>
        </w:rPr>
        <w:t xml:space="preserve"> 2019/20, 26643, nr. 872.</w:t>
      </w:r>
    </w:p>
  </w:footnote>
  <w:footnote w:id="35">
    <w:p w14:paraId="3F3B9887" w14:textId="2CDE8889" w:rsidR="00D1742F" w:rsidRPr="003E4FF2" w:rsidRDefault="00D1742F">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Kamerstuk</w:t>
      </w:r>
      <w:r w:rsidR="0080014D" w:rsidRPr="003E4FF2">
        <w:rPr>
          <w:rFonts w:ascii="Verdana" w:hAnsi="Verdana"/>
          <w:i/>
          <w:iCs/>
          <w:sz w:val="15"/>
          <w:szCs w:val="15"/>
        </w:rPr>
        <w:t xml:space="preserve">ken II </w:t>
      </w:r>
      <w:r w:rsidR="0080014D" w:rsidRPr="003E4FF2">
        <w:rPr>
          <w:rFonts w:ascii="Verdana" w:hAnsi="Verdana"/>
          <w:sz w:val="15"/>
          <w:szCs w:val="15"/>
        </w:rPr>
        <w:t>2024/25,</w:t>
      </w:r>
      <w:r w:rsidRPr="003E4FF2">
        <w:rPr>
          <w:rFonts w:ascii="Verdana" w:hAnsi="Verdana"/>
          <w:sz w:val="15"/>
          <w:szCs w:val="15"/>
        </w:rPr>
        <w:t xml:space="preserve"> 31288, nr. 1189</w:t>
      </w:r>
      <w:r w:rsidR="0080014D" w:rsidRPr="003E4FF2">
        <w:rPr>
          <w:rFonts w:ascii="Verdana" w:hAnsi="Verdana"/>
          <w:sz w:val="15"/>
          <w:szCs w:val="15"/>
        </w:rPr>
        <w:t>.</w:t>
      </w:r>
    </w:p>
  </w:footnote>
  <w:footnote w:id="36">
    <w:p w14:paraId="10733087" w14:textId="50DA75BB" w:rsidR="00305CFE" w:rsidRPr="003E4FF2" w:rsidRDefault="00305CFE"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296223" w:rsidRPr="003E4FF2">
        <w:rPr>
          <w:rFonts w:ascii="Verdana" w:hAnsi="Verdana"/>
          <w:i/>
          <w:iCs/>
          <w:sz w:val="15"/>
          <w:szCs w:val="15"/>
        </w:rPr>
        <w:t>Advies inzake digitale veiligheid van Industrial Automation &amp; Control Systems (IACS) in de vitale infrastructuur van Nederland</w:t>
      </w:r>
      <w:r w:rsidR="00296223" w:rsidRPr="003E4FF2">
        <w:rPr>
          <w:rFonts w:ascii="Verdana" w:hAnsi="Verdana"/>
          <w:sz w:val="15"/>
          <w:szCs w:val="15"/>
        </w:rPr>
        <w:t xml:space="preserve">, Cyber Security Raad, </w:t>
      </w:r>
      <w:r w:rsidRPr="003E4FF2">
        <w:rPr>
          <w:rStyle w:val="Verwijzingopmerking"/>
          <w:rFonts w:ascii="Verdana" w:hAnsi="Verdana"/>
          <w:sz w:val="15"/>
          <w:szCs w:val="15"/>
        </w:rPr>
        <w:t>2020, nr. 2.</w:t>
      </w:r>
      <w:r w:rsidR="008265E7" w:rsidRPr="003E4FF2">
        <w:rPr>
          <w:rStyle w:val="Verwijzingopmerking"/>
          <w:rFonts w:ascii="Verdana" w:hAnsi="Verdana"/>
          <w:sz w:val="15"/>
          <w:szCs w:val="15"/>
        </w:rPr>
        <w:t xml:space="preserve"> </w:t>
      </w:r>
    </w:p>
  </w:footnote>
  <w:footnote w:id="37">
    <w:p w14:paraId="4BA9FEF3" w14:textId="4433370A" w:rsidR="009A5B2B" w:rsidRPr="003E4FF2" w:rsidRDefault="009A5B2B" w:rsidP="004965A4">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In de Engelse versie wordt gesproken over “management </w:t>
      </w:r>
      <w:r w:rsidRPr="003E4FF2">
        <w:rPr>
          <w:rFonts w:ascii="Verdana" w:hAnsi="Verdana"/>
          <w:sz w:val="15"/>
          <w:szCs w:val="15"/>
        </w:rPr>
        <w:t>bodies”, in de Duitse versie van “die Leitungsorgane” en in de</w:t>
      </w:r>
      <w:r w:rsidR="004965A4" w:rsidRPr="003E4FF2">
        <w:rPr>
          <w:rFonts w:ascii="Verdana" w:hAnsi="Verdana"/>
          <w:sz w:val="15"/>
          <w:szCs w:val="15"/>
        </w:rPr>
        <w:t xml:space="preserve"> </w:t>
      </w:r>
      <w:r w:rsidRPr="003E4FF2">
        <w:rPr>
          <w:rFonts w:ascii="Verdana" w:hAnsi="Verdana"/>
          <w:sz w:val="15"/>
          <w:szCs w:val="15"/>
        </w:rPr>
        <w:t xml:space="preserve">Franse vertaling over “les organes de direction”. </w:t>
      </w:r>
    </w:p>
  </w:footnote>
  <w:footnote w:id="38">
    <w:p w14:paraId="79457EA1" w14:textId="77D2AF10" w:rsidR="00C66986" w:rsidRPr="003E4FF2" w:rsidRDefault="00C66986" w:rsidP="00C66986">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bookmarkStart w:id="55" w:name="_Hlk179187483"/>
      <w:r w:rsidRPr="003E4FF2">
        <w:rPr>
          <w:rFonts w:ascii="Verdana" w:hAnsi="Verdana"/>
          <w:sz w:val="15"/>
          <w:szCs w:val="15"/>
        </w:rPr>
        <w:t>Artikel 125 Grondwet en artikel 6 Provinciewet</w:t>
      </w:r>
    </w:p>
    <w:bookmarkEnd w:id="55"/>
  </w:footnote>
  <w:footnote w:id="39">
    <w:p w14:paraId="7A17D887" w14:textId="1C25D161" w:rsidR="00C66986" w:rsidRPr="003E4FF2" w:rsidRDefault="00C66986" w:rsidP="00C66986">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125 Grondwet en artikel 6 Gemeentewet.</w:t>
      </w:r>
    </w:p>
  </w:footnote>
  <w:footnote w:id="40">
    <w:p w14:paraId="7FDA9E90" w14:textId="7A33F785" w:rsidR="00C66986" w:rsidRPr="003E4FF2" w:rsidRDefault="00C66986" w:rsidP="00C66986">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10, eerste lid, Waterschapswet.</w:t>
      </w:r>
    </w:p>
  </w:footnote>
  <w:footnote w:id="41">
    <w:p w14:paraId="0101ED55" w14:textId="655D3212" w:rsidR="00C66986" w:rsidRPr="003E4FF2" w:rsidRDefault="00C66986" w:rsidP="00C66986">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12, eerste lid, Wet gemeenschappelijke regelingen.</w:t>
      </w:r>
    </w:p>
  </w:footnote>
  <w:footnote w:id="42">
    <w:p w14:paraId="41FA8276" w14:textId="4354EC85" w:rsidR="00C66986" w:rsidRPr="003E4FF2" w:rsidRDefault="00C66986" w:rsidP="00C66986">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653DF1" w:rsidRPr="003E4FF2">
        <w:rPr>
          <w:rFonts w:ascii="Verdana" w:hAnsi="Verdana"/>
          <w:sz w:val="15"/>
          <w:szCs w:val="15"/>
        </w:rPr>
        <w:t>De a</w:t>
      </w:r>
      <w:r w:rsidRPr="003E4FF2">
        <w:rPr>
          <w:rFonts w:ascii="Verdana" w:hAnsi="Verdana"/>
          <w:sz w:val="15"/>
          <w:szCs w:val="15"/>
        </w:rPr>
        <w:t>rtikelen 12, eerste lid, 14a, eerste lid, en 15 Wet gemeenschappelijke regelingen.</w:t>
      </w:r>
    </w:p>
  </w:footnote>
  <w:footnote w:id="43">
    <w:p w14:paraId="08DF38C2" w14:textId="77777777" w:rsidR="00E45E97" w:rsidRPr="003E4FF2" w:rsidRDefault="00E45E97" w:rsidP="00E45E9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23, eerste lid, NIS2-richtlijn.</w:t>
      </w:r>
    </w:p>
  </w:footnote>
  <w:footnote w:id="44">
    <w:p w14:paraId="622C5D66" w14:textId="77777777" w:rsidR="00534BFD" w:rsidRPr="003E4FF2" w:rsidRDefault="00534BFD" w:rsidP="00534BFD">
      <w:pPr>
        <w:pStyle w:val="Voetnoottekst"/>
        <w:ind w:left="0" w:firstLine="0"/>
        <w:rPr>
          <w:rFonts w:ascii="Verdana" w:hAnsi="Verdana"/>
          <w:sz w:val="15"/>
          <w:szCs w:val="15"/>
          <w:lang w:val="en-US"/>
        </w:rPr>
      </w:pPr>
      <w:r w:rsidRPr="003E4FF2">
        <w:rPr>
          <w:rStyle w:val="Voetnootmarkering"/>
          <w:rFonts w:ascii="Verdana" w:hAnsi="Verdana"/>
          <w:sz w:val="15"/>
          <w:szCs w:val="15"/>
        </w:rPr>
        <w:footnoteRef/>
      </w:r>
      <w:r w:rsidRPr="003E4FF2">
        <w:rPr>
          <w:rFonts w:ascii="Verdana" w:hAnsi="Verdana"/>
          <w:sz w:val="15"/>
          <w:szCs w:val="15"/>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r w:rsidRPr="003E4FF2">
        <w:rPr>
          <w:rFonts w:ascii="Verdana" w:hAnsi="Verdana"/>
          <w:sz w:val="15"/>
          <w:szCs w:val="15"/>
        </w:rPr>
        <w:t>cloudcomputingdiensten, aanbieders van datacentrumdiensten, aanbieders van netwerken voor de levering van inhoud, aanbieders van beheerde diensten, aanbieders van beheerde beveiligingsdiensten, aanbieders van onlinemarktplaatsen, van onlinezoekmachines en van platforms voor socialenetwerkdiensten, en verleners van vertrouwensdiensten (</w:t>
      </w:r>
      <w:r w:rsidRPr="003E4FF2">
        <w:rPr>
          <w:rFonts w:ascii="Verdana" w:hAnsi="Verdana"/>
          <w:i/>
          <w:iCs/>
          <w:sz w:val="15"/>
          <w:szCs w:val="15"/>
        </w:rPr>
        <w:t>PbEU</w:t>
      </w:r>
      <w:r w:rsidRPr="003E4FF2">
        <w:rPr>
          <w:rFonts w:ascii="Verdana" w:hAnsi="Verdana"/>
          <w:sz w:val="15"/>
          <w:szCs w:val="15"/>
        </w:rPr>
        <w:t xml:space="preserve"> L 2024/2690).</w:t>
      </w:r>
    </w:p>
  </w:footnote>
  <w:footnote w:id="45">
    <w:p w14:paraId="59E89686" w14:textId="2C0294F1" w:rsidR="00E27969" w:rsidRPr="003E4FF2" w:rsidRDefault="00E27969" w:rsidP="00FD28DB">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FD28DB" w:rsidRPr="003E4FF2">
        <w:rPr>
          <w:rFonts w:ascii="Verdana" w:hAnsi="Verdana"/>
          <w:i/>
          <w:iCs/>
          <w:sz w:val="15"/>
          <w:szCs w:val="15"/>
        </w:rPr>
        <w:t>CSIRT-</w:t>
      </w:r>
      <w:r w:rsidR="00653DF1" w:rsidRPr="003E4FF2">
        <w:rPr>
          <w:rFonts w:ascii="Verdana" w:hAnsi="Verdana"/>
          <w:i/>
          <w:iCs/>
          <w:sz w:val="15"/>
          <w:szCs w:val="15"/>
        </w:rPr>
        <w:t>s</w:t>
      </w:r>
      <w:r w:rsidR="00FD28DB" w:rsidRPr="003E4FF2">
        <w:rPr>
          <w:rFonts w:ascii="Verdana" w:hAnsi="Verdana"/>
          <w:i/>
          <w:iCs/>
          <w:sz w:val="15"/>
          <w:szCs w:val="15"/>
        </w:rPr>
        <w:t xml:space="preserve">telsel - Een beleidskader voor het herinrichten van het stelsel met een nationale en sectorale </w:t>
      </w:r>
      <w:r w:rsidR="00FD28DB" w:rsidRPr="003E4FF2">
        <w:rPr>
          <w:rFonts w:ascii="Verdana" w:hAnsi="Verdana"/>
          <w:i/>
          <w:iCs/>
          <w:sz w:val="15"/>
          <w:szCs w:val="15"/>
        </w:rPr>
        <w:t>CSIRT's in Nederland</w:t>
      </w:r>
      <w:r w:rsidR="00FD28DB" w:rsidRPr="003E4FF2">
        <w:rPr>
          <w:rFonts w:ascii="Verdana" w:hAnsi="Verdana"/>
          <w:sz w:val="15"/>
          <w:szCs w:val="15"/>
        </w:rPr>
        <w:t xml:space="preserve">, Petra Oldengarm, </w:t>
      </w:r>
      <w:r w:rsidR="00FD28DB" w:rsidRPr="003E4FF2">
        <w:rPr>
          <w:rStyle w:val="Verwijzingopmerking"/>
          <w:rFonts w:ascii="Verdana" w:hAnsi="Verdana"/>
          <w:sz w:val="15"/>
          <w:szCs w:val="15"/>
        </w:rPr>
        <w:t>2023</w:t>
      </w:r>
      <w:r w:rsidR="00212925" w:rsidRPr="003E4FF2">
        <w:rPr>
          <w:rStyle w:val="Verwijzingopmerking"/>
          <w:rFonts w:ascii="Verdana" w:hAnsi="Verdana"/>
          <w:sz w:val="15"/>
          <w:szCs w:val="15"/>
        </w:rPr>
        <w:t>.</w:t>
      </w:r>
      <w:r w:rsidR="00FD28DB" w:rsidRPr="003E4FF2">
        <w:rPr>
          <w:rFonts w:ascii="Verdana" w:hAnsi="Verdana"/>
          <w:sz w:val="15"/>
          <w:szCs w:val="15"/>
        </w:rPr>
        <w:t xml:space="preserve"> </w:t>
      </w:r>
    </w:p>
  </w:footnote>
  <w:footnote w:id="46">
    <w:p w14:paraId="23758442" w14:textId="089E63E1" w:rsidR="00971A07" w:rsidRPr="003E4FF2" w:rsidRDefault="00971A07" w:rsidP="000E397D">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IP-adressen zijn alleen dan aan te merken als persoonsgegevens, wanneer de verwerkingsverantwoordelijke beschikt</w:t>
      </w:r>
      <w:r w:rsidR="0009144B" w:rsidRPr="003E4FF2">
        <w:rPr>
          <w:rFonts w:ascii="Verdana" w:hAnsi="Verdana"/>
          <w:sz w:val="15"/>
          <w:szCs w:val="15"/>
        </w:rPr>
        <w:t xml:space="preserve"> </w:t>
      </w:r>
      <w:r w:rsidRPr="003E4FF2">
        <w:rPr>
          <w:rFonts w:ascii="Verdana" w:hAnsi="Verdana"/>
          <w:sz w:val="15"/>
          <w:szCs w:val="15"/>
        </w:rPr>
        <w:t>over de (rechts)middelen waarvan redelijkerwijs valt te verwachten, dat zij worden ingezet om een natuurlijke persoon te identificeren. Zie hiervoor overweging 26</w:t>
      </w:r>
      <w:r w:rsidR="005020A0" w:rsidRPr="003E4FF2">
        <w:rPr>
          <w:rFonts w:ascii="Verdana" w:hAnsi="Verdana"/>
          <w:sz w:val="15"/>
          <w:szCs w:val="15"/>
        </w:rPr>
        <w:t xml:space="preserve"> </w:t>
      </w:r>
      <w:r w:rsidR="00DF67C4" w:rsidRPr="003E4FF2">
        <w:rPr>
          <w:rFonts w:ascii="Verdana" w:hAnsi="Verdana"/>
          <w:sz w:val="15"/>
          <w:szCs w:val="15"/>
        </w:rPr>
        <w:t xml:space="preserve">van de </w:t>
      </w:r>
      <w:r w:rsidR="005020A0" w:rsidRPr="003E4FF2">
        <w:rPr>
          <w:rFonts w:ascii="Verdana" w:hAnsi="Verdana"/>
          <w:sz w:val="15"/>
          <w:szCs w:val="15"/>
        </w:rPr>
        <w:t>Avg</w:t>
      </w:r>
      <w:r w:rsidRPr="003E4FF2">
        <w:rPr>
          <w:rFonts w:ascii="Verdana" w:hAnsi="Verdana"/>
          <w:sz w:val="15"/>
          <w:szCs w:val="15"/>
        </w:rPr>
        <w:t xml:space="preserve">. Zie ook: </w:t>
      </w:r>
      <w:r w:rsidRPr="003E4FF2">
        <w:rPr>
          <w:rFonts w:ascii="Verdana" w:hAnsi="Verdana"/>
          <w:color w:val="000000"/>
          <w:sz w:val="15"/>
          <w:szCs w:val="15"/>
        </w:rPr>
        <w:t>HvJ</w:t>
      </w:r>
      <w:r w:rsidR="000C1E19" w:rsidRPr="003E4FF2">
        <w:rPr>
          <w:rFonts w:ascii="Verdana" w:hAnsi="Verdana"/>
          <w:color w:val="000000"/>
          <w:sz w:val="15"/>
          <w:szCs w:val="15"/>
        </w:rPr>
        <w:t xml:space="preserve"> </w:t>
      </w:r>
      <w:r w:rsidRPr="003E4FF2">
        <w:rPr>
          <w:rFonts w:ascii="Verdana" w:hAnsi="Verdana"/>
          <w:color w:val="000000"/>
          <w:sz w:val="15"/>
          <w:szCs w:val="15"/>
        </w:rPr>
        <w:t>EU 19 oktober 2016, ECLI:EU:C:2016:779 (</w:t>
      </w:r>
      <w:r w:rsidRPr="003E4FF2">
        <w:rPr>
          <w:rFonts w:ascii="Verdana" w:hAnsi="Verdana"/>
          <w:i/>
          <w:iCs/>
          <w:color w:val="000000"/>
          <w:sz w:val="15"/>
          <w:szCs w:val="15"/>
        </w:rPr>
        <w:t>Breyer</w:t>
      </w:r>
      <w:r w:rsidR="00A22A4F">
        <w:rPr>
          <w:rFonts w:ascii="Verdana" w:hAnsi="Verdana"/>
          <w:i/>
          <w:iCs/>
          <w:color w:val="000000"/>
          <w:sz w:val="15"/>
          <w:szCs w:val="15"/>
        </w:rPr>
        <w:t>/Duitsland</w:t>
      </w:r>
      <w:r w:rsidRPr="003E4FF2">
        <w:rPr>
          <w:rFonts w:ascii="Verdana" w:hAnsi="Verdana"/>
          <w:color w:val="000000"/>
          <w:sz w:val="15"/>
          <w:szCs w:val="15"/>
        </w:rPr>
        <w:t>); HvJ EU 21 juni 2021,</w:t>
      </w:r>
      <w:r w:rsidR="0009144B" w:rsidRPr="003E4FF2">
        <w:rPr>
          <w:rFonts w:ascii="Verdana" w:hAnsi="Verdana"/>
          <w:color w:val="000000"/>
          <w:sz w:val="15"/>
          <w:szCs w:val="15"/>
        </w:rPr>
        <w:t xml:space="preserve"> </w:t>
      </w:r>
      <w:r w:rsidRPr="003E4FF2">
        <w:rPr>
          <w:rFonts w:ascii="Verdana" w:hAnsi="Verdana"/>
          <w:color w:val="000000"/>
          <w:sz w:val="15"/>
          <w:szCs w:val="15"/>
        </w:rPr>
        <w:t>ECLI:EU:C:2021:492 (</w:t>
      </w:r>
      <w:r w:rsidRPr="003E4FF2">
        <w:rPr>
          <w:rFonts w:ascii="Verdana" w:hAnsi="Verdana"/>
          <w:i/>
          <w:iCs/>
          <w:color w:val="000000"/>
          <w:sz w:val="15"/>
          <w:szCs w:val="15"/>
        </w:rPr>
        <w:t>Mircom</w:t>
      </w:r>
      <w:r w:rsidRPr="003E4FF2">
        <w:rPr>
          <w:rFonts w:ascii="Verdana" w:hAnsi="Verdana"/>
          <w:color w:val="000000"/>
          <w:sz w:val="15"/>
          <w:szCs w:val="15"/>
        </w:rPr>
        <w:t>); HvJ EU 9 november 2023, ECLI:EU:C:2023:837 (</w:t>
      </w:r>
      <w:r w:rsidRPr="003E4FF2">
        <w:rPr>
          <w:rFonts w:ascii="Verdana" w:hAnsi="Verdana"/>
          <w:i/>
          <w:iCs/>
          <w:color w:val="000000"/>
          <w:sz w:val="15"/>
          <w:szCs w:val="15"/>
        </w:rPr>
        <w:t>Scania</w:t>
      </w:r>
      <w:r w:rsidRPr="003E4FF2">
        <w:rPr>
          <w:rFonts w:ascii="Verdana" w:hAnsi="Verdana"/>
          <w:color w:val="000000"/>
          <w:sz w:val="15"/>
          <w:szCs w:val="15"/>
        </w:rPr>
        <w:t>); ABRvS 13 juli 2022,</w:t>
      </w:r>
      <w:r w:rsidR="0009144B" w:rsidRPr="003E4FF2">
        <w:rPr>
          <w:rFonts w:ascii="Verdana" w:hAnsi="Verdana"/>
          <w:color w:val="000000"/>
          <w:sz w:val="15"/>
          <w:szCs w:val="15"/>
        </w:rPr>
        <w:t xml:space="preserve"> </w:t>
      </w:r>
      <w:r w:rsidRPr="003E4FF2">
        <w:rPr>
          <w:rFonts w:ascii="Verdana" w:hAnsi="Verdana"/>
          <w:color w:val="000000"/>
          <w:sz w:val="15"/>
          <w:szCs w:val="15"/>
        </w:rPr>
        <w:t>ECLI:NL:RVS:2022:1993.</w:t>
      </w:r>
    </w:p>
  </w:footnote>
  <w:footnote w:id="47">
    <w:p w14:paraId="74344D72" w14:textId="67E36784" w:rsidR="006A78E5" w:rsidRPr="003E4FF2" w:rsidRDefault="006A78E5" w:rsidP="006A78E5">
      <w:pPr>
        <w:pStyle w:val="Voetnoottekst"/>
        <w:rPr>
          <w:rFonts w:ascii="Verdana" w:hAnsi="Verdana"/>
          <w:i/>
          <w:iCs/>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 xml:space="preserve">Kamerstukken II </w:t>
      </w:r>
      <w:r w:rsidRPr="003E4FF2">
        <w:rPr>
          <w:rFonts w:ascii="Verdana" w:hAnsi="Verdana"/>
          <w:sz w:val="15"/>
          <w:szCs w:val="15"/>
        </w:rPr>
        <w:t>2021/22</w:t>
      </w:r>
      <w:r w:rsidRPr="003E4FF2">
        <w:rPr>
          <w:rFonts w:ascii="Verdana" w:hAnsi="Verdana"/>
          <w:i/>
          <w:iCs/>
          <w:sz w:val="15"/>
          <w:szCs w:val="15"/>
        </w:rPr>
        <w:t xml:space="preserve">, </w:t>
      </w:r>
      <w:r w:rsidRPr="003E4FF2">
        <w:rPr>
          <w:rFonts w:ascii="Verdana" w:hAnsi="Verdana"/>
          <w:sz w:val="15"/>
          <w:szCs w:val="15"/>
        </w:rPr>
        <w:t>36084, nr. 3, p. 12-13.</w:t>
      </w:r>
    </w:p>
  </w:footnote>
  <w:footnote w:id="48">
    <w:p w14:paraId="158C101E" w14:textId="77777777" w:rsidR="006A78E5" w:rsidRPr="003E4FF2" w:rsidRDefault="006A78E5" w:rsidP="006A78E5">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het arrest van de Hoge Raad van 29 mei 2009, ECLI:NL:HR:2009:BH4720.</w:t>
      </w:r>
    </w:p>
  </w:footnote>
  <w:footnote w:id="49">
    <w:p w14:paraId="68205FBB" w14:textId="77777777" w:rsidR="00B009CA" w:rsidRPr="003E4FF2" w:rsidRDefault="00B009CA" w:rsidP="00B009CA">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r w:rsidRPr="003E4FF2">
        <w:rPr>
          <w:rFonts w:ascii="Verdana" w:hAnsi="Verdana"/>
          <w:sz w:val="15"/>
          <w:szCs w:val="15"/>
        </w:rPr>
        <w:t>cloudcomputingdiensten, aanbieders van datacentrumdiensten, aanbieders van netwerken voor de levering van inhoud, aanbieders van beheerde diensten, aanbieders van beheerde beveiligingsdiensten, aanbieders van onlinemarktplaatsen, van onlinezoekmachines en van platforms voor socialenetwerkdiensten, en verleners van vertrouwensdiensten (</w:t>
      </w:r>
      <w:r w:rsidRPr="003E4FF2">
        <w:rPr>
          <w:rFonts w:ascii="Verdana" w:hAnsi="Verdana"/>
          <w:i/>
          <w:iCs/>
          <w:sz w:val="15"/>
          <w:szCs w:val="15"/>
        </w:rPr>
        <w:t>PbEU</w:t>
      </w:r>
      <w:r w:rsidRPr="003E4FF2">
        <w:rPr>
          <w:rFonts w:ascii="Verdana" w:hAnsi="Verdana"/>
          <w:sz w:val="15"/>
          <w:szCs w:val="15"/>
        </w:rPr>
        <w:t xml:space="preserve"> L 2024/2690).</w:t>
      </w:r>
    </w:p>
  </w:footnote>
  <w:footnote w:id="50">
    <w:p w14:paraId="5A330385" w14:textId="6470E312" w:rsidR="00B42046" w:rsidRPr="003E4FF2" w:rsidRDefault="00B42046" w:rsidP="005A0BE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D83B03" w:rsidRPr="003E4FF2">
        <w:rPr>
          <w:rFonts w:ascii="Verdana" w:hAnsi="Verdana"/>
          <w:sz w:val="15"/>
          <w:szCs w:val="15"/>
        </w:rPr>
        <w:t xml:space="preserve">Het toezicht op de naleving van het bepaalde bij of krachtens de </w:t>
      </w:r>
      <w:r w:rsidR="00D83B03" w:rsidRPr="003E4FF2">
        <w:rPr>
          <w:rFonts w:ascii="Verdana" w:hAnsi="Verdana"/>
          <w:sz w:val="15"/>
          <w:szCs w:val="15"/>
        </w:rPr>
        <w:t>Cbw betreft bestuursrechtelijk toezicht. Deze vorm van toezicht geldt voor alle entiteiten die onder het toepassingsbereik van de Cbw vallen. Het bestuursrechtelijke toezicht geldt dus op gelijke wijze voor zowel private entiteiten als overheidsinstanties. Gelet op deze specifieke regeling van het toezicht in de Cbw, ligt het niet in de rede dat ten aanzien van provincies, gemeenten, waterschappen en gemeenschappelijke regelingen ook interbestuurlijk toezicht als bedoeld in onderscheidenlijk artikel 121 Provinciewet, artikel 124 Gemeentewet, artikel 60 Waterschapswet en artikel 32b Wet gemeenschappelijke regelingen wordt toegepast.</w:t>
      </w:r>
    </w:p>
  </w:footnote>
  <w:footnote w:id="51">
    <w:p w14:paraId="3076C864" w14:textId="14BF760D" w:rsidR="009C62C2" w:rsidRPr="003E4FF2" w:rsidRDefault="009C62C2" w:rsidP="009C62C2">
      <w:pPr>
        <w:pStyle w:val="Voetnoottekst"/>
        <w:ind w:left="0" w:firstLine="0"/>
        <w:rPr>
          <w:rFonts w:ascii="Verdana" w:hAnsi="Verdana"/>
          <w:sz w:val="15"/>
          <w:szCs w:val="15"/>
        </w:rPr>
      </w:pPr>
      <w:r w:rsidRPr="003E4FF2">
        <w:rPr>
          <w:rStyle w:val="Voetnootmarkering"/>
          <w:rFonts w:ascii="Verdana" w:hAnsi="Verdana"/>
          <w:bCs/>
          <w:sz w:val="15"/>
          <w:szCs w:val="15"/>
        </w:rPr>
        <w:footnoteRef/>
      </w:r>
      <w:r w:rsidRPr="003E4FF2">
        <w:rPr>
          <w:rFonts w:ascii="Verdana" w:hAnsi="Verdana"/>
          <w:b/>
          <w:bCs/>
          <w:sz w:val="15"/>
          <w:szCs w:val="15"/>
        </w:rPr>
        <w:t xml:space="preserve"> </w:t>
      </w:r>
      <w:r w:rsidRPr="003E4FF2">
        <w:rPr>
          <w:rFonts w:ascii="Verdana" w:hAnsi="Verdana"/>
          <w:sz w:val="15"/>
          <w:szCs w:val="15"/>
        </w:rPr>
        <w:t xml:space="preserve">Voor zover </w:t>
      </w:r>
      <w:r w:rsidR="001C4B05" w:rsidRPr="003E4FF2">
        <w:rPr>
          <w:rFonts w:ascii="Verdana" w:hAnsi="Verdana"/>
          <w:sz w:val="15"/>
          <w:szCs w:val="15"/>
        </w:rPr>
        <w:t>in die uitvoeringshandelingen en gedelegeerde handelingen</w:t>
      </w:r>
      <w:r w:rsidRPr="003E4FF2">
        <w:rPr>
          <w:rFonts w:ascii="Verdana" w:hAnsi="Verdana"/>
          <w:sz w:val="15"/>
          <w:szCs w:val="15"/>
        </w:rPr>
        <w:t xml:space="preserve"> is bepaald dat deze verbindend zijn en rechtstreeks toepasselijk zijn in elke lidstaat.</w:t>
      </w:r>
    </w:p>
  </w:footnote>
  <w:footnote w:id="52">
    <w:p w14:paraId="694AF07D" w14:textId="4B01B7CD" w:rsidR="008A6FBD" w:rsidRPr="003E4FF2" w:rsidRDefault="008A6FBD"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Overweging 15 en 122 </w:t>
      </w:r>
      <w:r w:rsidR="00DF67C4" w:rsidRPr="003E4FF2">
        <w:rPr>
          <w:rFonts w:ascii="Verdana" w:hAnsi="Verdana"/>
          <w:sz w:val="15"/>
          <w:szCs w:val="15"/>
        </w:rPr>
        <w:t xml:space="preserve">van de </w:t>
      </w:r>
      <w:r w:rsidRPr="003E4FF2">
        <w:rPr>
          <w:rFonts w:ascii="Verdana" w:hAnsi="Verdana"/>
          <w:sz w:val="15"/>
          <w:szCs w:val="15"/>
        </w:rPr>
        <w:t>NIS2-richtlijn.</w:t>
      </w:r>
    </w:p>
  </w:footnote>
  <w:footnote w:id="53">
    <w:p w14:paraId="1862CA2B" w14:textId="0534484A" w:rsidR="001C4B05" w:rsidRPr="003E4FF2" w:rsidRDefault="001C4B05" w:rsidP="001C4B05">
      <w:pPr>
        <w:pStyle w:val="Voetnoottekst"/>
        <w:ind w:left="0" w:firstLine="0"/>
        <w:rPr>
          <w:rFonts w:ascii="Verdana" w:hAnsi="Verdana"/>
          <w:sz w:val="15"/>
          <w:szCs w:val="15"/>
        </w:rPr>
      </w:pPr>
      <w:r w:rsidRPr="003E4FF2">
        <w:rPr>
          <w:rStyle w:val="Voetnootmarkering"/>
          <w:rFonts w:ascii="Verdana" w:hAnsi="Verdana"/>
          <w:bCs/>
          <w:sz w:val="15"/>
          <w:szCs w:val="15"/>
        </w:rPr>
        <w:footnoteRef/>
      </w:r>
      <w:r w:rsidRPr="003E4FF2">
        <w:rPr>
          <w:rFonts w:ascii="Verdana" w:hAnsi="Verdana"/>
          <w:b/>
          <w:bCs/>
          <w:sz w:val="15"/>
          <w:szCs w:val="15"/>
        </w:rPr>
        <w:t xml:space="preserve"> </w:t>
      </w:r>
      <w:r w:rsidRPr="003E4FF2">
        <w:rPr>
          <w:rFonts w:ascii="Verdana" w:hAnsi="Verdana"/>
          <w:sz w:val="15"/>
          <w:szCs w:val="15"/>
        </w:rPr>
        <w:t>Voor zover in die uitvoeringshandelingen en gedelegeerde handelingen is bepaald dat deze verbindend zijn en rechtstreeks toepasselijk zijn in elke lidstaat.</w:t>
      </w:r>
    </w:p>
  </w:footnote>
  <w:footnote w:id="54">
    <w:p w14:paraId="7AF8D0EF" w14:textId="3D9F03C6" w:rsidR="008A6FBD" w:rsidRPr="003E4FF2" w:rsidRDefault="008A6FBD"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Hierbij wordt ook verwezen naar overweging 133 </w:t>
      </w:r>
      <w:r w:rsidR="00DF67C4" w:rsidRPr="003E4FF2">
        <w:rPr>
          <w:rFonts w:ascii="Verdana" w:hAnsi="Verdana"/>
          <w:sz w:val="15"/>
          <w:szCs w:val="15"/>
        </w:rPr>
        <w:t xml:space="preserve">van de </w:t>
      </w:r>
      <w:r w:rsidRPr="003E4FF2">
        <w:rPr>
          <w:rFonts w:ascii="Verdana" w:hAnsi="Verdana"/>
          <w:sz w:val="15"/>
          <w:szCs w:val="15"/>
        </w:rPr>
        <w:t>NIS2-richtlijn: “Dergelijke tijdelijke opschortingen of verboden mogen alleen worden toegepast als ultiem middel, met name alleen nadat de andere in deze richtlijn neergelegde relevante handhavingsmaatregelen zijn uitgeput (...)”.</w:t>
      </w:r>
    </w:p>
  </w:footnote>
  <w:footnote w:id="55">
    <w:p w14:paraId="2D69B539" w14:textId="1A0711F7" w:rsidR="008A6FBD" w:rsidRPr="003E4FF2" w:rsidRDefault="008A6FBD"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Kamerstukken II</w:t>
      </w:r>
      <w:r w:rsidRPr="003E4FF2">
        <w:rPr>
          <w:rFonts w:ascii="Verdana" w:hAnsi="Verdana"/>
          <w:sz w:val="15"/>
          <w:szCs w:val="15"/>
        </w:rPr>
        <w:t xml:space="preserve"> 2017/18, 34883, nr. 3, p. 14.</w:t>
      </w:r>
      <w:r w:rsidR="0095498E" w:rsidRPr="003E4FF2">
        <w:rPr>
          <w:rFonts w:ascii="Verdana" w:hAnsi="Verdana"/>
          <w:sz w:val="15"/>
          <w:szCs w:val="15"/>
        </w:rPr>
        <w:t xml:space="preserve"> </w:t>
      </w:r>
    </w:p>
  </w:footnote>
  <w:footnote w:id="56">
    <w:p w14:paraId="0C2DEDD1" w14:textId="3F6A5AF2" w:rsidR="00F15368" w:rsidRPr="003E4FF2" w:rsidRDefault="00F15368" w:rsidP="00F15368">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In het geval van een schorsing, welke sanctie is opgenomen in voorgesteld artikel </w:t>
      </w:r>
      <w:r w:rsidR="0091701B" w:rsidRPr="003E4FF2">
        <w:rPr>
          <w:rFonts w:ascii="Verdana" w:hAnsi="Verdana"/>
          <w:sz w:val="15"/>
          <w:szCs w:val="15"/>
        </w:rPr>
        <w:t xml:space="preserve">78 </w:t>
      </w:r>
      <w:r w:rsidRPr="003E4FF2">
        <w:rPr>
          <w:rFonts w:ascii="Verdana" w:hAnsi="Verdana"/>
          <w:sz w:val="15"/>
          <w:szCs w:val="15"/>
        </w:rPr>
        <w:t>Cbw, komen deze waarborgen toe aan de bestuursleden van de essentiële entiteit.</w:t>
      </w:r>
    </w:p>
  </w:footnote>
  <w:footnote w:id="57">
    <w:p w14:paraId="3438DF86" w14:textId="77777777"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EHRM 25 februari 1997, ECLI:CE:ECHR:1997:0225JUD002200993 (</w:t>
      </w:r>
      <w:r w:rsidRPr="003E4FF2">
        <w:rPr>
          <w:rFonts w:ascii="Verdana" w:hAnsi="Verdana"/>
          <w:i/>
          <w:iCs/>
          <w:sz w:val="15"/>
          <w:szCs w:val="15"/>
        </w:rPr>
        <w:t>Z./Finland</w:t>
      </w:r>
      <w:r w:rsidRPr="003E4FF2">
        <w:rPr>
          <w:rFonts w:ascii="Verdana" w:hAnsi="Verdana"/>
          <w:sz w:val="15"/>
          <w:szCs w:val="15"/>
        </w:rPr>
        <w:t>), punt 94.</w:t>
      </w:r>
    </w:p>
  </w:footnote>
  <w:footnote w:id="58">
    <w:p w14:paraId="04E3D474" w14:textId="77777777"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bijvoorbeeld EHRM 4 december 2008, ECLI:CE:ECHR:2008:1204JUD003056204 (</w:t>
      </w:r>
      <w:r w:rsidRPr="003E4FF2">
        <w:rPr>
          <w:rFonts w:ascii="Verdana" w:hAnsi="Verdana"/>
          <w:i/>
          <w:iCs/>
          <w:sz w:val="15"/>
          <w:szCs w:val="15"/>
        </w:rPr>
        <w:t xml:space="preserve">S. en </w:t>
      </w:r>
      <w:r w:rsidRPr="003E4FF2">
        <w:rPr>
          <w:rFonts w:ascii="Verdana" w:hAnsi="Verdana"/>
          <w:i/>
          <w:iCs/>
          <w:sz w:val="15"/>
          <w:szCs w:val="15"/>
        </w:rPr>
        <w:t>Marper/Verenigd Koninkrijk</w:t>
      </w:r>
      <w:r w:rsidRPr="003E4FF2">
        <w:rPr>
          <w:rFonts w:ascii="Verdana" w:hAnsi="Verdana"/>
          <w:sz w:val="15"/>
          <w:szCs w:val="15"/>
        </w:rPr>
        <w:t>).</w:t>
      </w:r>
    </w:p>
  </w:footnote>
  <w:footnote w:id="59">
    <w:p w14:paraId="335A0AAB" w14:textId="77777777"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bijvoorbeeld EHRM 6 november 2018, ECLI:CE:ECHR:2018:1106JUD002552713 (</w:t>
      </w:r>
      <w:r w:rsidRPr="003E4FF2">
        <w:rPr>
          <w:rFonts w:ascii="Verdana" w:hAnsi="Verdana"/>
          <w:i/>
          <w:iCs/>
          <w:sz w:val="15"/>
          <w:szCs w:val="15"/>
        </w:rPr>
        <w:t>Vicent Del Campo/Spanje</w:t>
      </w:r>
      <w:r w:rsidRPr="003E4FF2">
        <w:rPr>
          <w:rFonts w:ascii="Verdana" w:hAnsi="Verdana"/>
          <w:sz w:val="15"/>
          <w:szCs w:val="15"/>
        </w:rPr>
        <w:t>).</w:t>
      </w:r>
    </w:p>
  </w:footnote>
  <w:footnote w:id="60">
    <w:p w14:paraId="20581DDF" w14:textId="6B6BB815"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bijvoorbeeld EHRM 26 januari 2017, ECLI:CE:ECHR:2017:0126JUD004278806 (</w:t>
      </w:r>
      <w:r w:rsidRPr="003E4FF2">
        <w:rPr>
          <w:rFonts w:ascii="Verdana" w:hAnsi="Verdana"/>
          <w:i/>
          <w:iCs/>
          <w:sz w:val="15"/>
          <w:szCs w:val="15"/>
        </w:rPr>
        <w:t>Surikov/Oekra</w:t>
      </w:r>
      <w:r w:rsidR="0030750C" w:rsidRPr="003E4FF2">
        <w:rPr>
          <w:rFonts w:ascii="Verdana" w:hAnsi="Verdana"/>
          <w:i/>
          <w:iCs/>
          <w:sz w:val="15"/>
          <w:szCs w:val="15"/>
        </w:rPr>
        <w:t>ï</w:t>
      </w:r>
      <w:r w:rsidRPr="003E4FF2">
        <w:rPr>
          <w:rFonts w:ascii="Verdana" w:hAnsi="Verdana"/>
          <w:i/>
          <w:iCs/>
          <w:sz w:val="15"/>
          <w:szCs w:val="15"/>
        </w:rPr>
        <w:t>ne</w:t>
      </w:r>
      <w:r w:rsidRPr="003E4FF2">
        <w:rPr>
          <w:rFonts w:ascii="Verdana" w:hAnsi="Verdana"/>
          <w:sz w:val="15"/>
          <w:szCs w:val="15"/>
        </w:rPr>
        <w:t>).</w:t>
      </w:r>
    </w:p>
  </w:footnote>
  <w:footnote w:id="61">
    <w:p w14:paraId="6F7ECABD" w14:textId="3A9B2C8D"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bijvoorbeeld EHRM 26 januari 2017, ECLI:CE:ECHR:2017:0126JUD004278806 (</w:t>
      </w:r>
      <w:r w:rsidRPr="003E4FF2">
        <w:rPr>
          <w:rFonts w:ascii="Verdana" w:hAnsi="Verdana"/>
          <w:i/>
          <w:iCs/>
          <w:sz w:val="15"/>
          <w:szCs w:val="15"/>
        </w:rPr>
        <w:t>Surikov/Oekra</w:t>
      </w:r>
      <w:r w:rsidR="0030750C" w:rsidRPr="003E4FF2">
        <w:rPr>
          <w:rFonts w:ascii="Verdana" w:hAnsi="Verdana"/>
          <w:i/>
          <w:iCs/>
          <w:sz w:val="15"/>
          <w:szCs w:val="15"/>
        </w:rPr>
        <w:t>ï</w:t>
      </w:r>
      <w:r w:rsidRPr="003E4FF2">
        <w:rPr>
          <w:rFonts w:ascii="Verdana" w:hAnsi="Verdana"/>
          <w:i/>
          <w:iCs/>
          <w:sz w:val="15"/>
          <w:szCs w:val="15"/>
        </w:rPr>
        <w:t>ne</w:t>
      </w:r>
      <w:r w:rsidRPr="003E4FF2">
        <w:rPr>
          <w:rFonts w:ascii="Verdana" w:hAnsi="Verdana"/>
          <w:sz w:val="15"/>
          <w:szCs w:val="15"/>
        </w:rPr>
        <w:t>).</w:t>
      </w:r>
    </w:p>
  </w:footnote>
  <w:footnote w:id="62">
    <w:p w14:paraId="6E34AB3B" w14:textId="77777777"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bijvoorbeeld EHRM 4 december 2008, ECLI:CE:ECHR:2008:1204JUD003056204 (</w:t>
      </w:r>
      <w:r w:rsidRPr="003E4FF2">
        <w:rPr>
          <w:rFonts w:ascii="Verdana" w:hAnsi="Verdana"/>
          <w:i/>
          <w:iCs/>
          <w:sz w:val="15"/>
          <w:szCs w:val="15"/>
        </w:rPr>
        <w:t xml:space="preserve">S. en </w:t>
      </w:r>
      <w:r w:rsidRPr="003E4FF2">
        <w:rPr>
          <w:rFonts w:ascii="Verdana" w:hAnsi="Verdana"/>
          <w:i/>
          <w:iCs/>
          <w:sz w:val="15"/>
          <w:szCs w:val="15"/>
        </w:rPr>
        <w:t>Marper/Verenigd Koninkrijk</w:t>
      </w:r>
      <w:r w:rsidRPr="003E4FF2">
        <w:rPr>
          <w:rFonts w:ascii="Verdana" w:hAnsi="Verdana"/>
          <w:sz w:val="15"/>
          <w:szCs w:val="15"/>
        </w:rPr>
        <w:t>).</w:t>
      </w:r>
    </w:p>
  </w:footnote>
  <w:footnote w:id="63">
    <w:p w14:paraId="7599F4AF" w14:textId="7B9E449D"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bijvoorbeeld EHRM 26 januari 2017, ECLI:CE:ECHR:2017:0126JUD004278806 (</w:t>
      </w:r>
      <w:r w:rsidRPr="003E4FF2">
        <w:rPr>
          <w:rFonts w:ascii="Verdana" w:hAnsi="Verdana"/>
          <w:i/>
          <w:iCs/>
          <w:sz w:val="15"/>
          <w:szCs w:val="15"/>
        </w:rPr>
        <w:t>Surikov/Oekra</w:t>
      </w:r>
      <w:r w:rsidR="0030750C" w:rsidRPr="003E4FF2">
        <w:rPr>
          <w:rFonts w:ascii="Verdana" w:hAnsi="Verdana"/>
          <w:i/>
          <w:iCs/>
          <w:sz w:val="15"/>
          <w:szCs w:val="15"/>
        </w:rPr>
        <w:t>ï</w:t>
      </w:r>
      <w:r w:rsidRPr="003E4FF2">
        <w:rPr>
          <w:rFonts w:ascii="Verdana" w:hAnsi="Verdana"/>
          <w:i/>
          <w:iCs/>
          <w:sz w:val="15"/>
          <w:szCs w:val="15"/>
        </w:rPr>
        <w:t>ne</w:t>
      </w:r>
      <w:r w:rsidRPr="003E4FF2">
        <w:rPr>
          <w:rFonts w:ascii="Verdana" w:hAnsi="Verdana"/>
          <w:sz w:val="15"/>
          <w:szCs w:val="15"/>
        </w:rPr>
        <w:t>).</w:t>
      </w:r>
    </w:p>
  </w:footnote>
  <w:footnote w:id="64">
    <w:p w14:paraId="2E4CE053" w14:textId="77777777" w:rsidR="00C72DA6" w:rsidRPr="003E4FF2" w:rsidRDefault="00C72DA6" w:rsidP="00C72D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bijvoorbeeld EHRM 4 december 2008, ECLI:CE:ECHR:2008:1204JUD003056204 (</w:t>
      </w:r>
      <w:r w:rsidRPr="003E4FF2">
        <w:rPr>
          <w:rFonts w:ascii="Verdana" w:hAnsi="Verdana"/>
          <w:i/>
          <w:iCs/>
          <w:sz w:val="15"/>
          <w:szCs w:val="15"/>
        </w:rPr>
        <w:t xml:space="preserve">S. en </w:t>
      </w:r>
      <w:r w:rsidRPr="003E4FF2">
        <w:rPr>
          <w:rFonts w:ascii="Verdana" w:hAnsi="Verdana"/>
          <w:i/>
          <w:iCs/>
          <w:sz w:val="15"/>
          <w:szCs w:val="15"/>
        </w:rPr>
        <w:t>Marper/Verenigd Koninkrijk</w:t>
      </w:r>
      <w:r w:rsidRPr="003E4FF2">
        <w:rPr>
          <w:rFonts w:ascii="Verdana" w:hAnsi="Verdana"/>
          <w:sz w:val="15"/>
          <w:szCs w:val="15"/>
        </w:rPr>
        <w:t>).</w:t>
      </w:r>
    </w:p>
  </w:footnote>
  <w:footnote w:id="65">
    <w:p w14:paraId="624A2152" w14:textId="2A162F81" w:rsidR="00E06A2B" w:rsidRPr="003E4FF2" w:rsidRDefault="00E06A2B">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Het Ministerie van Defensie is </w:t>
      </w:r>
      <w:r w:rsidR="0094496D" w:rsidRPr="003E4FF2">
        <w:rPr>
          <w:rFonts w:ascii="Verdana" w:hAnsi="Verdana"/>
          <w:sz w:val="15"/>
          <w:szCs w:val="15"/>
        </w:rPr>
        <w:t>op grond van artikel 5</w:t>
      </w:r>
      <w:r w:rsidR="00827FF5" w:rsidRPr="003E4FF2">
        <w:rPr>
          <w:rFonts w:ascii="Verdana" w:hAnsi="Verdana"/>
          <w:sz w:val="15"/>
          <w:szCs w:val="15"/>
        </w:rPr>
        <w:t>, eerste lid,</w:t>
      </w:r>
      <w:r w:rsidR="0094496D" w:rsidRPr="003E4FF2">
        <w:rPr>
          <w:rFonts w:ascii="Verdana" w:hAnsi="Verdana"/>
          <w:sz w:val="15"/>
          <w:szCs w:val="15"/>
        </w:rPr>
        <w:t xml:space="preserve"> </w:t>
      </w:r>
      <w:r w:rsidR="0094496D" w:rsidRPr="003E4FF2">
        <w:rPr>
          <w:rFonts w:ascii="Verdana" w:hAnsi="Verdana"/>
          <w:sz w:val="15"/>
          <w:szCs w:val="15"/>
        </w:rPr>
        <w:t xml:space="preserve">Cbw </w:t>
      </w:r>
      <w:r w:rsidRPr="003E4FF2">
        <w:rPr>
          <w:rFonts w:ascii="Verdana" w:hAnsi="Verdana"/>
          <w:sz w:val="15"/>
          <w:szCs w:val="15"/>
        </w:rPr>
        <w:t>uitgesloten van het toepassingsbereik van de Cbw.</w:t>
      </w:r>
    </w:p>
  </w:footnote>
  <w:footnote w:id="66">
    <w:p w14:paraId="56BD71C2" w14:textId="77777777" w:rsidR="006F7F9A" w:rsidRPr="003E4FF2" w:rsidRDefault="006F7F9A" w:rsidP="009A3AE7">
      <w:pPr>
        <w:pStyle w:val="Voetnoottekst"/>
        <w:ind w:left="0" w:firstLine="0"/>
        <w:rPr>
          <w:rFonts w:ascii="Verdana" w:hAnsi="Verdana"/>
          <w:sz w:val="15"/>
          <w:szCs w:val="15"/>
        </w:rPr>
      </w:pPr>
      <w:r w:rsidRPr="003E4FF2">
        <w:rPr>
          <w:rStyle w:val="Voetnootmarkering"/>
          <w:rFonts w:ascii="Verdana" w:eastAsiaTheme="minorHAnsi" w:hAnsi="Verdana" w:cstheme="minorBidi"/>
          <w:bCs/>
          <w:sz w:val="15"/>
          <w:szCs w:val="15"/>
        </w:rPr>
        <w:footnoteRef/>
      </w:r>
      <w:r w:rsidRPr="003E4FF2">
        <w:rPr>
          <w:rStyle w:val="Voetnootmarkering"/>
          <w:rFonts w:ascii="Verdana" w:eastAsiaTheme="minorHAnsi" w:hAnsi="Verdana" w:cstheme="minorBidi"/>
          <w:bCs/>
          <w:sz w:val="15"/>
          <w:szCs w:val="15"/>
        </w:rPr>
        <w:t xml:space="preserve"> </w:t>
      </w:r>
      <w:r w:rsidRPr="003E4FF2">
        <w:rPr>
          <w:rFonts w:ascii="Verdana" w:eastAsiaTheme="minorHAnsi" w:hAnsi="Verdana" w:cstheme="minorBidi"/>
          <w:sz w:val="15"/>
          <w:szCs w:val="15"/>
        </w:rPr>
        <w:t>Richtlijn (EU) 2020/2184 van het Europees Parlement en de Raad van 16 december 2020 betreffende de kwaliteit van voor menselijke consumptie bestemd water (</w:t>
      </w:r>
      <w:r w:rsidRPr="003E4FF2">
        <w:rPr>
          <w:rFonts w:ascii="Verdana" w:eastAsiaTheme="minorHAnsi" w:hAnsi="Verdana" w:cstheme="minorBidi"/>
          <w:i/>
          <w:iCs/>
          <w:sz w:val="15"/>
          <w:szCs w:val="15"/>
        </w:rPr>
        <w:t>PbEU</w:t>
      </w:r>
      <w:r w:rsidRPr="003E4FF2">
        <w:rPr>
          <w:rFonts w:ascii="Verdana" w:eastAsiaTheme="minorHAnsi" w:hAnsi="Verdana" w:cstheme="minorBidi"/>
          <w:sz w:val="15"/>
          <w:szCs w:val="15"/>
        </w:rPr>
        <w:t xml:space="preserve"> 2020, L 435).</w:t>
      </w:r>
    </w:p>
  </w:footnote>
  <w:footnote w:id="67">
    <w:p w14:paraId="33A3B171" w14:textId="77777777" w:rsidR="005709A6" w:rsidRPr="003E4FF2" w:rsidRDefault="005709A6" w:rsidP="005709A6">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Richtlijn 2012/18/EU van het Europees Parlement en de Raad van 4 juli 2012 betreffende de beheersing van de gevaren van zware ongevallen waarbij gevaarlijke stoffen zijn betrokken, houdende wijziging en vervolgens intrekking van Richtlijn 96/82/EG van de Raad (</w:t>
      </w:r>
      <w:r w:rsidRPr="003E4FF2">
        <w:rPr>
          <w:rFonts w:ascii="Verdana" w:hAnsi="Verdana"/>
          <w:i/>
          <w:iCs/>
          <w:sz w:val="15"/>
          <w:szCs w:val="15"/>
        </w:rPr>
        <w:t>PbEU</w:t>
      </w:r>
      <w:r w:rsidRPr="003E4FF2">
        <w:rPr>
          <w:rFonts w:ascii="Verdana" w:hAnsi="Verdana"/>
          <w:sz w:val="15"/>
          <w:szCs w:val="15"/>
        </w:rPr>
        <w:t xml:space="preserve"> 2012, L 197).</w:t>
      </w:r>
    </w:p>
  </w:footnote>
  <w:footnote w:id="68">
    <w:p w14:paraId="217A4890" w14:textId="77777777" w:rsidR="000F43EE" w:rsidRPr="002E6E42" w:rsidRDefault="000F43EE" w:rsidP="000F43EE">
      <w:pPr>
        <w:pStyle w:val="Geenafstand"/>
        <w:rPr>
          <w:rFonts w:ascii="Verdana" w:hAnsi="Verdana"/>
          <w:bCs/>
          <w:sz w:val="15"/>
          <w:szCs w:val="15"/>
        </w:rPr>
      </w:pPr>
      <w:r w:rsidRPr="002E6E42">
        <w:rPr>
          <w:rStyle w:val="Voetnootmarkering"/>
          <w:rFonts w:ascii="Verdana" w:hAnsi="Verdana"/>
          <w:bCs/>
          <w:sz w:val="15"/>
          <w:szCs w:val="15"/>
        </w:rPr>
        <w:footnoteRef/>
      </w:r>
      <w:r w:rsidRPr="002E6E42">
        <w:rPr>
          <w:rFonts w:ascii="Verdana" w:hAnsi="Verdana"/>
          <w:bCs/>
          <w:sz w:val="15"/>
          <w:szCs w:val="15"/>
        </w:rPr>
        <w:t xml:space="preserve"> </w:t>
      </w:r>
      <w:r w:rsidRPr="002E6E42">
        <w:rPr>
          <w:rFonts w:ascii="Verdana" w:hAnsi="Verdana"/>
          <w:bCs/>
          <w:i/>
          <w:iCs/>
          <w:sz w:val="15"/>
          <w:szCs w:val="15"/>
        </w:rPr>
        <w:t>Kamerstukken</w:t>
      </w:r>
      <w:r w:rsidRPr="002E6E42">
        <w:rPr>
          <w:rFonts w:ascii="Verdana" w:hAnsi="Verdana"/>
          <w:bCs/>
          <w:sz w:val="15"/>
          <w:szCs w:val="15"/>
        </w:rPr>
        <w:t xml:space="preserve"> 36378. </w:t>
      </w:r>
    </w:p>
  </w:footnote>
  <w:footnote w:id="69">
    <w:p w14:paraId="77A08307" w14:textId="77777777" w:rsidR="008B502C" w:rsidRPr="006156AB" w:rsidRDefault="008B502C" w:rsidP="008B502C">
      <w:pPr>
        <w:pStyle w:val="Voetnoottekst"/>
        <w:rPr>
          <w:rFonts w:ascii="Verdana" w:hAnsi="Verdana"/>
          <w:b/>
          <w:bCs/>
          <w:sz w:val="15"/>
          <w:szCs w:val="15"/>
        </w:rPr>
      </w:pPr>
      <w:r w:rsidRPr="002E6E42">
        <w:rPr>
          <w:rStyle w:val="Voetnootmarkering"/>
          <w:rFonts w:ascii="Verdana" w:hAnsi="Verdana"/>
          <w:bCs/>
          <w:sz w:val="15"/>
          <w:szCs w:val="15"/>
        </w:rPr>
        <w:footnoteRef/>
      </w:r>
      <w:r w:rsidRPr="002E6E42">
        <w:rPr>
          <w:rFonts w:ascii="Verdana" w:hAnsi="Verdana"/>
          <w:b/>
          <w:bCs/>
          <w:sz w:val="15"/>
          <w:szCs w:val="15"/>
        </w:rPr>
        <w:t xml:space="preserve"> </w:t>
      </w:r>
      <w:r w:rsidRPr="006156AB">
        <w:rPr>
          <w:rFonts w:ascii="Verdana" w:hAnsi="Verdana"/>
          <w:i/>
          <w:iCs/>
          <w:sz w:val="15"/>
          <w:szCs w:val="15"/>
        </w:rPr>
        <w:t xml:space="preserve">Kamerstukken </w:t>
      </w:r>
      <w:r w:rsidRPr="006156AB">
        <w:rPr>
          <w:rFonts w:ascii="Verdana" w:hAnsi="Verdana"/>
          <w:sz w:val="15"/>
          <w:szCs w:val="15"/>
        </w:rPr>
        <w:t>36576.</w:t>
      </w:r>
    </w:p>
  </w:footnote>
  <w:footnote w:id="70">
    <w:p w14:paraId="00F6CC50" w14:textId="525AB73F" w:rsidR="00F65EB0" w:rsidRPr="003E4FF2" w:rsidRDefault="00F65EB0" w:rsidP="009A3AE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r w:rsidRPr="003E4FF2">
        <w:rPr>
          <w:rFonts w:ascii="Verdana" w:hAnsi="Verdana"/>
          <w:i/>
          <w:iCs/>
          <w:sz w:val="15"/>
          <w:szCs w:val="15"/>
        </w:rPr>
        <w:t xml:space="preserve">PbEU </w:t>
      </w:r>
      <w:r w:rsidRPr="003E4FF2">
        <w:rPr>
          <w:rFonts w:ascii="Verdana" w:hAnsi="Verdana"/>
          <w:sz w:val="15"/>
          <w:szCs w:val="15"/>
        </w:rPr>
        <w:t>2002, L 31).</w:t>
      </w:r>
    </w:p>
  </w:footnote>
  <w:footnote w:id="71">
    <w:p w14:paraId="2E1679C3" w14:textId="651FDE8F" w:rsidR="00552513" w:rsidRPr="003E4FF2" w:rsidRDefault="00552513" w:rsidP="009A3AE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Verordening (EG) Nr. 852/2004 van het Europees Parlement en de Raad van 29 april 2004 inzake levensmiddelenhygiëne (</w:t>
      </w:r>
      <w:r w:rsidRPr="003E4FF2">
        <w:rPr>
          <w:rFonts w:ascii="Verdana" w:hAnsi="Verdana"/>
          <w:i/>
          <w:iCs/>
          <w:sz w:val="15"/>
          <w:szCs w:val="15"/>
        </w:rPr>
        <w:t xml:space="preserve">PbEU </w:t>
      </w:r>
      <w:r w:rsidRPr="003E4FF2">
        <w:rPr>
          <w:rFonts w:ascii="Verdana" w:hAnsi="Verdana"/>
          <w:sz w:val="15"/>
          <w:szCs w:val="15"/>
        </w:rPr>
        <w:t>2004, L 139).</w:t>
      </w:r>
    </w:p>
  </w:footnote>
  <w:footnote w:id="72">
    <w:p w14:paraId="18194F8F" w14:textId="15B744AB" w:rsidR="00F50A8D" w:rsidRPr="003E4FF2" w:rsidRDefault="00F50A8D" w:rsidP="009A3AE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bookmarkStart w:id="188" w:name="_Hlk169792922"/>
      <w:r w:rsidR="00945659" w:rsidRPr="003E4FF2">
        <w:rPr>
          <w:rFonts w:ascii="Verdana" w:hAnsi="Verdana"/>
          <w:sz w:val="15"/>
          <w:szCs w:val="15"/>
        </w:rPr>
        <w:t>Verordening (EU) 2017/745 van het Europees Parlement en de Raad van 5 april 2017 betreffende medische hulpmiddelen, tot wijziging van Richtlijn 2001/83/EG, Verordening (EG) nr. 178/2002 en Verordening (EG) nr. 1223/2009, en tot intrekking van Richtlijnen 90/385/EEG en 93/42/EEG van de Raad (</w:t>
      </w:r>
      <w:r w:rsidR="00945659" w:rsidRPr="003E4FF2">
        <w:rPr>
          <w:rFonts w:ascii="Verdana" w:hAnsi="Verdana"/>
          <w:i/>
          <w:iCs/>
          <w:sz w:val="15"/>
          <w:szCs w:val="15"/>
        </w:rPr>
        <w:t xml:space="preserve">PbEU </w:t>
      </w:r>
      <w:r w:rsidR="00945659" w:rsidRPr="003E4FF2">
        <w:rPr>
          <w:rFonts w:ascii="Verdana" w:hAnsi="Verdana"/>
          <w:sz w:val="15"/>
          <w:szCs w:val="15"/>
        </w:rPr>
        <w:t xml:space="preserve">2017, L 117). </w:t>
      </w:r>
      <w:bookmarkEnd w:id="188"/>
    </w:p>
  </w:footnote>
  <w:footnote w:id="73">
    <w:p w14:paraId="66738E6E" w14:textId="2963DA35" w:rsidR="005D6C9A" w:rsidRPr="005D6C9A" w:rsidRDefault="005D6C9A" w:rsidP="005D6C9A">
      <w:pPr>
        <w:pStyle w:val="Geenafstand"/>
        <w:rPr>
          <w:rFonts w:ascii="Verdana" w:hAnsi="Verdana"/>
          <w:sz w:val="15"/>
          <w:szCs w:val="15"/>
        </w:rPr>
      </w:pPr>
      <w:r w:rsidRPr="005D6C9A">
        <w:rPr>
          <w:rStyle w:val="Voetnootmarkering"/>
          <w:rFonts w:ascii="Verdana" w:hAnsi="Verdana"/>
          <w:sz w:val="15"/>
          <w:szCs w:val="15"/>
        </w:rPr>
        <w:footnoteRef/>
      </w:r>
      <w:r w:rsidRPr="005D6C9A">
        <w:rPr>
          <w:rFonts w:ascii="Verdana" w:hAnsi="Verdana"/>
          <w:sz w:val="15"/>
          <w:szCs w:val="15"/>
        </w:rPr>
        <w:t xml:space="preserve"> V</w:t>
      </w:r>
      <w:r>
        <w:rPr>
          <w:rFonts w:ascii="Verdana" w:hAnsi="Verdana"/>
          <w:sz w:val="15"/>
          <w:szCs w:val="15"/>
        </w:rPr>
        <w:t xml:space="preserve">erordening </w:t>
      </w:r>
      <w:r w:rsidRPr="005D6C9A">
        <w:rPr>
          <w:rFonts w:ascii="Verdana" w:hAnsi="Verdana"/>
          <w:sz w:val="15"/>
          <w:szCs w:val="15"/>
        </w:rPr>
        <w:t xml:space="preserve">(EU) 2017/746 </w:t>
      </w:r>
      <w:r>
        <w:rPr>
          <w:rFonts w:ascii="Verdana" w:hAnsi="Verdana"/>
          <w:sz w:val="15"/>
          <w:szCs w:val="15"/>
        </w:rPr>
        <w:t xml:space="preserve">van het Europees Parlement en de Raad </w:t>
      </w:r>
      <w:r w:rsidRPr="005D6C9A">
        <w:rPr>
          <w:rFonts w:ascii="Verdana" w:hAnsi="Verdana"/>
          <w:sz w:val="15"/>
          <w:szCs w:val="15"/>
        </w:rPr>
        <w:t>van 5 april 2017 betreffende medische</w:t>
      </w:r>
      <w:r>
        <w:rPr>
          <w:rFonts w:ascii="Verdana" w:hAnsi="Verdana"/>
          <w:sz w:val="15"/>
          <w:szCs w:val="15"/>
        </w:rPr>
        <w:t xml:space="preserve"> </w:t>
      </w:r>
      <w:r w:rsidRPr="005D6C9A">
        <w:rPr>
          <w:rFonts w:ascii="Verdana" w:hAnsi="Verdana"/>
          <w:sz w:val="15"/>
          <w:szCs w:val="15"/>
        </w:rPr>
        <w:t>hulpmiddelen voor in-vitrodiagnostiek en tot intrekking van Richtlijn 98/79/EG en Besluit 2010/227/EU van de Commissie (</w:t>
      </w:r>
      <w:r w:rsidRPr="005D6C9A">
        <w:rPr>
          <w:rFonts w:ascii="Verdana" w:hAnsi="Verdana"/>
          <w:i/>
          <w:iCs/>
          <w:sz w:val="15"/>
          <w:szCs w:val="15"/>
        </w:rPr>
        <w:t>PbEU</w:t>
      </w:r>
      <w:r w:rsidRPr="005D6C9A">
        <w:rPr>
          <w:rFonts w:ascii="Verdana" w:hAnsi="Verdana"/>
          <w:sz w:val="15"/>
          <w:szCs w:val="15"/>
        </w:rPr>
        <w:t xml:space="preserve"> 2017, L 117).</w:t>
      </w:r>
    </w:p>
  </w:footnote>
  <w:footnote w:id="74">
    <w:p w14:paraId="38A546D8" w14:textId="1EC1B9F1" w:rsidR="001E33D7" w:rsidRPr="003E4FF2" w:rsidRDefault="001E33D7" w:rsidP="00CB6D88">
      <w:pPr>
        <w:pStyle w:val="Geenafstand"/>
        <w:rPr>
          <w:rFonts w:ascii="Verdana" w:hAnsi="Verdana"/>
          <w:sz w:val="15"/>
          <w:szCs w:val="15"/>
          <w:lang w:val="en-US"/>
        </w:rPr>
      </w:pPr>
      <w:r w:rsidRPr="003E4FF2">
        <w:rPr>
          <w:rStyle w:val="Voetnootmarkering"/>
          <w:rFonts w:ascii="Verdana" w:hAnsi="Verdana"/>
          <w:sz w:val="15"/>
          <w:szCs w:val="15"/>
        </w:rPr>
        <w:footnoteRef/>
      </w:r>
      <w:r w:rsidRPr="003E4FF2">
        <w:rPr>
          <w:rFonts w:ascii="Verdana" w:hAnsi="Verdana"/>
          <w:sz w:val="15"/>
          <w:szCs w:val="15"/>
          <w:lang w:val="en-US"/>
        </w:rPr>
        <w:t xml:space="preserve"> </w:t>
      </w:r>
      <w:r w:rsidRPr="003E4FF2">
        <w:rPr>
          <w:rFonts w:ascii="Verdana" w:hAnsi="Verdana"/>
          <w:i/>
          <w:iCs/>
          <w:sz w:val="15"/>
          <w:szCs w:val="15"/>
          <w:lang w:val="en-US"/>
        </w:rPr>
        <w:t>Commission staff working document impact assessment report accompanying the document “Proposal for a Directive of the European Parliament and of the Council on measures for a high common level of cybersecurity across the Union, repealing Directive (EU) 2016/1148”,</w:t>
      </w:r>
      <w:r w:rsidR="00CB6D88" w:rsidRPr="003E4FF2">
        <w:rPr>
          <w:rFonts w:ascii="Verdana" w:hAnsi="Verdana"/>
          <w:i/>
          <w:iCs/>
          <w:sz w:val="15"/>
          <w:szCs w:val="15"/>
        </w:rPr>
        <w:t xml:space="preserve"> </w:t>
      </w:r>
      <w:r w:rsidR="00CB6D88" w:rsidRPr="003E4FF2">
        <w:rPr>
          <w:rFonts w:ascii="Verdana" w:hAnsi="Verdana"/>
          <w:i/>
          <w:iCs/>
          <w:sz w:val="15"/>
          <w:szCs w:val="15"/>
          <w:lang w:val="en-US"/>
        </w:rPr>
        <w:t>SWD(2020) 345 final,</w:t>
      </w:r>
      <w:r w:rsidR="00CB6D88" w:rsidRPr="003E4FF2">
        <w:rPr>
          <w:rFonts w:ascii="Verdana" w:hAnsi="Verdana"/>
          <w:sz w:val="15"/>
          <w:szCs w:val="15"/>
          <w:lang w:val="en-US"/>
        </w:rPr>
        <w:t xml:space="preserve"> </w:t>
      </w:r>
      <w:r w:rsidRPr="003E4FF2">
        <w:rPr>
          <w:rFonts w:ascii="Verdana" w:hAnsi="Verdana"/>
          <w:sz w:val="15"/>
          <w:szCs w:val="15"/>
          <w:lang w:val="en-US"/>
        </w:rPr>
        <w:t>te raadplegen op</w:t>
      </w:r>
      <w:r w:rsidR="00CB6D88" w:rsidRPr="003E4FF2">
        <w:rPr>
          <w:rFonts w:ascii="Verdana" w:hAnsi="Verdana"/>
          <w:sz w:val="15"/>
          <w:szCs w:val="15"/>
          <w:lang w:val="en-US"/>
        </w:rPr>
        <w:t>:</w:t>
      </w:r>
      <w:r w:rsidR="00CB6D88" w:rsidRPr="003E4FF2">
        <w:rPr>
          <w:rFonts w:ascii="Verdana" w:hAnsi="Verdana"/>
          <w:sz w:val="15"/>
          <w:szCs w:val="15"/>
        </w:rPr>
        <w:t xml:space="preserve"> </w:t>
      </w:r>
      <w:r w:rsidR="00CB6D88" w:rsidRPr="003E4FF2">
        <w:rPr>
          <w:rFonts w:ascii="Verdana" w:hAnsi="Verdana"/>
          <w:sz w:val="15"/>
          <w:szCs w:val="15"/>
          <w:lang w:val="en-US"/>
        </w:rPr>
        <w:t>https://eur-lex.europa.eu/legal-content/EN/TXT/?uri=celex%3A52020SC0345.</w:t>
      </w:r>
    </w:p>
  </w:footnote>
  <w:footnote w:id="75">
    <w:p w14:paraId="433FF2BB" w14:textId="1B90B741" w:rsidR="008C4500" w:rsidRPr="003E4FF2" w:rsidRDefault="008C4500" w:rsidP="0039239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Handboek Meting Regeldrukkosten, versie 2.</w:t>
      </w:r>
      <w:r w:rsidR="008F60A2" w:rsidRPr="003E4FF2">
        <w:rPr>
          <w:rFonts w:ascii="Verdana" w:hAnsi="Verdana"/>
          <w:sz w:val="15"/>
          <w:szCs w:val="15"/>
        </w:rPr>
        <w:t>1</w:t>
      </w:r>
      <w:r w:rsidRPr="003E4FF2">
        <w:rPr>
          <w:rFonts w:ascii="Verdana" w:hAnsi="Verdana"/>
          <w:sz w:val="15"/>
          <w:szCs w:val="15"/>
        </w:rPr>
        <w:t xml:space="preserve"> (2023)</w:t>
      </w:r>
      <w:r w:rsidR="00473B2B" w:rsidRPr="003E4FF2">
        <w:rPr>
          <w:rFonts w:ascii="Verdana" w:hAnsi="Verdana"/>
          <w:sz w:val="15"/>
          <w:szCs w:val="15"/>
        </w:rPr>
        <w:t xml:space="preserve">, p. </w:t>
      </w:r>
      <w:r w:rsidRPr="003E4FF2">
        <w:rPr>
          <w:rFonts w:ascii="Verdana" w:hAnsi="Verdana"/>
          <w:sz w:val="15"/>
          <w:szCs w:val="15"/>
        </w:rPr>
        <w:t>14.</w:t>
      </w:r>
    </w:p>
  </w:footnote>
  <w:footnote w:id="76">
    <w:p w14:paraId="5D1F11EC" w14:textId="77777777" w:rsidR="00711564" w:rsidRPr="003E4FF2" w:rsidRDefault="00711564" w:rsidP="00711564">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Richtlijn (EU) 2018/1972 van het Europees Parlement en de Raad van 11 december 2018 tot vaststelling van het Europees wetboek voor elektronische communicatie (herschikking) (</w:t>
      </w:r>
      <w:r w:rsidRPr="003E4FF2">
        <w:rPr>
          <w:rFonts w:ascii="Verdana" w:hAnsi="Verdana"/>
          <w:i/>
          <w:iCs/>
          <w:sz w:val="15"/>
          <w:szCs w:val="15"/>
        </w:rPr>
        <w:t xml:space="preserve">PbEU </w:t>
      </w:r>
      <w:r w:rsidRPr="003E4FF2">
        <w:rPr>
          <w:rFonts w:ascii="Verdana" w:hAnsi="Verdana"/>
          <w:sz w:val="15"/>
          <w:szCs w:val="15"/>
        </w:rPr>
        <w:t>2018, L 321).</w:t>
      </w:r>
    </w:p>
  </w:footnote>
  <w:footnote w:id="77">
    <w:p w14:paraId="6266DAD6" w14:textId="77777777" w:rsidR="001B4017" w:rsidRPr="003E4FF2" w:rsidRDefault="001B4017" w:rsidP="001B4017">
      <w:pPr>
        <w:pStyle w:val="Geenafstand"/>
        <w:rPr>
          <w:rFonts w:ascii="Verdana" w:hAnsi="Verdana" w:cs="Times New Roman"/>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r w:rsidRPr="003E4FF2">
        <w:rPr>
          <w:rFonts w:ascii="Verdana" w:hAnsi="Verdana"/>
          <w:sz w:val="15"/>
          <w:szCs w:val="15"/>
        </w:rPr>
        <w:t>cloudcomputingdiensten, aanbieders van datacentrumdiensten, aanbieders van netwerken voor de levering van inhoud, aanbieders van beheerde diensten, aanbieders van beheerde beveiligingsdiensten, aanbieders van onlinemarktplaatsen, van onlinezoekmachines en van platforms voor socialenetwerkdiensten, en verleners van vertrouwensdiensten (</w:t>
      </w:r>
      <w:r w:rsidRPr="003E4FF2">
        <w:rPr>
          <w:rFonts w:ascii="Verdana" w:hAnsi="Verdana"/>
          <w:i/>
          <w:iCs/>
          <w:sz w:val="15"/>
          <w:szCs w:val="15"/>
        </w:rPr>
        <w:t>PbEU</w:t>
      </w:r>
      <w:r w:rsidRPr="003E4FF2">
        <w:rPr>
          <w:rFonts w:ascii="Verdana" w:hAnsi="Verdana"/>
          <w:sz w:val="15"/>
          <w:szCs w:val="15"/>
        </w:rPr>
        <w:t xml:space="preserve"> L 2024/2690). </w:t>
      </w:r>
    </w:p>
  </w:footnote>
  <w:footnote w:id="78">
    <w:p w14:paraId="74999F93" w14:textId="28795E66" w:rsidR="001C5C93" w:rsidRPr="003E4FF2" w:rsidRDefault="001C5C93" w:rsidP="00CD03BF">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CD03BF" w:rsidRPr="003E4FF2">
        <w:rPr>
          <w:rFonts w:ascii="Verdana" w:hAnsi="Verdana"/>
          <w:sz w:val="15"/>
          <w:szCs w:val="15"/>
        </w:rPr>
        <w:t xml:space="preserve">Verordening (EU) </w:t>
      </w:r>
      <w:bookmarkStart w:id="223" w:name="_Hlk184045314"/>
      <w:r w:rsidR="00CD03BF" w:rsidRPr="003E4FF2">
        <w:rPr>
          <w:rFonts w:ascii="Verdana" w:hAnsi="Verdana"/>
          <w:sz w:val="15"/>
          <w:szCs w:val="15"/>
        </w:rPr>
        <w:t xml:space="preserve">2024/2847 </w:t>
      </w:r>
      <w:bookmarkEnd w:id="223"/>
      <w:r w:rsidR="00CD03BF" w:rsidRPr="003E4FF2">
        <w:rPr>
          <w:rFonts w:ascii="Verdana" w:hAnsi="Verdana"/>
          <w:sz w:val="15"/>
          <w:szCs w:val="15"/>
        </w:rPr>
        <w:t>van het Europees Parlement en de Raad van 23 oktober 2024 betreffende horizontale cyberbeveiligingsvereisten voor producten met digitale elementen en tot wijziging van Verordeningen (EU) nr. 168/2013 en (EU) 2019/1020 en Richtlijn (EU) 2020/1828 (Verordening cyberweerbaarheid) (</w:t>
      </w:r>
      <w:r w:rsidR="00CD03BF" w:rsidRPr="003E4FF2">
        <w:rPr>
          <w:rFonts w:ascii="Verdana" w:hAnsi="Verdana"/>
          <w:i/>
          <w:iCs/>
          <w:sz w:val="15"/>
          <w:szCs w:val="15"/>
        </w:rPr>
        <w:t>PbEU</w:t>
      </w:r>
      <w:r w:rsidR="00CD03BF" w:rsidRPr="003E4FF2">
        <w:rPr>
          <w:rFonts w:ascii="Verdana" w:hAnsi="Verdana"/>
          <w:sz w:val="15"/>
          <w:szCs w:val="15"/>
        </w:rPr>
        <w:t xml:space="preserve"> </w:t>
      </w:r>
      <w:r w:rsidR="00837635" w:rsidRPr="003E4FF2">
        <w:rPr>
          <w:rFonts w:ascii="Verdana" w:hAnsi="Verdana"/>
          <w:sz w:val="15"/>
          <w:szCs w:val="15"/>
        </w:rPr>
        <w:t>2024/2847).</w:t>
      </w:r>
    </w:p>
  </w:footnote>
  <w:footnote w:id="79">
    <w:p w14:paraId="3DADF160" w14:textId="29121FE6" w:rsidR="004F68C4" w:rsidRPr="003E4FF2" w:rsidRDefault="004F68C4" w:rsidP="004F68C4">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Richtlijn 2014/53/EU van het Europees Parlement en de Raad van 16 april 2014 betreffende de harmonisatie van de wetgevingen van de lidstaten inzake het op de markt aanbieden van radioapparatuur en tot intrekking van Richtlijn 1999/5/EG (</w:t>
      </w:r>
      <w:r w:rsidRPr="003E4FF2">
        <w:rPr>
          <w:rFonts w:ascii="Verdana" w:hAnsi="Verdana"/>
          <w:i/>
          <w:iCs/>
          <w:sz w:val="15"/>
          <w:szCs w:val="15"/>
        </w:rPr>
        <w:t xml:space="preserve">PbEU </w:t>
      </w:r>
      <w:r w:rsidRPr="003E4FF2">
        <w:rPr>
          <w:rFonts w:ascii="Verdana" w:hAnsi="Verdana"/>
          <w:sz w:val="15"/>
          <w:szCs w:val="15"/>
        </w:rPr>
        <w:t>2014, L 153).</w:t>
      </w:r>
    </w:p>
  </w:footnote>
  <w:footnote w:id="80">
    <w:p w14:paraId="04593453" w14:textId="2E5DAFFF" w:rsidR="00477DCA" w:rsidRPr="003E4FF2" w:rsidRDefault="00477DCA" w:rsidP="00C8182D">
      <w:pPr>
        <w:pStyle w:val="Geenafstand"/>
        <w:rPr>
          <w:rFonts w:ascii="Verdana" w:hAnsi="Verdana" w:cs="Times New Roman"/>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r w:rsidRPr="003E4FF2">
        <w:rPr>
          <w:rFonts w:ascii="Verdana" w:hAnsi="Verdana"/>
          <w:sz w:val="15"/>
          <w:szCs w:val="15"/>
        </w:rPr>
        <w:t>cloudcomputingdiensten, aanbieders van datacentrumdiensten, aanbieders van netwerken voor de levering van inhoud, aanbieders van beheerde diensten, aanbieders van beheerde beveiligingsdiensten, aanbieders van onlinemarktplaatsen, van onlinezoekmachines en van platforms voor socialenetwerkdiensten, en verleners van vertrouwensdiensten (</w:t>
      </w:r>
      <w:r w:rsidRPr="003E4FF2">
        <w:rPr>
          <w:rFonts w:ascii="Verdana" w:hAnsi="Verdana"/>
          <w:i/>
          <w:iCs/>
          <w:sz w:val="15"/>
          <w:szCs w:val="15"/>
        </w:rPr>
        <w:t>PbEU</w:t>
      </w:r>
      <w:r w:rsidRPr="003E4FF2">
        <w:rPr>
          <w:rFonts w:ascii="Verdana" w:hAnsi="Verdana"/>
          <w:sz w:val="15"/>
          <w:szCs w:val="15"/>
        </w:rPr>
        <w:t xml:space="preserve"> </w:t>
      </w:r>
      <w:r w:rsidR="00C8182D" w:rsidRPr="003E4FF2">
        <w:rPr>
          <w:rFonts w:ascii="Verdana" w:hAnsi="Verdana"/>
          <w:sz w:val="15"/>
          <w:szCs w:val="15"/>
        </w:rPr>
        <w:t xml:space="preserve">L 2024/2690). </w:t>
      </w:r>
    </w:p>
  </w:footnote>
  <w:footnote w:id="81">
    <w:p w14:paraId="1E276911" w14:textId="77777777" w:rsidR="00203C6E" w:rsidRPr="003E4FF2" w:rsidRDefault="00203C6E" w:rsidP="00203C6E">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Richtlijn (EU) 2019/944 van het Europees Parlement en de Raad van 5 juni 2019 betreffende gemeenschappelijke regels voor de interne markt voor elektriciteit en tot wijziging van Richtlijn 2012/27/EU (</w:t>
      </w:r>
      <w:r w:rsidRPr="003E4FF2">
        <w:rPr>
          <w:rFonts w:ascii="Verdana" w:hAnsi="Verdana"/>
          <w:i/>
          <w:iCs/>
          <w:sz w:val="15"/>
          <w:szCs w:val="15"/>
        </w:rPr>
        <w:t>PbEU</w:t>
      </w:r>
      <w:r w:rsidRPr="003E4FF2">
        <w:rPr>
          <w:rFonts w:ascii="Verdana" w:hAnsi="Verdana"/>
          <w:sz w:val="15"/>
          <w:szCs w:val="15"/>
        </w:rPr>
        <w:t xml:space="preserve"> 2019, L 158).</w:t>
      </w:r>
    </w:p>
  </w:footnote>
  <w:footnote w:id="82">
    <w:p w14:paraId="2599DDFE" w14:textId="1C48F07F" w:rsidR="00801A1B" w:rsidRPr="003E4FF2" w:rsidRDefault="00801A1B" w:rsidP="00801A1B">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Kamerstukken II</w:t>
      </w:r>
      <w:r w:rsidRPr="003E4FF2">
        <w:rPr>
          <w:rFonts w:ascii="Verdana" w:hAnsi="Verdana"/>
          <w:sz w:val="15"/>
          <w:szCs w:val="15"/>
        </w:rPr>
        <w:t> 2004/05, 29708, nr. 7, p. 11.</w:t>
      </w:r>
    </w:p>
  </w:footnote>
  <w:footnote w:id="83">
    <w:p w14:paraId="46CCF726" w14:textId="786AA026" w:rsidR="00801A1B" w:rsidRPr="003E4FF2" w:rsidRDefault="00801A1B" w:rsidP="00801A1B">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ook </w:t>
      </w:r>
      <w:r w:rsidR="00A22A4F">
        <w:rPr>
          <w:rFonts w:ascii="Verdana" w:hAnsi="Verdana"/>
          <w:sz w:val="15"/>
          <w:szCs w:val="15"/>
        </w:rPr>
        <w:t xml:space="preserve">ABRvS 28 juli 2021, </w:t>
      </w:r>
      <w:r w:rsidRPr="003E4FF2">
        <w:rPr>
          <w:rFonts w:ascii="Verdana" w:hAnsi="Verdana"/>
          <w:sz w:val="15"/>
          <w:szCs w:val="15"/>
        </w:rPr>
        <w:t>ECLI:NL:RVS:2021:1674, rechtsoverweging 4.2: “Gelet op artikel 5:13 van de Awb maakt een toezichthouder slechts van zijn bevoegdheden gebruik voor zover dat redelijkerwijs voor de vervulling van zijn taak nodig is. De inspectie kan dus geen inzage vorderen van andere informatie dan die welke verband houden met de wettelijke voorschriften waarop het toezicht in het concrete geval betrekking heeft. Daarnaast moet zij motiveren waarom de gevraagde informatie noodzakelijk is voor het uitoefenen van het toezicht.”</w:t>
      </w:r>
    </w:p>
  </w:footnote>
  <w:footnote w:id="84">
    <w:p w14:paraId="2F6A1E06" w14:textId="09CAA51F" w:rsidR="00801A1B" w:rsidRPr="003E4FF2" w:rsidRDefault="00801A1B" w:rsidP="00801A1B">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ook </w:t>
      </w:r>
      <w:r w:rsidR="00A22A4F" w:rsidRPr="00A22A4F">
        <w:rPr>
          <w:rFonts w:ascii="Verdana" w:hAnsi="Verdana"/>
          <w:sz w:val="15"/>
          <w:szCs w:val="15"/>
        </w:rPr>
        <w:t xml:space="preserve">ABRvS </w:t>
      </w:r>
      <w:r w:rsidR="00A22A4F">
        <w:rPr>
          <w:rFonts w:ascii="Verdana" w:hAnsi="Verdana"/>
          <w:sz w:val="15"/>
          <w:szCs w:val="15"/>
        </w:rPr>
        <w:t xml:space="preserve">17 februari 2016, </w:t>
      </w:r>
      <w:r w:rsidRPr="003E4FF2">
        <w:rPr>
          <w:rFonts w:ascii="Verdana" w:hAnsi="Verdana"/>
          <w:sz w:val="15"/>
          <w:szCs w:val="15"/>
        </w:rPr>
        <w:t>ECLI:NL:RVS:2016:378, rechtsoverweging 2.5: “Zoals de Afdeling eerder heeft overwogen (uitspraak van 2 mei 2012 in zaak nr. 201110374/1/V6), moeten uit het oogpunt van rechtszekerheid hoge eisen worden gesteld aan de kenbaarheid van een vordering tot het verlenen van medewerking.”</w:t>
      </w:r>
    </w:p>
  </w:footnote>
  <w:footnote w:id="85">
    <w:p w14:paraId="508F01DF" w14:textId="77777777" w:rsidR="00565D9A" w:rsidRPr="003E4FF2" w:rsidRDefault="00565D9A" w:rsidP="00565D9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Kamerstukken II</w:t>
      </w:r>
      <w:r w:rsidRPr="003E4FF2">
        <w:rPr>
          <w:rFonts w:ascii="Verdana" w:hAnsi="Verdana"/>
          <w:sz w:val="15"/>
          <w:szCs w:val="15"/>
        </w:rPr>
        <w:t> 2004/05, 29708, nr. 7, p. 11.</w:t>
      </w:r>
    </w:p>
  </w:footnote>
  <w:footnote w:id="86">
    <w:p w14:paraId="1947B988" w14:textId="069DD64D" w:rsidR="00565D9A" w:rsidRPr="003E4FF2" w:rsidRDefault="00565D9A" w:rsidP="00565D9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ook </w:t>
      </w:r>
      <w:r w:rsidR="00A22A4F">
        <w:rPr>
          <w:rFonts w:ascii="Verdana" w:hAnsi="Verdana"/>
          <w:sz w:val="15"/>
          <w:szCs w:val="15"/>
        </w:rPr>
        <w:t xml:space="preserve">ABRvS 28 juli 2021, </w:t>
      </w:r>
      <w:r w:rsidRPr="003E4FF2">
        <w:rPr>
          <w:rFonts w:ascii="Verdana" w:hAnsi="Verdana"/>
          <w:sz w:val="15"/>
          <w:szCs w:val="15"/>
        </w:rPr>
        <w:t>ECLI:NL:RVS:2021:1674, rechtsoverweging 4.2: “Gelet op artikel 5:13 van de Awb maakt een toezichthouder slechts van zijn bevoegdheden gebruik voor zover dat redelijkerwijs voor de vervulling van zijn taak nodig is. De inspectie kan dus geen inzage vorderen van andere informatie dan die welke verband houden met de wettelijke voorschriften waarop het toezicht in het concrete geval betrekking heeft. Daarnaast moet zij motiveren waarom de gevraagde informatie noodzakelijk is voor het uitoefenen van het toezicht.”</w:t>
      </w:r>
    </w:p>
  </w:footnote>
  <w:footnote w:id="87">
    <w:p w14:paraId="6FA550FF" w14:textId="7A164ADF" w:rsidR="00565D9A" w:rsidRPr="003E4FF2" w:rsidRDefault="00565D9A" w:rsidP="00565D9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ook </w:t>
      </w:r>
      <w:r w:rsidR="00A22A4F" w:rsidRPr="00A22A4F">
        <w:rPr>
          <w:rFonts w:ascii="Verdana" w:hAnsi="Verdana"/>
          <w:sz w:val="15"/>
          <w:szCs w:val="15"/>
        </w:rPr>
        <w:t xml:space="preserve">ABRvS </w:t>
      </w:r>
      <w:r w:rsidR="00A22A4F">
        <w:rPr>
          <w:rFonts w:ascii="Verdana" w:hAnsi="Verdana"/>
          <w:sz w:val="15"/>
          <w:szCs w:val="15"/>
        </w:rPr>
        <w:t xml:space="preserve">17 februari 2016, </w:t>
      </w:r>
      <w:r w:rsidRPr="003E4FF2">
        <w:rPr>
          <w:rFonts w:ascii="Verdana" w:hAnsi="Verdana"/>
          <w:sz w:val="15"/>
          <w:szCs w:val="15"/>
        </w:rPr>
        <w:t>ECLI:NL:RVS:2016:378, rechtsoverweging 2.5: “Zoals de Afdeling eerder heeft overwogen (uitspraak van 2 mei 2012 in zaak nr. 201110374/1/V6), moeten uit het oogpunt van rechtszekerheid hoge eisen worden gesteld aan de kenbaarheid van een vordering tot het verlenen van medewerking.”</w:t>
      </w:r>
    </w:p>
  </w:footnote>
  <w:footnote w:id="88">
    <w:p w14:paraId="16314108" w14:textId="6C38DDC3" w:rsidR="00CE333A" w:rsidRPr="003E4FF2" w:rsidRDefault="00CE333A" w:rsidP="00CE333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Overweging 39 </w:t>
      </w:r>
      <w:r w:rsidR="00DF67C4" w:rsidRPr="003E4FF2">
        <w:rPr>
          <w:rFonts w:ascii="Verdana" w:hAnsi="Verdana"/>
          <w:sz w:val="15"/>
          <w:szCs w:val="15"/>
        </w:rPr>
        <w:t xml:space="preserve">van de </w:t>
      </w:r>
      <w:r w:rsidRPr="003E4FF2">
        <w:rPr>
          <w:rFonts w:ascii="Verdana" w:hAnsi="Verdana"/>
          <w:sz w:val="15"/>
          <w:szCs w:val="15"/>
        </w:rPr>
        <w:t xml:space="preserve">NIS2-richtlijn. </w:t>
      </w:r>
    </w:p>
  </w:footnote>
  <w:footnote w:id="89">
    <w:p w14:paraId="1E49D6BA" w14:textId="0A16DD60" w:rsidR="000C3816" w:rsidRPr="003E4FF2" w:rsidRDefault="000C3816" w:rsidP="000C3816">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Het gaat om de Stichting Nationale Beheersorganisatie Internet Providers, de Stichting Cyber Weerbaarheidscentrum Brainport, de Vereniging Cyberveilig Nederland, de Stichting Connect2Trust, de Stichting FERM en de Stichting NL CISO </w:t>
      </w:r>
      <w:r w:rsidRPr="003E4FF2">
        <w:rPr>
          <w:rFonts w:ascii="Verdana" w:hAnsi="Verdana"/>
          <w:sz w:val="15"/>
          <w:szCs w:val="15"/>
        </w:rPr>
        <w:t xml:space="preserve">Circle of Trust. </w:t>
      </w:r>
    </w:p>
  </w:footnote>
  <w:footnote w:id="90">
    <w:p w14:paraId="11BF6607" w14:textId="77777777" w:rsidR="000C3816" w:rsidRPr="003E4FF2" w:rsidRDefault="000C3816" w:rsidP="000C3816">
      <w:pPr>
        <w:pStyle w:val="Voetnoottekst"/>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sz w:val="15"/>
          <w:szCs w:val="15"/>
        </w:rPr>
        <w:t xml:space="preserve">SURFcert is hier een voorbeeld van. </w:t>
      </w:r>
    </w:p>
  </w:footnote>
  <w:footnote w:id="91">
    <w:p w14:paraId="7A9891FD" w14:textId="640EC372" w:rsidR="00CE333A" w:rsidRPr="003E4FF2" w:rsidRDefault="00CE333A" w:rsidP="00CE333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Pr="003E4FF2">
        <w:rPr>
          <w:rFonts w:ascii="Verdana" w:hAnsi="Verdana"/>
          <w:i/>
          <w:iCs/>
          <w:sz w:val="15"/>
          <w:szCs w:val="15"/>
        </w:rPr>
        <w:t>Kamerstukken II</w:t>
      </w:r>
      <w:r w:rsidRPr="003E4FF2">
        <w:rPr>
          <w:rFonts w:ascii="Verdana" w:hAnsi="Verdana"/>
          <w:sz w:val="15"/>
          <w:szCs w:val="15"/>
        </w:rPr>
        <w:t xml:space="preserve"> 2022</w:t>
      </w:r>
      <w:r w:rsidR="00AE2A9D" w:rsidRPr="003E4FF2">
        <w:rPr>
          <w:rFonts w:ascii="Verdana" w:hAnsi="Verdana"/>
          <w:sz w:val="15"/>
          <w:szCs w:val="15"/>
        </w:rPr>
        <w:t>/</w:t>
      </w:r>
      <w:r w:rsidRPr="003E4FF2">
        <w:rPr>
          <w:rFonts w:ascii="Verdana" w:hAnsi="Verdana"/>
          <w:sz w:val="15"/>
          <w:szCs w:val="15"/>
        </w:rPr>
        <w:t>23, 26643, nr. 955.</w:t>
      </w:r>
    </w:p>
  </w:footnote>
  <w:footnote w:id="92">
    <w:p w14:paraId="1F23ECAE" w14:textId="25B95153" w:rsidR="00AB4F60" w:rsidRPr="003E4FF2" w:rsidRDefault="00AB4F60" w:rsidP="00CB6D88">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Verordening (EU) 2019/881 van het Europees Parlement en de Raad van 17 april 2019 inzake </w:t>
      </w:r>
      <w:r w:rsidRPr="003E4FF2">
        <w:rPr>
          <w:rFonts w:ascii="Verdana" w:hAnsi="Verdana"/>
          <w:sz w:val="15"/>
          <w:szCs w:val="15"/>
        </w:rPr>
        <w:t>Enisa (het Agentschap van de Europese Unie voor cyberbeveiliging), en inzake de certificering van de cyberbeveiliging van informatie- en communicatietechnologie en tot intrekking van Verordening (EU) nr. 526/2013 (de cyberbeveiligingsverordening)</w:t>
      </w:r>
      <w:r w:rsidR="007D67BD" w:rsidRPr="003E4FF2">
        <w:rPr>
          <w:rFonts w:ascii="Verdana" w:hAnsi="Verdana"/>
          <w:sz w:val="15"/>
          <w:szCs w:val="15"/>
        </w:rPr>
        <w:t xml:space="preserve"> (</w:t>
      </w:r>
      <w:r w:rsidR="007D67BD" w:rsidRPr="003E4FF2">
        <w:rPr>
          <w:rFonts w:ascii="Verdana" w:hAnsi="Verdana"/>
          <w:i/>
          <w:iCs/>
          <w:sz w:val="15"/>
          <w:szCs w:val="15"/>
        </w:rPr>
        <w:t>PbEU</w:t>
      </w:r>
      <w:r w:rsidR="007D67BD" w:rsidRPr="003E4FF2">
        <w:rPr>
          <w:rFonts w:ascii="Verdana" w:hAnsi="Verdana"/>
          <w:sz w:val="15"/>
          <w:szCs w:val="15"/>
        </w:rPr>
        <w:t xml:space="preserve"> 2019, L 151).</w:t>
      </w:r>
    </w:p>
  </w:footnote>
  <w:footnote w:id="93">
    <w:p w14:paraId="04D526C9" w14:textId="6AB0B239" w:rsidR="007C186B" w:rsidRPr="003E4FF2" w:rsidRDefault="007C186B" w:rsidP="007C186B">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ook overweging 104 </w:t>
      </w:r>
      <w:r w:rsidR="00DF67C4" w:rsidRPr="003E4FF2">
        <w:rPr>
          <w:rFonts w:ascii="Verdana" w:hAnsi="Verdana"/>
          <w:sz w:val="15"/>
          <w:szCs w:val="15"/>
        </w:rPr>
        <w:t xml:space="preserve">van de </w:t>
      </w:r>
      <w:r w:rsidRPr="003E4FF2">
        <w:rPr>
          <w:rFonts w:ascii="Verdana" w:hAnsi="Verdana"/>
          <w:sz w:val="15"/>
          <w:szCs w:val="15"/>
        </w:rPr>
        <w:t>NIS2-richtlijn.</w:t>
      </w:r>
    </w:p>
  </w:footnote>
  <w:footnote w:id="94">
    <w:p w14:paraId="419057EC" w14:textId="0F6B164D" w:rsidR="00C02F47" w:rsidRPr="003E4FF2" w:rsidRDefault="00C02F47" w:rsidP="00C02F4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Zie ook artikel 30, tweede lid, en overweging 105 </w:t>
      </w:r>
      <w:r w:rsidR="00DF67C4" w:rsidRPr="003E4FF2">
        <w:rPr>
          <w:rFonts w:ascii="Verdana" w:hAnsi="Verdana"/>
          <w:sz w:val="15"/>
          <w:szCs w:val="15"/>
        </w:rPr>
        <w:t xml:space="preserve">van de </w:t>
      </w:r>
      <w:r w:rsidRPr="003E4FF2">
        <w:rPr>
          <w:rFonts w:ascii="Verdana" w:hAnsi="Verdana"/>
          <w:sz w:val="15"/>
          <w:szCs w:val="15"/>
        </w:rPr>
        <w:t>NIS2-richtlijn.</w:t>
      </w:r>
    </w:p>
  </w:footnote>
  <w:footnote w:id="95">
    <w:p w14:paraId="4A259F0E" w14:textId="17690097" w:rsidR="00CE333A" w:rsidRPr="003E4FF2" w:rsidRDefault="00CE333A" w:rsidP="00CE333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Overweging 30 </w:t>
      </w:r>
      <w:r w:rsidR="00DF67C4" w:rsidRPr="003E4FF2">
        <w:rPr>
          <w:rFonts w:ascii="Verdana" w:hAnsi="Verdana"/>
          <w:sz w:val="15"/>
          <w:szCs w:val="15"/>
        </w:rPr>
        <w:t xml:space="preserve">van de </w:t>
      </w:r>
      <w:r w:rsidRPr="003E4FF2">
        <w:rPr>
          <w:rFonts w:ascii="Verdana" w:hAnsi="Verdana"/>
          <w:sz w:val="15"/>
          <w:szCs w:val="15"/>
        </w:rPr>
        <w:t>NIS2-richtlijn.</w:t>
      </w:r>
    </w:p>
  </w:footnote>
  <w:footnote w:id="96">
    <w:p w14:paraId="34D6D5B1" w14:textId="4FE742E6" w:rsidR="00CE333A" w:rsidRPr="003E4FF2" w:rsidRDefault="00CE333A" w:rsidP="00CE333A">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Overweging 30 </w:t>
      </w:r>
      <w:r w:rsidR="00DF67C4" w:rsidRPr="003E4FF2">
        <w:rPr>
          <w:rFonts w:ascii="Verdana" w:hAnsi="Verdana"/>
          <w:sz w:val="15"/>
          <w:szCs w:val="15"/>
        </w:rPr>
        <w:t xml:space="preserve">van de </w:t>
      </w:r>
      <w:r w:rsidRPr="003E4FF2">
        <w:rPr>
          <w:rFonts w:ascii="Verdana" w:hAnsi="Verdana"/>
          <w:sz w:val="15"/>
          <w:szCs w:val="15"/>
        </w:rPr>
        <w:t>NIS2-richtlijn.</w:t>
      </w:r>
    </w:p>
  </w:footnote>
  <w:footnote w:id="97">
    <w:p w14:paraId="4138616E" w14:textId="0B697357" w:rsidR="00E94F11" w:rsidRPr="003E4FF2" w:rsidRDefault="00E94F11" w:rsidP="001F5FF2">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Artikel 34 NIS2-richtlijn en artikel 83 </w:t>
      </w:r>
      <w:r w:rsidRPr="003E4FF2">
        <w:rPr>
          <w:rFonts w:ascii="Verdana" w:hAnsi="Verdana"/>
          <w:sz w:val="15"/>
          <w:szCs w:val="15"/>
        </w:rPr>
        <w:t>Avg.</w:t>
      </w:r>
    </w:p>
  </w:footnote>
  <w:footnote w:id="98">
    <w:p w14:paraId="4F1FC0BC" w14:textId="77777777" w:rsidR="00E87B40" w:rsidRPr="003E4FF2" w:rsidRDefault="00E87B40" w:rsidP="00E87B40">
      <w:pPr>
        <w:pStyle w:val="Geenafstand"/>
        <w:rPr>
          <w:rFonts w:ascii="Verdana" w:hAnsi="Verdana"/>
          <w:bCs/>
          <w:sz w:val="15"/>
          <w:szCs w:val="15"/>
        </w:rPr>
      </w:pPr>
      <w:r w:rsidRPr="003E4FF2">
        <w:rPr>
          <w:rStyle w:val="Voetnootmarkering"/>
          <w:rFonts w:ascii="Verdana" w:hAnsi="Verdana"/>
          <w:bCs/>
          <w:sz w:val="15"/>
          <w:szCs w:val="15"/>
        </w:rPr>
        <w:footnoteRef/>
      </w:r>
      <w:r w:rsidRPr="003E4FF2">
        <w:rPr>
          <w:rFonts w:ascii="Verdana" w:hAnsi="Verdana"/>
          <w:bCs/>
          <w:sz w:val="15"/>
          <w:szCs w:val="15"/>
        </w:rPr>
        <w:t xml:space="preserve"> Verdrag betreffende toegang tot informatie, inspraak bij besluitvorming en toegang tot de rechter inzake milieuaangelegenheden (</w:t>
      </w:r>
      <w:r w:rsidRPr="003E4FF2">
        <w:rPr>
          <w:rFonts w:ascii="Verdana" w:hAnsi="Verdana"/>
          <w:bCs/>
          <w:i/>
          <w:iCs/>
          <w:sz w:val="15"/>
          <w:szCs w:val="15"/>
        </w:rPr>
        <w:t>Trb</w:t>
      </w:r>
      <w:r w:rsidRPr="003E4FF2">
        <w:rPr>
          <w:rFonts w:ascii="Verdana" w:hAnsi="Verdana"/>
          <w:bCs/>
          <w:sz w:val="15"/>
          <w:szCs w:val="15"/>
        </w:rPr>
        <w:t>. 2001, 73).</w:t>
      </w:r>
    </w:p>
  </w:footnote>
  <w:footnote w:id="99">
    <w:p w14:paraId="36F78AA2" w14:textId="77777777" w:rsidR="004C3DD2" w:rsidRPr="003E4FF2" w:rsidRDefault="004C3DD2" w:rsidP="004C3DD2">
      <w:pPr>
        <w:pStyle w:val="Geenafstand"/>
        <w:rPr>
          <w:rFonts w:ascii="Verdana" w:hAnsi="Verdana"/>
          <w:bCs/>
          <w:sz w:val="15"/>
          <w:szCs w:val="15"/>
        </w:rPr>
      </w:pPr>
      <w:r w:rsidRPr="003E4FF2">
        <w:rPr>
          <w:rStyle w:val="Voetnootmarkering"/>
          <w:rFonts w:ascii="Verdana" w:hAnsi="Verdana"/>
          <w:bCs/>
          <w:sz w:val="15"/>
          <w:szCs w:val="15"/>
        </w:rPr>
        <w:footnoteRef/>
      </w:r>
      <w:r w:rsidRPr="003E4FF2">
        <w:rPr>
          <w:rFonts w:ascii="Verdana" w:hAnsi="Verdana"/>
          <w:bCs/>
          <w:sz w:val="15"/>
          <w:szCs w:val="15"/>
        </w:rPr>
        <w:t xml:space="preserve"> Richtlijn 2003/4/EG van het Europees Parlement en de Raad van 28 januari 2003 inzake de toegang van het publiek tot milieu-informatie en tot intrekking van Richtlijn 90/313/EEG van de Raad (</w:t>
      </w:r>
      <w:r w:rsidRPr="003E4FF2">
        <w:rPr>
          <w:rFonts w:ascii="Verdana" w:hAnsi="Verdana"/>
          <w:bCs/>
          <w:i/>
          <w:iCs/>
          <w:sz w:val="15"/>
          <w:szCs w:val="15"/>
        </w:rPr>
        <w:t>PbEU</w:t>
      </w:r>
      <w:r w:rsidRPr="003E4FF2">
        <w:rPr>
          <w:rFonts w:ascii="Verdana" w:hAnsi="Verdana"/>
          <w:bCs/>
          <w:sz w:val="15"/>
          <w:szCs w:val="15"/>
        </w:rPr>
        <w:t xml:space="preserve"> 2003, L 41).</w:t>
      </w:r>
    </w:p>
  </w:footnote>
  <w:footnote w:id="100">
    <w:p w14:paraId="120C44CC" w14:textId="1F981EE8" w:rsidR="00EB7C17" w:rsidRPr="003E4FF2" w:rsidRDefault="00EB7C17" w:rsidP="00EB7C17">
      <w:pPr>
        <w:pStyle w:val="Geenafstand"/>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In het geval van een schorsing, welke sanctie is opgenomen in voorgesteld artikel </w:t>
      </w:r>
      <w:r w:rsidR="005B0D06" w:rsidRPr="003E4FF2">
        <w:rPr>
          <w:rFonts w:ascii="Verdana" w:hAnsi="Verdana"/>
          <w:sz w:val="15"/>
          <w:szCs w:val="15"/>
        </w:rPr>
        <w:t xml:space="preserve">78 </w:t>
      </w:r>
      <w:r w:rsidRPr="003E4FF2">
        <w:rPr>
          <w:rFonts w:ascii="Verdana" w:hAnsi="Verdana"/>
          <w:sz w:val="15"/>
          <w:szCs w:val="15"/>
        </w:rPr>
        <w:t>Cbw, komen deze waarborgen toe aan de bestuursleden van de essentiële entiteit.</w:t>
      </w:r>
    </w:p>
  </w:footnote>
  <w:footnote w:id="101">
    <w:p w14:paraId="6B204768" w14:textId="06E7F96E" w:rsidR="00027328" w:rsidRPr="00027328" w:rsidRDefault="00027328" w:rsidP="00027328">
      <w:pPr>
        <w:pStyle w:val="Voetnoottekst"/>
        <w:ind w:left="0" w:firstLine="0"/>
        <w:rPr>
          <w:rFonts w:ascii="Verdana" w:hAnsi="Verdana"/>
          <w:sz w:val="15"/>
          <w:szCs w:val="15"/>
        </w:rPr>
      </w:pPr>
      <w:r w:rsidRPr="00027328">
        <w:rPr>
          <w:rStyle w:val="Voetnootmarkering"/>
          <w:rFonts w:ascii="Verdana" w:hAnsi="Verdana"/>
          <w:sz w:val="15"/>
          <w:szCs w:val="15"/>
        </w:rPr>
        <w:footnoteRef/>
      </w:r>
      <w:r w:rsidRPr="00027328">
        <w:rPr>
          <w:rFonts w:ascii="Verdana" w:hAnsi="Verdana"/>
          <w:sz w:val="15"/>
          <w:szCs w:val="15"/>
        </w:rPr>
        <w:t xml:space="preserve"> Dit geldt ook voor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w:t>
      </w:r>
    </w:p>
  </w:footnote>
  <w:footnote w:id="102">
    <w:p w14:paraId="23C01693" w14:textId="77777777" w:rsidR="00C5392C" w:rsidRPr="00027328" w:rsidRDefault="00C5392C" w:rsidP="00C5392C">
      <w:pPr>
        <w:pStyle w:val="Voetnoottekst"/>
        <w:ind w:left="0" w:firstLine="0"/>
        <w:rPr>
          <w:rFonts w:ascii="Verdana" w:hAnsi="Verdana"/>
          <w:sz w:val="15"/>
          <w:szCs w:val="15"/>
        </w:rPr>
      </w:pPr>
      <w:r w:rsidRPr="00027328">
        <w:rPr>
          <w:rStyle w:val="Voetnootmarkering"/>
          <w:rFonts w:ascii="Verdana" w:hAnsi="Verdana"/>
          <w:sz w:val="15"/>
          <w:szCs w:val="15"/>
        </w:rPr>
        <w:footnoteRef/>
      </w:r>
      <w:r w:rsidRPr="00027328">
        <w:rPr>
          <w:rFonts w:ascii="Verdana" w:hAnsi="Verdana"/>
          <w:sz w:val="15"/>
          <w:szCs w:val="15"/>
        </w:rPr>
        <w:t xml:space="preserve"> Dit geldt ook voor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w:t>
      </w:r>
    </w:p>
  </w:footnote>
  <w:footnote w:id="103">
    <w:p w14:paraId="692D0D4C" w14:textId="77777777" w:rsidR="00C5392C" w:rsidRPr="00C5392C" w:rsidRDefault="00C5392C" w:rsidP="00C5392C">
      <w:pPr>
        <w:pStyle w:val="Geenafstand"/>
        <w:rPr>
          <w:rFonts w:ascii="Verdana" w:hAnsi="Verdana"/>
          <w:sz w:val="15"/>
          <w:szCs w:val="15"/>
        </w:rPr>
      </w:pPr>
      <w:r w:rsidRPr="00C5392C">
        <w:rPr>
          <w:rStyle w:val="Voetnootmarkering"/>
          <w:rFonts w:ascii="Verdana" w:hAnsi="Verdana"/>
          <w:sz w:val="15"/>
          <w:szCs w:val="15"/>
        </w:rPr>
        <w:footnoteRef/>
      </w:r>
      <w:r w:rsidRPr="00C5392C">
        <w:rPr>
          <w:rFonts w:ascii="Verdana" w:hAnsi="Verdana"/>
          <w:sz w:val="15"/>
          <w:szCs w:val="15"/>
        </w:rPr>
        <w:t xml:space="preserve"> Dit geldt ook voor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w:t>
      </w:r>
    </w:p>
  </w:footnote>
  <w:footnote w:id="104">
    <w:p w14:paraId="1684FAC8" w14:textId="77777777" w:rsidR="00791639" w:rsidRPr="003E4FF2" w:rsidRDefault="00791639" w:rsidP="00791639">
      <w:pPr>
        <w:pStyle w:val="Voetnoottekst"/>
        <w:rPr>
          <w:rFonts w:ascii="Verdana" w:hAnsi="Verdana"/>
          <w:sz w:val="15"/>
          <w:szCs w:val="15"/>
          <w:lang w:val="en-US"/>
        </w:rPr>
      </w:pPr>
      <w:r w:rsidRPr="003E4FF2">
        <w:rPr>
          <w:rStyle w:val="Voetnootmarkering"/>
          <w:rFonts w:ascii="Verdana" w:hAnsi="Verdana"/>
          <w:sz w:val="15"/>
          <w:szCs w:val="15"/>
        </w:rPr>
        <w:footnoteRef/>
      </w:r>
      <w:r w:rsidRPr="003E4FF2">
        <w:rPr>
          <w:rFonts w:ascii="Verdana" w:hAnsi="Verdana"/>
          <w:sz w:val="15"/>
          <w:szCs w:val="15"/>
        </w:rPr>
        <w:t xml:space="preserve"> Zoals die wet luidde op de dag voorafgaand aan de intrekking.</w:t>
      </w:r>
    </w:p>
  </w:footnote>
  <w:footnote w:id="105">
    <w:p w14:paraId="09852B75" w14:textId="131DD366" w:rsidR="00076F9A" w:rsidRPr="003E4FF2" w:rsidRDefault="00076F9A" w:rsidP="000E397D">
      <w:pPr>
        <w:pStyle w:val="Voetnoottekst"/>
        <w:ind w:left="0" w:firstLine="0"/>
        <w:rPr>
          <w:rFonts w:ascii="Verdana" w:hAnsi="Verdana"/>
          <w:sz w:val="15"/>
          <w:szCs w:val="15"/>
        </w:rPr>
      </w:pPr>
      <w:r w:rsidRPr="003E4FF2">
        <w:rPr>
          <w:rStyle w:val="Voetnootmarkering"/>
          <w:rFonts w:ascii="Verdana" w:hAnsi="Verdana"/>
          <w:sz w:val="15"/>
          <w:szCs w:val="15"/>
        </w:rPr>
        <w:footnoteRef/>
      </w:r>
      <w:r w:rsidRPr="003E4FF2">
        <w:rPr>
          <w:rFonts w:ascii="Verdana" w:hAnsi="Verdana"/>
          <w:sz w:val="15"/>
          <w:szCs w:val="15"/>
        </w:rPr>
        <w:t xml:space="preserve"> </w:t>
      </w:r>
      <w:r w:rsidR="002C4577" w:rsidRPr="003E4FF2">
        <w:rPr>
          <w:rFonts w:ascii="Verdana" w:hAnsi="Verdana"/>
          <w:sz w:val="15"/>
          <w:szCs w:val="15"/>
        </w:rPr>
        <w:t>Richtlijn (EU) 2018/1972 van het Europees Parlement en de Raad van 11 december 2018 tot vaststelling van het Europees wetboek voor elektronische communicatie (herschikking) (</w:t>
      </w:r>
      <w:r w:rsidR="002C4577" w:rsidRPr="003E4FF2">
        <w:rPr>
          <w:rFonts w:ascii="Verdana" w:hAnsi="Verdana"/>
          <w:i/>
          <w:iCs/>
          <w:sz w:val="15"/>
          <w:szCs w:val="15"/>
        </w:rPr>
        <w:t xml:space="preserve">PbEU </w:t>
      </w:r>
      <w:r w:rsidR="002C4577" w:rsidRPr="003E4FF2">
        <w:rPr>
          <w:rFonts w:ascii="Verdana" w:hAnsi="Verdana"/>
          <w:sz w:val="15"/>
          <w:szCs w:val="15"/>
        </w:rPr>
        <w:t>2018, L 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EDEF" w14:textId="13B97EE5" w:rsidR="00B1345E" w:rsidRDefault="00B1345E" w:rsidP="00E96E99">
    <w:pPr>
      <w:pStyle w:val="Geenafstand"/>
      <w:jc w:val="right"/>
    </w:pPr>
    <w:r>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C3F"/>
    <w:multiLevelType w:val="hybridMultilevel"/>
    <w:tmpl w:val="D742B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56304B"/>
    <w:multiLevelType w:val="hybridMultilevel"/>
    <w:tmpl w:val="F1085E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B04518"/>
    <w:multiLevelType w:val="hybridMultilevel"/>
    <w:tmpl w:val="D95C2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8F1E39"/>
    <w:multiLevelType w:val="hybridMultilevel"/>
    <w:tmpl w:val="575A8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E00508"/>
    <w:multiLevelType w:val="hybridMultilevel"/>
    <w:tmpl w:val="B82E75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4333C0"/>
    <w:multiLevelType w:val="hybridMultilevel"/>
    <w:tmpl w:val="3A6CA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C45C1D"/>
    <w:multiLevelType w:val="hybridMultilevel"/>
    <w:tmpl w:val="F6B06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C638A8"/>
    <w:multiLevelType w:val="hybridMultilevel"/>
    <w:tmpl w:val="8A5C94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B1B59F9"/>
    <w:multiLevelType w:val="hybridMultilevel"/>
    <w:tmpl w:val="D3363C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F02B2B"/>
    <w:multiLevelType w:val="hybridMultilevel"/>
    <w:tmpl w:val="32322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D415B2E"/>
    <w:multiLevelType w:val="hybridMultilevel"/>
    <w:tmpl w:val="90A220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141A77"/>
    <w:multiLevelType w:val="hybridMultilevel"/>
    <w:tmpl w:val="D8189D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11C0A1B"/>
    <w:multiLevelType w:val="hybridMultilevel"/>
    <w:tmpl w:val="C2469896"/>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3" w15:restartNumberingAfterBreak="0">
    <w:nsid w:val="738203E3"/>
    <w:multiLevelType w:val="hybridMultilevel"/>
    <w:tmpl w:val="8A820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196514"/>
    <w:multiLevelType w:val="hybridMultilevel"/>
    <w:tmpl w:val="0C8493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720867">
    <w:abstractNumId w:val="9"/>
  </w:num>
  <w:num w:numId="2" w16cid:durableId="2137874197">
    <w:abstractNumId w:val="12"/>
  </w:num>
  <w:num w:numId="3" w16cid:durableId="1214344963">
    <w:abstractNumId w:val="0"/>
  </w:num>
  <w:num w:numId="4" w16cid:durableId="317882021">
    <w:abstractNumId w:val="6"/>
  </w:num>
  <w:num w:numId="5" w16cid:durableId="632365867">
    <w:abstractNumId w:val="14"/>
  </w:num>
  <w:num w:numId="6" w16cid:durableId="1775052895">
    <w:abstractNumId w:val="2"/>
  </w:num>
  <w:num w:numId="7" w16cid:durableId="1633052220">
    <w:abstractNumId w:val="7"/>
  </w:num>
  <w:num w:numId="8" w16cid:durableId="1635137301">
    <w:abstractNumId w:val="5"/>
  </w:num>
  <w:num w:numId="9" w16cid:durableId="1599754707">
    <w:abstractNumId w:val="10"/>
  </w:num>
  <w:num w:numId="10" w16cid:durableId="151221211">
    <w:abstractNumId w:val="4"/>
  </w:num>
  <w:num w:numId="11" w16cid:durableId="408042285">
    <w:abstractNumId w:val="8"/>
  </w:num>
  <w:num w:numId="12" w16cid:durableId="1112557255">
    <w:abstractNumId w:val="1"/>
  </w:num>
  <w:num w:numId="13" w16cid:durableId="1944680578">
    <w:abstractNumId w:val="11"/>
  </w:num>
  <w:num w:numId="14" w16cid:durableId="203713857">
    <w:abstractNumId w:val="3"/>
  </w:num>
  <w:num w:numId="15" w16cid:durableId="20009080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AF"/>
    <w:rsid w:val="00000723"/>
    <w:rsid w:val="0000159C"/>
    <w:rsid w:val="00001D53"/>
    <w:rsid w:val="00001DAC"/>
    <w:rsid w:val="00001E32"/>
    <w:rsid w:val="00002927"/>
    <w:rsid w:val="00003116"/>
    <w:rsid w:val="0000321C"/>
    <w:rsid w:val="00003C76"/>
    <w:rsid w:val="00003E73"/>
    <w:rsid w:val="00004D86"/>
    <w:rsid w:val="00004D96"/>
    <w:rsid w:val="00004FCB"/>
    <w:rsid w:val="000056D6"/>
    <w:rsid w:val="00006320"/>
    <w:rsid w:val="00006E5E"/>
    <w:rsid w:val="00007565"/>
    <w:rsid w:val="00007D8A"/>
    <w:rsid w:val="00007F68"/>
    <w:rsid w:val="00010B40"/>
    <w:rsid w:val="00010D1B"/>
    <w:rsid w:val="00011B5E"/>
    <w:rsid w:val="00012413"/>
    <w:rsid w:val="00012652"/>
    <w:rsid w:val="000128D8"/>
    <w:rsid w:val="00012A9F"/>
    <w:rsid w:val="00012E68"/>
    <w:rsid w:val="00012EE4"/>
    <w:rsid w:val="00013075"/>
    <w:rsid w:val="00013948"/>
    <w:rsid w:val="00013AE6"/>
    <w:rsid w:val="00013B3A"/>
    <w:rsid w:val="00013FED"/>
    <w:rsid w:val="00014070"/>
    <w:rsid w:val="00014B12"/>
    <w:rsid w:val="00014C24"/>
    <w:rsid w:val="00014CD0"/>
    <w:rsid w:val="00014CE1"/>
    <w:rsid w:val="00014D88"/>
    <w:rsid w:val="00015353"/>
    <w:rsid w:val="0001584C"/>
    <w:rsid w:val="00015AEB"/>
    <w:rsid w:val="00015F5D"/>
    <w:rsid w:val="000165DE"/>
    <w:rsid w:val="0001735A"/>
    <w:rsid w:val="000175D2"/>
    <w:rsid w:val="00017812"/>
    <w:rsid w:val="00017A34"/>
    <w:rsid w:val="00017C4A"/>
    <w:rsid w:val="00017EA6"/>
    <w:rsid w:val="00020083"/>
    <w:rsid w:val="00020167"/>
    <w:rsid w:val="00020218"/>
    <w:rsid w:val="000206E2"/>
    <w:rsid w:val="00020A1D"/>
    <w:rsid w:val="00020C39"/>
    <w:rsid w:val="0002180A"/>
    <w:rsid w:val="00021F12"/>
    <w:rsid w:val="0002215E"/>
    <w:rsid w:val="00022162"/>
    <w:rsid w:val="000221B6"/>
    <w:rsid w:val="0002231B"/>
    <w:rsid w:val="000228C6"/>
    <w:rsid w:val="0002370B"/>
    <w:rsid w:val="00023ABD"/>
    <w:rsid w:val="00024461"/>
    <w:rsid w:val="000246D2"/>
    <w:rsid w:val="000249BC"/>
    <w:rsid w:val="00024DAA"/>
    <w:rsid w:val="00025083"/>
    <w:rsid w:val="000254F3"/>
    <w:rsid w:val="000261DE"/>
    <w:rsid w:val="0002630F"/>
    <w:rsid w:val="0002693B"/>
    <w:rsid w:val="00026ABE"/>
    <w:rsid w:val="00027012"/>
    <w:rsid w:val="00027328"/>
    <w:rsid w:val="00030623"/>
    <w:rsid w:val="000306A1"/>
    <w:rsid w:val="000306CD"/>
    <w:rsid w:val="00030D8A"/>
    <w:rsid w:val="00031090"/>
    <w:rsid w:val="00031907"/>
    <w:rsid w:val="0003255B"/>
    <w:rsid w:val="00032AC0"/>
    <w:rsid w:val="00032AE0"/>
    <w:rsid w:val="00032F47"/>
    <w:rsid w:val="000333E7"/>
    <w:rsid w:val="000339A3"/>
    <w:rsid w:val="00033E68"/>
    <w:rsid w:val="00033F79"/>
    <w:rsid w:val="00034038"/>
    <w:rsid w:val="000341F5"/>
    <w:rsid w:val="000346F5"/>
    <w:rsid w:val="00035132"/>
    <w:rsid w:val="00035670"/>
    <w:rsid w:val="00035949"/>
    <w:rsid w:val="00035FC5"/>
    <w:rsid w:val="00036995"/>
    <w:rsid w:val="000372E3"/>
    <w:rsid w:val="000403A4"/>
    <w:rsid w:val="00041C09"/>
    <w:rsid w:val="00041E9B"/>
    <w:rsid w:val="00042103"/>
    <w:rsid w:val="000421F8"/>
    <w:rsid w:val="00042F50"/>
    <w:rsid w:val="00043371"/>
    <w:rsid w:val="0004375C"/>
    <w:rsid w:val="0004407D"/>
    <w:rsid w:val="000448A7"/>
    <w:rsid w:val="00044F1E"/>
    <w:rsid w:val="0004513F"/>
    <w:rsid w:val="0004526B"/>
    <w:rsid w:val="000457D0"/>
    <w:rsid w:val="000465AA"/>
    <w:rsid w:val="00046B11"/>
    <w:rsid w:val="00046E08"/>
    <w:rsid w:val="0004710C"/>
    <w:rsid w:val="0004724E"/>
    <w:rsid w:val="00047BE0"/>
    <w:rsid w:val="00050185"/>
    <w:rsid w:val="000503B3"/>
    <w:rsid w:val="00050EB7"/>
    <w:rsid w:val="00050F81"/>
    <w:rsid w:val="00051BA6"/>
    <w:rsid w:val="00051F68"/>
    <w:rsid w:val="00052916"/>
    <w:rsid w:val="00052BD6"/>
    <w:rsid w:val="00052F91"/>
    <w:rsid w:val="00052FEB"/>
    <w:rsid w:val="000530F4"/>
    <w:rsid w:val="00054533"/>
    <w:rsid w:val="000545B0"/>
    <w:rsid w:val="00054AD6"/>
    <w:rsid w:val="00054E2A"/>
    <w:rsid w:val="00054EF5"/>
    <w:rsid w:val="00055174"/>
    <w:rsid w:val="00055EC0"/>
    <w:rsid w:val="0005795C"/>
    <w:rsid w:val="00057FA6"/>
    <w:rsid w:val="0006049A"/>
    <w:rsid w:val="0006128C"/>
    <w:rsid w:val="00061436"/>
    <w:rsid w:val="00061D51"/>
    <w:rsid w:val="00062069"/>
    <w:rsid w:val="000620D7"/>
    <w:rsid w:val="000623D5"/>
    <w:rsid w:val="00062745"/>
    <w:rsid w:val="00062BDF"/>
    <w:rsid w:val="000630F8"/>
    <w:rsid w:val="00063328"/>
    <w:rsid w:val="000633D3"/>
    <w:rsid w:val="00063619"/>
    <w:rsid w:val="000637A7"/>
    <w:rsid w:val="00064196"/>
    <w:rsid w:val="00064853"/>
    <w:rsid w:val="00064E10"/>
    <w:rsid w:val="00064FA2"/>
    <w:rsid w:val="000650A4"/>
    <w:rsid w:val="00065430"/>
    <w:rsid w:val="000656E6"/>
    <w:rsid w:val="0006587E"/>
    <w:rsid w:val="000667F1"/>
    <w:rsid w:val="0006688E"/>
    <w:rsid w:val="00067E4A"/>
    <w:rsid w:val="00070A43"/>
    <w:rsid w:val="00070C6B"/>
    <w:rsid w:val="00070E15"/>
    <w:rsid w:val="00071068"/>
    <w:rsid w:val="00071305"/>
    <w:rsid w:val="000714BF"/>
    <w:rsid w:val="00071BF0"/>
    <w:rsid w:val="00073588"/>
    <w:rsid w:val="00073D2E"/>
    <w:rsid w:val="00073ECF"/>
    <w:rsid w:val="00074333"/>
    <w:rsid w:val="000743C4"/>
    <w:rsid w:val="000744B8"/>
    <w:rsid w:val="000752F4"/>
    <w:rsid w:val="0007585E"/>
    <w:rsid w:val="000762B3"/>
    <w:rsid w:val="000765DA"/>
    <w:rsid w:val="000767FE"/>
    <w:rsid w:val="00076B24"/>
    <w:rsid w:val="00076F9A"/>
    <w:rsid w:val="00077142"/>
    <w:rsid w:val="0007762F"/>
    <w:rsid w:val="00077C22"/>
    <w:rsid w:val="00077E50"/>
    <w:rsid w:val="00080303"/>
    <w:rsid w:val="00080FA9"/>
    <w:rsid w:val="000813F5"/>
    <w:rsid w:val="00081A14"/>
    <w:rsid w:val="00081F1E"/>
    <w:rsid w:val="00082292"/>
    <w:rsid w:val="00083017"/>
    <w:rsid w:val="00083F7B"/>
    <w:rsid w:val="000846D6"/>
    <w:rsid w:val="00084C64"/>
    <w:rsid w:val="00085376"/>
    <w:rsid w:val="00085836"/>
    <w:rsid w:val="0008646F"/>
    <w:rsid w:val="00086A4D"/>
    <w:rsid w:val="00086AD4"/>
    <w:rsid w:val="00086D74"/>
    <w:rsid w:val="00087053"/>
    <w:rsid w:val="00087117"/>
    <w:rsid w:val="00087446"/>
    <w:rsid w:val="000877F3"/>
    <w:rsid w:val="00090A70"/>
    <w:rsid w:val="00090B72"/>
    <w:rsid w:val="0009144B"/>
    <w:rsid w:val="0009160C"/>
    <w:rsid w:val="000920AA"/>
    <w:rsid w:val="00092802"/>
    <w:rsid w:val="00092EC7"/>
    <w:rsid w:val="00093432"/>
    <w:rsid w:val="00093A62"/>
    <w:rsid w:val="00093FB7"/>
    <w:rsid w:val="000948BE"/>
    <w:rsid w:val="00094EA3"/>
    <w:rsid w:val="000951A3"/>
    <w:rsid w:val="000955EA"/>
    <w:rsid w:val="000959C2"/>
    <w:rsid w:val="00095F27"/>
    <w:rsid w:val="000966C5"/>
    <w:rsid w:val="000969EA"/>
    <w:rsid w:val="00096A51"/>
    <w:rsid w:val="00096B8C"/>
    <w:rsid w:val="00096E2A"/>
    <w:rsid w:val="00096E36"/>
    <w:rsid w:val="00097048"/>
    <w:rsid w:val="000A0057"/>
    <w:rsid w:val="000A0609"/>
    <w:rsid w:val="000A08D7"/>
    <w:rsid w:val="000A166F"/>
    <w:rsid w:val="000A1ACF"/>
    <w:rsid w:val="000A1B1D"/>
    <w:rsid w:val="000A1B95"/>
    <w:rsid w:val="000A1D92"/>
    <w:rsid w:val="000A1E5B"/>
    <w:rsid w:val="000A216A"/>
    <w:rsid w:val="000A2752"/>
    <w:rsid w:val="000A3507"/>
    <w:rsid w:val="000A350A"/>
    <w:rsid w:val="000A35B1"/>
    <w:rsid w:val="000A3B7A"/>
    <w:rsid w:val="000A4279"/>
    <w:rsid w:val="000A439D"/>
    <w:rsid w:val="000A47D7"/>
    <w:rsid w:val="000A4B33"/>
    <w:rsid w:val="000A4BBD"/>
    <w:rsid w:val="000A5597"/>
    <w:rsid w:val="000A5C27"/>
    <w:rsid w:val="000A5C33"/>
    <w:rsid w:val="000A5C73"/>
    <w:rsid w:val="000A6CDA"/>
    <w:rsid w:val="000A6D45"/>
    <w:rsid w:val="000A74D3"/>
    <w:rsid w:val="000A74F6"/>
    <w:rsid w:val="000A756D"/>
    <w:rsid w:val="000B0DE1"/>
    <w:rsid w:val="000B0EB7"/>
    <w:rsid w:val="000B205A"/>
    <w:rsid w:val="000B256A"/>
    <w:rsid w:val="000B2AC6"/>
    <w:rsid w:val="000B2BFF"/>
    <w:rsid w:val="000B2D4F"/>
    <w:rsid w:val="000B2FF7"/>
    <w:rsid w:val="000B301C"/>
    <w:rsid w:val="000B42C8"/>
    <w:rsid w:val="000B4B1E"/>
    <w:rsid w:val="000B4B76"/>
    <w:rsid w:val="000B506F"/>
    <w:rsid w:val="000B5085"/>
    <w:rsid w:val="000B5136"/>
    <w:rsid w:val="000B546B"/>
    <w:rsid w:val="000B5BB9"/>
    <w:rsid w:val="000B5BC8"/>
    <w:rsid w:val="000B5EC2"/>
    <w:rsid w:val="000B619D"/>
    <w:rsid w:val="000B63B3"/>
    <w:rsid w:val="000B7450"/>
    <w:rsid w:val="000B7979"/>
    <w:rsid w:val="000B7A0D"/>
    <w:rsid w:val="000B7BD6"/>
    <w:rsid w:val="000C03F9"/>
    <w:rsid w:val="000C047F"/>
    <w:rsid w:val="000C06DB"/>
    <w:rsid w:val="000C0B2F"/>
    <w:rsid w:val="000C1454"/>
    <w:rsid w:val="000C1552"/>
    <w:rsid w:val="000C1621"/>
    <w:rsid w:val="000C17E9"/>
    <w:rsid w:val="000C1D8B"/>
    <w:rsid w:val="000C1E19"/>
    <w:rsid w:val="000C3793"/>
    <w:rsid w:val="000C3816"/>
    <w:rsid w:val="000C4182"/>
    <w:rsid w:val="000C4283"/>
    <w:rsid w:val="000C4CE2"/>
    <w:rsid w:val="000C5B66"/>
    <w:rsid w:val="000C61B8"/>
    <w:rsid w:val="000C68AF"/>
    <w:rsid w:val="000C71B1"/>
    <w:rsid w:val="000C74A2"/>
    <w:rsid w:val="000D011F"/>
    <w:rsid w:val="000D03E8"/>
    <w:rsid w:val="000D0C43"/>
    <w:rsid w:val="000D15AE"/>
    <w:rsid w:val="000D1B47"/>
    <w:rsid w:val="000D1B81"/>
    <w:rsid w:val="000D253F"/>
    <w:rsid w:val="000D2756"/>
    <w:rsid w:val="000D2EFC"/>
    <w:rsid w:val="000D3B2B"/>
    <w:rsid w:val="000D3BEE"/>
    <w:rsid w:val="000D479B"/>
    <w:rsid w:val="000D4CA3"/>
    <w:rsid w:val="000D4E70"/>
    <w:rsid w:val="000D589D"/>
    <w:rsid w:val="000D5EA7"/>
    <w:rsid w:val="000D64A0"/>
    <w:rsid w:val="000D69CF"/>
    <w:rsid w:val="000D72A5"/>
    <w:rsid w:val="000D74CD"/>
    <w:rsid w:val="000E0295"/>
    <w:rsid w:val="000E04E6"/>
    <w:rsid w:val="000E0C22"/>
    <w:rsid w:val="000E2559"/>
    <w:rsid w:val="000E2748"/>
    <w:rsid w:val="000E2DA7"/>
    <w:rsid w:val="000E32D7"/>
    <w:rsid w:val="000E397D"/>
    <w:rsid w:val="000E3FB6"/>
    <w:rsid w:val="000E4276"/>
    <w:rsid w:val="000E44B2"/>
    <w:rsid w:val="000E4DB3"/>
    <w:rsid w:val="000E4E48"/>
    <w:rsid w:val="000E5BA1"/>
    <w:rsid w:val="000E6370"/>
    <w:rsid w:val="000E6618"/>
    <w:rsid w:val="000F058E"/>
    <w:rsid w:val="000F0A65"/>
    <w:rsid w:val="000F13F4"/>
    <w:rsid w:val="000F1F84"/>
    <w:rsid w:val="000F2187"/>
    <w:rsid w:val="000F2684"/>
    <w:rsid w:val="000F289E"/>
    <w:rsid w:val="000F2964"/>
    <w:rsid w:val="000F3808"/>
    <w:rsid w:val="000F3C43"/>
    <w:rsid w:val="000F402C"/>
    <w:rsid w:val="000F43EE"/>
    <w:rsid w:val="000F4725"/>
    <w:rsid w:val="000F4BF5"/>
    <w:rsid w:val="000F4C0C"/>
    <w:rsid w:val="000F4C89"/>
    <w:rsid w:val="000F5075"/>
    <w:rsid w:val="000F513A"/>
    <w:rsid w:val="000F5158"/>
    <w:rsid w:val="000F580B"/>
    <w:rsid w:val="000F59B6"/>
    <w:rsid w:val="000F65A9"/>
    <w:rsid w:val="000F6E4B"/>
    <w:rsid w:val="000F72D2"/>
    <w:rsid w:val="000F7901"/>
    <w:rsid w:val="000F7CCF"/>
    <w:rsid w:val="00100A29"/>
    <w:rsid w:val="00100C21"/>
    <w:rsid w:val="001010BB"/>
    <w:rsid w:val="0010134E"/>
    <w:rsid w:val="00101548"/>
    <w:rsid w:val="00101607"/>
    <w:rsid w:val="00101662"/>
    <w:rsid w:val="00101796"/>
    <w:rsid w:val="00101C8B"/>
    <w:rsid w:val="001020EE"/>
    <w:rsid w:val="00102E11"/>
    <w:rsid w:val="00102F42"/>
    <w:rsid w:val="001032B1"/>
    <w:rsid w:val="00103F1E"/>
    <w:rsid w:val="00104A34"/>
    <w:rsid w:val="00105269"/>
    <w:rsid w:val="0010530B"/>
    <w:rsid w:val="001055A8"/>
    <w:rsid w:val="00106033"/>
    <w:rsid w:val="001060A9"/>
    <w:rsid w:val="00106C0B"/>
    <w:rsid w:val="00106E81"/>
    <w:rsid w:val="00107914"/>
    <w:rsid w:val="001079CB"/>
    <w:rsid w:val="0011035B"/>
    <w:rsid w:val="00110429"/>
    <w:rsid w:val="00110B0C"/>
    <w:rsid w:val="00110C83"/>
    <w:rsid w:val="00110E86"/>
    <w:rsid w:val="00110EB7"/>
    <w:rsid w:val="00110F5F"/>
    <w:rsid w:val="00110F82"/>
    <w:rsid w:val="00111216"/>
    <w:rsid w:val="0011173E"/>
    <w:rsid w:val="00112458"/>
    <w:rsid w:val="0011282A"/>
    <w:rsid w:val="001128F0"/>
    <w:rsid w:val="00112EC7"/>
    <w:rsid w:val="00112F27"/>
    <w:rsid w:val="0011345F"/>
    <w:rsid w:val="001139EA"/>
    <w:rsid w:val="00113BF7"/>
    <w:rsid w:val="00114098"/>
    <w:rsid w:val="00114332"/>
    <w:rsid w:val="00114526"/>
    <w:rsid w:val="00114539"/>
    <w:rsid w:val="00114AE7"/>
    <w:rsid w:val="00114EE7"/>
    <w:rsid w:val="00115DAD"/>
    <w:rsid w:val="00115EA4"/>
    <w:rsid w:val="00116132"/>
    <w:rsid w:val="001167A6"/>
    <w:rsid w:val="00116A1D"/>
    <w:rsid w:val="00116C7C"/>
    <w:rsid w:val="00116CE7"/>
    <w:rsid w:val="00116D00"/>
    <w:rsid w:val="001171DF"/>
    <w:rsid w:val="00117531"/>
    <w:rsid w:val="0011780D"/>
    <w:rsid w:val="001205A8"/>
    <w:rsid w:val="00120732"/>
    <w:rsid w:val="001210A9"/>
    <w:rsid w:val="001214CC"/>
    <w:rsid w:val="001218E1"/>
    <w:rsid w:val="00121C07"/>
    <w:rsid w:val="00121D2B"/>
    <w:rsid w:val="001220E2"/>
    <w:rsid w:val="00122579"/>
    <w:rsid w:val="00123447"/>
    <w:rsid w:val="001242B9"/>
    <w:rsid w:val="001249DE"/>
    <w:rsid w:val="00125FAE"/>
    <w:rsid w:val="0012618D"/>
    <w:rsid w:val="00126C49"/>
    <w:rsid w:val="00126F2B"/>
    <w:rsid w:val="00127866"/>
    <w:rsid w:val="00127D14"/>
    <w:rsid w:val="00127E8C"/>
    <w:rsid w:val="001308A3"/>
    <w:rsid w:val="0013183F"/>
    <w:rsid w:val="001319D3"/>
    <w:rsid w:val="00131B46"/>
    <w:rsid w:val="00132CC4"/>
    <w:rsid w:val="001330C8"/>
    <w:rsid w:val="00134422"/>
    <w:rsid w:val="001349F8"/>
    <w:rsid w:val="00134ABC"/>
    <w:rsid w:val="0013500D"/>
    <w:rsid w:val="001357E8"/>
    <w:rsid w:val="00135888"/>
    <w:rsid w:val="00135B91"/>
    <w:rsid w:val="001368E4"/>
    <w:rsid w:val="00136AF0"/>
    <w:rsid w:val="00136E6C"/>
    <w:rsid w:val="00136EF9"/>
    <w:rsid w:val="0013723C"/>
    <w:rsid w:val="001374FA"/>
    <w:rsid w:val="001377FB"/>
    <w:rsid w:val="00137E92"/>
    <w:rsid w:val="001409D6"/>
    <w:rsid w:val="00140A86"/>
    <w:rsid w:val="00140D92"/>
    <w:rsid w:val="00141162"/>
    <w:rsid w:val="00141353"/>
    <w:rsid w:val="00141EBF"/>
    <w:rsid w:val="00142078"/>
    <w:rsid w:val="001422A1"/>
    <w:rsid w:val="00142A38"/>
    <w:rsid w:val="00142AB3"/>
    <w:rsid w:val="00142C21"/>
    <w:rsid w:val="00143AA6"/>
    <w:rsid w:val="00143AC0"/>
    <w:rsid w:val="00143EE6"/>
    <w:rsid w:val="00144348"/>
    <w:rsid w:val="0014473B"/>
    <w:rsid w:val="0014483D"/>
    <w:rsid w:val="00145A89"/>
    <w:rsid w:val="00145CC3"/>
    <w:rsid w:val="00145F36"/>
    <w:rsid w:val="00145F71"/>
    <w:rsid w:val="00147DA5"/>
    <w:rsid w:val="00147E6D"/>
    <w:rsid w:val="00147F08"/>
    <w:rsid w:val="00147F3A"/>
    <w:rsid w:val="001510DA"/>
    <w:rsid w:val="00151205"/>
    <w:rsid w:val="00151619"/>
    <w:rsid w:val="00151638"/>
    <w:rsid w:val="00151704"/>
    <w:rsid w:val="00151CA7"/>
    <w:rsid w:val="0015232C"/>
    <w:rsid w:val="001527AE"/>
    <w:rsid w:val="00152A8F"/>
    <w:rsid w:val="00152D9E"/>
    <w:rsid w:val="00152E1E"/>
    <w:rsid w:val="00152F6D"/>
    <w:rsid w:val="00153BF4"/>
    <w:rsid w:val="00153CC6"/>
    <w:rsid w:val="00153D1E"/>
    <w:rsid w:val="00154ED6"/>
    <w:rsid w:val="00155170"/>
    <w:rsid w:val="00155279"/>
    <w:rsid w:val="00155394"/>
    <w:rsid w:val="00155DEF"/>
    <w:rsid w:val="0015673A"/>
    <w:rsid w:val="00156996"/>
    <w:rsid w:val="001571ED"/>
    <w:rsid w:val="0015775D"/>
    <w:rsid w:val="001577EF"/>
    <w:rsid w:val="00157DB5"/>
    <w:rsid w:val="00157DD2"/>
    <w:rsid w:val="00157F44"/>
    <w:rsid w:val="00160600"/>
    <w:rsid w:val="0016083B"/>
    <w:rsid w:val="0016117E"/>
    <w:rsid w:val="001622BF"/>
    <w:rsid w:val="001629E4"/>
    <w:rsid w:val="00162ACC"/>
    <w:rsid w:val="001638BF"/>
    <w:rsid w:val="00164A35"/>
    <w:rsid w:val="0016522C"/>
    <w:rsid w:val="00165942"/>
    <w:rsid w:val="00165B40"/>
    <w:rsid w:val="00165DC5"/>
    <w:rsid w:val="00165EBC"/>
    <w:rsid w:val="00166324"/>
    <w:rsid w:val="001667C9"/>
    <w:rsid w:val="00166858"/>
    <w:rsid w:val="00167462"/>
    <w:rsid w:val="001676C0"/>
    <w:rsid w:val="001676F4"/>
    <w:rsid w:val="001679A4"/>
    <w:rsid w:val="00167F6A"/>
    <w:rsid w:val="00171C47"/>
    <w:rsid w:val="00171C8A"/>
    <w:rsid w:val="0017260F"/>
    <w:rsid w:val="00172C1C"/>
    <w:rsid w:val="001738BA"/>
    <w:rsid w:val="00173A5A"/>
    <w:rsid w:val="00173B13"/>
    <w:rsid w:val="001742EE"/>
    <w:rsid w:val="00174416"/>
    <w:rsid w:val="00175789"/>
    <w:rsid w:val="001759BE"/>
    <w:rsid w:val="00176543"/>
    <w:rsid w:val="00176746"/>
    <w:rsid w:val="00177C82"/>
    <w:rsid w:val="00177DD9"/>
    <w:rsid w:val="0018036F"/>
    <w:rsid w:val="001803FE"/>
    <w:rsid w:val="00180621"/>
    <w:rsid w:val="001808EC"/>
    <w:rsid w:val="00181029"/>
    <w:rsid w:val="00181ED5"/>
    <w:rsid w:val="001831F6"/>
    <w:rsid w:val="0018373B"/>
    <w:rsid w:val="001837E8"/>
    <w:rsid w:val="00183C64"/>
    <w:rsid w:val="00183E7D"/>
    <w:rsid w:val="00184C8A"/>
    <w:rsid w:val="00185964"/>
    <w:rsid w:val="00186001"/>
    <w:rsid w:val="001862C8"/>
    <w:rsid w:val="00186826"/>
    <w:rsid w:val="00186876"/>
    <w:rsid w:val="00187B43"/>
    <w:rsid w:val="0019011D"/>
    <w:rsid w:val="001905C1"/>
    <w:rsid w:val="0019063D"/>
    <w:rsid w:val="001907D8"/>
    <w:rsid w:val="00190A0C"/>
    <w:rsid w:val="00190C32"/>
    <w:rsid w:val="0019210B"/>
    <w:rsid w:val="0019215C"/>
    <w:rsid w:val="001924D2"/>
    <w:rsid w:val="00192C0E"/>
    <w:rsid w:val="00192CEE"/>
    <w:rsid w:val="00192DF8"/>
    <w:rsid w:val="00192FB3"/>
    <w:rsid w:val="00193B24"/>
    <w:rsid w:val="00193FC1"/>
    <w:rsid w:val="00194D0B"/>
    <w:rsid w:val="00194E01"/>
    <w:rsid w:val="00194EF4"/>
    <w:rsid w:val="00195FA2"/>
    <w:rsid w:val="001960FD"/>
    <w:rsid w:val="0019655D"/>
    <w:rsid w:val="001966F2"/>
    <w:rsid w:val="001967C5"/>
    <w:rsid w:val="00196904"/>
    <w:rsid w:val="00196C82"/>
    <w:rsid w:val="00196C90"/>
    <w:rsid w:val="00196DE0"/>
    <w:rsid w:val="0019788D"/>
    <w:rsid w:val="001A0051"/>
    <w:rsid w:val="001A06EE"/>
    <w:rsid w:val="001A077A"/>
    <w:rsid w:val="001A080C"/>
    <w:rsid w:val="001A1226"/>
    <w:rsid w:val="001A153F"/>
    <w:rsid w:val="001A1BEB"/>
    <w:rsid w:val="001A25FA"/>
    <w:rsid w:val="001A2B3F"/>
    <w:rsid w:val="001A2C47"/>
    <w:rsid w:val="001A2E93"/>
    <w:rsid w:val="001A3C9C"/>
    <w:rsid w:val="001A40E2"/>
    <w:rsid w:val="001A458B"/>
    <w:rsid w:val="001A4FC4"/>
    <w:rsid w:val="001A5176"/>
    <w:rsid w:val="001A53AD"/>
    <w:rsid w:val="001A5B4B"/>
    <w:rsid w:val="001A67AD"/>
    <w:rsid w:val="001A7282"/>
    <w:rsid w:val="001A7A30"/>
    <w:rsid w:val="001A7A7F"/>
    <w:rsid w:val="001A7AF3"/>
    <w:rsid w:val="001A7AF6"/>
    <w:rsid w:val="001B027A"/>
    <w:rsid w:val="001B08D3"/>
    <w:rsid w:val="001B09B7"/>
    <w:rsid w:val="001B0E78"/>
    <w:rsid w:val="001B1715"/>
    <w:rsid w:val="001B187B"/>
    <w:rsid w:val="001B1940"/>
    <w:rsid w:val="001B1977"/>
    <w:rsid w:val="001B1E19"/>
    <w:rsid w:val="001B2069"/>
    <w:rsid w:val="001B2361"/>
    <w:rsid w:val="001B2428"/>
    <w:rsid w:val="001B26E1"/>
    <w:rsid w:val="001B27CD"/>
    <w:rsid w:val="001B4017"/>
    <w:rsid w:val="001B412D"/>
    <w:rsid w:val="001B4305"/>
    <w:rsid w:val="001B47A0"/>
    <w:rsid w:val="001B4DBD"/>
    <w:rsid w:val="001B5335"/>
    <w:rsid w:val="001B54B0"/>
    <w:rsid w:val="001B5512"/>
    <w:rsid w:val="001B57F3"/>
    <w:rsid w:val="001B5EB9"/>
    <w:rsid w:val="001B63C5"/>
    <w:rsid w:val="001B6461"/>
    <w:rsid w:val="001B6C2D"/>
    <w:rsid w:val="001B7643"/>
    <w:rsid w:val="001B7B6B"/>
    <w:rsid w:val="001B7D90"/>
    <w:rsid w:val="001C0339"/>
    <w:rsid w:val="001C03F4"/>
    <w:rsid w:val="001C0EFE"/>
    <w:rsid w:val="001C166E"/>
    <w:rsid w:val="001C17E7"/>
    <w:rsid w:val="001C1B11"/>
    <w:rsid w:val="001C1FBD"/>
    <w:rsid w:val="001C21E2"/>
    <w:rsid w:val="001C2718"/>
    <w:rsid w:val="001C2774"/>
    <w:rsid w:val="001C2C2E"/>
    <w:rsid w:val="001C301F"/>
    <w:rsid w:val="001C33E0"/>
    <w:rsid w:val="001C3BBA"/>
    <w:rsid w:val="001C4267"/>
    <w:rsid w:val="001C439B"/>
    <w:rsid w:val="001C4AD5"/>
    <w:rsid w:val="001C4B05"/>
    <w:rsid w:val="001C5ABC"/>
    <w:rsid w:val="001C5B69"/>
    <w:rsid w:val="001C5C93"/>
    <w:rsid w:val="001C5CC8"/>
    <w:rsid w:val="001C5D0D"/>
    <w:rsid w:val="001C6546"/>
    <w:rsid w:val="001C658F"/>
    <w:rsid w:val="001C6BE6"/>
    <w:rsid w:val="001C7388"/>
    <w:rsid w:val="001C7B9D"/>
    <w:rsid w:val="001D0F00"/>
    <w:rsid w:val="001D1005"/>
    <w:rsid w:val="001D1799"/>
    <w:rsid w:val="001D1A5F"/>
    <w:rsid w:val="001D22E9"/>
    <w:rsid w:val="001D2416"/>
    <w:rsid w:val="001D251D"/>
    <w:rsid w:val="001D2690"/>
    <w:rsid w:val="001D3017"/>
    <w:rsid w:val="001D318C"/>
    <w:rsid w:val="001D350E"/>
    <w:rsid w:val="001D3583"/>
    <w:rsid w:val="001D3E68"/>
    <w:rsid w:val="001D419F"/>
    <w:rsid w:val="001D435C"/>
    <w:rsid w:val="001D4398"/>
    <w:rsid w:val="001D4E6A"/>
    <w:rsid w:val="001D55B5"/>
    <w:rsid w:val="001D56FC"/>
    <w:rsid w:val="001D5A07"/>
    <w:rsid w:val="001D63BF"/>
    <w:rsid w:val="001D6481"/>
    <w:rsid w:val="001D77F3"/>
    <w:rsid w:val="001D7856"/>
    <w:rsid w:val="001D7916"/>
    <w:rsid w:val="001D7E1F"/>
    <w:rsid w:val="001D7E75"/>
    <w:rsid w:val="001E06BB"/>
    <w:rsid w:val="001E0CE0"/>
    <w:rsid w:val="001E1098"/>
    <w:rsid w:val="001E149D"/>
    <w:rsid w:val="001E17E2"/>
    <w:rsid w:val="001E2974"/>
    <w:rsid w:val="001E2CAA"/>
    <w:rsid w:val="001E311C"/>
    <w:rsid w:val="001E33D7"/>
    <w:rsid w:val="001E34A7"/>
    <w:rsid w:val="001E3766"/>
    <w:rsid w:val="001E3CAB"/>
    <w:rsid w:val="001E3F77"/>
    <w:rsid w:val="001E4221"/>
    <w:rsid w:val="001E4C95"/>
    <w:rsid w:val="001E4D0A"/>
    <w:rsid w:val="001E5015"/>
    <w:rsid w:val="001E5073"/>
    <w:rsid w:val="001E5B90"/>
    <w:rsid w:val="001E6454"/>
    <w:rsid w:val="001E68A2"/>
    <w:rsid w:val="001E68EA"/>
    <w:rsid w:val="001E714E"/>
    <w:rsid w:val="001E72EC"/>
    <w:rsid w:val="001E788C"/>
    <w:rsid w:val="001E7AA0"/>
    <w:rsid w:val="001E7CA0"/>
    <w:rsid w:val="001F014C"/>
    <w:rsid w:val="001F0752"/>
    <w:rsid w:val="001F0DCD"/>
    <w:rsid w:val="001F11F2"/>
    <w:rsid w:val="001F1482"/>
    <w:rsid w:val="001F172D"/>
    <w:rsid w:val="001F1EB8"/>
    <w:rsid w:val="001F2694"/>
    <w:rsid w:val="001F2F63"/>
    <w:rsid w:val="001F2F90"/>
    <w:rsid w:val="001F30CD"/>
    <w:rsid w:val="001F355D"/>
    <w:rsid w:val="001F3A53"/>
    <w:rsid w:val="001F3ECA"/>
    <w:rsid w:val="001F4693"/>
    <w:rsid w:val="001F46FE"/>
    <w:rsid w:val="001F558F"/>
    <w:rsid w:val="001F55CD"/>
    <w:rsid w:val="001F5BB1"/>
    <w:rsid w:val="001F5FF2"/>
    <w:rsid w:val="001F613F"/>
    <w:rsid w:val="001F61CD"/>
    <w:rsid w:val="001F65AE"/>
    <w:rsid w:val="001F6EE3"/>
    <w:rsid w:val="001F7274"/>
    <w:rsid w:val="001F7421"/>
    <w:rsid w:val="00200867"/>
    <w:rsid w:val="002009A6"/>
    <w:rsid w:val="002015A8"/>
    <w:rsid w:val="0020191D"/>
    <w:rsid w:val="0020256E"/>
    <w:rsid w:val="00203050"/>
    <w:rsid w:val="0020371E"/>
    <w:rsid w:val="00203C6E"/>
    <w:rsid w:val="002040CC"/>
    <w:rsid w:val="002046F6"/>
    <w:rsid w:val="00204869"/>
    <w:rsid w:val="002048D4"/>
    <w:rsid w:val="00204DD1"/>
    <w:rsid w:val="002072E0"/>
    <w:rsid w:val="002076A2"/>
    <w:rsid w:val="00207832"/>
    <w:rsid w:val="00207982"/>
    <w:rsid w:val="00210EA1"/>
    <w:rsid w:val="00210F05"/>
    <w:rsid w:val="0021123C"/>
    <w:rsid w:val="002117D3"/>
    <w:rsid w:val="00211FDF"/>
    <w:rsid w:val="00212925"/>
    <w:rsid w:val="00212A1A"/>
    <w:rsid w:val="00213644"/>
    <w:rsid w:val="00214B1B"/>
    <w:rsid w:val="00215152"/>
    <w:rsid w:val="002152C9"/>
    <w:rsid w:val="0021548C"/>
    <w:rsid w:val="00215515"/>
    <w:rsid w:val="00215C95"/>
    <w:rsid w:val="00215F60"/>
    <w:rsid w:val="0021665E"/>
    <w:rsid w:val="00216A12"/>
    <w:rsid w:val="00217723"/>
    <w:rsid w:val="00217771"/>
    <w:rsid w:val="002178CF"/>
    <w:rsid w:val="00220451"/>
    <w:rsid w:val="0022132C"/>
    <w:rsid w:val="00221B5C"/>
    <w:rsid w:val="00221F36"/>
    <w:rsid w:val="002221B3"/>
    <w:rsid w:val="00222276"/>
    <w:rsid w:val="00222412"/>
    <w:rsid w:val="00222519"/>
    <w:rsid w:val="00222583"/>
    <w:rsid w:val="00222F8E"/>
    <w:rsid w:val="002233A2"/>
    <w:rsid w:val="00224597"/>
    <w:rsid w:val="0022563D"/>
    <w:rsid w:val="00225989"/>
    <w:rsid w:val="002259B2"/>
    <w:rsid w:val="00225E18"/>
    <w:rsid w:val="00225F0A"/>
    <w:rsid w:val="00226159"/>
    <w:rsid w:val="0022619D"/>
    <w:rsid w:val="0022683B"/>
    <w:rsid w:val="00226F9A"/>
    <w:rsid w:val="002279B5"/>
    <w:rsid w:val="00227B08"/>
    <w:rsid w:val="00231117"/>
    <w:rsid w:val="00231822"/>
    <w:rsid w:val="00231B0B"/>
    <w:rsid w:val="00231BC2"/>
    <w:rsid w:val="00231CFF"/>
    <w:rsid w:val="00231FBD"/>
    <w:rsid w:val="0023200A"/>
    <w:rsid w:val="00232446"/>
    <w:rsid w:val="002326A0"/>
    <w:rsid w:val="002329B4"/>
    <w:rsid w:val="00232B96"/>
    <w:rsid w:val="0023307A"/>
    <w:rsid w:val="00233743"/>
    <w:rsid w:val="00233EE1"/>
    <w:rsid w:val="00234DA9"/>
    <w:rsid w:val="002351F7"/>
    <w:rsid w:val="0023566A"/>
    <w:rsid w:val="0023581F"/>
    <w:rsid w:val="0023596B"/>
    <w:rsid w:val="00236151"/>
    <w:rsid w:val="00236711"/>
    <w:rsid w:val="00236F90"/>
    <w:rsid w:val="00237E1A"/>
    <w:rsid w:val="00237E4E"/>
    <w:rsid w:val="0024013A"/>
    <w:rsid w:val="00240602"/>
    <w:rsid w:val="00240859"/>
    <w:rsid w:val="00240E4E"/>
    <w:rsid w:val="00241574"/>
    <w:rsid w:val="00241760"/>
    <w:rsid w:val="002434A3"/>
    <w:rsid w:val="0024356A"/>
    <w:rsid w:val="0024368C"/>
    <w:rsid w:val="00243757"/>
    <w:rsid w:val="00243B96"/>
    <w:rsid w:val="002442E5"/>
    <w:rsid w:val="0024436D"/>
    <w:rsid w:val="00244585"/>
    <w:rsid w:val="00244950"/>
    <w:rsid w:val="00244A6B"/>
    <w:rsid w:val="00245055"/>
    <w:rsid w:val="002450BC"/>
    <w:rsid w:val="002456CB"/>
    <w:rsid w:val="00245888"/>
    <w:rsid w:val="0024600C"/>
    <w:rsid w:val="002460C8"/>
    <w:rsid w:val="00246483"/>
    <w:rsid w:val="002465D2"/>
    <w:rsid w:val="002470B1"/>
    <w:rsid w:val="00247146"/>
    <w:rsid w:val="002477F8"/>
    <w:rsid w:val="002503A0"/>
    <w:rsid w:val="0025102B"/>
    <w:rsid w:val="00251326"/>
    <w:rsid w:val="0025159A"/>
    <w:rsid w:val="00251821"/>
    <w:rsid w:val="00251CCA"/>
    <w:rsid w:val="00251EDC"/>
    <w:rsid w:val="00252449"/>
    <w:rsid w:val="002525CD"/>
    <w:rsid w:val="00252854"/>
    <w:rsid w:val="00253730"/>
    <w:rsid w:val="00253FAB"/>
    <w:rsid w:val="002540C8"/>
    <w:rsid w:val="002548EE"/>
    <w:rsid w:val="0025499D"/>
    <w:rsid w:val="00254A26"/>
    <w:rsid w:val="00254AF3"/>
    <w:rsid w:val="00255628"/>
    <w:rsid w:val="0025596E"/>
    <w:rsid w:val="00255B04"/>
    <w:rsid w:val="0025640F"/>
    <w:rsid w:val="00256E2A"/>
    <w:rsid w:val="00257431"/>
    <w:rsid w:val="00257527"/>
    <w:rsid w:val="002579CB"/>
    <w:rsid w:val="002609DD"/>
    <w:rsid w:val="00260AD2"/>
    <w:rsid w:val="00261467"/>
    <w:rsid w:val="002614BC"/>
    <w:rsid w:val="002615F8"/>
    <w:rsid w:val="00261D69"/>
    <w:rsid w:val="002622D0"/>
    <w:rsid w:val="00262663"/>
    <w:rsid w:val="00262DBE"/>
    <w:rsid w:val="0026363B"/>
    <w:rsid w:val="00263A20"/>
    <w:rsid w:val="00263BA2"/>
    <w:rsid w:val="00263CE2"/>
    <w:rsid w:val="002644BD"/>
    <w:rsid w:val="00264542"/>
    <w:rsid w:val="0026475A"/>
    <w:rsid w:val="00264D94"/>
    <w:rsid w:val="002656D8"/>
    <w:rsid w:val="00266599"/>
    <w:rsid w:val="00266909"/>
    <w:rsid w:val="00266935"/>
    <w:rsid w:val="0026751F"/>
    <w:rsid w:val="0026752E"/>
    <w:rsid w:val="00267685"/>
    <w:rsid w:val="00267D2D"/>
    <w:rsid w:val="00267DB4"/>
    <w:rsid w:val="00270375"/>
    <w:rsid w:val="002706B9"/>
    <w:rsid w:val="002709D1"/>
    <w:rsid w:val="0027208E"/>
    <w:rsid w:val="0027245C"/>
    <w:rsid w:val="002725FB"/>
    <w:rsid w:val="00272694"/>
    <w:rsid w:val="0027478C"/>
    <w:rsid w:val="00274F69"/>
    <w:rsid w:val="00275014"/>
    <w:rsid w:val="002755FE"/>
    <w:rsid w:val="00275E97"/>
    <w:rsid w:val="00276B50"/>
    <w:rsid w:val="00276CFE"/>
    <w:rsid w:val="0027735D"/>
    <w:rsid w:val="00277595"/>
    <w:rsid w:val="00277A33"/>
    <w:rsid w:val="00277FE9"/>
    <w:rsid w:val="00281D8E"/>
    <w:rsid w:val="002825C5"/>
    <w:rsid w:val="002825E9"/>
    <w:rsid w:val="00282ECC"/>
    <w:rsid w:val="00283091"/>
    <w:rsid w:val="00283C24"/>
    <w:rsid w:val="00283F66"/>
    <w:rsid w:val="0028448F"/>
    <w:rsid w:val="00284B91"/>
    <w:rsid w:val="00284ED1"/>
    <w:rsid w:val="002850FB"/>
    <w:rsid w:val="002860BD"/>
    <w:rsid w:val="00286EE4"/>
    <w:rsid w:val="002874CC"/>
    <w:rsid w:val="00287ADD"/>
    <w:rsid w:val="00287BF0"/>
    <w:rsid w:val="00287F39"/>
    <w:rsid w:val="002903FF"/>
    <w:rsid w:val="0029040D"/>
    <w:rsid w:val="00290596"/>
    <w:rsid w:val="0029136E"/>
    <w:rsid w:val="002913A0"/>
    <w:rsid w:val="002914CB"/>
    <w:rsid w:val="00291B58"/>
    <w:rsid w:val="00292164"/>
    <w:rsid w:val="00292166"/>
    <w:rsid w:val="002934F8"/>
    <w:rsid w:val="00294800"/>
    <w:rsid w:val="00294930"/>
    <w:rsid w:val="00294B3D"/>
    <w:rsid w:val="00294CE7"/>
    <w:rsid w:val="00294CF1"/>
    <w:rsid w:val="00294E08"/>
    <w:rsid w:val="0029566C"/>
    <w:rsid w:val="0029584E"/>
    <w:rsid w:val="002958CB"/>
    <w:rsid w:val="00295EA1"/>
    <w:rsid w:val="00295F9D"/>
    <w:rsid w:val="00295FAB"/>
    <w:rsid w:val="002961E3"/>
    <w:rsid w:val="00296223"/>
    <w:rsid w:val="002967FA"/>
    <w:rsid w:val="0029790A"/>
    <w:rsid w:val="00297D2E"/>
    <w:rsid w:val="002A0530"/>
    <w:rsid w:val="002A0DB5"/>
    <w:rsid w:val="002A0E87"/>
    <w:rsid w:val="002A1733"/>
    <w:rsid w:val="002A2C98"/>
    <w:rsid w:val="002A3274"/>
    <w:rsid w:val="002A3988"/>
    <w:rsid w:val="002A3D83"/>
    <w:rsid w:val="002A4646"/>
    <w:rsid w:val="002A6021"/>
    <w:rsid w:val="002A6627"/>
    <w:rsid w:val="002A6BC9"/>
    <w:rsid w:val="002A6DB5"/>
    <w:rsid w:val="002A6FCC"/>
    <w:rsid w:val="002A706C"/>
    <w:rsid w:val="002A74DB"/>
    <w:rsid w:val="002A763B"/>
    <w:rsid w:val="002B00BF"/>
    <w:rsid w:val="002B0480"/>
    <w:rsid w:val="002B0547"/>
    <w:rsid w:val="002B0614"/>
    <w:rsid w:val="002B07E0"/>
    <w:rsid w:val="002B10CA"/>
    <w:rsid w:val="002B11FA"/>
    <w:rsid w:val="002B1940"/>
    <w:rsid w:val="002B1B7E"/>
    <w:rsid w:val="002B1CD0"/>
    <w:rsid w:val="002B1D24"/>
    <w:rsid w:val="002B200A"/>
    <w:rsid w:val="002B253D"/>
    <w:rsid w:val="002B25BB"/>
    <w:rsid w:val="002B26DE"/>
    <w:rsid w:val="002B54F2"/>
    <w:rsid w:val="002B5AC0"/>
    <w:rsid w:val="002B61ED"/>
    <w:rsid w:val="002B61F4"/>
    <w:rsid w:val="002B79AF"/>
    <w:rsid w:val="002B7A28"/>
    <w:rsid w:val="002B7AB9"/>
    <w:rsid w:val="002B7D0B"/>
    <w:rsid w:val="002C03F7"/>
    <w:rsid w:val="002C0459"/>
    <w:rsid w:val="002C138C"/>
    <w:rsid w:val="002C13C0"/>
    <w:rsid w:val="002C1646"/>
    <w:rsid w:val="002C1C72"/>
    <w:rsid w:val="002C2A2F"/>
    <w:rsid w:val="002C2B81"/>
    <w:rsid w:val="002C2FE5"/>
    <w:rsid w:val="002C405C"/>
    <w:rsid w:val="002C4122"/>
    <w:rsid w:val="002C44EA"/>
    <w:rsid w:val="002C4520"/>
    <w:rsid w:val="002C4577"/>
    <w:rsid w:val="002C4EEF"/>
    <w:rsid w:val="002C5466"/>
    <w:rsid w:val="002C57C4"/>
    <w:rsid w:val="002C5CD3"/>
    <w:rsid w:val="002C6E25"/>
    <w:rsid w:val="002C71CB"/>
    <w:rsid w:val="002C7B27"/>
    <w:rsid w:val="002C7C47"/>
    <w:rsid w:val="002D0042"/>
    <w:rsid w:val="002D09C1"/>
    <w:rsid w:val="002D0DCB"/>
    <w:rsid w:val="002D0FA9"/>
    <w:rsid w:val="002D162F"/>
    <w:rsid w:val="002D2B0B"/>
    <w:rsid w:val="002D2D09"/>
    <w:rsid w:val="002D32F5"/>
    <w:rsid w:val="002D3537"/>
    <w:rsid w:val="002D3EF4"/>
    <w:rsid w:val="002D41AC"/>
    <w:rsid w:val="002D4988"/>
    <w:rsid w:val="002D4CCF"/>
    <w:rsid w:val="002D4DE7"/>
    <w:rsid w:val="002D521A"/>
    <w:rsid w:val="002D58FC"/>
    <w:rsid w:val="002D5AC4"/>
    <w:rsid w:val="002D6195"/>
    <w:rsid w:val="002D6248"/>
    <w:rsid w:val="002D690B"/>
    <w:rsid w:val="002D7D00"/>
    <w:rsid w:val="002D7FAC"/>
    <w:rsid w:val="002E08F0"/>
    <w:rsid w:val="002E0A96"/>
    <w:rsid w:val="002E10DC"/>
    <w:rsid w:val="002E1557"/>
    <w:rsid w:val="002E18E9"/>
    <w:rsid w:val="002E20EE"/>
    <w:rsid w:val="002E2697"/>
    <w:rsid w:val="002E30D8"/>
    <w:rsid w:val="002E4A2D"/>
    <w:rsid w:val="002E4C04"/>
    <w:rsid w:val="002E5165"/>
    <w:rsid w:val="002E52CA"/>
    <w:rsid w:val="002E5558"/>
    <w:rsid w:val="002E661B"/>
    <w:rsid w:val="002E66E6"/>
    <w:rsid w:val="002E6F99"/>
    <w:rsid w:val="002E712D"/>
    <w:rsid w:val="002E7AB8"/>
    <w:rsid w:val="002E7D7D"/>
    <w:rsid w:val="002E7F0F"/>
    <w:rsid w:val="002F0A9D"/>
    <w:rsid w:val="002F157E"/>
    <w:rsid w:val="002F16A5"/>
    <w:rsid w:val="002F1DD8"/>
    <w:rsid w:val="002F2DDE"/>
    <w:rsid w:val="002F2ED6"/>
    <w:rsid w:val="002F36CA"/>
    <w:rsid w:val="002F3817"/>
    <w:rsid w:val="002F3EB1"/>
    <w:rsid w:val="002F4A22"/>
    <w:rsid w:val="002F50A6"/>
    <w:rsid w:val="002F564D"/>
    <w:rsid w:val="002F583C"/>
    <w:rsid w:val="002F5A94"/>
    <w:rsid w:val="002F5B97"/>
    <w:rsid w:val="002F75C7"/>
    <w:rsid w:val="002F786E"/>
    <w:rsid w:val="0030055D"/>
    <w:rsid w:val="0030073F"/>
    <w:rsid w:val="00300977"/>
    <w:rsid w:val="0030155D"/>
    <w:rsid w:val="00301909"/>
    <w:rsid w:val="00302034"/>
    <w:rsid w:val="0030297A"/>
    <w:rsid w:val="00302AAA"/>
    <w:rsid w:val="003030E7"/>
    <w:rsid w:val="003032D9"/>
    <w:rsid w:val="003033AA"/>
    <w:rsid w:val="00303E37"/>
    <w:rsid w:val="0030463C"/>
    <w:rsid w:val="00304FD1"/>
    <w:rsid w:val="00305CFE"/>
    <w:rsid w:val="00306065"/>
    <w:rsid w:val="003061B6"/>
    <w:rsid w:val="003073DA"/>
    <w:rsid w:val="0030750C"/>
    <w:rsid w:val="00307850"/>
    <w:rsid w:val="00307BA5"/>
    <w:rsid w:val="0031005A"/>
    <w:rsid w:val="003100B9"/>
    <w:rsid w:val="00310A1C"/>
    <w:rsid w:val="0031119F"/>
    <w:rsid w:val="003112A0"/>
    <w:rsid w:val="00312361"/>
    <w:rsid w:val="003125FC"/>
    <w:rsid w:val="00313739"/>
    <w:rsid w:val="0031373C"/>
    <w:rsid w:val="003138E2"/>
    <w:rsid w:val="003141EF"/>
    <w:rsid w:val="00314B10"/>
    <w:rsid w:val="00314BAA"/>
    <w:rsid w:val="00314D84"/>
    <w:rsid w:val="0031556A"/>
    <w:rsid w:val="0031593E"/>
    <w:rsid w:val="00317932"/>
    <w:rsid w:val="00317CE3"/>
    <w:rsid w:val="00317FCD"/>
    <w:rsid w:val="003201F3"/>
    <w:rsid w:val="00320BD0"/>
    <w:rsid w:val="003210A3"/>
    <w:rsid w:val="00321939"/>
    <w:rsid w:val="00321FB6"/>
    <w:rsid w:val="0032244C"/>
    <w:rsid w:val="0032277D"/>
    <w:rsid w:val="00323267"/>
    <w:rsid w:val="00324EB3"/>
    <w:rsid w:val="00325155"/>
    <w:rsid w:val="003255F6"/>
    <w:rsid w:val="00325993"/>
    <w:rsid w:val="00325AE1"/>
    <w:rsid w:val="00325BF2"/>
    <w:rsid w:val="00325EDD"/>
    <w:rsid w:val="00326027"/>
    <w:rsid w:val="00326C1B"/>
    <w:rsid w:val="00327025"/>
    <w:rsid w:val="003270FE"/>
    <w:rsid w:val="003279FF"/>
    <w:rsid w:val="00327B33"/>
    <w:rsid w:val="00327E8D"/>
    <w:rsid w:val="0033036A"/>
    <w:rsid w:val="003303DF"/>
    <w:rsid w:val="0033089B"/>
    <w:rsid w:val="00330F8F"/>
    <w:rsid w:val="00331AB2"/>
    <w:rsid w:val="0033257C"/>
    <w:rsid w:val="00332EAF"/>
    <w:rsid w:val="0033348C"/>
    <w:rsid w:val="003336A5"/>
    <w:rsid w:val="00333841"/>
    <w:rsid w:val="00333BD6"/>
    <w:rsid w:val="00333CD3"/>
    <w:rsid w:val="00333D78"/>
    <w:rsid w:val="003341E5"/>
    <w:rsid w:val="003349B4"/>
    <w:rsid w:val="00335475"/>
    <w:rsid w:val="00336408"/>
    <w:rsid w:val="0033659F"/>
    <w:rsid w:val="003366F2"/>
    <w:rsid w:val="00336748"/>
    <w:rsid w:val="00336C96"/>
    <w:rsid w:val="00336E6B"/>
    <w:rsid w:val="0033704C"/>
    <w:rsid w:val="003370B6"/>
    <w:rsid w:val="00337345"/>
    <w:rsid w:val="0033753B"/>
    <w:rsid w:val="003378EA"/>
    <w:rsid w:val="00337AF1"/>
    <w:rsid w:val="00337B8E"/>
    <w:rsid w:val="00337D89"/>
    <w:rsid w:val="0034030D"/>
    <w:rsid w:val="00340735"/>
    <w:rsid w:val="00340809"/>
    <w:rsid w:val="00341251"/>
    <w:rsid w:val="0034175D"/>
    <w:rsid w:val="00341861"/>
    <w:rsid w:val="00341B66"/>
    <w:rsid w:val="00341CA3"/>
    <w:rsid w:val="00342071"/>
    <w:rsid w:val="0034224D"/>
    <w:rsid w:val="003434C8"/>
    <w:rsid w:val="00343BDF"/>
    <w:rsid w:val="00343D34"/>
    <w:rsid w:val="00343FD0"/>
    <w:rsid w:val="003441FE"/>
    <w:rsid w:val="00344319"/>
    <w:rsid w:val="003443A2"/>
    <w:rsid w:val="00344DE2"/>
    <w:rsid w:val="003458A0"/>
    <w:rsid w:val="00346258"/>
    <w:rsid w:val="003463A2"/>
    <w:rsid w:val="00347321"/>
    <w:rsid w:val="003476A1"/>
    <w:rsid w:val="00347AED"/>
    <w:rsid w:val="00347D9F"/>
    <w:rsid w:val="00347DC0"/>
    <w:rsid w:val="00350E50"/>
    <w:rsid w:val="00351073"/>
    <w:rsid w:val="003516A4"/>
    <w:rsid w:val="00351B4C"/>
    <w:rsid w:val="003525A7"/>
    <w:rsid w:val="00352A16"/>
    <w:rsid w:val="0035357D"/>
    <w:rsid w:val="003537DE"/>
    <w:rsid w:val="00353B11"/>
    <w:rsid w:val="00353BFF"/>
    <w:rsid w:val="003549C2"/>
    <w:rsid w:val="00354CB3"/>
    <w:rsid w:val="00354D32"/>
    <w:rsid w:val="003561D4"/>
    <w:rsid w:val="0035682C"/>
    <w:rsid w:val="0035719E"/>
    <w:rsid w:val="0035737A"/>
    <w:rsid w:val="0035764E"/>
    <w:rsid w:val="003579BA"/>
    <w:rsid w:val="003600E4"/>
    <w:rsid w:val="00360FAA"/>
    <w:rsid w:val="00361280"/>
    <w:rsid w:val="003617D7"/>
    <w:rsid w:val="003618F4"/>
    <w:rsid w:val="003619CF"/>
    <w:rsid w:val="0036258C"/>
    <w:rsid w:val="003626A0"/>
    <w:rsid w:val="00362EFA"/>
    <w:rsid w:val="00363E61"/>
    <w:rsid w:val="00364753"/>
    <w:rsid w:val="00364DCE"/>
    <w:rsid w:val="00364EE1"/>
    <w:rsid w:val="00365555"/>
    <w:rsid w:val="0036603B"/>
    <w:rsid w:val="00366E91"/>
    <w:rsid w:val="00370126"/>
    <w:rsid w:val="00370141"/>
    <w:rsid w:val="00370318"/>
    <w:rsid w:val="003708D0"/>
    <w:rsid w:val="003713BB"/>
    <w:rsid w:val="003718ED"/>
    <w:rsid w:val="00371B3B"/>
    <w:rsid w:val="00371E1E"/>
    <w:rsid w:val="00372103"/>
    <w:rsid w:val="0037231B"/>
    <w:rsid w:val="00372675"/>
    <w:rsid w:val="003726E1"/>
    <w:rsid w:val="00372AAF"/>
    <w:rsid w:val="00372EFE"/>
    <w:rsid w:val="003736C8"/>
    <w:rsid w:val="00373AE1"/>
    <w:rsid w:val="00373D5C"/>
    <w:rsid w:val="00373EC8"/>
    <w:rsid w:val="003742E8"/>
    <w:rsid w:val="003744BB"/>
    <w:rsid w:val="0037492F"/>
    <w:rsid w:val="00374F62"/>
    <w:rsid w:val="003754D5"/>
    <w:rsid w:val="00375AE5"/>
    <w:rsid w:val="00375BAC"/>
    <w:rsid w:val="00376367"/>
    <w:rsid w:val="0037666B"/>
    <w:rsid w:val="003768E5"/>
    <w:rsid w:val="0037691E"/>
    <w:rsid w:val="00376D1D"/>
    <w:rsid w:val="00377280"/>
    <w:rsid w:val="00377352"/>
    <w:rsid w:val="003774A8"/>
    <w:rsid w:val="00377EF8"/>
    <w:rsid w:val="003805C7"/>
    <w:rsid w:val="003808E3"/>
    <w:rsid w:val="0038090E"/>
    <w:rsid w:val="00380D11"/>
    <w:rsid w:val="00381077"/>
    <w:rsid w:val="003810C5"/>
    <w:rsid w:val="00381146"/>
    <w:rsid w:val="00381272"/>
    <w:rsid w:val="00381A01"/>
    <w:rsid w:val="00381A4B"/>
    <w:rsid w:val="00381E20"/>
    <w:rsid w:val="00382137"/>
    <w:rsid w:val="00382549"/>
    <w:rsid w:val="0038342C"/>
    <w:rsid w:val="003839A2"/>
    <w:rsid w:val="003840B6"/>
    <w:rsid w:val="00385459"/>
    <w:rsid w:val="0038580F"/>
    <w:rsid w:val="003859AC"/>
    <w:rsid w:val="00386620"/>
    <w:rsid w:val="00386C8F"/>
    <w:rsid w:val="00387591"/>
    <w:rsid w:val="00387797"/>
    <w:rsid w:val="00387EE8"/>
    <w:rsid w:val="0039036E"/>
    <w:rsid w:val="0039061A"/>
    <w:rsid w:val="0039066C"/>
    <w:rsid w:val="003906BF"/>
    <w:rsid w:val="00390DBB"/>
    <w:rsid w:val="00390F2B"/>
    <w:rsid w:val="00391561"/>
    <w:rsid w:val="00391934"/>
    <w:rsid w:val="00391CE8"/>
    <w:rsid w:val="00391FDD"/>
    <w:rsid w:val="00392176"/>
    <w:rsid w:val="00392392"/>
    <w:rsid w:val="00392638"/>
    <w:rsid w:val="00392F45"/>
    <w:rsid w:val="003938E9"/>
    <w:rsid w:val="00394354"/>
    <w:rsid w:val="00394DC1"/>
    <w:rsid w:val="00394E29"/>
    <w:rsid w:val="00395A81"/>
    <w:rsid w:val="00395D88"/>
    <w:rsid w:val="003962D6"/>
    <w:rsid w:val="00397573"/>
    <w:rsid w:val="003A036A"/>
    <w:rsid w:val="003A04A9"/>
    <w:rsid w:val="003A16E6"/>
    <w:rsid w:val="003A17E5"/>
    <w:rsid w:val="003A181C"/>
    <w:rsid w:val="003A1B58"/>
    <w:rsid w:val="003A224C"/>
    <w:rsid w:val="003A2B79"/>
    <w:rsid w:val="003A2F3D"/>
    <w:rsid w:val="003A31F8"/>
    <w:rsid w:val="003A327E"/>
    <w:rsid w:val="003A36E8"/>
    <w:rsid w:val="003A3C25"/>
    <w:rsid w:val="003A40A6"/>
    <w:rsid w:val="003A4579"/>
    <w:rsid w:val="003A4729"/>
    <w:rsid w:val="003A4A52"/>
    <w:rsid w:val="003A4A9E"/>
    <w:rsid w:val="003A4DF0"/>
    <w:rsid w:val="003A5B31"/>
    <w:rsid w:val="003A5D92"/>
    <w:rsid w:val="003A5DFC"/>
    <w:rsid w:val="003A5EF8"/>
    <w:rsid w:val="003A5EFA"/>
    <w:rsid w:val="003A67B2"/>
    <w:rsid w:val="003A6A71"/>
    <w:rsid w:val="003A6E46"/>
    <w:rsid w:val="003A6E54"/>
    <w:rsid w:val="003B0C05"/>
    <w:rsid w:val="003B1835"/>
    <w:rsid w:val="003B22FC"/>
    <w:rsid w:val="003B2734"/>
    <w:rsid w:val="003B2A20"/>
    <w:rsid w:val="003B2E2F"/>
    <w:rsid w:val="003B35A2"/>
    <w:rsid w:val="003B3C92"/>
    <w:rsid w:val="003B3F66"/>
    <w:rsid w:val="003B432D"/>
    <w:rsid w:val="003B46BC"/>
    <w:rsid w:val="003B47D7"/>
    <w:rsid w:val="003B4A2B"/>
    <w:rsid w:val="003B5293"/>
    <w:rsid w:val="003B674F"/>
    <w:rsid w:val="003B6B16"/>
    <w:rsid w:val="003B7304"/>
    <w:rsid w:val="003B7660"/>
    <w:rsid w:val="003B7799"/>
    <w:rsid w:val="003B7915"/>
    <w:rsid w:val="003B7BFB"/>
    <w:rsid w:val="003B7E24"/>
    <w:rsid w:val="003C059A"/>
    <w:rsid w:val="003C06E3"/>
    <w:rsid w:val="003C0727"/>
    <w:rsid w:val="003C0E9B"/>
    <w:rsid w:val="003C1030"/>
    <w:rsid w:val="003C194E"/>
    <w:rsid w:val="003C1B78"/>
    <w:rsid w:val="003C1FC9"/>
    <w:rsid w:val="003C2237"/>
    <w:rsid w:val="003C2ABC"/>
    <w:rsid w:val="003C31EA"/>
    <w:rsid w:val="003C32A2"/>
    <w:rsid w:val="003C3A04"/>
    <w:rsid w:val="003C3CA0"/>
    <w:rsid w:val="003C43B6"/>
    <w:rsid w:val="003C4945"/>
    <w:rsid w:val="003C4C5D"/>
    <w:rsid w:val="003C6473"/>
    <w:rsid w:val="003C6B02"/>
    <w:rsid w:val="003C6DE8"/>
    <w:rsid w:val="003C6F3B"/>
    <w:rsid w:val="003C746D"/>
    <w:rsid w:val="003D0881"/>
    <w:rsid w:val="003D1651"/>
    <w:rsid w:val="003D210C"/>
    <w:rsid w:val="003D22C6"/>
    <w:rsid w:val="003D2997"/>
    <w:rsid w:val="003D30C2"/>
    <w:rsid w:val="003D34E3"/>
    <w:rsid w:val="003D37F9"/>
    <w:rsid w:val="003D436D"/>
    <w:rsid w:val="003D4AFF"/>
    <w:rsid w:val="003D4F44"/>
    <w:rsid w:val="003D52B5"/>
    <w:rsid w:val="003D551D"/>
    <w:rsid w:val="003D65FE"/>
    <w:rsid w:val="003D713B"/>
    <w:rsid w:val="003D7C33"/>
    <w:rsid w:val="003D7D72"/>
    <w:rsid w:val="003E0389"/>
    <w:rsid w:val="003E0968"/>
    <w:rsid w:val="003E0982"/>
    <w:rsid w:val="003E0C1C"/>
    <w:rsid w:val="003E0C50"/>
    <w:rsid w:val="003E0C76"/>
    <w:rsid w:val="003E0FA9"/>
    <w:rsid w:val="003E101F"/>
    <w:rsid w:val="003E1206"/>
    <w:rsid w:val="003E18D3"/>
    <w:rsid w:val="003E1ED8"/>
    <w:rsid w:val="003E22BA"/>
    <w:rsid w:val="003E236D"/>
    <w:rsid w:val="003E2A29"/>
    <w:rsid w:val="003E2DAC"/>
    <w:rsid w:val="003E322E"/>
    <w:rsid w:val="003E35B8"/>
    <w:rsid w:val="003E3A0F"/>
    <w:rsid w:val="003E3FDF"/>
    <w:rsid w:val="003E4004"/>
    <w:rsid w:val="003E475C"/>
    <w:rsid w:val="003E4FF2"/>
    <w:rsid w:val="003E5054"/>
    <w:rsid w:val="003E50F5"/>
    <w:rsid w:val="003E55B3"/>
    <w:rsid w:val="003E590E"/>
    <w:rsid w:val="003E5C1B"/>
    <w:rsid w:val="003E6182"/>
    <w:rsid w:val="003E645F"/>
    <w:rsid w:val="003E6DE6"/>
    <w:rsid w:val="003E7339"/>
    <w:rsid w:val="003E75A1"/>
    <w:rsid w:val="003E7DFE"/>
    <w:rsid w:val="003F0003"/>
    <w:rsid w:val="003F0801"/>
    <w:rsid w:val="003F0B74"/>
    <w:rsid w:val="003F162C"/>
    <w:rsid w:val="003F19AB"/>
    <w:rsid w:val="003F2349"/>
    <w:rsid w:val="003F2404"/>
    <w:rsid w:val="003F24AB"/>
    <w:rsid w:val="003F2B54"/>
    <w:rsid w:val="003F2C12"/>
    <w:rsid w:val="003F2EE4"/>
    <w:rsid w:val="003F304F"/>
    <w:rsid w:val="003F3D54"/>
    <w:rsid w:val="003F40FD"/>
    <w:rsid w:val="003F451D"/>
    <w:rsid w:val="003F4825"/>
    <w:rsid w:val="003F4CE9"/>
    <w:rsid w:val="003F5536"/>
    <w:rsid w:val="003F582E"/>
    <w:rsid w:val="003F583E"/>
    <w:rsid w:val="003F5FBE"/>
    <w:rsid w:val="003F6575"/>
    <w:rsid w:val="003F68CF"/>
    <w:rsid w:val="003F6E1C"/>
    <w:rsid w:val="003F6E49"/>
    <w:rsid w:val="003F77B1"/>
    <w:rsid w:val="003F7906"/>
    <w:rsid w:val="003F7FCF"/>
    <w:rsid w:val="00400B72"/>
    <w:rsid w:val="004013FC"/>
    <w:rsid w:val="00401970"/>
    <w:rsid w:val="00401B1F"/>
    <w:rsid w:val="00402242"/>
    <w:rsid w:val="00402285"/>
    <w:rsid w:val="00402501"/>
    <w:rsid w:val="004028A6"/>
    <w:rsid w:val="00402A6F"/>
    <w:rsid w:val="00402AFA"/>
    <w:rsid w:val="00402E12"/>
    <w:rsid w:val="004031B0"/>
    <w:rsid w:val="004032E5"/>
    <w:rsid w:val="004034E2"/>
    <w:rsid w:val="00403507"/>
    <w:rsid w:val="004040FE"/>
    <w:rsid w:val="004044D3"/>
    <w:rsid w:val="00404B46"/>
    <w:rsid w:val="00404E5A"/>
    <w:rsid w:val="004050AB"/>
    <w:rsid w:val="00405122"/>
    <w:rsid w:val="004057D2"/>
    <w:rsid w:val="004059A5"/>
    <w:rsid w:val="00405FCE"/>
    <w:rsid w:val="00406475"/>
    <w:rsid w:val="00406CBC"/>
    <w:rsid w:val="004120D5"/>
    <w:rsid w:val="00412468"/>
    <w:rsid w:val="004127FC"/>
    <w:rsid w:val="00412AD8"/>
    <w:rsid w:val="00412D2F"/>
    <w:rsid w:val="00412F26"/>
    <w:rsid w:val="004133EB"/>
    <w:rsid w:val="00413C93"/>
    <w:rsid w:val="00413DB6"/>
    <w:rsid w:val="00413E1E"/>
    <w:rsid w:val="00413E5F"/>
    <w:rsid w:val="0041510F"/>
    <w:rsid w:val="00415214"/>
    <w:rsid w:val="004154AA"/>
    <w:rsid w:val="00415503"/>
    <w:rsid w:val="00415A86"/>
    <w:rsid w:val="0041601A"/>
    <w:rsid w:val="00416695"/>
    <w:rsid w:val="004167FC"/>
    <w:rsid w:val="004169C0"/>
    <w:rsid w:val="00416D4E"/>
    <w:rsid w:val="004174E9"/>
    <w:rsid w:val="00417516"/>
    <w:rsid w:val="004177BF"/>
    <w:rsid w:val="00417CDE"/>
    <w:rsid w:val="00417E75"/>
    <w:rsid w:val="0042024E"/>
    <w:rsid w:val="00420564"/>
    <w:rsid w:val="0042077A"/>
    <w:rsid w:val="00420B18"/>
    <w:rsid w:val="0042148E"/>
    <w:rsid w:val="004214A2"/>
    <w:rsid w:val="00422282"/>
    <w:rsid w:val="004223F8"/>
    <w:rsid w:val="00422441"/>
    <w:rsid w:val="0042247D"/>
    <w:rsid w:val="00422A6F"/>
    <w:rsid w:val="004233F5"/>
    <w:rsid w:val="00423871"/>
    <w:rsid w:val="004238D8"/>
    <w:rsid w:val="00424026"/>
    <w:rsid w:val="00424506"/>
    <w:rsid w:val="004255C4"/>
    <w:rsid w:val="004256D2"/>
    <w:rsid w:val="004258EF"/>
    <w:rsid w:val="0042670E"/>
    <w:rsid w:val="00426A63"/>
    <w:rsid w:val="00426A9F"/>
    <w:rsid w:val="00426AB9"/>
    <w:rsid w:val="00427053"/>
    <w:rsid w:val="004273E7"/>
    <w:rsid w:val="004274D2"/>
    <w:rsid w:val="00427C38"/>
    <w:rsid w:val="00430063"/>
    <w:rsid w:val="00430494"/>
    <w:rsid w:val="00430CCF"/>
    <w:rsid w:val="00431138"/>
    <w:rsid w:val="0043133B"/>
    <w:rsid w:val="0043148A"/>
    <w:rsid w:val="004315C7"/>
    <w:rsid w:val="00432CC9"/>
    <w:rsid w:val="004334D5"/>
    <w:rsid w:val="00433AB6"/>
    <w:rsid w:val="00433C47"/>
    <w:rsid w:val="00433F4B"/>
    <w:rsid w:val="00434CFD"/>
    <w:rsid w:val="004350F6"/>
    <w:rsid w:val="0043522B"/>
    <w:rsid w:val="00435235"/>
    <w:rsid w:val="004356C0"/>
    <w:rsid w:val="00436510"/>
    <w:rsid w:val="00436B9E"/>
    <w:rsid w:val="00436C12"/>
    <w:rsid w:val="00437A13"/>
    <w:rsid w:val="00437A7A"/>
    <w:rsid w:val="00437C5D"/>
    <w:rsid w:val="0044006C"/>
    <w:rsid w:val="004417EF"/>
    <w:rsid w:val="0044194E"/>
    <w:rsid w:val="00442338"/>
    <w:rsid w:val="00442B86"/>
    <w:rsid w:val="00442E24"/>
    <w:rsid w:val="00442E64"/>
    <w:rsid w:val="0044341A"/>
    <w:rsid w:val="00443645"/>
    <w:rsid w:val="004440DC"/>
    <w:rsid w:val="0044410B"/>
    <w:rsid w:val="00444897"/>
    <w:rsid w:val="00445045"/>
    <w:rsid w:val="004452B4"/>
    <w:rsid w:val="00446F86"/>
    <w:rsid w:val="00447AFD"/>
    <w:rsid w:val="00447F82"/>
    <w:rsid w:val="00450275"/>
    <w:rsid w:val="00450831"/>
    <w:rsid w:val="004509E4"/>
    <w:rsid w:val="00451202"/>
    <w:rsid w:val="0045138E"/>
    <w:rsid w:val="00451582"/>
    <w:rsid w:val="00451E12"/>
    <w:rsid w:val="0045225F"/>
    <w:rsid w:val="004529A8"/>
    <w:rsid w:val="004529B6"/>
    <w:rsid w:val="00452EFE"/>
    <w:rsid w:val="00453218"/>
    <w:rsid w:val="004533AF"/>
    <w:rsid w:val="0045371A"/>
    <w:rsid w:val="00453AFF"/>
    <w:rsid w:val="00453E1E"/>
    <w:rsid w:val="00453F0F"/>
    <w:rsid w:val="004541DB"/>
    <w:rsid w:val="00454305"/>
    <w:rsid w:val="004548C4"/>
    <w:rsid w:val="00454BF4"/>
    <w:rsid w:val="00454DC8"/>
    <w:rsid w:val="00454E04"/>
    <w:rsid w:val="0045698B"/>
    <w:rsid w:val="00456A3C"/>
    <w:rsid w:val="00456B4C"/>
    <w:rsid w:val="00456BD2"/>
    <w:rsid w:val="00456EA0"/>
    <w:rsid w:val="00456FAD"/>
    <w:rsid w:val="00457092"/>
    <w:rsid w:val="004578F1"/>
    <w:rsid w:val="00460692"/>
    <w:rsid w:val="00461493"/>
    <w:rsid w:val="004618B3"/>
    <w:rsid w:val="00461AC4"/>
    <w:rsid w:val="00463237"/>
    <w:rsid w:val="004632D2"/>
    <w:rsid w:val="00463BA0"/>
    <w:rsid w:val="00464038"/>
    <w:rsid w:val="00464578"/>
    <w:rsid w:val="0046499F"/>
    <w:rsid w:val="00464ACC"/>
    <w:rsid w:val="00464C65"/>
    <w:rsid w:val="00465094"/>
    <w:rsid w:val="00465744"/>
    <w:rsid w:val="00465EAE"/>
    <w:rsid w:val="0046600E"/>
    <w:rsid w:val="00466291"/>
    <w:rsid w:val="00466753"/>
    <w:rsid w:val="004669FA"/>
    <w:rsid w:val="00466CC8"/>
    <w:rsid w:val="00466DAA"/>
    <w:rsid w:val="004672DC"/>
    <w:rsid w:val="00467441"/>
    <w:rsid w:val="0046757C"/>
    <w:rsid w:val="00467590"/>
    <w:rsid w:val="0046767D"/>
    <w:rsid w:val="00467CDE"/>
    <w:rsid w:val="0047059C"/>
    <w:rsid w:val="004705AE"/>
    <w:rsid w:val="0047086A"/>
    <w:rsid w:val="00470E35"/>
    <w:rsid w:val="00470E66"/>
    <w:rsid w:val="00471301"/>
    <w:rsid w:val="00471624"/>
    <w:rsid w:val="004718F4"/>
    <w:rsid w:val="00471A0C"/>
    <w:rsid w:val="00471A60"/>
    <w:rsid w:val="00472C70"/>
    <w:rsid w:val="00472C95"/>
    <w:rsid w:val="00472E3C"/>
    <w:rsid w:val="00473098"/>
    <w:rsid w:val="0047368E"/>
    <w:rsid w:val="00473B2B"/>
    <w:rsid w:val="00473BED"/>
    <w:rsid w:val="0047415A"/>
    <w:rsid w:val="004743AF"/>
    <w:rsid w:val="00474408"/>
    <w:rsid w:val="004744BD"/>
    <w:rsid w:val="004756EA"/>
    <w:rsid w:val="00475A0E"/>
    <w:rsid w:val="00475C01"/>
    <w:rsid w:val="00475E09"/>
    <w:rsid w:val="004764F2"/>
    <w:rsid w:val="00476A29"/>
    <w:rsid w:val="00477217"/>
    <w:rsid w:val="00477DCA"/>
    <w:rsid w:val="00477E41"/>
    <w:rsid w:val="00477ED0"/>
    <w:rsid w:val="00480CB2"/>
    <w:rsid w:val="00480DCC"/>
    <w:rsid w:val="0048102A"/>
    <w:rsid w:val="0048131F"/>
    <w:rsid w:val="00481C47"/>
    <w:rsid w:val="00481DFC"/>
    <w:rsid w:val="00482181"/>
    <w:rsid w:val="004821AA"/>
    <w:rsid w:val="00482514"/>
    <w:rsid w:val="004828A8"/>
    <w:rsid w:val="00483057"/>
    <w:rsid w:val="00483D0B"/>
    <w:rsid w:val="0048459B"/>
    <w:rsid w:val="004845B2"/>
    <w:rsid w:val="004849B4"/>
    <w:rsid w:val="00484B16"/>
    <w:rsid w:val="00484BD2"/>
    <w:rsid w:val="00484D80"/>
    <w:rsid w:val="00485BAB"/>
    <w:rsid w:val="00486052"/>
    <w:rsid w:val="00486354"/>
    <w:rsid w:val="00486362"/>
    <w:rsid w:val="0048691A"/>
    <w:rsid w:val="0048698D"/>
    <w:rsid w:val="00487047"/>
    <w:rsid w:val="00487FD0"/>
    <w:rsid w:val="004903C9"/>
    <w:rsid w:val="0049068F"/>
    <w:rsid w:val="004909D7"/>
    <w:rsid w:val="00490C35"/>
    <w:rsid w:val="00490D11"/>
    <w:rsid w:val="0049116B"/>
    <w:rsid w:val="0049127D"/>
    <w:rsid w:val="00491437"/>
    <w:rsid w:val="00491B35"/>
    <w:rsid w:val="00491BCD"/>
    <w:rsid w:val="00492B1D"/>
    <w:rsid w:val="00492DFF"/>
    <w:rsid w:val="00492FAE"/>
    <w:rsid w:val="004938C0"/>
    <w:rsid w:val="004939B2"/>
    <w:rsid w:val="00493EC7"/>
    <w:rsid w:val="00494162"/>
    <w:rsid w:val="00494FF1"/>
    <w:rsid w:val="00495578"/>
    <w:rsid w:val="004955D4"/>
    <w:rsid w:val="004957C2"/>
    <w:rsid w:val="00495B13"/>
    <w:rsid w:val="00495B53"/>
    <w:rsid w:val="00495FFD"/>
    <w:rsid w:val="00496241"/>
    <w:rsid w:val="004965A4"/>
    <w:rsid w:val="00496736"/>
    <w:rsid w:val="00497410"/>
    <w:rsid w:val="00497653"/>
    <w:rsid w:val="004A0023"/>
    <w:rsid w:val="004A05D1"/>
    <w:rsid w:val="004A150C"/>
    <w:rsid w:val="004A1754"/>
    <w:rsid w:val="004A1C82"/>
    <w:rsid w:val="004A24EB"/>
    <w:rsid w:val="004A2854"/>
    <w:rsid w:val="004A2F45"/>
    <w:rsid w:val="004A2F83"/>
    <w:rsid w:val="004A3572"/>
    <w:rsid w:val="004A35B2"/>
    <w:rsid w:val="004A39DC"/>
    <w:rsid w:val="004A3A6A"/>
    <w:rsid w:val="004A42B4"/>
    <w:rsid w:val="004A43BD"/>
    <w:rsid w:val="004A4A16"/>
    <w:rsid w:val="004A4CCC"/>
    <w:rsid w:val="004A5163"/>
    <w:rsid w:val="004A52A1"/>
    <w:rsid w:val="004A5A80"/>
    <w:rsid w:val="004A67E0"/>
    <w:rsid w:val="004A7A48"/>
    <w:rsid w:val="004A7BFD"/>
    <w:rsid w:val="004A7DB6"/>
    <w:rsid w:val="004B09A7"/>
    <w:rsid w:val="004B134D"/>
    <w:rsid w:val="004B24FA"/>
    <w:rsid w:val="004B254D"/>
    <w:rsid w:val="004B28FE"/>
    <w:rsid w:val="004B2996"/>
    <w:rsid w:val="004B29F2"/>
    <w:rsid w:val="004B2D21"/>
    <w:rsid w:val="004B2FDC"/>
    <w:rsid w:val="004B330D"/>
    <w:rsid w:val="004B3353"/>
    <w:rsid w:val="004B3806"/>
    <w:rsid w:val="004B3A7A"/>
    <w:rsid w:val="004B40C4"/>
    <w:rsid w:val="004B51AD"/>
    <w:rsid w:val="004B5714"/>
    <w:rsid w:val="004B5B9A"/>
    <w:rsid w:val="004B5C46"/>
    <w:rsid w:val="004B61F7"/>
    <w:rsid w:val="004B6593"/>
    <w:rsid w:val="004B65EA"/>
    <w:rsid w:val="004B6671"/>
    <w:rsid w:val="004B67DE"/>
    <w:rsid w:val="004B6AB9"/>
    <w:rsid w:val="004B702F"/>
    <w:rsid w:val="004B73EA"/>
    <w:rsid w:val="004C00B9"/>
    <w:rsid w:val="004C01AC"/>
    <w:rsid w:val="004C033F"/>
    <w:rsid w:val="004C0E42"/>
    <w:rsid w:val="004C145B"/>
    <w:rsid w:val="004C1AE7"/>
    <w:rsid w:val="004C208A"/>
    <w:rsid w:val="004C21F9"/>
    <w:rsid w:val="004C30C3"/>
    <w:rsid w:val="004C351D"/>
    <w:rsid w:val="004C3DD2"/>
    <w:rsid w:val="004C464D"/>
    <w:rsid w:val="004C478B"/>
    <w:rsid w:val="004C4AC8"/>
    <w:rsid w:val="004C4F27"/>
    <w:rsid w:val="004C54BD"/>
    <w:rsid w:val="004C5DEA"/>
    <w:rsid w:val="004C6805"/>
    <w:rsid w:val="004C6A57"/>
    <w:rsid w:val="004C6BAF"/>
    <w:rsid w:val="004C6C50"/>
    <w:rsid w:val="004C6EAB"/>
    <w:rsid w:val="004C7485"/>
    <w:rsid w:val="004C7A26"/>
    <w:rsid w:val="004C7DAA"/>
    <w:rsid w:val="004D04A8"/>
    <w:rsid w:val="004D0681"/>
    <w:rsid w:val="004D07F2"/>
    <w:rsid w:val="004D1290"/>
    <w:rsid w:val="004D17CF"/>
    <w:rsid w:val="004D1A17"/>
    <w:rsid w:val="004D2382"/>
    <w:rsid w:val="004D3055"/>
    <w:rsid w:val="004D34DE"/>
    <w:rsid w:val="004D39A5"/>
    <w:rsid w:val="004D4972"/>
    <w:rsid w:val="004D4B56"/>
    <w:rsid w:val="004D4BFC"/>
    <w:rsid w:val="004D506D"/>
    <w:rsid w:val="004D593F"/>
    <w:rsid w:val="004D5C2C"/>
    <w:rsid w:val="004D6FB1"/>
    <w:rsid w:val="004D7014"/>
    <w:rsid w:val="004D75DF"/>
    <w:rsid w:val="004D770C"/>
    <w:rsid w:val="004E0384"/>
    <w:rsid w:val="004E0463"/>
    <w:rsid w:val="004E12E9"/>
    <w:rsid w:val="004E130C"/>
    <w:rsid w:val="004E16C7"/>
    <w:rsid w:val="004E17E2"/>
    <w:rsid w:val="004E190F"/>
    <w:rsid w:val="004E1BD3"/>
    <w:rsid w:val="004E1BF9"/>
    <w:rsid w:val="004E21CD"/>
    <w:rsid w:val="004E22C5"/>
    <w:rsid w:val="004E23EA"/>
    <w:rsid w:val="004E2872"/>
    <w:rsid w:val="004E292C"/>
    <w:rsid w:val="004E2F60"/>
    <w:rsid w:val="004E385A"/>
    <w:rsid w:val="004E3EC4"/>
    <w:rsid w:val="004E4297"/>
    <w:rsid w:val="004E432B"/>
    <w:rsid w:val="004E4F81"/>
    <w:rsid w:val="004E51D5"/>
    <w:rsid w:val="004E55D8"/>
    <w:rsid w:val="004E5A5C"/>
    <w:rsid w:val="004E5C81"/>
    <w:rsid w:val="004E67A1"/>
    <w:rsid w:val="004E67E4"/>
    <w:rsid w:val="004E6B67"/>
    <w:rsid w:val="004E7461"/>
    <w:rsid w:val="004E77A3"/>
    <w:rsid w:val="004F00AA"/>
    <w:rsid w:val="004F00E6"/>
    <w:rsid w:val="004F0C54"/>
    <w:rsid w:val="004F1434"/>
    <w:rsid w:val="004F146C"/>
    <w:rsid w:val="004F1E85"/>
    <w:rsid w:val="004F2633"/>
    <w:rsid w:val="004F291D"/>
    <w:rsid w:val="004F3AF3"/>
    <w:rsid w:val="004F3D20"/>
    <w:rsid w:val="004F3DCC"/>
    <w:rsid w:val="004F3FEF"/>
    <w:rsid w:val="004F4329"/>
    <w:rsid w:val="004F58BF"/>
    <w:rsid w:val="004F59FB"/>
    <w:rsid w:val="004F5AF9"/>
    <w:rsid w:val="004F5F0A"/>
    <w:rsid w:val="004F63AA"/>
    <w:rsid w:val="004F68C4"/>
    <w:rsid w:val="0050025D"/>
    <w:rsid w:val="00500D15"/>
    <w:rsid w:val="00500FC6"/>
    <w:rsid w:val="005010F2"/>
    <w:rsid w:val="0050120C"/>
    <w:rsid w:val="00501DE4"/>
    <w:rsid w:val="005020A0"/>
    <w:rsid w:val="0050246B"/>
    <w:rsid w:val="005025AD"/>
    <w:rsid w:val="00502634"/>
    <w:rsid w:val="00502F8F"/>
    <w:rsid w:val="00503351"/>
    <w:rsid w:val="005034F3"/>
    <w:rsid w:val="00503EC0"/>
    <w:rsid w:val="00504B10"/>
    <w:rsid w:val="00504BEA"/>
    <w:rsid w:val="00504E73"/>
    <w:rsid w:val="00505201"/>
    <w:rsid w:val="005053A9"/>
    <w:rsid w:val="005056E0"/>
    <w:rsid w:val="00505862"/>
    <w:rsid w:val="00505A67"/>
    <w:rsid w:val="00505D7A"/>
    <w:rsid w:val="005066CA"/>
    <w:rsid w:val="005066E6"/>
    <w:rsid w:val="00506D12"/>
    <w:rsid w:val="00507ACB"/>
    <w:rsid w:val="00510812"/>
    <w:rsid w:val="005108C2"/>
    <w:rsid w:val="00511230"/>
    <w:rsid w:val="00511273"/>
    <w:rsid w:val="00511B09"/>
    <w:rsid w:val="00511C10"/>
    <w:rsid w:val="00511F09"/>
    <w:rsid w:val="00512A6F"/>
    <w:rsid w:val="00512BDF"/>
    <w:rsid w:val="00512DE5"/>
    <w:rsid w:val="00513151"/>
    <w:rsid w:val="00513152"/>
    <w:rsid w:val="00514471"/>
    <w:rsid w:val="005147F2"/>
    <w:rsid w:val="00514A0F"/>
    <w:rsid w:val="00514AD2"/>
    <w:rsid w:val="00514D91"/>
    <w:rsid w:val="005150C2"/>
    <w:rsid w:val="005157BC"/>
    <w:rsid w:val="00515A70"/>
    <w:rsid w:val="00515F82"/>
    <w:rsid w:val="005160F5"/>
    <w:rsid w:val="005160FF"/>
    <w:rsid w:val="00516ADC"/>
    <w:rsid w:val="00517214"/>
    <w:rsid w:val="00517350"/>
    <w:rsid w:val="00517936"/>
    <w:rsid w:val="00520312"/>
    <w:rsid w:val="0052040B"/>
    <w:rsid w:val="00520603"/>
    <w:rsid w:val="00520E3F"/>
    <w:rsid w:val="005217C6"/>
    <w:rsid w:val="005219B6"/>
    <w:rsid w:val="00521E49"/>
    <w:rsid w:val="00521EC0"/>
    <w:rsid w:val="00522585"/>
    <w:rsid w:val="0052269D"/>
    <w:rsid w:val="00522977"/>
    <w:rsid w:val="00522D61"/>
    <w:rsid w:val="005236EA"/>
    <w:rsid w:val="005236F6"/>
    <w:rsid w:val="005242E8"/>
    <w:rsid w:val="005243D9"/>
    <w:rsid w:val="005245D9"/>
    <w:rsid w:val="0052486A"/>
    <w:rsid w:val="00524A18"/>
    <w:rsid w:val="00525726"/>
    <w:rsid w:val="005257C1"/>
    <w:rsid w:val="005268CB"/>
    <w:rsid w:val="00526DFF"/>
    <w:rsid w:val="00526F8E"/>
    <w:rsid w:val="005271F7"/>
    <w:rsid w:val="0052736A"/>
    <w:rsid w:val="00527A5E"/>
    <w:rsid w:val="0053035F"/>
    <w:rsid w:val="00530718"/>
    <w:rsid w:val="0053089C"/>
    <w:rsid w:val="00531470"/>
    <w:rsid w:val="00531B97"/>
    <w:rsid w:val="00531E4A"/>
    <w:rsid w:val="00531F90"/>
    <w:rsid w:val="00532261"/>
    <w:rsid w:val="00532651"/>
    <w:rsid w:val="00532E1E"/>
    <w:rsid w:val="00532E7B"/>
    <w:rsid w:val="005331F7"/>
    <w:rsid w:val="00533C60"/>
    <w:rsid w:val="005347A7"/>
    <w:rsid w:val="00534B84"/>
    <w:rsid w:val="00534BFD"/>
    <w:rsid w:val="005352D6"/>
    <w:rsid w:val="0053542F"/>
    <w:rsid w:val="0053561B"/>
    <w:rsid w:val="005360FF"/>
    <w:rsid w:val="0053617C"/>
    <w:rsid w:val="00536CB7"/>
    <w:rsid w:val="00536F86"/>
    <w:rsid w:val="00537D38"/>
    <w:rsid w:val="00537E85"/>
    <w:rsid w:val="00540529"/>
    <w:rsid w:val="00540C90"/>
    <w:rsid w:val="00540E17"/>
    <w:rsid w:val="00540F2D"/>
    <w:rsid w:val="0054109D"/>
    <w:rsid w:val="00541AFA"/>
    <w:rsid w:val="00541E15"/>
    <w:rsid w:val="00542DE7"/>
    <w:rsid w:val="005433AB"/>
    <w:rsid w:val="0054395C"/>
    <w:rsid w:val="005439FA"/>
    <w:rsid w:val="00543C65"/>
    <w:rsid w:val="005444FE"/>
    <w:rsid w:val="005447AC"/>
    <w:rsid w:val="005449AC"/>
    <w:rsid w:val="00545054"/>
    <w:rsid w:val="00545398"/>
    <w:rsid w:val="00545866"/>
    <w:rsid w:val="005458DB"/>
    <w:rsid w:val="00545C45"/>
    <w:rsid w:val="00545C60"/>
    <w:rsid w:val="00545FCD"/>
    <w:rsid w:val="00546936"/>
    <w:rsid w:val="00546954"/>
    <w:rsid w:val="005473E1"/>
    <w:rsid w:val="005507B0"/>
    <w:rsid w:val="00550B25"/>
    <w:rsid w:val="00551153"/>
    <w:rsid w:val="00551830"/>
    <w:rsid w:val="00551D68"/>
    <w:rsid w:val="00551E02"/>
    <w:rsid w:val="005521DC"/>
    <w:rsid w:val="005523DB"/>
    <w:rsid w:val="00552513"/>
    <w:rsid w:val="005526A9"/>
    <w:rsid w:val="00553020"/>
    <w:rsid w:val="005531AC"/>
    <w:rsid w:val="005533CE"/>
    <w:rsid w:val="005538A8"/>
    <w:rsid w:val="00553906"/>
    <w:rsid w:val="00553913"/>
    <w:rsid w:val="0055399F"/>
    <w:rsid w:val="0055432A"/>
    <w:rsid w:val="00554424"/>
    <w:rsid w:val="00554677"/>
    <w:rsid w:val="00554816"/>
    <w:rsid w:val="00554998"/>
    <w:rsid w:val="00555071"/>
    <w:rsid w:val="00555183"/>
    <w:rsid w:val="00555407"/>
    <w:rsid w:val="00555722"/>
    <w:rsid w:val="00555FB3"/>
    <w:rsid w:val="00556373"/>
    <w:rsid w:val="00556DDC"/>
    <w:rsid w:val="00556EE5"/>
    <w:rsid w:val="005571D3"/>
    <w:rsid w:val="00557530"/>
    <w:rsid w:val="00557ACB"/>
    <w:rsid w:val="00560C01"/>
    <w:rsid w:val="00560CCA"/>
    <w:rsid w:val="00561030"/>
    <w:rsid w:val="00561267"/>
    <w:rsid w:val="005615E1"/>
    <w:rsid w:val="00561976"/>
    <w:rsid w:val="00562839"/>
    <w:rsid w:val="00563D51"/>
    <w:rsid w:val="00564633"/>
    <w:rsid w:val="0056485A"/>
    <w:rsid w:val="00564986"/>
    <w:rsid w:val="00564EEF"/>
    <w:rsid w:val="00565A70"/>
    <w:rsid w:val="00565D9A"/>
    <w:rsid w:val="00565FBA"/>
    <w:rsid w:val="00566D26"/>
    <w:rsid w:val="00566E3F"/>
    <w:rsid w:val="005671AB"/>
    <w:rsid w:val="00567E88"/>
    <w:rsid w:val="005700FE"/>
    <w:rsid w:val="00570285"/>
    <w:rsid w:val="005709A6"/>
    <w:rsid w:val="00570F2D"/>
    <w:rsid w:val="00571159"/>
    <w:rsid w:val="0057123A"/>
    <w:rsid w:val="005714A5"/>
    <w:rsid w:val="0057175A"/>
    <w:rsid w:val="00571808"/>
    <w:rsid w:val="005722AB"/>
    <w:rsid w:val="005725FB"/>
    <w:rsid w:val="005727A3"/>
    <w:rsid w:val="005727F8"/>
    <w:rsid w:val="005728FC"/>
    <w:rsid w:val="00572C85"/>
    <w:rsid w:val="00573582"/>
    <w:rsid w:val="00573DA6"/>
    <w:rsid w:val="00573EA7"/>
    <w:rsid w:val="00574267"/>
    <w:rsid w:val="005744F2"/>
    <w:rsid w:val="00574587"/>
    <w:rsid w:val="00574663"/>
    <w:rsid w:val="005746D9"/>
    <w:rsid w:val="00574783"/>
    <w:rsid w:val="00574898"/>
    <w:rsid w:val="00574F5E"/>
    <w:rsid w:val="00575DDD"/>
    <w:rsid w:val="005761D5"/>
    <w:rsid w:val="00576AEE"/>
    <w:rsid w:val="00576E8B"/>
    <w:rsid w:val="00576F76"/>
    <w:rsid w:val="00577245"/>
    <w:rsid w:val="005772CC"/>
    <w:rsid w:val="00577D64"/>
    <w:rsid w:val="005800B0"/>
    <w:rsid w:val="00580728"/>
    <w:rsid w:val="0058143B"/>
    <w:rsid w:val="0058164C"/>
    <w:rsid w:val="00581BD4"/>
    <w:rsid w:val="0058286A"/>
    <w:rsid w:val="00582B43"/>
    <w:rsid w:val="00582CAD"/>
    <w:rsid w:val="00583476"/>
    <w:rsid w:val="0058354A"/>
    <w:rsid w:val="00584893"/>
    <w:rsid w:val="005849D0"/>
    <w:rsid w:val="00584C3D"/>
    <w:rsid w:val="00584CEE"/>
    <w:rsid w:val="00584EB4"/>
    <w:rsid w:val="00584FBC"/>
    <w:rsid w:val="005861B8"/>
    <w:rsid w:val="0058667D"/>
    <w:rsid w:val="00587970"/>
    <w:rsid w:val="005879A4"/>
    <w:rsid w:val="0059088C"/>
    <w:rsid w:val="00590AAE"/>
    <w:rsid w:val="00590FB7"/>
    <w:rsid w:val="0059172B"/>
    <w:rsid w:val="00591F18"/>
    <w:rsid w:val="00592683"/>
    <w:rsid w:val="00592688"/>
    <w:rsid w:val="0059296B"/>
    <w:rsid w:val="00592B37"/>
    <w:rsid w:val="00592F1F"/>
    <w:rsid w:val="005931F0"/>
    <w:rsid w:val="00595FAC"/>
    <w:rsid w:val="00596565"/>
    <w:rsid w:val="0059677E"/>
    <w:rsid w:val="00596786"/>
    <w:rsid w:val="00596DDF"/>
    <w:rsid w:val="00596FEB"/>
    <w:rsid w:val="0059736E"/>
    <w:rsid w:val="00597BFB"/>
    <w:rsid w:val="00597EAC"/>
    <w:rsid w:val="005A0509"/>
    <w:rsid w:val="005A0BE7"/>
    <w:rsid w:val="005A1DD4"/>
    <w:rsid w:val="005A1E01"/>
    <w:rsid w:val="005A20EC"/>
    <w:rsid w:val="005A2758"/>
    <w:rsid w:val="005A2DC2"/>
    <w:rsid w:val="005A337F"/>
    <w:rsid w:val="005A3DAA"/>
    <w:rsid w:val="005A3FFF"/>
    <w:rsid w:val="005A4438"/>
    <w:rsid w:val="005A4AD0"/>
    <w:rsid w:val="005A532D"/>
    <w:rsid w:val="005A5363"/>
    <w:rsid w:val="005A56EC"/>
    <w:rsid w:val="005A6040"/>
    <w:rsid w:val="005A629A"/>
    <w:rsid w:val="005A63BD"/>
    <w:rsid w:val="005A6CDB"/>
    <w:rsid w:val="005A6D1C"/>
    <w:rsid w:val="005A70DB"/>
    <w:rsid w:val="005B0519"/>
    <w:rsid w:val="005B0534"/>
    <w:rsid w:val="005B07D7"/>
    <w:rsid w:val="005B0D06"/>
    <w:rsid w:val="005B0D55"/>
    <w:rsid w:val="005B1976"/>
    <w:rsid w:val="005B1A5D"/>
    <w:rsid w:val="005B225F"/>
    <w:rsid w:val="005B2418"/>
    <w:rsid w:val="005B258D"/>
    <w:rsid w:val="005B2E33"/>
    <w:rsid w:val="005B3252"/>
    <w:rsid w:val="005B3333"/>
    <w:rsid w:val="005B3F44"/>
    <w:rsid w:val="005B4013"/>
    <w:rsid w:val="005B403A"/>
    <w:rsid w:val="005B42A4"/>
    <w:rsid w:val="005B43A4"/>
    <w:rsid w:val="005B4469"/>
    <w:rsid w:val="005B486B"/>
    <w:rsid w:val="005B5127"/>
    <w:rsid w:val="005B51AE"/>
    <w:rsid w:val="005B6196"/>
    <w:rsid w:val="005B6AE3"/>
    <w:rsid w:val="005B6B9B"/>
    <w:rsid w:val="005B6C01"/>
    <w:rsid w:val="005B7108"/>
    <w:rsid w:val="005B73DE"/>
    <w:rsid w:val="005B74B7"/>
    <w:rsid w:val="005B757F"/>
    <w:rsid w:val="005C00B3"/>
    <w:rsid w:val="005C04B0"/>
    <w:rsid w:val="005C08B7"/>
    <w:rsid w:val="005C08ED"/>
    <w:rsid w:val="005C099C"/>
    <w:rsid w:val="005C1745"/>
    <w:rsid w:val="005C1CF0"/>
    <w:rsid w:val="005C20E3"/>
    <w:rsid w:val="005C24A0"/>
    <w:rsid w:val="005C34BB"/>
    <w:rsid w:val="005C39F9"/>
    <w:rsid w:val="005C3A7A"/>
    <w:rsid w:val="005C40C4"/>
    <w:rsid w:val="005C4442"/>
    <w:rsid w:val="005C4752"/>
    <w:rsid w:val="005C4E1D"/>
    <w:rsid w:val="005C4FC5"/>
    <w:rsid w:val="005C5D44"/>
    <w:rsid w:val="005C6524"/>
    <w:rsid w:val="005C722F"/>
    <w:rsid w:val="005C775C"/>
    <w:rsid w:val="005C7770"/>
    <w:rsid w:val="005C7F58"/>
    <w:rsid w:val="005D0710"/>
    <w:rsid w:val="005D077A"/>
    <w:rsid w:val="005D0875"/>
    <w:rsid w:val="005D0B02"/>
    <w:rsid w:val="005D0BEB"/>
    <w:rsid w:val="005D0D5E"/>
    <w:rsid w:val="005D136E"/>
    <w:rsid w:val="005D1AD0"/>
    <w:rsid w:val="005D23F3"/>
    <w:rsid w:val="005D2EAF"/>
    <w:rsid w:val="005D30A0"/>
    <w:rsid w:val="005D353E"/>
    <w:rsid w:val="005D39DA"/>
    <w:rsid w:val="005D3B65"/>
    <w:rsid w:val="005D40C1"/>
    <w:rsid w:val="005D4546"/>
    <w:rsid w:val="005D4650"/>
    <w:rsid w:val="005D52E6"/>
    <w:rsid w:val="005D541E"/>
    <w:rsid w:val="005D69BF"/>
    <w:rsid w:val="005D6C9A"/>
    <w:rsid w:val="005D6FD5"/>
    <w:rsid w:val="005D6FF4"/>
    <w:rsid w:val="005D76D4"/>
    <w:rsid w:val="005D777F"/>
    <w:rsid w:val="005D7A2E"/>
    <w:rsid w:val="005D7B33"/>
    <w:rsid w:val="005D7CF7"/>
    <w:rsid w:val="005D7D38"/>
    <w:rsid w:val="005D7E18"/>
    <w:rsid w:val="005D7FB5"/>
    <w:rsid w:val="005E01A9"/>
    <w:rsid w:val="005E022A"/>
    <w:rsid w:val="005E0B34"/>
    <w:rsid w:val="005E0EFB"/>
    <w:rsid w:val="005E2006"/>
    <w:rsid w:val="005E22C4"/>
    <w:rsid w:val="005E28D8"/>
    <w:rsid w:val="005E290C"/>
    <w:rsid w:val="005E3766"/>
    <w:rsid w:val="005E444C"/>
    <w:rsid w:val="005E4BE4"/>
    <w:rsid w:val="005E50B7"/>
    <w:rsid w:val="005E54FA"/>
    <w:rsid w:val="005E6E61"/>
    <w:rsid w:val="005E7404"/>
    <w:rsid w:val="005E76F3"/>
    <w:rsid w:val="005F1B45"/>
    <w:rsid w:val="005F25B1"/>
    <w:rsid w:val="005F3E72"/>
    <w:rsid w:val="005F4051"/>
    <w:rsid w:val="005F4BB3"/>
    <w:rsid w:val="005F4E59"/>
    <w:rsid w:val="005F512C"/>
    <w:rsid w:val="005F56B0"/>
    <w:rsid w:val="005F5C1A"/>
    <w:rsid w:val="005F5FB2"/>
    <w:rsid w:val="005F68E1"/>
    <w:rsid w:val="005F6B85"/>
    <w:rsid w:val="005F6D1D"/>
    <w:rsid w:val="005F6D77"/>
    <w:rsid w:val="005F73AD"/>
    <w:rsid w:val="006012F1"/>
    <w:rsid w:val="00601715"/>
    <w:rsid w:val="00601D7B"/>
    <w:rsid w:val="00601EA5"/>
    <w:rsid w:val="00602377"/>
    <w:rsid w:val="006027E7"/>
    <w:rsid w:val="00603097"/>
    <w:rsid w:val="00603157"/>
    <w:rsid w:val="006039E7"/>
    <w:rsid w:val="00604061"/>
    <w:rsid w:val="006042B0"/>
    <w:rsid w:val="00604401"/>
    <w:rsid w:val="006044B1"/>
    <w:rsid w:val="00604654"/>
    <w:rsid w:val="00604685"/>
    <w:rsid w:val="006046C9"/>
    <w:rsid w:val="006048BA"/>
    <w:rsid w:val="00604960"/>
    <w:rsid w:val="00604D91"/>
    <w:rsid w:val="00605851"/>
    <w:rsid w:val="00605E60"/>
    <w:rsid w:val="006064D1"/>
    <w:rsid w:val="0060654E"/>
    <w:rsid w:val="006069FC"/>
    <w:rsid w:val="00606C17"/>
    <w:rsid w:val="00606E4E"/>
    <w:rsid w:val="006077E2"/>
    <w:rsid w:val="00607B39"/>
    <w:rsid w:val="00607CA4"/>
    <w:rsid w:val="00607D82"/>
    <w:rsid w:val="00607EE1"/>
    <w:rsid w:val="006101B6"/>
    <w:rsid w:val="00610505"/>
    <w:rsid w:val="006106BD"/>
    <w:rsid w:val="00610D55"/>
    <w:rsid w:val="006111B8"/>
    <w:rsid w:val="00611254"/>
    <w:rsid w:val="006114FA"/>
    <w:rsid w:val="006117FB"/>
    <w:rsid w:val="00611ABD"/>
    <w:rsid w:val="006124BA"/>
    <w:rsid w:val="0061251E"/>
    <w:rsid w:val="0061256D"/>
    <w:rsid w:val="00613178"/>
    <w:rsid w:val="00613512"/>
    <w:rsid w:val="00613C6D"/>
    <w:rsid w:val="00614160"/>
    <w:rsid w:val="0061446B"/>
    <w:rsid w:val="00614699"/>
    <w:rsid w:val="00614A01"/>
    <w:rsid w:val="00615102"/>
    <w:rsid w:val="00615802"/>
    <w:rsid w:val="00615965"/>
    <w:rsid w:val="0061667C"/>
    <w:rsid w:val="00617535"/>
    <w:rsid w:val="00617975"/>
    <w:rsid w:val="00617E1C"/>
    <w:rsid w:val="006200DD"/>
    <w:rsid w:val="0062020B"/>
    <w:rsid w:val="00620221"/>
    <w:rsid w:val="00620223"/>
    <w:rsid w:val="006207CF"/>
    <w:rsid w:val="00620E2F"/>
    <w:rsid w:val="00621120"/>
    <w:rsid w:val="00621847"/>
    <w:rsid w:val="00621D49"/>
    <w:rsid w:val="00621F60"/>
    <w:rsid w:val="00622B38"/>
    <w:rsid w:val="00622C91"/>
    <w:rsid w:val="00622E9B"/>
    <w:rsid w:val="006231F6"/>
    <w:rsid w:val="00623355"/>
    <w:rsid w:val="00623811"/>
    <w:rsid w:val="0062416B"/>
    <w:rsid w:val="00624290"/>
    <w:rsid w:val="0062443E"/>
    <w:rsid w:val="00624608"/>
    <w:rsid w:val="00624861"/>
    <w:rsid w:val="006251EF"/>
    <w:rsid w:val="00625A3E"/>
    <w:rsid w:val="00625CB6"/>
    <w:rsid w:val="006263FC"/>
    <w:rsid w:val="00626447"/>
    <w:rsid w:val="00626955"/>
    <w:rsid w:val="00626CFB"/>
    <w:rsid w:val="00627CD8"/>
    <w:rsid w:val="006313E0"/>
    <w:rsid w:val="00631742"/>
    <w:rsid w:val="006317AD"/>
    <w:rsid w:val="00631A16"/>
    <w:rsid w:val="00631D1E"/>
    <w:rsid w:val="006322AD"/>
    <w:rsid w:val="006323A8"/>
    <w:rsid w:val="00633124"/>
    <w:rsid w:val="006334CB"/>
    <w:rsid w:val="006338B1"/>
    <w:rsid w:val="006338FB"/>
    <w:rsid w:val="00633BA9"/>
    <w:rsid w:val="006349BC"/>
    <w:rsid w:val="00634B6C"/>
    <w:rsid w:val="00634DB1"/>
    <w:rsid w:val="0063554A"/>
    <w:rsid w:val="00635672"/>
    <w:rsid w:val="0063612A"/>
    <w:rsid w:val="00636AA5"/>
    <w:rsid w:val="006372FF"/>
    <w:rsid w:val="00637E8B"/>
    <w:rsid w:val="00640428"/>
    <w:rsid w:val="006406C9"/>
    <w:rsid w:val="00640E07"/>
    <w:rsid w:val="00640EF9"/>
    <w:rsid w:val="00641215"/>
    <w:rsid w:val="0064149B"/>
    <w:rsid w:val="00641724"/>
    <w:rsid w:val="0064188C"/>
    <w:rsid w:val="00641BD1"/>
    <w:rsid w:val="00641ED3"/>
    <w:rsid w:val="006420B3"/>
    <w:rsid w:val="00642214"/>
    <w:rsid w:val="006428EE"/>
    <w:rsid w:val="00642932"/>
    <w:rsid w:val="00642B14"/>
    <w:rsid w:val="00642B95"/>
    <w:rsid w:val="00642C3D"/>
    <w:rsid w:val="00642D2F"/>
    <w:rsid w:val="00642D90"/>
    <w:rsid w:val="00643144"/>
    <w:rsid w:val="00643746"/>
    <w:rsid w:val="00643B7E"/>
    <w:rsid w:val="00643C25"/>
    <w:rsid w:val="00644664"/>
    <w:rsid w:val="00644D2A"/>
    <w:rsid w:val="00644E78"/>
    <w:rsid w:val="006450AC"/>
    <w:rsid w:val="006454B7"/>
    <w:rsid w:val="006456BA"/>
    <w:rsid w:val="00645D6F"/>
    <w:rsid w:val="00645F0D"/>
    <w:rsid w:val="0064610B"/>
    <w:rsid w:val="006466BF"/>
    <w:rsid w:val="006467C3"/>
    <w:rsid w:val="00646BA0"/>
    <w:rsid w:val="00646D3C"/>
    <w:rsid w:val="00646F80"/>
    <w:rsid w:val="00647EA5"/>
    <w:rsid w:val="0065086E"/>
    <w:rsid w:val="00650D50"/>
    <w:rsid w:val="006512D2"/>
    <w:rsid w:val="00651685"/>
    <w:rsid w:val="0065199D"/>
    <w:rsid w:val="00652E3A"/>
    <w:rsid w:val="0065329E"/>
    <w:rsid w:val="006533EC"/>
    <w:rsid w:val="00653DD0"/>
    <w:rsid w:val="00653DF1"/>
    <w:rsid w:val="006543A8"/>
    <w:rsid w:val="00654576"/>
    <w:rsid w:val="00654990"/>
    <w:rsid w:val="00654B56"/>
    <w:rsid w:val="00654C06"/>
    <w:rsid w:val="006558E3"/>
    <w:rsid w:val="00655908"/>
    <w:rsid w:val="006559F1"/>
    <w:rsid w:val="00655EF1"/>
    <w:rsid w:val="00655F3B"/>
    <w:rsid w:val="0065686A"/>
    <w:rsid w:val="00657AA5"/>
    <w:rsid w:val="00660141"/>
    <w:rsid w:val="00660299"/>
    <w:rsid w:val="006602AA"/>
    <w:rsid w:val="0066062C"/>
    <w:rsid w:val="00660FCF"/>
    <w:rsid w:val="00661483"/>
    <w:rsid w:val="00661EC9"/>
    <w:rsid w:val="00662108"/>
    <w:rsid w:val="00662828"/>
    <w:rsid w:val="00662C83"/>
    <w:rsid w:val="00662D67"/>
    <w:rsid w:val="006637E4"/>
    <w:rsid w:val="00663E67"/>
    <w:rsid w:val="00664049"/>
    <w:rsid w:val="006642DE"/>
    <w:rsid w:val="00665CF9"/>
    <w:rsid w:val="00665E57"/>
    <w:rsid w:val="00665F23"/>
    <w:rsid w:val="0066651F"/>
    <w:rsid w:val="006668A7"/>
    <w:rsid w:val="00666A51"/>
    <w:rsid w:val="00667034"/>
    <w:rsid w:val="006672D2"/>
    <w:rsid w:val="00667303"/>
    <w:rsid w:val="00667511"/>
    <w:rsid w:val="00667782"/>
    <w:rsid w:val="006677E2"/>
    <w:rsid w:val="00670551"/>
    <w:rsid w:val="00670979"/>
    <w:rsid w:val="00671A21"/>
    <w:rsid w:val="00671CD5"/>
    <w:rsid w:val="00671F30"/>
    <w:rsid w:val="0067200D"/>
    <w:rsid w:val="006720D0"/>
    <w:rsid w:val="006728EE"/>
    <w:rsid w:val="00672BFC"/>
    <w:rsid w:val="006735C0"/>
    <w:rsid w:val="00674159"/>
    <w:rsid w:val="00674AF1"/>
    <w:rsid w:val="00674CE0"/>
    <w:rsid w:val="00675471"/>
    <w:rsid w:val="006754B6"/>
    <w:rsid w:val="00675565"/>
    <w:rsid w:val="006755DE"/>
    <w:rsid w:val="00676EA2"/>
    <w:rsid w:val="00677259"/>
    <w:rsid w:val="0067742C"/>
    <w:rsid w:val="0067790F"/>
    <w:rsid w:val="00680243"/>
    <w:rsid w:val="006802BC"/>
    <w:rsid w:val="006804AA"/>
    <w:rsid w:val="00680639"/>
    <w:rsid w:val="00680918"/>
    <w:rsid w:val="006809C2"/>
    <w:rsid w:val="00680D1C"/>
    <w:rsid w:val="00680EBE"/>
    <w:rsid w:val="006810F8"/>
    <w:rsid w:val="006812F5"/>
    <w:rsid w:val="00681DB9"/>
    <w:rsid w:val="00681FDE"/>
    <w:rsid w:val="00682080"/>
    <w:rsid w:val="006821EF"/>
    <w:rsid w:val="00682B7F"/>
    <w:rsid w:val="00682C11"/>
    <w:rsid w:val="00682DDF"/>
    <w:rsid w:val="00683512"/>
    <w:rsid w:val="00683DFE"/>
    <w:rsid w:val="006844F8"/>
    <w:rsid w:val="00684799"/>
    <w:rsid w:val="00685181"/>
    <w:rsid w:val="00685A32"/>
    <w:rsid w:val="00685AB0"/>
    <w:rsid w:val="00685FF6"/>
    <w:rsid w:val="006865A9"/>
    <w:rsid w:val="006865E5"/>
    <w:rsid w:val="00686C84"/>
    <w:rsid w:val="00687417"/>
    <w:rsid w:val="0068755A"/>
    <w:rsid w:val="0068772B"/>
    <w:rsid w:val="0068783C"/>
    <w:rsid w:val="00687C3D"/>
    <w:rsid w:val="00687F9E"/>
    <w:rsid w:val="00690A48"/>
    <w:rsid w:val="00691406"/>
    <w:rsid w:val="006917EF"/>
    <w:rsid w:val="00691D26"/>
    <w:rsid w:val="0069259D"/>
    <w:rsid w:val="006927C9"/>
    <w:rsid w:val="00692D06"/>
    <w:rsid w:val="00692F83"/>
    <w:rsid w:val="00693678"/>
    <w:rsid w:val="00693813"/>
    <w:rsid w:val="00693816"/>
    <w:rsid w:val="00693972"/>
    <w:rsid w:val="00693D2D"/>
    <w:rsid w:val="00693D6C"/>
    <w:rsid w:val="006941B5"/>
    <w:rsid w:val="0069451D"/>
    <w:rsid w:val="00694E3B"/>
    <w:rsid w:val="00694E6B"/>
    <w:rsid w:val="00694FCD"/>
    <w:rsid w:val="00695143"/>
    <w:rsid w:val="00695346"/>
    <w:rsid w:val="00695EA8"/>
    <w:rsid w:val="006960A1"/>
    <w:rsid w:val="006962B3"/>
    <w:rsid w:val="0069685F"/>
    <w:rsid w:val="006969B5"/>
    <w:rsid w:val="00696C87"/>
    <w:rsid w:val="00696FE6"/>
    <w:rsid w:val="006A0674"/>
    <w:rsid w:val="006A070F"/>
    <w:rsid w:val="006A0C1B"/>
    <w:rsid w:val="006A0CD3"/>
    <w:rsid w:val="006A0F7C"/>
    <w:rsid w:val="006A1161"/>
    <w:rsid w:val="006A14A5"/>
    <w:rsid w:val="006A17D7"/>
    <w:rsid w:val="006A19D8"/>
    <w:rsid w:val="006A3546"/>
    <w:rsid w:val="006A3CBB"/>
    <w:rsid w:val="006A3EED"/>
    <w:rsid w:val="006A41FB"/>
    <w:rsid w:val="006A44F4"/>
    <w:rsid w:val="006A49AF"/>
    <w:rsid w:val="006A5613"/>
    <w:rsid w:val="006A5C3B"/>
    <w:rsid w:val="006A68BE"/>
    <w:rsid w:val="006A692D"/>
    <w:rsid w:val="006A6CCC"/>
    <w:rsid w:val="006A78E5"/>
    <w:rsid w:val="006A7EC1"/>
    <w:rsid w:val="006B00AE"/>
    <w:rsid w:val="006B09DE"/>
    <w:rsid w:val="006B0C23"/>
    <w:rsid w:val="006B1242"/>
    <w:rsid w:val="006B18F3"/>
    <w:rsid w:val="006B2378"/>
    <w:rsid w:val="006B23A3"/>
    <w:rsid w:val="006B24FD"/>
    <w:rsid w:val="006B2761"/>
    <w:rsid w:val="006B277A"/>
    <w:rsid w:val="006B2F54"/>
    <w:rsid w:val="006B374C"/>
    <w:rsid w:val="006B403C"/>
    <w:rsid w:val="006B4076"/>
    <w:rsid w:val="006B428A"/>
    <w:rsid w:val="006B46E2"/>
    <w:rsid w:val="006B4BB1"/>
    <w:rsid w:val="006B5181"/>
    <w:rsid w:val="006B53E9"/>
    <w:rsid w:val="006B5470"/>
    <w:rsid w:val="006B58B9"/>
    <w:rsid w:val="006B606A"/>
    <w:rsid w:val="006B65E8"/>
    <w:rsid w:val="006B67EE"/>
    <w:rsid w:val="006B6F26"/>
    <w:rsid w:val="006B72D0"/>
    <w:rsid w:val="006B7347"/>
    <w:rsid w:val="006B7611"/>
    <w:rsid w:val="006B765F"/>
    <w:rsid w:val="006B7741"/>
    <w:rsid w:val="006B78AD"/>
    <w:rsid w:val="006B7980"/>
    <w:rsid w:val="006B7D03"/>
    <w:rsid w:val="006C07C6"/>
    <w:rsid w:val="006C08E2"/>
    <w:rsid w:val="006C0FE6"/>
    <w:rsid w:val="006C135F"/>
    <w:rsid w:val="006C1566"/>
    <w:rsid w:val="006C18EA"/>
    <w:rsid w:val="006C1D88"/>
    <w:rsid w:val="006C22A9"/>
    <w:rsid w:val="006C27EC"/>
    <w:rsid w:val="006C2BD4"/>
    <w:rsid w:val="006C2C32"/>
    <w:rsid w:val="006C3313"/>
    <w:rsid w:val="006C33D2"/>
    <w:rsid w:val="006C3445"/>
    <w:rsid w:val="006C39AB"/>
    <w:rsid w:val="006C3D41"/>
    <w:rsid w:val="006C3ECE"/>
    <w:rsid w:val="006C42C5"/>
    <w:rsid w:val="006C4F60"/>
    <w:rsid w:val="006C504A"/>
    <w:rsid w:val="006C56A2"/>
    <w:rsid w:val="006C7076"/>
    <w:rsid w:val="006C729F"/>
    <w:rsid w:val="006C754D"/>
    <w:rsid w:val="006C75BC"/>
    <w:rsid w:val="006C7A42"/>
    <w:rsid w:val="006C7EEF"/>
    <w:rsid w:val="006D03C5"/>
    <w:rsid w:val="006D083E"/>
    <w:rsid w:val="006D0923"/>
    <w:rsid w:val="006D095F"/>
    <w:rsid w:val="006D1A56"/>
    <w:rsid w:val="006D1AD6"/>
    <w:rsid w:val="006D22F6"/>
    <w:rsid w:val="006D27D6"/>
    <w:rsid w:val="006D2945"/>
    <w:rsid w:val="006D32F6"/>
    <w:rsid w:val="006D34DD"/>
    <w:rsid w:val="006D3CA1"/>
    <w:rsid w:val="006D3D90"/>
    <w:rsid w:val="006D448F"/>
    <w:rsid w:val="006D4E67"/>
    <w:rsid w:val="006D5106"/>
    <w:rsid w:val="006D5132"/>
    <w:rsid w:val="006D54F3"/>
    <w:rsid w:val="006D568A"/>
    <w:rsid w:val="006D5D19"/>
    <w:rsid w:val="006D5E01"/>
    <w:rsid w:val="006D6136"/>
    <w:rsid w:val="006D64D2"/>
    <w:rsid w:val="006D65DA"/>
    <w:rsid w:val="006D683A"/>
    <w:rsid w:val="006D6A10"/>
    <w:rsid w:val="006D7A88"/>
    <w:rsid w:val="006D7CAA"/>
    <w:rsid w:val="006D7CED"/>
    <w:rsid w:val="006D7F2C"/>
    <w:rsid w:val="006E0404"/>
    <w:rsid w:val="006E0590"/>
    <w:rsid w:val="006E06A5"/>
    <w:rsid w:val="006E0CFF"/>
    <w:rsid w:val="006E18BE"/>
    <w:rsid w:val="006E194B"/>
    <w:rsid w:val="006E236A"/>
    <w:rsid w:val="006E2573"/>
    <w:rsid w:val="006E26AE"/>
    <w:rsid w:val="006E280D"/>
    <w:rsid w:val="006E2900"/>
    <w:rsid w:val="006E305C"/>
    <w:rsid w:val="006E3A44"/>
    <w:rsid w:val="006E3ADA"/>
    <w:rsid w:val="006E423C"/>
    <w:rsid w:val="006E474F"/>
    <w:rsid w:val="006E5204"/>
    <w:rsid w:val="006E53D2"/>
    <w:rsid w:val="006E582B"/>
    <w:rsid w:val="006E622E"/>
    <w:rsid w:val="006E6544"/>
    <w:rsid w:val="006E6646"/>
    <w:rsid w:val="006E66D8"/>
    <w:rsid w:val="006E6D48"/>
    <w:rsid w:val="006E6DDA"/>
    <w:rsid w:val="006E748D"/>
    <w:rsid w:val="006E795D"/>
    <w:rsid w:val="006E7D01"/>
    <w:rsid w:val="006F017A"/>
    <w:rsid w:val="006F0A13"/>
    <w:rsid w:val="006F0F75"/>
    <w:rsid w:val="006F12E1"/>
    <w:rsid w:val="006F13D3"/>
    <w:rsid w:val="006F1C19"/>
    <w:rsid w:val="006F1CB7"/>
    <w:rsid w:val="006F218A"/>
    <w:rsid w:val="006F21DB"/>
    <w:rsid w:val="006F2395"/>
    <w:rsid w:val="006F275D"/>
    <w:rsid w:val="006F2B07"/>
    <w:rsid w:val="006F2C82"/>
    <w:rsid w:val="006F2CF3"/>
    <w:rsid w:val="006F3386"/>
    <w:rsid w:val="006F372E"/>
    <w:rsid w:val="006F391B"/>
    <w:rsid w:val="006F4A51"/>
    <w:rsid w:val="006F4D97"/>
    <w:rsid w:val="006F542F"/>
    <w:rsid w:val="006F56D5"/>
    <w:rsid w:val="006F5854"/>
    <w:rsid w:val="006F5EF3"/>
    <w:rsid w:val="006F61F0"/>
    <w:rsid w:val="006F6499"/>
    <w:rsid w:val="006F6971"/>
    <w:rsid w:val="006F6FB0"/>
    <w:rsid w:val="006F7C81"/>
    <w:rsid w:val="006F7CF1"/>
    <w:rsid w:val="006F7F9A"/>
    <w:rsid w:val="0070017A"/>
    <w:rsid w:val="00700C1E"/>
    <w:rsid w:val="00700F11"/>
    <w:rsid w:val="00701277"/>
    <w:rsid w:val="0070149C"/>
    <w:rsid w:val="00701627"/>
    <w:rsid w:val="007016FC"/>
    <w:rsid w:val="00702B50"/>
    <w:rsid w:val="00703301"/>
    <w:rsid w:val="00703847"/>
    <w:rsid w:val="00703EA2"/>
    <w:rsid w:val="00704063"/>
    <w:rsid w:val="007043B6"/>
    <w:rsid w:val="00704AAC"/>
    <w:rsid w:val="007051F6"/>
    <w:rsid w:val="0070548B"/>
    <w:rsid w:val="00705564"/>
    <w:rsid w:val="007057B4"/>
    <w:rsid w:val="007058A2"/>
    <w:rsid w:val="00705A22"/>
    <w:rsid w:val="00705BDB"/>
    <w:rsid w:val="00706717"/>
    <w:rsid w:val="0070679A"/>
    <w:rsid w:val="00707811"/>
    <w:rsid w:val="00707C10"/>
    <w:rsid w:val="00707C6F"/>
    <w:rsid w:val="00707D60"/>
    <w:rsid w:val="00710027"/>
    <w:rsid w:val="007100F6"/>
    <w:rsid w:val="0071011B"/>
    <w:rsid w:val="007101D5"/>
    <w:rsid w:val="00710897"/>
    <w:rsid w:val="007109BA"/>
    <w:rsid w:val="00710A8A"/>
    <w:rsid w:val="00710CF5"/>
    <w:rsid w:val="00711564"/>
    <w:rsid w:val="00711ED2"/>
    <w:rsid w:val="007125A9"/>
    <w:rsid w:val="00712F21"/>
    <w:rsid w:val="0071327F"/>
    <w:rsid w:val="00713B81"/>
    <w:rsid w:val="007140A8"/>
    <w:rsid w:val="007141BA"/>
    <w:rsid w:val="007142AE"/>
    <w:rsid w:val="0071431B"/>
    <w:rsid w:val="007146A1"/>
    <w:rsid w:val="00714BF6"/>
    <w:rsid w:val="00714F17"/>
    <w:rsid w:val="00715981"/>
    <w:rsid w:val="007159A8"/>
    <w:rsid w:val="00715C3B"/>
    <w:rsid w:val="00715E57"/>
    <w:rsid w:val="00715FC6"/>
    <w:rsid w:val="0071611B"/>
    <w:rsid w:val="00720748"/>
    <w:rsid w:val="0072085E"/>
    <w:rsid w:val="00720DE2"/>
    <w:rsid w:val="00721075"/>
    <w:rsid w:val="0072168E"/>
    <w:rsid w:val="00721E9A"/>
    <w:rsid w:val="0072292F"/>
    <w:rsid w:val="00722C91"/>
    <w:rsid w:val="00722D28"/>
    <w:rsid w:val="00723091"/>
    <w:rsid w:val="0072318A"/>
    <w:rsid w:val="00723460"/>
    <w:rsid w:val="00723507"/>
    <w:rsid w:val="0072370D"/>
    <w:rsid w:val="007238D0"/>
    <w:rsid w:val="00723C13"/>
    <w:rsid w:val="00723CF3"/>
    <w:rsid w:val="0072462A"/>
    <w:rsid w:val="00725645"/>
    <w:rsid w:val="007258BF"/>
    <w:rsid w:val="00725B8F"/>
    <w:rsid w:val="007268D7"/>
    <w:rsid w:val="0072773B"/>
    <w:rsid w:val="007278E9"/>
    <w:rsid w:val="00727C9A"/>
    <w:rsid w:val="00727CE6"/>
    <w:rsid w:val="00727F50"/>
    <w:rsid w:val="00727F85"/>
    <w:rsid w:val="007304C7"/>
    <w:rsid w:val="00730C4E"/>
    <w:rsid w:val="0073117F"/>
    <w:rsid w:val="007317B2"/>
    <w:rsid w:val="00731CB9"/>
    <w:rsid w:val="00731F61"/>
    <w:rsid w:val="007320BC"/>
    <w:rsid w:val="007320FB"/>
    <w:rsid w:val="007321BD"/>
    <w:rsid w:val="00732210"/>
    <w:rsid w:val="00732405"/>
    <w:rsid w:val="00732959"/>
    <w:rsid w:val="00732FB7"/>
    <w:rsid w:val="0073312F"/>
    <w:rsid w:val="007331B6"/>
    <w:rsid w:val="00733ABA"/>
    <w:rsid w:val="00733D10"/>
    <w:rsid w:val="00733EC6"/>
    <w:rsid w:val="00733FB3"/>
    <w:rsid w:val="007340A5"/>
    <w:rsid w:val="00734249"/>
    <w:rsid w:val="00734ED2"/>
    <w:rsid w:val="007351E7"/>
    <w:rsid w:val="00735913"/>
    <w:rsid w:val="00735D36"/>
    <w:rsid w:val="00736646"/>
    <w:rsid w:val="0073685F"/>
    <w:rsid w:val="00740198"/>
    <w:rsid w:val="0074097A"/>
    <w:rsid w:val="00740C2E"/>
    <w:rsid w:val="00740D1F"/>
    <w:rsid w:val="007415E3"/>
    <w:rsid w:val="00741647"/>
    <w:rsid w:val="00741DD2"/>
    <w:rsid w:val="00742559"/>
    <w:rsid w:val="00742AC9"/>
    <w:rsid w:val="00742C77"/>
    <w:rsid w:val="00742E73"/>
    <w:rsid w:val="0074358B"/>
    <w:rsid w:val="00743BC9"/>
    <w:rsid w:val="007445C1"/>
    <w:rsid w:val="00744916"/>
    <w:rsid w:val="00744E04"/>
    <w:rsid w:val="007453A7"/>
    <w:rsid w:val="0074591D"/>
    <w:rsid w:val="00745A12"/>
    <w:rsid w:val="00745C60"/>
    <w:rsid w:val="00746437"/>
    <w:rsid w:val="00746752"/>
    <w:rsid w:val="007467E8"/>
    <w:rsid w:val="00746C34"/>
    <w:rsid w:val="00746C5D"/>
    <w:rsid w:val="00746FAD"/>
    <w:rsid w:val="00747610"/>
    <w:rsid w:val="00747B68"/>
    <w:rsid w:val="00747F11"/>
    <w:rsid w:val="00751CDD"/>
    <w:rsid w:val="00751D43"/>
    <w:rsid w:val="00751EA2"/>
    <w:rsid w:val="00751F65"/>
    <w:rsid w:val="00752585"/>
    <w:rsid w:val="00753060"/>
    <w:rsid w:val="0075347E"/>
    <w:rsid w:val="00753B6B"/>
    <w:rsid w:val="00753E2E"/>
    <w:rsid w:val="007544DB"/>
    <w:rsid w:val="007545D9"/>
    <w:rsid w:val="0075461C"/>
    <w:rsid w:val="00754662"/>
    <w:rsid w:val="00754874"/>
    <w:rsid w:val="00755140"/>
    <w:rsid w:val="00755640"/>
    <w:rsid w:val="007559B0"/>
    <w:rsid w:val="00755FF0"/>
    <w:rsid w:val="00756015"/>
    <w:rsid w:val="007561A1"/>
    <w:rsid w:val="00756DD0"/>
    <w:rsid w:val="007609A4"/>
    <w:rsid w:val="0076132A"/>
    <w:rsid w:val="00761615"/>
    <w:rsid w:val="00761C50"/>
    <w:rsid w:val="0076206C"/>
    <w:rsid w:val="0076252C"/>
    <w:rsid w:val="00762E28"/>
    <w:rsid w:val="00762EBC"/>
    <w:rsid w:val="00763086"/>
    <w:rsid w:val="0076427A"/>
    <w:rsid w:val="007642F7"/>
    <w:rsid w:val="0076477F"/>
    <w:rsid w:val="00764C45"/>
    <w:rsid w:val="00765006"/>
    <w:rsid w:val="0076532E"/>
    <w:rsid w:val="00765C91"/>
    <w:rsid w:val="00766339"/>
    <w:rsid w:val="00766DCD"/>
    <w:rsid w:val="00767B3D"/>
    <w:rsid w:val="00767F94"/>
    <w:rsid w:val="007702E0"/>
    <w:rsid w:val="00771185"/>
    <w:rsid w:val="00772846"/>
    <w:rsid w:val="00772BA3"/>
    <w:rsid w:val="00773081"/>
    <w:rsid w:val="0077313A"/>
    <w:rsid w:val="00773946"/>
    <w:rsid w:val="00773AC4"/>
    <w:rsid w:val="00774114"/>
    <w:rsid w:val="00774183"/>
    <w:rsid w:val="00774370"/>
    <w:rsid w:val="00774BAC"/>
    <w:rsid w:val="00774D36"/>
    <w:rsid w:val="007754DD"/>
    <w:rsid w:val="00775C5C"/>
    <w:rsid w:val="00775C6A"/>
    <w:rsid w:val="007770B8"/>
    <w:rsid w:val="00777E96"/>
    <w:rsid w:val="0078010D"/>
    <w:rsid w:val="0078027E"/>
    <w:rsid w:val="007810A2"/>
    <w:rsid w:val="0078151D"/>
    <w:rsid w:val="007817FC"/>
    <w:rsid w:val="007819D3"/>
    <w:rsid w:val="0078214C"/>
    <w:rsid w:val="007822E7"/>
    <w:rsid w:val="007827B5"/>
    <w:rsid w:val="007835D5"/>
    <w:rsid w:val="007836EF"/>
    <w:rsid w:val="00783DF3"/>
    <w:rsid w:val="0078448A"/>
    <w:rsid w:val="007855DA"/>
    <w:rsid w:val="00785958"/>
    <w:rsid w:val="00785D80"/>
    <w:rsid w:val="00786004"/>
    <w:rsid w:val="00786160"/>
    <w:rsid w:val="00786204"/>
    <w:rsid w:val="00786301"/>
    <w:rsid w:val="007866DB"/>
    <w:rsid w:val="00786A58"/>
    <w:rsid w:val="00786BBB"/>
    <w:rsid w:val="00786E7E"/>
    <w:rsid w:val="00787216"/>
    <w:rsid w:val="0078751E"/>
    <w:rsid w:val="007875D8"/>
    <w:rsid w:val="00790B00"/>
    <w:rsid w:val="00790EB6"/>
    <w:rsid w:val="00790FC9"/>
    <w:rsid w:val="00791639"/>
    <w:rsid w:val="00791772"/>
    <w:rsid w:val="00791D9B"/>
    <w:rsid w:val="00792141"/>
    <w:rsid w:val="00793825"/>
    <w:rsid w:val="00793EC1"/>
    <w:rsid w:val="007940BC"/>
    <w:rsid w:val="00794306"/>
    <w:rsid w:val="00794A32"/>
    <w:rsid w:val="007954D0"/>
    <w:rsid w:val="00795695"/>
    <w:rsid w:val="00795700"/>
    <w:rsid w:val="007957C2"/>
    <w:rsid w:val="00795810"/>
    <w:rsid w:val="00795CB4"/>
    <w:rsid w:val="007964F5"/>
    <w:rsid w:val="007969C7"/>
    <w:rsid w:val="00796BD1"/>
    <w:rsid w:val="00796FEB"/>
    <w:rsid w:val="00797050"/>
    <w:rsid w:val="007971C7"/>
    <w:rsid w:val="007977F9"/>
    <w:rsid w:val="0079799D"/>
    <w:rsid w:val="007A01C8"/>
    <w:rsid w:val="007A08F2"/>
    <w:rsid w:val="007A16CE"/>
    <w:rsid w:val="007A180A"/>
    <w:rsid w:val="007A1D44"/>
    <w:rsid w:val="007A2454"/>
    <w:rsid w:val="007A27E4"/>
    <w:rsid w:val="007A2956"/>
    <w:rsid w:val="007A31E6"/>
    <w:rsid w:val="007A3738"/>
    <w:rsid w:val="007A3B62"/>
    <w:rsid w:val="007A43F7"/>
    <w:rsid w:val="007A4BE9"/>
    <w:rsid w:val="007A4F39"/>
    <w:rsid w:val="007A51D4"/>
    <w:rsid w:val="007A53BF"/>
    <w:rsid w:val="007A6139"/>
    <w:rsid w:val="007A7005"/>
    <w:rsid w:val="007A7254"/>
    <w:rsid w:val="007A735F"/>
    <w:rsid w:val="007B0207"/>
    <w:rsid w:val="007B035E"/>
    <w:rsid w:val="007B0B6A"/>
    <w:rsid w:val="007B15E2"/>
    <w:rsid w:val="007B161E"/>
    <w:rsid w:val="007B17F9"/>
    <w:rsid w:val="007B1911"/>
    <w:rsid w:val="007B2A83"/>
    <w:rsid w:val="007B307B"/>
    <w:rsid w:val="007B346C"/>
    <w:rsid w:val="007B34D8"/>
    <w:rsid w:val="007B36D9"/>
    <w:rsid w:val="007B37A4"/>
    <w:rsid w:val="007B41AD"/>
    <w:rsid w:val="007B53D7"/>
    <w:rsid w:val="007B5623"/>
    <w:rsid w:val="007B58E6"/>
    <w:rsid w:val="007B5D7D"/>
    <w:rsid w:val="007B60D5"/>
    <w:rsid w:val="007B6228"/>
    <w:rsid w:val="007B632A"/>
    <w:rsid w:val="007B63AD"/>
    <w:rsid w:val="007B6621"/>
    <w:rsid w:val="007B6749"/>
    <w:rsid w:val="007B6F3B"/>
    <w:rsid w:val="007B762C"/>
    <w:rsid w:val="007B7859"/>
    <w:rsid w:val="007B7D33"/>
    <w:rsid w:val="007B7F89"/>
    <w:rsid w:val="007C02E1"/>
    <w:rsid w:val="007C0396"/>
    <w:rsid w:val="007C0A02"/>
    <w:rsid w:val="007C105E"/>
    <w:rsid w:val="007C1147"/>
    <w:rsid w:val="007C1159"/>
    <w:rsid w:val="007C1600"/>
    <w:rsid w:val="007C1707"/>
    <w:rsid w:val="007C1784"/>
    <w:rsid w:val="007C186B"/>
    <w:rsid w:val="007C1CBB"/>
    <w:rsid w:val="007C1F5F"/>
    <w:rsid w:val="007C2467"/>
    <w:rsid w:val="007C24AC"/>
    <w:rsid w:val="007C25B5"/>
    <w:rsid w:val="007C2F24"/>
    <w:rsid w:val="007C36B1"/>
    <w:rsid w:val="007C37C3"/>
    <w:rsid w:val="007C3953"/>
    <w:rsid w:val="007C3A98"/>
    <w:rsid w:val="007C3B60"/>
    <w:rsid w:val="007C3ED4"/>
    <w:rsid w:val="007C4385"/>
    <w:rsid w:val="007C4735"/>
    <w:rsid w:val="007C475F"/>
    <w:rsid w:val="007C495B"/>
    <w:rsid w:val="007C4E1E"/>
    <w:rsid w:val="007C4F46"/>
    <w:rsid w:val="007C5187"/>
    <w:rsid w:val="007C5297"/>
    <w:rsid w:val="007C5453"/>
    <w:rsid w:val="007C57CA"/>
    <w:rsid w:val="007C5AD7"/>
    <w:rsid w:val="007C6C7C"/>
    <w:rsid w:val="007C78DD"/>
    <w:rsid w:val="007C7EEC"/>
    <w:rsid w:val="007C7EF9"/>
    <w:rsid w:val="007D0275"/>
    <w:rsid w:val="007D037A"/>
    <w:rsid w:val="007D135F"/>
    <w:rsid w:val="007D1B33"/>
    <w:rsid w:val="007D2134"/>
    <w:rsid w:val="007D2245"/>
    <w:rsid w:val="007D3404"/>
    <w:rsid w:val="007D3645"/>
    <w:rsid w:val="007D3835"/>
    <w:rsid w:val="007D3AF2"/>
    <w:rsid w:val="007D3D62"/>
    <w:rsid w:val="007D3E8F"/>
    <w:rsid w:val="007D42E6"/>
    <w:rsid w:val="007D442C"/>
    <w:rsid w:val="007D453E"/>
    <w:rsid w:val="007D45BC"/>
    <w:rsid w:val="007D4885"/>
    <w:rsid w:val="007D4A5D"/>
    <w:rsid w:val="007D521A"/>
    <w:rsid w:val="007D5607"/>
    <w:rsid w:val="007D5A6E"/>
    <w:rsid w:val="007D5AB4"/>
    <w:rsid w:val="007D6551"/>
    <w:rsid w:val="007D67BD"/>
    <w:rsid w:val="007D68A0"/>
    <w:rsid w:val="007D6A54"/>
    <w:rsid w:val="007D71FD"/>
    <w:rsid w:val="007D76C5"/>
    <w:rsid w:val="007D7BE2"/>
    <w:rsid w:val="007E0AF0"/>
    <w:rsid w:val="007E0E8B"/>
    <w:rsid w:val="007E1C49"/>
    <w:rsid w:val="007E1F78"/>
    <w:rsid w:val="007E2191"/>
    <w:rsid w:val="007E2277"/>
    <w:rsid w:val="007E2741"/>
    <w:rsid w:val="007E27DC"/>
    <w:rsid w:val="007E4845"/>
    <w:rsid w:val="007E4E0B"/>
    <w:rsid w:val="007E5530"/>
    <w:rsid w:val="007E61C1"/>
    <w:rsid w:val="007E789D"/>
    <w:rsid w:val="007E7D92"/>
    <w:rsid w:val="007F0720"/>
    <w:rsid w:val="007F1167"/>
    <w:rsid w:val="007F187C"/>
    <w:rsid w:val="007F1DC1"/>
    <w:rsid w:val="007F2735"/>
    <w:rsid w:val="007F285A"/>
    <w:rsid w:val="007F2EDA"/>
    <w:rsid w:val="007F302E"/>
    <w:rsid w:val="007F38FB"/>
    <w:rsid w:val="007F4137"/>
    <w:rsid w:val="007F4EC0"/>
    <w:rsid w:val="007F5A2D"/>
    <w:rsid w:val="007F6197"/>
    <w:rsid w:val="007F6903"/>
    <w:rsid w:val="007F706A"/>
    <w:rsid w:val="007F763F"/>
    <w:rsid w:val="007F7962"/>
    <w:rsid w:val="007F7B5A"/>
    <w:rsid w:val="007F7C31"/>
    <w:rsid w:val="007F7F70"/>
    <w:rsid w:val="008000B3"/>
    <w:rsid w:val="0080014D"/>
    <w:rsid w:val="00800F0B"/>
    <w:rsid w:val="0080122A"/>
    <w:rsid w:val="008015D4"/>
    <w:rsid w:val="00801A1B"/>
    <w:rsid w:val="00802840"/>
    <w:rsid w:val="00802C7E"/>
    <w:rsid w:val="00802D08"/>
    <w:rsid w:val="00802F6A"/>
    <w:rsid w:val="008032DA"/>
    <w:rsid w:val="00803B6D"/>
    <w:rsid w:val="0080442A"/>
    <w:rsid w:val="008044F9"/>
    <w:rsid w:val="00804E03"/>
    <w:rsid w:val="00804E5B"/>
    <w:rsid w:val="0080526C"/>
    <w:rsid w:val="008057B8"/>
    <w:rsid w:val="00806745"/>
    <w:rsid w:val="008069C7"/>
    <w:rsid w:val="00806FCA"/>
    <w:rsid w:val="00807028"/>
    <w:rsid w:val="008076E2"/>
    <w:rsid w:val="00811B56"/>
    <w:rsid w:val="00812199"/>
    <w:rsid w:val="008126BD"/>
    <w:rsid w:val="008128F8"/>
    <w:rsid w:val="00812D87"/>
    <w:rsid w:val="00812E37"/>
    <w:rsid w:val="00813637"/>
    <w:rsid w:val="008138CE"/>
    <w:rsid w:val="00814766"/>
    <w:rsid w:val="00814CA1"/>
    <w:rsid w:val="0081502A"/>
    <w:rsid w:val="00815210"/>
    <w:rsid w:val="0081521E"/>
    <w:rsid w:val="0081563A"/>
    <w:rsid w:val="00815E96"/>
    <w:rsid w:val="008168CC"/>
    <w:rsid w:val="00817FFA"/>
    <w:rsid w:val="0082029B"/>
    <w:rsid w:val="00821186"/>
    <w:rsid w:val="008213EC"/>
    <w:rsid w:val="00821565"/>
    <w:rsid w:val="008217CB"/>
    <w:rsid w:val="0082187F"/>
    <w:rsid w:val="00822254"/>
    <w:rsid w:val="008224C2"/>
    <w:rsid w:val="00822AD7"/>
    <w:rsid w:val="00822B06"/>
    <w:rsid w:val="00822D71"/>
    <w:rsid w:val="0082429F"/>
    <w:rsid w:val="00824D9F"/>
    <w:rsid w:val="00825247"/>
    <w:rsid w:val="008260C5"/>
    <w:rsid w:val="008261B4"/>
    <w:rsid w:val="0082627C"/>
    <w:rsid w:val="008265E7"/>
    <w:rsid w:val="00826CE1"/>
    <w:rsid w:val="00827886"/>
    <w:rsid w:val="008278D8"/>
    <w:rsid w:val="00827FF5"/>
    <w:rsid w:val="0083008F"/>
    <w:rsid w:val="00830454"/>
    <w:rsid w:val="008304C0"/>
    <w:rsid w:val="00830597"/>
    <w:rsid w:val="00830C89"/>
    <w:rsid w:val="00830D19"/>
    <w:rsid w:val="008315B0"/>
    <w:rsid w:val="00832146"/>
    <w:rsid w:val="00832FBD"/>
    <w:rsid w:val="008330D1"/>
    <w:rsid w:val="00833275"/>
    <w:rsid w:val="00833288"/>
    <w:rsid w:val="008334BA"/>
    <w:rsid w:val="0083365D"/>
    <w:rsid w:val="00833744"/>
    <w:rsid w:val="008338D4"/>
    <w:rsid w:val="00833EEB"/>
    <w:rsid w:val="00834593"/>
    <w:rsid w:val="008348E5"/>
    <w:rsid w:val="00834BEF"/>
    <w:rsid w:val="00834CEA"/>
    <w:rsid w:val="00834DEE"/>
    <w:rsid w:val="00834E9A"/>
    <w:rsid w:val="008350F9"/>
    <w:rsid w:val="00835483"/>
    <w:rsid w:val="00835E6F"/>
    <w:rsid w:val="00835FD0"/>
    <w:rsid w:val="00836718"/>
    <w:rsid w:val="008368EF"/>
    <w:rsid w:val="00836A2D"/>
    <w:rsid w:val="00836D30"/>
    <w:rsid w:val="008372C0"/>
    <w:rsid w:val="00837635"/>
    <w:rsid w:val="008379EC"/>
    <w:rsid w:val="0084004B"/>
    <w:rsid w:val="0084132A"/>
    <w:rsid w:val="00841627"/>
    <w:rsid w:val="008416E9"/>
    <w:rsid w:val="00841F9C"/>
    <w:rsid w:val="0084246C"/>
    <w:rsid w:val="00842EC0"/>
    <w:rsid w:val="00843587"/>
    <w:rsid w:val="00843983"/>
    <w:rsid w:val="00843A3D"/>
    <w:rsid w:val="00843BD9"/>
    <w:rsid w:val="00843E9F"/>
    <w:rsid w:val="0084415B"/>
    <w:rsid w:val="008442BB"/>
    <w:rsid w:val="0084439A"/>
    <w:rsid w:val="00844F1B"/>
    <w:rsid w:val="00844F9B"/>
    <w:rsid w:val="0084510F"/>
    <w:rsid w:val="008453FD"/>
    <w:rsid w:val="00845871"/>
    <w:rsid w:val="008460CC"/>
    <w:rsid w:val="00846219"/>
    <w:rsid w:val="00846363"/>
    <w:rsid w:val="00846AC6"/>
    <w:rsid w:val="00846BCD"/>
    <w:rsid w:val="00846C1D"/>
    <w:rsid w:val="008478BE"/>
    <w:rsid w:val="00847C0B"/>
    <w:rsid w:val="00850082"/>
    <w:rsid w:val="00850C19"/>
    <w:rsid w:val="00851000"/>
    <w:rsid w:val="0085170E"/>
    <w:rsid w:val="00851A5E"/>
    <w:rsid w:val="00851F94"/>
    <w:rsid w:val="00852DF9"/>
    <w:rsid w:val="0085302C"/>
    <w:rsid w:val="00853139"/>
    <w:rsid w:val="0085329A"/>
    <w:rsid w:val="008538EF"/>
    <w:rsid w:val="00853965"/>
    <w:rsid w:val="008542E0"/>
    <w:rsid w:val="008543FF"/>
    <w:rsid w:val="00854B15"/>
    <w:rsid w:val="00854B54"/>
    <w:rsid w:val="00854F7A"/>
    <w:rsid w:val="00855143"/>
    <w:rsid w:val="0085576C"/>
    <w:rsid w:val="00855D0B"/>
    <w:rsid w:val="00856409"/>
    <w:rsid w:val="0085673A"/>
    <w:rsid w:val="00856783"/>
    <w:rsid w:val="00856B2B"/>
    <w:rsid w:val="0085704A"/>
    <w:rsid w:val="008575C5"/>
    <w:rsid w:val="008578E9"/>
    <w:rsid w:val="0086115B"/>
    <w:rsid w:val="008625B7"/>
    <w:rsid w:val="00862B5D"/>
    <w:rsid w:val="008633E4"/>
    <w:rsid w:val="008636B9"/>
    <w:rsid w:val="0086393A"/>
    <w:rsid w:val="00863CBA"/>
    <w:rsid w:val="00863F4B"/>
    <w:rsid w:val="0086418E"/>
    <w:rsid w:val="0086496A"/>
    <w:rsid w:val="0086499C"/>
    <w:rsid w:val="008651D2"/>
    <w:rsid w:val="008657AB"/>
    <w:rsid w:val="008659F9"/>
    <w:rsid w:val="00865A8C"/>
    <w:rsid w:val="00865BBA"/>
    <w:rsid w:val="00865D17"/>
    <w:rsid w:val="0086611B"/>
    <w:rsid w:val="008663A5"/>
    <w:rsid w:val="0086644F"/>
    <w:rsid w:val="008667D3"/>
    <w:rsid w:val="00866ABF"/>
    <w:rsid w:val="00866AF6"/>
    <w:rsid w:val="00866C2E"/>
    <w:rsid w:val="00867986"/>
    <w:rsid w:val="008712DD"/>
    <w:rsid w:val="00871445"/>
    <w:rsid w:val="00871476"/>
    <w:rsid w:val="008714BE"/>
    <w:rsid w:val="008717FD"/>
    <w:rsid w:val="00871BAA"/>
    <w:rsid w:val="00871D8A"/>
    <w:rsid w:val="00871E7A"/>
    <w:rsid w:val="008725D9"/>
    <w:rsid w:val="00872E46"/>
    <w:rsid w:val="00872EB1"/>
    <w:rsid w:val="0087358D"/>
    <w:rsid w:val="00873682"/>
    <w:rsid w:val="00873C35"/>
    <w:rsid w:val="00873C55"/>
    <w:rsid w:val="00873F13"/>
    <w:rsid w:val="008743EE"/>
    <w:rsid w:val="00875093"/>
    <w:rsid w:val="008753B5"/>
    <w:rsid w:val="008753E2"/>
    <w:rsid w:val="00875AE7"/>
    <w:rsid w:val="00875BEC"/>
    <w:rsid w:val="008762A7"/>
    <w:rsid w:val="008762E9"/>
    <w:rsid w:val="00876C7E"/>
    <w:rsid w:val="00876E07"/>
    <w:rsid w:val="00877E7C"/>
    <w:rsid w:val="00877E93"/>
    <w:rsid w:val="008804C3"/>
    <w:rsid w:val="0088096B"/>
    <w:rsid w:val="00880A36"/>
    <w:rsid w:val="00880A3C"/>
    <w:rsid w:val="008810F6"/>
    <w:rsid w:val="008811BA"/>
    <w:rsid w:val="00881AC4"/>
    <w:rsid w:val="00881F1A"/>
    <w:rsid w:val="0088204D"/>
    <w:rsid w:val="00882235"/>
    <w:rsid w:val="008824CE"/>
    <w:rsid w:val="00882730"/>
    <w:rsid w:val="008841DB"/>
    <w:rsid w:val="00884B28"/>
    <w:rsid w:val="00884DEC"/>
    <w:rsid w:val="00884F5A"/>
    <w:rsid w:val="008856D6"/>
    <w:rsid w:val="00885A70"/>
    <w:rsid w:val="00885D69"/>
    <w:rsid w:val="00885EE2"/>
    <w:rsid w:val="008860E2"/>
    <w:rsid w:val="00886170"/>
    <w:rsid w:val="008862F0"/>
    <w:rsid w:val="00886501"/>
    <w:rsid w:val="008879CB"/>
    <w:rsid w:val="008879CD"/>
    <w:rsid w:val="00887DC0"/>
    <w:rsid w:val="0089021F"/>
    <w:rsid w:val="00890259"/>
    <w:rsid w:val="00890C17"/>
    <w:rsid w:val="00890C21"/>
    <w:rsid w:val="00890EAB"/>
    <w:rsid w:val="00891062"/>
    <w:rsid w:val="00891A1E"/>
    <w:rsid w:val="00891A45"/>
    <w:rsid w:val="00892203"/>
    <w:rsid w:val="008922A8"/>
    <w:rsid w:val="008923FC"/>
    <w:rsid w:val="0089248F"/>
    <w:rsid w:val="00892672"/>
    <w:rsid w:val="0089280E"/>
    <w:rsid w:val="008929B5"/>
    <w:rsid w:val="00892D38"/>
    <w:rsid w:val="008932BB"/>
    <w:rsid w:val="00893564"/>
    <w:rsid w:val="008935EC"/>
    <w:rsid w:val="00893EB1"/>
    <w:rsid w:val="0089409F"/>
    <w:rsid w:val="00894368"/>
    <w:rsid w:val="008946C8"/>
    <w:rsid w:val="0089480E"/>
    <w:rsid w:val="00894C02"/>
    <w:rsid w:val="0089578F"/>
    <w:rsid w:val="00895CF6"/>
    <w:rsid w:val="00895D5F"/>
    <w:rsid w:val="00895F4C"/>
    <w:rsid w:val="00896000"/>
    <w:rsid w:val="008966EE"/>
    <w:rsid w:val="00896B9A"/>
    <w:rsid w:val="00896E58"/>
    <w:rsid w:val="0089718C"/>
    <w:rsid w:val="008971BB"/>
    <w:rsid w:val="008978E8"/>
    <w:rsid w:val="008A0196"/>
    <w:rsid w:val="008A099E"/>
    <w:rsid w:val="008A0E6F"/>
    <w:rsid w:val="008A1298"/>
    <w:rsid w:val="008A138D"/>
    <w:rsid w:val="008A1483"/>
    <w:rsid w:val="008A19BD"/>
    <w:rsid w:val="008A2E05"/>
    <w:rsid w:val="008A36D0"/>
    <w:rsid w:val="008A40A9"/>
    <w:rsid w:val="008A4951"/>
    <w:rsid w:val="008A49BB"/>
    <w:rsid w:val="008A4B88"/>
    <w:rsid w:val="008A4E35"/>
    <w:rsid w:val="008A578A"/>
    <w:rsid w:val="008A5A3E"/>
    <w:rsid w:val="008A5C69"/>
    <w:rsid w:val="008A603A"/>
    <w:rsid w:val="008A6825"/>
    <w:rsid w:val="008A6FBD"/>
    <w:rsid w:val="008A73B9"/>
    <w:rsid w:val="008A75F7"/>
    <w:rsid w:val="008A7663"/>
    <w:rsid w:val="008A78FC"/>
    <w:rsid w:val="008A7B5F"/>
    <w:rsid w:val="008A7F16"/>
    <w:rsid w:val="008B0599"/>
    <w:rsid w:val="008B0CAD"/>
    <w:rsid w:val="008B10C6"/>
    <w:rsid w:val="008B12BA"/>
    <w:rsid w:val="008B13C4"/>
    <w:rsid w:val="008B30F0"/>
    <w:rsid w:val="008B30F3"/>
    <w:rsid w:val="008B347B"/>
    <w:rsid w:val="008B3A0F"/>
    <w:rsid w:val="008B4189"/>
    <w:rsid w:val="008B468C"/>
    <w:rsid w:val="008B502C"/>
    <w:rsid w:val="008B50C1"/>
    <w:rsid w:val="008B5391"/>
    <w:rsid w:val="008B614D"/>
    <w:rsid w:val="008B624A"/>
    <w:rsid w:val="008B67F1"/>
    <w:rsid w:val="008B6C06"/>
    <w:rsid w:val="008B6E6F"/>
    <w:rsid w:val="008B6FD4"/>
    <w:rsid w:val="008B7028"/>
    <w:rsid w:val="008B7073"/>
    <w:rsid w:val="008B722F"/>
    <w:rsid w:val="008B78CF"/>
    <w:rsid w:val="008B78F6"/>
    <w:rsid w:val="008C0259"/>
    <w:rsid w:val="008C0CED"/>
    <w:rsid w:val="008C136C"/>
    <w:rsid w:val="008C166F"/>
    <w:rsid w:val="008C1BD9"/>
    <w:rsid w:val="008C1F68"/>
    <w:rsid w:val="008C229B"/>
    <w:rsid w:val="008C2723"/>
    <w:rsid w:val="008C2CE5"/>
    <w:rsid w:val="008C3FF8"/>
    <w:rsid w:val="008C403E"/>
    <w:rsid w:val="008C4500"/>
    <w:rsid w:val="008C47FB"/>
    <w:rsid w:val="008C48E7"/>
    <w:rsid w:val="008C494D"/>
    <w:rsid w:val="008C4B74"/>
    <w:rsid w:val="008C5518"/>
    <w:rsid w:val="008C5D70"/>
    <w:rsid w:val="008C62A7"/>
    <w:rsid w:val="008C6815"/>
    <w:rsid w:val="008C6A23"/>
    <w:rsid w:val="008C6F1D"/>
    <w:rsid w:val="008C71D8"/>
    <w:rsid w:val="008C7B91"/>
    <w:rsid w:val="008C7DC0"/>
    <w:rsid w:val="008D0185"/>
    <w:rsid w:val="008D05CB"/>
    <w:rsid w:val="008D05FB"/>
    <w:rsid w:val="008D1480"/>
    <w:rsid w:val="008D15BA"/>
    <w:rsid w:val="008D1A54"/>
    <w:rsid w:val="008D1A9A"/>
    <w:rsid w:val="008D1B25"/>
    <w:rsid w:val="008D209F"/>
    <w:rsid w:val="008D2469"/>
    <w:rsid w:val="008D24FC"/>
    <w:rsid w:val="008D2AFE"/>
    <w:rsid w:val="008D33BC"/>
    <w:rsid w:val="008D37C5"/>
    <w:rsid w:val="008D4051"/>
    <w:rsid w:val="008D4D77"/>
    <w:rsid w:val="008D5084"/>
    <w:rsid w:val="008D57CE"/>
    <w:rsid w:val="008D68C4"/>
    <w:rsid w:val="008D6AC0"/>
    <w:rsid w:val="008D6B57"/>
    <w:rsid w:val="008D7210"/>
    <w:rsid w:val="008D75B7"/>
    <w:rsid w:val="008E07C8"/>
    <w:rsid w:val="008E0CDB"/>
    <w:rsid w:val="008E14C6"/>
    <w:rsid w:val="008E1B34"/>
    <w:rsid w:val="008E2311"/>
    <w:rsid w:val="008E255E"/>
    <w:rsid w:val="008E3096"/>
    <w:rsid w:val="008E368A"/>
    <w:rsid w:val="008E3E1E"/>
    <w:rsid w:val="008E3E73"/>
    <w:rsid w:val="008E41E7"/>
    <w:rsid w:val="008E4281"/>
    <w:rsid w:val="008E4CB9"/>
    <w:rsid w:val="008E4D96"/>
    <w:rsid w:val="008E4E59"/>
    <w:rsid w:val="008E5406"/>
    <w:rsid w:val="008E55A6"/>
    <w:rsid w:val="008E5BA3"/>
    <w:rsid w:val="008E5D4D"/>
    <w:rsid w:val="008E5F37"/>
    <w:rsid w:val="008E62C2"/>
    <w:rsid w:val="008E63FC"/>
    <w:rsid w:val="008E68A7"/>
    <w:rsid w:val="008E6C9D"/>
    <w:rsid w:val="008E6EFB"/>
    <w:rsid w:val="008E795E"/>
    <w:rsid w:val="008E7CC3"/>
    <w:rsid w:val="008E7F21"/>
    <w:rsid w:val="008F0530"/>
    <w:rsid w:val="008F0F83"/>
    <w:rsid w:val="008F2190"/>
    <w:rsid w:val="008F21B4"/>
    <w:rsid w:val="008F2261"/>
    <w:rsid w:val="008F266D"/>
    <w:rsid w:val="008F32CF"/>
    <w:rsid w:val="008F3B8A"/>
    <w:rsid w:val="008F3C1A"/>
    <w:rsid w:val="008F3FAA"/>
    <w:rsid w:val="008F4256"/>
    <w:rsid w:val="008F4726"/>
    <w:rsid w:val="008F48EA"/>
    <w:rsid w:val="008F4A03"/>
    <w:rsid w:val="008F4EC7"/>
    <w:rsid w:val="008F5067"/>
    <w:rsid w:val="008F513D"/>
    <w:rsid w:val="008F5731"/>
    <w:rsid w:val="008F5D45"/>
    <w:rsid w:val="008F5D8B"/>
    <w:rsid w:val="008F5DC8"/>
    <w:rsid w:val="008F5DEA"/>
    <w:rsid w:val="008F5E32"/>
    <w:rsid w:val="008F5FAC"/>
    <w:rsid w:val="008F60A2"/>
    <w:rsid w:val="008F62D3"/>
    <w:rsid w:val="008F6974"/>
    <w:rsid w:val="008F6A42"/>
    <w:rsid w:val="008F7280"/>
    <w:rsid w:val="008F7509"/>
    <w:rsid w:val="008F764B"/>
    <w:rsid w:val="008F7899"/>
    <w:rsid w:val="008F7A74"/>
    <w:rsid w:val="008F7E25"/>
    <w:rsid w:val="008F7FD2"/>
    <w:rsid w:val="009001A1"/>
    <w:rsid w:val="009002B8"/>
    <w:rsid w:val="009008F1"/>
    <w:rsid w:val="00900997"/>
    <w:rsid w:val="00901E13"/>
    <w:rsid w:val="0090207D"/>
    <w:rsid w:val="0090250B"/>
    <w:rsid w:val="009031AA"/>
    <w:rsid w:val="0090324A"/>
    <w:rsid w:val="009034DA"/>
    <w:rsid w:val="009035D8"/>
    <w:rsid w:val="00903916"/>
    <w:rsid w:val="00903F57"/>
    <w:rsid w:val="009048F0"/>
    <w:rsid w:val="009049B9"/>
    <w:rsid w:val="0090559A"/>
    <w:rsid w:val="00905BA3"/>
    <w:rsid w:val="00905EDB"/>
    <w:rsid w:val="00906EBE"/>
    <w:rsid w:val="00910AD0"/>
    <w:rsid w:val="00910E97"/>
    <w:rsid w:val="0091117C"/>
    <w:rsid w:val="009111FC"/>
    <w:rsid w:val="009116C9"/>
    <w:rsid w:val="00911729"/>
    <w:rsid w:val="0091174C"/>
    <w:rsid w:val="00911F22"/>
    <w:rsid w:val="00911F44"/>
    <w:rsid w:val="009120DD"/>
    <w:rsid w:val="00912509"/>
    <w:rsid w:val="00912624"/>
    <w:rsid w:val="00912834"/>
    <w:rsid w:val="00912A22"/>
    <w:rsid w:val="00912B45"/>
    <w:rsid w:val="00912FAC"/>
    <w:rsid w:val="00913077"/>
    <w:rsid w:val="00913C78"/>
    <w:rsid w:val="00914243"/>
    <w:rsid w:val="009142C0"/>
    <w:rsid w:val="009158E3"/>
    <w:rsid w:val="009163F3"/>
    <w:rsid w:val="0091701B"/>
    <w:rsid w:val="009172E4"/>
    <w:rsid w:val="00917958"/>
    <w:rsid w:val="00917B61"/>
    <w:rsid w:val="00917D1A"/>
    <w:rsid w:val="00917FD4"/>
    <w:rsid w:val="009207D7"/>
    <w:rsid w:val="009207E0"/>
    <w:rsid w:val="00920C9B"/>
    <w:rsid w:val="00921482"/>
    <w:rsid w:val="00922081"/>
    <w:rsid w:val="00922141"/>
    <w:rsid w:val="00922440"/>
    <w:rsid w:val="00922BEC"/>
    <w:rsid w:val="00922ED9"/>
    <w:rsid w:val="00922EF5"/>
    <w:rsid w:val="00923CD8"/>
    <w:rsid w:val="009247ED"/>
    <w:rsid w:val="009247F3"/>
    <w:rsid w:val="00924942"/>
    <w:rsid w:val="00924AAF"/>
    <w:rsid w:val="00925E92"/>
    <w:rsid w:val="00926BFF"/>
    <w:rsid w:val="009272EB"/>
    <w:rsid w:val="00927D9B"/>
    <w:rsid w:val="0093068E"/>
    <w:rsid w:val="00930D81"/>
    <w:rsid w:val="00931002"/>
    <w:rsid w:val="00931566"/>
    <w:rsid w:val="009317DA"/>
    <w:rsid w:val="00931C81"/>
    <w:rsid w:val="00932677"/>
    <w:rsid w:val="00932947"/>
    <w:rsid w:val="00932A06"/>
    <w:rsid w:val="00933C1F"/>
    <w:rsid w:val="009342D5"/>
    <w:rsid w:val="009347B3"/>
    <w:rsid w:val="00934993"/>
    <w:rsid w:val="00934C28"/>
    <w:rsid w:val="00935294"/>
    <w:rsid w:val="009354F5"/>
    <w:rsid w:val="00935919"/>
    <w:rsid w:val="00935B54"/>
    <w:rsid w:val="00935D76"/>
    <w:rsid w:val="00936670"/>
    <w:rsid w:val="00936ABE"/>
    <w:rsid w:val="00936D08"/>
    <w:rsid w:val="0093730E"/>
    <w:rsid w:val="009373F9"/>
    <w:rsid w:val="00937476"/>
    <w:rsid w:val="00937CAF"/>
    <w:rsid w:val="00937D8B"/>
    <w:rsid w:val="00940023"/>
    <w:rsid w:val="00940616"/>
    <w:rsid w:val="009407ED"/>
    <w:rsid w:val="0094094E"/>
    <w:rsid w:val="0094154A"/>
    <w:rsid w:val="0094350B"/>
    <w:rsid w:val="00944143"/>
    <w:rsid w:val="00944482"/>
    <w:rsid w:val="0094496D"/>
    <w:rsid w:val="00944B36"/>
    <w:rsid w:val="00944BAD"/>
    <w:rsid w:val="00944FD9"/>
    <w:rsid w:val="00945405"/>
    <w:rsid w:val="0094547A"/>
    <w:rsid w:val="00945659"/>
    <w:rsid w:val="00945AEE"/>
    <w:rsid w:val="00946741"/>
    <w:rsid w:val="009467C1"/>
    <w:rsid w:val="00946B16"/>
    <w:rsid w:val="00946FB3"/>
    <w:rsid w:val="0094754E"/>
    <w:rsid w:val="00947945"/>
    <w:rsid w:val="009504A0"/>
    <w:rsid w:val="00950511"/>
    <w:rsid w:val="00950DE7"/>
    <w:rsid w:val="00951275"/>
    <w:rsid w:val="00951964"/>
    <w:rsid w:val="00952434"/>
    <w:rsid w:val="009526DE"/>
    <w:rsid w:val="00952999"/>
    <w:rsid w:val="009534A5"/>
    <w:rsid w:val="0095387D"/>
    <w:rsid w:val="00953D69"/>
    <w:rsid w:val="00953D82"/>
    <w:rsid w:val="009540E1"/>
    <w:rsid w:val="00954181"/>
    <w:rsid w:val="0095498E"/>
    <w:rsid w:val="00954ED7"/>
    <w:rsid w:val="00954F02"/>
    <w:rsid w:val="00955942"/>
    <w:rsid w:val="00955A9E"/>
    <w:rsid w:val="00955C6D"/>
    <w:rsid w:val="00956112"/>
    <w:rsid w:val="00956D2F"/>
    <w:rsid w:val="00957002"/>
    <w:rsid w:val="0095704D"/>
    <w:rsid w:val="009577DF"/>
    <w:rsid w:val="00957EEA"/>
    <w:rsid w:val="009609D8"/>
    <w:rsid w:val="00960AEC"/>
    <w:rsid w:val="009611DF"/>
    <w:rsid w:val="00961895"/>
    <w:rsid w:val="0096220C"/>
    <w:rsid w:val="00962CCF"/>
    <w:rsid w:val="009633E3"/>
    <w:rsid w:val="0096373D"/>
    <w:rsid w:val="009637BA"/>
    <w:rsid w:val="00964108"/>
    <w:rsid w:val="00964AD0"/>
    <w:rsid w:val="00964EE5"/>
    <w:rsid w:val="009658F6"/>
    <w:rsid w:val="0096598A"/>
    <w:rsid w:val="00966CA1"/>
    <w:rsid w:val="00967340"/>
    <w:rsid w:val="0096756B"/>
    <w:rsid w:val="00967DE3"/>
    <w:rsid w:val="009706F6"/>
    <w:rsid w:val="00971166"/>
    <w:rsid w:val="00971984"/>
    <w:rsid w:val="00971A07"/>
    <w:rsid w:val="00972220"/>
    <w:rsid w:val="009722E9"/>
    <w:rsid w:val="009723A7"/>
    <w:rsid w:val="00972D87"/>
    <w:rsid w:val="00972DFE"/>
    <w:rsid w:val="00973064"/>
    <w:rsid w:val="0097356A"/>
    <w:rsid w:val="00973648"/>
    <w:rsid w:val="0097375A"/>
    <w:rsid w:val="00975044"/>
    <w:rsid w:val="009754FB"/>
    <w:rsid w:val="009756D3"/>
    <w:rsid w:val="00976001"/>
    <w:rsid w:val="00976716"/>
    <w:rsid w:val="009767A7"/>
    <w:rsid w:val="00976CC8"/>
    <w:rsid w:val="00977A82"/>
    <w:rsid w:val="009804CE"/>
    <w:rsid w:val="009806B7"/>
    <w:rsid w:val="00980CF6"/>
    <w:rsid w:val="00980E0D"/>
    <w:rsid w:val="009811E1"/>
    <w:rsid w:val="00982169"/>
    <w:rsid w:val="00982A22"/>
    <w:rsid w:val="00982CF5"/>
    <w:rsid w:val="00982F89"/>
    <w:rsid w:val="0098350C"/>
    <w:rsid w:val="009838D3"/>
    <w:rsid w:val="00984629"/>
    <w:rsid w:val="00984F02"/>
    <w:rsid w:val="009852DE"/>
    <w:rsid w:val="00985A1B"/>
    <w:rsid w:val="00985BAC"/>
    <w:rsid w:val="00987322"/>
    <w:rsid w:val="00987710"/>
    <w:rsid w:val="00987CC1"/>
    <w:rsid w:val="009901D8"/>
    <w:rsid w:val="00990A06"/>
    <w:rsid w:val="00990D47"/>
    <w:rsid w:val="00991E5F"/>
    <w:rsid w:val="009924C3"/>
    <w:rsid w:val="00992A7E"/>
    <w:rsid w:val="00994436"/>
    <w:rsid w:val="009951F6"/>
    <w:rsid w:val="009956A4"/>
    <w:rsid w:val="009956FD"/>
    <w:rsid w:val="00995A0A"/>
    <w:rsid w:val="00996025"/>
    <w:rsid w:val="00996173"/>
    <w:rsid w:val="009965BF"/>
    <w:rsid w:val="00996AA0"/>
    <w:rsid w:val="00996DE9"/>
    <w:rsid w:val="00997087"/>
    <w:rsid w:val="00997480"/>
    <w:rsid w:val="009975AE"/>
    <w:rsid w:val="00997D30"/>
    <w:rsid w:val="00997DE5"/>
    <w:rsid w:val="009A0433"/>
    <w:rsid w:val="009A0817"/>
    <w:rsid w:val="009A12A1"/>
    <w:rsid w:val="009A1951"/>
    <w:rsid w:val="009A1AEB"/>
    <w:rsid w:val="009A1CE6"/>
    <w:rsid w:val="009A20A0"/>
    <w:rsid w:val="009A25E1"/>
    <w:rsid w:val="009A2681"/>
    <w:rsid w:val="009A2D39"/>
    <w:rsid w:val="009A32B1"/>
    <w:rsid w:val="009A3513"/>
    <w:rsid w:val="009A368A"/>
    <w:rsid w:val="009A377D"/>
    <w:rsid w:val="009A3AE7"/>
    <w:rsid w:val="009A3C74"/>
    <w:rsid w:val="009A4146"/>
    <w:rsid w:val="009A458E"/>
    <w:rsid w:val="009A4658"/>
    <w:rsid w:val="009A47BD"/>
    <w:rsid w:val="009A4862"/>
    <w:rsid w:val="009A4A0D"/>
    <w:rsid w:val="009A4E65"/>
    <w:rsid w:val="009A5275"/>
    <w:rsid w:val="009A5584"/>
    <w:rsid w:val="009A583C"/>
    <w:rsid w:val="009A5B2B"/>
    <w:rsid w:val="009A5CAF"/>
    <w:rsid w:val="009A5DFC"/>
    <w:rsid w:val="009A5E78"/>
    <w:rsid w:val="009A5F73"/>
    <w:rsid w:val="009A6742"/>
    <w:rsid w:val="009A6D82"/>
    <w:rsid w:val="009A7230"/>
    <w:rsid w:val="009A7231"/>
    <w:rsid w:val="009A723E"/>
    <w:rsid w:val="009A787C"/>
    <w:rsid w:val="009A7FB9"/>
    <w:rsid w:val="009B053C"/>
    <w:rsid w:val="009B091B"/>
    <w:rsid w:val="009B0F18"/>
    <w:rsid w:val="009B18F9"/>
    <w:rsid w:val="009B1AC8"/>
    <w:rsid w:val="009B1FC3"/>
    <w:rsid w:val="009B2226"/>
    <w:rsid w:val="009B38AF"/>
    <w:rsid w:val="009B3D13"/>
    <w:rsid w:val="009B3E66"/>
    <w:rsid w:val="009B3F96"/>
    <w:rsid w:val="009B45AE"/>
    <w:rsid w:val="009B4DEA"/>
    <w:rsid w:val="009B4E07"/>
    <w:rsid w:val="009B5523"/>
    <w:rsid w:val="009B662D"/>
    <w:rsid w:val="009B6823"/>
    <w:rsid w:val="009B6F2B"/>
    <w:rsid w:val="009B6FE5"/>
    <w:rsid w:val="009B72CA"/>
    <w:rsid w:val="009B75CE"/>
    <w:rsid w:val="009B7800"/>
    <w:rsid w:val="009B78F5"/>
    <w:rsid w:val="009C0D9C"/>
    <w:rsid w:val="009C2250"/>
    <w:rsid w:val="009C2796"/>
    <w:rsid w:val="009C2A66"/>
    <w:rsid w:val="009C2FD5"/>
    <w:rsid w:val="009C371D"/>
    <w:rsid w:val="009C43AE"/>
    <w:rsid w:val="009C49CE"/>
    <w:rsid w:val="009C4A7E"/>
    <w:rsid w:val="009C4D65"/>
    <w:rsid w:val="009C5149"/>
    <w:rsid w:val="009C542C"/>
    <w:rsid w:val="009C5505"/>
    <w:rsid w:val="009C5B2B"/>
    <w:rsid w:val="009C5B56"/>
    <w:rsid w:val="009C62C2"/>
    <w:rsid w:val="009C777A"/>
    <w:rsid w:val="009C7F20"/>
    <w:rsid w:val="009C7F3D"/>
    <w:rsid w:val="009D00C8"/>
    <w:rsid w:val="009D031E"/>
    <w:rsid w:val="009D04AC"/>
    <w:rsid w:val="009D082F"/>
    <w:rsid w:val="009D090D"/>
    <w:rsid w:val="009D0CBB"/>
    <w:rsid w:val="009D14B1"/>
    <w:rsid w:val="009D33AA"/>
    <w:rsid w:val="009D399D"/>
    <w:rsid w:val="009D463A"/>
    <w:rsid w:val="009D4C4A"/>
    <w:rsid w:val="009D4D32"/>
    <w:rsid w:val="009D4F2E"/>
    <w:rsid w:val="009D5F07"/>
    <w:rsid w:val="009D62AE"/>
    <w:rsid w:val="009D62E4"/>
    <w:rsid w:val="009D6368"/>
    <w:rsid w:val="009D637F"/>
    <w:rsid w:val="009D6482"/>
    <w:rsid w:val="009D64A9"/>
    <w:rsid w:val="009D662E"/>
    <w:rsid w:val="009D6EF3"/>
    <w:rsid w:val="009D7AA2"/>
    <w:rsid w:val="009D7C34"/>
    <w:rsid w:val="009D7D50"/>
    <w:rsid w:val="009D7E25"/>
    <w:rsid w:val="009D7E8C"/>
    <w:rsid w:val="009E00AD"/>
    <w:rsid w:val="009E033E"/>
    <w:rsid w:val="009E1CAB"/>
    <w:rsid w:val="009E238E"/>
    <w:rsid w:val="009E2BE3"/>
    <w:rsid w:val="009E3566"/>
    <w:rsid w:val="009E3901"/>
    <w:rsid w:val="009E3B6F"/>
    <w:rsid w:val="009E421C"/>
    <w:rsid w:val="009E4599"/>
    <w:rsid w:val="009E473F"/>
    <w:rsid w:val="009E4CD6"/>
    <w:rsid w:val="009E579D"/>
    <w:rsid w:val="009E59B1"/>
    <w:rsid w:val="009E5B0D"/>
    <w:rsid w:val="009E5DF4"/>
    <w:rsid w:val="009E6FA3"/>
    <w:rsid w:val="009E6FBC"/>
    <w:rsid w:val="009E7557"/>
    <w:rsid w:val="009F0507"/>
    <w:rsid w:val="009F061F"/>
    <w:rsid w:val="009F0855"/>
    <w:rsid w:val="009F0AC6"/>
    <w:rsid w:val="009F0E72"/>
    <w:rsid w:val="009F16D8"/>
    <w:rsid w:val="009F1CCE"/>
    <w:rsid w:val="009F1DB3"/>
    <w:rsid w:val="009F261C"/>
    <w:rsid w:val="009F26D5"/>
    <w:rsid w:val="009F3265"/>
    <w:rsid w:val="009F33FA"/>
    <w:rsid w:val="009F3C3A"/>
    <w:rsid w:val="009F3CA4"/>
    <w:rsid w:val="009F3F63"/>
    <w:rsid w:val="009F45CF"/>
    <w:rsid w:val="009F4C40"/>
    <w:rsid w:val="009F4EBB"/>
    <w:rsid w:val="009F4FB8"/>
    <w:rsid w:val="009F52ED"/>
    <w:rsid w:val="009F5538"/>
    <w:rsid w:val="009F64B2"/>
    <w:rsid w:val="009F7134"/>
    <w:rsid w:val="009F7170"/>
    <w:rsid w:val="009F7A18"/>
    <w:rsid w:val="00A006A1"/>
    <w:rsid w:val="00A0090B"/>
    <w:rsid w:val="00A00917"/>
    <w:rsid w:val="00A00D82"/>
    <w:rsid w:val="00A00ED8"/>
    <w:rsid w:val="00A0188B"/>
    <w:rsid w:val="00A01B06"/>
    <w:rsid w:val="00A01B93"/>
    <w:rsid w:val="00A0241B"/>
    <w:rsid w:val="00A02482"/>
    <w:rsid w:val="00A028DF"/>
    <w:rsid w:val="00A03072"/>
    <w:rsid w:val="00A031FB"/>
    <w:rsid w:val="00A03768"/>
    <w:rsid w:val="00A03826"/>
    <w:rsid w:val="00A039ED"/>
    <w:rsid w:val="00A04205"/>
    <w:rsid w:val="00A0480C"/>
    <w:rsid w:val="00A051D1"/>
    <w:rsid w:val="00A054BD"/>
    <w:rsid w:val="00A05A2D"/>
    <w:rsid w:val="00A05BD7"/>
    <w:rsid w:val="00A05DC3"/>
    <w:rsid w:val="00A05DE2"/>
    <w:rsid w:val="00A061E8"/>
    <w:rsid w:val="00A0653C"/>
    <w:rsid w:val="00A06B27"/>
    <w:rsid w:val="00A074D8"/>
    <w:rsid w:val="00A076EB"/>
    <w:rsid w:val="00A078E0"/>
    <w:rsid w:val="00A07B18"/>
    <w:rsid w:val="00A07BD9"/>
    <w:rsid w:val="00A07E50"/>
    <w:rsid w:val="00A106FA"/>
    <w:rsid w:val="00A10BAA"/>
    <w:rsid w:val="00A10BB7"/>
    <w:rsid w:val="00A10EA4"/>
    <w:rsid w:val="00A1200D"/>
    <w:rsid w:val="00A12288"/>
    <w:rsid w:val="00A128ED"/>
    <w:rsid w:val="00A12B7F"/>
    <w:rsid w:val="00A12DB6"/>
    <w:rsid w:val="00A12FE0"/>
    <w:rsid w:val="00A131A4"/>
    <w:rsid w:val="00A13266"/>
    <w:rsid w:val="00A13898"/>
    <w:rsid w:val="00A1414F"/>
    <w:rsid w:val="00A141E8"/>
    <w:rsid w:val="00A145B2"/>
    <w:rsid w:val="00A1472E"/>
    <w:rsid w:val="00A148A8"/>
    <w:rsid w:val="00A14CD5"/>
    <w:rsid w:val="00A15982"/>
    <w:rsid w:val="00A16324"/>
    <w:rsid w:val="00A1640F"/>
    <w:rsid w:val="00A16B0A"/>
    <w:rsid w:val="00A16E43"/>
    <w:rsid w:val="00A16ED7"/>
    <w:rsid w:val="00A178AE"/>
    <w:rsid w:val="00A17FA4"/>
    <w:rsid w:val="00A20033"/>
    <w:rsid w:val="00A203FE"/>
    <w:rsid w:val="00A204B5"/>
    <w:rsid w:val="00A20913"/>
    <w:rsid w:val="00A213AC"/>
    <w:rsid w:val="00A2144C"/>
    <w:rsid w:val="00A2191E"/>
    <w:rsid w:val="00A2230F"/>
    <w:rsid w:val="00A22484"/>
    <w:rsid w:val="00A228B9"/>
    <w:rsid w:val="00A22A4F"/>
    <w:rsid w:val="00A2328F"/>
    <w:rsid w:val="00A24044"/>
    <w:rsid w:val="00A246F8"/>
    <w:rsid w:val="00A24B60"/>
    <w:rsid w:val="00A24D61"/>
    <w:rsid w:val="00A24DBC"/>
    <w:rsid w:val="00A24F67"/>
    <w:rsid w:val="00A250D5"/>
    <w:rsid w:val="00A257F4"/>
    <w:rsid w:val="00A2593D"/>
    <w:rsid w:val="00A259C2"/>
    <w:rsid w:val="00A25D95"/>
    <w:rsid w:val="00A2706A"/>
    <w:rsid w:val="00A270D3"/>
    <w:rsid w:val="00A27771"/>
    <w:rsid w:val="00A27E58"/>
    <w:rsid w:val="00A27FCD"/>
    <w:rsid w:val="00A30173"/>
    <w:rsid w:val="00A3056B"/>
    <w:rsid w:val="00A31863"/>
    <w:rsid w:val="00A31BFE"/>
    <w:rsid w:val="00A320FB"/>
    <w:rsid w:val="00A321AD"/>
    <w:rsid w:val="00A327B8"/>
    <w:rsid w:val="00A33565"/>
    <w:rsid w:val="00A33684"/>
    <w:rsid w:val="00A33E10"/>
    <w:rsid w:val="00A34053"/>
    <w:rsid w:val="00A3440B"/>
    <w:rsid w:val="00A3469D"/>
    <w:rsid w:val="00A348A2"/>
    <w:rsid w:val="00A34A24"/>
    <w:rsid w:val="00A3532E"/>
    <w:rsid w:val="00A353CA"/>
    <w:rsid w:val="00A35829"/>
    <w:rsid w:val="00A35B75"/>
    <w:rsid w:val="00A36355"/>
    <w:rsid w:val="00A36A0F"/>
    <w:rsid w:val="00A36AC0"/>
    <w:rsid w:val="00A36CCD"/>
    <w:rsid w:val="00A36D7C"/>
    <w:rsid w:val="00A37608"/>
    <w:rsid w:val="00A379B4"/>
    <w:rsid w:val="00A37D30"/>
    <w:rsid w:val="00A37F1D"/>
    <w:rsid w:val="00A40D55"/>
    <w:rsid w:val="00A4150F"/>
    <w:rsid w:val="00A423E5"/>
    <w:rsid w:val="00A42CB3"/>
    <w:rsid w:val="00A438C4"/>
    <w:rsid w:val="00A43B9C"/>
    <w:rsid w:val="00A44340"/>
    <w:rsid w:val="00A44B0C"/>
    <w:rsid w:val="00A450AE"/>
    <w:rsid w:val="00A456E3"/>
    <w:rsid w:val="00A45C0D"/>
    <w:rsid w:val="00A46093"/>
    <w:rsid w:val="00A46290"/>
    <w:rsid w:val="00A473C0"/>
    <w:rsid w:val="00A500A4"/>
    <w:rsid w:val="00A500F0"/>
    <w:rsid w:val="00A50E4F"/>
    <w:rsid w:val="00A515C6"/>
    <w:rsid w:val="00A5185D"/>
    <w:rsid w:val="00A523C7"/>
    <w:rsid w:val="00A52718"/>
    <w:rsid w:val="00A52A57"/>
    <w:rsid w:val="00A52D18"/>
    <w:rsid w:val="00A536A7"/>
    <w:rsid w:val="00A53877"/>
    <w:rsid w:val="00A53DC1"/>
    <w:rsid w:val="00A53E92"/>
    <w:rsid w:val="00A53EB9"/>
    <w:rsid w:val="00A54B89"/>
    <w:rsid w:val="00A5513C"/>
    <w:rsid w:val="00A551CF"/>
    <w:rsid w:val="00A55694"/>
    <w:rsid w:val="00A561AD"/>
    <w:rsid w:val="00A56561"/>
    <w:rsid w:val="00A56810"/>
    <w:rsid w:val="00A573BC"/>
    <w:rsid w:val="00A57D93"/>
    <w:rsid w:val="00A603E1"/>
    <w:rsid w:val="00A606EF"/>
    <w:rsid w:val="00A608C6"/>
    <w:rsid w:val="00A608CB"/>
    <w:rsid w:val="00A60CD0"/>
    <w:rsid w:val="00A60E9E"/>
    <w:rsid w:val="00A62461"/>
    <w:rsid w:val="00A62E5A"/>
    <w:rsid w:val="00A632A2"/>
    <w:rsid w:val="00A6390E"/>
    <w:rsid w:val="00A63D2F"/>
    <w:rsid w:val="00A64084"/>
    <w:rsid w:val="00A64C67"/>
    <w:rsid w:val="00A65202"/>
    <w:rsid w:val="00A65670"/>
    <w:rsid w:val="00A6575B"/>
    <w:rsid w:val="00A65C98"/>
    <w:rsid w:val="00A65DC9"/>
    <w:rsid w:val="00A65EC7"/>
    <w:rsid w:val="00A66038"/>
    <w:rsid w:val="00A66546"/>
    <w:rsid w:val="00A66BB7"/>
    <w:rsid w:val="00A673EA"/>
    <w:rsid w:val="00A67FD5"/>
    <w:rsid w:val="00A7024D"/>
    <w:rsid w:val="00A70DA0"/>
    <w:rsid w:val="00A70E56"/>
    <w:rsid w:val="00A70ED8"/>
    <w:rsid w:val="00A71509"/>
    <w:rsid w:val="00A71EC6"/>
    <w:rsid w:val="00A72A65"/>
    <w:rsid w:val="00A732A0"/>
    <w:rsid w:val="00A73994"/>
    <w:rsid w:val="00A73D4E"/>
    <w:rsid w:val="00A73E1B"/>
    <w:rsid w:val="00A7402A"/>
    <w:rsid w:val="00A7434C"/>
    <w:rsid w:val="00A74E7D"/>
    <w:rsid w:val="00A7547E"/>
    <w:rsid w:val="00A7562B"/>
    <w:rsid w:val="00A75E06"/>
    <w:rsid w:val="00A76266"/>
    <w:rsid w:val="00A763EC"/>
    <w:rsid w:val="00A766FD"/>
    <w:rsid w:val="00A76723"/>
    <w:rsid w:val="00A76A6B"/>
    <w:rsid w:val="00A76D4A"/>
    <w:rsid w:val="00A7769C"/>
    <w:rsid w:val="00A7780F"/>
    <w:rsid w:val="00A77F3E"/>
    <w:rsid w:val="00A8042E"/>
    <w:rsid w:val="00A80974"/>
    <w:rsid w:val="00A812EB"/>
    <w:rsid w:val="00A81773"/>
    <w:rsid w:val="00A81BE1"/>
    <w:rsid w:val="00A81EFC"/>
    <w:rsid w:val="00A82058"/>
    <w:rsid w:val="00A836AC"/>
    <w:rsid w:val="00A836E6"/>
    <w:rsid w:val="00A8393F"/>
    <w:rsid w:val="00A8430A"/>
    <w:rsid w:val="00A84584"/>
    <w:rsid w:val="00A846E3"/>
    <w:rsid w:val="00A84A8A"/>
    <w:rsid w:val="00A851D5"/>
    <w:rsid w:val="00A85B23"/>
    <w:rsid w:val="00A8691C"/>
    <w:rsid w:val="00A86DE3"/>
    <w:rsid w:val="00A86E11"/>
    <w:rsid w:val="00A86F3F"/>
    <w:rsid w:val="00A86F78"/>
    <w:rsid w:val="00A872FC"/>
    <w:rsid w:val="00A87323"/>
    <w:rsid w:val="00A87ECF"/>
    <w:rsid w:val="00A91379"/>
    <w:rsid w:val="00A91F4D"/>
    <w:rsid w:val="00A9230F"/>
    <w:rsid w:val="00A93480"/>
    <w:rsid w:val="00A939F3"/>
    <w:rsid w:val="00A940B2"/>
    <w:rsid w:val="00A94141"/>
    <w:rsid w:val="00A944E7"/>
    <w:rsid w:val="00A94714"/>
    <w:rsid w:val="00A957DD"/>
    <w:rsid w:val="00A9614C"/>
    <w:rsid w:val="00A96C27"/>
    <w:rsid w:val="00A96D69"/>
    <w:rsid w:val="00A971F5"/>
    <w:rsid w:val="00A97520"/>
    <w:rsid w:val="00A97EEE"/>
    <w:rsid w:val="00AA152B"/>
    <w:rsid w:val="00AA1895"/>
    <w:rsid w:val="00AA1971"/>
    <w:rsid w:val="00AA1AAB"/>
    <w:rsid w:val="00AA1B3D"/>
    <w:rsid w:val="00AA23CB"/>
    <w:rsid w:val="00AA24B1"/>
    <w:rsid w:val="00AA362F"/>
    <w:rsid w:val="00AA3841"/>
    <w:rsid w:val="00AA3C48"/>
    <w:rsid w:val="00AA3C4F"/>
    <w:rsid w:val="00AA3D16"/>
    <w:rsid w:val="00AA3E2A"/>
    <w:rsid w:val="00AA55D5"/>
    <w:rsid w:val="00AA6408"/>
    <w:rsid w:val="00AA6C02"/>
    <w:rsid w:val="00AA6C8C"/>
    <w:rsid w:val="00AA6FC8"/>
    <w:rsid w:val="00AA70A2"/>
    <w:rsid w:val="00AA70C6"/>
    <w:rsid w:val="00AA7567"/>
    <w:rsid w:val="00AA7B87"/>
    <w:rsid w:val="00AB0091"/>
    <w:rsid w:val="00AB05F4"/>
    <w:rsid w:val="00AB0734"/>
    <w:rsid w:val="00AB089F"/>
    <w:rsid w:val="00AB12B8"/>
    <w:rsid w:val="00AB15CC"/>
    <w:rsid w:val="00AB1CE4"/>
    <w:rsid w:val="00AB25B0"/>
    <w:rsid w:val="00AB286A"/>
    <w:rsid w:val="00AB2BE6"/>
    <w:rsid w:val="00AB30FB"/>
    <w:rsid w:val="00AB34EE"/>
    <w:rsid w:val="00AB34FC"/>
    <w:rsid w:val="00AB3538"/>
    <w:rsid w:val="00AB3A15"/>
    <w:rsid w:val="00AB3F7F"/>
    <w:rsid w:val="00AB4127"/>
    <w:rsid w:val="00AB4543"/>
    <w:rsid w:val="00AB463A"/>
    <w:rsid w:val="00AB4912"/>
    <w:rsid w:val="00AB4ECA"/>
    <w:rsid w:val="00AB4F60"/>
    <w:rsid w:val="00AB52C0"/>
    <w:rsid w:val="00AB581F"/>
    <w:rsid w:val="00AB6B19"/>
    <w:rsid w:val="00AB6FDC"/>
    <w:rsid w:val="00AB712D"/>
    <w:rsid w:val="00AB724A"/>
    <w:rsid w:val="00AB7EF8"/>
    <w:rsid w:val="00AC021C"/>
    <w:rsid w:val="00AC06A5"/>
    <w:rsid w:val="00AC0FF9"/>
    <w:rsid w:val="00AC12B2"/>
    <w:rsid w:val="00AC13D2"/>
    <w:rsid w:val="00AC1DE0"/>
    <w:rsid w:val="00AC1EAF"/>
    <w:rsid w:val="00AC20F8"/>
    <w:rsid w:val="00AC212B"/>
    <w:rsid w:val="00AC2160"/>
    <w:rsid w:val="00AC2A93"/>
    <w:rsid w:val="00AC2DD5"/>
    <w:rsid w:val="00AC35FA"/>
    <w:rsid w:val="00AC37D1"/>
    <w:rsid w:val="00AC558D"/>
    <w:rsid w:val="00AC57C0"/>
    <w:rsid w:val="00AC6C5C"/>
    <w:rsid w:val="00AC6DEE"/>
    <w:rsid w:val="00AC6F08"/>
    <w:rsid w:val="00AC73B8"/>
    <w:rsid w:val="00AC7F3F"/>
    <w:rsid w:val="00AD013A"/>
    <w:rsid w:val="00AD01E3"/>
    <w:rsid w:val="00AD07D2"/>
    <w:rsid w:val="00AD07E0"/>
    <w:rsid w:val="00AD0A01"/>
    <w:rsid w:val="00AD0B2E"/>
    <w:rsid w:val="00AD186F"/>
    <w:rsid w:val="00AD20FC"/>
    <w:rsid w:val="00AD24C6"/>
    <w:rsid w:val="00AD39E2"/>
    <w:rsid w:val="00AD3A1F"/>
    <w:rsid w:val="00AD4393"/>
    <w:rsid w:val="00AD45C9"/>
    <w:rsid w:val="00AD45EC"/>
    <w:rsid w:val="00AD4899"/>
    <w:rsid w:val="00AD49D1"/>
    <w:rsid w:val="00AD4C93"/>
    <w:rsid w:val="00AD5182"/>
    <w:rsid w:val="00AD528D"/>
    <w:rsid w:val="00AD57AD"/>
    <w:rsid w:val="00AD5DBA"/>
    <w:rsid w:val="00AD68A2"/>
    <w:rsid w:val="00AD69E8"/>
    <w:rsid w:val="00AD6C39"/>
    <w:rsid w:val="00AD6CCD"/>
    <w:rsid w:val="00AD7301"/>
    <w:rsid w:val="00AD759F"/>
    <w:rsid w:val="00AD77B0"/>
    <w:rsid w:val="00AE01D5"/>
    <w:rsid w:val="00AE0CA8"/>
    <w:rsid w:val="00AE0DFC"/>
    <w:rsid w:val="00AE174B"/>
    <w:rsid w:val="00AE1818"/>
    <w:rsid w:val="00AE1930"/>
    <w:rsid w:val="00AE1F36"/>
    <w:rsid w:val="00AE1F3B"/>
    <w:rsid w:val="00AE27DD"/>
    <w:rsid w:val="00AE28BF"/>
    <w:rsid w:val="00AE2A9D"/>
    <w:rsid w:val="00AE2BD3"/>
    <w:rsid w:val="00AE2CDE"/>
    <w:rsid w:val="00AE3122"/>
    <w:rsid w:val="00AE405B"/>
    <w:rsid w:val="00AE491B"/>
    <w:rsid w:val="00AE5A45"/>
    <w:rsid w:val="00AE6215"/>
    <w:rsid w:val="00AE6681"/>
    <w:rsid w:val="00AE66B9"/>
    <w:rsid w:val="00AE6D0A"/>
    <w:rsid w:val="00AE6EC3"/>
    <w:rsid w:val="00AE7B92"/>
    <w:rsid w:val="00AF0711"/>
    <w:rsid w:val="00AF0BC7"/>
    <w:rsid w:val="00AF1039"/>
    <w:rsid w:val="00AF10C9"/>
    <w:rsid w:val="00AF1C98"/>
    <w:rsid w:val="00AF1DD0"/>
    <w:rsid w:val="00AF1E16"/>
    <w:rsid w:val="00AF2BE8"/>
    <w:rsid w:val="00AF32DD"/>
    <w:rsid w:val="00AF432C"/>
    <w:rsid w:val="00AF47B3"/>
    <w:rsid w:val="00AF4F2E"/>
    <w:rsid w:val="00AF5028"/>
    <w:rsid w:val="00AF548E"/>
    <w:rsid w:val="00AF5719"/>
    <w:rsid w:val="00AF57C8"/>
    <w:rsid w:val="00AF62C1"/>
    <w:rsid w:val="00AF6681"/>
    <w:rsid w:val="00AF66E1"/>
    <w:rsid w:val="00AF75BE"/>
    <w:rsid w:val="00AF7CBE"/>
    <w:rsid w:val="00B00391"/>
    <w:rsid w:val="00B004D1"/>
    <w:rsid w:val="00B009CA"/>
    <w:rsid w:val="00B00D90"/>
    <w:rsid w:val="00B01318"/>
    <w:rsid w:val="00B0183A"/>
    <w:rsid w:val="00B019FB"/>
    <w:rsid w:val="00B01B7E"/>
    <w:rsid w:val="00B01BFF"/>
    <w:rsid w:val="00B021EC"/>
    <w:rsid w:val="00B02277"/>
    <w:rsid w:val="00B026F2"/>
    <w:rsid w:val="00B0374B"/>
    <w:rsid w:val="00B03DAD"/>
    <w:rsid w:val="00B04128"/>
    <w:rsid w:val="00B043ED"/>
    <w:rsid w:val="00B04C42"/>
    <w:rsid w:val="00B051E3"/>
    <w:rsid w:val="00B0558B"/>
    <w:rsid w:val="00B0585C"/>
    <w:rsid w:val="00B05B40"/>
    <w:rsid w:val="00B05BF8"/>
    <w:rsid w:val="00B05DE3"/>
    <w:rsid w:val="00B05DEF"/>
    <w:rsid w:val="00B05F8A"/>
    <w:rsid w:val="00B060AE"/>
    <w:rsid w:val="00B067B3"/>
    <w:rsid w:val="00B067B5"/>
    <w:rsid w:val="00B06827"/>
    <w:rsid w:val="00B0795F"/>
    <w:rsid w:val="00B07993"/>
    <w:rsid w:val="00B102FA"/>
    <w:rsid w:val="00B10441"/>
    <w:rsid w:val="00B10548"/>
    <w:rsid w:val="00B10A6F"/>
    <w:rsid w:val="00B10F20"/>
    <w:rsid w:val="00B117AB"/>
    <w:rsid w:val="00B13299"/>
    <w:rsid w:val="00B1336B"/>
    <w:rsid w:val="00B1345E"/>
    <w:rsid w:val="00B13587"/>
    <w:rsid w:val="00B13BB6"/>
    <w:rsid w:val="00B1411E"/>
    <w:rsid w:val="00B14735"/>
    <w:rsid w:val="00B1499E"/>
    <w:rsid w:val="00B14F0C"/>
    <w:rsid w:val="00B1532E"/>
    <w:rsid w:val="00B16263"/>
    <w:rsid w:val="00B16431"/>
    <w:rsid w:val="00B168B0"/>
    <w:rsid w:val="00B16EB9"/>
    <w:rsid w:val="00B176B5"/>
    <w:rsid w:val="00B17761"/>
    <w:rsid w:val="00B178C9"/>
    <w:rsid w:val="00B17A0E"/>
    <w:rsid w:val="00B17AA5"/>
    <w:rsid w:val="00B17B08"/>
    <w:rsid w:val="00B200A0"/>
    <w:rsid w:val="00B20261"/>
    <w:rsid w:val="00B203EE"/>
    <w:rsid w:val="00B20812"/>
    <w:rsid w:val="00B20C10"/>
    <w:rsid w:val="00B212D9"/>
    <w:rsid w:val="00B2137B"/>
    <w:rsid w:val="00B215D9"/>
    <w:rsid w:val="00B2192F"/>
    <w:rsid w:val="00B21C5E"/>
    <w:rsid w:val="00B21E7E"/>
    <w:rsid w:val="00B22B5E"/>
    <w:rsid w:val="00B23D0F"/>
    <w:rsid w:val="00B24583"/>
    <w:rsid w:val="00B249FF"/>
    <w:rsid w:val="00B24C66"/>
    <w:rsid w:val="00B2556A"/>
    <w:rsid w:val="00B25B0F"/>
    <w:rsid w:val="00B25B15"/>
    <w:rsid w:val="00B25D66"/>
    <w:rsid w:val="00B25E67"/>
    <w:rsid w:val="00B26411"/>
    <w:rsid w:val="00B266C0"/>
    <w:rsid w:val="00B268BE"/>
    <w:rsid w:val="00B26978"/>
    <w:rsid w:val="00B26DD1"/>
    <w:rsid w:val="00B26E42"/>
    <w:rsid w:val="00B270ED"/>
    <w:rsid w:val="00B271EB"/>
    <w:rsid w:val="00B272DC"/>
    <w:rsid w:val="00B27789"/>
    <w:rsid w:val="00B30153"/>
    <w:rsid w:val="00B3099C"/>
    <w:rsid w:val="00B30E2D"/>
    <w:rsid w:val="00B30FBB"/>
    <w:rsid w:val="00B30FE9"/>
    <w:rsid w:val="00B312F7"/>
    <w:rsid w:val="00B31330"/>
    <w:rsid w:val="00B31590"/>
    <w:rsid w:val="00B319EC"/>
    <w:rsid w:val="00B31DBE"/>
    <w:rsid w:val="00B3200E"/>
    <w:rsid w:val="00B3254B"/>
    <w:rsid w:val="00B325B1"/>
    <w:rsid w:val="00B326FB"/>
    <w:rsid w:val="00B327CF"/>
    <w:rsid w:val="00B32B82"/>
    <w:rsid w:val="00B32C01"/>
    <w:rsid w:val="00B34ADB"/>
    <w:rsid w:val="00B34ADE"/>
    <w:rsid w:val="00B34B8B"/>
    <w:rsid w:val="00B3515F"/>
    <w:rsid w:val="00B35E6F"/>
    <w:rsid w:val="00B367AB"/>
    <w:rsid w:val="00B36A0F"/>
    <w:rsid w:val="00B36A3F"/>
    <w:rsid w:val="00B36BB8"/>
    <w:rsid w:val="00B373C5"/>
    <w:rsid w:val="00B37756"/>
    <w:rsid w:val="00B378FD"/>
    <w:rsid w:val="00B37EFE"/>
    <w:rsid w:val="00B37F8C"/>
    <w:rsid w:val="00B4013E"/>
    <w:rsid w:val="00B401C9"/>
    <w:rsid w:val="00B405ED"/>
    <w:rsid w:val="00B40969"/>
    <w:rsid w:val="00B40BDC"/>
    <w:rsid w:val="00B40BE2"/>
    <w:rsid w:val="00B415CA"/>
    <w:rsid w:val="00B4195A"/>
    <w:rsid w:val="00B41F15"/>
    <w:rsid w:val="00B4202F"/>
    <w:rsid w:val="00B42046"/>
    <w:rsid w:val="00B420B9"/>
    <w:rsid w:val="00B42367"/>
    <w:rsid w:val="00B4274E"/>
    <w:rsid w:val="00B437B8"/>
    <w:rsid w:val="00B4390C"/>
    <w:rsid w:val="00B43B39"/>
    <w:rsid w:val="00B44005"/>
    <w:rsid w:val="00B45416"/>
    <w:rsid w:val="00B45447"/>
    <w:rsid w:val="00B456E6"/>
    <w:rsid w:val="00B45A76"/>
    <w:rsid w:val="00B46136"/>
    <w:rsid w:val="00B46AA5"/>
    <w:rsid w:val="00B46C6F"/>
    <w:rsid w:val="00B47124"/>
    <w:rsid w:val="00B471D6"/>
    <w:rsid w:val="00B47738"/>
    <w:rsid w:val="00B47916"/>
    <w:rsid w:val="00B47AA4"/>
    <w:rsid w:val="00B47E4F"/>
    <w:rsid w:val="00B50EFE"/>
    <w:rsid w:val="00B51570"/>
    <w:rsid w:val="00B52460"/>
    <w:rsid w:val="00B53152"/>
    <w:rsid w:val="00B53A60"/>
    <w:rsid w:val="00B53E44"/>
    <w:rsid w:val="00B5445A"/>
    <w:rsid w:val="00B54A40"/>
    <w:rsid w:val="00B54A72"/>
    <w:rsid w:val="00B54DEE"/>
    <w:rsid w:val="00B55B8E"/>
    <w:rsid w:val="00B55D88"/>
    <w:rsid w:val="00B5620A"/>
    <w:rsid w:val="00B565A1"/>
    <w:rsid w:val="00B56D83"/>
    <w:rsid w:val="00B56D90"/>
    <w:rsid w:val="00B56F1E"/>
    <w:rsid w:val="00B56FCE"/>
    <w:rsid w:val="00B571D5"/>
    <w:rsid w:val="00B57647"/>
    <w:rsid w:val="00B578CF"/>
    <w:rsid w:val="00B57CF2"/>
    <w:rsid w:val="00B57EFD"/>
    <w:rsid w:val="00B60471"/>
    <w:rsid w:val="00B608F4"/>
    <w:rsid w:val="00B609D0"/>
    <w:rsid w:val="00B60A68"/>
    <w:rsid w:val="00B60EC4"/>
    <w:rsid w:val="00B60ED5"/>
    <w:rsid w:val="00B61062"/>
    <w:rsid w:val="00B61233"/>
    <w:rsid w:val="00B61358"/>
    <w:rsid w:val="00B6181F"/>
    <w:rsid w:val="00B61A00"/>
    <w:rsid w:val="00B61FF7"/>
    <w:rsid w:val="00B623AC"/>
    <w:rsid w:val="00B62975"/>
    <w:rsid w:val="00B62BCF"/>
    <w:rsid w:val="00B632D4"/>
    <w:rsid w:val="00B64226"/>
    <w:rsid w:val="00B64579"/>
    <w:rsid w:val="00B648E6"/>
    <w:rsid w:val="00B64CCE"/>
    <w:rsid w:val="00B64F23"/>
    <w:rsid w:val="00B652C0"/>
    <w:rsid w:val="00B6591B"/>
    <w:rsid w:val="00B65A10"/>
    <w:rsid w:val="00B65AE9"/>
    <w:rsid w:val="00B66048"/>
    <w:rsid w:val="00B661A7"/>
    <w:rsid w:val="00B662B5"/>
    <w:rsid w:val="00B66ED4"/>
    <w:rsid w:val="00B675F1"/>
    <w:rsid w:val="00B67660"/>
    <w:rsid w:val="00B67D01"/>
    <w:rsid w:val="00B67FC9"/>
    <w:rsid w:val="00B700F0"/>
    <w:rsid w:val="00B70589"/>
    <w:rsid w:val="00B71106"/>
    <w:rsid w:val="00B711AD"/>
    <w:rsid w:val="00B7273A"/>
    <w:rsid w:val="00B73562"/>
    <w:rsid w:val="00B7359B"/>
    <w:rsid w:val="00B73CD5"/>
    <w:rsid w:val="00B74123"/>
    <w:rsid w:val="00B7455C"/>
    <w:rsid w:val="00B74FF2"/>
    <w:rsid w:val="00B75C62"/>
    <w:rsid w:val="00B76065"/>
    <w:rsid w:val="00B76239"/>
    <w:rsid w:val="00B76677"/>
    <w:rsid w:val="00B766DD"/>
    <w:rsid w:val="00B772ED"/>
    <w:rsid w:val="00B776C0"/>
    <w:rsid w:val="00B776E6"/>
    <w:rsid w:val="00B77A00"/>
    <w:rsid w:val="00B806A3"/>
    <w:rsid w:val="00B806C5"/>
    <w:rsid w:val="00B80890"/>
    <w:rsid w:val="00B81A06"/>
    <w:rsid w:val="00B81D28"/>
    <w:rsid w:val="00B82142"/>
    <w:rsid w:val="00B82196"/>
    <w:rsid w:val="00B82215"/>
    <w:rsid w:val="00B8246C"/>
    <w:rsid w:val="00B8272E"/>
    <w:rsid w:val="00B82FDB"/>
    <w:rsid w:val="00B82FF6"/>
    <w:rsid w:val="00B8330E"/>
    <w:rsid w:val="00B834F0"/>
    <w:rsid w:val="00B84188"/>
    <w:rsid w:val="00B8442B"/>
    <w:rsid w:val="00B849BF"/>
    <w:rsid w:val="00B84E6F"/>
    <w:rsid w:val="00B85CC2"/>
    <w:rsid w:val="00B86A0E"/>
    <w:rsid w:val="00B8715E"/>
    <w:rsid w:val="00B8752F"/>
    <w:rsid w:val="00B8753F"/>
    <w:rsid w:val="00B87F83"/>
    <w:rsid w:val="00B918BE"/>
    <w:rsid w:val="00B925B2"/>
    <w:rsid w:val="00B92BD0"/>
    <w:rsid w:val="00B92C43"/>
    <w:rsid w:val="00B93338"/>
    <w:rsid w:val="00B938B4"/>
    <w:rsid w:val="00B93DE6"/>
    <w:rsid w:val="00B9400D"/>
    <w:rsid w:val="00B940BD"/>
    <w:rsid w:val="00B94262"/>
    <w:rsid w:val="00B946CD"/>
    <w:rsid w:val="00B94724"/>
    <w:rsid w:val="00B94CAE"/>
    <w:rsid w:val="00B94DEC"/>
    <w:rsid w:val="00B9573D"/>
    <w:rsid w:val="00B95AFA"/>
    <w:rsid w:val="00B95F85"/>
    <w:rsid w:val="00B961F6"/>
    <w:rsid w:val="00B965E1"/>
    <w:rsid w:val="00B96B87"/>
    <w:rsid w:val="00B973FD"/>
    <w:rsid w:val="00B977B5"/>
    <w:rsid w:val="00B97A79"/>
    <w:rsid w:val="00B97AA5"/>
    <w:rsid w:val="00B97D4C"/>
    <w:rsid w:val="00B97EFF"/>
    <w:rsid w:val="00BA0858"/>
    <w:rsid w:val="00BA169A"/>
    <w:rsid w:val="00BA16A2"/>
    <w:rsid w:val="00BA16A5"/>
    <w:rsid w:val="00BA1F43"/>
    <w:rsid w:val="00BA26E3"/>
    <w:rsid w:val="00BA2F56"/>
    <w:rsid w:val="00BA3214"/>
    <w:rsid w:val="00BA36C2"/>
    <w:rsid w:val="00BA3780"/>
    <w:rsid w:val="00BA3BD8"/>
    <w:rsid w:val="00BA42AB"/>
    <w:rsid w:val="00BA47F6"/>
    <w:rsid w:val="00BA4882"/>
    <w:rsid w:val="00BA51FF"/>
    <w:rsid w:val="00BA5A65"/>
    <w:rsid w:val="00BA67A7"/>
    <w:rsid w:val="00BA7824"/>
    <w:rsid w:val="00BA7AE7"/>
    <w:rsid w:val="00BB0547"/>
    <w:rsid w:val="00BB0831"/>
    <w:rsid w:val="00BB08CF"/>
    <w:rsid w:val="00BB0F78"/>
    <w:rsid w:val="00BB20BA"/>
    <w:rsid w:val="00BB26EB"/>
    <w:rsid w:val="00BB29FE"/>
    <w:rsid w:val="00BB2DB6"/>
    <w:rsid w:val="00BB34FC"/>
    <w:rsid w:val="00BB3FFE"/>
    <w:rsid w:val="00BB4366"/>
    <w:rsid w:val="00BB4DFD"/>
    <w:rsid w:val="00BB513C"/>
    <w:rsid w:val="00BB592C"/>
    <w:rsid w:val="00BB599F"/>
    <w:rsid w:val="00BB645D"/>
    <w:rsid w:val="00BB6463"/>
    <w:rsid w:val="00BB6548"/>
    <w:rsid w:val="00BB6632"/>
    <w:rsid w:val="00BB6AA0"/>
    <w:rsid w:val="00BB6B4B"/>
    <w:rsid w:val="00BB77B8"/>
    <w:rsid w:val="00BB7BEF"/>
    <w:rsid w:val="00BC03AC"/>
    <w:rsid w:val="00BC12BC"/>
    <w:rsid w:val="00BC1926"/>
    <w:rsid w:val="00BC1B27"/>
    <w:rsid w:val="00BC218E"/>
    <w:rsid w:val="00BC2AAB"/>
    <w:rsid w:val="00BC356C"/>
    <w:rsid w:val="00BC3B61"/>
    <w:rsid w:val="00BC418B"/>
    <w:rsid w:val="00BC4606"/>
    <w:rsid w:val="00BC5209"/>
    <w:rsid w:val="00BC5FBE"/>
    <w:rsid w:val="00BC64A6"/>
    <w:rsid w:val="00BC6BD9"/>
    <w:rsid w:val="00BC6FAC"/>
    <w:rsid w:val="00BC784F"/>
    <w:rsid w:val="00BC7B14"/>
    <w:rsid w:val="00BD0055"/>
    <w:rsid w:val="00BD0561"/>
    <w:rsid w:val="00BD0B95"/>
    <w:rsid w:val="00BD0F5A"/>
    <w:rsid w:val="00BD14C7"/>
    <w:rsid w:val="00BD1777"/>
    <w:rsid w:val="00BD27E3"/>
    <w:rsid w:val="00BD2946"/>
    <w:rsid w:val="00BD31E4"/>
    <w:rsid w:val="00BD3367"/>
    <w:rsid w:val="00BD3B54"/>
    <w:rsid w:val="00BD4704"/>
    <w:rsid w:val="00BD4897"/>
    <w:rsid w:val="00BD4EA5"/>
    <w:rsid w:val="00BD4FB2"/>
    <w:rsid w:val="00BD51FA"/>
    <w:rsid w:val="00BD55EB"/>
    <w:rsid w:val="00BD5D6C"/>
    <w:rsid w:val="00BD6B03"/>
    <w:rsid w:val="00BD738F"/>
    <w:rsid w:val="00BD73CF"/>
    <w:rsid w:val="00BD7918"/>
    <w:rsid w:val="00BD7F7D"/>
    <w:rsid w:val="00BE0452"/>
    <w:rsid w:val="00BE096B"/>
    <w:rsid w:val="00BE0B5C"/>
    <w:rsid w:val="00BE0D2D"/>
    <w:rsid w:val="00BE0D49"/>
    <w:rsid w:val="00BE12FE"/>
    <w:rsid w:val="00BE18BE"/>
    <w:rsid w:val="00BE18D1"/>
    <w:rsid w:val="00BE20AA"/>
    <w:rsid w:val="00BE2EF8"/>
    <w:rsid w:val="00BE313D"/>
    <w:rsid w:val="00BE3B50"/>
    <w:rsid w:val="00BE4226"/>
    <w:rsid w:val="00BE4B23"/>
    <w:rsid w:val="00BE5CFB"/>
    <w:rsid w:val="00BE641B"/>
    <w:rsid w:val="00BE6773"/>
    <w:rsid w:val="00BE698A"/>
    <w:rsid w:val="00BE77DD"/>
    <w:rsid w:val="00BE78A4"/>
    <w:rsid w:val="00BE7A31"/>
    <w:rsid w:val="00BF0513"/>
    <w:rsid w:val="00BF0622"/>
    <w:rsid w:val="00BF1038"/>
    <w:rsid w:val="00BF121F"/>
    <w:rsid w:val="00BF142A"/>
    <w:rsid w:val="00BF16BF"/>
    <w:rsid w:val="00BF1A67"/>
    <w:rsid w:val="00BF3146"/>
    <w:rsid w:val="00BF355D"/>
    <w:rsid w:val="00BF37B7"/>
    <w:rsid w:val="00BF3B41"/>
    <w:rsid w:val="00BF439A"/>
    <w:rsid w:val="00BF531F"/>
    <w:rsid w:val="00BF58BD"/>
    <w:rsid w:val="00BF5B0A"/>
    <w:rsid w:val="00BF6792"/>
    <w:rsid w:val="00BF679C"/>
    <w:rsid w:val="00BF67B5"/>
    <w:rsid w:val="00BF6CF6"/>
    <w:rsid w:val="00BF72B2"/>
    <w:rsid w:val="00BF7546"/>
    <w:rsid w:val="00BF75A1"/>
    <w:rsid w:val="00C00A52"/>
    <w:rsid w:val="00C00C40"/>
    <w:rsid w:val="00C00D69"/>
    <w:rsid w:val="00C00FE1"/>
    <w:rsid w:val="00C01076"/>
    <w:rsid w:val="00C016C7"/>
    <w:rsid w:val="00C0182B"/>
    <w:rsid w:val="00C02295"/>
    <w:rsid w:val="00C0229D"/>
    <w:rsid w:val="00C02545"/>
    <w:rsid w:val="00C02A21"/>
    <w:rsid w:val="00C02E63"/>
    <w:rsid w:val="00C02F47"/>
    <w:rsid w:val="00C03025"/>
    <w:rsid w:val="00C03611"/>
    <w:rsid w:val="00C03B7C"/>
    <w:rsid w:val="00C04760"/>
    <w:rsid w:val="00C04770"/>
    <w:rsid w:val="00C04E1D"/>
    <w:rsid w:val="00C05269"/>
    <w:rsid w:val="00C05598"/>
    <w:rsid w:val="00C055CB"/>
    <w:rsid w:val="00C05AFD"/>
    <w:rsid w:val="00C05E27"/>
    <w:rsid w:val="00C05FCD"/>
    <w:rsid w:val="00C06BF2"/>
    <w:rsid w:val="00C06FB1"/>
    <w:rsid w:val="00C07461"/>
    <w:rsid w:val="00C10127"/>
    <w:rsid w:val="00C104A0"/>
    <w:rsid w:val="00C1157E"/>
    <w:rsid w:val="00C116DA"/>
    <w:rsid w:val="00C11FAC"/>
    <w:rsid w:val="00C12735"/>
    <w:rsid w:val="00C127C2"/>
    <w:rsid w:val="00C12B9C"/>
    <w:rsid w:val="00C13ABE"/>
    <w:rsid w:val="00C147FB"/>
    <w:rsid w:val="00C1500B"/>
    <w:rsid w:val="00C1512D"/>
    <w:rsid w:val="00C1552D"/>
    <w:rsid w:val="00C1559D"/>
    <w:rsid w:val="00C1574D"/>
    <w:rsid w:val="00C15A14"/>
    <w:rsid w:val="00C161A6"/>
    <w:rsid w:val="00C1628D"/>
    <w:rsid w:val="00C16763"/>
    <w:rsid w:val="00C168BE"/>
    <w:rsid w:val="00C17148"/>
    <w:rsid w:val="00C174B3"/>
    <w:rsid w:val="00C1759F"/>
    <w:rsid w:val="00C1776B"/>
    <w:rsid w:val="00C17A93"/>
    <w:rsid w:val="00C205B6"/>
    <w:rsid w:val="00C20980"/>
    <w:rsid w:val="00C20C89"/>
    <w:rsid w:val="00C20E44"/>
    <w:rsid w:val="00C212B3"/>
    <w:rsid w:val="00C21720"/>
    <w:rsid w:val="00C21B66"/>
    <w:rsid w:val="00C222D8"/>
    <w:rsid w:val="00C227EF"/>
    <w:rsid w:val="00C22946"/>
    <w:rsid w:val="00C22CD0"/>
    <w:rsid w:val="00C2306A"/>
    <w:rsid w:val="00C252CE"/>
    <w:rsid w:val="00C26457"/>
    <w:rsid w:val="00C26497"/>
    <w:rsid w:val="00C272B6"/>
    <w:rsid w:val="00C27753"/>
    <w:rsid w:val="00C277CE"/>
    <w:rsid w:val="00C279D2"/>
    <w:rsid w:val="00C27F40"/>
    <w:rsid w:val="00C3050D"/>
    <w:rsid w:val="00C30574"/>
    <w:rsid w:val="00C307DF"/>
    <w:rsid w:val="00C30BC4"/>
    <w:rsid w:val="00C317C8"/>
    <w:rsid w:val="00C32111"/>
    <w:rsid w:val="00C325F3"/>
    <w:rsid w:val="00C32F2A"/>
    <w:rsid w:val="00C333CE"/>
    <w:rsid w:val="00C33407"/>
    <w:rsid w:val="00C3391E"/>
    <w:rsid w:val="00C33EF9"/>
    <w:rsid w:val="00C3423A"/>
    <w:rsid w:val="00C3466E"/>
    <w:rsid w:val="00C34BF8"/>
    <w:rsid w:val="00C35C41"/>
    <w:rsid w:val="00C360EC"/>
    <w:rsid w:val="00C36CD3"/>
    <w:rsid w:val="00C373AD"/>
    <w:rsid w:val="00C37616"/>
    <w:rsid w:val="00C37F87"/>
    <w:rsid w:val="00C4125E"/>
    <w:rsid w:val="00C413FF"/>
    <w:rsid w:val="00C41E52"/>
    <w:rsid w:val="00C42001"/>
    <w:rsid w:val="00C420F1"/>
    <w:rsid w:val="00C432BF"/>
    <w:rsid w:val="00C43606"/>
    <w:rsid w:val="00C436AD"/>
    <w:rsid w:val="00C43864"/>
    <w:rsid w:val="00C44611"/>
    <w:rsid w:val="00C44855"/>
    <w:rsid w:val="00C450E5"/>
    <w:rsid w:val="00C4553A"/>
    <w:rsid w:val="00C455FA"/>
    <w:rsid w:val="00C4562D"/>
    <w:rsid w:val="00C46700"/>
    <w:rsid w:val="00C469B0"/>
    <w:rsid w:val="00C47325"/>
    <w:rsid w:val="00C474C9"/>
    <w:rsid w:val="00C50750"/>
    <w:rsid w:val="00C50F5A"/>
    <w:rsid w:val="00C513C4"/>
    <w:rsid w:val="00C5154E"/>
    <w:rsid w:val="00C53126"/>
    <w:rsid w:val="00C53763"/>
    <w:rsid w:val="00C5391B"/>
    <w:rsid w:val="00C5392C"/>
    <w:rsid w:val="00C53AD8"/>
    <w:rsid w:val="00C54B2F"/>
    <w:rsid w:val="00C551A7"/>
    <w:rsid w:val="00C558D7"/>
    <w:rsid w:val="00C55F60"/>
    <w:rsid w:val="00C5605E"/>
    <w:rsid w:val="00C566E7"/>
    <w:rsid w:val="00C56D7A"/>
    <w:rsid w:val="00C572FF"/>
    <w:rsid w:val="00C57598"/>
    <w:rsid w:val="00C57E24"/>
    <w:rsid w:val="00C603BA"/>
    <w:rsid w:val="00C603E7"/>
    <w:rsid w:val="00C608CD"/>
    <w:rsid w:val="00C61657"/>
    <w:rsid w:val="00C62542"/>
    <w:rsid w:val="00C6297B"/>
    <w:rsid w:val="00C62ED2"/>
    <w:rsid w:val="00C63B47"/>
    <w:rsid w:val="00C63BA7"/>
    <w:rsid w:val="00C64581"/>
    <w:rsid w:val="00C64A99"/>
    <w:rsid w:val="00C64D97"/>
    <w:rsid w:val="00C64FBB"/>
    <w:rsid w:val="00C65626"/>
    <w:rsid w:val="00C65813"/>
    <w:rsid w:val="00C65BCB"/>
    <w:rsid w:val="00C66219"/>
    <w:rsid w:val="00C6654D"/>
    <w:rsid w:val="00C666BD"/>
    <w:rsid w:val="00C66986"/>
    <w:rsid w:val="00C66AD9"/>
    <w:rsid w:val="00C66AFB"/>
    <w:rsid w:val="00C66CC2"/>
    <w:rsid w:val="00C66D14"/>
    <w:rsid w:val="00C66E68"/>
    <w:rsid w:val="00C67790"/>
    <w:rsid w:val="00C70589"/>
    <w:rsid w:val="00C705DF"/>
    <w:rsid w:val="00C70A6A"/>
    <w:rsid w:val="00C711E8"/>
    <w:rsid w:val="00C7147A"/>
    <w:rsid w:val="00C716B8"/>
    <w:rsid w:val="00C71877"/>
    <w:rsid w:val="00C724C2"/>
    <w:rsid w:val="00C72553"/>
    <w:rsid w:val="00C728D0"/>
    <w:rsid w:val="00C728E9"/>
    <w:rsid w:val="00C72AC2"/>
    <w:rsid w:val="00C72DA6"/>
    <w:rsid w:val="00C72E95"/>
    <w:rsid w:val="00C73607"/>
    <w:rsid w:val="00C73CE2"/>
    <w:rsid w:val="00C74468"/>
    <w:rsid w:val="00C74B95"/>
    <w:rsid w:val="00C74BD5"/>
    <w:rsid w:val="00C74D63"/>
    <w:rsid w:val="00C7540A"/>
    <w:rsid w:val="00C75576"/>
    <w:rsid w:val="00C75703"/>
    <w:rsid w:val="00C759F0"/>
    <w:rsid w:val="00C762D1"/>
    <w:rsid w:val="00C76BAA"/>
    <w:rsid w:val="00C77138"/>
    <w:rsid w:val="00C771AA"/>
    <w:rsid w:val="00C771C5"/>
    <w:rsid w:val="00C775FD"/>
    <w:rsid w:val="00C7765A"/>
    <w:rsid w:val="00C778F3"/>
    <w:rsid w:val="00C77AED"/>
    <w:rsid w:val="00C8012B"/>
    <w:rsid w:val="00C80195"/>
    <w:rsid w:val="00C80BDC"/>
    <w:rsid w:val="00C80D06"/>
    <w:rsid w:val="00C8182D"/>
    <w:rsid w:val="00C81A37"/>
    <w:rsid w:val="00C81CA7"/>
    <w:rsid w:val="00C8252B"/>
    <w:rsid w:val="00C8280B"/>
    <w:rsid w:val="00C82C37"/>
    <w:rsid w:val="00C837A3"/>
    <w:rsid w:val="00C84ABA"/>
    <w:rsid w:val="00C8596E"/>
    <w:rsid w:val="00C87095"/>
    <w:rsid w:val="00C87412"/>
    <w:rsid w:val="00C87714"/>
    <w:rsid w:val="00C877CE"/>
    <w:rsid w:val="00C87BD8"/>
    <w:rsid w:val="00C87CE1"/>
    <w:rsid w:val="00C90554"/>
    <w:rsid w:val="00C90B18"/>
    <w:rsid w:val="00C90FC7"/>
    <w:rsid w:val="00C91764"/>
    <w:rsid w:val="00C91B7D"/>
    <w:rsid w:val="00C91C86"/>
    <w:rsid w:val="00C92190"/>
    <w:rsid w:val="00C92404"/>
    <w:rsid w:val="00C92C14"/>
    <w:rsid w:val="00C9305E"/>
    <w:rsid w:val="00C93176"/>
    <w:rsid w:val="00C9320C"/>
    <w:rsid w:val="00C932D3"/>
    <w:rsid w:val="00C93302"/>
    <w:rsid w:val="00C94000"/>
    <w:rsid w:val="00C940A7"/>
    <w:rsid w:val="00C9418A"/>
    <w:rsid w:val="00C94272"/>
    <w:rsid w:val="00C94366"/>
    <w:rsid w:val="00C94628"/>
    <w:rsid w:val="00C94AC0"/>
    <w:rsid w:val="00C95CE2"/>
    <w:rsid w:val="00C961C2"/>
    <w:rsid w:val="00C96F62"/>
    <w:rsid w:val="00C977CE"/>
    <w:rsid w:val="00C97B78"/>
    <w:rsid w:val="00C97DB5"/>
    <w:rsid w:val="00CA01B6"/>
    <w:rsid w:val="00CA01F0"/>
    <w:rsid w:val="00CA0AA0"/>
    <w:rsid w:val="00CA0FAB"/>
    <w:rsid w:val="00CA13B3"/>
    <w:rsid w:val="00CA1457"/>
    <w:rsid w:val="00CA14AB"/>
    <w:rsid w:val="00CA2296"/>
    <w:rsid w:val="00CA2C85"/>
    <w:rsid w:val="00CA2E55"/>
    <w:rsid w:val="00CA34BA"/>
    <w:rsid w:val="00CA3B59"/>
    <w:rsid w:val="00CA40F0"/>
    <w:rsid w:val="00CA47D4"/>
    <w:rsid w:val="00CA5039"/>
    <w:rsid w:val="00CA52AE"/>
    <w:rsid w:val="00CA5A83"/>
    <w:rsid w:val="00CA611F"/>
    <w:rsid w:val="00CA71B8"/>
    <w:rsid w:val="00CA7698"/>
    <w:rsid w:val="00CA7846"/>
    <w:rsid w:val="00CA7D64"/>
    <w:rsid w:val="00CA7D68"/>
    <w:rsid w:val="00CB00F1"/>
    <w:rsid w:val="00CB0110"/>
    <w:rsid w:val="00CB13D7"/>
    <w:rsid w:val="00CB14CD"/>
    <w:rsid w:val="00CB15AA"/>
    <w:rsid w:val="00CB1679"/>
    <w:rsid w:val="00CB192B"/>
    <w:rsid w:val="00CB1D0A"/>
    <w:rsid w:val="00CB1EEC"/>
    <w:rsid w:val="00CB1FDB"/>
    <w:rsid w:val="00CB2236"/>
    <w:rsid w:val="00CB230D"/>
    <w:rsid w:val="00CB299F"/>
    <w:rsid w:val="00CB2D10"/>
    <w:rsid w:val="00CB398D"/>
    <w:rsid w:val="00CB3C26"/>
    <w:rsid w:val="00CB46B5"/>
    <w:rsid w:val="00CB4C07"/>
    <w:rsid w:val="00CB561D"/>
    <w:rsid w:val="00CB59D9"/>
    <w:rsid w:val="00CB667D"/>
    <w:rsid w:val="00CB67BB"/>
    <w:rsid w:val="00CB6D88"/>
    <w:rsid w:val="00CB6E42"/>
    <w:rsid w:val="00CB78C2"/>
    <w:rsid w:val="00CC02FA"/>
    <w:rsid w:val="00CC0344"/>
    <w:rsid w:val="00CC0561"/>
    <w:rsid w:val="00CC0CDC"/>
    <w:rsid w:val="00CC0DBF"/>
    <w:rsid w:val="00CC0FB7"/>
    <w:rsid w:val="00CC1625"/>
    <w:rsid w:val="00CC1733"/>
    <w:rsid w:val="00CC1FE0"/>
    <w:rsid w:val="00CC2189"/>
    <w:rsid w:val="00CC222B"/>
    <w:rsid w:val="00CC23B4"/>
    <w:rsid w:val="00CC2877"/>
    <w:rsid w:val="00CC2A53"/>
    <w:rsid w:val="00CC2B73"/>
    <w:rsid w:val="00CC3435"/>
    <w:rsid w:val="00CC3FF9"/>
    <w:rsid w:val="00CC405B"/>
    <w:rsid w:val="00CC45DB"/>
    <w:rsid w:val="00CC4931"/>
    <w:rsid w:val="00CC4DA9"/>
    <w:rsid w:val="00CC4E72"/>
    <w:rsid w:val="00CC4F28"/>
    <w:rsid w:val="00CC4FC8"/>
    <w:rsid w:val="00CC5EF9"/>
    <w:rsid w:val="00CC73CB"/>
    <w:rsid w:val="00CC73D0"/>
    <w:rsid w:val="00CC77B7"/>
    <w:rsid w:val="00CC7FFE"/>
    <w:rsid w:val="00CD00C7"/>
    <w:rsid w:val="00CD02D3"/>
    <w:rsid w:val="00CD03BF"/>
    <w:rsid w:val="00CD03F7"/>
    <w:rsid w:val="00CD040A"/>
    <w:rsid w:val="00CD0773"/>
    <w:rsid w:val="00CD0B37"/>
    <w:rsid w:val="00CD0F59"/>
    <w:rsid w:val="00CD13E8"/>
    <w:rsid w:val="00CD1B9A"/>
    <w:rsid w:val="00CD2182"/>
    <w:rsid w:val="00CD23F8"/>
    <w:rsid w:val="00CD27F1"/>
    <w:rsid w:val="00CD331F"/>
    <w:rsid w:val="00CD33A4"/>
    <w:rsid w:val="00CD37D7"/>
    <w:rsid w:val="00CD3A9D"/>
    <w:rsid w:val="00CD4476"/>
    <w:rsid w:val="00CD44FE"/>
    <w:rsid w:val="00CD4A5E"/>
    <w:rsid w:val="00CD4F64"/>
    <w:rsid w:val="00CD5339"/>
    <w:rsid w:val="00CD556F"/>
    <w:rsid w:val="00CD656D"/>
    <w:rsid w:val="00CD66C5"/>
    <w:rsid w:val="00CD6A79"/>
    <w:rsid w:val="00CD6FF4"/>
    <w:rsid w:val="00CD77FA"/>
    <w:rsid w:val="00CD7F6C"/>
    <w:rsid w:val="00CE02D1"/>
    <w:rsid w:val="00CE0A11"/>
    <w:rsid w:val="00CE0F9B"/>
    <w:rsid w:val="00CE17F0"/>
    <w:rsid w:val="00CE18B6"/>
    <w:rsid w:val="00CE1A4A"/>
    <w:rsid w:val="00CE2237"/>
    <w:rsid w:val="00CE29A3"/>
    <w:rsid w:val="00CE31EB"/>
    <w:rsid w:val="00CE333A"/>
    <w:rsid w:val="00CE358D"/>
    <w:rsid w:val="00CE4655"/>
    <w:rsid w:val="00CE4B7D"/>
    <w:rsid w:val="00CE4DD6"/>
    <w:rsid w:val="00CE50C9"/>
    <w:rsid w:val="00CE55FF"/>
    <w:rsid w:val="00CE59FA"/>
    <w:rsid w:val="00CE60E6"/>
    <w:rsid w:val="00CE6255"/>
    <w:rsid w:val="00CE6322"/>
    <w:rsid w:val="00CE6A68"/>
    <w:rsid w:val="00CE6C2B"/>
    <w:rsid w:val="00CE73FA"/>
    <w:rsid w:val="00CE7548"/>
    <w:rsid w:val="00CE7E26"/>
    <w:rsid w:val="00CE7F4C"/>
    <w:rsid w:val="00CF005B"/>
    <w:rsid w:val="00CF020B"/>
    <w:rsid w:val="00CF04C8"/>
    <w:rsid w:val="00CF0769"/>
    <w:rsid w:val="00CF122E"/>
    <w:rsid w:val="00CF166D"/>
    <w:rsid w:val="00CF1733"/>
    <w:rsid w:val="00CF1D2D"/>
    <w:rsid w:val="00CF1D8A"/>
    <w:rsid w:val="00CF22C4"/>
    <w:rsid w:val="00CF5037"/>
    <w:rsid w:val="00CF5535"/>
    <w:rsid w:val="00CF5C3D"/>
    <w:rsid w:val="00CF5E24"/>
    <w:rsid w:val="00CF679F"/>
    <w:rsid w:val="00CF6C73"/>
    <w:rsid w:val="00CF7060"/>
    <w:rsid w:val="00CF7650"/>
    <w:rsid w:val="00CF7B4D"/>
    <w:rsid w:val="00D0002B"/>
    <w:rsid w:val="00D0007E"/>
    <w:rsid w:val="00D002DD"/>
    <w:rsid w:val="00D003BE"/>
    <w:rsid w:val="00D00500"/>
    <w:rsid w:val="00D00A7E"/>
    <w:rsid w:val="00D01201"/>
    <w:rsid w:val="00D01318"/>
    <w:rsid w:val="00D014A3"/>
    <w:rsid w:val="00D015C3"/>
    <w:rsid w:val="00D01CE0"/>
    <w:rsid w:val="00D02BCB"/>
    <w:rsid w:val="00D02C61"/>
    <w:rsid w:val="00D03047"/>
    <w:rsid w:val="00D03168"/>
    <w:rsid w:val="00D03439"/>
    <w:rsid w:val="00D03C14"/>
    <w:rsid w:val="00D04236"/>
    <w:rsid w:val="00D045DC"/>
    <w:rsid w:val="00D05597"/>
    <w:rsid w:val="00D0587E"/>
    <w:rsid w:val="00D05EF9"/>
    <w:rsid w:val="00D061A8"/>
    <w:rsid w:val="00D0630F"/>
    <w:rsid w:val="00D0704D"/>
    <w:rsid w:val="00D076E4"/>
    <w:rsid w:val="00D103B9"/>
    <w:rsid w:val="00D108C0"/>
    <w:rsid w:val="00D10D0E"/>
    <w:rsid w:val="00D10D70"/>
    <w:rsid w:val="00D10D9E"/>
    <w:rsid w:val="00D11074"/>
    <w:rsid w:val="00D110DF"/>
    <w:rsid w:val="00D12758"/>
    <w:rsid w:val="00D127FB"/>
    <w:rsid w:val="00D13CE8"/>
    <w:rsid w:val="00D1418C"/>
    <w:rsid w:val="00D14331"/>
    <w:rsid w:val="00D1463F"/>
    <w:rsid w:val="00D14840"/>
    <w:rsid w:val="00D14BE8"/>
    <w:rsid w:val="00D14C99"/>
    <w:rsid w:val="00D15B8D"/>
    <w:rsid w:val="00D16C5F"/>
    <w:rsid w:val="00D16CB9"/>
    <w:rsid w:val="00D17268"/>
    <w:rsid w:val="00D1742F"/>
    <w:rsid w:val="00D1769A"/>
    <w:rsid w:val="00D17A00"/>
    <w:rsid w:val="00D17DF8"/>
    <w:rsid w:val="00D21A2D"/>
    <w:rsid w:val="00D21EEE"/>
    <w:rsid w:val="00D22142"/>
    <w:rsid w:val="00D22149"/>
    <w:rsid w:val="00D22529"/>
    <w:rsid w:val="00D2395E"/>
    <w:rsid w:val="00D23EB5"/>
    <w:rsid w:val="00D240E4"/>
    <w:rsid w:val="00D24A60"/>
    <w:rsid w:val="00D24AB4"/>
    <w:rsid w:val="00D25088"/>
    <w:rsid w:val="00D254EF"/>
    <w:rsid w:val="00D2550D"/>
    <w:rsid w:val="00D25681"/>
    <w:rsid w:val="00D2641D"/>
    <w:rsid w:val="00D26B40"/>
    <w:rsid w:val="00D27270"/>
    <w:rsid w:val="00D278B9"/>
    <w:rsid w:val="00D27FC7"/>
    <w:rsid w:val="00D30EF7"/>
    <w:rsid w:val="00D3109D"/>
    <w:rsid w:val="00D31A08"/>
    <w:rsid w:val="00D3260B"/>
    <w:rsid w:val="00D32C3B"/>
    <w:rsid w:val="00D32D15"/>
    <w:rsid w:val="00D3321F"/>
    <w:rsid w:val="00D3326C"/>
    <w:rsid w:val="00D341DA"/>
    <w:rsid w:val="00D34E55"/>
    <w:rsid w:val="00D34FF3"/>
    <w:rsid w:val="00D3513F"/>
    <w:rsid w:val="00D352E5"/>
    <w:rsid w:val="00D35DF7"/>
    <w:rsid w:val="00D36112"/>
    <w:rsid w:val="00D36403"/>
    <w:rsid w:val="00D366B0"/>
    <w:rsid w:val="00D3725A"/>
    <w:rsid w:val="00D373B9"/>
    <w:rsid w:val="00D37676"/>
    <w:rsid w:val="00D37E08"/>
    <w:rsid w:val="00D401B4"/>
    <w:rsid w:val="00D401CB"/>
    <w:rsid w:val="00D405DE"/>
    <w:rsid w:val="00D41355"/>
    <w:rsid w:val="00D41490"/>
    <w:rsid w:val="00D417C9"/>
    <w:rsid w:val="00D419EB"/>
    <w:rsid w:val="00D42B1A"/>
    <w:rsid w:val="00D43D94"/>
    <w:rsid w:val="00D43EF2"/>
    <w:rsid w:val="00D43F93"/>
    <w:rsid w:val="00D4437B"/>
    <w:rsid w:val="00D45238"/>
    <w:rsid w:val="00D454A2"/>
    <w:rsid w:val="00D4563D"/>
    <w:rsid w:val="00D456CA"/>
    <w:rsid w:val="00D456D6"/>
    <w:rsid w:val="00D45CA1"/>
    <w:rsid w:val="00D46281"/>
    <w:rsid w:val="00D464D9"/>
    <w:rsid w:val="00D467EF"/>
    <w:rsid w:val="00D46A8A"/>
    <w:rsid w:val="00D46CD9"/>
    <w:rsid w:val="00D46D08"/>
    <w:rsid w:val="00D47000"/>
    <w:rsid w:val="00D4751D"/>
    <w:rsid w:val="00D5084F"/>
    <w:rsid w:val="00D5118C"/>
    <w:rsid w:val="00D513F7"/>
    <w:rsid w:val="00D5171B"/>
    <w:rsid w:val="00D517AD"/>
    <w:rsid w:val="00D51B39"/>
    <w:rsid w:val="00D52435"/>
    <w:rsid w:val="00D52456"/>
    <w:rsid w:val="00D52461"/>
    <w:rsid w:val="00D540F2"/>
    <w:rsid w:val="00D5426D"/>
    <w:rsid w:val="00D54795"/>
    <w:rsid w:val="00D55341"/>
    <w:rsid w:val="00D55E74"/>
    <w:rsid w:val="00D56250"/>
    <w:rsid w:val="00D5659A"/>
    <w:rsid w:val="00D56A61"/>
    <w:rsid w:val="00D570D8"/>
    <w:rsid w:val="00D57C24"/>
    <w:rsid w:val="00D60191"/>
    <w:rsid w:val="00D6050C"/>
    <w:rsid w:val="00D605F1"/>
    <w:rsid w:val="00D61017"/>
    <w:rsid w:val="00D6193A"/>
    <w:rsid w:val="00D61E01"/>
    <w:rsid w:val="00D6238B"/>
    <w:rsid w:val="00D627FC"/>
    <w:rsid w:val="00D62C33"/>
    <w:rsid w:val="00D63273"/>
    <w:rsid w:val="00D634F8"/>
    <w:rsid w:val="00D637D6"/>
    <w:rsid w:val="00D63B63"/>
    <w:rsid w:val="00D63F67"/>
    <w:rsid w:val="00D644AC"/>
    <w:rsid w:val="00D64A18"/>
    <w:rsid w:val="00D64CC8"/>
    <w:rsid w:val="00D65544"/>
    <w:rsid w:val="00D6572E"/>
    <w:rsid w:val="00D657A9"/>
    <w:rsid w:val="00D6621E"/>
    <w:rsid w:val="00D66990"/>
    <w:rsid w:val="00D66B1A"/>
    <w:rsid w:val="00D66BB6"/>
    <w:rsid w:val="00D66E51"/>
    <w:rsid w:val="00D66F17"/>
    <w:rsid w:val="00D67609"/>
    <w:rsid w:val="00D714CA"/>
    <w:rsid w:val="00D719C2"/>
    <w:rsid w:val="00D72172"/>
    <w:rsid w:val="00D721B8"/>
    <w:rsid w:val="00D7224B"/>
    <w:rsid w:val="00D72D1C"/>
    <w:rsid w:val="00D72DE4"/>
    <w:rsid w:val="00D73997"/>
    <w:rsid w:val="00D740E5"/>
    <w:rsid w:val="00D74273"/>
    <w:rsid w:val="00D74A9F"/>
    <w:rsid w:val="00D74B0D"/>
    <w:rsid w:val="00D74EB4"/>
    <w:rsid w:val="00D74F15"/>
    <w:rsid w:val="00D7557D"/>
    <w:rsid w:val="00D75D43"/>
    <w:rsid w:val="00D76408"/>
    <w:rsid w:val="00D765BF"/>
    <w:rsid w:val="00D76F89"/>
    <w:rsid w:val="00D76FD7"/>
    <w:rsid w:val="00D77868"/>
    <w:rsid w:val="00D778F8"/>
    <w:rsid w:val="00D77D8A"/>
    <w:rsid w:val="00D77F9F"/>
    <w:rsid w:val="00D8079D"/>
    <w:rsid w:val="00D80ED6"/>
    <w:rsid w:val="00D80FC6"/>
    <w:rsid w:val="00D8195B"/>
    <w:rsid w:val="00D8198A"/>
    <w:rsid w:val="00D821DA"/>
    <w:rsid w:val="00D82519"/>
    <w:rsid w:val="00D8291A"/>
    <w:rsid w:val="00D829AF"/>
    <w:rsid w:val="00D82C6E"/>
    <w:rsid w:val="00D82FB8"/>
    <w:rsid w:val="00D8390F"/>
    <w:rsid w:val="00D83B03"/>
    <w:rsid w:val="00D845CC"/>
    <w:rsid w:val="00D84774"/>
    <w:rsid w:val="00D84B48"/>
    <w:rsid w:val="00D84BC1"/>
    <w:rsid w:val="00D84DF5"/>
    <w:rsid w:val="00D854DF"/>
    <w:rsid w:val="00D8622A"/>
    <w:rsid w:val="00D86890"/>
    <w:rsid w:val="00D86896"/>
    <w:rsid w:val="00D86A40"/>
    <w:rsid w:val="00D8740C"/>
    <w:rsid w:val="00D8747A"/>
    <w:rsid w:val="00D87675"/>
    <w:rsid w:val="00D87B84"/>
    <w:rsid w:val="00D90562"/>
    <w:rsid w:val="00D907BE"/>
    <w:rsid w:val="00D90F51"/>
    <w:rsid w:val="00D916A6"/>
    <w:rsid w:val="00D91960"/>
    <w:rsid w:val="00D9391D"/>
    <w:rsid w:val="00D940A5"/>
    <w:rsid w:val="00D94101"/>
    <w:rsid w:val="00D94897"/>
    <w:rsid w:val="00D94BE9"/>
    <w:rsid w:val="00D94F03"/>
    <w:rsid w:val="00D95147"/>
    <w:rsid w:val="00D953A7"/>
    <w:rsid w:val="00D9542A"/>
    <w:rsid w:val="00D957B0"/>
    <w:rsid w:val="00D95B67"/>
    <w:rsid w:val="00D95BEE"/>
    <w:rsid w:val="00D95FF2"/>
    <w:rsid w:val="00D96CD3"/>
    <w:rsid w:val="00D96E27"/>
    <w:rsid w:val="00D9787C"/>
    <w:rsid w:val="00DA01B1"/>
    <w:rsid w:val="00DA034C"/>
    <w:rsid w:val="00DA05DC"/>
    <w:rsid w:val="00DA0A48"/>
    <w:rsid w:val="00DA11FA"/>
    <w:rsid w:val="00DA1345"/>
    <w:rsid w:val="00DA176C"/>
    <w:rsid w:val="00DA1B85"/>
    <w:rsid w:val="00DA1BE6"/>
    <w:rsid w:val="00DA2177"/>
    <w:rsid w:val="00DA24E1"/>
    <w:rsid w:val="00DA2C6F"/>
    <w:rsid w:val="00DA2E14"/>
    <w:rsid w:val="00DA45B9"/>
    <w:rsid w:val="00DA45C3"/>
    <w:rsid w:val="00DA49D3"/>
    <w:rsid w:val="00DA4AED"/>
    <w:rsid w:val="00DA4D0F"/>
    <w:rsid w:val="00DA5068"/>
    <w:rsid w:val="00DA53D1"/>
    <w:rsid w:val="00DA5DE5"/>
    <w:rsid w:val="00DA6F88"/>
    <w:rsid w:val="00DA721E"/>
    <w:rsid w:val="00DA785A"/>
    <w:rsid w:val="00DB05DF"/>
    <w:rsid w:val="00DB067A"/>
    <w:rsid w:val="00DB08D9"/>
    <w:rsid w:val="00DB0B5F"/>
    <w:rsid w:val="00DB0BAD"/>
    <w:rsid w:val="00DB0F36"/>
    <w:rsid w:val="00DB10B5"/>
    <w:rsid w:val="00DB139C"/>
    <w:rsid w:val="00DB14CB"/>
    <w:rsid w:val="00DB1777"/>
    <w:rsid w:val="00DB18DA"/>
    <w:rsid w:val="00DB20FB"/>
    <w:rsid w:val="00DB24CB"/>
    <w:rsid w:val="00DB26BF"/>
    <w:rsid w:val="00DB29AE"/>
    <w:rsid w:val="00DB2A30"/>
    <w:rsid w:val="00DB398F"/>
    <w:rsid w:val="00DB4039"/>
    <w:rsid w:val="00DB417E"/>
    <w:rsid w:val="00DB435B"/>
    <w:rsid w:val="00DB4905"/>
    <w:rsid w:val="00DB4AF7"/>
    <w:rsid w:val="00DB5168"/>
    <w:rsid w:val="00DB5468"/>
    <w:rsid w:val="00DB55CD"/>
    <w:rsid w:val="00DB5A71"/>
    <w:rsid w:val="00DB60DB"/>
    <w:rsid w:val="00DB6531"/>
    <w:rsid w:val="00DB6AC8"/>
    <w:rsid w:val="00DB75B8"/>
    <w:rsid w:val="00DB7811"/>
    <w:rsid w:val="00DC0263"/>
    <w:rsid w:val="00DC0C8F"/>
    <w:rsid w:val="00DC1920"/>
    <w:rsid w:val="00DC2193"/>
    <w:rsid w:val="00DC262D"/>
    <w:rsid w:val="00DC2818"/>
    <w:rsid w:val="00DC2974"/>
    <w:rsid w:val="00DC3537"/>
    <w:rsid w:val="00DC3A75"/>
    <w:rsid w:val="00DC4033"/>
    <w:rsid w:val="00DC4052"/>
    <w:rsid w:val="00DC45AB"/>
    <w:rsid w:val="00DC4894"/>
    <w:rsid w:val="00DC4CB0"/>
    <w:rsid w:val="00DC5293"/>
    <w:rsid w:val="00DC5296"/>
    <w:rsid w:val="00DC5624"/>
    <w:rsid w:val="00DC5F77"/>
    <w:rsid w:val="00DC5FB5"/>
    <w:rsid w:val="00DC63EF"/>
    <w:rsid w:val="00DC6803"/>
    <w:rsid w:val="00DC6814"/>
    <w:rsid w:val="00DC6DF4"/>
    <w:rsid w:val="00DC7473"/>
    <w:rsid w:val="00DC75FB"/>
    <w:rsid w:val="00DC7B4C"/>
    <w:rsid w:val="00DD04A2"/>
    <w:rsid w:val="00DD0502"/>
    <w:rsid w:val="00DD09A1"/>
    <w:rsid w:val="00DD175A"/>
    <w:rsid w:val="00DD1803"/>
    <w:rsid w:val="00DD2211"/>
    <w:rsid w:val="00DD28BC"/>
    <w:rsid w:val="00DD29AA"/>
    <w:rsid w:val="00DD2CDC"/>
    <w:rsid w:val="00DD2E0D"/>
    <w:rsid w:val="00DD373C"/>
    <w:rsid w:val="00DD39B4"/>
    <w:rsid w:val="00DD3B6F"/>
    <w:rsid w:val="00DD4098"/>
    <w:rsid w:val="00DD450B"/>
    <w:rsid w:val="00DD4679"/>
    <w:rsid w:val="00DD46E2"/>
    <w:rsid w:val="00DD4818"/>
    <w:rsid w:val="00DD504C"/>
    <w:rsid w:val="00DD529C"/>
    <w:rsid w:val="00DD5CFE"/>
    <w:rsid w:val="00DD5EA6"/>
    <w:rsid w:val="00DD62DE"/>
    <w:rsid w:val="00DD6F53"/>
    <w:rsid w:val="00DD7268"/>
    <w:rsid w:val="00DD77F2"/>
    <w:rsid w:val="00DE02E4"/>
    <w:rsid w:val="00DE055F"/>
    <w:rsid w:val="00DE091C"/>
    <w:rsid w:val="00DE10E4"/>
    <w:rsid w:val="00DE23D6"/>
    <w:rsid w:val="00DE268D"/>
    <w:rsid w:val="00DE2C42"/>
    <w:rsid w:val="00DE2E3F"/>
    <w:rsid w:val="00DE3490"/>
    <w:rsid w:val="00DE3598"/>
    <w:rsid w:val="00DE3972"/>
    <w:rsid w:val="00DE3989"/>
    <w:rsid w:val="00DE3D87"/>
    <w:rsid w:val="00DE4071"/>
    <w:rsid w:val="00DE4323"/>
    <w:rsid w:val="00DE432B"/>
    <w:rsid w:val="00DE50DE"/>
    <w:rsid w:val="00DE50FE"/>
    <w:rsid w:val="00DE5334"/>
    <w:rsid w:val="00DE54D4"/>
    <w:rsid w:val="00DE5DD4"/>
    <w:rsid w:val="00DE69F1"/>
    <w:rsid w:val="00DE6CD7"/>
    <w:rsid w:val="00DE7083"/>
    <w:rsid w:val="00DE7855"/>
    <w:rsid w:val="00DE79D9"/>
    <w:rsid w:val="00DE7CD5"/>
    <w:rsid w:val="00DF06DA"/>
    <w:rsid w:val="00DF0ACE"/>
    <w:rsid w:val="00DF1FE5"/>
    <w:rsid w:val="00DF2086"/>
    <w:rsid w:val="00DF23F9"/>
    <w:rsid w:val="00DF3979"/>
    <w:rsid w:val="00DF3C9B"/>
    <w:rsid w:val="00DF434B"/>
    <w:rsid w:val="00DF435F"/>
    <w:rsid w:val="00DF4A45"/>
    <w:rsid w:val="00DF4B4D"/>
    <w:rsid w:val="00DF5FD3"/>
    <w:rsid w:val="00DF602F"/>
    <w:rsid w:val="00DF6615"/>
    <w:rsid w:val="00DF67C4"/>
    <w:rsid w:val="00DF718B"/>
    <w:rsid w:val="00DF71DE"/>
    <w:rsid w:val="00DF71DF"/>
    <w:rsid w:val="00DF75D5"/>
    <w:rsid w:val="00DF7737"/>
    <w:rsid w:val="00DF79E9"/>
    <w:rsid w:val="00DF7AD0"/>
    <w:rsid w:val="00DF7C5E"/>
    <w:rsid w:val="00E00198"/>
    <w:rsid w:val="00E00348"/>
    <w:rsid w:val="00E00A7A"/>
    <w:rsid w:val="00E00C8E"/>
    <w:rsid w:val="00E00D61"/>
    <w:rsid w:val="00E00D75"/>
    <w:rsid w:val="00E01234"/>
    <w:rsid w:val="00E01606"/>
    <w:rsid w:val="00E01609"/>
    <w:rsid w:val="00E01C68"/>
    <w:rsid w:val="00E02071"/>
    <w:rsid w:val="00E023F6"/>
    <w:rsid w:val="00E025A4"/>
    <w:rsid w:val="00E0275D"/>
    <w:rsid w:val="00E02BDA"/>
    <w:rsid w:val="00E031E9"/>
    <w:rsid w:val="00E03928"/>
    <w:rsid w:val="00E03B36"/>
    <w:rsid w:val="00E044FE"/>
    <w:rsid w:val="00E04733"/>
    <w:rsid w:val="00E048CE"/>
    <w:rsid w:val="00E04B59"/>
    <w:rsid w:val="00E05929"/>
    <w:rsid w:val="00E0636C"/>
    <w:rsid w:val="00E06A2B"/>
    <w:rsid w:val="00E06DBE"/>
    <w:rsid w:val="00E07029"/>
    <w:rsid w:val="00E07254"/>
    <w:rsid w:val="00E075D8"/>
    <w:rsid w:val="00E07E7D"/>
    <w:rsid w:val="00E07FBC"/>
    <w:rsid w:val="00E10123"/>
    <w:rsid w:val="00E10230"/>
    <w:rsid w:val="00E106D4"/>
    <w:rsid w:val="00E10D71"/>
    <w:rsid w:val="00E10D96"/>
    <w:rsid w:val="00E110AE"/>
    <w:rsid w:val="00E1184A"/>
    <w:rsid w:val="00E12271"/>
    <w:rsid w:val="00E122F6"/>
    <w:rsid w:val="00E12579"/>
    <w:rsid w:val="00E128C2"/>
    <w:rsid w:val="00E12AC2"/>
    <w:rsid w:val="00E12C9E"/>
    <w:rsid w:val="00E14E6E"/>
    <w:rsid w:val="00E15198"/>
    <w:rsid w:val="00E1599E"/>
    <w:rsid w:val="00E15B24"/>
    <w:rsid w:val="00E15DBD"/>
    <w:rsid w:val="00E165F0"/>
    <w:rsid w:val="00E1667D"/>
    <w:rsid w:val="00E16B26"/>
    <w:rsid w:val="00E1709E"/>
    <w:rsid w:val="00E17A9D"/>
    <w:rsid w:val="00E17FB3"/>
    <w:rsid w:val="00E20071"/>
    <w:rsid w:val="00E20B9C"/>
    <w:rsid w:val="00E20ECF"/>
    <w:rsid w:val="00E21260"/>
    <w:rsid w:val="00E218F1"/>
    <w:rsid w:val="00E2191C"/>
    <w:rsid w:val="00E21C98"/>
    <w:rsid w:val="00E21D11"/>
    <w:rsid w:val="00E21DD4"/>
    <w:rsid w:val="00E22006"/>
    <w:rsid w:val="00E22121"/>
    <w:rsid w:val="00E2260C"/>
    <w:rsid w:val="00E2293D"/>
    <w:rsid w:val="00E236AF"/>
    <w:rsid w:val="00E2402B"/>
    <w:rsid w:val="00E24135"/>
    <w:rsid w:val="00E24410"/>
    <w:rsid w:val="00E255F4"/>
    <w:rsid w:val="00E258D5"/>
    <w:rsid w:val="00E2688C"/>
    <w:rsid w:val="00E26FE7"/>
    <w:rsid w:val="00E274FE"/>
    <w:rsid w:val="00E27874"/>
    <w:rsid w:val="00E27969"/>
    <w:rsid w:val="00E30722"/>
    <w:rsid w:val="00E30D03"/>
    <w:rsid w:val="00E31050"/>
    <w:rsid w:val="00E31F70"/>
    <w:rsid w:val="00E32AF9"/>
    <w:rsid w:val="00E32CCE"/>
    <w:rsid w:val="00E32D64"/>
    <w:rsid w:val="00E33240"/>
    <w:rsid w:val="00E334C9"/>
    <w:rsid w:val="00E343B5"/>
    <w:rsid w:val="00E34430"/>
    <w:rsid w:val="00E34577"/>
    <w:rsid w:val="00E34697"/>
    <w:rsid w:val="00E346D3"/>
    <w:rsid w:val="00E34BFA"/>
    <w:rsid w:val="00E34C00"/>
    <w:rsid w:val="00E35102"/>
    <w:rsid w:val="00E356C7"/>
    <w:rsid w:val="00E35E67"/>
    <w:rsid w:val="00E3605B"/>
    <w:rsid w:val="00E36AC6"/>
    <w:rsid w:val="00E36DB9"/>
    <w:rsid w:val="00E378AA"/>
    <w:rsid w:val="00E37D74"/>
    <w:rsid w:val="00E37E6B"/>
    <w:rsid w:val="00E37F3F"/>
    <w:rsid w:val="00E40186"/>
    <w:rsid w:val="00E403EF"/>
    <w:rsid w:val="00E4085D"/>
    <w:rsid w:val="00E40CC5"/>
    <w:rsid w:val="00E40FCA"/>
    <w:rsid w:val="00E41750"/>
    <w:rsid w:val="00E417C7"/>
    <w:rsid w:val="00E417FF"/>
    <w:rsid w:val="00E41859"/>
    <w:rsid w:val="00E41921"/>
    <w:rsid w:val="00E41C5C"/>
    <w:rsid w:val="00E42315"/>
    <w:rsid w:val="00E423D3"/>
    <w:rsid w:val="00E425D3"/>
    <w:rsid w:val="00E425ED"/>
    <w:rsid w:val="00E42739"/>
    <w:rsid w:val="00E428FB"/>
    <w:rsid w:val="00E42B59"/>
    <w:rsid w:val="00E431BC"/>
    <w:rsid w:val="00E43B2F"/>
    <w:rsid w:val="00E4437D"/>
    <w:rsid w:val="00E444F5"/>
    <w:rsid w:val="00E4453B"/>
    <w:rsid w:val="00E44936"/>
    <w:rsid w:val="00E449F6"/>
    <w:rsid w:val="00E45088"/>
    <w:rsid w:val="00E454E5"/>
    <w:rsid w:val="00E459F8"/>
    <w:rsid w:val="00E45AD0"/>
    <w:rsid w:val="00E45D64"/>
    <w:rsid w:val="00E45E97"/>
    <w:rsid w:val="00E45FF1"/>
    <w:rsid w:val="00E46773"/>
    <w:rsid w:val="00E469BF"/>
    <w:rsid w:val="00E46D67"/>
    <w:rsid w:val="00E4714B"/>
    <w:rsid w:val="00E47536"/>
    <w:rsid w:val="00E475F7"/>
    <w:rsid w:val="00E47EF2"/>
    <w:rsid w:val="00E50294"/>
    <w:rsid w:val="00E50338"/>
    <w:rsid w:val="00E504EE"/>
    <w:rsid w:val="00E5158B"/>
    <w:rsid w:val="00E51D33"/>
    <w:rsid w:val="00E51FD7"/>
    <w:rsid w:val="00E51FF8"/>
    <w:rsid w:val="00E521B1"/>
    <w:rsid w:val="00E52A3C"/>
    <w:rsid w:val="00E535C9"/>
    <w:rsid w:val="00E53821"/>
    <w:rsid w:val="00E53AE7"/>
    <w:rsid w:val="00E546A9"/>
    <w:rsid w:val="00E54AE5"/>
    <w:rsid w:val="00E558A8"/>
    <w:rsid w:val="00E56192"/>
    <w:rsid w:val="00E56278"/>
    <w:rsid w:val="00E56CCB"/>
    <w:rsid w:val="00E572C6"/>
    <w:rsid w:val="00E57398"/>
    <w:rsid w:val="00E57B74"/>
    <w:rsid w:val="00E600FF"/>
    <w:rsid w:val="00E60444"/>
    <w:rsid w:val="00E60FDB"/>
    <w:rsid w:val="00E617A1"/>
    <w:rsid w:val="00E617D9"/>
    <w:rsid w:val="00E618FB"/>
    <w:rsid w:val="00E61A6F"/>
    <w:rsid w:val="00E61CC5"/>
    <w:rsid w:val="00E61E18"/>
    <w:rsid w:val="00E625A7"/>
    <w:rsid w:val="00E62A2E"/>
    <w:rsid w:val="00E62B05"/>
    <w:rsid w:val="00E62BB9"/>
    <w:rsid w:val="00E62BDE"/>
    <w:rsid w:val="00E63280"/>
    <w:rsid w:val="00E63609"/>
    <w:rsid w:val="00E63671"/>
    <w:rsid w:val="00E642AC"/>
    <w:rsid w:val="00E64565"/>
    <w:rsid w:val="00E645E3"/>
    <w:rsid w:val="00E64795"/>
    <w:rsid w:val="00E64E2F"/>
    <w:rsid w:val="00E65AE5"/>
    <w:rsid w:val="00E65FC1"/>
    <w:rsid w:val="00E66057"/>
    <w:rsid w:val="00E66620"/>
    <w:rsid w:val="00E66B46"/>
    <w:rsid w:val="00E66DFD"/>
    <w:rsid w:val="00E70058"/>
    <w:rsid w:val="00E7013B"/>
    <w:rsid w:val="00E70752"/>
    <w:rsid w:val="00E707AE"/>
    <w:rsid w:val="00E70AF6"/>
    <w:rsid w:val="00E70DF8"/>
    <w:rsid w:val="00E70E2D"/>
    <w:rsid w:val="00E71469"/>
    <w:rsid w:val="00E71B03"/>
    <w:rsid w:val="00E71D88"/>
    <w:rsid w:val="00E720F1"/>
    <w:rsid w:val="00E72295"/>
    <w:rsid w:val="00E72883"/>
    <w:rsid w:val="00E72936"/>
    <w:rsid w:val="00E72AFB"/>
    <w:rsid w:val="00E73CCB"/>
    <w:rsid w:val="00E74B36"/>
    <w:rsid w:val="00E74E79"/>
    <w:rsid w:val="00E75364"/>
    <w:rsid w:val="00E7558A"/>
    <w:rsid w:val="00E762FA"/>
    <w:rsid w:val="00E766DC"/>
    <w:rsid w:val="00E768A0"/>
    <w:rsid w:val="00E76AC4"/>
    <w:rsid w:val="00E774E5"/>
    <w:rsid w:val="00E77580"/>
    <w:rsid w:val="00E776DA"/>
    <w:rsid w:val="00E80EB0"/>
    <w:rsid w:val="00E81B88"/>
    <w:rsid w:val="00E81DF5"/>
    <w:rsid w:val="00E81ECA"/>
    <w:rsid w:val="00E81FE7"/>
    <w:rsid w:val="00E82A03"/>
    <w:rsid w:val="00E82A40"/>
    <w:rsid w:val="00E82B1D"/>
    <w:rsid w:val="00E83D79"/>
    <w:rsid w:val="00E84152"/>
    <w:rsid w:val="00E841DA"/>
    <w:rsid w:val="00E842DA"/>
    <w:rsid w:val="00E849C2"/>
    <w:rsid w:val="00E84D53"/>
    <w:rsid w:val="00E85C39"/>
    <w:rsid w:val="00E85D0F"/>
    <w:rsid w:val="00E85D13"/>
    <w:rsid w:val="00E85E53"/>
    <w:rsid w:val="00E861C6"/>
    <w:rsid w:val="00E86585"/>
    <w:rsid w:val="00E86DA5"/>
    <w:rsid w:val="00E87B40"/>
    <w:rsid w:val="00E87DF2"/>
    <w:rsid w:val="00E90C2B"/>
    <w:rsid w:val="00E90C75"/>
    <w:rsid w:val="00E9113D"/>
    <w:rsid w:val="00E9147F"/>
    <w:rsid w:val="00E91794"/>
    <w:rsid w:val="00E91CEB"/>
    <w:rsid w:val="00E920E0"/>
    <w:rsid w:val="00E92C59"/>
    <w:rsid w:val="00E93FEB"/>
    <w:rsid w:val="00E94319"/>
    <w:rsid w:val="00E9436A"/>
    <w:rsid w:val="00E94F11"/>
    <w:rsid w:val="00E955A6"/>
    <w:rsid w:val="00E955DD"/>
    <w:rsid w:val="00E95BD8"/>
    <w:rsid w:val="00E95E1B"/>
    <w:rsid w:val="00E96B66"/>
    <w:rsid w:val="00E96E99"/>
    <w:rsid w:val="00E97256"/>
    <w:rsid w:val="00E975CD"/>
    <w:rsid w:val="00EA1AB1"/>
    <w:rsid w:val="00EA21D0"/>
    <w:rsid w:val="00EA34C4"/>
    <w:rsid w:val="00EA4D01"/>
    <w:rsid w:val="00EA4ED3"/>
    <w:rsid w:val="00EA537B"/>
    <w:rsid w:val="00EA6485"/>
    <w:rsid w:val="00EA661F"/>
    <w:rsid w:val="00EA71C4"/>
    <w:rsid w:val="00EA7381"/>
    <w:rsid w:val="00EA7827"/>
    <w:rsid w:val="00EA7D29"/>
    <w:rsid w:val="00EA7DA8"/>
    <w:rsid w:val="00EA7E46"/>
    <w:rsid w:val="00EA7EC8"/>
    <w:rsid w:val="00EB00AE"/>
    <w:rsid w:val="00EB05B2"/>
    <w:rsid w:val="00EB08A5"/>
    <w:rsid w:val="00EB0BE8"/>
    <w:rsid w:val="00EB0DBC"/>
    <w:rsid w:val="00EB10AE"/>
    <w:rsid w:val="00EB15BE"/>
    <w:rsid w:val="00EB22F7"/>
    <w:rsid w:val="00EB2CDF"/>
    <w:rsid w:val="00EB2E8E"/>
    <w:rsid w:val="00EB3631"/>
    <w:rsid w:val="00EB388D"/>
    <w:rsid w:val="00EB38F0"/>
    <w:rsid w:val="00EB4081"/>
    <w:rsid w:val="00EB4395"/>
    <w:rsid w:val="00EB445A"/>
    <w:rsid w:val="00EB445F"/>
    <w:rsid w:val="00EB46CC"/>
    <w:rsid w:val="00EB56D6"/>
    <w:rsid w:val="00EB5B36"/>
    <w:rsid w:val="00EB5CDE"/>
    <w:rsid w:val="00EB60E7"/>
    <w:rsid w:val="00EB61C0"/>
    <w:rsid w:val="00EB62FE"/>
    <w:rsid w:val="00EB6327"/>
    <w:rsid w:val="00EB641C"/>
    <w:rsid w:val="00EB6B93"/>
    <w:rsid w:val="00EB6D55"/>
    <w:rsid w:val="00EB743D"/>
    <w:rsid w:val="00EB759A"/>
    <w:rsid w:val="00EB7C17"/>
    <w:rsid w:val="00EB7D68"/>
    <w:rsid w:val="00EC02A1"/>
    <w:rsid w:val="00EC0CC0"/>
    <w:rsid w:val="00EC0CDE"/>
    <w:rsid w:val="00EC0F45"/>
    <w:rsid w:val="00EC12E3"/>
    <w:rsid w:val="00EC1389"/>
    <w:rsid w:val="00EC17DD"/>
    <w:rsid w:val="00EC1F24"/>
    <w:rsid w:val="00EC1FC0"/>
    <w:rsid w:val="00EC2405"/>
    <w:rsid w:val="00EC2A3C"/>
    <w:rsid w:val="00EC2EB1"/>
    <w:rsid w:val="00EC390D"/>
    <w:rsid w:val="00EC4348"/>
    <w:rsid w:val="00EC4B5B"/>
    <w:rsid w:val="00EC4D7B"/>
    <w:rsid w:val="00EC53CB"/>
    <w:rsid w:val="00EC58F9"/>
    <w:rsid w:val="00EC5925"/>
    <w:rsid w:val="00EC5FEF"/>
    <w:rsid w:val="00EC602D"/>
    <w:rsid w:val="00EC606D"/>
    <w:rsid w:val="00EC66B4"/>
    <w:rsid w:val="00EC6E6E"/>
    <w:rsid w:val="00EC7120"/>
    <w:rsid w:val="00EC7884"/>
    <w:rsid w:val="00EC7A45"/>
    <w:rsid w:val="00EC7D18"/>
    <w:rsid w:val="00ED0C3F"/>
    <w:rsid w:val="00ED1824"/>
    <w:rsid w:val="00ED1839"/>
    <w:rsid w:val="00ED1862"/>
    <w:rsid w:val="00ED1C1A"/>
    <w:rsid w:val="00ED1DCB"/>
    <w:rsid w:val="00ED1EA1"/>
    <w:rsid w:val="00ED1F72"/>
    <w:rsid w:val="00ED214D"/>
    <w:rsid w:val="00ED232D"/>
    <w:rsid w:val="00ED2737"/>
    <w:rsid w:val="00ED2884"/>
    <w:rsid w:val="00ED3186"/>
    <w:rsid w:val="00ED41BB"/>
    <w:rsid w:val="00ED43E1"/>
    <w:rsid w:val="00ED447C"/>
    <w:rsid w:val="00ED4550"/>
    <w:rsid w:val="00ED512E"/>
    <w:rsid w:val="00ED551C"/>
    <w:rsid w:val="00ED5AF5"/>
    <w:rsid w:val="00ED5C36"/>
    <w:rsid w:val="00ED5CB7"/>
    <w:rsid w:val="00ED5DC0"/>
    <w:rsid w:val="00ED73B5"/>
    <w:rsid w:val="00ED7915"/>
    <w:rsid w:val="00ED7D6E"/>
    <w:rsid w:val="00ED7E17"/>
    <w:rsid w:val="00EE0662"/>
    <w:rsid w:val="00EE0BD7"/>
    <w:rsid w:val="00EE102D"/>
    <w:rsid w:val="00EE1135"/>
    <w:rsid w:val="00EE142B"/>
    <w:rsid w:val="00EE142D"/>
    <w:rsid w:val="00EE191F"/>
    <w:rsid w:val="00EE1BC4"/>
    <w:rsid w:val="00EE1C8E"/>
    <w:rsid w:val="00EE26B2"/>
    <w:rsid w:val="00EE2A63"/>
    <w:rsid w:val="00EE3B30"/>
    <w:rsid w:val="00EE3EB5"/>
    <w:rsid w:val="00EE43AD"/>
    <w:rsid w:val="00EE47F5"/>
    <w:rsid w:val="00EE5272"/>
    <w:rsid w:val="00EE57C5"/>
    <w:rsid w:val="00EE5A6C"/>
    <w:rsid w:val="00EE5ADE"/>
    <w:rsid w:val="00EE5C31"/>
    <w:rsid w:val="00EE6087"/>
    <w:rsid w:val="00EE60B1"/>
    <w:rsid w:val="00EE6392"/>
    <w:rsid w:val="00EE649E"/>
    <w:rsid w:val="00EE741F"/>
    <w:rsid w:val="00EE7851"/>
    <w:rsid w:val="00EF0131"/>
    <w:rsid w:val="00EF013F"/>
    <w:rsid w:val="00EF09AC"/>
    <w:rsid w:val="00EF11E1"/>
    <w:rsid w:val="00EF12D4"/>
    <w:rsid w:val="00EF25C1"/>
    <w:rsid w:val="00EF2A8B"/>
    <w:rsid w:val="00EF2B50"/>
    <w:rsid w:val="00EF2DB9"/>
    <w:rsid w:val="00EF2E4C"/>
    <w:rsid w:val="00EF30A8"/>
    <w:rsid w:val="00EF35C9"/>
    <w:rsid w:val="00EF375F"/>
    <w:rsid w:val="00EF3828"/>
    <w:rsid w:val="00EF3B27"/>
    <w:rsid w:val="00EF4047"/>
    <w:rsid w:val="00EF405A"/>
    <w:rsid w:val="00EF4BF0"/>
    <w:rsid w:val="00EF58C4"/>
    <w:rsid w:val="00EF5940"/>
    <w:rsid w:val="00EF6204"/>
    <w:rsid w:val="00EF641B"/>
    <w:rsid w:val="00EF65E8"/>
    <w:rsid w:val="00EF6A2C"/>
    <w:rsid w:val="00EF6C55"/>
    <w:rsid w:val="00EF6F55"/>
    <w:rsid w:val="00EF6F8D"/>
    <w:rsid w:val="00EF73FC"/>
    <w:rsid w:val="00EF77C9"/>
    <w:rsid w:val="00EF79A3"/>
    <w:rsid w:val="00EF7CE6"/>
    <w:rsid w:val="00EF7E17"/>
    <w:rsid w:val="00F006D0"/>
    <w:rsid w:val="00F01576"/>
    <w:rsid w:val="00F01652"/>
    <w:rsid w:val="00F01AB0"/>
    <w:rsid w:val="00F04178"/>
    <w:rsid w:val="00F051E2"/>
    <w:rsid w:val="00F058A2"/>
    <w:rsid w:val="00F05BB9"/>
    <w:rsid w:val="00F06127"/>
    <w:rsid w:val="00F0659C"/>
    <w:rsid w:val="00F06F54"/>
    <w:rsid w:val="00F07C8B"/>
    <w:rsid w:val="00F07D77"/>
    <w:rsid w:val="00F10520"/>
    <w:rsid w:val="00F108E1"/>
    <w:rsid w:val="00F11A70"/>
    <w:rsid w:val="00F12221"/>
    <w:rsid w:val="00F122A6"/>
    <w:rsid w:val="00F122CB"/>
    <w:rsid w:val="00F12903"/>
    <w:rsid w:val="00F12F81"/>
    <w:rsid w:val="00F13A6A"/>
    <w:rsid w:val="00F1433C"/>
    <w:rsid w:val="00F14870"/>
    <w:rsid w:val="00F14884"/>
    <w:rsid w:val="00F14A42"/>
    <w:rsid w:val="00F15368"/>
    <w:rsid w:val="00F15789"/>
    <w:rsid w:val="00F1621E"/>
    <w:rsid w:val="00F16A38"/>
    <w:rsid w:val="00F16F59"/>
    <w:rsid w:val="00F17BEC"/>
    <w:rsid w:val="00F20359"/>
    <w:rsid w:val="00F20A03"/>
    <w:rsid w:val="00F20BF1"/>
    <w:rsid w:val="00F20E7B"/>
    <w:rsid w:val="00F21088"/>
    <w:rsid w:val="00F21770"/>
    <w:rsid w:val="00F2198E"/>
    <w:rsid w:val="00F21D23"/>
    <w:rsid w:val="00F220F4"/>
    <w:rsid w:val="00F227A2"/>
    <w:rsid w:val="00F22D39"/>
    <w:rsid w:val="00F22DE8"/>
    <w:rsid w:val="00F22F7D"/>
    <w:rsid w:val="00F23B84"/>
    <w:rsid w:val="00F23CB4"/>
    <w:rsid w:val="00F2453A"/>
    <w:rsid w:val="00F246D9"/>
    <w:rsid w:val="00F2470B"/>
    <w:rsid w:val="00F247A7"/>
    <w:rsid w:val="00F24E24"/>
    <w:rsid w:val="00F262A3"/>
    <w:rsid w:val="00F26643"/>
    <w:rsid w:val="00F269BA"/>
    <w:rsid w:val="00F26A87"/>
    <w:rsid w:val="00F26F37"/>
    <w:rsid w:val="00F27609"/>
    <w:rsid w:val="00F27755"/>
    <w:rsid w:val="00F2799A"/>
    <w:rsid w:val="00F27EF9"/>
    <w:rsid w:val="00F3099D"/>
    <w:rsid w:val="00F30B6B"/>
    <w:rsid w:val="00F30DC3"/>
    <w:rsid w:val="00F31535"/>
    <w:rsid w:val="00F316A6"/>
    <w:rsid w:val="00F31972"/>
    <w:rsid w:val="00F32548"/>
    <w:rsid w:val="00F328E8"/>
    <w:rsid w:val="00F331B0"/>
    <w:rsid w:val="00F339B4"/>
    <w:rsid w:val="00F33B24"/>
    <w:rsid w:val="00F33E22"/>
    <w:rsid w:val="00F3432B"/>
    <w:rsid w:val="00F34C8E"/>
    <w:rsid w:val="00F34CAA"/>
    <w:rsid w:val="00F36FD2"/>
    <w:rsid w:val="00F3702C"/>
    <w:rsid w:val="00F37B93"/>
    <w:rsid w:val="00F4014F"/>
    <w:rsid w:val="00F4026D"/>
    <w:rsid w:val="00F404F6"/>
    <w:rsid w:val="00F40758"/>
    <w:rsid w:val="00F40B4B"/>
    <w:rsid w:val="00F410E6"/>
    <w:rsid w:val="00F4112E"/>
    <w:rsid w:val="00F415F6"/>
    <w:rsid w:val="00F4179A"/>
    <w:rsid w:val="00F4260A"/>
    <w:rsid w:val="00F429C9"/>
    <w:rsid w:val="00F42A4D"/>
    <w:rsid w:val="00F42B69"/>
    <w:rsid w:val="00F42DB9"/>
    <w:rsid w:val="00F43158"/>
    <w:rsid w:val="00F43FEC"/>
    <w:rsid w:val="00F44518"/>
    <w:rsid w:val="00F448F9"/>
    <w:rsid w:val="00F45415"/>
    <w:rsid w:val="00F45A39"/>
    <w:rsid w:val="00F45D7E"/>
    <w:rsid w:val="00F45DE5"/>
    <w:rsid w:val="00F46FFA"/>
    <w:rsid w:val="00F47114"/>
    <w:rsid w:val="00F471C5"/>
    <w:rsid w:val="00F47EA5"/>
    <w:rsid w:val="00F503DB"/>
    <w:rsid w:val="00F5068A"/>
    <w:rsid w:val="00F506FF"/>
    <w:rsid w:val="00F50798"/>
    <w:rsid w:val="00F50A8D"/>
    <w:rsid w:val="00F50BD2"/>
    <w:rsid w:val="00F50CE9"/>
    <w:rsid w:val="00F51509"/>
    <w:rsid w:val="00F5189E"/>
    <w:rsid w:val="00F52982"/>
    <w:rsid w:val="00F52AB0"/>
    <w:rsid w:val="00F52D2D"/>
    <w:rsid w:val="00F52DD8"/>
    <w:rsid w:val="00F53056"/>
    <w:rsid w:val="00F53331"/>
    <w:rsid w:val="00F534EA"/>
    <w:rsid w:val="00F53CD8"/>
    <w:rsid w:val="00F5404C"/>
    <w:rsid w:val="00F545A3"/>
    <w:rsid w:val="00F547C6"/>
    <w:rsid w:val="00F54AEF"/>
    <w:rsid w:val="00F5536E"/>
    <w:rsid w:val="00F55792"/>
    <w:rsid w:val="00F558EA"/>
    <w:rsid w:val="00F55B2B"/>
    <w:rsid w:val="00F55B6B"/>
    <w:rsid w:val="00F55B9C"/>
    <w:rsid w:val="00F55E5D"/>
    <w:rsid w:val="00F55F88"/>
    <w:rsid w:val="00F56313"/>
    <w:rsid w:val="00F56341"/>
    <w:rsid w:val="00F564A0"/>
    <w:rsid w:val="00F567F2"/>
    <w:rsid w:val="00F56A2F"/>
    <w:rsid w:val="00F56D57"/>
    <w:rsid w:val="00F56DD8"/>
    <w:rsid w:val="00F56DE4"/>
    <w:rsid w:val="00F570BA"/>
    <w:rsid w:val="00F572F6"/>
    <w:rsid w:val="00F578E4"/>
    <w:rsid w:val="00F60355"/>
    <w:rsid w:val="00F605C9"/>
    <w:rsid w:val="00F61539"/>
    <w:rsid w:val="00F6247B"/>
    <w:rsid w:val="00F6270E"/>
    <w:rsid w:val="00F63094"/>
    <w:rsid w:val="00F631E1"/>
    <w:rsid w:val="00F636C5"/>
    <w:rsid w:val="00F63898"/>
    <w:rsid w:val="00F63904"/>
    <w:rsid w:val="00F63F06"/>
    <w:rsid w:val="00F63F4D"/>
    <w:rsid w:val="00F641CA"/>
    <w:rsid w:val="00F6434C"/>
    <w:rsid w:val="00F64D02"/>
    <w:rsid w:val="00F64E21"/>
    <w:rsid w:val="00F64E49"/>
    <w:rsid w:val="00F65042"/>
    <w:rsid w:val="00F65278"/>
    <w:rsid w:val="00F6549A"/>
    <w:rsid w:val="00F65AD8"/>
    <w:rsid w:val="00F65B3D"/>
    <w:rsid w:val="00F65EB0"/>
    <w:rsid w:val="00F65F07"/>
    <w:rsid w:val="00F66248"/>
    <w:rsid w:val="00F664AF"/>
    <w:rsid w:val="00F66562"/>
    <w:rsid w:val="00F66FBE"/>
    <w:rsid w:val="00F673FA"/>
    <w:rsid w:val="00F678BC"/>
    <w:rsid w:val="00F703E8"/>
    <w:rsid w:val="00F71040"/>
    <w:rsid w:val="00F71AEE"/>
    <w:rsid w:val="00F72352"/>
    <w:rsid w:val="00F73042"/>
    <w:rsid w:val="00F730F6"/>
    <w:rsid w:val="00F740E9"/>
    <w:rsid w:val="00F7508B"/>
    <w:rsid w:val="00F7632A"/>
    <w:rsid w:val="00F76402"/>
    <w:rsid w:val="00F7647F"/>
    <w:rsid w:val="00F768AF"/>
    <w:rsid w:val="00F7722A"/>
    <w:rsid w:val="00F77A28"/>
    <w:rsid w:val="00F8085C"/>
    <w:rsid w:val="00F80C76"/>
    <w:rsid w:val="00F80D34"/>
    <w:rsid w:val="00F815E2"/>
    <w:rsid w:val="00F81684"/>
    <w:rsid w:val="00F81D8D"/>
    <w:rsid w:val="00F81E2B"/>
    <w:rsid w:val="00F82260"/>
    <w:rsid w:val="00F831F2"/>
    <w:rsid w:val="00F84CA1"/>
    <w:rsid w:val="00F85192"/>
    <w:rsid w:val="00F853A1"/>
    <w:rsid w:val="00F85ED8"/>
    <w:rsid w:val="00F86479"/>
    <w:rsid w:val="00F86695"/>
    <w:rsid w:val="00F8698F"/>
    <w:rsid w:val="00F86A60"/>
    <w:rsid w:val="00F86F0B"/>
    <w:rsid w:val="00F87D2A"/>
    <w:rsid w:val="00F9092D"/>
    <w:rsid w:val="00F90EB5"/>
    <w:rsid w:val="00F91C9B"/>
    <w:rsid w:val="00F91D93"/>
    <w:rsid w:val="00F91E02"/>
    <w:rsid w:val="00F92440"/>
    <w:rsid w:val="00F926EB"/>
    <w:rsid w:val="00F927E4"/>
    <w:rsid w:val="00F9295A"/>
    <w:rsid w:val="00F92F00"/>
    <w:rsid w:val="00F9315D"/>
    <w:rsid w:val="00F9377A"/>
    <w:rsid w:val="00F93B5F"/>
    <w:rsid w:val="00F93C60"/>
    <w:rsid w:val="00F93E46"/>
    <w:rsid w:val="00F94057"/>
    <w:rsid w:val="00F941A8"/>
    <w:rsid w:val="00F9455A"/>
    <w:rsid w:val="00F9464C"/>
    <w:rsid w:val="00F94767"/>
    <w:rsid w:val="00F94C73"/>
    <w:rsid w:val="00F94C94"/>
    <w:rsid w:val="00F9549A"/>
    <w:rsid w:val="00F965B9"/>
    <w:rsid w:val="00F96D9E"/>
    <w:rsid w:val="00F97102"/>
    <w:rsid w:val="00F97BF6"/>
    <w:rsid w:val="00F97F08"/>
    <w:rsid w:val="00FA12BC"/>
    <w:rsid w:val="00FA147F"/>
    <w:rsid w:val="00FA1827"/>
    <w:rsid w:val="00FA1A09"/>
    <w:rsid w:val="00FA25DD"/>
    <w:rsid w:val="00FA27FF"/>
    <w:rsid w:val="00FA298E"/>
    <w:rsid w:val="00FA3327"/>
    <w:rsid w:val="00FA3771"/>
    <w:rsid w:val="00FA3B7F"/>
    <w:rsid w:val="00FA3DBB"/>
    <w:rsid w:val="00FA409B"/>
    <w:rsid w:val="00FA4658"/>
    <w:rsid w:val="00FA4784"/>
    <w:rsid w:val="00FA4848"/>
    <w:rsid w:val="00FA4986"/>
    <w:rsid w:val="00FA5261"/>
    <w:rsid w:val="00FA5313"/>
    <w:rsid w:val="00FA532C"/>
    <w:rsid w:val="00FA5B60"/>
    <w:rsid w:val="00FA5C53"/>
    <w:rsid w:val="00FA7195"/>
    <w:rsid w:val="00FA743D"/>
    <w:rsid w:val="00FA775C"/>
    <w:rsid w:val="00FA7F46"/>
    <w:rsid w:val="00FA7FB2"/>
    <w:rsid w:val="00FB14A4"/>
    <w:rsid w:val="00FB16E6"/>
    <w:rsid w:val="00FB1E05"/>
    <w:rsid w:val="00FB2AA9"/>
    <w:rsid w:val="00FB2F97"/>
    <w:rsid w:val="00FB388B"/>
    <w:rsid w:val="00FB3B41"/>
    <w:rsid w:val="00FB3DF1"/>
    <w:rsid w:val="00FB4431"/>
    <w:rsid w:val="00FB47B0"/>
    <w:rsid w:val="00FB4AB5"/>
    <w:rsid w:val="00FB52D3"/>
    <w:rsid w:val="00FB52FB"/>
    <w:rsid w:val="00FB60D6"/>
    <w:rsid w:val="00FB6234"/>
    <w:rsid w:val="00FB66DF"/>
    <w:rsid w:val="00FB6A18"/>
    <w:rsid w:val="00FB6D26"/>
    <w:rsid w:val="00FB74CF"/>
    <w:rsid w:val="00FB7560"/>
    <w:rsid w:val="00FB7B8E"/>
    <w:rsid w:val="00FB7C7E"/>
    <w:rsid w:val="00FC00E4"/>
    <w:rsid w:val="00FC036E"/>
    <w:rsid w:val="00FC0AB9"/>
    <w:rsid w:val="00FC0B17"/>
    <w:rsid w:val="00FC122E"/>
    <w:rsid w:val="00FC19B2"/>
    <w:rsid w:val="00FC1A6F"/>
    <w:rsid w:val="00FC1AE6"/>
    <w:rsid w:val="00FC1B2C"/>
    <w:rsid w:val="00FC22D5"/>
    <w:rsid w:val="00FC2917"/>
    <w:rsid w:val="00FC2A19"/>
    <w:rsid w:val="00FC3002"/>
    <w:rsid w:val="00FC346F"/>
    <w:rsid w:val="00FC36E1"/>
    <w:rsid w:val="00FC439C"/>
    <w:rsid w:val="00FC43C3"/>
    <w:rsid w:val="00FC4796"/>
    <w:rsid w:val="00FC4847"/>
    <w:rsid w:val="00FC4A43"/>
    <w:rsid w:val="00FC56BB"/>
    <w:rsid w:val="00FC5BA8"/>
    <w:rsid w:val="00FC63E7"/>
    <w:rsid w:val="00FC73BD"/>
    <w:rsid w:val="00FC7756"/>
    <w:rsid w:val="00FD0000"/>
    <w:rsid w:val="00FD04D5"/>
    <w:rsid w:val="00FD0AA8"/>
    <w:rsid w:val="00FD13A8"/>
    <w:rsid w:val="00FD15F6"/>
    <w:rsid w:val="00FD1FF1"/>
    <w:rsid w:val="00FD28DB"/>
    <w:rsid w:val="00FD2975"/>
    <w:rsid w:val="00FD32B9"/>
    <w:rsid w:val="00FD41E2"/>
    <w:rsid w:val="00FD41EB"/>
    <w:rsid w:val="00FD4868"/>
    <w:rsid w:val="00FD493F"/>
    <w:rsid w:val="00FD500B"/>
    <w:rsid w:val="00FD544A"/>
    <w:rsid w:val="00FD58D8"/>
    <w:rsid w:val="00FD59BE"/>
    <w:rsid w:val="00FD5B1C"/>
    <w:rsid w:val="00FD6645"/>
    <w:rsid w:val="00FD6978"/>
    <w:rsid w:val="00FD6F62"/>
    <w:rsid w:val="00FD73D0"/>
    <w:rsid w:val="00FE02ED"/>
    <w:rsid w:val="00FE07E5"/>
    <w:rsid w:val="00FE0AFF"/>
    <w:rsid w:val="00FE1892"/>
    <w:rsid w:val="00FE1EFC"/>
    <w:rsid w:val="00FE2231"/>
    <w:rsid w:val="00FE256D"/>
    <w:rsid w:val="00FE285A"/>
    <w:rsid w:val="00FE2BCE"/>
    <w:rsid w:val="00FE343D"/>
    <w:rsid w:val="00FE3A7C"/>
    <w:rsid w:val="00FE43A8"/>
    <w:rsid w:val="00FE4882"/>
    <w:rsid w:val="00FE48DE"/>
    <w:rsid w:val="00FE5329"/>
    <w:rsid w:val="00FE5A1F"/>
    <w:rsid w:val="00FE5DFC"/>
    <w:rsid w:val="00FE7FFD"/>
    <w:rsid w:val="00FF0500"/>
    <w:rsid w:val="00FF0A4B"/>
    <w:rsid w:val="00FF0C29"/>
    <w:rsid w:val="00FF0DEB"/>
    <w:rsid w:val="00FF1199"/>
    <w:rsid w:val="00FF13E4"/>
    <w:rsid w:val="00FF2D35"/>
    <w:rsid w:val="00FF2EC0"/>
    <w:rsid w:val="00FF37B8"/>
    <w:rsid w:val="00FF3837"/>
    <w:rsid w:val="00FF384A"/>
    <w:rsid w:val="00FF46E3"/>
    <w:rsid w:val="00FF4844"/>
    <w:rsid w:val="00FF4E65"/>
    <w:rsid w:val="00FF544C"/>
    <w:rsid w:val="00FF5804"/>
    <w:rsid w:val="00FF6390"/>
    <w:rsid w:val="00FF6572"/>
    <w:rsid w:val="00FF6661"/>
    <w:rsid w:val="00FF6C9D"/>
    <w:rsid w:val="00FF6F65"/>
    <w:rsid w:val="00FF74D3"/>
    <w:rsid w:val="00FF754B"/>
    <w:rsid w:val="00FF7897"/>
    <w:rsid w:val="00FF7AB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Geenafstand"/>
    <w:link w:val="Kop1Char"/>
    <w:autoRedefine/>
    <w:uiPriority w:val="9"/>
    <w:qFormat/>
    <w:rsid w:val="00493EC7"/>
    <w:pPr>
      <w:keepNext/>
      <w:keepLines/>
      <w:outlineLvl w:val="0"/>
    </w:pPr>
    <w:rPr>
      <w:rFonts w:ascii="Verdana" w:eastAsiaTheme="majorEastAsia" w:hAnsi="Verdana" w:cstheme="majorBidi"/>
      <w:b/>
      <w:sz w:val="18"/>
      <w:szCs w:val="32"/>
    </w:rPr>
  </w:style>
  <w:style w:type="paragraph" w:styleId="Kop2">
    <w:name w:val="heading 2"/>
    <w:basedOn w:val="Standaard"/>
    <w:next w:val="Standaard"/>
    <w:link w:val="Kop2Char"/>
    <w:uiPriority w:val="9"/>
    <w:unhideWhenUsed/>
    <w:qFormat/>
    <w:rsid w:val="00774D36"/>
    <w:pPr>
      <w:keepNext/>
      <w:keepLines/>
      <w:spacing w:after="0"/>
      <w:outlineLvl w:val="1"/>
    </w:pPr>
    <w:rPr>
      <w:rFonts w:ascii="Verdana" w:eastAsiaTheme="majorEastAsia" w:hAnsi="Verdana" w:cstheme="majorBidi"/>
      <w:b/>
      <w:sz w:val="18"/>
      <w:szCs w:val="26"/>
    </w:rPr>
  </w:style>
  <w:style w:type="paragraph" w:styleId="Kop3">
    <w:name w:val="heading 3"/>
    <w:next w:val="Geenafstand"/>
    <w:link w:val="Kop3Char"/>
    <w:autoRedefine/>
    <w:uiPriority w:val="9"/>
    <w:qFormat/>
    <w:rsid w:val="00C3466E"/>
    <w:pPr>
      <w:spacing w:after="0" w:line="240" w:lineRule="auto"/>
      <w:contextualSpacing/>
      <w:outlineLvl w:val="2"/>
    </w:pPr>
    <w:rPr>
      <w:rFonts w:ascii="Verdana" w:eastAsia="Times New Roman" w:hAnsi="Verdana" w:cs="Times New Roman"/>
      <w:b/>
      <w:bCs/>
      <w:sz w:val="18"/>
      <w:szCs w:val="27"/>
      <w:lang w:eastAsia="nl-NL"/>
    </w:rPr>
  </w:style>
  <w:style w:type="paragraph" w:styleId="Kop4">
    <w:name w:val="heading 4"/>
    <w:next w:val="Geenafstand"/>
    <w:link w:val="Kop4Char"/>
    <w:uiPriority w:val="9"/>
    <w:unhideWhenUsed/>
    <w:qFormat/>
    <w:rsid w:val="000633D3"/>
    <w:pPr>
      <w:keepNext/>
      <w:keepLines/>
      <w:spacing w:after="0" w:line="240" w:lineRule="auto"/>
      <w:contextualSpacing/>
      <w:outlineLvl w:val="3"/>
    </w:pPr>
    <w:rPr>
      <w:rFonts w:ascii="Verdana" w:eastAsiaTheme="majorEastAsia" w:hAnsi="Verdana" w:cstheme="majorBidi"/>
      <w:b/>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E7083"/>
    <w:pPr>
      <w:spacing w:after="0" w:line="240" w:lineRule="auto"/>
    </w:pPr>
  </w:style>
  <w:style w:type="paragraph" w:styleId="Koptekst">
    <w:name w:val="header"/>
    <w:basedOn w:val="Standaard"/>
    <w:link w:val="KoptekstChar"/>
    <w:uiPriority w:val="99"/>
    <w:unhideWhenUsed/>
    <w:rsid w:val="00775C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5C6A"/>
  </w:style>
  <w:style w:type="paragraph" w:styleId="Voettekst">
    <w:name w:val="footer"/>
    <w:basedOn w:val="Standaard"/>
    <w:link w:val="VoettekstChar"/>
    <w:uiPriority w:val="99"/>
    <w:unhideWhenUsed/>
    <w:rsid w:val="00775C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5C6A"/>
  </w:style>
  <w:style w:type="paragraph" w:styleId="Lijstalinea">
    <w:name w:val="List Paragraph"/>
    <w:aliases w:val="Llista Nivell1,Lista de nivel 1,Lettre d'introduction,Table of contents numbered,Paragraphe de liste PBLH,BULLET 1,List Bulletized,List Paragraph Char Char"/>
    <w:basedOn w:val="Standaard"/>
    <w:uiPriority w:val="34"/>
    <w:qFormat/>
    <w:rsid w:val="00C26457"/>
    <w:pPr>
      <w:autoSpaceDE w:val="0"/>
      <w:autoSpaceDN w:val="0"/>
      <w:adjustRightInd w:val="0"/>
      <w:spacing w:before="120" w:after="120" w:line="240" w:lineRule="auto"/>
      <w:ind w:left="720"/>
      <w:contextualSpacing/>
      <w:jc w:val="both"/>
    </w:pPr>
    <w:rPr>
      <w:rFonts w:ascii="Times New Roman" w:eastAsiaTheme="minorEastAsia" w:hAnsi="Times New Roman" w:cs="Times New Roman"/>
      <w:sz w:val="24"/>
      <w:lang w:eastAsia="en-GB"/>
    </w:rPr>
  </w:style>
  <w:style w:type="character" w:styleId="Verwijzingopmerking">
    <w:name w:val="annotation reference"/>
    <w:basedOn w:val="Standaardalinea-lettertype"/>
    <w:uiPriority w:val="99"/>
    <w:rsid w:val="00C26457"/>
    <w:rPr>
      <w:sz w:val="16"/>
    </w:rPr>
  </w:style>
  <w:style w:type="paragraph" w:styleId="Tekstopmerking">
    <w:name w:val="annotation text"/>
    <w:basedOn w:val="Standaard"/>
    <w:link w:val="TekstopmerkingChar"/>
    <w:uiPriority w:val="99"/>
    <w:rsid w:val="00C26457"/>
    <w:pPr>
      <w:autoSpaceDE w:val="0"/>
      <w:autoSpaceDN w:val="0"/>
      <w:adjustRightInd w:val="0"/>
      <w:spacing w:before="120" w:after="120" w:line="240" w:lineRule="auto"/>
      <w:jc w:val="both"/>
    </w:pPr>
    <w:rPr>
      <w:rFonts w:ascii="Times New Roman" w:eastAsiaTheme="minorEastAsia" w:hAnsi="Times New Roman" w:cs="Times New Roman"/>
      <w:sz w:val="20"/>
      <w:szCs w:val="20"/>
      <w:lang w:eastAsia="en-GB"/>
    </w:rPr>
  </w:style>
  <w:style w:type="character" w:customStyle="1" w:styleId="TekstopmerkingChar">
    <w:name w:val="Tekst opmerking Char"/>
    <w:basedOn w:val="Standaardalinea-lettertype"/>
    <w:link w:val="Tekstopmerking"/>
    <w:uiPriority w:val="99"/>
    <w:rsid w:val="00C26457"/>
    <w:rPr>
      <w:rFonts w:ascii="Times New Roman" w:eastAsiaTheme="minorEastAsia" w:hAnsi="Times New Roman" w:cs="Times New Roman"/>
      <w:sz w:val="20"/>
      <w:szCs w:val="20"/>
      <w:lang w:eastAsia="en-GB"/>
    </w:rPr>
  </w:style>
  <w:style w:type="paragraph" w:styleId="Ballontekst">
    <w:name w:val="Balloon Text"/>
    <w:basedOn w:val="Standaard"/>
    <w:link w:val="BallontekstChar"/>
    <w:uiPriority w:val="99"/>
    <w:semiHidden/>
    <w:unhideWhenUsed/>
    <w:rsid w:val="00C264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6457"/>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C26457"/>
    <w:pPr>
      <w:autoSpaceDE/>
      <w:autoSpaceDN/>
      <w:adjustRightInd/>
      <w:spacing w:before="0" w:after="160"/>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C26457"/>
    <w:rPr>
      <w:rFonts w:ascii="Times New Roman" w:eastAsiaTheme="minorEastAsia" w:hAnsi="Times New Roman" w:cs="Times New Roman"/>
      <w:b/>
      <w:bCs/>
      <w:sz w:val="20"/>
      <w:szCs w:val="20"/>
      <w:lang w:eastAsia="en-GB"/>
    </w:rPr>
  </w:style>
  <w:style w:type="paragraph" w:styleId="Voetnoottekst">
    <w:name w:val="footnote text"/>
    <w:basedOn w:val="Standaard"/>
    <w:link w:val="VoetnoottekstChar"/>
    <w:uiPriority w:val="99"/>
    <w:unhideWhenUsed/>
    <w:qFormat/>
    <w:rsid w:val="00C26457"/>
    <w:pPr>
      <w:spacing w:after="0" w:line="240" w:lineRule="auto"/>
      <w:ind w:left="720" w:hanging="720"/>
    </w:pPr>
    <w:rPr>
      <w:rFonts w:ascii="Times New Roman" w:eastAsia="Calibri" w:hAnsi="Times New Roman" w:cs="Times New Roman"/>
      <w:sz w:val="20"/>
      <w:szCs w:val="20"/>
    </w:rPr>
  </w:style>
  <w:style w:type="character" w:customStyle="1" w:styleId="VoetnoottekstChar">
    <w:name w:val="Voetnoottekst Char"/>
    <w:basedOn w:val="Standaardalinea-lettertype"/>
    <w:link w:val="Voetnoottekst"/>
    <w:uiPriority w:val="99"/>
    <w:qFormat/>
    <w:rsid w:val="00C26457"/>
    <w:rPr>
      <w:rFonts w:ascii="Times New Roman" w:eastAsia="Calibri" w:hAnsi="Times New Roman" w:cs="Times New Roman"/>
      <w:sz w:val="20"/>
      <w:szCs w:val="20"/>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link w:val="FootnoteReferenceCharChar1"/>
    <w:uiPriority w:val="99"/>
    <w:qFormat/>
    <w:rsid w:val="00C26457"/>
    <w:rPr>
      <w:b w:val="0"/>
      <w:shd w:val="clear" w:color="auto" w:fill="auto"/>
      <w:vertAlign w:val="superscript"/>
    </w:rPr>
  </w:style>
  <w:style w:type="table" w:customStyle="1" w:styleId="HTG2">
    <w:name w:val="HTG2"/>
    <w:basedOn w:val="Standaardtabel"/>
    <w:next w:val="Tabelraster"/>
    <w:uiPriority w:val="59"/>
    <w:rsid w:val="00C264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C2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26457"/>
    <w:pPr>
      <w:spacing w:after="0" w:line="240" w:lineRule="auto"/>
    </w:pPr>
    <w:rPr>
      <w:rFonts w:ascii="Times New Roman" w:eastAsia="Calibri" w:hAnsi="Times New Roman" w:cs="Times New Roman"/>
      <w:sz w:val="24"/>
      <w:szCs w:val="24"/>
    </w:rPr>
  </w:style>
  <w:style w:type="character" w:customStyle="1" w:styleId="Kop3Char">
    <w:name w:val="Kop 3 Char"/>
    <w:basedOn w:val="Standaardalinea-lettertype"/>
    <w:link w:val="Kop3"/>
    <w:uiPriority w:val="9"/>
    <w:rsid w:val="00C3466E"/>
    <w:rPr>
      <w:rFonts w:ascii="Verdana" w:eastAsia="Times New Roman" w:hAnsi="Verdana" w:cs="Times New Roman"/>
      <w:b/>
      <w:bCs/>
      <w:sz w:val="18"/>
      <w:szCs w:val="27"/>
      <w:lang w:eastAsia="nl-NL"/>
    </w:rPr>
  </w:style>
  <w:style w:type="character" w:customStyle="1" w:styleId="Kop1Char">
    <w:name w:val="Kop 1 Char"/>
    <w:basedOn w:val="Standaardalinea-lettertype"/>
    <w:link w:val="Kop1"/>
    <w:uiPriority w:val="9"/>
    <w:rsid w:val="00493EC7"/>
    <w:rPr>
      <w:rFonts w:ascii="Verdana" w:eastAsiaTheme="majorEastAsia" w:hAnsi="Verdana" w:cstheme="majorBidi"/>
      <w:b/>
      <w:sz w:val="18"/>
      <w:szCs w:val="32"/>
    </w:rPr>
  </w:style>
  <w:style w:type="paragraph" w:customStyle="1" w:styleId="Default">
    <w:name w:val="Default"/>
    <w:rsid w:val="007D3D62"/>
    <w:pPr>
      <w:autoSpaceDE w:val="0"/>
      <w:autoSpaceDN w:val="0"/>
      <w:adjustRightInd w:val="0"/>
      <w:spacing w:after="0" w:line="240" w:lineRule="auto"/>
    </w:pPr>
    <w:rPr>
      <w:rFonts w:ascii="EUAlbertina" w:hAnsi="EUAlbertina" w:cs="EUAlbertina"/>
      <w:color w:val="000000"/>
      <w:sz w:val="24"/>
      <w:szCs w:val="24"/>
    </w:rPr>
  </w:style>
  <w:style w:type="paragraph" w:customStyle="1" w:styleId="oj-tbl-hdr">
    <w:name w:val="oj-tbl-hdr"/>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8698F"/>
    <w:rPr>
      <w:color w:val="0000FF"/>
      <w:u w:val="single"/>
    </w:rPr>
  </w:style>
  <w:style w:type="character" w:customStyle="1" w:styleId="oj-super">
    <w:name w:val="oj-super"/>
    <w:basedOn w:val="Standaardalinea-lettertype"/>
    <w:rsid w:val="0090324A"/>
  </w:style>
  <w:style w:type="paragraph" w:customStyle="1" w:styleId="oj-tbl-txt">
    <w:name w:val="oj-tbl-txt"/>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te">
    <w:name w:val="oj-note"/>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roodtekst">
    <w:name w:val="broodtekst"/>
    <w:basedOn w:val="Standaard"/>
    <w:qFormat/>
    <w:rsid w:val="00851000"/>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pf0">
    <w:name w:val="pf0"/>
    <w:basedOn w:val="Standaard"/>
    <w:rsid w:val="00B84E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B84E6F"/>
    <w:rPr>
      <w:rFonts w:ascii="Segoe UI" w:hAnsi="Segoe UI" w:cs="Segoe UI" w:hint="default"/>
      <w:sz w:val="18"/>
      <w:szCs w:val="18"/>
    </w:rPr>
  </w:style>
  <w:style w:type="paragraph" w:styleId="Kopvaninhoudsopgave">
    <w:name w:val="TOC Heading"/>
    <w:basedOn w:val="Kop1"/>
    <w:next w:val="Standaard"/>
    <w:uiPriority w:val="39"/>
    <w:unhideWhenUsed/>
    <w:qFormat/>
    <w:rsid w:val="00222F8E"/>
    <w:pPr>
      <w:spacing w:line="259" w:lineRule="auto"/>
      <w:outlineLvl w:val="9"/>
    </w:pPr>
    <w:rPr>
      <w:rFonts w:asciiTheme="majorHAnsi" w:hAnsiTheme="majorHAnsi"/>
      <w:b w:val="0"/>
      <w:color w:val="2E74B5" w:themeColor="accent1" w:themeShade="BF"/>
      <w:sz w:val="32"/>
      <w:lang w:eastAsia="nl-NL"/>
    </w:rPr>
  </w:style>
  <w:style w:type="paragraph" w:styleId="Eindnoottekst">
    <w:name w:val="endnote text"/>
    <w:basedOn w:val="Standaard"/>
    <w:link w:val="EindnoottekstChar"/>
    <w:uiPriority w:val="99"/>
    <w:semiHidden/>
    <w:unhideWhenUsed/>
    <w:rsid w:val="003E7DF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E7DFE"/>
    <w:rPr>
      <w:sz w:val="20"/>
      <w:szCs w:val="20"/>
    </w:rPr>
  </w:style>
  <w:style w:type="paragraph" w:styleId="Inhopg1">
    <w:name w:val="toc 1"/>
    <w:basedOn w:val="Geenafstand"/>
    <w:next w:val="Geenafstand"/>
    <w:link w:val="Inhopg1Char"/>
    <w:autoRedefine/>
    <w:uiPriority w:val="39"/>
    <w:unhideWhenUsed/>
    <w:rsid w:val="003F583E"/>
    <w:pPr>
      <w:tabs>
        <w:tab w:val="right" w:leader="dot" w:pos="9350"/>
      </w:tabs>
      <w:spacing w:line="220" w:lineRule="exact"/>
    </w:pPr>
    <w:rPr>
      <w:rFonts w:ascii="Verdana" w:hAnsi="Verdana"/>
      <w:b/>
      <w:sz w:val="18"/>
    </w:rPr>
  </w:style>
  <w:style w:type="character" w:customStyle="1" w:styleId="Kop2Char">
    <w:name w:val="Kop 2 Char"/>
    <w:basedOn w:val="Standaardalinea-lettertype"/>
    <w:link w:val="Kop2"/>
    <w:uiPriority w:val="9"/>
    <w:rsid w:val="00774D36"/>
    <w:rPr>
      <w:rFonts w:ascii="Verdana" w:eastAsiaTheme="majorEastAsia" w:hAnsi="Verdana" w:cstheme="majorBidi"/>
      <w:b/>
      <w:sz w:val="18"/>
      <w:szCs w:val="26"/>
    </w:rPr>
  </w:style>
  <w:style w:type="paragraph" w:styleId="Inhopg2">
    <w:name w:val="toc 2"/>
    <w:basedOn w:val="Geenafstand"/>
    <w:next w:val="Geenafstand"/>
    <w:autoRedefine/>
    <w:uiPriority w:val="39"/>
    <w:unhideWhenUsed/>
    <w:rsid w:val="00B4390C"/>
    <w:pPr>
      <w:tabs>
        <w:tab w:val="right" w:leader="dot" w:pos="9350"/>
      </w:tabs>
      <w:spacing w:line="240" w:lineRule="exact"/>
      <w:ind w:left="221"/>
    </w:pPr>
    <w:rPr>
      <w:rFonts w:ascii="Verdana" w:hAnsi="Verdana"/>
      <w:sz w:val="18"/>
    </w:rPr>
  </w:style>
  <w:style w:type="paragraph" w:styleId="Inhopg3">
    <w:name w:val="toc 3"/>
    <w:basedOn w:val="Geenafstand"/>
    <w:next w:val="Geenafstand"/>
    <w:autoRedefine/>
    <w:uiPriority w:val="39"/>
    <w:unhideWhenUsed/>
    <w:rsid w:val="00FB47B0"/>
    <w:pPr>
      <w:tabs>
        <w:tab w:val="right" w:leader="dot" w:pos="9350"/>
      </w:tabs>
      <w:spacing w:line="240" w:lineRule="exact"/>
      <w:ind w:left="442"/>
    </w:pPr>
    <w:rPr>
      <w:rFonts w:ascii="Verdana" w:hAnsi="Verdana"/>
      <w:sz w:val="18"/>
    </w:rPr>
  </w:style>
  <w:style w:type="character" w:customStyle="1" w:styleId="Kop4Char">
    <w:name w:val="Kop 4 Char"/>
    <w:basedOn w:val="Standaardalinea-lettertype"/>
    <w:link w:val="Kop4"/>
    <w:uiPriority w:val="9"/>
    <w:rsid w:val="000633D3"/>
    <w:rPr>
      <w:rFonts w:ascii="Verdana" w:eastAsiaTheme="majorEastAsia" w:hAnsi="Verdana" w:cstheme="majorBidi"/>
      <w:b/>
      <w:iCs/>
      <w:sz w:val="18"/>
    </w:rPr>
  </w:style>
  <w:style w:type="character" w:customStyle="1" w:styleId="cf11">
    <w:name w:val="cf11"/>
    <w:basedOn w:val="Standaardalinea-lettertype"/>
    <w:rsid w:val="00625CB6"/>
    <w:rPr>
      <w:rFonts w:ascii="Segoe UI" w:hAnsi="Segoe UI" w:cs="Segoe UI" w:hint="default"/>
      <w:i/>
      <w:iCs/>
      <w:sz w:val="18"/>
      <w:szCs w:val="18"/>
    </w:rPr>
  </w:style>
  <w:style w:type="character" w:customStyle="1" w:styleId="GeenafstandChar">
    <w:name w:val="Geen afstand Char"/>
    <w:basedOn w:val="Standaardalinea-lettertype"/>
    <w:link w:val="Geenafstand"/>
    <w:uiPriority w:val="1"/>
    <w:rsid w:val="000A3B7A"/>
  </w:style>
  <w:style w:type="character" w:customStyle="1" w:styleId="Inhopg1Char">
    <w:name w:val="Inhopg 1 Char"/>
    <w:basedOn w:val="GeenafstandChar"/>
    <w:link w:val="Inhopg1"/>
    <w:uiPriority w:val="39"/>
    <w:rsid w:val="003F583E"/>
    <w:rPr>
      <w:rFonts w:ascii="Verdana" w:hAnsi="Verdana"/>
      <w:b/>
      <w:sz w:val="18"/>
    </w:rPr>
  </w:style>
  <w:style w:type="paragraph" w:styleId="Inhopg4">
    <w:name w:val="toc 4"/>
    <w:basedOn w:val="Standaard"/>
    <w:next w:val="Standaard"/>
    <w:autoRedefine/>
    <w:uiPriority w:val="39"/>
    <w:unhideWhenUsed/>
    <w:rsid w:val="002C7B27"/>
    <w:pPr>
      <w:tabs>
        <w:tab w:val="right" w:leader="dot" w:pos="9350"/>
      </w:tabs>
      <w:spacing w:after="0" w:line="240" w:lineRule="exact"/>
      <w:ind w:left="658"/>
    </w:pPr>
    <w:rPr>
      <w:rFonts w:ascii="Verdana" w:hAnsi="Verdana"/>
      <w:sz w:val="18"/>
    </w:rPr>
  </w:style>
  <w:style w:type="character" w:customStyle="1" w:styleId="cf21">
    <w:name w:val="cf21"/>
    <w:basedOn w:val="Standaardalinea-lettertype"/>
    <w:rsid w:val="00CE333A"/>
    <w:rPr>
      <w:rFonts w:ascii="Segoe UI" w:hAnsi="Segoe UI" w:cs="Segoe UI" w:hint="default"/>
      <w:b/>
      <w:bCs/>
      <w:sz w:val="18"/>
      <w:szCs w:val="18"/>
    </w:rPr>
  </w:style>
  <w:style w:type="character" w:customStyle="1" w:styleId="cf31">
    <w:name w:val="cf31"/>
    <w:basedOn w:val="Standaardalinea-lettertype"/>
    <w:rsid w:val="00CE333A"/>
    <w:rPr>
      <w:rFonts w:ascii="Segoe UI" w:hAnsi="Segoe UI" w:cs="Segoe UI" w:hint="default"/>
      <w:b/>
      <w:bCs/>
      <w:i/>
      <w:iCs/>
      <w:sz w:val="18"/>
      <w:szCs w:val="18"/>
    </w:rPr>
  </w:style>
  <w:style w:type="character" w:styleId="Zwaar">
    <w:name w:val="Strong"/>
    <w:basedOn w:val="Standaardalinea-lettertype"/>
    <w:uiPriority w:val="22"/>
    <w:qFormat/>
    <w:rsid w:val="00CE333A"/>
    <w:rPr>
      <w:b/>
      <w:bCs/>
    </w:rPr>
  </w:style>
  <w:style w:type="paragraph" w:styleId="Inhopg5">
    <w:name w:val="toc 5"/>
    <w:basedOn w:val="Standaard"/>
    <w:next w:val="Standaard"/>
    <w:autoRedefine/>
    <w:uiPriority w:val="39"/>
    <w:unhideWhenUsed/>
    <w:rsid w:val="0076427A"/>
    <w:pPr>
      <w:spacing w:after="100"/>
      <w:ind w:left="880"/>
    </w:pPr>
    <w:rPr>
      <w:rFonts w:eastAsiaTheme="minorEastAsia"/>
      <w:lang w:eastAsia="nl-NL"/>
    </w:rPr>
  </w:style>
  <w:style w:type="paragraph" w:styleId="Inhopg6">
    <w:name w:val="toc 6"/>
    <w:basedOn w:val="Standaard"/>
    <w:next w:val="Standaard"/>
    <w:autoRedefine/>
    <w:uiPriority w:val="39"/>
    <w:unhideWhenUsed/>
    <w:rsid w:val="0076427A"/>
    <w:pPr>
      <w:spacing w:after="100"/>
      <w:ind w:left="1100"/>
    </w:pPr>
    <w:rPr>
      <w:rFonts w:eastAsiaTheme="minorEastAsia"/>
      <w:lang w:eastAsia="nl-NL"/>
    </w:rPr>
  </w:style>
  <w:style w:type="paragraph" w:styleId="Inhopg7">
    <w:name w:val="toc 7"/>
    <w:basedOn w:val="Standaard"/>
    <w:next w:val="Standaard"/>
    <w:autoRedefine/>
    <w:uiPriority w:val="39"/>
    <w:unhideWhenUsed/>
    <w:rsid w:val="0076427A"/>
    <w:pPr>
      <w:spacing w:after="100"/>
      <w:ind w:left="1320"/>
    </w:pPr>
    <w:rPr>
      <w:rFonts w:eastAsiaTheme="minorEastAsia"/>
      <w:lang w:eastAsia="nl-NL"/>
    </w:rPr>
  </w:style>
  <w:style w:type="paragraph" w:styleId="Inhopg8">
    <w:name w:val="toc 8"/>
    <w:basedOn w:val="Standaard"/>
    <w:next w:val="Standaard"/>
    <w:autoRedefine/>
    <w:uiPriority w:val="39"/>
    <w:unhideWhenUsed/>
    <w:rsid w:val="0076427A"/>
    <w:pPr>
      <w:spacing w:after="100"/>
      <w:ind w:left="1540"/>
    </w:pPr>
    <w:rPr>
      <w:rFonts w:eastAsiaTheme="minorEastAsia"/>
      <w:lang w:eastAsia="nl-NL"/>
    </w:rPr>
  </w:style>
  <w:style w:type="paragraph" w:styleId="Inhopg9">
    <w:name w:val="toc 9"/>
    <w:basedOn w:val="Standaard"/>
    <w:next w:val="Standaard"/>
    <w:autoRedefine/>
    <w:uiPriority w:val="39"/>
    <w:unhideWhenUsed/>
    <w:rsid w:val="0076427A"/>
    <w:pPr>
      <w:spacing w:after="100"/>
      <w:ind w:left="1760"/>
    </w:pPr>
    <w:rPr>
      <w:rFonts w:eastAsiaTheme="minorEastAsia"/>
      <w:lang w:eastAsia="nl-NL"/>
    </w:rPr>
  </w:style>
  <w:style w:type="character" w:styleId="Onopgelostemelding">
    <w:name w:val="Unresolved Mention"/>
    <w:basedOn w:val="Standaardalinea-lettertype"/>
    <w:uiPriority w:val="99"/>
    <w:semiHidden/>
    <w:unhideWhenUsed/>
    <w:rsid w:val="0076427A"/>
    <w:rPr>
      <w:color w:val="605E5C"/>
      <w:shd w:val="clear" w:color="auto" w:fill="E1DFDD"/>
    </w:rPr>
  </w:style>
  <w:style w:type="paragraph" w:styleId="Bijschrift">
    <w:name w:val="caption"/>
    <w:basedOn w:val="Standaard"/>
    <w:next w:val="Standaard"/>
    <w:uiPriority w:val="35"/>
    <w:unhideWhenUsed/>
    <w:qFormat/>
    <w:rsid w:val="006D7F2C"/>
    <w:pPr>
      <w:spacing w:after="200" w:line="240" w:lineRule="auto"/>
    </w:pPr>
    <w:rPr>
      <w:i/>
      <w:iCs/>
      <w:color w:val="44546A" w:themeColor="text2"/>
      <w:sz w:val="18"/>
      <w:szCs w:val="18"/>
    </w:rPr>
  </w:style>
  <w:style w:type="character" w:styleId="GevolgdeHyperlink">
    <w:name w:val="FollowedHyperlink"/>
    <w:basedOn w:val="Standaardalinea-lettertype"/>
    <w:uiPriority w:val="99"/>
    <w:semiHidden/>
    <w:unhideWhenUsed/>
    <w:rsid w:val="002C4577"/>
    <w:rPr>
      <w:color w:val="954F72" w:themeColor="followedHyperlink"/>
      <w:u w:val="single"/>
    </w:rPr>
  </w:style>
  <w:style w:type="character" w:customStyle="1" w:styleId="eop">
    <w:name w:val="eop"/>
    <w:basedOn w:val="Standaardalinea-lettertype"/>
    <w:rsid w:val="00C432BF"/>
  </w:style>
  <w:style w:type="character" w:customStyle="1" w:styleId="normaltextrun">
    <w:name w:val="normaltextrun"/>
    <w:basedOn w:val="Standaardalinea-lettertype"/>
    <w:rsid w:val="00C432BF"/>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EB7C17"/>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344">
      <w:bodyDiv w:val="1"/>
      <w:marLeft w:val="0"/>
      <w:marRight w:val="0"/>
      <w:marTop w:val="0"/>
      <w:marBottom w:val="0"/>
      <w:divBdr>
        <w:top w:val="none" w:sz="0" w:space="0" w:color="auto"/>
        <w:left w:val="none" w:sz="0" w:space="0" w:color="auto"/>
        <w:bottom w:val="none" w:sz="0" w:space="0" w:color="auto"/>
        <w:right w:val="none" w:sz="0" w:space="0" w:color="auto"/>
      </w:divBdr>
    </w:div>
    <w:div w:id="45178999">
      <w:bodyDiv w:val="1"/>
      <w:marLeft w:val="0"/>
      <w:marRight w:val="0"/>
      <w:marTop w:val="0"/>
      <w:marBottom w:val="0"/>
      <w:divBdr>
        <w:top w:val="none" w:sz="0" w:space="0" w:color="auto"/>
        <w:left w:val="none" w:sz="0" w:space="0" w:color="auto"/>
        <w:bottom w:val="none" w:sz="0" w:space="0" w:color="auto"/>
        <w:right w:val="none" w:sz="0" w:space="0" w:color="auto"/>
      </w:divBdr>
    </w:div>
    <w:div w:id="46076124">
      <w:bodyDiv w:val="1"/>
      <w:marLeft w:val="0"/>
      <w:marRight w:val="0"/>
      <w:marTop w:val="0"/>
      <w:marBottom w:val="0"/>
      <w:divBdr>
        <w:top w:val="none" w:sz="0" w:space="0" w:color="auto"/>
        <w:left w:val="none" w:sz="0" w:space="0" w:color="auto"/>
        <w:bottom w:val="none" w:sz="0" w:space="0" w:color="auto"/>
        <w:right w:val="none" w:sz="0" w:space="0" w:color="auto"/>
      </w:divBdr>
    </w:div>
    <w:div w:id="49574363">
      <w:bodyDiv w:val="1"/>
      <w:marLeft w:val="0"/>
      <w:marRight w:val="0"/>
      <w:marTop w:val="0"/>
      <w:marBottom w:val="0"/>
      <w:divBdr>
        <w:top w:val="none" w:sz="0" w:space="0" w:color="auto"/>
        <w:left w:val="none" w:sz="0" w:space="0" w:color="auto"/>
        <w:bottom w:val="none" w:sz="0" w:space="0" w:color="auto"/>
        <w:right w:val="none" w:sz="0" w:space="0" w:color="auto"/>
      </w:divBdr>
    </w:div>
    <w:div w:id="61025363">
      <w:bodyDiv w:val="1"/>
      <w:marLeft w:val="0"/>
      <w:marRight w:val="0"/>
      <w:marTop w:val="0"/>
      <w:marBottom w:val="0"/>
      <w:divBdr>
        <w:top w:val="none" w:sz="0" w:space="0" w:color="auto"/>
        <w:left w:val="none" w:sz="0" w:space="0" w:color="auto"/>
        <w:bottom w:val="none" w:sz="0" w:space="0" w:color="auto"/>
        <w:right w:val="none" w:sz="0" w:space="0" w:color="auto"/>
      </w:divBdr>
    </w:div>
    <w:div w:id="68813334">
      <w:bodyDiv w:val="1"/>
      <w:marLeft w:val="0"/>
      <w:marRight w:val="0"/>
      <w:marTop w:val="0"/>
      <w:marBottom w:val="0"/>
      <w:divBdr>
        <w:top w:val="none" w:sz="0" w:space="0" w:color="auto"/>
        <w:left w:val="none" w:sz="0" w:space="0" w:color="auto"/>
        <w:bottom w:val="none" w:sz="0" w:space="0" w:color="auto"/>
        <w:right w:val="none" w:sz="0" w:space="0" w:color="auto"/>
      </w:divBdr>
    </w:div>
    <w:div w:id="106386624">
      <w:bodyDiv w:val="1"/>
      <w:marLeft w:val="0"/>
      <w:marRight w:val="0"/>
      <w:marTop w:val="0"/>
      <w:marBottom w:val="0"/>
      <w:divBdr>
        <w:top w:val="none" w:sz="0" w:space="0" w:color="auto"/>
        <w:left w:val="none" w:sz="0" w:space="0" w:color="auto"/>
        <w:bottom w:val="none" w:sz="0" w:space="0" w:color="auto"/>
        <w:right w:val="none" w:sz="0" w:space="0" w:color="auto"/>
      </w:divBdr>
    </w:div>
    <w:div w:id="114563732">
      <w:bodyDiv w:val="1"/>
      <w:marLeft w:val="0"/>
      <w:marRight w:val="0"/>
      <w:marTop w:val="0"/>
      <w:marBottom w:val="0"/>
      <w:divBdr>
        <w:top w:val="none" w:sz="0" w:space="0" w:color="auto"/>
        <w:left w:val="none" w:sz="0" w:space="0" w:color="auto"/>
        <w:bottom w:val="none" w:sz="0" w:space="0" w:color="auto"/>
        <w:right w:val="none" w:sz="0" w:space="0" w:color="auto"/>
      </w:divBdr>
    </w:div>
    <w:div w:id="173883241">
      <w:bodyDiv w:val="1"/>
      <w:marLeft w:val="0"/>
      <w:marRight w:val="0"/>
      <w:marTop w:val="0"/>
      <w:marBottom w:val="0"/>
      <w:divBdr>
        <w:top w:val="none" w:sz="0" w:space="0" w:color="auto"/>
        <w:left w:val="none" w:sz="0" w:space="0" w:color="auto"/>
        <w:bottom w:val="none" w:sz="0" w:space="0" w:color="auto"/>
        <w:right w:val="none" w:sz="0" w:space="0" w:color="auto"/>
      </w:divBdr>
    </w:div>
    <w:div w:id="192303603">
      <w:bodyDiv w:val="1"/>
      <w:marLeft w:val="0"/>
      <w:marRight w:val="0"/>
      <w:marTop w:val="0"/>
      <w:marBottom w:val="0"/>
      <w:divBdr>
        <w:top w:val="none" w:sz="0" w:space="0" w:color="auto"/>
        <w:left w:val="none" w:sz="0" w:space="0" w:color="auto"/>
        <w:bottom w:val="none" w:sz="0" w:space="0" w:color="auto"/>
        <w:right w:val="none" w:sz="0" w:space="0" w:color="auto"/>
      </w:divBdr>
    </w:div>
    <w:div w:id="240798234">
      <w:bodyDiv w:val="1"/>
      <w:marLeft w:val="0"/>
      <w:marRight w:val="0"/>
      <w:marTop w:val="0"/>
      <w:marBottom w:val="0"/>
      <w:divBdr>
        <w:top w:val="none" w:sz="0" w:space="0" w:color="auto"/>
        <w:left w:val="none" w:sz="0" w:space="0" w:color="auto"/>
        <w:bottom w:val="none" w:sz="0" w:space="0" w:color="auto"/>
        <w:right w:val="none" w:sz="0" w:space="0" w:color="auto"/>
      </w:divBdr>
    </w:div>
    <w:div w:id="244262937">
      <w:bodyDiv w:val="1"/>
      <w:marLeft w:val="0"/>
      <w:marRight w:val="0"/>
      <w:marTop w:val="0"/>
      <w:marBottom w:val="0"/>
      <w:divBdr>
        <w:top w:val="none" w:sz="0" w:space="0" w:color="auto"/>
        <w:left w:val="none" w:sz="0" w:space="0" w:color="auto"/>
        <w:bottom w:val="none" w:sz="0" w:space="0" w:color="auto"/>
        <w:right w:val="none" w:sz="0" w:space="0" w:color="auto"/>
      </w:divBdr>
    </w:div>
    <w:div w:id="248782061">
      <w:bodyDiv w:val="1"/>
      <w:marLeft w:val="0"/>
      <w:marRight w:val="0"/>
      <w:marTop w:val="0"/>
      <w:marBottom w:val="0"/>
      <w:divBdr>
        <w:top w:val="none" w:sz="0" w:space="0" w:color="auto"/>
        <w:left w:val="none" w:sz="0" w:space="0" w:color="auto"/>
        <w:bottom w:val="none" w:sz="0" w:space="0" w:color="auto"/>
        <w:right w:val="none" w:sz="0" w:space="0" w:color="auto"/>
      </w:divBdr>
    </w:div>
    <w:div w:id="249240730">
      <w:bodyDiv w:val="1"/>
      <w:marLeft w:val="0"/>
      <w:marRight w:val="0"/>
      <w:marTop w:val="0"/>
      <w:marBottom w:val="0"/>
      <w:divBdr>
        <w:top w:val="none" w:sz="0" w:space="0" w:color="auto"/>
        <w:left w:val="none" w:sz="0" w:space="0" w:color="auto"/>
        <w:bottom w:val="none" w:sz="0" w:space="0" w:color="auto"/>
        <w:right w:val="none" w:sz="0" w:space="0" w:color="auto"/>
      </w:divBdr>
    </w:div>
    <w:div w:id="289943604">
      <w:bodyDiv w:val="1"/>
      <w:marLeft w:val="0"/>
      <w:marRight w:val="0"/>
      <w:marTop w:val="0"/>
      <w:marBottom w:val="0"/>
      <w:divBdr>
        <w:top w:val="none" w:sz="0" w:space="0" w:color="auto"/>
        <w:left w:val="none" w:sz="0" w:space="0" w:color="auto"/>
        <w:bottom w:val="none" w:sz="0" w:space="0" w:color="auto"/>
        <w:right w:val="none" w:sz="0" w:space="0" w:color="auto"/>
      </w:divBdr>
    </w:div>
    <w:div w:id="318774911">
      <w:bodyDiv w:val="1"/>
      <w:marLeft w:val="0"/>
      <w:marRight w:val="0"/>
      <w:marTop w:val="0"/>
      <w:marBottom w:val="0"/>
      <w:divBdr>
        <w:top w:val="none" w:sz="0" w:space="0" w:color="auto"/>
        <w:left w:val="none" w:sz="0" w:space="0" w:color="auto"/>
        <w:bottom w:val="none" w:sz="0" w:space="0" w:color="auto"/>
        <w:right w:val="none" w:sz="0" w:space="0" w:color="auto"/>
      </w:divBdr>
    </w:div>
    <w:div w:id="320811585">
      <w:bodyDiv w:val="1"/>
      <w:marLeft w:val="0"/>
      <w:marRight w:val="0"/>
      <w:marTop w:val="0"/>
      <w:marBottom w:val="0"/>
      <w:divBdr>
        <w:top w:val="none" w:sz="0" w:space="0" w:color="auto"/>
        <w:left w:val="none" w:sz="0" w:space="0" w:color="auto"/>
        <w:bottom w:val="none" w:sz="0" w:space="0" w:color="auto"/>
        <w:right w:val="none" w:sz="0" w:space="0" w:color="auto"/>
      </w:divBdr>
    </w:div>
    <w:div w:id="351420029">
      <w:bodyDiv w:val="1"/>
      <w:marLeft w:val="0"/>
      <w:marRight w:val="0"/>
      <w:marTop w:val="0"/>
      <w:marBottom w:val="0"/>
      <w:divBdr>
        <w:top w:val="none" w:sz="0" w:space="0" w:color="auto"/>
        <w:left w:val="none" w:sz="0" w:space="0" w:color="auto"/>
        <w:bottom w:val="none" w:sz="0" w:space="0" w:color="auto"/>
        <w:right w:val="none" w:sz="0" w:space="0" w:color="auto"/>
      </w:divBdr>
    </w:div>
    <w:div w:id="360475940">
      <w:bodyDiv w:val="1"/>
      <w:marLeft w:val="0"/>
      <w:marRight w:val="0"/>
      <w:marTop w:val="0"/>
      <w:marBottom w:val="0"/>
      <w:divBdr>
        <w:top w:val="none" w:sz="0" w:space="0" w:color="auto"/>
        <w:left w:val="none" w:sz="0" w:space="0" w:color="auto"/>
        <w:bottom w:val="none" w:sz="0" w:space="0" w:color="auto"/>
        <w:right w:val="none" w:sz="0" w:space="0" w:color="auto"/>
      </w:divBdr>
    </w:div>
    <w:div w:id="368183058">
      <w:bodyDiv w:val="1"/>
      <w:marLeft w:val="0"/>
      <w:marRight w:val="0"/>
      <w:marTop w:val="0"/>
      <w:marBottom w:val="0"/>
      <w:divBdr>
        <w:top w:val="none" w:sz="0" w:space="0" w:color="auto"/>
        <w:left w:val="none" w:sz="0" w:space="0" w:color="auto"/>
        <w:bottom w:val="none" w:sz="0" w:space="0" w:color="auto"/>
        <w:right w:val="none" w:sz="0" w:space="0" w:color="auto"/>
      </w:divBdr>
    </w:div>
    <w:div w:id="425804621">
      <w:bodyDiv w:val="1"/>
      <w:marLeft w:val="0"/>
      <w:marRight w:val="0"/>
      <w:marTop w:val="0"/>
      <w:marBottom w:val="0"/>
      <w:divBdr>
        <w:top w:val="none" w:sz="0" w:space="0" w:color="auto"/>
        <w:left w:val="none" w:sz="0" w:space="0" w:color="auto"/>
        <w:bottom w:val="none" w:sz="0" w:space="0" w:color="auto"/>
        <w:right w:val="none" w:sz="0" w:space="0" w:color="auto"/>
      </w:divBdr>
    </w:div>
    <w:div w:id="510294350">
      <w:bodyDiv w:val="1"/>
      <w:marLeft w:val="0"/>
      <w:marRight w:val="0"/>
      <w:marTop w:val="0"/>
      <w:marBottom w:val="0"/>
      <w:divBdr>
        <w:top w:val="none" w:sz="0" w:space="0" w:color="auto"/>
        <w:left w:val="none" w:sz="0" w:space="0" w:color="auto"/>
        <w:bottom w:val="none" w:sz="0" w:space="0" w:color="auto"/>
        <w:right w:val="none" w:sz="0" w:space="0" w:color="auto"/>
      </w:divBdr>
    </w:div>
    <w:div w:id="563759303">
      <w:bodyDiv w:val="1"/>
      <w:marLeft w:val="0"/>
      <w:marRight w:val="0"/>
      <w:marTop w:val="0"/>
      <w:marBottom w:val="0"/>
      <w:divBdr>
        <w:top w:val="none" w:sz="0" w:space="0" w:color="auto"/>
        <w:left w:val="none" w:sz="0" w:space="0" w:color="auto"/>
        <w:bottom w:val="none" w:sz="0" w:space="0" w:color="auto"/>
        <w:right w:val="none" w:sz="0" w:space="0" w:color="auto"/>
      </w:divBdr>
    </w:div>
    <w:div w:id="604070414">
      <w:bodyDiv w:val="1"/>
      <w:marLeft w:val="0"/>
      <w:marRight w:val="0"/>
      <w:marTop w:val="0"/>
      <w:marBottom w:val="0"/>
      <w:divBdr>
        <w:top w:val="none" w:sz="0" w:space="0" w:color="auto"/>
        <w:left w:val="none" w:sz="0" w:space="0" w:color="auto"/>
        <w:bottom w:val="none" w:sz="0" w:space="0" w:color="auto"/>
        <w:right w:val="none" w:sz="0" w:space="0" w:color="auto"/>
      </w:divBdr>
    </w:div>
    <w:div w:id="610362166">
      <w:bodyDiv w:val="1"/>
      <w:marLeft w:val="0"/>
      <w:marRight w:val="0"/>
      <w:marTop w:val="0"/>
      <w:marBottom w:val="0"/>
      <w:divBdr>
        <w:top w:val="none" w:sz="0" w:space="0" w:color="auto"/>
        <w:left w:val="none" w:sz="0" w:space="0" w:color="auto"/>
        <w:bottom w:val="none" w:sz="0" w:space="0" w:color="auto"/>
        <w:right w:val="none" w:sz="0" w:space="0" w:color="auto"/>
      </w:divBdr>
    </w:div>
    <w:div w:id="618803850">
      <w:bodyDiv w:val="1"/>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7046">
      <w:bodyDiv w:val="1"/>
      <w:marLeft w:val="0"/>
      <w:marRight w:val="0"/>
      <w:marTop w:val="0"/>
      <w:marBottom w:val="0"/>
      <w:divBdr>
        <w:top w:val="none" w:sz="0" w:space="0" w:color="auto"/>
        <w:left w:val="none" w:sz="0" w:space="0" w:color="auto"/>
        <w:bottom w:val="none" w:sz="0" w:space="0" w:color="auto"/>
        <w:right w:val="none" w:sz="0" w:space="0" w:color="auto"/>
      </w:divBdr>
    </w:div>
    <w:div w:id="636296194">
      <w:bodyDiv w:val="1"/>
      <w:marLeft w:val="0"/>
      <w:marRight w:val="0"/>
      <w:marTop w:val="0"/>
      <w:marBottom w:val="0"/>
      <w:divBdr>
        <w:top w:val="none" w:sz="0" w:space="0" w:color="auto"/>
        <w:left w:val="none" w:sz="0" w:space="0" w:color="auto"/>
        <w:bottom w:val="none" w:sz="0" w:space="0" w:color="auto"/>
        <w:right w:val="none" w:sz="0" w:space="0" w:color="auto"/>
      </w:divBdr>
    </w:div>
    <w:div w:id="652296463">
      <w:bodyDiv w:val="1"/>
      <w:marLeft w:val="0"/>
      <w:marRight w:val="0"/>
      <w:marTop w:val="0"/>
      <w:marBottom w:val="0"/>
      <w:divBdr>
        <w:top w:val="none" w:sz="0" w:space="0" w:color="auto"/>
        <w:left w:val="none" w:sz="0" w:space="0" w:color="auto"/>
        <w:bottom w:val="none" w:sz="0" w:space="0" w:color="auto"/>
        <w:right w:val="none" w:sz="0" w:space="0" w:color="auto"/>
      </w:divBdr>
    </w:div>
    <w:div w:id="655261684">
      <w:bodyDiv w:val="1"/>
      <w:marLeft w:val="0"/>
      <w:marRight w:val="0"/>
      <w:marTop w:val="0"/>
      <w:marBottom w:val="0"/>
      <w:divBdr>
        <w:top w:val="none" w:sz="0" w:space="0" w:color="auto"/>
        <w:left w:val="none" w:sz="0" w:space="0" w:color="auto"/>
        <w:bottom w:val="none" w:sz="0" w:space="0" w:color="auto"/>
        <w:right w:val="none" w:sz="0" w:space="0" w:color="auto"/>
      </w:divBdr>
    </w:div>
    <w:div w:id="676157215">
      <w:bodyDiv w:val="1"/>
      <w:marLeft w:val="0"/>
      <w:marRight w:val="0"/>
      <w:marTop w:val="0"/>
      <w:marBottom w:val="0"/>
      <w:divBdr>
        <w:top w:val="none" w:sz="0" w:space="0" w:color="auto"/>
        <w:left w:val="none" w:sz="0" w:space="0" w:color="auto"/>
        <w:bottom w:val="none" w:sz="0" w:space="0" w:color="auto"/>
        <w:right w:val="none" w:sz="0" w:space="0" w:color="auto"/>
      </w:divBdr>
    </w:div>
    <w:div w:id="696856703">
      <w:bodyDiv w:val="1"/>
      <w:marLeft w:val="0"/>
      <w:marRight w:val="0"/>
      <w:marTop w:val="0"/>
      <w:marBottom w:val="0"/>
      <w:divBdr>
        <w:top w:val="none" w:sz="0" w:space="0" w:color="auto"/>
        <w:left w:val="none" w:sz="0" w:space="0" w:color="auto"/>
        <w:bottom w:val="none" w:sz="0" w:space="0" w:color="auto"/>
        <w:right w:val="none" w:sz="0" w:space="0" w:color="auto"/>
      </w:divBdr>
    </w:div>
    <w:div w:id="717974920">
      <w:bodyDiv w:val="1"/>
      <w:marLeft w:val="0"/>
      <w:marRight w:val="0"/>
      <w:marTop w:val="0"/>
      <w:marBottom w:val="0"/>
      <w:divBdr>
        <w:top w:val="none" w:sz="0" w:space="0" w:color="auto"/>
        <w:left w:val="none" w:sz="0" w:space="0" w:color="auto"/>
        <w:bottom w:val="none" w:sz="0" w:space="0" w:color="auto"/>
        <w:right w:val="none" w:sz="0" w:space="0" w:color="auto"/>
      </w:divBdr>
    </w:div>
    <w:div w:id="725880639">
      <w:bodyDiv w:val="1"/>
      <w:marLeft w:val="0"/>
      <w:marRight w:val="0"/>
      <w:marTop w:val="0"/>
      <w:marBottom w:val="0"/>
      <w:divBdr>
        <w:top w:val="none" w:sz="0" w:space="0" w:color="auto"/>
        <w:left w:val="none" w:sz="0" w:space="0" w:color="auto"/>
        <w:bottom w:val="none" w:sz="0" w:space="0" w:color="auto"/>
        <w:right w:val="none" w:sz="0" w:space="0" w:color="auto"/>
      </w:divBdr>
    </w:div>
    <w:div w:id="743065464">
      <w:bodyDiv w:val="1"/>
      <w:marLeft w:val="0"/>
      <w:marRight w:val="0"/>
      <w:marTop w:val="0"/>
      <w:marBottom w:val="0"/>
      <w:divBdr>
        <w:top w:val="none" w:sz="0" w:space="0" w:color="auto"/>
        <w:left w:val="none" w:sz="0" w:space="0" w:color="auto"/>
        <w:bottom w:val="none" w:sz="0" w:space="0" w:color="auto"/>
        <w:right w:val="none" w:sz="0" w:space="0" w:color="auto"/>
      </w:divBdr>
    </w:div>
    <w:div w:id="755829949">
      <w:bodyDiv w:val="1"/>
      <w:marLeft w:val="0"/>
      <w:marRight w:val="0"/>
      <w:marTop w:val="0"/>
      <w:marBottom w:val="0"/>
      <w:divBdr>
        <w:top w:val="none" w:sz="0" w:space="0" w:color="auto"/>
        <w:left w:val="none" w:sz="0" w:space="0" w:color="auto"/>
        <w:bottom w:val="none" w:sz="0" w:space="0" w:color="auto"/>
        <w:right w:val="none" w:sz="0" w:space="0" w:color="auto"/>
      </w:divBdr>
    </w:div>
    <w:div w:id="803473966">
      <w:bodyDiv w:val="1"/>
      <w:marLeft w:val="0"/>
      <w:marRight w:val="0"/>
      <w:marTop w:val="0"/>
      <w:marBottom w:val="0"/>
      <w:divBdr>
        <w:top w:val="none" w:sz="0" w:space="0" w:color="auto"/>
        <w:left w:val="none" w:sz="0" w:space="0" w:color="auto"/>
        <w:bottom w:val="none" w:sz="0" w:space="0" w:color="auto"/>
        <w:right w:val="none" w:sz="0" w:space="0" w:color="auto"/>
      </w:divBdr>
    </w:div>
    <w:div w:id="812940687">
      <w:bodyDiv w:val="1"/>
      <w:marLeft w:val="0"/>
      <w:marRight w:val="0"/>
      <w:marTop w:val="0"/>
      <w:marBottom w:val="0"/>
      <w:divBdr>
        <w:top w:val="none" w:sz="0" w:space="0" w:color="auto"/>
        <w:left w:val="none" w:sz="0" w:space="0" w:color="auto"/>
        <w:bottom w:val="none" w:sz="0" w:space="0" w:color="auto"/>
        <w:right w:val="none" w:sz="0" w:space="0" w:color="auto"/>
      </w:divBdr>
    </w:div>
    <w:div w:id="854925142">
      <w:bodyDiv w:val="1"/>
      <w:marLeft w:val="0"/>
      <w:marRight w:val="0"/>
      <w:marTop w:val="0"/>
      <w:marBottom w:val="0"/>
      <w:divBdr>
        <w:top w:val="none" w:sz="0" w:space="0" w:color="auto"/>
        <w:left w:val="none" w:sz="0" w:space="0" w:color="auto"/>
        <w:bottom w:val="none" w:sz="0" w:space="0" w:color="auto"/>
        <w:right w:val="none" w:sz="0" w:space="0" w:color="auto"/>
      </w:divBdr>
    </w:div>
    <w:div w:id="869755465">
      <w:bodyDiv w:val="1"/>
      <w:marLeft w:val="0"/>
      <w:marRight w:val="0"/>
      <w:marTop w:val="0"/>
      <w:marBottom w:val="0"/>
      <w:divBdr>
        <w:top w:val="none" w:sz="0" w:space="0" w:color="auto"/>
        <w:left w:val="none" w:sz="0" w:space="0" w:color="auto"/>
        <w:bottom w:val="none" w:sz="0" w:space="0" w:color="auto"/>
        <w:right w:val="none" w:sz="0" w:space="0" w:color="auto"/>
      </w:divBdr>
    </w:div>
    <w:div w:id="873691068">
      <w:bodyDiv w:val="1"/>
      <w:marLeft w:val="0"/>
      <w:marRight w:val="0"/>
      <w:marTop w:val="0"/>
      <w:marBottom w:val="0"/>
      <w:divBdr>
        <w:top w:val="none" w:sz="0" w:space="0" w:color="auto"/>
        <w:left w:val="none" w:sz="0" w:space="0" w:color="auto"/>
        <w:bottom w:val="none" w:sz="0" w:space="0" w:color="auto"/>
        <w:right w:val="none" w:sz="0" w:space="0" w:color="auto"/>
      </w:divBdr>
    </w:div>
    <w:div w:id="995064638">
      <w:bodyDiv w:val="1"/>
      <w:marLeft w:val="0"/>
      <w:marRight w:val="0"/>
      <w:marTop w:val="0"/>
      <w:marBottom w:val="0"/>
      <w:divBdr>
        <w:top w:val="none" w:sz="0" w:space="0" w:color="auto"/>
        <w:left w:val="none" w:sz="0" w:space="0" w:color="auto"/>
        <w:bottom w:val="none" w:sz="0" w:space="0" w:color="auto"/>
        <w:right w:val="none" w:sz="0" w:space="0" w:color="auto"/>
      </w:divBdr>
    </w:div>
    <w:div w:id="1042901009">
      <w:bodyDiv w:val="1"/>
      <w:marLeft w:val="0"/>
      <w:marRight w:val="0"/>
      <w:marTop w:val="0"/>
      <w:marBottom w:val="0"/>
      <w:divBdr>
        <w:top w:val="none" w:sz="0" w:space="0" w:color="auto"/>
        <w:left w:val="none" w:sz="0" w:space="0" w:color="auto"/>
        <w:bottom w:val="none" w:sz="0" w:space="0" w:color="auto"/>
        <w:right w:val="none" w:sz="0" w:space="0" w:color="auto"/>
      </w:divBdr>
    </w:div>
    <w:div w:id="1063992951">
      <w:bodyDiv w:val="1"/>
      <w:marLeft w:val="0"/>
      <w:marRight w:val="0"/>
      <w:marTop w:val="0"/>
      <w:marBottom w:val="0"/>
      <w:divBdr>
        <w:top w:val="none" w:sz="0" w:space="0" w:color="auto"/>
        <w:left w:val="none" w:sz="0" w:space="0" w:color="auto"/>
        <w:bottom w:val="none" w:sz="0" w:space="0" w:color="auto"/>
        <w:right w:val="none" w:sz="0" w:space="0" w:color="auto"/>
      </w:divBdr>
    </w:div>
    <w:div w:id="1067604328">
      <w:bodyDiv w:val="1"/>
      <w:marLeft w:val="0"/>
      <w:marRight w:val="0"/>
      <w:marTop w:val="0"/>
      <w:marBottom w:val="0"/>
      <w:divBdr>
        <w:top w:val="none" w:sz="0" w:space="0" w:color="auto"/>
        <w:left w:val="none" w:sz="0" w:space="0" w:color="auto"/>
        <w:bottom w:val="none" w:sz="0" w:space="0" w:color="auto"/>
        <w:right w:val="none" w:sz="0" w:space="0" w:color="auto"/>
      </w:divBdr>
    </w:div>
    <w:div w:id="1073507183">
      <w:bodyDiv w:val="1"/>
      <w:marLeft w:val="0"/>
      <w:marRight w:val="0"/>
      <w:marTop w:val="0"/>
      <w:marBottom w:val="0"/>
      <w:divBdr>
        <w:top w:val="none" w:sz="0" w:space="0" w:color="auto"/>
        <w:left w:val="none" w:sz="0" w:space="0" w:color="auto"/>
        <w:bottom w:val="none" w:sz="0" w:space="0" w:color="auto"/>
        <w:right w:val="none" w:sz="0" w:space="0" w:color="auto"/>
      </w:divBdr>
    </w:div>
    <w:div w:id="1083837154">
      <w:bodyDiv w:val="1"/>
      <w:marLeft w:val="0"/>
      <w:marRight w:val="0"/>
      <w:marTop w:val="0"/>
      <w:marBottom w:val="0"/>
      <w:divBdr>
        <w:top w:val="none" w:sz="0" w:space="0" w:color="auto"/>
        <w:left w:val="none" w:sz="0" w:space="0" w:color="auto"/>
        <w:bottom w:val="none" w:sz="0" w:space="0" w:color="auto"/>
        <w:right w:val="none" w:sz="0" w:space="0" w:color="auto"/>
      </w:divBdr>
    </w:div>
    <w:div w:id="1188788380">
      <w:bodyDiv w:val="1"/>
      <w:marLeft w:val="0"/>
      <w:marRight w:val="0"/>
      <w:marTop w:val="0"/>
      <w:marBottom w:val="0"/>
      <w:divBdr>
        <w:top w:val="none" w:sz="0" w:space="0" w:color="auto"/>
        <w:left w:val="none" w:sz="0" w:space="0" w:color="auto"/>
        <w:bottom w:val="none" w:sz="0" w:space="0" w:color="auto"/>
        <w:right w:val="none" w:sz="0" w:space="0" w:color="auto"/>
      </w:divBdr>
    </w:div>
    <w:div w:id="1192188689">
      <w:bodyDiv w:val="1"/>
      <w:marLeft w:val="0"/>
      <w:marRight w:val="0"/>
      <w:marTop w:val="0"/>
      <w:marBottom w:val="0"/>
      <w:divBdr>
        <w:top w:val="none" w:sz="0" w:space="0" w:color="auto"/>
        <w:left w:val="none" w:sz="0" w:space="0" w:color="auto"/>
        <w:bottom w:val="none" w:sz="0" w:space="0" w:color="auto"/>
        <w:right w:val="none" w:sz="0" w:space="0" w:color="auto"/>
      </w:divBdr>
    </w:div>
    <w:div w:id="1192959875">
      <w:bodyDiv w:val="1"/>
      <w:marLeft w:val="0"/>
      <w:marRight w:val="0"/>
      <w:marTop w:val="0"/>
      <w:marBottom w:val="0"/>
      <w:divBdr>
        <w:top w:val="none" w:sz="0" w:space="0" w:color="auto"/>
        <w:left w:val="none" w:sz="0" w:space="0" w:color="auto"/>
        <w:bottom w:val="none" w:sz="0" w:space="0" w:color="auto"/>
        <w:right w:val="none" w:sz="0" w:space="0" w:color="auto"/>
      </w:divBdr>
    </w:div>
    <w:div w:id="1211069062">
      <w:bodyDiv w:val="1"/>
      <w:marLeft w:val="0"/>
      <w:marRight w:val="0"/>
      <w:marTop w:val="0"/>
      <w:marBottom w:val="0"/>
      <w:divBdr>
        <w:top w:val="none" w:sz="0" w:space="0" w:color="auto"/>
        <w:left w:val="none" w:sz="0" w:space="0" w:color="auto"/>
        <w:bottom w:val="none" w:sz="0" w:space="0" w:color="auto"/>
        <w:right w:val="none" w:sz="0" w:space="0" w:color="auto"/>
      </w:divBdr>
    </w:div>
    <w:div w:id="1215240329">
      <w:bodyDiv w:val="1"/>
      <w:marLeft w:val="0"/>
      <w:marRight w:val="0"/>
      <w:marTop w:val="0"/>
      <w:marBottom w:val="0"/>
      <w:divBdr>
        <w:top w:val="none" w:sz="0" w:space="0" w:color="auto"/>
        <w:left w:val="none" w:sz="0" w:space="0" w:color="auto"/>
        <w:bottom w:val="none" w:sz="0" w:space="0" w:color="auto"/>
        <w:right w:val="none" w:sz="0" w:space="0" w:color="auto"/>
      </w:divBdr>
    </w:div>
    <w:div w:id="1215972968">
      <w:bodyDiv w:val="1"/>
      <w:marLeft w:val="0"/>
      <w:marRight w:val="0"/>
      <w:marTop w:val="0"/>
      <w:marBottom w:val="0"/>
      <w:divBdr>
        <w:top w:val="none" w:sz="0" w:space="0" w:color="auto"/>
        <w:left w:val="none" w:sz="0" w:space="0" w:color="auto"/>
        <w:bottom w:val="none" w:sz="0" w:space="0" w:color="auto"/>
        <w:right w:val="none" w:sz="0" w:space="0" w:color="auto"/>
      </w:divBdr>
    </w:div>
    <w:div w:id="1236747956">
      <w:bodyDiv w:val="1"/>
      <w:marLeft w:val="0"/>
      <w:marRight w:val="0"/>
      <w:marTop w:val="0"/>
      <w:marBottom w:val="0"/>
      <w:divBdr>
        <w:top w:val="none" w:sz="0" w:space="0" w:color="auto"/>
        <w:left w:val="none" w:sz="0" w:space="0" w:color="auto"/>
        <w:bottom w:val="none" w:sz="0" w:space="0" w:color="auto"/>
        <w:right w:val="none" w:sz="0" w:space="0" w:color="auto"/>
      </w:divBdr>
    </w:div>
    <w:div w:id="1288972335">
      <w:bodyDiv w:val="1"/>
      <w:marLeft w:val="0"/>
      <w:marRight w:val="0"/>
      <w:marTop w:val="0"/>
      <w:marBottom w:val="0"/>
      <w:divBdr>
        <w:top w:val="none" w:sz="0" w:space="0" w:color="auto"/>
        <w:left w:val="none" w:sz="0" w:space="0" w:color="auto"/>
        <w:bottom w:val="none" w:sz="0" w:space="0" w:color="auto"/>
        <w:right w:val="none" w:sz="0" w:space="0" w:color="auto"/>
      </w:divBdr>
    </w:div>
    <w:div w:id="1308633035">
      <w:bodyDiv w:val="1"/>
      <w:marLeft w:val="0"/>
      <w:marRight w:val="0"/>
      <w:marTop w:val="0"/>
      <w:marBottom w:val="0"/>
      <w:divBdr>
        <w:top w:val="none" w:sz="0" w:space="0" w:color="auto"/>
        <w:left w:val="none" w:sz="0" w:space="0" w:color="auto"/>
        <w:bottom w:val="none" w:sz="0" w:space="0" w:color="auto"/>
        <w:right w:val="none" w:sz="0" w:space="0" w:color="auto"/>
      </w:divBdr>
    </w:div>
    <w:div w:id="1358386540">
      <w:bodyDiv w:val="1"/>
      <w:marLeft w:val="0"/>
      <w:marRight w:val="0"/>
      <w:marTop w:val="0"/>
      <w:marBottom w:val="0"/>
      <w:divBdr>
        <w:top w:val="none" w:sz="0" w:space="0" w:color="auto"/>
        <w:left w:val="none" w:sz="0" w:space="0" w:color="auto"/>
        <w:bottom w:val="none" w:sz="0" w:space="0" w:color="auto"/>
        <w:right w:val="none" w:sz="0" w:space="0" w:color="auto"/>
      </w:divBdr>
    </w:div>
    <w:div w:id="1364356253">
      <w:bodyDiv w:val="1"/>
      <w:marLeft w:val="0"/>
      <w:marRight w:val="0"/>
      <w:marTop w:val="0"/>
      <w:marBottom w:val="0"/>
      <w:divBdr>
        <w:top w:val="none" w:sz="0" w:space="0" w:color="auto"/>
        <w:left w:val="none" w:sz="0" w:space="0" w:color="auto"/>
        <w:bottom w:val="none" w:sz="0" w:space="0" w:color="auto"/>
        <w:right w:val="none" w:sz="0" w:space="0" w:color="auto"/>
      </w:divBdr>
    </w:div>
    <w:div w:id="1383677556">
      <w:bodyDiv w:val="1"/>
      <w:marLeft w:val="0"/>
      <w:marRight w:val="0"/>
      <w:marTop w:val="0"/>
      <w:marBottom w:val="0"/>
      <w:divBdr>
        <w:top w:val="none" w:sz="0" w:space="0" w:color="auto"/>
        <w:left w:val="none" w:sz="0" w:space="0" w:color="auto"/>
        <w:bottom w:val="none" w:sz="0" w:space="0" w:color="auto"/>
        <w:right w:val="none" w:sz="0" w:space="0" w:color="auto"/>
      </w:divBdr>
    </w:div>
    <w:div w:id="1385451053">
      <w:bodyDiv w:val="1"/>
      <w:marLeft w:val="0"/>
      <w:marRight w:val="0"/>
      <w:marTop w:val="0"/>
      <w:marBottom w:val="0"/>
      <w:divBdr>
        <w:top w:val="none" w:sz="0" w:space="0" w:color="auto"/>
        <w:left w:val="none" w:sz="0" w:space="0" w:color="auto"/>
        <w:bottom w:val="none" w:sz="0" w:space="0" w:color="auto"/>
        <w:right w:val="none" w:sz="0" w:space="0" w:color="auto"/>
      </w:divBdr>
    </w:div>
    <w:div w:id="1409422867">
      <w:bodyDiv w:val="1"/>
      <w:marLeft w:val="0"/>
      <w:marRight w:val="0"/>
      <w:marTop w:val="0"/>
      <w:marBottom w:val="0"/>
      <w:divBdr>
        <w:top w:val="none" w:sz="0" w:space="0" w:color="auto"/>
        <w:left w:val="none" w:sz="0" w:space="0" w:color="auto"/>
        <w:bottom w:val="none" w:sz="0" w:space="0" w:color="auto"/>
        <w:right w:val="none" w:sz="0" w:space="0" w:color="auto"/>
      </w:divBdr>
    </w:div>
    <w:div w:id="1415781189">
      <w:bodyDiv w:val="1"/>
      <w:marLeft w:val="0"/>
      <w:marRight w:val="0"/>
      <w:marTop w:val="0"/>
      <w:marBottom w:val="0"/>
      <w:divBdr>
        <w:top w:val="none" w:sz="0" w:space="0" w:color="auto"/>
        <w:left w:val="none" w:sz="0" w:space="0" w:color="auto"/>
        <w:bottom w:val="none" w:sz="0" w:space="0" w:color="auto"/>
        <w:right w:val="none" w:sz="0" w:space="0" w:color="auto"/>
      </w:divBdr>
    </w:div>
    <w:div w:id="1432822584">
      <w:bodyDiv w:val="1"/>
      <w:marLeft w:val="0"/>
      <w:marRight w:val="0"/>
      <w:marTop w:val="0"/>
      <w:marBottom w:val="0"/>
      <w:divBdr>
        <w:top w:val="none" w:sz="0" w:space="0" w:color="auto"/>
        <w:left w:val="none" w:sz="0" w:space="0" w:color="auto"/>
        <w:bottom w:val="none" w:sz="0" w:space="0" w:color="auto"/>
        <w:right w:val="none" w:sz="0" w:space="0" w:color="auto"/>
      </w:divBdr>
    </w:div>
    <w:div w:id="1437486264">
      <w:bodyDiv w:val="1"/>
      <w:marLeft w:val="0"/>
      <w:marRight w:val="0"/>
      <w:marTop w:val="0"/>
      <w:marBottom w:val="0"/>
      <w:divBdr>
        <w:top w:val="none" w:sz="0" w:space="0" w:color="auto"/>
        <w:left w:val="none" w:sz="0" w:space="0" w:color="auto"/>
        <w:bottom w:val="none" w:sz="0" w:space="0" w:color="auto"/>
        <w:right w:val="none" w:sz="0" w:space="0" w:color="auto"/>
      </w:divBdr>
    </w:div>
    <w:div w:id="1442068490">
      <w:bodyDiv w:val="1"/>
      <w:marLeft w:val="0"/>
      <w:marRight w:val="0"/>
      <w:marTop w:val="0"/>
      <w:marBottom w:val="0"/>
      <w:divBdr>
        <w:top w:val="none" w:sz="0" w:space="0" w:color="auto"/>
        <w:left w:val="none" w:sz="0" w:space="0" w:color="auto"/>
        <w:bottom w:val="none" w:sz="0" w:space="0" w:color="auto"/>
        <w:right w:val="none" w:sz="0" w:space="0" w:color="auto"/>
      </w:divBdr>
    </w:div>
    <w:div w:id="1466393890">
      <w:bodyDiv w:val="1"/>
      <w:marLeft w:val="0"/>
      <w:marRight w:val="0"/>
      <w:marTop w:val="0"/>
      <w:marBottom w:val="0"/>
      <w:divBdr>
        <w:top w:val="none" w:sz="0" w:space="0" w:color="auto"/>
        <w:left w:val="none" w:sz="0" w:space="0" w:color="auto"/>
        <w:bottom w:val="none" w:sz="0" w:space="0" w:color="auto"/>
        <w:right w:val="none" w:sz="0" w:space="0" w:color="auto"/>
      </w:divBdr>
    </w:div>
    <w:div w:id="1470048733">
      <w:bodyDiv w:val="1"/>
      <w:marLeft w:val="0"/>
      <w:marRight w:val="0"/>
      <w:marTop w:val="0"/>
      <w:marBottom w:val="0"/>
      <w:divBdr>
        <w:top w:val="none" w:sz="0" w:space="0" w:color="auto"/>
        <w:left w:val="none" w:sz="0" w:space="0" w:color="auto"/>
        <w:bottom w:val="none" w:sz="0" w:space="0" w:color="auto"/>
        <w:right w:val="none" w:sz="0" w:space="0" w:color="auto"/>
      </w:divBdr>
    </w:div>
    <w:div w:id="1479031289">
      <w:bodyDiv w:val="1"/>
      <w:marLeft w:val="0"/>
      <w:marRight w:val="0"/>
      <w:marTop w:val="0"/>
      <w:marBottom w:val="0"/>
      <w:divBdr>
        <w:top w:val="none" w:sz="0" w:space="0" w:color="auto"/>
        <w:left w:val="none" w:sz="0" w:space="0" w:color="auto"/>
        <w:bottom w:val="none" w:sz="0" w:space="0" w:color="auto"/>
        <w:right w:val="none" w:sz="0" w:space="0" w:color="auto"/>
      </w:divBdr>
    </w:div>
    <w:div w:id="1509902705">
      <w:bodyDiv w:val="1"/>
      <w:marLeft w:val="0"/>
      <w:marRight w:val="0"/>
      <w:marTop w:val="0"/>
      <w:marBottom w:val="0"/>
      <w:divBdr>
        <w:top w:val="none" w:sz="0" w:space="0" w:color="auto"/>
        <w:left w:val="none" w:sz="0" w:space="0" w:color="auto"/>
        <w:bottom w:val="none" w:sz="0" w:space="0" w:color="auto"/>
        <w:right w:val="none" w:sz="0" w:space="0" w:color="auto"/>
      </w:divBdr>
    </w:div>
    <w:div w:id="1520582093">
      <w:bodyDiv w:val="1"/>
      <w:marLeft w:val="0"/>
      <w:marRight w:val="0"/>
      <w:marTop w:val="0"/>
      <w:marBottom w:val="0"/>
      <w:divBdr>
        <w:top w:val="none" w:sz="0" w:space="0" w:color="auto"/>
        <w:left w:val="none" w:sz="0" w:space="0" w:color="auto"/>
        <w:bottom w:val="none" w:sz="0" w:space="0" w:color="auto"/>
        <w:right w:val="none" w:sz="0" w:space="0" w:color="auto"/>
      </w:divBdr>
    </w:div>
    <w:div w:id="1521310507">
      <w:bodyDiv w:val="1"/>
      <w:marLeft w:val="0"/>
      <w:marRight w:val="0"/>
      <w:marTop w:val="0"/>
      <w:marBottom w:val="0"/>
      <w:divBdr>
        <w:top w:val="none" w:sz="0" w:space="0" w:color="auto"/>
        <w:left w:val="none" w:sz="0" w:space="0" w:color="auto"/>
        <w:bottom w:val="none" w:sz="0" w:space="0" w:color="auto"/>
        <w:right w:val="none" w:sz="0" w:space="0" w:color="auto"/>
      </w:divBdr>
    </w:div>
    <w:div w:id="1527600051">
      <w:bodyDiv w:val="1"/>
      <w:marLeft w:val="0"/>
      <w:marRight w:val="0"/>
      <w:marTop w:val="0"/>
      <w:marBottom w:val="0"/>
      <w:divBdr>
        <w:top w:val="none" w:sz="0" w:space="0" w:color="auto"/>
        <w:left w:val="none" w:sz="0" w:space="0" w:color="auto"/>
        <w:bottom w:val="none" w:sz="0" w:space="0" w:color="auto"/>
        <w:right w:val="none" w:sz="0" w:space="0" w:color="auto"/>
      </w:divBdr>
    </w:div>
    <w:div w:id="1537769298">
      <w:bodyDiv w:val="1"/>
      <w:marLeft w:val="0"/>
      <w:marRight w:val="0"/>
      <w:marTop w:val="0"/>
      <w:marBottom w:val="0"/>
      <w:divBdr>
        <w:top w:val="none" w:sz="0" w:space="0" w:color="auto"/>
        <w:left w:val="none" w:sz="0" w:space="0" w:color="auto"/>
        <w:bottom w:val="none" w:sz="0" w:space="0" w:color="auto"/>
        <w:right w:val="none" w:sz="0" w:space="0" w:color="auto"/>
      </w:divBdr>
    </w:div>
    <w:div w:id="1591161774">
      <w:bodyDiv w:val="1"/>
      <w:marLeft w:val="0"/>
      <w:marRight w:val="0"/>
      <w:marTop w:val="0"/>
      <w:marBottom w:val="0"/>
      <w:divBdr>
        <w:top w:val="none" w:sz="0" w:space="0" w:color="auto"/>
        <w:left w:val="none" w:sz="0" w:space="0" w:color="auto"/>
        <w:bottom w:val="none" w:sz="0" w:space="0" w:color="auto"/>
        <w:right w:val="none" w:sz="0" w:space="0" w:color="auto"/>
      </w:divBdr>
    </w:div>
    <w:div w:id="1627390528">
      <w:bodyDiv w:val="1"/>
      <w:marLeft w:val="0"/>
      <w:marRight w:val="0"/>
      <w:marTop w:val="0"/>
      <w:marBottom w:val="0"/>
      <w:divBdr>
        <w:top w:val="none" w:sz="0" w:space="0" w:color="auto"/>
        <w:left w:val="none" w:sz="0" w:space="0" w:color="auto"/>
        <w:bottom w:val="none" w:sz="0" w:space="0" w:color="auto"/>
        <w:right w:val="none" w:sz="0" w:space="0" w:color="auto"/>
      </w:divBdr>
    </w:div>
    <w:div w:id="1631131219">
      <w:bodyDiv w:val="1"/>
      <w:marLeft w:val="0"/>
      <w:marRight w:val="0"/>
      <w:marTop w:val="0"/>
      <w:marBottom w:val="0"/>
      <w:divBdr>
        <w:top w:val="none" w:sz="0" w:space="0" w:color="auto"/>
        <w:left w:val="none" w:sz="0" w:space="0" w:color="auto"/>
        <w:bottom w:val="none" w:sz="0" w:space="0" w:color="auto"/>
        <w:right w:val="none" w:sz="0" w:space="0" w:color="auto"/>
      </w:divBdr>
    </w:div>
    <w:div w:id="1665469444">
      <w:bodyDiv w:val="1"/>
      <w:marLeft w:val="0"/>
      <w:marRight w:val="0"/>
      <w:marTop w:val="0"/>
      <w:marBottom w:val="0"/>
      <w:divBdr>
        <w:top w:val="none" w:sz="0" w:space="0" w:color="auto"/>
        <w:left w:val="none" w:sz="0" w:space="0" w:color="auto"/>
        <w:bottom w:val="none" w:sz="0" w:space="0" w:color="auto"/>
        <w:right w:val="none" w:sz="0" w:space="0" w:color="auto"/>
      </w:divBdr>
    </w:div>
    <w:div w:id="1671370146">
      <w:bodyDiv w:val="1"/>
      <w:marLeft w:val="0"/>
      <w:marRight w:val="0"/>
      <w:marTop w:val="0"/>
      <w:marBottom w:val="0"/>
      <w:divBdr>
        <w:top w:val="none" w:sz="0" w:space="0" w:color="auto"/>
        <w:left w:val="none" w:sz="0" w:space="0" w:color="auto"/>
        <w:bottom w:val="none" w:sz="0" w:space="0" w:color="auto"/>
        <w:right w:val="none" w:sz="0" w:space="0" w:color="auto"/>
      </w:divBdr>
    </w:div>
    <w:div w:id="1694264178">
      <w:bodyDiv w:val="1"/>
      <w:marLeft w:val="0"/>
      <w:marRight w:val="0"/>
      <w:marTop w:val="0"/>
      <w:marBottom w:val="0"/>
      <w:divBdr>
        <w:top w:val="none" w:sz="0" w:space="0" w:color="auto"/>
        <w:left w:val="none" w:sz="0" w:space="0" w:color="auto"/>
        <w:bottom w:val="none" w:sz="0" w:space="0" w:color="auto"/>
        <w:right w:val="none" w:sz="0" w:space="0" w:color="auto"/>
      </w:divBdr>
    </w:div>
    <w:div w:id="1706054686">
      <w:bodyDiv w:val="1"/>
      <w:marLeft w:val="0"/>
      <w:marRight w:val="0"/>
      <w:marTop w:val="0"/>
      <w:marBottom w:val="0"/>
      <w:divBdr>
        <w:top w:val="none" w:sz="0" w:space="0" w:color="auto"/>
        <w:left w:val="none" w:sz="0" w:space="0" w:color="auto"/>
        <w:bottom w:val="none" w:sz="0" w:space="0" w:color="auto"/>
        <w:right w:val="none" w:sz="0" w:space="0" w:color="auto"/>
      </w:divBdr>
    </w:div>
    <w:div w:id="1712151942">
      <w:bodyDiv w:val="1"/>
      <w:marLeft w:val="0"/>
      <w:marRight w:val="0"/>
      <w:marTop w:val="0"/>
      <w:marBottom w:val="0"/>
      <w:divBdr>
        <w:top w:val="none" w:sz="0" w:space="0" w:color="auto"/>
        <w:left w:val="none" w:sz="0" w:space="0" w:color="auto"/>
        <w:bottom w:val="none" w:sz="0" w:space="0" w:color="auto"/>
        <w:right w:val="none" w:sz="0" w:space="0" w:color="auto"/>
      </w:divBdr>
    </w:div>
    <w:div w:id="1730300454">
      <w:bodyDiv w:val="1"/>
      <w:marLeft w:val="0"/>
      <w:marRight w:val="0"/>
      <w:marTop w:val="0"/>
      <w:marBottom w:val="0"/>
      <w:divBdr>
        <w:top w:val="none" w:sz="0" w:space="0" w:color="auto"/>
        <w:left w:val="none" w:sz="0" w:space="0" w:color="auto"/>
        <w:bottom w:val="none" w:sz="0" w:space="0" w:color="auto"/>
        <w:right w:val="none" w:sz="0" w:space="0" w:color="auto"/>
      </w:divBdr>
    </w:div>
    <w:div w:id="1756826679">
      <w:bodyDiv w:val="1"/>
      <w:marLeft w:val="0"/>
      <w:marRight w:val="0"/>
      <w:marTop w:val="0"/>
      <w:marBottom w:val="0"/>
      <w:divBdr>
        <w:top w:val="none" w:sz="0" w:space="0" w:color="auto"/>
        <w:left w:val="none" w:sz="0" w:space="0" w:color="auto"/>
        <w:bottom w:val="none" w:sz="0" w:space="0" w:color="auto"/>
        <w:right w:val="none" w:sz="0" w:space="0" w:color="auto"/>
      </w:divBdr>
    </w:div>
    <w:div w:id="1759060550">
      <w:bodyDiv w:val="1"/>
      <w:marLeft w:val="0"/>
      <w:marRight w:val="0"/>
      <w:marTop w:val="0"/>
      <w:marBottom w:val="0"/>
      <w:divBdr>
        <w:top w:val="none" w:sz="0" w:space="0" w:color="auto"/>
        <w:left w:val="none" w:sz="0" w:space="0" w:color="auto"/>
        <w:bottom w:val="none" w:sz="0" w:space="0" w:color="auto"/>
        <w:right w:val="none" w:sz="0" w:space="0" w:color="auto"/>
      </w:divBdr>
    </w:div>
    <w:div w:id="1759599835">
      <w:bodyDiv w:val="1"/>
      <w:marLeft w:val="0"/>
      <w:marRight w:val="0"/>
      <w:marTop w:val="0"/>
      <w:marBottom w:val="0"/>
      <w:divBdr>
        <w:top w:val="none" w:sz="0" w:space="0" w:color="auto"/>
        <w:left w:val="none" w:sz="0" w:space="0" w:color="auto"/>
        <w:bottom w:val="none" w:sz="0" w:space="0" w:color="auto"/>
        <w:right w:val="none" w:sz="0" w:space="0" w:color="auto"/>
      </w:divBdr>
    </w:div>
    <w:div w:id="1772316008">
      <w:bodyDiv w:val="1"/>
      <w:marLeft w:val="0"/>
      <w:marRight w:val="0"/>
      <w:marTop w:val="0"/>
      <w:marBottom w:val="0"/>
      <w:divBdr>
        <w:top w:val="none" w:sz="0" w:space="0" w:color="auto"/>
        <w:left w:val="none" w:sz="0" w:space="0" w:color="auto"/>
        <w:bottom w:val="none" w:sz="0" w:space="0" w:color="auto"/>
        <w:right w:val="none" w:sz="0" w:space="0" w:color="auto"/>
      </w:divBdr>
    </w:div>
    <w:div w:id="1785732945">
      <w:bodyDiv w:val="1"/>
      <w:marLeft w:val="0"/>
      <w:marRight w:val="0"/>
      <w:marTop w:val="0"/>
      <w:marBottom w:val="0"/>
      <w:divBdr>
        <w:top w:val="none" w:sz="0" w:space="0" w:color="auto"/>
        <w:left w:val="none" w:sz="0" w:space="0" w:color="auto"/>
        <w:bottom w:val="none" w:sz="0" w:space="0" w:color="auto"/>
        <w:right w:val="none" w:sz="0" w:space="0" w:color="auto"/>
      </w:divBdr>
    </w:div>
    <w:div w:id="1814058357">
      <w:bodyDiv w:val="1"/>
      <w:marLeft w:val="0"/>
      <w:marRight w:val="0"/>
      <w:marTop w:val="0"/>
      <w:marBottom w:val="0"/>
      <w:divBdr>
        <w:top w:val="none" w:sz="0" w:space="0" w:color="auto"/>
        <w:left w:val="none" w:sz="0" w:space="0" w:color="auto"/>
        <w:bottom w:val="none" w:sz="0" w:space="0" w:color="auto"/>
        <w:right w:val="none" w:sz="0" w:space="0" w:color="auto"/>
      </w:divBdr>
    </w:div>
    <w:div w:id="1823039089">
      <w:bodyDiv w:val="1"/>
      <w:marLeft w:val="0"/>
      <w:marRight w:val="0"/>
      <w:marTop w:val="0"/>
      <w:marBottom w:val="0"/>
      <w:divBdr>
        <w:top w:val="none" w:sz="0" w:space="0" w:color="auto"/>
        <w:left w:val="none" w:sz="0" w:space="0" w:color="auto"/>
        <w:bottom w:val="none" w:sz="0" w:space="0" w:color="auto"/>
        <w:right w:val="none" w:sz="0" w:space="0" w:color="auto"/>
      </w:divBdr>
    </w:div>
    <w:div w:id="1884367786">
      <w:bodyDiv w:val="1"/>
      <w:marLeft w:val="0"/>
      <w:marRight w:val="0"/>
      <w:marTop w:val="0"/>
      <w:marBottom w:val="0"/>
      <w:divBdr>
        <w:top w:val="none" w:sz="0" w:space="0" w:color="auto"/>
        <w:left w:val="none" w:sz="0" w:space="0" w:color="auto"/>
        <w:bottom w:val="none" w:sz="0" w:space="0" w:color="auto"/>
        <w:right w:val="none" w:sz="0" w:space="0" w:color="auto"/>
      </w:divBdr>
    </w:div>
    <w:div w:id="1909725024">
      <w:bodyDiv w:val="1"/>
      <w:marLeft w:val="0"/>
      <w:marRight w:val="0"/>
      <w:marTop w:val="0"/>
      <w:marBottom w:val="0"/>
      <w:divBdr>
        <w:top w:val="none" w:sz="0" w:space="0" w:color="auto"/>
        <w:left w:val="none" w:sz="0" w:space="0" w:color="auto"/>
        <w:bottom w:val="none" w:sz="0" w:space="0" w:color="auto"/>
        <w:right w:val="none" w:sz="0" w:space="0" w:color="auto"/>
      </w:divBdr>
    </w:div>
    <w:div w:id="1911111241">
      <w:bodyDiv w:val="1"/>
      <w:marLeft w:val="0"/>
      <w:marRight w:val="0"/>
      <w:marTop w:val="0"/>
      <w:marBottom w:val="0"/>
      <w:divBdr>
        <w:top w:val="none" w:sz="0" w:space="0" w:color="auto"/>
        <w:left w:val="none" w:sz="0" w:space="0" w:color="auto"/>
        <w:bottom w:val="none" w:sz="0" w:space="0" w:color="auto"/>
        <w:right w:val="none" w:sz="0" w:space="0" w:color="auto"/>
      </w:divBdr>
    </w:div>
    <w:div w:id="1915239213">
      <w:bodyDiv w:val="1"/>
      <w:marLeft w:val="0"/>
      <w:marRight w:val="0"/>
      <w:marTop w:val="0"/>
      <w:marBottom w:val="0"/>
      <w:divBdr>
        <w:top w:val="none" w:sz="0" w:space="0" w:color="auto"/>
        <w:left w:val="none" w:sz="0" w:space="0" w:color="auto"/>
        <w:bottom w:val="none" w:sz="0" w:space="0" w:color="auto"/>
        <w:right w:val="none" w:sz="0" w:space="0" w:color="auto"/>
      </w:divBdr>
    </w:div>
    <w:div w:id="1916276662">
      <w:bodyDiv w:val="1"/>
      <w:marLeft w:val="0"/>
      <w:marRight w:val="0"/>
      <w:marTop w:val="0"/>
      <w:marBottom w:val="0"/>
      <w:divBdr>
        <w:top w:val="none" w:sz="0" w:space="0" w:color="auto"/>
        <w:left w:val="none" w:sz="0" w:space="0" w:color="auto"/>
        <w:bottom w:val="none" w:sz="0" w:space="0" w:color="auto"/>
        <w:right w:val="none" w:sz="0" w:space="0" w:color="auto"/>
      </w:divBdr>
    </w:div>
    <w:div w:id="1919318658">
      <w:bodyDiv w:val="1"/>
      <w:marLeft w:val="0"/>
      <w:marRight w:val="0"/>
      <w:marTop w:val="0"/>
      <w:marBottom w:val="0"/>
      <w:divBdr>
        <w:top w:val="none" w:sz="0" w:space="0" w:color="auto"/>
        <w:left w:val="none" w:sz="0" w:space="0" w:color="auto"/>
        <w:bottom w:val="none" w:sz="0" w:space="0" w:color="auto"/>
        <w:right w:val="none" w:sz="0" w:space="0" w:color="auto"/>
      </w:divBdr>
    </w:div>
    <w:div w:id="1924755331">
      <w:bodyDiv w:val="1"/>
      <w:marLeft w:val="0"/>
      <w:marRight w:val="0"/>
      <w:marTop w:val="0"/>
      <w:marBottom w:val="0"/>
      <w:divBdr>
        <w:top w:val="none" w:sz="0" w:space="0" w:color="auto"/>
        <w:left w:val="none" w:sz="0" w:space="0" w:color="auto"/>
        <w:bottom w:val="none" w:sz="0" w:space="0" w:color="auto"/>
        <w:right w:val="none" w:sz="0" w:space="0" w:color="auto"/>
      </w:divBdr>
    </w:div>
    <w:div w:id="1985743281">
      <w:bodyDiv w:val="1"/>
      <w:marLeft w:val="0"/>
      <w:marRight w:val="0"/>
      <w:marTop w:val="0"/>
      <w:marBottom w:val="0"/>
      <w:divBdr>
        <w:top w:val="none" w:sz="0" w:space="0" w:color="auto"/>
        <w:left w:val="none" w:sz="0" w:space="0" w:color="auto"/>
        <w:bottom w:val="none" w:sz="0" w:space="0" w:color="auto"/>
        <w:right w:val="none" w:sz="0" w:space="0" w:color="auto"/>
      </w:divBdr>
    </w:div>
    <w:div w:id="1987784638">
      <w:bodyDiv w:val="1"/>
      <w:marLeft w:val="0"/>
      <w:marRight w:val="0"/>
      <w:marTop w:val="0"/>
      <w:marBottom w:val="0"/>
      <w:divBdr>
        <w:top w:val="none" w:sz="0" w:space="0" w:color="auto"/>
        <w:left w:val="none" w:sz="0" w:space="0" w:color="auto"/>
        <w:bottom w:val="none" w:sz="0" w:space="0" w:color="auto"/>
        <w:right w:val="none" w:sz="0" w:space="0" w:color="auto"/>
      </w:divBdr>
    </w:div>
    <w:div w:id="2004430432">
      <w:bodyDiv w:val="1"/>
      <w:marLeft w:val="0"/>
      <w:marRight w:val="0"/>
      <w:marTop w:val="0"/>
      <w:marBottom w:val="0"/>
      <w:divBdr>
        <w:top w:val="none" w:sz="0" w:space="0" w:color="auto"/>
        <w:left w:val="none" w:sz="0" w:space="0" w:color="auto"/>
        <w:bottom w:val="none" w:sz="0" w:space="0" w:color="auto"/>
        <w:right w:val="none" w:sz="0" w:space="0" w:color="auto"/>
      </w:divBdr>
    </w:div>
    <w:div w:id="2058582811">
      <w:bodyDiv w:val="1"/>
      <w:marLeft w:val="0"/>
      <w:marRight w:val="0"/>
      <w:marTop w:val="0"/>
      <w:marBottom w:val="0"/>
      <w:divBdr>
        <w:top w:val="none" w:sz="0" w:space="0" w:color="auto"/>
        <w:left w:val="none" w:sz="0" w:space="0" w:color="auto"/>
        <w:bottom w:val="none" w:sz="0" w:space="0" w:color="auto"/>
        <w:right w:val="none" w:sz="0" w:space="0" w:color="auto"/>
      </w:divBdr>
    </w:div>
    <w:div w:id="2065787544">
      <w:bodyDiv w:val="1"/>
      <w:marLeft w:val="0"/>
      <w:marRight w:val="0"/>
      <w:marTop w:val="0"/>
      <w:marBottom w:val="0"/>
      <w:divBdr>
        <w:top w:val="none" w:sz="0" w:space="0" w:color="auto"/>
        <w:left w:val="none" w:sz="0" w:space="0" w:color="auto"/>
        <w:bottom w:val="none" w:sz="0" w:space="0" w:color="auto"/>
        <w:right w:val="none" w:sz="0" w:space="0" w:color="auto"/>
      </w:divBdr>
    </w:div>
    <w:div w:id="2076854664">
      <w:bodyDiv w:val="1"/>
      <w:marLeft w:val="0"/>
      <w:marRight w:val="0"/>
      <w:marTop w:val="0"/>
      <w:marBottom w:val="0"/>
      <w:divBdr>
        <w:top w:val="none" w:sz="0" w:space="0" w:color="auto"/>
        <w:left w:val="none" w:sz="0" w:space="0" w:color="auto"/>
        <w:bottom w:val="none" w:sz="0" w:space="0" w:color="auto"/>
        <w:right w:val="none" w:sz="0" w:space="0" w:color="auto"/>
      </w:divBdr>
    </w:div>
    <w:div w:id="2081780803">
      <w:bodyDiv w:val="1"/>
      <w:marLeft w:val="0"/>
      <w:marRight w:val="0"/>
      <w:marTop w:val="0"/>
      <w:marBottom w:val="0"/>
      <w:divBdr>
        <w:top w:val="none" w:sz="0" w:space="0" w:color="auto"/>
        <w:left w:val="none" w:sz="0" w:space="0" w:color="auto"/>
        <w:bottom w:val="none" w:sz="0" w:space="0" w:color="auto"/>
        <w:right w:val="none" w:sz="0" w:space="0" w:color="auto"/>
      </w:divBdr>
    </w:div>
    <w:div w:id="2102068586">
      <w:bodyDiv w:val="1"/>
      <w:marLeft w:val="0"/>
      <w:marRight w:val="0"/>
      <w:marTop w:val="0"/>
      <w:marBottom w:val="0"/>
      <w:divBdr>
        <w:top w:val="none" w:sz="0" w:space="0" w:color="auto"/>
        <w:left w:val="none" w:sz="0" w:space="0" w:color="auto"/>
        <w:bottom w:val="none" w:sz="0" w:space="0" w:color="auto"/>
        <w:right w:val="none" w:sz="0" w:space="0" w:color="auto"/>
      </w:divBdr>
    </w:div>
    <w:div w:id="214068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etten.overheid.nl/jci1.3:c:BWBR0005537&amp;artikel=5:20&amp;g=2024-03-06&amp;z=2024-03-06" TargetMode="Externa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internetconsultatie.nl"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76427</ap:Words>
  <ap:Characters>420354</ap:Characters>
  <ap:DocSecurity>0</ap:DocSecurity>
  <ap:Lines>3502</ap:Lines>
  <ap:Paragraphs>991</ap:Paragraphs>
  <ap:ScaleCrop>false</ap:ScaleCrop>
  <ap:LinksUpToDate>false</ap:LinksUpToDate>
  <ap:CharactersWithSpaces>495790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2025-06-03T15:17:00.0000000Z</dcterms:created>
  <dcterms:modified xsi:type="dcterms:W3CDTF">2025-06-03T15:17:00.0000000Z</dcterms:modified>
  <version/>
  <category/>
</coreProperties>
</file>