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86F87F1" w14:textId="77777777">
        <w:tc>
          <w:tcPr>
            <w:tcW w:w="6733" w:type="dxa"/>
            <w:gridSpan w:val="2"/>
            <w:tcBorders>
              <w:top w:val="nil"/>
              <w:left w:val="nil"/>
              <w:bottom w:val="nil"/>
              <w:right w:val="nil"/>
            </w:tcBorders>
            <w:vAlign w:val="center"/>
          </w:tcPr>
          <w:p w:rsidR="00D51DFF" w:rsidRDefault="00D51DFF" w14:paraId="153377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27E7586"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5910599" w14:textId="77777777">
        <w:trPr>
          <w:cantSplit/>
        </w:trPr>
        <w:tc>
          <w:tcPr>
            <w:tcW w:w="11060" w:type="dxa"/>
            <w:gridSpan w:val="3"/>
            <w:tcBorders>
              <w:top w:val="single" w:color="auto" w:sz="4" w:space="0"/>
              <w:left w:val="nil"/>
              <w:bottom w:val="nil"/>
              <w:right w:val="nil"/>
            </w:tcBorders>
          </w:tcPr>
          <w:p w:rsidR="00D51DFF" w:rsidP="004742EF" w:rsidRDefault="00500F90" w14:paraId="69BF28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56B1D9AA" w14:textId="77777777">
        <w:trPr>
          <w:cantSplit/>
        </w:trPr>
        <w:tc>
          <w:tcPr>
            <w:tcW w:w="11060" w:type="dxa"/>
            <w:gridSpan w:val="3"/>
            <w:tcBorders>
              <w:top w:val="nil"/>
              <w:left w:val="nil"/>
              <w:bottom w:val="nil"/>
              <w:right w:val="nil"/>
            </w:tcBorders>
          </w:tcPr>
          <w:p w:rsidR="00D51DFF" w:rsidRDefault="00D51DFF" w14:paraId="0790BD11" w14:textId="77777777">
            <w:pPr>
              <w:pStyle w:val="Amendement"/>
              <w:tabs>
                <w:tab w:val="clear" w:pos="3310"/>
                <w:tab w:val="clear" w:pos="3600"/>
              </w:tabs>
              <w:jc w:val="right"/>
              <w:rPr>
                <w:rFonts w:ascii="Times New Roman" w:hAnsi="Times New Roman"/>
                <w:b w:val="0"/>
              </w:rPr>
            </w:pPr>
          </w:p>
        </w:tc>
      </w:tr>
      <w:tr w:rsidR="00D51DFF" w14:paraId="70DDC8DC" w14:textId="77777777">
        <w:trPr>
          <w:cantSplit/>
        </w:trPr>
        <w:tc>
          <w:tcPr>
            <w:tcW w:w="11060" w:type="dxa"/>
            <w:gridSpan w:val="3"/>
            <w:tcBorders>
              <w:top w:val="nil"/>
              <w:left w:val="nil"/>
              <w:bottom w:val="single" w:color="auto" w:sz="4" w:space="0"/>
              <w:right w:val="nil"/>
            </w:tcBorders>
          </w:tcPr>
          <w:p w:rsidR="00D51DFF" w:rsidRDefault="00D51DFF" w14:paraId="7FF83A34" w14:textId="77777777">
            <w:pPr>
              <w:pStyle w:val="Amendement"/>
              <w:tabs>
                <w:tab w:val="clear" w:pos="3310"/>
                <w:tab w:val="clear" w:pos="3600"/>
              </w:tabs>
              <w:jc w:val="right"/>
              <w:rPr>
                <w:rFonts w:ascii="Times New Roman" w:hAnsi="Times New Roman"/>
              </w:rPr>
            </w:pPr>
          </w:p>
        </w:tc>
      </w:tr>
      <w:tr w:rsidR="00D51DFF" w14:paraId="2DD20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76F966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EE90E2F" w14:textId="77777777">
            <w:pPr>
              <w:suppressAutoHyphens/>
              <w:rPr>
                <w:b/>
              </w:rPr>
            </w:pPr>
          </w:p>
        </w:tc>
      </w:tr>
      <w:tr w:rsidR="00BD6FD6" w14:paraId="71BD9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5F3B8E" w14:paraId="6C5A0BC1" w14:textId="46F913D2">
            <w:pPr>
              <w:rPr>
                <w:b/>
              </w:rPr>
            </w:pPr>
            <w:r>
              <w:rPr>
                <w:b/>
              </w:rPr>
              <w:t>36 764</w:t>
            </w:r>
          </w:p>
        </w:tc>
        <w:tc>
          <w:tcPr>
            <w:tcW w:w="7729" w:type="dxa"/>
            <w:gridSpan w:val="2"/>
          </w:tcPr>
          <w:p w:rsidRPr="005F3B8E" w:rsidR="00BD6FD6" w:rsidP="00222CF9" w:rsidRDefault="005F3B8E" w14:paraId="5581DB0E" w14:textId="7CB6FE69">
            <w:pPr>
              <w:rPr>
                <w:b/>
                <w:bCs/>
                <w:szCs w:val="24"/>
              </w:rPr>
            </w:pPr>
            <w:r w:rsidRPr="005F3B8E">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5F3B8E">
              <w:rPr>
                <w:b/>
                <w:bCs/>
                <w:szCs w:val="24"/>
              </w:rPr>
              <w:t>PbEU</w:t>
            </w:r>
            <w:proofErr w:type="spellEnd"/>
            <w:r w:rsidRPr="005F3B8E">
              <w:rPr>
                <w:b/>
                <w:bCs/>
                <w:szCs w:val="24"/>
              </w:rPr>
              <w:t xml:space="preserve"> 2022, L 333) (Cyberbeveiligingswet)</w:t>
            </w:r>
          </w:p>
        </w:tc>
      </w:tr>
      <w:tr w:rsidR="00BD6FD6" w14:paraId="47FAD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105619F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22DF41D" w14:textId="77777777">
            <w:pPr>
              <w:pStyle w:val="Amendement"/>
              <w:rPr>
                <w:rFonts w:ascii="Times New Roman" w:hAnsi="Times New Roman"/>
              </w:rPr>
            </w:pPr>
          </w:p>
        </w:tc>
      </w:tr>
      <w:tr w:rsidR="00BD6FD6" w:rsidTr="007852AD" w14:paraId="79D81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CA016D0" w14:textId="77777777">
            <w:pPr>
              <w:pStyle w:val="Amendement"/>
              <w:rPr>
                <w:rFonts w:ascii="Times New Roman" w:hAnsi="Times New Roman"/>
              </w:rPr>
            </w:pPr>
          </w:p>
        </w:tc>
        <w:tc>
          <w:tcPr>
            <w:tcW w:w="7729" w:type="dxa"/>
            <w:gridSpan w:val="2"/>
          </w:tcPr>
          <w:p w:rsidRPr="007852AD" w:rsidR="00BD6FD6" w:rsidRDefault="00BD6FD6" w14:paraId="249817DC" w14:textId="77777777">
            <w:pPr>
              <w:pStyle w:val="Amendement"/>
              <w:rPr>
                <w:rFonts w:ascii="Times New Roman" w:hAnsi="Times New Roman"/>
              </w:rPr>
            </w:pPr>
          </w:p>
        </w:tc>
      </w:tr>
      <w:tr w:rsidR="00BD6FD6" w14:paraId="03B8F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1A22FE5" w14:textId="3CD19999">
            <w:pPr>
              <w:pStyle w:val="Amendement"/>
              <w:rPr>
                <w:rFonts w:ascii="Times New Roman" w:hAnsi="Times New Roman"/>
              </w:rPr>
            </w:pPr>
            <w:r w:rsidRPr="007852AD">
              <w:rPr>
                <w:rFonts w:ascii="Times New Roman" w:hAnsi="Times New Roman"/>
              </w:rPr>
              <w:t xml:space="preserve">Nr. </w:t>
            </w:r>
            <w:r w:rsidR="005F3B8E">
              <w:rPr>
                <w:rFonts w:ascii="Times New Roman" w:hAnsi="Times New Roman"/>
              </w:rPr>
              <w:t>4</w:t>
            </w:r>
          </w:p>
        </w:tc>
        <w:tc>
          <w:tcPr>
            <w:tcW w:w="7729" w:type="dxa"/>
            <w:gridSpan w:val="2"/>
          </w:tcPr>
          <w:p w:rsidRPr="007852AD" w:rsidR="00BD6FD6" w:rsidRDefault="00BD6FD6" w14:paraId="76144C1D" w14:textId="4C53359F">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5F3B8E">
              <w:rPr>
                <w:rFonts w:ascii="Times New Roman" w:hAnsi="Times New Roman"/>
              </w:rPr>
              <w:t xml:space="preserve"> </w:t>
            </w:r>
            <w:r w:rsidR="005F3B8E">
              <w:rPr>
                <w:rStyle w:val="Voetnootmarkering"/>
                <w:rFonts w:ascii="Times New Roman" w:hAnsi="Times New Roman"/>
              </w:rPr>
              <w:footnoteReference w:id="1"/>
            </w:r>
          </w:p>
        </w:tc>
      </w:tr>
      <w:tr w:rsidR="00BD6FD6" w14:paraId="00810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35CC8B" w14:textId="77777777">
            <w:pPr>
              <w:pStyle w:val="Amendement"/>
              <w:rPr>
                <w:rFonts w:ascii="Times New Roman" w:hAnsi="Times New Roman"/>
              </w:rPr>
            </w:pPr>
          </w:p>
        </w:tc>
        <w:tc>
          <w:tcPr>
            <w:tcW w:w="7729" w:type="dxa"/>
            <w:gridSpan w:val="2"/>
          </w:tcPr>
          <w:p w:rsidR="00BD6FD6" w:rsidRDefault="00BD6FD6" w14:paraId="4FF4E1A3" w14:textId="77777777">
            <w:pPr>
              <w:pStyle w:val="Amendement"/>
              <w:tabs>
                <w:tab w:val="clear" w:pos="3310"/>
                <w:tab w:val="clear" w:pos="3600"/>
              </w:tabs>
              <w:rPr>
                <w:rFonts w:ascii="Times New Roman" w:hAnsi="Times New Roman"/>
              </w:rPr>
            </w:pPr>
          </w:p>
        </w:tc>
      </w:tr>
      <w:tr w:rsidR="00BD6FD6" w14:paraId="77BBC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21D8C64" w14:textId="77777777">
            <w:pPr>
              <w:pStyle w:val="Amendement"/>
              <w:rPr>
                <w:rFonts w:ascii="Times New Roman" w:hAnsi="Times New Roman"/>
              </w:rPr>
            </w:pPr>
          </w:p>
        </w:tc>
        <w:tc>
          <w:tcPr>
            <w:tcW w:w="7729" w:type="dxa"/>
            <w:gridSpan w:val="2"/>
          </w:tcPr>
          <w:p w:rsidRPr="007852AD" w:rsidR="00BD6FD6" w:rsidP="00BD6FD6" w:rsidRDefault="00BD6FD6" w14:paraId="729FCE57" w14:textId="11E4190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F3B8E">
              <w:rPr>
                <w:rFonts w:ascii="Times New Roman" w:hAnsi="Times New Roman"/>
                <w:b w:val="0"/>
              </w:rPr>
              <w:t>19 februari 2025</w:t>
            </w:r>
            <w:r w:rsidRPr="007852AD">
              <w:rPr>
                <w:rFonts w:ascii="Times New Roman" w:hAnsi="Times New Roman"/>
                <w:b w:val="0"/>
              </w:rPr>
              <w:t xml:space="preserve"> en het nader rapport d.d. </w:t>
            </w:r>
            <w:r w:rsidR="005F3B8E">
              <w:rPr>
                <w:rFonts w:ascii="Times New Roman" w:hAnsi="Times New Roman"/>
                <w:b w:val="0"/>
              </w:rPr>
              <w:t>27 mei 2025</w:t>
            </w:r>
            <w:r w:rsidRPr="007852AD">
              <w:rPr>
                <w:rFonts w:ascii="Times New Roman" w:hAnsi="Times New Roman"/>
                <w:b w:val="0"/>
              </w:rPr>
              <w:t xml:space="preserve">, aangeboden aan de Koning door de minister van </w:t>
            </w:r>
            <w:r w:rsidR="005F3B8E">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14:paraId="01FE3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9FF428D" w14:textId="77777777">
            <w:pPr>
              <w:pStyle w:val="Amendement"/>
              <w:rPr>
                <w:rFonts w:ascii="Times New Roman" w:hAnsi="Times New Roman"/>
              </w:rPr>
            </w:pPr>
          </w:p>
        </w:tc>
        <w:tc>
          <w:tcPr>
            <w:tcW w:w="7729" w:type="dxa"/>
            <w:gridSpan w:val="2"/>
          </w:tcPr>
          <w:p w:rsidR="00BD6FD6" w:rsidRDefault="00BD6FD6" w14:paraId="50A917AE" w14:textId="77777777">
            <w:pPr>
              <w:pStyle w:val="Amendement"/>
              <w:tabs>
                <w:tab w:val="clear" w:pos="3310"/>
                <w:tab w:val="clear" w:pos="3600"/>
              </w:tabs>
              <w:rPr>
                <w:rFonts w:ascii="Times New Roman" w:hAnsi="Times New Roman"/>
                <w:b w:val="0"/>
              </w:rPr>
            </w:pPr>
          </w:p>
        </w:tc>
      </w:tr>
      <w:tr w:rsidR="00BD6FD6" w14:paraId="186EE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6FBFCC" w14:textId="77777777">
            <w:pPr>
              <w:pStyle w:val="Amendement"/>
              <w:rPr>
                <w:rFonts w:ascii="Times New Roman" w:hAnsi="Times New Roman"/>
              </w:rPr>
            </w:pPr>
          </w:p>
        </w:tc>
        <w:tc>
          <w:tcPr>
            <w:tcW w:w="7729" w:type="dxa"/>
            <w:gridSpan w:val="2"/>
          </w:tcPr>
          <w:p w:rsidR="00BD6FD6" w:rsidRDefault="00BD6FD6" w14:paraId="071DAC7D" w14:textId="77777777">
            <w:pPr>
              <w:pStyle w:val="Amendement"/>
              <w:tabs>
                <w:tab w:val="clear" w:pos="3310"/>
                <w:tab w:val="clear" w:pos="3600"/>
              </w:tabs>
              <w:rPr>
                <w:rFonts w:ascii="Times New Roman" w:hAnsi="Times New Roman"/>
                <w:b w:val="0"/>
              </w:rPr>
            </w:pPr>
          </w:p>
        </w:tc>
      </w:tr>
      <w:tr w:rsidR="00BD6FD6" w14:paraId="194F3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3EA342" w14:textId="77777777">
            <w:pPr>
              <w:pStyle w:val="Amendement"/>
              <w:rPr>
                <w:rFonts w:ascii="Times New Roman" w:hAnsi="Times New Roman"/>
              </w:rPr>
            </w:pPr>
          </w:p>
        </w:tc>
        <w:tc>
          <w:tcPr>
            <w:tcW w:w="7729" w:type="dxa"/>
            <w:gridSpan w:val="2"/>
          </w:tcPr>
          <w:p w:rsidR="00BD6FD6" w:rsidRDefault="00BD6FD6" w14:paraId="0B09FD83" w14:textId="77777777">
            <w:pPr>
              <w:pStyle w:val="Amendement"/>
              <w:tabs>
                <w:tab w:val="clear" w:pos="3310"/>
                <w:tab w:val="clear" w:pos="3600"/>
              </w:tabs>
              <w:rPr>
                <w:rFonts w:ascii="Times New Roman" w:hAnsi="Times New Roman"/>
                <w:b w:val="0"/>
              </w:rPr>
            </w:pPr>
          </w:p>
        </w:tc>
      </w:tr>
    </w:tbl>
    <w:p w:rsidR="00D51DFF" w:rsidRDefault="00D51DFF" w14:paraId="0F3DED2A" w14:textId="77777777">
      <w:pPr>
        <w:pStyle w:val="Amendement"/>
        <w:rPr>
          <w:rFonts w:ascii="Times New Roman" w:hAnsi="Times New Roman"/>
          <w:b w:val="0"/>
        </w:rPr>
      </w:pPr>
    </w:p>
    <w:p w:rsidRPr="001832DF" w:rsidR="001832DF" w:rsidP="001832DF" w:rsidRDefault="001832DF" w14:paraId="7D884EA1"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Blijkens de mededeling van de Directeur van Uw Kabinet van 6 december 2024, nr. 2024002833, machtigde Uwe Majesteit de Afdeling advisering van de Raad van State haar advies inzake het bovenvermelde voorstel van wet rechtstreeks aan mij te doen toekomen. Dit advies, gedateerd 19 februari 2025, nr. W16.24.00336/II, bied ik U hierbij aan.</w:t>
      </w:r>
    </w:p>
    <w:p w:rsidRPr="001832DF" w:rsidR="001832DF" w:rsidP="001832DF" w:rsidRDefault="001832DF" w14:paraId="713D6382" w14:textId="77777777">
      <w:pPr>
        <w:pStyle w:val="Geenafstand"/>
        <w:rPr>
          <w:rFonts w:ascii="Times New Roman" w:hAnsi="Times New Roman" w:cs="Times New Roman"/>
          <w:sz w:val="24"/>
          <w:szCs w:val="24"/>
        </w:rPr>
      </w:pPr>
    </w:p>
    <w:p w:rsidRPr="001832DF" w:rsidR="001832DF" w:rsidP="001832DF" w:rsidRDefault="001832DF" w14:paraId="5B1F5727"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De tekst van het advies treft U hieronder cursief aan, voorzien van mijn reactie.</w:t>
      </w:r>
    </w:p>
    <w:p w:rsidRPr="001832DF" w:rsidR="001832DF" w:rsidP="001832DF" w:rsidRDefault="001832DF" w14:paraId="5C5F66C8" w14:textId="77777777">
      <w:pPr>
        <w:pStyle w:val="Geenafstand"/>
        <w:rPr>
          <w:rFonts w:ascii="Times New Roman" w:hAnsi="Times New Roman" w:cs="Times New Roman"/>
          <w:sz w:val="24"/>
          <w:szCs w:val="24"/>
        </w:rPr>
      </w:pPr>
    </w:p>
    <w:p w:rsidRPr="001832DF" w:rsidR="001832DF" w:rsidP="001832DF" w:rsidRDefault="001832DF" w14:paraId="52F6EAE9"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Bij Kabinetsmissive van 6 december 2024, no.2024002833, heeft Uwe Majesteit, op voordracht van de Minister van Justitie en Veiligheid, bij de Afdeling advisering van de Raad van State ter overweging aanhangig gemaakt het voorstel van wet houdende de 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1832DF">
        <w:rPr>
          <w:rFonts w:ascii="Times New Roman" w:hAnsi="Times New Roman" w:cs="Times New Roman"/>
          <w:i/>
          <w:iCs/>
          <w:sz w:val="24"/>
          <w:szCs w:val="24"/>
        </w:rPr>
        <w:t>PbEU</w:t>
      </w:r>
      <w:proofErr w:type="spellEnd"/>
      <w:r w:rsidRPr="001832DF">
        <w:rPr>
          <w:rFonts w:ascii="Times New Roman" w:hAnsi="Times New Roman" w:cs="Times New Roman"/>
          <w:i/>
          <w:iCs/>
          <w:sz w:val="24"/>
          <w:szCs w:val="24"/>
        </w:rPr>
        <w:t xml:space="preserve"> 2022, L 333) (Cyberbeveiligingswet), met memorie van toelichting.</w:t>
      </w:r>
    </w:p>
    <w:p w:rsidRPr="001832DF" w:rsidR="001832DF" w:rsidP="001832DF" w:rsidRDefault="001832DF" w14:paraId="659EC7D5" w14:textId="77777777">
      <w:pPr>
        <w:pStyle w:val="Geenafstand"/>
        <w:rPr>
          <w:rFonts w:ascii="Times New Roman" w:hAnsi="Times New Roman" w:cs="Times New Roman"/>
          <w:i/>
          <w:iCs/>
          <w:sz w:val="24"/>
          <w:szCs w:val="24"/>
        </w:rPr>
      </w:pPr>
    </w:p>
    <w:p w:rsidRPr="001832DF" w:rsidR="001832DF" w:rsidP="001832DF" w:rsidRDefault="001832DF" w14:paraId="17651265" w14:textId="77777777">
      <w:pPr>
        <w:pStyle w:val="Geenafstand"/>
        <w:rPr>
          <w:rFonts w:ascii="Times New Roman" w:hAnsi="Times New Roman" w:cs="Times New Roman"/>
          <w:i/>
          <w:iCs/>
          <w:sz w:val="24"/>
          <w:szCs w:val="24"/>
        </w:rPr>
      </w:pPr>
      <w:bookmarkStart w:name="_Hlk191974402" w:id="0"/>
      <w:r w:rsidRPr="001832DF">
        <w:rPr>
          <w:rFonts w:ascii="Times New Roman" w:hAnsi="Times New Roman" w:cs="Times New Roman"/>
          <w:i/>
          <w:iCs/>
          <w:sz w:val="24"/>
          <w:szCs w:val="24"/>
        </w:rPr>
        <w:t>Het wetsvoorstel implementeert de NIS2-richtlijn betreffende maatregelen voor een hoog gezamenlijk niveau van cyberbeveiliging in de EU. Belangrijke maatschappelijke of economische processen vereisen adequate bescherming tegen cyberbeveiligingsrisico’s. Met het oog op dit doel bepaalt het voorstel voor welke belangrijke en essentiële entiteiten verplichtingen van toepassing zijn om enerzijds dergelijke risico’s te beheersen en incidenten te voorkomen en anderzijds de gevolgen van incidenten te beperken. Die verplichtingen omvatten onder meer een zorgplicht om maatregelen te nemen om cyberbeveiligingsrisico’s te beheersen en een meldplicht bij significante incidenten.</w:t>
      </w:r>
    </w:p>
    <w:p w:rsidRPr="001832DF" w:rsidR="001832DF" w:rsidP="001832DF" w:rsidRDefault="001832DF" w14:paraId="1B7F6245" w14:textId="77777777">
      <w:pPr>
        <w:pStyle w:val="Geenafstand"/>
        <w:rPr>
          <w:rFonts w:ascii="Times New Roman" w:hAnsi="Times New Roman" w:cs="Times New Roman"/>
          <w:i/>
          <w:iCs/>
          <w:sz w:val="24"/>
          <w:szCs w:val="24"/>
        </w:rPr>
      </w:pPr>
    </w:p>
    <w:p w:rsidR="001832DF" w:rsidRDefault="001832DF" w14:paraId="5E14948F" w14:textId="77777777">
      <w:pPr>
        <w:widowControl/>
        <w:rPr>
          <w:rFonts w:eastAsiaTheme="minorHAnsi"/>
          <w:i/>
          <w:iCs/>
          <w:kern w:val="2"/>
          <w:szCs w:val="24"/>
          <w:lang w:eastAsia="en-US"/>
          <w14:ligatures w14:val="standardContextual"/>
        </w:rPr>
      </w:pPr>
      <w:r>
        <w:rPr>
          <w:i/>
          <w:iCs/>
          <w:szCs w:val="24"/>
        </w:rPr>
        <w:br w:type="page"/>
      </w:r>
    </w:p>
    <w:p w:rsidRPr="001832DF" w:rsidR="001832DF" w:rsidP="001832DF" w:rsidRDefault="001832DF" w14:paraId="00E99FAD" w14:textId="0AA459C5">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lastRenderedPageBreak/>
        <w:t>De implementatie van de richtlijn moet worden ingebed in bestaande structuren waarin verschillende partijen verantwoordelijkheden hebben op het gebied van cyberbeveiliging. Het gaat om een ruim aantal partijen omdat de reikwijdte van het voorstel zich uitstrekt over uiteenlopende maatschappelijke en economische activiteiten; de verwachting is dat ruim 8000 entiteiten onder de wet zullen komen te vallen.</w:t>
      </w:r>
      <w:r w:rsidRPr="001832DF">
        <w:rPr>
          <w:rStyle w:val="Voetnootmarkering"/>
          <w:rFonts w:ascii="Times New Roman" w:hAnsi="Times New Roman" w:cs="Times New Roman"/>
          <w:i/>
          <w:iCs/>
          <w:sz w:val="24"/>
          <w:szCs w:val="24"/>
        </w:rPr>
        <w:footnoteReference w:id="2"/>
      </w:r>
      <w:r w:rsidRPr="001832DF">
        <w:rPr>
          <w:rFonts w:ascii="Times New Roman" w:hAnsi="Times New Roman" w:cs="Times New Roman"/>
          <w:i/>
          <w:iCs/>
          <w:sz w:val="24"/>
          <w:szCs w:val="24"/>
        </w:rPr>
        <w:t xml:space="preserve"> Cyberbeveiliging is een sector-overstijgend onderwerp. Het is in die situatie van belang dat duidelijk is wie waarvoor verantwoordelijk is, zowel wat betreft de instanties die het voorstel moeten uitvoeren als de entiteiten waarop het voorstel van toepassing is. </w:t>
      </w:r>
    </w:p>
    <w:p w:rsidRPr="001832DF" w:rsidR="001832DF" w:rsidP="001832DF" w:rsidRDefault="001832DF" w14:paraId="1D9F6294" w14:textId="77777777">
      <w:pPr>
        <w:pStyle w:val="Geenafstand"/>
        <w:rPr>
          <w:rFonts w:ascii="Times New Roman" w:hAnsi="Times New Roman" w:cs="Times New Roman"/>
          <w:i/>
          <w:iCs/>
          <w:sz w:val="24"/>
          <w:szCs w:val="24"/>
        </w:rPr>
      </w:pPr>
    </w:p>
    <w:p w:rsidRPr="001832DF" w:rsidR="001832DF" w:rsidP="001832DF" w:rsidRDefault="001832DF" w14:paraId="06957A1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diversiteit van de entiteiten waarop het voorstel van toepassing is brengt mee dat per sector en, tot op zekere hoogte, per entiteit, moet worden beoordeeld op welke wijze cyberbeveiligingsrisico’s dienen te worden vermeden of beheerst. Dit vergt onder meer betrokkenheid van de vakministers, die worden aangewezen als bevoegde autoriteit. Tegelijkertijd kent het voorstel aan de minister van Justitie en Veiligheid een coördinerende rol toe. </w:t>
      </w:r>
    </w:p>
    <w:p w:rsidRPr="001832DF" w:rsidR="001832DF" w:rsidP="001832DF" w:rsidRDefault="001832DF" w14:paraId="2F7AB8A3" w14:textId="77777777">
      <w:pPr>
        <w:pStyle w:val="Geenafstand"/>
        <w:rPr>
          <w:rFonts w:ascii="Times New Roman" w:hAnsi="Times New Roman" w:cs="Times New Roman"/>
          <w:i/>
          <w:iCs/>
          <w:sz w:val="24"/>
          <w:szCs w:val="24"/>
        </w:rPr>
      </w:pPr>
    </w:p>
    <w:p w:rsidRPr="001832DF" w:rsidR="001832DF" w:rsidP="001832DF" w:rsidRDefault="001832DF" w14:paraId="120A1E5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advisering van de Raad van State adviseert om nader in te gaan op de wijze waarop invulling wordt gegeven aan de coördinerende taak en de (mede)betrokkenheid van de minister van Justitie en Veiligheid.</w:t>
      </w:r>
    </w:p>
    <w:bookmarkEnd w:id="0"/>
    <w:p w:rsidRPr="001832DF" w:rsidR="001832DF" w:rsidP="001832DF" w:rsidRDefault="001832DF" w14:paraId="293ADEFD" w14:textId="77777777">
      <w:pPr>
        <w:pStyle w:val="Geenafstand"/>
        <w:rPr>
          <w:rFonts w:ascii="Times New Roman" w:hAnsi="Times New Roman" w:cs="Times New Roman"/>
          <w:i/>
          <w:iCs/>
          <w:sz w:val="24"/>
          <w:szCs w:val="24"/>
        </w:rPr>
      </w:pPr>
    </w:p>
    <w:p w:rsidRPr="001832DF" w:rsidR="001832DF" w:rsidP="001832DF" w:rsidRDefault="001832DF" w14:paraId="528956E7"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wijst erop dat de aan de vakministers toegekende bevoegdheid om toezicht te houden op cyberbeveiliging kan raken aan bevoegdheden die aan zelfstandige bestuursorganen zijn toegekend om voor bepaalde entiteiten toe te zien op de veiligheid (waaronder cyberbeveiliging). Het is van belang om te zorgen voor een duidelijke taakafbakening tussen vakministers en deze zelfstandige bestuursorganen om problemen door overlapping van bevoegdheden te vermijden.</w:t>
      </w:r>
    </w:p>
    <w:p w:rsidRPr="001832DF" w:rsidR="001832DF" w:rsidP="001832DF" w:rsidRDefault="001832DF" w14:paraId="79D7CCF2" w14:textId="77777777">
      <w:pPr>
        <w:pStyle w:val="Geenafstand"/>
        <w:rPr>
          <w:rFonts w:ascii="Times New Roman" w:hAnsi="Times New Roman" w:cs="Times New Roman"/>
          <w:i/>
          <w:iCs/>
          <w:sz w:val="24"/>
          <w:szCs w:val="24"/>
        </w:rPr>
      </w:pPr>
    </w:p>
    <w:p w:rsidRPr="001832DF" w:rsidR="001832DF" w:rsidP="001832DF" w:rsidRDefault="001832DF" w14:paraId="66DE4D2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adviseert om in het wetsvoorstel zoveel mogelijk te verduidelijken welke overheidsinstanties zijn uitgezonderd van het voorstel omdat zij activiteiten uitvoeren op het gebied van nationale veiligheid, openbare veiligheid, defensie of rechtshandhaving. De Afdeling adviseert bovendien om te verduidelijken of, en zo dit het geval is, op welke wijze, ten aanzien van het toezicht op de sector overheid wordt voldaan aan het vereiste van voldoende onafhankelijk toezicht, en zo nodig het voorstel aan te passen.</w:t>
      </w:r>
    </w:p>
    <w:p w:rsidRPr="001832DF" w:rsidR="001832DF" w:rsidP="001832DF" w:rsidRDefault="001832DF" w14:paraId="7942F170" w14:textId="77777777">
      <w:pPr>
        <w:pStyle w:val="Geenafstand"/>
        <w:rPr>
          <w:rFonts w:ascii="Times New Roman" w:hAnsi="Times New Roman" w:cs="Times New Roman"/>
          <w:i/>
          <w:iCs/>
          <w:sz w:val="24"/>
          <w:szCs w:val="24"/>
        </w:rPr>
      </w:pPr>
    </w:p>
    <w:p w:rsidRPr="001832DF" w:rsidR="001832DF" w:rsidP="001832DF" w:rsidRDefault="001832DF" w14:paraId="183543D6"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In verband met deze opmerkingen is aanpassing wenselijk van het wetsvoorstel en de toelichting.</w:t>
      </w:r>
    </w:p>
    <w:p w:rsidRPr="001832DF" w:rsidR="001832DF" w:rsidP="001832DF" w:rsidRDefault="001832DF" w14:paraId="4E781CD1" w14:textId="77777777">
      <w:pPr>
        <w:pStyle w:val="Geenafstand"/>
        <w:rPr>
          <w:rFonts w:ascii="Times New Roman" w:hAnsi="Times New Roman" w:cs="Times New Roman"/>
          <w:i/>
          <w:iCs/>
          <w:sz w:val="24"/>
          <w:szCs w:val="24"/>
        </w:rPr>
      </w:pPr>
    </w:p>
    <w:p w:rsidRPr="001832DF" w:rsidR="001832DF" w:rsidP="001832DF" w:rsidRDefault="001832DF" w14:paraId="70F660FA" w14:textId="77777777">
      <w:pPr>
        <w:pStyle w:val="Geenafstand"/>
        <w:rPr>
          <w:rFonts w:ascii="Times New Roman" w:hAnsi="Times New Roman" w:cs="Times New Roman"/>
          <w:i/>
          <w:iCs/>
          <w:sz w:val="24"/>
          <w:szCs w:val="24"/>
          <w:u w:val="single"/>
        </w:rPr>
      </w:pPr>
      <w:r w:rsidRPr="001832DF">
        <w:rPr>
          <w:rFonts w:ascii="Times New Roman" w:hAnsi="Times New Roman" w:cs="Times New Roman"/>
          <w:i/>
          <w:iCs/>
          <w:sz w:val="24"/>
          <w:szCs w:val="24"/>
        </w:rPr>
        <w:t xml:space="preserve">1. </w:t>
      </w:r>
      <w:r w:rsidRPr="001832DF">
        <w:rPr>
          <w:rFonts w:ascii="Times New Roman" w:hAnsi="Times New Roman" w:cs="Times New Roman"/>
          <w:i/>
          <w:iCs/>
          <w:sz w:val="24"/>
          <w:szCs w:val="24"/>
          <w:u w:val="single"/>
        </w:rPr>
        <w:t>Achtergrond en inhoud voorstel Cyberbeveiligingswet</w:t>
      </w:r>
    </w:p>
    <w:p w:rsidRPr="001832DF" w:rsidR="001832DF" w:rsidP="001832DF" w:rsidRDefault="001832DF" w14:paraId="36F35BF8" w14:textId="77777777">
      <w:pPr>
        <w:pStyle w:val="Geenafstand"/>
        <w:rPr>
          <w:rFonts w:ascii="Times New Roman" w:hAnsi="Times New Roman" w:cs="Times New Roman"/>
          <w:i/>
          <w:iCs/>
          <w:sz w:val="24"/>
          <w:szCs w:val="24"/>
          <w:u w:val="single"/>
        </w:rPr>
      </w:pPr>
    </w:p>
    <w:p w:rsidRPr="001832DF" w:rsidR="001832DF" w:rsidP="001832DF" w:rsidRDefault="001832DF" w14:paraId="311C0A64"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a. Implementatie NIS2-richtlijn, verhogen cyberbeveiliging, en samenhang CER-richtlijn</w:t>
      </w:r>
    </w:p>
    <w:p w:rsidRPr="001832DF" w:rsidR="001832DF" w:rsidP="001832DF" w:rsidRDefault="001832DF" w14:paraId="1BC77B3E"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wetsvoorstel is gericht op het verhogen van de cyberbeveiliging van belangrijke maatschappelijke of economische functies of activiteiten. Cyberbeveiliging spitst zich enerzijds toe op het beheersen van risico’s en het voorkomen van incidenten en anderzijds het beperken van de gevolgen van incidenten.</w:t>
      </w:r>
      <w:r w:rsidRPr="001832DF">
        <w:rPr>
          <w:rStyle w:val="Voetnootmarkering"/>
          <w:rFonts w:ascii="Times New Roman" w:hAnsi="Times New Roman" w:cs="Times New Roman"/>
          <w:i/>
          <w:iCs/>
          <w:sz w:val="24"/>
          <w:szCs w:val="24"/>
        </w:rPr>
        <w:footnoteReference w:id="3"/>
      </w:r>
      <w:r w:rsidRPr="001832DF">
        <w:rPr>
          <w:rFonts w:ascii="Times New Roman" w:hAnsi="Times New Roman" w:cs="Times New Roman"/>
          <w:i/>
          <w:iCs/>
          <w:sz w:val="24"/>
          <w:szCs w:val="24"/>
        </w:rPr>
        <w:t xml:space="preserve"> Bedreigingen van de cyberbeveiliging kunnen afkomstig zijn van kwaadwillende statelijke en niet-statelijke actoren, bijvoorbeeld in de vorm van sabotage of een zogenoemde </w:t>
      </w:r>
      <w:proofErr w:type="spellStart"/>
      <w:r w:rsidRPr="001832DF">
        <w:rPr>
          <w:rFonts w:ascii="Times New Roman" w:hAnsi="Times New Roman" w:cs="Times New Roman"/>
          <w:i/>
          <w:iCs/>
          <w:sz w:val="24"/>
          <w:szCs w:val="24"/>
        </w:rPr>
        <w:t>ransomware</w:t>
      </w:r>
      <w:proofErr w:type="spellEnd"/>
      <w:r w:rsidRPr="001832DF">
        <w:rPr>
          <w:rFonts w:ascii="Times New Roman" w:hAnsi="Times New Roman" w:cs="Times New Roman"/>
          <w:i/>
          <w:iCs/>
          <w:sz w:val="24"/>
          <w:szCs w:val="24"/>
        </w:rPr>
        <w:t>-aanval.</w:t>
      </w:r>
      <w:r w:rsidRPr="001832DF">
        <w:rPr>
          <w:rStyle w:val="Voetnootmarkering"/>
          <w:rFonts w:ascii="Times New Roman" w:hAnsi="Times New Roman" w:cs="Times New Roman"/>
          <w:i/>
          <w:iCs/>
          <w:sz w:val="24"/>
          <w:szCs w:val="24"/>
        </w:rPr>
        <w:footnoteReference w:id="4"/>
      </w:r>
      <w:r w:rsidRPr="001832DF">
        <w:rPr>
          <w:rFonts w:ascii="Times New Roman" w:hAnsi="Times New Roman" w:cs="Times New Roman"/>
          <w:i/>
          <w:iCs/>
          <w:sz w:val="24"/>
          <w:szCs w:val="24"/>
        </w:rPr>
        <w:t xml:space="preserve"> Maar zij kunnen ook voortvloeien uit kwetsbaarheden of technische fouten in het netwerk- en informatiesysteem, zoals bijvoorbeeld de uitval van deze systemen als gevolg van een foutieve update in de </w:t>
      </w:r>
      <w:proofErr w:type="spellStart"/>
      <w:r w:rsidRPr="001832DF">
        <w:rPr>
          <w:rFonts w:ascii="Times New Roman" w:hAnsi="Times New Roman" w:cs="Times New Roman"/>
          <w:i/>
          <w:iCs/>
          <w:sz w:val="24"/>
          <w:szCs w:val="24"/>
        </w:rPr>
        <w:t>Crowdstrike</w:t>
      </w:r>
      <w:proofErr w:type="spellEnd"/>
      <w:r w:rsidRPr="001832DF">
        <w:rPr>
          <w:rFonts w:ascii="Times New Roman" w:hAnsi="Times New Roman" w:cs="Times New Roman"/>
          <w:i/>
          <w:iCs/>
          <w:sz w:val="24"/>
          <w:szCs w:val="24"/>
        </w:rPr>
        <w:t>-software.</w:t>
      </w:r>
    </w:p>
    <w:p w:rsidRPr="001832DF" w:rsidR="001832DF" w:rsidP="001832DF" w:rsidRDefault="001832DF" w14:paraId="4ECFB5FD" w14:textId="77777777">
      <w:pPr>
        <w:pStyle w:val="Geenafstand"/>
        <w:rPr>
          <w:rFonts w:ascii="Times New Roman" w:hAnsi="Times New Roman" w:cs="Times New Roman"/>
          <w:i/>
          <w:iCs/>
          <w:sz w:val="24"/>
          <w:szCs w:val="24"/>
        </w:rPr>
      </w:pPr>
    </w:p>
    <w:tbl>
      <w:tblPr>
        <w:tblStyle w:val="Tabelraster"/>
        <w:tblW w:w="0" w:type="auto"/>
        <w:tblInd w:w="0" w:type="dxa"/>
        <w:tblLook w:val="04A0" w:firstRow="1" w:lastRow="0" w:firstColumn="1" w:lastColumn="0" w:noHBand="0" w:noVBand="1"/>
      </w:tblPr>
      <w:tblGrid>
        <w:gridCol w:w="9016"/>
      </w:tblGrid>
      <w:tr w:rsidRPr="001832DF" w:rsidR="001832DF" w:rsidTr="001B38BA" w14:paraId="41E07FFA" w14:textId="77777777">
        <w:tc>
          <w:tcPr>
            <w:tcW w:w="9016" w:type="dxa"/>
          </w:tcPr>
          <w:p w:rsidRPr="001832DF" w:rsidR="001832DF" w:rsidP="001B38BA" w:rsidRDefault="001832DF" w14:paraId="11859B28" w14:textId="77777777">
            <w:pPr>
              <w:pStyle w:val="Geenafstand"/>
              <w:rPr>
                <w:rFonts w:ascii="Times New Roman" w:hAnsi="Times New Roman" w:cs="Times New Roman"/>
                <w:i/>
                <w:iCs/>
                <w:sz w:val="20"/>
                <w:szCs w:val="20"/>
              </w:rPr>
            </w:pPr>
            <w:r w:rsidRPr="001832DF">
              <w:rPr>
                <w:rFonts w:ascii="Times New Roman" w:hAnsi="Times New Roman" w:cs="Times New Roman"/>
                <w:i/>
                <w:iCs/>
                <w:sz w:val="20"/>
                <w:szCs w:val="20"/>
              </w:rPr>
              <w:t>Als illustratie van de ernst en omvang die cyberincidenten kunnen aannemen een citaat uit Cybersecuritybeeld Nederland 2024</w:t>
            </w:r>
          </w:p>
          <w:p w:rsidRPr="001832DF" w:rsidR="001832DF" w:rsidP="001B38BA" w:rsidRDefault="001832DF" w14:paraId="4D9E04C1" w14:textId="77777777">
            <w:pPr>
              <w:pStyle w:val="Geenafstand"/>
              <w:rPr>
                <w:rFonts w:ascii="Times New Roman" w:hAnsi="Times New Roman" w:cs="Times New Roman"/>
                <w:i/>
                <w:iCs/>
                <w:sz w:val="20"/>
                <w:szCs w:val="20"/>
              </w:rPr>
            </w:pPr>
          </w:p>
          <w:p w:rsidRPr="001832DF" w:rsidR="001832DF" w:rsidP="001B38BA" w:rsidRDefault="001832DF" w14:paraId="422934E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0"/>
                <w:szCs w:val="20"/>
              </w:rPr>
              <w:t xml:space="preserve">“Op 19 juli introduceerde </w:t>
            </w:r>
            <w:proofErr w:type="spellStart"/>
            <w:r w:rsidRPr="001832DF">
              <w:rPr>
                <w:rFonts w:ascii="Times New Roman" w:hAnsi="Times New Roman" w:cs="Times New Roman"/>
                <w:i/>
                <w:iCs/>
                <w:sz w:val="20"/>
                <w:szCs w:val="20"/>
              </w:rPr>
              <w:t>CrowdStrike</w:t>
            </w:r>
            <w:proofErr w:type="spellEnd"/>
            <w:r w:rsidRPr="001832DF">
              <w:rPr>
                <w:rFonts w:ascii="Times New Roman" w:hAnsi="Times New Roman" w:cs="Times New Roman"/>
                <w:i/>
                <w:iCs/>
                <w:sz w:val="20"/>
                <w:szCs w:val="20"/>
              </w:rPr>
              <w:t xml:space="preserve"> een software-update die ervoor zorgde dat er wereldwijd zo’n 8,5 miljoen Windowssystemen onbruikbaar werden. De fout zorgde voor ‘Blue </w:t>
            </w:r>
            <w:proofErr w:type="spellStart"/>
            <w:r w:rsidRPr="001832DF">
              <w:rPr>
                <w:rFonts w:ascii="Times New Roman" w:hAnsi="Times New Roman" w:cs="Times New Roman"/>
                <w:i/>
                <w:iCs/>
                <w:sz w:val="20"/>
                <w:szCs w:val="20"/>
              </w:rPr>
              <w:t>Screens</w:t>
            </w:r>
            <w:proofErr w:type="spellEnd"/>
            <w:r w:rsidRPr="001832DF">
              <w:rPr>
                <w:rFonts w:ascii="Times New Roman" w:hAnsi="Times New Roman" w:cs="Times New Roman"/>
                <w:i/>
                <w:iCs/>
                <w:sz w:val="20"/>
                <w:szCs w:val="20"/>
              </w:rPr>
              <w:t xml:space="preserve"> of </w:t>
            </w:r>
            <w:proofErr w:type="spellStart"/>
            <w:r w:rsidRPr="001832DF">
              <w:rPr>
                <w:rFonts w:ascii="Times New Roman" w:hAnsi="Times New Roman" w:cs="Times New Roman"/>
                <w:i/>
                <w:iCs/>
                <w:sz w:val="20"/>
                <w:szCs w:val="20"/>
              </w:rPr>
              <w:t>Death</w:t>
            </w:r>
            <w:proofErr w:type="spellEnd"/>
            <w:r w:rsidRPr="001832DF">
              <w:rPr>
                <w:rFonts w:ascii="Times New Roman" w:hAnsi="Times New Roman" w:cs="Times New Roman"/>
                <w:i/>
                <w:iCs/>
                <w:sz w:val="20"/>
                <w:szCs w:val="20"/>
              </w:rPr>
              <w:t>’ op Windowssystemen. Dit zorgde wereldwijd voor grote problemen, zo ook in Nederland. Schiphol annuleerde vluchten en in sommige ziekenhuizen werd de zorg afgeschaald. Ook delen van de overheid werden geraakt. Zo ondervonden het ministerie van Buitenlandse Zaken en het UWV hinder van de storing”.</w:t>
            </w:r>
            <w:r w:rsidRPr="001832DF">
              <w:rPr>
                <w:rStyle w:val="Voetnootmarkering"/>
                <w:rFonts w:ascii="Times New Roman" w:hAnsi="Times New Roman" w:cs="Times New Roman"/>
                <w:i/>
                <w:iCs/>
                <w:sz w:val="20"/>
                <w:szCs w:val="20"/>
              </w:rPr>
              <w:footnoteReference w:id="5"/>
            </w:r>
          </w:p>
        </w:tc>
      </w:tr>
    </w:tbl>
    <w:p w:rsidRPr="001832DF" w:rsidR="001832DF" w:rsidP="001832DF" w:rsidRDefault="001832DF" w14:paraId="5C9A7AC7" w14:textId="77777777">
      <w:pPr>
        <w:pStyle w:val="Geenafstand"/>
        <w:rPr>
          <w:rFonts w:ascii="Times New Roman" w:hAnsi="Times New Roman" w:cs="Times New Roman"/>
          <w:i/>
          <w:iCs/>
          <w:sz w:val="24"/>
          <w:szCs w:val="24"/>
        </w:rPr>
      </w:pPr>
    </w:p>
    <w:p w:rsidRPr="001832DF" w:rsidR="001832DF" w:rsidP="001832DF" w:rsidRDefault="001832DF" w14:paraId="2D64FFC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wetsvoorstel treedt in de plaats van de Wet beveiliging netwerk- en informatiesystemen (</w:t>
      </w:r>
      <w:proofErr w:type="spellStart"/>
      <w:r w:rsidRPr="001832DF">
        <w:rPr>
          <w:rFonts w:ascii="Times New Roman" w:hAnsi="Times New Roman" w:cs="Times New Roman"/>
          <w:i/>
          <w:iCs/>
          <w:sz w:val="24"/>
          <w:szCs w:val="24"/>
        </w:rPr>
        <w:t>Wbni</w:t>
      </w:r>
      <w:proofErr w:type="spellEnd"/>
      <w:r w:rsidRPr="001832DF">
        <w:rPr>
          <w:rFonts w:ascii="Times New Roman" w:hAnsi="Times New Roman" w:cs="Times New Roman"/>
          <w:i/>
          <w:iCs/>
          <w:sz w:val="24"/>
          <w:szCs w:val="24"/>
        </w:rPr>
        <w:t xml:space="preserve">), waarmee de richtlijn inzake maatregelen voor een hoog gemeenschappelijk niveau van beveiliging van netwerk- en </w:t>
      </w:r>
      <w:r w:rsidRPr="001832DF">
        <w:rPr>
          <w:rFonts w:ascii="Times New Roman" w:hAnsi="Times New Roman" w:cs="Times New Roman"/>
          <w:i/>
          <w:iCs/>
          <w:sz w:val="24"/>
          <w:szCs w:val="24"/>
        </w:rPr>
        <w:lastRenderedPageBreak/>
        <w:t>informatiesystemen in de EU (NIS1-richtlijn) is geïmplementeerd.</w:t>
      </w:r>
      <w:r w:rsidRPr="001832DF">
        <w:rPr>
          <w:rStyle w:val="Voetnootmarkering"/>
          <w:rFonts w:ascii="Times New Roman" w:hAnsi="Times New Roman" w:cs="Times New Roman"/>
          <w:i/>
          <w:iCs/>
          <w:sz w:val="24"/>
          <w:szCs w:val="24"/>
        </w:rPr>
        <w:footnoteReference w:id="6"/>
      </w:r>
      <w:r w:rsidRPr="001832DF">
        <w:rPr>
          <w:rFonts w:ascii="Times New Roman" w:hAnsi="Times New Roman" w:cs="Times New Roman"/>
          <w:i/>
          <w:iCs/>
          <w:sz w:val="24"/>
          <w:szCs w:val="24"/>
        </w:rPr>
        <w:t xml:space="preserve"> Uit een evaluatie van die richtlijn kwam een aantal tekortkomingen naar voren.</w:t>
      </w:r>
      <w:r w:rsidRPr="001832DF">
        <w:rPr>
          <w:rStyle w:val="Voetnootmarkering"/>
          <w:rFonts w:ascii="Times New Roman" w:hAnsi="Times New Roman" w:cs="Times New Roman"/>
          <w:i/>
          <w:iCs/>
          <w:sz w:val="24"/>
          <w:szCs w:val="24"/>
        </w:rPr>
        <w:footnoteReference w:id="7"/>
      </w:r>
      <w:r w:rsidRPr="001832DF">
        <w:rPr>
          <w:rFonts w:ascii="Times New Roman" w:hAnsi="Times New Roman" w:cs="Times New Roman"/>
          <w:i/>
          <w:iCs/>
          <w:sz w:val="24"/>
          <w:szCs w:val="24"/>
        </w:rPr>
        <w:t xml:space="preserve"> Om die reden is de NIS2-richtlijn vastgesteld betreffende maatregelen voor een hoog gezamenlijk niveau van cyberbeveiliging in de EU.</w:t>
      </w:r>
      <w:r w:rsidRPr="001832DF">
        <w:rPr>
          <w:rStyle w:val="Voetnootmarkering"/>
          <w:rFonts w:ascii="Times New Roman" w:hAnsi="Times New Roman" w:cs="Times New Roman"/>
          <w:i/>
          <w:iCs/>
          <w:sz w:val="24"/>
          <w:szCs w:val="24"/>
        </w:rPr>
        <w:footnoteReference w:id="8"/>
      </w:r>
      <w:r w:rsidRPr="001832DF">
        <w:rPr>
          <w:rFonts w:ascii="Times New Roman" w:hAnsi="Times New Roman" w:cs="Times New Roman"/>
          <w:i/>
          <w:iCs/>
          <w:sz w:val="24"/>
          <w:szCs w:val="24"/>
        </w:rPr>
        <w:t xml:space="preserve"> Het wetsvoorstel implementeert de NIS2-richtlijn. De implementatietermijn is op 17 oktober 2024 verstreken.</w:t>
      </w:r>
    </w:p>
    <w:p w:rsidRPr="001832DF" w:rsidR="001832DF" w:rsidP="001832DF" w:rsidRDefault="001832DF" w14:paraId="16B56D2E" w14:textId="77777777">
      <w:pPr>
        <w:pStyle w:val="Geenafstand"/>
        <w:rPr>
          <w:rFonts w:ascii="Times New Roman" w:hAnsi="Times New Roman" w:cs="Times New Roman"/>
          <w:i/>
          <w:iCs/>
          <w:sz w:val="24"/>
          <w:szCs w:val="24"/>
        </w:rPr>
      </w:pPr>
    </w:p>
    <w:p w:rsidRPr="001832DF" w:rsidR="001832DF" w:rsidP="001832DF" w:rsidRDefault="001832DF" w14:paraId="492A492A"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doelstelling en systematiek van de NIS2-richtlijn hangt nauw samen met die van de gelijktijdig vastgestelde CER-richtlijn. Het voorstel voor een Wet weerbaarheid kritieke entiteiten (</w:t>
      </w:r>
      <w:proofErr w:type="spellStart"/>
      <w:r w:rsidRPr="001832DF">
        <w:rPr>
          <w:rFonts w:ascii="Times New Roman" w:hAnsi="Times New Roman" w:cs="Times New Roman"/>
          <w:i/>
          <w:iCs/>
          <w:sz w:val="24"/>
          <w:szCs w:val="24"/>
        </w:rPr>
        <w:t>Wwke</w:t>
      </w:r>
      <w:proofErr w:type="spellEnd"/>
      <w:r w:rsidRPr="001832DF">
        <w:rPr>
          <w:rFonts w:ascii="Times New Roman" w:hAnsi="Times New Roman" w:cs="Times New Roman"/>
          <w:i/>
          <w:iCs/>
          <w:sz w:val="24"/>
          <w:szCs w:val="24"/>
        </w:rPr>
        <w:t>) implementeert de CER-richtlijn.</w:t>
      </w:r>
      <w:r w:rsidRPr="001832DF">
        <w:rPr>
          <w:rStyle w:val="Voetnootmarkering"/>
          <w:rFonts w:ascii="Times New Roman" w:hAnsi="Times New Roman" w:cs="Times New Roman"/>
          <w:i/>
          <w:iCs/>
          <w:sz w:val="24"/>
          <w:szCs w:val="24"/>
        </w:rPr>
        <w:footnoteReference w:id="9"/>
      </w:r>
      <w:r w:rsidRPr="001832DF">
        <w:rPr>
          <w:rFonts w:ascii="Times New Roman" w:hAnsi="Times New Roman" w:cs="Times New Roman"/>
          <w:i/>
          <w:iCs/>
          <w:sz w:val="24"/>
          <w:szCs w:val="24"/>
        </w:rPr>
        <w:t xml:space="preserve"> De Afdeling brengt over beide implementatievoorstellen gelijktijdig advies uit. De CER-richtlijn en de </w:t>
      </w:r>
      <w:proofErr w:type="spellStart"/>
      <w:r w:rsidRPr="001832DF">
        <w:rPr>
          <w:rFonts w:ascii="Times New Roman" w:hAnsi="Times New Roman" w:cs="Times New Roman"/>
          <w:i/>
          <w:iCs/>
          <w:sz w:val="24"/>
          <w:szCs w:val="24"/>
        </w:rPr>
        <w:t>Wwke</w:t>
      </w:r>
      <w:proofErr w:type="spellEnd"/>
      <w:r w:rsidRPr="001832DF">
        <w:rPr>
          <w:rFonts w:ascii="Times New Roman" w:hAnsi="Times New Roman" w:cs="Times New Roman"/>
          <w:i/>
          <w:iCs/>
          <w:sz w:val="24"/>
          <w:szCs w:val="24"/>
        </w:rPr>
        <w:t xml:space="preserve"> hebben uitsluitend betrekking op de fysieke weerbaarheid van kritieke entiteiten. Indien een entiteit op basis van de </w:t>
      </w:r>
      <w:proofErr w:type="spellStart"/>
      <w:r w:rsidRPr="001832DF">
        <w:rPr>
          <w:rFonts w:ascii="Times New Roman" w:hAnsi="Times New Roman" w:cs="Times New Roman"/>
          <w:i/>
          <w:iCs/>
          <w:sz w:val="24"/>
          <w:szCs w:val="24"/>
        </w:rPr>
        <w:t>Wwke</w:t>
      </w:r>
      <w:proofErr w:type="spellEnd"/>
      <w:r w:rsidRPr="001832DF">
        <w:rPr>
          <w:rFonts w:ascii="Times New Roman" w:hAnsi="Times New Roman" w:cs="Times New Roman"/>
          <w:i/>
          <w:iCs/>
          <w:sz w:val="24"/>
          <w:szCs w:val="24"/>
        </w:rPr>
        <w:t xml:space="preserve"> een kritieke entiteit is, is die entiteit van rechtswege een essentiële entiteit waarop het voorstel voor een Cyberbeveiligingswet (hierna: </w:t>
      </w:r>
      <w:proofErr w:type="spellStart"/>
      <w:r w:rsidRPr="001832DF">
        <w:rPr>
          <w:rFonts w:ascii="Times New Roman" w:hAnsi="Times New Roman" w:cs="Times New Roman"/>
          <w:i/>
          <w:iCs/>
          <w:sz w:val="24"/>
          <w:szCs w:val="24"/>
        </w:rPr>
        <w:t>Cbw</w:t>
      </w:r>
      <w:proofErr w:type="spellEnd"/>
      <w:r w:rsidRPr="001832DF">
        <w:rPr>
          <w:rFonts w:ascii="Times New Roman" w:hAnsi="Times New Roman" w:cs="Times New Roman"/>
          <w:i/>
          <w:iCs/>
          <w:sz w:val="24"/>
          <w:szCs w:val="24"/>
        </w:rPr>
        <w:t xml:space="preserve">) van toepassing is. </w:t>
      </w:r>
    </w:p>
    <w:p w:rsidRPr="001832DF" w:rsidR="001832DF" w:rsidP="001832DF" w:rsidRDefault="001832DF" w14:paraId="7645A6B9" w14:textId="77777777">
      <w:pPr>
        <w:pStyle w:val="Geenafstand"/>
        <w:rPr>
          <w:rFonts w:ascii="Times New Roman" w:hAnsi="Times New Roman" w:cs="Times New Roman"/>
          <w:i/>
          <w:iCs/>
          <w:sz w:val="24"/>
          <w:szCs w:val="24"/>
        </w:rPr>
      </w:pPr>
    </w:p>
    <w:p w:rsidRPr="001832DF" w:rsidR="001832DF" w:rsidP="001832DF" w:rsidRDefault="001832DF" w14:paraId="6919F892"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b. Hoofdlijnen voorstel </w:t>
      </w:r>
      <w:proofErr w:type="spellStart"/>
      <w:r w:rsidRPr="001832DF">
        <w:rPr>
          <w:rFonts w:ascii="Times New Roman" w:hAnsi="Times New Roman" w:cs="Times New Roman"/>
          <w:i/>
          <w:iCs/>
          <w:sz w:val="24"/>
          <w:szCs w:val="24"/>
        </w:rPr>
        <w:t>Cbw</w:t>
      </w:r>
      <w:proofErr w:type="spellEnd"/>
      <w:r w:rsidRPr="001832DF">
        <w:rPr>
          <w:rFonts w:ascii="Times New Roman" w:hAnsi="Times New Roman" w:cs="Times New Roman"/>
          <w:i/>
          <w:iCs/>
          <w:sz w:val="24"/>
          <w:szCs w:val="24"/>
        </w:rPr>
        <w:br/>
        <w:t xml:space="preserve">Het wetsvoorstel bevat verplichtingen op het gebied van cyberbeveiliging voor bepaalde publieke en private organisaties, die opereren in economische sectoren en diensten aanbieden die van vitaal belang zijn. Daarbij wordt een onderscheid gemaakt tussen “essentiële” en “belangrijke” entiteiten. Het wetsvoorstel is van rechtswege, of na een daartoe strekkende aanwijzing, op entiteiten van toepassing. Omdat er meer risico’s zijn wat betreft de cyberbeveiliging van essentiële entiteiten, is op deze entiteiten een strenger </w:t>
      </w:r>
      <w:proofErr w:type="spellStart"/>
      <w:r w:rsidRPr="001832DF">
        <w:rPr>
          <w:rFonts w:ascii="Times New Roman" w:hAnsi="Times New Roman" w:cs="Times New Roman"/>
          <w:i/>
          <w:iCs/>
          <w:sz w:val="24"/>
          <w:szCs w:val="24"/>
        </w:rPr>
        <w:t>toezichtsregime</w:t>
      </w:r>
      <w:proofErr w:type="spellEnd"/>
      <w:r w:rsidRPr="001832DF">
        <w:rPr>
          <w:rFonts w:ascii="Times New Roman" w:hAnsi="Times New Roman" w:cs="Times New Roman"/>
          <w:i/>
          <w:iCs/>
          <w:sz w:val="24"/>
          <w:szCs w:val="24"/>
        </w:rPr>
        <w:t xml:space="preserve"> van toepassing dan voor belangrijke entiteiten.</w:t>
      </w:r>
      <w:r w:rsidRPr="001832DF" w:rsidDel="00B46260">
        <w:rPr>
          <w:rStyle w:val="Voetnootmarkering"/>
          <w:rFonts w:ascii="Times New Roman" w:hAnsi="Times New Roman" w:cs="Times New Roman"/>
          <w:i/>
          <w:iCs/>
          <w:sz w:val="24"/>
          <w:szCs w:val="24"/>
        </w:rPr>
        <w:footnoteReference w:id="10"/>
      </w:r>
    </w:p>
    <w:p w:rsidRPr="001832DF" w:rsidR="001832DF" w:rsidP="001832DF" w:rsidRDefault="001832DF" w14:paraId="2461F280" w14:textId="77777777">
      <w:pPr>
        <w:pStyle w:val="Geenafstand"/>
        <w:rPr>
          <w:rFonts w:ascii="Times New Roman" w:hAnsi="Times New Roman" w:cs="Times New Roman"/>
          <w:i/>
          <w:iCs/>
          <w:sz w:val="24"/>
          <w:szCs w:val="24"/>
        </w:rPr>
      </w:pPr>
    </w:p>
    <w:p w:rsidRPr="001832DF" w:rsidR="001832DF" w:rsidP="001832DF" w:rsidRDefault="001832DF" w14:paraId="5CA0DCD5"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Voor essentiële en belangrijke entiteiten geldt allereerst een zorgplicht.</w:t>
      </w:r>
      <w:r w:rsidRPr="001832DF">
        <w:rPr>
          <w:rStyle w:val="Voetnootmarkering"/>
          <w:rFonts w:ascii="Times New Roman" w:hAnsi="Times New Roman" w:cs="Times New Roman"/>
          <w:i/>
          <w:iCs/>
          <w:sz w:val="24"/>
          <w:szCs w:val="24"/>
        </w:rPr>
        <w:footnoteReference w:id="11"/>
      </w:r>
      <w:r w:rsidRPr="001832DF">
        <w:rPr>
          <w:rFonts w:ascii="Times New Roman" w:hAnsi="Times New Roman" w:cs="Times New Roman"/>
          <w:i/>
          <w:iCs/>
          <w:sz w:val="24"/>
          <w:szCs w:val="24"/>
        </w:rPr>
        <w:t xml:space="preserve"> Deze plicht is erop gericht dat entiteiten maatregelen nemen om risico’s te beheersen en incidenten te voorkomen, of de gevolgen daarvan te beperken. Het wetsvoorstel bevat een opsomming van maatregelen die in dit verband in elk geval verplicht zijn. Verdere invulling van de zorgplicht zal plaatsvinden door de entiteiten zelf, eventueel met behulp van sectorspecifieke voorschriften die worden gesteld in een EU-rechtshandeling, of bij of krachtens algemene maatregel van bestuur.</w:t>
      </w:r>
      <w:r w:rsidRPr="001832DF">
        <w:rPr>
          <w:rStyle w:val="Voetnootmarkering"/>
          <w:rFonts w:ascii="Times New Roman" w:hAnsi="Times New Roman" w:cs="Times New Roman"/>
          <w:i/>
          <w:iCs/>
          <w:sz w:val="24"/>
          <w:szCs w:val="24"/>
        </w:rPr>
        <w:footnoteReference w:id="12"/>
      </w:r>
    </w:p>
    <w:p w:rsidRPr="001832DF" w:rsidR="001832DF" w:rsidP="001832DF" w:rsidRDefault="001832DF" w14:paraId="2244CA65" w14:textId="77777777">
      <w:pPr>
        <w:pStyle w:val="Geenafstand"/>
        <w:rPr>
          <w:rFonts w:ascii="Times New Roman" w:hAnsi="Times New Roman" w:cs="Times New Roman"/>
          <w:i/>
          <w:iCs/>
          <w:sz w:val="24"/>
          <w:szCs w:val="24"/>
        </w:rPr>
      </w:pPr>
    </w:p>
    <w:p w:rsidRPr="001832DF" w:rsidR="001832DF" w:rsidP="001832DF" w:rsidRDefault="001832DF" w14:paraId="44155790"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Daarnaast geldt voor essentiële en belangrijke entiteiten een meldplicht.</w:t>
      </w:r>
      <w:r w:rsidRPr="001832DF">
        <w:rPr>
          <w:rStyle w:val="Voetnootmarkering"/>
          <w:rFonts w:ascii="Times New Roman" w:hAnsi="Times New Roman" w:cs="Times New Roman"/>
          <w:i/>
          <w:iCs/>
          <w:sz w:val="24"/>
          <w:szCs w:val="24"/>
        </w:rPr>
        <w:footnoteReference w:id="13"/>
      </w:r>
      <w:r w:rsidRPr="001832DF">
        <w:rPr>
          <w:rFonts w:ascii="Times New Roman" w:hAnsi="Times New Roman" w:cs="Times New Roman"/>
          <w:i/>
          <w:iCs/>
          <w:sz w:val="24"/>
          <w:szCs w:val="24"/>
        </w:rPr>
        <w:t xml:space="preserve"> Op basis van deze plicht moeten entiteiten gefaseerd – dat wil zeggen van vroegtijdige waarschuwing tot eindverslag – melding doen van een “significant incident” bij zowel het CSIRT (computer security incident response team) als de bevoegde autoriteit (de verantwoordelijke minister).</w:t>
      </w:r>
      <w:r w:rsidRPr="001832DF">
        <w:rPr>
          <w:rStyle w:val="Voetnootmarkering"/>
          <w:rFonts w:ascii="Times New Roman" w:hAnsi="Times New Roman" w:cs="Times New Roman"/>
          <w:i/>
          <w:iCs/>
          <w:sz w:val="24"/>
          <w:szCs w:val="24"/>
        </w:rPr>
        <w:footnoteReference w:id="14"/>
      </w:r>
      <w:r w:rsidRPr="001832DF">
        <w:rPr>
          <w:rFonts w:ascii="Times New Roman" w:hAnsi="Times New Roman" w:cs="Times New Roman"/>
          <w:i/>
          <w:iCs/>
          <w:sz w:val="24"/>
          <w:szCs w:val="24"/>
        </w:rPr>
        <w:t xml:space="preserve"> Met het wetsvoorstel gelden ook verplichtingen voor leden van het bestuur van de entiteiten. Zij moeten zorgplichtmaatregelen goedkeuren en toezien op de uitvoering daarvan. Tevens dienen zij een opleiding te volgen om voldoende kennis te hebben van risico’s op het gebied van cyberbeveiliging.</w:t>
      </w:r>
      <w:r w:rsidRPr="001832DF">
        <w:rPr>
          <w:rStyle w:val="Voetnootmarkering"/>
          <w:rFonts w:ascii="Times New Roman" w:hAnsi="Times New Roman" w:cs="Times New Roman"/>
          <w:i/>
          <w:iCs/>
          <w:sz w:val="24"/>
          <w:szCs w:val="24"/>
        </w:rPr>
        <w:footnoteReference w:id="15"/>
      </w:r>
      <w:r w:rsidRPr="001832DF">
        <w:rPr>
          <w:rFonts w:ascii="Times New Roman" w:hAnsi="Times New Roman" w:cs="Times New Roman"/>
          <w:i/>
          <w:iCs/>
          <w:sz w:val="24"/>
          <w:szCs w:val="24"/>
        </w:rPr>
        <w:t xml:space="preserve"> </w:t>
      </w:r>
    </w:p>
    <w:p w:rsidRPr="001832DF" w:rsidR="001832DF" w:rsidP="001832DF" w:rsidRDefault="001832DF" w14:paraId="01CD051C" w14:textId="77777777">
      <w:pPr>
        <w:pStyle w:val="Geenafstand"/>
        <w:rPr>
          <w:rFonts w:ascii="Times New Roman" w:hAnsi="Times New Roman" w:cs="Times New Roman"/>
          <w:i/>
          <w:iCs/>
          <w:sz w:val="24"/>
          <w:szCs w:val="24"/>
        </w:rPr>
      </w:pPr>
    </w:p>
    <w:p w:rsidRPr="001832DF" w:rsidR="001832DF" w:rsidP="001832DF" w:rsidRDefault="001832DF" w14:paraId="3149B5D3"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Voor de goede uitvoering van het wetsvoorstel zijn een aantal instanties verantwoordelijk. Zeven vakministers worden bij wet aangewezen als bevoegde autoriteit, met de taak om toezicht te houden op de naleving van de verplichtingen door entiteiten, actief in sectoren of </w:t>
      </w:r>
      <w:proofErr w:type="spellStart"/>
      <w:r w:rsidRPr="001832DF">
        <w:rPr>
          <w:rFonts w:ascii="Times New Roman" w:hAnsi="Times New Roman" w:cs="Times New Roman"/>
          <w:i/>
          <w:iCs/>
          <w:sz w:val="24"/>
          <w:szCs w:val="24"/>
        </w:rPr>
        <w:t>subsectoren</w:t>
      </w:r>
      <w:proofErr w:type="spellEnd"/>
      <w:r w:rsidRPr="001832DF">
        <w:rPr>
          <w:rFonts w:ascii="Times New Roman" w:hAnsi="Times New Roman" w:cs="Times New Roman"/>
          <w:i/>
          <w:iCs/>
          <w:sz w:val="24"/>
          <w:szCs w:val="24"/>
        </w:rPr>
        <w:t xml:space="preserve"> die onder de beleidsverantwoordelijkheid van de </w:t>
      </w:r>
      <w:r w:rsidRPr="001832DF">
        <w:rPr>
          <w:rFonts w:ascii="Times New Roman" w:hAnsi="Times New Roman" w:cs="Times New Roman"/>
          <w:i/>
          <w:iCs/>
          <w:sz w:val="24"/>
          <w:szCs w:val="24"/>
        </w:rPr>
        <w:lastRenderedPageBreak/>
        <w:t>betreffende vakminister vallen.</w:t>
      </w:r>
      <w:r w:rsidRPr="001832DF">
        <w:rPr>
          <w:rStyle w:val="Voetnootmarkering"/>
          <w:rFonts w:ascii="Times New Roman" w:hAnsi="Times New Roman" w:cs="Times New Roman"/>
          <w:i/>
          <w:iCs/>
          <w:sz w:val="24"/>
          <w:szCs w:val="24"/>
        </w:rPr>
        <w:footnoteReference w:id="16"/>
      </w:r>
      <w:r w:rsidRPr="001832DF">
        <w:rPr>
          <w:rFonts w:ascii="Times New Roman" w:hAnsi="Times New Roman" w:cs="Times New Roman"/>
          <w:i/>
          <w:iCs/>
          <w:sz w:val="24"/>
          <w:szCs w:val="24"/>
        </w:rPr>
        <w:t xml:space="preserve"> </w:t>
      </w:r>
      <w:proofErr w:type="spellStart"/>
      <w:r w:rsidRPr="001832DF">
        <w:rPr>
          <w:rFonts w:ascii="Times New Roman" w:hAnsi="Times New Roman" w:cs="Times New Roman"/>
          <w:i/>
          <w:iCs/>
          <w:sz w:val="24"/>
          <w:szCs w:val="24"/>
        </w:rPr>
        <w:t>CSIRT’s</w:t>
      </w:r>
      <w:proofErr w:type="spellEnd"/>
      <w:r w:rsidRPr="001832DF">
        <w:rPr>
          <w:rFonts w:ascii="Times New Roman" w:hAnsi="Times New Roman" w:cs="Times New Roman"/>
          <w:i/>
          <w:iCs/>
          <w:sz w:val="24"/>
          <w:szCs w:val="24"/>
        </w:rPr>
        <w:t xml:space="preserve"> zijn verantwoordelijk voor het verlenen van bijstand aan entiteiten in het geval van een cyberincident. </w:t>
      </w:r>
    </w:p>
    <w:p w:rsidRPr="001832DF" w:rsidR="001832DF" w:rsidP="001832DF" w:rsidRDefault="001832DF" w14:paraId="73D13166" w14:textId="77777777">
      <w:pPr>
        <w:pStyle w:val="Geenafstand"/>
        <w:rPr>
          <w:rFonts w:ascii="Times New Roman" w:hAnsi="Times New Roman" w:cs="Times New Roman"/>
          <w:i/>
          <w:iCs/>
          <w:sz w:val="24"/>
          <w:szCs w:val="24"/>
        </w:rPr>
      </w:pPr>
    </w:p>
    <w:p w:rsidRPr="001832DF" w:rsidR="001832DF" w:rsidP="001832DF" w:rsidRDefault="001832DF" w14:paraId="3B610D6B"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2. </w:t>
      </w:r>
      <w:r w:rsidRPr="001832DF">
        <w:rPr>
          <w:rFonts w:ascii="Times New Roman" w:hAnsi="Times New Roman" w:cs="Times New Roman"/>
          <w:i/>
          <w:iCs/>
          <w:sz w:val="24"/>
          <w:szCs w:val="24"/>
          <w:u w:val="single"/>
        </w:rPr>
        <w:t>Afbakening van de reikwijdte</w:t>
      </w:r>
    </w:p>
    <w:p w:rsidRPr="001832DF" w:rsidR="001832DF" w:rsidP="001832DF" w:rsidRDefault="001832DF" w14:paraId="154C82FD" w14:textId="77777777">
      <w:pPr>
        <w:pStyle w:val="Geenafstand"/>
        <w:rPr>
          <w:rFonts w:ascii="Times New Roman" w:hAnsi="Times New Roman" w:cs="Times New Roman"/>
          <w:i/>
          <w:iCs/>
          <w:sz w:val="24"/>
          <w:szCs w:val="24"/>
        </w:rPr>
      </w:pPr>
    </w:p>
    <w:p w:rsidRPr="001832DF" w:rsidR="001832DF" w:rsidP="001832DF" w:rsidRDefault="001832DF" w14:paraId="3349D17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richtlijn is niet van toepassing op “overheidsinstanties die activiteiten uitvoeren op het gebied van nationale veiligheid, openbare veiligheid, defensie of rechtshandhaving, met inbegrip van het voorkomen, onderzoeken, opsporen en vervolgen van strafbare feiten.”</w:t>
      </w:r>
      <w:r w:rsidRPr="001832DF">
        <w:rPr>
          <w:rStyle w:val="Voetnootmarkering"/>
          <w:rFonts w:ascii="Times New Roman" w:hAnsi="Times New Roman" w:cs="Times New Roman"/>
          <w:i/>
          <w:iCs/>
          <w:sz w:val="24"/>
          <w:szCs w:val="24"/>
        </w:rPr>
        <w:footnoteReference w:id="17"/>
      </w:r>
      <w:r w:rsidRPr="001832DF">
        <w:rPr>
          <w:rFonts w:ascii="Times New Roman" w:hAnsi="Times New Roman" w:cs="Times New Roman"/>
          <w:i/>
          <w:iCs/>
          <w:sz w:val="24"/>
          <w:szCs w:val="24"/>
        </w:rPr>
        <w:t xml:space="preserve"> Deze bepaling uit de richtlijn is vrijwel letterlijk overgenomen in het voorstel voor de </w:t>
      </w:r>
      <w:proofErr w:type="spellStart"/>
      <w:r w:rsidRPr="001832DF">
        <w:rPr>
          <w:rFonts w:ascii="Times New Roman" w:hAnsi="Times New Roman" w:cs="Times New Roman"/>
          <w:i/>
          <w:iCs/>
          <w:sz w:val="24"/>
          <w:szCs w:val="24"/>
        </w:rPr>
        <w:t>Cbw</w:t>
      </w:r>
      <w:proofErr w:type="spellEnd"/>
      <w:r w:rsidRPr="001832DF">
        <w:rPr>
          <w:rFonts w:ascii="Times New Roman" w:hAnsi="Times New Roman" w:cs="Times New Roman"/>
          <w:i/>
          <w:iCs/>
          <w:sz w:val="24"/>
          <w:szCs w:val="24"/>
        </w:rPr>
        <w:t>. Om welke organisaties het precies gaat wordt echter niet verder uitgewerkt.</w:t>
      </w:r>
      <w:r w:rsidRPr="001832DF">
        <w:rPr>
          <w:rStyle w:val="Voetnootmarkering"/>
          <w:rFonts w:ascii="Times New Roman" w:hAnsi="Times New Roman" w:cs="Times New Roman"/>
          <w:i/>
          <w:iCs/>
          <w:sz w:val="24"/>
          <w:szCs w:val="24"/>
        </w:rPr>
        <w:footnoteReference w:id="18"/>
      </w:r>
      <w:r w:rsidRPr="001832DF">
        <w:rPr>
          <w:rFonts w:ascii="Times New Roman" w:hAnsi="Times New Roman" w:cs="Times New Roman"/>
          <w:i/>
          <w:iCs/>
          <w:sz w:val="24"/>
          <w:szCs w:val="24"/>
        </w:rPr>
        <w:t xml:space="preserve"> Volgens de toelichting zal het wetsvoorstel niet gelden voor “onder andere” de veiligheidsregio’s, het ministerie van Defensie, het openbaar ministerie en de politie.</w:t>
      </w:r>
      <w:r w:rsidRPr="001832DF">
        <w:rPr>
          <w:rStyle w:val="Voetnootmarkering"/>
          <w:rFonts w:ascii="Times New Roman" w:hAnsi="Times New Roman" w:cs="Times New Roman"/>
          <w:i/>
          <w:iCs/>
          <w:sz w:val="24"/>
          <w:szCs w:val="24"/>
        </w:rPr>
        <w:footnoteReference w:id="19"/>
      </w:r>
      <w:r w:rsidRPr="001832DF">
        <w:rPr>
          <w:rFonts w:ascii="Times New Roman" w:hAnsi="Times New Roman" w:cs="Times New Roman"/>
          <w:i/>
          <w:iCs/>
          <w:sz w:val="24"/>
          <w:szCs w:val="24"/>
        </w:rPr>
        <w:t xml:space="preserve"> Overheidsinstanties waarvan de activiteiten slechts zijdelings verband houden met nationale veiligheid, openbare veiligheid, defensie of rechtshandhaving zullen via ontheffingen van de eerstverantwoordelijke minister worden uitgezonderd van de verplichtingen voorzien in het wetsvoorstel.</w:t>
      </w:r>
      <w:r w:rsidRPr="001832DF">
        <w:rPr>
          <w:rStyle w:val="Voetnootmarkering"/>
          <w:rFonts w:ascii="Times New Roman" w:hAnsi="Times New Roman" w:cs="Times New Roman"/>
          <w:i/>
          <w:iCs/>
          <w:sz w:val="24"/>
          <w:szCs w:val="24"/>
        </w:rPr>
        <w:footnoteReference w:id="20"/>
      </w:r>
    </w:p>
    <w:p w:rsidRPr="001832DF" w:rsidR="001832DF" w:rsidP="001832DF" w:rsidRDefault="001832DF" w14:paraId="31F5ACDB" w14:textId="77777777">
      <w:pPr>
        <w:pStyle w:val="Geenafstand"/>
        <w:rPr>
          <w:rFonts w:ascii="Times New Roman" w:hAnsi="Times New Roman" w:cs="Times New Roman"/>
          <w:i/>
          <w:iCs/>
          <w:sz w:val="24"/>
          <w:szCs w:val="24"/>
        </w:rPr>
      </w:pPr>
    </w:p>
    <w:p w:rsidRPr="001832DF" w:rsidR="001832DF" w:rsidP="001832DF" w:rsidRDefault="001832DF" w14:paraId="38F5133E"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woorden “onder andere”, die in de toelichting worden gebruikt, roepen de vraag op welke overheidsinstanties nog meer geacht worden onder deze uitzondering te vallen. Zo is onduidelijk of de inlichtingen- en veiligheidsdiensten onder deze uitzondering moeten worden begrepen. Daarnaast is de vraag of het de bedoeling is dat de diensten, bedoeld in de Wet op de bijzondere opsporingsdiensten, onder de uitzondering zullen vallen.</w:t>
      </w:r>
    </w:p>
    <w:p w:rsidRPr="001832DF" w:rsidR="001832DF" w:rsidP="001832DF" w:rsidRDefault="001832DF" w14:paraId="2CF00884" w14:textId="77777777">
      <w:pPr>
        <w:pStyle w:val="Geenafstand"/>
        <w:rPr>
          <w:rFonts w:ascii="Times New Roman" w:hAnsi="Times New Roman" w:cs="Times New Roman"/>
          <w:i/>
          <w:iCs/>
          <w:sz w:val="24"/>
          <w:szCs w:val="24"/>
        </w:rPr>
      </w:pPr>
    </w:p>
    <w:p w:rsidRPr="001832DF" w:rsidR="001832DF" w:rsidP="001832DF" w:rsidRDefault="001832DF" w14:paraId="0F838560"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reikwijdte van een wet dient in hoofdzaak in de wet zelf te worden geregeld, omdat het een van de hoofdelementen van de wet is.</w:t>
      </w:r>
      <w:r w:rsidRPr="001832DF">
        <w:rPr>
          <w:rStyle w:val="Voetnootmarkering"/>
          <w:rFonts w:ascii="Times New Roman" w:hAnsi="Times New Roman" w:cs="Times New Roman"/>
          <w:i/>
          <w:iCs/>
          <w:sz w:val="24"/>
          <w:szCs w:val="24"/>
        </w:rPr>
        <w:footnoteReference w:id="21"/>
      </w:r>
      <w:r w:rsidRPr="001832DF">
        <w:rPr>
          <w:rFonts w:ascii="Times New Roman" w:hAnsi="Times New Roman" w:cs="Times New Roman"/>
          <w:i/>
          <w:iCs/>
          <w:sz w:val="24"/>
          <w:szCs w:val="24"/>
        </w:rPr>
        <w:t xml:space="preserve"> Het is niet bevorderlijk voor de duidelijkheid en de rechtszekerheid wanneer overheidsinstanties die over wezenlijke taken en bevoegdheden beschikken (zoals op het gebied van de nationale veiligheid), niet uitdrukkelijk in de wet worden uitgezonderd. Voor (onderdelen van) overheidsorganisaties waarvan de taken en bevoegdheden beperkter en minder indringend zijn, is nog voorstelbaar dat die – krachtens de wet – worden uitgezonderd bij algemene maatregel van bestuur.</w:t>
      </w:r>
    </w:p>
    <w:p w:rsidRPr="001832DF" w:rsidR="001832DF" w:rsidP="001832DF" w:rsidRDefault="001832DF" w14:paraId="43A06A0C" w14:textId="77777777">
      <w:pPr>
        <w:pStyle w:val="Geenafstand"/>
        <w:rPr>
          <w:rFonts w:ascii="Times New Roman" w:hAnsi="Times New Roman" w:cs="Times New Roman"/>
          <w:i/>
          <w:iCs/>
          <w:sz w:val="24"/>
          <w:szCs w:val="24"/>
        </w:rPr>
      </w:pPr>
    </w:p>
    <w:p w:rsidRPr="001832DF" w:rsidR="001832DF" w:rsidP="001832DF" w:rsidRDefault="001832DF" w14:paraId="7C1134B5"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adviseert deze uitzonderingen zo veel mogelijk te concretiseren in het wetsvoorstel.</w:t>
      </w:r>
    </w:p>
    <w:p w:rsidRPr="001832DF" w:rsidR="001832DF" w:rsidP="001832DF" w:rsidRDefault="001832DF" w14:paraId="3B20089A" w14:textId="77777777">
      <w:pPr>
        <w:pStyle w:val="Geenafstand"/>
        <w:rPr>
          <w:rFonts w:ascii="Times New Roman" w:hAnsi="Times New Roman" w:cs="Times New Roman"/>
          <w:i/>
          <w:iCs/>
          <w:sz w:val="24"/>
          <w:szCs w:val="24"/>
        </w:rPr>
      </w:pPr>
    </w:p>
    <w:p w:rsidRPr="001832DF" w:rsidR="001832DF" w:rsidP="001832DF" w:rsidRDefault="001832DF" w14:paraId="56F6D7BB" w14:textId="77777777">
      <w:pPr>
        <w:pStyle w:val="Geenafstand"/>
        <w:rPr>
          <w:rFonts w:ascii="Times New Roman" w:hAnsi="Times New Roman" w:cs="Times New Roman"/>
          <w:sz w:val="24"/>
          <w:szCs w:val="24"/>
        </w:rPr>
      </w:pPr>
      <w:bookmarkStart w:name="_Hlk192062487" w:id="1"/>
      <w:r w:rsidRPr="001832DF">
        <w:rPr>
          <w:rFonts w:ascii="Times New Roman" w:hAnsi="Times New Roman" w:cs="Times New Roman"/>
          <w:sz w:val="24"/>
          <w:szCs w:val="24"/>
        </w:rPr>
        <w:t xml:space="preserve">Naar aanleiding van dit advies van de Afdeling is in het wetsvoorstel artikel 5, eerste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aangepast, zodat bij wet is bepaald dat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niet van toepassing is op het Ministerie van Defensie, de Militaire Inlichtingen- en Veiligheidsdienst, de Algemene Inlichtingen- en Veiligheidsdienst, het openbaar ministerie, de politie en de veiligheidsregio’s. </w:t>
      </w:r>
    </w:p>
    <w:p w:rsidRPr="001832DF" w:rsidR="001832DF" w:rsidP="001832DF" w:rsidRDefault="001832DF" w14:paraId="56BF0E54" w14:textId="77777777">
      <w:pPr>
        <w:pStyle w:val="Geenafstand"/>
        <w:rPr>
          <w:rFonts w:ascii="Times New Roman" w:hAnsi="Times New Roman" w:cs="Times New Roman"/>
          <w:sz w:val="24"/>
          <w:szCs w:val="24"/>
        </w:rPr>
      </w:pPr>
    </w:p>
    <w:p w:rsidRPr="001832DF" w:rsidR="001832DF" w:rsidP="001832DF" w:rsidRDefault="001832DF" w14:paraId="7A958DD8"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In artikel 5, eerste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is tevens voorzien in de grondslag om bij algemene maatregel van bestuur andere overheidsinstanties die in hoofdzaak activiteiten uitvoeren op het gebied van nationale veiligheid, openbare veiligheid, defensie of rechtshandhaving, van die toepasselijkheid uit te zonderen (onderdeel f). Van deze grondslag zal gebruik worden gemaakt indien na de inwerkingtreding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onverhoopt tot het inzicht wordt gekomen dat een overheidsinstantie ontbreekt in de opsomming van artikel 5, eerste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Hierbij wordt benadrukt dat het uitgangspunt is dat artikel 5, eerste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de complete opsomming betreft van overheidsinstanties die moeten worden uitgezonderd van het toepassingsbereik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t>
      </w:r>
      <w:bookmarkEnd w:id="1"/>
      <w:r w:rsidRPr="001832DF">
        <w:rPr>
          <w:rFonts w:ascii="Times New Roman" w:hAnsi="Times New Roman" w:cs="Times New Roman"/>
          <w:sz w:val="24"/>
          <w:szCs w:val="24"/>
        </w:rPr>
        <w:t xml:space="preserve">omdat zij in hoofdzaak activiteiten uitvoeren op het gebied van nationale veiligheid, openbare veiligheid, defensie of rechtshandhaving. </w:t>
      </w:r>
    </w:p>
    <w:p w:rsidRPr="001832DF" w:rsidR="001832DF" w:rsidP="001832DF" w:rsidRDefault="001832DF" w14:paraId="566F95CC" w14:textId="77777777">
      <w:pPr>
        <w:pStyle w:val="Geenafstand"/>
        <w:rPr>
          <w:rFonts w:ascii="Times New Roman" w:hAnsi="Times New Roman" w:cs="Times New Roman"/>
          <w:sz w:val="24"/>
          <w:szCs w:val="24"/>
        </w:rPr>
      </w:pPr>
    </w:p>
    <w:p w:rsidRPr="001832DF" w:rsidR="001832DF" w:rsidP="001832DF" w:rsidRDefault="001832DF" w14:paraId="11D2968B"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Overigens is in artikel 5,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geregeld dat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wél van toepassing is op overheidsinstanties als bedoeld in het eerste lid, wanneer en voor zover zij optreden als verleners van vertrouwensdiensten die niet </w:t>
      </w:r>
      <w:r w:rsidRPr="001832DF">
        <w:rPr>
          <w:rFonts w:ascii="Times New Roman" w:hAnsi="Times New Roman" w:cs="Times New Roman"/>
          <w:sz w:val="24"/>
          <w:szCs w:val="24"/>
        </w:rPr>
        <w:lastRenderedPageBreak/>
        <w:t>uitsluitend worden gebruikt binnen systemen die gesloten zijn als gevolg van een wettelijke regeling of een overeenkomst tussen een bepaalde groep deelnemers.</w:t>
      </w:r>
    </w:p>
    <w:p w:rsidRPr="001832DF" w:rsidR="001832DF" w:rsidP="001832DF" w:rsidRDefault="001832DF" w14:paraId="56E60765" w14:textId="77777777">
      <w:pPr>
        <w:pStyle w:val="Geenafstand"/>
        <w:rPr>
          <w:rFonts w:ascii="Times New Roman" w:hAnsi="Times New Roman" w:cs="Times New Roman"/>
          <w:sz w:val="24"/>
          <w:szCs w:val="24"/>
        </w:rPr>
      </w:pPr>
    </w:p>
    <w:p w:rsidRPr="001832DF" w:rsidR="001832DF" w:rsidP="001832DF" w:rsidRDefault="001832DF" w14:paraId="51B690AC"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Naar aanleiding van de wijzigingen in artikel 5, eerste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is ook in de memorie van toelichting de toelichting onder het kopje “Uitgezonderde overheidsinstanties” in paragraaf 5.1.2 en de artikelsgewijze toelichting op artikel 5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aangepast. </w:t>
      </w:r>
    </w:p>
    <w:p w:rsidRPr="001832DF" w:rsidR="001832DF" w:rsidP="001832DF" w:rsidRDefault="001832DF" w14:paraId="63D8EE4C" w14:textId="77777777">
      <w:pPr>
        <w:pStyle w:val="Geenafstand"/>
        <w:rPr>
          <w:rFonts w:ascii="Times New Roman" w:hAnsi="Times New Roman" w:cs="Times New Roman"/>
          <w:sz w:val="24"/>
          <w:szCs w:val="24"/>
        </w:rPr>
      </w:pPr>
    </w:p>
    <w:p w:rsidRPr="001832DF" w:rsidR="001832DF" w:rsidP="001832DF" w:rsidRDefault="001832DF" w14:paraId="143AD552" w14:textId="77777777">
      <w:pPr>
        <w:pStyle w:val="Geenafstand"/>
        <w:rPr>
          <w:rFonts w:ascii="Times New Roman" w:hAnsi="Times New Roman" w:cs="Times New Roman"/>
          <w:sz w:val="24"/>
          <w:szCs w:val="24"/>
        </w:rPr>
      </w:pPr>
      <w:bookmarkStart w:name="_Hlk193629771" w:id="2"/>
      <w:bookmarkStart w:name="_Hlk192063118" w:id="3"/>
      <w:r w:rsidRPr="001832DF">
        <w:rPr>
          <w:rFonts w:ascii="Times New Roman" w:hAnsi="Times New Roman" w:cs="Times New Roman"/>
          <w:sz w:val="24"/>
          <w:szCs w:val="24"/>
        </w:rPr>
        <w:t xml:space="preserve">Voor de bijzondere opsporingsdiensten geldt dat zij ressorteren onder een minister, niet zijnde de Minister van Defensie (zie artikel 2 Wet op de bijzondere opsporingsdiensten). Voor deze diensten geldt dat zij onderdeel zijn van de betreffende ministeries </w:t>
      </w:r>
      <w:bookmarkStart w:name="_Hlk194393484" w:id="4"/>
      <w:r w:rsidRPr="001832DF">
        <w:rPr>
          <w:rFonts w:ascii="Times New Roman" w:hAnsi="Times New Roman" w:cs="Times New Roman"/>
          <w:sz w:val="24"/>
          <w:szCs w:val="24"/>
        </w:rPr>
        <w:t>(zie artikel 9, eerste lid, Wet op de bijzondere opsporingsdiensten)</w:t>
      </w:r>
      <w:bookmarkEnd w:id="4"/>
      <w:r w:rsidRPr="001832DF">
        <w:rPr>
          <w:rFonts w:ascii="Times New Roman" w:hAnsi="Times New Roman" w:cs="Times New Roman"/>
          <w:sz w:val="24"/>
          <w:szCs w:val="24"/>
        </w:rPr>
        <w:t xml:space="preserve">. De ministeries waar de bijzondere opsporingsdiensten onder ressorteren voeren niet in hoofdzaak activiteiten uit op het gebied van nationale veiligheid, openbare veiligheid, defensie of rechtshandhaving, met inbegrip van het onderzoeken, opsporen en vervolgen van strafbare feiten (artikel 2, zevende lid, NIS2-richtlijn in samenhang met overweging 8 van de NIS2-richtlijn). Omdat de ministeries waar de bijzondere opsporingsdiensten onder ressorteren onder het toepassingsbereik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vallen, vallen ook de bijzondere opsporingsdiensten onder het toepassingsbereik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t>
      </w:r>
    </w:p>
    <w:p w:rsidRPr="001832DF" w:rsidR="001832DF" w:rsidP="001832DF" w:rsidRDefault="001832DF" w14:paraId="301659FF" w14:textId="77777777">
      <w:pPr>
        <w:pStyle w:val="Geenafstand"/>
        <w:rPr>
          <w:rFonts w:ascii="Times New Roman" w:hAnsi="Times New Roman" w:cs="Times New Roman"/>
          <w:sz w:val="24"/>
          <w:szCs w:val="24"/>
        </w:rPr>
      </w:pPr>
    </w:p>
    <w:p w:rsidRPr="001832DF" w:rsidR="001832DF" w:rsidP="001832DF" w:rsidRDefault="001832DF" w14:paraId="64874FBF"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De bijzondere opsporingsdiensten voeren activiteiten uit op het gebied van rechtshandhaving, zie de opsomming van hun taken in artikel 3 Wet op de bijzondere opsporingsdiensten. Zodra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in werking treedt en daarmee de ministeries waar de bijzondere opsporingsdiensten onder ressorteren onder het toepassingsbereik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komen te vallen, zullen die ministeries met betrekking tot de activiteiten die de bijzondere opsporingsdiensten uitvoeren, op grond van de artikelen 23, 32, 45 en 48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worden ontheven van de verplichtingen uit de artikelen 21, 25 tot en met 30, 44 en 47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w:t>
      </w:r>
    </w:p>
    <w:bookmarkEnd w:id="2"/>
    <w:bookmarkEnd w:id="3"/>
    <w:p w:rsidRPr="001832DF" w:rsidR="001832DF" w:rsidP="001832DF" w:rsidRDefault="001832DF" w14:paraId="360B307F" w14:textId="77777777">
      <w:pPr>
        <w:pStyle w:val="Geenafstand"/>
        <w:rPr>
          <w:rFonts w:ascii="Times New Roman" w:hAnsi="Times New Roman" w:cs="Times New Roman"/>
          <w:i/>
          <w:iCs/>
          <w:sz w:val="24"/>
          <w:szCs w:val="24"/>
        </w:rPr>
      </w:pPr>
    </w:p>
    <w:p w:rsidRPr="001832DF" w:rsidR="001832DF" w:rsidP="001832DF" w:rsidRDefault="001832DF" w14:paraId="6650575E"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3. </w:t>
      </w:r>
      <w:r w:rsidRPr="001832DF">
        <w:rPr>
          <w:rFonts w:ascii="Times New Roman" w:hAnsi="Times New Roman" w:cs="Times New Roman"/>
          <w:i/>
          <w:iCs/>
          <w:sz w:val="24"/>
          <w:szCs w:val="24"/>
          <w:u w:val="single"/>
        </w:rPr>
        <w:t>Coördinerende taak minister van Justitie en Veiligheid</w:t>
      </w:r>
    </w:p>
    <w:p w:rsidRPr="001832DF" w:rsidR="001832DF" w:rsidP="001832DF" w:rsidRDefault="001832DF" w14:paraId="3334AC2F" w14:textId="77777777">
      <w:pPr>
        <w:pStyle w:val="Geenafstand"/>
        <w:rPr>
          <w:rFonts w:ascii="Times New Roman" w:hAnsi="Times New Roman" w:cs="Times New Roman"/>
          <w:i/>
          <w:iCs/>
          <w:sz w:val="24"/>
          <w:szCs w:val="24"/>
        </w:rPr>
      </w:pPr>
    </w:p>
    <w:p w:rsidRPr="001832DF" w:rsidR="001832DF" w:rsidP="001832DF" w:rsidRDefault="001832DF" w14:paraId="06BE444B"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coördinerende taak van de minister van Justitie en Veiligheid in het kader van het voorstel voor de </w:t>
      </w:r>
      <w:proofErr w:type="spellStart"/>
      <w:r w:rsidRPr="001832DF">
        <w:rPr>
          <w:rFonts w:ascii="Times New Roman" w:hAnsi="Times New Roman" w:cs="Times New Roman"/>
          <w:i/>
          <w:iCs/>
          <w:sz w:val="24"/>
          <w:szCs w:val="24"/>
        </w:rPr>
        <w:t>Cbw</w:t>
      </w:r>
      <w:proofErr w:type="spellEnd"/>
      <w:r w:rsidRPr="001832DF">
        <w:rPr>
          <w:rFonts w:ascii="Times New Roman" w:hAnsi="Times New Roman" w:cs="Times New Roman"/>
          <w:i/>
          <w:iCs/>
          <w:sz w:val="24"/>
          <w:szCs w:val="24"/>
        </w:rPr>
        <w:t xml:space="preserve"> houdt in ieder geval in dat hij de </w:t>
      </w:r>
      <w:proofErr w:type="spellStart"/>
      <w:r w:rsidRPr="001832DF">
        <w:rPr>
          <w:rFonts w:ascii="Times New Roman" w:hAnsi="Times New Roman" w:cs="Times New Roman"/>
          <w:i/>
          <w:iCs/>
          <w:sz w:val="24"/>
          <w:szCs w:val="24"/>
        </w:rPr>
        <w:t>sectoroverstijgende</w:t>
      </w:r>
      <w:proofErr w:type="spellEnd"/>
      <w:r w:rsidRPr="001832DF">
        <w:rPr>
          <w:rFonts w:ascii="Times New Roman" w:hAnsi="Times New Roman" w:cs="Times New Roman"/>
          <w:i/>
          <w:iCs/>
          <w:sz w:val="24"/>
          <w:szCs w:val="24"/>
        </w:rPr>
        <w:t xml:space="preserve"> samenwerking tussen de bevoegde autoriteiten bevordert, en dat hij de nationale cyberbeveiligingsstrategie en het nationaal plan cyberbeveiligingsincidenten en crisisrespons vaststelt.</w:t>
      </w:r>
      <w:r w:rsidRPr="001832DF">
        <w:rPr>
          <w:rStyle w:val="Voetnootmarkering"/>
          <w:rFonts w:ascii="Times New Roman" w:hAnsi="Times New Roman" w:cs="Times New Roman"/>
          <w:i/>
          <w:iCs/>
          <w:sz w:val="24"/>
          <w:szCs w:val="24"/>
        </w:rPr>
        <w:footnoteReference w:id="22"/>
      </w:r>
      <w:r w:rsidRPr="001832DF">
        <w:rPr>
          <w:rFonts w:ascii="Times New Roman" w:hAnsi="Times New Roman" w:cs="Times New Roman"/>
          <w:i/>
          <w:iCs/>
          <w:sz w:val="24"/>
          <w:szCs w:val="24"/>
        </w:rPr>
        <w:t xml:space="preserve"> Daarnaast bevat het voorstel bepalingen waarbij ministeriële regelingen of ontheffingen worden vastgesteld door vakministers ‘in overeenstemming met’ of ‘na overleg met’ de minister van Justitie en Veiligheid.</w:t>
      </w:r>
      <w:r w:rsidRPr="001832DF">
        <w:rPr>
          <w:rStyle w:val="Voetnootmarkering"/>
          <w:rFonts w:ascii="Times New Roman" w:hAnsi="Times New Roman" w:cs="Times New Roman"/>
          <w:i/>
          <w:iCs/>
          <w:sz w:val="24"/>
          <w:szCs w:val="24"/>
        </w:rPr>
        <w:footnoteReference w:id="23"/>
      </w:r>
      <w:r w:rsidRPr="001832DF">
        <w:rPr>
          <w:rFonts w:ascii="Times New Roman" w:hAnsi="Times New Roman" w:cs="Times New Roman"/>
          <w:i/>
          <w:iCs/>
          <w:sz w:val="24"/>
          <w:szCs w:val="24"/>
        </w:rPr>
        <w:t xml:space="preserve"> </w:t>
      </w:r>
    </w:p>
    <w:p w:rsidRPr="001832DF" w:rsidR="001832DF" w:rsidP="001832DF" w:rsidRDefault="001832DF" w14:paraId="4C4EB415" w14:textId="77777777">
      <w:pPr>
        <w:pStyle w:val="Geenafstand"/>
        <w:rPr>
          <w:rFonts w:ascii="Times New Roman" w:hAnsi="Times New Roman" w:cs="Times New Roman"/>
          <w:i/>
          <w:iCs/>
          <w:sz w:val="24"/>
          <w:szCs w:val="24"/>
        </w:rPr>
      </w:pPr>
    </w:p>
    <w:p w:rsidRPr="001832DF" w:rsidR="001832DF" w:rsidP="001832DF" w:rsidRDefault="001832DF" w14:paraId="025F645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Als coördinerend bewindspersoon voor cyberveiligheid moet de minister van Justitie en Veiligheid sturend kunnen optreden bij </w:t>
      </w:r>
      <w:proofErr w:type="spellStart"/>
      <w:r w:rsidRPr="001832DF">
        <w:rPr>
          <w:rFonts w:ascii="Times New Roman" w:hAnsi="Times New Roman" w:cs="Times New Roman"/>
          <w:i/>
          <w:iCs/>
          <w:sz w:val="24"/>
          <w:szCs w:val="24"/>
        </w:rPr>
        <w:t>departementoverstijgende</w:t>
      </w:r>
      <w:proofErr w:type="spellEnd"/>
      <w:r w:rsidRPr="001832DF">
        <w:rPr>
          <w:rFonts w:ascii="Times New Roman" w:hAnsi="Times New Roman" w:cs="Times New Roman"/>
          <w:i/>
          <w:iCs/>
          <w:sz w:val="24"/>
          <w:szCs w:val="24"/>
        </w:rPr>
        <w:t xml:space="preserve"> keuzes. Tegelijkertijd is bij de implementatie van de NIS2-richtlijn ervoor gekozen om de verschillende vakministers aan te wijzen als bevoegde autoriteit.</w:t>
      </w:r>
      <w:r w:rsidRPr="001832DF">
        <w:rPr>
          <w:rStyle w:val="Voetnootmarkering"/>
          <w:rFonts w:ascii="Times New Roman" w:hAnsi="Times New Roman" w:cs="Times New Roman"/>
          <w:i/>
          <w:iCs/>
          <w:sz w:val="24"/>
          <w:szCs w:val="24"/>
        </w:rPr>
        <w:footnoteReference w:id="24"/>
      </w:r>
      <w:r w:rsidRPr="001832DF">
        <w:rPr>
          <w:rFonts w:ascii="Times New Roman" w:hAnsi="Times New Roman" w:cs="Times New Roman"/>
          <w:i/>
          <w:iCs/>
          <w:sz w:val="24"/>
          <w:szCs w:val="24"/>
        </w:rPr>
        <w:t xml:space="preserve"> </w:t>
      </w:r>
    </w:p>
    <w:p w:rsidRPr="001832DF" w:rsidR="001832DF" w:rsidP="001832DF" w:rsidRDefault="001832DF" w14:paraId="209A42B7" w14:textId="77777777">
      <w:pPr>
        <w:pStyle w:val="Geenafstand"/>
        <w:rPr>
          <w:rFonts w:ascii="Times New Roman" w:hAnsi="Times New Roman" w:cs="Times New Roman"/>
          <w:i/>
          <w:iCs/>
          <w:sz w:val="24"/>
          <w:szCs w:val="24"/>
        </w:rPr>
      </w:pPr>
    </w:p>
    <w:p w:rsidRPr="001832DF" w:rsidR="001832DF" w:rsidP="001832DF" w:rsidRDefault="001832DF" w14:paraId="58FE34C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In de toelichting ontbreekt een nadere uitwerking van de invulling van de coördinerende taak van de minister van Justitie en Veiligheid op basis van het voorstel. Hierdoor is niet inzichtelijk op welke wijze de minister invulling geeft aan zijn taak als coördinerend bewindspersoon op het gebied van cyberveiligheid, alsmede of hij daarvoor in het voorliggende wetsvoorstel voldoende in positie wordt gebracht. </w:t>
      </w:r>
    </w:p>
    <w:p w:rsidRPr="001832DF" w:rsidR="001832DF" w:rsidP="001832DF" w:rsidRDefault="001832DF" w14:paraId="2B3BC662" w14:textId="77777777">
      <w:pPr>
        <w:pStyle w:val="Geenafstand"/>
        <w:rPr>
          <w:rFonts w:ascii="Times New Roman" w:hAnsi="Times New Roman" w:cs="Times New Roman"/>
          <w:i/>
          <w:iCs/>
          <w:sz w:val="24"/>
          <w:szCs w:val="24"/>
        </w:rPr>
      </w:pPr>
    </w:p>
    <w:p w:rsidRPr="001832DF" w:rsidR="001832DF" w:rsidP="001832DF" w:rsidRDefault="001832DF" w14:paraId="2F365C65"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Daarnaast is in de toelichting niet uiteengezet waarom in de voorbereiding van ministeriële regelingen of besluiten van vakministers de betrokkenheid van de minister van Justitie beperkt blijft tot overleg en niet is gekozen voor een formele vorm van medebetrokkenheid.</w:t>
      </w:r>
      <w:r w:rsidRPr="001832DF">
        <w:rPr>
          <w:rStyle w:val="Voetnootmarkering"/>
          <w:rFonts w:ascii="Times New Roman" w:hAnsi="Times New Roman" w:cs="Times New Roman"/>
          <w:i/>
          <w:iCs/>
          <w:sz w:val="24"/>
          <w:szCs w:val="24"/>
        </w:rPr>
        <w:footnoteReference w:id="25"/>
      </w:r>
      <w:r w:rsidRPr="001832DF">
        <w:rPr>
          <w:rFonts w:ascii="Times New Roman" w:hAnsi="Times New Roman" w:cs="Times New Roman"/>
          <w:i/>
          <w:iCs/>
          <w:sz w:val="24"/>
          <w:szCs w:val="24"/>
        </w:rPr>
        <w:t xml:space="preserve"> Deze regelingen of besluiten kunnen gevolgen hebben voor de nadere uitleg en goede werking van de wet en raken daarmee het te bereiken niveau van cyberveiligheid in Nederland. Voor een goede coördinatie is van belang dat de minister van Justitie en Veiligheid betrokken is bij essentiële beslissingen, zodat deze overzicht houdt over het gehele stelsel en het functioneren daarvan. In het </w:t>
      </w:r>
      <w:r w:rsidRPr="001832DF">
        <w:rPr>
          <w:rFonts w:ascii="Times New Roman" w:hAnsi="Times New Roman" w:cs="Times New Roman"/>
          <w:i/>
          <w:iCs/>
          <w:sz w:val="24"/>
          <w:szCs w:val="24"/>
        </w:rPr>
        <w:lastRenderedPageBreak/>
        <w:t>licht van het voorgaande dient dan ook in de toelichting te worden gemotiveerd waarom bij regelingen of beslissingen van vakministers de medebetrokkenheid van de minister van Justitie en Veiligheid niet is vereist.</w:t>
      </w:r>
    </w:p>
    <w:p w:rsidRPr="001832DF" w:rsidR="001832DF" w:rsidP="001832DF" w:rsidRDefault="001832DF" w14:paraId="53834A69" w14:textId="77777777">
      <w:pPr>
        <w:pStyle w:val="Geenafstand"/>
        <w:rPr>
          <w:rFonts w:ascii="Times New Roman" w:hAnsi="Times New Roman" w:cs="Times New Roman"/>
          <w:i/>
          <w:iCs/>
          <w:sz w:val="24"/>
          <w:szCs w:val="24"/>
        </w:rPr>
      </w:pPr>
    </w:p>
    <w:p w:rsidRPr="001832DF" w:rsidR="001832DF" w:rsidP="001832DF" w:rsidRDefault="001832DF" w14:paraId="6ECA6F11" w14:textId="77777777">
      <w:pPr>
        <w:pStyle w:val="Geenafstand"/>
        <w:rPr>
          <w:rFonts w:ascii="Times New Roman" w:hAnsi="Times New Roman" w:cs="Times New Roman"/>
          <w:i/>
          <w:iCs/>
          <w:sz w:val="24"/>
          <w:szCs w:val="24"/>
        </w:rPr>
      </w:pPr>
      <w:bookmarkStart w:name="_Hlk198024340" w:id="5"/>
      <w:r w:rsidRPr="001832DF">
        <w:rPr>
          <w:rFonts w:ascii="Times New Roman" w:hAnsi="Times New Roman" w:cs="Times New Roman"/>
          <w:i/>
          <w:iCs/>
          <w:sz w:val="24"/>
          <w:szCs w:val="24"/>
        </w:rPr>
        <w:t>De Afdeling adviseert om in de toelichting nader in te gaan op de wijze waarop invulling wordt gegeven aan de coördinerende taak en de (mede)betrokkenheid van de minister van Justitie en Veiligheid, en zo nodig het wetsvoorstel op dit punt aan te passen.</w:t>
      </w:r>
    </w:p>
    <w:bookmarkEnd w:id="5"/>
    <w:p w:rsidRPr="001832DF" w:rsidR="001832DF" w:rsidP="001832DF" w:rsidRDefault="001832DF" w14:paraId="6713BF9B" w14:textId="77777777">
      <w:pPr>
        <w:pStyle w:val="Geenafstand"/>
        <w:rPr>
          <w:rFonts w:ascii="Times New Roman" w:hAnsi="Times New Roman" w:cs="Times New Roman"/>
          <w:i/>
          <w:iCs/>
          <w:sz w:val="24"/>
          <w:szCs w:val="24"/>
        </w:rPr>
      </w:pPr>
    </w:p>
    <w:p w:rsidRPr="001832DF" w:rsidR="001832DF" w:rsidP="001832DF" w:rsidRDefault="001832DF" w14:paraId="7BAA94D1"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Bij de implementatie van de NIS2-richtlijn is er voor gekozen om aan te sluiten bij de huidige verantwoordelijkheidsverdeling rondom het thema digitale weerbaarheid, waarbij elke minister verantwoordelijk is voor de digitale weerbaarheid en de continuïteit van de entiteiten binnen zijn portefeuille. De ratio hierbij is dat netwerk- en informatiesystemen verweven zijn met alle processen binnen de samenleving en een sector- of </w:t>
      </w:r>
      <w:proofErr w:type="spellStart"/>
      <w:r w:rsidRPr="001832DF">
        <w:rPr>
          <w:rFonts w:ascii="Times New Roman" w:hAnsi="Times New Roman" w:cs="Times New Roman"/>
          <w:sz w:val="24"/>
          <w:szCs w:val="24"/>
        </w:rPr>
        <w:t>entiteitspecifieke</w:t>
      </w:r>
      <w:proofErr w:type="spellEnd"/>
      <w:r w:rsidRPr="001832DF">
        <w:rPr>
          <w:rFonts w:ascii="Times New Roman" w:hAnsi="Times New Roman" w:cs="Times New Roman"/>
          <w:sz w:val="24"/>
          <w:szCs w:val="24"/>
        </w:rPr>
        <w:t xml:space="preserve"> toepassing hebben. Dit vraagt om sectorspecifieke kennis en een holistische blik op de samenhang van de risico’s ten aanzien van netwerk- en informatiesystemen met andere risico’s binnen de sector. </w:t>
      </w:r>
    </w:p>
    <w:p w:rsidRPr="001832DF" w:rsidR="001832DF" w:rsidP="001832DF" w:rsidRDefault="001832DF" w14:paraId="5A1C0B43" w14:textId="77777777">
      <w:pPr>
        <w:pStyle w:val="Geenafstand"/>
        <w:rPr>
          <w:rFonts w:ascii="Times New Roman" w:hAnsi="Times New Roman" w:cs="Times New Roman"/>
          <w:sz w:val="24"/>
          <w:szCs w:val="24"/>
        </w:rPr>
      </w:pPr>
    </w:p>
    <w:p w:rsidRPr="001832DF" w:rsidR="001832DF" w:rsidP="001832DF" w:rsidRDefault="001832DF" w14:paraId="00E8F491"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De Minister van Justitie en Veiligheid is coördinerend bewindspersoon op cybersecurity en nationale veiligheid. Vanuit deze rol zorgt hij voor een goed functionerend cybersecuritystelsel en borgt hij dat de impact op de nationale veiligheid voldoende wordt meegewogen in de keuzes die de vakministers hierin maken. In de praktijk betekent dit dat wanneer de vakminister nadere regels of besluiten voor zijn sector “na overleg met” of “in overeenstemming met” de Minister van Justitie en Veiligheid vaststelt, de Minister van Justitie en Veiligheid zal toetsen en adviseren op onder meer </w:t>
      </w:r>
      <w:proofErr w:type="spellStart"/>
      <w:r w:rsidRPr="001832DF">
        <w:rPr>
          <w:rFonts w:ascii="Times New Roman" w:hAnsi="Times New Roman" w:cs="Times New Roman"/>
          <w:sz w:val="24"/>
          <w:szCs w:val="24"/>
        </w:rPr>
        <w:t>sectoroverstijgende</w:t>
      </w:r>
      <w:proofErr w:type="spellEnd"/>
      <w:r w:rsidRPr="001832DF">
        <w:rPr>
          <w:rFonts w:ascii="Times New Roman" w:hAnsi="Times New Roman" w:cs="Times New Roman"/>
          <w:sz w:val="24"/>
          <w:szCs w:val="24"/>
        </w:rPr>
        <w:t xml:space="preserve"> effecten, de druk op het cybersecuritystelsel en de bredere impact op de nationale veiligheid. </w:t>
      </w:r>
    </w:p>
    <w:p w:rsidRPr="001832DF" w:rsidR="001832DF" w:rsidP="001832DF" w:rsidRDefault="001832DF" w14:paraId="03FB0F62" w14:textId="77777777">
      <w:pPr>
        <w:pStyle w:val="Geenafstand"/>
        <w:rPr>
          <w:rFonts w:ascii="Times New Roman" w:hAnsi="Times New Roman" w:cs="Times New Roman"/>
          <w:sz w:val="24"/>
          <w:szCs w:val="24"/>
        </w:rPr>
      </w:pPr>
    </w:p>
    <w:p w:rsidRPr="001832DF" w:rsidR="001832DF" w:rsidP="001832DF" w:rsidRDefault="001832DF" w14:paraId="5189D8A0"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Het verschil tussen “na overleg met” en “in overeenstemming met” is dat bij “na overleg met” eventueel verschil van inzicht kan worden opgelost via de gangbare afstemmings- en overlegstructuren, maar de vakminister uiteindelijk eigenstandig de eindbeslissing neemt. Bij “in overeenstemming met” dient de Minister van Justitie en Veiligheid bij eventueel uiteenlopende inzichten alsnog mede te beslissen. Deze variant is gekozen bij de bepalingen waarbij de handelingen van de vakminister het integrale stelsel raken, en dus van invloed zijn op de stelselverantwoordelijkheid van de Minister van Justitie en Veiligheid. </w:t>
      </w:r>
    </w:p>
    <w:p w:rsidRPr="001832DF" w:rsidR="001832DF" w:rsidP="001832DF" w:rsidRDefault="001832DF" w14:paraId="3048560A" w14:textId="77777777">
      <w:pPr>
        <w:pStyle w:val="Geenafstand"/>
        <w:rPr>
          <w:rFonts w:ascii="Times New Roman" w:hAnsi="Times New Roman" w:cs="Times New Roman"/>
          <w:i/>
          <w:iCs/>
          <w:sz w:val="24"/>
          <w:szCs w:val="24"/>
        </w:rPr>
      </w:pPr>
    </w:p>
    <w:p w:rsidRPr="001832DF" w:rsidR="001832DF" w:rsidP="001832DF" w:rsidRDefault="001832DF" w14:paraId="6219850A"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4. </w:t>
      </w:r>
      <w:r w:rsidRPr="001832DF">
        <w:rPr>
          <w:rFonts w:ascii="Times New Roman" w:hAnsi="Times New Roman" w:cs="Times New Roman"/>
          <w:i/>
          <w:iCs/>
          <w:sz w:val="24"/>
          <w:szCs w:val="24"/>
          <w:u w:val="single"/>
        </w:rPr>
        <w:t>Handhaving van bijzondere wetten door zelfstandige bestuursorganen</w:t>
      </w:r>
    </w:p>
    <w:p w:rsidRPr="001832DF" w:rsidR="001832DF" w:rsidP="001832DF" w:rsidRDefault="001832DF" w14:paraId="0811AE72" w14:textId="77777777">
      <w:pPr>
        <w:pStyle w:val="Geenafstand"/>
        <w:rPr>
          <w:rFonts w:ascii="Times New Roman" w:hAnsi="Times New Roman" w:cs="Times New Roman"/>
          <w:i/>
          <w:iCs/>
          <w:sz w:val="24"/>
          <w:szCs w:val="24"/>
        </w:rPr>
      </w:pPr>
    </w:p>
    <w:p w:rsidRPr="001832DF" w:rsidR="001832DF" w:rsidP="001832DF" w:rsidRDefault="001832DF" w14:paraId="295E0EC7"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In het wetsvoorstel worden uitsluitend ministers aangewezen als bevoegde autoriteit.</w:t>
      </w:r>
      <w:r w:rsidRPr="001832DF">
        <w:rPr>
          <w:rStyle w:val="Voetnootmarkering"/>
          <w:rFonts w:ascii="Times New Roman" w:hAnsi="Times New Roman" w:cs="Times New Roman"/>
          <w:i/>
          <w:iCs/>
          <w:sz w:val="24"/>
          <w:szCs w:val="24"/>
        </w:rPr>
        <w:footnoteReference w:id="26"/>
      </w:r>
      <w:r w:rsidRPr="001832DF">
        <w:rPr>
          <w:rFonts w:ascii="Times New Roman" w:hAnsi="Times New Roman" w:cs="Times New Roman"/>
          <w:i/>
          <w:iCs/>
          <w:sz w:val="24"/>
          <w:szCs w:val="24"/>
        </w:rPr>
        <w:t xml:space="preserve"> De ministers – of de door hen aangewezen ambtenaren – krijgen de bevoegdheid om toezicht te houden op de naleving met gebruikmaking van de toezichthoudende bevoegdheden die in de Algemene wet bestuursrecht zijn geregeld. Ook krijgen zij handhavingsbevoegdheden, zoals bestuursdwang, dwangsom en bestuurlijke boete.</w:t>
      </w:r>
      <w:r w:rsidRPr="001832DF">
        <w:rPr>
          <w:rStyle w:val="Voetnootmarkering"/>
          <w:rFonts w:ascii="Times New Roman" w:hAnsi="Times New Roman" w:cs="Times New Roman"/>
          <w:i/>
          <w:iCs/>
          <w:sz w:val="24"/>
          <w:szCs w:val="24"/>
        </w:rPr>
        <w:footnoteReference w:id="27"/>
      </w:r>
      <w:r w:rsidRPr="001832DF">
        <w:rPr>
          <w:rFonts w:ascii="Times New Roman" w:hAnsi="Times New Roman" w:cs="Times New Roman"/>
          <w:i/>
          <w:iCs/>
          <w:sz w:val="24"/>
          <w:szCs w:val="24"/>
        </w:rPr>
        <w:t xml:space="preserve"> Dat past bij het uitgangspunt dat het overheidsbeleid op rijksniveau zoveel mogelijk moet worden uitgeoefend onder ministeriële verantwoordelijkheid. Echter, in sommige gevallen vallen entiteiten reeds onder het toezicht op en de handhaving van specifieke wetten, opgedragen aan autoriteiten die hun bij wet toegekende taken in hoofdzaak uitoefenen buiten ministeriële verantwoordelijkheid. Zulke autoriteiten zijn ook bekend als zelfstandige bestuursorganen (</w:t>
      </w:r>
      <w:proofErr w:type="spellStart"/>
      <w:r w:rsidRPr="001832DF">
        <w:rPr>
          <w:rFonts w:ascii="Times New Roman" w:hAnsi="Times New Roman" w:cs="Times New Roman"/>
          <w:i/>
          <w:iCs/>
          <w:sz w:val="24"/>
          <w:szCs w:val="24"/>
        </w:rPr>
        <w:t>zbo’s</w:t>
      </w:r>
      <w:proofErr w:type="spellEnd"/>
      <w:r w:rsidRPr="001832DF">
        <w:rPr>
          <w:rFonts w:ascii="Times New Roman" w:hAnsi="Times New Roman" w:cs="Times New Roman"/>
          <w:i/>
          <w:iCs/>
          <w:sz w:val="24"/>
          <w:szCs w:val="24"/>
        </w:rPr>
        <w:t>).</w:t>
      </w:r>
    </w:p>
    <w:p w:rsidRPr="001832DF" w:rsidR="001832DF" w:rsidP="001832DF" w:rsidRDefault="001832DF" w14:paraId="1869A716" w14:textId="77777777">
      <w:pPr>
        <w:pStyle w:val="Geenafstand"/>
        <w:rPr>
          <w:rFonts w:ascii="Times New Roman" w:hAnsi="Times New Roman" w:cs="Times New Roman"/>
          <w:i/>
          <w:iCs/>
          <w:sz w:val="24"/>
          <w:szCs w:val="24"/>
        </w:rPr>
      </w:pPr>
    </w:p>
    <w:p w:rsidRPr="001832DF" w:rsidR="001832DF" w:rsidP="001832DF" w:rsidRDefault="001832DF" w14:paraId="283BB2B6"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Zo vallen kerncentrales onder het wetsvoorstel en daarmee ook onder het toezicht van de minister van Infrastructuur en Waterstaat als de bevoegde autoriteit.</w:t>
      </w:r>
      <w:r w:rsidRPr="001832DF">
        <w:rPr>
          <w:rStyle w:val="Voetnootmarkering"/>
          <w:rFonts w:ascii="Times New Roman" w:hAnsi="Times New Roman" w:cs="Times New Roman"/>
          <w:i/>
          <w:iCs/>
          <w:sz w:val="24"/>
          <w:szCs w:val="24"/>
        </w:rPr>
        <w:footnoteReference w:id="28"/>
      </w:r>
      <w:r w:rsidRPr="001832DF">
        <w:rPr>
          <w:rFonts w:ascii="Times New Roman" w:hAnsi="Times New Roman" w:cs="Times New Roman"/>
          <w:i/>
          <w:iCs/>
          <w:sz w:val="24"/>
          <w:szCs w:val="24"/>
        </w:rPr>
        <w:t xml:space="preserve"> Echter, in de Kernenergiewet zijn toezichts- en handhavingsbevoegdheden uitdrukkelijk toegekend aan de Autoriteit Nucleaire Veiligheid en Stralingsbescherming (ANVS).</w:t>
      </w:r>
      <w:r w:rsidRPr="001832DF">
        <w:rPr>
          <w:rStyle w:val="Voetnootmarkering"/>
          <w:rFonts w:ascii="Times New Roman" w:hAnsi="Times New Roman" w:cs="Times New Roman"/>
          <w:i/>
          <w:iCs/>
          <w:sz w:val="24"/>
          <w:szCs w:val="24"/>
        </w:rPr>
        <w:footnoteReference w:id="29"/>
      </w:r>
      <w:r w:rsidRPr="001832DF">
        <w:rPr>
          <w:rFonts w:ascii="Times New Roman" w:hAnsi="Times New Roman" w:cs="Times New Roman"/>
          <w:i/>
          <w:iCs/>
          <w:sz w:val="24"/>
          <w:szCs w:val="24"/>
        </w:rPr>
        <w:t xml:space="preserve"> In 2016 is de ANVS bij wet aangewezen als </w:t>
      </w:r>
      <w:proofErr w:type="spellStart"/>
      <w:r w:rsidRPr="001832DF">
        <w:rPr>
          <w:rFonts w:ascii="Times New Roman" w:hAnsi="Times New Roman" w:cs="Times New Roman"/>
          <w:i/>
          <w:iCs/>
          <w:sz w:val="24"/>
          <w:szCs w:val="24"/>
        </w:rPr>
        <w:t>zbo</w:t>
      </w:r>
      <w:proofErr w:type="spellEnd"/>
      <w:r w:rsidRPr="001832DF">
        <w:rPr>
          <w:rFonts w:ascii="Times New Roman" w:hAnsi="Times New Roman" w:cs="Times New Roman"/>
          <w:i/>
          <w:iCs/>
          <w:sz w:val="24"/>
          <w:szCs w:val="24"/>
        </w:rPr>
        <w:t xml:space="preserve">; zij verkreeg daarbij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w:t>
      </w:r>
      <w:r w:rsidRPr="001832DF">
        <w:rPr>
          <w:rFonts w:ascii="Times New Roman" w:hAnsi="Times New Roman" w:cs="Times New Roman"/>
          <w:i/>
          <w:iCs/>
          <w:sz w:val="24"/>
          <w:szCs w:val="24"/>
        </w:rPr>
        <w:lastRenderedPageBreak/>
        <w:t>namelijk genomen kunnen worden zonder druk van belangen die kunnen conflicteren met het belang van veiligheid, zo meende de regering.</w:t>
      </w:r>
      <w:r w:rsidRPr="001832DF">
        <w:rPr>
          <w:rStyle w:val="Voetnootmarkering"/>
          <w:rFonts w:ascii="Times New Roman" w:hAnsi="Times New Roman" w:cs="Times New Roman"/>
          <w:i/>
          <w:iCs/>
          <w:sz w:val="24"/>
          <w:szCs w:val="24"/>
        </w:rPr>
        <w:footnoteReference w:id="30"/>
      </w:r>
    </w:p>
    <w:p w:rsidRPr="001832DF" w:rsidR="001832DF" w:rsidP="001832DF" w:rsidRDefault="001832DF" w14:paraId="1543C10B" w14:textId="77777777">
      <w:pPr>
        <w:pStyle w:val="Geenafstand"/>
        <w:rPr>
          <w:rFonts w:ascii="Times New Roman" w:hAnsi="Times New Roman" w:cs="Times New Roman"/>
          <w:i/>
          <w:iCs/>
          <w:sz w:val="24"/>
          <w:szCs w:val="24"/>
        </w:rPr>
      </w:pPr>
    </w:p>
    <w:p w:rsidRPr="001832DF" w:rsidR="001832DF" w:rsidP="001832DF" w:rsidRDefault="001832DF" w14:paraId="63517D10"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wetsvoorstel zorgt ervoor dat het wettelijk toezicht op de veiligheid van kerncentrales, dat momenteel uitsluitend berust bij de ANVS, tevens komt te liggen bij de minister van Infrastructuur en Waterstaat. Daarmee kan overlapping van bevoegdheden ontstaan.</w:t>
      </w:r>
    </w:p>
    <w:p w:rsidRPr="001832DF" w:rsidR="001832DF" w:rsidP="001832DF" w:rsidRDefault="001832DF" w14:paraId="4837C63F" w14:textId="77777777">
      <w:pPr>
        <w:pStyle w:val="Geenafstand"/>
        <w:rPr>
          <w:rFonts w:ascii="Times New Roman" w:hAnsi="Times New Roman" w:cs="Times New Roman"/>
          <w:i/>
          <w:iCs/>
          <w:sz w:val="24"/>
          <w:szCs w:val="24"/>
        </w:rPr>
      </w:pPr>
    </w:p>
    <w:p w:rsidRPr="001832DF" w:rsidR="001832DF" w:rsidP="001832DF" w:rsidRDefault="001832DF" w14:paraId="1EBD4D42"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voorbeeld van de ANVS staat niet op zichzelf. Er zijn meer toezichthouders die de status van zelfstandig bestuursorgaan hebben, waarbij de ministeriele verantwoordelijkheid is beperkt, maar waarbij via het wetsvoorstel ook de minister wordt aangewezen als bevoegde autoriteit.</w:t>
      </w:r>
      <w:r w:rsidRPr="001832DF">
        <w:rPr>
          <w:rStyle w:val="Voetnootmarkering"/>
          <w:rFonts w:ascii="Times New Roman" w:hAnsi="Times New Roman" w:cs="Times New Roman"/>
          <w:i/>
          <w:iCs/>
          <w:sz w:val="24"/>
          <w:szCs w:val="24"/>
        </w:rPr>
        <w:footnoteReference w:id="31"/>
      </w:r>
      <w:r w:rsidRPr="001832DF">
        <w:rPr>
          <w:rFonts w:ascii="Times New Roman" w:hAnsi="Times New Roman" w:cs="Times New Roman"/>
          <w:i/>
          <w:iCs/>
          <w:sz w:val="24"/>
          <w:szCs w:val="24"/>
        </w:rPr>
        <w:t xml:space="preserve"> Wanneer meer toezichthouders tegelijk bevoegd zijn, kan onduidelijk zijn voor de entiteiten wie het toezicht uitoefent, en het gevaar bestaat dat de toezichthouders met elkaar concurreren, óf dat geen van beide toezicht en handhaving uitoefent.</w:t>
      </w:r>
    </w:p>
    <w:p w:rsidRPr="001832DF" w:rsidR="001832DF" w:rsidP="001832DF" w:rsidRDefault="001832DF" w14:paraId="5F49A5CE" w14:textId="77777777">
      <w:pPr>
        <w:pStyle w:val="Geenafstand"/>
        <w:rPr>
          <w:rFonts w:ascii="Times New Roman" w:hAnsi="Times New Roman" w:cs="Times New Roman"/>
          <w:i/>
          <w:iCs/>
          <w:sz w:val="24"/>
          <w:szCs w:val="24"/>
        </w:rPr>
      </w:pPr>
    </w:p>
    <w:p w:rsidRPr="001832DF" w:rsidR="001832DF" w:rsidP="001832DF" w:rsidRDefault="001832DF" w14:paraId="276ABEF5"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Afdeling adviseert om in kaart te brengen welke </w:t>
      </w:r>
      <w:proofErr w:type="spellStart"/>
      <w:r w:rsidRPr="001832DF">
        <w:rPr>
          <w:rFonts w:ascii="Times New Roman" w:hAnsi="Times New Roman" w:cs="Times New Roman"/>
          <w:i/>
          <w:iCs/>
          <w:sz w:val="24"/>
          <w:szCs w:val="24"/>
        </w:rPr>
        <w:t>zbo’s</w:t>
      </w:r>
      <w:proofErr w:type="spellEnd"/>
      <w:r w:rsidRPr="001832DF">
        <w:rPr>
          <w:rFonts w:ascii="Times New Roman" w:hAnsi="Times New Roman" w:cs="Times New Roman"/>
          <w:i/>
          <w:iCs/>
          <w:sz w:val="24"/>
          <w:szCs w:val="24"/>
        </w:rPr>
        <w:t xml:space="preserve"> belast zijn met toezichts- en handhavingstaken gericht op veiligheid, en om in de toelichting aan te geven hoe voorkomen wordt dat de uitoefening van deze taken in de praktijk tot problemen leidt, doordat zij overlapt met taken die zijn toebedeeld via het wetsvoorstel.</w:t>
      </w:r>
      <w:r w:rsidRPr="001832DF">
        <w:rPr>
          <w:rStyle w:val="Voetnootmarkering"/>
          <w:rFonts w:ascii="Times New Roman" w:hAnsi="Times New Roman" w:cs="Times New Roman"/>
          <w:i/>
          <w:iCs/>
          <w:sz w:val="24"/>
          <w:szCs w:val="24"/>
        </w:rPr>
        <w:footnoteReference w:id="32"/>
      </w:r>
      <w:r w:rsidRPr="001832DF">
        <w:rPr>
          <w:rFonts w:ascii="Times New Roman" w:hAnsi="Times New Roman" w:cs="Times New Roman"/>
          <w:i/>
          <w:iCs/>
          <w:sz w:val="24"/>
          <w:szCs w:val="24"/>
        </w:rPr>
        <w:t xml:space="preserve"> </w:t>
      </w:r>
    </w:p>
    <w:p w:rsidRPr="001832DF" w:rsidR="001832DF" w:rsidP="001832DF" w:rsidRDefault="001832DF" w14:paraId="452C7ECA" w14:textId="77777777">
      <w:pPr>
        <w:pStyle w:val="Geenafstand"/>
        <w:rPr>
          <w:rFonts w:ascii="Times New Roman" w:hAnsi="Times New Roman" w:cs="Times New Roman"/>
          <w:i/>
          <w:iCs/>
          <w:sz w:val="24"/>
          <w:szCs w:val="24"/>
        </w:rPr>
      </w:pPr>
    </w:p>
    <w:p w:rsidRPr="001832DF" w:rsidR="001832DF" w:rsidP="001832DF" w:rsidRDefault="001832DF" w14:paraId="5708F7A7"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Entiteiten kunnen onder toezicht staan vanuit andere wettelijke kaders, uitgeoefend door bijvoorbeeld een zelfstandig bestuursorgaan. Het ligt in de rede dat de toezichthouders met raakvlakken hierover met elkaar in contact treden om samenwerkingsafspraken te maken, die de doeltreffendheid en doelmatigheid van het toezicht waarborgen. </w:t>
      </w:r>
      <w:bookmarkStart w:name="_Hlk195170083" w:id="6"/>
      <w:r w:rsidRPr="001832DF">
        <w:rPr>
          <w:rFonts w:ascii="Times New Roman" w:hAnsi="Times New Roman" w:cs="Times New Roman"/>
          <w:sz w:val="24"/>
          <w:szCs w:val="24"/>
        </w:rPr>
        <w:t xml:space="preserve">Hierbij wordt onder meer gedacht aan afspraken over samenloop van toezicht op eenzelfde entiteit, het voorkomen van onevenredige </w:t>
      </w:r>
      <w:proofErr w:type="spellStart"/>
      <w:r w:rsidRPr="001832DF">
        <w:rPr>
          <w:rFonts w:ascii="Times New Roman" w:hAnsi="Times New Roman" w:cs="Times New Roman"/>
          <w:sz w:val="24"/>
          <w:szCs w:val="24"/>
        </w:rPr>
        <w:t>toezichtslasten</w:t>
      </w:r>
      <w:proofErr w:type="spellEnd"/>
      <w:r w:rsidRPr="001832DF">
        <w:rPr>
          <w:rFonts w:ascii="Times New Roman" w:hAnsi="Times New Roman" w:cs="Times New Roman"/>
          <w:sz w:val="24"/>
          <w:szCs w:val="24"/>
        </w:rPr>
        <w:t xml:space="preserve"> en de uitwisseling van gegevens. Het heeft daarbij de voorkeur dat deze afspraken worden vastgelegd in een samenwerkafspraak of een vergelijkbaar instrument en dat deze wordt gepubliceerd. Dit zorgt voor transparantie over de gemaakte afspraken en maakt voor entiteiten die onder toezicht staan helder op welke wijze de toezichthouders invulling geven aan voorgenoemde aspecten. </w:t>
      </w:r>
      <w:bookmarkEnd w:id="6"/>
    </w:p>
    <w:p w:rsidRPr="001832DF" w:rsidR="001832DF" w:rsidP="001832DF" w:rsidRDefault="001832DF" w14:paraId="0E11AD91" w14:textId="77777777">
      <w:pPr>
        <w:pStyle w:val="Geenafstand"/>
        <w:rPr>
          <w:rFonts w:ascii="Times New Roman" w:hAnsi="Times New Roman" w:cs="Times New Roman"/>
          <w:sz w:val="24"/>
          <w:szCs w:val="24"/>
        </w:rPr>
      </w:pPr>
    </w:p>
    <w:p w:rsidRPr="001832DF" w:rsidR="001832DF" w:rsidP="001832DF" w:rsidRDefault="001832DF" w14:paraId="573C5CBB"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Daarbij is het van belang om in die samenwerkingsafspraken voor ogen te houden dat de verschillende wetten in het veiligheidsdomein verschillende aspecten van veiligheid regelen, geredeneerd vanuit wettelijk verschillende gedefinieerde te beschermen belangen. De betreffende toezichthouders zullen derhalve elk op basis van hun eigen wettelijke grondslag hun taken uitvoeren en overlap in bevoegdheden doet geen afbreuk aan de bevoegdheden en verantwoordelijkheden van de respectievelijke toezichthouders.</w:t>
      </w:r>
    </w:p>
    <w:p w:rsidRPr="001832DF" w:rsidR="001832DF" w:rsidP="001832DF" w:rsidRDefault="001832DF" w14:paraId="41BE4F98" w14:textId="77777777">
      <w:pPr>
        <w:pStyle w:val="Geenafstand"/>
        <w:rPr>
          <w:rFonts w:ascii="Times New Roman" w:hAnsi="Times New Roman" w:cs="Times New Roman"/>
          <w:i/>
          <w:iCs/>
          <w:sz w:val="24"/>
          <w:szCs w:val="24"/>
        </w:rPr>
      </w:pPr>
    </w:p>
    <w:p w:rsidRPr="001832DF" w:rsidR="001832DF" w:rsidP="001832DF" w:rsidRDefault="001832DF" w14:paraId="3D005602" w14:textId="77777777">
      <w:pPr>
        <w:pStyle w:val="Geenafstand"/>
        <w:rPr>
          <w:rFonts w:ascii="Times New Roman" w:hAnsi="Times New Roman" w:cs="Times New Roman"/>
          <w:i/>
          <w:iCs/>
          <w:sz w:val="24"/>
          <w:szCs w:val="24"/>
        </w:rPr>
      </w:pPr>
      <w:bookmarkStart w:name="_Hlk198218836" w:id="7"/>
      <w:r w:rsidRPr="001832DF">
        <w:rPr>
          <w:rFonts w:ascii="Times New Roman" w:hAnsi="Times New Roman" w:cs="Times New Roman"/>
          <w:i/>
          <w:iCs/>
          <w:sz w:val="24"/>
          <w:szCs w:val="24"/>
        </w:rPr>
        <w:t xml:space="preserve">5. </w:t>
      </w:r>
      <w:r w:rsidRPr="001832DF">
        <w:rPr>
          <w:rFonts w:ascii="Times New Roman" w:hAnsi="Times New Roman" w:cs="Times New Roman"/>
          <w:i/>
          <w:iCs/>
          <w:sz w:val="24"/>
          <w:szCs w:val="24"/>
          <w:u w:val="single"/>
        </w:rPr>
        <w:t>Toezicht en handhaving ten aanzien van de sector overheid</w:t>
      </w:r>
      <w:r w:rsidRPr="001832DF" w:rsidDel="00E50131">
        <w:rPr>
          <w:rFonts w:ascii="Times New Roman" w:hAnsi="Times New Roman" w:cs="Times New Roman"/>
          <w:i/>
          <w:iCs/>
          <w:sz w:val="24"/>
          <w:szCs w:val="24"/>
          <w:u w:val="single"/>
        </w:rPr>
        <w:t xml:space="preserve"> </w:t>
      </w:r>
    </w:p>
    <w:p w:rsidRPr="001832DF" w:rsidR="001832DF" w:rsidP="001832DF" w:rsidRDefault="001832DF" w14:paraId="50F051C2" w14:textId="77777777">
      <w:pPr>
        <w:pStyle w:val="Geenafstand"/>
        <w:rPr>
          <w:rFonts w:ascii="Times New Roman" w:hAnsi="Times New Roman" w:cs="Times New Roman"/>
          <w:i/>
          <w:iCs/>
          <w:sz w:val="24"/>
          <w:szCs w:val="24"/>
        </w:rPr>
      </w:pPr>
    </w:p>
    <w:p w:rsidRPr="001832DF" w:rsidR="001832DF" w:rsidP="001832DF" w:rsidRDefault="001832DF" w14:paraId="2E7D60C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wetsvoorstel wijst onder andere ministeries, met inbegrip van de daartoe behorende dienstonderdelen, aan als essentiële entiteiten.</w:t>
      </w:r>
      <w:r w:rsidRPr="001832DF">
        <w:rPr>
          <w:rStyle w:val="Voetnootmarkering"/>
          <w:rFonts w:ascii="Times New Roman" w:hAnsi="Times New Roman" w:cs="Times New Roman"/>
          <w:i/>
          <w:iCs/>
          <w:sz w:val="24"/>
          <w:szCs w:val="24"/>
        </w:rPr>
        <w:footnoteReference w:id="33"/>
      </w:r>
      <w:r w:rsidRPr="001832DF">
        <w:rPr>
          <w:rFonts w:ascii="Times New Roman" w:hAnsi="Times New Roman" w:cs="Times New Roman"/>
          <w:i/>
          <w:iCs/>
          <w:sz w:val="24"/>
          <w:szCs w:val="24"/>
        </w:rPr>
        <w:t xml:space="preserve"> Voor de sector overheid is de minister van Binnenlandse Zaken en Koninkrijksrelaties de bevoegde autoriteit voor het toezicht op de naleving en de handhaving.</w:t>
      </w:r>
      <w:r w:rsidRPr="001832DF">
        <w:rPr>
          <w:rStyle w:val="Voetnootmarkering"/>
          <w:rFonts w:ascii="Times New Roman" w:hAnsi="Times New Roman" w:cs="Times New Roman"/>
          <w:i/>
          <w:iCs/>
          <w:sz w:val="24"/>
          <w:szCs w:val="24"/>
        </w:rPr>
        <w:footnoteReference w:id="34"/>
      </w:r>
      <w:r w:rsidRPr="001832DF">
        <w:rPr>
          <w:rFonts w:ascii="Times New Roman" w:hAnsi="Times New Roman" w:cs="Times New Roman"/>
          <w:i/>
          <w:iCs/>
          <w:sz w:val="24"/>
          <w:szCs w:val="24"/>
        </w:rPr>
        <w:t xml:space="preserve"> Uit de toelichting blijkt dat de Rijksinspectie Digitale Infrastructuur (RDI), onderdeel van het ministerie van Economische Zaken, toezicht gaat houden op de sector overheid.</w:t>
      </w:r>
      <w:r w:rsidRPr="001832DF">
        <w:rPr>
          <w:rStyle w:val="Voetnootmarkering"/>
          <w:rFonts w:ascii="Times New Roman" w:hAnsi="Times New Roman" w:cs="Times New Roman"/>
          <w:i/>
          <w:iCs/>
          <w:sz w:val="24"/>
          <w:szCs w:val="24"/>
        </w:rPr>
        <w:footnoteReference w:id="35"/>
      </w:r>
      <w:r w:rsidRPr="001832DF">
        <w:rPr>
          <w:rFonts w:ascii="Times New Roman" w:hAnsi="Times New Roman" w:cs="Times New Roman"/>
          <w:i/>
          <w:iCs/>
          <w:sz w:val="24"/>
          <w:szCs w:val="24"/>
        </w:rPr>
        <w:t xml:space="preserve"> Voor zover onderdelen van het ministerie van Economische Zaken zelf kwalificeren als essentiële of belangrijke entiteit betekent dit dat het toezicht op die onderdelen “operationeel onafhankelijk” moet zijn, als bedoeld in artikel 31, vierde lid, van de NIS2-richtlijn. De toelichting besteedt geen aandacht aan de vraag of een dergelijk ‘zelftoezicht’ in voldoende mate onafhankelijk is en welke voorzieningen daartoe zijn of worden getroffen.</w:t>
      </w:r>
    </w:p>
    <w:p w:rsidRPr="001832DF" w:rsidR="001832DF" w:rsidP="001832DF" w:rsidRDefault="001832DF" w14:paraId="1AF7BD2B" w14:textId="77777777">
      <w:pPr>
        <w:pStyle w:val="Geenafstand"/>
        <w:rPr>
          <w:rFonts w:ascii="Times New Roman" w:hAnsi="Times New Roman" w:cs="Times New Roman"/>
          <w:i/>
          <w:iCs/>
          <w:sz w:val="24"/>
          <w:szCs w:val="24"/>
        </w:rPr>
      </w:pPr>
    </w:p>
    <w:p w:rsidRPr="001832DF" w:rsidR="001832DF" w:rsidP="001832DF" w:rsidRDefault="001832DF" w14:paraId="2D20D78A"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lastRenderedPageBreak/>
        <w:t>De Afdeling adviseert om in de toelichting nader in te gaan op de vraag of, en zo ja hoe, ten aanzien van de sector overheid wordt voldaan aan het vereiste van voldoende onafhankelijk toezicht, en zo nodig het voorstel aan te passen.</w:t>
      </w:r>
    </w:p>
    <w:p w:rsidRPr="001832DF" w:rsidR="001832DF" w:rsidP="001832DF" w:rsidRDefault="001832DF" w14:paraId="5FF99675" w14:textId="77777777">
      <w:pPr>
        <w:pStyle w:val="Geenafstand"/>
        <w:rPr>
          <w:rFonts w:ascii="Times New Roman" w:hAnsi="Times New Roman" w:cs="Times New Roman"/>
          <w:i/>
          <w:iCs/>
          <w:sz w:val="24"/>
          <w:szCs w:val="24"/>
        </w:rPr>
      </w:pPr>
    </w:p>
    <w:p w:rsidRPr="001832DF" w:rsidR="001832DF" w:rsidP="001832DF" w:rsidRDefault="001832DF" w14:paraId="050DF1BB" w14:textId="77777777">
      <w:pPr>
        <w:pStyle w:val="Geenafstand"/>
        <w:rPr>
          <w:rFonts w:ascii="Times New Roman" w:hAnsi="Times New Roman" w:cs="Times New Roman"/>
          <w:sz w:val="24"/>
          <w:szCs w:val="24"/>
          <w:highlight w:val="yellow"/>
        </w:rPr>
      </w:pPr>
      <w:r w:rsidRPr="001832DF">
        <w:rPr>
          <w:rFonts w:ascii="Times New Roman" w:hAnsi="Times New Roman" w:cs="Times New Roman"/>
          <w:sz w:val="24"/>
          <w:szCs w:val="24"/>
        </w:rPr>
        <w:t xml:space="preserve">In artikel 31, vierde lid, NIS2-richtlijn is bepaald dat lidstaten ervoor moeten zorgen dat de bevoegde autoriteiten bij het toezicht op de naleving van de NIS2-richtlijn door overheidsinstanties en bij het opleggen van handhavingsmaatregelen inzake inbreuken op de NIS2-richtlijn over passende bevoegdheden beschikken om bij de uitvoering van deze taken operationeel onafhankelijk te zijn van de overheidsinstanties waarop zij toezicht houden. </w:t>
      </w:r>
    </w:p>
    <w:p w:rsidRPr="001832DF" w:rsidR="001832DF" w:rsidP="001832DF" w:rsidRDefault="001832DF" w14:paraId="02FF43A4" w14:textId="77777777">
      <w:pPr>
        <w:pStyle w:val="Geenafstand"/>
        <w:rPr>
          <w:rFonts w:ascii="Times New Roman" w:hAnsi="Times New Roman" w:cs="Times New Roman"/>
          <w:sz w:val="24"/>
          <w:szCs w:val="24"/>
          <w:highlight w:val="yellow"/>
        </w:rPr>
      </w:pPr>
    </w:p>
    <w:p w:rsidRPr="001832DF" w:rsidR="001832DF" w:rsidP="001832DF" w:rsidRDefault="001832DF" w14:paraId="15D2A09B"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Het toezicht op de naleving van het bepaalde bij of krachtens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ten aanzien van entiteiten uit de sector overheid (met uitzondering van de waterschappen) zal worden uitgevoerd door de Rijksinspectie Digitale Infrastructuur (hierna: RDI). De RDI valt onder het Ministerie van Economische Zaken en zal de hiervoor bedoelde taken uitvoeren namens de Minister van Binnenlandse Zaken en Koninkrijksrelaties als bevoegde autoriteit van de entiteiten die vallen binnen de sector overheid, met uitzondering van de waterschappen. Aangezien beide ministeries zelf ook onder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zullen vallen, dient het toezicht in voldoende mate operationeel onafhankelijk te zijn. Ten aanzien van het Ministerie van Binnenlandse Zaken en Koninkrijksrelaties is er een organisatorische scheiding doordat de RDI onder een ander ministerie valt. Verder is de operationele onafhankelijkheid mede geborgd door de Aanwijzingen inzake de rijksinspecties. Zo is in aanwijzing 14, vijfde lid, bepaald dat de beleidsinhoudelijk verantwoordelijke minister zijn aanwijzingsbevoegdheid niet gebruikt om een rijksinspectie ervan te weerhouden een specifiek onderzoek te verrichten of af te ronden, noch om in te grijpen in de wijze waarop een rijksinspectie een specifiek onderzoek verricht, noch om invloed uit te oefenen op de bevindingen, oordelen en adviezen van een rijksinspectie</w:t>
      </w:r>
      <w:bookmarkStart w:name="_Hlk196918792" w:id="8"/>
      <w:r w:rsidRPr="001832DF">
        <w:rPr>
          <w:rFonts w:ascii="Times New Roman" w:hAnsi="Times New Roman" w:cs="Times New Roman"/>
          <w:sz w:val="24"/>
          <w:szCs w:val="24"/>
        </w:rPr>
        <w:t xml:space="preserve">. </w:t>
      </w:r>
      <w:bookmarkStart w:name="_Hlk198059843" w:id="9"/>
      <w:r w:rsidRPr="001832DF">
        <w:rPr>
          <w:rFonts w:ascii="Times New Roman" w:hAnsi="Times New Roman" w:cs="Times New Roman"/>
          <w:sz w:val="24"/>
          <w:szCs w:val="24"/>
        </w:rPr>
        <w:t xml:space="preserve">De Minister van Binnenlandse Zaken en Koninkrijksrelaties zal vanuit zijn verantwoordelijkheid als bevoegde autoriteit van de entiteiten die vallen binnen de sector overheid borgen dat er geen operationele bemoeienis is, zoals via openbaar kenbare relatiestatuten, regelingen of procedures. </w:t>
      </w:r>
      <w:bookmarkEnd w:id="8"/>
      <w:bookmarkEnd w:id="9"/>
    </w:p>
    <w:bookmarkEnd w:id="7"/>
    <w:p w:rsidRPr="001832DF" w:rsidR="001832DF" w:rsidP="001832DF" w:rsidRDefault="001832DF" w14:paraId="4C680C5D" w14:textId="77777777">
      <w:pPr>
        <w:pStyle w:val="Geenafstand"/>
        <w:rPr>
          <w:rFonts w:ascii="Times New Roman" w:hAnsi="Times New Roman" w:cs="Times New Roman"/>
          <w:sz w:val="24"/>
          <w:szCs w:val="24"/>
        </w:rPr>
      </w:pPr>
    </w:p>
    <w:p w:rsidRPr="001832DF" w:rsidR="001832DF" w:rsidP="001832DF" w:rsidRDefault="001832DF" w14:paraId="4EAF2327"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6. </w:t>
      </w:r>
      <w:r w:rsidRPr="001832DF">
        <w:rPr>
          <w:rFonts w:ascii="Times New Roman" w:hAnsi="Times New Roman" w:cs="Times New Roman"/>
          <w:i/>
          <w:iCs/>
          <w:sz w:val="24"/>
          <w:szCs w:val="24"/>
          <w:u w:val="single"/>
        </w:rPr>
        <w:t>De verwerking van persoonsgegevens</w:t>
      </w:r>
    </w:p>
    <w:p w:rsidRPr="001832DF" w:rsidR="001832DF" w:rsidP="001832DF" w:rsidRDefault="001832DF" w14:paraId="2FE46111" w14:textId="77777777">
      <w:pPr>
        <w:pStyle w:val="Geenafstand"/>
        <w:rPr>
          <w:rFonts w:ascii="Times New Roman" w:hAnsi="Times New Roman" w:cs="Times New Roman"/>
          <w:i/>
          <w:iCs/>
          <w:sz w:val="24"/>
          <w:szCs w:val="24"/>
        </w:rPr>
      </w:pPr>
    </w:p>
    <w:p w:rsidRPr="001832DF" w:rsidR="001832DF" w:rsidP="001832DF" w:rsidRDefault="001832DF" w14:paraId="676C911B" w14:textId="77777777">
      <w:pPr>
        <w:pStyle w:val="Geenafstand"/>
        <w:rPr>
          <w:rFonts w:ascii="Times New Roman" w:hAnsi="Times New Roman" w:cs="Times New Roman"/>
          <w:i/>
          <w:iCs/>
          <w:sz w:val="24"/>
          <w:szCs w:val="24"/>
        </w:rPr>
      </w:pPr>
      <w:bookmarkStart w:name="_Hlk198024428" w:id="10"/>
      <w:r w:rsidRPr="001832DF">
        <w:rPr>
          <w:rFonts w:ascii="Times New Roman" w:hAnsi="Times New Roman" w:cs="Times New Roman"/>
          <w:i/>
          <w:iCs/>
          <w:sz w:val="24"/>
          <w:szCs w:val="24"/>
        </w:rPr>
        <w:t>a. Bijzondere categorieën van persoonsgegevens</w:t>
      </w:r>
      <w:r w:rsidRPr="001832DF">
        <w:rPr>
          <w:rFonts w:ascii="Times New Roman" w:hAnsi="Times New Roman" w:cs="Times New Roman"/>
          <w:i/>
          <w:iCs/>
          <w:sz w:val="24"/>
          <w:szCs w:val="24"/>
        </w:rPr>
        <w:br/>
        <w:t>Het wetsvoorstel bevat een grondslag voor de verwerking van bijzondere categorieën van persoonsgegevens (het betreft alle categorieën bijzondere persoonsgegevens met uitzondering van genetische en biometrische gegevens) door een CSIRT of de bevoegde autoriteit, voor zover die verwerking noodzakelijk is voor de uitoefening van hun taken op grond van het wetsvoorstel.</w:t>
      </w:r>
      <w:r w:rsidRPr="001832DF">
        <w:rPr>
          <w:rFonts w:ascii="Times New Roman" w:hAnsi="Times New Roman" w:cs="Times New Roman"/>
          <w:i/>
          <w:iCs/>
          <w:sz w:val="24"/>
          <w:szCs w:val="24"/>
          <w:vertAlign w:val="superscript"/>
        </w:rPr>
        <w:footnoteReference w:id="36"/>
      </w:r>
      <w:r w:rsidRPr="001832DF">
        <w:rPr>
          <w:rFonts w:ascii="Times New Roman" w:hAnsi="Times New Roman" w:cs="Times New Roman"/>
          <w:i/>
          <w:iCs/>
          <w:sz w:val="24"/>
          <w:szCs w:val="24"/>
        </w:rPr>
        <w:t xml:space="preserve"> Deze grondslag is toegevoegd naar aanleiding van de door de Autoriteit Persoonsgegevens (AP) verrichte toets bij een eerdere versie van het wetsvoorstel. De AP adviseerde om bij algemene maatregel van bestuur de categorieën van bijzondere persoonsgegevens aan te wijzen waarvan de verwerking noodzakelijk is voor de doeleinden van het wetsvoorstel.</w:t>
      </w:r>
    </w:p>
    <w:p w:rsidRPr="001832DF" w:rsidR="001832DF" w:rsidP="001832DF" w:rsidRDefault="001832DF" w14:paraId="4B07A109" w14:textId="77777777">
      <w:pPr>
        <w:pStyle w:val="Geenafstand"/>
        <w:rPr>
          <w:rFonts w:ascii="Times New Roman" w:hAnsi="Times New Roman" w:cs="Times New Roman"/>
          <w:i/>
          <w:iCs/>
          <w:sz w:val="24"/>
          <w:szCs w:val="24"/>
        </w:rPr>
      </w:pPr>
    </w:p>
    <w:p w:rsidRPr="001832DF" w:rsidR="001832DF" w:rsidP="001832DF" w:rsidRDefault="001832DF" w14:paraId="7EB9A324"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Op basis van de Algemene verordening gegevensbescherming (AVG)</w:t>
      </w:r>
      <w:r w:rsidRPr="001832DF">
        <w:rPr>
          <w:rStyle w:val="Voetnootmarkering"/>
          <w:rFonts w:ascii="Times New Roman" w:hAnsi="Times New Roman" w:cs="Times New Roman"/>
          <w:i/>
          <w:iCs/>
          <w:sz w:val="24"/>
          <w:szCs w:val="24"/>
        </w:rPr>
        <w:footnoteReference w:id="37"/>
      </w:r>
      <w:r w:rsidRPr="001832DF">
        <w:rPr>
          <w:rFonts w:ascii="Times New Roman" w:hAnsi="Times New Roman" w:cs="Times New Roman"/>
          <w:i/>
          <w:iCs/>
          <w:sz w:val="24"/>
          <w:szCs w:val="24"/>
        </w:rPr>
        <w:t xml:space="preserve"> is de verwerking van bijzondere categorieën van persoonsgegevens onderworpen aan specifieke voorschriften. De verwerking van bijzondere categorieën van persoonsgegevens is bijzonder gevoelig vanuit een oogpunt van de eerbiediging van het privéleven van de persoon wiens gegevens worden verwerkt en verdient daarom extra bescherming.</w:t>
      </w:r>
      <w:r w:rsidRPr="001832DF">
        <w:rPr>
          <w:rFonts w:ascii="Times New Roman" w:hAnsi="Times New Roman" w:cs="Times New Roman"/>
          <w:i/>
          <w:iCs/>
          <w:sz w:val="24"/>
          <w:szCs w:val="24"/>
          <w:vertAlign w:val="superscript"/>
        </w:rPr>
        <w:footnoteReference w:id="38"/>
      </w:r>
      <w:r w:rsidRPr="001832DF">
        <w:rPr>
          <w:rFonts w:ascii="Times New Roman" w:hAnsi="Times New Roman" w:cs="Times New Roman"/>
          <w:i/>
          <w:iCs/>
          <w:sz w:val="24"/>
          <w:szCs w:val="24"/>
        </w:rPr>
        <w:t xml:space="preserve"> Een inmenging in dit recht moet bij wet zijn voorzien, waarbij op voldoende duidelijke wijze is aangeven onder welke voorwaarden de inmenging is toegestaan, en mag niet verder gaan dan wat noodzakelijk is.</w:t>
      </w:r>
      <w:r w:rsidRPr="001832DF">
        <w:rPr>
          <w:rStyle w:val="Voetnootmarkering"/>
          <w:rFonts w:ascii="Times New Roman" w:hAnsi="Times New Roman" w:cs="Times New Roman"/>
          <w:i/>
          <w:iCs/>
          <w:sz w:val="24"/>
          <w:szCs w:val="24"/>
        </w:rPr>
        <w:footnoteReference w:id="39"/>
      </w:r>
      <w:r w:rsidRPr="001832DF">
        <w:rPr>
          <w:rFonts w:ascii="Times New Roman" w:hAnsi="Times New Roman" w:cs="Times New Roman"/>
          <w:i/>
          <w:iCs/>
          <w:sz w:val="24"/>
          <w:szCs w:val="24"/>
        </w:rPr>
        <w:t xml:space="preserve"> Voor de bescherming van gevoelige gegevens is het essentieel dat de bevoegdheden tot gebruik, inzage en doorgifte, </w:t>
      </w:r>
      <w:r w:rsidRPr="001832DF">
        <w:rPr>
          <w:rFonts w:ascii="Times New Roman" w:hAnsi="Times New Roman" w:cs="Times New Roman"/>
          <w:i/>
          <w:iCs/>
          <w:sz w:val="24"/>
          <w:szCs w:val="24"/>
        </w:rPr>
        <w:lastRenderedPageBreak/>
        <w:t>voldoende precies zijn omschreven en voldoende bescherming bieden tegen arbitrair gebruik van deze bevoegdheden.</w:t>
      </w:r>
      <w:r w:rsidRPr="001832DF">
        <w:rPr>
          <w:rFonts w:ascii="Times New Roman" w:hAnsi="Times New Roman" w:cs="Times New Roman"/>
          <w:i/>
          <w:iCs/>
          <w:sz w:val="24"/>
          <w:szCs w:val="24"/>
          <w:vertAlign w:val="superscript"/>
        </w:rPr>
        <w:footnoteReference w:id="40"/>
      </w:r>
      <w:r w:rsidRPr="001832DF">
        <w:rPr>
          <w:rFonts w:ascii="Times New Roman" w:hAnsi="Times New Roman" w:cs="Times New Roman"/>
          <w:i/>
          <w:iCs/>
          <w:sz w:val="24"/>
          <w:szCs w:val="24"/>
        </w:rPr>
        <w:t xml:space="preserve"> </w:t>
      </w:r>
    </w:p>
    <w:p w:rsidRPr="001832DF" w:rsidR="001832DF" w:rsidP="001832DF" w:rsidRDefault="001832DF" w14:paraId="32B4AA38" w14:textId="77777777">
      <w:pPr>
        <w:pStyle w:val="Geenafstand"/>
        <w:rPr>
          <w:rFonts w:ascii="Times New Roman" w:hAnsi="Times New Roman" w:cs="Times New Roman"/>
          <w:i/>
          <w:iCs/>
          <w:sz w:val="24"/>
          <w:szCs w:val="24"/>
        </w:rPr>
      </w:pPr>
    </w:p>
    <w:p w:rsidRPr="001832DF" w:rsidR="001832DF" w:rsidP="001832DF" w:rsidRDefault="001832DF" w14:paraId="57F2EFD9"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Een nauwkeurige afbakening van de situaties waarin de persoonsgegevens mogen worden verwerkt is onder meer van belang om te verzekeren dat personen doeltreffend worden beschermd tegen het risico van misbruik en tegen elke onrechtmatige raadpleging en elk onrechtmatig gebruik van deze gegevens.</w:t>
      </w:r>
      <w:r w:rsidRPr="001832DF">
        <w:rPr>
          <w:rStyle w:val="Voetnootmarkering"/>
          <w:rFonts w:ascii="Times New Roman" w:hAnsi="Times New Roman" w:cs="Times New Roman"/>
          <w:i/>
          <w:iCs/>
          <w:sz w:val="24"/>
          <w:szCs w:val="24"/>
        </w:rPr>
        <w:footnoteReference w:id="41"/>
      </w:r>
      <w:r w:rsidRPr="001832DF">
        <w:rPr>
          <w:rFonts w:ascii="Times New Roman" w:hAnsi="Times New Roman" w:cs="Times New Roman"/>
          <w:i/>
          <w:iCs/>
          <w:sz w:val="24"/>
          <w:szCs w:val="24"/>
        </w:rPr>
        <w:t> Daarnaast geldt op basis van de AVG vanwege de bijzonder gevoelige aard van deze categorie persoonsgegevens het vereiste dat passende en specifieke waarborgen moeten gelden voor de verwerking van bijzondere categorieën van persoonsgegevens.</w:t>
      </w:r>
      <w:r w:rsidRPr="001832DF">
        <w:rPr>
          <w:rStyle w:val="Voetnootmarkering"/>
          <w:rFonts w:ascii="Times New Roman" w:hAnsi="Times New Roman" w:cs="Times New Roman"/>
          <w:i/>
          <w:iCs/>
          <w:sz w:val="24"/>
          <w:szCs w:val="24"/>
        </w:rPr>
        <w:footnoteReference w:id="42"/>
      </w:r>
    </w:p>
    <w:p w:rsidRPr="001832DF" w:rsidR="001832DF" w:rsidP="001832DF" w:rsidRDefault="001832DF" w14:paraId="1DE838F1" w14:textId="77777777">
      <w:pPr>
        <w:pStyle w:val="Geenafstand"/>
        <w:rPr>
          <w:rFonts w:ascii="Times New Roman" w:hAnsi="Times New Roman" w:cs="Times New Roman"/>
          <w:i/>
          <w:iCs/>
          <w:sz w:val="24"/>
          <w:szCs w:val="24"/>
        </w:rPr>
      </w:pPr>
    </w:p>
    <w:p w:rsidRPr="001832DF" w:rsidR="001832DF" w:rsidP="001832DF" w:rsidRDefault="001832DF" w14:paraId="70DD389C"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Aan dit vereiste kan niet worden voldaan door middel van een grondslag voor de verwerking van vrijwel alle bijzondere categorieën persoonsgegevens voor in beginsel alle taken die door een CSIRT of de bevoegde autoriteit worden verricht. Het is mogelijk dat voor de effectieve uitoefening van bepaalde bevoegdheden, bijvoorbeeld indien het voor een CSIRT noodzakelijk is om </w:t>
      </w:r>
      <w:proofErr w:type="spellStart"/>
      <w:r w:rsidRPr="001832DF">
        <w:rPr>
          <w:rFonts w:ascii="Times New Roman" w:hAnsi="Times New Roman" w:cs="Times New Roman"/>
          <w:i/>
          <w:iCs/>
          <w:sz w:val="24"/>
          <w:szCs w:val="24"/>
        </w:rPr>
        <w:t>realtime</w:t>
      </w:r>
      <w:proofErr w:type="spellEnd"/>
      <w:r w:rsidRPr="001832DF">
        <w:rPr>
          <w:rFonts w:ascii="Times New Roman" w:hAnsi="Times New Roman" w:cs="Times New Roman"/>
          <w:i/>
          <w:iCs/>
          <w:sz w:val="24"/>
          <w:szCs w:val="24"/>
        </w:rPr>
        <w:t xml:space="preserve"> het netwerk- en informatiesysteem van een entiteit te monitoren, de in het voorstel genoemde bijzondere categorieën van persoonsgegevens worden ingezien. Voor de meeste bevoegdheden lijkt er echter geen noodzaak aanwezig te zijn om bijzondere categorieën van persoonsgegevens te verwerken terwijl het wetsvoorstel daar wel toe machtigt.</w:t>
      </w:r>
    </w:p>
    <w:p w:rsidRPr="001832DF" w:rsidR="001832DF" w:rsidP="001832DF" w:rsidRDefault="001832DF" w14:paraId="71D1A850" w14:textId="77777777">
      <w:pPr>
        <w:pStyle w:val="Geenafstand"/>
        <w:rPr>
          <w:rFonts w:ascii="Times New Roman" w:hAnsi="Times New Roman" w:cs="Times New Roman"/>
          <w:i/>
          <w:iCs/>
          <w:sz w:val="24"/>
          <w:szCs w:val="24"/>
        </w:rPr>
      </w:pPr>
    </w:p>
    <w:p w:rsidRPr="001832DF" w:rsidR="001832DF" w:rsidP="001832DF" w:rsidRDefault="001832DF" w14:paraId="1332F7C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advisering wijst er bovendien op dat het wetsvoorstel niet voorziet in passende en specifieke waarborgen in het kader van de verwerking van bijzondere categorieën van persoonsgegevens. De aanwezigheid van deze waarborgen is des te meer van belang gelet op de potentieel omvangrijke inzage in bijzonder gevoelige gegevens bij de uitoefening van bepaalde bevoegdheden op basis van het voorstel.</w:t>
      </w:r>
    </w:p>
    <w:p w:rsidRPr="001832DF" w:rsidR="001832DF" w:rsidP="001832DF" w:rsidRDefault="001832DF" w14:paraId="25586ABB" w14:textId="77777777">
      <w:pPr>
        <w:pStyle w:val="Geenafstand"/>
        <w:rPr>
          <w:rFonts w:ascii="Times New Roman" w:hAnsi="Times New Roman" w:cs="Times New Roman"/>
          <w:i/>
          <w:iCs/>
          <w:sz w:val="24"/>
          <w:szCs w:val="24"/>
        </w:rPr>
      </w:pPr>
    </w:p>
    <w:p w:rsidRPr="001832DF" w:rsidR="001832DF" w:rsidP="001832DF" w:rsidRDefault="001832DF" w14:paraId="4C034ED1"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adviseert om de grondslag voor de verwerking van bijzondere categorieën van persoonsgegevens te beperken tot de uitoefening van taken die worden opgedragen in het wetsvoorstel waarvoor verwerking van bijzondere categorieën van persoonsgegevens noodzakelijk is en te voorzien in passende en specifieke waarborgen.</w:t>
      </w:r>
    </w:p>
    <w:p w:rsidRPr="001832DF" w:rsidR="001832DF" w:rsidP="001832DF" w:rsidRDefault="001832DF" w14:paraId="35F37B52" w14:textId="77777777">
      <w:pPr>
        <w:pStyle w:val="Geenafstand"/>
        <w:rPr>
          <w:rFonts w:ascii="Times New Roman" w:hAnsi="Times New Roman" w:cs="Times New Roman"/>
          <w:sz w:val="24"/>
          <w:szCs w:val="24"/>
          <w:highlight w:val="yellow"/>
        </w:rPr>
      </w:pPr>
    </w:p>
    <w:p w:rsidRPr="001832DF" w:rsidR="001832DF" w:rsidP="001832DF" w:rsidRDefault="001832DF" w14:paraId="58CED8FF"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Naar aanleiding van het advies van de Afdeling over de beperking van de grondslag voor de verwerking van bijzondere categorieën van persoonsgegevens is artikel 64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gewijzigd en is de artikelsgewijze toelichting op dit artikel aangepast. De wijziging houdt ten eerste in dat het eerste lid van genoemd artikel de grondslag voor de verwerking van bijzondere categorieën van persoonsgegevens regelt voor zover het gaat om de taakuitoefening van de bevoegde autoriteit. </w:t>
      </w:r>
      <w:bookmarkStart w:name="_Hlk195170885" w:id="11"/>
      <w:r w:rsidRPr="001832DF">
        <w:rPr>
          <w:rFonts w:ascii="Times New Roman" w:hAnsi="Times New Roman" w:cs="Times New Roman"/>
          <w:sz w:val="24"/>
          <w:szCs w:val="24"/>
        </w:rPr>
        <w:t xml:space="preserve">Die grondslag ziet op de uitoefening van alle in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geregelde taken van de bevoegde autoriteit. Het is de verwachting dat in het kader van de uitoefening van al deze taken van de bevoegde autoriteit (waaronder de taken in het kader van het toezicht, maar ook bijvoorbeeld die in het kader van meldingen van significante incidenten) het noodzakelijk kan zijn dat de bevoegde autoriteit bijzondere categorieën van persoonsgegevens moet verwerken.</w:t>
      </w:r>
      <w:bookmarkEnd w:id="11"/>
    </w:p>
    <w:p w:rsidRPr="001832DF" w:rsidR="001832DF" w:rsidP="001832DF" w:rsidRDefault="001832DF" w14:paraId="1267912C" w14:textId="77777777">
      <w:pPr>
        <w:pStyle w:val="Geenafstand"/>
        <w:rPr>
          <w:rFonts w:ascii="Times New Roman" w:hAnsi="Times New Roman" w:cs="Times New Roman"/>
          <w:sz w:val="24"/>
          <w:szCs w:val="24"/>
        </w:rPr>
      </w:pPr>
    </w:p>
    <w:p w:rsidRPr="001832DF" w:rsidR="001832DF" w:rsidP="001832DF" w:rsidRDefault="001832DF" w14:paraId="2A38F2FE"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Daarnaast is er een nieuw lid toegevoegd (tweede lid) met de grondslag voor de verwerking van bijzondere categorieën van persoonsgegevens door het CSIRT. Die laatstbedoelde grondslag is beperkt tot de taken die zijn opgenomen in artikel 16, tweede lid, onderdelen a tot en met 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Het CSIRT moet bij het uitvoeren van die taken soms bijzondere categorieën van persoonsgegevens verwerken. Te denken valt aan een dataset die inloggegevens (</w:t>
      </w:r>
      <w:proofErr w:type="spellStart"/>
      <w:r w:rsidRPr="001832DF">
        <w:rPr>
          <w:rFonts w:ascii="Times New Roman" w:hAnsi="Times New Roman" w:cs="Times New Roman"/>
          <w:i/>
          <w:iCs/>
          <w:sz w:val="24"/>
          <w:szCs w:val="24"/>
        </w:rPr>
        <w:t>credentials</w:t>
      </w:r>
      <w:proofErr w:type="spellEnd"/>
      <w:r w:rsidRPr="001832DF">
        <w:rPr>
          <w:rFonts w:ascii="Times New Roman" w:hAnsi="Times New Roman" w:cs="Times New Roman"/>
          <w:sz w:val="24"/>
          <w:szCs w:val="24"/>
        </w:rPr>
        <w:t xml:space="preserve">) bevat waarin ook e-mailadressen zitten waaruit het lidmaatschap van een vakbond, vereniging voor LHBTI-rechten of politieke partij blijkt. Daarnaast kan het bijvoorbeeld voorkomen dat een server van een zorginstelling op het internet staat die medische gegevens bevat of andere bijzondere persoonsgegevens, zoals de dieetwensen van cliënten of patiënten waaruit de geloofsovertuiging kan worden afgeleid. </w:t>
      </w:r>
    </w:p>
    <w:p w:rsidRPr="001832DF" w:rsidR="001832DF" w:rsidP="001832DF" w:rsidRDefault="001832DF" w14:paraId="65CEC1FA" w14:textId="77777777">
      <w:pPr>
        <w:pStyle w:val="Geenafstand"/>
        <w:rPr>
          <w:rFonts w:ascii="Times New Roman" w:hAnsi="Times New Roman" w:cs="Times New Roman"/>
          <w:i/>
          <w:iCs/>
          <w:sz w:val="24"/>
          <w:szCs w:val="24"/>
        </w:rPr>
      </w:pPr>
    </w:p>
    <w:p w:rsidRPr="001832DF" w:rsidR="001832DF" w:rsidP="001832DF" w:rsidRDefault="001832DF" w14:paraId="47F48D81"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lastRenderedPageBreak/>
        <w:t xml:space="preserve">Ten aanzien van het advies van de Afdeling over waarborgen met betrekking tot de verwerking van bijzondere categorieën van persoonsgegevens is de reactie als volgt. De Algemene verordening gegevensbescherming en de Uitvoeringswet Algemene verordening gegevensbescherming zijn van toepassing op het CSIRT en de bevoegde autoriteit en vereisen onder meer het nemen van passende technische en organisatorische maatregelen met betrekking tot het verwerken van persoonsgegevens. Het CSIRT moet bovendien op grond van artikel 11, eerste lid, NIS2-richtlijn voldoen aan hoge eisen. In aanvulling op het voorgaande is in artikel 65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voorzien in de maximale bewaartermijnen voor bijzondere categorieën van persoonsgegevens. Daarbij is die termijn ten aanzien van bijzondere categorieën van persoonsgegevens die door het CSIRT worden verwerkt verkort van 60 naar 12 maanden door de aanpassing van het tweede lid en het toevoegen van een nieuw lid (derde lid). Gelet op al het voorgaande zijn voldoende waarborgen aanwezig ten aanzien van de verwerking van bijzondere categorieën van persoonsgegevens door de bevoegde autoriteiten en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w:t>
      </w:r>
    </w:p>
    <w:bookmarkEnd w:id="10"/>
    <w:p w:rsidRPr="001832DF" w:rsidR="001832DF" w:rsidP="001832DF" w:rsidRDefault="001832DF" w14:paraId="7AB13718" w14:textId="77777777">
      <w:pPr>
        <w:pStyle w:val="Geenafstand"/>
        <w:rPr>
          <w:rFonts w:ascii="Times New Roman" w:hAnsi="Times New Roman" w:cs="Times New Roman"/>
          <w:i/>
          <w:iCs/>
          <w:sz w:val="24"/>
          <w:szCs w:val="24"/>
        </w:rPr>
      </w:pPr>
    </w:p>
    <w:p w:rsidRPr="001832DF" w:rsidR="001832DF" w:rsidP="001832DF" w:rsidRDefault="001832DF" w14:paraId="7B9B8E13"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b. Gegevensverwerkingen in het kader van samenwerking</w:t>
      </w:r>
      <w:r w:rsidRPr="001832DF">
        <w:rPr>
          <w:rFonts w:ascii="Times New Roman" w:hAnsi="Times New Roman" w:cs="Times New Roman"/>
          <w:i/>
          <w:iCs/>
          <w:sz w:val="24"/>
          <w:szCs w:val="24"/>
        </w:rPr>
        <w:br/>
        <w:t xml:space="preserve">Het wetsvoorstel regelt de samenwerking en informatie-uitwisseling tussen verscheidene instanties die belast zijn met de uitvoering van het voorstel, zoals bijvoorbeeld tussen de bevoegde autoriteiten en </w:t>
      </w:r>
      <w:proofErr w:type="spellStart"/>
      <w:r w:rsidRPr="001832DF">
        <w:rPr>
          <w:rFonts w:ascii="Times New Roman" w:hAnsi="Times New Roman" w:cs="Times New Roman"/>
          <w:i/>
          <w:iCs/>
          <w:sz w:val="24"/>
          <w:szCs w:val="24"/>
        </w:rPr>
        <w:t>CSIRT’s</w:t>
      </w:r>
      <w:proofErr w:type="spellEnd"/>
      <w:r w:rsidRPr="001832DF">
        <w:rPr>
          <w:rFonts w:ascii="Times New Roman" w:hAnsi="Times New Roman" w:cs="Times New Roman"/>
          <w:i/>
          <w:iCs/>
          <w:sz w:val="24"/>
          <w:szCs w:val="24"/>
        </w:rPr>
        <w:t xml:space="preserve">, tussen de </w:t>
      </w:r>
      <w:proofErr w:type="spellStart"/>
      <w:r w:rsidRPr="001832DF">
        <w:rPr>
          <w:rFonts w:ascii="Times New Roman" w:hAnsi="Times New Roman" w:cs="Times New Roman"/>
          <w:i/>
          <w:iCs/>
          <w:sz w:val="24"/>
          <w:szCs w:val="24"/>
        </w:rPr>
        <w:t>CSIRT’s</w:t>
      </w:r>
      <w:proofErr w:type="spellEnd"/>
      <w:r w:rsidRPr="001832DF">
        <w:rPr>
          <w:rFonts w:ascii="Times New Roman" w:hAnsi="Times New Roman" w:cs="Times New Roman"/>
          <w:i/>
          <w:iCs/>
          <w:sz w:val="24"/>
          <w:szCs w:val="24"/>
        </w:rPr>
        <w:t xml:space="preserve"> onderling en de samenwerking en informatie-uitwisseling tussen deze instanties en overige instanties, zoals de bevoegde autoriteiten ingevolge de </w:t>
      </w:r>
      <w:proofErr w:type="spellStart"/>
      <w:r w:rsidRPr="001832DF">
        <w:rPr>
          <w:rFonts w:ascii="Times New Roman" w:hAnsi="Times New Roman" w:cs="Times New Roman"/>
          <w:i/>
          <w:iCs/>
          <w:sz w:val="24"/>
          <w:szCs w:val="24"/>
        </w:rPr>
        <w:t>Wwke</w:t>
      </w:r>
      <w:proofErr w:type="spellEnd"/>
      <w:r w:rsidRPr="001832DF">
        <w:rPr>
          <w:rFonts w:ascii="Times New Roman" w:hAnsi="Times New Roman" w:cs="Times New Roman"/>
          <w:i/>
          <w:iCs/>
          <w:sz w:val="24"/>
          <w:szCs w:val="24"/>
        </w:rPr>
        <w:t xml:space="preserve"> en de politie en het Openbaar Ministerie. Het wetsvoorstel schrijft voor dat de instanties onderling alle noodzakelijke gegevens, waaronder persoonsgegevens, uitwisselen ten behoeve van de doeltreffende en doelmatige uitvoering van de taken uit hoofde van het wetsvoorstel.</w:t>
      </w:r>
      <w:r w:rsidRPr="001832DF">
        <w:rPr>
          <w:rStyle w:val="Voetnootmarkering"/>
          <w:rFonts w:ascii="Times New Roman" w:hAnsi="Times New Roman" w:cs="Times New Roman"/>
          <w:i/>
          <w:iCs/>
          <w:sz w:val="24"/>
          <w:szCs w:val="24"/>
        </w:rPr>
        <w:footnoteReference w:id="43"/>
      </w:r>
      <w:r w:rsidRPr="001832DF">
        <w:rPr>
          <w:rFonts w:ascii="Times New Roman" w:hAnsi="Times New Roman" w:cs="Times New Roman"/>
          <w:i/>
          <w:iCs/>
          <w:sz w:val="24"/>
          <w:szCs w:val="24"/>
        </w:rPr>
        <w:t xml:space="preserve"> </w:t>
      </w:r>
    </w:p>
    <w:p w:rsidRPr="001832DF" w:rsidR="001832DF" w:rsidP="001832DF" w:rsidRDefault="001832DF" w14:paraId="19A66092" w14:textId="77777777">
      <w:pPr>
        <w:pStyle w:val="Geenafstand"/>
        <w:rPr>
          <w:rFonts w:ascii="Times New Roman" w:hAnsi="Times New Roman" w:cs="Times New Roman"/>
          <w:i/>
          <w:iCs/>
          <w:sz w:val="24"/>
          <w:szCs w:val="24"/>
        </w:rPr>
      </w:pPr>
    </w:p>
    <w:p w:rsidRPr="001832DF" w:rsidR="001832DF" w:rsidP="001832DF" w:rsidRDefault="001832DF" w14:paraId="1ED389A6"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voorstel werkt, met uitzondering van bepaalde samenwerkingsvormen,</w:t>
      </w:r>
      <w:r w:rsidRPr="001832DF">
        <w:rPr>
          <w:rStyle w:val="Voetnootmarkering"/>
          <w:rFonts w:ascii="Times New Roman" w:hAnsi="Times New Roman" w:cs="Times New Roman"/>
          <w:i/>
          <w:iCs/>
          <w:sz w:val="24"/>
          <w:szCs w:val="24"/>
        </w:rPr>
        <w:footnoteReference w:id="44"/>
      </w:r>
      <w:r w:rsidRPr="001832DF">
        <w:rPr>
          <w:rFonts w:ascii="Times New Roman" w:hAnsi="Times New Roman" w:cs="Times New Roman"/>
          <w:i/>
          <w:iCs/>
          <w:sz w:val="24"/>
          <w:szCs w:val="24"/>
        </w:rPr>
        <w:t xml:space="preserve"> niet nader uit hoe de samenwerking zal worden ingericht. Wel volgt uit de gekozen formulering dat de informatie die overige instanties delen met de instanties die belast zijn met de uitvoering van het voorstel, de uitvoering van hun taken uit hoofde van het voorstel dient. Omgekeerd is niet geregeld met welk doel informatie door bijvoorbeeld een CSIRT wordt gedeeld met overige instanties, zoals bijvoorbeeld de politie. Daardoor is niet op voorhand duidelijk welke gegevens noodzakelijkerwijs worden gedeeld ten behoeve van die samenwerking.</w:t>
      </w:r>
    </w:p>
    <w:p w:rsidRPr="001832DF" w:rsidR="001832DF" w:rsidP="001832DF" w:rsidRDefault="001832DF" w14:paraId="34545928" w14:textId="77777777">
      <w:pPr>
        <w:pStyle w:val="Geenafstand"/>
        <w:rPr>
          <w:rFonts w:ascii="Times New Roman" w:hAnsi="Times New Roman" w:cs="Times New Roman"/>
          <w:i/>
          <w:iCs/>
          <w:sz w:val="24"/>
          <w:szCs w:val="24"/>
        </w:rPr>
      </w:pPr>
    </w:p>
    <w:p w:rsidRPr="001832DF" w:rsidR="001832DF" w:rsidP="001832DF" w:rsidRDefault="001832DF" w14:paraId="22ED21A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Afdeling adviseert om in het voorstel te verduidelijken voor welke doeleinden er wordt samengewerkt en informatie wordt uitgewisseld. </w:t>
      </w:r>
    </w:p>
    <w:p w:rsidRPr="001832DF" w:rsidR="001832DF" w:rsidP="001832DF" w:rsidRDefault="001832DF" w14:paraId="7E31FB5B" w14:textId="77777777">
      <w:pPr>
        <w:pStyle w:val="Geenafstand"/>
        <w:rPr>
          <w:rFonts w:ascii="Times New Roman" w:hAnsi="Times New Roman" w:cs="Times New Roman"/>
          <w:sz w:val="24"/>
          <w:szCs w:val="24"/>
          <w:highlight w:val="yellow"/>
        </w:rPr>
      </w:pPr>
    </w:p>
    <w:p w:rsidRPr="001832DF" w:rsidR="001832DF" w:rsidP="001832DF" w:rsidRDefault="001832DF" w14:paraId="5E84C885"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Naar aanleiding van dit advies van de Afdeling is in artikel 51,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verduidelijkt dat de verstrekking van gegevens door de bevoegde autoriteiten,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en het centrale contactpunt aan de in dit artikellid opgesomde andere instanties plaatsvindt voor zover die verstrekking noodzakelijk is met het oog op de samenwerking die de eerstgenoemde instanties ten behoeve van hun taakuitoefening aangaan met die andere instanties. Daarmee zal verstrekking dus gegevens betreffen die relevant zijn voor de uitoefening van de taken die die andere instanties krachtens hun eigen wettelijke regimes uitoefenen en waarvoor de samenwerking met de bevoegde autoriteiten,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en het centrale contactpunt aangewezen is. In verband hiermee is ook de artikelsgewijze toelichting op artikel 51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aangepast.</w:t>
      </w:r>
    </w:p>
    <w:p w:rsidRPr="001832DF" w:rsidR="001832DF" w:rsidP="001832DF" w:rsidRDefault="001832DF" w14:paraId="270D76E7" w14:textId="77777777">
      <w:pPr>
        <w:pStyle w:val="Geenafstand"/>
        <w:rPr>
          <w:rFonts w:ascii="Times New Roman" w:hAnsi="Times New Roman" w:cs="Times New Roman"/>
          <w:i/>
          <w:iCs/>
          <w:sz w:val="24"/>
          <w:szCs w:val="24"/>
        </w:rPr>
      </w:pPr>
    </w:p>
    <w:p w:rsidRPr="001832DF" w:rsidR="001832DF" w:rsidP="001832DF" w:rsidRDefault="001832DF" w14:paraId="4A973490"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c. Samenwerking met de inlichtingen- en veiligheidsdiensten</w:t>
      </w:r>
      <w:r w:rsidRPr="001832DF">
        <w:rPr>
          <w:rFonts w:ascii="Times New Roman" w:hAnsi="Times New Roman" w:cs="Times New Roman"/>
          <w:i/>
          <w:iCs/>
          <w:sz w:val="24"/>
          <w:szCs w:val="24"/>
        </w:rPr>
        <w:br/>
        <w:t xml:space="preserve">Het wetsvoorstel regelt de uitwisseling van gegevens tussen de bevoegde autoriteiten, de </w:t>
      </w:r>
      <w:proofErr w:type="spellStart"/>
      <w:r w:rsidRPr="001832DF">
        <w:rPr>
          <w:rFonts w:ascii="Times New Roman" w:hAnsi="Times New Roman" w:cs="Times New Roman"/>
          <w:i/>
          <w:iCs/>
          <w:sz w:val="24"/>
          <w:szCs w:val="24"/>
        </w:rPr>
        <w:t>CSIRT’s</w:t>
      </w:r>
      <w:proofErr w:type="spellEnd"/>
      <w:r w:rsidRPr="001832DF">
        <w:rPr>
          <w:rFonts w:ascii="Times New Roman" w:hAnsi="Times New Roman" w:cs="Times New Roman"/>
          <w:i/>
          <w:iCs/>
          <w:sz w:val="24"/>
          <w:szCs w:val="24"/>
        </w:rPr>
        <w:t>, het centrale contactpunt en organisaties zoals het openbaar ministerie en de politie, maar noemt niet de inlichtingen- en veiligheidsdiensten. Uit de toelichting blijkt dat uitwisseling met deze diensten wel plaatsvindt, maar dat het gebeurt op grondslag van de Wet op de inlichtingen- en veiligheidsdiensten 2017.</w:t>
      </w:r>
      <w:r w:rsidRPr="001832DF">
        <w:rPr>
          <w:rStyle w:val="Voetnootmarkering"/>
          <w:rFonts w:ascii="Times New Roman" w:hAnsi="Times New Roman" w:cs="Times New Roman"/>
          <w:i/>
          <w:iCs/>
          <w:sz w:val="24"/>
          <w:szCs w:val="24"/>
        </w:rPr>
        <w:footnoteReference w:id="45"/>
      </w:r>
      <w:r w:rsidRPr="001832DF">
        <w:rPr>
          <w:rFonts w:ascii="Times New Roman" w:hAnsi="Times New Roman" w:cs="Times New Roman"/>
          <w:i/>
          <w:iCs/>
          <w:sz w:val="24"/>
          <w:szCs w:val="24"/>
        </w:rPr>
        <w:t xml:space="preserve"> Voor het effectief voorkomen en bestrijden van cyberaanvallen is het van belang dat de bevoegde autoriteiten, de </w:t>
      </w:r>
      <w:proofErr w:type="spellStart"/>
      <w:r w:rsidRPr="001832DF">
        <w:rPr>
          <w:rFonts w:ascii="Times New Roman" w:hAnsi="Times New Roman" w:cs="Times New Roman"/>
          <w:i/>
          <w:iCs/>
          <w:sz w:val="24"/>
          <w:szCs w:val="24"/>
        </w:rPr>
        <w:t>CSIRT’s</w:t>
      </w:r>
      <w:proofErr w:type="spellEnd"/>
      <w:r w:rsidRPr="001832DF">
        <w:rPr>
          <w:rFonts w:ascii="Times New Roman" w:hAnsi="Times New Roman" w:cs="Times New Roman"/>
          <w:i/>
          <w:iCs/>
          <w:sz w:val="24"/>
          <w:szCs w:val="24"/>
        </w:rPr>
        <w:t>, politie, openbaar ministerie en de inlichtingen- en veiligheidsdiensten informatie snel en effectief kunnen delen, zodat zij een zo volledig mogelijk beeld kunnen vormen van de dreigingen.</w:t>
      </w:r>
    </w:p>
    <w:p w:rsidRPr="001832DF" w:rsidR="001832DF" w:rsidP="001832DF" w:rsidRDefault="001832DF" w14:paraId="25C85E71" w14:textId="77777777">
      <w:pPr>
        <w:pStyle w:val="Geenafstand"/>
        <w:rPr>
          <w:rFonts w:ascii="Times New Roman" w:hAnsi="Times New Roman" w:cs="Times New Roman"/>
          <w:i/>
          <w:iCs/>
          <w:sz w:val="24"/>
          <w:szCs w:val="24"/>
        </w:rPr>
      </w:pPr>
    </w:p>
    <w:p w:rsidRPr="001832DF" w:rsidR="001832DF" w:rsidP="001832DF" w:rsidRDefault="001832DF" w14:paraId="12DBDEA2"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lastRenderedPageBreak/>
        <w:t>De Afdeling adviseert in de toelichting in te gaan op de vraag of de Wet op de inlichtingen- en veiligheidsdiensten 2017 voldoende grondslag biedt voor effectieve samenwerking tussen deze organisaties en indien dit niet het geval is, om alsnog te voorzien in een wettelijke grondslag</w:t>
      </w:r>
    </w:p>
    <w:p w:rsidRPr="001832DF" w:rsidR="001832DF" w:rsidP="001832DF" w:rsidRDefault="001832DF" w14:paraId="17F8AE91" w14:textId="77777777">
      <w:pPr>
        <w:pStyle w:val="Geenafstand"/>
        <w:rPr>
          <w:rFonts w:ascii="Times New Roman" w:hAnsi="Times New Roman" w:cs="Times New Roman"/>
          <w:i/>
          <w:iCs/>
          <w:sz w:val="24"/>
          <w:szCs w:val="24"/>
        </w:rPr>
      </w:pPr>
    </w:p>
    <w:p w:rsidRPr="001832DF" w:rsidR="001832DF" w:rsidP="001832DF" w:rsidRDefault="001832DF" w14:paraId="3A4DAF9E"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Voor het zo goed mogelijk uitoefenen van de onderscheidenlijke taken van enerzijds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de bevoegde autoriteiten en het centrale contactpunt en anderzijds de inlichtingen- en veiligheidsdiensten is het, zoals de Afdeling terecht opmerkt, van belang dat zij samenwerken en in het kader daarvan informatie zoveel als nodig voor de uitoefening van die taken met elkaar kunnen uitwisselen. Het wetsvoorstel dat ter advies is voorgelegd aan de Afdeling voorzag daartoe met artikel 16, derde lid, aanhef en onderdeel b,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(thans artikel 16, tweede lid, aanhef en onderdeel b,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op zich al in de grondslag, voor zover het gaat om de verstrekking van informatie door een CSIRT aan de inlichtingen- en veiligheidsdiensten. Dat artikelonderdeel regelt dat een CSIRT tot taak heeft om informatie over cyberdreigingen, kwetsbaarheden en incidenten te verstrekken aan andere relevante partijen dan de in dat onderdeel bijvoorbeeld genoemde essentiële entiteiten en belangrijke entiteiten. De inlichtingen- en veiligheidsdiensten zijn, zoals was aangegeven in de artikelsgewijze toelichting bij artikel 16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juist als het informatie betreft die relevant is voor de uitoefening van hun wettelijke taken, zulke relevante partijen. </w:t>
      </w:r>
    </w:p>
    <w:p w:rsidRPr="001832DF" w:rsidR="001832DF" w:rsidP="001832DF" w:rsidRDefault="001832DF" w14:paraId="51570A0D" w14:textId="77777777">
      <w:pPr>
        <w:pStyle w:val="Geenafstand"/>
        <w:rPr>
          <w:rFonts w:ascii="Times New Roman" w:hAnsi="Times New Roman" w:cs="Times New Roman"/>
          <w:sz w:val="24"/>
          <w:szCs w:val="24"/>
        </w:rPr>
      </w:pPr>
    </w:p>
    <w:p w:rsidRPr="001832DF" w:rsidR="001832DF" w:rsidP="001832DF" w:rsidRDefault="001832DF" w14:paraId="132983C5"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Voor zover het echter gaat om verstrekking van informatie door de bevoegde autoriteiten en het centrale contactpunt aan de inlichtingen- en veiligheidsdiensten bevatte het wetsvoorstel nog niet de grondslag daarvoor. Naar aanleiding hiervan is artikel 51,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aangepast, door de inlichtingen- en veiligheidsdiensten toe te voegen aan de in dat artikellid opgenomen opsomming van instanties waarmee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de bevoegde autoriteiten en het centrale contactpunt nadrukkelijk samenwerken en in het kader daarvan voor de taakuitoefening van die instanties relevante informatie verstrekken. Deze aanpassing betekent ook dat de informatieverstrekking door het CSIRT aan de inlichtingen- en veiligheidsdiensten voortaan zal plaatsvinden op grond van artikel 51,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In verband hiermee zijn ook de artikelsgewijze toelichtingen bij de artikelen 16 en 51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en paragraaf 9.11 van de memorie van toelichting aangepast. </w:t>
      </w:r>
    </w:p>
    <w:p w:rsidRPr="001832DF" w:rsidR="001832DF" w:rsidP="001832DF" w:rsidRDefault="001832DF" w14:paraId="3AB0D763" w14:textId="77777777">
      <w:pPr>
        <w:pStyle w:val="Geenafstand"/>
        <w:rPr>
          <w:rFonts w:ascii="Times New Roman" w:hAnsi="Times New Roman" w:cs="Times New Roman"/>
          <w:sz w:val="24"/>
          <w:szCs w:val="24"/>
        </w:rPr>
      </w:pPr>
    </w:p>
    <w:p w:rsidRPr="001832DF" w:rsidR="001832DF" w:rsidP="001832DF" w:rsidRDefault="001832DF" w14:paraId="2D43BAFF"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Andersom wordt in de artikelen 62 e.v. van de Wet op de inlichtingen- en veiligheidsdiensten voorzien in de bevoegdheid van de inlichtingen- en veiligheidsdiensten om in het kader van de goede taakuitvoering over door hen verwerkte gegevens mededeling te doen aan onder meer ministers en andere bestuursorganen voor wie die gegevens voor hun taakuitoefening relevant zijn. Daarmee wordt een voldoende grondslag voor de samenwerking tussen enerzijds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de bevoegde autoriteiten en het centrale contactpunt enerzijds en de inlichtingen- en veiligheidsdiensten anderzijds geboden.</w:t>
      </w:r>
    </w:p>
    <w:p w:rsidRPr="001832DF" w:rsidR="001832DF" w:rsidP="001832DF" w:rsidRDefault="001832DF" w14:paraId="1A698DCC" w14:textId="77777777">
      <w:pPr>
        <w:pStyle w:val="Geenafstand"/>
        <w:rPr>
          <w:rFonts w:ascii="Times New Roman" w:hAnsi="Times New Roman" w:cs="Times New Roman"/>
          <w:i/>
          <w:iCs/>
          <w:sz w:val="24"/>
          <w:szCs w:val="24"/>
        </w:rPr>
      </w:pPr>
    </w:p>
    <w:p w:rsidRPr="001832DF" w:rsidR="001832DF" w:rsidP="001832DF" w:rsidRDefault="001832DF" w14:paraId="5E7197A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7. </w:t>
      </w:r>
      <w:r w:rsidRPr="001832DF">
        <w:rPr>
          <w:rFonts w:ascii="Times New Roman" w:hAnsi="Times New Roman" w:cs="Times New Roman"/>
          <w:i/>
          <w:iCs/>
          <w:sz w:val="24"/>
          <w:szCs w:val="24"/>
          <w:u w:val="single"/>
        </w:rPr>
        <w:t>Duidelijke en kenbare omzetting</w:t>
      </w:r>
    </w:p>
    <w:p w:rsidRPr="001832DF" w:rsidR="001832DF" w:rsidP="001832DF" w:rsidRDefault="001832DF" w14:paraId="46D506D7" w14:textId="77777777">
      <w:pPr>
        <w:pStyle w:val="Geenafstand"/>
        <w:rPr>
          <w:rFonts w:ascii="Times New Roman" w:hAnsi="Times New Roman" w:cs="Times New Roman"/>
          <w:i/>
          <w:iCs/>
          <w:sz w:val="24"/>
          <w:szCs w:val="24"/>
        </w:rPr>
      </w:pPr>
    </w:p>
    <w:p w:rsidRPr="001832DF" w:rsidR="001832DF" w:rsidP="001832DF" w:rsidRDefault="001832DF" w14:paraId="75744004"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Artikel 32, zevende lid, NIS2-richtlijn </w:t>
      </w:r>
      <w:bookmarkStart w:name="_Hlk191997561" w:id="12"/>
      <w:r w:rsidRPr="001832DF">
        <w:rPr>
          <w:rFonts w:ascii="Times New Roman" w:hAnsi="Times New Roman" w:cs="Times New Roman"/>
          <w:i/>
          <w:iCs/>
          <w:sz w:val="24"/>
          <w:szCs w:val="24"/>
        </w:rPr>
        <w:t>vereist dat bij het nemen van de voorgeschreven handhavingsmaatregelen de bevoegde autoriteiten tenminste rekening houden met een aantal specifieke omstandigheden.</w:t>
      </w:r>
      <w:bookmarkEnd w:id="12"/>
      <w:r w:rsidRPr="001832DF">
        <w:rPr>
          <w:rFonts w:ascii="Times New Roman" w:hAnsi="Times New Roman" w:cs="Times New Roman"/>
          <w:i/>
          <w:iCs/>
          <w:sz w:val="24"/>
          <w:szCs w:val="24"/>
        </w:rPr>
        <w:t xml:space="preserve"> De toelichting geeft aan dat deze bepaling reeds is geïmplementeerd via het evenredigheidsvereiste in de </w:t>
      </w:r>
      <w:proofErr w:type="spellStart"/>
      <w:r w:rsidRPr="001832DF">
        <w:rPr>
          <w:rFonts w:ascii="Times New Roman" w:hAnsi="Times New Roman" w:cs="Times New Roman"/>
          <w:i/>
          <w:iCs/>
          <w:sz w:val="24"/>
          <w:szCs w:val="24"/>
        </w:rPr>
        <w:t>Awb</w:t>
      </w:r>
      <w:proofErr w:type="spellEnd"/>
      <w:r w:rsidRPr="001832DF">
        <w:rPr>
          <w:rFonts w:ascii="Times New Roman" w:hAnsi="Times New Roman" w:cs="Times New Roman"/>
          <w:i/>
          <w:iCs/>
          <w:sz w:val="24"/>
          <w:szCs w:val="24"/>
        </w:rPr>
        <w:t>.</w:t>
      </w:r>
      <w:r w:rsidRPr="001832DF">
        <w:rPr>
          <w:rStyle w:val="Voetnootmarkering"/>
          <w:rFonts w:ascii="Times New Roman" w:hAnsi="Times New Roman" w:cs="Times New Roman"/>
          <w:i/>
          <w:iCs/>
          <w:sz w:val="24"/>
          <w:szCs w:val="24"/>
        </w:rPr>
        <w:footnoteReference w:id="46"/>
      </w:r>
    </w:p>
    <w:p w:rsidRPr="001832DF" w:rsidR="001832DF" w:rsidP="001832DF" w:rsidRDefault="001832DF" w14:paraId="07C8D876" w14:textId="77777777">
      <w:pPr>
        <w:pStyle w:val="Geenafstand"/>
        <w:rPr>
          <w:rFonts w:ascii="Times New Roman" w:hAnsi="Times New Roman" w:cs="Times New Roman"/>
          <w:i/>
          <w:iCs/>
          <w:sz w:val="24"/>
          <w:szCs w:val="24"/>
        </w:rPr>
      </w:pPr>
    </w:p>
    <w:p w:rsidRPr="001832DF" w:rsidR="001832DF" w:rsidP="001832DF" w:rsidRDefault="001832DF" w14:paraId="3F24D5D9"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Richtlijnbepalingen zijn niet rechtstreeks toepasselijk in de nationale rechtsordes en vereisen omzetting in nationaal recht.</w:t>
      </w:r>
      <w:r w:rsidRPr="001832DF">
        <w:rPr>
          <w:rStyle w:val="Voetnootmarkering"/>
          <w:rFonts w:ascii="Times New Roman" w:hAnsi="Times New Roman" w:cs="Times New Roman"/>
          <w:i/>
          <w:iCs/>
          <w:sz w:val="24"/>
          <w:szCs w:val="24"/>
        </w:rPr>
        <w:footnoteReference w:id="47"/>
      </w:r>
      <w:r w:rsidRPr="001832DF">
        <w:rPr>
          <w:rFonts w:ascii="Times New Roman" w:hAnsi="Times New Roman" w:cs="Times New Roman"/>
          <w:i/>
          <w:iCs/>
          <w:sz w:val="24"/>
          <w:szCs w:val="24"/>
        </w:rPr>
        <w:t xml:space="preserve"> De omzettingsmaatregelen moeten dwingende kracht bezitten en specifiek, nauwkeurig en duidelijk zijn. Het is niet altijd nodig dat de richtlijnbepaling wordt overgenomen in wettelijke voorschriften. Afhankelijk van de inhoud van de richtlijn kan een algemeen rechtskader volstaan, met name door algemene beginselen van constitutioneel of administratief recht. Daarvoor geldt echter de voorwaarde dat deze beginselen de volledige toepassing van de richtlijn daadwerkelijk garanderen. </w:t>
      </w:r>
    </w:p>
    <w:p w:rsidRPr="001832DF" w:rsidR="001832DF" w:rsidP="001832DF" w:rsidRDefault="001832DF" w14:paraId="032CBB67" w14:textId="77777777">
      <w:pPr>
        <w:pStyle w:val="Geenafstand"/>
        <w:rPr>
          <w:rFonts w:ascii="Times New Roman" w:hAnsi="Times New Roman" w:cs="Times New Roman"/>
          <w:i/>
          <w:iCs/>
          <w:sz w:val="24"/>
          <w:szCs w:val="24"/>
        </w:rPr>
      </w:pPr>
    </w:p>
    <w:p w:rsidRPr="001832DF" w:rsidR="001832DF" w:rsidP="001832DF" w:rsidRDefault="001832DF" w14:paraId="661E2287"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Bovendien is het van belang dat, indien de richtlijn rechten voor particulieren beoogt te scheppen, de rechtssituatie die uit deze beginselen voortvloeit voldoende bepaald en duidelijk moet zijn, zodat particulieren kennis kunnen nemen van al hun rechten en verplichtingen en deze in voorkomend geval geldend kunnen maken </w:t>
      </w:r>
      <w:r w:rsidRPr="001832DF">
        <w:rPr>
          <w:rFonts w:ascii="Times New Roman" w:hAnsi="Times New Roman" w:cs="Times New Roman"/>
          <w:i/>
          <w:iCs/>
          <w:sz w:val="24"/>
          <w:szCs w:val="24"/>
        </w:rPr>
        <w:lastRenderedPageBreak/>
        <w:t>voor de nationale rechterlijke instanties.</w:t>
      </w:r>
      <w:r w:rsidRPr="001832DF">
        <w:rPr>
          <w:rStyle w:val="Voetnootmarkering"/>
          <w:rFonts w:ascii="Times New Roman" w:hAnsi="Times New Roman" w:cs="Times New Roman"/>
          <w:i/>
          <w:iCs/>
          <w:sz w:val="24"/>
          <w:szCs w:val="24"/>
        </w:rPr>
        <w:footnoteReference w:id="48"/>
      </w:r>
      <w:r w:rsidRPr="001832DF">
        <w:rPr>
          <w:rFonts w:ascii="Times New Roman" w:hAnsi="Times New Roman" w:cs="Times New Roman"/>
          <w:i/>
          <w:iCs/>
          <w:sz w:val="24"/>
          <w:szCs w:val="24"/>
        </w:rPr>
        <w:t> Deze voorwaarden stellen grenzen aan de implementatie via algemene beginselen. Enige terughoudendheid is daarom van belang bij de keuze voor deze vorm van implementeren.</w:t>
      </w:r>
      <w:r w:rsidRPr="001832DF">
        <w:rPr>
          <w:rStyle w:val="Voetnootmarkering"/>
          <w:rFonts w:ascii="Times New Roman" w:hAnsi="Times New Roman" w:cs="Times New Roman"/>
          <w:i/>
          <w:iCs/>
          <w:sz w:val="24"/>
          <w:szCs w:val="24"/>
        </w:rPr>
        <w:footnoteReference w:id="49"/>
      </w:r>
    </w:p>
    <w:p w:rsidRPr="001832DF" w:rsidR="001832DF" w:rsidP="001832DF" w:rsidRDefault="001832DF" w14:paraId="2D1F7328" w14:textId="77777777">
      <w:pPr>
        <w:pStyle w:val="Geenafstand"/>
        <w:rPr>
          <w:rFonts w:ascii="Times New Roman" w:hAnsi="Times New Roman" w:cs="Times New Roman"/>
          <w:i/>
          <w:iCs/>
          <w:sz w:val="24"/>
          <w:szCs w:val="24"/>
        </w:rPr>
      </w:pPr>
    </w:p>
    <w:p w:rsidRPr="001832DF" w:rsidR="001832DF" w:rsidP="001832DF" w:rsidRDefault="001832DF" w14:paraId="2A919568"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Toegepast op de implementatie van artikel 32, zevende lid, NIS2-richtlijn door middel van het evenredigheidsvereiste in de </w:t>
      </w:r>
      <w:proofErr w:type="spellStart"/>
      <w:r w:rsidRPr="001832DF">
        <w:rPr>
          <w:rFonts w:ascii="Times New Roman" w:hAnsi="Times New Roman" w:cs="Times New Roman"/>
          <w:i/>
          <w:iCs/>
          <w:sz w:val="24"/>
          <w:szCs w:val="24"/>
        </w:rPr>
        <w:t>Awb</w:t>
      </w:r>
      <w:proofErr w:type="spellEnd"/>
      <w:r w:rsidRPr="001832DF">
        <w:rPr>
          <w:rFonts w:ascii="Times New Roman" w:hAnsi="Times New Roman" w:cs="Times New Roman"/>
          <w:i/>
          <w:iCs/>
          <w:sz w:val="24"/>
          <w:szCs w:val="24"/>
        </w:rPr>
        <w:t>, wijst de Afdeling op de specifieke aard van de criteria in de richtlijnbepaling en dat die criteria beogen om waarborgen toe te kennen aan de essentiële entiteit.</w:t>
      </w:r>
      <w:bookmarkStart w:name="_Hlk191997905" w:id="13"/>
      <w:r w:rsidRPr="001832DF">
        <w:rPr>
          <w:rStyle w:val="Voetnootmarkering"/>
          <w:rFonts w:ascii="Times New Roman" w:hAnsi="Times New Roman" w:cs="Times New Roman"/>
          <w:i/>
          <w:iCs/>
          <w:sz w:val="24"/>
          <w:szCs w:val="24"/>
        </w:rPr>
        <w:footnoteReference w:id="50"/>
      </w:r>
      <w:bookmarkEnd w:id="13"/>
      <w:r w:rsidRPr="001832DF">
        <w:rPr>
          <w:rFonts w:ascii="Times New Roman" w:hAnsi="Times New Roman" w:cs="Times New Roman"/>
          <w:i/>
          <w:iCs/>
          <w:sz w:val="24"/>
          <w:szCs w:val="24"/>
        </w:rPr>
        <w:t xml:space="preserve"> Gelet op deze omstandigheden lijkt de voorgestelde implementatiewijze ontoereikend.</w:t>
      </w:r>
    </w:p>
    <w:p w:rsidRPr="001832DF" w:rsidR="001832DF" w:rsidP="001832DF" w:rsidRDefault="001832DF" w14:paraId="2E1D8263" w14:textId="77777777">
      <w:pPr>
        <w:pStyle w:val="Geenafstand"/>
        <w:rPr>
          <w:rFonts w:ascii="Times New Roman" w:hAnsi="Times New Roman" w:cs="Times New Roman"/>
          <w:i/>
          <w:iCs/>
          <w:sz w:val="24"/>
          <w:szCs w:val="24"/>
        </w:rPr>
      </w:pPr>
    </w:p>
    <w:p w:rsidRPr="001832DF" w:rsidR="001832DF" w:rsidP="001832DF" w:rsidRDefault="001832DF" w14:paraId="3D1FCE02"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adviseert om in de toelichting hierop nader in te gaan en het voorstel zo nodig aan te passen.</w:t>
      </w:r>
    </w:p>
    <w:p w:rsidRPr="001832DF" w:rsidR="001832DF" w:rsidP="001832DF" w:rsidRDefault="001832DF" w14:paraId="082EE57E" w14:textId="77777777">
      <w:pPr>
        <w:pStyle w:val="Geenafstand"/>
        <w:rPr>
          <w:rFonts w:ascii="Times New Roman" w:hAnsi="Times New Roman" w:cs="Times New Roman"/>
          <w:i/>
          <w:iCs/>
          <w:sz w:val="24"/>
          <w:szCs w:val="24"/>
        </w:rPr>
      </w:pPr>
    </w:p>
    <w:p w:rsidRPr="001832DF" w:rsidR="001832DF" w:rsidP="001832DF" w:rsidRDefault="001832DF" w14:paraId="0A26C02F"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Naar aanleiding van dit advies van de Afdeling is ter implementatie van artikel 32, zevende lid, NIS2-richtlijn in het wetsvoorstel artikel 69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(nieuw) ingevoegd, is voorzien in een artikelsgewijze toelichting op dit nieuwe artikel, is paragraaf 5.9 aangevuld met passages onder verwijzing naar artikel 69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(nieuw) en is de transponeringstabel op dit punt aangepast. </w:t>
      </w:r>
    </w:p>
    <w:p w:rsidRPr="001832DF" w:rsidR="001832DF" w:rsidP="001832DF" w:rsidRDefault="001832DF" w14:paraId="0BA78167" w14:textId="77777777">
      <w:pPr>
        <w:pStyle w:val="Geenafstand"/>
        <w:rPr>
          <w:rFonts w:ascii="Times New Roman" w:hAnsi="Times New Roman" w:cs="Times New Roman"/>
          <w:i/>
          <w:iCs/>
          <w:sz w:val="24"/>
          <w:szCs w:val="24"/>
        </w:rPr>
      </w:pPr>
    </w:p>
    <w:p w:rsidRPr="001832DF" w:rsidR="001832DF" w:rsidP="001832DF" w:rsidRDefault="001832DF" w14:paraId="341BF3FB" w14:textId="77777777">
      <w:pPr>
        <w:pStyle w:val="Geenafstand"/>
        <w:rPr>
          <w:rFonts w:ascii="Times New Roman" w:hAnsi="Times New Roman" w:cs="Times New Roman"/>
          <w:i/>
          <w:iCs/>
          <w:sz w:val="24"/>
          <w:szCs w:val="24"/>
        </w:rPr>
      </w:pPr>
      <w:bookmarkStart w:name="_Hlk198024474" w:id="14"/>
      <w:r w:rsidRPr="001832DF">
        <w:rPr>
          <w:rFonts w:ascii="Times New Roman" w:hAnsi="Times New Roman" w:cs="Times New Roman"/>
          <w:i/>
          <w:iCs/>
          <w:sz w:val="24"/>
          <w:szCs w:val="24"/>
        </w:rPr>
        <w:t xml:space="preserve">8. </w:t>
      </w:r>
      <w:r w:rsidRPr="001832DF">
        <w:rPr>
          <w:rFonts w:ascii="Times New Roman" w:hAnsi="Times New Roman" w:cs="Times New Roman"/>
          <w:i/>
          <w:iCs/>
          <w:sz w:val="24"/>
          <w:szCs w:val="24"/>
          <w:u w:val="single"/>
        </w:rPr>
        <w:t>Uitzonderingen op de Wet open overheid</w:t>
      </w:r>
    </w:p>
    <w:p w:rsidRPr="001832DF" w:rsidR="001832DF" w:rsidP="001832DF" w:rsidRDefault="001832DF" w14:paraId="2F6BBA6D" w14:textId="77777777">
      <w:pPr>
        <w:pStyle w:val="Geenafstand"/>
        <w:rPr>
          <w:rFonts w:ascii="Times New Roman" w:hAnsi="Times New Roman" w:cs="Times New Roman"/>
          <w:i/>
          <w:iCs/>
          <w:sz w:val="24"/>
          <w:szCs w:val="24"/>
        </w:rPr>
      </w:pPr>
    </w:p>
    <w:p w:rsidRPr="001832DF" w:rsidR="001832DF" w:rsidP="001832DF" w:rsidRDefault="001832DF" w14:paraId="52DBC40F"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Het voorstel bepaalt dat de bevoegde autoriteit, het centrale contactpunt, het CSIRT en de minister van Justitie en Veiligheid vertrouwelijke gegevens kunnen verstrekken, mits dat noodzakelijk en evenredig is, en mits de veiligheids- en commerciële belangen van de betrokken entiteit worden beschermd.</w:t>
      </w:r>
      <w:r w:rsidRPr="001832DF">
        <w:rPr>
          <w:rStyle w:val="Voetnootmarkering"/>
          <w:rFonts w:ascii="Times New Roman" w:hAnsi="Times New Roman" w:cs="Times New Roman"/>
          <w:i/>
          <w:iCs/>
          <w:sz w:val="24"/>
          <w:szCs w:val="24"/>
        </w:rPr>
        <w:footnoteReference w:id="51"/>
      </w:r>
      <w:r w:rsidRPr="001832DF">
        <w:rPr>
          <w:rFonts w:ascii="Times New Roman" w:hAnsi="Times New Roman" w:cs="Times New Roman"/>
          <w:i/>
          <w:iCs/>
          <w:sz w:val="24"/>
          <w:szCs w:val="24"/>
        </w:rPr>
        <w:t xml:space="preserve"> De Wet open overheid (</w:t>
      </w:r>
      <w:proofErr w:type="spellStart"/>
      <w:r w:rsidRPr="001832DF">
        <w:rPr>
          <w:rFonts w:ascii="Times New Roman" w:hAnsi="Times New Roman" w:cs="Times New Roman"/>
          <w:i/>
          <w:iCs/>
          <w:sz w:val="24"/>
          <w:szCs w:val="24"/>
        </w:rPr>
        <w:t>Woo</w:t>
      </w:r>
      <w:proofErr w:type="spellEnd"/>
      <w:r w:rsidRPr="001832DF">
        <w:rPr>
          <w:rFonts w:ascii="Times New Roman" w:hAnsi="Times New Roman" w:cs="Times New Roman"/>
          <w:i/>
          <w:iCs/>
          <w:sz w:val="24"/>
          <w:szCs w:val="24"/>
        </w:rPr>
        <w:t>) is niet van toepassing op deze gegevens, tenzij het gaat om milieu-informatie.</w:t>
      </w:r>
    </w:p>
    <w:p w:rsidRPr="001832DF" w:rsidR="001832DF" w:rsidP="001832DF" w:rsidRDefault="001832DF" w14:paraId="53FD52D5" w14:textId="77777777">
      <w:pPr>
        <w:pStyle w:val="Geenafstand"/>
        <w:rPr>
          <w:rFonts w:ascii="Times New Roman" w:hAnsi="Times New Roman" w:cs="Times New Roman"/>
          <w:i/>
          <w:iCs/>
          <w:sz w:val="24"/>
          <w:szCs w:val="24"/>
        </w:rPr>
      </w:pPr>
    </w:p>
    <w:p w:rsidRPr="001832DF" w:rsidR="001832DF" w:rsidP="001832DF" w:rsidRDefault="001832DF" w14:paraId="385F97FC"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a. Afwijken van een algemene wet</w:t>
      </w:r>
      <w:r w:rsidRPr="001832DF">
        <w:rPr>
          <w:rFonts w:ascii="Times New Roman" w:hAnsi="Times New Roman" w:cs="Times New Roman"/>
          <w:i/>
          <w:iCs/>
          <w:sz w:val="24"/>
          <w:szCs w:val="24"/>
        </w:rPr>
        <w:br/>
        <w:t xml:space="preserve">De </w:t>
      </w:r>
      <w:proofErr w:type="spellStart"/>
      <w:r w:rsidRPr="001832DF">
        <w:rPr>
          <w:rFonts w:ascii="Times New Roman" w:hAnsi="Times New Roman" w:cs="Times New Roman"/>
          <w:i/>
          <w:iCs/>
          <w:sz w:val="24"/>
          <w:szCs w:val="24"/>
        </w:rPr>
        <w:t>Woo</w:t>
      </w:r>
      <w:proofErr w:type="spellEnd"/>
      <w:r w:rsidRPr="001832DF">
        <w:rPr>
          <w:rFonts w:ascii="Times New Roman" w:hAnsi="Times New Roman" w:cs="Times New Roman"/>
          <w:i/>
          <w:iCs/>
          <w:sz w:val="24"/>
          <w:szCs w:val="24"/>
        </w:rPr>
        <w:t xml:space="preserve"> is een algemene wet, waarvan alleen kan worden afgeweken als daarvoor de noodzaak is aangetoond.</w:t>
      </w:r>
      <w:r w:rsidRPr="001832DF">
        <w:rPr>
          <w:rStyle w:val="Voetnootmarkering"/>
          <w:rFonts w:ascii="Times New Roman" w:hAnsi="Times New Roman" w:cs="Times New Roman"/>
          <w:i/>
          <w:iCs/>
          <w:sz w:val="24"/>
          <w:szCs w:val="24"/>
        </w:rPr>
        <w:footnoteReference w:id="52"/>
      </w:r>
      <w:r w:rsidRPr="001832DF">
        <w:rPr>
          <w:rFonts w:ascii="Times New Roman" w:hAnsi="Times New Roman" w:cs="Times New Roman"/>
          <w:i/>
          <w:iCs/>
          <w:sz w:val="24"/>
          <w:szCs w:val="24"/>
        </w:rPr>
        <w:t xml:space="preserve"> De </w:t>
      </w:r>
      <w:proofErr w:type="spellStart"/>
      <w:r w:rsidRPr="001832DF">
        <w:rPr>
          <w:rFonts w:ascii="Times New Roman" w:hAnsi="Times New Roman" w:cs="Times New Roman"/>
          <w:i/>
          <w:iCs/>
          <w:sz w:val="24"/>
          <w:szCs w:val="24"/>
        </w:rPr>
        <w:t>Woo</w:t>
      </w:r>
      <w:proofErr w:type="spellEnd"/>
      <w:r w:rsidRPr="001832DF">
        <w:rPr>
          <w:rFonts w:ascii="Times New Roman" w:hAnsi="Times New Roman" w:cs="Times New Roman"/>
          <w:i/>
          <w:iCs/>
          <w:sz w:val="24"/>
          <w:szCs w:val="24"/>
        </w:rPr>
        <w:t xml:space="preserve"> stelt openbaarheid van overheidsinformatie voorop, maar kent uitzonderingen in verband met, onder meer, de veiligheid van de Staat, bedrijfs- en fabricagegegevens en de eerbiediging van de persoonlijke levenssfeer.</w:t>
      </w:r>
      <w:r w:rsidRPr="001832DF">
        <w:rPr>
          <w:rStyle w:val="Voetnootmarkering"/>
          <w:rFonts w:ascii="Times New Roman" w:hAnsi="Times New Roman" w:cs="Times New Roman"/>
          <w:i/>
          <w:iCs/>
          <w:sz w:val="24"/>
          <w:szCs w:val="24"/>
        </w:rPr>
        <w:footnoteReference w:id="53"/>
      </w:r>
      <w:r w:rsidRPr="001832DF">
        <w:rPr>
          <w:rFonts w:ascii="Times New Roman" w:hAnsi="Times New Roman" w:cs="Times New Roman"/>
          <w:i/>
          <w:iCs/>
          <w:sz w:val="24"/>
          <w:szCs w:val="24"/>
        </w:rPr>
        <w:t xml:space="preserve"> Deze wettelijk verankerde uitzonderingen roepen de vraag op of het noodzakelijk is om de </w:t>
      </w:r>
      <w:proofErr w:type="spellStart"/>
      <w:r w:rsidRPr="001832DF">
        <w:rPr>
          <w:rFonts w:ascii="Times New Roman" w:hAnsi="Times New Roman" w:cs="Times New Roman"/>
          <w:i/>
          <w:iCs/>
          <w:sz w:val="24"/>
          <w:szCs w:val="24"/>
        </w:rPr>
        <w:t>Woo</w:t>
      </w:r>
      <w:proofErr w:type="spellEnd"/>
      <w:r w:rsidRPr="001832DF">
        <w:rPr>
          <w:rFonts w:ascii="Times New Roman" w:hAnsi="Times New Roman" w:cs="Times New Roman"/>
          <w:i/>
          <w:iCs/>
          <w:sz w:val="24"/>
          <w:szCs w:val="24"/>
        </w:rPr>
        <w:t xml:space="preserve"> niet van toepassing te verklaren op gegevens die in het kader van dit wetsvoorstel worden verstrekt. </w:t>
      </w:r>
    </w:p>
    <w:p w:rsidRPr="001832DF" w:rsidR="001832DF" w:rsidP="001832DF" w:rsidRDefault="001832DF" w14:paraId="465679E2" w14:textId="77777777">
      <w:pPr>
        <w:pStyle w:val="Geenafstand"/>
        <w:rPr>
          <w:rFonts w:ascii="Times New Roman" w:hAnsi="Times New Roman" w:cs="Times New Roman"/>
          <w:i/>
          <w:iCs/>
          <w:sz w:val="24"/>
          <w:szCs w:val="24"/>
        </w:rPr>
      </w:pPr>
    </w:p>
    <w:p w:rsidRPr="001832DF" w:rsidR="001832DF" w:rsidP="001832DF" w:rsidRDefault="001832DF" w14:paraId="7E8EBD0C"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Afdeling adviseert om nader te motiveren waarom een afwijking, gezien de beperkingen in de </w:t>
      </w:r>
      <w:proofErr w:type="spellStart"/>
      <w:r w:rsidRPr="001832DF">
        <w:rPr>
          <w:rFonts w:ascii="Times New Roman" w:hAnsi="Times New Roman" w:cs="Times New Roman"/>
          <w:i/>
          <w:iCs/>
          <w:sz w:val="24"/>
          <w:szCs w:val="24"/>
        </w:rPr>
        <w:t>Woo</w:t>
      </w:r>
      <w:proofErr w:type="spellEnd"/>
      <w:r w:rsidRPr="001832DF">
        <w:rPr>
          <w:rFonts w:ascii="Times New Roman" w:hAnsi="Times New Roman" w:cs="Times New Roman"/>
          <w:i/>
          <w:iCs/>
          <w:sz w:val="24"/>
          <w:szCs w:val="24"/>
        </w:rPr>
        <w:t xml:space="preserve">, noodzakelijk is. </w:t>
      </w:r>
    </w:p>
    <w:p w:rsidRPr="001832DF" w:rsidR="001832DF" w:rsidP="001832DF" w:rsidRDefault="001832DF" w14:paraId="44F76F6B" w14:textId="77777777">
      <w:pPr>
        <w:pStyle w:val="Geenafstand"/>
        <w:rPr>
          <w:rFonts w:ascii="Times New Roman" w:hAnsi="Times New Roman" w:cs="Times New Roman"/>
          <w:i/>
          <w:iCs/>
          <w:sz w:val="24"/>
          <w:szCs w:val="24"/>
        </w:rPr>
      </w:pPr>
    </w:p>
    <w:p w:rsidRPr="001832DF" w:rsidR="001832DF" w:rsidP="001832DF" w:rsidRDefault="001832DF" w14:paraId="637A31AA"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Er is aanleiding gezien voor de in de artikelen 66, tweede lid, en 101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(100 oud) opgenomen uitzondering op de toepasselijkheid van de Wet open overheid (hierna: </w:t>
      </w:r>
      <w:proofErr w:type="spellStart"/>
      <w:r w:rsidRPr="001832DF">
        <w:rPr>
          <w:rFonts w:ascii="Times New Roman" w:hAnsi="Times New Roman" w:cs="Times New Roman"/>
          <w:sz w:val="24"/>
          <w:szCs w:val="24"/>
        </w:rPr>
        <w:t>Woo</w:t>
      </w:r>
      <w:proofErr w:type="spellEnd"/>
      <w:r w:rsidRPr="001832DF">
        <w:rPr>
          <w:rFonts w:ascii="Times New Roman" w:hAnsi="Times New Roman" w:cs="Times New Roman"/>
          <w:sz w:val="24"/>
          <w:szCs w:val="24"/>
        </w:rPr>
        <w:t xml:space="preserve">), omdat het van groot belang is dat de vertrouwelijkheid van gegevens die bijvoorbeeld door entiteiten als zodanig aan het CSIRT of de bevoegde autoriteit worden verstrekt zo veel mogelijk wordt gewaarborgd. </w:t>
      </w:r>
      <w:bookmarkStart w:name="_Hlk198723538" w:id="15"/>
      <w:r w:rsidRPr="001832DF">
        <w:rPr>
          <w:rFonts w:ascii="Times New Roman" w:hAnsi="Times New Roman" w:cs="Times New Roman"/>
          <w:sz w:val="24"/>
          <w:szCs w:val="24"/>
        </w:rPr>
        <w:t xml:space="preserve">De door de Afdeling genoemde uitzonderingsgronden zijn niet toereikend, omdat deze niet de garantie bieden dat alle vertrouwelijke gegevens die in het kader van de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worden verwerkt, niet openbaar kunnen worden gemaakt op grond van de </w:t>
      </w:r>
      <w:proofErr w:type="spellStart"/>
      <w:r w:rsidRPr="001832DF">
        <w:rPr>
          <w:rFonts w:ascii="Times New Roman" w:hAnsi="Times New Roman" w:cs="Times New Roman"/>
          <w:sz w:val="24"/>
          <w:szCs w:val="24"/>
        </w:rPr>
        <w:t>Woo</w:t>
      </w:r>
      <w:proofErr w:type="spellEnd"/>
      <w:r w:rsidRPr="001832DF">
        <w:rPr>
          <w:rFonts w:ascii="Times New Roman" w:hAnsi="Times New Roman" w:cs="Times New Roman"/>
          <w:sz w:val="24"/>
          <w:szCs w:val="24"/>
        </w:rPr>
        <w:t>.</w:t>
      </w:r>
      <w:bookmarkEnd w:id="15"/>
    </w:p>
    <w:p w:rsidRPr="001832DF" w:rsidR="001832DF" w:rsidP="001832DF" w:rsidRDefault="001832DF" w14:paraId="61D01FC5" w14:textId="77777777">
      <w:pPr>
        <w:pStyle w:val="Geenafstand"/>
        <w:rPr>
          <w:rFonts w:ascii="Times New Roman" w:hAnsi="Times New Roman" w:cs="Times New Roman"/>
          <w:sz w:val="24"/>
          <w:szCs w:val="24"/>
        </w:rPr>
      </w:pPr>
    </w:p>
    <w:p w:rsidRPr="001832DF" w:rsidR="001832DF" w:rsidP="001832DF" w:rsidRDefault="001832DF" w14:paraId="085FC0AE"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In het geval van het CSIRT geldt dat de redenen daarvoor zijn gelegen in het zo veel mogelijk voorkomen van schade bij entiteiten, zoals reputatieschade, toegenomen kwetsbaarheid voor aanvallen en benadeling van de concurrentiepositie, en het door het CSIRT voor onder meer bijstand aan entiteiten kunnen gebruiken van deze gegevens zonder daarbij gehinderd te worden door het mogelijk vroegtijdig openbaar worden daarvan. Daarnaast is ook van belang dat als het gaat om gegevens die niet verplicht hoeven te worden gemeld, het risico bestaat dat entiteiten terughoudend worden met het delen van die informatie, als de vertrouwelijkheid daarvan niet zo veel mogelijk is gewaarborgd, en het CSIRT daardoor serieus benadeeld wordt in de goede uitoefening van zijn wettelijke taken. In de huidige praktijk onder de Wet beveiliging netwerk- en informatiesystemen is namelijk al </w:t>
      </w:r>
      <w:r w:rsidRPr="001832DF">
        <w:rPr>
          <w:rFonts w:ascii="Times New Roman" w:hAnsi="Times New Roman" w:cs="Times New Roman"/>
          <w:sz w:val="24"/>
          <w:szCs w:val="24"/>
        </w:rPr>
        <w:lastRenderedPageBreak/>
        <w:t xml:space="preserve">gebleken dat het Nationaal Cyber Security Centrum als CSIRT voor zijn taakuitoefening in grote mate afhankelijk is van vrijwillige meldingen. Artikel 66,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biedt entiteiten op voorhand de zekerheid dat vertrouwelijke gegevens niet openbaar kunnen worden gemaakt op grond van de </w:t>
      </w:r>
      <w:proofErr w:type="spellStart"/>
      <w:r w:rsidRPr="001832DF">
        <w:rPr>
          <w:rFonts w:ascii="Times New Roman" w:hAnsi="Times New Roman" w:cs="Times New Roman"/>
          <w:sz w:val="24"/>
          <w:szCs w:val="24"/>
        </w:rPr>
        <w:t>Woo</w:t>
      </w:r>
      <w:proofErr w:type="spellEnd"/>
      <w:r w:rsidRPr="001832DF">
        <w:rPr>
          <w:rFonts w:ascii="Times New Roman" w:hAnsi="Times New Roman" w:cs="Times New Roman"/>
          <w:sz w:val="24"/>
          <w:szCs w:val="24"/>
        </w:rPr>
        <w:t xml:space="preserve">. Het is noodzakelijk om die zekerheid op voorhand te kunnen bieden, om zo onder meer te voorkomen dat informatie, die van groot belang is voor de goede taakuitoefening van het CSIRT, niet met het CSIRT wordt gedeeld en daardoor de goede taakuitoefening door het CSIRT in het geding komt. </w:t>
      </w:r>
    </w:p>
    <w:p w:rsidRPr="001832DF" w:rsidR="001832DF" w:rsidP="001832DF" w:rsidRDefault="001832DF" w14:paraId="5C6F8D34" w14:textId="77777777">
      <w:pPr>
        <w:pStyle w:val="Geenafstand"/>
        <w:rPr>
          <w:rFonts w:ascii="Times New Roman" w:hAnsi="Times New Roman" w:cs="Times New Roman"/>
          <w:sz w:val="24"/>
          <w:szCs w:val="24"/>
        </w:rPr>
      </w:pPr>
    </w:p>
    <w:p w:rsidRPr="001832DF" w:rsidR="001832DF" w:rsidP="001832DF" w:rsidRDefault="001832DF" w14:paraId="3E88F45C"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Het centrale contactpunt heeft onder andere als taak om andere lidstaten te informeren in het geval van incidenten met grensoverschrijdende gevolgen. Om dit te kunnen doen dient het centrale contactpunt relevante informatie te delen met centrale contactpunten van andere lidstaten. Daarbij kan het gaan om informatie die het CSIRT heeft verkregen vanuit de meldplicht of vanuit een vrijwillige melding. Het is van belang om te voorkomen dat dezelfde informatie, die bij het CSIRT op voorhand is voorzien van bovenbedoelde waarborgen, niet van deze waarborgen is voorzien als deze berust bij het centrale contactpunt. Tevens dient de uitzondering op de toepasselijkheid van de </w:t>
      </w:r>
      <w:proofErr w:type="spellStart"/>
      <w:r w:rsidRPr="001832DF">
        <w:rPr>
          <w:rFonts w:ascii="Times New Roman" w:hAnsi="Times New Roman" w:cs="Times New Roman"/>
          <w:sz w:val="24"/>
          <w:szCs w:val="24"/>
        </w:rPr>
        <w:t>Woo</w:t>
      </w:r>
      <w:proofErr w:type="spellEnd"/>
      <w:r w:rsidRPr="001832DF">
        <w:rPr>
          <w:rFonts w:ascii="Times New Roman" w:hAnsi="Times New Roman" w:cs="Times New Roman"/>
          <w:sz w:val="24"/>
          <w:szCs w:val="24"/>
        </w:rPr>
        <w:t xml:space="preserve"> om te waarborgen dat in geval van entiteiten die in meerdere lidstaten actief zijn Nederlandse wet- en regelgeving er niet voor zorgt dat vertrouwelijke informatie die door deze entiteiten vertrouwelijk is verstrekt in Nederland onbedoeld openbaar wordt. Het is daarom noodzakelijk om dezelfde zekerheid op voorhand te bieden dat vertrouwelijke gegevens, die berusten bij het centrale contactpunt, niet openbaar kunnen worden gemaakt. </w:t>
      </w:r>
    </w:p>
    <w:p w:rsidRPr="001832DF" w:rsidR="001832DF" w:rsidP="001832DF" w:rsidRDefault="001832DF" w14:paraId="2713398D" w14:textId="77777777">
      <w:pPr>
        <w:pStyle w:val="Geenafstand"/>
        <w:rPr>
          <w:rFonts w:ascii="Times New Roman" w:hAnsi="Times New Roman" w:cs="Times New Roman"/>
          <w:sz w:val="24"/>
          <w:szCs w:val="24"/>
        </w:rPr>
      </w:pPr>
    </w:p>
    <w:p w:rsidRPr="001832DF" w:rsidR="001832DF" w:rsidP="001832DF" w:rsidRDefault="001832DF" w14:paraId="27939EAE"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Voor de bevoegde autoriteit geldt de overweging dat deze ter uitvoering van haar </w:t>
      </w:r>
      <w:proofErr w:type="spellStart"/>
      <w:r w:rsidRPr="001832DF">
        <w:rPr>
          <w:rFonts w:ascii="Times New Roman" w:hAnsi="Times New Roman" w:cs="Times New Roman"/>
          <w:sz w:val="24"/>
          <w:szCs w:val="24"/>
        </w:rPr>
        <w:t>toezichtsactiviteiten</w:t>
      </w:r>
      <w:proofErr w:type="spellEnd"/>
      <w:r w:rsidRPr="001832DF">
        <w:rPr>
          <w:rFonts w:ascii="Times New Roman" w:hAnsi="Times New Roman" w:cs="Times New Roman"/>
          <w:sz w:val="24"/>
          <w:szCs w:val="24"/>
        </w:rPr>
        <w:t xml:space="preserve"> komt te beschikken over vertrouwelijke informatie over de stand van de beveiliging van de netwerk- en informatiesystemen van essentiële entiteiten en belangrijke entiteiten, evenals incidenten bij deze entiteiten. De vertrouwelijkheid van gegevens moet zo veel mogelijk worden geborgd om reputatieschade, benadeling van de concurrentiepositie en toegenomen kwetsbaarheid voor aanvallen te voorkomen. Artikel 66,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biedt entiteiten op voorhand de zekerheid dat deze vertrouwelijke gegevens niet openbaar kunnen worden gemaakt door de bevoegde autoriteit op grond van de </w:t>
      </w:r>
      <w:proofErr w:type="spellStart"/>
      <w:r w:rsidRPr="001832DF">
        <w:rPr>
          <w:rFonts w:ascii="Times New Roman" w:hAnsi="Times New Roman" w:cs="Times New Roman"/>
          <w:sz w:val="24"/>
          <w:szCs w:val="24"/>
        </w:rPr>
        <w:t>Woo</w:t>
      </w:r>
      <w:proofErr w:type="spellEnd"/>
      <w:r w:rsidRPr="001832DF">
        <w:rPr>
          <w:rFonts w:ascii="Times New Roman" w:hAnsi="Times New Roman" w:cs="Times New Roman"/>
          <w:sz w:val="24"/>
          <w:szCs w:val="24"/>
        </w:rPr>
        <w:t>. Hiermee geldt er een gelijkluidend regime voor het CSIRT, het centrale contactpunt en de bevoegde autoriteit.</w:t>
      </w:r>
    </w:p>
    <w:p w:rsidRPr="001832DF" w:rsidR="001832DF" w:rsidP="001832DF" w:rsidRDefault="001832DF" w14:paraId="653B457C" w14:textId="77777777">
      <w:pPr>
        <w:pStyle w:val="Geenafstand"/>
        <w:rPr>
          <w:rFonts w:ascii="Times New Roman" w:hAnsi="Times New Roman" w:cs="Times New Roman"/>
          <w:i/>
          <w:iCs/>
          <w:sz w:val="24"/>
          <w:szCs w:val="24"/>
        </w:rPr>
      </w:pPr>
    </w:p>
    <w:bookmarkEnd w:id="14"/>
    <w:p w:rsidRPr="001832DF" w:rsidR="001832DF" w:rsidP="001832DF" w:rsidRDefault="001832DF" w14:paraId="2DE5A2CE"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b. Verduidelijking van de tekst</w:t>
      </w:r>
      <w:r w:rsidRPr="001832DF">
        <w:rPr>
          <w:rFonts w:ascii="Times New Roman" w:hAnsi="Times New Roman" w:cs="Times New Roman"/>
          <w:i/>
          <w:iCs/>
          <w:sz w:val="24"/>
          <w:szCs w:val="24"/>
        </w:rPr>
        <w:br/>
        <w:t xml:space="preserve">De voorgestelde bepalingen maken niet duidelijk aan wie de gegevens kunnen worden verstrekt. Uit de NIS2-richtlijn blijkt dat het niet gaat om verstrekking aan derden, maar </w:t>
      </w:r>
      <w:r w:rsidRPr="001832DF" w:rsidDel="002C76F9">
        <w:rPr>
          <w:rFonts w:ascii="Times New Roman" w:hAnsi="Times New Roman" w:cs="Times New Roman"/>
          <w:i/>
          <w:iCs/>
          <w:sz w:val="24"/>
          <w:szCs w:val="24"/>
        </w:rPr>
        <w:t>om</w:t>
      </w:r>
      <w:r w:rsidRPr="001832DF">
        <w:rPr>
          <w:rFonts w:ascii="Times New Roman" w:hAnsi="Times New Roman" w:cs="Times New Roman"/>
          <w:i/>
          <w:iCs/>
          <w:sz w:val="24"/>
          <w:szCs w:val="24"/>
        </w:rPr>
        <w:t xml:space="preserve"> onderlinge uitwisseling van gegevens tussen de bevoegde autoriteit, het centrale contactpunt, het CSIRT en de minister, en dat ook uitwisseling met de Europese Commissie mogelijk moet zijn.</w:t>
      </w:r>
      <w:r w:rsidRPr="001832DF">
        <w:rPr>
          <w:rStyle w:val="Voetnootmarkering"/>
          <w:rFonts w:ascii="Times New Roman" w:hAnsi="Times New Roman" w:cs="Times New Roman"/>
          <w:i/>
          <w:iCs/>
          <w:sz w:val="24"/>
          <w:szCs w:val="24"/>
        </w:rPr>
        <w:footnoteReference w:id="54"/>
      </w:r>
      <w:r w:rsidRPr="001832DF">
        <w:rPr>
          <w:rFonts w:ascii="Times New Roman" w:hAnsi="Times New Roman" w:cs="Times New Roman"/>
          <w:i/>
          <w:iCs/>
          <w:sz w:val="24"/>
          <w:szCs w:val="24"/>
        </w:rPr>
        <w:t xml:space="preserve"> </w:t>
      </w:r>
    </w:p>
    <w:p w:rsidRPr="001832DF" w:rsidR="001832DF" w:rsidP="001832DF" w:rsidRDefault="001832DF" w14:paraId="5DA37CDF" w14:textId="77777777">
      <w:pPr>
        <w:pStyle w:val="Geenafstand"/>
        <w:rPr>
          <w:rFonts w:ascii="Times New Roman" w:hAnsi="Times New Roman" w:cs="Times New Roman"/>
          <w:i/>
          <w:iCs/>
          <w:sz w:val="24"/>
          <w:szCs w:val="24"/>
        </w:rPr>
      </w:pPr>
    </w:p>
    <w:p w:rsidRPr="001832DF" w:rsidR="001832DF" w:rsidP="001832DF" w:rsidRDefault="001832DF" w14:paraId="63FA4E27"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De Afdeling adviseert om in het voorstel te verduidelijken aan wie de gegevens kunnen worden verstrekt.</w:t>
      </w:r>
    </w:p>
    <w:p w:rsidRPr="001832DF" w:rsidR="001832DF" w:rsidP="001832DF" w:rsidRDefault="001832DF" w14:paraId="14951187" w14:textId="77777777">
      <w:pPr>
        <w:pStyle w:val="Geenafstand"/>
        <w:rPr>
          <w:rFonts w:ascii="Times New Roman" w:hAnsi="Times New Roman" w:cs="Times New Roman"/>
          <w:i/>
          <w:iCs/>
          <w:sz w:val="24"/>
          <w:szCs w:val="24"/>
        </w:rPr>
      </w:pPr>
    </w:p>
    <w:p w:rsidRPr="001832DF" w:rsidR="001832DF" w:rsidP="001832DF" w:rsidRDefault="001832DF" w14:paraId="35CE15FA" w14:textId="77777777">
      <w:pPr>
        <w:pStyle w:val="Geenafstand"/>
        <w:rPr>
          <w:rFonts w:ascii="Times New Roman" w:hAnsi="Times New Roman" w:cs="Times New Roman"/>
          <w:sz w:val="24"/>
          <w:szCs w:val="24"/>
        </w:rPr>
      </w:pPr>
      <w:bookmarkStart w:name="_Hlk192067388" w:id="16"/>
      <w:r w:rsidRPr="001832DF">
        <w:rPr>
          <w:rFonts w:ascii="Times New Roman" w:hAnsi="Times New Roman" w:cs="Times New Roman"/>
          <w:sz w:val="24"/>
          <w:szCs w:val="24"/>
        </w:rPr>
        <w:t>Het door de Afdeling in voetnoot 53 aangehaalde artikel 2, dertiende lid, NIS2-richtlijn ziet op de voorwaarden waarbinnen de uitwisseling van vertrouwelijke informatie met de daarin genoemde actoren mogelijk is. De bepaling belet echter niet de uitwisseling van vertrouwelijke informatie met anderen dan de in de bepaling genoemde actoren. Er is ervoor gekozen in het wetsvoorstel te voorzien in de mogelijkheid om vertrouwelijke gegevens ook te kunnen uitwisselen met andere partijen, bijvoorbeeld in het kader van de wettelijk geregelde samenwerking tussen instanties. Ook kan het gaan om het delen van vertrouwelijke informatie met getroffen entiteiten voor zover het gaat om de eigen gegevens van die entiteit en schakelorganisaties en andere relevante partijen wanneer deze uitwisseling noodzakelijk is om de weerbaarheid van entiteiten of de achterban van schakelorganisaties te borgen.</w:t>
      </w:r>
    </w:p>
    <w:bookmarkEnd w:id="16"/>
    <w:p w:rsidRPr="001832DF" w:rsidR="001832DF" w:rsidP="001832DF" w:rsidRDefault="001832DF" w14:paraId="3E2DD88F" w14:textId="77777777">
      <w:pPr>
        <w:pStyle w:val="Geenafstand"/>
        <w:rPr>
          <w:rFonts w:ascii="Times New Roman" w:hAnsi="Times New Roman" w:cs="Times New Roman"/>
          <w:i/>
          <w:iCs/>
          <w:sz w:val="24"/>
          <w:szCs w:val="24"/>
        </w:rPr>
      </w:pPr>
    </w:p>
    <w:p w:rsidRPr="001832DF" w:rsidR="001832DF" w:rsidP="001832DF" w:rsidRDefault="001832DF" w14:paraId="7FD9BD63" w14:textId="77777777">
      <w:pPr>
        <w:pStyle w:val="Geenafstand"/>
        <w:rPr>
          <w:rFonts w:ascii="Times New Roman" w:hAnsi="Times New Roman" w:cs="Times New Roman"/>
          <w:i/>
          <w:iCs/>
          <w:sz w:val="24"/>
          <w:szCs w:val="24"/>
        </w:rPr>
      </w:pPr>
      <w:r w:rsidRPr="001832DF">
        <w:rPr>
          <w:rFonts w:ascii="Times New Roman" w:hAnsi="Times New Roman" w:cs="Times New Roman"/>
          <w:i/>
          <w:iCs/>
          <w:sz w:val="24"/>
          <w:szCs w:val="24"/>
        </w:rPr>
        <w:t xml:space="preserve">De Afdeling advisering van de Raad van State heeft een aantal opmerkingen bij het voorstel en adviseert daarmee rekening te houden voordat het voorstel bij de Tweede Kamer der Staten-Generaal wordt ingediend. </w:t>
      </w:r>
    </w:p>
    <w:p w:rsidRPr="001832DF" w:rsidR="001832DF" w:rsidP="001832DF" w:rsidRDefault="001832DF" w14:paraId="5F437E31" w14:textId="77777777">
      <w:pPr>
        <w:pStyle w:val="Geenafstand"/>
        <w:rPr>
          <w:rFonts w:ascii="Times New Roman" w:hAnsi="Times New Roman" w:cs="Times New Roman"/>
          <w:i/>
          <w:iCs/>
          <w:sz w:val="24"/>
          <w:szCs w:val="24"/>
        </w:rPr>
      </w:pPr>
    </w:p>
    <w:p w:rsidR="001832DF" w:rsidP="001832DF" w:rsidRDefault="001832DF" w14:paraId="3B4D0820" w14:textId="01BB17CD">
      <w:pPr>
        <w:pStyle w:val="Geenafstand"/>
        <w:rPr>
          <w:rFonts w:ascii="Times New Roman" w:hAnsi="Times New Roman" w:cs="Times New Roman"/>
          <w:i/>
          <w:iCs/>
          <w:sz w:val="24"/>
          <w:szCs w:val="24"/>
        </w:rPr>
      </w:pPr>
      <w:bookmarkStart w:name="_Hlk191995112" w:id="17"/>
      <w:r w:rsidRPr="001832DF">
        <w:rPr>
          <w:rFonts w:ascii="Times New Roman" w:hAnsi="Times New Roman" w:cs="Times New Roman"/>
          <w:i/>
          <w:iCs/>
          <w:sz w:val="24"/>
          <w:szCs w:val="24"/>
        </w:rPr>
        <w:t>De vice-president van de Raad van State</w:t>
      </w:r>
      <w:r>
        <w:rPr>
          <w:rFonts w:ascii="Times New Roman" w:hAnsi="Times New Roman" w:cs="Times New Roman"/>
          <w:i/>
          <w:iCs/>
          <w:sz w:val="24"/>
          <w:szCs w:val="24"/>
        </w:rPr>
        <w:t>,</w:t>
      </w:r>
    </w:p>
    <w:p w:rsidRPr="001832DF" w:rsidR="001832DF" w:rsidP="001832DF" w:rsidRDefault="001832DF" w14:paraId="11CD1D8A" w14:textId="7C96C7E0">
      <w:pPr>
        <w:pStyle w:val="Geenafstand"/>
        <w:rPr>
          <w:rFonts w:ascii="Times New Roman" w:hAnsi="Times New Roman" w:cs="Times New Roman"/>
          <w:i/>
          <w:iCs/>
          <w:sz w:val="24"/>
          <w:szCs w:val="24"/>
        </w:rPr>
      </w:pPr>
      <w:proofErr w:type="spellStart"/>
      <w:r>
        <w:rPr>
          <w:rFonts w:ascii="Times New Roman" w:hAnsi="Times New Roman" w:cs="Times New Roman"/>
          <w:i/>
          <w:iCs/>
          <w:sz w:val="24"/>
          <w:szCs w:val="24"/>
        </w:rPr>
        <w:t>Th.C</w:t>
      </w:r>
      <w:proofErr w:type="spellEnd"/>
      <w:r>
        <w:rPr>
          <w:rFonts w:ascii="Times New Roman" w:hAnsi="Times New Roman" w:cs="Times New Roman"/>
          <w:i/>
          <w:iCs/>
          <w:sz w:val="24"/>
          <w:szCs w:val="24"/>
        </w:rPr>
        <w:t>. de Graaf</w:t>
      </w:r>
    </w:p>
    <w:p w:rsidRPr="001832DF" w:rsidR="001832DF" w:rsidP="001832DF" w:rsidRDefault="001832DF" w14:paraId="153D83CD" w14:textId="77777777">
      <w:pPr>
        <w:pStyle w:val="Geenafstand"/>
        <w:rPr>
          <w:rFonts w:ascii="Times New Roman" w:hAnsi="Times New Roman" w:cs="Times New Roman"/>
          <w:i/>
          <w:iCs/>
          <w:sz w:val="24"/>
          <w:szCs w:val="24"/>
        </w:rPr>
      </w:pPr>
    </w:p>
    <w:p w:rsidRPr="001832DF" w:rsidR="001832DF" w:rsidP="001832DF" w:rsidRDefault="001832DF" w14:paraId="73F61095"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lastRenderedPageBreak/>
        <w:t>Van de gelegenheid is gebruik gemaakt om het wetsvoorstel op enkele punten te wijzigen. Hierna worden de belangrijkste wijzigingen toegelicht.</w:t>
      </w:r>
    </w:p>
    <w:p w:rsidRPr="001832DF" w:rsidR="001832DF" w:rsidP="001832DF" w:rsidRDefault="001832DF" w14:paraId="41E71E69" w14:textId="77777777">
      <w:pPr>
        <w:pStyle w:val="Geenafstand"/>
        <w:rPr>
          <w:rFonts w:ascii="Times New Roman" w:hAnsi="Times New Roman" w:cs="Times New Roman"/>
          <w:sz w:val="24"/>
          <w:szCs w:val="24"/>
        </w:rPr>
      </w:pPr>
    </w:p>
    <w:p w:rsidRPr="001832DF" w:rsidR="001832DF" w:rsidP="001832DF" w:rsidRDefault="001832DF" w14:paraId="5A868CC4"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Eén van de wijzigingen betreft de wijziging van de in artikel 16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opgenomen delegatiegrondslag en overheveling daarvan van het tweede lid naar het zevende lid van dat artikel. Met deze wijziging wordt het mogelijk om niet alleen bij ministeriële regeling, maar ook bij algemene maatregel van bestuur in generieke zin regels te stellen over de vereisten waaraan een organisatie die als CSIRT wordt aangewezen, moet voldoen. </w:t>
      </w:r>
    </w:p>
    <w:p w:rsidRPr="001832DF" w:rsidR="001832DF" w:rsidP="001832DF" w:rsidRDefault="001832DF" w14:paraId="76D3273F" w14:textId="77777777">
      <w:pPr>
        <w:pStyle w:val="Geenafstand"/>
        <w:rPr>
          <w:rFonts w:ascii="Times New Roman" w:hAnsi="Times New Roman" w:cs="Times New Roman"/>
          <w:sz w:val="24"/>
          <w:szCs w:val="24"/>
        </w:rPr>
      </w:pPr>
    </w:p>
    <w:p w:rsidRPr="001832DF" w:rsidR="001832DF" w:rsidP="001832DF" w:rsidRDefault="001832DF" w14:paraId="1D95993F"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Een andere wijziging betreft de toevoeging van een derde lid in artikel 25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In die bepaling wordt geregeld dat bij of krachtens algemene maatregel van bestuur de criteria worden vastgesteld op basis waarvan wordt bepaald of sprake is van een significant incident als bedoeld in artikel 25, tweede lid,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Naar aanleiding van de hiervoor bedoelde toevoeging van een derde lid in artikel 25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is ook artikel 35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aangepast, zodat er geen overlap is in de grondslagen in beide artikelen. </w:t>
      </w:r>
    </w:p>
    <w:p w:rsidRPr="001832DF" w:rsidR="001832DF" w:rsidP="001832DF" w:rsidRDefault="001832DF" w14:paraId="0F24B505" w14:textId="77777777">
      <w:pPr>
        <w:pStyle w:val="Geenafstand"/>
        <w:rPr>
          <w:rFonts w:ascii="Times New Roman" w:hAnsi="Times New Roman" w:cs="Times New Roman"/>
          <w:sz w:val="24"/>
          <w:szCs w:val="24"/>
        </w:rPr>
      </w:pPr>
    </w:p>
    <w:p w:rsidRPr="001832DF" w:rsidR="001832DF" w:rsidP="001832DF" w:rsidRDefault="001832DF" w14:paraId="0E413DF6"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Een andere wijziging betreft de toevoeging van een derde lid in artikel 51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Tot het inzicht is namelijk gekomen dat het wetsvoorstel nog niet voorziet in de grondslag voor de bevoegde autoriteiten, de </w:t>
      </w:r>
      <w:proofErr w:type="spellStart"/>
      <w:r w:rsidRPr="001832DF">
        <w:rPr>
          <w:rFonts w:ascii="Times New Roman" w:hAnsi="Times New Roman" w:cs="Times New Roman"/>
          <w:sz w:val="24"/>
          <w:szCs w:val="24"/>
        </w:rPr>
        <w:t>CSIRT’s</w:t>
      </w:r>
      <w:proofErr w:type="spellEnd"/>
      <w:r w:rsidRPr="001832DF">
        <w:rPr>
          <w:rFonts w:ascii="Times New Roman" w:hAnsi="Times New Roman" w:cs="Times New Roman"/>
          <w:sz w:val="24"/>
          <w:szCs w:val="24"/>
        </w:rPr>
        <w:t xml:space="preserve"> en het centrale contactpunt om informatie uit te kunnen wisselen met de cyberbeveiligingsdeskundigen, bedoeld in artikel 19, eerste lid, NIS2-richtlijn. </w:t>
      </w:r>
    </w:p>
    <w:p w:rsidRPr="001832DF" w:rsidR="001832DF" w:rsidP="001832DF" w:rsidRDefault="001832DF" w14:paraId="77F2C23B" w14:textId="77777777">
      <w:pPr>
        <w:pStyle w:val="Geenafstand"/>
        <w:rPr>
          <w:rFonts w:ascii="Times New Roman" w:hAnsi="Times New Roman" w:cs="Times New Roman"/>
          <w:sz w:val="24"/>
          <w:szCs w:val="24"/>
        </w:rPr>
      </w:pPr>
    </w:p>
    <w:p w:rsidRPr="001832DF" w:rsidR="001832DF" w:rsidP="001832DF" w:rsidRDefault="001832DF" w14:paraId="371256A8"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 xml:space="preserve">Een andere wijziging betreft de wijziging van artikel 100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waarin de Telecommunicatiewet wordt gewijzigd. Het betreffen hierbij technische wijzigingen in artikel 11a.3 van de Telecommunicatiewet, waarbij de relevante aanbieders met het oog op de continuïteit van </w:t>
      </w:r>
      <w:proofErr w:type="spellStart"/>
      <w:r w:rsidRPr="001832DF">
        <w:rPr>
          <w:rFonts w:ascii="Times New Roman" w:hAnsi="Times New Roman" w:cs="Times New Roman"/>
          <w:sz w:val="24"/>
          <w:szCs w:val="24"/>
        </w:rPr>
        <w:t>omroepetherdistributie</w:t>
      </w:r>
      <w:proofErr w:type="spellEnd"/>
      <w:r w:rsidRPr="001832DF">
        <w:rPr>
          <w:rFonts w:ascii="Times New Roman" w:hAnsi="Times New Roman" w:cs="Times New Roman"/>
          <w:sz w:val="24"/>
          <w:szCs w:val="24"/>
        </w:rPr>
        <w:t xml:space="preserve"> hun zorgplicht en het opstellen van een continuïteitsplan behouden.</w:t>
      </w:r>
    </w:p>
    <w:p w:rsidRPr="001832DF" w:rsidR="001832DF" w:rsidP="001832DF" w:rsidRDefault="001832DF" w14:paraId="5593435F" w14:textId="77777777">
      <w:pPr>
        <w:pStyle w:val="Geenafstand"/>
        <w:rPr>
          <w:rFonts w:ascii="Times New Roman" w:hAnsi="Times New Roman" w:cs="Times New Roman"/>
          <w:sz w:val="24"/>
          <w:szCs w:val="24"/>
        </w:rPr>
      </w:pPr>
    </w:p>
    <w:p w:rsidRPr="001832DF" w:rsidR="001832DF" w:rsidP="001832DF" w:rsidRDefault="001832DF" w14:paraId="0D8C7346" w14:textId="77777777">
      <w:pPr>
        <w:pStyle w:val="Geenafstand"/>
        <w:rPr>
          <w:rFonts w:ascii="Times New Roman" w:hAnsi="Times New Roman" w:cs="Times New Roman"/>
          <w:sz w:val="24"/>
          <w:szCs w:val="24"/>
        </w:rPr>
      </w:pPr>
      <w:bookmarkStart w:name="_Hlk198017240" w:id="18"/>
      <w:r w:rsidRPr="001832DF">
        <w:rPr>
          <w:rFonts w:ascii="Times New Roman" w:hAnsi="Times New Roman" w:cs="Times New Roman"/>
          <w:sz w:val="24"/>
          <w:szCs w:val="24"/>
        </w:rPr>
        <w:t xml:space="preserve">Voorts is artikel 101 </w:t>
      </w:r>
      <w:proofErr w:type="spellStart"/>
      <w:r w:rsidRPr="001832DF">
        <w:rPr>
          <w:rFonts w:ascii="Times New Roman" w:hAnsi="Times New Roman" w:cs="Times New Roman"/>
          <w:sz w:val="24"/>
          <w:szCs w:val="24"/>
        </w:rPr>
        <w:t>Cbw</w:t>
      </w:r>
      <w:proofErr w:type="spellEnd"/>
      <w:r w:rsidRPr="001832DF">
        <w:rPr>
          <w:rFonts w:ascii="Times New Roman" w:hAnsi="Times New Roman" w:cs="Times New Roman"/>
          <w:sz w:val="24"/>
          <w:szCs w:val="24"/>
        </w:rPr>
        <w:t xml:space="preserve"> (oud), over de wijziging van de Wet op de economische delicten, uit het wetsvoorstel gehaald. De desbetreffende bepaling uit de Wet op de economische delicten die betrekking heeft op de Telecommunicatiewet had niet moeten worden geschrapt. </w:t>
      </w:r>
    </w:p>
    <w:bookmarkEnd w:id="18"/>
    <w:p w:rsidRPr="001832DF" w:rsidR="001832DF" w:rsidP="001832DF" w:rsidRDefault="001832DF" w14:paraId="602EFD26" w14:textId="77777777">
      <w:pPr>
        <w:pStyle w:val="Geenafstand"/>
        <w:rPr>
          <w:rFonts w:ascii="Times New Roman" w:hAnsi="Times New Roman" w:cs="Times New Roman"/>
          <w:sz w:val="24"/>
          <w:szCs w:val="24"/>
        </w:rPr>
      </w:pPr>
    </w:p>
    <w:p w:rsidRPr="001832DF" w:rsidR="001832DF" w:rsidP="001832DF" w:rsidRDefault="001832DF" w14:paraId="05B287E7"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Ik verzoek U het hierbij gevoegde gewijzigde voorstel van wet en de gewijzigde memorie van toelichting aan de Tweede Kamer der Staten-Generaal te zenden.</w:t>
      </w:r>
    </w:p>
    <w:bookmarkEnd w:id="17"/>
    <w:p w:rsidRPr="001832DF" w:rsidR="001832DF" w:rsidP="001832DF" w:rsidRDefault="001832DF" w14:paraId="2D146E61" w14:textId="77777777">
      <w:pPr>
        <w:pStyle w:val="Geenafstand"/>
        <w:rPr>
          <w:rFonts w:ascii="Times New Roman" w:hAnsi="Times New Roman" w:cs="Times New Roman"/>
          <w:i/>
          <w:iCs/>
          <w:sz w:val="24"/>
          <w:szCs w:val="24"/>
        </w:rPr>
      </w:pPr>
    </w:p>
    <w:p w:rsidRPr="001832DF" w:rsidR="001832DF" w:rsidP="001832DF" w:rsidRDefault="001832DF" w14:paraId="03DB4154" w14:textId="77777777">
      <w:pPr>
        <w:pStyle w:val="Geenafstand"/>
        <w:rPr>
          <w:rFonts w:ascii="Times New Roman" w:hAnsi="Times New Roman" w:cs="Times New Roman"/>
          <w:sz w:val="24"/>
          <w:szCs w:val="24"/>
        </w:rPr>
      </w:pPr>
      <w:bookmarkStart w:name="_Hlk191995135" w:id="19"/>
    </w:p>
    <w:p w:rsidRPr="001832DF" w:rsidR="001832DF" w:rsidP="001832DF" w:rsidRDefault="001832DF" w14:paraId="0D65EEF0"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De Minister van Justitie en Veiligheid,</w:t>
      </w:r>
    </w:p>
    <w:p w:rsidRPr="001832DF" w:rsidR="001832DF" w:rsidP="001832DF" w:rsidRDefault="001832DF" w14:paraId="13510A3D" w14:textId="77777777">
      <w:pPr>
        <w:pStyle w:val="Geenafstand"/>
        <w:rPr>
          <w:rFonts w:ascii="Times New Roman" w:hAnsi="Times New Roman" w:cs="Times New Roman"/>
          <w:sz w:val="24"/>
          <w:szCs w:val="24"/>
        </w:rPr>
      </w:pPr>
      <w:r w:rsidRPr="001832DF">
        <w:rPr>
          <w:rFonts w:ascii="Times New Roman" w:hAnsi="Times New Roman" w:cs="Times New Roman"/>
          <w:sz w:val="24"/>
          <w:szCs w:val="24"/>
        </w:rPr>
        <w:t>D.M. van Weel</w:t>
      </w:r>
      <w:bookmarkEnd w:id="19"/>
    </w:p>
    <w:p w:rsidRPr="001832DF" w:rsidR="001832DF" w:rsidP="001832DF" w:rsidRDefault="001832DF" w14:paraId="2702876D" w14:textId="77777777">
      <w:pPr>
        <w:rPr>
          <w:szCs w:val="24"/>
        </w:rPr>
      </w:pPr>
    </w:p>
    <w:p w:rsidRPr="001832DF" w:rsidR="001832DF" w:rsidRDefault="001832DF" w14:paraId="7725BB1D" w14:textId="77777777">
      <w:pPr>
        <w:pStyle w:val="Amendement"/>
        <w:rPr>
          <w:rFonts w:ascii="Times New Roman" w:hAnsi="Times New Roman"/>
          <w:b w:val="0"/>
          <w:szCs w:val="24"/>
        </w:rPr>
      </w:pPr>
    </w:p>
    <w:sectPr w:rsidRPr="001832DF" w:rsidR="001832D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E157" w14:textId="77777777" w:rsidR="005F3B8E" w:rsidRDefault="005F3B8E">
      <w:pPr>
        <w:spacing w:line="20" w:lineRule="exact"/>
      </w:pPr>
    </w:p>
  </w:endnote>
  <w:endnote w:type="continuationSeparator" w:id="0">
    <w:p w14:paraId="015338C0" w14:textId="77777777" w:rsidR="005F3B8E" w:rsidRDefault="005F3B8E">
      <w:pPr>
        <w:pStyle w:val="Amendement"/>
      </w:pPr>
      <w:r>
        <w:rPr>
          <w:b w:val="0"/>
        </w:rPr>
        <w:t xml:space="preserve"> </w:t>
      </w:r>
    </w:p>
  </w:endnote>
  <w:endnote w:type="continuationNotice" w:id="1">
    <w:p w14:paraId="652FDFB4" w14:textId="77777777" w:rsidR="005F3B8E" w:rsidRDefault="005F3B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2B55" w14:textId="77777777" w:rsidR="005F3B8E" w:rsidRDefault="005F3B8E">
      <w:pPr>
        <w:pStyle w:val="Amendement"/>
      </w:pPr>
      <w:r>
        <w:rPr>
          <w:b w:val="0"/>
        </w:rPr>
        <w:separator/>
      </w:r>
    </w:p>
  </w:footnote>
  <w:footnote w:type="continuationSeparator" w:id="0">
    <w:p w14:paraId="2118157B" w14:textId="77777777" w:rsidR="005F3B8E" w:rsidRDefault="005F3B8E">
      <w:r>
        <w:continuationSeparator/>
      </w:r>
    </w:p>
  </w:footnote>
  <w:footnote w:id="1">
    <w:p w14:paraId="2F3CE769" w14:textId="0A2CA896" w:rsidR="005F3B8E" w:rsidRPr="001832DF" w:rsidRDefault="005F3B8E">
      <w:pPr>
        <w:pStyle w:val="Voetnoottekst"/>
        <w:rPr>
          <w:sz w:val="20"/>
        </w:rPr>
      </w:pPr>
      <w:r w:rsidRPr="001832DF">
        <w:rPr>
          <w:rStyle w:val="Voetnootmarkering"/>
          <w:sz w:val="20"/>
        </w:rPr>
        <w:footnoteRef/>
      </w:r>
      <w:r w:rsidRPr="001832DF">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27121C1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Memorie van toelichting, algemeen deel, paragraaf 8.1.1, ‘Inleiding’; overheidsinstanties zijn daarin niet </w:t>
      </w:r>
      <w:proofErr w:type="spellStart"/>
      <w:r w:rsidRPr="001832DF">
        <w:rPr>
          <w:rFonts w:ascii="Times New Roman" w:hAnsi="Times New Roman" w:cs="Times New Roman"/>
          <w:i/>
          <w:iCs/>
          <w:sz w:val="20"/>
          <w:szCs w:val="20"/>
        </w:rPr>
        <w:t>meeberekend</w:t>
      </w:r>
      <w:proofErr w:type="spellEnd"/>
      <w:r w:rsidRPr="001832DF">
        <w:rPr>
          <w:rFonts w:ascii="Times New Roman" w:hAnsi="Times New Roman" w:cs="Times New Roman"/>
          <w:i/>
          <w:iCs/>
          <w:sz w:val="20"/>
          <w:szCs w:val="20"/>
        </w:rPr>
        <w:t>.</w:t>
      </w:r>
    </w:p>
  </w:footnote>
  <w:footnote w:id="3">
    <w:p w14:paraId="7CCC80B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Vergelijk voorgesteld artikel 2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4">
    <w:p w14:paraId="4C73991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De versleuteling van bestanden van het slachtoffer door criminelen die tegen betaling van losgeld weer wordt </w:t>
      </w:r>
      <w:proofErr w:type="spellStart"/>
      <w:r w:rsidRPr="001832DF">
        <w:rPr>
          <w:rFonts w:ascii="Times New Roman" w:hAnsi="Times New Roman" w:cs="Times New Roman"/>
          <w:i/>
          <w:iCs/>
          <w:sz w:val="20"/>
          <w:szCs w:val="20"/>
        </w:rPr>
        <w:t>ontsleuteld</w:t>
      </w:r>
      <w:proofErr w:type="spellEnd"/>
      <w:r w:rsidRPr="001832DF">
        <w:rPr>
          <w:rFonts w:ascii="Times New Roman" w:hAnsi="Times New Roman" w:cs="Times New Roman"/>
          <w:i/>
          <w:iCs/>
          <w:sz w:val="20"/>
          <w:szCs w:val="20"/>
        </w:rPr>
        <w:t xml:space="preserve">. </w:t>
      </w:r>
    </w:p>
  </w:footnote>
  <w:footnote w:id="5">
    <w:p w14:paraId="09C4FDA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Cybersecuritybeeld Nederland 2024 (Rapport NCTV), bijlage bij Kamerstukken II 2024/25, 26643, nr. 1229, p. 27.</w:t>
      </w:r>
    </w:p>
  </w:footnote>
  <w:footnote w:id="6">
    <w:p w14:paraId="65445BB1"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Richtlijn (EU) 2016/1148 van het Europees Parlement en de Raad van 6 juli 2016 houdende maatregelen voor een hoog gemeenschappelijk niveau van beveiliging van netwerk- en informatiesystemen in de Unie (</w:t>
      </w:r>
      <w:proofErr w:type="spellStart"/>
      <w:r w:rsidRPr="001832DF">
        <w:rPr>
          <w:rFonts w:ascii="Times New Roman" w:hAnsi="Times New Roman" w:cs="Times New Roman"/>
          <w:i/>
          <w:iCs/>
          <w:sz w:val="20"/>
          <w:szCs w:val="20"/>
        </w:rPr>
        <w:t>PbEU</w:t>
      </w:r>
      <w:proofErr w:type="spellEnd"/>
      <w:r w:rsidRPr="001832DF">
        <w:rPr>
          <w:rFonts w:ascii="Times New Roman" w:hAnsi="Times New Roman" w:cs="Times New Roman"/>
          <w:i/>
          <w:iCs/>
          <w:sz w:val="20"/>
          <w:szCs w:val="20"/>
        </w:rPr>
        <w:t xml:space="preserve"> 2016, L 194).</w:t>
      </w:r>
    </w:p>
  </w:footnote>
  <w:footnote w:id="7">
    <w:p w14:paraId="0A7E7596"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de impact assessment van de Europese Commissie, 16 december 2020, SWD(2020) 345 </w:t>
      </w:r>
      <w:proofErr w:type="spellStart"/>
      <w:r w:rsidRPr="001832DF">
        <w:rPr>
          <w:rFonts w:ascii="Times New Roman" w:hAnsi="Times New Roman" w:cs="Times New Roman"/>
          <w:i/>
          <w:iCs/>
          <w:sz w:val="20"/>
          <w:szCs w:val="20"/>
        </w:rPr>
        <w:t>final</w:t>
      </w:r>
      <w:proofErr w:type="spellEnd"/>
      <w:r w:rsidRPr="001832DF">
        <w:rPr>
          <w:rFonts w:ascii="Times New Roman" w:hAnsi="Times New Roman" w:cs="Times New Roman"/>
          <w:i/>
          <w:iCs/>
          <w:sz w:val="20"/>
          <w:szCs w:val="20"/>
        </w:rPr>
        <w:t xml:space="preserve">, bijlage 5. </w:t>
      </w:r>
    </w:p>
  </w:footnote>
  <w:footnote w:id="8">
    <w:p w14:paraId="3071BEA1"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Richtlijn (EU) 2022/2555 van het Europees Parlement en de Raad van 14 december 2022 betreffende maatregelen voor een hoog gezamenlijk niveau van cyberbeveiliging in de Unie (</w:t>
      </w:r>
      <w:proofErr w:type="spellStart"/>
      <w:r w:rsidRPr="001832DF">
        <w:rPr>
          <w:rFonts w:ascii="Times New Roman" w:hAnsi="Times New Roman" w:cs="Times New Roman"/>
          <w:i/>
          <w:iCs/>
          <w:sz w:val="20"/>
          <w:szCs w:val="20"/>
        </w:rPr>
        <w:t>PbEU</w:t>
      </w:r>
      <w:proofErr w:type="spellEnd"/>
      <w:r w:rsidRPr="001832DF">
        <w:rPr>
          <w:rFonts w:ascii="Times New Roman" w:hAnsi="Times New Roman" w:cs="Times New Roman"/>
          <w:i/>
          <w:iCs/>
          <w:sz w:val="20"/>
          <w:szCs w:val="20"/>
        </w:rPr>
        <w:t xml:space="preserve"> 2022, L 333). De afkorting NIS is afkomstig van de aanduiding van de vorige richtlijn ten aanzien van netwerk- en informatiesystemen.</w:t>
      </w:r>
    </w:p>
  </w:footnote>
  <w:footnote w:id="9">
    <w:p w14:paraId="16AAF6BD"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Richtlijn (EU) 2022/2557 van het Europees Parlement en de Raad van 14 december 2022 betreffende de weerbaarheid van kritieke entiteiten (</w:t>
      </w:r>
      <w:proofErr w:type="spellStart"/>
      <w:r w:rsidRPr="001832DF">
        <w:rPr>
          <w:rFonts w:ascii="Times New Roman" w:hAnsi="Times New Roman" w:cs="Times New Roman"/>
          <w:i/>
          <w:iCs/>
          <w:sz w:val="20"/>
          <w:szCs w:val="20"/>
        </w:rPr>
        <w:t>PbEU</w:t>
      </w:r>
      <w:proofErr w:type="spellEnd"/>
      <w:r w:rsidRPr="001832DF">
        <w:rPr>
          <w:rFonts w:ascii="Times New Roman" w:hAnsi="Times New Roman" w:cs="Times New Roman"/>
          <w:i/>
          <w:iCs/>
          <w:sz w:val="20"/>
          <w:szCs w:val="20"/>
        </w:rPr>
        <w:t xml:space="preserve"> 2022, L 333). De afkorting is afkomstig van de Engelstalige aanduiding van de richtlijn die verwijst naar ‘</w:t>
      </w:r>
      <w:proofErr w:type="spellStart"/>
      <w:r w:rsidRPr="001832DF">
        <w:rPr>
          <w:rFonts w:ascii="Times New Roman" w:hAnsi="Times New Roman" w:cs="Times New Roman"/>
          <w:i/>
          <w:iCs/>
          <w:sz w:val="20"/>
          <w:szCs w:val="20"/>
        </w:rPr>
        <w:t>critical</w:t>
      </w:r>
      <w:proofErr w:type="spellEnd"/>
      <w:r w:rsidRPr="001832DF">
        <w:rPr>
          <w:rFonts w:ascii="Times New Roman" w:hAnsi="Times New Roman" w:cs="Times New Roman"/>
          <w:i/>
          <w:iCs/>
          <w:sz w:val="20"/>
          <w:szCs w:val="20"/>
        </w:rPr>
        <w:t xml:space="preserve"> </w:t>
      </w:r>
      <w:proofErr w:type="spellStart"/>
      <w:r w:rsidRPr="001832DF">
        <w:rPr>
          <w:rFonts w:ascii="Times New Roman" w:hAnsi="Times New Roman" w:cs="Times New Roman"/>
          <w:i/>
          <w:iCs/>
          <w:sz w:val="20"/>
          <w:szCs w:val="20"/>
        </w:rPr>
        <w:t>entities</w:t>
      </w:r>
      <w:proofErr w:type="spellEnd"/>
      <w:r w:rsidRPr="001832DF">
        <w:rPr>
          <w:rFonts w:ascii="Times New Roman" w:hAnsi="Times New Roman" w:cs="Times New Roman"/>
          <w:i/>
          <w:iCs/>
          <w:sz w:val="20"/>
          <w:szCs w:val="20"/>
        </w:rPr>
        <w:t>’ en ‘</w:t>
      </w:r>
      <w:proofErr w:type="spellStart"/>
      <w:r w:rsidRPr="001832DF">
        <w:rPr>
          <w:rFonts w:ascii="Times New Roman" w:hAnsi="Times New Roman" w:cs="Times New Roman"/>
          <w:i/>
          <w:iCs/>
          <w:sz w:val="20"/>
          <w:szCs w:val="20"/>
        </w:rPr>
        <w:t>resilience</w:t>
      </w:r>
      <w:proofErr w:type="spellEnd"/>
      <w:r w:rsidRPr="001832DF">
        <w:rPr>
          <w:rFonts w:ascii="Times New Roman" w:hAnsi="Times New Roman" w:cs="Times New Roman"/>
          <w:i/>
          <w:iCs/>
          <w:sz w:val="20"/>
          <w:szCs w:val="20"/>
        </w:rPr>
        <w:t xml:space="preserve">’. </w:t>
      </w:r>
    </w:p>
  </w:footnote>
  <w:footnote w:id="10">
    <w:p w14:paraId="37C878BE"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Vergelijk paragrafen 15.2 en 15.3, in het bijzonder voorgesteld artikel 80,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11">
    <w:p w14:paraId="20CCE0D3"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21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w:t>
      </w:r>
    </w:p>
  </w:footnote>
  <w:footnote w:id="12">
    <w:p w14:paraId="6ED9C349"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21, vijfde lid, en artikel 22,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memorie van toelichting, algemeen deel, paragraaf 5.2, ‘Zorgplicht’, waar de eigen verantwoordelijkheid voor het vaststellen van de maatregelen ter uitwerking van de zorgplicht wordt onderstreept. </w:t>
      </w:r>
    </w:p>
  </w:footnote>
  <w:footnote w:id="13">
    <w:p w14:paraId="3325B00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25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14">
    <w:p w14:paraId="47DF7ED2"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Er is tevens de mogelijkheid tot het doen van een vrijwillige melding in geval van incidenten, bijna-incidenten en cyberdreigingen, zie voorgesteld artikel 33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15">
    <w:p w14:paraId="64111C8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24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w:t>
      </w:r>
    </w:p>
  </w:footnote>
  <w:footnote w:id="16">
    <w:p w14:paraId="7F811407"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de definitie in het voorgestelde artikel 1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en artikel 8, eerste lid, van de NIS2-richtlijn.</w:t>
      </w:r>
    </w:p>
  </w:footnote>
  <w:footnote w:id="17">
    <w:p w14:paraId="15EA4356"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2, zevende lid, NIS2-richtlijn.</w:t>
      </w:r>
    </w:p>
  </w:footnote>
  <w:footnote w:id="18">
    <w:p w14:paraId="5725F835"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5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19">
    <w:p w14:paraId="66AFEB6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Memorie van toelichting, algemeen deel, paragraaf 5.1.2, ‘Overheidsinstanties’, onder “Uitgezonderde overheidsinstanties”.</w:t>
      </w:r>
    </w:p>
  </w:footnote>
  <w:footnote w:id="20">
    <w:p w14:paraId="05E6F30A" w14:textId="77777777" w:rsidR="001832DF" w:rsidRPr="001832DF" w:rsidDel="00A70280" w:rsidRDefault="001832DF" w:rsidP="001832DF">
      <w:pPr>
        <w:pStyle w:val="Geenafstand"/>
        <w:rPr>
          <w:rFonts w:ascii="Times New Roman" w:hAnsi="Times New Roman" w:cs="Times New Roman"/>
          <w:i/>
          <w:iCs/>
          <w:sz w:val="20"/>
          <w:szCs w:val="20"/>
        </w:rPr>
      </w:pPr>
      <w:r w:rsidRPr="001832DF" w:rsidDel="00A70280">
        <w:rPr>
          <w:rStyle w:val="Voetnootmarkering"/>
          <w:rFonts w:ascii="Times New Roman" w:hAnsi="Times New Roman" w:cs="Times New Roman"/>
          <w:i/>
          <w:iCs/>
          <w:sz w:val="20"/>
          <w:szCs w:val="20"/>
        </w:rPr>
        <w:footnoteRef/>
      </w:r>
      <w:r w:rsidRPr="001832DF" w:rsidDel="00A70280">
        <w:rPr>
          <w:rFonts w:ascii="Times New Roman" w:hAnsi="Times New Roman" w:cs="Times New Roman"/>
          <w:i/>
          <w:iCs/>
          <w:sz w:val="20"/>
          <w:szCs w:val="20"/>
        </w:rPr>
        <w:t xml:space="preserve"> </w:t>
      </w:r>
      <w:r w:rsidRPr="001832DF">
        <w:rPr>
          <w:rFonts w:ascii="Times New Roman" w:hAnsi="Times New Roman" w:cs="Times New Roman"/>
          <w:i/>
          <w:iCs/>
          <w:sz w:val="20"/>
          <w:szCs w:val="20"/>
        </w:rPr>
        <w:t>Voorgestelde a</w:t>
      </w:r>
      <w:r w:rsidRPr="001832DF" w:rsidDel="00A70280">
        <w:rPr>
          <w:rFonts w:ascii="Times New Roman" w:hAnsi="Times New Roman" w:cs="Times New Roman"/>
          <w:i/>
          <w:iCs/>
          <w:sz w:val="20"/>
          <w:szCs w:val="20"/>
        </w:rPr>
        <w:t xml:space="preserve">rtikelen 23, 32, 45 en 48 </w:t>
      </w:r>
      <w:proofErr w:type="spellStart"/>
      <w:r w:rsidRPr="001832DF" w:rsidDel="00A70280">
        <w:rPr>
          <w:rFonts w:ascii="Times New Roman" w:hAnsi="Times New Roman" w:cs="Times New Roman"/>
          <w:i/>
          <w:iCs/>
          <w:sz w:val="20"/>
          <w:szCs w:val="20"/>
        </w:rPr>
        <w:t>Cbw</w:t>
      </w:r>
      <w:proofErr w:type="spellEnd"/>
      <w:r w:rsidRPr="001832DF" w:rsidDel="00A70280">
        <w:rPr>
          <w:rFonts w:ascii="Times New Roman" w:hAnsi="Times New Roman" w:cs="Times New Roman"/>
          <w:i/>
          <w:iCs/>
          <w:sz w:val="20"/>
          <w:szCs w:val="20"/>
        </w:rPr>
        <w:t>.</w:t>
      </w:r>
    </w:p>
  </w:footnote>
  <w:footnote w:id="21">
    <w:p w14:paraId="08067C96"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Aanwijzing 2.19, toelichting, van de Aanwijzingen voor de regelgeving.</w:t>
      </w:r>
    </w:p>
  </w:footnote>
  <w:footnote w:id="22">
    <w:p w14:paraId="7BE63193"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14, aanhef en onder b, artikel 19 en artikel 20,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w:t>
      </w:r>
    </w:p>
  </w:footnote>
  <w:footnote w:id="23">
    <w:p w14:paraId="4908BF4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voorgestelde artikelen 9, eerste lid, 10, 11, eerste lid, 13, eerste lid, en 16, tweede lid,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(‘na overleg met’); voorgestelde artikelen 23, eerste lid, artikel 32, eerste lid, artikel 45, eerste lid, en artikel 48, eerste lid,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(‘in overeenstemming met’). </w:t>
      </w:r>
    </w:p>
  </w:footnote>
  <w:footnote w:id="24">
    <w:p w14:paraId="6F9DD4F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15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w:t>
      </w:r>
    </w:p>
  </w:footnote>
  <w:footnote w:id="25">
    <w:p w14:paraId="1500C67A"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voetnoot 22.</w:t>
      </w:r>
    </w:p>
  </w:footnote>
  <w:footnote w:id="26">
    <w:p w14:paraId="59CB04C5"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15, eerste lid,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27">
    <w:p w14:paraId="5C82DA39"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Voorgestelde artikelen 68, eerste lid, en 73 tot en met 79,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28">
    <w:p w14:paraId="22FAA2B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Kerncentrales zullen worden aangewezen als kritieke entiteit in de zin van de </w:t>
      </w:r>
      <w:proofErr w:type="spellStart"/>
      <w:r w:rsidRPr="001832DF">
        <w:rPr>
          <w:rFonts w:ascii="Times New Roman" w:hAnsi="Times New Roman" w:cs="Times New Roman"/>
          <w:i/>
          <w:iCs/>
          <w:sz w:val="20"/>
          <w:szCs w:val="20"/>
        </w:rPr>
        <w:t>Wwke</w:t>
      </w:r>
      <w:proofErr w:type="spellEnd"/>
      <w:r w:rsidRPr="001832DF">
        <w:rPr>
          <w:rFonts w:ascii="Times New Roman" w:hAnsi="Times New Roman" w:cs="Times New Roman"/>
          <w:i/>
          <w:iCs/>
          <w:sz w:val="20"/>
          <w:szCs w:val="20"/>
        </w:rPr>
        <w:t xml:space="preserve">, omdat zij elektriciteit produceren en daarnaast ook medische isotopen leveren (voorstel </w:t>
      </w:r>
      <w:proofErr w:type="spellStart"/>
      <w:r w:rsidRPr="001832DF">
        <w:rPr>
          <w:rFonts w:ascii="Times New Roman" w:hAnsi="Times New Roman" w:cs="Times New Roman"/>
          <w:i/>
          <w:iCs/>
          <w:sz w:val="20"/>
          <w:szCs w:val="20"/>
        </w:rPr>
        <w:t>Wwke</w:t>
      </w:r>
      <w:proofErr w:type="spellEnd"/>
      <w:r w:rsidRPr="001832DF">
        <w:rPr>
          <w:rFonts w:ascii="Times New Roman" w:hAnsi="Times New Roman" w:cs="Times New Roman"/>
          <w:i/>
          <w:iCs/>
          <w:sz w:val="20"/>
          <w:szCs w:val="20"/>
        </w:rPr>
        <w:t xml:space="preserve">, bijlage, sector “Energie” en sector “Gezondheidszorg”). Kritieke entiteiten zijn van rechtswege essentiële entiteit in de zin van de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(voorgesteld artikel 8, eerste lid, onderdeel i,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29">
    <w:p w14:paraId="043FF596"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Artikelen 3, derde lid, onderdeel b, 58 en 59 van de Kernenergiewet.</w:t>
      </w:r>
    </w:p>
  </w:footnote>
  <w:footnote w:id="30">
    <w:p w14:paraId="24BD1F16"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Kamerstukken II 2014/15, 34219, nr. 3, p. 4-5, nader uitgewerkt in p. 5-17.</w:t>
      </w:r>
    </w:p>
  </w:footnote>
  <w:footnote w:id="31">
    <w:p w14:paraId="065E4D3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Voorbeelden van andere </w:t>
      </w:r>
      <w:proofErr w:type="spellStart"/>
      <w:r w:rsidRPr="001832DF">
        <w:rPr>
          <w:rFonts w:ascii="Times New Roman" w:hAnsi="Times New Roman" w:cs="Times New Roman"/>
          <w:i/>
          <w:iCs/>
          <w:sz w:val="20"/>
          <w:szCs w:val="20"/>
        </w:rPr>
        <w:t>zbo’s</w:t>
      </w:r>
      <w:proofErr w:type="spellEnd"/>
      <w:r w:rsidRPr="001832DF">
        <w:rPr>
          <w:rFonts w:ascii="Times New Roman" w:hAnsi="Times New Roman" w:cs="Times New Roman"/>
          <w:i/>
          <w:iCs/>
          <w:sz w:val="20"/>
          <w:szCs w:val="20"/>
        </w:rPr>
        <w:t xml:space="preserve"> zijn de Autoriteit Consument en Markt (Kamerstukken II 2011/12, 33186, nr. 3, p. 6), de Dienst Wegverkeer RDW, en de Autoriteit online Terroristisch en </w:t>
      </w:r>
      <w:proofErr w:type="spellStart"/>
      <w:r w:rsidRPr="001832DF">
        <w:rPr>
          <w:rFonts w:ascii="Times New Roman" w:hAnsi="Times New Roman" w:cs="Times New Roman"/>
          <w:i/>
          <w:iCs/>
          <w:sz w:val="20"/>
          <w:szCs w:val="20"/>
        </w:rPr>
        <w:t>Kinderpornografisch</w:t>
      </w:r>
      <w:proofErr w:type="spellEnd"/>
      <w:r w:rsidRPr="001832DF">
        <w:rPr>
          <w:rFonts w:ascii="Times New Roman" w:hAnsi="Times New Roman" w:cs="Times New Roman"/>
          <w:i/>
          <w:iCs/>
          <w:sz w:val="20"/>
          <w:szCs w:val="20"/>
        </w:rPr>
        <w:t xml:space="preserve"> Materiaal (Kamerstukken II 2021/22, 36138, nr. 3, p. 15). De ACM houdt mede toezicht op veiligheid, bijvoorbeeld artikel 15, eerste lid, van de Elektriciteitswet 1998.</w:t>
      </w:r>
    </w:p>
  </w:footnote>
  <w:footnote w:id="32">
    <w:p w14:paraId="6AC3D4C5"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 de ANVS wordt dit besproken in de toelichting bij de </w:t>
      </w:r>
      <w:proofErr w:type="spellStart"/>
      <w:r w:rsidRPr="001832DF">
        <w:rPr>
          <w:rFonts w:ascii="Times New Roman" w:hAnsi="Times New Roman" w:cs="Times New Roman"/>
          <w:i/>
          <w:iCs/>
          <w:sz w:val="20"/>
          <w:szCs w:val="20"/>
        </w:rPr>
        <w:t>Wwke</w:t>
      </w:r>
      <w:proofErr w:type="spellEnd"/>
      <w:r w:rsidRPr="001832DF">
        <w:rPr>
          <w:rFonts w:ascii="Times New Roman" w:hAnsi="Times New Roman" w:cs="Times New Roman"/>
          <w:i/>
          <w:iCs/>
          <w:sz w:val="20"/>
          <w:szCs w:val="20"/>
        </w:rPr>
        <w:t>, algemeen deel, paragraaf 7.8, ‘Ministerie van Klimaat en Groene Groei, Ministerie van Infrastructuur en Waterstaat en Ministerie van Volksgezondheid, Welzijn en Sport’.</w:t>
      </w:r>
    </w:p>
  </w:footnote>
  <w:footnote w:id="33">
    <w:p w14:paraId="75C67B74"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8, eerste lid, onderdeel g,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34">
    <w:p w14:paraId="5A7B14F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15, eerste lid,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35">
    <w:p w14:paraId="3EDF2882"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Memorie van toelichting, algemeen deel, paragraaf 9.14, ‘Uitvoerings- en handhaafbaarheidstoetsen’.</w:t>
      </w:r>
    </w:p>
  </w:footnote>
  <w:footnote w:id="36">
    <w:p w14:paraId="1221DD9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 artikel 64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37">
    <w:p w14:paraId="383EC5F1"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9, tweede lid, onderdeel g, van Verordening (EU) 2016/679 van het Europees Parlement en de Raad van 27 april 2016 betreffende de bescherming van natuurlijke personen in verband met de verwerking van persoonsgegevens en betreffende het vrije verkeer van die gegevens (</w:t>
      </w:r>
      <w:proofErr w:type="spellStart"/>
      <w:r w:rsidRPr="001832DF">
        <w:rPr>
          <w:rFonts w:ascii="Times New Roman" w:hAnsi="Times New Roman" w:cs="Times New Roman"/>
          <w:i/>
          <w:iCs/>
          <w:sz w:val="20"/>
          <w:szCs w:val="20"/>
        </w:rPr>
        <w:t>PbEU</w:t>
      </w:r>
      <w:proofErr w:type="spellEnd"/>
      <w:r w:rsidRPr="001832DF">
        <w:rPr>
          <w:rFonts w:ascii="Times New Roman" w:hAnsi="Times New Roman" w:cs="Times New Roman"/>
          <w:i/>
          <w:iCs/>
          <w:sz w:val="20"/>
          <w:szCs w:val="20"/>
        </w:rPr>
        <w:t xml:space="preserve"> 2016, L 119).</w:t>
      </w:r>
    </w:p>
  </w:footnote>
  <w:footnote w:id="38">
    <w:p w14:paraId="5B3C9174"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Artikelen 7 en 8 van het Handvest van de grondrechten van de EU; artikel 8 EVRM; artikel 10 van de Grondwet. Zie tevens overweging 51 van de considerans bij de AVG.</w:t>
      </w:r>
    </w:p>
  </w:footnote>
  <w:footnote w:id="39">
    <w:p w14:paraId="3DA5065A"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artikel 9, tweede lid, onderdeel g, AVG; EHRM 26 april 1979, </w:t>
      </w:r>
      <w:proofErr w:type="spellStart"/>
      <w:r w:rsidRPr="001832DF">
        <w:rPr>
          <w:rFonts w:ascii="Times New Roman" w:hAnsi="Times New Roman" w:cs="Times New Roman"/>
          <w:i/>
          <w:iCs/>
          <w:sz w:val="20"/>
          <w:szCs w:val="20"/>
        </w:rPr>
        <w:t>Sunday</w:t>
      </w:r>
      <w:proofErr w:type="spellEnd"/>
      <w:r w:rsidRPr="001832DF">
        <w:rPr>
          <w:rFonts w:ascii="Times New Roman" w:hAnsi="Times New Roman" w:cs="Times New Roman"/>
          <w:i/>
          <w:iCs/>
          <w:sz w:val="20"/>
          <w:szCs w:val="20"/>
        </w:rPr>
        <w:t xml:space="preserve"> Times t. Verenigd Koninkrijk (nr. 1), nr. 6538/74, ECLI:CE:ECHR:1979:0426JUD000653874, punt 49.</w:t>
      </w:r>
    </w:p>
  </w:footnote>
  <w:footnote w:id="40">
    <w:p w14:paraId="7EF1842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EHRM 29 april 2014, L.H. t. Letland, nr. 52019/07, ECLI:CE:ECHR:2014:0429JUD005201907, punten 58 en 59; EHRM 4 december 2008 (GK), S. en </w:t>
      </w:r>
      <w:proofErr w:type="spellStart"/>
      <w:r w:rsidRPr="001832DF">
        <w:rPr>
          <w:rFonts w:ascii="Times New Roman" w:hAnsi="Times New Roman" w:cs="Times New Roman"/>
          <w:i/>
          <w:iCs/>
          <w:sz w:val="20"/>
          <w:szCs w:val="20"/>
        </w:rPr>
        <w:t>Marper</w:t>
      </w:r>
      <w:proofErr w:type="spellEnd"/>
      <w:r w:rsidRPr="001832DF">
        <w:rPr>
          <w:rFonts w:ascii="Times New Roman" w:hAnsi="Times New Roman" w:cs="Times New Roman"/>
          <w:i/>
          <w:iCs/>
          <w:sz w:val="20"/>
          <w:szCs w:val="20"/>
        </w:rPr>
        <w:t xml:space="preserve"> t. Verenigd Koninkrijk, nr. 30562/04 en 30566/04, ECLI:CE:ECHR:2008:1204JUD003056204, punten 95 en 96. </w:t>
      </w:r>
    </w:p>
  </w:footnote>
  <w:footnote w:id="41">
    <w:p w14:paraId="1267EE17"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w:t>
      </w:r>
      <w:proofErr w:type="spellStart"/>
      <w:r w:rsidRPr="001832DF">
        <w:rPr>
          <w:rFonts w:ascii="Times New Roman" w:hAnsi="Times New Roman" w:cs="Times New Roman"/>
          <w:i/>
          <w:iCs/>
          <w:sz w:val="20"/>
          <w:szCs w:val="20"/>
        </w:rPr>
        <w:t>HvJEU</w:t>
      </w:r>
      <w:proofErr w:type="spellEnd"/>
      <w:r w:rsidRPr="001832DF">
        <w:rPr>
          <w:rFonts w:ascii="Times New Roman" w:hAnsi="Times New Roman" w:cs="Times New Roman"/>
          <w:i/>
          <w:iCs/>
          <w:sz w:val="20"/>
          <w:szCs w:val="20"/>
        </w:rPr>
        <w:t xml:space="preserve"> 8 april 2014, gevoegde zaken C‑293/12 en C‑594/12, Digital </w:t>
      </w:r>
      <w:proofErr w:type="spellStart"/>
      <w:r w:rsidRPr="001832DF">
        <w:rPr>
          <w:rFonts w:ascii="Times New Roman" w:hAnsi="Times New Roman" w:cs="Times New Roman"/>
          <w:i/>
          <w:iCs/>
          <w:sz w:val="20"/>
          <w:szCs w:val="20"/>
        </w:rPr>
        <w:t>Rights</w:t>
      </w:r>
      <w:proofErr w:type="spellEnd"/>
      <w:r w:rsidRPr="001832DF">
        <w:rPr>
          <w:rFonts w:ascii="Times New Roman" w:hAnsi="Times New Roman" w:cs="Times New Roman"/>
          <w:i/>
          <w:iCs/>
          <w:sz w:val="20"/>
          <w:szCs w:val="20"/>
        </w:rPr>
        <w:t xml:space="preserve"> Ireland, ECLI:EU:C:2014:238, punt 54.</w:t>
      </w:r>
    </w:p>
  </w:footnote>
  <w:footnote w:id="42">
    <w:p w14:paraId="3825B01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9, tweede lid, onderdeel g, AVG.</w:t>
      </w:r>
    </w:p>
  </w:footnote>
  <w:footnote w:id="43">
    <w:p w14:paraId="18E02923"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voorgesteld artikel 51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De voorgestelde artikelen 57 en 58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bevatten een afwijkende formulering en verbinden de verwerking van persoonsgegevens aan de samenwerking met de aldaar genoemde autoriteiten.</w:t>
      </w:r>
    </w:p>
  </w:footnote>
  <w:footnote w:id="44">
    <w:p w14:paraId="6A96D697"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bijvoorbeeld, voor de samenwerking tussen bevoegde autoriteiten op basis van het voorstel voor de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xml:space="preserve"> en de </w:t>
      </w:r>
      <w:proofErr w:type="spellStart"/>
      <w:r w:rsidRPr="001832DF">
        <w:rPr>
          <w:rFonts w:ascii="Times New Roman" w:hAnsi="Times New Roman" w:cs="Times New Roman"/>
          <w:i/>
          <w:iCs/>
          <w:sz w:val="20"/>
          <w:szCs w:val="20"/>
        </w:rPr>
        <w:t>Wwke</w:t>
      </w:r>
      <w:proofErr w:type="spellEnd"/>
      <w:r w:rsidRPr="001832DF">
        <w:rPr>
          <w:rFonts w:ascii="Times New Roman" w:hAnsi="Times New Roman" w:cs="Times New Roman"/>
          <w:i/>
          <w:iCs/>
          <w:sz w:val="20"/>
          <w:szCs w:val="20"/>
        </w:rPr>
        <w:t xml:space="preserve">, voorgesteld artikel 56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45">
    <w:p w14:paraId="37B34582"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Toelichting, paragraaf 9.11 (CSIRT), onder “Taken van het CSIRT”.</w:t>
      </w:r>
    </w:p>
  </w:footnote>
  <w:footnote w:id="46">
    <w:p w14:paraId="737E6038"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3:4, tweede lid, </w:t>
      </w:r>
      <w:proofErr w:type="spellStart"/>
      <w:r w:rsidRPr="001832DF">
        <w:rPr>
          <w:rFonts w:ascii="Times New Roman" w:hAnsi="Times New Roman" w:cs="Times New Roman"/>
          <w:i/>
          <w:iCs/>
          <w:sz w:val="20"/>
          <w:szCs w:val="20"/>
        </w:rPr>
        <w:t>Awb</w:t>
      </w:r>
      <w:proofErr w:type="spellEnd"/>
      <w:r w:rsidRPr="001832DF">
        <w:rPr>
          <w:rFonts w:ascii="Times New Roman" w:hAnsi="Times New Roman" w:cs="Times New Roman"/>
          <w:i/>
          <w:iCs/>
          <w:sz w:val="20"/>
          <w:szCs w:val="20"/>
        </w:rPr>
        <w:t>. Zie de memorie van toelichting, algemeen deel, paragraaf 5.9, ‘Rechtsbescherming en vereisten aan besluiten’, en de transponeringstabel.</w:t>
      </w:r>
    </w:p>
  </w:footnote>
  <w:footnote w:id="47">
    <w:p w14:paraId="523E35EF"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288, derde alinea, VWEU.</w:t>
      </w:r>
    </w:p>
  </w:footnote>
  <w:footnote w:id="48">
    <w:p w14:paraId="37A7F9C0"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w:t>
      </w:r>
      <w:proofErr w:type="spellStart"/>
      <w:r w:rsidRPr="001832DF">
        <w:rPr>
          <w:rFonts w:ascii="Times New Roman" w:hAnsi="Times New Roman" w:cs="Times New Roman"/>
          <w:i/>
          <w:iCs/>
          <w:sz w:val="20"/>
          <w:szCs w:val="20"/>
        </w:rPr>
        <w:t>HvJEU</w:t>
      </w:r>
      <w:proofErr w:type="spellEnd"/>
      <w:r w:rsidRPr="001832DF">
        <w:rPr>
          <w:rFonts w:ascii="Times New Roman" w:hAnsi="Times New Roman" w:cs="Times New Roman"/>
          <w:i/>
          <w:iCs/>
          <w:sz w:val="20"/>
          <w:szCs w:val="20"/>
        </w:rPr>
        <w:t xml:space="preserve"> 11 juni 2015, zaak C-29/14, Commissie t. Polen, ECLI:EU:C:2015:379, punten 37 en 38.</w:t>
      </w:r>
    </w:p>
  </w:footnote>
  <w:footnote w:id="49">
    <w:p w14:paraId="4225121E"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Zie ook de Handleiding Wetgeving en Europa, p. 21.</w:t>
      </w:r>
    </w:p>
  </w:footnote>
  <w:footnote w:id="50">
    <w:p w14:paraId="2334DAC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In het geval van een schorsing, welke sanctie is opgenomen in voorgesteld artikel 77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 komen deze waarborgen toe aan de bestuursleden van de essentiële entiteit.</w:t>
      </w:r>
    </w:p>
  </w:footnote>
  <w:footnote w:id="51">
    <w:p w14:paraId="3DBA8C0A"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Voorgestelde artikelen 66 en 100 </w:t>
      </w:r>
      <w:proofErr w:type="spellStart"/>
      <w:r w:rsidRPr="001832DF">
        <w:rPr>
          <w:rFonts w:ascii="Times New Roman" w:hAnsi="Times New Roman" w:cs="Times New Roman"/>
          <w:i/>
          <w:iCs/>
          <w:sz w:val="20"/>
          <w:szCs w:val="20"/>
        </w:rPr>
        <w:t>Cbw</w:t>
      </w:r>
      <w:proofErr w:type="spellEnd"/>
      <w:r w:rsidRPr="001832DF">
        <w:rPr>
          <w:rFonts w:ascii="Times New Roman" w:hAnsi="Times New Roman" w:cs="Times New Roman"/>
          <w:i/>
          <w:iCs/>
          <w:sz w:val="20"/>
          <w:szCs w:val="20"/>
        </w:rPr>
        <w:t>.</w:t>
      </w:r>
    </w:p>
  </w:footnote>
  <w:footnote w:id="52">
    <w:p w14:paraId="389B43DC"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Aanwijzing 2.46 van de Aanwijzingen voor de regelgeving.</w:t>
      </w:r>
    </w:p>
  </w:footnote>
  <w:footnote w:id="53">
    <w:p w14:paraId="37871BCD"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5.1, eerste lid, onderdelen b, c en d, en tweede lid, onderdelen e en f, </w:t>
      </w:r>
      <w:proofErr w:type="spellStart"/>
      <w:r w:rsidRPr="001832DF">
        <w:rPr>
          <w:rFonts w:ascii="Times New Roman" w:hAnsi="Times New Roman" w:cs="Times New Roman"/>
          <w:i/>
          <w:iCs/>
          <w:sz w:val="20"/>
          <w:szCs w:val="20"/>
        </w:rPr>
        <w:t>Woo</w:t>
      </w:r>
      <w:proofErr w:type="spellEnd"/>
      <w:r w:rsidRPr="001832DF">
        <w:rPr>
          <w:rFonts w:ascii="Times New Roman" w:hAnsi="Times New Roman" w:cs="Times New Roman"/>
          <w:i/>
          <w:iCs/>
          <w:sz w:val="20"/>
          <w:szCs w:val="20"/>
        </w:rPr>
        <w:t>.</w:t>
      </w:r>
    </w:p>
  </w:footnote>
  <w:footnote w:id="54">
    <w:p w14:paraId="554248E2" w14:textId="77777777" w:rsidR="001832DF" w:rsidRPr="001832DF" w:rsidRDefault="001832DF" w:rsidP="001832DF">
      <w:pPr>
        <w:pStyle w:val="Geenafstand"/>
        <w:rPr>
          <w:rFonts w:ascii="Times New Roman" w:hAnsi="Times New Roman" w:cs="Times New Roman"/>
          <w:i/>
          <w:iCs/>
          <w:sz w:val="20"/>
          <w:szCs w:val="20"/>
        </w:rPr>
      </w:pPr>
      <w:r w:rsidRPr="001832DF">
        <w:rPr>
          <w:rStyle w:val="Voetnootmarkering"/>
          <w:rFonts w:ascii="Times New Roman" w:hAnsi="Times New Roman" w:cs="Times New Roman"/>
          <w:i/>
          <w:iCs/>
          <w:sz w:val="20"/>
          <w:szCs w:val="20"/>
        </w:rPr>
        <w:footnoteRef/>
      </w:r>
      <w:r w:rsidRPr="001832DF">
        <w:rPr>
          <w:rFonts w:ascii="Times New Roman" w:hAnsi="Times New Roman" w:cs="Times New Roman"/>
          <w:i/>
          <w:iCs/>
          <w:sz w:val="20"/>
          <w:szCs w:val="20"/>
        </w:rPr>
        <w:t xml:space="preserve"> Artikel 2, dertiende lid, NIS2-richtlijn.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8E"/>
    <w:rsid w:val="000A73CB"/>
    <w:rsid w:val="001832DF"/>
    <w:rsid w:val="00187EF3"/>
    <w:rsid w:val="001C0EB6"/>
    <w:rsid w:val="00212071"/>
    <w:rsid w:val="002234F9"/>
    <w:rsid w:val="00244AA3"/>
    <w:rsid w:val="002B3CFE"/>
    <w:rsid w:val="002C313D"/>
    <w:rsid w:val="002C5C9B"/>
    <w:rsid w:val="002F1F47"/>
    <w:rsid w:val="00311EC2"/>
    <w:rsid w:val="003D1E89"/>
    <w:rsid w:val="00414CF8"/>
    <w:rsid w:val="004742EF"/>
    <w:rsid w:val="00500F90"/>
    <w:rsid w:val="00557F24"/>
    <w:rsid w:val="005A60A9"/>
    <w:rsid w:val="005F3B8E"/>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101D9"/>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AA710"/>
  <w15:docId w15:val="{0F13F2ED-B96B-4B69-A9EF-715747A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BVI fn"/>
    <w:basedOn w:val="Standaardalinea-lettertype"/>
    <w:link w:val="FootnoteReferenceCharChar1"/>
    <w:uiPriority w:val="99"/>
    <w:unhideWhenUsed/>
    <w:qFormat/>
    <w:rsid w:val="005F3B8E"/>
    <w:rPr>
      <w:vertAlign w:val="superscript"/>
    </w:rPr>
  </w:style>
  <w:style w:type="table" w:styleId="Tabelraster">
    <w:name w:val="Table Grid"/>
    <w:uiPriority w:val="39"/>
    <w:rsid w:val="001832DF"/>
    <w:pPr>
      <w:autoSpaceDN w:val="0"/>
      <w:textAlignment w:val="baseline"/>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Geenafstand">
    <w:name w:val="No Spacing"/>
    <w:uiPriority w:val="1"/>
    <w:qFormat/>
    <w:rsid w:val="001832DF"/>
    <w:rPr>
      <w:rFonts w:asciiTheme="minorHAnsi" w:eastAsiaTheme="minorHAnsi" w:hAnsiTheme="minorHAnsi" w:cstheme="minorBidi"/>
      <w:kern w:val="2"/>
      <w:sz w:val="22"/>
      <w:szCs w:val="22"/>
      <w:lang w:eastAsia="en-US"/>
      <w14:ligatures w14:val="standardContextua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832DF"/>
    <w:pPr>
      <w:widowControl/>
      <w:autoSpaceDE w:val="0"/>
      <w:autoSpaceDN w:val="0"/>
      <w:spacing w:after="160" w:line="240" w:lineRule="exact"/>
      <w:jc w:val="both"/>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7365</ap:Words>
  <ap:Characters>44256</ap:Characters>
  <ap:DocSecurity>0</ap:DocSecurity>
  <ap:Lines>368</ap:Lines>
  <ap:Paragraphs>103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51518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2025-06-04T12:59:00.0000000Z</lastPrinted>
  <dcterms:created xsi:type="dcterms:W3CDTF">2025-06-05T06:48:00.0000000Z</dcterms:created>
  <dcterms:modified xsi:type="dcterms:W3CDTF">2025-06-05T06:48:00.0000000Z</dcterms:modified>
  <dc:description>------------------------</dc:description>
  <dc:subject/>
  <keywords/>
  <version/>
  <category/>
</coreProperties>
</file>