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26244" w:rsidR="00E37581" w:rsidP="00B1584A" w:rsidRDefault="00E37581" w14:paraId="6F96E595" w14:textId="5FC8307C">
      <w:pPr>
        <w:spacing w:after="0" w:line="276" w:lineRule="auto"/>
        <w:rPr>
          <w:b/>
          <w:szCs w:val="18"/>
          <w:lang w:val="nl-NL"/>
        </w:rPr>
      </w:pPr>
      <w:r w:rsidRPr="00826244">
        <w:rPr>
          <w:b/>
          <w:szCs w:val="18"/>
          <w:lang w:val="nl-NL"/>
        </w:rPr>
        <w:t>Verslag Raad Algemene Zaken van</w:t>
      </w:r>
      <w:r w:rsidRPr="00826244" w:rsidR="00A81C4F">
        <w:rPr>
          <w:b/>
          <w:szCs w:val="18"/>
          <w:lang w:val="nl-NL"/>
        </w:rPr>
        <w:t xml:space="preserve"> </w:t>
      </w:r>
      <w:r w:rsidRPr="00826244">
        <w:rPr>
          <w:b/>
          <w:szCs w:val="18"/>
          <w:lang w:val="nl-NL"/>
        </w:rPr>
        <w:t xml:space="preserve">27 mei 2025 </w:t>
      </w:r>
    </w:p>
    <w:p w:rsidRPr="00826244" w:rsidR="00A81C4F" w:rsidP="00826244" w:rsidRDefault="00E37581" w14:paraId="0F345F34" w14:textId="5D249538">
      <w:pPr>
        <w:spacing w:line="276" w:lineRule="auto"/>
        <w:rPr>
          <w:b/>
          <w:szCs w:val="18"/>
          <w:lang w:val="nl-NL"/>
        </w:rPr>
      </w:pPr>
      <w:r w:rsidRPr="00826244">
        <w:rPr>
          <w:bCs/>
          <w:szCs w:val="18"/>
          <w:lang w:val="nl-NL" w:eastAsia="ja-JP"/>
        </w:rPr>
        <w:t xml:space="preserve">Op </w:t>
      </w:r>
      <w:r w:rsidRPr="00826244" w:rsidR="00664AAF">
        <w:rPr>
          <w:bCs/>
          <w:szCs w:val="18"/>
          <w:lang w:val="nl-NL" w:eastAsia="ja-JP"/>
        </w:rPr>
        <w:t xml:space="preserve">27 mei jl. vond de Raad Algemene </w:t>
      </w:r>
      <w:r w:rsidRPr="00826244" w:rsidR="00447AC6">
        <w:rPr>
          <w:bCs/>
          <w:szCs w:val="18"/>
          <w:lang w:val="nl-NL" w:eastAsia="ja-JP"/>
        </w:rPr>
        <w:t xml:space="preserve">Zaken </w:t>
      </w:r>
      <w:r w:rsidRPr="00826244" w:rsidR="00664AAF">
        <w:rPr>
          <w:bCs/>
          <w:szCs w:val="18"/>
          <w:lang w:val="nl-NL" w:eastAsia="ja-JP"/>
        </w:rPr>
        <w:t>plaats in Brussel. Op de agenda stond de verordening mechanisme voor koolstofcorrectie aan de grens, de voorbereiding van de Europese Raad</w:t>
      </w:r>
      <w:r w:rsidRPr="00826244" w:rsidR="007178CF">
        <w:rPr>
          <w:bCs/>
          <w:szCs w:val="18"/>
          <w:lang w:val="nl-NL" w:eastAsia="ja-JP"/>
        </w:rPr>
        <w:t xml:space="preserve"> (ER)</w:t>
      </w:r>
      <w:r w:rsidRPr="00826244" w:rsidR="00664AAF">
        <w:rPr>
          <w:bCs/>
          <w:szCs w:val="18"/>
          <w:lang w:val="nl-NL" w:eastAsia="ja-JP"/>
        </w:rPr>
        <w:t xml:space="preserve"> van 26-27 juni a.s., het voorstel voor aanpassing van de verordening </w:t>
      </w:r>
      <w:r w:rsidRPr="00826244" w:rsidR="003868B2">
        <w:rPr>
          <w:bCs/>
          <w:szCs w:val="18"/>
          <w:lang w:val="nl-NL" w:eastAsia="ja-JP"/>
        </w:rPr>
        <w:t>over officiële EU-talen</w:t>
      </w:r>
      <w:r w:rsidRPr="00826244" w:rsidR="00664AAF">
        <w:rPr>
          <w:bCs/>
          <w:szCs w:val="18"/>
          <w:lang w:val="nl-NL" w:eastAsia="ja-JP"/>
        </w:rPr>
        <w:t xml:space="preserve">, de voorzitterschapsconclusies over democratische weerbaarheid, de artikel 7-procedure aangaande Hongarije en de landenspecifieke rechtsstaatdialoog. Voorafgaand aan de Raad vond een ontbijt plaats met de </w:t>
      </w:r>
      <w:r w:rsidRPr="00826244" w:rsidR="00664AAF">
        <w:rPr>
          <w:bCs/>
          <w:i/>
          <w:iCs/>
          <w:szCs w:val="18"/>
          <w:lang w:val="nl-NL" w:eastAsia="ja-JP"/>
        </w:rPr>
        <w:t xml:space="preserve">Ministers </w:t>
      </w:r>
      <w:r w:rsidRPr="00826244" w:rsidR="0089451F">
        <w:rPr>
          <w:bCs/>
          <w:i/>
          <w:iCs/>
          <w:szCs w:val="18"/>
          <w:lang w:val="nl-NL" w:eastAsia="ja-JP"/>
        </w:rPr>
        <w:t>for</w:t>
      </w:r>
      <w:r w:rsidRPr="00826244" w:rsidR="00664AAF">
        <w:rPr>
          <w:bCs/>
          <w:i/>
          <w:iCs/>
          <w:szCs w:val="18"/>
          <w:lang w:val="nl-NL" w:eastAsia="ja-JP"/>
        </w:rPr>
        <w:t xml:space="preserve"> the Future</w:t>
      </w:r>
      <w:r w:rsidRPr="00826244" w:rsidR="00664AAF">
        <w:rPr>
          <w:bCs/>
          <w:szCs w:val="18"/>
          <w:lang w:val="nl-NL" w:eastAsia="ja-JP"/>
        </w:rPr>
        <w:t xml:space="preserve"> en er </w:t>
      </w:r>
      <w:r w:rsidRPr="00826244" w:rsidR="00731D8D">
        <w:rPr>
          <w:bCs/>
          <w:szCs w:val="18"/>
          <w:lang w:val="nl-NL" w:eastAsia="ja-JP"/>
        </w:rPr>
        <w:t>wa</w:t>
      </w:r>
      <w:r w:rsidRPr="00826244" w:rsidR="00664AAF">
        <w:rPr>
          <w:bCs/>
          <w:szCs w:val="18"/>
          <w:lang w:val="nl-NL" w:eastAsia="ja-JP"/>
        </w:rPr>
        <w:t>s een lunch over democratische weerbaarheid. De Minister van Buitenlandse Zaken was verhinderd; Nederland werd vertegenwoordigd door zijn Permanent Vertegenwoordiger bij de EU.</w:t>
      </w:r>
      <w:r w:rsidRPr="00826244" w:rsidR="00B238E1">
        <w:rPr>
          <w:bCs/>
          <w:szCs w:val="18"/>
          <w:lang w:val="nl-NL" w:eastAsia="ja-JP"/>
        </w:rPr>
        <w:t xml:space="preserve"> In de </w:t>
      </w:r>
      <w:r w:rsidRPr="00F82831" w:rsidR="00B238E1">
        <w:rPr>
          <w:bCs/>
          <w:szCs w:val="18"/>
          <w:lang w:val="nl-NL" w:eastAsia="ja-JP"/>
        </w:rPr>
        <w:t xml:space="preserve">geannoteerde agenda voor deze Raad stond nog niet vermeld dat gesproken zou worden over de aanpassing van de verordening over officiële EU-talen: dit punt is op verzoek van Spanje later aan de agenda toegevoegd. </w:t>
      </w:r>
      <w:r w:rsidRPr="00F82831" w:rsidR="00F7135A">
        <w:rPr>
          <w:bCs/>
          <w:szCs w:val="18"/>
          <w:lang w:val="nl-NL" w:eastAsia="ja-JP"/>
        </w:rPr>
        <w:t xml:space="preserve">Dit geldt ook voor het </w:t>
      </w:r>
      <w:bookmarkStart w:name="_Hlk199752395" w:id="0"/>
      <w:r w:rsidRPr="00F82831" w:rsidR="0015083A">
        <w:rPr>
          <w:bCs/>
          <w:szCs w:val="18"/>
          <w:lang w:val="nl-NL" w:eastAsia="ja-JP"/>
        </w:rPr>
        <w:t xml:space="preserve">overige agendapunt (“AOB”) </w:t>
      </w:r>
      <w:bookmarkEnd w:id="0"/>
      <w:r w:rsidRPr="00F82831" w:rsidR="00F7135A">
        <w:rPr>
          <w:bCs/>
          <w:szCs w:val="18"/>
          <w:lang w:val="nl-NL" w:eastAsia="ja-JP"/>
        </w:rPr>
        <w:t xml:space="preserve">over </w:t>
      </w:r>
      <w:r w:rsidRPr="00F82831" w:rsidR="00F7135A">
        <w:rPr>
          <w:bCs/>
          <w:i/>
          <w:iCs/>
          <w:szCs w:val="18"/>
          <w:lang w:val="nl-NL" w:eastAsia="ja-JP"/>
        </w:rPr>
        <w:t>Radio Free Europe/Radio Liberty</w:t>
      </w:r>
      <w:r w:rsidRPr="00F82831" w:rsidR="001826D4">
        <w:rPr>
          <w:bCs/>
          <w:i/>
          <w:iCs/>
          <w:szCs w:val="18"/>
          <w:lang w:val="nl-NL" w:eastAsia="ja-JP"/>
        </w:rPr>
        <w:t>,</w:t>
      </w:r>
      <w:r w:rsidRPr="00F82831" w:rsidR="00F7135A">
        <w:rPr>
          <w:bCs/>
          <w:szCs w:val="18"/>
          <w:lang w:val="nl-NL" w:eastAsia="ja-JP"/>
        </w:rPr>
        <w:t xml:space="preserve"> op verzoek van Tsjechië.</w:t>
      </w:r>
    </w:p>
    <w:p w:rsidRPr="00F82831" w:rsidR="00CE69A2" w:rsidP="00826244" w:rsidRDefault="00670BFD" w14:paraId="0B7C3F9F" w14:textId="69737CE2">
      <w:pPr>
        <w:spacing w:line="276" w:lineRule="auto"/>
        <w:rPr>
          <w:rFonts w:cs="Times New Roman"/>
          <w:szCs w:val="18"/>
          <w:lang w:val="nl-NL" w:eastAsia="ja-JP"/>
        </w:rPr>
      </w:pPr>
      <w:r w:rsidRPr="00826244">
        <w:rPr>
          <w:b/>
          <w:szCs w:val="18"/>
          <w:lang w:val="nl-NL" w:eastAsia="ja-JP"/>
        </w:rPr>
        <w:t>Mechanisme voor koolstofcorrectie aan de grens</w:t>
      </w:r>
      <w:r w:rsidRPr="00826244" w:rsidR="00A81C4F">
        <w:rPr>
          <w:rFonts w:eastAsia="Malgun Gothic"/>
          <w:b/>
          <w:szCs w:val="18"/>
          <w:lang w:val="nl-NL" w:eastAsia="ko-KR"/>
        </w:rPr>
        <w:tab/>
      </w:r>
      <w:r w:rsidRPr="00826244" w:rsidR="00A81C4F">
        <w:rPr>
          <w:rFonts w:eastAsia="Malgun Gothic"/>
          <w:b/>
          <w:szCs w:val="18"/>
          <w:lang w:val="nl-NL" w:eastAsia="ko-KR"/>
        </w:rPr>
        <w:tab/>
      </w:r>
      <w:r w:rsidRPr="00826244" w:rsidR="00A81C4F">
        <w:rPr>
          <w:rFonts w:eastAsia="Malgun Gothic"/>
          <w:b/>
          <w:szCs w:val="18"/>
          <w:lang w:val="nl-NL" w:eastAsia="ko-KR"/>
        </w:rPr>
        <w:tab/>
      </w:r>
      <w:r w:rsidRPr="00826244" w:rsidR="00A81C4F">
        <w:rPr>
          <w:rFonts w:eastAsia="Malgun Gothic"/>
          <w:b/>
          <w:szCs w:val="18"/>
          <w:lang w:val="nl-NL" w:eastAsia="ko-KR"/>
        </w:rPr>
        <w:tab/>
      </w:r>
      <w:r w:rsidRPr="00826244" w:rsidR="00A81C4F">
        <w:rPr>
          <w:rFonts w:eastAsia="Malgun Gothic"/>
          <w:b/>
          <w:szCs w:val="18"/>
          <w:lang w:val="nl-NL" w:eastAsia="ko-KR"/>
        </w:rPr>
        <w:tab/>
      </w:r>
      <w:r w:rsidRPr="00826244" w:rsidR="001134AD">
        <w:rPr>
          <w:rFonts w:cs="Times New Roman"/>
          <w:szCs w:val="18"/>
          <w:lang w:val="nl-NL" w:eastAsia="ja-JP"/>
        </w:rPr>
        <w:br/>
        <w:t>De Raad stelde een algemene oriëntatie</w:t>
      </w:r>
      <w:r w:rsidRPr="00826244" w:rsidR="00EE6963">
        <w:rPr>
          <w:rStyle w:val="FootnoteReference"/>
          <w:rFonts w:cs="Times New Roman"/>
          <w:szCs w:val="18"/>
          <w:lang w:val="nl-NL" w:eastAsia="ja-JP"/>
        </w:rPr>
        <w:footnoteReference w:id="2"/>
      </w:r>
      <w:r w:rsidRPr="00826244" w:rsidR="001134AD">
        <w:rPr>
          <w:rFonts w:cs="Times New Roman"/>
          <w:szCs w:val="18"/>
          <w:lang w:val="nl-NL" w:eastAsia="ja-JP"/>
        </w:rPr>
        <w:t xml:space="preserve"> vast over de verordening </w:t>
      </w:r>
      <w:r w:rsidRPr="00826244" w:rsidR="002310BA">
        <w:rPr>
          <w:rFonts w:cs="Times New Roman"/>
          <w:szCs w:val="18"/>
          <w:lang w:val="nl-NL" w:eastAsia="ja-JP"/>
        </w:rPr>
        <w:t>ter</w:t>
      </w:r>
      <w:r w:rsidRPr="00826244" w:rsidR="001134AD">
        <w:rPr>
          <w:rFonts w:cs="Times New Roman"/>
          <w:szCs w:val="18"/>
          <w:lang w:val="nl-NL" w:eastAsia="ja-JP"/>
        </w:rPr>
        <w:t xml:space="preserve"> vereenvoudiging </w:t>
      </w:r>
      <w:r w:rsidRPr="00826244" w:rsidR="002310BA">
        <w:rPr>
          <w:rFonts w:cs="Times New Roman"/>
          <w:szCs w:val="18"/>
          <w:lang w:val="nl-NL" w:eastAsia="ja-JP"/>
        </w:rPr>
        <w:t xml:space="preserve">van het </w:t>
      </w:r>
      <w:r w:rsidRPr="00826244" w:rsidR="001134AD">
        <w:rPr>
          <w:rFonts w:cs="Times New Roman"/>
          <w:i/>
          <w:iCs/>
          <w:szCs w:val="18"/>
          <w:lang w:val="nl-NL" w:eastAsia="ja-JP"/>
        </w:rPr>
        <w:t>Carbon Border Adjustment Mechanism</w:t>
      </w:r>
      <w:r w:rsidRPr="00826244" w:rsidR="001134AD">
        <w:rPr>
          <w:rFonts w:cs="Times New Roman"/>
          <w:szCs w:val="18"/>
          <w:lang w:val="nl-NL" w:eastAsia="ja-JP"/>
        </w:rPr>
        <w:t xml:space="preserve"> (CBAM) uit Omnibus I. </w:t>
      </w:r>
      <w:r w:rsidRPr="00826244" w:rsidR="000D556F">
        <w:rPr>
          <w:rFonts w:cs="Times New Roman"/>
          <w:szCs w:val="18"/>
          <w:lang w:val="nl-NL" w:eastAsia="ja-JP"/>
        </w:rPr>
        <w:t xml:space="preserve">In navolging van het akkoord in het Europees Parlement op 21 mei jl. zullen </w:t>
      </w:r>
      <w:r w:rsidRPr="00826244" w:rsidR="00540564">
        <w:rPr>
          <w:rFonts w:cs="Times New Roman"/>
          <w:szCs w:val="18"/>
          <w:lang w:val="nl-NL" w:eastAsia="ja-JP"/>
        </w:rPr>
        <w:t xml:space="preserve">de trilogen </w:t>
      </w:r>
      <w:r w:rsidRPr="00826244" w:rsidR="000D556F">
        <w:rPr>
          <w:rFonts w:cs="Times New Roman"/>
          <w:szCs w:val="18"/>
          <w:lang w:val="nl-NL" w:eastAsia="ja-JP"/>
        </w:rPr>
        <w:t xml:space="preserve">waarschijnlijk </w:t>
      </w:r>
      <w:r w:rsidRPr="00826244" w:rsidR="00540564">
        <w:rPr>
          <w:rFonts w:cs="Times New Roman"/>
          <w:szCs w:val="18"/>
          <w:lang w:val="nl-NL" w:eastAsia="ja-JP"/>
        </w:rPr>
        <w:t xml:space="preserve">op 2 juni beginnen. </w:t>
      </w:r>
      <w:r w:rsidRPr="00826244" w:rsidR="001134AD">
        <w:rPr>
          <w:rFonts w:cs="Times New Roman"/>
          <w:szCs w:val="18"/>
          <w:lang w:val="nl-NL" w:eastAsia="ja-JP"/>
        </w:rPr>
        <w:t xml:space="preserve">Het kabinet is positief over het bereikte akkoord met grote vereenvoudigingen, zonder afbreuk te doen aan de beleidsdoelstellingen van CBAM. </w:t>
      </w:r>
      <w:r w:rsidRPr="00826244" w:rsidR="00B238E1">
        <w:rPr>
          <w:rFonts w:cs="Times New Roman"/>
          <w:szCs w:val="18"/>
          <w:lang w:val="nl-NL" w:eastAsia="ja-JP"/>
        </w:rPr>
        <w:t>Met de hogere drempelwaarde in het huidige voorstel wordt ongeveer 90% van de Europese importeurs vrijgesteld van hun CBAM-verplichtingen terwijl 99% van de CO2</w:t>
      </w:r>
      <w:r w:rsidRPr="00826244" w:rsidR="00F7135A">
        <w:rPr>
          <w:rFonts w:cs="Times New Roman"/>
          <w:szCs w:val="18"/>
          <w:lang w:val="nl-NL" w:eastAsia="ja-JP"/>
        </w:rPr>
        <w:t>-</w:t>
      </w:r>
      <w:r w:rsidRPr="00826244" w:rsidR="00B238E1">
        <w:rPr>
          <w:rFonts w:cs="Times New Roman"/>
          <w:szCs w:val="18"/>
          <w:lang w:val="nl-NL" w:eastAsia="ja-JP"/>
        </w:rPr>
        <w:t xml:space="preserve">uitstoot gekoppeld aan de invoer van </w:t>
      </w:r>
      <w:proofErr w:type="spellStart"/>
      <w:r w:rsidRPr="00826244" w:rsidR="00B238E1">
        <w:rPr>
          <w:rFonts w:cs="Times New Roman"/>
          <w:szCs w:val="18"/>
          <w:lang w:val="nl-NL" w:eastAsia="ja-JP"/>
        </w:rPr>
        <w:t>koolstofintensieve</w:t>
      </w:r>
      <w:proofErr w:type="spellEnd"/>
      <w:r w:rsidRPr="00826244" w:rsidR="00B238E1">
        <w:rPr>
          <w:rFonts w:cs="Times New Roman"/>
          <w:szCs w:val="18"/>
          <w:lang w:val="nl-NL" w:eastAsia="ja-JP"/>
        </w:rPr>
        <w:t xml:space="preserve"> producten ondervangen blijft. </w:t>
      </w:r>
      <w:r w:rsidRPr="00826244" w:rsidR="001134AD">
        <w:rPr>
          <w:rFonts w:cs="Times New Roman"/>
          <w:szCs w:val="18"/>
          <w:lang w:val="nl-NL" w:eastAsia="ja-JP"/>
        </w:rPr>
        <w:t xml:space="preserve">De kabinetsinzet inzake </w:t>
      </w:r>
      <w:r w:rsidRPr="00826244" w:rsidR="00C623CE">
        <w:rPr>
          <w:rFonts w:cs="Times New Roman"/>
          <w:szCs w:val="18"/>
          <w:lang w:val="nl-NL" w:eastAsia="ja-JP"/>
        </w:rPr>
        <w:t>vind</w:t>
      </w:r>
      <w:r w:rsidRPr="00826244" w:rsidR="005D4004">
        <w:rPr>
          <w:rFonts w:cs="Times New Roman"/>
          <w:szCs w:val="18"/>
          <w:lang w:val="nl-NL" w:eastAsia="ja-JP"/>
        </w:rPr>
        <w:t>t</w:t>
      </w:r>
      <w:r w:rsidRPr="00826244" w:rsidR="00C623CE">
        <w:rPr>
          <w:rFonts w:cs="Times New Roman"/>
          <w:szCs w:val="18"/>
          <w:lang w:val="nl-NL" w:eastAsia="ja-JP"/>
        </w:rPr>
        <w:t xml:space="preserve"> u</w:t>
      </w:r>
      <w:r w:rsidRPr="00826244" w:rsidR="001134AD">
        <w:rPr>
          <w:rFonts w:cs="Times New Roman"/>
          <w:szCs w:val="18"/>
          <w:lang w:val="nl-NL" w:eastAsia="ja-JP"/>
        </w:rPr>
        <w:t xml:space="preserve"> in het BNC-fiche van 24 </w:t>
      </w:r>
      <w:r w:rsidRPr="00826244" w:rsidR="00EC2430">
        <w:rPr>
          <w:rFonts w:cs="Times New Roman"/>
          <w:szCs w:val="18"/>
          <w:lang w:val="nl-NL" w:eastAsia="ja-JP"/>
        </w:rPr>
        <w:t>maart</w:t>
      </w:r>
      <w:r w:rsidRPr="00826244" w:rsidR="001134AD">
        <w:rPr>
          <w:rFonts w:cs="Times New Roman"/>
          <w:szCs w:val="18"/>
          <w:lang w:val="nl-NL" w:eastAsia="ja-JP"/>
        </w:rPr>
        <w:t xml:space="preserve"> jl.</w:t>
      </w:r>
      <w:r w:rsidRPr="00826244" w:rsidR="001134AD">
        <w:rPr>
          <w:rFonts w:cs="Times New Roman"/>
          <w:szCs w:val="18"/>
          <w:vertAlign w:val="superscript"/>
          <w:lang w:val="nl-NL" w:eastAsia="ja-JP"/>
        </w:rPr>
        <w:footnoteReference w:id="3"/>
      </w:r>
      <w:r w:rsidRPr="00826244" w:rsidR="00175DBF">
        <w:rPr>
          <w:rFonts w:cs="Times New Roman"/>
          <w:szCs w:val="18"/>
          <w:lang w:val="nl-NL" w:eastAsia="ja-JP"/>
        </w:rPr>
        <w:br/>
      </w:r>
      <w:r w:rsidRPr="00826244" w:rsidR="00175DBF">
        <w:rPr>
          <w:rFonts w:cs="Times New Roman"/>
          <w:szCs w:val="18"/>
          <w:lang w:val="nl-NL" w:eastAsia="ja-JP"/>
        </w:rPr>
        <w:br/>
      </w:r>
      <w:r w:rsidRPr="00826244" w:rsidR="004C2EBD">
        <w:rPr>
          <w:b/>
          <w:szCs w:val="18"/>
          <w:lang w:val="nl-NL" w:eastAsia="ja-JP"/>
        </w:rPr>
        <w:t xml:space="preserve">Voorbereiding Europese Raad </w:t>
      </w:r>
      <w:r w:rsidRPr="00826244" w:rsidR="004C2EBD">
        <w:rPr>
          <w:rFonts w:cs="Times New Roman"/>
          <w:b/>
          <w:szCs w:val="18"/>
          <w:lang w:val="nl-NL" w:eastAsia="ja-JP"/>
        </w:rPr>
        <w:br/>
      </w:r>
      <w:r w:rsidRPr="00826244" w:rsidR="004C2EBD">
        <w:rPr>
          <w:rFonts w:cs="Times New Roman"/>
          <w:szCs w:val="18"/>
          <w:lang w:val="nl-NL" w:eastAsia="ja-JP"/>
        </w:rPr>
        <w:t xml:space="preserve">De Raad besprak de </w:t>
      </w:r>
      <w:r w:rsidRPr="00826244" w:rsidR="007178CF">
        <w:rPr>
          <w:rFonts w:cs="Times New Roman"/>
          <w:szCs w:val="18"/>
          <w:lang w:val="nl-NL" w:eastAsia="ja-JP"/>
        </w:rPr>
        <w:t xml:space="preserve">ER </w:t>
      </w:r>
      <w:r w:rsidRPr="00826244" w:rsidR="004C2EBD">
        <w:rPr>
          <w:rFonts w:cs="Times New Roman"/>
          <w:szCs w:val="18"/>
          <w:lang w:val="nl-NL" w:eastAsia="ja-JP"/>
        </w:rPr>
        <w:t>van 26 en 27 juni a.s. aan de hand van de geannoteerde conceptagenda</w:t>
      </w:r>
      <w:r w:rsidRPr="00826244" w:rsidR="00D550CA">
        <w:rPr>
          <w:rFonts w:cs="Times New Roman"/>
          <w:szCs w:val="18"/>
          <w:lang w:val="nl-NL" w:eastAsia="ja-JP"/>
        </w:rPr>
        <w:t>.</w:t>
      </w:r>
      <w:r w:rsidRPr="00826244" w:rsidR="004C2EBD">
        <w:rPr>
          <w:rStyle w:val="FootnoteReference"/>
          <w:rFonts w:cs="Times New Roman"/>
          <w:szCs w:val="18"/>
          <w:lang w:val="nl-NL" w:eastAsia="ja-JP"/>
        </w:rPr>
        <w:footnoteReference w:id="4"/>
      </w:r>
      <w:r w:rsidRPr="00826244" w:rsidR="004C2EBD">
        <w:rPr>
          <w:rFonts w:cs="Times New Roman"/>
          <w:szCs w:val="18"/>
          <w:lang w:val="nl-NL" w:eastAsia="ja-JP"/>
        </w:rPr>
        <w:t xml:space="preserve"> Ten aanzien van </w:t>
      </w:r>
      <w:r w:rsidRPr="00826244" w:rsidR="004C2EBD">
        <w:rPr>
          <w:rFonts w:cs="Times New Roman"/>
          <w:b/>
          <w:szCs w:val="18"/>
          <w:lang w:val="nl-NL" w:eastAsia="ja-JP"/>
        </w:rPr>
        <w:t>Oekraïne</w:t>
      </w:r>
      <w:r w:rsidRPr="00826244" w:rsidR="004C2EBD">
        <w:rPr>
          <w:rFonts w:cs="Times New Roman"/>
          <w:szCs w:val="18"/>
          <w:lang w:val="nl-NL" w:eastAsia="ja-JP"/>
        </w:rPr>
        <w:t xml:space="preserve"> benadrukte e</w:t>
      </w:r>
      <w:r w:rsidRPr="00826244" w:rsidR="00D550CA">
        <w:rPr>
          <w:rFonts w:cs="Times New Roman"/>
          <w:szCs w:val="18"/>
          <w:lang w:val="nl-NL" w:eastAsia="ja-JP"/>
        </w:rPr>
        <w:t>e</w:t>
      </w:r>
      <w:r w:rsidRPr="00826244" w:rsidR="004C2EBD">
        <w:rPr>
          <w:rFonts w:cs="Times New Roman"/>
          <w:szCs w:val="18"/>
          <w:lang w:val="nl-NL" w:eastAsia="ja-JP"/>
        </w:rPr>
        <w:t>n groot aantal lidstaten</w:t>
      </w:r>
      <w:r w:rsidRPr="00826244" w:rsidR="00CA5848">
        <w:rPr>
          <w:rFonts w:cs="Times New Roman"/>
          <w:szCs w:val="18"/>
          <w:lang w:val="nl-NL" w:eastAsia="ja-JP"/>
        </w:rPr>
        <w:t>, waaronder Nederland,</w:t>
      </w:r>
      <w:r w:rsidRPr="00826244" w:rsidR="004C2EBD">
        <w:rPr>
          <w:rFonts w:cs="Times New Roman"/>
          <w:szCs w:val="18"/>
          <w:lang w:val="nl-NL" w:eastAsia="ja-JP"/>
        </w:rPr>
        <w:t xml:space="preserve"> de noodzaak voor blijvende steun, druk op Rusland en voorbereiding op een staakt-het-vuren. Een aantal lidstaten riep daarbij tevens op voortgang te maken met de Oekraïense </w:t>
      </w:r>
      <w:r w:rsidRPr="00826244" w:rsidR="008F175F">
        <w:rPr>
          <w:rFonts w:cs="Times New Roman"/>
          <w:szCs w:val="18"/>
          <w:lang w:val="nl-NL" w:eastAsia="ja-JP"/>
        </w:rPr>
        <w:t>EU-</w:t>
      </w:r>
      <w:r w:rsidRPr="00826244" w:rsidR="004C2EBD">
        <w:rPr>
          <w:rFonts w:cs="Times New Roman"/>
          <w:szCs w:val="18"/>
          <w:lang w:val="nl-NL" w:eastAsia="ja-JP"/>
        </w:rPr>
        <w:t>toetredingsonderhandelingen.</w:t>
      </w:r>
      <w:r w:rsidRPr="00826244" w:rsidR="00CE69A2">
        <w:rPr>
          <w:rFonts w:cs="Times New Roman"/>
          <w:szCs w:val="18"/>
          <w:lang w:val="nl-NL" w:eastAsia="ja-JP"/>
        </w:rPr>
        <w:t xml:space="preserve"> In het </w:t>
      </w:r>
      <w:r w:rsidRPr="00F82831" w:rsidR="00CE69A2">
        <w:rPr>
          <w:rFonts w:cs="Times New Roman"/>
          <w:szCs w:val="18"/>
          <w:lang w:val="nl-NL" w:eastAsia="ja-JP"/>
        </w:rPr>
        <w:t>verlengde daarvan vroegen ook meerdere lidstaten om agendering van</w:t>
      </w:r>
      <w:r w:rsidRPr="00F82831" w:rsidR="004C2EBD">
        <w:rPr>
          <w:rFonts w:cs="Times New Roman"/>
          <w:szCs w:val="18"/>
          <w:lang w:val="nl-NL" w:eastAsia="ja-JP"/>
        </w:rPr>
        <w:t xml:space="preserve"> </w:t>
      </w:r>
      <w:r w:rsidRPr="00F82831" w:rsidR="00CE69A2">
        <w:rPr>
          <w:rFonts w:cs="Times New Roman"/>
          <w:szCs w:val="18"/>
          <w:lang w:val="nl-NL" w:eastAsia="ja-JP"/>
        </w:rPr>
        <w:t>de Westelijke Balkan.</w:t>
      </w:r>
    </w:p>
    <w:p w:rsidRPr="00826244" w:rsidR="00487470" w:rsidP="00826244" w:rsidRDefault="004C2EBD" w14:paraId="7F971564" w14:textId="4207F9EE">
      <w:pPr>
        <w:spacing w:line="276" w:lineRule="auto"/>
        <w:rPr>
          <w:rFonts w:cs="Times New Roman"/>
          <w:bCs/>
          <w:szCs w:val="18"/>
          <w:lang w:val="nl-NL"/>
        </w:rPr>
      </w:pPr>
      <w:r w:rsidRPr="00F82831">
        <w:rPr>
          <w:rFonts w:cs="Times New Roman"/>
          <w:szCs w:val="18"/>
          <w:lang w:val="nl-NL" w:eastAsia="ja-JP"/>
        </w:rPr>
        <w:t xml:space="preserve">Ten aanzien </w:t>
      </w:r>
      <w:r w:rsidRPr="00F82831" w:rsidR="0047634B">
        <w:rPr>
          <w:rFonts w:cs="Times New Roman"/>
          <w:szCs w:val="18"/>
          <w:lang w:val="nl-NL" w:eastAsia="ja-JP"/>
        </w:rPr>
        <w:t xml:space="preserve">van </w:t>
      </w:r>
      <w:r w:rsidRPr="00F82831">
        <w:rPr>
          <w:rFonts w:cs="Times New Roman"/>
          <w:szCs w:val="18"/>
          <w:lang w:val="nl-NL" w:eastAsia="ja-JP"/>
        </w:rPr>
        <w:t xml:space="preserve">het </w:t>
      </w:r>
      <w:r w:rsidRPr="00F82831">
        <w:rPr>
          <w:rFonts w:cs="Times New Roman"/>
          <w:b/>
          <w:szCs w:val="18"/>
          <w:lang w:val="nl-NL" w:eastAsia="ja-JP"/>
        </w:rPr>
        <w:t>Midden-Oosten</w:t>
      </w:r>
      <w:r w:rsidRPr="00F82831">
        <w:rPr>
          <w:rFonts w:cs="Times New Roman"/>
          <w:b/>
          <w:bCs/>
          <w:szCs w:val="18"/>
          <w:lang w:val="nl-NL" w:eastAsia="ja-JP"/>
        </w:rPr>
        <w:t xml:space="preserve"> </w:t>
      </w:r>
      <w:r w:rsidRPr="00F82831">
        <w:rPr>
          <w:rFonts w:cs="Times New Roman"/>
          <w:szCs w:val="18"/>
          <w:lang w:val="nl-NL" w:eastAsia="ja-JP"/>
        </w:rPr>
        <w:t>dron</w:t>
      </w:r>
      <w:r w:rsidRPr="00F82831" w:rsidR="00851EFE">
        <w:rPr>
          <w:rFonts w:cs="Times New Roman"/>
          <w:szCs w:val="18"/>
          <w:lang w:val="nl-NL" w:eastAsia="ja-JP"/>
        </w:rPr>
        <w:t xml:space="preserve">gen </w:t>
      </w:r>
      <w:r w:rsidRPr="00F82831" w:rsidR="00487470">
        <w:rPr>
          <w:rFonts w:cs="Times New Roman"/>
          <w:szCs w:val="18"/>
          <w:lang w:val="nl-NL" w:eastAsia="ja-JP"/>
        </w:rPr>
        <w:t>lidstaten</w:t>
      </w:r>
      <w:r w:rsidRPr="00F82831" w:rsidR="00851EFE">
        <w:rPr>
          <w:rFonts w:cs="Times New Roman"/>
          <w:szCs w:val="18"/>
          <w:lang w:val="nl-NL" w:eastAsia="ja-JP"/>
        </w:rPr>
        <w:t>, waaronder Nederland,</w:t>
      </w:r>
      <w:r w:rsidRPr="00F82831" w:rsidR="00911777">
        <w:rPr>
          <w:rFonts w:cs="Times New Roman"/>
          <w:szCs w:val="18"/>
          <w:lang w:val="nl-NL" w:eastAsia="ja-JP"/>
        </w:rPr>
        <w:t xml:space="preserve"> aan op toegang voor humanitaire hulp in Gaza </w:t>
      </w:r>
      <w:r w:rsidRPr="00F82831" w:rsidR="00487470">
        <w:rPr>
          <w:rFonts w:cs="Times New Roman"/>
          <w:szCs w:val="18"/>
          <w:lang w:val="nl-NL" w:eastAsia="ja-JP"/>
        </w:rPr>
        <w:t xml:space="preserve">en </w:t>
      </w:r>
      <w:r w:rsidRPr="00F82831" w:rsidR="00911777">
        <w:rPr>
          <w:rFonts w:cs="Times New Roman"/>
          <w:szCs w:val="18"/>
          <w:lang w:val="nl-NL" w:eastAsia="ja-JP"/>
        </w:rPr>
        <w:t>vrijlat</w:t>
      </w:r>
      <w:r w:rsidRPr="00F82831" w:rsidR="00851EFE">
        <w:rPr>
          <w:rFonts w:cs="Times New Roman"/>
          <w:szCs w:val="18"/>
          <w:lang w:val="nl-NL" w:eastAsia="ja-JP"/>
        </w:rPr>
        <w:t>ing</w:t>
      </w:r>
      <w:r w:rsidRPr="00F82831" w:rsidR="00911777">
        <w:rPr>
          <w:rFonts w:cs="Times New Roman"/>
          <w:szCs w:val="18"/>
          <w:lang w:val="nl-NL" w:eastAsia="ja-JP"/>
        </w:rPr>
        <w:t xml:space="preserve"> van gijzelaars</w:t>
      </w:r>
      <w:r w:rsidRPr="00F82831" w:rsidR="00851EFE">
        <w:rPr>
          <w:rFonts w:cs="Times New Roman"/>
          <w:szCs w:val="18"/>
          <w:lang w:val="nl-NL" w:eastAsia="ja-JP"/>
        </w:rPr>
        <w:t>.</w:t>
      </w:r>
      <w:r w:rsidRPr="00F82831" w:rsidR="00911777">
        <w:rPr>
          <w:rFonts w:cs="Times New Roman"/>
          <w:szCs w:val="18"/>
          <w:lang w:val="nl-NL" w:eastAsia="ja-JP"/>
        </w:rPr>
        <w:t xml:space="preserve"> </w:t>
      </w:r>
      <w:r w:rsidRPr="00F82831" w:rsidR="0047634B">
        <w:rPr>
          <w:rFonts w:cs="Times New Roman"/>
          <w:bCs/>
          <w:szCs w:val="18"/>
          <w:lang w:val="nl-NL"/>
        </w:rPr>
        <w:t xml:space="preserve">Bij </w:t>
      </w:r>
      <w:r w:rsidRPr="00F82831" w:rsidR="00487470">
        <w:rPr>
          <w:rFonts w:cs="Times New Roman"/>
          <w:b/>
          <w:szCs w:val="18"/>
          <w:lang w:val="nl-NL"/>
        </w:rPr>
        <w:t>veiligheid</w:t>
      </w:r>
      <w:r w:rsidRPr="00826244" w:rsidR="00487470">
        <w:rPr>
          <w:rFonts w:cs="Times New Roman"/>
          <w:b/>
          <w:szCs w:val="18"/>
          <w:lang w:val="nl-NL"/>
        </w:rPr>
        <w:t xml:space="preserve"> en defensie</w:t>
      </w:r>
      <w:r w:rsidRPr="00826244" w:rsidR="00487470">
        <w:rPr>
          <w:rFonts w:cs="Times New Roman"/>
          <w:bCs/>
          <w:szCs w:val="18"/>
          <w:lang w:val="nl-NL"/>
        </w:rPr>
        <w:t xml:space="preserve"> lag het zwaartepunt van de discussie bij versterking van de Europese </w:t>
      </w:r>
      <w:r w:rsidRPr="00826244" w:rsidR="00524BF5">
        <w:rPr>
          <w:rFonts w:cs="Times New Roman"/>
          <w:bCs/>
          <w:szCs w:val="18"/>
          <w:lang w:val="nl-NL"/>
        </w:rPr>
        <w:t>defensie-industrie</w:t>
      </w:r>
      <w:r w:rsidRPr="00826244" w:rsidR="007178CF">
        <w:rPr>
          <w:rFonts w:cs="Times New Roman"/>
          <w:bCs/>
          <w:szCs w:val="18"/>
          <w:lang w:val="nl-NL"/>
        </w:rPr>
        <w:t>, en met name de rol van het MKB daarbij</w:t>
      </w:r>
      <w:r w:rsidRPr="00826244" w:rsidR="00487470">
        <w:rPr>
          <w:rFonts w:cs="Times New Roman"/>
          <w:bCs/>
          <w:szCs w:val="18"/>
          <w:lang w:val="nl-NL"/>
        </w:rPr>
        <w:t xml:space="preserve">. Enkele lidstaten riepen daarbij op tot ruimere financieringsmogelijkheden; Nederland verwees </w:t>
      </w:r>
      <w:r w:rsidRPr="00826244" w:rsidR="00524BF5">
        <w:rPr>
          <w:rFonts w:cs="Times New Roman"/>
          <w:bCs/>
          <w:szCs w:val="18"/>
          <w:lang w:val="nl-NL"/>
        </w:rPr>
        <w:t>daarentegen</w:t>
      </w:r>
      <w:r w:rsidRPr="00826244" w:rsidR="00487470">
        <w:rPr>
          <w:rFonts w:cs="Times New Roman"/>
          <w:bCs/>
          <w:szCs w:val="18"/>
          <w:lang w:val="nl-NL"/>
        </w:rPr>
        <w:t xml:space="preserve"> naar het bereikte akkoord op SAFE</w:t>
      </w:r>
      <w:r w:rsidRPr="00826244" w:rsidR="00487470">
        <w:rPr>
          <w:rStyle w:val="FootnoteReference"/>
          <w:rFonts w:cs="Times New Roman"/>
          <w:bCs/>
          <w:szCs w:val="18"/>
          <w:lang w:val="nl-NL"/>
        </w:rPr>
        <w:footnoteReference w:id="5"/>
      </w:r>
      <w:r w:rsidRPr="00826244" w:rsidR="00487470">
        <w:rPr>
          <w:rFonts w:cs="Times New Roman"/>
          <w:bCs/>
          <w:szCs w:val="18"/>
          <w:lang w:val="nl-NL"/>
        </w:rPr>
        <w:t xml:space="preserve"> </w:t>
      </w:r>
      <w:r w:rsidRPr="00826244" w:rsidR="00524BF5">
        <w:rPr>
          <w:rFonts w:cs="Times New Roman"/>
          <w:bCs/>
          <w:szCs w:val="18"/>
          <w:lang w:val="nl-NL"/>
        </w:rPr>
        <w:t xml:space="preserve">en de activatie van de </w:t>
      </w:r>
      <w:r w:rsidRPr="00826244" w:rsidR="00A76AEA">
        <w:rPr>
          <w:rFonts w:cs="Times New Roman"/>
          <w:bCs/>
          <w:szCs w:val="18"/>
          <w:lang w:val="nl-NL"/>
        </w:rPr>
        <w:t xml:space="preserve">nationale </w:t>
      </w:r>
      <w:r w:rsidRPr="00826244" w:rsidR="00524BF5">
        <w:rPr>
          <w:rFonts w:cs="Times New Roman"/>
          <w:bCs/>
          <w:szCs w:val="18"/>
          <w:lang w:val="nl-NL"/>
        </w:rPr>
        <w:t xml:space="preserve">ontsnappingsclausule </w:t>
      </w:r>
      <w:r w:rsidRPr="00826244" w:rsidR="00487470">
        <w:rPr>
          <w:rFonts w:cs="Times New Roman"/>
          <w:bCs/>
          <w:szCs w:val="18"/>
          <w:lang w:val="nl-NL"/>
        </w:rPr>
        <w:t>waardoor een nieuwe financieringsdiscussie niet aan de orde is.</w:t>
      </w:r>
      <w:r w:rsidRPr="00826244" w:rsidR="007178CF">
        <w:rPr>
          <w:rFonts w:cs="Times New Roman"/>
          <w:bCs/>
          <w:szCs w:val="18"/>
          <w:lang w:val="nl-NL"/>
        </w:rPr>
        <w:t xml:space="preserve"> Meerdere lidstaten, waaronder Nederland, wezen in dit kader op de NAVO-top in Den Haag voorafgaand aan de ER. </w:t>
      </w:r>
    </w:p>
    <w:p w:rsidRPr="00826244" w:rsidR="00A81C4F" w:rsidP="00826244" w:rsidRDefault="00851B1B" w14:paraId="20523AC9" w14:textId="0C4D61A6">
      <w:pPr>
        <w:spacing w:line="276" w:lineRule="auto"/>
        <w:rPr>
          <w:rFonts w:cs="Times New Roman"/>
          <w:b/>
          <w:szCs w:val="18"/>
          <w:lang w:val="nl-NL" w:eastAsia="ja-JP"/>
        </w:rPr>
      </w:pPr>
      <w:r w:rsidRPr="00826244">
        <w:rPr>
          <w:rFonts w:cs="Times New Roman"/>
          <w:bCs/>
          <w:szCs w:val="18"/>
          <w:lang w:val="nl-NL"/>
        </w:rPr>
        <w:t>Bij</w:t>
      </w:r>
      <w:r w:rsidRPr="00826244" w:rsidR="00CE69A2">
        <w:rPr>
          <w:rFonts w:cs="Times New Roman"/>
          <w:bCs/>
          <w:szCs w:val="18"/>
          <w:lang w:val="nl-NL"/>
        </w:rPr>
        <w:t xml:space="preserve"> </w:t>
      </w:r>
      <w:r w:rsidRPr="00826244" w:rsidR="00487470">
        <w:rPr>
          <w:rFonts w:cs="Times New Roman"/>
          <w:b/>
          <w:szCs w:val="18"/>
          <w:lang w:val="nl-NL"/>
        </w:rPr>
        <w:t xml:space="preserve">EU in </w:t>
      </w:r>
      <w:r w:rsidRPr="00826244" w:rsidR="00CE69A2">
        <w:rPr>
          <w:rFonts w:cs="Times New Roman"/>
          <w:b/>
          <w:szCs w:val="18"/>
          <w:lang w:val="nl-NL"/>
        </w:rPr>
        <w:t>de wereld</w:t>
      </w:r>
      <w:r w:rsidRPr="00826244" w:rsidR="006D3E95">
        <w:rPr>
          <w:rFonts w:cs="Times New Roman"/>
          <w:bCs/>
          <w:szCs w:val="18"/>
          <w:lang w:val="nl-NL"/>
        </w:rPr>
        <w:t xml:space="preserve"> </w:t>
      </w:r>
      <w:r w:rsidRPr="00826244" w:rsidR="001413E5">
        <w:rPr>
          <w:rFonts w:cs="Times New Roman"/>
          <w:bCs/>
          <w:szCs w:val="18"/>
          <w:lang w:val="nl-NL"/>
        </w:rPr>
        <w:t>vroegen lidstaten aandacht voor de relatie met de VS, het VK,</w:t>
      </w:r>
      <w:r w:rsidRPr="00826244" w:rsidR="003F76FC">
        <w:rPr>
          <w:rFonts w:cs="Times New Roman"/>
          <w:bCs/>
          <w:szCs w:val="18"/>
          <w:lang w:val="nl-NL"/>
        </w:rPr>
        <w:t xml:space="preserve"> het Midden-Oosten</w:t>
      </w:r>
      <w:r w:rsidRPr="00826244" w:rsidR="00E26190">
        <w:rPr>
          <w:rFonts w:cs="Times New Roman"/>
          <w:bCs/>
          <w:szCs w:val="18"/>
          <w:lang w:val="nl-NL"/>
        </w:rPr>
        <w:t>,</w:t>
      </w:r>
      <w:r w:rsidRPr="00826244" w:rsidR="001413E5">
        <w:rPr>
          <w:rFonts w:cs="Times New Roman"/>
          <w:bCs/>
          <w:szCs w:val="18"/>
          <w:lang w:val="nl-NL"/>
        </w:rPr>
        <w:t xml:space="preserve"> Latijns-Amerika en Afrika.</w:t>
      </w:r>
      <w:r w:rsidRPr="00826244" w:rsidR="00C50F62">
        <w:rPr>
          <w:rFonts w:cs="Times New Roman"/>
          <w:bCs/>
          <w:szCs w:val="18"/>
          <w:lang w:val="nl-NL"/>
        </w:rPr>
        <w:t xml:space="preserve"> Onder </w:t>
      </w:r>
      <w:r w:rsidRPr="00826244" w:rsidR="00C50F62">
        <w:rPr>
          <w:rFonts w:cs="Times New Roman"/>
          <w:b/>
          <w:szCs w:val="18"/>
          <w:lang w:val="nl-NL"/>
        </w:rPr>
        <w:t>concurrentievermogen</w:t>
      </w:r>
      <w:r w:rsidRPr="00826244" w:rsidR="00C50F62">
        <w:rPr>
          <w:rFonts w:cs="Times New Roman"/>
          <w:bCs/>
          <w:szCs w:val="18"/>
          <w:lang w:val="nl-NL"/>
        </w:rPr>
        <w:t xml:space="preserve"> wees een groot aantal lidstaten op het belang van versimpeling</w:t>
      </w:r>
      <w:r w:rsidRPr="00826244" w:rsidR="005B4E5C">
        <w:rPr>
          <w:rFonts w:cs="Times New Roman"/>
          <w:bCs/>
          <w:szCs w:val="18"/>
          <w:lang w:val="nl-NL"/>
        </w:rPr>
        <w:t xml:space="preserve"> van regelgeving</w:t>
      </w:r>
      <w:r w:rsidRPr="00826244" w:rsidR="00C50F62">
        <w:rPr>
          <w:rFonts w:cs="Times New Roman"/>
          <w:bCs/>
          <w:szCs w:val="18"/>
          <w:lang w:val="nl-NL"/>
        </w:rPr>
        <w:t xml:space="preserve"> en verlaging van administratieve lasten, en verwelkomden </w:t>
      </w:r>
      <w:r w:rsidRPr="00826244" w:rsidR="005B4E5C">
        <w:rPr>
          <w:rFonts w:cs="Times New Roman"/>
          <w:bCs/>
          <w:szCs w:val="18"/>
          <w:lang w:val="nl-NL"/>
        </w:rPr>
        <w:t xml:space="preserve">zij </w:t>
      </w:r>
      <w:r w:rsidRPr="00826244" w:rsidR="00C50F62">
        <w:rPr>
          <w:rFonts w:cs="Times New Roman"/>
          <w:bCs/>
          <w:szCs w:val="18"/>
          <w:lang w:val="nl-NL"/>
        </w:rPr>
        <w:t>de Interne Marktstrategie</w:t>
      </w:r>
      <w:r w:rsidRPr="00826244" w:rsidR="00C50F62">
        <w:rPr>
          <w:rStyle w:val="FootnoteReference"/>
          <w:rFonts w:cs="Times New Roman"/>
          <w:bCs/>
          <w:szCs w:val="18"/>
          <w:lang w:val="nl-NL"/>
        </w:rPr>
        <w:footnoteReference w:id="6"/>
      </w:r>
      <w:r w:rsidRPr="00826244" w:rsidR="00C50F62">
        <w:rPr>
          <w:rFonts w:cs="Times New Roman"/>
          <w:bCs/>
          <w:szCs w:val="18"/>
          <w:lang w:val="nl-NL"/>
        </w:rPr>
        <w:t>.</w:t>
      </w:r>
      <w:r w:rsidRPr="00826244" w:rsidR="00A012FD">
        <w:rPr>
          <w:rFonts w:cs="Times New Roman"/>
          <w:bCs/>
          <w:szCs w:val="18"/>
          <w:lang w:val="nl-NL"/>
        </w:rPr>
        <w:t xml:space="preserve"> Ten aanzien van </w:t>
      </w:r>
      <w:r w:rsidRPr="00826244" w:rsidR="00A012FD">
        <w:rPr>
          <w:rFonts w:cs="Times New Roman"/>
          <w:b/>
          <w:szCs w:val="18"/>
          <w:lang w:val="nl-NL"/>
        </w:rPr>
        <w:t>migratie</w:t>
      </w:r>
      <w:r w:rsidRPr="00826244" w:rsidR="00A012FD">
        <w:rPr>
          <w:rFonts w:cs="Times New Roman"/>
          <w:bCs/>
          <w:szCs w:val="18"/>
          <w:lang w:val="nl-NL"/>
        </w:rPr>
        <w:t xml:space="preserve"> vroegen </w:t>
      </w:r>
      <w:r w:rsidRPr="00826244" w:rsidR="00994EB9">
        <w:rPr>
          <w:rFonts w:cs="Times New Roman"/>
          <w:bCs/>
          <w:szCs w:val="18"/>
          <w:lang w:val="nl-NL"/>
        </w:rPr>
        <w:t xml:space="preserve">enkele </w:t>
      </w:r>
      <w:r w:rsidRPr="00826244" w:rsidR="00A012FD">
        <w:rPr>
          <w:rFonts w:cs="Times New Roman"/>
          <w:bCs/>
          <w:szCs w:val="18"/>
          <w:lang w:val="nl-NL"/>
        </w:rPr>
        <w:t>lidstaten om voortgang op de terugkeerverordening en herziening van het veilige derde land-concept. Tot slot vroeg</w:t>
      </w:r>
      <w:r w:rsidRPr="00826244" w:rsidR="002310BA">
        <w:rPr>
          <w:rFonts w:cs="Times New Roman"/>
          <w:bCs/>
          <w:szCs w:val="18"/>
          <w:lang w:val="nl-NL"/>
        </w:rPr>
        <w:t>en</w:t>
      </w:r>
      <w:r w:rsidRPr="00826244" w:rsidR="004C2EBD">
        <w:rPr>
          <w:rFonts w:cs="Times New Roman"/>
          <w:szCs w:val="18"/>
          <w:lang w:val="nl-NL"/>
        </w:rPr>
        <w:t xml:space="preserve"> </w:t>
      </w:r>
      <w:r w:rsidRPr="00826244" w:rsidR="004C2EBD">
        <w:rPr>
          <w:rFonts w:cs="Times New Roman"/>
          <w:szCs w:val="18"/>
          <w:lang w:val="nl-NL" w:eastAsia="ja-JP"/>
        </w:rPr>
        <w:t xml:space="preserve">lidstaten, waaronder Nederland, om agendering van </w:t>
      </w:r>
      <w:r w:rsidRPr="00826244" w:rsidR="004C2EBD">
        <w:rPr>
          <w:rFonts w:cs="Times New Roman"/>
          <w:b/>
          <w:bCs/>
          <w:szCs w:val="18"/>
          <w:lang w:val="nl-NL" w:eastAsia="ja-JP"/>
        </w:rPr>
        <w:t>interne veiligheid en weerbaarheid</w:t>
      </w:r>
      <w:r w:rsidRPr="00826244" w:rsidR="004C2EBD">
        <w:rPr>
          <w:rFonts w:cs="Times New Roman"/>
          <w:szCs w:val="18"/>
          <w:lang w:val="nl-NL" w:eastAsia="ja-JP"/>
        </w:rPr>
        <w:t xml:space="preserve">. </w:t>
      </w:r>
    </w:p>
    <w:p w:rsidRPr="00826244" w:rsidR="00A81C4F" w:rsidP="00826244" w:rsidRDefault="006B0AAF" w14:paraId="357FD128" w14:textId="7CBC22AF">
      <w:pPr>
        <w:spacing w:line="276" w:lineRule="auto"/>
        <w:rPr>
          <w:rFonts w:cs="Times New Roman"/>
          <w:b/>
          <w:szCs w:val="18"/>
          <w:lang w:val="nl-NL" w:eastAsia="ja-JP"/>
        </w:rPr>
      </w:pPr>
      <w:bookmarkStart w:name="_Hlk199402863" w:id="1"/>
      <w:r w:rsidRPr="00826244">
        <w:rPr>
          <w:rFonts w:eastAsia="Malgun Gothic"/>
          <w:b/>
          <w:szCs w:val="18"/>
          <w:lang w:val="nl-NL" w:eastAsia="ko-KR"/>
        </w:rPr>
        <w:lastRenderedPageBreak/>
        <w:t xml:space="preserve">Voorstel voor aanpassing van verordening </w:t>
      </w:r>
      <w:r w:rsidRPr="00826244" w:rsidR="007C64D4">
        <w:rPr>
          <w:rFonts w:eastAsia="Malgun Gothic"/>
          <w:b/>
          <w:szCs w:val="18"/>
          <w:lang w:val="nl-NL" w:eastAsia="ko-KR"/>
        </w:rPr>
        <w:t xml:space="preserve">1/1958 </w:t>
      </w:r>
      <w:r w:rsidRPr="00826244" w:rsidR="003868B2">
        <w:rPr>
          <w:b/>
          <w:szCs w:val="18"/>
          <w:lang w:val="nl-NL" w:eastAsia="ja-JP"/>
        </w:rPr>
        <w:t>over officiële EU-talen</w:t>
      </w:r>
      <w:r w:rsidRPr="00826244" w:rsidR="00A81C4F">
        <w:rPr>
          <w:rFonts w:eastAsia="Malgun Gothic"/>
          <w:b/>
          <w:szCs w:val="18"/>
          <w:lang w:val="nl-NL" w:eastAsia="ko-KR"/>
        </w:rPr>
        <w:tab/>
      </w:r>
      <w:r w:rsidRPr="00826244">
        <w:rPr>
          <w:rFonts w:eastAsia="Malgun Gothic"/>
          <w:b/>
          <w:szCs w:val="18"/>
          <w:lang w:val="nl-NL" w:eastAsia="ko-KR"/>
        </w:rPr>
        <w:br/>
      </w:r>
      <w:r w:rsidRPr="00826244">
        <w:rPr>
          <w:rFonts w:eastAsia="Malgun Gothic"/>
          <w:bCs/>
          <w:szCs w:val="18"/>
          <w:lang w:val="nl-NL" w:eastAsia="ko-KR"/>
        </w:rPr>
        <w:t xml:space="preserve">De Raad stond, in navolging van de bespreking in december 2023, stil </w:t>
      </w:r>
      <w:r w:rsidRPr="00826244" w:rsidR="00120063">
        <w:rPr>
          <w:rFonts w:eastAsia="Malgun Gothic"/>
          <w:bCs/>
          <w:szCs w:val="18"/>
          <w:lang w:val="nl-NL" w:eastAsia="ko-KR"/>
        </w:rPr>
        <w:t xml:space="preserve">bij </w:t>
      </w:r>
      <w:r w:rsidRPr="00826244">
        <w:rPr>
          <w:rFonts w:eastAsia="Malgun Gothic"/>
          <w:bCs/>
          <w:szCs w:val="18"/>
          <w:lang w:val="nl-NL" w:eastAsia="ko-KR"/>
        </w:rPr>
        <w:t xml:space="preserve">het </w:t>
      </w:r>
      <w:r w:rsidRPr="00826244" w:rsidR="00B238E1">
        <w:rPr>
          <w:rFonts w:eastAsia="Malgun Gothic"/>
          <w:bCs/>
          <w:szCs w:val="18"/>
          <w:lang w:val="nl-NL" w:eastAsia="ko-KR"/>
        </w:rPr>
        <w:t xml:space="preserve">ingelaste </w:t>
      </w:r>
      <w:r w:rsidRPr="00826244">
        <w:rPr>
          <w:rFonts w:eastAsia="Malgun Gothic"/>
          <w:bCs/>
          <w:szCs w:val="18"/>
          <w:lang w:val="nl-NL" w:eastAsia="ko-KR"/>
        </w:rPr>
        <w:t xml:space="preserve">Spaanse voorstel om </w:t>
      </w:r>
      <w:r w:rsidRPr="00826244" w:rsidR="00AA0430">
        <w:rPr>
          <w:rFonts w:eastAsia="Malgun Gothic"/>
          <w:bCs/>
          <w:szCs w:val="18"/>
          <w:lang w:val="nl-NL" w:eastAsia="ko-KR"/>
        </w:rPr>
        <w:t xml:space="preserve">Baskisch, </w:t>
      </w:r>
      <w:r w:rsidRPr="00826244">
        <w:rPr>
          <w:rFonts w:eastAsia="Malgun Gothic"/>
          <w:bCs/>
          <w:szCs w:val="18"/>
          <w:lang w:val="nl-NL" w:eastAsia="ko-KR"/>
        </w:rPr>
        <w:t xml:space="preserve">Catalaans en Galicisch tot officiële EU-talen te maken. Spanje wees, in het kader van 50 jaar vrijheid en democratie in Spanje, op het historische belang van dit voorstel voor Spanje en herhaalde de toezegging alle kosten te dragen. </w:t>
      </w:r>
      <w:r w:rsidRPr="00826244" w:rsidR="008649C8">
        <w:rPr>
          <w:rFonts w:eastAsia="Malgun Gothic"/>
          <w:bCs/>
          <w:szCs w:val="18"/>
          <w:lang w:val="nl-NL" w:eastAsia="ko-KR"/>
        </w:rPr>
        <w:t xml:space="preserve">Lidstaten, waaronder Nederland, hadden in de aanloop naar deze Raad het belang van taalverscheidenheid in de EU benadrukt en begrip uitgesproken voor de Spaanse wens. Het was echter eveneens duidelijk dat er nog een groot aantal vragen leefde over de juridische en financiële consequenties. </w:t>
      </w:r>
      <w:r w:rsidRPr="00826244" w:rsidR="00BA066D">
        <w:rPr>
          <w:rFonts w:eastAsia="Malgun Gothic"/>
          <w:bCs/>
          <w:szCs w:val="18"/>
          <w:lang w:val="nl-NL" w:eastAsia="ko-KR"/>
        </w:rPr>
        <w:t>D</w:t>
      </w:r>
      <w:r w:rsidRPr="00826244" w:rsidR="00B238E1">
        <w:rPr>
          <w:rFonts w:eastAsia="Malgun Gothic"/>
          <w:bCs/>
          <w:szCs w:val="18"/>
          <w:lang w:val="nl-NL" w:eastAsia="ko-KR"/>
        </w:rPr>
        <w:t xml:space="preserve">e juridische dienst van de Raad </w:t>
      </w:r>
      <w:r w:rsidRPr="00826244" w:rsidR="00BA066D">
        <w:rPr>
          <w:rFonts w:eastAsia="Malgun Gothic"/>
          <w:bCs/>
          <w:szCs w:val="18"/>
          <w:lang w:val="nl-NL" w:eastAsia="ko-KR"/>
        </w:rPr>
        <w:t>bevestigde dat het voorstel in de huidige vorm op gespannen voet staat met het EU-Verdrag.</w:t>
      </w:r>
      <w:r w:rsidRPr="00826244" w:rsidR="00B238E1">
        <w:rPr>
          <w:rFonts w:eastAsia="Malgun Gothic"/>
          <w:bCs/>
          <w:szCs w:val="18"/>
          <w:lang w:val="nl-NL" w:eastAsia="ko-KR"/>
        </w:rPr>
        <w:t xml:space="preserve"> </w:t>
      </w:r>
      <w:r w:rsidRPr="00826244">
        <w:rPr>
          <w:rFonts w:eastAsia="Malgun Gothic"/>
          <w:bCs/>
          <w:szCs w:val="18"/>
          <w:lang w:val="nl-NL" w:eastAsia="ko-KR"/>
        </w:rPr>
        <w:t xml:space="preserve">Het voorzitterschap concludeerde </w:t>
      </w:r>
      <w:r w:rsidRPr="00826244" w:rsidR="008649C8">
        <w:rPr>
          <w:rFonts w:eastAsia="Malgun Gothic"/>
          <w:bCs/>
          <w:szCs w:val="18"/>
          <w:lang w:val="nl-NL" w:eastAsia="ko-KR"/>
        </w:rPr>
        <w:t xml:space="preserve">daarop </w:t>
      </w:r>
      <w:r w:rsidRPr="00826244">
        <w:rPr>
          <w:rFonts w:eastAsia="Malgun Gothic"/>
          <w:bCs/>
          <w:szCs w:val="18"/>
          <w:lang w:val="nl-NL" w:eastAsia="ko-KR"/>
        </w:rPr>
        <w:t xml:space="preserve">dat dit voorstel </w:t>
      </w:r>
      <w:r w:rsidRPr="00826244" w:rsidR="00B238E1">
        <w:rPr>
          <w:rFonts w:eastAsia="Malgun Gothic"/>
          <w:bCs/>
          <w:szCs w:val="18"/>
          <w:lang w:val="nl-NL" w:eastAsia="ko-KR"/>
        </w:rPr>
        <w:t xml:space="preserve">niet op de benodigde </w:t>
      </w:r>
      <w:r w:rsidRPr="00826244" w:rsidR="001826D4">
        <w:rPr>
          <w:rFonts w:eastAsia="Malgun Gothic"/>
          <w:bCs/>
          <w:szCs w:val="18"/>
          <w:lang w:val="nl-NL" w:eastAsia="ko-KR"/>
        </w:rPr>
        <w:t xml:space="preserve">unanimiteit </w:t>
      </w:r>
      <w:r w:rsidRPr="00826244" w:rsidR="008649C8">
        <w:rPr>
          <w:rFonts w:eastAsia="Malgun Gothic"/>
          <w:bCs/>
          <w:szCs w:val="18"/>
          <w:lang w:val="nl-NL" w:eastAsia="ko-KR"/>
        </w:rPr>
        <w:t xml:space="preserve">kon rekenen en </w:t>
      </w:r>
      <w:r w:rsidRPr="00826244">
        <w:rPr>
          <w:rFonts w:eastAsia="Malgun Gothic"/>
          <w:bCs/>
          <w:szCs w:val="18"/>
          <w:lang w:val="nl-NL" w:eastAsia="ko-KR"/>
        </w:rPr>
        <w:t xml:space="preserve">nader behandeld </w:t>
      </w:r>
      <w:r w:rsidRPr="00826244" w:rsidR="008649C8">
        <w:rPr>
          <w:rFonts w:eastAsia="Malgun Gothic"/>
          <w:bCs/>
          <w:szCs w:val="18"/>
          <w:lang w:val="nl-NL" w:eastAsia="ko-KR"/>
        </w:rPr>
        <w:t xml:space="preserve">zal moeten </w:t>
      </w:r>
      <w:r w:rsidRPr="00826244">
        <w:rPr>
          <w:rFonts w:eastAsia="Malgun Gothic"/>
          <w:bCs/>
          <w:szCs w:val="18"/>
          <w:lang w:val="nl-NL" w:eastAsia="ko-KR"/>
        </w:rPr>
        <w:t>worden</w:t>
      </w:r>
      <w:r w:rsidRPr="00826244" w:rsidR="008649C8">
        <w:rPr>
          <w:rFonts w:eastAsia="Malgun Gothic"/>
          <w:bCs/>
          <w:szCs w:val="18"/>
          <w:lang w:val="nl-NL" w:eastAsia="ko-KR"/>
        </w:rPr>
        <w:t>.</w:t>
      </w:r>
      <w:r w:rsidRPr="00826244">
        <w:rPr>
          <w:rFonts w:eastAsia="Malgun Gothic"/>
          <w:bCs/>
          <w:szCs w:val="18"/>
          <w:lang w:val="nl-NL" w:eastAsia="ko-KR"/>
        </w:rPr>
        <w:t xml:space="preserve"> </w:t>
      </w:r>
    </w:p>
    <w:bookmarkEnd w:id="1"/>
    <w:p w:rsidRPr="00826244" w:rsidR="00C22017" w:rsidP="00826244" w:rsidRDefault="003C0F19" w14:paraId="291286BB" w14:textId="10164DD6">
      <w:pPr>
        <w:spacing w:line="276" w:lineRule="auto"/>
        <w:rPr>
          <w:rFonts w:cs="Times New Roman"/>
          <w:b/>
          <w:szCs w:val="18"/>
          <w:lang w:val="nl-NL"/>
        </w:rPr>
      </w:pPr>
      <w:r w:rsidRPr="00826244">
        <w:rPr>
          <w:rFonts w:cs="Times New Roman"/>
          <w:b/>
          <w:szCs w:val="18"/>
          <w:lang w:val="nl-NL"/>
        </w:rPr>
        <w:t>Artikel 7-procedure Hongarije</w:t>
      </w:r>
      <w:r w:rsidRPr="00826244" w:rsidR="007814F1">
        <w:rPr>
          <w:rFonts w:cs="Times New Roman"/>
          <w:b/>
          <w:szCs w:val="18"/>
          <w:lang w:val="nl-NL"/>
        </w:rPr>
        <w:br/>
      </w:r>
      <w:bookmarkStart w:name="_Hlk199321700" w:id="2"/>
      <w:r w:rsidRPr="00826244" w:rsidR="00C22017">
        <w:rPr>
          <w:rFonts w:cs="Times New Roman"/>
          <w:szCs w:val="18"/>
          <w:lang w:val="nl-NL"/>
        </w:rPr>
        <w:t>De Raad hoorde Hongarije voor de achtste keer in het kader van de Artikel 7-procedure. De hoorzitting betrof alle onderwerpen uit het met redenen omkleed voorstel dat het Europees Parlement in 20</w:t>
      </w:r>
      <w:r w:rsidRPr="00826244" w:rsidR="00504DDF">
        <w:rPr>
          <w:rFonts w:cs="Times New Roman"/>
          <w:bCs/>
          <w:szCs w:val="18"/>
          <w:lang w:val="nl-NL"/>
        </w:rPr>
        <w:t>1</w:t>
      </w:r>
      <w:r w:rsidRPr="00826244" w:rsidR="00C22017">
        <w:rPr>
          <w:rFonts w:cs="Times New Roman"/>
          <w:szCs w:val="18"/>
          <w:lang w:val="nl-NL"/>
        </w:rPr>
        <w:t xml:space="preserve">8 uitbracht. </w:t>
      </w:r>
    </w:p>
    <w:p w:rsidRPr="00826244" w:rsidR="00747B64" w:rsidP="00826244" w:rsidRDefault="00C22017" w14:paraId="1D9C8CFF" w14:textId="669564BE">
      <w:pPr>
        <w:spacing w:line="276" w:lineRule="auto"/>
        <w:rPr>
          <w:bCs/>
          <w:szCs w:val="18"/>
          <w:lang w:val="nl-NL"/>
        </w:rPr>
      </w:pPr>
      <w:bookmarkStart w:name="_Hlk199329296" w:id="3"/>
      <w:r w:rsidRPr="00826244">
        <w:rPr>
          <w:lang w:val="nl-NL"/>
        </w:rPr>
        <w:t xml:space="preserve">Tijdens de hoorzitting </w:t>
      </w:r>
      <w:r w:rsidRPr="00826244" w:rsidR="002F4052">
        <w:rPr>
          <w:lang w:val="nl-NL"/>
        </w:rPr>
        <w:t>ging de</w:t>
      </w:r>
      <w:r w:rsidRPr="00826244" w:rsidR="00B41188">
        <w:rPr>
          <w:lang w:val="nl-NL"/>
        </w:rPr>
        <w:t xml:space="preserve"> meeste aandacht uit naar zorgen over de recente anti-</w:t>
      </w:r>
      <w:proofErr w:type="spellStart"/>
      <w:r w:rsidRPr="00826244" w:rsidR="00B41188">
        <w:rPr>
          <w:lang w:val="nl-NL"/>
        </w:rPr>
        <w:t>lhbtiq</w:t>
      </w:r>
      <w:proofErr w:type="spellEnd"/>
      <w:r w:rsidRPr="00826244" w:rsidR="00B41188">
        <w:rPr>
          <w:lang w:val="nl-NL"/>
        </w:rPr>
        <w:t>+-wet</w:t>
      </w:r>
      <w:r w:rsidRPr="00826244" w:rsidR="007F4D9B">
        <w:rPr>
          <w:lang w:val="nl-NL"/>
        </w:rPr>
        <w:t>swijzigingen</w:t>
      </w:r>
      <w:r w:rsidRPr="00826244" w:rsidR="00B41188">
        <w:rPr>
          <w:lang w:val="nl-NL"/>
        </w:rPr>
        <w:t xml:space="preserve"> van Hongarije en </w:t>
      </w:r>
      <w:r w:rsidRPr="00826244" w:rsidR="00CC4411">
        <w:rPr>
          <w:lang w:val="nl-NL"/>
        </w:rPr>
        <w:t>het</w:t>
      </w:r>
      <w:r w:rsidRPr="00826244" w:rsidR="00B41188">
        <w:rPr>
          <w:lang w:val="nl-NL"/>
        </w:rPr>
        <w:t xml:space="preserve"> </w:t>
      </w:r>
      <w:r w:rsidRPr="00826244" w:rsidR="00C06752">
        <w:rPr>
          <w:lang w:val="nl-NL"/>
        </w:rPr>
        <w:t xml:space="preserve">voorgenoemde </w:t>
      </w:r>
      <w:r w:rsidRPr="00826244" w:rsidR="00CE390D">
        <w:rPr>
          <w:lang w:val="nl-NL"/>
        </w:rPr>
        <w:t>wetsvoorstel</w:t>
      </w:r>
      <w:r w:rsidRPr="00826244" w:rsidR="00B41188">
        <w:rPr>
          <w:lang w:val="nl-NL"/>
        </w:rPr>
        <w:t xml:space="preserve">. </w:t>
      </w:r>
      <w:r w:rsidRPr="00826244">
        <w:rPr>
          <w:lang w:val="nl-NL"/>
        </w:rPr>
        <w:t>België</w:t>
      </w:r>
      <w:r w:rsidRPr="00826244" w:rsidR="005719CA">
        <w:rPr>
          <w:lang w:val="nl-NL"/>
        </w:rPr>
        <w:t xml:space="preserve"> </w:t>
      </w:r>
      <w:r w:rsidRPr="00826244" w:rsidR="002239E6">
        <w:rPr>
          <w:lang w:val="nl-NL"/>
        </w:rPr>
        <w:t xml:space="preserve">sprak </w:t>
      </w:r>
      <w:r w:rsidRPr="00826244">
        <w:rPr>
          <w:lang w:val="nl-NL"/>
        </w:rPr>
        <w:t xml:space="preserve">namens de Benelux </w:t>
      </w:r>
      <w:r w:rsidRPr="00826244" w:rsidR="00B41188">
        <w:rPr>
          <w:lang w:val="nl-NL"/>
        </w:rPr>
        <w:t>ook zorgen uit over deze twee onderwerpen</w:t>
      </w:r>
      <w:r w:rsidRPr="00826244" w:rsidR="00747B64">
        <w:rPr>
          <w:i/>
          <w:iCs/>
          <w:lang w:val="nl-NL"/>
        </w:rPr>
        <w:t xml:space="preserve"> </w:t>
      </w:r>
      <w:r w:rsidRPr="00826244" w:rsidR="00747B64">
        <w:rPr>
          <w:lang w:val="nl-NL"/>
        </w:rPr>
        <w:t xml:space="preserve">en riep Hongarije daarnaast op </w:t>
      </w:r>
      <w:r w:rsidRPr="00826244" w:rsidR="00E74FB7">
        <w:rPr>
          <w:lang w:val="nl-NL"/>
        </w:rPr>
        <w:t xml:space="preserve">tot </w:t>
      </w:r>
      <w:r w:rsidRPr="00826244" w:rsidR="00747B64">
        <w:rPr>
          <w:lang w:val="nl-NL"/>
        </w:rPr>
        <w:t>geloofwaardige stappen om de zorgen te adresseren</w:t>
      </w:r>
      <w:r w:rsidRPr="00826244" w:rsidR="00890E23">
        <w:rPr>
          <w:lang w:val="nl-NL"/>
        </w:rPr>
        <w:t>, in nauwe samenwerking met de Commissie</w:t>
      </w:r>
      <w:r w:rsidRPr="00826244" w:rsidR="00EC1268">
        <w:rPr>
          <w:lang w:val="nl-NL"/>
        </w:rPr>
        <w:t>.</w:t>
      </w:r>
      <w:r w:rsidRPr="00826244" w:rsidR="00747B64">
        <w:rPr>
          <w:lang w:val="nl-NL"/>
        </w:rPr>
        <w:t xml:space="preserve"> </w:t>
      </w:r>
      <w:r w:rsidRPr="00826244" w:rsidR="00B41188">
        <w:rPr>
          <w:lang w:val="nl-NL"/>
        </w:rPr>
        <w:t xml:space="preserve">België verwees naar de </w:t>
      </w:r>
      <w:r w:rsidRPr="00826244" w:rsidR="00B41188">
        <w:rPr>
          <w:b/>
          <w:bCs/>
          <w:lang w:val="nl-NL"/>
        </w:rPr>
        <w:t>verklaring</w:t>
      </w:r>
      <w:r w:rsidRPr="00826244" w:rsidR="007F4D9B">
        <w:rPr>
          <w:rStyle w:val="FootnoteReference"/>
          <w:rFonts w:cs="Times New Roman"/>
          <w:b/>
          <w:bCs/>
          <w:szCs w:val="18"/>
          <w:lang w:val="nl-NL"/>
        </w:rPr>
        <w:footnoteReference w:id="7"/>
      </w:r>
      <w:r w:rsidRPr="00826244" w:rsidR="00B41188">
        <w:rPr>
          <w:b/>
          <w:bCs/>
          <w:lang w:val="nl-NL"/>
        </w:rPr>
        <w:t xml:space="preserve"> over de recente Hongaarse anti-</w:t>
      </w:r>
      <w:proofErr w:type="spellStart"/>
      <w:r w:rsidRPr="00826244" w:rsidR="00B41188">
        <w:rPr>
          <w:b/>
          <w:bCs/>
          <w:lang w:val="nl-NL"/>
        </w:rPr>
        <w:t>lhbtiq</w:t>
      </w:r>
      <w:proofErr w:type="spellEnd"/>
      <w:r w:rsidRPr="00826244" w:rsidR="00B41188">
        <w:rPr>
          <w:b/>
          <w:bCs/>
          <w:lang w:val="nl-NL"/>
        </w:rPr>
        <w:t>+-</w:t>
      </w:r>
      <w:r w:rsidRPr="00826244" w:rsidR="007F4D9B">
        <w:rPr>
          <w:b/>
          <w:bCs/>
          <w:lang w:val="nl-NL"/>
        </w:rPr>
        <w:t>wetswijzigingen</w:t>
      </w:r>
      <w:r w:rsidRPr="00826244" w:rsidR="00747B64">
        <w:rPr>
          <w:lang w:val="nl-NL"/>
        </w:rPr>
        <w:t xml:space="preserve">. </w:t>
      </w:r>
      <w:r w:rsidRPr="00826244" w:rsidR="00747B64">
        <w:rPr>
          <w:bCs/>
          <w:szCs w:val="18"/>
          <w:lang w:val="nl-NL"/>
        </w:rPr>
        <w:t>Nederland</w:t>
      </w:r>
      <w:r w:rsidRPr="00826244" w:rsidR="00A43DCD">
        <w:rPr>
          <w:bCs/>
          <w:szCs w:val="18"/>
          <w:lang w:val="nl-NL"/>
        </w:rPr>
        <w:t xml:space="preserve"> werkte in aanloop naar de RAZ aan deze verklaring om afkeur uit te spreken over de anti-lhbtiq+ ontwikkelingen in Hongarije</w:t>
      </w:r>
      <w:r w:rsidRPr="00826244" w:rsidR="00262D38">
        <w:rPr>
          <w:bCs/>
          <w:szCs w:val="18"/>
          <w:lang w:val="nl-NL"/>
        </w:rPr>
        <w:t xml:space="preserve"> en het belang </w:t>
      </w:r>
      <w:r w:rsidRPr="00826244" w:rsidR="00BA733A">
        <w:rPr>
          <w:bCs/>
          <w:szCs w:val="18"/>
          <w:lang w:val="nl-NL"/>
        </w:rPr>
        <w:t xml:space="preserve">te benadrukken </w:t>
      </w:r>
      <w:r w:rsidRPr="00826244" w:rsidR="00262D38">
        <w:rPr>
          <w:bCs/>
          <w:szCs w:val="18"/>
          <w:lang w:val="nl-NL"/>
        </w:rPr>
        <w:t>van respect v</w:t>
      </w:r>
      <w:r w:rsidRPr="00826244" w:rsidR="00423B33">
        <w:rPr>
          <w:bCs/>
          <w:szCs w:val="18"/>
          <w:lang w:val="nl-NL"/>
        </w:rPr>
        <w:t>oor</w:t>
      </w:r>
      <w:r w:rsidRPr="00826244" w:rsidR="00262D38">
        <w:rPr>
          <w:bCs/>
          <w:szCs w:val="18"/>
          <w:lang w:val="nl-NL"/>
        </w:rPr>
        <w:t xml:space="preserve"> mensenrechten en fundamentele rechten voor iedereen, inclusief </w:t>
      </w:r>
      <w:proofErr w:type="spellStart"/>
      <w:r w:rsidRPr="00826244" w:rsidR="00262D38">
        <w:rPr>
          <w:bCs/>
          <w:szCs w:val="18"/>
          <w:lang w:val="nl-NL"/>
        </w:rPr>
        <w:t>lhbtiq</w:t>
      </w:r>
      <w:proofErr w:type="spellEnd"/>
      <w:r w:rsidRPr="00826244" w:rsidR="00262D38">
        <w:rPr>
          <w:bCs/>
          <w:szCs w:val="18"/>
          <w:lang w:val="nl-NL"/>
        </w:rPr>
        <w:t>+-personen</w:t>
      </w:r>
      <w:r w:rsidRPr="00826244" w:rsidR="00A43DCD">
        <w:rPr>
          <w:bCs/>
          <w:szCs w:val="18"/>
          <w:lang w:val="nl-NL"/>
        </w:rPr>
        <w:t>. Deze</w:t>
      </w:r>
      <w:r w:rsidRPr="00826244" w:rsidDel="00A43DCD" w:rsidR="00747B64">
        <w:rPr>
          <w:bCs/>
          <w:szCs w:val="18"/>
          <w:lang w:val="nl-NL"/>
        </w:rPr>
        <w:t xml:space="preserve"> </w:t>
      </w:r>
      <w:r w:rsidRPr="00826244" w:rsidR="00747B64">
        <w:rPr>
          <w:bCs/>
          <w:szCs w:val="18"/>
          <w:lang w:val="nl-NL"/>
        </w:rPr>
        <w:t xml:space="preserve">verklaring </w:t>
      </w:r>
      <w:r w:rsidRPr="00826244" w:rsidR="00A43DCD">
        <w:rPr>
          <w:bCs/>
          <w:szCs w:val="18"/>
          <w:lang w:val="nl-NL"/>
        </w:rPr>
        <w:t>is uiteindelijk door 20 lidstaten ondertekend en werd</w:t>
      </w:r>
      <w:r w:rsidRPr="00826244" w:rsidR="00747B64">
        <w:rPr>
          <w:bCs/>
          <w:szCs w:val="18"/>
          <w:lang w:val="nl-NL"/>
        </w:rPr>
        <w:t xml:space="preserve"> en marge van de RAZ</w:t>
      </w:r>
      <w:r w:rsidRPr="00826244" w:rsidR="00A43DCD">
        <w:rPr>
          <w:bCs/>
          <w:szCs w:val="18"/>
          <w:lang w:val="nl-NL"/>
        </w:rPr>
        <w:t xml:space="preserve"> gepubliceerd</w:t>
      </w:r>
      <w:r w:rsidRPr="00826244" w:rsidR="00747B64">
        <w:rPr>
          <w:bCs/>
          <w:szCs w:val="18"/>
          <w:lang w:val="nl-NL"/>
        </w:rPr>
        <w:t>.</w:t>
      </w:r>
      <w:r w:rsidRPr="00826244" w:rsidR="00680A0C">
        <w:rPr>
          <w:bCs/>
          <w:szCs w:val="18"/>
          <w:lang w:val="nl-NL"/>
        </w:rPr>
        <w:t xml:space="preserve"> </w:t>
      </w:r>
      <w:r w:rsidRPr="00826244" w:rsidR="00747B64">
        <w:rPr>
          <w:bCs/>
          <w:szCs w:val="18"/>
          <w:lang w:val="nl-NL"/>
        </w:rPr>
        <w:t>De lidstaten veroordelen deze wetgeving, roepen Hongarije op deze te wijzigen en verzoeken de Commissie volledig gebruik te maken van de rechtsstaatinstrumenten die zij ter beschikking heeft.</w:t>
      </w:r>
      <w:r w:rsidRPr="00826244" w:rsidR="00E62067">
        <w:rPr>
          <w:bCs/>
          <w:szCs w:val="18"/>
          <w:lang w:val="nl-NL"/>
        </w:rPr>
        <w:t xml:space="preserve"> </w:t>
      </w:r>
      <w:r w:rsidRPr="00826244" w:rsidR="00246198">
        <w:rPr>
          <w:bCs/>
          <w:szCs w:val="18"/>
          <w:lang w:val="nl-NL"/>
        </w:rPr>
        <w:t xml:space="preserve">De Kamer wordt </w:t>
      </w:r>
      <w:r w:rsidRPr="00826244" w:rsidR="007E69FB">
        <w:rPr>
          <w:bCs/>
          <w:szCs w:val="18"/>
          <w:lang w:val="nl-NL"/>
        </w:rPr>
        <w:t xml:space="preserve">bijtijds </w:t>
      </w:r>
      <w:r w:rsidRPr="00826244" w:rsidR="00246198">
        <w:rPr>
          <w:bCs/>
          <w:szCs w:val="18"/>
          <w:lang w:val="nl-NL"/>
        </w:rPr>
        <w:t xml:space="preserve">geïnformeerd over de uitvoering van de </w:t>
      </w:r>
      <w:r w:rsidRPr="00826244" w:rsidR="005A3D31">
        <w:rPr>
          <w:bCs/>
          <w:szCs w:val="18"/>
          <w:lang w:val="nl-NL"/>
        </w:rPr>
        <w:t>motie Koekkoek/Van Campen</w:t>
      </w:r>
      <w:r w:rsidRPr="00826244" w:rsidR="00E3587F">
        <w:rPr>
          <w:bCs/>
          <w:szCs w:val="18"/>
          <w:lang w:val="nl-NL"/>
        </w:rPr>
        <w:t>.</w:t>
      </w:r>
      <w:r w:rsidR="003A56A6">
        <w:rPr>
          <w:rStyle w:val="FootnoteReference"/>
          <w:bCs/>
          <w:szCs w:val="18"/>
          <w:lang w:val="nl-NL"/>
        </w:rPr>
        <w:footnoteReference w:id="8"/>
      </w:r>
    </w:p>
    <w:p w:rsidRPr="00826244" w:rsidR="002239E6" w:rsidP="00826244" w:rsidRDefault="002239E6" w14:paraId="21FC177C" w14:textId="5B45A96F">
      <w:pPr>
        <w:spacing w:line="276" w:lineRule="auto"/>
        <w:rPr>
          <w:lang w:val="nl-NL"/>
        </w:rPr>
      </w:pPr>
      <w:r w:rsidRPr="00826244">
        <w:rPr>
          <w:bCs/>
          <w:lang w:val="nl-NL"/>
        </w:rPr>
        <w:t xml:space="preserve">Hongarije liet zich kritisch uit over de procedure, die in Hongaarse ogen wordt gepolitiseerd. Hongarije gaf aan wel constructief aan de procedure deel te nemen en ging vervolgens in op de actuele stand van zaken op de verschillende terreinen van zorg. </w:t>
      </w:r>
      <w:r w:rsidRPr="00826244">
        <w:rPr>
          <w:rFonts w:cs="Times New Roman"/>
          <w:szCs w:val="18"/>
          <w:lang w:val="nl-NL"/>
        </w:rPr>
        <w:t>De Commissie gaf een kort overzicht van de recente</w:t>
      </w:r>
      <w:r w:rsidRPr="00826244">
        <w:rPr>
          <w:rFonts w:cs="Times New Roman"/>
          <w:bCs/>
          <w:szCs w:val="18"/>
          <w:lang w:val="nl-NL"/>
        </w:rPr>
        <w:t>, zorgelijke</w:t>
      </w:r>
      <w:r w:rsidRPr="00826244">
        <w:rPr>
          <w:rFonts w:cs="Times New Roman"/>
          <w:szCs w:val="18"/>
          <w:lang w:val="nl-NL"/>
        </w:rPr>
        <w:t xml:space="preserve"> ontwikkelingen in Hongarije sinds de laatste stand</w:t>
      </w:r>
      <w:r w:rsidRPr="00826244">
        <w:rPr>
          <w:rFonts w:cs="Times New Roman"/>
          <w:bCs/>
          <w:szCs w:val="18"/>
          <w:lang w:val="nl-NL"/>
        </w:rPr>
        <w:t>-van-zakenbespreking</w:t>
      </w:r>
      <w:r w:rsidRPr="00826244">
        <w:rPr>
          <w:rFonts w:cs="Times New Roman"/>
          <w:szCs w:val="18"/>
          <w:lang w:val="nl-NL"/>
        </w:rPr>
        <w:t xml:space="preserve"> op </w:t>
      </w:r>
      <w:r w:rsidRPr="00826244">
        <w:rPr>
          <w:rFonts w:cs="Times New Roman"/>
          <w:bCs/>
          <w:szCs w:val="18"/>
          <w:lang w:val="nl-NL"/>
        </w:rPr>
        <w:t>19</w:t>
      </w:r>
      <w:r w:rsidRPr="00826244">
        <w:rPr>
          <w:rFonts w:cs="Times New Roman"/>
          <w:szCs w:val="18"/>
          <w:lang w:val="nl-NL"/>
        </w:rPr>
        <w:t xml:space="preserve"> november 2024</w:t>
      </w:r>
      <w:r w:rsidRPr="00826244">
        <w:rPr>
          <w:rFonts w:cs="Times New Roman"/>
          <w:bCs/>
          <w:szCs w:val="18"/>
          <w:lang w:val="nl-NL"/>
        </w:rPr>
        <w:t>.</w:t>
      </w:r>
      <w:r w:rsidRPr="00826244">
        <w:rPr>
          <w:rFonts w:cs="Times New Roman"/>
          <w:szCs w:val="18"/>
          <w:lang w:val="nl-NL"/>
        </w:rPr>
        <w:t xml:space="preserve"> </w:t>
      </w:r>
      <w:r w:rsidRPr="00826244">
        <w:rPr>
          <w:rFonts w:cs="Times New Roman"/>
          <w:bCs/>
          <w:szCs w:val="18"/>
          <w:lang w:val="nl-NL"/>
        </w:rPr>
        <w:t>De Commissie ging daarbij onder andere in op de recente anti-</w:t>
      </w:r>
      <w:proofErr w:type="spellStart"/>
      <w:r w:rsidRPr="00826244">
        <w:rPr>
          <w:rFonts w:cs="Times New Roman"/>
          <w:bCs/>
          <w:szCs w:val="18"/>
          <w:lang w:val="nl-NL"/>
        </w:rPr>
        <w:t>lhbtiq</w:t>
      </w:r>
      <w:proofErr w:type="spellEnd"/>
      <w:r w:rsidRPr="00826244">
        <w:rPr>
          <w:rFonts w:cs="Times New Roman"/>
          <w:bCs/>
          <w:szCs w:val="18"/>
          <w:lang w:val="nl-NL"/>
        </w:rPr>
        <w:t xml:space="preserve">+-wetgeving in Hongarije en het wetsvoorstel </w:t>
      </w:r>
      <w:r w:rsidRPr="00826244">
        <w:rPr>
          <w:rFonts w:cs="Times New Roman"/>
          <w:i/>
          <w:szCs w:val="18"/>
          <w:lang w:val="nl-NL"/>
        </w:rPr>
        <w:t>On the Transparency of Public Life</w:t>
      </w:r>
      <w:r w:rsidRPr="00826244">
        <w:rPr>
          <w:rFonts w:cs="Times New Roman"/>
          <w:bCs/>
          <w:szCs w:val="18"/>
          <w:lang w:val="nl-NL"/>
        </w:rPr>
        <w:t xml:space="preserve">. </w:t>
      </w:r>
      <w:r w:rsidRPr="00826244">
        <w:rPr>
          <w:szCs w:val="18"/>
          <w:lang w:val="nl-NL"/>
        </w:rPr>
        <w:t xml:space="preserve">De </w:t>
      </w:r>
      <w:r w:rsidRPr="00826244">
        <w:rPr>
          <w:rFonts w:cs="Times New Roman"/>
          <w:bCs/>
          <w:szCs w:val="18"/>
          <w:lang w:val="nl-NL"/>
        </w:rPr>
        <w:t xml:space="preserve">Commissie </w:t>
      </w:r>
      <w:r w:rsidRPr="00826244">
        <w:rPr>
          <w:szCs w:val="18"/>
          <w:lang w:val="nl-NL"/>
        </w:rPr>
        <w:t xml:space="preserve">drong er bij Hongarije op </w:t>
      </w:r>
      <w:r w:rsidRPr="00826244">
        <w:rPr>
          <w:rFonts w:cs="Times New Roman"/>
          <w:bCs/>
          <w:szCs w:val="18"/>
          <w:lang w:val="nl-NL"/>
        </w:rPr>
        <w:t xml:space="preserve">aan </w:t>
      </w:r>
      <w:r w:rsidRPr="00826244">
        <w:rPr>
          <w:szCs w:val="18"/>
          <w:lang w:val="nl-NL"/>
        </w:rPr>
        <w:t xml:space="preserve">het wetsvoorstel in te trekken. Als de Hongaarse regering de wet toch aanneemt, dan zal de Commissie </w:t>
      </w:r>
      <w:r w:rsidRPr="00826244">
        <w:rPr>
          <w:rFonts w:cs="Times New Roman"/>
          <w:bCs/>
          <w:szCs w:val="18"/>
          <w:lang w:val="nl-NL"/>
        </w:rPr>
        <w:t xml:space="preserve">alle beschikbare </w:t>
      </w:r>
      <w:r w:rsidRPr="00826244">
        <w:rPr>
          <w:szCs w:val="18"/>
          <w:lang w:val="nl-NL"/>
        </w:rPr>
        <w:t>rechtsstaatinstrumenten inzetten.</w:t>
      </w:r>
      <w:r w:rsidRPr="00826244">
        <w:rPr>
          <w:rFonts w:cs="Times New Roman"/>
          <w:bCs/>
          <w:szCs w:val="18"/>
          <w:lang w:val="nl-NL"/>
        </w:rPr>
        <w:t xml:space="preserve"> </w:t>
      </w:r>
      <w:r w:rsidRPr="00826244">
        <w:rPr>
          <w:lang w:val="nl-NL"/>
        </w:rPr>
        <w:t>De Commissie concludeerde dat een groot deel van de zorgen uit het met redenen omkleed voorstel nog altijd gegrond zijn.</w:t>
      </w:r>
    </w:p>
    <w:bookmarkEnd w:id="3"/>
    <w:p w:rsidRPr="00826244" w:rsidR="00C22017" w:rsidP="00F66AEA" w:rsidRDefault="009F5128" w14:paraId="1D41546E" w14:textId="75948382">
      <w:pPr>
        <w:spacing w:after="0" w:line="276" w:lineRule="auto"/>
        <w:rPr>
          <w:rFonts w:cs="Times New Roman"/>
          <w:b/>
          <w:szCs w:val="18"/>
          <w:lang w:val="nl-NL"/>
        </w:rPr>
      </w:pPr>
      <w:r w:rsidRPr="00826244">
        <w:rPr>
          <w:lang w:val="nl-NL"/>
        </w:rPr>
        <w:t xml:space="preserve">Verder lichtte </w:t>
      </w:r>
      <w:r w:rsidRPr="00826244" w:rsidR="00EC1268">
        <w:rPr>
          <w:lang w:val="nl-NL"/>
        </w:rPr>
        <w:t xml:space="preserve">Hongarije in reactie op de interventies de technische details </w:t>
      </w:r>
      <w:r w:rsidRPr="00826244" w:rsidR="00D07E61">
        <w:rPr>
          <w:lang w:val="nl-NL"/>
        </w:rPr>
        <w:t xml:space="preserve">toe </w:t>
      </w:r>
      <w:r w:rsidRPr="00826244" w:rsidR="00EC1268">
        <w:rPr>
          <w:lang w:val="nl-NL"/>
        </w:rPr>
        <w:t xml:space="preserve">van de wetswijziging en </w:t>
      </w:r>
      <w:r w:rsidRPr="00F82831" w:rsidR="00C80536">
        <w:rPr>
          <w:lang w:val="nl-NL"/>
        </w:rPr>
        <w:t>het wetsvoorstel</w:t>
      </w:r>
      <w:r w:rsidRPr="00F82831" w:rsidR="00EC1268">
        <w:rPr>
          <w:lang w:val="nl-NL"/>
        </w:rPr>
        <w:t xml:space="preserve">. </w:t>
      </w:r>
      <w:r w:rsidRPr="00F82831" w:rsidR="00B41188">
        <w:rPr>
          <w:lang w:val="nl-NL"/>
        </w:rPr>
        <w:t xml:space="preserve">Na afloop concludeerde het voorzitterschap dat de Raad </w:t>
      </w:r>
      <w:r w:rsidRPr="00F82831" w:rsidR="003F5642">
        <w:rPr>
          <w:lang w:val="nl-NL"/>
        </w:rPr>
        <w:t>de besprekingen in het kader van d</w:t>
      </w:r>
      <w:r w:rsidRPr="00F82831" w:rsidR="00B41188">
        <w:rPr>
          <w:lang w:val="nl-NL"/>
        </w:rPr>
        <w:t>e Artikel 7</w:t>
      </w:r>
      <w:r w:rsidRPr="00F82831" w:rsidR="00BA32D8">
        <w:rPr>
          <w:lang w:val="nl-NL"/>
        </w:rPr>
        <w:t>-</w:t>
      </w:r>
      <w:r w:rsidRPr="00F82831" w:rsidR="00B41188">
        <w:rPr>
          <w:lang w:val="nl-NL"/>
        </w:rPr>
        <w:t xml:space="preserve">procedure tegen Hongarije zal </w:t>
      </w:r>
      <w:r w:rsidRPr="00F82831" w:rsidR="003F5642">
        <w:rPr>
          <w:lang w:val="nl-NL"/>
        </w:rPr>
        <w:t>voortzetten</w:t>
      </w:r>
      <w:r w:rsidRPr="00F82831" w:rsidR="00B41188">
        <w:rPr>
          <w:lang w:val="nl-NL"/>
        </w:rPr>
        <w:t>.</w:t>
      </w:r>
      <w:r w:rsidRPr="00F82831" w:rsidR="003F5642">
        <w:rPr>
          <w:lang w:val="nl-NL"/>
        </w:rPr>
        <w:t xml:space="preserve"> </w:t>
      </w:r>
      <w:r w:rsidRPr="00F82831" w:rsidR="00BD2E7A">
        <w:rPr>
          <w:lang w:val="nl-NL"/>
        </w:rPr>
        <w:t xml:space="preserve">Het kabinet </w:t>
      </w:r>
      <w:r w:rsidRPr="00F82831" w:rsidR="00F66AEA">
        <w:rPr>
          <w:lang w:val="nl-NL"/>
        </w:rPr>
        <w:t>verwelkomt dat voornemen. In uitvoering van de motie-Paternotte/Van Campen</w:t>
      </w:r>
      <w:r w:rsidRPr="00F82831" w:rsidR="003A56A6">
        <w:rPr>
          <w:rStyle w:val="FootnoteReference"/>
          <w:lang w:val="nl-NL"/>
        </w:rPr>
        <w:footnoteReference w:id="9"/>
      </w:r>
      <w:r w:rsidRPr="00F82831" w:rsidR="00495F56">
        <w:rPr>
          <w:lang w:val="nl-NL"/>
        </w:rPr>
        <w:t xml:space="preserve"> </w:t>
      </w:r>
      <w:r w:rsidRPr="00F82831" w:rsidR="00F66AEA">
        <w:rPr>
          <w:lang w:val="nl-NL"/>
        </w:rPr>
        <w:t xml:space="preserve">heeft het kabinet ook gesproken met andere lidstaten over de mogelijkheden om verdere stappen te </w:t>
      </w:r>
      <w:r w:rsidRPr="00F82831" w:rsidR="00495F56">
        <w:rPr>
          <w:lang w:val="nl-NL"/>
        </w:rPr>
        <w:t>zetten</w:t>
      </w:r>
      <w:r w:rsidRPr="00F82831" w:rsidR="00F66AEA">
        <w:rPr>
          <w:lang w:val="nl-NL"/>
        </w:rPr>
        <w:t xml:space="preserve"> in de Artikel 7-procedure en het krachtenveld in kaart gebracht.</w:t>
      </w:r>
      <w:r w:rsidRPr="00F82831" w:rsidR="003F5642">
        <w:rPr>
          <w:szCs w:val="18"/>
          <w:lang w:val="nl-NL"/>
        </w:rPr>
        <w:t xml:space="preserve"> Het kabinet </w:t>
      </w:r>
      <w:r w:rsidRPr="00F82831" w:rsidR="00EC63A3">
        <w:rPr>
          <w:szCs w:val="18"/>
          <w:lang w:val="nl-NL"/>
        </w:rPr>
        <w:t>constateert</w:t>
      </w:r>
      <w:r w:rsidRPr="00495F56" w:rsidR="003F5642">
        <w:rPr>
          <w:szCs w:val="18"/>
          <w:lang w:val="nl-NL"/>
        </w:rPr>
        <w:t xml:space="preserve"> naar aanleiding hiervan dat de meerderheden </w:t>
      </w:r>
      <w:r w:rsidRPr="00495F56" w:rsidR="003F5642">
        <w:rPr>
          <w:szCs w:val="18"/>
          <w:lang w:val="nl-NL"/>
        </w:rPr>
        <w:lastRenderedPageBreak/>
        <w:t>om verdere stappen onder de Artikel 7-procedure te zetten momenteel nog niet in zicht zijn.</w:t>
      </w:r>
      <w:r w:rsidRPr="00826244" w:rsidR="003F5642">
        <w:rPr>
          <w:rFonts w:cs="Times New Roman"/>
          <w:sz w:val="24"/>
          <w:szCs w:val="24"/>
          <w:lang w:val="nl-NL" w:eastAsia="nl-NL"/>
        </w:rPr>
        <w:t xml:space="preserve"> </w:t>
      </w:r>
      <w:r w:rsidRPr="00826244" w:rsidR="0097239F">
        <w:rPr>
          <w:rFonts w:cs="Times New Roman"/>
          <w:b/>
          <w:szCs w:val="18"/>
          <w:lang w:val="nl-NL"/>
        </w:rPr>
        <w:br/>
      </w:r>
    </w:p>
    <w:bookmarkEnd w:id="2"/>
    <w:p w:rsidRPr="00826244" w:rsidR="00C22017" w:rsidP="00826244" w:rsidRDefault="00AA4B47" w14:paraId="2DF59FB8" w14:textId="1F4CA142">
      <w:pPr>
        <w:spacing w:line="276" w:lineRule="auto"/>
        <w:rPr>
          <w:lang w:val="nl-NL"/>
        </w:rPr>
      </w:pPr>
      <w:r w:rsidRPr="00826244">
        <w:rPr>
          <w:rFonts w:cs="Times New Roman"/>
          <w:b/>
          <w:szCs w:val="18"/>
          <w:lang w:val="nl-NL"/>
        </w:rPr>
        <w:t>Landenspecifieke rechts</w:t>
      </w:r>
      <w:r w:rsidRPr="00826244" w:rsidR="000D6330">
        <w:rPr>
          <w:rFonts w:cs="Times New Roman"/>
          <w:b/>
          <w:szCs w:val="18"/>
          <w:lang w:val="nl-NL"/>
        </w:rPr>
        <w:t>s</w:t>
      </w:r>
      <w:r w:rsidRPr="00826244">
        <w:rPr>
          <w:rFonts w:cs="Times New Roman"/>
          <w:b/>
          <w:szCs w:val="18"/>
          <w:lang w:val="nl-NL"/>
        </w:rPr>
        <w:t>taatdialoog</w:t>
      </w:r>
      <w:r w:rsidRPr="00826244" w:rsidR="00D92479">
        <w:rPr>
          <w:lang w:val="nl-NL"/>
        </w:rPr>
        <w:br/>
      </w:r>
      <w:r w:rsidRPr="00826244" w:rsidR="008C1121">
        <w:rPr>
          <w:lang w:val="nl-NL"/>
        </w:rPr>
        <w:t xml:space="preserve">Tijdens de Raad vond </w:t>
      </w:r>
      <w:r w:rsidRPr="00826244" w:rsidR="006F5810">
        <w:rPr>
          <w:lang w:val="nl-NL"/>
        </w:rPr>
        <w:t xml:space="preserve">voor de twaalfde keer sinds de start in 2020, de </w:t>
      </w:r>
      <w:r w:rsidRPr="00826244" w:rsidR="008C1121">
        <w:rPr>
          <w:lang w:val="nl-NL"/>
        </w:rPr>
        <w:t>landenspecifieke rechtsstaatdialoog plaats op basis van de landenhoofdstukken uit het Commissie rechtsstaatrapport.</w:t>
      </w:r>
      <w:r w:rsidRPr="00826244" w:rsidR="00976F62">
        <w:rPr>
          <w:rStyle w:val="FootnoteReference"/>
          <w:lang w:val="nl-NL"/>
        </w:rPr>
        <w:footnoteReference w:id="10"/>
      </w:r>
      <w:r w:rsidRPr="00826244" w:rsidR="008C1121">
        <w:rPr>
          <w:lang w:val="nl-NL"/>
        </w:rPr>
        <w:t xml:space="preserve"> Deze keer stonden de landenhoofdstukken van Slowakije, Zweden, België en Finland op de agenda. Vanwege tijdsge</w:t>
      </w:r>
      <w:r w:rsidRPr="00826244" w:rsidR="00C124A6">
        <w:rPr>
          <w:lang w:val="nl-NL"/>
        </w:rPr>
        <w:t>br</w:t>
      </w:r>
      <w:r w:rsidRPr="00826244" w:rsidR="008C1121">
        <w:rPr>
          <w:lang w:val="nl-NL"/>
        </w:rPr>
        <w:t xml:space="preserve">ek </w:t>
      </w:r>
      <w:r w:rsidRPr="00826244" w:rsidR="0032533E">
        <w:rPr>
          <w:lang w:val="nl-NL"/>
        </w:rPr>
        <w:t>werd</w:t>
      </w:r>
      <w:r w:rsidRPr="00826244" w:rsidR="008C1121">
        <w:rPr>
          <w:lang w:val="nl-NL"/>
        </w:rPr>
        <w:t xml:space="preserve"> de dialoog met Finland verplaatst naar </w:t>
      </w:r>
      <w:r w:rsidRPr="00826244" w:rsidR="00C124A6">
        <w:rPr>
          <w:lang w:val="nl-NL"/>
        </w:rPr>
        <w:t>de RAZ van juni a.s.</w:t>
      </w:r>
      <w:r w:rsidRPr="00826244" w:rsidR="008C1121">
        <w:rPr>
          <w:lang w:val="nl-NL"/>
        </w:rPr>
        <w:t xml:space="preserve"> Zoals gebruikelijk leidde de Commissie de afzonderlijke dialogen in met een korte samenvatting van haar bevindingen. De betreffende lidstaat gaf daarna een korte presentatie van de staat van de rechtsstaat in het eigen land, waarna een ronde van vragen en antwoorden volgde. </w:t>
      </w:r>
    </w:p>
    <w:p w:rsidRPr="00826244" w:rsidR="000606F0" w:rsidP="00826244" w:rsidRDefault="00C124A6" w14:paraId="5A3C4A7C" w14:textId="02DA5D3E">
      <w:pPr>
        <w:spacing w:line="276" w:lineRule="auto"/>
        <w:rPr>
          <w:lang w:val="nl-NL"/>
        </w:rPr>
      </w:pPr>
      <w:r w:rsidRPr="00826244">
        <w:rPr>
          <w:lang w:val="nl-NL"/>
        </w:rPr>
        <w:t xml:space="preserve">Luxemburg intervenieerde </w:t>
      </w:r>
      <w:r w:rsidRPr="00826244" w:rsidR="00647208">
        <w:rPr>
          <w:lang w:val="nl-NL"/>
        </w:rPr>
        <w:t xml:space="preserve">mede </w:t>
      </w:r>
      <w:r w:rsidRPr="00826244">
        <w:rPr>
          <w:lang w:val="nl-NL"/>
        </w:rPr>
        <w:t xml:space="preserve">namens Nederland bij de besprekingen van Slowakije en Zweden. </w:t>
      </w:r>
      <w:r w:rsidRPr="00826244" w:rsidR="00647208">
        <w:rPr>
          <w:lang w:val="nl-NL"/>
        </w:rPr>
        <w:t>O</w:t>
      </w:r>
      <w:r w:rsidRPr="00826244">
        <w:rPr>
          <w:lang w:val="nl-NL"/>
        </w:rPr>
        <w:t>mdat België zelf op de agenda stond</w:t>
      </w:r>
      <w:r w:rsidRPr="00826244" w:rsidR="00647208">
        <w:rPr>
          <w:lang w:val="nl-NL"/>
        </w:rPr>
        <w:t xml:space="preserve">, was de interventie niet in Benelux-verband. </w:t>
      </w:r>
      <w:r w:rsidRPr="00826244" w:rsidR="000606F0">
        <w:rPr>
          <w:lang w:val="nl-NL"/>
        </w:rPr>
        <w:t xml:space="preserve">Luxemburg vroeg </w:t>
      </w:r>
      <w:r w:rsidRPr="00826244" w:rsidR="00647208">
        <w:rPr>
          <w:lang w:val="nl-NL"/>
        </w:rPr>
        <w:t>in een kritische interventie</w:t>
      </w:r>
      <w:r w:rsidRPr="00826244" w:rsidR="000606F0">
        <w:rPr>
          <w:lang w:val="nl-NL"/>
        </w:rPr>
        <w:t xml:space="preserve"> </w:t>
      </w:r>
      <w:r w:rsidRPr="00826244" w:rsidR="00435A09">
        <w:rPr>
          <w:lang w:val="nl-NL"/>
        </w:rPr>
        <w:t xml:space="preserve">hoe </w:t>
      </w:r>
      <w:r w:rsidRPr="00826244" w:rsidR="000606F0">
        <w:rPr>
          <w:lang w:val="nl-NL"/>
        </w:rPr>
        <w:t>Slowakije</w:t>
      </w:r>
      <w:r w:rsidRPr="00826244" w:rsidR="00435A09">
        <w:rPr>
          <w:lang w:val="nl-NL"/>
        </w:rPr>
        <w:t xml:space="preserve"> voldoende waarborgen van onafhankelijke rechtsspraak </w:t>
      </w:r>
      <w:r w:rsidRPr="00826244" w:rsidR="00647208">
        <w:rPr>
          <w:lang w:val="nl-NL"/>
        </w:rPr>
        <w:t>verzekert</w:t>
      </w:r>
      <w:r w:rsidRPr="00826244" w:rsidR="00435A09">
        <w:rPr>
          <w:lang w:val="nl-NL"/>
        </w:rPr>
        <w:t>. Ook uit</w:t>
      </w:r>
      <w:r w:rsidRPr="00826244" w:rsidR="000606F0">
        <w:rPr>
          <w:lang w:val="nl-NL"/>
        </w:rPr>
        <w:t>te Luxemburg zorgen</w:t>
      </w:r>
      <w:r w:rsidRPr="00826244" w:rsidR="00435A09">
        <w:rPr>
          <w:lang w:val="nl-NL"/>
        </w:rPr>
        <w:t xml:space="preserve"> over de recente strafrechtelijke hervormingen en de afschaffing van de speciaal aanklager. In dat kader werd gevraagd hoe Slowakije corruptie tegengaat en de bescherming van de financiële belangen van de unie waarborgt. Daarnaast werd het belang van onafhankelijke media benadrukt</w:t>
      </w:r>
      <w:r w:rsidRPr="00826244" w:rsidR="000606F0">
        <w:rPr>
          <w:lang w:val="nl-NL"/>
        </w:rPr>
        <w:t xml:space="preserve">. Zweden werd bevraagd over de recente inzet om corruptie en infiltratie van georganiseerde misdaad tegen te gaan. </w:t>
      </w:r>
      <w:r w:rsidRPr="00826244" w:rsidR="002606DB">
        <w:rPr>
          <w:lang w:val="nl-NL"/>
        </w:rPr>
        <w:t xml:space="preserve">Luxemburg verwelkomde </w:t>
      </w:r>
      <w:r w:rsidRPr="00826244" w:rsidR="000606F0">
        <w:rPr>
          <w:lang w:val="nl-NL"/>
        </w:rPr>
        <w:t xml:space="preserve">de aanscherping van de regels om draaideur-problematiek tegen te gaan. Tenslotte werd </w:t>
      </w:r>
      <w:r w:rsidRPr="00826244" w:rsidR="003F45EC">
        <w:rPr>
          <w:lang w:val="nl-NL"/>
        </w:rPr>
        <w:t>gevraagd</w:t>
      </w:r>
      <w:r w:rsidRPr="00826244" w:rsidR="00C95F9B">
        <w:rPr>
          <w:lang w:val="nl-NL"/>
        </w:rPr>
        <w:t xml:space="preserve"> </w:t>
      </w:r>
      <w:r w:rsidRPr="00826244" w:rsidR="00A07D32">
        <w:rPr>
          <w:lang w:val="nl-NL"/>
        </w:rPr>
        <w:t xml:space="preserve">hoe Zweden </w:t>
      </w:r>
      <w:r w:rsidRPr="00826244" w:rsidR="003F45EC">
        <w:rPr>
          <w:lang w:val="nl-NL"/>
        </w:rPr>
        <w:t xml:space="preserve">verzekert </w:t>
      </w:r>
      <w:r w:rsidRPr="00826244" w:rsidR="00A07D32">
        <w:rPr>
          <w:lang w:val="nl-NL"/>
        </w:rPr>
        <w:t>dat</w:t>
      </w:r>
      <w:r w:rsidRPr="00826244" w:rsidR="000606F0">
        <w:rPr>
          <w:lang w:val="nl-NL"/>
        </w:rPr>
        <w:t xml:space="preserve"> recente hervormingen</w:t>
      </w:r>
      <w:r w:rsidRPr="00826244" w:rsidR="00A07D32">
        <w:rPr>
          <w:lang w:val="nl-NL"/>
        </w:rPr>
        <w:t xml:space="preserve"> ten aanzien van de financiering en organisatie van het maatschappelijk middenveld</w:t>
      </w:r>
      <w:r w:rsidRPr="00826244" w:rsidR="000606F0">
        <w:rPr>
          <w:lang w:val="nl-NL"/>
        </w:rPr>
        <w:t xml:space="preserve"> niet leiden </w:t>
      </w:r>
      <w:r w:rsidRPr="00826244" w:rsidR="00716E43">
        <w:rPr>
          <w:lang w:val="nl-NL"/>
        </w:rPr>
        <w:t xml:space="preserve">tot </w:t>
      </w:r>
      <w:r w:rsidRPr="00826244" w:rsidR="00990D39">
        <w:rPr>
          <w:lang w:val="nl-NL"/>
        </w:rPr>
        <w:t xml:space="preserve">beperking van </w:t>
      </w:r>
      <w:r w:rsidRPr="00826244" w:rsidR="00A07D32">
        <w:rPr>
          <w:lang w:val="nl-NL"/>
        </w:rPr>
        <w:t xml:space="preserve">betrokkenheid van het maatschappelijk middenveld. </w:t>
      </w:r>
    </w:p>
    <w:p w:rsidRPr="00826244" w:rsidR="00B65A65" w:rsidP="00826244" w:rsidRDefault="00B65A65" w14:paraId="3E24E9B0" w14:textId="70D75B4A">
      <w:pPr>
        <w:pStyle w:val="NoSpacing"/>
        <w:spacing w:line="276" w:lineRule="auto"/>
        <w:rPr>
          <w:b/>
          <w:szCs w:val="18"/>
          <w:lang w:val="nl-NL"/>
        </w:rPr>
      </w:pPr>
      <w:r w:rsidRPr="00826244">
        <w:rPr>
          <w:b/>
          <w:szCs w:val="18"/>
          <w:lang w:val="nl-NL"/>
        </w:rPr>
        <w:t>Democratische weerbaarheid</w:t>
      </w:r>
    </w:p>
    <w:p w:rsidRPr="00826244" w:rsidR="00B65A65" w:rsidP="00826244" w:rsidRDefault="00B65A65" w14:paraId="19A039AD" w14:textId="3D1C149E">
      <w:pPr>
        <w:pStyle w:val="NoSpacing"/>
        <w:spacing w:line="276" w:lineRule="auto"/>
        <w:rPr>
          <w:bCs/>
          <w:szCs w:val="18"/>
          <w:lang w:val="nl-NL"/>
        </w:rPr>
      </w:pPr>
      <w:r w:rsidRPr="00826244">
        <w:rPr>
          <w:bCs/>
          <w:szCs w:val="18"/>
          <w:lang w:val="nl-NL"/>
        </w:rPr>
        <w:t>Het voorzitterschap nam conclusies aan</w:t>
      </w:r>
      <w:r w:rsidRPr="00826244" w:rsidR="00B708FB">
        <w:rPr>
          <w:bCs/>
          <w:szCs w:val="18"/>
          <w:lang w:val="nl-NL"/>
        </w:rPr>
        <w:t xml:space="preserve"> over democratische weerbaarheid in de EU</w:t>
      </w:r>
      <w:r w:rsidRPr="00826244" w:rsidR="00FA4354">
        <w:rPr>
          <w:bCs/>
          <w:szCs w:val="18"/>
          <w:lang w:val="nl-NL"/>
        </w:rPr>
        <w:t>.</w:t>
      </w:r>
      <w:r w:rsidRPr="00826244" w:rsidR="005D5DAA">
        <w:rPr>
          <w:rStyle w:val="FootnoteReference"/>
          <w:bCs/>
          <w:szCs w:val="18"/>
          <w:lang w:val="nl-NL"/>
        </w:rPr>
        <w:footnoteReference w:id="11"/>
      </w:r>
      <w:r w:rsidRPr="00826244" w:rsidR="007B03CE">
        <w:rPr>
          <w:bCs/>
          <w:szCs w:val="18"/>
          <w:lang w:val="nl-NL"/>
        </w:rPr>
        <w:t xml:space="preserve"> </w:t>
      </w:r>
      <w:r w:rsidRPr="00826244" w:rsidR="009277ED">
        <w:rPr>
          <w:bCs/>
          <w:szCs w:val="18"/>
          <w:lang w:val="nl-NL"/>
        </w:rPr>
        <w:t xml:space="preserve">Deze conclusies zullen als input dienen voor het </w:t>
      </w:r>
      <w:r w:rsidRPr="00826244" w:rsidR="009277ED">
        <w:rPr>
          <w:bCs/>
          <w:i/>
          <w:iCs/>
          <w:szCs w:val="18"/>
          <w:lang w:val="nl-NL"/>
        </w:rPr>
        <w:t xml:space="preserve">European Democracy </w:t>
      </w:r>
      <w:r w:rsidRPr="00826244" w:rsidR="009277ED">
        <w:rPr>
          <w:i/>
          <w:szCs w:val="18"/>
          <w:lang w:val="nl-NL"/>
        </w:rPr>
        <w:t>Shield</w:t>
      </w:r>
      <w:r w:rsidRPr="00826244" w:rsidR="009277ED">
        <w:rPr>
          <w:bCs/>
          <w:szCs w:val="18"/>
          <w:lang w:val="nl-NL"/>
        </w:rPr>
        <w:t xml:space="preserve">. Het Commissievoorstel hiertoe wordt dit najaar verwacht. </w:t>
      </w:r>
      <w:r w:rsidRPr="00826244" w:rsidR="00455530">
        <w:rPr>
          <w:bCs/>
          <w:szCs w:val="18"/>
          <w:lang w:val="nl-NL"/>
        </w:rPr>
        <w:t xml:space="preserve">Uw Kamer wordt t.z.t. via een BNC-fiche over geïnformeerd. </w:t>
      </w:r>
      <w:r w:rsidRPr="00826244" w:rsidR="00A04D07">
        <w:rPr>
          <w:bCs/>
          <w:szCs w:val="18"/>
          <w:lang w:val="nl-NL"/>
        </w:rPr>
        <w:br/>
      </w:r>
      <w:r w:rsidRPr="00826244" w:rsidR="00B708FB">
        <w:rPr>
          <w:bCs/>
          <w:szCs w:val="18"/>
          <w:lang w:val="nl-NL"/>
        </w:rPr>
        <w:t xml:space="preserve">Ook sprak de Raad tijdens de lunch </w:t>
      </w:r>
      <w:r w:rsidRPr="00826244" w:rsidR="00CA2DDB">
        <w:rPr>
          <w:bCs/>
          <w:szCs w:val="18"/>
          <w:lang w:val="nl-NL"/>
        </w:rPr>
        <w:t xml:space="preserve">met </w:t>
      </w:r>
      <w:r w:rsidRPr="00826244" w:rsidR="002465C9">
        <w:rPr>
          <w:bCs/>
          <w:szCs w:val="18"/>
          <w:lang w:val="nl-NL"/>
        </w:rPr>
        <w:t>C</w:t>
      </w:r>
      <w:r w:rsidRPr="00826244" w:rsidR="00CA2DDB">
        <w:rPr>
          <w:bCs/>
          <w:szCs w:val="18"/>
          <w:lang w:val="nl-NL"/>
        </w:rPr>
        <w:t xml:space="preserve">ommissaris </w:t>
      </w:r>
      <w:proofErr w:type="spellStart"/>
      <w:r w:rsidRPr="00826244" w:rsidR="00CA2DDB">
        <w:rPr>
          <w:bCs/>
          <w:szCs w:val="18"/>
          <w:lang w:val="nl-NL"/>
        </w:rPr>
        <w:t>McGrath</w:t>
      </w:r>
      <w:proofErr w:type="spellEnd"/>
      <w:r w:rsidRPr="00826244" w:rsidR="00CA2DDB">
        <w:rPr>
          <w:bCs/>
          <w:szCs w:val="18"/>
          <w:lang w:val="nl-NL"/>
        </w:rPr>
        <w:t xml:space="preserve"> </w:t>
      </w:r>
      <w:r w:rsidRPr="00826244" w:rsidR="00B708FB">
        <w:rPr>
          <w:bCs/>
          <w:szCs w:val="18"/>
          <w:lang w:val="nl-NL"/>
        </w:rPr>
        <w:t xml:space="preserve">over </w:t>
      </w:r>
      <w:r w:rsidRPr="00826244" w:rsidR="00AC15FC">
        <w:rPr>
          <w:bCs/>
          <w:szCs w:val="18"/>
          <w:lang w:val="nl-NL"/>
        </w:rPr>
        <w:t>dit onderwerp</w:t>
      </w:r>
      <w:r w:rsidRPr="00826244" w:rsidR="00630FD8">
        <w:rPr>
          <w:bCs/>
          <w:szCs w:val="18"/>
          <w:lang w:val="nl-NL"/>
        </w:rPr>
        <w:t>.</w:t>
      </w:r>
    </w:p>
    <w:p w:rsidRPr="00826244" w:rsidR="007B03CE" w:rsidP="00826244" w:rsidRDefault="007B03CE" w14:paraId="02B37E9C" w14:textId="77777777">
      <w:pPr>
        <w:pStyle w:val="NoSpacing"/>
        <w:spacing w:line="276" w:lineRule="auto"/>
        <w:rPr>
          <w:b/>
          <w:szCs w:val="18"/>
          <w:lang w:val="nl-NL"/>
        </w:rPr>
      </w:pPr>
    </w:p>
    <w:p w:rsidRPr="00826244" w:rsidR="00A81C4F" w:rsidP="00826244" w:rsidRDefault="005E5F9A" w14:paraId="4446E9C2" w14:textId="0FD611CC">
      <w:pPr>
        <w:spacing w:line="276" w:lineRule="auto"/>
        <w:rPr>
          <w:rFonts w:cs="Times New Roman"/>
          <w:b/>
          <w:szCs w:val="18"/>
          <w:lang w:val="nl-NL" w:eastAsia="ja-JP"/>
        </w:rPr>
      </w:pPr>
      <w:r w:rsidRPr="00F82831">
        <w:rPr>
          <w:rFonts w:cs="Times New Roman"/>
          <w:b/>
          <w:szCs w:val="18"/>
          <w:lang w:val="nl-NL" w:eastAsia="ja-JP"/>
        </w:rPr>
        <w:t xml:space="preserve">Overige agendapunt (“AOB”): </w:t>
      </w:r>
      <w:r w:rsidRPr="00F82831" w:rsidR="000B76BD">
        <w:rPr>
          <w:rFonts w:cs="Times New Roman"/>
          <w:b/>
          <w:szCs w:val="18"/>
          <w:lang w:val="nl-NL" w:eastAsia="ja-JP"/>
        </w:rPr>
        <w:t>Radio Free Europe/Radio Liberty</w:t>
      </w:r>
      <w:r w:rsidRPr="00F82831" w:rsidR="00DF4EFC">
        <w:rPr>
          <w:rFonts w:cs="Times New Roman"/>
          <w:b/>
          <w:bCs/>
          <w:szCs w:val="18"/>
          <w:lang w:val="nl-NL" w:eastAsia="ja-JP"/>
        </w:rPr>
        <w:br/>
      </w:r>
      <w:r w:rsidRPr="00F82831" w:rsidR="000B76BD">
        <w:rPr>
          <w:rFonts w:cs="Times New Roman"/>
          <w:szCs w:val="18"/>
          <w:lang w:val="nl-NL" w:eastAsia="ja-JP"/>
        </w:rPr>
        <w:t xml:space="preserve">De Raad sprak </w:t>
      </w:r>
      <w:r w:rsidRPr="00F82831" w:rsidR="008C086A">
        <w:rPr>
          <w:rFonts w:cs="Times New Roman"/>
          <w:szCs w:val="18"/>
          <w:lang w:val="nl-NL" w:eastAsia="ja-JP"/>
        </w:rPr>
        <w:t xml:space="preserve">op verzoek van Tsjechië </w:t>
      </w:r>
      <w:r w:rsidRPr="00F82831" w:rsidR="000B76BD">
        <w:rPr>
          <w:rFonts w:cs="Times New Roman"/>
          <w:szCs w:val="18"/>
          <w:lang w:val="nl-NL" w:eastAsia="ja-JP"/>
        </w:rPr>
        <w:t>over huidige situatie waarin</w:t>
      </w:r>
      <w:r w:rsidRPr="00F82831" w:rsidR="000B76BD">
        <w:rPr>
          <w:rFonts w:cs="Times New Roman"/>
          <w:i/>
          <w:iCs/>
          <w:szCs w:val="18"/>
          <w:lang w:val="nl-NL" w:eastAsia="ja-JP"/>
        </w:rPr>
        <w:t xml:space="preserve"> Radio Free Europe/Radio Liberty</w:t>
      </w:r>
      <w:r w:rsidRPr="00F82831" w:rsidR="000B76BD">
        <w:rPr>
          <w:rFonts w:cs="Times New Roman"/>
          <w:szCs w:val="18"/>
          <w:lang w:val="nl-NL" w:eastAsia="ja-JP"/>
        </w:rPr>
        <w:t xml:space="preserve"> verkeert. </w:t>
      </w:r>
      <w:r w:rsidRPr="00F82831" w:rsidR="008C086A">
        <w:rPr>
          <w:rFonts w:cs="Times New Roman"/>
          <w:szCs w:val="18"/>
          <w:lang w:val="nl-NL" w:eastAsia="ja-JP"/>
        </w:rPr>
        <w:t>Het g</w:t>
      </w:r>
      <w:r w:rsidRPr="00F82831" w:rsidR="000B76BD">
        <w:rPr>
          <w:rFonts w:cs="Times New Roman"/>
          <w:szCs w:val="18"/>
          <w:lang w:val="nl-NL" w:eastAsia="ja-JP"/>
        </w:rPr>
        <w:t xml:space="preserve">astland van </w:t>
      </w:r>
      <w:r w:rsidRPr="00F82831" w:rsidR="000B76BD">
        <w:rPr>
          <w:rFonts w:cs="Times New Roman"/>
          <w:i/>
          <w:iCs/>
          <w:szCs w:val="18"/>
          <w:lang w:val="nl-NL" w:eastAsia="ja-JP"/>
        </w:rPr>
        <w:t>Radio Free Europe/Radio Liberty</w:t>
      </w:r>
      <w:r w:rsidRPr="00F82831" w:rsidR="000B76BD">
        <w:rPr>
          <w:rFonts w:cs="Times New Roman"/>
          <w:szCs w:val="18"/>
          <w:lang w:val="nl-NL" w:eastAsia="ja-JP"/>
        </w:rPr>
        <w:t xml:space="preserve"> onderstreepte dat naast noodmaatregelen ook nagedacht moet worden over oplossingen op de langere termijn. Nederland sprak</w:t>
      </w:r>
      <w:r w:rsidRPr="00F82831" w:rsidR="00E47C00">
        <w:rPr>
          <w:rFonts w:cs="Times New Roman"/>
          <w:szCs w:val="18"/>
          <w:lang w:val="nl-NL" w:eastAsia="ja-JP"/>
        </w:rPr>
        <w:t xml:space="preserve"> conform </w:t>
      </w:r>
      <w:r w:rsidRPr="00F82831" w:rsidR="00FA4354">
        <w:rPr>
          <w:rFonts w:cs="Times New Roman"/>
          <w:szCs w:val="18"/>
          <w:lang w:val="nl-NL" w:eastAsia="ja-JP"/>
        </w:rPr>
        <w:t>m</w:t>
      </w:r>
      <w:r w:rsidRPr="00F82831" w:rsidR="00E47C00">
        <w:rPr>
          <w:rFonts w:cs="Times New Roman"/>
          <w:szCs w:val="18"/>
          <w:lang w:val="nl-NL" w:eastAsia="ja-JP"/>
        </w:rPr>
        <w:t>otie</w:t>
      </w:r>
      <w:r w:rsidRPr="00F82831" w:rsidR="002465C9">
        <w:rPr>
          <w:rFonts w:cs="Times New Roman"/>
          <w:szCs w:val="18"/>
          <w:lang w:val="nl-NL" w:eastAsia="ja-JP"/>
        </w:rPr>
        <w:t>-</w:t>
      </w:r>
      <w:r w:rsidRPr="00F82831" w:rsidR="00E47C00">
        <w:rPr>
          <w:rFonts w:cs="Times New Roman"/>
          <w:szCs w:val="18"/>
          <w:lang w:val="nl-NL" w:eastAsia="ja-JP"/>
        </w:rPr>
        <w:t>Timmermans</w:t>
      </w:r>
      <w:r w:rsidRPr="00F82831" w:rsidR="008772A0">
        <w:rPr>
          <w:rStyle w:val="FootnoteReference"/>
          <w:rFonts w:cs="Times New Roman"/>
          <w:szCs w:val="18"/>
          <w:lang w:val="nl-NL" w:eastAsia="ja-JP"/>
        </w:rPr>
        <w:footnoteReference w:id="12"/>
      </w:r>
      <w:r w:rsidRPr="00F82831" w:rsidR="000B76BD">
        <w:rPr>
          <w:rFonts w:cs="Times New Roman"/>
          <w:szCs w:val="18"/>
          <w:lang w:val="nl-NL" w:eastAsia="ja-JP"/>
        </w:rPr>
        <w:t xml:space="preserve"> uit actief te zoeken naar manieren om </w:t>
      </w:r>
      <w:r w:rsidRPr="00F82831" w:rsidR="000B76BD">
        <w:rPr>
          <w:rFonts w:cs="Times New Roman"/>
          <w:i/>
          <w:iCs/>
          <w:szCs w:val="18"/>
          <w:lang w:val="nl-NL" w:eastAsia="ja-JP"/>
        </w:rPr>
        <w:t>Radio Free Europe/Radio Liberty</w:t>
      </w:r>
      <w:r w:rsidRPr="00F82831" w:rsidR="000B76BD">
        <w:rPr>
          <w:rFonts w:cs="Times New Roman"/>
          <w:szCs w:val="18"/>
          <w:lang w:val="nl-NL" w:eastAsia="ja-JP"/>
        </w:rPr>
        <w:t xml:space="preserve"> te steunen. </w:t>
      </w:r>
      <w:r w:rsidRPr="00F82831" w:rsidR="00337FBF">
        <w:rPr>
          <w:rFonts w:cs="Times New Roman"/>
          <w:szCs w:val="18"/>
          <w:lang w:val="nl-NL" w:eastAsia="ja-JP"/>
        </w:rPr>
        <w:t xml:space="preserve">Na de Raad, op 3 juni jl., heeft het kabinet toegezegd </w:t>
      </w:r>
      <w:r w:rsidRPr="00F82831" w:rsidR="00337FBF">
        <w:rPr>
          <w:rFonts w:cs="Times New Roman"/>
          <w:i/>
          <w:iCs/>
          <w:szCs w:val="18"/>
          <w:lang w:val="nl-NL" w:eastAsia="ja-JP"/>
        </w:rPr>
        <w:t>Radio Free Europe/Radio Liberty</w:t>
      </w:r>
      <w:r w:rsidRPr="00F82831" w:rsidR="00337FBF">
        <w:rPr>
          <w:rFonts w:cs="Times New Roman"/>
          <w:szCs w:val="18"/>
          <w:lang w:val="nl-NL" w:eastAsia="ja-JP"/>
        </w:rPr>
        <w:t xml:space="preserve"> met 3 miljoen euro te steunen.</w:t>
      </w:r>
      <w:r w:rsidRPr="00337FBF" w:rsidR="00337FBF">
        <w:rPr>
          <w:rFonts w:cs="Times New Roman"/>
          <w:i/>
          <w:iCs/>
          <w:szCs w:val="18"/>
          <w:lang w:val="nl-NL" w:eastAsia="ja-JP"/>
        </w:rPr>
        <w:t xml:space="preserve"> </w:t>
      </w:r>
    </w:p>
    <w:p w:rsidRPr="00826244" w:rsidR="00A81C4F" w:rsidP="00826244" w:rsidRDefault="0009271E" w14:paraId="012CE9A9" w14:textId="71AE1A56">
      <w:pPr>
        <w:spacing w:after="0" w:line="276" w:lineRule="auto"/>
        <w:rPr>
          <w:b/>
          <w:lang w:val="nl-NL" w:eastAsia="ja-JP"/>
        </w:rPr>
      </w:pPr>
      <w:r w:rsidRPr="00826244">
        <w:rPr>
          <w:b/>
          <w:lang w:val="nl-NL" w:eastAsia="ja-JP"/>
        </w:rPr>
        <w:t xml:space="preserve">Ontbijt Ministers </w:t>
      </w:r>
      <w:r w:rsidRPr="00826244" w:rsidR="00D709E1">
        <w:rPr>
          <w:b/>
          <w:bCs/>
          <w:lang w:val="nl-NL" w:eastAsia="ja-JP"/>
        </w:rPr>
        <w:t>for</w:t>
      </w:r>
      <w:r w:rsidRPr="00826244">
        <w:rPr>
          <w:b/>
          <w:lang w:val="nl-NL" w:eastAsia="ja-JP"/>
        </w:rPr>
        <w:t xml:space="preserve"> the Future</w:t>
      </w:r>
    </w:p>
    <w:p w:rsidRPr="00826244" w:rsidR="00826EB2" w:rsidP="00826244" w:rsidRDefault="0009271E" w14:paraId="39BF6303" w14:textId="49203956">
      <w:pPr>
        <w:spacing w:line="276" w:lineRule="auto"/>
        <w:rPr>
          <w:szCs w:val="18"/>
          <w:lang w:val="nl-NL"/>
        </w:rPr>
      </w:pPr>
      <w:r w:rsidRPr="00826244">
        <w:rPr>
          <w:szCs w:val="18"/>
          <w:lang w:val="nl-NL"/>
        </w:rPr>
        <w:t xml:space="preserve">Tijdens een ontbijtsessie spraken de </w:t>
      </w:r>
      <w:r w:rsidRPr="00826244">
        <w:rPr>
          <w:i/>
          <w:iCs/>
          <w:szCs w:val="18"/>
          <w:lang w:val="nl-NL"/>
        </w:rPr>
        <w:t xml:space="preserve">Ministers </w:t>
      </w:r>
      <w:r w:rsidRPr="00826244" w:rsidR="00D709E1">
        <w:rPr>
          <w:i/>
          <w:iCs/>
          <w:szCs w:val="18"/>
          <w:lang w:val="nl-NL"/>
        </w:rPr>
        <w:t>for</w:t>
      </w:r>
      <w:r w:rsidRPr="00826244">
        <w:rPr>
          <w:i/>
          <w:iCs/>
          <w:szCs w:val="18"/>
          <w:lang w:val="nl-NL"/>
        </w:rPr>
        <w:t xml:space="preserve"> the Future</w:t>
      </w:r>
      <w:r w:rsidRPr="00826244">
        <w:rPr>
          <w:szCs w:val="18"/>
          <w:lang w:val="nl-NL"/>
        </w:rPr>
        <w:t xml:space="preserve"> met Commissaris </w:t>
      </w:r>
      <w:r w:rsidRPr="00826244">
        <w:rPr>
          <w:rFonts w:ascii="Arial" w:hAnsi="Arial" w:cs="Arial"/>
          <w:szCs w:val="18"/>
          <w:lang w:val="nl-NL"/>
        </w:rPr>
        <w:t>​</w:t>
      </w:r>
      <w:proofErr w:type="spellStart"/>
      <w:r w:rsidRPr="00826244">
        <w:rPr>
          <w:szCs w:val="18"/>
          <w:lang w:val="nl-NL"/>
        </w:rPr>
        <w:t>Micallef</w:t>
      </w:r>
      <w:proofErr w:type="spellEnd"/>
      <w:r w:rsidRPr="00826244">
        <w:rPr>
          <w:szCs w:val="18"/>
          <w:lang w:val="nl-NL"/>
        </w:rPr>
        <w:t xml:space="preserve"> over </w:t>
      </w:r>
      <w:r w:rsidRPr="00826244">
        <w:rPr>
          <w:i/>
          <w:iCs/>
          <w:szCs w:val="18"/>
          <w:lang w:val="nl-NL"/>
        </w:rPr>
        <w:t>Strategic Foresight</w:t>
      </w:r>
      <w:r w:rsidRPr="00826244">
        <w:rPr>
          <w:szCs w:val="18"/>
          <w:lang w:val="nl-NL"/>
        </w:rPr>
        <w:t xml:space="preserve"> en weerbaarheid in brede zin.</w:t>
      </w:r>
      <w:r w:rsidRPr="00826244" w:rsidR="00FD6D89">
        <w:rPr>
          <w:rStyle w:val="FootnoteReference"/>
          <w:szCs w:val="18"/>
          <w:lang w:val="nl-NL" w:eastAsia="ja-JP"/>
        </w:rPr>
        <w:footnoteReference w:id="13"/>
      </w:r>
      <w:r w:rsidRPr="00826244">
        <w:rPr>
          <w:szCs w:val="18"/>
          <w:lang w:val="nl-NL"/>
        </w:rPr>
        <w:t xml:space="preserve"> Onderwerpen die aan bod kwamen waren veiligheid en defensie, cohesiegelden, energiezekerheid, sociaaleconomische uitdagingen en concurrentiekracht. De kabinetspositie op weerbaarheid is opgenomen in de kabinetsappreciatie van het Niinistö-rapport</w:t>
      </w:r>
      <w:r w:rsidRPr="00826244">
        <w:rPr>
          <w:szCs w:val="18"/>
          <w:vertAlign w:val="superscript"/>
          <w:lang w:val="nl-NL"/>
        </w:rPr>
        <w:footnoteReference w:id="14"/>
      </w:r>
      <w:r w:rsidRPr="00826244" w:rsidR="009A3475">
        <w:rPr>
          <w:szCs w:val="18"/>
          <w:lang w:val="nl-NL"/>
        </w:rPr>
        <w:t xml:space="preserve"> en</w:t>
      </w:r>
      <w:r w:rsidRPr="00826244">
        <w:rPr>
          <w:szCs w:val="18"/>
          <w:lang w:val="nl-NL"/>
        </w:rPr>
        <w:t xml:space="preserve"> de BNC-fiches over de Paraatheidsuniestrategie</w:t>
      </w:r>
      <w:r w:rsidRPr="00826244">
        <w:rPr>
          <w:szCs w:val="18"/>
          <w:vertAlign w:val="superscript"/>
          <w:lang w:val="nl-NL"/>
        </w:rPr>
        <w:footnoteReference w:id="15"/>
      </w:r>
      <w:r w:rsidRPr="00826244">
        <w:rPr>
          <w:szCs w:val="18"/>
          <w:lang w:val="nl-NL"/>
        </w:rPr>
        <w:t xml:space="preserve"> en de EU-Interne Veiligheidsstrategie.</w:t>
      </w:r>
      <w:r w:rsidRPr="00826244">
        <w:rPr>
          <w:szCs w:val="18"/>
          <w:vertAlign w:val="superscript"/>
          <w:lang w:val="nl-NL"/>
        </w:rPr>
        <w:footnoteReference w:id="16"/>
      </w:r>
    </w:p>
    <w:sectPr w:rsidRPr="00826244" w:rsidR="00826EB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4CAAD" w14:textId="77777777" w:rsidR="00D52C4F" w:rsidRDefault="00D52C4F" w:rsidP="00B9094B">
      <w:pPr>
        <w:spacing w:after="0"/>
      </w:pPr>
      <w:r>
        <w:separator/>
      </w:r>
    </w:p>
  </w:endnote>
  <w:endnote w:type="continuationSeparator" w:id="0">
    <w:p w14:paraId="1FB9CC67" w14:textId="77777777" w:rsidR="00D52C4F" w:rsidRDefault="00D52C4F" w:rsidP="00B9094B">
      <w:pPr>
        <w:spacing w:after="0"/>
      </w:pPr>
      <w:r>
        <w:continuationSeparator/>
      </w:r>
    </w:p>
  </w:endnote>
  <w:endnote w:type="continuationNotice" w:id="1">
    <w:p w14:paraId="6EDE9016" w14:textId="77777777" w:rsidR="00D52C4F" w:rsidRDefault="00D52C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1DC37" w14:textId="77777777" w:rsidR="009C7824" w:rsidRDefault="009C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Content>
      <w:p w14:paraId="4ECFA203" w14:textId="5301D8B5" w:rsidR="001F7F6F" w:rsidRDefault="001F7F6F" w:rsidP="001F7F6F">
        <w:pPr>
          <w:pStyle w:val="Footer"/>
          <w:jc w:val="center"/>
        </w:pPr>
        <w:r>
          <w:rPr>
            <w:lang w:val="nl-NL"/>
          </w:rPr>
          <w:t xml:space="preserve">Pagina </w:t>
        </w:r>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rPr>
            <w:lang w:val="nl-NL"/>
          </w:rPr>
          <w:t xml:space="preserve"> van </w:t>
        </w:r>
        <w:r>
          <w:rPr>
            <w:sz w:val="24"/>
            <w:szCs w:val="24"/>
          </w:rPr>
          <w:fldChar w:fldCharType="begin"/>
        </w:r>
        <w:r>
          <w:instrText>NUMPAGES</w:instrText>
        </w:r>
        <w:r>
          <w:rPr>
            <w:sz w:val="24"/>
            <w:szCs w:val="24"/>
          </w:rPr>
          <w:fldChar w:fldCharType="separate"/>
        </w:r>
        <w:r>
          <w:rPr>
            <w:sz w:val="24"/>
            <w:szCs w:val="24"/>
          </w:rPr>
          <w:t>1</w:t>
        </w:r>
        <w:r>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071C" w14:textId="77777777" w:rsidR="009C7824" w:rsidRDefault="009C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B599A" w14:textId="77777777" w:rsidR="00D52C4F" w:rsidRDefault="00D52C4F" w:rsidP="00B9094B">
      <w:pPr>
        <w:spacing w:after="0"/>
      </w:pPr>
      <w:r>
        <w:separator/>
      </w:r>
    </w:p>
  </w:footnote>
  <w:footnote w:type="continuationSeparator" w:id="0">
    <w:p w14:paraId="73D1F4EC" w14:textId="77777777" w:rsidR="00D52C4F" w:rsidRDefault="00D52C4F" w:rsidP="00B9094B">
      <w:pPr>
        <w:spacing w:after="0"/>
      </w:pPr>
      <w:r>
        <w:continuationSeparator/>
      </w:r>
    </w:p>
  </w:footnote>
  <w:footnote w:type="continuationNotice" w:id="1">
    <w:p w14:paraId="2487BD37" w14:textId="77777777" w:rsidR="00D52C4F" w:rsidRDefault="00D52C4F">
      <w:pPr>
        <w:spacing w:after="0"/>
      </w:pPr>
    </w:p>
  </w:footnote>
  <w:footnote w:id="2">
    <w:p w14:paraId="61695D38" w14:textId="3BFF74D7" w:rsidR="00EE6963" w:rsidRPr="00826244" w:rsidRDefault="00EE6963">
      <w:pPr>
        <w:pStyle w:val="FootnoteText"/>
        <w:rPr>
          <w:rFonts w:cs="Calibri"/>
          <w:sz w:val="14"/>
          <w:szCs w:val="14"/>
          <w:lang w:val="en-US"/>
        </w:rPr>
      </w:pPr>
      <w:r w:rsidRPr="00826244">
        <w:rPr>
          <w:rStyle w:val="FootnoteReference"/>
          <w:rFonts w:cs="Calibri"/>
          <w:sz w:val="14"/>
          <w:szCs w:val="14"/>
        </w:rPr>
        <w:footnoteRef/>
      </w:r>
      <w:r w:rsidRPr="00826244">
        <w:rPr>
          <w:rFonts w:cs="Calibri"/>
          <w:sz w:val="14"/>
          <w:szCs w:val="14"/>
          <w:lang w:val="en-US"/>
        </w:rPr>
        <w:t xml:space="preserve"> Zie:</w:t>
      </w:r>
      <w:r w:rsidR="009C5365" w:rsidRPr="00826244">
        <w:rPr>
          <w:rFonts w:cs="Calibri"/>
          <w:sz w:val="14"/>
          <w:szCs w:val="14"/>
          <w:lang w:val="en-US"/>
        </w:rPr>
        <w:t xml:space="preserve"> </w:t>
      </w:r>
      <w:r w:rsidR="00000000">
        <w:fldChar w:fldCharType="begin"/>
      </w:r>
      <w:r w:rsidR="00000000" w:rsidRPr="005C739E">
        <w:rPr>
          <w:lang w:val="en-US"/>
        </w:rPr>
        <w:instrText>HYPERLINK "https://www.consilium.europa.eu/en/press/press-releases/2025/05/27/simplifying-eu-s-carbon-border-adjustment-mechanism-council-agrees-negotiating-position/"</w:instrText>
      </w:r>
      <w:r w:rsidR="00000000">
        <w:fldChar w:fldCharType="separate"/>
      </w:r>
      <w:r w:rsidR="00AF504C" w:rsidRPr="00826244">
        <w:rPr>
          <w:rStyle w:val="Hyperlink"/>
          <w:rFonts w:cs="Calibri"/>
          <w:sz w:val="14"/>
          <w:szCs w:val="14"/>
          <w:lang w:val="en-US"/>
        </w:rPr>
        <w:t>Simplifying EU’s carbon border adjustment mechanism: Council agrees negotiating position</w:t>
      </w:r>
      <w:r w:rsidR="00000000">
        <w:rPr>
          <w:rStyle w:val="Hyperlink"/>
          <w:rFonts w:cs="Calibri"/>
          <w:sz w:val="14"/>
          <w:szCs w:val="14"/>
          <w:lang w:val="en-US"/>
        </w:rPr>
        <w:fldChar w:fldCharType="end"/>
      </w:r>
      <w:r w:rsidR="00AF504C" w:rsidRPr="00826244">
        <w:rPr>
          <w:rFonts w:cs="Calibri"/>
          <w:sz w:val="14"/>
          <w:szCs w:val="14"/>
          <w:lang w:val="en-US"/>
        </w:rPr>
        <w:t>.</w:t>
      </w:r>
    </w:p>
  </w:footnote>
  <w:footnote w:id="3">
    <w:p w14:paraId="10ECAB6C" w14:textId="77777777" w:rsidR="001134AD" w:rsidRPr="00826244" w:rsidRDefault="001134AD" w:rsidP="001134AD">
      <w:pPr>
        <w:pStyle w:val="FootnoteText"/>
        <w:rPr>
          <w:rFonts w:cs="Calibri"/>
          <w:sz w:val="14"/>
          <w:szCs w:val="14"/>
        </w:rPr>
      </w:pPr>
      <w:r w:rsidRPr="00826244">
        <w:rPr>
          <w:rFonts w:cs="Calibri"/>
          <w:sz w:val="14"/>
          <w:szCs w:val="14"/>
        </w:rPr>
        <w:footnoteRef/>
      </w:r>
      <w:r w:rsidRPr="00826244">
        <w:rPr>
          <w:rFonts w:cs="Calibri"/>
          <w:sz w:val="14"/>
          <w:szCs w:val="14"/>
        </w:rPr>
        <w:t xml:space="preserve"> Kamerstuk 22 112, nr. 4013.</w:t>
      </w:r>
    </w:p>
  </w:footnote>
  <w:footnote w:id="4">
    <w:p w14:paraId="3EF6A2C3" w14:textId="2680BEFE" w:rsidR="004C2EBD" w:rsidRPr="00826244" w:rsidRDefault="004C2EBD">
      <w:pPr>
        <w:pStyle w:val="FootnoteText"/>
        <w:rPr>
          <w:rFonts w:cs="Calibri"/>
          <w:sz w:val="14"/>
          <w:szCs w:val="14"/>
        </w:rPr>
      </w:pPr>
      <w:r w:rsidRPr="00826244">
        <w:rPr>
          <w:rStyle w:val="FootnoteReference"/>
          <w:rFonts w:cs="Calibri"/>
          <w:sz w:val="14"/>
          <w:szCs w:val="14"/>
        </w:rPr>
        <w:footnoteRef/>
      </w:r>
      <w:r w:rsidRPr="00826244">
        <w:rPr>
          <w:rFonts w:cs="Calibri"/>
          <w:sz w:val="14"/>
          <w:szCs w:val="14"/>
        </w:rPr>
        <w:t xml:space="preserve"> Zie hier de </w:t>
      </w:r>
      <w:hyperlink r:id="rId1" w:history="1">
        <w:r w:rsidRPr="00826244">
          <w:rPr>
            <w:rStyle w:val="Hyperlink"/>
            <w:rFonts w:cs="Calibri"/>
            <w:sz w:val="14"/>
            <w:szCs w:val="14"/>
          </w:rPr>
          <w:t>geannoteerde conceptagenda voor de Europese Raad van 26-27 juni</w:t>
        </w:r>
      </w:hyperlink>
      <w:r w:rsidRPr="00826244">
        <w:rPr>
          <w:rFonts w:cs="Calibri"/>
          <w:sz w:val="14"/>
          <w:szCs w:val="14"/>
        </w:rPr>
        <w:t xml:space="preserve"> a.s.</w:t>
      </w:r>
    </w:p>
  </w:footnote>
  <w:footnote w:id="5">
    <w:p w14:paraId="7C7B1062" w14:textId="71E9F19B" w:rsidR="00487470" w:rsidRPr="00826244" w:rsidRDefault="00487470">
      <w:pPr>
        <w:pStyle w:val="FootnoteText"/>
        <w:rPr>
          <w:rFonts w:cs="Calibri"/>
          <w:sz w:val="14"/>
          <w:szCs w:val="14"/>
        </w:rPr>
      </w:pPr>
      <w:r w:rsidRPr="00826244">
        <w:rPr>
          <w:rStyle w:val="FootnoteReference"/>
          <w:rFonts w:cs="Calibri"/>
          <w:sz w:val="14"/>
          <w:szCs w:val="14"/>
        </w:rPr>
        <w:footnoteRef/>
      </w:r>
      <w:r w:rsidRPr="00826244">
        <w:rPr>
          <w:rFonts w:cs="Calibri"/>
          <w:sz w:val="14"/>
          <w:szCs w:val="14"/>
        </w:rPr>
        <w:t xml:space="preserve"> Zie ook de </w:t>
      </w:r>
      <w:hyperlink r:id="rId2" w:history="1">
        <w:r w:rsidRPr="00826244">
          <w:rPr>
            <w:rStyle w:val="Hyperlink"/>
            <w:rFonts w:cs="Calibri"/>
            <w:sz w:val="14"/>
            <w:szCs w:val="14"/>
          </w:rPr>
          <w:t>kabinetsbrief over het akkoord op de Security Action for Europe (SAFE)-verordening</w:t>
        </w:r>
      </w:hyperlink>
      <w:r w:rsidR="00DE4070" w:rsidRPr="00826244">
        <w:rPr>
          <w:rFonts w:cs="Calibri"/>
          <w:sz w:val="14"/>
          <w:szCs w:val="14"/>
        </w:rPr>
        <w:t>, Kamerstuk 22112-4066</w:t>
      </w:r>
    </w:p>
  </w:footnote>
  <w:footnote w:id="6">
    <w:p w14:paraId="2F554A56" w14:textId="7713BCEA" w:rsidR="00C50F62" w:rsidRPr="00826244" w:rsidRDefault="00C50F62">
      <w:pPr>
        <w:pStyle w:val="FootnoteText"/>
        <w:rPr>
          <w:rFonts w:cstheme="minorHAnsi"/>
          <w:sz w:val="14"/>
          <w:szCs w:val="14"/>
        </w:rPr>
      </w:pPr>
      <w:r w:rsidRPr="00826244">
        <w:rPr>
          <w:rStyle w:val="FootnoteReference"/>
          <w:rFonts w:cs="Calibri"/>
          <w:sz w:val="14"/>
          <w:szCs w:val="14"/>
        </w:rPr>
        <w:footnoteRef/>
      </w:r>
      <w:r w:rsidRPr="00826244">
        <w:rPr>
          <w:rFonts w:cs="Calibri"/>
          <w:sz w:val="14"/>
          <w:szCs w:val="14"/>
        </w:rPr>
        <w:t xml:space="preserve"> De Commissie presenteerde de </w:t>
      </w:r>
      <w:hyperlink r:id="rId3" w:history="1">
        <w:r w:rsidRPr="00826244">
          <w:rPr>
            <w:rStyle w:val="Hyperlink"/>
            <w:rFonts w:cs="Calibri"/>
            <w:sz w:val="14"/>
            <w:szCs w:val="14"/>
          </w:rPr>
          <w:t>interne marktstrategie</w:t>
        </w:r>
      </w:hyperlink>
      <w:r w:rsidRPr="00826244">
        <w:rPr>
          <w:rFonts w:cs="Calibri"/>
          <w:sz w:val="14"/>
          <w:szCs w:val="14"/>
        </w:rPr>
        <w:t xml:space="preserve"> op 21 mei jl.</w:t>
      </w:r>
    </w:p>
  </w:footnote>
  <w:footnote w:id="7">
    <w:p w14:paraId="37C4B858" w14:textId="77777777" w:rsidR="007F4D9B" w:rsidRPr="003A56A6" w:rsidRDefault="007F4D9B" w:rsidP="007F4D9B">
      <w:pPr>
        <w:pStyle w:val="FootnoteText"/>
        <w:rPr>
          <w:rFonts w:asciiTheme="minorHAnsi" w:hAnsiTheme="minorHAnsi" w:cstheme="minorHAnsi"/>
          <w:sz w:val="16"/>
          <w:szCs w:val="16"/>
        </w:rPr>
      </w:pPr>
      <w:r w:rsidRPr="003A56A6">
        <w:rPr>
          <w:rStyle w:val="FootnoteReference"/>
          <w:rFonts w:asciiTheme="minorHAnsi" w:hAnsiTheme="minorHAnsi" w:cstheme="minorHAnsi"/>
          <w:sz w:val="16"/>
          <w:szCs w:val="16"/>
        </w:rPr>
        <w:footnoteRef/>
      </w:r>
      <w:r w:rsidRPr="003A56A6">
        <w:rPr>
          <w:rFonts w:asciiTheme="minorHAnsi" w:hAnsiTheme="minorHAnsi" w:cstheme="minorHAnsi"/>
          <w:sz w:val="16"/>
          <w:szCs w:val="16"/>
        </w:rPr>
        <w:t xml:space="preserve"> Zie </w:t>
      </w:r>
      <w:hyperlink r:id="rId4" w:history="1">
        <w:r w:rsidRPr="003A56A6">
          <w:rPr>
            <w:rStyle w:val="Hyperlink"/>
            <w:rFonts w:asciiTheme="minorHAnsi" w:hAnsiTheme="minorHAnsi" w:cstheme="minorHAnsi"/>
            <w:sz w:val="16"/>
            <w:szCs w:val="16"/>
          </w:rPr>
          <w:t xml:space="preserve">Declaration of Austria, Belgium, Cyprus, </w:t>
        </w:r>
        <w:proofErr w:type="spellStart"/>
        <w:r w:rsidRPr="003A56A6">
          <w:rPr>
            <w:rStyle w:val="Hyperlink"/>
            <w:rFonts w:asciiTheme="minorHAnsi" w:hAnsiTheme="minorHAnsi" w:cstheme="minorHAnsi"/>
            <w:sz w:val="16"/>
            <w:szCs w:val="16"/>
          </w:rPr>
          <w:t>Czechia</w:t>
        </w:r>
        <w:proofErr w:type="spellEnd"/>
        <w:r w:rsidRPr="003A56A6">
          <w:rPr>
            <w:rStyle w:val="Hyperlink"/>
            <w:rFonts w:asciiTheme="minorHAnsi" w:hAnsiTheme="minorHAnsi" w:cstheme="minorHAnsi"/>
            <w:sz w:val="16"/>
            <w:szCs w:val="16"/>
          </w:rPr>
          <w:t xml:space="preserve">, Denmark, Estonia, Finland, France, Germany, Greece, Ireland, Latvia, Lithuania, Luxembourg, Malta, the Netherlands, Portugal, Slovenia, Spain, Sweden. </w:t>
        </w:r>
      </w:hyperlink>
    </w:p>
  </w:footnote>
  <w:footnote w:id="8">
    <w:p w14:paraId="0C46B015" w14:textId="19B6E82A" w:rsidR="003A56A6" w:rsidRPr="003A56A6" w:rsidRDefault="003A56A6">
      <w:pPr>
        <w:pStyle w:val="FootnoteText"/>
        <w:rPr>
          <w:rFonts w:asciiTheme="minorHAnsi" w:hAnsiTheme="minorHAnsi" w:cstheme="minorHAnsi"/>
          <w:sz w:val="16"/>
          <w:szCs w:val="16"/>
        </w:rPr>
      </w:pPr>
      <w:r w:rsidRPr="003A56A6">
        <w:rPr>
          <w:rStyle w:val="FootnoteReference"/>
          <w:rFonts w:asciiTheme="minorHAnsi" w:hAnsiTheme="minorHAnsi" w:cstheme="minorHAnsi"/>
          <w:sz w:val="16"/>
          <w:szCs w:val="16"/>
        </w:rPr>
        <w:footnoteRef/>
      </w:r>
      <w:r w:rsidRPr="003A56A6">
        <w:rPr>
          <w:rFonts w:asciiTheme="minorHAnsi" w:hAnsiTheme="minorHAnsi" w:cstheme="minorHAnsi"/>
          <w:sz w:val="16"/>
          <w:szCs w:val="16"/>
        </w:rPr>
        <w:t xml:space="preserve"> Kamerstuk 21 501-02, nr. 3156</w:t>
      </w:r>
    </w:p>
  </w:footnote>
  <w:footnote w:id="9">
    <w:p w14:paraId="5D860A56" w14:textId="52C7A26D" w:rsidR="003A56A6" w:rsidRPr="003A56A6" w:rsidRDefault="003A56A6">
      <w:pPr>
        <w:pStyle w:val="FootnoteText"/>
      </w:pPr>
      <w:r w:rsidRPr="003A56A6">
        <w:rPr>
          <w:rStyle w:val="FootnoteReference"/>
          <w:rFonts w:asciiTheme="minorHAnsi" w:hAnsiTheme="minorHAnsi" w:cstheme="minorHAnsi"/>
          <w:sz w:val="16"/>
          <w:szCs w:val="16"/>
        </w:rPr>
        <w:footnoteRef/>
      </w:r>
      <w:r w:rsidRPr="003A56A6">
        <w:rPr>
          <w:rFonts w:asciiTheme="minorHAnsi" w:hAnsiTheme="minorHAnsi" w:cstheme="minorHAnsi"/>
          <w:sz w:val="16"/>
          <w:szCs w:val="16"/>
        </w:rPr>
        <w:t xml:space="preserve"> Kamerstuk 21 501-02, nr. 3079</w:t>
      </w:r>
    </w:p>
  </w:footnote>
  <w:footnote w:id="10">
    <w:p w14:paraId="4791D30E" w14:textId="6F49327D" w:rsidR="00976F62" w:rsidRPr="00826244" w:rsidRDefault="00976F62">
      <w:pPr>
        <w:pStyle w:val="FootnoteText"/>
        <w:rPr>
          <w:sz w:val="14"/>
          <w:szCs w:val="14"/>
        </w:rPr>
      </w:pPr>
      <w:r w:rsidRPr="00826244">
        <w:rPr>
          <w:rStyle w:val="FootnoteReference"/>
          <w:rFonts w:cs="Calibri"/>
          <w:sz w:val="14"/>
          <w:szCs w:val="14"/>
        </w:rPr>
        <w:footnoteRef/>
      </w:r>
      <w:r w:rsidR="008772A0" w:rsidRPr="00826244">
        <w:rPr>
          <w:rFonts w:cs="Calibri"/>
          <w:sz w:val="14"/>
          <w:szCs w:val="14"/>
        </w:rPr>
        <w:t>Zie hier het</w:t>
      </w:r>
      <w:r w:rsidRPr="00826244">
        <w:rPr>
          <w:rFonts w:cs="Calibri"/>
          <w:sz w:val="14"/>
          <w:szCs w:val="14"/>
        </w:rPr>
        <w:t xml:space="preserve"> </w:t>
      </w:r>
      <w:hyperlink r:id="rId5" w:history="1">
        <w:r w:rsidR="008772A0" w:rsidRPr="00826244">
          <w:rPr>
            <w:rStyle w:val="Hyperlink"/>
            <w:rFonts w:cs="Calibri"/>
            <w:sz w:val="14"/>
            <w:szCs w:val="14"/>
          </w:rPr>
          <w:t>2024 Rule of law report</w:t>
        </w:r>
      </w:hyperlink>
    </w:p>
  </w:footnote>
  <w:footnote w:id="11">
    <w:p w14:paraId="4EC2A61C" w14:textId="41F5D6B5" w:rsidR="005D5DAA" w:rsidRPr="00826244" w:rsidRDefault="005D5DAA">
      <w:pPr>
        <w:pStyle w:val="FootnoteText"/>
        <w:rPr>
          <w:rFonts w:cstheme="minorHAnsi"/>
          <w:sz w:val="14"/>
          <w:szCs w:val="14"/>
          <w:lang w:val="en-US"/>
        </w:rPr>
      </w:pPr>
      <w:r w:rsidRPr="00826244">
        <w:rPr>
          <w:rStyle w:val="FootnoteReference"/>
          <w:rFonts w:cstheme="minorHAnsi"/>
          <w:sz w:val="14"/>
          <w:szCs w:val="14"/>
        </w:rPr>
        <w:footnoteRef/>
      </w:r>
      <w:r w:rsidRPr="00826244">
        <w:rPr>
          <w:rFonts w:cstheme="minorHAnsi"/>
          <w:sz w:val="14"/>
          <w:szCs w:val="14"/>
          <w:lang w:val="en-US"/>
        </w:rPr>
        <w:t xml:space="preserve"> Zie: </w:t>
      </w:r>
      <w:r w:rsidR="00000000">
        <w:fldChar w:fldCharType="begin"/>
      </w:r>
      <w:r w:rsidR="00000000" w:rsidRPr="005C739E">
        <w:rPr>
          <w:lang w:val="en-US"/>
        </w:rPr>
        <w:instrText>HYPERLINK "https://www.consilium.europa.eu/en/press/press-releases/2025/05/27/presidency-conclusions-on-strengthening-eu-democratic-resilience/"</w:instrText>
      </w:r>
      <w:r w:rsidR="00000000">
        <w:fldChar w:fldCharType="separate"/>
      </w:r>
      <w:r w:rsidRPr="00826244">
        <w:rPr>
          <w:rStyle w:val="Hyperlink"/>
          <w:rFonts w:cstheme="minorHAnsi"/>
          <w:sz w:val="14"/>
          <w:szCs w:val="14"/>
          <w:lang w:val="en-US"/>
        </w:rPr>
        <w:t>Presidency conclusions on strengthening EU democratic resilience</w:t>
      </w:r>
      <w:r w:rsidR="005834B0" w:rsidRPr="00826244">
        <w:rPr>
          <w:rStyle w:val="Hyperlink"/>
          <w:rFonts w:cstheme="minorHAnsi"/>
          <w:sz w:val="14"/>
          <w:szCs w:val="14"/>
          <w:lang w:val="en-US"/>
        </w:rPr>
        <w:t>.</w:t>
      </w:r>
      <w:r w:rsidR="00000000">
        <w:rPr>
          <w:rStyle w:val="Hyperlink"/>
          <w:rFonts w:cstheme="minorHAnsi"/>
          <w:sz w:val="14"/>
          <w:szCs w:val="14"/>
          <w:lang w:val="en-US"/>
        </w:rPr>
        <w:fldChar w:fldCharType="end"/>
      </w:r>
    </w:p>
  </w:footnote>
  <w:footnote w:id="12">
    <w:p w14:paraId="5C4E898B" w14:textId="6BC884C8" w:rsidR="008772A0" w:rsidRPr="00826244" w:rsidRDefault="008772A0">
      <w:pPr>
        <w:pStyle w:val="FootnoteText"/>
        <w:rPr>
          <w:rFonts w:cstheme="minorHAnsi"/>
          <w:sz w:val="14"/>
          <w:szCs w:val="14"/>
        </w:rPr>
      </w:pPr>
      <w:r w:rsidRPr="00826244">
        <w:rPr>
          <w:rStyle w:val="FootnoteReference"/>
          <w:rFonts w:cstheme="minorHAnsi"/>
          <w:sz w:val="14"/>
          <w:szCs w:val="14"/>
        </w:rPr>
        <w:footnoteRef/>
      </w:r>
      <w:r w:rsidRPr="00826244">
        <w:rPr>
          <w:rFonts w:cstheme="minorHAnsi"/>
          <w:sz w:val="14"/>
          <w:szCs w:val="14"/>
        </w:rPr>
        <w:t xml:space="preserve"> </w:t>
      </w:r>
      <w:r w:rsidRPr="00826244">
        <w:rPr>
          <w:rFonts w:cstheme="minorHAnsi"/>
          <w:sz w:val="14"/>
          <w:szCs w:val="14"/>
          <w:lang w:eastAsia="ja-JP"/>
        </w:rPr>
        <w:t>Kamerstuk 21501-20-2221 d.d. 18 maart 2025</w:t>
      </w:r>
    </w:p>
  </w:footnote>
  <w:footnote w:id="13">
    <w:p w14:paraId="16F18A76" w14:textId="42B3BADB" w:rsidR="00FD6D89" w:rsidRPr="00826244" w:rsidRDefault="00FD6D89" w:rsidP="00FD6D89">
      <w:pPr>
        <w:pStyle w:val="FootnoteText"/>
        <w:rPr>
          <w:rFonts w:cstheme="minorHAnsi"/>
          <w:sz w:val="14"/>
          <w:szCs w:val="14"/>
        </w:rPr>
      </w:pPr>
      <w:r w:rsidRPr="00826244">
        <w:rPr>
          <w:rFonts w:cstheme="minorHAnsi"/>
          <w:sz w:val="14"/>
          <w:szCs w:val="14"/>
        </w:rPr>
        <w:footnoteRef/>
      </w:r>
      <w:r w:rsidRPr="00826244">
        <w:rPr>
          <w:rFonts w:cstheme="minorHAnsi"/>
          <w:sz w:val="14"/>
          <w:szCs w:val="14"/>
        </w:rPr>
        <w:t xml:space="preserve"> De Commissie zal </w:t>
      </w:r>
      <w:r w:rsidR="002953AC" w:rsidRPr="00826244">
        <w:rPr>
          <w:rFonts w:cstheme="minorHAnsi"/>
          <w:sz w:val="14"/>
          <w:szCs w:val="14"/>
        </w:rPr>
        <w:t xml:space="preserve">in juli a.s. </w:t>
      </w:r>
      <w:r w:rsidRPr="00826244">
        <w:rPr>
          <w:rFonts w:cstheme="minorHAnsi"/>
          <w:sz w:val="14"/>
          <w:szCs w:val="14"/>
        </w:rPr>
        <w:t xml:space="preserve">het </w:t>
      </w:r>
      <w:proofErr w:type="spellStart"/>
      <w:r w:rsidRPr="00826244">
        <w:rPr>
          <w:rFonts w:cstheme="minorHAnsi"/>
          <w:sz w:val="14"/>
          <w:szCs w:val="14"/>
        </w:rPr>
        <w:t>Foresightrapport</w:t>
      </w:r>
      <w:proofErr w:type="spellEnd"/>
      <w:r w:rsidRPr="00826244">
        <w:rPr>
          <w:rFonts w:cstheme="minorHAnsi"/>
          <w:sz w:val="14"/>
          <w:szCs w:val="14"/>
        </w:rPr>
        <w:t xml:space="preserve"> publiceren.</w:t>
      </w:r>
    </w:p>
  </w:footnote>
  <w:footnote w:id="14">
    <w:p w14:paraId="17EDADFD" w14:textId="77777777" w:rsidR="0009271E" w:rsidRPr="00826244" w:rsidRDefault="0009271E" w:rsidP="0009271E">
      <w:pPr>
        <w:pStyle w:val="FootnoteText"/>
        <w:rPr>
          <w:rFonts w:cstheme="minorHAnsi"/>
          <w:sz w:val="14"/>
          <w:szCs w:val="14"/>
        </w:rPr>
      </w:pPr>
      <w:r w:rsidRPr="00826244">
        <w:rPr>
          <w:rStyle w:val="FootnoteReference"/>
          <w:rFonts w:cstheme="minorHAnsi"/>
          <w:sz w:val="14"/>
          <w:szCs w:val="14"/>
        </w:rPr>
        <w:footnoteRef/>
      </w:r>
      <w:r w:rsidRPr="00826244">
        <w:rPr>
          <w:rFonts w:cstheme="minorHAnsi"/>
          <w:sz w:val="14"/>
          <w:szCs w:val="14"/>
        </w:rPr>
        <w:t xml:space="preserve"> Kamerstuk: 33694-70 </w:t>
      </w:r>
    </w:p>
  </w:footnote>
  <w:footnote w:id="15">
    <w:p w14:paraId="14386F1F" w14:textId="77777777" w:rsidR="0009271E" w:rsidRPr="00826244" w:rsidRDefault="0009271E" w:rsidP="0009271E">
      <w:pPr>
        <w:pStyle w:val="FootnoteText"/>
        <w:rPr>
          <w:rFonts w:cstheme="minorHAnsi"/>
          <w:sz w:val="14"/>
          <w:szCs w:val="14"/>
        </w:rPr>
      </w:pPr>
      <w:r w:rsidRPr="00826244">
        <w:rPr>
          <w:rStyle w:val="FootnoteReference"/>
          <w:rFonts w:cstheme="minorHAnsi"/>
          <w:sz w:val="14"/>
          <w:szCs w:val="14"/>
        </w:rPr>
        <w:footnoteRef/>
      </w:r>
      <w:r w:rsidRPr="00826244">
        <w:rPr>
          <w:rFonts w:cstheme="minorHAnsi"/>
          <w:sz w:val="14"/>
          <w:szCs w:val="14"/>
        </w:rPr>
        <w:t xml:space="preserve"> Kamerstuk: 22112-4054</w:t>
      </w:r>
    </w:p>
  </w:footnote>
  <w:footnote w:id="16">
    <w:p w14:paraId="540BB22E" w14:textId="77777777" w:rsidR="0009271E" w:rsidRDefault="0009271E" w:rsidP="0009271E">
      <w:pPr>
        <w:pStyle w:val="FootnoteText"/>
        <w:rPr>
          <w:rFonts w:asciiTheme="minorHAnsi" w:hAnsiTheme="minorHAnsi" w:cstheme="minorBidi"/>
          <w:sz w:val="16"/>
          <w:szCs w:val="16"/>
        </w:rPr>
      </w:pPr>
      <w:r w:rsidRPr="00826244">
        <w:rPr>
          <w:rStyle w:val="FootnoteReference"/>
          <w:rFonts w:cstheme="minorHAnsi"/>
          <w:sz w:val="14"/>
          <w:szCs w:val="14"/>
        </w:rPr>
        <w:footnoteRef/>
      </w:r>
      <w:r w:rsidRPr="00826244">
        <w:rPr>
          <w:rFonts w:cstheme="minorHAnsi"/>
          <w:sz w:val="14"/>
          <w:szCs w:val="14"/>
        </w:rPr>
        <w:t xml:space="preserve"> Kamerstuk: 22112-4050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3EEF" w14:textId="77777777" w:rsidR="009C7824" w:rsidRDefault="009C7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15B9" w14:textId="77777777" w:rsidR="009C7824" w:rsidRDefault="009C7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98D5" w14:textId="77777777" w:rsidR="009C7824" w:rsidRDefault="009C7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D0C89"/>
    <w:multiLevelType w:val="hybridMultilevel"/>
    <w:tmpl w:val="8EDAC3DE"/>
    <w:lvl w:ilvl="0" w:tplc="FE1288CC">
      <w:start w:val="5"/>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6112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C07"/>
    <w:rsid w:val="00000E0D"/>
    <w:rsid w:val="000072AE"/>
    <w:rsid w:val="000109BE"/>
    <w:rsid w:val="000116A0"/>
    <w:rsid w:val="00020F63"/>
    <w:rsid w:val="000234E6"/>
    <w:rsid w:val="000330FE"/>
    <w:rsid w:val="00036AFC"/>
    <w:rsid w:val="00041F29"/>
    <w:rsid w:val="00044FBB"/>
    <w:rsid w:val="00047EF0"/>
    <w:rsid w:val="0005018B"/>
    <w:rsid w:val="000606F0"/>
    <w:rsid w:val="00060A4F"/>
    <w:rsid w:val="000736B9"/>
    <w:rsid w:val="000758CE"/>
    <w:rsid w:val="00077CA8"/>
    <w:rsid w:val="000809EA"/>
    <w:rsid w:val="00080E6B"/>
    <w:rsid w:val="0008766D"/>
    <w:rsid w:val="000902D5"/>
    <w:rsid w:val="0009271E"/>
    <w:rsid w:val="00093585"/>
    <w:rsid w:val="000A4EF3"/>
    <w:rsid w:val="000A6B86"/>
    <w:rsid w:val="000B616F"/>
    <w:rsid w:val="000B76BD"/>
    <w:rsid w:val="000D319E"/>
    <w:rsid w:val="000D4CF4"/>
    <w:rsid w:val="000D556F"/>
    <w:rsid w:val="000D6330"/>
    <w:rsid w:val="000E2EDF"/>
    <w:rsid w:val="000E4589"/>
    <w:rsid w:val="000F3ED7"/>
    <w:rsid w:val="000F5458"/>
    <w:rsid w:val="00110F08"/>
    <w:rsid w:val="001134AD"/>
    <w:rsid w:val="00120063"/>
    <w:rsid w:val="00125F9A"/>
    <w:rsid w:val="00131B44"/>
    <w:rsid w:val="00136509"/>
    <w:rsid w:val="00136C57"/>
    <w:rsid w:val="001413E5"/>
    <w:rsid w:val="00143026"/>
    <w:rsid w:val="00143C73"/>
    <w:rsid w:val="00146CFF"/>
    <w:rsid w:val="00147F5E"/>
    <w:rsid w:val="0015083A"/>
    <w:rsid w:val="00155191"/>
    <w:rsid w:val="00157EC5"/>
    <w:rsid w:val="00160515"/>
    <w:rsid w:val="001628A7"/>
    <w:rsid w:val="00163D3D"/>
    <w:rsid w:val="0016493B"/>
    <w:rsid w:val="0017329A"/>
    <w:rsid w:val="00175DBF"/>
    <w:rsid w:val="0017642F"/>
    <w:rsid w:val="001824AC"/>
    <w:rsid w:val="001826D4"/>
    <w:rsid w:val="0019060F"/>
    <w:rsid w:val="00195BB0"/>
    <w:rsid w:val="00196133"/>
    <w:rsid w:val="00196E6E"/>
    <w:rsid w:val="001A682D"/>
    <w:rsid w:val="001B2BB4"/>
    <w:rsid w:val="001B2D2A"/>
    <w:rsid w:val="001B4351"/>
    <w:rsid w:val="001D20B8"/>
    <w:rsid w:val="001E448C"/>
    <w:rsid w:val="001E53F0"/>
    <w:rsid w:val="001F5767"/>
    <w:rsid w:val="001F7F6F"/>
    <w:rsid w:val="00204706"/>
    <w:rsid w:val="002239E6"/>
    <w:rsid w:val="002310BA"/>
    <w:rsid w:val="0023761D"/>
    <w:rsid w:val="0024310D"/>
    <w:rsid w:val="00246198"/>
    <w:rsid w:val="002465C9"/>
    <w:rsid w:val="00247336"/>
    <w:rsid w:val="00251372"/>
    <w:rsid w:val="002517E7"/>
    <w:rsid w:val="00255406"/>
    <w:rsid w:val="002606DB"/>
    <w:rsid w:val="00260739"/>
    <w:rsid w:val="00262D38"/>
    <w:rsid w:val="00270CDA"/>
    <w:rsid w:val="00271B69"/>
    <w:rsid w:val="00272D67"/>
    <w:rsid w:val="00280DBF"/>
    <w:rsid w:val="00283179"/>
    <w:rsid w:val="00284A0E"/>
    <w:rsid w:val="002953AC"/>
    <w:rsid w:val="002A51C2"/>
    <w:rsid w:val="002B2BAA"/>
    <w:rsid w:val="002C66B4"/>
    <w:rsid w:val="002D1F6E"/>
    <w:rsid w:val="002E18F5"/>
    <w:rsid w:val="002E31B6"/>
    <w:rsid w:val="002E7CB3"/>
    <w:rsid w:val="002F38E0"/>
    <w:rsid w:val="002F4052"/>
    <w:rsid w:val="00305929"/>
    <w:rsid w:val="00307CB4"/>
    <w:rsid w:val="00320917"/>
    <w:rsid w:val="003228A7"/>
    <w:rsid w:val="0032533E"/>
    <w:rsid w:val="00331250"/>
    <w:rsid w:val="00337FBF"/>
    <w:rsid w:val="003418BE"/>
    <w:rsid w:val="00343691"/>
    <w:rsid w:val="003449A7"/>
    <w:rsid w:val="00347C83"/>
    <w:rsid w:val="00347D78"/>
    <w:rsid w:val="00355D6F"/>
    <w:rsid w:val="00370610"/>
    <w:rsid w:val="003868B2"/>
    <w:rsid w:val="00386C43"/>
    <w:rsid w:val="003946BA"/>
    <w:rsid w:val="00396FBA"/>
    <w:rsid w:val="003A56A6"/>
    <w:rsid w:val="003A71A6"/>
    <w:rsid w:val="003A7BF8"/>
    <w:rsid w:val="003B1CCE"/>
    <w:rsid w:val="003B2FDE"/>
    <w:rsid w:val="003B40D4"/>
    <w:rsid w:val="003C0F19"/>
    <w:rsid w:val="003C4159"/>
    <w:rsid w:val="003D1719"/>
    <w:rsid w:val="003D673B"/>
    <w:rsid w:val="003E4429"/>
    <w:rsid w:val="003E608E"/>
    <w:rsid w:val="003F0B60"/>
    <w:rsid w:val="003F115A"/>
    <w:rsid w:val="003F2298"/>
    <w:rsid w:val="003F37CC"/>
    <w:rsid w:val="003F45EC"/>
    <w:rsid w:val="003F5642"/>
    <w:rsid w:val="003F56E7"/>
    <w:rsid w:val="003F5D5D"/>
    <w:rsid w:val="003F76FC"/>
    <w:rsid w:val="004033B8"/>
    <w:rsid w:val="00406BF5"/>
    <w:rsid w:val="00412F3D"/>
    <w:rsid w:val="004133AB"/>
    <w:rsid w:val="00423B33"/>
    <w:rsid w:val="00425406"/>
    <w:rsid w:val="00433676"/>
    <w:rsid w:val="00435A09"/>
    <w:rsid w:val="00436033"/>
    <w:rsid w:val="00447AC6"/>
    <w:rsid w:val="00455530"/>
    <w:rsid w:val="00456ACD"/>
    <w:rsid w:val="00460D22"/>
    <w:rsid w:val="004619FD"/>
    <w:rsid w:val="004640AD"/>
    <w:rsid w:val="00475836"/>
    <w:rsid w:val="0047634B"/>
    <w:rsid w:val="0047678D"/>
    <w:rsid w:val="00481B00"/>
    <w:rsid w:val="00484DA3"/>
    <w:rsid w:val="004854EB"/>
    <w:rsid w:val="00487470"/>
    <w:rsid w:val="004911BB"/>
    <w:rsid w:val="0049480E"/>
    <w:rsid w:val="00495F56"/>
    <w:rsid w:val="004A089B"/>
    <w:rsid w:val="004A100A"/>
    <w:rsid w:val="004A1874"/>
    <w:rsid w:val="004A3E35"/>
    <w:rsid w:val="004A6063"/>
    <w:rsid w:val="004B4EE8"/>
    <w:rsid w:val="004B7DD0"/>
    <w:rsid w:val="004C2EBD"/>
    <w:rsid w:val="004C4F3F"/>
    <w:rsid w:val="004C71CF"/>
    <w:rsid w:val="004D2D8A"/>
    <w:rsid w:val="004D6280"/>
    <w:rsid w:val="004E54C7"/>
    <w:rsid w:val="004E6762"/>
    <w:rsid w:val="004F1C07"/>
    <w:rsid w:val="004F2010"/>
    <w:rsid w:val="004F5CE0"/>
    <w:rsid w:val="005007DE"/>
    <w:rsid w:val="00504DDF"/>
    <w:rsid w:val="00505E0A"/>
    <w:rsid w:val="00524BF5"/>
    <w:rsid w:val="00525DC8"/>
    <w:rsid w:val="005339AF"/>
    <w:rsid w:val="005348F5"/>
    <w:rsid w:val="00540564"/>
    <w:rsid w:val="00541DC4"/>
    <w:rsid w:val="00545C2D"/>
    <w:rsid w:val="00546E0E"/>
    <w:rsid w:val="005546AC"/>
    <w:rsid w:val="005639AF"/>
    <w:rsid w:val="00563D7B"/>
    <w:rsid w:val="00566AE8"/>
    <w:rsid w:val="005719CA"/>
    <w:rsid w:val="00574CCB"/>
    <w:rsid w:val="005834B0"/>
    <w:rsid w:val="00583CBD"/>
    <w:rsid w:val="00585AE8"/>
    <w:rsid w:val="00587770"/>
    <w:rsid w:val="005A2261"/>
    <w:rsid w:val="005A2274"/>
    <w:rsid w:val="005A3D31"/>
    <w:rsid w:val="005A4ABD"/>
    <w:rsid w:val="005B4E5C"/>
    <w:rsid w:val="005C739E"/>
    <w:rsid w:val="005D4004"/>
    <w:rsid w:val="005D5DAA"/>
    <w:rsid w:val="005E5F9A"/>
    <w:rsid w:val="005E69AC"/>
    <w:rsid w:val="005E7E64"/>
    <w:rsid w:val="005F03FC"/>
    <w:rsid w:val="00613211"/>
    <w:rsid w:val="00630FD8"/>
    <w:rsid w:val="006356D6"/>
    <w:rsid w:val="00644A53"/>
    <w:rsid w:val="00647208"/>
    <w:rsid w:val="00647548"/>
    <w:rsid w:val="0064772F"/>
    <w:rsid w:val="00650888"/>
    <w:rsid w:val="00654877"/>
    <w:rsid w:val="00662520"/>
    <w:rsid w:val="00664AAF"/>
    <w:rsid w:val="00670BFD"/>
    <w:rsid w:val="006756A7"/>
    <w:rsid w:val="00680A0C"/>
    <w:rsid w:val="00680F92"/>
    <w:rsid w:val="00684CD0"/>
    <w:rsid w:val="00692D9B"/>
    <w:rsid w:val="0069549E"/>
    <w:rsid w:val="006A0319"/>
    <w:rsid w:val="006A200F"/>
    <w:rsid w:val="006A29FC"/>
    <w:rsid w:val="006A6596"/>
    <w:rsid w:val="006B0AAF"/>
    <w:rsid w:val="006B7FA9"/>
    <w:rsid w:val="006C3895"/>
    <w:rsid w:val="006D3E95"/>
    <w:rsid w:val="006D5530"/>
    <w:rsid w:val="006E4979"/>
    <w:rsid w:val="006E7C9A"/>
    <w:rsid w:val="006F19C1"/>
    <w:rsid w:val="006F3CDD"/>
    <w:rsid w:val="006F47D5"/>
    <w:rsid w:val="006F50DC"/>
    <w:rsid w:val="006F5810"/>
    <w:rsid w:val="00710E32"/>
    <w:rsid w:val="007110C2"/>
    <w:rsid w:val="00713AB3"/>
    <w:rsid w:val="00716E43"/>
    <w:rsid w:val="007178CF"/>
    <w:rsid w:val="007245DD"/>
    <w:rsid w:val="00724B86"/>
    <w:rsid w:val="00731D8D"/>
    <w:rsid w:val="007322D1"/>
    <w:rsid w:val="00740657"/>
    <w:rsid w:val="00747B1D"/>
    <w:rsid w:val="00747B64"/>
    <w:rsid w:val="00750CB0"/>
    <w:rsid w:val="00750D25"/>
    <w:rsid w:val="00751A06"/>
    <w:rsid w:val="007603CD"/>
    <w:rsid w:val="0077489D"/>
    <w:rsid w:val="007814F1"/>
    <w:rsid w:val="00786719"/>
    <w:rsid w:val="00786EA9"/>
    <w:rsid w:val="00793115"/>
    <w:rsid w:val="007A0AE2"/>
    <w:rsid w:val="007A0B14"/>
    <w:rsid w:val="007A101D"/>
    <w:rsid w:val="007A4FC5"/>
    <w:rsid w:val="007A507F"/>
    <w:rsid w:val="007B03CE"/>
    <w:rsid w:val="007B108C"/>
    <w:rsid w:val="007B2A6C"/>
    <w:rsid w:val="007B7F01"/>
    <w:rsid w:val="007C1583"/>
    <w:rsid w:val="007C64D4"/>
    <w:rsid w:val="007D7654"/>
    <w:rsid w:val="007D7CAE"/>
    <w:rsid w:val="007E0595"/>
    <w:rsid w:val="007E1F61"/>
    <w:rsid w:val="007E2D9B"/>
    <w:rsid w:val="007E5598"/>
    <w:rsid w:val="007E69FB"/>
    <w:rsid w:val="007F2427"/>
    <w:rsid w:val="007F2B9B"/>
    <w:rsid w:val="007F4D9B"/>
    <w:rsid w:val="00800B71"/>
    <w:rsid w:val="008017BB"/>
    <w:rsid w:val="00803710"/>
    <w:rsid w:val="00815537"/>
    <w:rsid w:val="00815914"/>
    <w:rsid w:val="00815BE2"/>
    <w:rsid w:val="008235FF"/>
    <w:rsid w:val="00826244"/>
    <w:rsid w:val="00826EB2"/>
    <w:rsid w:val="00832F6E"/>
    <w:rsid w:val="00835E12"/>
    <w:rsid w:val="008423AD"/>
    <w:rsid w:val="00842A04"/>
    <w:rsid w:val="0084446D"/>
    <w:rsid w:val="0084761D"/>
    <w:rsid w:val="00851B1B"/>
    <w:rsid w:val="00851EFE"/>
    <w:rsid w:val="008576DA"/>
    <w:rsid w:val="008613FD"/>
    <w:rsid w:val="008616B8"/>
    <w:rsid w:val="008649C8"/>
    <w:rsid w:val="0087009E"/>
    <w:rsid w:val="00872A5C"/>
    <w:rsid w:val="0087663F"/>
    <w:rsid w:val="008772A0"/>
    <w:rsid w:val="00880D89"/>
    <w:rsid w:val="00890E23"/>
    <w:rsid w:val="0089308B"/>
    <w:rsid w:val="0089451F"/>
    <w:rsid w:val="008969E4"/>
    <w:rsid w:val="008B2235"/>
    <w:rsid w:val="008B6379"/>
    <w:rsid w:val="008C086A"/>
    <w:rsid w:val="008C1121"/>
    <w:rsid w:val="008D3888"/>
    <w:rsid w:val="008D62B1"/>
    <w:rsid w:val="008D6660"/>
    <w:rsid w:val="008E4D15"/>
    <w:rsid w:val="008E5C2A"/>
    <w:rsid w:val="008F0558"/>
    <w:rsid w:val="008F14B2"/>
    <w:rsid w:val="008F175F"/>
    <w:rsid w:val="009017C1"/>
    <w:rsid w:val="00904F08"/>
    <w:rsid w:val="00911777"/>
    <w:rsid w:val="0092310D"/>
    <w:rsid w:val="009277ED"/>
    <w:rsid w:val="009279CE"/>
    <w:rsid w:val="0093395D"/>
    <w:rsid w:val="009344EA"/>
    <w:rsid w:val="00935169"/>
    <w:rsid w:val="00936C36"/>
    <w:rsid w:val="00937C0A"/>
    <w:rsid w:val="00945197"/>
    <w:rsid w:val="00950E43"/>
    <w:rsid w:val="00953ACF"/>
    <w:rsid w:val="00960888"/>
    <w:rsid w:val="00961BAB"/>
    <w:rsid w:val="00961D41"/>
    <w:rsid w:val="0097152D"/>
    <w:rsid w:val="0097239F"/>
    <w:rsid w:val="00974063"/>
    <w:rsid w:val="00976F62"/>
    <w:rsid w:val="0098340A"/>
    <w:rsid w:val="00984593"/>
    <w:rsid w:val="009873B3"/>
    <w:rsid w:val="00990D39"/>
    <w:rsid w:val="00994EB9"/>
    <w:rsid w:val="0099741D"/>
    <w:rsid w:val="009A27A9"/>
    <w:rsid w:val="009A2C74"/>
    <w:rsid w:val="009A3475"/>
    <w:rsid w:val="009A361D"/>
    <w:rsid w:val="009B4284"/>
    <w:rsid w:val="009B4616"/>
    <w:rsid w:val="009C21AE"/>
    <w:rsid w:val="009C5365"/>
    <w:rsid w:val="009C758C"/>
    <w:rsid w:val="009C7824"/>
    <w:rsid w:val="009D205B"/>
    <w:rsid w:val="009E5027"/>
    <w:rsid w:val="009F0F5A"/>
    <w:rsid w:val="009F3728"/>
    <w:rsid w:val="009F5128"/>
    <w:rsid w:val="009F5E11"/>
    <w:rsid w:val="00A012FD"/>
    <w:rsid w:val="00A04D07"/>
    <w:rsid w:val="00A07D05"/>
    <w:rsid w:val="00A07D32"/>
    <w:rsid w:val="00A20F51"/>
    <w:rsid w:val="00A25674"/>
    <w:rsid w:val="00A25AB3"/>
    <w:rsid w:val="00A365CC"/>
    <w:rsid w:val="00A400CA"/>
    <w:rsid w:val="00A43DCD"/>
    <w:rsid w:val="00A4665A"/>
    <w:rsid w:val="00A51291"/>
    <w:rsid w:val="00A5402B"/>
    <w:rsid w:val="00A76AEA"/>
    <w:rsid w:val="00A81C4F"/>
    <w:rsid w:val="00A8718F"/>
    <w:rsid w:val="00A90840"/>
    <w:rsid w:val="00A97FC0"/>
    <w:rsid w:val="00AA0430"/>
    <w:rsid w:val="00AA4B47"/>
    <w:rsid w:val="00AC15FC"/>
    <w:rsid w:val="00AC6CFB"/>
    <w:rsid w:val="00AD534B"/>
    <w:rsid w:val="00AE6E26"/>
    <w:rsid w:val="00AE704F"/>
    <w:rsid w:val="00AF2639"/>
    <w:rsid w:val="00AF27D4"/>
    <w:rsid w:val="00AF504C"/>
    <w:rsid w:val="00AF7531"/>
    <w:rsid w:val="00B052BA"/>
    <w:rsid w:val="00B12D56"/>
    <w:rsid w:val="00B1584A"/>
    <w:rsid w:val="00B17BF4"/>
    <w:rsid w:val="00B238E1"/>
    <w:rsid w:val="00B24509"/>
    <w:rsid w:val="00B24682"/>
    <w:rsid w:val="00B270E3"/>
    <w:rsid w:val="00B35962"/>
    <w:rsid w:val="00B41188"/>
    <w:rsid w:val="00B42406"/>
    <w:rsid w:val="00B4596D"/>
    <w:rsid w:val="00B468C5"/>
    <w:rsid w:val="00B63F58"/>
    <w:rsid w:val="00B65A65"/>
    <w:rsid w:val="00B708FB"/>
    <w:rsid w:val="00B72FE0"/>
    <w:rsid w:val="00B737E3"/>
    <w:rsid w:val="00B867B5"/>
    <w:rsid w:val="00B87053"/>
    <w:rsid w:val="00B906BE"/>
    <w:rsid w:val="00B9094B"/>
    <w:rsid w:val="00B91076"/>
    <w:rsid w:val="00B970CD"/>
    <w:rsid w:val="00BA066D"/>
    <w:rsid w:val="00BA248C"/>
    <w:rsid w:val="00BA32D8"/>
    <w:rsid w:val="00BA6AA8"/>
    <w:rsid w:val="00BA6D13"/>
    <w:rsid w:val="00BA733A"/>
    <w:rsid w:val="00BB0EE1"/>
    <w:rsid w:val="00BC0166"/>
    <w:rsid w:val="00BC5350"/>
    <w:rsid w:val="00BC61D4"/>
    <w:rsid w:val="00BC6E7F"/>
    <w:rsid w:val="00BD09EB"/>
    <w:rsid w:val="00BD2E7A"/>
    <w:rsid w:val="00BE5F89"/>
    <w:rsid w:val="00BF3E01"/>
    <w:rsid w:val="00C06752"/>
    <w:rsid w:val="00C06D1C"/>
    <w:rsid w:val="00C124A6"/>
    <w:rsid w:val="00C144CE"/>
    <w:rsid w:val="00C16057"/>
    <w:rsid w:val="00C17D10"/>
    <w:rsid w:val="00C17FB2"/>
    <w:rsid w:val="00C22017"/>
    <w:rsid w:val="00C2358C"/>
    <w:rsid w:val="00C245C5"/>
    <w:rsid w:val="00C26B71"/>
    <w:rsid w:val="00C30D2B"/>
    <w:rsid w:val="00C33F6E"/>
    <w:rsid w:val="00C50F62"/>
    <w:rsid w:val="00C550F4"/>
    <w:rsid w:val="00C623CE"/>
    <w:rsid w:val="00C62C7C"/>
    <w:rsid w:val="00C62CF6"/>
    <w:rsid w:val="00C74817"/>
    <w:rsid w:val="00C802F4"/>
    <w:rsid w:val="00C80536"/>
    <w:rsid w:val="00C84B11"/>
    <w:rsid w:val="00C8520D"/>
    <w:rsid w:val="00C905F8"/>
    <w:rsid w:val="00C9391B"/>
    <w:rsid w:val="00C94ADA"/>
    <w:rsid w:val="00C9515F"/>
    <w:rsid w:val="00C95F9B"/>
    <w:rsid w:val="00C969E2"/>
    <w:rsid w:val="00CA0AA9"/>
    <w:rsid w:val="00CA26BB"/>
    <w:rsid w:val="00CA2AE9"/>
    <w:rsid w:val="00CA2DDB"/>
    <w:rsid w:val="00CA5848"/>
    <w:rsid w:val="00CA6408"/>
    <w:rsid w:val="00CB09A1"/>
    <w:rsid w:val="00CC0C71"/>
    <w:rsid w:val="00CC4411"/>
    <w:rsid w:val="00CC55A1"/>
    <w:rsid w:val="00CC74D5"/>
    <w:rsid w:val="00CD031F"/>
    <w:rsid w:val="00CD3FD6"/>
    <w:rsid w:val="00CD77C3"/>
    <w:rsid w:val="00CE18B0"/>
    <w:rsid w:val="00CE390D"/>
    <w:rsid w:val="00CE69A2"/>
    <w:rsid w:val="00CE7585"/>
    <w:rsid w:val="00CF0C1C"/>
    <w:rsid w:val="00CF13F4"/>
    <w:rsid w:val="00CF3C45"/>
    <w:rsid w:val="00D009D4"/>
    <w:rsid w:val="00D03738"/>
    <w:rsid w:val="00D06AAB"/>
    <w:rsid w:val="00D07E61"/>
    <w:rsid w:val="00D10086"/>
    <w:rsid w:val="00D138EF"/>
    <w:rsid w:val="00D160C8"/>
    <w:rsid w:val="00D23125"/>
    <w:rsid w:val="00D309B7"/>
    <w:rsid w:val="00D32F5A"/>
    <w:rsid w:val="00D4533E"/>
    <w:rsid w:val="00D478A2"/>
    <w:rsid w:val="00D52C4F"/>
    <w:rsid w:val="00D550CA"/>
    <w:rsid w:val="00D575F9"/>
    <w:rsid w:val="00D617CC"/>
    <w:rsid w:val="00D66C2D"/>
    <w:rsid w:val="00D709E1"/>
    <w:rsid w:val="00D7153D"/>
    <w:rsid w:val="00D92212"/>
    <w:rsid w:val="00D92479"/>
    <w:rsid w:val="00D95D44"/>
    <w:rsid w:val="00DA0559"/>
    <w:rsid w:val="00DA3AAA"/>
    <w:rsid w:val="00DA41F4"/>
    <w:rsid w:val="00DB0648"/>
    <w:rsid w:val="00DB39DD"/>
    <w:rsid w:val="00DC21E6"/>
    <w:rsid w:val="00DD346A"/>
    <w:rsid w:val="00DE4070"/>
    <w:rsid w:val="00DE468A"/>
    <w:rsid w:val="00DE5992"/>
    <w:rsid w:val="00DF3654"/>
    <w:rsid w:val="00DF4EFC"/>
    <w:rsid w:val="00DF5650"/>
    <w:rsid w:val="00DF736D"/>
    <w:rsid w:val="00E02636"/>
    <w:rsid w:val="00E03C77"/>
    <w:rsid w:val="00E20FE4"/>
    <w:rsid w:val="00E21B1B"/>
    <w:rsid w:val="00E24092"/>
    <w:rsid w:val="00E26190"/>
    <w:rsid w:val="00E30BC7"/>
    <w:rsid w:val="00E34BC6"/>
    <w:rsid w:val="00E3587F"/>
    <w:rsid w:val="00E37581"/>
    <w:rsid w:val="00E37909"/>
    <w:rsid w:val="00E37D05"/>
    <w:rsid w:val="00E4176D"/>
    <w:rsid w:val="00E47C00"/>
    <w:rsid w:val="00E52545"/>
    <w:rsid w:val="00E52A5C"/>
    <w:rsid w:val="00E55B1D"/>
    <w:rsid w:val="00E6098F"/>
    <w:rsid w:val="00E60B36"/>
    <w:rsid w:val="00E60E72"/>
    <w:rsid w:val="00E62067"/>
    <w:rsid w:val="00E653D0"/>
    <w:rsid w:val="00E74FB7"/>
    <w:rsid w:val="00E75F80"/>
    <w:rsid w:val="00E764B7"/>
    <w:rsid w:val="00E83B55"/>
    <w:rsid w:val="00E879F9"/>
    <w:rsid w:val="00EA0680"/>
    <w:rsid w:val="00EA0D77"/>
    <w:rsid w:val="00EA34B3"/>
    <w:rsid w:val="00EA6252"/>
    <w:rsid w:val="00EB3F6A"/>
    <w:rsid w:val="00EB4E28"/>
    <w:rsid w:val="00EB4F0B"/>
    <w:rsid w:val="00EB7B9D"/>
    <w:rsid w:val="00EC1268"/>
    <w:rsid w:val="00EC2430"/>
    <w:rsid w:val="00EC63A3"/>
    <w:rsid w:val="00EC64BB"/>
    <w:rsid w:val="00ED3685"/>
    <w:rsid w:val="00ED6AEB"/>
    <w:rsid w:val="00ED6B9B"/>
    <w:rsid w:val="00EE0205"/>
    <w:rsid w:val="00EE44FD"/>
    <w:rsid w:val="00EE6963"/>
    <w:rsid w:val="00EF4AF0"/>
    <w:rsid w:val="00EF5B88"/>
    <w:rsid w:val="00F0016D"/>
    <w:rsid w:val="00F035E9"/>
    <w:rsid w:val="00F05E1C"/>
    <w:rsid w:val="00F14550"/>
    <w:rsid w:val="00F15A51"/>
    <w:rsid w:val="00F16E52"/>
    <w:rsid w:val="00F26903"/>
    <w:rsid w:val="00F44434"/>
    <w:rsid w:val="00F61A74"/>
    <w:rsid w:val="00F66AEA"/>
    <w:rsid w:val="00F7135A"/>
    <w:rsid w:val="00F717A1"/>
    <w:rsid w:val="00F7720B"/>
    <w:rsid w:val="00F82831"/>
    <w:rsid w:val="00F854D1"/>
    <w:rsid w:val="00F85940"/>
    <w:rsid w:val="00F85EED"/>
    <w:rsid w:val="00F95DC1"/>
    <w:rsid w:val="00F96524"/>
    <w:rsid w:val="00FA173E"/>
    <w:rsid w:val="00FA1D6D"/>
    <w:rsid w:val="00FA31DE"/>
    <w:rsid w:val="00FA4354"/>
    <w:rsid w:val="00FA5AF1"/>
    <w:rsid w:val="00FB0206"/>
    <w:rsid w:val="00FB396E"/>
    <w:rsid w:val="00FB4028"/>
    <w:rsid w:val="00FC35F8"/>
    <w:rsid w:val="00FC628C"/>
    <w:rsid w:val="00FC7C05"/>
    <w:rsid w:val="00FD6D89"/>
    <w:rsid w:val="18FA1AD9"/>
    <w:rsid w:val="7E39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15:docId w15:val="{091DFEFD-C588-4230-A238-AD5E8DD9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EB2"/>
    <w:pPr>
      <w:spacing w:after="0"/>
    </w:pPr>
  </w:style>
  <w:style w:type="character" w:styleId="CommentReference">
    <w:name w:val="annotation reference"/>
    <w:basedOn w:val="DefaultParagraphFont"/>
    <w:uiPriority w:val="99"/>
    <w:semiHidden/>
    <w:unhideWhenUsed/>
    <w:rsid w:val="00B4596D"/>
    <w:rPr>
      <w:sz w:val="16"/>
      <w:szCs w:val="16"/>
    </w:rPr>
  </w:style>
  <w:style w:type="paragraph" w:styleId="CommentText">
    <w:name w:val="annotation text"/>
    <w:basedOn w:val="Normal"/>
    <w:link w:val="CommentTextChar"/>
    <w:uiPriority w:val="99"/>
    <w:unhideWhenUsed/>
    <w:rsid w:val="00B4596D"/>
    <w:rPr>
      <w:sz w:val="20"/>
      <w:szCs w:val="20"/>
    </w:rPr>
  </w:style>
  <w:style w:type="character" w:customStyle="1" w:styleId="CommentTextChar">
    <w:name w:val="Comment Text Char"/>
    <w:basedOn w:val="DefaultParagraphFont"/>
    <w:link w:val="CommentText"/>
    <w:uiPriority w:val="99"/>
    <w:rsid w:val="00B4596D"/>
    <w:rPr>
      <w:sz w:val="20"/>
      <w:szCs w:val="20"/>
    </w:rPr>
  </w:style>
  <w:style w:type="paragraph" w:styleId="CommentSubject">
    <w:name w:val="annotation subject"/>
    <w:basedOn w:val="CommentText"/>
    <w:next w:val="CommentText"/>
    <w:link w:val="CommentSubjectChar"/>
    <w:uiPriority w:val="99"/>
    <w:semiHidden/>
    <w:unhideWhenUsed/>
    <w:rsid w:val="00B4596D"/>
    <w:rPr>
      <w:b/>
      <w:bCs/>
    </w:rPr>
  </w:style>
  <w:style w:type="character" w:customStyle="1" w:styleId="CommentSubjectChar">
    <w:name w:val="Comment Subject Char"/>
    <w:basedOn w:val="CommentTextChar"/>
    <w:link w:val="CommentSubject"/>
    <w:uiPriority w:val="99"/>
    <w:semiHidden/>
    <w:rsid w:val="00B4596D"/>
    <w:rPr>
      <w:b/>
      <w:bCs/>
      <w:sz w:val="20"/>
      <w:szCs w:val="20"/>
    </w:rPr>
  </w:style>
  <w:style w:type="paragraph" w:styleId="BalloonText">
    <w:name w:val="Balloon Text"/>
    <w:basedOn w:val="Normal"/>
    <w:link w:val="BalloonTextChar"/>
    <w:uiPriority w:val="99"/>
    <w:semiHidden/>
    <w:unhideWhenUsed/>
    <w:rsid w:val="00B4596D"/>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4596D"/>
    <w:rPr>
      <w:rFonts w:ascii="Segoe UI" w:hAnsi="Segoe UI" w:cs="Segoe UI"/>
      <w:szCs w:val="18"/>
    </w:rPr>
  </w:style>
  <w:style w:type="paragraph" w:styleId="FootnoteText">
    <w:name w:val="footnote text"/>
    <w:basedOn w:val="Normal"/>
    <w:link w:val="FootnoteTextChar"/>
    <w:uiPriority w:val="99"/>
    <w:semiHidden/>
    <w:unhideWhenUsed/>
    <w:rsid w:val="00B9094B"/>
    <w:pPr>
      <w:spacing w:after="0"/>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semiHidden/>
    <w:rsid w:val="00B9094B"/>
    <w:rPr>
      <w:rFonts w:eastAsia="Times New Roman" w:cs="Times New Roman"/>
      <w:sz w:val="20"/>
      <w:szCs w:val="20"/>
      <w:lang w:val="nl-NL" w:eastAsia="nl-NL"/>
    </w:rPr>
  </w:style>
  <w:style w:type="character" w:styleId="FootnoteReference">
    <w:name w:val="footnote reference"/>
    <w:basedOn w:val="DefaultParagraphFont"/>
    <w:uiPriority w:val="99"/>
    <w:semiHidden/>
    <w:unhideWhenUsed/>
    <w:rsid w:val="00B9094B"/>
    <w:rPr>
      <w:vertAlign w:val="superscript"/>
    </w:rPr>
  </w:style>
  <w:style w:type="character" w:styleId="Hyperlink">
    <w:name w:val="Hyperlink"/>
    <w:basedOn w:val="DefaultParagraphFont"/>
    <w:uiPriority w:val="99"/>
    <w:unhideWhenUsed/>
    <w:rsid w:val="00B9094B"/>
    <w:rPr>
      <w:color w:val="0000FF" w:themeColor="hyperlink"/>
      <w:u w:val="single"/>
    </w:rPr>
  </w:style>
  <w:style w:type="paragraph" w:styleId="Header">
    <w:name w:val="header"/>
    <w:basedOn w:val="Normal"/>
    <w:link w:val="HeaderChar"/>
    <w:uiPriority w:val="99"/>
    <w:unhideWhenUsed/>
    <w:rsid w:val="00DA41F4"/>
    <w:pPr>
      <w:tabs>
        <w:tab w:val="center" w:pos="4513"/>
        <w:tab w:val="right" w:pos="9026"/>
      </w:tabs>
      <w:spacing w:after="0"/>
    </w:pPr>
  </w:style>
  <w:style w:type="character" w:customStyle="1" w:styleId="HeaderChar">
    <w:name w:val="Header Char"/>
    <w:basedOn w:val="DefaultParagraphFont"/>
    <w:link w:val="Header"/>
    <w:uiPriority w:val="99"/>
    <w:rsid w:val="00DA41F4"/>
  </w:style>
  <w:style w:type="paragraph" w:styleId="Footer">
    <w:name w:val="footer"/>
    <w:basedOn w:val="Normal"/>
    <w:link w:val="FooterChar"/>
    <w:uiPriority w:val="99"/>
    <w:unhideWhenUsed/>
    <w:rsid w:val="00DA41F4"/>
    <w:pPr>
      <w:tabs>
        <w:tab w:val="center" w:pos="4513"/>
        <w:tab w:val="right" w:pos="9026"/>
      </w:tabs>
      <w:spacing w:after="0"/>
    </w:pPr>
  </w:style>
  <w:style w:type="character" w:customStyle="1" w:styleId="FooterChar">
    <w:name w:val="Footer Char"/>
    <w:basedOn w:val="DefaultParagraphFont"/>
    <w:link w:val="Footer"/>
    <w:uiPriority w:val="99"/>
    <w:rsid w:val="00DA41F4"/>
  </w:style>
  <w:style w:type="character" w:styleId="FollowedHyperlink">
    <w:name w:val="FollowedHyperlink"/>
    <w:basedOn w:val="DefaultParagraphFont"/>
    <w:uiPriority w:val="99"/>
    <w:semiHidden/>
    <w:unhideWhenUsed/>
    <w:rsid w:val="00DA41F4"/>
    <w:rPr>
      <w:color w:val="800080" w:themeColor="followedHyperlink"/>
      <w:u w:val="single"/>
    </w:rPr>
  </w:style>
  <w:style w:type="paragraph" w:styleId="NormalWeb">
    <w:name w:val="Normal (Web)"/>
    <w:basedOn w:val="Normal"/>
    <w:uiPriority w:val="99"/>
    <w:semiHidden/>
    <w:unhideWhenUsed/>
    <w:rsid w:val="00B270E3"/>
    <w:pPr>
      <w:spacing w:before="100" w:beforeAutospacing="1" w:after="100" w:afterAutospacing="1"/>
    </w:pPr>
    <w:rPr>
      <w:rFonts w:ascii="Times New Roman" w:eastAsiaTheme="minorHAnsi" w:hAnsi="Times New Roman" w:cs="Times New Roman"/>
      <w:sz w:val="24"/>
      <w:szCs w:val="24"/>
      <w:lang w:val="nl-NL" w:eastAsia="nl-NL"/>
    </w:rPr>
  </w:style>
  <w:style w:type="character" w:styleId="UnresolvedMention">
    <w:name w:val="Unresolved Mention"/>
    <w:basedOn w:val="DefaultParagraphFont"/>
    <w:uiPriority w:val="99"/>
    <w:semiHidden/>
    <w:unhideWhenUsed/>
    <w:rsid w:val="004C2EBD"/>
    <w:rPr>
      <w:color w:val="605E5C"/>
      <w:shd w:val="clear" w:color="auto" w:fill="E1DFDD"/>
    </w:rPr>
  </w:style>
  <w:style w:type="paragraph" w:styleId="Revision">
    <w:name w:val="Revision"/>
    <w:hidden/>
    <w:uiPriority w:val="99"/>
    <w:semiHidden/>
    <w:rsid w:val="001134AD"/>
    <w:pPr>
      <w:spacing w:after="0"/>
    </w:pPr>
  </w:style>
  <w:style w:type="paragraph" w:styleId="ListParagraph">
    <w:name w:val="List Paragraph"/>
    <w:basedOn w:val="Normal"/>
    <w:uiPriority w:val="34"/>
    <w:qFormat/>
    <w:rsid w:val="00B23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8444">
      <w:bodyDiv w:val="1"/>
      <w:marLeft w:val="0"/>
      <w:marRight w:val="0"/>
      <w:marTop w:val="0"/>
      <w:marBottom w:val="0"/>
      <w:divBdr>
        <w:top w:val="none" w:sz="0" w:space="0" w:color="auto"/>
        <w:left w:val="none" w:sz="0" w:space="0" w:color="auto"/>
        <w:bottom w:val="none" w:sz="0" w:space="0" w:color="auto"/>
        <w:right w:val="none" w:sz="0" w:space="0" w:color="auto"/>
      </w:divBdr>
    </w:div>
    <w:div w:id="259263586">
      <w:bodyDiv w:val="1"/>
      <w:marLeft w:val="0"/>
      <w:marRight w:val="0"/>
      <w:marTop w:val="0"/>
      <w:marBottom w:val="0"/>
      <w:divBdr>
        <w:top w:val="none" w:sz="0" w:space="0" w:color="auto"/>
        <w:left w:val="none" w:sz="0" w:space="0" w:color="auto"/>
        <w:bottom w:val="none" w:sz="0" w:space="0" w:color="auto"/>
        <w:right w:val="none" w:sz="0" w:space="0" w:color="auto"/>
      </w:divBdr>
      <w:divsChild>
        <w:div w:id="2066290293">
          <w:marLeft w:val="0"/>
          <w:marRight w:val="0"/>
          <w:marTop w:val="0"/>
          <w:marBottom w:val="0"/>
          <w:divBdr>
            <w:top w:val="none" w:sz="0" w:space="0" w:color="auto"/>
            <w:left w:val="none" w:sz="0" w:space="0" w:color="auto"/>
            <w:bottom w:val="none" w:sz="0" w:space="0" w:color="auto"/>
            <w:right w:val="none" w:sz="0" w:space="0" w:color="auto"/>
          </w:divBdr>
          <w:divsChild>
            <w:div w:id="536161219">
              <w:marLeft w:val="0"/>
              <w:marRight w:val="0"/>
              <w:marTop w:val="0"/>
              <w:marBottom w:val="0"/>
              <w:divBdr>
                <w:top w:val="none" w:sz="0" w:space="0" w:color="auto"/>
                <w:left w:val="none" w:sz="0" w:space="0" w:color="auto"/>
                <w:bottom w:val="none" w:sz="0" w:space="0" w:color="auto"/>
                <w:right w:val="none" w:sz="0" w:space="0" w:color="auto"/>
              </w:divBdr>
              <w:divsChild>
                <w:div w:id="1132363736">
                  <w:marLeft w:val="0"/>
                  <w:marRight w:val="0"/>
                  <w:marTop w:val="0"/>
                  <w:marBottom w:val="0"/>
                  <w:divBdr>
                    <w:top w:val="none" w:sz="0" w:space="0" w:color="auto"/>
                    <w:left w:val="none" w:sz="0" w:space="0" w:color="auto"/>
                    <w:bottom w:val="none" w:sz="0" w:space="0" w:color="auto"/>
                    <w:right w:val="none" w:sz="0" w:space="0" w:color="auto"/>
                  </w:divBdr>
                  <w:divsChild>
                    <w:div w:id="5141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50">
      <w:bodyDiv w:val="1"/>
      <w:marLeft w:val="0"/>
      <w:marRight w:val="0"/>
      <w:marTop w:val="0"/>
      <w:marBottom w:val="0"/>
      <w:divBdr>
        <w:top w:val="none" w:sz="0" w:space="0" w:color="auto"/>
        <w:left w:val="none" w:sz="0" w:space="0" w:color="auto"/>
        <w:bottom w:val="none" w:sz="0" w:space="0" w:color="auto"/>
        <w:right w:val="none" w:sz="0" w:space="0" w:color="auto"/>
      </w:divBdr>
    </w:div>
    <w:div w:id="513305255">
      <w:bodyDiv w:val="1"/>
      <w:marLeft w:val="0"/>
      <w:marRight w:val="0"/>
      <w:marTop w:val="0"/>
      <w:marBottom w:val="0"/>
      <w:divBdr>
        <w:top w:val="none" w:sz="0" w:space="0" w:color="auto"/>
        <w:left w:val="none" w:sz="0" w:space="0" w:color="auto"/>
        <w:bottom w:val="none" w:sz="0" w:space="0" w:color="auto"/>
        <w:right w:val="none" w:sz="0" w:space="0" w:color="auto"/>
      </w:divBdr>
    </w:div>
    <w:div w:id="598410232">
      <w:bodyDiv w:val="1"/>
      <w:marLeft w:val="0"/>
      <w:marRight w:val="0"/>
      <w:marTop w:val="0"/>
      <w:marBottom w:val="0"/>
      <w:divBdr>
        <w:top w:val="none" w:sz="0" w:space="0" w:color="auto"/>
        <w:left w:val="none" w:sz="0" w:space="0" w:color="auto"/>
        <w:bottom w:val="none" w:sz="0" w:space="0" w:color="auto"/>
        <w:right w:val="none" w:sz="0" w:space="0" w:color="auto"/>
      </w:divBdr>
    </w:div>
    <w:div w:id="743524318">
      <w:bodyDiv w:val="1"/>
      <w:marLeft w:val="0"/>
      <w:marRight w:val="0"/>
      <w:marTop w:val="0"/>
      <w:marBottom w:val="0"/>
      <w:divBdr>
        <w:top w:val="none" w:sz="0" w:space="0" w:color="auto"/>
        <w:left w:val="none" w:sz="0" w:space="0" w:color="auto"/>
        <w:bottom w:val="none" w:sz="0" w:space="0" w:color="auto"/>
        <w:right w:val="none" w:sz="0" w:space="0" w:color="auto"/>
      </w:divBdr>
    </w:div>
    <w:div w:id="762141372">
      <w:bodyDiv w:val="1"/>
      <w:marLeft w:val="0"/>
      <w:marRight w:val="0"/>
      <w:marTop w:val="0"/>
      <w:marBottom w:val="0"/>
      <w:divBdr>
        <w:top w:val="none" w:sz="0" w:space="0" w:color="auto"/>
        <w:left w:val="none" w:sz="0" w:space="0" w:color="auto"/>
        <w:bottom w:val="none" w:sz="0" w:space="0" w:color="auto"/>
        <w:right w:val="none" w:sz="0" w:space="0" w:color="auto"/>
      </w:divBdr>
    </w:div>
    <w:div w:id="763301155">
      <w:bodyDiv w:val="1"/>
      <w:marLeft w:val="0"/>
      <w:marRight w:val="0"/>
      <w:marTop w:val="0"/>
      <w:marBottom w:val="0"/>
      <w:divBdr>
        <w:top w:val="none" w:sz="0" w:space="0" w:color="auto"/>
        <w:left w:val="none" w:sz="0" w:space="0" w:color="auto"/>
        <w:bottom w:val="none" w:sz="0" w:space="0" w:color="auto"/>
        <w:right w:val="none" w:sz="0" w:space="0" w:color="auto"/>
      </w:divBdr>
    </w:div>
    <w:div w:id="978077334">
      <w:bodyDiv w:val="1"/>
      <w:marLeft w:val="0"/>
      <w:marRight w:val="0"/>
      <w:marTop w:val="0"/>
      <w:marBottom w:val="0"/>
      <w:divBdr>
        <w:top w:val="none" w:sz="0" w:space="0" w:color="auto"/>
        <w:left w:val="none" w:sz="0" w:space="0" w:color="auto"/>
        <w:bottom w:val="none" w:sz="0" w:space="0" w:color="auto"/>
        <w:right w:val="none" w:sz="0" w:space="0" w:color="auto"/>
      </w:divBdr>
    </w:div>
    <w:div w:id="1183668110">
      <w:bodyDiv w:val="1"/>
      <w:marLeft w:val="0"/>
      <w:marRight w:val="0"/>
      <w:marTop w:val="0"/>
      <w:marBottom w:val="0"/>
      <w:divBdr>
        <w:top w:val="none" w:sz="0" w:space="0" w:color="auto"/>
        <w:left w:val="none" w:sz="0" w:space="0" w:color="auto"/>
        <w:bottom w:val="none" w:sz="0" w:space="0" w:color="auto"/>
        <w:right w:val="none" w:sz="0" w:space="0" w:color="auto"/>
      </w:divBdr>
    </w:div>
    <w:div w:id="1406300515">
      <w:bodyDiv w:val="1"/>
      <w:marLeft w:val="0"/>
      <w:marRight w:val="0"/>
      <w:marTop w:val="0"/>
      <w:marBottom w:val="0"/>
      <w:divBdr>
        <w:top w:val="none" w:sz="0" w:space="0" w:color="auto"/>
        <w:left w:val="none" w:sz="0" w:space="0" w:color="auto"/>
        <w:bottom w:val="none" w:sz="0" w:space="0" w:color="auto"/>
        <w:right w:val="none" w:sz="0" w:space="0" w:color="auto"/>
      </w:divBdr>
    </w:div>
    <w:div w:id="1499881575">
      <w:bodyDiv w:val="1"/>
      <w:marLeft w:val="0"/>
      <w:marRight w:val="0"/>
      <w:marTop w:val="0"/>
      <w:marBottom w:val="0"/>
      <w:divBdr>
        <w:top w:val="none" w:sz="0" w:space="0" w:color="auto"/>
        <w:left w:val="none" w:sz="0" w:space="0" w:color="auto"/>
        <w:bottom w:val="none" w:sz="0" w:space="0" w:color="auto"/>
        <w:right w:val="none" w:sz="0" w:space="0" w:color="auto"/>
      </w:divBdr>
    </w:div>
    <w:div w:id="1550342495">
      <w:bodyDiv w:val="1"/>
      <w:marLeft w:val="0"/>
      <w:marRight w:val="0"/>
      <w:marTop w:val="0"/>
      <w:marBottom w:val="0"/>
      <w:divBdr>
        <w:top w:val="none" w:sz="0" w:space="0" w:color="auto"/>
        <w:left w:val="none" w:sz="0" w:space="0" w:color="auto"/>
        <w:bottom w:val="none" w:sz="0" w:space="0" w:color="auto"/>
        <w:right w:val="none" w:sz="0" w:space="0" w:color="auto"/>
      </w:divBdr>
    </w:div>
    <w:div w:id="1655600279">
      <w:bodyDiv w:val="1"/>
      <w:marLeft w:val="0"/>
      <w:marRight w:val="0"/>
      <w:marTop w:val="0"/>
      <w:marBottom w:val="0"/>
      <w:divBdr>
        <w:top w:val="none" w:sz="0" w:space="0" w:color="auto"/>
        <w:left w:val="none" w:sz="0" w:space="0" w:color="auto"/>
        <w:bottom w:val="none" w:sz="0" w:space="0" w:color="auto"/>
        <w:right w:val="none" w:sz="0" w:space="0" w:color="auto"/>
      </w:divBdr>
    </w:div>
    <w:div w:id="184058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single-market-economy.ec.europa.eu/publications/single-market-our-european-home-market-uncertain-world_en" TargetMode="External"/><Relationship Id="rId2" Type="http://schemas.openxmlformats.org/officeDocument/2006/relationships/hyperlink" Target="https://www.tweedekamer.nl/kamerstukken/brieven_regering/detail?id=2025Z10518&amp;did=2025D24042" TargetMode="External"/><Relationship Id="rId1" Type="http://schemas.openxmlformats.org/officeDocument/2006/relationships/hyperlink" Target="https://data.consilium.europa.eu/doc/document/CM-3-2025-INIT/en/" TargetMode="External"/><Relationship Id="rId5" Type="http://schemas.openxmlformats.org/officeDocument/2006/relationships/hyperlink" Target="https://commission.europa.eu/publications/2024-rule-law-report-communication-and-country-chapters_en" TargetMode="External"/><Relationship Id="rId4" Type="http://schemas.openxmlformats.org/officeDocument/2006/relationships/hyperlink" Target="https://www.government.nl/documents/diplomatic-statements/2025/05/27/declaration-legislative-and-constitutional-amendments-hung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1527</ap:Words>
  <ap:Characters>9133</ap:Characters>
  <ap:DocSecurity>0</ap:DocSecurity>
  <ap:Lines>207</ap:Lines>
  <ap:Paragraphs>119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2025-06-04T15:16:00.0000000Z</dcterms:created>
  <dcterms:modified xsi:type="dcterms:W3CDTF">2025-06-04T15:17:00.0000000Z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Land0">
    <vt:lpwstr/>
  </property>
  <property fmtid="{D5CDD505-2E9C-101B-9397-08002B2CF9AE}" pid="4" name="Forum">
    <vt:lpwstr/>
  </property>
  <property fmtid="{D5CDD505-2E9C-101B-9397-08002B2CF9AE}" pid="5" name="_dlc_DocIdItemGuid">
    <vt:lpwstr>9cdc5dd8-c349-4a61-ba4f-6dd05a89365b</vt:lpwstr>
  </property>
  <property fmtid="{D5CDD505-2E9C-101B-9397-08002B2CF9AE}" pid="6" name="_docset_NoMedatataSyncRequired">
    <vt:lpwstr>False</vt:lpwstr>
  </property>
  <property fmtid="{D5CDD505-2E9C-101B-9397-08002B2CF9AE}" pid="7" name="BZ_Country">
    <vt:lpwstr>9;#The Netherlands|7f69a7bb-478c-499d-a6cf-5869916dfee4</vt:lpwstr>
  </property>
  <property fmtid="{D5CDD505-2E9C-101B-9397-08002B2CF9AE}" pid="8" name="BZ_Classification">
    <vt:lpwstr>14;#UNCLASSIFIED|d92c6340-bc14-4cb2-a9a6-6deda93c493b</vt:lpwstr>
  </property>
  <property fmtid="{D5CDD505-2E9C-101B-9397-08002B2CF9AE}" pid="9" name="BZ_Forum">
    <vt:lpwstr>8;#EU|4d8f9873-61b3-4ee5-b6f7-0bb00c6df5e8</vt:lpwstr>
  </property>
  <property fmtid="{D5CDD505-2E9C-101B-9397-08002B2CF9AE}" pid="10" name="BZ_Theme">
    <vt:lpwstr>11;#Organization|d3f777fe-abca-43dd-b11c-a7496ad32ea5;#7;#Visits (logistic)|53e8069b-a40e-4a89-b4f3-9b7112716272</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DocumentSetDescription">
    <vt:lpwstr/>
  </property>
  <property fmtid="{D5CDD505-2E9C-101B-9397-08002B2CF9AE}" pid="14" name="BZCountryState">
    <vt:lpwstr>3;#Not applicable|ec01d90b-9d0f-4785-8785-e1ea615196bf</vt:lpwstr>
  </property>
  <property fmtid="{D5CDD505-2E9C-101B-9397-08002B2CF9AE}" pid="15" name="BZMarking">
    <vt:lpwstr>5;#NO MARKING|0a4eb9ae-69eb-4d9e-b573-43ab99ef8592</vt:lpwstr>
  </property>
  <property fmtid="{D5CDD505-2E9C-101B-9397-08002B2CF9AE}" pid="16" name="BZClassification">
    <vt:lpwstr>4;#UNCLASSIFIED (U)|284e6a62-15ab-4017-be27-a1e965f4e940</vt:lpwstr>
  </property>
  <property fmtid="{D5CDD505-2E9C-101B-9397-08002B2CF9AE}" pid="17" name="URL">
    <vt:lpwstr/>
  </property>
  <property fmtid="{D5CDD505-2E9C-101B-9397-08002B2CF9AE}" pid="18" name="nf4434b3fae540fe847866e45672fb3a">
    <vt:lpwstr>Organization|d3f777fe-abca-43dd-b11c-a7496ad32ea5;Visits (logistic)|53e8069b-a40e-4a89-b4f3-9b7112716272</vt:lpwstr>
  </property>
  <property fmtid="{D5CDD505-2E9C-101B-9397-08002B2CF9AE}" pid="19" name="a45510494d1a450e9cee6905c7ad8168">
    <vt:lpwstr>The Netherlands|7f69a7bb-478c-499d-a6cf-5869916dfee4</vt:lpwstr>
  </property>
  <property fmtid="{D5CDD505-2E9C-101B-9397-08002B2CF9AE}" pid="20" name="ge4bd621e46a403e97baf402a410deb5">
    <vt:lpwstr>EU|4d8f9873-61b3-4ee5-b6f7-0bb00c6df5e8</vt:lpwstr>
  </property>
  <property fmtid="{D5CDD505-2E9C-101B-9397-08002B2CF9AE}" pid="21" name="gc2efd3bfea04f7f8169be07009f5536">
    <vt:lpwstr/>
  </property>
  <property fmtid="{D5CDD505-2E9C-101B-9397-08002B2CF9AE}" pid="22" name="BZDossierPublishingHistory">
    <vt:lpwstr/>
  </property>
  <property fmtid="{D5CDD505-2E9C-101B-9397-08002B2CF9AE}" pid="23" name="BZDossierApprovalHistory">
    <vt:lpwstr/>
  </property>
  <property fmtid="{D5CDD505-2E9C-101B-9397-08002B2CF9AE}" pid="24" name="BZDossierContributors">
    <vt:lpwstr/>
  </property>
  <property fmtid="{D5CDD505-2E9C-101B-9397-08002B2CF9AE}" pid="25" name="BZDossierProcessLocation">
    <vt:lpwstr/>
  </property>
  <property fmtid="{D5CDD505-2E9C-101B-9397-08002B2CF9AE}" pid="26" name="BZDossierPublishingWOOCategory">
    <vt:lpwstr/>
  </property>
  <property fmtid="{D5CDD505-2E9C-101B-9397-08002B2CF9AE}" pid="27" name="i42ef48d5fa942a0ad0d60e44f201751">
    <vt:lpwstr/>
  </property>
  <property fmtid="{D5CDD505-2E9C-101B-9397-08002B2CF9AE}" pid="28" name="f2fb2a8e39404f1ab554e4e4a49d2918">
    <vt:lpwstr/>
  </property>
  <property fmtid="{D5CDD505-2E9C-101B-9397-08002B2CF9AE}" pid="29" name="BZDossierDescription">
    <vt:lpwstr/>
  </property>
  <property fmtid="{D5CDD505-2E9C-101B-9397-08002B2CF9AE}" pid="30" name="BZDossierReaders">
    <vt:lpwstr/>
  </property>
  <property fmtid="{D5CDD505-2E9C-101B-9397-08002B2CF9AE}" pid="31" name="p29721a54a5c4bbe9786e930fc91e270">
    <vt:lpwstr/>
  </property>
  <property fmtid="{D5CDD505-2E9C-101B-9397-08002B2CF9AE}" pid="32" name="BZDossierTranslationHistory">
    <vt:lpwstr/>
  </property>
  <property fmtid="{D5CDD505-2E9C-101B-9397-08002B2CF9AE}" pid="33" name="BZDossierReference">
    <vt:lpwstr/>
  </property>
  <property fmtid="{D5CDD505-2E9C-101B-9397-08002B2CF9AE}" pid="34" name="BZDossierAuditLog">
    <vt:lpwstr/>
  </property>
  <property fmtid="{D5CDD505-2E9C-101B-9397-08002B2CF9AE}" pid="35" name="BZDossierTitle">
    <vt:lpwstr/>
  </property>
  <property fmtid="{D5CDD505-2E9C-101B-9397-08002B2CF9AE}" pid="36" name="ed9282a3f18446ec8c17c7829edf82dd">
    <vt:lpwstr/>
  </property>
  <property fmtid="{D5CDD505-2E9C-101B-9397-08002B2CF9AE}" pid="37" name="e256f556a7b748329ab47889947c7d40">
    <vt:lpwstr/>
  </property>
  <property fmtid="{D5CDD505-2E9C-101B-9397-08002B2CF9AE}" pid="38" name="BZDossierProcessType">
    <vt:lpwstr/>
  </property>
  <property fmtid="{D5CDD505-2E9C-101B-9397-08002B2CF9AE}" pid="39" name="BZDossierSendingHistory">
    <vt:lpwstr/>
  </property>
  <property fmtid="{D5CDD505-2E9C-101B-9397-08002B2CF9AE}" pid="40" name="BZDossierBudgetManager">
    <vt:lpwstr/>
  </property>
  <property fmtid="{D5CDD505-2E9C-101B-9397-08002B2CF9AE}" pid="41" name="BZDossierAlignmentHistory">
    <vt:lpwstr/>
  </property>
  <property fmtid="{D5CDD505-2E9C-101B-9397-08002B2CF9AE}" pid="42" name="BZDossierSendTo">
    <vt:lpwstr/>
  </property>
  <property fmtid="{D5CDD505-2E9C-101B-9397-08002B2CF9AE}" pid="43" name="BZDossierRedacting">
    <vt:lpwstr/>
  </property>
  <property fmtid="{D5CDD505-2E9C-101B-9397-08002B2CF9AE}" pid="44" name="BZDossierRedactingHistory">
    <vt:lpwstr/>
  </property>
  <property fmtid="{D5CDD505-2E9C-101B-9397-08002B2CF9AE}" pid="45" name="BZDossierApprovalPolitical">
    <vt:lpwstr/>
  </property>
  <property fmtid="{D5CDD505-2E9C-101B-9397-08002B2CF9AE}" pid="46" name="BZDossierPrincipalsInvolved">
    <vt:lpwstr/>
  </property>
  <property fmtid="{D5CDD505-2E9C-101B-9397-08002B2CF9AE}" pid="47" name="BZDossierApproval">
    <vt:lpwstr/>
  </property>
  <property fmtid="{D5CDD505-2E9C-101B-9397-08002B2CF9AE}" pid="48" name="BZDossierAlignment">
    <vt:lpwstr/>
  </property>
  <property fmtid="{D5CDD505-2E9C-101B-9397-08002B2CF9AE}" pid="49" name="BZDossierSending">
    <vt:lpwstr/>
  </property>
  <property fmtid="{D5CDD505-2E9C-101B-9397-08002B2CF9AE}" pid="50" name="BZDossierResponsibleDepartment">
    <vt:lpwstr/>
  </property>
  <property fmtid="{D5CDD505-2E9C-101B-9397-08002B2CF9AE}" pid="51" name="BZDossierResponsibleGroup">
    <vt:lpwstr/>
  </property>
  <property fmtid="{D5CDD505-2E9C-101B-9397-08002B2CF9AE}" pid="52" name="BZDossierApprovalPoliticalHistory">
    <vt:lpwstr/>
  </property>
  <property fmtid="{D5CDD505-2E9C-101B-9397-08002B2CF9AE}" pid="53" name="BZDossierPublishing">
    <vt:lpwstr/>
  </property>
  <property fmtid="{D5CDD505-2E9C-101B-9397-08002B2CF9AE}" pid="54" name="BZDossierSpecifics">
    <vt:lpwstr/>
  </property>
  <property fmtid="{D5CDD505-2E9C-101B-9397-08002B2CF9AE}" pid="55" name="BZDossierGovernmentOfficial">
    <vt:lpwstr/>
  </property>
  <property fmtid="{D5CDD505-2E9C-101B-9397-08002B2CF9AE}" pid="56" name="f8e003236e1c4ac2ab9051d5d8789bbb">
    <vt:lpwstr/>
  </property>
  <property fmtid="{D5CDD505-2E9C-101B-9397-08002B2CF9AE}" pid="57" name="BZDossierNotes">
    <vt:lpwstr/>
  </property>
  <property fmtid="{D5CDD505-2E9C-101B-9397-08002B2CF9AE}" pid="58" name="BZDossierTranslation">
    <vt:lpwstr/>
  </property>
  <property fmtid="{D5CDD505-2E9C-101B-9397-08002B2CF9AE}" pid="59" name="BZEmailSubject">
    <vt:lpwstr/>
  </property>
  <property fmtid="{D5CDD505-2E9C-101B-9397-08002B2CF9AE}" pid="60" name="BZEmailFrom">
    <vt:lpwstr/>
  </property>
  <property fmtid="{D5CDD505-2E9C-101B-9397-08002B2CF9AE}" pid="61" name="BZEmailCC">
    <vt:lpwstr/>
  </property>
  <property fmtid="{D5CDD505-2E9C-101B-9397-08002B2CF9AE}" pid="62" name="BZEmailTo">
    <vt:lpwstr/>
  </property>
  <property fmtid="{D5CDD505-2E9C-101B-9397-08002B2CF9AE}" pid="63" name="BZEmailBody">
    <vt:lpwstr/>
  </property>
</Properties>
</file>