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46E2" w:rsidP="003046E2" w:rsidRDefault="003046E2" w14:paraId="6AABB83A" w14:textId="32ED9717">
      <w:pPr>
        <w:rPr>
          <w:b/>
        </w:rPr>
      </w:pPr>
      <w:r>
        <w:rPr>
          <w:b/>
        </w:rPr>
        <w:t xml:space="preserve">Lijst van vragen </w:t>
      </w:r>
    </w:p>
    <w:p w:rsidR="003046E2" w:rsidP="003046E2" w:rsidRDefault="003046E2" w14:paraId="75D6A30B" w14:textId="06B3C67C">
      <w:r>
        <w:t xml:space="preserve">De vaste commissie voor Defensie heeft een aantal vragen voorgelegd aan de staatssecretaris van Defensie over het </w:t>
      </w:r>
      <w:r>
        <w:rPr>
          <w:b/>
        </w:rPr>
        <w:t>Defensie Projectenoverzicht 2025</w:t>
      </w:r>
      <w:r>
        <w:t xml:space="preserve"> (</w:t>
      </w:r>
      <w:r>
        <w:t xml:space="preserve">Kamerstuk </w:t>
      </w:r>
      <w:r>
        <w:rPr>
          <w:b/>
        </w:rPr>
        <w:t>27830</w:t>
      </w:r>
      <w:r>
        <w:t xml:space="preserve">, nr. </w:t>
      </w:r>
      <w:r>
        <w:rPr>
          <w:b/>
        </w:rPr>
        <w:t>465</w:t>
      </w:r>
      <w:r>
        <w:t>).</w:t>
      </w:r>
    </w:p>
    <w:p w:rsidR="003046E2" w:rsidP="003046E2" w:rsidRDefault="003046E2" w14:paraId="4639DC86" w14:textId="77777777">
      <w:pPr>
        <w:spacing w:after="0"/>
      </w:pPr>
    </w:p>
    <w:p w:rsidR="003046E2" w:rsidP="003046E2" w:rsidRDefault="003046E2" w14:paraId="34CDE084" w14:textId="0E734C6C">
      <w:pPr>
        <w:spacing w:after="0"/>
      </w:pPr>
      <w:r>
        <w:t>De v</w:t>
      </w:r>
      <w:r>
        <w:t xml:space="preserve">oorzitter van de commissie, </w:t>
      </w:r>
    </w:p>
    <w:p w:rsidR="003046E2" w:rsidP="003046E2" w:rsidRDefault="003046E2" w14:paraId="592AE7A4" w14:textId="6B394DC0">
      <w:pPr>
        <w:spacing w:after="0"/>
      </w:pPr>
      <w:proofErr w:type="spellStart"/>
      <w:r>
        <w:t>Kahraman</w:t>
      </w:r>
      <w:proofErr w:type="spellEnd"/>
    </w:p>
    <w:p w:rsidR="003046E2" w:rsidP="003046E2" w:rsidRDefault="003046E2" w14:paraId="5E05678D" w14:textId="77777777">
      <w:pPr>
        <w:spacing w:after="0"/>
      </w:pPr>
      <w:r>
        <w:tab/>
      </w:r>
      <w:r>
        <w:tab/>
      </w:r>
    </w:p>
    <w:p w:rsidR="003046E2" w:rsidP="003046E2" w:rsidRDefault="003046E2" w14:paraId="1062786C" w14:textId="14B55E32">
      <w:pPr>
        <w:spacing w:after="0"/>
      </w:pPr>
      <w:r>
        <w:t>Adjunct-</w:t>
      </w:r>
      <w:r>
        <w:t>g</w:t>
      </w:r>
      <w:r>
        <w:t>riffier van de commissie,</w:t>
      </w:r>
    </w:p>
    <w:p w:rsidR="003046E2" w:rsidP="003046E2" w:rsidRDefault="003046E2" w14:paraId="2CB285CD" w14:textId="3BEFBBDA">
      <w:pPr>
        <w:spacing w:after="0"/>
      </w:pPr>
      <w:proofErr w:type="spellStart"/>
      <w:r>
        <w:t>Manten</w:t>
      </w:r>
      <w:proofErr w:type="spellEnd"/>
    </w:p>
    <w:p w:rsidR="003046E2" w:rsidP="003046E2" w:rsidRDefault="003046E2" w14:paraId="57C3D6A6"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3046E2" w:rsidTr="003046E2" w14:paraId="7E8260F4" w14:textId="77777777">
        <w:trPr>
          <w:cantSplit/>
        </w:trPr>
        <w:tc>
          <w:tcPr>
            <w:tcW w:w="567" w:type="dxa"/>
          </w:tcPr>
          <w:p w:rsidR="003046E2" w:rsidP="00F3021D" w:rsidRDefault="003046E2" w14:paraId="0F0E7B98" w14:textId="77777777">
            <w:bookmarkStart w:name="bmkStartTabel" w:id="0"/>
            <w:bookmarkEnd w:id="0"/>
            <w:proofErr w:type="spellStart"/>
            <w:r>
              <w:t>Nr</w:t>
            </w:r>
            <w:proofErr w:type="spellEnd"/>
          </w:p>
        </w:tc>
        <w:tc>
          <w:tcPr>
            <w:tcW w:w="6521" w:type="dxa"/>
          </w:tcPr>
          <w:p w:rsidR="003046E2" w:rsidP="00F3021D" w:rsidRDefault="003046E2" w14:paraId="39A82F2A" w14:textId="77777777">
            <w:r>
              <w:t>Vraag</w:t>
            </w:r>
          </w:p>
        </w:tc>
      </w:tr>
      <w:tr w:rsidR="003046E2" w:rsidTr="003046E2" w14:paraId="5971E3DD" w14:textId="77777777">
        <w:tc>
          <w:tcPr>
            <w:tcW w:w="567" w:type="dxa"/>
          </w:tcPr>
          <w:p w:rsidR="003046E2" w:rsidP="00F3021D" w:rsidRDefault="003046E2" w14:paraId="6ACE5AF6" w14:textId="77777777">
            <w:r>
              <w:t>1</w:t>
            </w:r>
          </w:p>
        </w:tc>
        <w:tc>
          <w:tcPr>
            <w:tcW w:w="6521" w:type="dxa"/>
          </w:tcPr>
          <w:p w:rsidR="003046E2" w:rsidP="00F3021D" w:rsidRDefault="003046E2" w14:paraId="098485FB" w14:textId="77777777">
            <w:r>
              <w:t>Hoe dragen de defensieprojecten in het DPO 2025 bij aan hoofdtaak 1 van de NAVO?</w:t>
            </w:r>
          </w:p>
        </w:tc>
      </w:tr>
      <w:tr w:rsidR="003046E2" w:rsidTr="003046E2" w14:paraId="706CB648" w14:textId="77777777">
        <w:tc>
          <w:tcPr>
            <w:tcW w:w="567" w:type="dxa"/>
          </w:tcPr>
          <w:p w:rsidR="003046E2" w:rsidP="00F3021D" w:rsidRDefault="003046E2" w14:paraId="013F8605" w14:textId="77777777">
            <w:r>
              <w:t>2</w:t>
            </w:r>
          </w:p>
        </w:tc>
        <w:tc>
          <w:tcPr>
            <w:tcW w:w="6521" w:type="dxa"/>
          </w:tcPr>
          <w:p w:rsidR="003046E2" w:rsidP="00F3021D" w:rsidRDefault="003046E2" w14:paraId="7D0518D2" w14:textId="77777777">
            <w:r>
              <w:t>Waarom zijn er geen nieuwe droneprojecten/programma’s afgesloten?</w:t>
            </w:r>
          </w:p>
        </w:tc>
      </w:tr>
      <w:tr w:rsidR="003046E2" w:rsidTr="003046E2" w14:paraId="5674FC91" w14:textId="77777777">
        <w:tc>
          <w:tcPr>
            <w:tcW w:w="567" w:type="dxa"/>
          </w:tcPr>
          <w:p w:rsidR="003046E2" w:rsidP="00F3021D" w:rsidRDefault="003046E2" w14:paraId="1599E271" w14:textId="77777777">
            <w:r>
              <w:t>3</w:t>
            </w:r>
          </w:p>
        </w:tc>
        <w:tc>
          <w:tcPr>
            <w:tcW w:w="6521" w:type="dxa"/>
          </w:tcPr>
          <w:p w:rsidR="003046E2" w:rsidP="00F3021D" w:rsidRDefault="003046E2" w14:paraId="4B90CD4F" w14:textId="77777777">
            <w:r>
              <w:t xml:space="preserve">Op welke manier zorgt u ervoor dat start- en </w:t>
            </w:r>
            <w:proofErr w:type="spellStart"/>
            <w:r>
              <w:t>scale</w:t>
            </w:r>
            <w:proofErr w:type="spellEnd"/>
            <w:r>
              <w:t>-ups bij nieuwe projectontwikkelingen actief worden betrokken en dat niet alle contracten naar de grootste defensiebedrijven gaan?</w:t>
            </w:r>
          </w:p>
        </w:tc>
      </w:tr>
      <w:tr w:rsidR="003046E2" w:rsidTr="003046E2" w14:paraId="4470E77D" w14:textId="77777777">
        <w:tc>
          <w:tcPr>
            <w:tcW w:w="567" w:type="dxa"/>
          </w:tcPr>
          <w:p w:rsidR="003046E2" w:rsidP="00F3021D" w:rsidRDefault="003046E2" w14:paraId="610A2D1A" w14:textId="77777777">
            <w:r>
              <w:t>4</w:t>
            </w:r>
          </w:p>
        </w:tc>
        <w:tc>
          <w:tcPr>
            <w:tcW w:w="6521" w:type="dxa"/>
          </w:tcPr>
          <w:p w:rsidR="003046E2" w:rsidP="00F3021D" w:rsidRDefault="003046E2" w14:paraId="5E7123E6" w14:textId="77777777">
            <w:r>
              <w:t>Op welke wijze zorgt u ervoor dat innovatie een sleutelrol in de aanschaf van nieuwe defensieprojecten krijgt?</w:t>
            </w:r>
          </w:p>
        </w:tc>
      </w:tr>
      <w:tr w:rsidR="003046E2" w:rsidTr="003046E2" w14:paraId="5A4EF58B" w14:textId="77777777">
        <w:tc>
          <w:tcPr>
            <w:tcW w:w="567" w:type="dxa"/>
          </w:tcPr>
          <w:p w:rsidR="003046E2" w:rsidP="00F3021D" w:rsidRDefault="003046E2" w14:paraId="3A6D8F3C" w14:textId="77777777">
            <w:r>
              <w:t>5</w:t>
            </w:r>
          </w:p>
        </w:tc>
        <w:tc>
          <w:tcPr>
            <w:tcW w:w="6521" w:type="dxa"/>
          </w:tcPr>
          <w:p w:rsidR="003046E2" w:rsidP="00F3021D" w:rsidRDefault="003046E2" w14:paraId="181CCF0F" w14:textId="77777777">
            <w:r>
              <w:t>Gezien Defensie meer investeert in de lucht- en raketverdediging, kunt u een overzicht geven van hoe de luchtverdediging er op dit moment voorstaat? Wat is er nog nodig om deze op orde te krijgen? Wanneer is de luchtverdediging op orde en is dan ook de bevolking naast de strijdkrachten veilig?</w:t>
            </w:r>
          </w:p>
        </w:tc>
      </w:tr>
      <w:tr w:rsidR="003046E2" w:rsidTr="003046E2" w14:paraId="61B1EDD0" w14:textId="77777777">
        <w:tc>
          <w:tcPr>
            <w:tcW w:w="567" w:type="dxa"/>
          </w:tcPr>
          <w:p w:rsidR="003046E2" w:rsidP="00F3021D" w:rsidRDefault="003046E2" w14:paraId="222EAD64" w14:textId="77777777">
            <w:r>
              <w:t>6</w:t>
            </w:r>
          </w:p>
        </w:tc>
        <w:tc>
          <w:tcPr>
            <w:tcW w:w="6521" w:type="dxa"/>
          </w:tcPr>
          <w:p w:rsidR="003046E2" w:rsidP="00F3021D" w:rsidRDefault="003046E2" w14:paraId="73BE8B46" w14:textId="77777777">
            <w:r>
              <w:t>Blijven onze nieuwe investeringen in de luchtverdediging nu ook beschikbaar voor Nederland of gaan deze, mede vanwege hun mobiele karakter, ook weer naar het buitenland?</w:t>
            </w:r>
          </w:p>
        </w:tc>
      </w:tr>
      <w:tr w:rsidR="003046E2" w:rsidTr="003046E2" w14:paraId="5D70F9AF" w14:textId="77777777">
        <w:tc>
          <w:tcPr>
            <w:tcW w:w="567" w:type="dxa"/>
          </w:tcPr>
          <w:p w:rsidR="003046E2" w:rsidP="00F3021D" w:rsidRDefault="003046E2" w14:paraId="01FD3DBA" w14:textId="77777777">
            <w:r>
              <w:t>7</w:t>
            </w:r>
          </w:p>
        </w:tc>
        <w:tc>
          <w:tcPr>
            <w:tcW w:w="6521" w:type="dxa"/>
          </w:tcPr>
          <w:p w:rsidR="003046E2" w:rsidP="00F3021D" w:rsidRDefault="003046E2" w14:paraId="6B35B107" w14:textId="77777777">
            <w:r>
              <w:t>Is er een houdbaarheidsdatum aan de opgeschaalde strategische voorraden voor bijvoorbeeld klein kaliber munitie, anti-tank bewapening en luchtverdedigingsraketten?</w:t>
            </w:r>
          </w:p>
        </w:tc>
      </w:tr>
      <w:tr w:rsidR="003046E2" w:rsidTr="003046E2" w14:paraId="473847CA" w14:textId="77777777">
        <w:tc>
          <w:tcPr>
            <w:tcW w:w="567" w:type="dxa"/>
          </w:tcPr>
          <w:p w:rsidR="003046E2" w:rsidP="00F3021D" w:rsidRDefault="003046E2" w14:paraId="52279F1E" w14:textId="77777777">
            <w:r>
              <w:t>8</w:t>
            </w:r>
          </w:p>
        </w:tc>
        <w:tc>
          <w:tcPr>
            <w:tcW w:w="6521" w:type="dxa"/>
          </w:tcPr>
          <w:p w:rsidR="003046E2" w:rsidP="00F3021D" w:rsidRDefault="003046E2" w14:paraId="551014FE" w14:textId="77777777">
            <w:r>
              <w:t>Als de vloot langer doorvaart door er tussentijds meer in te investeren, wat betekent dat voor de restwaarde en potentieel hergebruik als Nederland straks haar vernieuwde vloot heeft?</w:t>
            </w:r>
          </w:p>
        </w:tc>
      </w:tr>
      <w:tr w:rsidR="003046E2" w:rsidTr="003046E2" w14:paraId="55BDC7CD" w14:textId="77777777">
        <w:tc>
          <w:tcPr>
            <w:tcW w:w="567" w:type="dxa"/>
          </w:tcPr>
          <w:p w:rsidR="003046E2" w:rsidP="00F3021D" w:rsidRDefault="003046E2" w14:paraId="5526E966" w14:textId="77777777">
            <w:r>
              <w:t>9</w:t>
            </w:r>
          </w:p>
        </w:tc>
        <w:tc>
          <w:tcPr>
            <w:tcW w:w="6521" w:type="dxa"/>
          </w:tcPr>
          <w:p w:rsidR="003046E2" w:rsidP="00F3021D" w:rsidRDefault="003046E2" w14:paraId="50D4BFCD" w14:textId="77777777">
            <w:r>
              <w:t xml:space="preserve">Wat betekent het voor de beschikbaarheid en kosten als de </w:t>
            </w:r>
            <w:proofErr w:type="spellStart"/>
            <w:r>
              <w:t>Patriots</w:t>
            </w:r>
            <w:proofErr w:type="spellEnd"/>
            <w:r>
              <w:t xml:space="preserve"> een langere levensduur krijgen? Krijgen we er dan meer voor minder? Kunnen we dan niet sneller opschalen als we de levensduur van de oude verlengen en er tegelijkertijd nieuwe bijkopen?</w:t>
            </w:r>
          </w:p>
        </w:tc>
      </w:tr>
      <w:tr w:rsidR="003046E2" w:rsidTr="003046E2" w14:paraId="5A426A4D" w14:textId="77777777">
        <w:tc>
          <w:tcPr>
            <w:tcW w:w="567" w:type="dxa"/>
          </w:tcPr>
          <w:p w:rsidR="003046E2" w:rsidP="00F3021D" w:rsidRDefault="003046E2" w14:paraId="6CA6F61C" w14:textId="77777777">
            <w:r>
              <w:lastRenderedPageBreak/>
              <w:t>10</w:t>
            </w:r>
          </w:p>
        </w:tc>
        <w:tc>
          <w:tcPr>
            <w:tcW w:w="6521" w:type="dxa"/>
          </w:tcPr>
          <w:p w:rsidR="003046E2" w:rsidP="00F3021D" w:rsidRDefault="003046E2" w14:paraId="5C3C8CED" w14:textId="77777777">
            <w:r>
              <w:t>Hoe draagt de grootschalige aanvulling van munitievoorraden bij aan het voldoen aan NAVO-verplichtingen voor hoofdtaak 1?</w:t>
            </w:r>
          </w:p>
        </w:tc>
      </w:tr>
      <w:tr w:rsidR="003046E2" w:rsidTr="003046E2" w14:paraId="20277068" w14:textId="77777777">
        <w:tc>
          <w:tcPr>
            <w:tcW w:w="567" w:type="dxa"/>
          </w:tcPr>
          <w:p w:rsidR="003046E2" w:rsidP="00F3021D" w:rsidRDefault="003046E2" w14:paraId="40F4EF8D" w14:textId="77777777">
            <w:r>
              <w:t>11</w:t>
            </w:r>
          </w:p>
        </w:tc>
        <w:tc>
          <w:tcPr>
            <w:tcW w:w="6521" w:type="dxa"/>
          </w:tcPr>
          <w:p w:rsidR="003046E2" w:rsidP="00F3021D" w:rsidRDefault="003046E2" w14:paraId="0F96DD6D" w14:textId="77777777">
            <w:r>
              <w:t>In hoeverre is deze munitieverwerving Europees georiënteerd en hoe sluit dit aan op de strategische autonomie?</w:t>
            </w:r>
          </w:p>
        </w:tc>
      </w:tr>
      <w:tr w:rsidR="003046E2" w:rsidTr="003046E2" w14:paraId="14B545A9" w14:textId="77777777">
        <w:tc>
          <w:tcPr>
            <w:tcW w:w="567" w:type="dxa"/>
          </w:tcPr>
          <w:p w:rsidR="003046E2" w:rsidP="00F3021D" w:rsidRDefault="003046E2" w14:paraId="24100DA4" w14:textId="77777777">
            <w:r>
              <w:t>12</w:t>
            </w:r>
          </w:p>
        </w:tc>
        <w:tc>
          <w:tcPr>
            <w:tcW w:w="6521" w:type="dxa"/>
          </w:tcPr>
          <w:p w:rsidR="003046E2" w:rsidP="00F3021D" w:rsidRDefault="003046E2" w14:paraId="16E80779" w14:textId="77777777">
            <w:r>
              <w:t>Wat is de verwachte impact op de inzetbaarheid van de krijgsmacht in 2025 en 2026?</w:t>
            </w:r>
          </w:p>
        </w:tc>
      </w:tr>
      <w:tr w:rsidR="003046E2" w:rsidTr="003046E2" w14:paraId="1FE64C78" w14:textId="77777777">
        <w:tc>
          <w:tcPr>
            <w:tcW w:w="567" w:type="dxa"/>
          </w:tcPr>
          <w:p w:rsidR="003046E2" w:rsidP="00F3021D" w:rsidRDefault="003046E2" w14:paraId="093E29B6" w14:textId="77777777">
            <w:r>
              <w:t>13</w:t>
            </w:r>
          </w:p>
        </w:tc>
        <w:tc>
          <w:tcPr>
            <w:tcW w:w="6521" w:type="dxa"/>
          </w:tcPr>
          <w:p w:rsidR="003046E2" w:rsidP="00F3021D" w:rsidRDefault="003046E2" w14:paraId="30D2CFE9" w14:textId="77777777">
            <w:r>
              <w:t>Hoeveel van de 22 voorziene systemen zijn daadwerkelijk operationeel vóór eind 2026?</w:t>
            </w:r>
          </w:p>
        </w:tc>
      </w:tr>
      <w:tr w:rsidR="003046E2" w:rsidTr="003046E2" w14:paraId="5B5AB9FA" w14:textId="77777777">
        <w:tc>
          <w:tcPr>
            <w:tcW w:w="567" w:type="dxa"/>
          </w:tcPr>
          <w:p w:rsidR="003046E2" w:rsidP="00F3021D" w:rsidRDefault="003046E2" w14:paraId="61106E0F" w14:textId="77777777">
            <w:r>
              <w:t>14</w:t>
            </w:r>
          </w:p>
        </w:tc>
        <w:tc>
          <w:tcPr>
            <w:tcW w:w="6521" w:type="dxa"/>
          </w:tcPr>
          <w:p w:rsidR="003046E2" w:rsidP="00F3021D" w:rsidRDefault="003046E2" w14:paraId="4E5B26D1" w14:textId="77777777">
            <w:r>
              <w:t>Is er al een besluit genomen over activering van de optieruimte voor zes extra tanks?</w:t>
            </w:r>
          </w:p>
        </w:tc>
      </w:tr>
      <w:tr w:rsidR="003046E2" w:rsidTr="003046E2" w14:paraId="7E6DD9FC" w14:textId="77777777">
        <w:tc>
          <w:tcPr>
            <w:tcW w:w="567" w:type="dxa"/>
          </w:tcPr>
          <w:p w:rsidR="003046E2" w:rsidP="00F3021D" w:rsidRDefault="003046E2" w14:paraId="429D8523" w14:textId="77777777">
            <w:r>
              <w:t>15</w:t>
            </w:r>
          </w:p>
        </w:tc>
        <w:tc>
          <w:tcPr>
            <w:tcW w:w="6521" w:type="dxa"/>
          </w:tcPr>
          <w:p w:rsidR="003046E2" w:rsidP="00F3021D" w:rsidRDefault="003046E2" w14:paraId="300956F9" w14:textId="77777777">
            <w:r>
              <w:t xml:space="preserve">Wat gebeurt er met de oude </w:t>
            </w:r>
            <w:proofErr w:type="spellStart"/>
            <w:r>
              <w:t>Alkmaarder</w:t>
            </w:r>
            <w:proofErr w:type="spellEnd"/>
            <w:r>
              <w:t>-klasse? Zijn deze door te verkopen of anderszins inzetbaar? Hoe wordt ervoor gezorgd dat hier een goede prijs voor betaald wordt en/of dat deze nog steeds inzetbaar zijn voor bijvoorbeeld doeleinden die passen in ons beleid als het vrij en veilig houden van onze handelsroutes over zee?</w:t>
            </w:r>
          </w:p>
        </w:tc>
      </w:tr>
    </w:tbl>
    <w:p w:rsidR="003046E2" w:rsidP="003046E2" w:rsidRDefault="003046E2" w14:paraId="57508E8F" w14:textId="77777777"/>
    <w:p w:rsidR="00EC711E" w:rsidRDefault="00EC711E" w14:paraId="4879E116" w14:textId="77777777"/>
    <w:sectPr w:rsidR="00EC711E" w:rsidSect="003046E2">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6DFB2" w14:textId="77777777" w:rsidR="003046E2" w:rsidRDefault="003046E2" w:rsidP="003046E2">
      <w:pPr>
        <w:spacing w:after="0" w:line="240" w:lineRule="auto"/>
      </w:pPr>
      <w:r>
        <w:separator/>
      </w:r>
    </w:p>
  </w:endnote>
  <w:endnote w:type="continuationSeparator" w:id="0">
    <w:p w14:paraId="26CE1D41" w14:textId="77777777" w:rsidR="003046E2" w:rsidRDefault="003046E2" w:rsidP="00304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CFC6E" w14:textId="77777777" w:rsidR="003046E2" w:rsidRPr="003046E2" w:rsidRDefault="003046E2" w:rsidP="003046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5075" w14:textId="77777777" w:rsidR="003046E2" w:rsidRPr="003046E2" w:rsidRDefault="003046E2" w:rsidP="003046E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75AEF" w14:textId="77777777" w:rsidR="003046E2" w:rsidRPr="003046E2" w:rsidRDefault="003046E2" w:rsidP="003046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3BF6B" w14:textId="77777777" w:rsidR="003046E2" w:rsidRDefault="003046E2" w:rsidP="003046E2">
      <w:pPr>
        <w:spacing w:after="0" w:line="240" w:lineRule="auto"/>
      </w:pPr>
      <w:r>
        <w:separator/>
      </w:r>
    </w:p>
  </w:footnote>
  <w:footnote w:type="continuationSeparator" w:id="0">
    <w:p w14:paraId="2A66AF92" w14:textId="77777777" w:rsidR="003046E2" w:rsidRDefault="003046E2" w:rsidP="00304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BA737" w14:textId="77777777" w:rsidR="003046E2" w:rsidRPr="003046E2" w:rsidRDefault="003046E2" w:rsidP="003046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7F74" w14:textId="77777777" w:rsidR="003046E2" w:rsidRPr="003046E2" w:rsidRDefault="003046E2" w:rsidP="003046E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BFDC0" w14:textId="77777777" w:rsidR="003046E2" w:rsidRPr="003046E2" w:rsidRDefault="003046E2" w:rsidP="003046E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E2"/>
    <w:rsid w:val="003046E2"/>
    <w:rsid w:val="00566ABE"/>
    <w:rsid w:val="009F5F36"/>
    <w:rsid w:val="00A22D74"/>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24213"/>
  <w15:chartTrackingRefBased/>
  <w15:docId w15:val="{03403B0E-BDFB-40F8-9297-4B2A325CC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46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46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46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46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46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46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46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46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46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46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46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46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46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46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46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46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46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46E2"/>
    <w:rPr>
      <w:rFonts w:eastAsiaTheme="majorEastAsia" w:cstheme="majorBidi"/>
      <w:color w:val="272727" w:themeColor="text1" w:themeTint="D8"/>
    </w:rPr>
  </w:style>
  <w:style w:type="paragraph" w:styleId="Titel">
    <w:name w:val="Title"/>
    <w:basedOn w:val="Standaard"/>
    <w:next w:val="Standaard"/>
    <w:link w:val="TitelChar"/>
    <w:uiPriority w:val="10"/>
    <w:qFormat/>
    <w:rsid w:val="003046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46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46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46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46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46E2"/>
    <w:rPr>
      <w:i/>
      <w:iCs/>
      <w:color w:val="404040" w:themeColor="text1" w:themeTint="BF"/>
    </w:rPr>
  </w:style>
  <w:style w:type="paragraph" w:styleId="Lijstalinea">
    <w:name w:val="List Paragraph"/>
    <w:basedOn w:val="Standaard"/>
    <w:uiPriority w:val="34"/>
    <w:qFormat/>
    <w:rsid w:val="003046E2"/>
    <w:pPr>
      <w:ind w:left="720"/>
      <w:contextualSpacing/>
    </w:pPr>
  </w:style>
  <w:style w:type="character" w:styleId="Intensievebenadrukking">
    <w:name w:val="Intense Emphasis"/>
    <w:basedOn w:val="Standaardalinea-lettertype"/>
    <w:uiPriority w:val="21"/>
    <w:qFormat/>
    <w:rsid w:val="003046E2"/>
    <w:rPr>
      <w:i/>
      <w:iCs/>
      <w:color w:val="0F4761" w:themeColor="accent1" w:themeShade="BF"/>
    </w:rPr>
  </w:style>
  <w:style w:type="paragraph" w:styleId="Duidelijkcitaat">
    <w:name w:val="Intense Quote"/>
    <w:basedOn w:val="Standaard"/>
    <w:next w:val="Standaard"/>
    <w:link w:val="DuidelijkcitaatChar"/>
    <w:uiPriority w:val="30"/>
    <w:qFormat/>
    <w:rsid w:val="003046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46E2"/>
    <w:rPr>
      <w:i/>
      <w:iCs/>
      <w:color w:val="0F4761" w:themeColor="accent1" w:themeShade="BF"/>
    </w:rPr>
  </w:style>
  <w:style w:type="character" w:styleId="Intensieveverwijzing">
    <w:name w:val="Intense Reference"/>
    <w:basedOn w:val="Standaardalinea-lettertype"/>
    <w:uiPriority w:val="32"/>
    <w:qFormat/>
    <w:rsid w:val="003046E2"/>
    <w:rPr>
      <w:b/>
      <w:bCs/>
      <w:smallCaps/>
      <w:color w:val="0F4761" w:themeColor="accent1" w:themeShade="BF"/>
      <w:spacing w:val="5"/>
    </w:rPr>
  </w:style>
  <w:style w:type="paragraph" w:styleId="Koptekst">
    <w:name w:val="header"/>
    <w:basedOn w:val="Standaard"/>
    <w:link w:val="KoptekstChar"/>
    <w:uiPriority w:val="99"/>
    <w:unhideWhenUsed/>
    <w:rsid w:val="003046E2"/>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3046E2"/>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3046E2"/>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3046E2"/>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409</ap:Words>
  <ap:Characters>2253</ap:Characters>
  <ap:DocSecurity>0</ap:DocSecurity>
  <ap:Lines>18</ap:Lines>
  <ap:Paragraphs>5</ap:Paragraphs>
  <ap:ScaleCrop>false</ap:ScaleCrop>
  <ap:LinksUpToDate>false</ap:LinksUpToDate>
  <ap:CharactersWithSpaces>2657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2025-06-16T14:47:00.0000000Z</dcterms:created>
  <dcterms:modified xsi:type="dcterms:W3CDTF">2025-06-16T14:48:00.0000000Z</dcterms:modified>
  <version/>
  <category/>
</coreProperties>
</file>