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2025Z11436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5 juni 2025)</w:t>
        <w:br/>
      </w:r>
    </w:p>
    <w:p>
      <w:r>
        <w:t xml:space="preserve">Vragen van het lid Saris (Nieuw Sociaal Contract) aan de minister van Sociale Zaken en Werkgelegenheid over het bericht ‘UWV gaat opnieuw de fout in, deze keer met de Ziektewet: 55.000 extra dossiers gecontroleerd’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Bent u bekend met het bericht ‘UWV gaat opnieuw de fout in, deze keer met de Ziektewet: 55.000 extra dossiers gecontroleerd’? 1)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Hoe kijkt u naar de stelling uit het artikel dat met de fouten in de Ziektewet nu de bingokaart van ellende vol is?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Vanaf welk moment waren deze fouten in Ziektewet bekend binnen het UWV zelf?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Kunt u ophelderen hoe deze fouten in de Ziektewet al sinds 2016 worden gemaakt maar pas bijna 10 jaar later openbaar zijn geworden?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Hoe lang zal het duren om de lopende 3.000 Ziektewet-dossiers te controleren?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Wat betekent het controleren van de Ziektewet-dossiers voor de andere lopende hersteloperaties bij het UWV?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Wanneer verwacht u opheldering te kunnen geven over de uitvoering en de reikwijdte van een mogelijke herstelactie?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Bent u bereid om uit te sluiten dat terugvorderingen aan de orde komen als mensen te veel uitkering hebben ontvangen? Zo niet, waarom niet?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Deelt u de mening dat het UWV onvoldoende is doordrongen van de gevolgen die fouten in de uitvoering kunnen hebben op mensen vanwege de reactie ‘Bij de uitvoering van complexe wet- en regelgeving gaan helaas soms dingen niet goed’? Zo niet, waarom niet?</w:t>
      </w:r>
      <w:r>
        <w:br/>
      </w:r>
    </w:p>
    <w:p>
      <w:pPr>
        <w:pStyle w:val="ListParagraph"/>
        <w:numPr>
          <w:ilvl w:val="0"/>
          <w:numId w:val="100480150"/>
        </w:numPr>
        <w:ind w:left="360"/>
      </w:pPr>
      <w:r>
        <w:t>Kunt u deze vragen één voor één beantwoorden voor het plenaire debat over fouten bij de berekening van de ziektewetuitkeringen door het UWV?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Algemeen Dagblad, 3 juni 2025, 'UWV gaat opnieuw de fout in, deze keer met de Ziektewet: 55.000 extra dossiers gecontroleerd' (www.ad.nl/binnenland/uwv-gaat-opnieuw-de-fout-in-deze-keer-met-de-ziektewet-55-000-extra-dossiers-gecontroleerd~a4311761/).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0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0130">
    <w:abstractNumId w:val="100480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