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308E" w:rsidR="0060126B" w:rsidP="00D87753" w:rsidRDefault="0060126B" w14:paraId="1BFE3FE8" w14:textId="1B9A7EC1">
      <w:pPr>
        <w:spacing w:line="240" w:lineRule="auto"/>
        <w:contextualSpacing/>
        <w:rPr>
          <w:rFonts w:ascii="Verdana" w:hAnsi="Verdana"/>
          <w:b/>
          <w:sz w:val="18"/>
          <w:szCs w:val="18"/>
        </w:rPr>
      </w:pPr>
      <w:bookmarkStart w:name="_Hlk136435759" w:id="0"/>
      <w:r w:rsidRPr="00C5308E">
        <w:rPr>
          <w:rFonts w:ascii="Verdana" w:hAnsi="Verdana"/>
          <w:b/>
          <w:sz w:val="18"/>
          <w:szCs w:val="18"/>
        </w:rPr>
        <w:t xml:space="preserve">Bijlage 1 </w:t>
      </w:r>
      <w:bookmarkStart w:name="_Hlk137472000" w:id="1"/>
      <w:r w:rsidRPr="00C5308E">
        <w:rPr>
          <w:rFonts w:ascii="Verdana" w:hAnsi="Verdana"/>
          <w:b/>
          <w:sz w:val="18"/>
          <w:szCs w:val="18"/>
        </w:rPr>
        <w:t>Vragen en antwoorden bij 1</w:t>
      </w:r>
      <w:r w:rsidRPr="00C5308E">
        <w:rPr>
          <w:rFonts w:ascii="Verdana" w:hAnsi="Verdana"/>
          <w:b/>
          <w:sz w:val="18"/>
          <w:szCs w:val="18"/>
          <w:vertAlign w:val="superscript"/>
        </w:rPr>
        <w:t>e</w:t>
      </w:r>
      <w:r w:rsidRPr="00C5308E">
        <w:rPr>
          <w:rFonts w:ascii="Verdana" w:hAnsi="Verdana"/>
          <w:b/>
          <w:sz w:val="18"/>
          <w:szCs w:val="18"/>
        </w:rPr>
        <w:t xml:space="preserve"> Suppletoire begroting 2025 Ministerie van Sociale Zaken en Werkgelegenheid </w:t>
      </w:r>
      <w:bookmarkEnd w:id="1"/>
    </w:p>
    <w:p w:rsidRPr="00C5308E" w:rsidR="00D87753" w:rsidP="00D87753" w:rsidRDefault="00D87753" w14:paraId="37B12DDE" w14:textId="77777777">
      <w:pPr>
        <w:spacing w:line="240" w:lineRule="auto"/>
        <w:contextualSpacing/>
        <w:rPr>
          <w:rFonts w:ascii="Verdana" w:hAnsi="Verdana"/>
          <w:bCs/>
          <w:sz w:val="18"/>
          <w:szCs w:val="18"/>
        </w:rPr>
      </w:pPr>
    </w:p>
    <w:p w:rsidRPr="00C5308E" w:rsidR="00EB30B0" w:rsidP="00D87753" w:rsidRDefault="00EB30B0" w14:paraId="217AD72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w:t>
      </w:r>
    </w:p>
    <w:p w:rsidRPr="00C5308E" w:rsidR="00EB30B0" w:rsidP="00D87753" w:rsidRDefault="00EB30B0" w14:paraId="009C54C0" w14:textId="77777777">
      <w:pPr>
        <w:pStyle w:val="Tekstzonderopmaak"/>
        <w:contextualSpacing/>
        <w:rPr>
          <w:rFonts w:ascii="Verdana" w:hAnsi="Verdana"/>
          <w:bCs/>
          <w:sz w:val="18"/>
          <w:szCs w:val="18"/>
        </w:rPr>
      </w:pPr>
      <w:r w:rsidRPr="00C5308E">
        <w:rPr>
          <w:rFonts w:ascii="Verdana" w:hAnsi="Verdana"/>
          <w:bCs/>
          <w:sz w:val="18"/>
          <w:szCs w:val="18"/>
        </w:rPr>
        <w:t>Wat is het afbouwpad van de Inkomensafhankelijke combinatiekorting precies? Welke parameters horen daarbij in het huidige jaar en in 2028 en in 2029?</w:t>
      </w:r>
    </w:p>
    <w:p w:rsidRPr="00C5308E" w:rsidR="00EB30B0" w:rsidP="00D87753" w:rsidRDefault="00EB30B0" w14:paraId="086C06F8" w14:textId="77777777">
      <w:pPr>
        <w:spacing w:after="0" w:line="240" w:lineRule="auto"/>
        <w:contextualSpacing/>
        <w:rPr>
          <w:rFonts w:ascii="Verdana" w:hAnsi="Verdana"/>
          <w:bCs/>
          <w:sz w:val="18"/>
          <w:szCs w:val="18"/>
        </w:rPr>
      </w:pPr>
    </w:p>
    <w:p w:rsidRPr="00C5308E" w:rsidR="00EB30B0" w:rsidP="00D87753" w:rsidRDefault="00EB30B0" w14:paraId="33541AE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w:t>
      </w:r>
    </w:p>
    <w:p w:rsidRPr="00C5308E" w:rsidR="00EB30B0" w:rsidP="00D87753" w:rsidRDefault="00EB30B0" w14:paraId="3C9A02B3" w14:textId="4D7B8B55">
      <w:pPr>
        <w:pStyle w:val="Tekstzonderopmaak"/>
        <w:contextualSpacing/>
        <w:rPr>
          <w:rFonts w:ascii="Verdana" w:hAnsi="Verdana"/>
          <w:bCs/>
          <w:sz w:val="18"/>
          <w:szCs w:val="18"/>
        </w:rPr>
      </w:pPr>
      <w:r w:rsidRPr="00C5308E">
        <w:rPr>
          <w:rFonts w:ascii="Verdana" w:hAnsi="Verdana"/>
          <w:bCs/>
          <w:sz w:val="18"/>
          <w:szCs w:val="18"/>
        </w:rPr>
        <w:t xml:space="preserve">De </w:t>
      </w:r>
      <w:r w:rsidRPr="00C5308E" w:rsidR="00661995">
        <w:rPr>
          <w:rFonts w:ascii="Verdana" w:hAnsi="Verdana"/>
          <w:bCs/>
          <w:sz w:val="18"/>
          <w:szCs w:val="18"/>
        </w:rPr>
        <w:t>Inkomensafhankelijke combinatiekorting (</w:t>
      </w:r>
      <w:r w:rsidRPr="00C5308E">
        <w:rPr>
          <w:rFonts w:ascii="Verdana" w:hAnsi="Verdana"/>
          <w:bCs/>
          <w:sz w:val="18"/>
          <w:szCs w:val="18"/>
        </w:rPr>
        <w:t>IACK</w:t>
      </w:r>
      <w:r w:rsidRPr="00C5308E" w:rsidR="00661995">
        <w:rPr>
          <w:rFonts w:ascii="Verdana" w:hAnsi="Verdana"/>
          <w:bCs/>
          <w:sz w:val="18"/>
          <w:szCs w:val="18"/>
        </w:rPr>
        <w:t>)</w:t>
      </w:r>
      <w:r w:rsidRPr="00C5308E">
        <w:rPr>
          <w:rFonts w:ascii="Verdana" w:hAnsi="Verdana"/>
          <w:bCs/>
          <w:sz w:val="18"/>
          <w:szCs w:val="18"/>
        </w:rPr>
        <w:t xml:space="preserve"> wordt per 2027 in negen stappen afgebouwd en per 2035 afgeschaft. De eerste stap is € 149 en daarna </w:t>
      </w:r>
      <w:r w:rsidRPr="00C5308E" w:rsidR="00903729">
        <w:rPr>
          <w:rFonts w:ascii="Verdana" w:hAnsi="Verdana"/>
          <w:bCs/>
          <w:sz w:val="18"/>
          <w:szCs w:val="18"/>
        </w:rPr>
        <w:t xml:space="preserve">volgen </w:t>
      </w:r>
      <w:r w:rsidRPr="00C5308E">
        <w:rPr>
          <w:rFonts w:ascii="Verdana" w:hAnsi="Verdana"/>
          <w:bCs/>
          <w:sz w:val="18"/>
          <w:szCs w:val="18"/>
        </w:rPr>
        <w:t>stappen van € 355 (prijspeil 2025). In de wet is opgenomen dat de IACK met de laatste stap per 2035 volledig wordt afgeschaft. In 2025 bedraagt de IACK € 2.986. In 2028 bedraagt de IACK naar verwachting € 2.663 en in 2029 € 2.333. Dit kan nog afwijken door indexaties.</w:t>
      </w:r>
    </w:p>
    <w:p w:rsidRPr="00C5308E" w:rsidR="00EB30B0" w:rsidP="00D87753" w:rsidRDefault="00EB30B0" w14:paraId="1E199F07" w14:textId="77777777">
      <w:pPr>
        <w:spacing w:line="240" w:lineRule="auto"/>
        <w:contextualSpacing/>
        <w:rPr>
          <w:rFonts w:ascii="Verdana" w:hAnsi="Verdana"/>
          <w:bCs/>
          <w:sz w:val="18"/>
          <w:szCs w:val="18"/>
        </w:rPr>
      </w:pPr>
    </w:p>
    <w:bookmarkEnd w:id="0"/>
    <w:p w:rsidRPr="00C5308E" w:rsidR="009835CB" w:rsidP="00D87753" w:rsidRDefault="009835CB" w14:paraId="08965F1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w:t>
      </w:r>
    </w:p>
    <w:p w:rsidRPr="00C5308E" w:rsidR="009835CB" w:rsidP="00D87753" w:rsidRDefault="009835CB" w14:paraId="0BCB012D" w14:textId="77777777">
      <w:pPr>
        <w:pStyle w:val="Tekstzonderopmaak"/>
        <w:contextualSpacing/>
        <w:rPr>
          <w:rFonts w:ascii="Verdana" w:hAnsi="Verdana"/>
          <w:bCs/>
          <w:sz w:val="18"/>
          <w:szCs w:val="18"/>
        </w:rPr>
      </w:pPr>
      <w:r w:rsidRPr="00C5308E">
        <w:rPr>
          <w:rFonts w:ascii="Verdana" w:hAnsi="Verdana"/>
          <w:bCs/>
          <w:sz w:val="18"/>
          <w:szCs w:val="18"/>
        </w:rPr>
        <w:t>Kunt u een overzicht geven van de meest recente inzichten over de personeelstekorten in de kinderopvang alsmede de meest recente prognoses?</w:t>
      </w:r>
    </w:p>
    <w:p w:rsidRPr="00C5308E" w:rsidR="009835CB" w:rsidP="00D87753" w:rsidRDefault="009835CB" w14:paraId="05F8D815" w14:textId="77777777">
      <w:pPr>
        <w:spacing w:after="0" w:line="240" w:lineRule="auto"/>
        <w:contextualSpacing/>
        <w:rPr>
          <w:rFonts w:ascii="Verdana" w:hAnsi="Verdana"/>
          <w:bCs/>
          <w:sz w:val="18"/>
          <w:szCs w:val="18"/>
        </w:rPr>
      </w:pPr>
    </w:p>
    <w:p w:rsidRPr="00C5308E" w:rsidR="009835CB" w:rsidP="00D87753" w:rsidRDefault="009835CB" w14:paraId="3686465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w:t>
      </w:r>
    </w:p>
    <w:p w:rsidRPr="00C5308E" w:rsidR="009835CB" w:rsidP="00D87753" w:rsidRDefault="009835CB" w14:paraId="5845CD0A" w14:textId="77777777">
      <w:pPr>
        <w:pStyle w:val="Tekstzonderopmaak"/>
        <w:contextualSpacing/>
        <w:rPr>
          <w:rFonts w:ascii="Verdana" w:hAnsi="Verdana"/>
          <w:bCs/>
          <w:sz w:val="18"/>
          <w:szCs w:val="18"/>
        </w:rPr>
      </w:pPr>
      <w:r w:rsidRPr="00C5308E">
        <w:rPr>
          <w:rFonts w:ascii="Verdana" w:hAnsi="Verdana"/>
          <w:bCs/>
          <w:sz w:val="18"/>
          <w:szCs w:val="18"/>
        </w:rPr>
        <w:t xml:space="preserve">In het vierde kwartaal van 2024 bedroeg het aantal openstaande vacatures in de kinderopvang 5.850, op een totaal van 137.000 werkenden (inclusief uitzendkrachten en zelfstandigen) in de kinderopvang (CBS, AZW Statline, geraadpleegd 23 mei 2025). Dit is een lager aantal openstaande vacatures dan in voorgaande kwartalen van 2024. </w:t>
      </w:r>
    </w:p>
    <w:p w:rsidRPr="00C5308E" w:rsidR="009835CB" w:rsidP="00D87753" w:rsidRDefault="009835CB" w14:paraId="08D7CECE" w14:textId="77777777">
      <w:pPr>
        <w:pStyle w:val="Tekstzonderopmaak"/>
        <w:contextualSpacing/>
        <w:rPr>
          <w:rFonts w:ascii="Verdana" w:hAnsi="Verdana"/>
          <w:bCs/>
          <w:sz w:val="18"/>
          <w:szCs w:val="18"/>
        </w:rPr>
      </w:pPr>
    </w:p>
    <w:p w:rsidRPr="00C5308E" w:rsidR="0060126B" w:rsidP="00D87753" w:rsidRDefault="009835CB" w14:paraId="5FECD6EE" w14:textId="5A2563F7">
      <w:pPr>
        <w:pStyle w:val="Tekstzonderopmaak"/>
        <w:contextualSpacing/>
        <w:rPr>
          <w:rFonts w:ascii="Verdana" w:hAnsi="Verdana"/>
          <w:bCs/>
          <w:sz w:val="18"/>
          <w:szCs w:val="18"/>
        </w:rPr>
      </w:pPr>
      <w:r w:rsidRPr="00C5308E">
        <w:rPr>
          <w:rFonts w:ascii="Verdana" w:hAnsi="Verdana"/>
          <w:bCs/>
          <w:sz w:val="18"/>
          <w:szCs w:val="18"/>
        </w:rPr>
        <w:t>Het meest recente Prognosemodel Zorg en Welzijn van ABF Research, van december 2024, voorspelt dat het personeelstekort in de kinderopvang zonder aanvullend beleid oploopt tot 23.100 personen in 2034. Door de stelselherziening zou dit tekort oplopen tot 33.400 personen in 2034. In deze ramingen zijn de effecten van uitstel van invoering van het nieuwe financieringsstelsel tot 2029 en het indexeren van de maximum uurprijs in 2026 nog niet meegenomen. Ook worden in dit model mitigerende maatregelen om het personeelstekort tegen te gaan, niet meegenomen.</w:t>
      </w:r>
    </w:p>
    <w:p w:rsidRPr="00C5308E" w:rsidR="009835CB" w:rsidP="00D87753" w:rsidRDefault="009835CB" w14:paraId="22F28608" w14:textId="77777777">
      <w:pPr>
        <w:spacing w:after="0" w:line="240" w:lineRule="auto"/>
        <w:contextualSpacing/>
        <w:rPr>
          <w:rFonts w:ascii="Verdana" w:hAnsi="Verdana"/>
          <w:bCs/>
          <w:sz w:val="18"/>
          <w:szCs w:val="18"/>
          <w:u w:val="single"/>
        </w:rPr>
      </w:pPr>
    </w:p>
    <w:p w:rsidRPr="00C5308E" w:rsidR="009835CB" w:rsidP="00D87753" w:rsidRDefault="009835CB" w14:paraId="2061FEA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w:t>
      </w:r>
    </w:p>
    <w:p w:rsidRPr="00C5308E" w:rsidR="009835CB" w:rsidP="00D87753" w:rsidRDefault="009835CB" w14:paraId="35D6B05A" w14:textId="6599ABCD">
      <w:pPr>
        <w:pStyle w:val="Tekstzonderopmaak"/>
        <w:contextualSpacing/>
        <w:rPr>
          <w:rFonts w:ascii="Verdana" w:hAnsi="Verdana"/>
          <w:bCs/>
          <w:sz w:val="18"/>
          <w:szCs w:val="18"/>
        </w:rPr>
      </w:pPr>
      <w:r w:rsidRPr="00C5308E">
        <w:rPr>
          <w:rFonts w:ascii="Verdana" w:hAnsi="Verdana"/>
          <w:bCs/>
          <w:sz w:val="18"/>
          <w:szCs w:val="18"/>
        </w:rPr>
        <w:t>Wat kost het om de arbeidseis volledig af te schaffen?</w:t>
      </w:r>
    </w:p>
    <w:p w:rsidRPr="00C5308E" w:rsidR="00D87753" w:rsidP="00D87753" w:rsidRDefault="00D87753" w14:paraId="3E35AC79" w14:textId="77777777">
      <w:pPr>
        <w:pStyle w:val="Tekstzonderopmaak"/>
        <w:contextualSpacing/>
        <w:rPr>
          <w:rFonts w:ascii="Verdana" w:hAnsi="Verdana"/>
          <w:bCs/>
          <w:sz w:val="18"/>
          <w:szCs w:val="18"/>
        </w:rPr>
      </w:pPr>
    </w:p>
    <w:p w:rsidRPr="00C5308E" w:rsidR="009835CB" w:rsidP="00D87753" w:rsidRDefault="009835CB" w14:paraId="083843D7" w14:textId="39AAB0D9">
      <w:pPr>
        <w:pStyle w:val="Tekstzonderopmaak"/>
        <w:contextualSpacing/>
        <w:rPr>
          <w:rFonts w:ascii="Verdana" w:hAnsi="Verdana"/>
          <w:bCs/>
          <w:sz w:val="18"/>
          <w:szCs w:val="18"/>
          <w:u w:val="single"/>
        </w:rPr>
      </w:pPr>
      <w:r w:rsidRPr="00C5308E">
        <w:rPr>
          <w:rFonts w:ascii="Verdana" w:hAnsi="Verdana"/>
          <w:bCs/>
          <w:sz w:val="18"/>
          <w:szCs w:val="18"/>
          <w:u w:val="single"/>
        </w:rPr>
        <w:t>Antwoord 3</w:t>
      </w:r>
      <w:r w:rsidRPr="00C5308E" w:rsidR="00FB242D">
        <w:rPr>
          <w:rFonts w:ascii="Verdana" w:hAnsi="Verdana"/>
          <w:bCs/>
          <w:sz w:val="18"/>
          <w:szCs w:val="18"/>
          <w:u w:val="single"/>
        </w:rPr>
        <w:t xml:space="preserve"> </w:t>
      </w:r>
    </w:p>
    <w:p w:rsidRPr="00C5308E" w:rsidR="00390448" w:rsidP="00390448" w:rsidRDefault="00390448" w14:paraId="6B56D71E" w14:textId="77777777">
      <w:pPr>
        <w:spacing w:after="0" w:line="240" w:lineRule="auto"/>
        <w:rPr>
          <w:rFonts w:ascii="Verdana" w:hAnsi="Verdana" w:eastAsia="Calibri" w:cs="Times New Roman"/>
          <w:bCs/>
          <w:sz w:val="18"/>
          <w:szCs w:val="18"/>
        </w:rPr>
      </w:pPr>
      <w:r w:rsidRPr="00C5308E">
        <w:rPr>
          <w:rFonts w:ascii="Verdana" w:hAnsi="Verdana" w:eastAsia="Calibri" w:cs="Times New Roman"/>
          <w:bCs/>
          <w:sz w:val="18"/>
          <w:szCs w:val="18"/>
        </w:rPr>
        <w:t xml:space="preserve">Het kabinet werkt aan een wetsvoorstel dat de huidige kinderopvangtoeslag vervangt voor een nieuwe financieringssystematiek die ouders meer eenvoud en zekerheid biedt. De financiering gaat in de nieuwe systematiek rechtstreeks naar kinderopvangorganisaties. De vergoeding voor kinderopvang blijft bedoeld voor werkende ouders. </w:t>
      </w:r>
    </w:p>
    <w:p w:rsidRPr="00C5308E" w:rsidR="00390448" w:rsidP="00390448" w:rsidRDefault="00390448" w14:paraId="7D878651" w14:textId="77777777">
      <w:pPr>
        <w:spacing w:after="0" w:line="240" w:lineRule="auto"/>
        <w:rPr>
          <w:rFonts w:ascii="Verdana" w:hAnsi="Verdana" w:eastAsia="Calibri" w:cs="Times New Roman"/>
          <w:bCs/>
          <w:sz w:val="18"/>
          <w:szCs w:val="18"/>
        </w:rPr>
      </w:pPr>
    </w:p>
    <w:p w:rsidRPr="00C5308E" w:rsidR="00390448" w:rsidP="00390448" w:rsidRDefault="00390448" w14:paraId="5338CB55" w14:textId="77777777">
      <w:pPr>
        <w:spacing w:after="0" w:line="240" w:lineRule="auto"/>
        <w:rPr>
          <w:rFonts w:ascii="Verdana" w:hAnsi="Verdana" w:eastAsia="Calibri" w:cs="Times New Roman"/>
          <w:bCs/>
          <w:sz w:val="18"/>
          <w:szCs w:val="18"/>
        </w:rPr>
      </w:pPr>
      <w:r w:rsidRPr="00C5308E">
        <w:rPr>
          <w:rFonts w:ascii="Verdana" w:hAnsi="Verdana" w:eastAsia="Calibri" w:cs="Times New Roman"/>
          <w:bCs/>
          <w:sz w:val="18"/>
          <w:szCs w:val="18"/>
        </w:rPr>
        <w:t xml:space="preserve">De meerkosten voor het afschaffen van de arbeidseis worden geraamd op per saldo circa € 870 miljoen per jaar. Dit bedrag houdt rekening met circa € 970 miljoen hogere uitgaven aan kinderopvangtoeslag. Verder wordt er rekening mee gehouden dat bestaande (gemeentelijke) regelingen voor de financiering voor kinderopvang geïntegreerd kunnen worden in één regeling. Het gaat om de regeling voor ouders die vanwege een sociaal medische indicatie (SMI) niet aan de arbeidseis kunnen voldoen en de financiering van gemeentelijke peuteropvang. Doordat deze regelingen zouden kunnen komen te vervallen, valt circa € 100 miljoen vrij. Tevens zou onderzocht kunnen worden in hoeverre dubbele financieringsstromen ontstaan voor kinderen die gebruik maken van voorschoolse educatie. </w:t>
      </w:r>
    </w:p>
    <w:p w:rsidRPr="00C5308E" w:rsidR="00390448" w:rsidP="00390448" w:rsidRDefault="00390448" w14:paraId="2FF734A0" w14:textId="77777777">
      <w:pPr>
        <w:spacing w:after="0" w:line="240" w:lineRule="auto"/>
        <w:rPr>
          <w:rFonts w:ascii="Verdana" w:hAnsi="Verdana" w:eastAsia="Calibri" w:cs="Times New Roman"/>
          <w:bCs/>
          <w:sz w:val="18"/>
          <w:szCs w:val="18"/>
        </w:rPr>
      </w:pPr>
    </w:p>
    <w:p w:rsidRPr="00C5308E" w:rsidR="00652DF9" w:rsidP="00D87753" w:rsidRDefault="00652DF9" w14:paraId="02CA1F93" w14:textId="7B5AA806">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4E439F">
        <w:rPr>
          <w:rFonts w:ascii="Verdana" w:hAnsi="Verdana"/>
          <w:bCs/>
          <w:sz w:val="18"/>
          <w:szCs w:val="18"/>
          <w:u w:val="single"/>
        </w:rPr>
        <w:t>4</w:t>
      </w:r>
    </w:p>
    <w:p w:rsidRPr="00C5308E" w:rsidR="00652DF9" w:rsidP="00D87753" w:rsidRDefault="004E439F" w14:paraId="1F29FEDB" w14:textId="662642EE">
      <w:pPr>
        <w:spacing w:after="0" w:line="240" w:lineRule="auto"/>
        <w:contextualSpacing/>
        <w:rPr>
          <w:rFonts w:ascii="Verdana" w:hAnsi="Verdana"/>
          <w:bCs/>
          <w:sz w:val="18"/>
          <w:szCs w:val="18"/>
        </w:rPr>
      </w:pPr>
      <w:r w:rsidRPr="00C5308E">
        <w:rPr>
          <w:rFonts w:ascii="Verdana" w:hAnsi="Verdana"/>
          <w:bCs/>
          <w:sz w:val="18"/>
          <w:szCs w:val="18"/>
        </w:rPr>
        <w:t>Kunt u een totaaloverzicht geven van waar de tabelcorrectiefactor allemaal invloed op heeft? Kunt u hierbij de specifieke parameters noemen uit de getroffen regelingen?</w:t>
      </w:r>
    </w:p>
    <w:p w:rsidRPr="00C5308E" w:rsidR="00652DF9" w:rsidP="00D87753" w:rsidRDefault="00652DF9" w14:paraId="2922D0BC" w14:textId="77777777">
      <w:pPr>
        <w:spacing w:after="0" w:line="240" w:lineRule="auto"/>
        <w:contextualSpacing/>
        <w:rPr>
          <w:rFonts w:ascii="Verdana" w:hAnsi="Verdana"/>
          <w:bCs/>
          <w:sz w:val="18"/>
          <w:szCs w:val="18"/>
        </w:rPr>
      </w:pPr>
    </w:p>
    <w:p w:rsidRPr="00C5308E" w:rsidR="00652DF9" w:rsidP="00D87753" w:rsidRDefault="00652DF9" w14:paraId="37AE771E" w14:textId="6E37CB21">
      <w:pPr>
        <w:spacing w:after="0" w:line="240" w:lineRule="auto"/>
        <w:contextualSpacing/>
        <w:rPr>
          <w:rFonts w:ascii="Verdana" w:hAnsi="Verdana"/>
          <w:bCs/>
          <w:sz w:val="18"/>
          <w:szCs w:val="18"/>
          <w:u w:val="single"/>
        </w:rPr>
      </w:pPr>
      <w:r w:rsidRPr="00C5308E">
        <w:rPr>
          <w:rFonts w:ascii="Verdana" w:hAnsi="Verdana"/>
          <w:bCs/>
          <w:sz w:val="18"/>
          <w:szCs w:val="18"/>
          <w:u w:val="single"/>
        </w:rPr>
        <w:t>Antwoord</w:t>
      </w:r>
      <w:r w:rsidRPr="00C5308E" w:rsidR="007E203F">
        <w:rPr>
          <w:rFonts w:ascii="Verdana" w:hAnsi="Verdana"/>
          <w:bCs/>
          <w:sz w:val="18"/>
          <w:szCs w:val="18"/>
          <w:u w:val="single"/>
        </w:rPr>
        <w:t xml:space="preserve"> </w:t>
      </w:r>
      <w:r w:rsidRPr="00C5308E" w:rsidR="004E439F">
        <w:rPr>
          <w:rFonts w:ascii="Verdana" w:hAnsi="Verdana"/>
          <w:bCs/>
          <w:sz w:val="18"/>
          <w:szCs w:val="18"/>
          <w:u w:val="single"/>
        </w:rPr>
        <w:t>4</w:t>
      </w:r>
    </w:p>
    <w:p w:rsidRPr="00C5308E" w:rsidR="00E448CD" w:rsidP="00D87753" w:rsidRDefault="004E439F" w14:paraId="1CEA9A7B" w14:textId="5FB8BE17">
      <w:pPr>
        <w:pStyle w:val="Tekstzonderopmaak"/>
        <w:contextualSpacing/>
        <w:rPr>
          <w:rFonts w:ascii="Verdana" w:hAnsi="Verdana"/>
          <w:bCs/>
          <w:sz w:val="18"/>
          <w:szCs w:val="18"/>
        </w:rPr>
      </w:pPr>
      <w:r w:rsidRPr="00C5308E">
        <w:rPr>
          <w:rFonts w:ascii="Verdana" w:hAnsi="Verdana"/>
          <w:bCs/>
          <w:sz w:val="18"/>
          <w:szCs w:val="18"/>
        </w:rPr>
        <w:t>Bij de beantwoording van deze vraag gaan wij uit van de doorwerking van de tabelcorrectiefactor op de SZW-begroting.</w:t>
      </w:r>
      <w:r w:rsidRPr="00C5308E" w:rsidR="00E448CD">
        <w:rPr>
          <w:rFonts w:ascii="Verdana" w:hAnsi="Verdana"/>
          <w:bCs/>
          <w:sz w:val="18"/>
          <w:szCs w:val="18"/>
        </w:rPr>
        <w:t xml:space="preserve"> De doorwerking op variabelen in de fiscaliteit is in dit antwoord niet meegenomen.</w:t>
      </w:r>
    </w:p>
    <w:p w:rsidRPr="00C5308E" w:rsidR="00E448CD" w:rsidP="00D87753" w:rsidRDefault="00E448CD" w14:paraId="63E88854" w14:textId="77777777">
      <w:pPr>
        <w:pStyle w:val="Tekstzonderopmaak"/>
        <w:contextualSpacing/>
        <w:rPr>
          <w:rFonts w:ascii="Verdana" w:hAnsi="Verdana"/>
          <w:bCs/>
          <w:sz w:val="18"/>
          <w:szCs w:val="18"/>
        </w:rPr>
      </w:pPr>
    </w:p>
    <w:p w:rsidRPr="00C5308E" w:rsidR="00E448CD" w:rsidP="00D87753" w:rsidRDefault="004E439F" w14:paraId="5702FFAC" w14:textId="2C5B3125">
      <w:pPr>
        <w:pStyle w:val="Tekstzonderopmaak"/>
        <w:contextualSpacing/>
        <w:rPr>
          <w:rFonts w:ascii="Verdana" w:hAnsi="Verdana"/>
          <w:bCs/>
          <w:sz w:val="18"/>
          <w:szCs w:val="18"/>
        </w:rPr>
      </w:pPr>
      <w:r w:rsidRPr="00C5308E">
        <w:rPr>
          <w:rFonts w:ascii="Verdana" w:hAnsi="Verdana"/>
          <w:bCs/>
          <w:sz w:val="18"/>
          <w:szCs w:val="18"/>
        </w:rPr>
        <w:t xml:space="preserve">De tabelcorrectiefactor </w:t>
      </w:r>
      <w:r w:rsidRPr="00C5308E" w:rsidR="00E448CD">
        <w:rPr>
          <w:rFonts w:ascii="Verdana" w:hAnsi="Verdana"/>
          <w:bCs/>
          <w:sz w:val="18"/>
          <w:szCs w:val="18"/>
        </w:rPr>
        <w:t xml:space="preserve">werkt </w:t>
      </w:r>
      <w:r w:rsidRPr="00C5308E">
        <w:rPr>
          <w:rFonts w:ascii="Verdana" w:hAnsi="Verdana"/>
          <w:bCs/>
          <w:sz w:val="18"/>
          <w:szCs w:val="18"/>
        </w:rPr>
        <w:t xml:space="preserve">op de SZW-begroting </w:t>
      </w:r>
      <w:r w:rsidRPr="00C5308E" w:rsidR="00E448CD">
        <w:rPr>
          <w:rFonts w:ascii="Verdana" w:hAnsi="Verdana"/>
          <w:bCs/>
          <w:sz w:val="18"/>
          <w:szCs w:val="18"/>
        </w:rPr>
        <w:t>door</w:t>
      </w:r>
      <w:r w:rsidRPr="00C5308E">
        <w:rPr>
          <w:rFonts w:ascii="Verdana" w:hAnsi="Verdana"/>
          <w:bCs/>
          <w:sz w:val="18"/>
          <w:szCs w:val="18"/>
        </w:rPr>
        <w:t xml:space="preserve"> in de indexatie van het kindgebonden budget. In het kindgebonden budget worden de </w:t>
      </w:r>
      <w:r w:rsidRPr="00C5308E" w:rsidR="00001B14">
        <w:rPr>
          <w:rFonts w:ascii="Verdana" w:hAnsi="Verdana"/>
          <w:bCs/>
          <w:sz w:val="18"/>
          <w:szCs w:val="18"/>
        </w:rPr>
        <w:t xml:space="preserve">inkomens- en </w:t>
      </w:r>
      <w:r w:rsidRPr="00C5308E">
        <w:rPr>
          <w:rFonts w:ascii="Verdana" w:hAnsi="Verdana"/>
          <w:bCs/>
          <w:sz w:val="18"/>
          <w:szCs w:val="18"/>
        </w:rPr>
        <w:t>vermogensgrenzen,</w:t>
      </w:r>
      <w:r w:rsidRPr="00C5308E" w:rsidR="00E448CD">
        <w:rPr>
          <w:rFonts w:ascii="Verdana" w:hAnsi="Verdana"/>
          <w:bCs/>
          <w:sz w:val="18"/>
          <w:szCs w:val="18"/>
        </w:rPr>
        <w:t xml:space="preserve"> de </w:t>
      </w:r>
      <w:r w:rsidRPr="00C5308E" w:rsidR="00001B14">
        <w:rPr>
          <w:rFonts w:ascii="Verdana" w:hAnsi="Verdana"/>
          <w:bCs/>
          <w:sz w:val="18"/>
          <w:szCs w:val="18"/>
        </w:rPr>
        <w:t>kindbedragen</w:t>
      </w:r>
      <w:r w:rsidRPr="00C5308E" w:rsidR="00E448CD">
        <w:rPr>
          <w:rFonts w:ascii="Verdana" w:hAnsi="Verdana"/>
          <w:bCs/>
          <w:sz w:val="18"/>
          <w:szCs w:val="18"/>
        </w:rPr>
        <w:t xml:space="preserve"> en de</w:t>
      </w:r>
      <w:r w:rsidRPr="00C5308E" w:rsidR="00001B14">
        <w:rPr>
          <w:rFonts w:ascii="Verdana" w:hAnsi="Verdana"/>
          <w:bCs/>
          <w:sz w:val="18"/>
          <w:szCs w:val="18"/>
        </w:rPr>
        <w:t xml:space="preserve"> alleenstaande ouderkop </w:t>
      </w:r>
      <w:r w:rsidRPr="00C5308E" w:rsidR="00E448CD">
        <w:rPr>
          <w:rFonts w:ascii="Verdana" w:hAnsi="Verdana"/>
          <w:bCs/>
          <w:sz w:val="18"/>
          <w:szCs w:val="18"/>
        </w:rPr>
        <w:t>elk jaar geïndexeerd met de tabelcorrectiefactor.</w:t>
      </w:r>
      <w:r w:rsidRPr="00C5308E" w:rsidR="00001B14">
        <w:rPr>
          <w:rFonts w:ascii="Verdana" w:hAnsi="Verdana"/>
          <w:bCs/>
          <w:sz w:val="18"/>
          <w:szCs w:val="18"/>
        </w:rPr>
        <w:t xml:space="preserve"> </w:t>
      </w:r>
      <w:r w:rsidRPr="00C5308E" w:rsidR="00E448CD">
        <w:rPr>
          <w:rFonts w:ascii="Verdana" w:hAnsi="Verdana"/>
          <w:bCs/>
          <w:sz w:val="18"/>
          <w:szCs w:val="18"/>
        </w:rPr>
        <w:t xml:space="preserve">Daarnaast worden de </w:t>
      </w:r>
      <w:r w:rsidRPr="00C5308E" w:rsidR="0069784D">
        <w:rPr>
          <w:rFonts w:ascii="Verdana" w:hAnsi="Verdana"/>
          <w:bCs/>
          <w:sz w:val="18"/>
          <w:szCs w:val="18"/>
        </w:rPr>
        <w:t>Algemene Nabestaandenwet (A</w:t>
      </w:r>
      <w:r w:rsidRPr="00C5308E" w:rsidR="00E448CD">
        <w:rPr>
          <w:rFonts w:ascii="Verdana" w:hAnsi="Verdana"/>
          <w:bCs/>
          <w:sz w:val="18"/>
          <w:szCs w:val="18"/>
        </w:rPr>
        <w:t>nw</w:t>
      </w:r>
      <w:r w:rsidRPr="00C5308E" w:rsidR="0069784D">
        <w:rPr>
          <w:rFonts w:ascii="Verdana" w:hAnsi="Verdana"/>
          <w:bCs/>
          <w:sz w:val="18"/>
          <w:szCs w:val="18"/>
        </w:rPr>
        <w:t>)</w:t>
      </w:r>
      <w:r w:rsidRPr="00C5308E" w:rsidR="00E448CD">
        <w:rPr>
          <w:rFonts w:ascii="Verdana" w:hAnsi="Verdana"/>
          <w:bCs/>
          <w:sz w:val="18"/>
          <w:szCs w:val="18"/>
        </w:rPr>
        <w:t xml:space="preserve">-tegemoetkoming en de </w:t>
      </w:r>
      <w:r w:rsidRPr="00C5308E" w:rsidR="0069784D">
        <w:rPr>
          <w:rFonts w:ascii="Verdana" w:hAnsi="Verdana"/>
          <w:bCs/>
          <w:sz w:val="18"/>
          <w:szCs w:val="18"/>
        </w:rPr>
        <w:t>Arbeidsongeschiktheid (</w:t>
      </w:r>
      <w:r w:rsidRPr="00C5308E" w:rsidR="00E448CD">
        <w:rPr>
          <w:rFonts w:ascii="Verdana" w:hAnsi="Verdana"/>
          <w:bCs/>
          <w:sz w:val="18"/>
          <w:szCs w:val="18"/>
        </w:rPr>
        <w:t>AO</w:t>
      </w:r>
      <w:r w:rsidRPr="00C5308E" w:rsidR="0069784D">
        <w:rPr>
          <w:rFonts w:ascii="Verdana" w:hAnsi="Verdana"/>
          <w:bCs/>
          <w:sz w:val="18"/>
          <w:szCs w:val="18"/>
        </w:rPr>
        <w:t>)</w:t>
      </w:r>
      <w:r w:rsidRPr="00C5308E" w:rsidR="00E448CD">
        <w:rPr>
          <w:rFonts w:ascii="Verdana" w:hAnsi="Verdana"/>
          <w:bCs/>
          <w:sz w:val="18"/>
          <w:szCs w:val="18"/>
        </w:rPr>
        <w:t>-tegemoetkoming elk jaar geïndexeerd met de tabelcorrectiefactor.</w:t>
      </w:r>
    </w:p>
    <w:p w:rsidRPr="00C5308E" w:rsidR="00E448CD" w:rsidP="00D87753" w:rsidRDefault="00E448CD" w14:paraId="277D58A0" w14:textId="77777777">
      <w:pPr>
        <w:pStyle w:val="Tekstzonderopmaak"/>
        <w:contextualSpacing/>
        <w:rPr>
          <w:rFonts w:ascii="Verdana" w:hAnsi="Verdana"/>
          <w:bCs/>
          <w:sz w:val="18"/>
          <w:szCs w:val="18"/>
        </w:rPr>
      </w:pPr>
    </w:p>
    <w:p w:rsidRPr="00C5308E" w:rsidR="00E448CD" w:rsidP="00D87753" w:rsidRDefault="00E448CD" w14:paraId="210D4280" w14:textId="39197181">
      <w:pPr>
        <w:pStyle w:val="Tekstzonderopmaak"/>
        <w:contextualSpacing/>
        <w:rPr>
          <w:rFonts w:ascii="Verdana" w:hAnsi="Verdana"/>
          <w:bCs/>
          <w:sz w:val="18"/>
          <w:szCs w:val="18"/>
        </w:rPr>
      </w:pPr>
      <w:r w:rsidRPr="00C5308E">
        <w:rPr>
          <w:rFonts w:ascii="Verdana" w:hAnsi="Verdana"/>
          <w:bCs/>
          <w:sz w:val="18"/>
          <w:szCs w:val="18"/>
        </w:rPr>
        <w:t>Verder is er sprake van een indirecte doorwerking op de netto-netto gekoppelde regelingen. Dit betreft onder meer de Algemene Ouderdomswet (AOW) Participatiewet, Algemene Nabestaandenwet (Anw) en Toeslagenwet (TW). De uitkeringsbedragen van deze regelingen zijn gekoppeld aan het netto referentieminimumloon. De hoogte van dit netto referentieminimumloon en het corresponderende bruto uitkeringsbedrag zijn afhankelijk van verschillende variabelen in de fiscaliteit die worden geïndexeerd met de tabelcorrectiefactor (schijflengtes en heffingskortingen).</w:t>
      </w:r>
    </w:p>
    <w:p w:rsidRPr="00C5308E" w:rsidR="00652DF9" w:rsidP="00D87753" w:rsidRDefault="00652DF9" w14:paraId="4FFE069E" w14:textId="77777777">
      <w:pPr>
        <w:pStyle w:val="Tekstzonderopmaak"/>
        <w:contextualSpacing/>
        <w:rPr>
          <w:rFonts w:ascii="Verdana" w:hAnsi="Verdana"/>
          <w:bCs/>
          <w:sz w:val="18"/>
          <w:szCs w:val="18"/>
        </w:rPr>
      </w:pPr>
    </w:p>
    <w:p w:rsidRPr="00C5308E" w:rsidR="00156485" w:rsidP="00D87753" w:rsidRDefault="00156485" w14:paraId="11E3028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w:t>
      </w:r>
    </w:p>
    <w:p w:rsidRPr="00C5308E" w:rsidR="00156485" w:rsidP="00D87753" w:rsidRDefault="00156485" w14:paraId="4CE5EE4E" w14:textId="77777777">
      <w:pPr>
        <w:pStyle w:val="Geenafstand"/>
        <w:contextualSpacing/>
        <w:rPr>
          <w:rFonts w:ascii="Verdana" w:hAnsi="Verdana"/>
          <w:bCs/>
          <w:sz w:val="18"/>
          <w:szCs w:val="18"/>
        </w:rPr>
      </w:pPr>
      <w:r w:rsidRPr="00C5308E">
        <w:rPr>
          <w:rFonts w:ascii="Verdana" w:hAnsi="Verdana"/>
          <w:bCs/>
          <w:sz w:val="18"/>
          <w:szCs w:val="18"/>
        </w:rPr>
        <w:t>Kunt u een overzicht geven van de parameters van de Wet op het Kindgebonden Budget (WKB) in 2025 en 2028?</w:t>
      </w:r>
    </w:p>
    <w:p w:rsidRPr="00C5308E" w:rsidR="00156485" w:rsidP="00D87753" w:rsidRDefault="00156485" w14:paraId="2BF415AE" w14:textId="77777777">
      <w:pPr>
        <w:spacing w:after="0" w:line="240" w:lineRule="auto"/>
        <w:contextualSpacing/>
        <w:rPr>
          <w:rFonts w:ascii="Verdana" w:hAnsi="Verdana"/>
          <w:bCs/>
          <w:sz w:val="18"/>
          <w:szCs w:val="18"/>
        </w:rPr>
      </w:pPr>
    </w:p>
    <w:p w:rsidRPr="00C5308E" w:rsidR="00156485" w:rsidP="00D87753" w:rsidRDefault="00156485" w14:paraId="4DF08AE7" w14:textId="6D78AC51">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w:t>
      </w:r>
    </w:p>
    <w:p w:rsidRPr="00C5308E" w:rsidR="00156485" w:rsidP="00D87753" w:rsidRDefault="00156485" w14:paraId="200D9FD4" w14:textId="77777777">
      <w:pPr>
        <w:pStyle w:val="Geenafstand"/>
        <w:contextualSpacing/>
        <w:rPr>
          <w:rFonts w:ascii="Verdana" w:hAnsi="Verdana"/>
          <w:bCs/>
          <w:sz w:val="18"/>
          <w:szCs w:val="18"/>
        </w:rPr>
      </w:pPr>
      <w:r w:rsidRPr="00C5308E">
        <w:rPr>
          <w:rFonts w:ascii="Verdana" w:hAnsi="Verdana"/>
          <w:bCs/>
          <w:sz w:val="18"/>
          <w:szCs w:val="18"/>
        </w:rPr>
        <w:t xml:space="preserve">Om huishoudens met kinderen te ondersteunen heeft het kabinet besloten om met ingang van 1 januari 2025 de kindbedragen in het kindgebonden budget (WKB) stapsgewijs te verhogen. Daarnaast wordt gelijktijdig ook het afbouwpercentage in de WKB stapsgewijs verhoogd om de regeling gerichter te maken. Deze maatregelen werken meerjarig door in de jaren 2025 tot en met 2028. </w:t>
      </w:r>
    </w:p>
    <w:p w:rsidRPr="00C5308E" w:rsidR="00156485" w:rsidP="00D87753" w:rsidRDefault="00156485" w14:paraId="45B94EAC" w14:textId="77777777">
      <w:pPr>
        <w:pStyle w:val="Geenafstand"/>
        <w:contextualSpacing/>
        <w:rPr>
          <w:rFonts w:ascii="Verdana" w:hAnsi="Verdana"/>
          <w:bCs/>
          <w:sz w:val="18"/>
          <w:szCs w:val="18"/>
        </w:rPr>
      </w:pPr>
    </w:p>
    <w:p w:rsidRPr="00C5308E" w:rsidR="00156485" w:rsidP="00D87753" w:rsidRDefault="00156485" w14:paraId="710C0156" w14:textId="77777777">
      <w:pPr>
        <w:pStyle w:val="Geenafstand"/>
        <w:contextualSpacing/>
        <w:rPr>
          <w:rFonts w:ascii="Verdana" w:hAnsi="Verdana"/>
          <w:bCs/>
          <w:sz w:val="18"/>
          <w:szCs w:val="18"/>
        </w:rPr>
      </w:pPr>
      <w:r w:rsidRPr="00C5308E">
        <w:rPr>
          <w:rFonts w:ascii="Verdana" w:hAnsi="Verdana"/>
          <w:bCs/>
          <w:sz w:val="18"/>
          <w:szCs w:val="18"/>
        </w:rPr>
        <w:t xml:space="preserve">Daarnaast heeft het kabinet in de eerste suppletoire begroting nog enkele nieuwe WKB-maatregelen aangekondigd. Zo is het kabinet voornemens om per 1 januari 2027 een steiler afbouwpercentage in de WKB te introduceren voor inkomens vanaf € 60.000 (prĳspeil 2024). Dit ter dekking van de structurele tegenvaller op de SZW-begroting. Het afbouwpercentage voor inkomens vanaf € 60.000 wordt met 4,3%-punt verhoogd en neemt daardoor structureel toe van 8,5% tot 12,8%. </w:t>
      </w:r>
    </w:p>
    <w:p w:rsidRPr="00C5308E" w:rsidR="00156485" w:rsidP="00D87753" w:rsidRDefault="00156485" w14:paraId="749C2CCF" w14:textId="77777777">
      <w:pPr>
        <w:pStyle w:val="Geenafstand"/>
        <w:contextualSpacing/>
        <w:rPr>
          <w:rFonts w:ascii="Verdana" w:hAnsi="Verdana"/>
          <w:bCs/>
          <w:sz w:val="18"/>
          <w:szCs w:val="18"/>
        </w:rPr>
      </w:pPr>
    </w:p>
    <w:p w:rsidRPr="00C5308E" w:rsidR="00156485" w:rsidP="00D87753" w:rsidRDefault="00156485" w14:paraId="2670090C" w14:textId="77777777">
      <w:pPr>
        <w:pStyle w:val="Geenafstand"/>
        <w:contextualSpacing/>
        <w:rPr>
          <w:rFonts w:ascii="Verdana" w:hAnsi="Verdana"/>
          <w:bCs/>
          <w:sz w:val="18"/>
          <w:szCs w:val="18"/>
        </w:rPr>
      </w:pPr>
      <w:r w:rsidRPr="00C5308E">
        <w:rPr>
          <w:rFonts w:ascii="Verdana" w:hAnsi="Verdana"/>
          <w:bCs/>
          <w:sz w:val="18"/>
          <w:szCs w:val="18"/>
        </w:rPr>
        <w:t xml:space="preserve">Verder is het kabinet voornemens om per 1 januari 2027 ook een vereenvoudiging van het toeslagpartnerschap te realiseren door het afschaffen van het criterium samengestelde gezinnen. De dekking van het oplossen van het knelpunt samengestelde gezinnen wordt gevonden door het verlagen van de vermogensgrenzen in de WKB en de zorgtoeslag met circa € 28.750 in de periode 2027 t/m 2029 en structureel vanaf 2030 met circa € 27.250 (prĳspeil 2024). </w:t>
      </w:r>
    </w:p>
    <w:p w:rsidRPr="00C5308E" w:rsidR="00156485" w:rsidP="00D87753" w:rsidRDefault="00156485" w14:paraId="3317D0FA" w14:textId="77777777">
      <w:pPr>
        <w:pStyle w:val="Geenafstand"/>
        <w:contextualSpacing/>
        <w:rPr>
          <w:rFonts w:ascii="Verdana" w:hAnsi="Verdana"/>
          <w:bCs/>
          <w:sz w:val="18"/>
          <w:szCs w:val="18"/>
        </w:rPr>
      </w:pPr>
    </w:p>
    <w:p w:rsidRPr="00C5308E" w:rsidR="00156485" w:rsidP="00D87753" w:rsidRDefault="00156485" w14:paraId="33B8C277" w14:textId="77777777">
      <w:pPr>
        <w:pStyle w:val="Geenafstand"/>
        <w:contextualSpacing/>
        <w:rPr>
          <w:rFonts w:ascii="Verdana" w:hAnsi="Verdana"/>
          <w:bCs/>
          <w:sz w:val="18"/>
          <w:szCs w:val="18"/>
        </w:rPr>
      </w:pPr>
      <w:r w:rsidRPr="00C5308E">
        <w:rPr>
          <w:rFonts w:ascii="Verdana" w:hAnsi="Verdana"/>
          <w:bCs/>
          <w:sz w:val="18"/>
          <w:szCs w:val="18"/>
        </w:rPr>
        <w:t xml:space="preserve">De exacte parameters voor het kindgebonden budget in de jaren 2026 tot en met 2028 zijn echter nog niet beschikbaar. Dat komt doordat de parameters jaarlijks worden geïndexeerd en de indexatiefactoren van toekomstige jaren nog niet definitief zijn vastgesteld. Voor de beantwoording van deze vraag is voor de verwachte indexatie van de WKB-tarieven gebruik gemaakt van de prognoses uit het Centraal Economisch Plan (CEP) 2025 van het CPB. </w:t>
      </w:r>
    </w:p>
    <w:p w:rsidRPr="00C5308E" w:rsidR="00156485" w:rsidP="00D87753" w:rsidRDefault="00156485" w14:paraId="5209192F" w14:textId="77777777">
      <w:pPr>
        <w:pStyle w:val="Geenafstand"/>
        <w:contextualSpacing/>
        <w:rPr>
          <w:rFonts w:ascii="Verdana" w:hAnsi="Verdana"/>
          <w:bCs/>
          <w:sz w:val="18"/>
          <w:szCs w:val="18"/>
        </w:rPr>
      </w:pPr>
    </w:p>
    <w:p w:rsidRPr="00C5308E" w:rsidR="00156485" w:rsidP="00D87753" w:rsidRDefault="00156485" w14:paraId="421804A1" w14:textId="7DF353DD">
      <w:pPr>
        <w:pStyle w:val="Geenafstand"/>
        <w:contextualSpacing/>
        <w:rPr>
          <w:rFonts w:ascii="Verdana" w:hAnsi="Verdana"/>
          <w:bCs/>
          <w:sz w:val="18"/>
          <w:szCs w:val="18"/>
        </w:rPr>
      </w:pPr>
      <w:r w:rsidRPr="00C5308E">
        <w:rPr>
          <w:rFonts w:ascii="Verdana" w:hAnsi="Verdana"/>
          <w:bCs/>
          <w:sz w:val="18"/>
          <w:szCs w:val="18"/>
        </w:rPr>
        <w:t xml:space="preserve">Zie in onderstaande tabel een (voorlopig) overzicht van hoe de WKB-parameters zich daarbij naar verwachting ontwikkelen in de komende jaren (incl. verwerking van het nieuwe beleid). </w:t>
      </w:r>
    </w:p>
    <w:p w:rsidRPr="00C5308E" w:rsidR="00156485" w:rsidP="00D87753" w:rsidRDefault="00156485" w14:paraId="2E766530" w14:textId="77777777">
      <w:pPr>
        <w:pStyle w:val="Geenafstand"/>
        <w:contextualSpacing/>
        <w:rPr>
          <w:rFonts w:ascii="Verdana" w:hAnsi="Verdana"/>
          <w:bCs/>
          <w:color w:val="000000"/>
          <w:sz w:val="18"/>
          <w:szCs w:val="18"/>
        </w:rPr>
      </w:pPr>
    </w:p>
    <w:p w:rsidRPr="00C5308E" w:rsidR="00156485" w:rsidP="00D87753" w:rsidRDefault="00156485" w14:paraId="0F14ADF8" w14:textId="165CACF4">
      <w:pPr>
        <w:pStyle w:val="Geenafstand"/>
        <w:contextualSpacing/>
        <w:rPr>
          <w:rFonts w:ascii="Verdana" w:hAnsi="Verdana"/>
          <w:bCs/>
          <w:i/>
          <w:iCs/>
          <w:sz w:val="18"/>
          <w:szCs w:val="18"/>
        </w:rPr>
      </w:pPr>
      <w:r w:rsidRPr="00C5308E">
        <w:rPr>
          <w:rFonts w:ascii="Verdana" w:hAnsi="Verdana"/>
          <w:bCs/>
          <w:i/>
          <w:iCs/>
          <w:sz w:val="18"/>
          <w:szCs w:val="18"/>
        </w:rPr>
        <w:t>Tabel Overzicht (voorlopige) WKB-parameters in de periode 2025 t/m 2028 (in lopende prijzen)</w:t>
      </w:r>
    </w:p>
    <w:tbl>
      <w:tblPr>
        <w:tblW w:w="4781" w:type="pct"/>
        <w:tblCellMar>
          <w:left w:w="0" w:type="dxa"/>
          <w:right w:w="0" w:type="dxa"/>
        </w:tblCellMar>
        <w:tblLook w:val="04A0" w:firstRow="1" w:lastRow="0" w:firstColumn="1" w:lastColumn="0" w:noHBand="0" w:noVBand="1"/>
      </w:tblPr>
      <w:tblGrid>
        <w:gridCol w:w="4139"/>
        <w:gridCol w:w="1135"/>
        <w:gridCol w:w="1135"/>
        <w:gridCol w:w="1135"/>
        <w:gridCol w:w="1131"/>
      </w:tblGrid>
      <w:tr w:rsidRPr="00C5308E" w:rsidR="00156485" w:rsidTr="00E018DA" w14:paraId="0E3ABDAE" w14:textId="77777777">
        <w:trPr>
          <w:trHeight w:val="300"/>
        </w:trPr>
        <w:tc>
          <w:tcPr>
            <w:tcW w:w="2386" w:type="pct"/>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C5308E" w:rsidR="00156485" w:rsidP="00D87753" w:rsidRDefault="00156485" w14:paraId="2762BA2B"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 Tarieven WKB</w:t>
            </w:r>
          </w:p>
        </w:tc>
        <w:tc>
          <w:tcPr>
            <w:tcW w:w="654" w:type="pct"/>
            <w:tcBorders>
              <w:top w:val="single" w:color="auto" w:sz="8" w:space="0"/>
              <w:left w:val="nil"/>
              <w:bottom w:val="single" w:color="auto" w:sz="8" w:space="0"/>
              <w:right w:val="nil"/>
            </w:tcBorders>
            <w:noWrap/>
            <w:tcMar>
              <w:top w:w="0" w:type="dxa"/>
              <w:left w:w="70" w:type="dxa"/>
              <w:bottom w:w="0" w:type="dxa"/>
              <w:right w:w="70" w:type="dxa"/>
            </w:tcMar>
            <w:hideMark/>
          </w:tcPr>
          <w:p w:rsidRPr="00C5308E" w:rsidR="00156485" w:rsidP="00D87753" w:rsidRDefault="00156485" w14:paraId="118CCA82"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2025</w:t>
            </w:r>
          </w:p>
        </w:tc>
        <w:tc>
          <w:tcPr>
            <w:tcW w:w="654" w:type="pct"/>
            <w:tcBorders>
              <w:top w:val="single" w:color="auto" w:sz="8" w:space="0"/>
              <w:left w:val="nil"/>
              <w:bottom w:val="single" w:color="auto" w:sz="8" w:space="0"/>
              <w:right w:val="nil"/>
            </w:tcBorders>
          </w:tcPr>
          <w:p w:rsidRPr="00C5308E" w:rsidR="00156485" w:rsidP="00D87753" w:rsidRDefault="00156485" w14:paraId="61418A42"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2026</w:t>
            </w:r>
          </w:p>
        </w:tc>
        <w:tc>
          <w:tcPr>
            <w:tcW w:w="654" w:type="pct"/>
            <w:tcBorders>
              <w:top w:val="single" w:color="auto" w:sz="8" w:space="0"/>
              <w:left w:val="nil"/>
              <w:bottom w:val="single" w:color="auto" w:sz="8" w:space="0"/>
              <w:right w:val="nil"/>
            </w:tcBorders>
          </w:tcPr>
          <w:p w:rsidRPr="00C5308E" w:rsidR="00156485" w:rsidP="00D87753" w:rsidRDefault="00156485" w14:paraId="2A61E630"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2027</w:t>
            </w:r>
          </w:p>
        </w:tc>
        <w:tc>
          <w:tcPr>
            <w:tcW w:w="652" w:type="pct"/>
            <w:tcBorders>
              <w:top w:val="single" w:color="auto" w:sz="8" w:space="0"/>
              <w:left w:val="nil"/>
              <w:bottom w:val="single" w:color="auto" w:sz="8" w:space="0"/>
              <w:right w:val="nil"/>
            </w:tcBorders>
          </w:tcPr>
          <w:p w:rsidRPr="00C5308E" w:rsidR="00156485" w:rsidP="00D87753" w:rsidRDefault="00156485" w14:paraId="08C87B9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2028</w:t>
            </w:r>
          </w:p>
        </w:tc>
      </w:tr>
      <w:tr w:rsidRPr="00C5308E" w:rsidR="00156485" w:rsidTr="00E018DA" w14:paraId="5FF22BAE"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7E8B83EA"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1e kindbedrag</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4950A1B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2.511</w:t>
            </w:r>
          </w:p>
        </w:tc>
        <w:tc>
          <w:tcPr>
            <w:tcW w:w="654" w:type="pct"/>
            <w:shd w:val="clear" w:color="auto" w:fill="DEEAF6" w:themeFill="accent1" w:themeFillTint="33"/>
            <w:vAlign w:val="center"/>
          </w:tcPr>
          <w:p w:rsidRPr="00C5308E" w:rsidR="00156485" w:rsidP="00D87753" w:rsidRDefault="00156485" w14:paraId="3557DC8B"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2.573</w:t>
            </w:r>
          </w:p>
        </w:tc>
        <w:tc>
          <w:tcPr>
            <w:tcW w:w="654" w:type="pct"/>
            <w:shd w:val="clear" w:color="auto" w:fill="DEEAF6" w:themeFill="accent1" w:themeFillTint="33"/>
            <w:vAlign w:val="center"/>
          </w:tcPr>
          <w:p w:rsidRPr="00C5308E" w:rsidR="00156485" w:rsidP="00D87753" w:rsidRDefault="00156485" w14:paraId="06B480CA"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2.714</w:t>
            </w:r>
          </w:p>
        </w:tc>
        <w:tc>
          <w:tcPr>
            <w:tcW w:w="652" w:type="pct"/>
            <w:shd w:val="clear" w:color="auto" w:fill="DEEAF6" w:themeFill="accent1" w:themeFillTint="33"/>
            <w:vAlign w:val="center"/>
          </w:tcPr>
          <w:p w:rsidRPr="00C5308E" w:rsidR="00156485" w:rsidP="00D87753" w:rsidRDefault="00156485" w14:paraId="55BD7303"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2.815</w:t>
            </w:r>
          </w:p>
        </w:tc>
      </w:tr>
      <w:tr w:rsidRPr="00C5308E" w:rsidR="00156485" w:rsidTr="00E018DA" w14:paraId="1446C3BB"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68829A22"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2e kindbedrag e.v.</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75600814"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2.511</w:t>
            </w:r>
          </w:p>
        </w:tc>
        <w:tc>
          <w:tcPr>
            <w:tcW w:w="654" w:type="pct"/>
            <w:shd w:val="clear" w:color="auto" w:fill="DEEAF6" w:themeFill="accent1" w:themeFillTint="33"/>
            <w:vAlign w:val="center"/>
          </w:tcPr>
          <w:p w:rsidRPr="00C5308E" w:rsidR="00156485" w:rsidP="00D87753" w:rsidRDefault="00156485" w14:paraId="0022DF88"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2.573</w:t>
            </w:r>
          </w:p>
        </w:tc>
        <w:tc>
          <w:tcPr>
            <w:tcW w:w="654" w:type="pct"/>
            <w:shd w:val="clear" w:color="auto" w:fill="DEEAF6" w:themeFill="accent1" w:themeFillTint="33"/>
            <w:vAlign w:val="center"/>
          </w:tcPr>
          <w:p w:rsidRPr="00C5308E" w:rsidR="00156485" w:rsidP="00D87753" w:rsidRDefault="00156485" w14:paraId="54E6060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2.714</w:t>
            </w:r>
          </w:p>
        </w:tc>
        <w:tc>
          <w:tcPr>
            <w:tcW w:w="652" w:type="pct"/>
            <w:shd w:val="clear" w:color="auto" w:fill="DEEAF6" w:themeFill="accent1" w:themeFillTint="33"/>
            <w:vAlign w:val="center"/>
          </w:tcPr>
          <w:p w:rsidRPr="00C5308E" w:rsidR="00156485" w:rsidP="00D87753" w:rsidRDefault="00156485" w14:paraId="1782E98F"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2.815</w:t>
            </w:r>
          </w:p>
        </w:tc>
      </w:tr>
      <w:tr w:rsidRPr="00C5308E" w:rsidR="00156485" w:rsidTr="00E018DA" w14:paraId="4EF7439B"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79CF99EC"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Verhoging 12-15 jarigen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2C50ED65"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703</w:t>
            </w:r>
          </w:p>
        </w:tc>
        <w:tc>
          <w:tcPr>
            <w:tcW w:w="654" w:type="pct"/>
            <w:shd w:val="clear" w:color="auto" w:fill="DEEAF6" w:themeFill="accent1" w:themeFillTint="33"/>
            <w:vAlign w:val="center"/>
          </w:tcPr>
          <w:p w:rsidRPr="00C5308E" w:rsidR="00156485" w:rsidP="00D87753" w:rsidRDefault="00156485" w14:paraId="37AFFC8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722</w:t>
            </w:r>
          </w:p>
        </w:tc>
        <w:tc>
          <w:tcPr>
            <w:tcW w:w="654" w:type="pct"/>
            <w:shd w:val="clear" w:color="auto" w:fill="DEEAF6" w:themeFill="accent1" w:themeFillTint="33"/>
            <w:vAlign w:val="center"/>
          </w:tcPr>
          <w:p w:rsidRPr="00C5308E" w:rsidR="00156485" w:rsidP="00D87753" w:rsidRDefault="00156485" w14:paraId="7576BF45"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743</w:t>
            </w:r>
          </w:p>
        </w:tc>
        <w:tc>
          <w:tcPr>
            <w:tcW w:w="652" w:type="pct"/>
            <w:shd w:val="clear" w:color="auto" w:fill="DEEAF6" w:themeFill="accent1" w:themeFillTint="33"/>
            <w:vAlign w:val="center"/>
          </w:tcPr>
          <w:p w:rsidRPr="00C5308E" w:rsidR="00156485" w:rsidP="00D87753" w:rsidRDefault="00156485" w14:paraId="6794B52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758</w:t>
            </w:r>
          </w:p>
        </w:tc>
      </w:tr>
      <w:tr w:rsidRPr="00C5308E" w:rsidR="00156485" w:rsidTr="00E018DA" w14:paraId="7C55E1A6"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7EE97D5A"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Verhoging 16-17 jarigen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5E7AE30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936</w:t>
            </w:r>
          </w:p>
        </w:tc>
        <w:tc>
          <w:tcPr>
            <w:tcW w:w="654" w:type="pct"/>
            <w:shd w:val="clear" w:color="auto" w:fill="DEEAF6" w:themeFill="accent1" w:themeFillTint="33"/>
            <w:vAlign w:val="center"/>
          </w:tcPr>
          <w:p w:rsidRPr="00C5308E" w:rsidR="00156485" w:rsidP="00D87753" w:rsidRDefault="00156485" w14:paraId="2B653F38"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961</w:t>
            </w:r>
          </w:p>
        </w:tc>
        <w:tc>
          <w:tcPr>
            <w:tcW w:w="654" w:type="pct"/>
            <w:shd w:val="clear" w:color="auto" w:fill="DEEAF6" w:themeFill="accent1" w:themeFillTint="33"/>
            <w:vAlign w:val="center"/>
          </w:tcPr>
          <w:p w:rsidRPr="00C5308E" w:rsidR="00156485" w:rsidP="00D87753" w:rsidRDefault="00156485" w14:paraId="6637047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988</w:t>
            </w:r>
          </w:p>
        </w:tc>
        <w:tc>
          <w:tcPr>
            <w:tcW w:w="652" w:type="pct"/>
            <w:shd w:val="clear" w:color="auto" w:fill="DEEAF6" w:themeFill="accent1" w:themeFillTint="33"/>
            <w:vAlign w:val="center"/>
          </w:tcPr>
          <w:p w:rsidRPr="00C5308E" w:rsidR="00156485" w:rsidP="00D87753" w:rsidRDefault="00156485" w14:paraId="67B3EB47"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1.007</w:t>
            </w:r>
          </w:p>
        </w:tc>
      </w:tr>
      <w:tr w:rsidRPr="00C5308E" w:rsidR="00156485" w:rsidTr="00E018DA" w14:paraId="08B255F0"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hideMark/>
          </w:tcPr>
          <w:p w:rsidRPr="00C5308E" w:rsidR="00156485" w:rsidP="00D87753" w:rsidRDefault="00156485" w14:paraId="05BE9BDD"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Alleenstaande ouderkop</w:t>
            </w:r>
          </w:p>
        </w:tc>
        <w:tc>
          <w:tcPr>
            <w:tcW w:w="654" w:type="pct"/>
            <w:tcBorders>
              <w:top w:val="nil"/>
              <w:left w:val="nil"/>
              <w:bottom w:val="single" w:color="auto" w:sz="8" w:space="0"/>
              <w:right w:val="nil"/>
            </w:tcBorders>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7C6E18D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3.389</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26BAF839"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3.406</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6DD1649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3.502</w:t>
            </w:r>
          </w:p>
        </w:tc>
        <w:tc>
          <w:tcPr>
            <w:tcW w:w="652"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150C01EB"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3.548</w:t>
            </w:r>
          </w:p>
        </w:tc>
      </w:tr>
      <w:tr w:rsidRPr="00C5308E" w:rsidR="00156485" w:rsidTr="00E018DA" w14:paraId="0296797B"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3C978931"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1</w:t>
            </w:r>
            <w:r w:rsidRPr="00C5308E">
              <w:rPr>
                <w:rFonts w:ascii="Verdana" w:hAnsi="Verdana" w:cstheme="minorHAnsi"/>
                <w:bCs/>
                <w:color w:val="000000"/>
                <w:sz w:val="18"/>
                <w:szCs w:val="18"/>
                <w:vertAlign w:val="superscript"/>
                <w:lang w:eastAsia="nl-NL"/>
              </w:rPr>
              <w:t>e</w:t>
            </w:r>
            <w:r w:rsidRPr="00C5308E">
              <w:rPr>
                <w:rFonts w:ascii="Verdana" w:hAnsi="Verdana" w:cstheme="minorHAnsi"/>
                <w:bCs/>
                <w:color w:val="000000"/>
                <w:sz w:val="18"/>
                <w:szCs w:val="18"/>
                <w:lang w:eastAsia="nl-NL"/>
              </w:rPr>
              <w:t xml:space="preserve"> Inkomensafbouwgrens alleenstaanden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1C76EEB3"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28.406</w:t>
            </w:r>
          </w:p>
        </w:tc>
        <w:tc>
          <w:tcPr>
            <w:tcW w:w="654" w:type="pct"/>
            <w:shd w:val="clear" w:color="auto" w:fill="DEEAF6" w:themeFill="accent1" w:themeFillTint="33"/>
            <w:vAlign w:val="center"/>
          </w:tcPr>
          <w:p w:rsidRPr="00C5308E" w:rsidR="00156485" w:rsidP="00D87753" w:rsidRDefault="00156485" w14:paraId="19B010F6"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29.697</w:t>
            </w:r>
          </w:p>
        </w:tc>
        <w:tc>
          <w:tcPr>
            <w:tcW w:w="654" w:type="pct"/>
            <w:shd w:val="clear" w:color="auto" w:fill="DEEAF6" w:themeFill="accent1" w:themeFillTint="33"/>
            <w:vAlign w:val="center"/>
          </w:tcPr>
          <w:p w:rsidRPr="00C5308E" w:rsidR="00156485" w:rsidP="00D87753" w:rsidRDefault="00156485" w14:paraId="12876F3B"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30.848</w:t>
            </w:r>
          </w:p>
        </w:tc>
        <w:tc>
          <w:tcPr>
            <w:tcW w:w="652" w:type="pct"/>
            <w:shd w:val="clear" w:color="auto" w:fill="DEEAF6" w:themeFill="accent1" w:themeFillTint="33"/>
            <w:vAlign w:val="center"/>
          </w:tcPr>
          <w:p w:rsidRPr="00C5308E" w:rsidR="00156485" w:rsidP="00D87753" w:rsidRDefault="00156485" w14:paraId="70C2F74F"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31.944</w:t>
            </w:r>
          </w:p>
        </w:tc>
      </w:tr>
      <w:tr w:rsidRPr="00C5308E" w:rsidR="00156485" w:rsidTr="00E018DA" w14:paraId="01208A64"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61BF06D3"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1</w:t>
            </w:r>
            <w:r w:rsidRPr="00C5308E">
              <w:rPr>
                <w:rFonts w:ascii="Verdana" w:hAnsi="Verdana" w:cstheme="minorHAnsi"/>
                <w:bCs/>
                <w:color w:val="000000"/>
                <w:sz w:val="18"/>
                <w:szCs w:val="18"/>
                <w:vertAlign w:val="superscript"/>
                <w:lang w:eastAsia="nl-NL"/>
              </w:rPr>
              <w:t>e</w:t>
            </w:r>
            <w:r w:rsidRPr="00C5308E">
              <w:rPr>
                <w:rFonts w:ascii="Verdana" w:hAnsi="Verdana" w:cstheme="minorHAnsi"/>
                <w:bCs/>
                <w:color w:val="000000"/>
                <w:sz w:val="18"/>
                <w:szCs w:val="18"/>
                <w:lang w:eastAsia="nl-NL"/>
              </w:rPr>
              <w:t xml:space="preserve"> Inkomensafbouwgrens paren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7875ADC2"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37.545</w:t>
            </w:r>
          </w:p>
        </w:tc>
        <w:tc>
          <w:tcPr>
            <w:tcW w:w="654" w:type="pct"/>
            <w:shd w:val="clear" w:color="auto" w:fill="DEEAF6" w:themeFill="accent1" w:themeFillTint="33"/>
            <w:vAlign w:val="center"/>
          </w:tcPr>
          <w:p w:rsidRPr="00C5308E" w:rsidR="00156485" w:rsidP="00D87753" w:rsidRDefault="00156485" w14:paraId="5597EBE7"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39.074</w:t>
            </w:r>
          </w:p>
        </w:tc>
        <w:tc>
          <w:tcPr>
            <w:tcW w:w="654" w:type="pct"/>
            <w:shd w:val="clear" w:color="auto" w:fill="DEEAF6" w:themeFill="accent1" w:themeFillTint="33"/>
            <w:vAlign w:val="center"/>
          </w:tcPr>
          <w:p w:rsidRPr="00C5308E" w:rsidR="00156485" w:rsidP="00D87753" w:rsidRDefault="00156485" w14:paraId="4041E3A5"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40.488</w:t>
            </w:r>
          </w:p>
        </w:tc>
        <w:tc>
          <w:tcPr>
            <w:tcW w:w="652" w:type="pct"/>
            <w:shd w:val="clear" w:color="auto" w:fill="DEEAF6" w:themeFill="accent1" w:themeFillTint="33"/>
            <w:vAlign w:val="center"/>
          </w:tcPr>
          <w:p w:rsidRPr="00C5308E" w:rsidR="00156485" w:rsidP="00D87753" w:rsidRDefault="00156485" w14:paraId="3AC70BE8"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41.768</w:t>
            </w:r>
          </w:p>
        </w:tc>
      </w:tr>
      <w:tr w:rsidRPr="00C5308E" w:rsidR="00156485" w:rsidTr="00E018DA" w14:paraId="51654292"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hideMark/>
          </w:tcPr>
          <w:p w:rsidRPr="00C5308E" w:rsidR="00156485" w:rsidP="00D87753" w:rsidRDefault="00156485" w14:paraId="5869E044"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1</w:t>
            </w:r>
            <w:r w:rsidRPr="00C5308E">
              <w:rPr>
                <w:rFonts w:ascii="Verdana" w:hAnsi="Verdana" w:cstheme="minorHAnsi"/>
                <w:bCs/>
                <w:color w:val="000000"/>
                <w:sz w:val="18"/>
                <w:szCs w:val="18"/>
                <w:vertAlign w:val="superscript"/>
                <w:lang w:eastAsia="nl-NL"/>
              </w:rPr>
              <w:t>e</w:t>
            </w:r>
            <w:r w:rsidRPr="00C5308E">
              <w:rPr>
                <w:rFonts w:ascii="Verdana" w:hAnsi="Verdana" w:cstheme="minorHAnsi"/>
                <w:bCs/>
                <w:color w:val="000000"/>
                <w:sz w:val="18"/>
                <w:szCs w:val="18"/>
                <w:lang w:eastAsia="nl-NL"/>
              </w:rPr>
              <w:t xml:space="preserve"> Inkomensafbouwpercentage</w:t>
            </w:r>
          </w:p>
        </w:tc>
        <w:tc>
          <w:tcPr>
            <w:tcW w:w="654" w:type="pct"/>
            <w:tcBorders>
              <w:top w:val="nil"/>
              <w:left w:val="nil"/>
              <w:bottom w:val="single" w:color="auto" w:sz="8" w:space="0"/>
              <w:right w:val="nil"/>
            </w:tcBorders>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70CD648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7,10%</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12973DFB"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7,60%</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4F31880C"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8,05%</w:t>
            </w:r>
          </w:p>
        </w:tc>
        <w:tc>
          <w:tcPr>
            <w:tcW w:w="652"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3A3D013D"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cstheme="minorHAnsi"/>
                <w:bCs/>
                <w:sz w:val="18"/>
                <w:szCs w:val="18"/>
              </w:rPr>
              <w:t>8,50%</w:t>
            </w:r>
          </w:p>
        </w:tc>
      </w:tr>
      <w:tr w:rsidRPr="00C5308E" w:rsidR="00156485" w:rsidTr="00E018DA" w14:paraId="033C38E6"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C5308E" w:rsidR="00156485" w:rsidP="00D87753" w:rsidRDefault="00156485" w14:paraId="34B7CAD5"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w:t>
            </w:r>
            <w:r w:rsidRPr="00C5308E">
              <w:rPr>
                <w:rFonts w:ascii="Verdana" w:hAnsi="Verdana" w:cstheme="minorHAnsi"/>
                <w:bCs/>
                <w:color w:val="000000"/>
                <w:sz w:val="18"/>
                <w:szCs w:val="18"/>
                <w:vertAlign w:val="superscript"/>
                <w:lang w:eastAsia="nl-NL"/>
              </w:rPr>
              <w:t>e</w:t>
            </w:r>
            <w:r w:rsidRPr="00C5308E">
              <w:rPr>
                <w:rFonts w:ascii="Verdana" w:hAnsi="Verdana" w:cstheme="minorHAnsi"/>
                <w:bCs/>
                <w:color w:val="000000"/>
                <w:sz w:val="18"/>
                <w:szCs w:val="18"/>
                <w:lang w:eastAsia="nl-NL"/>
              </w:rPr>
              <w:t xml:space="preserve"> Inkomensafbouwgrens alleenstaanden</w:t>
            </w:r>
          </w:p>
        </w:tc>
        <w:tc>
          <w:tcPr>
            <w:tcW w:w="654" w:type="pct"/>
            <w:tcBorders>
              <w:top w:val="nil"/>
              <w:left w:val="nil"/>
              <w:bottom w:val="single" w:color="auto" w:sz="8" w:space="0"/>
              <w:right w:val="nil"/>
            </w:tcBorders>
            <w:shd w:val="clear" w:color="auto" w:fill="DEEAF6" w:themeFill="accent1" w:themeFillTint="33"/>
            <w:noWrap/>
            <w:tcMar>
              <w:top w:w="0" w:type="dxa"/>
              <w:left w:w="70" w:type="dxa"/>
              <w:bottom w:w="0" w:type="dxa"/>
              <w:right w:w="70" w:type="dxa"/>
            </w:tcMar>
            <w:vAlign w:val="center"/>
          </w:tcPr>
          <w:p w:rsidRPr="00C5308E" w:rsidR="00156485" w:rsidP="00D87753" w:rsidRDefault="00156485" w14:paraId="09ED2785"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6A11E07F"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4ADE5768"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64.043</w:t>
            </w:r>
          </w:p>
        </w:tc>
        <w:tc>
          <w:tcPr>
            <w:tcW w:w="652"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4ECC0081"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65.260</w:t>
            </w:r>
          </w:p>
        </w:tc>
      </w:tr>
      <w:tr w:rsidRPr="00C5308E" w:rsidR="00156485" w:rsidTr="00E018DA" w14:paraId="6DB41B14"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C5308E" w:rsidR="00156485" w:rsidP="00D87753" w:rsidRDefault="00156485" w14:paraId="385F6F7A"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w:t>
            </w:r>
            <w:r w:rsidRPr="00C5308E">
              <w:rPr>
                <w:rFonts w:ascii="Verdana" w:hAnsi="Verdana" w:cstheme="minorHAnsi"/>
                <w:bCs/>
                <w:color w:val="000000"/>
                <w:sz w:val="18"/>
                <w:szCs w:val="18"/>
                <w:vertAlign w:val="superscript"/>
                <w:lang w:eastAsia="nl-NL"/>
              </w:rPr>
              <w:t>e</w:t>
            </w:r>
            <w:r w:rsidRPr="00C5308E">
              <w:rPr>
                <w:rFonts w:ascii="Verdana" w:hAnsi="Verdana" w:cstheme="minorHAnsi"/>
                <w:bCs/>
                <w:color w:val="000000"/>
                <w:sz w:val="18"/>
                <w:szCs w:val="18"/>
                <w:lang w:eastAsia="nl-NL"/>
              </w:rPr>
              <w:t xml:space="preserve"> Inkomensafbouwgrens paren</w:t>
            </w:r>
          </w:p>
        </w:tc>
        <w:tc>
          <w:tcPr>
            <w:tcW w:w="654" w:type="pct"/>
            <w:tcBorders>
              <w:top w:val="nil"/>
              <w:left w:val="nil"/>
              <w:bottom w:val="single" w:color="auto" w:sz="8" w:space="0"/>
              <w:right w:val="nil"/>
            </w:tcBorders>
            <w:shd w:val="clear" w:color="auto" w:fill="DEEAF6" w:themeFill="accent1" w:themeFillTint="33"/>
            <w:noWrap/>
            <w:tcMar>
              <w:top w:w="0" w:type="dxa"/>
              <w:left w:w="70" w:type="dxa"/>
              <w:bottom w:w="0" w:type="dxa"/>
              <w:right w:w="70" w:type="dxa"/>
            </w:tcMar>
            <w:vAlign w:val="center"/>
          </w:tcPr>
          <w:p w:rsidRPr="00C5308E" w:rsidR="00156485" w:rsidP="00D87753" w:rsidRDefault="00156485" w14:paraId="40445D56"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19BD77B3"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14A5BE22"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64.043</w:t>
            </w:r>
          </w:p>
        </w:tc>
        <w:tc>
          <w:tcPr>
            <w:tcW w:w="652"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357BE95B"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65.260</w:t>
            </w:r>
          </w:p>
        </w:tc>
      </w:tr>
      <w:tr w:rsidRPr="00C5308E" w:rsidR="00156485" w:rsidTr="00E018DA" w14:paraId="68B3C105"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C5308E" w:rsidR="00156485" w:rsidP="00D87753" w:rsidRDefault="00156485" w14:paraId="317FB1FF"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2</w:t>
            </w:r>
            <w:r w:rsidRPr="00C5308E">
              <w:rPr>
                <w:rFonts w:ascii="Verdana" w:hAnsi="Verdana" w:cstheme="minorHAnsi"/>
                <w:bCs/>
                <w:color w:val="000000"/>
                <w:sz w:val="18"/>
                <w:szCs w:val="18"/>
                <w:vertAlign w:val="superscript"/>
                <w:lang w:eastAsia="nl-NL"/>
              </w:rPr>
              <w:t xml:space="preserve">e </w:t>
            </w:r>
            <w:r w:rsidRPr="00C5308E">
              <w:rPr>
                <w:rFonts w:ascii="Verdana" w:hAnsi="Verdana" w:cstheme="minorHAnsi"/>
                <w:bCs/>
                <w:color w:val="000000"/>
                <w:sz w:val="18"/>
                <w:szCs w:val="18"/>
                <w:lang w:eastAsia="nl-NL"/>
              </w:rPr>
              <w:t>Inkomensafbouwpercentage</w:t>
            </w:r>
          </w:p>
        </w:tc>
        <w:tc>
          <w:tcPr>
            <w:tcW w:w="654" w:type="pct"/>
            <w:tcBorders>
              <w:top w:val="nil"/>
              <w:left w:val="nil"/>
              <w:bottom w:val="single" w:color="auto" w:sz="8" w:space="0"/>
              <w:right w:val="nil"/>
            </w:tcBorders>
            <w:shd w:val="clear" w:color="auto" w:fill="DEEAF6" w:themeFill="accent1" w:themeFillTint="33"/>
            <w:noWrap/>
            <w:tcMar>
              <w:top w:w="0" w:type="dxa"/>
              <w:left w:w="70" w:type="dxa"/>
              <w:bottom w:w="0" w:type="dxa"/>
              <w:right w:w="70" w:type="dxa"/>
            </w:tcMar>
            <w:vAlign w:val="center"/>
          </w:tcPr>
          <w:p w:rsidRPr="00C5308E" w:rsidR="00156485" w:rsidP="00D87753" w:rsidRDefault="00156485" w14:paraId="0ADC547D"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41A1F283" w14:textId="77777777">
            <w:pPr>
              <w:spacing w:line="240" w:lineRule="auto"/>
              <w:contextualSpacing/>
              <w:jc w:val="center"/>
              <w:rPr>
                <w:rFonts w:ascii="Verdana" w:hAnsi="Verdana" w:cstheme="minorHAnsi"/>
                <w:bCs/>
                <w:sz w:val="18"/>
                <w:szCs w:val="18"/>
              </w:rPr>
            </w:pPr>
            <w:r w:rsidRPr="00C5308E">
              <w:rPr>
                <w:rFonts w:ascii="Verdana" w:hAnsi="Verdana" w:cstheme="minorHAnsi"/>
                <w:bCs/>
                <w:sz w:val="18"/>
                <w:szCs w:val="18"/>
              </w:rPr>
              <w:t>-</w:t>
            </w:r>
          </w:p>
        </w:tc>
        <w:tc>
          <w:tcPr>
            <w:tcW w:w="654"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7CE160C8"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12,35%</w:t>
            </w:r>
          </w:p>
        </w:tc>
        <w:tc>
          <w:tcPr>
            <w:tcW w:w="652" w:type="pct"/>
            <w:tcBorders>
              <w:top w:val="nil"/>
              <w:left w:val="nil"/>
              <w:bottom w:val="single" w:color="auto" w:sz="8" w:space="0"/>
              <w:right w:val="nil"/>
            </w:tcBorders>
            <w:shd w:val="clear" w:color="auto" w:fill="DEEAF6" w:themeFill="accent1" w:themeFillTint="33"/>
            <w:vAlign w:val="center"/>
          </w:tcPr>
          <w:p w:rsidRPr="00C5308E" w:rsidR="00156485" w:rsidP="00D87753" w:rsidRDefault="00156485" w14:paraId="6D4AC6A6" w14:textId="77777777">
            <w:pPr>
              <w:spacing w:line="240" w:lineRule="auto"/>
              <w:contextualSpacing/>
              <w:jc w:val="center"/>
              <w:rPr>
                <w:rFonts w:ascii="Verdana" w:hAnsi="Verdana" w:cstheme="minorHAnsi"/>
                <w:bCs/>
                <w:sz w:val="18"/>
                <w:szCs w:val="18"/>
              </w:rPr>
            </w:pPr>
            <w:r w:rsidRPr="00C5308E">
              <w:rPr>
                <w:rFonts w:ascii="Verdana" w:hAnsi="Verdana"/>
                <w:bCs/>
                <w:sz w:val="18"/>
                <w:szCs w:val="18"/>
              </w:rPr>
              <w:t>12,80%</w:t>
            </w:r>
          </w:p>
        </w:tc>
      </w:tr>
      <w:tr w:rsidRPr="00C5308E" w:rsidR="00156485" w:rsidTr="00E018DA" w14:paraId="1C84FA0C"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5300BA40"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Vermogensgrens alleenstaanden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5DF6167E"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141.896</w:t>
            </w:r>
          </w:p>
        </w:tc>
        <w:tc>
          <w:tcPr>
            <w:tcW w:w="654" w:type="pct"/>
            <w:shd w:val="clear" w:color="auto" w:fill="DEEAF6" w:themeFill="accent1" w:themeFillTint="33"/>
            <w:vAlign w:val="center"/>
          </w:tcPr>
          <w:p w:rsidRPr="00C5308E" w:rsidR="00156485" w:rsidP="00D87753" w:rsidRDefault="00156485" w14:paraId="44C9D988"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145.586</w:t>
            </w:r>
          </w:p>
        </w:tc>
        <w:tc>
          <w:tcPr>
            <w:tcW w:w="654" w:type="pct"/>
            <w:shd w:val="clear" w:color="auto" w:fill="DEEAF6" w:themeFill="accent1" w:themeFillTint="33"/>
            <w:vAlign w:val="center"/>
          </w:tcPr>
          <w:p w:rsidRPr="00C5308E" w:rsidR="00156485" w:rsidP="00D87753" w:rsidRDefault="00156485" w14:paraId="0EAB169E"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119.008</w:t>
            </w:r>
          </w:p>
        </w:tc>
        <w:tc>
          <w:tcPr>
            <w:tcW w:w="652" w:type="pct"/>
            <w:shd w:val="clear" w:color="auto" w:fill="DEEAF6" w:themeFill="accent1" w:themeFillTint="33"/>
            <w:vAlign w:val="center"/>
          </w:tcPr>
          <w:p w:rsidRPr="00C5308E" w:rsidR="00156485" w:rsidP="00D87753" w:rsidRDefault="00156485" w14:paraId="548F679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121.269</w:t>
            </w:r>
          </w:p>
        </w:tc>
      </w:tr>
      <w:tr w:rsidRPr="00C5308E" w:rsidR="00156485" w:rsidTr="00E018DA" w14:paraId="5B1470DC" w14:textId="77777777">
        <w:trPr>
          <w:trHeight w:val="300"/>
        </w:trPr>
        <w:tc>
          <w:tcPr>
            <w:tcW w:w="2386" w:type="pct"/>
            <w:noWrap/>
            <w:tcMar>
              <w:top w:w="0" w:type="dxa"/>
              <w:left w:w="70" w:type="dxa"/>
              <w:bottom w:w="0" w:type="dxa"/>
              <w:right w:w="70" w:type="dxa"/>
            </w:tcMar>
            <w:vAlign w:val="bottom"/>
            <w:hideMark/>
          </w:tcPr>
          <w:p w:rsidRPr="00C5308E" w:rsidR="00156485" w:rsidP="00D87753" w:rsidRDefault="00156485" w14:paraId="34796611" w14:textId="77777777">
            <w:pPr>
              <w:spacing w:line="240" w:lineRule="auto"/>
              <w:contextualSpacing/>
              <w:rPr>
                <w:rFonts w:ascii="Verdana" w:hAnsi="Verdana" w:cstheme="minorHAnsi"/>
                <w:bCs/>
                <w:color w:val="000000"/>
                <w:sz w:val="18"/>
                <w:szCs w:val="18"/>
                <w:lang w:eastAsia="nl-NL"/>
              </w:rPr>
            </w:pPr>
            <w:r w:rsidRPr="00C5308E">
              <w:rPr>
                <w:rFonts w:ascii="Verdana" w:hAnsi="Verdana" w:cstheme="minorHAnsi"/>
                <w:bCs/>
                <w:color w:val="000000"/>
                <w:sz w:val="18"/>
                <w:szCs w:val="18"/>
                <w:lang w:eastAsia="nl-NL"/>
              </w:rPr>
              <w:t>Vermogensgrens paren</w:t>
            </w:r>
          </w:p>
        </w:tc>
        <w:tc>
          <w:tcPr>
            <w:tcW w:w="654" w:type="pct"/>
            <w:shd w:val="clear" w:color="auto" w:fill="DEEAF6" w:themeFill="accent1" w:themeFillTint="33"/>
            <w:noWrap/>
            <w:tcMar>
              <w:top w:w="0" w:type="dxa"/>
              <w:left w:w="70" w:type="dxa"/>
              <w:bottom w:w="0" w:type="dxa"/>
              <w:right w:w="70" w:type="dxa"/>
            </w:tcMar>
            <w:vAlign w:val="center"/>
            <w:hideMark/>
          </w:tcPr>
          <w:p w:rsidRPr="00C5308E" w:rsidR="00156485" w:rsidP="00D87753" w:rsidRDefault="00156485" w14:paraId="304D6D7F"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179.429</w:t>
            </w:r>
          </w:p>
        </w:tc>
        <w:tc>
          <w:tcPr>
            <w:tcW w:w="654" w:type="pct"/>
            <w:shd w:val="clear" w:color="auto" w:fill="DEEAF6" w:themeFill="accent1" w:themeFillTint="33"/>
            <w:vAlign w:val="center"/>
          </w:tcPr>
          <w:p w:rsidRPr="00C5308E" w:rsidR="00156485" w:rsidP="00D87753" w:rsidRDefault="00156485" w14:paraId="256E7A61"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184.095</w:t>
            </w:r>
          </w:p>
        </w:tc>
        <w:tc>
          <w:tcPr>
            <w:tcW w:w="654" w:type="pct"/>
            <w:shd w:val="clear" w:color="auto" w:fill="DEEAF6" w:themeFill="accent1" w:themeFillTint="33"/>
            <w:vAlign w:val="center"/>
          </w:tcPr>
          <w:p w:rsidRPr="00C5308E" w:rsidR="00156485" w:rsidP="00D87753" w:rsidRDefault="00156485" w14:paraId="1A599B88"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158.595</w:t>
            </w:r>
          </w:p>
        </w:tc>
        <w:tc>
          <w:tcPr>
            <w:tcW w:w="652" w:type="pct"/>
            <w:shd w:val="clear" w:color="auto" w:fill="DEEAF6" w:themeFill="accent1" w:themeFillTint="33"/>
            <w:vAlign w:val="center"/>
          </w:tcPr>
          <w:p w:rsidRPr="00C5308E" w:rsidR="00156485" w:rsidP="00D87753" w:rsidRDefault="00156485" w14:paraId="7AB05E09" w14:textId="77777777">
            <w:pPr>
              <w:spacing w:line="240" w:lineRule="auto"/>
              <w:contextualSpacing/>
              <w:jc w:val="center"/>
              <w:rPr>
                <w:rFonts w:ascii="Verdana" w:hAnsi="Verdana" w:cstheme="minorHAnsi"/>
                <w:bCs/>
                <w:color w:val="000000"/>
                <w:sz w:val="18"/>
                <w:szCs w:val="18"/>
                <w:lang w:eastAsia="nl-NL"/>
              </w:rPr>
            </w:pPr>
            <w:r w:rsidRPr="00C5308E">
              <w:rPr>
                <w:rFonts w:ascii="Verdana" w:hAnsi="Verdana"/>
                <w:bCs/>
                <w:sz w:val="18"/>
                <w:szCs w:val="18"/>
              </w:rPr>
              <w:t>161.608</w:t>
            </w:r>
          </w:p>
        </w:tc>
      </w:tr>
    </w:tbl>
    <w:p w:rsidR="00BA1787" w:rsidP="00D87753" w:rsidRDefault="00BA1787" w14:paraId="518A0BC6" w14:textId="77777777">
      <w:pPr>
        <w:spacing w:after="0" w:line="240" w:lineRule="auto"/>
        <w:contextualSpacing/>
        <w:rPr>
          <w:rFonts w:ascii="Verdana" w:hAnsi="Verdana"/>
          <w:bCs/>
          <w:sz w:val="18"/>
          <w:szCs w:val="18"/>
          <w:u w:val="single"/>
        </w:rPr>
      </w:pPr>
    </w:p>
    <w:p w:rsidR="003C0271" w:rsidP="00D87753" w:rsidRDefault="003C0271" w14:paraId="198F7A47" w14:textId="77777777">
      <w:pPr>
        <w:spacing w:after="0" w:line="240" w:lineRule="auto"/>
        <w:contextualSpacing/>
        <w:rPr>
          <w:rFonts w:ascii="Verdana" w:hAnsi="Verdana"/>
          <w:bCs/>
          <w:sz w:val="18"/>
          <w:szCs w:val="18"/>
          <w:u w:val="single"/>
        </w:rPr>
      </w:pPr>
    </w:p>
    <w:p w:rsidRPr="00C5308E" w:rsidR="00F848D5" w:rsidP="00D87753" w:rsidRDefault="00F848D5" w14:paraId="22A4C382" w14:textId="37F2958E">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6</w:t>
      </w:r>
    </w:p>
    <w:p w:rsidRPr="00C5308E" w:rsidR="00F848D5" w:rsidP="00D87753" w:rsidRDefault="00F848D5" w14:paraId="25ED0E8C" w14:textId="77777777">
      <w:pPr>
        <w:spacing w:after="0" w:line="240" w:lineRule="auto"/>
        <w:contextualSpacing/>
        <w:rPr>
          <w:rFonts w:ascii="Verdana" w:hAnsi="Verdana"/>
          <w:bCs/>
          <w:sz w:val="18"/>
          <w:szCs w:val="18"/>
        </w:rPr>
      </w:pPr>
      <w:r w:rsidRPr="00C5308E">
        <w:rPr>
          <w:rFonts w:ascii="Verdana" w:hAnsi="Verdana"/>
          <w:bCs/>
          <w:sz w:val="18"/>
          <w:szCs w:val="18"/>
        </w:rPr>
        <w:t>Hoe hoog is de tabelcorrectiefactor in 2025? Hoe hoog is deze in 2026, 2027, 2028 en 2029 volgens verwachting?</w:t>
      </w:r>
    </w:p>
    <w:p w:rsidRPr="00C5308E" w:rsidR="00F848D5" w:rsidP="00D87753" w:rsidRDefault="00F848D5" w14:paraId="1253CCCE" w14:textId="77777777">
      <w:pPr>
        <w:spacing w:after="0" w:line="240" w:lineRule="auto"/>
        <w:contextualSpacing/>
        <w:rPr>
          <w:rFonts w:ascii="Verdana" w:hAnsi="Verdana"/>
          <w:bCs/>
          <w:sz w:val="18"/>
          <w:szCs w:val="18"/>
        </w:rPr>
      </w:pPr>
    </w:p>
    <w:p w:rsidRPr="00C5308E" w:rsidR="00F848D5" w:rsidP="00D87753" w:rsidRDefault="00F848D5" w14:paraId="33E4BA4D" w14:textId="49779F07">
      <w:pPr>
        <w:spacing w:after="0" w:line="240" w:lineRule="auto"/>
        <w:contextualSpacing/>
        <w:rPr>
          <w:rFonts w:ascii="Verdana" w:hAnsi="Verdana"/>
          <w:bCs/>
          <w:sz w:val="18"/>
          <w:szCs w:val="18"/>
          <w:u w:val="single"/>
        </w:rPr>
      </w:pPr>
      <w:r w:rsidRPr="00C5308E">
        <w:rPr>
          <w:rFonts w:ascii="Verdana" w:hAnsi="Verdana"/>
          <w:bCs/>
          <w:sz w:val="18"/>
          <w:szCs w:val="18"/>
          <w:u w:val="single"/>
        </w:rPr>
        <w:t>Antwoord</w:t>
      </w:r>
      <w:r w:rsidRPr="00C5308E" w:rsidR="007E203F">
        <w:rPr>
          <w:rFonts w:ascii="Verdana" w:hAnsi="Verdana"/>
          <w:bCs/>
          <w:sz w:val="18"/>
          <w:szCs w:val="18"/>
          <w:u w:val="single"/>
        </w:rPr>
        <w:t xml:space="preserve"> </w:t>
      </w:r>
      <w:r w:rsidRPr="00C5308E">
        <w:rPr>
          <w:rFonts w:ascii="Verdana" w:hAnsi="Verdana"/>
          <w:bCs/>
          <w:sz w:val="18"/>
          <w:szCs w:val="18"/>
          <w:u w:val="single"/>
        </w:rPr>
        <w:t>6</w:t>
      </w:r>
    </w:p>
    <w:p w:rsidRPr="00C5308E" w:rsidR="00F848D5" w:rsidP="00D87753" w:rsidRDefault="00F848D5" w14:paraId="68CBF00A"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de verwachte ontwikkeling van de tabelcorrectiefactor in de komende jaren volgens de meest recente raming van het CPB (CEP 2025):</w:t>
      </w:r>
    </w:p>
    <w:p w:rsidRPr="00C5308E" w:rsidR="00F848D5" w:rsidP="00D87753" w:rsidRDefault="00F848D5" w14:paraId="72C4A831" w14:textId="77777777">
      <w:pPr>
        <w:spacing w:after="0" w:line="240" w:lineRule="auto"/>
        <w:contextualSpacing/>
        <w:rPr>
          <w:rFonts w:ascii="Verdana" w:hAnsi="Verdana"/>
          <w:bCs/>
          <w:sz w:val="18"/>
          <w:szCs w:val="18"/>
        </w:rPr>
      </w:pPr>
    </w:p>
    <w:tbl>
      <w:tblPr>
        <w:tblW w:w="5016" w:type="dxa"/>
        <w:tblCellMar>
          <w:left w:w="70" w:type="dxa"/>
          <w:right w:w="70" w:type="dxa"/>
        </w:tblCellMar>
        <w:tblLook w:val="04A0" w:firstRow="1" w:lastRow="0" w:firstColumn="1" w:lastColumn="0" w:noHBand="0" w:noVBand="1"/>
      </w:tblPr>
      <w:tblGrid>
        <w:gridCol w:w="1936"/>
        <w:gridCol w:w="836"/>
        <w:gridCol w:w="836"/>
        <w:gridCol w:w="836"/>
        <w:gridCol w:w="836"/>
        <w:gridCol w:w="836"/>
      </w:tblGrid>
      <w:tr w:rsidRPr="00C5308E" w:rsidR="00F848D5" w:rsidTr="009A5C63" w14:paraId="45B7952C" w14:textId="77777777">
        <w:trPr>
          <w:trHeight w:val="255"/>
        </w:trPr>
        <w:tc>
          <w:tcPr>
            <w:tcW w:w="836" w:type="dxa"/>
            <w:tcBorders>
              <w:top w:val="nil"/>
              <w:left w:val="nil"/>
              <w:bottom w:val="single" w:color="auto" w:sz="4" w:space="0"/>
              <w:right w:val="single" w:color="auto" w:sz="4" w:space="0"/>
            </w:tcBorders>
            <w:vAlign w:val="center"/>
          </w:tcPr>
          <w:p w:rsidRPr="00C5308E" w:rsidR="00F848D5" w:rsidP="00D87753" w:rsidRDefault="00F848D5" w14:paraId="7D75439A"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CEP 2025</w:t>
            </w:r>
          </w:p>
        </w:tc>
        <w:tc>
          <w:tcPr>
            <w:tcW w:w="836" w:type="dxa"/>
            <w:tcBorders>
              <w:top w:val="nil"/>
              <w:left w:val="single" w:color="auto" w:sz="4" w:space="0"/>
              <w:bottom w:val="single" w:color="auto" w:sz="4" w:space="0"/>
              <w:right w:val="nil"/>
            </w:tcBorders>
            <w:shd w:val="clear" w:color="auto" w:fill="auto"/>
            <w:noWrap/>
            <w:vAlign w:val="center"/>
          </w:tcPr>
          <w:p w:rsidRPr="00C5308E" w:rsidR="00F848D5" w:rsidP="00D87753" w:rsidRDefault="00F848D5" w14:paraId="16AF690D"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2025</w:t>
            </w:r>
          </w:p>
        </w:tc>
        <w:tc>
          <w:tcPr>
            <w:tcW w:w="836" w:type="dxa"/>
            <w:tcBorders>
              <w:top w:val="nil"/>
              <w:left w:val="nil"/>
              <w:bottom w:val="single" w:color="auto" w:sz="4" w:space="0"/>
              <w:right w:val="nil"/>
            </w:tcBorders>
            <w:shd w:val="clear" w:color="auto" w:fill="auto"/>
            <w:noWrap/>
            <w:vAlign w:val="center"/>
          </w:tcPr>
          <w:p w:rsidRPr="00C5308E" w:rsidR="00F848D5" w:rsidP="00D87753" w:rsidRDefault="00F848D5" w14:paraId="625DE62C"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2026</w:t>
            </w:r>
          </w:p>
        </w:tc>
        <w:tc>
          <w:tcPr>
            <w:tcW w:w="836" w:type="dxa"/>
            <w:tcBorders>
              <w:top w:val="nil"/>
              <w:left w:val="nil"/>
              <w:bottom w:val="single" w:color="auto" w:sz="4" w:space="0"/>
              <w:right w:val="nil"/>
            </w:tcBorders>
            <w:shd w:val="clear" w:color="auto" w:fill="auto"/>
            <w:noWrap/>
            <w:vAlign w:val="center"/>
          </w:tcPr>
          <w:p w:rsidRPr="00C5308E" w:rsidR="00F848D5" w:rsidP="00D87753" w:rsidRDefault="00F848D5" w14:paraId="475406A4"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2027</w:t>
            </w:r>
          </w:p>
        </w:tc>
        <w:tc>
          <w:tcPr>
            <w:tcW w:w="836" w:type="dxa"/>
            <w:tcBorders>
              <w:top w:val="nil"/>
              <w:left w:val="nil"/>
              <w:bottom w:val="single" w:color="auto" w:sz="4" w:space="0"/>
              <w:right w:val="nil"/>
            </w:tcBorders>
            <w:shd w:val="clear" w:color="auto" w:fill="auto"/>
            <w:noWrap/>
            <w:vAlign w:val="center"/>
          </w:tcPr>
          <w:p w:rsidRPr="00C5308E" w:rsidR="00F848D5" w:rsidP="00D87753" w:rsidRDefault="00F848D5" w14:paraId="7D8FA78D"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2028</w:t>
            </w:r>
          </w:p>
        </w:tc>
        <w:tc>
          <w:tcPr>
            <w:tcW w:w="836" w:type="dxa"/>
            <w:tcBorders>
              <w:top w:val="nil"/>
              <w:left w:val="nil"/>
              <w:bottom w:val="single" w:color="auto" w:sz="4" w:space="0"/>
              <w:right w:val="nil"/>
            </w:tcBorders>
            <w:shd w:val="clear" w:color="auto" w:fill="auto"/>
            <w:noWrap/>
            <w:vAlign w:val="center"/>
          </w:tcPr>
          <w:p w:rsidRPr="00C5308E" w:rsidR="00F848D5" w:rsidP="00D87753" w:rsidRDefault="00F848D5" w14:paraId="0B1BD498"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2029</w:t>
            </w:r>
          </w:p>
        </w:tc>
      </w:tr>
      <w:tr w:rsidRPr="00C5308E" w:rsidR="00F848D5" w:rsidTr="009A5C63" w14:paraId="03753BF2" w14:textId="77777777">
        <w:trPr>
          <w:trHeight w:val="255"/>
        </w:trPr>
        <w:tc>
          <w:tcPr>
            <w:tcW w:w="836" w:type="dxa"/>
            <w:tcBorders>
              <w:top w:val="single" w:color="auto" w:sz="4" w:space="0"/>
              <w:left w:val="nil"/>
              <w:bottom w:val="nil"/>
              <w:right w:val="single" w:color="auto" w:sz="4" w:space="0"/>
            </w:tcBorders>
            <w:vAlign w:val="center"/>
          </w:tcPr>
          <w:p w:rsidRPr="00C5308E" w:rsidR="00F848D5" w:rsidP="00D87753" w:rsidRDefault="00F848D5" w14:paraId="2EE29D8A"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Tabelcorrectiefactor</w:t>
            </w:r>
          </w:p>
        </w:tc>
        <w:tc>
          <w:tcPr>
            <w:tcW w:w="836" w:type="dxa"/>
            <w:tcBorders>
              <w:top w:val="single" w:color="auto" w:sz="4" w:space="0"/>
              <w:left w:val="single" w:color="auto" w:sz="4" w:space="0"/>
              <w:bottom w:val="nil"/>
              <w:right w:val="nil"/>
            </w:tcBorders>
            <w:shd w:val="clear" w:color="auto" w:fill="auto"/>
            <w:noWrap/>
            <w:vAlign w:val="center"/>
            <w:hideMark/>
          </w:tcPr>
          <w:p w:rsidRPr="00C5308E" w:rsidR="00F848D5" w:rsidP="00D87753" w:rsidRDefault="00F848D5" w14:paraId="46C287D5"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1,20%</w:t>
            </w:r>
          </w:p>
        </w:tc>
        <w:tc>
          <w:tcPr>
            <w:tcW w:w="836" w:type="dxa"/>
            <w:tcBorders>
              <w:top w:val="single" w:color="auto" w:sz="4" w:space="0"/>
              <w:left w:val="nil"/>
              <w:bottom w:val="nil"/>
              <w:right w:val="nil"/>
            </w:tcBorders>
            <w:shd w:val="clear" w:color="auto" w:fill="auto"/>
            <w:noWrap/>
            <w:vAlign w:val="center"/>
            <w:hideMark/>
          </w:tcPr>
          <w:p w:rsidRPr="00C5308E" w:rsidR="00F848D5" w:rsidP="00D87753" w:rsidRDefault="00F848D5" w14:paraId="2FE1C1E8"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2,60%</w:t>
            </w:r>
          </w:p>
        </w:tc>
        <w:tc>
          <w:tcPr>
            <w:tcW w:w="836" w:type="dxa"/>
            <w:tcBorders>
              <w:top w:val="single" w:color="auto" w:sz="4" w:space="0"/>
              <w:left w:val="nil"/>
              <w:bottom w:val="nil"/>
              <w:right w:val="nil"/>
            </w:tcBorders>
            <w:shd w:val="clear" w:color="auto" w:fill="auto"/>
            <w:noWrap/>
            <w:vAlign w:val="center"/>
            <w:hideMark/>
          </w:tcPr>
          <w:p w:rsidRPr="00C5308E" w:rsidR="00F848D5" w:rsidP="00D87753" w:rsidRDefault="00F848D5" w14:paraId="02D8BEB9"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2,80%</w:t>
            </w:r>
          </w:p>
        </w:tc>
        <w:tc>
          <w:tcPr>
            <w:tcW w:w="836" w:type="dxa"/>
            <w:tcBorders>
              <w:top w:val="single" w:color="auto" w:sz="4" w:space="0"/>
              <w:left w:val="nil"/>
              <w:bottom w:val="nil"/>
              <w:right w:val="nil"/>
            </w:tcBorders>
            <w:shd w:val="clear" w:color="auto" w:fill="auto"/>
            <w:noWrap/>
            <w:vAlign w:val="center"/>
            <w:hideMark/>
          </w:tcPr>
          <w:p w:rsidRPr="00C5308E" w:rsidR="00F848D5" w:rsidP="00D87753" w:rsidRDefault="00F848D5" w14:paraId="50195FBA"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1,90%</w:t>
            </w:r>
          </w:p>
        </w:tc>
        <w:tc>
          <w:tcPr>
            <w:tcW w:w="836" w:type="dxa"/>
            <w:tcBorders>
              <w:top w:val="single" w:color="auto" w:sz="4" w:space="0"/>
              <w:left w:val="nil"/>
              <w:bottom w:val="nil"/>
              <w:right w:val="nil"/>
            </w:tcBorders>
            <w:shd w:val="clear" w:color="auto" w:fill="auto"/>
            <w:noWrap/>
            <w:vAlign w:val="center"/>
            <w:hideMark/>
          </w:tcPr>
          <w:p w:rsidRPr="00C5308E" w:rsidR="00F848D5" w:rsidP="00D87753" w:rsidRDefault="00F848D5" w14:paraId="787A35F7"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2,20%</w:t>
            </w:r>
          </w:p>
        </w:tc>
      </w:tr>
    </w:tbl>
    <w:p w:rsidRPr="00C5308E" w:rsidR="00F848D5" w:rsidP="00D87753" w:rsidRDefault="00F848D5" w14:paraId="43896617" w14:textId="77777777">
      <w:pPr>
        <w:spacing w:after="0" w:line="240" w:lineRule="auto"/>
        <w:contextualSpacing/>
        <w:rPr>
          <w:rFonts w:ascii="Verdana" w:hAnsi="Verdana"/>
          <w:bCs/>
          <w:sz w:val="18"/>
          <w:szCs w:val="18"/>
        </w:rPr>
      </w:pPr>
    </w:p>
    <w:p w:rsidRPr="00C5308E" w:rsidR="007E203F" w:rsidP="00D87753" w:rsidRDefault="007E203F" w14:paraId="244A5FCE" w14:textId="6307131D">
      <w:pPr>
        <w:spacing w:after="0" w:line="240" w:lineRule="auto"/>
        <w:contextualSpacing/>
        <w:rPr>
          <w:rFonts w:ascii="Verdana" w:hAnsi="Verdana"/>
          <w:bCs/>
          <w:sz w:val="18"/>
          <w:szCs w:val="18"/>
          <w:u w:val="single"/>
        </w:rPr>
      </w:pPr>
      <w:r w:rsidRPr="00C5308E">
        <w:rPr>
          <w:rFonts w:ascii="Verdana" w:hAnsi="Verdana"/>
          <w:bCs/>
          <w:sz w:val="18"/>
          <w:szCs w:val="18"/>
          <w:u w:val="single"/>
        </w:rPr>
        <w:t>Vraag 7</w:t>
      </w:r>
    </w:p>
    <w:p w:rsidRPr="00C5308E" w:rsidR="007E203F" w:rsidP="00D87753" w:rsidRDefault="007E203F" w14:paraId="3E5353DB" w14:textId="77777777">
      <w:pPr>
        <w:spacing w:after="0" w:line="240" w:lineRule="auto"/>
        <w:contextualSpacing/>
        <w:rPr>
          <w:rFonts w:ascii="Verdana" w:hAnsi="Verdana"/>
          <w:bCs/>
          <w:sz w:val="18"/>
          <w:szCs w:val="18"/>
        </w:rPr>
      </w:pPr>
      <w:r w:rsidRPr="00C5308E">
        <w:rPr>
          <w:rFonts w:ascii="Verdana" w:hAnsi="Verdana"/>
          <w:bCs/>
          <w:sz w:val="18"/>
          <w:szCs w:val="18"/>
        </w:rPr>
        <w:t>Gebruikt het ministerie of uitvoeringsinstanties algoritmes bij de uitvoering van het werk? Kunt u een limitatieve lijst geven?</w:t>
      </w:r>
    </w:p>
    <w:p w:rsidRPr="00C5308E" w:rsidR="007E203F" w:rsidP="00D87753" w:rsidRDefault="007E203F" w14:paraId="1DC4DC11" w14:textId="77777777">
      <w:pPr>
        <w:spacing w:after="0" w:line="240" w:lineRule="auto"/>
        <w:contextualSpacing/>
        <w:rPr>
          <w:rFonts w:ascii="Verdana" w:hAnsi="Verdana"/>
          <w:bCs/>
          <w:sz w:val="18"/>
          <w:szCs w:val="18"/>
          <w:u w:val="single"/>
        </w:rPr>
      </w:pPr>
    </w:p>
    <w:p w:rsidRPr="00C5308E" w:rsidR="007E203F" w:rsidP="00D87753" w:rsidRDefault="007E203F" w14:paraId="243B340C" w14:textId="0D1CB646">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w:t>
      </w:r>
    </w:p>
    <w:p w:rsidRPr="00C5308E" w:rsidR="007E203F" w:rsidP="00D87753" w:rsidRDefault="007E203F" w14:paraId="0E4868DC" w14:textId="77777777">
      <w:pPr>
        <w:spacing w:after="0" w:line="240" w:lineRule="auto"/>
        <w:contextualSpacing/>
        <w:rPr>
          <w:rFonts w:ascii="Verdana" w:hAnsi="Verdana"/>
          <w:bCs/>
          <w:sz w:val="18"/>
          <w:szCs w:val="18"/>
        </w:rPr>
      </w:pPr>
      <w:r w:rsidRPr="00C5308E">
        <w:rPr>
          <w:rFonts w:ascii="Verdana" w:hAnsi="Verdana"/>
          <w:bCs/>
          <w:sz w:val="18"/>
          <w:szCs w:val="18"/>
        </w:rPr>
        <w:t xml:space="preserve">Ja, zowel SZW als de uitvoeringsorganisaties gebruiken algoritmes. </w:t>
      </w:r>
    </w:p>
    <w:p w:rsidRPr="00C5308E" w:rsidR="007E203F" w:rsidP="00D87753" w:rsidRDefault="007E203F" w14:paraId="0AEB71C1" w14:textId="6A4D2D40">
      <w:pPr>
        <w:spacing w:after="0" w:line="240" w:lineRule="auto"/>
        <w:contextualSpacing/>
        <w:rPr>
          <w:rFonts w:ascii="Verdana" w:hAnsi="Verdana"/>
          <w:bCs/>
          <w:sz w:val="18"/>
          <w:szCs w:val="18"/>
        </w:rPr>
      </w:pPr>
      <w:r w:rsidRPr="00C5308E">
        <w:rPr>
          <w:rFonts w:ascii="Verdana" w:hAnsi="Verdana"/>
          <w:bCs/>
          <w:sz w:val="18"/>
          <w:szCs w:val="18"/>
        </w:rPr>
        <w:t xml:space="preserve">De onderstaande lijst met de actuele algoritmes per organisatie is gepubliceerd in het </w:t>
      </w:r>
      <w:r w:rsidRPr="00C5308E" w:rsidR="00903729">
        <w:rPr>
          <w:rFonts w:ascii="Verdana" w:hAnsi="Verdana"/>
          <w:bCs/>
          <w:sz w:val="18"/>
          <w:szCs w:val="18"/>
        </w:rPr>
        <w:t>R</w:t>
      </w:r>
      <w:r w:rsidRPr="00C5308E">
        <w:rPr>
          <w:rFonts w:ascii="Verdana" w:hAnsi="Verdana"/>
          <w:bCs/>
          <w:sz w:val="18"/>
          <w:szCs w:val="18"/>
        </w:rPr>
        <w:t>ijksbrede algoritmenregister:</w:t>
      </w:r>
    </w:p>
    <w:p w:rsidRPr="00C5308E" w:rsidR="007E203F" w:rsidP="00D87753" w:rsidRDefault="007E203F" w14:paraId="0577A493" w14:textId="77777777">
      <w:pPr>
        <w:spacing w:after="0" w:line="240" w:lineRule="auto"/>
        <w:contextualSpacing/>
        <w:rPr>
          <w:rFonts w:ascii="Verdana" w:hAnsi="Verdana"/>
          <w:bCs/>
          <w:sz w:val="18"/>
          <w:szCs w:val="18"/>
        </w:rPr>
      </w:pPr>
    </w:p>
    <w:p w:rsidRPr="00C5308E" w:rsidR="007E203F" w:rsidP="00D87753" w:rsidRDefault="007E203F" w14:paraId="59F15C5D" w14:textId="77777777">
      <w:pPr>
        <w:spacing w:after="0" w:line="240" w:lineRule="auto"/>
        <w:contextualSpacing/>
        <w:rPr>
          <w:rFonts w:ascii="Verdana" w:hAnsi="Verdana"/>
          <w:b/>
          <w:sz w:val="18"/>
          <w:szCs w:val="18"/>
        </w:rPr>
      </w:pPr>
      <w:r w:rsidRPr="00C5308E">
        <w:rPr>
          <w:rFonts w:ascii="Verdana" w:hAnsi="Verdana"/>
          <w:b/>
          <w:sz w:val="18"/>
          <w:szCs w:val="18"/>
        </w:rPr>
        <w:t xml:space="preserve">Ministerie SZW </w:t>
      </w:r>
    </w:p>
    <w:p w:rsidRPr="00C5308E" w:rsidR="007E203F" w:rsidP="0069784D" w:rsidRDefault="007E203F" w14:paraId="1B714822" w14:textId="77777777">
      <w:pPr>
        <w:pStyle w:val="Lijstalinea"/>
        <w:numPr>
          <w:ilvl w:val="0"/>
          <w:numId w:val="8"/>
        </w:numPr>
        <w:spacing w:after="0" w:line="240" w:lineRule="auto"/>
        <w:rPr>
          <w:bCs/>
          <w:szCs w:val="18"/>
          <w:lang w:val="nl-NL"/>
        </w:rPr>
      </w:pPr>
      <w:r w:rsidRPr="00C5308E">
        <w:rPr>
          <w:bCs/>
          <w:szCs w:val="18"/>
          <w:lang w:val="nl-NL"/>
        </w:rPr>
        <w:t>Risicomodel omzetdaling NOW</w:t>
      </w:r>
    </w:p>
    <w:p w:rsidRPr="00C5308E" w:rsidR="007E203F" w:rsidP="00D87753" w:rsidRDefault="007E203F" w14:paraId="63E90CDA" w14:textId="77777777">
      <w:pPr>
        <w:spacing w:after="0" w:line="240" w:lineRule="auto"/>
        <w:contextualSpacing/>
        <w:rPr>
          <w:rFonts w:ascii="Verdana" w:hAnsi="Verdana"/>
          <w:bCs/>
          <w:sz w:val="18"/>
          <w:szCs w:val="18"/>
        </w:rPr>
      </w:pPr>
    </w:p>
    <w:p w:rsidRPr="00C5308E" w:rsidR="007E203F" w:rsidP="00D87753" w:rsidRDefault="007E203F" w14:paraId="7E9EF27D" w14:textId="77777777">
      <w:pPr>
        <w:spacing w:after="0" w:line="240" w:lineRule="auto"/>
        <w:contextualSpacing/>
        <w:rPr>
          <w:rFonts w:ascii="Verdana" w:hAnsi="Verdana"/>
          <w:b/>
          <w:sz w:val="18"/>
          <w:szCs w:val="18"/>
        </w:rPr>
      </w:pPr>
      <w:r w:rsidRPr="00C5308E">
        <w:rPr>
          <w:rFonts w:ascii="Verdana" w:hAnsi="Verdana"/>
          <w:b/>
          <w:sz w:val="18"/>
          <w:szCs w:val="18"/>
        </w:rPr>
        <w:t>UWV</w:t>
      </w:r>
    </w:p>
    <w:p w:rsidRPr="00C5308E" w:rsidR="007E203F" w:rsidP="0069784D" w:rsidRDefault="007E203F" w14:paraId="32C9A9CF"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Claim Beoordelings- en Borgingssysteem (CBBS)</w:t>
      </w:r>
    </w:p>
    <w:p w:rsidRPr="00C5308E" w:rsidR="007E203F" w:rsidP="0069784D" w:rsidRDefault="007E203F" w14:paraId="7D844289"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Vaststellingsmodel regres</w:t>
      </w:r>
    </w:p>
    <w:p w:rsidRPr="00C5308E" w:rsidR="007E203F" w:rsidP="0069784D" w:rsidRDefault="007E203F" w14:paraId="55F987E4"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Maatwerkscan</w:t>
      </w:r>
    </w:p>
    <w:p w:rsidRPr="00C5308E" w:rsidR="007E203F" w:rsidP="0069784D" w:rsidRDefault="007E203F" w14:paraId="60DF150F"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Klantapplicatie WW</w:t>
      </w:r>
    </w:p>
    <w:p w:rsidRPr="00C5308E" w:rsidR="007E203F" w:rsidP="0069784D" w:rsidRDefault="007E203F" w14:paraId="6937DB7B"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Werkverkenner</w:t>
      </w:r>
    </w:p>
    <w:p w:rsidRPr="00C5308E" w:rsidR="007E203F" w:rsidP="0069784D" w:rsidRDefault="007E203F" w14:paraId="1EEBE144"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Sollicitatiescan WW</w:t>
      </w:r>
    </w:p>
    <w:p w:rsidRPr="00C5308E" w:rsidR="007E203F" w:rsidP="0069784D" w:rsidRDefault="007E203F" w14:paraId="5A2DB08A"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Risicoscan Verwijtbare Werkloosheid</w:t>
      </w:r>
    </w:p>
    <w:p w:rsidRPr="00C5308E" w:rsidR="007E203F" w:rsidP="0069784D" w:rsidRDefault="007E203F" w14:paraId="25DA78DF"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Kandidatenverkenner banenafspraak (KVB)</w:t>
      </w:r>
    </w:p>
    <w:p w:rsidRPr="00C5308E" w:rsidR="007E203F" w:rsidP="0069784D" w:rsidRDefault="007E203F" w14:paraId="495BDB94"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Digitale vragenlijst ziekmelding</w:t>
      </w:r>
    </w:p>
    <w:p w:rsidRPr="00C5308E" w:rsidR="007E203F" w:rsidP="0069784D" w:rsidRDefault="007E203F" w14:paraId="64038B10" w14:textId="77777777">
      <w:pPr>
        <w:pStyle w:val="Geenafstand"/>
        <w:numPr>
          <w:ilvl w:val="0"/>
          <w:numId w:val="9"/>
        </w:numPr>
        <w:contextualSpacing/>
        <w:rPr>
          <w:rFonts w:ascii="Verdana" w:hAnsi="Verdana"/>
          <w:bCs/>
          <w:sz w:val="18"/>
          <w:szCs w:val="18"/>
        </w:rPr>
      </w:pPr>
      <w:r w:rsidRPr="00C5308E">
        <w:rPr>
          <w:rFonts w:ascii="Verdana" w:hAnsi="Verdana"/>
          <w:bCs/>
          <w:sz w:val="18"/>
          <w:szCs w:val="18"/>
        </w:rPr>
        <w:t>Klantonderzoeken</w:t>
      </w:r>
    </w:p>
    <w:p w:rsidRPr="00C5308E" w:rsidR="007E203F" w:rsidP="00D87753" w:rsidRDefault="007E203F" w14:paraId="76FADDE5" w14:textId="77777777">
      <w:pPr>
        <w:spacing w:after="0" w:line="240" w:lineRule="auto"/>
        <w:contextualSpacing/>
        <w:rPr>
          <w:rFonts w:ascii="Verdana" w:hAnsi="Verdana"/>
          <w:bCs/>
          <w:sz w:val="18"/>
          <w:szCs w:val="18"/>
        </w:rPr>
      </w:pPr>
    </w:p>
    <w:p w:rsidRPr="00C5308E" w:rsidR="007E203F" w:rsidP="00D87753" w:rsidRDefault="007E203F" w14:paraId="111F886A" w14:textId="77777777">
      <w:pPr>
        <w:spacing w:after="0" w:line="240" w:lineRule="auto"/>
        <w:contextualSpacing/>
        <w:rPr>
          <w:rFonts w:ascii="Verdana" w:hAnsi="Verdana"/>
          <w:b/>
          <w:sz w:val="18"/>
          <w:szCs w:val="18"/>
        </w:rPr>
      </w:pPr>
      <w:r w:rsidRPr="00C5308E">
        <w:rPr>
          <w:rFonts w:ascii="Verdana" w:hAnsi="Verdana"/>
          <w:b/>
          <w:sz w:val="18"/>
          <w:szCs w:val="18"/>
        </w:rPr>
        <w:t>SVB</w:t>
      </w:r>
    </w:p>
    <w:p w:rsidRPr="00C5308E" w:rsidR="007E203F" w:rsidP="0069784D" w:rsidRDefault="007E203F" w14:paraId="01C1057B" w14:textId="77777777">
      <w:pPr>
        <w:pStyle w:val="Lijstalinea"/>
        <w:numPr>
          <w:ilvl w:val="0"/>
          <w:numId w:val="10"/>
        </w:numPr>
        <w:spacing w:after="0" w:line="240" w:lineRule="auto"/>
        <w:rPr>
          <w:bCs/>
          <w:szCs w:val="18"/>
          <w:lang w:val="nl-NL"/>
        </w:rPr>
      </w:pPr>
      <w:r w:rsidRPr="00C5308E">
        <w:rPr>
          <w:bCs/>
          <w:szCs w:val="18"/>
          <w:lang w:val="nl-NL"/>
        </w:rPr>
        <w:t>Beoordeling AOW-verstrekking</w:t>
      </w:r>
    </w:p>
    <w:p w:rsidRPr="00C5308E" w:rsidR="007E203F" w:rsidP="0069784D" w:rsidRDefault="007E203F" w14:paraId="64FBF149" w14:textId="77777777">
      <w:pPr>
        <w:pStyle w:val="Lijstalinea"/>
        <w:numPr>
          <w:ilvl w:val="0"/>
          <w:numId w:val="10"/>
        </w:numPr>
        <w:spacing w:after="0" w:line="240" w:lineRule="auto"/>
        <w:rPr>
          <w:bCs/>
          <w:szCs w:val="18"/>
          <w:lang w:val="nl-NL"/>
        </w:rPr>
      </w:pPr>
      <w:r w:rsidRPr="00C5308E">
        <w:rPr>
          <w:bCs/>
          <w:szCs w:val="18"/>
          <w:lang w:val="nl-NL"/>
        </w:rPr>
        <w:t>kinderbijslag</w:t>
      </w:r>
    </w:p>
    <w:p w:rsidRPr="00C5308E" w:rsidR="007E203F" w:rsidP="0069784D" w:rsidRDefault="007E203F" w14:paraId="306460CE" w14:textId="77777777">
      <w:pPr>
        <w:pStyle w:val="Lijstalinea"/>
        <w:numPr>
          <w:ilvl w:val="0"/>
          <w:numId w:val="10"/>
        </w:numPr>
        <w:spacing w:after="0" w:line="240" w:lineRule="auto"/>
        <w:rPr>
          <w:bCs/>
          <w:szCs w:val="18"/>
          <w:lang w:val="nl-NL"/>
        </w:rPr>
      </w:pPr>
      <w:r w:rsidRPr="00C5308E">
        <w:rPr>
          <w:bCs/>
          <w:szCs w:val="18"/>
          <w:lang w:val="nl-NL"/>
        </w:rPr>
        <w:t>AIO-aanvulling</w:t>
      </w:r>
    </w:p>
    <w:p w:rsidRPr="00C5308E" w:rsidR="007E203F" w:rsidP="0069784D" w:rsidRDefault="00903729" w14:paraId="15E27CCE" w14:textId="2DCDD2DB">
      <w:pPr>
        <w:pStyle w:val="Lijstalinea"/>
        <w:numPr>
          <w:ilvl w:val="0"/>
          <w:numId w:val="10"/>
        </w:numPr>
        <w:spacing w:after="0" w:line="240" w:lineRule="auto"/>
        <w:rPr>
          <w:bCs/>
          <w:szCs w:val="18"/>
          <w:lang w:val="nl-NL"/>
        </w:rPr>
      </w:pPr>
      <w:r w:rsidRPr="00C5308E">
        <w:rPr>
          <w:bCs/>
          <w:szCs w:val="18"/>
          <w:lang w:val="nl-NL"/>
        </w:rPr>
        <w:t>S</w:t>
      </w:r>
      <w:r w:rsidRPr="00C5308E" w:rsidR="007E203F">
        <w:rPr>
          <w:bCs/>
          <w:szCs w:val="18"/>
          <w:lang w:val="nl-NL"/>
        </w:rPr>
        <w:t>ancties</w:t>
      </w:r>
    </w:p>
    <w:p w:rsidRPr="00C5308E" w:rsidR="007E203F" w:rsidP="0069784D" w:rsidRDefault="00903729" w14:paraId="2CDAA6A1" w14:textId="4C1EF6E5">
      <w:pPr>
        <w:pStyle w:val="Lijstalinea"/>
        <w:numPr>
          <w:ilvl w:val="0"/>
          <w:numId w:val="10"/>
        </w:numPr>
        <w:spacing w:after="0" w:line="240" w:lineRule="auto"/>
        <w:rPr>
          <w:bCs/>
          <w:szCs w:val="18"/>
          <w:lang w:val="nl-NL"/>
        </w:rPr>
      </w:pPr>
      <w:r w:rsidRPr="00C5308E">
        <w:rPr>
          <w:bCs/>
          <w:szCs w:val="18"/>
          <w:lang w:val="nl-NL"/>
        </w:rPr>
        <w:t>V</w:t>
      </w:r>
      <w:r w:rsidRPr="00C5308E" w:rsidR="007E203F">
        <w:rPr>
          <w:bCs/>
          <w:szCs w:val="18"/>
          <w:lang w:val="nl-NL"/>
        </w:rPr>
        <w:t>rijwillige verzekering AOW en Anw</w:t>
      </w:r>
    </w:p>
    <w:p w:rsidRPr="00C5308E" w:rsidR="007E203F" w:rsidP="0069784D" w:rsidRDefault="007E203F" w14:paraId="5B374661" w14:textId="77777777">
      <w:pPr>
        <w:pStyle w:val="Lijstalinea"/>
        <w:numPr>
          <w:ilvl w:val="0"/>
          <w:numId w:val="10"/>
        </w:numPr>
        <w:spacing w:after="0" w:line="240" w:lineRule="auto"/>
        <w:rPr>
          <w:bCs/>
          <w:szCs w:val="18"/>
          <w:lang w:val="nl-NL"/>
        </w:rPr>
      </w:pPr>
      <w:r w:rsidRPr="00C5308E">
        <w:rPr>
          <w:bCs/>
          <w:szCs w:val="18"/>
          <w:lang w:val="nl-NL"/>
        </w:rPr>
        <w:t>Preventie &amp; Handhaving SWAN</w:t>
      </w:r>
    </w:p>
    <w:p w:rsidRPr="00C5308E" w:rsidR="007E203F" w:rsidP="0069784D" w:rsidRDefault="007E203F" w14:paraId="7293D38C" w14:textId="77777777">
      <w:pPr>
        <w:pStyle w:val="Lijstalinea"/>
        <w:numPr>
          <w:ilvl w:val="0"/>
          <w:numId w:val="10"/>
        </w:numPr>
        <w:spacing w:after="0" w:line="240" w:lineRule="auto"/>
        <w:rPr>
          <w:bCs/>
          <w:szCs w:val="18"/>
          <w:lang w:val="nl-NL"/>
        </w:rPr>
      </w:pPr>
      <w:r w:rsidRPr="00C5308E">
        <w:rPr>
          <w:bCs/>
          <w:szCs w:val="18"/>
          <w:lang w:val="nl-NL"/>
        </w:rPr>
        <w:t>Preventie &amp; Handhaving Risicogericht onderzoek</w:t>
      </w:r>
    </w:p>
    <w:p w:rsidRPr="00C5308E" w:rsidR="007E203F" w:rsidP="00D87753" w:rsidRDefault="007E203F" w14:paraId="2C2799AC" w14:textId="77777777">
      <w:pPr>
        <w:spacing w:after="0" w:line="240" w:lineRule="auto"/>
        <w:contextualSpacing/>
        <w:rPr>
          <w:rFonts w:ascii="Verdana" w:hAnsi="Verdana"/>
          <w:bCs/>
          <w:sz w:val="18"/>
          <w:szCs w:val="18"/>
        </w:rPr>
      </w:pPr>
    </w:p>
    <w:p w:rsidRPr="00C5308E" w:rsidR="007E203F" w:rsidP="00D87753" w:rsidRDefault="007E203F" w14:paraId="063F200C" w14:textId="77777777">
      <w:pPr>
        <w:spacing w:after="0" w:line="240" w:lineRule="auto"/>
        <w:contextualSpacing/>
        <w:rPr>
          <w:rFonts w:ascii="Verdana" w:hAnsi="Verdana"/>
          <w:b/>
          <w:sz w:val="18"/>
          <w:szCs w:val="18"/>
        </w:rPr>
      </w:pPr>
      <w:bookmarkStart w:name="_Hlk198889983" w:id="2"/>
      <w:r w:rsidRPr="00C5308E">
        <w:rPr>
          <w:rFonts w:ascii="Verdana" w:hAnsi="Verdana"/>
          <w:b/>
          <w:sz w:val="18"/>
          <w:szCs w:val="18"/>
        </w:rPr>
        <w:t>IB</w:t>
      </w:r>
    </w:p>
    <w:p w:rsidRPr="00C5308E" w:rsidR="007E203F" w:rsidP="0069784D" w:rsidRDefault="007E203F" w14:paraId="3EBD278E" w14:textId="77777777">
      <w:pPr>
        <w:pStyle w:val="Lijstalinea"/>
        <w:numPr>
          <w:ilvl w:val="0"/>
          <w:numId w:val="11"/>
        </w:numPr>
        <w:spacing w:after="0" w:line="240" w:lineRule="auto"/>
        <w:rPr>
          <w:bCs/>
          <w:szCs w:val="18"/>
          <w:lang w:val="nl-NL"/>
        </w:rPr>
      </w:pPr>
      <w:r w:rsidRPr="00C5308E">
        <w:rPr>
          <w:bCs/>
          <w:szCs w:val="18"/>
          <w:lang w:val="nl-NL"/>
        </w:rPr>
        <w:t>Signaal vermogen saldo/rente</w:t>
      </w:r>
    </w:p>
    <w:p w:rsidRPr="00C5308E" w:rsidR="007E203F" w:rsidP="0069784D" w:rsidRDefault="007E203F" w14:paraId="79A33917" w14:textId="77777777">
      <w:pPr>
        <w:pStyle w:val="Lijstalinea"/>
        <w:numPr>
          <w:ilvl w:val="0"/>
          <w:numId w:val="11"/>
        </w:numPr>
        <w:spacing w:after="0" w:line="240" w:lineRule="auto"/>
        <w:rPr>
          <w:bCs/>
          <w:szCs w:val="18"/>
          <w:lang w:val="nl-NL"/>
        </w:rPr>
      </w:pPr>
      <w:r w:rsidRPr="00C5308E">
        <w:rPr>
          <w:bCs/>
          <w:szCs w:val="18"/>
          <w:lang w:val="nl-NL"/>
        </w:rPr>
        <w:t>Signaal vermogen Box 3</w:t>
      </w:r>
    </w:p>
    <w:p w:rsidRPr="00C5308E" w:rsidR="007E203F" w:rsidP="0069784D" w:rsidRDefault="007E203F" w14:paraId="05D224A4" w14:textId="77777777">
      <w:pPr>
        <w:pStyle w:val="Lijstalinea"/>
        <w:numPr>
          <w:ilvl w:val="0"/>
          <w:numId w:val="11"/>
        </w:numPr>
        <w:spacing w:after="0" w:line="240" w:lineRule="auto"/>
        <w:rPr>
          <w:bCs/>
          <w:szCs w:val="18"/>
          <w:lang w:val="nl-NL"/>
        </w:rPr>
      </w:pPr>
      <w:r w:rsidRPr="00C5308E">
        <w:rPr>
          <w:bCs/>
          <w:szCs w:val="18"/>
          <w:lang w:val="nl-NL"/>
        </w:rPr>
        <w:t>Signaal Heffingskortingen</w:t>
      </w:r>
    </w:p>
    <w:p w:rsidRPr="00C5308E" w:rsidR="007E203F" w:rsidP="0069784D" w:rsidRDefault="007E203F" w14:paraId="69D44FAA" w14:textId="77777777">
      <w:pPr>
        <w:pStyle w:val="Lijstalinea"/>
        <w:numPr>
          <w:ilvl w:val="0"/>
          <w:numId w:val="11"/>
        </w:numPr>
        <w:spacing w:after="0" w:line="240" w:lineRule="auto"/>
        <w:rPr>
          <w:bCs/>
          <w:szCs w:val="18"/>
          <w:lang w:val="nl-NL"/>
        </w:rPr>
      </w:pPr>
      <w:r w:rsidRPr="00C5308E">
        <w:rPr>
          <w:bCs/>
          <w:szCs w:val="18"/>
          <w:lang w:val="nl-NL"/>
        </w:rPr>
        <w:t>Signaal Kostendelers</w:t>
      </w:r>
    </w:p>
    <w:p w:rsidRPr="00C5308E" w:rsidR="007E203F" w:rsidP="0069784D" w:rsidRDefault="007E203F" w14:paraId="11010D6B" w14:textId="77777777">
      <w:pPr>
        <w:pStyle w:val="Lijstalinea"/>
        <w:numPr>
          <w:ilvl w:val="0"/>
          <w:numId w:val="11"/>
        </w:numPr>
        <w:spacing w:after="0" w:line="240" w:lineRule="auto"/>
        <w:rPr>
          <w:bCs/>
          <w:szCs w:val="18"/>
          <w:lang w:val="nl-NL"/>
        </w:rPr>
      </w:pPr>
      <w:r w:rsidRPr="00C5308E">
        <w:rPr>
          <w:bCs/>
          <w:szCs w:val="18"/>
          <w:lang w:val="nl-NL"/>
        </w:rPr>
        <w:t>Signaal start inkomstenverhouding</w:t>
      </w:r>
    </w:p>
    <w:p w:rsidRPr="00C5308E" w:rsidR="007E203F" w:rsidP="0069784D" w:rsidRDefault="007E203F" w14:paraId="706C817C" w14:textId="77777777">
      <w:pPr>
        <w:pStyle w:val="Lijstalinea"/>
        <w:numPr>
          <w:ilvl w:val="0"/>
          <w:numId w:val="11"/>
        </w:numPr>
        <w:spacing w:after="0" w:line="240" w:lineRule="auto"/>
        <w:rPr>
          <w:bCs/>
          <w:szCs w:val="18"/>
          <w:lang w:val="nl-NL"/>
        </w:rPr>
      </w:pPr>
      <w:r w:rsidRPr="00C5308E">
        <w:rPr>
          <w:bCs/>
          <w:szCs w:val="18"/>
          <w:lang w:val="nl-NL"/>
        </w:rPr>
        <w:t>Signaal ondersteuning inkomstenverrekening bijstand</w:t>
      </w:r>
    </w:p>
    <w:p w:rsidRPr="00C5308E" w:rsidR="007E203F" w:rsidP="0069784D" w:rsidRDefault="007E203F" w14:paraId="0DB0540E" w14:textId="77777777">
      <w:pPr>
        <w:pStyle w:val="Lijstalinea"/>
        <w:numPr>
          <w:ilvl w:val="0"/>
          <w:numId w:val="11"/>
        </w:numPr>
        <w:spacing w:after="0" w:line="240" w:lineRule="auto"/>
        <w:rPr>
          <w:bCs/>
          <w:szCs w:val="18"/>
          <w:lang w:val="nl-NL"/>
        </w:rPr>
      </w:pPr>
      <w:r w:rsidRPr="00C5308E">
        <w:rPr>
          <w:bCs/>
          <w:szCs w:val="18"/>
          <w:lang w:val="nl-NL"/>
        </w:rPr>
        <w:t>Signaal inkomsten Box 1</w:t>
      </w:r>
    </w:p>
    <w:p w:rsidRPr="00C5308E" w:rsidR="007E203F" w:rsidP="0069784D" w:rsidRDefault="007E203F" w14:paraId="4095670A" w14:textId="77777777">
      <w:pPr>
        <w:pStyle w:val="Lijstalinea"/>
        <w:numPr>
          <w:ilvl w:val="0"/>
          <w:numId w:val="11"/>
        </w:numPr>
        <w:spacing w:after="0" w:line="240" w:lineRule="auto"/>
        <w:rPr>
          <w:bCs/>
          <w:szCs w:val="18"/>
          <w:lang w:val="nl-NL"/>
        </w:rPr>
      </w:pPr>
      <w:r w:rsidRPr="00C5308E">
        <w:rPr>
          <w:bCs/>
          <w:szCs w:val="18"/>
          <w:lang w:val="nl-NL"/>
        </w:rPr>
        <w:t>Signaal uitkering andere gemeente</w:t>
      </w:r>
    </w:p>
    <w:p w:rsidRPr="00C5308E" w:rsidR="007E203F" w:rsidP="0069784D" w:rsidRDefault="007E203F" w14:paraId="3E9ECF30" w14:textId="77777777">
      <w:pPr>
        <w:pStyle w:val="Lijstalinea"/>
        <w:numPr>
          <w:ilvl w:val="0"/>
          <w:numId w:val="11"/>
        </w:numPr>
        <w:spacing w:after="0" w:line="240" w:lineRule="auto"/>
        <w:rPr>
          <w:bCs/>
          <w:szCs w:val="18"/>
          <w:lang w:val="nl-NL"/>
        </w:rPr>
      </w:pPr>
      <w:r w:rsidRPr="00C5308E">
        <w:rPr>
          <w:bCs/>
          <w:szCs w:val="18"/>
          <w:lang w:val="nl-NL"/>
        </w:rPr>
        <w:t>Signaal Studiefinanciering</w:t>
      </w:r>
    </w:p>
    <w:p w:rsidRPr="00C5308E" w:rsidR="007E203F" w:rsidP="0069784D" w:rsidRDefault="007E203F" w14:paraId="6D7F3522" w14:textId="77777777">
      <w:pPr>
        <w:pStyle w:val="Lijstalinea"/>
        <w:numPr>
          <w:ilvl w:val="0"/>
          <w:numId w:val="11"/>
        </w:numPr>
        <w:spacing w:after="0" w:line="240" w:lineRule="auto"/>
        <w:rPr>
          <w:bCs/>
          <w:szCs w:val="18"/>
          <w:lang w:val="nl-NL"/>
        </w:rPr>
      </w:pPr>
      <w:r w:rsidRPr="00C5308E">
        <w:rPr>
          <w:bCs/>
          <w:szCs w:val="18"/>
          <w:lang w:val="nl-NL"/>
        </w:rPr>
        <w:t>Signaal voortvluchtige veroordeelden</w:t>
      </w:r>
    </w:p>
    <w:p w:rsidRPr="00C5308E" w:rsidR="007E203F" w:rsidP="0069784D" w:rsidRDefault="007E203F" w14:paraId="44264B3E" w14:textId="77777777">
      <w:pPr>
        <w:pStyle w:val="Lijstalinea"/>
        <w:numPr>
          <w:ilvl w:val="0"/>
          <w:numId w:val="11"/>
        </w:numPr>
        <w:spacing w:after="0" w:line="240" w:lineRule="auto"/>
        <w:rPr>
          <w:bCs/>
          <w:szCs w:val="18"/>
          <w:lang w:val="nl-NL"/>
        </w:rPr>
      </w:pPr>
      <w:r w:rsidRPr="00C5308E">
        <w:rPr>
          <w:bCs/>
          <w:szCs w:val="18"/>
          <w:lang w:val="nl-NL"/>
        </w:rPr>
        <w:t>Samenloopsignalering</w:t>
      </w:r>
    </w:p>
    <w:p w:rsidRPr="00C5308E" w:rsidR="007E203F" w:rsidP="0069784D" w:rsidRDefault="007E203F" w14:paraId="0C2166F6" w14:textId="5AF29924">
      <w:pPr>
        <w:pStyle w:val="Lijstalinea"/>
        <w:numPr>
          <w:ilvl w:val="0"/>
          <w:numId w:val="11"/>
        </w:numPr>
        <w:spacing w:after="0" w:line="240" w:lineRule="auto"/>
        <w:rPr>
          <w:bCs/>
          <w:szCs w:val="18"/>
          <w:lang w:val="nl-NL"/>
        </w:rPr>
      </w:pPr>
      <w:r w:rsidRPr="00C5308E">
        <w:rPr>
          <w:bCs/>
          <w:szCs w:val="18"/>
          <w:lang w:val="nl-NL"/>
        </w:rPr>
        <w:t>Signaal detentie (inclusief detentie buitenland)</w:t>
      </w:r>
    </w:p>
    <w:p w:rsidRPr="00C5308E" w:rsidR="007E203F" w:rsidP="0069784D" w:rsidRDefault="007E203F" w14:paraId="7877B23F" w14:textId="77777777">
      <w:pPr>
        <w:pStyle w:val="Lijstalinea"/>
        <w:numPr>
          <w:ilvl w:val="0"/>
          <w:numId w:val="11"/>
        </w:numPr>
        <w:spacing w:after="0" w:line="240" w:lineRule="auto"/>
        <w:rPr>
          <w:bCs/>
          <w:szCs w:val="18"/>
          <w:lang w:val="nl-NL"/>
        </w:rPr>
      </w:pPr>
      <w:r w:rsidRPr="00C5308E">
        <w:rPr>
          <w:bCs/>
          <w:szCs w:val="18"/>
          <w:lang w:val="nl-NL"/>
        </w:rPr>
        <w:t>Rapportage AOW-ers met AIO</w:t>
      </w:r>
    </w:p>
    <w:p w:rsidRPr="00C5308E" w:rsidR="007E203F" w:rsidP="00D87753" w:rsidRDefault="007E203F" w14:paraId="22FE14A6" w14:textId="77777777">
      <w:pPr>
        <w:spacing w:after="0" w:line="240" w:lineRule="auto"/>
        <w:contextualSpacing/>
        <w:rPr>
          <w:rFonts w:ascii="Verdana" w:hAnsi="Verdana"/>
          <w:bCs/>
          <w:sz w:val="18"/>
          <w:szCs w:val="18"/>
        </w:rPr>
      </w:pPr>
    </w:p>
    <w:p w:rsidRPr="00C5308E" w:rsidR="007E203F" w:rsidP="00D87753" w:rsidRDefault="007E203F" w14:paraId="086ADE3A" w14:textId="77777777">
      <w:pPr>
        <w:spacing w:after="0" w:line="240" w:lineRule="auto"/>
        <w:contextualSpacing/>
        <w:rPr>
          <w:rFonts w:ascii="Verdana" w:hAnsi="Verdana"/>
          <w:b/>
          <w:sz w:val="18"/>
          <w:szCs w:val="18"/>
        </w:rPr>
      </w:pPr>
      <w:r w:rsidRPr="00C5308E">
        <w:rPr>
          <w:rFonts w:ascii="Verdana" w:hAnsi="Verdana"/>
          <w:b/>
          <w:sz w:val="18"/>
          <w:szCs w:val="18"/>
        </w:rPr>
        <w:t>NLA</w:t>
      </w:r>
    </w:p>
    <w:p w:rsidRPr="00C5308E" w:rsidR="007E203F" w:rsidP="0069784D" w:rsidRDefault="007E203F" w14:paraId="06DC1A36" w14:textId="77777777">
      <w:pPr>
        <w:pStyle w:val="Lijstalinea"/>
        <w:numPr>
          <w:ilvl w:val="0"/>
          <w:numId w:val="12"/>
        </w:numPr>
        <w:spacing w:after="0" w:line="240" w:lineRule="auto"/>
        <w:rPr>
          <w:bCs/>
          <w:szCs w:val="18"/>
          <w:lang w:val="nl-NL"/>
        </w:rPr>
      </w:pPr>
      <w:r w:rsidRPr="00C5308E">
        <w:rPr>
          <w:bCs/>
          <w:szCs w:val="18"/>
          <w:lang w:val="nl-NL"/>
        </w:rPr>
        <w:t>IPA risicomodel</w:t>
      </w:r>
    </w:p>
    <w:bookmarkEnd w:id="2"/>
    <w:p w:rsidR="00BA1787" w:rsidP="00D87753" w:rsidRDefault="00BA1787" w14:paraId="72C8E8F1" w14:textId="77777777">
      <w:pPr>
        <w:spacing w:after="0" w:line="240" w:lineRule="auto"/>
        <w:contextualSpacing/>
        <w:rPr>
          <w:rFonts w:ascii="Verdana" w:hAnsi="Verdana"/>
          <w:bCs/>
          <w:sz w:val="18"/>
          <w:szCs w:val="18"/>
          <w:u w:val="single"/>
        </w:rPr>
      </w:pPr>
    </w:p>
    <w:p w:rsidR="003C0271" w:rsidP="00D87753" w:rsidRDefault="003C0271" w14:paraId="711A2C5F" w14:textId="77777777">
      <w:pPr>
        <w:spacing w:after="0" w:line="240" w:lineRule="auto"/>
        <w:contextualSpacing/>
        <w:rPr>
          <w:rFonts w:ascii="Verdana" w:hAnsi="Verdana"/>
          <w:bCs/>
          <w:sz w:val="18"/>
          <w:szCs w:val="18"/>
          <w:u w:val="single"/>
        </w:rPr>
      </w:pPr>
    </w:p>
    <w:p w:rsidRPr="00C5308E" w:rsidR="009835CB" w:rsidP="00D87753" w:rsidRDefault="009835CB" w14:paraId="7B948ABE" w14:textId="3052BC9A">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8</w:t>
      </w:r>
    </w:p>
    <w:p w:rsidRPr="00C5308E" w:rsidR="009835CB" w:rsidP="00D87753" w:rsidRDefault="009835CB" w14:paraId="0C9B84FA" w14:textId="77777777">
      <w:pPr>
        <w:spacing w:after="0" w:line="240" w:lineRule="auto"/>
        <w:contextualSpacing/>
        <w:rPr>
          <w:rFonts w:ascii="Verdana" w:hAnsi="Verdana"/>
          <w:bCs/>
          <w:sz w:val="18"/>
          <w:szCs w:val="18"/>
        </w:rPr>
      </w:pPr>
      <w:r w:rsidRPr="00C5308E">
        <w:rPr>
          <w:rFonts w:ascii="Verdana" w:hAnsi="Verdana"/>
          <w:bCs/>
          <w:sz w:val="18"/>
          <w:szCs w:val="18"/>
        </w:rPr>
        <w:t>Wat zou het kosten om de arbeidseis te laten vervallen voor mensen die ernstig ziek zijn? Wat zou het kosten om de arbeidseis te laten vervallen voor mensen die vrijwilligerswerk doen of mantelzorg verlenen? Wat zou het kosten om de arbeidseis te laten vervallen voor mensen die in de Wet Werk en Inkomen naar Arbeidsvermogen (WIA) zitten? En voor mensen die in de Participatiewet zitten?</w:t>
      </w:r>
    </w:p>
    <w:p w:rsidRPr="00C5308E" w:rsidR="009835CB" w:rsidP="00D87753" w:rsidRDefault="009835CB" w14:paraId="4549184D" w14:textId="77777777">
      <w:pPr>
        <w:spacing w:after="0" w:line="240" w:lineRule="auto"/>
        <w:contextualSpacing/>
        <w:rPr>
          <w:rFonts w:ascii="Verdana" w:hAnsi="Verdana"/>
          <w:bCs/>
          <w:sz w:val="18"/>
          <w:szCs w:val="18"/>
        </w:rPr>
      </w:pPr>
    </w:p>
    <w:p w:rsidRPr="00C5308E" w:rsidR="009835CB" w:rsidP="00D87753" w:rsidRDefault="009835CB" w14:paraId="203625A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w:t>
      </w:r>
    </w:p>
    <w:p w:rsidRPr="00C5308E" w:rsidR="009835CB" w:rsidP="00D87753" w:rsidRDefault="009835CB" w14:paraId="511122DD" w14:textId="2778A60D">
      <w:pPr>
        <w:spacing w:after="0" w:line="240" w:lineRule="auto"/>
        <w:contextualSpacing/>
        <w:rPr>
          <w:rFonts w:ascii="Verdana" w:hAnsi="Verdana"/>
          <w:bCs/>
          <w:sz w:val="18"/>
          <w:szCs w:val="18"/>
        </w:rPr>
      </w:pPr>
      <w:r w:rsidRPr="00C5308E">
        <w:rPr>
          <w:rFonts w:ascii="Verdana" w:hAnsi="Verdana"/>
          <w:bCs/>
          <w:sz w:val="18"/>
          <w:szCs w:val="18"/>
        </w:rPr>
        <w:t xml:space="preserve">Er is onvoldoende bekend over </w:t>
      </w:r>
      <w:r w:rsidRPr="00C5308E" w:rsidR="004F722A">
        <w:rPr>
          <w:rFonts w:ascii="Verdana" w:hAnsi="Verdana"/>
          <w:bCs/>
          <w:sz w:val="18"/>
          <w:szCs w:val="18"/>
        </w:rPr>
        <w:t xml:space="preserve">de </w:t>
      </w:r>
      <w:r w:rsidRPr="00C5308E">
        <w:rPr>
          <w:rFonts w:ascii="Verdana" w:hAnsi="Verdana"/>
          <w:bCs/>
          <w:sz w:val="18"/>
          <w:szCs w:val="18"/>
        </w:rPr>
        <w:t xml:space="preserve">omvang van de groep mensen die ernstig ziek zijn, vrijwilligerswerk verrichten, of mantelzorg verlenen, maar geen betaald werk verrichten om een accurate inschatting te maken van de meeruitgaven aan kinderopvangtoeslag als de kring van gerechtigden wordt uitgebreid voor deze groepen. De kosten zijn afhankelijk van de vormgeving en afbakening. De afbakening van deze groepen is overigens niet eenvoudig. </w:t>
      </w:r>
    </w:p>
    <w:p w:rsidRPr="00C5308E" w:rsidR="009835CB" w:rsidP="00D87753" w:rsidRDefault="009835CB" w14:paraId="66AFA688" w14:textId="77777777">
      <w:pPr>
        <w:spacing w:after="0" w:line="240" w:lineRule="auto"/>
        <w:contextualSpacing/>
        <w:rPr>
          <w:rFonts w:ascii="Verdana" w:hAnsi="Verdana"/>
          <w:bCs/>
          <w:sz w:val="18"/>
          <w:szCs w:val="18"/>
        </w:rPr>
      </w:pPr>
    </w:p>
    <w:p w:rsidRPr="00C5308E" w:rsidR="009835CB" w:rsidP="00D87753" w:rsidRDefault="009835CB" w14:paraId="05F5AFA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9</w:t>
      </w:r>
    </w:p>
    <w:p w:rsidRPr="00C5308E" w:rsidR="009835CB" w:rsidP="00D87753" w:rsidRDefault="009835CB" w14:paraId="3D60997F" w14:textId="77777777">
      <w:pPr>
        <w:spacing w:after="0" w:line="240" w:lineRule="auto"/>
        <w:contextualSpacing/>
        <w:rPr>
          <w:rFonts w:ascii="Verdana" w:hAnsi="Verdana"/>
          <w:bCs/>
          <w:sz w:val="18"/>
          <w:szCs w:val="18"/>
        </w:rPr>
      </w:pPr>
      <w:r w:rsidRPr="00C5308E">
        <w:rPr>
          <w:rFonts w:ascii="Verdana" w:hAnsi="Verdana"/>
          <w:bCs/>
          <w:sz w:val="18"/>
          <w:szCs w:val="18"/>
        </w:rPr>
        <w:t>Welke uitzonderingen zijn er op dit moment op de arbeidseis?</w:t>
      </w:r>
    </w:p>
    <w:p w:rsidRPr="00C5308E" w:rsidR="009835CB" w:rsidP="00D87753" w:rsidRDefault="009835CB" w14:paraId="3DED7255" w14:textId="77777777">
      <w:pPr>
        <w:spacing w:after="0" w:line="240" w:lineRule="auto"/>
        <w:contextualSpacing/>
        <w:rPr>
          <w:rFonts w:ascii="Verdana" w:hAnsi="Verdana"/>
          <w:bCs/>
          <w:sz w:val="18"/>
          <w:szCs w:val="18"/>
        </w:rPr>
      </w:pPr>
    </w:p>
    <w:p w:rsidRPr="00C5308E" w:rsidR="009835CB" w:rsidP="00D87753" w:rsidRDefault="009835CB" w14:paraId="5947EE8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w:t>
      </w:r>
    </w:p>
    <w:p w:rsidRPr="00C5308E" w:rsidR="009835CB" w:rsidP="00D87753" w:rsidRDefault="009835CB" w14:paraId="3795E3F1" w14:textId="77777777">
      <w:pPr>
        <w:spacing w:line="240" w:lineRule="auto"/>
        <w:contextualSpacing/>
        <w:rPr>
          <w:rFonts w:ascii="Verdana" w:hAnsi="Verdana"/>
          <w:bCs/>
          <w:sz w:val="18"/>
          <w:szCs w:val="18"/>
        </w:rPr>
      </w:pPr>
      <w:r w:rsidRPr="00C5308E">
        <w:rPr>
          <w:rFonts w:ascii="Verdana" w:hAnsi="Verdana"/>
          <w:bCs/>
          <w:sz w:val="18"/>
          <w:szCs w:val="18"/>
        </w:rPr>
        <w:t>Een ouder heeft recht op kinderopvangtoeslag als de ouder voldoet aan de arbeidseis. Deze arbeidseis is gedefinieerd in artikel 1.6 van de Wet kinderopvang. Op hoofdlijnen betekent dit dat een ouder betaald werk moet hebben. Ook de eventuele partner van de ouder moet betaald werk hebben. Betaald werk is daarbij gedefinieerd als het verrichten van tegenwoordige arbeid waaruit inkomen uit werk en woning in de zin van de wet IB 2001 wordt genoten. Ook als de ouder zonder vergoeding meewerkt in de onderneming van de partner valt dit onder de definitie van de arbeidseis.</w:t>
      </w:r>
    </w:p>
    <w:p w:rsidRPr="00C5308E" w:rsidR="009835CB" w:rsidP="00D87753" w:rsidRDefault="009835CB" w14:paraId="0C5671EA" w14:textId="77777777">
      <w:pPr>
        <w:spacing w:line="240" w:lineRule="auto"/>
        <w:contextualSpacing/>
        <w:rPr>
          <w:rFonts w:ascii="Verdana" w:hAnsi="Verdana"/>
          <w:bCs/>
          <w:sz w:val="18"/>
          <w:szCs w:val="18"/>
        </w:rPr>
      </w:pPr>
      <w:r w:rsidRPr="00C5308E">
        <w:rPr>
          <w:rFonts w:ascii="Verdana" w:hAnsi="Verdana"/>
          <w:bCs/>
          <w:sz w:val="18"/>
          <w:szCs w:val="18"/>
        </w:rPr>
        <w:t>In artikel 1.6 van de Wko zijn groepen gedefinieerd die ook recht hebben op kinderopvangtoeslag ondanks dat er geen sprake is van betaald werk (de zogenaamde uitzonderingen). Dit betreft ouders die andere activiteiten uitvoeren die gericht zijn op (toekomstig) werk of het vergroten van de (kansen op) arbeidsparticipatie. Op hoofdlijnen zijn dat deze groepen:</w:t>
      </w:r>
    </w:p>
    <w:p w:rsidRPr="00C5308E" w:rsidR="009835CB" w:rsidP="00D87753" w:rsidRDefault="009835CB" w14:paraId="6B5CDDEB" w14:textId="77777777">
      <w:pPr>
        <w:pStyle w:val="Lijstalinea"/>
        <w:numPr>
          <w:ilvl w:val="0"/>
          <w:numId w:val="2"/>
        </w:numPr>
        <w:spacing w:line="240" w:lineRule="auto"/>
        <w:rPr>
          <w:bCs/>
          <w:szCs w:val="18"/>
          <w:lang w:val="nl-NL"/>
        </w:rPr>
      </w:pPr>
      <w:r w:rsidRPr="00C5308E">
        <w:rPr>
          <w:bCs/>
          <w:szCs w:val="18"/>
          <w:lang w:val="nl-NL"/>
        </w:rPr>
        <w:t>Een ouder die studeert</w:t>
      </w:r>
    </w:p>
    <w:p w:rsidRPr="00C5308E" w:rsidR="009835CB" w:rsidP="00D87753" w:rsidRDefault="009835CB" w14:paraId="64BA7E40" w14:textId="11B8BAEF">
      <w:pPr>
        <w:pStyle w:val="Lijstalinea"/>
        <w:numPr>
          <w:ilvl w:val="0"/>
          <w:numId w:val="2"/>
        </w:numPr>
        <w:spacing w:line="240" w:lineRule="auto"/>
        <w:rPr>
          <w:bCs/>
          <w:szCs w:val="18"/>
          <w:lang w:val="nl-NL"/>
        </w:rPr>
      </w:pPr>
      <w:r w:rsidRPr="00C5308E">
        <w:rPr>
          <w:bCs/>
          <w:szCs w:val="18"/>
          <w:lang w:val="nl-NL"/>
        </w:rPr>
        <w:t xml:space="preserve">Een ouder die zich voorbereidt op betaalde arbeid met een ‘traject naar werk’ </w:t>
      </w:r>
    </w:p>
    <w:p w:rsidRPr="00C5308E" w:rsidR="009835CB" w:rsidP="00D87753" w:rsidRDefault="009835CB" w14:paraId="618A3D15" w14:textId="76E82655">
      <w:pPr>
        <w:pStyle w:val="Lijstalinea"/>
        <w:numPr>
          <w:ilvl w:val="0"/>
          <w:numId w:val="2"/>
        </w:numPr>
        <w:spacing w:line="240" w:lineRule="auto"/>
        <w:rPr>
          <w:bCs/>
          <w:szCs w:val="18"/>
          <w:lang w:val="nl-NL"/>
        </w:rPr>
      </w:pPr>
      <w:r w:rsidRPr="00C5308E">
        <w:rPr>
          <w:bCs/>
          <w:szCs w:val="18"/>
          <w:lang w:val="nl-NL"/>
        </w:rPr>
        <w:t xml:space="preserve">Een ouder die inburgeringsplichtig is en een inburgeringstraject volgt </w:t>
      </w:r>
    </w:p>
    <w:p w:rsidRPr="00C5308E" w:rsidR="009835CB" w:rsidP="00D87753" w:rsidRDefault="009835CB" w14:paraId="0F5634AF" w14:textId="77777777">
      <w:pPr>
        <w:pStyle w:val="Lijstalinea"/>
        <w:numPr>
          <w:ilvl w:val="0"/>
          <w:numId w:val="2"/>
        </w:numPr>
        <w:spacing w:line="240" w:lineRule="auto"/>
        <w:rPr>
          <w:bCs/>
          <w:szCs w:val="18"/>
          <w:lang w:val="nl-NL"/>
        </w:rPr>
      </w:pPr>
      <w:r w:rsidRPr="00C5308E">
        <w:rPr>
          <w:bCs/>
          <w:szCs w:val="18"/>
          <w:lang w:val="nl-NL"/>
        </w:rPr>
        <w:t>Een ouder die werkt en een partner heeft met een Wlz-indicatie</w:t>
      </w:r>
    </w:p>
    <w:p w:rsidRPr="00C5308E" w:rsidR="009835CB" w:rsidP="00D87753" w:rsidRDefault="009835CB" w14:paraId="792FE02F" w14:textId="43137DF8">
      <w:pPr>
        <w:pStyle w:val="Lijstalinea"/>
        <w:numPr>
          <w:ilvl w:val="0"/>
          <w:numId w:val="2"/>
        </w:numPr>
        <w:spacing w:line="240" w:lineRule="auto"/>
        <w:rPr>
          <w:bCs/>
          <w:szCs w:val="18"/>
          <w:lang w:val="nl-NL"/>
        </w:rPr>
      </w:pPr>
      <w:r w:rsidRPr="00C5308E">
        <w:rPr>
          <w:bCs/>
          <w:szCs w:val="18"/>
          <w:lang w:val="nl-NL"/>
        </w:rPr>
        <w:t>Een ouder die werkt en een partner heeft in detentie (meer dan 3 maanden)</w:t>
      </w:r>
      <w:r w:rsidRPr="00C5308E" w:rsidR="0069784D">
        <w:rPr>
          <w:bCs/>
          <w:szCs w:val="18"/>
          <w:lang w:val="nl-NL"/>
        </w:rPr>
        <w:t>.</w:t>
      </w:r>
    </w:p>
    <w:p w:rsidRPr="00C5308E" w:rsidR="009835CB" w:rsidP="00D87753" w:rsidRDefault="009835CB" w14:paraId="339CE245" w14:textId="5DD46CEE">
      <w:pPr>
        <w:spacing w:after="0" w:line="240" w:lineRule="auto"/>
        <w:contextualSpacing/>
        <w:rPr>
          <w:rFonts w:ascii="Verdana" w:hAnsi="Verdana"/>
          <w:bCs/>
          <w:sz w:val="18"/>
          <w:szCs w:val="18"/>
        </w:rPr>
      </w:pPr>
      <w:r w:rsidRPr="00C5308E">
        <w:rPr>
          <w:rFonts w:ascii="Verdana" w:hAnsi="Verdana"/>
          <w:bCs/>
          <w:color w:val="000000" w:themeColor="text1"/>
          <w:sz w:val="18"/>
          <w:szCs w:val="18"/>
        </w:rPr>
        <w:t xml:space="preserve">Op 23 januari 2025 was het commissiedebat Kinderopvang in de Tweede Kamer. Daar heeft de staatssecretaris van P&amp;I de Tweede Kamer toegezegd om schriftelijk terug te komen op wat </w:t>
      </w:r>
      <w:r w:rsidRPr="00C5308E">
        <w:rPr>
          <w:rFonts w:ascii="Verdana" w:hAnsi="Verdana" w:eastAsia="Times New Roman" w:cs="Arial"/>
          <w:bCs/>
          <w:color w:val="000000" w:themeColor="text1"/>
          <w:sz w:val="18"/>
          <w:szCs w:val="18"/>
          <w:lang w:eastAsia="nl-NL"/>
        </w:rPr>
        <w:t>de arbeidseis in de Wet kinderopvang is en wat de bestaande uitzonderingen zijn. In die brief zal de staatssecretaris van P&amp;I nader ingaan op deze uitzonderingen. De planning is erop gericht deze brief voor het commissiedebat Kinderopvang van 3 juli 2025 naar de Tweede Kamer te verzenden.</w:t>
      </w:r>
    </w:p>
    <w:p w:rsidRPr="00C5308E" w:rsidR="009835CB" w:rsidP="00D87753" w:rsidRDefault="009835CB" w14:paraId="58F4ACC6" w14:textId="77777777">
      <w:pPr>
        <w:spacing w:after="0" w:line="240" w:lineRule="auto"/>
        <w:contextualSpacing/>
        <w:rPr>
          <w:rFonts w:ascii="Verdana" w:hAnsi="Verdana"/>
          <w:bCs/>
          <w:sz w:val="18"/>
          <w:szCs w:val="18"/>
          <w:u w:val="single"/>
        </w:rPr>
      </w:pPr>
    </w:p>
    <w:p w:rsidRPr="00C5308E" w:rsidR="007E203F" w:rsidP="00D87753" w:rsidRDefault="007E203F" w14:paraId="5BF53DDD" w14:textId="24A13ED8">
      <w:pPr>
        <w:spacing w:after="0" w:line="240" w:lineRule="auto"/>
        <w:contextualSpacing/>
        <w:rPr>
          <w:rFonts w:ascii="Verdana" w:hAnsi="Verdana"/>
          <w:bCs/>
          <w:sz w:val="18"/>
          <w:szCs w:val="18"/>
          <w:u w:val="single"/>
        </w:rPr>
      </w:pPr>
      <w:r w:rsidRPr="00C5308E">
        <w:rPr>
          <w:rFonts w:ascii="Verdana" w:hAnsi="Verdana"/>
          <w:bCs/>
          <w:sz w:val="18"/>
          <w:szCs w:val="18"/>
          <w:u w:val="single"/>
        </w:rPr>
        <w:t>Vraag 10</w:t>
      </w:r>
    </w:p>
    <w:p w:rsidRPr="00C5308E" w:rsidR="007E203F" w:rsidP="00D87753" w:rsidRDefault="007E203F" w14:paraId="6A5331C2" w14:textId="77777777">
      <w:pPr>
        <w:spacing w:after="0" w:line="240" w:lineRule="auto"/>
        <w:contextualSpacing/>
        <w:rPr>
          <w:rFonts w:ascii="Verdana" w:hAnsi="Verdana"/>
          <w:bCs/>
          <w:sz w:val="18"/>
          <w:szCs w:val="18"/>
        </w:rPr>
      </w:pPr>
      <w:r w:rsidRPr="00C5308E">
        <w:rPr>
          <w:rFonts w:ascii="Verdana" w:hAnsi="Verdana"/>
          <w:bCs/>
          <w:sz w:val="18"/>
          <w:szCs w:val="18"/>
        </w:rPr>
        <w:t xml:space="preserve">Kunt u een overzicht geven van de taakstelling in het kader van de 22% besparing op apparaatskosten voor de komende vijf jaar? </w:t>
      </w:r>
    </w:p>
    <w:p w:rsidRPr="00C5308E" w:rsidR="007E203F" w:rsidP="00D87753" w:rsidRDefault="007E203F" w14:paraId="14A8BD97" w14:textId="77777777">
      <w:pPr>
        <w:spacing w:after="0" w:line="240" w:lineRule="auto"/>
        <w:contextualSpacing/>
        <w:rPr>
          <w:rFonts w:ascii="Verdana" w:hAnsi="Verdana"/>
          <w:bCs/>
          <w:sz w:val="18"/>
          <w:szCs w:val="18"/>
        </w:rPr>
      </w:pPr>
    </w:p>
    <w:p w:rsidRPr="00C5308E" w:rsidR="007E203F" w:rsidP="00D87753" w:rsidRDefault="007E203F" w14:paraId="053B6E3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10</w:t>
      </w:r>
    </w:p>
    <w:p w:rsidRPr="00C5308E" w:rsidR="007E203F" w:rsidP="00D87753" w:rsidRDefault="007E203F" w14:paraId="5400FDBD" w14:textId="13E5C8A7">
      <w:pPr>
        <w:spacing w:after="0" w:line="240" w:lineRule="auto"/>
        <w:contextualSpacing/>
        <w:rPr>
          <w:rFonts w:ascii="Verdana" w:hAnsi="Verdana"/>
          <w:bCs/>
          <w:sz w:val="18"/>
          <w:szCs w:val="18"/>
        </w:rPr>
      </w:pPr>
      <w:r w:rsidRPr="00C5308E">
        <w:rPr>
          <w:rFonts w:ascii="Verdana" w:hAnsi="Verdana"/>
          <w:bCs/>
          <w:sz w:val="18"/>
          <w:szCs w:val="18"/>
        </w:rPr>
        <w:t xml:space="preserve">Een van de maatregelen in het hoofdlĳnenakkoord (HLA) is een bezuiniging </w:t>
      </w:r>
      <w:r w:rsidR="00C5308E">
        <w:rPr>
          <w:rFonts w:ascii="Verdana" w:hAnsi="Verdana"/>
          <w:bCs/>
          <w:sz w:val="18"/>
          <w:szCs w:val="18"/>
        </w:rPr>
        <w:t>bij</w:t>
      </w:r>
      <w:r w:rsidRPr="00C5308E">
        <w:rPr>
          <w:rFonts w:ascii="Verdana" w:hAnsi="Verdana"/>
          <w:bCs/>
          <w:sz w:val="18"/>
          <w:szCs w:val="18"/>
        </w:rPr>
        <w:t xml:space="preserve"> de Rĳksoverheid op het apparaat van in totaal € 1 miljard. Voor SZW gaat het om € 23 miljoen in 2025 oplopend tot € 99 miljoen vanaf 2029 (zie tabel hieronder). </w:t>
      </w:r>
    </w:p>
    <w:p w:rsidRPr="00C5308E" w:rsidR="007E203F" w:rsidP="00D87753" w:rsidRDefault="007E203F" w14:paraId="451324DC" w14:textId="77777777">
      <w:pPr>
        <w:spacing w:after="0" w:line="240" w:lineRule="auto"/>
        <w:contextualSpacing/>
        <w:rPr>
          <w:rFonts w:ascii="Verdana" w:hAnsi="Verdana"/>
          <w:bCs/>
          <w:sz w:val="18"/>
          <w:szCs w:val="18"/>
        </w:rPr>
      </w:pPr>
    </w:p>
    <w:p w:rsidRPr="00C5308E" w:rsidR="007E203F" w:rsidP="00D87753" w:rsidRDefault="007E203F" w14:paraId="0A79E6AA" w14:textId="7A991DD4">
      <w:pPr>
        <w:spacing w:after="0" w:line="240" w:lineRule="auto"/>
        <w:contextualSpacing/>
        <w:rPr>
          <w:rFonts w:ascii="Verdana" w:hAnsi="Verdana"/>
          <w:bCs/>
          <w:sz w:val="18"/>
          <w:szCs w:val="18"/>
        </w:rPr>
      </w:pPr>
      <w:r w:rsidRPr="00C5308E">
        <w:rPr>
          <w:rFonts w:ascii="Verdana" w:hAnsi="Verdana"/>
          <w:bCs/>
          <w:sz w:val="18"/>
          <w:szCs w:val="18"/>
        </w:rPr>
        <w:t>Apparaatstaakstelling SZW Hoofdlijnenakkoord (bedragen x € 1</w:t>
      </w:r>
      <w:r w:rsidRPr="00C5308E" w:rsidR="0031642E">
        <w:rPr>
          <w:rFonts w:ascii="Verdana" w:hAnsi="Verdana"/>
          <w:bCs/>
          <w:sz w:val="18"/>
          <w:szCs w:val="18"/>
        </w:rPr>
        <w:t xml:space="preserve"> mln.</w:t>
      </w:r>
      <w:r w:rsidRPr="00C5308E">
        <w:rPr>
          <w:rFonts w:ascii="Verdana" w:hAnsi="Verdana"/>
          <w:bCs/>
          <w:sz w:val="18"/>
          <w:szCs w:val="18"/>
        </w:rPr>
        <w:t>)</w:t>
      </w:r>
      <w:r w:rsidRPr="00C5308E">
        <w:rPr>
          <w:rFonts w:ascii="Verdana" w:hAnsi="Verdana"/>
          <w:bCs/>
          <w:sz w:val="18"/>
          <w:szCs w:val="18"/>
        </w:rPr>
        <w:tab/>
      </w:r>
    </w:p>
    <w:tbl>
      <w:tblPr>
        <w:tblStyle w:val="Tabelraster"/>
        <w:tblW w:w="0" w:type="auto"/>
        <w:tblLook w:val="04A0" w:firstRow="1" w:lastRow="0" w:firstColumn="1" w:lastColumn="0" w:noHBand="0" w:noVBand="1"/>
      </w:tblPr>
      <w:tblGrid>
        <w:gridCol w:w="1510"/>
        <w:gridCol w:w="1510"/>
        <w:gridCol w:w="1510"/>
        <w:gridCol w:w="1511"/>
        <w:gridCol w:w="1511"/>
      </w:tblGrid>
      <w:tr w:rsidRPr="00C5308E" w:rsidR="007E203F" w:rsidTr="00E018DA" w14:paraId="1A0F7D2D" w14:textId="77777777">
        <w:tc>
          <w:tcPr>
            <w:tcW w:w="1510" w:type="dxa"/>
          </w:tcPr>
          <w:p w:rsidRPr="00C5308E" w:rsidR="007E203F" w:rsidP="00D87753" w:rsidRDefault="007E203F" w14:paraId="0192B9F7" w14:textId="77777777">
            <w:pPr>
              <w:contextualSpacing/>
              <w:jc w:val="right"/>
              <w:rPr>
                <w:rFonts w:ascii="Verdana" w:hAnsi="Verdana"/>
                <w:bCs/>
                <w:sz w:val="18"/>
                <w:szCs w:val="18"/>
              </w:rPr>
            </w:pPr>
            <w:r w:rsidRPr="00C5308E">
              <w:rPr>
                <w:rFonts w:ascii="Verdana" w:hAnsi="Verdana"/>
                <w:bCs/>
                <w:sz w:val="18"/>
                <w:szCs w:val="18"/>
              </w:rPr>
              <w:t>2025</w:t>
            </w:r>
          </w:p>
        </w:tc>
        <w:tc>
          <w:tcPr>
            <w:tcW w:w="1510" w:type="dxa"/>
          </w:tcPr>
          <w:p w:rsidRPr="00C5308E" w:rsidR="007E203F" w:rsidP="00D87753" w:rsidRDefault="007E203F" w14:paraId="74F4E0AA" w14:textId="77777777">
            <w:pPr>
              <w:contextualSpacing/>
              <w:jc w:val="right"/>
              <w:rPr>
                <w:rFonts w:ascii="Verdana" w:hAnsi="Verdana"/>
                <w:bCs/>
                <w:sz w:val="18"/>
                <w:szCs w:val="18"/>
              </w:rPr>
            </w:pPr>
            <w:r w:rsidRPr="00C5308E">
              <w:rPr>
                <w:rFonts w:ascii="Verdana" w:hAnsi="Verdana"/>
                <w:bCs/>
                <w:sz w:val="18"/>
                <w:szCs w:val="18"/>
              </w:rPr>
              <w:t>2026</w:t>
            </w:r>
          </w:p>
        </w:tc>
        <w:tc>
          <w:tcPr>
            <w:tcW w:w="1510" w:type="dxa"/>
          </w:tcPr>
          <w:p w:rsidRPr="00C5308E" w:rsidR="007E203F" w:rsidP="00D87753" w:rsidRDefault="007E203F" w14:paraId="715BD2D7" w14:textId="77777777">
            <w:pPr>
              <w:contextualSpacing/>
              <w:jc w:val="right"/>
              <w:rPr>
                <w:rFonts w:ascii="Verdana" w:hAnsi="Verdana"/>
                <w:bCs/>
                <w:sz w:val="18"/>
                <w:szCs w:val="18"/>
              </w:rPr>
            </w:pPr>
            <w:r w:rsidRPr="00C5308E">
              <w:rPr>
                <w:rFonts w:ascii="Verdana" w:hAnsi="Verdana"/>
                <w:bCs/>
                <w:sz w:val="18"/>
                <w:szCs w:val="18"/>
              </w:rPr>
              <w:t>2027</w:t>
            </w:r>
          </w:p>
        </w:tc>
        <w:tc>
          <w:tcPr>
            <w:tcW w:w="1511" w:type="dxa"/>
          </w:tcPr>
          <w:p w:rsidRPr="00C5308E" w:rsidR="007E203F" w:rsidP="00D87753" w:rsidRDefault="007E203F" w14:paraId="6AB47BDD" w14:textId="77777777">
            <w:pPr>
              <w:contextualSpacing/>
              <w:jc w:val="right"/>
              <w:rPr>
                <w:rFonts w:ascii="Verdana" w:hAnsi="Verdana"/>
                <w:bCs/>
                <w:sz w:val="18"/>
                <w:szCs w:val="18"/>
              </w:rPr>
            </w:pPr>
            <w:r w:rsidRPr="00C5308E">
              <w:rPr>
                <w:rFonts w:ascii="Verdana" w:hAnsi="Verdana"/>
                <w:bCs/>
                <w:sz w:val="18"/>
                <w:szCs w:val="18"/>
              </w:rPr>
              <w:t>2028</w:t>
            </w:r>
          </w:p>
        </w:tc>
        <w:tc>
          <w:tcPr>
            <w:tcW w:w="1511" w:type="dxa"/>
          </w:tcPr>
          <w:p w:rsidRPr="00C5308E" w:rsidR="007E203F" w:rsidP="00D87753" w:rsidRDefault="007E203F" w14:paraId="2900AD92" w14:textId="77777777">
            <w:pPr>
              <w:contextualSpacing/>
              <w:jc w:val="right"/>
              <w:rPr>
                <w:rFonts w:ascii="Verdana" w:hAnsi="Verdana"/>
                <w:bCs/>
                <w:sz w:val="18"/>
                <w:szCs w:val="18"/>
              </w:rPr>
            </w:pPr>
            <w:r w:rsidRPr="00C5308E">
              <w:rPr>
                <w:rFonts w:ascii="Verdana" w:hAnsi="Verdana"/>
                <w:bCs/>
                <w:sz w:val="18"/>
                <w:szCs w:val="18"/>
              </w:rPr>
              <w:t>2029</w:t>
            </w:r>
          </w:p>
        </w:tc>
      </w:tr>
      <w:tr w:rsidRPr="00C5308E" w:rsidR="007E203F" w:rsidTr="00E018DA" w14:paraId="538E169A" w14:textId="77777777">
        <w:tc>
          <w:tcPr>
            <w:tcW w:w="1510" w:type="dxa"/>
          </w:tcPr>
          <w:p w:rsidRPr="00C5308E" w:rsidR="007E203F" w:rsidP="00D87753" w:rsidRDefault="007E203F" w14:paraId="5F41F798" w14:textId="77777777">
            <w:pPr>
              <w:contextualSpacing/>
              <w:jc w:val="right"/>
              <w:rPr>
                <w:rFonts w:ascii="Verdana" w:hAnsi="Verdana"/>
                <w:bCs/>
                <w:sz w:val="18"/>
                <w:szCs w:val="18"/>
              </w:rPr>
            </w:pPr>
            <w:r w:rsidRPr="00C5308E">
              <w:rPr>
                <w:rFonts w:ascii="Verdana" w:hAnsi="Verdana"/>
                <w:bCs/>
                <w:sz w:val="18"/>
                <w:szCs w:val="18"/>
              </w:rPr>
              <w:t>-23</w:t>
            </w:r>
          </w:p>
        </w:tc>
        <w:tc>
          <w:tcPr>
            <w:tcW w:w="1510" w:type="dxa"/>
          </w:tcPr>
          <w:p w:rsidRPr="00C5308E" w:rsidR="007E203F" w:rsidP="00D87753" w:rsidRDefault="007E203F" w14:paraId="00C470AB" w14:textId="77777777">
            <w:pPr>
              <w:contextualSpacing/>
              <w:jc w:val="right"/>
              <w:rPr>
                <w:rFonts w:ascii="Verdana" w:hAnsi="Verdana"/>
                <w:bCs/>
                <w:sz w:val="18"/>
                <w:szCs w:val="18"/>
              </w:rPr>
            </w:pPr>
            <w:r w:rsidRPr="00C5308E">
              <w:rPr>
                <w:rFonts w:ascii="Verdana" w:hAnsi="Verdana"/>
                <w:bCs/>
                <w:sz w:val="18"/>
                <w:szCs w:val="18"/>
              </w:rPr>
              <w:t>-45</w:t>
            </w:r>
          </w:p>
        </w:tc>
        <w:tc>
          <w:tcPr>
            <w:tcW w:w="1510" w:type="dxa"/>
          </w:tcPr>
          <w:p w:rsidRPr="00C5308E" w:rsidR="007E203F" w:rsidP="00D87753" w:rsidRDefault="007E203F" w14:paraId="0B22F98F" w14:textId="77777777">
            <w:pPr>
              <w:contextualSpacing/>
              <w:jc w:val="right"/>
              <w:rPr>
                <w:rFonts w:ascii="Verdana" w:hAnsi="Verdana"/>
                <w:bCs/>
                <w:sz w:val="18"/>
                <w:szCs w:val="18"/>
              </w:rPr>
            </w:pPr>
            <w:r w:rsidRPr="00C5308E">
              <w:rPr>
                <w:rFonts w:ascii="Verdana" w:hAnsi="Verdana"/>
                <w:bCs/>
                <w:sz w:val="18"/>
                <w:szCs w:val="18"/>
              </w:rPr>
              <w:t>-68</w:t>
            </w:r>
          </w:p>
        </w:tc>
        <w:tc>
          <w:tcPr>
            <w:tcW w:w="1511" w:type="dxa"/>
          </w:tcPr>
          <w:p w:rsidRPr="00C5308E" w:rsidR="007E203F" w:rsidP="00D87753" w:rsidRDefault="007E203F" w14:paraId="57CCA795" w14:textId="77777777">
            <w:pPr>
              <w:contextualSpacing/>
              <w:jc w:val="right"/>
              <w:rPr>
                <w:rFonts w:ascii="Verdana" w:hAnsi="Verdana"/>
                <w:bCs/>
                <w:sz w:val="18"/>
                <w:szCs w:val="18"/>
              </w:rPr>
            </w:pPr>
            <w:r w:rsidRPr="00C5308E">
              <w:rPr>
                <w:rFonts w:ascii="Verdana" w:hAnsi="Verdana"/>
                <w:bCs/>
                <w:sz w:val="18"/>
                <w:szCs w:val="18"/>
              </w:rPr>
              <w:t>-90</w:t>
            </w:r>
          </w:p>
        </w:tc>
        <w:tc>
          <w:tcPr>
            <w:tcW w:w="1511" w:type="dxa"/>
          </w:tcPr>
          <w:p w:rsidRPr="00C5308E" w:rsidR="007E203F" w:rsidP="00D87753" w:rsidRDefault="007E203F" w14:paraId="6145F327" w14:textId="77777777">
            <w:pPr>
              <w:contextualSpacing/>
              <w:jc w:val="right"/>
              <w:rPr>
                <w:rFonts w:ascii="Verdana" w:hAnsi="Verdana"/>
                <w:bCs/>
                <w:sz w:val="18"/>
                <w:szCs w:val="18"/>
              </w:rPr>
            </w:pPr>
            <w:r w:rsidRPr="00C5308E">
              <w:rPr>
                <w:rFonts w:ascii="Verdana" w:hAnsi="Verdana"/>
                <w:bCs/>
                <w:sz w:val="18"/>
                <w:szCs w:val="18"/>
              </w:rPr>
              <w:t>-99</w:t>
            </w:r>
          </w:p>
        </w:tc>
      </w:tr>
    </w:tbl>
    <w:p w:rsidRPr="00C5308E" w:rsidR="007E203F" w:rsidP="00D87753" w:rsidRDefault="007E203F" w14:paraId="0D060051" w14:textId="77777777">
      <w:pPr>
        <w:spacing w:after="0" w:line="240" w:lineRule="auto"/>
        <w:contextualSpacing/>
        <w:rPr>
          <w:rFonts w:ascii="Verdana" w:hAnsi="Verdana"/>
          <w:bCs/>
          <w:sz w:val="18"/>
          <w:szCs w:val="18"/>
        </w:rPr>
      </w:pPr>
    </w:p>
    <w:p w:rsidR="003C0271" w:rsidRDefault="003C0271" w14:paraId="6ED04655" w14:textId="77777777">
      <w:pPr>
        <w:rPr>
          <w:rFonts w:ascii="Verdana" w:hAnsi="Verdana"/>
          <w:bCs/>
          <w:sz w:val="18"/>
          <w:szCs w:val="18"/>
          <w:u w:val="single"/>
        </w:rPr>
      </w:pPr>
      <w:r>
        <w:rPr>
          <w:rFonts w:ascii="Verdana" w:hAnsi="Verdana"/>
          <w:bCs/>
          <w:sz w:val="18"/>
          <w:szCs w:val="18"/>
          <w:u w:val="single"/>
        </w:rPr>
        <w:br w:type="page"/>
      </w:r>
    </w:p>
    <w:p w:rsidRPr="00C5308E" w:rsidR="007E203F" w:rsidP="00D87753" w:rsidRDefault="007E203F" w14:paraId="2DBC00C4" w14:textId="14251CD8">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11</w:t>
      </w:r>
    </w:p>
    <w:p w:rsidRPr="00C5308E" w:rsidR="007E203F" w:rsidP="00D87753" w:rsidRDefault="007E203F" w14:paraId="2076268A" w14:textId="77777777">
      <w:pPr>
        <w:spacing w:after="0" w:line="240" w:lineRule="auto"/>
        <w:contextualSpacing/>
        <w:rPr>
          <w:rFonts w:ascii="Verdana" w:hAnsi="Verdana"/>
          <w:bCs/>
          <w:sz w:val="18"/>
          <w:szCs w:val="18"/>
        </w:rPr>
      </w:pPr>
      <w:r w:rsidRPr="00C5308E">
        <w:rPr>
          <w:rFonts w:ascii="Verdana" w:hAnsi="Verdana"/>
          <w:bCs/>
          <w:sz w:val="18"/>
          <w:szCs w:val="18"/>
        </w:rPr>
        <w:t>Wat is de realisatie van deze taakstelling voor het jaar 2024 en wat is de voortgang voor 2025?</w:t>
      </w:r>
    </w:p>
    <w:p w:rsidRPr="00C5308E" w:rsidR="007E203F" w:rsidP="00D87753" w:rsidRDefault="007E203F" w14:paraId="6FB12C9C" w14:textId="77777777">
      <w:pPr>
        <w:spacing w:after="0" w:line="240" w:lineRule="auto"/>
        <w:contextualSpacing/>
        <w:rPr>
          <w:rFonts w:ascii="Verdana" w:hAnsi="Verdana"/>
          <w:bCs/>
          <w:sz w:val="18"/>
          <w:szCs w:val="18"/>
        </w:rPr>
      </w:pPr>
    </w:p>
    <w:p w:rsidRPr="00C5308E" w:rsidR="007E203F" w:rsidP="00D87753" w:rsidRDefault="007E203F" w14:paraId="7B094A8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w:t>
      </w:r>
    </w:p>
    <w:p w:rsidRPr="00C5308E" w:rsidR="007E203F" w:rsidP="00D87753" w:rsidRDefault="007E203F" w14:paraId="2E7C8EE2" w14:textId="45FB65DA">
      <w:pPr>
        <w:spacing w:after="0" w:line="240" w:lineRule="auto"/>
        <w:contextualSpacing/>
        <w:rPr>
          <w:rFonts w:ascii="Verdana" w:hAnsi="Verdana"/>
          <w:bCs/>
          <w:sz w:val="18"/>
          <w:szCs w:val="18"/>
        </w:rPr>
      </w:pPr>
      <w:r w:rsidRPr="00C5308E">
        <w:rPr>
          <w:rFonts w:ascii="Verdana" w:hAnsi="Verdana"/>
          <w:bCs/>
          <w:sz w:val="18"/>
          <w:szCs w:val="18"/>
        </w:rPr>
        <w:t xml:space="preserve">De apparaatstaakstelling uit het Hoofdlijnenakkoord gaat in per 2025. We richten ons voor dat jaar op een grotendeels financiële invulling en relatief snel te realiseren maatregelen. Het grootste bedrag komt uit </w:t>
      </w:r>
      <w:r w:rsidRPr="00C5308E" w:rsidR="0022367C">
        <w:rPr>
          <w:rFonts w:ascii="Verdana" w:hAnsi="Verdana"/>
          <w:bCs/>
          <w:sz w:val="18"/>
          <w:szCs w:val="18"/>
        </w:rPr>
        <w:t>apparaats</w:t>
      </w:r>
      <w:r w:rsidRPr="00C5308E">
        <w:rPr>
          <w:rFonts w:ascii="Verdana" w:hAnsi="Verdana"/>
          <w:bCs/>
          <w:sz w:val="18"/>
          <w:szCs w:val="18"/>
        </w:rPr>
        <w:t>reserves. Verder is er voor een beperkt bedrag een besparing ingeboekt op overige personeelskosten (zoals bloemetjes en borrels) en de catering. Daarnaast worden vacatures die ontstaan als gevolg van pensioneringen niet ingevuld en wordt er terughoudend omgegaan met het invullen van overige vacatures. Ten slotte is er een bijdrage van het apparaatsbudget van de NLA.</w:t>
      </w:r>
    </w:p>
    <w:p w:rsidRPr="00C5308E" w:rsidR="007E203F" w:rsidP="00D87753" w:rsidRDefault="007E203F" w14:paraId="7A2273CE" w14:textId="77777777">
      <w:pPr>
        <w:spacing w:after="0" w:line="240" w:lineRule="auto"/>
        <w:contextualSpacing/>
        <w:rPr>
          <w:rFonts w:ascii="Verdana" w:hAnsi="Verdana"/>
          <w:bCs/>
          <w:sz w:val="18"/>
          <w:szCs w:val="18"/>
        </w:rPr>
      </w:pPr>
    </w:p>
    <w:p w:rsidRPr="00C5308E" w:rsidR="007E203F" w:rsidP="00D87753" w:rsidRDefault="007E203F" w14:paraId="3C0D53D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w:t>
      </w:r>
    </w:p>
    <w:p w:rsidRPr="00C5308E" w:rsidR="007E203F" w:rsidP="00D87753" w:rsidRDefault="007E203F" w14:paraId="66566FCA" w14:textId="77777777">
      <w:pPr>
        <w:spacing w:after="0" w:line="240" w:lineRule="auto"/>
        <w:contextualSpacing/>
        <w:rPr>
          <w:rFonts w:ascii="Verdana" w:hAnsi="Verdana"/>
          <w:bCs/>
          <w:sz w:val="18"/>
          <w:szCs w:val="18"/>
        </w:rPr>
      </w:pPr>
      <w:r w:rsidRPr="00C5308E">
        <w:rPr>
          <w:rFonts w:ascii="Verdana" w:hAnsi="Verdana"/>
          <w:bCs/>
          <w:sz w:val="18"/>
          <w:szCs w:val="18"/>
        </w:rPr>
        <w:t>Welk deel van die taakstelling wordt ingevuld vanuit apparaatsgelden en welk deel vanuit andere middelen en welke zijn dat?</w:t>
      </w:r>
    </w:p>
    <w:p w:rsidRPr="00C5308E" w:rsidR="007E203F" w:rsidP="00D87753" w:rsidRDefault="007E203F" w14:paraId="1D0B8EEC" w14:textId="77777777">
      <w:pPr>
        <w:spacing w:after="0" w:line="240" w:lineRule="auto"/>
        <w:contextualSpacing/>
        <w:rPr>
          <w:rFonts w:ascii="Verdana" w:hAnsi="Verdana"/>
          <w:bCs/>
          <w:sz w:val="18"/>
          <w:szCs w:val="18"/>
        </w:rPr>
      </w:pPr>
    </w:p>
    <w:p w:rsidRPr="00C5308E" w:rsidR="007E203F" w:rsidP="00D87753" w:rsidRDefault="007E203F" w14:paraId="5F76B4D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w:t>
      </w:r>
    </w:p>
    <w:p w:rsidRPr="00C5308E" w:rsidR="007E203F" w:rsidP="00D87753" w:rsidRDefault="007E203F" w14:paraId="6804BCC0" w14:textId="5D08EFBA">
      <w:pPr>
        <w:spacing w:after="0" w:line="240" w:lineRule="auto"/>
        <w:contextualSpacing/>
        <w:rPr>
          <w:rFonts w:ascii="Verdana" w:hAnsi="Verdana"/>
          <w:bCs/>
          <w:sz w:val="18"/>
          <w:szCs w:val="18"/>
        </w:rPr>
      </w:pPr>
      <w:r w:rsidRPr="00C5308E">
        <w:rPr>
          <w:rFonts w:ascii="Verdana" w:hAnsi="Verdana"/>
          <w:bCs/>
          <w:sz w:val="18"/>
          <w:szCs w:val="18"/>
        </w:rPr>
        <w:t>SZW heeft de invulling van de taakstelling gesplitst in 2025 en 2026 en verder. De apparaatstaakstelling voor 2025 vullen we grotendeels in met reserves</w:t>
      </w:r>
      <w:r w:rsidRPr="00C5308E" w:rsidR="004F722A">
        <w:rPr>
          <w:rFonts w:ascii="Verdana" w:hAnsi="Verdana"/>
          <w:bCs/>
          <w:sz w:val="18"/>
          <w:szCs w:val="18"/>
        </w:rPr>
        <w:t xml:space="preserve"> op het terrein van apparaat</w:t>
      </w:r>
      <w:r w:rsidRPr="00C5308E">
        <w:rPr>
          <w:rFonts w:ascii="Verdana" w:hAnsi="Verdana"/>
          <w:bCs/>
          <w:sz w:val="18"/>
          <w:szCs w:val="18"/>
        </w:rPr>
        <w:t>. Voor een beperkt bedrag wordt een besparing op zaken zoals de overige personeelskosten (bloemetjes en borrels) en de catering ingeboekt. Daarnaast worden vacatures die ontstaan als gevolg van pensioneringen niet ingevuld en wordt er terughoudend omgegaan met het invullen van overige vacatures. Ten slotte is er een bijdrage van het apparaatsbudget van de Nederlandse Arbeidsinspectie.</w:t>
      </w:r>
    </w:p>
    <w:p w:rsidRPr="00C5308E" w:rsidR="007E203F" w:rsidP="00D87753" w:rsidRDefault="007E203F" w14:paraId="18C9FC60" w14:textId="77777777">
      <w:pPr>
        <w:spacing w:after="0" w:line="240" w:lineRule="auto"/>
        <w:contextualSpacing/>
        <w:rPr>
          <w:rFonts w:ascii="Verdana" w:hAnsi="Verdana"/>
          <w:bCs/>
          <w:sz w:val="18"/>
          <w:szCs w:val="18"/>
        </w:rPr>
      </w:pPr>
    </w:p>
    <w:p w:rsidRPr="00C5308E" w:rsidR="00CC731B" w:rsidP="00CC731B" w:rsidRDefault="00CC731B" w14:paraId="67AF5652" w14:textId="77777777">
      <w:pPr>
        <w:spacing w:after="0" w:line="240" w:lineRule="auto"/>
        <w:contextualSpacing/>
        <w:rPr>
          <w:rFonts w:ascii="Verdana" w:hAnsi="Verdana"/>
          <w:bCs/>
          <w:sz w:val="18"/>
          <w:szCs w:val="18"/>
        </w:rPr>
      </w:pPr>
      <w:r w:rsidRPr="00C5308E">
        <w:rPr>
          <w:rFonts w:ascii="Verdana" w:hAnsi="Verdana"/>
          <w:bCs/>
          <w:sz w:val="18"/>
          <w:szCs w:val="18"/>
        </w:rPr>
        <w:t>Voor 2026 en volgende jaren gaat het om inhoudelijke afwegingen. De taakstelling voor het kerndepartement SZW bouwt op tot € 39 miljoen in 2029 en structureel. Dit komt neer op een percentage van circa 14% van het apparaatsbudget in 2029. Er zijn diverse plannen ontwikkeld voor de invulling van dit deel van de taakstelling. Dit voorgenomen besluit ligt voor advies bij de Ondernemingsraad.</w:t>
      </w:r>
      <w:r>
        <w:rPr>
          <w:rFonts w:ascii="Verdana" w:hAnsi="Verdana"/>
          <w:bCs/>
          <w:sz w:val="18"/>
          <w:szCs w:val="18"/>
        </w:rPr>
        <w:t xml:space="preserve"> Daarnaast is a</w:t>
      </w:r>
      <w:r w:rsidRPr="00C5308E">
        <w:rPr>
          <w:rFonts w:ascii="Verdana" w:hAnsi="Verdana"/>
          <w:bCs/>
          <w:sz w:val="18"/>
          <w:szCs w:val="18"/>
        </w:rPr>
        <w:t xml:space="preserve">fgesproken dat de Nederlandse Arbeidsinspectie (NLA), UWV en SVB een bijdrage leveren aan de taakstelling. Deze bijdrage bedraagt 0,5% per jaar waarmee het CPB rekent, oplopend naar 2% in 2029 en structureel. Dit komt neer op € 4 miljoen voor NLA, € 49 miljoen voor UWV en € 7 miljoen voor SVB. </w:t>
      </w:r>
    </w:p>
    <w:p w:rsidRPr="00C5308E" w:rsidR="007E203F" w:rsidP="00D87753" w:rsidRDefault="007E203F" w14:paraId="3D8F4315" w14:textId="77777777">
      <w:pPr>
        <w:spacing w:after="0" w:line="240" w:lineRule="auto"/>
        <w:contextualSpacing/>
        <w:rPr>
          <w:rFonts w:ascii="Verdana" w:hAnsi="Verdana"/>
          <w:bCs/>
          <w:sz w:val="18"/>
          <w:szCs w:val="18"/>
        </w:rPr>
      </w:pPr>
    </w:p>
    <w:p w:rsidRPr="00C5308E" w:rsidR="007E203F" w:rsidP="00D87753" w:rsidRDefault="007E203F" w14:paraId="6987DD6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w:t>
      </w:r>
    </w:p>
    <w:p w:rsidRPr="00C5308E" w:rsidR="007E203F" w:rsidP="00D87753" w:rsidRDefault="007E203F" w14:paraId="1C44BB4B" w14:textId="77777777">
      <w:pPr>
        <w:spacing w:after="0" w:line="240" w:lineRule="auto"/>
        <w:contextualSpacing/>
        <w:rPr>
          <w:rFonts w:ascii="Verdana" w:hAnsi="Verdana"/>
          <w:bCs/>
          <w:sz w:val="18"/>
          <w:szCs w:val="18"/>
        </w:rPr>
      </w:pPr>
      <w:r w:rsidRPr="00C5308E">
        <w:rPr>
          <w:rFonts w:ascii="Verdana" w:hAnsi="Verdana"/>
          <w:bCs/>
          <w:sz w:val="18"/>
          <w:szCs w:val="18"/>
        </w:rPr>
        <w:t>Welke ICT-vernieuwingen zullen niet of later plaatsvinden als gevolg van de taakstelling op apparaatskosten?</w:t>
      </w:r>
    </w:p>
    <w:p w:rsidRPr="00C5308E" w:rsidR="007E203F" w:rsidP="00D87753" w:rsidRDefault="007E203F" w14:paraId="13D1E9B1" w14:textId="77777777">
      <w:pPr>
        <w:spacing w:after="0" w:line="240" w:lineRule="auto"/>
        <w:contextualSpacing/>
        <w:rPr>
          <w:rFonts w:ascii="Verdana" w:hAnsi="Verdana"/>
          <w:bCs/>
          <w:sz w:val="18"/>
          <w:szCs w:val="18"/>
        </w:rPr>
      </w:pPr>
    </w:p>
    <w:p w:rsidRPr="00C5308E" w:rsidR="007E203F" w:rsidP="00D87753" w:rsidRDefault="007E203F" w14:paraId="76FEDCA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w:t>
      </w:r>
    </w:p>
    <w:p w:rsidRPr="00C5308E" w:rsidR="007E203F" w:rsidP="00D87753" w:rsidRDefault="007E203F" w14:paraId="2A64CD96" w14:textId="77777777">
      <w:pPr>
        <w:spacing w:after="0" w:line="240" w:lineRule="auto"/>
        <w:contextualSpacing/>
        <w:rPr>
          <w:rFonts w:ascii="Verdana" w:hAnsi="Verdana"/>
          <w:bCs/>
          <w:sz w:val="18"/>
          <w:szCs w:val="18"/>
        </w:rPr>
      </w:pPr>
      <w:r w:rsidRPr="00C5308E">
        <w:rPr>
          <w:rFonts w:ascii="Verdana" w:hAnsi="Verdana"/>
          <w:bCs/>
          <w:sz w:val="18"/>
          <w:szCs w:val="18"/>
        </w:rPr>
        <w:t xml:space="preserve">Het is nog niet bekend of en welke ICT-vernieuwingen niet of later plaatsvinden als gevolg van de apparaatstaakstelling. </w:t>
      </w:r>
    </w:p>
    <w:p w:rsidRPr="00C5308E" w:rsidR="007E203F" w:rsidP="00D87753" w:rsidRDefault="007E203F" w14:paraId="782FCD54" w14:textId="77777777">
      <w:pPr>
        <w:spacing w:after="0" w:line="240" w:lineRule="auto"/>
        <w:contextualSpacing/>
        <w:rPr>
          <w:rFonts w:ascii="Verdana" w:hAnsi="Verdana"/>
          <w:bCs/>
          <w:sz w:val="18"/>
          <w:szCs w:val="18"/>
        </w:rPr>
      </w:pPr>
    </w:p>
    <w:p w:rsidRPr="00C5308E" w:rsidR="007E203F" w:rsidP="00D87753" w:rsidRDefault="007E203F" w14:paraId="5CE5078D" w14:textId="2C009C75">
      <w:pPr>
        <w:spacing w:after="0" w:line="240" w:lineRule="auto"/>
        <w:contextualSpacing/>
        <w:rPr>
          <w:rFonts w:ascii="Verdana" w:hAnsi="Verdana"/>
          <w:bCs/>
          <w:sz w:val="18"/>
          <w:szCs w:val="18"/>
        </w:rPr>
      </w:pPr>
      <w:r w:rsidRPr="00C5308E">
        <w:rPr>
          <w:rFonts w:ascii="Verdana" w:hAnsi="Verdana"/>
          <w:bCs/>
          <w:sz w:val="18"/>
          <w:szCs w:val="18"/>
        </w:rPr>
        <w:t>De apparaatstaakstelling voor 2025 vullen we grotendeels in met reserves</w:t>
      </w:r>
      <w:r w:rsidRPr="00C5308E" w:rsidR="0022367C">
        <w:rPr>
          <w:rFonts w:ascii="Verdana" w:hAnsi="Verdana"/>
          <w:bCs/>
          <w:sz w:val="18"/>
          <w:szCs w:val="18"/>
        </w:rPr>
        <w:t xml:space="preserve"> op het terrein van apparaat</w:t>
      </w:r>
      <w:r w:rsidRPr="00C5308E">
        <w:rPr>
          <w:rFonts w:ascii="Verdana" w:hAnsi="Verdana"/>
          <w:bCs/>
          <w:sz w:val="18"/>
          <w:szCs w:val="18"/>
        </w:rPr>
        <w:t xml:space="preserve">. Voor een beperkt bedrag wordt een besparing op zaken zoals de overige personeelskosten en de catering ingeboekt. Daarnaast worden vacatures die ontstaan als gevolg van pensioneringen niet ingevuld en wordt er terughoudend omgegaan met het invullen van vacatures. </w:t>
      </w:r>
    </w:p>
    <w:p w:rsidRPr="00C5308E" w:rsidR="007E203F" w:rsidP="00D87753" w:rsidRDefault="007E203F" w14:paraId="595F85C3" w14:textId="6669427D">
      <w:pPr>
        <w:spacing w:after="0" w:line="240" w:lineRule="auto"/>
        <w:contextualSpacing/>
        <w:rPr>
          <w:rFonts w:ascii="Verdana" w:hAnsi="Verdana"/>
          <w:bCs/>
          <w:sz w:val="18"/>
          <w:szCs w:val="18"/>
        </w:rPr>
      </w:pPr>
      <w:r w:rsidRPr="00C5308E">
        <w:rPr>
          <w:rFonts w:ascii="Verdana" w:hAnsi="Verdana"/>
          <w:bCs/>
          <w:sz w:val="18"/>
          <w:szCs w:val="18"/>
        </w:rPr>
        <w:t>Voor 2026 en volgende jaren gaat het om in</w:t>
      </w:r>
      <w:r w:rsidRPr="00C5308E" w:rsidR="004C0310">
        <w:rPr>
          <w:rFonts w:ascii="Verdana" w:hAnsi="Verdana"/>
          <w:bCs/>
          <w:sz w:val="18"/>
          <w:szCs w:val="18"/>
        </w:rPr>
        <w:t>houdelijke</w:t>
      </w:r>
      <w:r w:rsidRPr="00C5308E">
        <w:rPr>
          <w:rFonts w:ascii="Verdana" w:hAnsi="Verdana"/>
          <w:bCs/>
          <w:sz w:val="18"/>
          <w:szCs w:val="18"/>
        </w:rPr>
        <w:t xml:space="preserve"> afwegingen. Er</w:t>
      </w:r>
      <w:r w:rsidRPr="00C5308E" w:rsidR="004C0310">
        <w:rPr>
          <w:rFonts w:ascii="Verdana" w:hAnsi="Verdana"/>
          <w:bCs/>
          <w:sz w:val="18"/>
          <w:szCs w:val="18"/>
        </w:rPr>
        <w:t xml:space="preserve"> zijn</w:t>
      </w:r>
      <w:r w:rsidRPr="00C5308E">
        <w:rPr>
          <w:rFonts w:ascii="Verdana" w:hAnsi="Verdana"/>
          <w:bCs/>
          <w:sz w:val="18"/>
          <w:szCs w:val="18"/>
        </w:rPr>
        <w:t xml:space="preserve"> diverse plannen ontwikkeld voor de invulling van dit deel van de taakstelling. Dit voorgenomen besluit ligt voor advies </w:t>
      </w:r>
      <w:r w:rsidRPr="00C5308E" w:rsidR="004C0310">
        <w:rPr>
          <w:rFonts w:ascii="Verdana" w:hAnsi="Verdana"/>
          <w:bCs/>
          <w:sz w:val="18"/>
          <w:szCs w:val="18"/>
        </w:rPr>
        <w:t>bij</w:t>
      </w:r>
      <w:r w:rsidRPr="00C5308E">
        <w:rPr>
          <w:rFonts w:ascii="Verdana" w:hAnsi="Verdana"/>
          <w:bCs/>
          <w:sz w:val="18"/>
          <w:szCs w:val="18"/>
        </w:rPr>
        <w:t xml:space="preserve"> de Ondernemingsraad.</w:t>
      </w:r>
    </w:p>
    <w:p w:rsidRPr="00C5308E" w:rsidR="007E203F" w:rsidP="00D87753" w:rsidRDefault="007E203F" w14:paraId="409B6600" w14:textId="77777777">
      <w:pPr>
        <w:spacing w:after="0" w:line="240" w:lineRule="auto"/>
        <w:contextualSpacing/>
        <w:rPr>
          <w:rFonts w:ascii="Verdana" w:hAnsi="Verdana"/>
          <w:bCs/>
          <w:sz w:val="18"/>
          <w:szCs w:val="18"/>
        </w:rPr>
      </w:pPr>
    </w:p>
    <w:p w:rsidRPr="00C5308E" w:rsidR="007E203F" w:rsidP="00D87753" w:rsidRDefault="007E203F" w14:paraId="6759D7F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w:t>
      </w:r>
    </w:p>
    <w:p w:rsidRPr="00C5308E" w:rsidR="007E203F" w:rsidP="00D87753" w:rsidRDefault="007E203F" w14:paraId="7CBE171B" w14:textId="77777777">
      <w:pPr>
        <w:spacing w:after="0" w:line="240" w:lineRule="auto"/>
        <w:contextualSpacing/>
        <w:rPr>
          <w:rFonts w:ascii="Verdana" w:hAnsi="Verdana"/>
          <w:bCs/>
          <w:sz w:val="18"/>
          <w:szCs w:val="18"/>
        </w:rPr>
      </w:pPr>
      <w:r w:rsidRPr="00C5308E">
        <w:rPr>
          <w:rFonts w:ascii="Verdana" w:hAnsi="Verdana"/>
          <w:bCs/>
          <w:sz w:val="18"/>
          <w:szCs w:val="18"/>
        </w:rPr>
        <w:t>Welk deel van deze taakstelling valt neer bij uitvoeringsorganisaties en wat zijn hier de operationele gevolgen van?</w:t>
      </w:r>
    </w:p>
    <w:p w:rsidRPr="00C5308E" w:rsidR="007E203F" w:rsidP="00D87753" w:rsidRDefault="007E203F" w14:paraId="23896FDB" w14:textId="77777777">
      <w:pPr>
        <w:spacing w:after="0" w:line="240" w:lineRule="auto"/>
        <w:contextualSpacing/>
        <w:rPr>
          <w:rFonts w:ascii="Verdana" w:hAnsi="Verdana"/>
          <w:bCs/>
          <w:sz w:val="18"/>
          <w:szCs w:val="18"/>
        </w:rPr>
      </w:pPr>
    </w:p>
    <w:p w:rsidRPr="00C5308E" w:rsidR="007E203F" w:rsidP="00D87753" w:rsidRDefault="007E203F" w14:paraId="6A94E09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w:t>
      </w:r>
    </w:p>
    <w:p w:rsidRPr="00C5308E" w:rsidR="007E203F" w:rsidP="00D87753" w:rsidRDefault="009D7D7E" w14:paraId="6C785432" w14:textId="37E97AAF">
      <w:pPr>
        <w:spacing w:after="0" w:line="240" w:lineRule="auto"/>
        <w:contextualSpacing/>
        <w:rPr>
          <w:rFonts w:ascii="Verdana" w:hAnsi="Verdana"/>
          <w:bCs/>
          <w:sz w:val="18"/>
          <w:szCs w:val="18"/>
        </w:rPr>
      </w:pPr>
      <w:r>
        <w:rPr>
          <w:rFonts w:ascii="Verdana" w:hAnsi="Verdana"/>
          <w:bCs/>
          <w:sz w:val="18"/>
          <w:szCs w:val="18"/>
        </w:rPr>
        <w:t xml:space="preserve">Er zijn twee taakstellingen: de HLA-apparaatstaakstelling en de taakstelling OCW (dekking amendement Bontenbal c.s.) </w:t>
      </w:r>
      <w:r w:rsidRPr="00C5308E" w:rsidR="007E203F">
        <w:rPr>
          <w:rFonts w:ascii="Verdana" w:hAnsi="Verdana"/>
          <w:bCs/>
          <w:sz w:val="18"/>
          <w:szCs w:val="18"/>
        </w:rPr>
        <w:t xml:space="preserve">Afgesproken is dat de Nederlandse Arbeidsinspectie (NLA) en de uitvoeringsorganisaties een bijdrage leveren aan de HLA-apparaatstaakstelling. </w:t>
      </w:r>
      <w:r w:rsidRPr="00C5308E" w:rsidR="00053DE3">
        <w:rPr>
          <w:rFonts w:ascii="Verdana" w:hAnsi="Verdana"/>
          <w:bCs/>
          <w:sz w:val="18"/>
          <w:szCs w:val="18"/>
        </w:rPr>
        <w:t>De Nederlandse Arbeidsinspectie (NLA) zit in de grondslag van beide taakstellingen. De uitvoeringsorganisaties zijn meegenomen in de</w:t>
      </w:r>
      <w:r w:rsidR="00744CAF">
        <w:rPr>
          <w:rFonts w:ascii="Verdana" w:hAnsi="Verdana"/>
          <w:bCs/>
          <w:sz w:val="18"/>
          <w:szCs w:val="18"/>
        </w:rPr>
        <w:t xml:space="preserve"> door de TK vastgestelde</w:t>
      </w:r>
      <w:r w:rsidRPr="00C5308E" w:rsidR="00053DE3">
        <w:rPr>
          <w:rFonts w:ascii="Verdana" w:hAnsi="Verdana"/>
          <w:bCs/>
          <w:sz w:val="18"/>
          <w:szCs w:val="18"/>
        </w:rPr>
        <w:t xml:space="preserve"> grondslag van de aanvullende OCW-taakstelling</w:t>
      </w:r>
      <w:r>
        <w:rPr>
          <w:rFonts w:ascii="Verdana" w:hAnsi="Verdana"/>
          <w:bCs/>
          <w:sz w:val="18"/>
          <w:szCs w:val="18"/>
        </w:rPr>
        <w:t xml:space="preserve"> (amendement Bontenbal c.s.)</w:t>
      </w:r>
      <w:r w:rsidRPr="00C5308E" w:rsidR="00053DE3">
        <w:rPr>
          <w:rFonts w:ascii="Verdana" w:hAnsi="Verdana"/>
          <w:bCs/>
          <w:sz w:val="18"/>
          <w:szCs w:val="18"/>
        </w:rPr>
        <w:t xml:space="preserve">. </w:t>
      </w:r>
      <w:r w:rsidRPr="00C5308E" w:rsidR="007E203F">
        <w:rPr>
          <w:rFonts w:ascii="Verdana" w:hAnsi="Verdana"/>
          <w:bCs/>
          <w:sz w:val="18"/>
          <w:szCs w:val="18"/>
        </w:rPr>
        <w:t>We zijn in gesprek over de invulling</w:t>
      </w:r>
      <w:r w:rsidRPr="00C5308E" w:rsidR="00053DE3">
        <w:rPr>
          <w:rFonts w:ascii="Verdana" w:hAnsi="Verdana"/>
          <w:bCs/>
          <w:sz w:val="18"/>
          <w:szCs w:val="18"/>
        </w:rPr>
        <w:t xml:space="preserve"> met onze uitvoerders</w:t>
      </w:r>
      <w:r w:rsidRPr="00C5308E" w:rsidR="007E203F">
        <w:rPr>
          <w:rFonts w:ascii="Verdana" w:hAnsi="Verdana"/>
          <w:bCs/>
          <w:sz w:val="18"/>
          <w:szCs w:val="18"/>
        </w:rPr>
        <w:t>. De operationele gevolgen zijn daarom nog niet bekend.</w:t>
      </w:r>
      <w:r>
        <w:rPr>
          <w:rFonts w:ascii="Verdana" w:hAnsi="Verdana"/>
          <w:bCs/>
          <w:sz w:val="18"/>
          <w:szCs w:val="18"/>
        </w:rPr>
        <w:t xml:space="preserve"> Er</w:t>
      </w:r>
      <w:r w:rsidRPr="00C5308E">
        <w:rPr>
          <w:rFonts w:ascii="Verdana" w:hAnsi="Verdana"/>
          <w:bCs/>
          <w:sz w:val="18"/>
          <w:szCs w:val="18"/>
        </w:rPr>
        <w:t xml:space="preserve"> wordt gekeken naar vereenvoudiging van wet- en regelgeving, </w:t>
      </w:r>
      <w:r>
        <w:rPr>
          <w:rFonts w:ascii="Verdana" w:hAnsi="Verdana"/>
          <w:bCs/>
          <w:sz w:val="18"/>
          <w:szCs w:val="18"/>
        </w:rPr>
        <w:t>maar ook naar besparingen in bijvoorbeeld de bedrijfsvoering.</w:t>
      </w:r>
      <w:r w:rsidRPr="00C5308E" w:rsidR="007E203F">
        <w:rPr>
          <w:rFonts w:ascii="Verdana" w:hAnsi="Verdana"/>
          <w:bCs/>
          <w:sz w:val="18"/>
          <w:szCs w:val="18"/>
        </w:rPr>
        <w:t xml:space="preserve"> </w:t>
      </w:r>
    </w:p>
    <w:p w:rsidRPr="00C5308E" w:rsidR="007E203F" w:rsidP="00D87753" w:rsidRDefault="007E203F" w14:paraId="5F42F879" w14:textId="77777777">
      <w:pPr>
        <w:spacing w:after="0" w:line="240" w:lineRule="auto"/>
        <w:contextualSpacing/>
        <w:rPr>
          <w:rFonts w:ascii="Verdana" w:hAnsi="Verdana"/>
          <w:bCs/>
          <w:sz w:val="18"/>
          <w:szCs w:val="18"/>
        </w:rPr>
      </w:pPr>
      <w:r w:rsidRPr="00C5308E">
        <w:rPr>
          <w:rFonts w:ascii="Verdana" w:hAnsi="Verdana"/>
          <w:bCs/>
          <w:sz w:val="18"/>
          <w:szCs w:val="18"/>
        </w:rPr>
        <w:lastRenderedPageBreak/>
        <w:t xml:space="preserve">De bijdrage van de uitvoeringsorganisaties aan de HLA-taakstelling bedraagt 0,5% per jaar waarmee het CPB rekent, oplopend naar 2% in 2029 en structureel. Dit komt neer op structureel circa € 49 miljoen voor UWV, circa € 7 miljoen voor de SVB en circa € 4 miljoen voor de NLA. </w:t>
      </w:r>
    </w:p>
    <w:p w:rsidRPr="00C5308E" w:rsidR="007E203F" w:rsidP="00D87753" w:rsidRDefault="007E203F" w14:paraId="274332F8" w14:textId="77777777">
      <w:pPr>
        <w:spacing w:after="0" w:line="240" w:lineRule="auto"/>
        <w:contextualSpacing/>
        <w:rPr>
          <w:rFonts w:ascii="Verdana" w:hAnsi="Verdana"/>
          <w:bCs/>
          <w:sz w:val="18"/>
          <w:szCs w:val="18"/>
        </w:rPr>
      </w:pPr>
    </w:p>
    <w:p w:rsidRPr="00C5308E" w:rsidR="007E203F" w:rsidP="00D87753" w:rsidRDefault="007E203F" w14:paraId="580714FB" w14:textId="53DF648B">
      <w:pPr>
        <w:spacing w:after="0" w:line="240" w:lineRule="auto"/>
        <w:contextualSpacing/>
        <w:rPr>
          <w:rFonts w:ascii="Verdana" w:hAnsi="Verdana"/>
          <w:bCs/>
          <w:sz w:val="18"/>
          <w:szCs w:val="18"/>
        </w:rPr>
      </w:pPr>
      <w:r w:rsidRPr="00C5308E">
        <w:rPr>
          <w:rFonts w:ascii="Verdana" w:hAnsi="Verdana"/>
          <w:bCs/>
          <w:sz w:val="18"/>
          <w:szCs w:val="18"/>
        </w:rPr>
        <w:t>Bijdrage uitvoeringsorganisaties HLA-taakstelling (x € 1 m</w:t>
      </w:r>
      <w:r w:rsidRPr="00C5308E" w:rsidR="0031642E">
        <w:rPr>
          <w:rFonts w:ascii="Verdana" w:hAnsi="Verdana"/>
          <w:bCs/>
          <w:sz w:val="18"/>
          <w:szCs w:val="18"/>
        </w:rPr>
        <w:t>ln.</w:t>
      </w:r>
      <w:r w:rsidRPr="00C5308E">
        <w:rPr>
          <w:rFonts w:ascii="Verdana" w:hAnsi="Verdana"/>
          <w:bCs/>
          <w:sz w:val="18"/>
          <w:szCs w:val="18"/>
        </w:rPr>
        <w:t>)</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Pr="00C5308E" w:rsidR="007E203F" w:rsidTr="00E018DA" w14:paraId="415C9766" w14:textId="77777777">
        <w:tc>
          <w:tcPr>
            <w:tcW w:w="1510" w:type="dxa"/>
          </w:tcPr>
          <w:p w:rsidRPr="00C5308E" w:rsidR="007E203F" w:rsidP="00D87753" w:rsidRDefault="007E203F" w14:paraId="22BCC690" w14:textId="77777777">
            <w:pPr>
              <w:contextualSpacing/>
              <w:jc w:val="right"/>
              <w:rPr>
                <w:rFonts w:ascii="Verdana" w:hAnsi="Verdana"/>
                <w:bCs/>
                <w:sz w:val="18"/>
                <w:szCs w:val="18"/>
              </w:rPr>
            </w:pPr>
          </w:p>
        </w:tc>
        <w:tc>
          <w:tcPr>
            <w:tcW w:w="1510" w:type="dxa"/>
          </w:tcPr>
          <w:p w:rsidRPr="00C5308E" w:rsidR="007E203F" w:rsidP="00D87753" w:rsidRDefault="007E203F" w14:paraId="3F1A52F0" w14:textId="77777777">
            <w:pPr>
              <w:contextualSpacing/>
              <w:jc w:val="right"/>
              <w:rPr>
                <w:rFonts w:ascii="Verdana" w:hAnsi="Verdana"/>
                <w:bCs/>
                <w:sz w:val="18"/>
                <w:szCs w:val="18"/>
              </w:rPr>
            </w:pPr>
            <w:r w:rsidRPr="00C5308E">
              <w:rPr>
                <w:rFonts w:ascii="Verdana" w:hAnsi="Verdana"/>
                <w:bCs/>
                <w:sz w:val="18"/>
                <w:szCs w:val="18"/>
              </w:rPr>
              <w:t>2025</w:t>
            </w:r>
          </w:p>
        </w:tc>
        <w:tc>
          <w:tcPr>
            <w:tcW w:w="1510" w:type="dxa"/>
          </w:tcPr>
          <w:p w:rsidRPr="00C5308E" w:rsidR="007E203F" w:rsidP="00D87753" w:rsidRDefault="007E203F" w14:paraId="6FEC85BF" w14:textId="77777777">
            <w:pPr>
              <w:contextualSpacing/>
              <w:jc w:val="right"/>
              <w:rPr>
                <w:rFonts w:ascii="Verdana" w:hAnsi="Verdana"/>
                <w:bCs/>
                <w:sz w:val="18"/>
                <w:szCs w:val="18"/>
              </w:rPr>
            </w:pPr>
            <w:r w:rsidRPr="00C5308E">
              <w:rPr>
                <w:rFonts w:ascii="Verdana" w:hAnsi="Verdana"/>
                <w:bCs/>
                <w:sz w:val="18"/>
                <w:szCs w:val="18"/>
              </w:rPr>
              <w:t>2026</w:t>
            </w:r>
          </w:p>
        </w:tc>
        <w:tc>
          <w:tcPr>
            <w:tcW w:w="1510" w:type="dxa"/>
          </w:tcPr>
          <w:p w:rsidRPr="00C5308E" w:rsidR="007E203F" w:rsidP="00D87753" w:rsidRDefault="007E203F" w14:paraId="5FD3D1F1" w14:textId="77777777">
            <w:pPr>
              <w:contextualSpacing/>
              <w:jc w:val="right"/>
              <w:rPr>
                <w:rFonts w:ascii="Verdana" w:hAnsi="Verdana"/>
                <w:bCs/>
                <w:sz w:val="18"/>
                <w:szCs w:val="18"/>
              </w:rPr>
            </w:pPr>
            <w:r w:rsidRPr="00C5308E">
              <w:rPr>
                <w:rFonts w:ascii="Verdana" w:hAnsi="Verdana"/>
                <w:bCs/>
                <w:sz w:val="18"/>
                <w:szCs w:val="18"/>
              </w:rPr>
              <w:t>2027</w:t>
            </w:r>
          </w:p>
        </w:tc>
        <w:tc>
          <w:tcPr>
            <w:tcW w:w="1511" w:type="dxa"/>
          </w:tcPr>
          <w:p w:rsidRPr="00C5308E" w:rsidR="007E203F" w:rsidP="00D87753" w:rsidRDefault="007E203F" w14:paraId="5C29F792" w14:textId="77777777">
            <w:pPr>
              <w:contextualSpacing/>
              <w:jc w:val="right"/>
              <w:rPr>
                <w:rFonts w:ascii="Verdana" w:hAnsi="Verdana"/>
                <w:bCs/>
                <w:sz w:val="18"/>
                <w:szCs w:val="18"/>
              </w:rPr>
            </w:pPr>
            <w:r w:rsidRPr="00C5308E">
              <w:rPr>
                <w:rFonts w:ascii="Verdana" w:hAnsi="Verdana"/>
                <w:bCs/>
                <w:sz w:val="18"/>
                <w:szCs w:val="18"/>
              </w:rPr>
              <w:t>2028</w:t>
            </w:r>
          </w:p>
        </w:tc>
        <w:tc>
          <w:tcPr>
            <w:tcW w:w="1511" w:type="dxa"/>
          </w:tcPr>
          <w:p w:rsidRPr="00C5308E" w:rsidR="007E203F" w:rsidP="00D87753" w:rsidRDefault="007E203F" w14:paraId="510B80E4" w14:textId="77777777">
            <w:pPr>
              <w:contextualSpacing/>
              <w:jc w:val="right"/>
              <w:rPr>
                <w:rFonts w:ascii="Verdana" w:hAnsi="Verdana"/>
                <w:bCs/>
                <w:sz w:val="18"/>
                <w:szCs w:val="18"/>
              </w:rPr>
            </w:pPr>
            <w:r w:rsidRPr="00C5308E">
              <w:rPr>
                <w:rFonts w:ascii="Verdana" w:hAnsi="Verdana"/>
                <w:bCs/>
                <w:sz w:val="18"/>
                <w:szCs w:val="18"/>
              </w:rPr>
              <w:t>2029</w:t>
            </w:r>
          </w:p>
        </w:tc>
      </w:tr>
      <w:tr w:rsidRPr="00C5308E" w:rsidR="007E203F" w:rsidTr="00E018DA" w14:paraId="3E25BD81" w14:textId="77777777">
        <w:tc>
          <w:tcPr>
            <w:tcW w:w="1510" w:type="dxa"/>
          </w:tcPr>
          <w:p w:rsidRPr="00C5308E" w:rsidR="007E203F" w:rsidP="00D87753" w:rsidRDefault="007E203F" w14:paraId="18290577" w14:textId="77777777">
            <w:pPr>
              <w:contextualSpacing/>
              <w:rPr>
                <w:rFonts w:ascii="Verdana" w:hAnsi="Verdana"/>
                <w:bCs/>
                <w:sz w:val="18"/>
                <w:szCs w:val="18"/>
              </w:rPr>
            </w:pPr>
            <w:r w:rsidRPr="00C5308E">
              <w:rPr>
                <w:rFonts w:ascii="Verdana" w:hAnsi="Verdana"/>
                <w:bCs/>
                <w:sz w:val="18"/>
                <w:szCs w:val="18"/>
              </w:rPr>
              <w:t>Bijdrage SVB</w:t>
            </w:r>
          </w:p>
        </w:tc>
        <w:tc>
          <w:tcPr>
            <w:tcW w:w="1510" w:type="dxa"/>
          </w:tcPr>
          <w:p w:rsidRPr="00C5308E" w:rsidR="007E203F" w:rsidP="00D87753" w:rsidRDefault="007E203F" w14:paraId="78C35ECC" w14:textId="77777777">
            <w:pPr>
              <w:contextualSpacing/>
              <w:jc w:val="right"/>
              <w:rPr>
                <w:rFonts w:ascii="Verdana" w:hAnsi="Verdana"/>
                <w:bCs/>
                <w:sz w:val="18"/>
                <w:szCs w:val="18"/>
              </w:rPr>
            </w:pPr>
            <w:r w:rsidRPr="00C5308E">
              <w:rPr>
                <w:rFonts w:ascii="Verdana" w:hAnsi="Verdana"/>
                <w:bCs/>
                <w:sz w:val="18"/>
                <w:szCs w:val="18"/>
              </w:rPr>
              <w:t>0</w:t>
            </w:r>
          </w:p>
        </w:tc>
        <w:tc>
          <w:tcPr>
            <w:tcW w:w="1510" w:type="dxa"/>
          </w:tcPr>
          <w:p w:rsidRPr="00C5308E" w:rsidR="007E203F" w:rsidP="00D87753" w:rsidRDefault="007E203F" w14:paraId="7A18BDA1" w14:textId="77777777">
            <w:pPr>
              <w:contextualSpacing/>
              <w:jc w:val="right"/>
              <w:rPr>
                <w:rFonts w:ascii="Verdana" w:hAnsi="Verdana"/>
                <w:bCs/>
                <w:sz w:val="18"/>
                <w:szCs w:val="18"/>
              </w:rPr>
            </w:pPr>
            <w:r w:rsidRPr="00C5308E">
              <w:rPr>
                <w:rFonts w:ascii="Verdana" w:hAnsi="Verdana"/>
                <w:bCs/>
                <w:sz w:val="18"/>
                <w:szCs w:val="18"/>
              </w:rPr>
              <w:t>1,8</w:t>
            </w:r>
          </w:p>
        </w:tc>
        <w:tc>
          <w:tcPr>
            <w:tcW w:w="1510" w:type="dxa"/>
          </w:tcPr>
          <w:p w:rsidRPr="00C5308E" w:rsidR="007E203F" w:rsidP="00D87753" w:rsidRDefault="007E203F" w14:paraId="222FBDB4" w14:textId="77777777">
            <w:pPr>
              <w:contextualSpacing/>
              <w:jc w:val="right"/>
              <w:rPr>
                <w:rFonts w:ascii="Verdana" w:hAnsi="Verdana"/>
                <w:bCs/>
                <w:sz w:val="18"/>
                <w:szCs w:val="18"/>
              </w:rPr>
            </w:pPr>
            <w:r w:rsidRPr="00C5308E">
              <w:rPr>
                <w:rFonts w:ascii="Verdana" w:hAnsi="Verdana"/>
                <w:bCs/>
                <w:sz w:val="18"/>
                <w:szCs w:val="18"/>
              </w:rPr>
              <w:t>3,6</w:t>
            </w:r>
          </w:p>
        </w:tc>
        <w:tc>
          <w:tcPr>
            <w:tcW w:w="1511" w:type="dxa"/>
          </w:tcPr>
          <w:p w:rsidRPr="00C5308E" w:rsidR="007E203F" w:rsidP="00D87753" w:rsidRDefault="007E203F" w14:paraId="1C8D71BE" w14:textId="77777777">
            <w:pPr>
              <w:contextualSpacing/>
              <w:jc w:val="right"/>
              <w:rPr>
                <w:rFonts w:ascii="Verdana" w:hAnsi="Verdana"/>
                <w:bCs/>
                <w:sz w:val="18"/>
                <w:szCs w:val="18"/>
              </w:rPr>
            </w:pPr>
            <w:r w:rsidRPr="00C5308E">
              <w:rPr>
                <w:rFonts w:ascii="Verdana" w:hAnsi="Verdana"/>
                <w:bCs/>
                <w:sz w:val="18"/>
                <w:szCs w:val="18"/>
              </w:rPr>
              <w:t>5,5</w:t>
            </w:r>
          </w:p>
        </w:tc>
        <w:tc>
          <w:tcPr>
            <w:tcW w:w="1511" w:type="dxa"/>
          </w:tcPr>
          <w:p w:rsidRPr="00C5308E" w:rsidR="007E203F" w:rsidP="00D87753" w:rsidRDefault="007E203F" w14:paraId="79514735" w14:textId="77777777">
            <w:pPr>
              <w:contextualSpacing/>
              <w:jc w:val="right"/>
              <w:rPr>
                <w:rFonts w:ascii="Verdana" w:hAnsi="Verdana"/>
                <w:bCs/>
                <w:sz w:val="18"/>
                <w:szCs w:val="18"/>
              </w:rPr>
            </w:pPr>
            <w:r w:rsidRPr="00C5308E">
              <w:rPr>
                <w:rFonts w:ascii="Verdana" w:hAnsi="Verdana"/>
                <w:bCs/>
                <w:sz w:val="18"/>
                <w:szCs w:val="18"/>
              </w:rPr>
              <w:t>7,3</w:t>
            </w:r>
          </w:p>
        </w:tc>
      </w:tr>
      <w:tr w:rsidRPr="00C5308E" w:rsidR="007E203F" w:rsidTr="00E018DA" w14:paraId="022DC6DE" w14:textId="77777777">
        <w:tc>
          <w:tcPr>
            <w:tcW w:w="1510" w:type="dxa"/>
          </w:tcPr>
          <w:p w:rsidRPr="00C5308E" w:rsidR="007E203F" w:rsidP="00D87753" w:rsidRDefault="007E203F" w14:paraId="48E3E471" w14:textId="77777777">
            <w:pPr>
              <w:contextualSpacing/>
              <w:rPr>
                <w:rFonts w:ascii="Verdana" w:hAnsi="Verdana"/>
                <w:bCs/>
                <w:sz w:val="18"/>
                <w:szCs w:val="18"/>
              </w:rPr>
            </w:pPr>
            <w:r w:rsidRPr="00C5308E">
              <w:rPr>
                <w:rFonts w:ascii="Verdana" w:hAnsi="Verdana"/>
                <w:bCs/>
                <w:sz w:val="18"/>
                <w:szCs w:val="18"/>
              </w:rPr>
              <w:t>Bijdrage UWV</w:t>
            </w:r>
          </w:p>
        </w:tc>
        <w:tc>
          <w:tcPr>
            <w:tcW w:w="1510" w:type="dxa"/>
          </w:tcPr>
          <w:p w:rsidRPr="00C5308E" w:rsidR="007E203F" w:rsidP="00D87753" w:rsidRDefault="007E203F" w14:paraId="69BF9013" w14:textId="77777777">
            <w:pPr>
              <w:contextualSpacing/>
              <w:jc w:val="right"/>
              <w:rPr>
                <w:rFonts w:ascii="Verdana" w:hAnsi="Verdana"/>
                <w:bCs/>
                <w:sz w:val="18"/>
                <w:szCs w:val="18"/>
              </w:rPr>
            </w:pPr>
          </w:p>
        </w:tc>
        <w:tc>
          <w:tcPr>
            <w:tcW w:w="1510" w:type="dxa"/>
          </w:tcPr>
          <w:p w:rsidRPr="00C5308E" w:rsidR="007E203F" w:rsidP="00D87753" w:rsidRDefault="007E203F" w14:paraId="75071E9D" w14:textId="77777777">
            <w:pPr>
              <w:contextualSpacing/>
              <w:jc w:val="right"/>
              <w:rPr>
                <w:rFonts w:ascii="Verdana" w:hAnsi="Verdana"/>
                <w:bCs/>
                <w:sz w:val="18"/>
                <w:szCs w:val="18"/>
              </w:rPr>
            </w:pPr>
            <w:r w:rsidRPr="00C5308E">
              <w:rPr>
                <w:rFonts w:ascii="Verdana" w:hAnsi="Verdana"/>
                <w:bCs/>
                <w:sz w:val="18"/>
                <w:szCs w:val="18"/>
              </w:rPr>
              <w:t>11,7</w:t>
            </w:r>
          </w:p>
        </w:tc>
        <w:tc>
          <w:tcPr>
            <w:tcW w:w="1510" w:type="dxa"/>
          </w:tcPr>
          <w:p w:rsidRPr="00C5308E" w:rsidR="007E203F" w:rsidP="00D87753" w:rsidRDefault="007E203F" w14:paraId="2D2E5496" w14:textId="77777777">
            <w:pPr>
              <w:contextualSpacing/>
              <w:jc w:val="right"/>
              <w:rPr>
                <w:rFonts w:ascii="Verdana" w:hAnsi="Verdana"/>
                <w:bCs/>
                <w:sz w:val="18"/>
                <w:szCs w:val="18"/>
              </w:rPr>
            </w:pPr>
            <w:r w:rsidRPr="00C5308E">
              <w:rPr>
                <w:rFonts w:ascii="Verdana" w:hAnsi="Verdana"/>
                <w:bCs/>
                <w:sz w:val="18"/>
                <w:szCs w:val="18"/>
              </w:rPr>
              <w:t>23,8</w:t>
            </w:r>
          </w:p>
        </w:tc>
        <w:tc>
          <w:tcPr>
            <w:tcW w:w="1511" w:type="dxa"/>
          </w:tcPr>
          <w:p w:rsidRPr="00C5308E" w:rsidR="007E203F" w:rsidP="00D87753" w:rsidRDefault="007E203F" w14:paraId="656FD987" w14:textId="77777777">
            <w:pPr>
              <w:contextualSpacing/>
              <w:jc w:val="right"/>
              <w:rPr>
                <w:rFonts w:ascii="Verdana" w:hAnsi="Verdana"/>
                <w:bCs/>
                <w:sz w:val="18"/>
                <w:szCs w:val="18"/>
              </w:rPr>
            </w:pPr>
            <w:r w:rsidRPr="00C5308E">
              <w:rPr>
                <w:rFonts w:ascii="Verdana" w:hAnsi="Verdana"/>
                <w:bCs/>
                <w:sz w:val="18"/>
                <w:szCs w:val="18"/>
              </w:rPr>
              <w:t>36,3</w:t>
            </w:r>
          </w:p>
        </w:tc>
        <w:tc>
          <w:tcPr>
            <w:tcW w:w="1511" w:type="dxa"/>
          </w:tcPr>
          <w:p w:rsidRPr="00C5308E" w:rsidR="007E203F" w:rsidP="00D87753" w:rsidRDefault="007E203F" w14:paraId="0EF9047C" w14:textId="77777777">
            <w:pPr>
              <w:contextualSpacing/>
              <w:jc w:val="right"/>
              <w:rPr>
                <w:rFonts w:ascii="Verdana" w:hAnsi="Verdana"/>
                <w:bCs/>
                <w:sz w:val="18"/>
                <w:szCs w:val="18"/>
              </w:rPr>
            </w:pPr>
            <w:r w:rsidRPr="00C5308E">
              <w:rPr>
                <w:rFonts w:ascii="Verdana" w:hAnsi="Verdana"/>
                <w:bCs/>
                <w:sz w:val="18"/>
                <w:szCs w:val="18"/>
              </w:rPr>
              <w:t>48,7</w:t>
            </w:r>
          </w:p>
        </w:tc>
      </w:tr>
      <w:tr w:rsidRPr="00C5308E" w:rsidR="007E203F" w:rsidTr="00E018DA" w14:paraId="47337C11" w14:textId="77777777">
        <w:tc>
          <w:tcPr>
            <w:tcW w:w="1510" w:type="dxa"/>
          </w:tcPr>
          <w:p w:rsidRPr="00C5308E" w:rsidR="007E203F" w:rsidP="00D87753" w:rsidRDefault="007E203F" w14:paraId="3132E081" w14:textId="77777777">
            <w:pPr>
              <w:contextualSpacing/>
              <w:rPr>
                <w:rFonts w:ascii="Verdana" w:hAnsi="Verdana"/>
                <w:bCs/>
                <w:sz w:val="18"/>
                <w:szCs w:val="18"/>
              </w:rPr>
            </w:pPr>
            <w:r w:rsidRPr="00C5308E">
              <w:rPr>
                <w:rFonts w:ascii="Verdana" w:hAnsi="Verdana"/>
                <w:bCs/>
                <w:sz w:val="18"/>
                <w:szCs w:val="18"/>
              </w:rPr>
              <w:t>Bijdrage NLA</w:t>
            </w:r>
          </w:p>
        </w:tc>
        <w:tc>
          <w:tcPr>
            <w:tcW w:w="1510" w:type="dxa"/>
          </w:tcPr>
          <w:p w:rsidRPr="00C5308E" w:rsidR="007E203F" w:rsidP="00D87753" w:rsidRDefault="007E203F" w14:paraId="07DB9501" w14:textId="77777777">
            <w:pPr>
              <w:contextualSpacing/>
              <w:jc w:val="right"/>
              <w:rPr>
                <w:rFonts w:ascii="Verdana" w:hAnsi="Verdana"/>
                <w:bCs/>
                <w:sz w:val="18"/>
                <w:szCs w:val="18"/>
              </w:rPr>
            </w:pPr>
            <w:r w:rsidRPr="00C5308E">
              <w:rPr>
                <w:rFonts w:ascii="Verdana" w:hAnsi="Verdana"/>
                <w:bCs/>
                <w:sz w:val="18"/>
                <w:szCs w:val="18"/>
              </w:rPr>
              <w:t>1,0</w:t>
            </w:r>
          </w:p>
        </w:tc>
        <w:tc>
          <w:tcPr>
            <w:tcW w:w="1510" w:type="dxa"/>
          </w:tcPr>
          <w:p w:rsidRPr="00C5308E" w:rsidR="007E203F" w:rsidP="00D87753" w:rsidRDefault="007E203F" w14:paraId="0DEFED35" w14:textId="77777777">
            <w:pPr>
              <w:contextualSpacing/>
              <w:jc w:val="right"/>
              <w:rPr>
                <w:rFonts w:ascii="Verdana" w:hAnsi="Verdana"/>
                <w:bCs/>
                <w:sz w:val="18"/>
                <w:szCs w:val="18"/>
              </w:rPr>
            </w:pPr>
            <w:r w:rsidRPr="00C5308E">
              <w:rPr>
                <w:rFonts w:ascii="Verdana" w:hAnsi="Verdana"/>
                <w:bCs/>
                <w:sz w:val="18"/>
                <w:szCs w:val="18"/>
              </w:rPr>
              <w:t>1,0</w:t>
            </w:r>
          </w:p>
        </w:tc>
        <w:tc>
          <w:tcPr>
            <w:tcW w:w="1510" w:type="dxa"/>
          </w:tcPr>
          <w:p w:rsidRPr="00C5308E" w:rsidR="007E203F" w:rsidP="00D87753" w:rsidRDefault="007E203F" w14:paraId="486BB350" w14:textId="77777777">
            <w:pPr>
              <w:contextualSpacing/>
              <w:jc w:val="right"/>
              <w:rPr>
                <w:rFonts w:ascii="Verdana" w:hAnsi="Verdana"/>
                <w:bCs/>
                <w:sz w:val="18"/>
                <w:szCs w:val="18"/>
              </w:rPr>
            </w:pPr>
            <w:r w:rsidRPr="00C5308E">
              <w:rPr>
                <w:rFonts w:ascii="Verdana" w:hAnsi="Verdana"/>
                <w:bCs/>
                <w:sz w:val="18"/>
                <w:szCs w:val="18"/>
              </w:rPr>
              <w:t>2,0</w:t>
            </w:r>
          </w:p>
        </w:tc>
        <w:tc>
          <w:tcPr>
            <w:tcW w:w="1511" w:type="dxa"/>
          </w:tcPr>
          <w:p w:rsidRPr="00C5308E" w:rsidR="007E203F" w:rsidP="00D87753" w:rsidRDefault="007E203F" w14:paraId="66CAF294" w14:textId="77777777">
            <w:pPr>
              <w:contextualSpacing/>
              <w:jc w:val="right"/>
              <w:rPr>
                <w:rFonts w:ascii="Verdana" w:hAnsi="Verdana"/>
                <w:bCs/>
                <w:sz w:val="18"/>
                <w:szCs w:val="18"/>
              </w:rPr>
            </w:pPr>
            <w:r w:rsidRPr="00C5308E">
              <w:rPr>
                <w:rFonts w:ascii="Verdana" w:hAnsi="Verdana"/>
                <w:bCs/>
                <w:sz w:val="18"/>
                <w:szCs w:val="18"/>
              </w:rPr>
              <w:t>3,0</w:t>
            </w:r>
          </w:p>
        </w:tc>
        <w:tc>
          <w:tcPr>
            <w:tcW w:w="1511" w:type="dxa"/>
          </w:tcPr>
          <w:p w:rsidRPr="00C5308E" w:rsidR="007E203F" w:rsidP="00D87753" w:rsidRDefault="007E203F" w14:paraId="12C914E6" w14:textId="77777777">
            <w:pPr>
              <w:contextualSpacing/>
              <w:jc w:val="right"/>
              <w:rPr>
                <w:rFonts w:ascii="Verdana" w:hAnsi="Verdana"/>
                <w:bCs/>
                <w:sz w:val="18"/>
                <w:szCs w:val="18"/>
              </w:rPr>
            </w:pPr>
            <w:r w:rsidRPr="00C5308E">
              <w:rPr>
                <w:rFonts w:ascii="Verdana" w:hAnsi="Verdana"/>
                <w:bCs/>
                <w:sz w:val="18"/>
                <w:szCs w:val="18"/>
              </w:rPr>
              <w:t>4,0</w:t>
            </w:r>
          </w:p>
        </w:tc>
      </w:tr>
    </w:tbl>
    <w:p w:rsidRPr="00C5308E" w:rsidR="00FE2EE4" w:rsidP="00D87753" w:rsidRDefault="00FE2EE4" w14:paraId="0C1E0512" w14:textId="77777777">
      <w:pPr>
        <w:spacing w:after="0" w:line="240" w:lineRule="auto"/>
        <w:contextualSpacing/>
        <w:rPr>
          <w:rFonts w:ascii="Verdana" w:hAnsi="Verdana"/>
          <w:bCs/>
          <w:sz w:val="18"/>
          <w:szCs w:val="18"/>
          <w:u w:val="single"/>
        </w:rPr>
      </w:pPr>
    </w:p>
    <w:p w:rsidRPr="00C5308E" w:rsidR="00FE2EE4" w:rsidP="00D87753" w:rsidRDefault="00FE2EE4" w14:paraId="76B53EF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w:t>
      </w:r>
    </w:p>
    <w:p w:rsidRPr="00C5308E" w:rsidR="00FE2EE4" w:rsidP="00D87753" w:rsidRDefault="00FE2EE4" w14:paraId="223D186B" w14:textId="77777777">
      <w:pPr>
        <w:spacing w:after="0" w:line="240" w:lineRule="auto"/>
        <w:contextualSpacing/>
        <w:rPr>
          <w:rFonts w:ascii="Verdana" w:hAnsi="Verdana"/>
          <w:bCs/>
          <w:sz w:val="18"/>
          <w:szCs w:val="18"/>
        </w:rPr>
      </w:pPr>
      <w:r w:rsidRPr="00C5308E">
        <w:rPr>
          <w:rFonts w:ascii="Verdana" w:hAnsi="Verdana"/>
          <w:bCs/>
          <w:sz w:val="18"/>
          <w:szCs w:val="18"/>
        </w:rPr>
        <w:t>Welke kaders hanteert u voor het realiseren van de taakstelling op de apparaatsuitgaven?</w:t>
      </w:r>
    </w:p>
    <w:p w:rsidRPr="00C5308E" w:rsidR="00FE2EE4" w:rsidP="00D87753" w:rsidRDefault="00FE2EE4" w14:paraId="1CDE8B6D" w14:textId="77777777">
      <w:pPr>
        <w:spacing w:after="0" w:line="240" w:lineRule="auto"/>
        <w:contextualSpacing/>
        <w:rPr>
          <w:rFonts w:ascii="Verdana" w:hAnsi="Verdana"/>
          <w:bCs/>
          <w:sz w:val="18"/>
          <w:szCs w:val="18"/>
        </w:rPr>
      </w:pPr>
    </w:p>
    <w:p w:rsidRPr="00C5308E" w:rsidR="00FE2EE4" w:rsidP="00D87753" w:rsidRDefault="00FE2EE4" w14:paraId="2097A42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w:t>
      </w:r>
    </w:p>
    <w:p w:rsidRPr="00C5308E" w:rsidR="00FE2EE4" w:rsidP="00D87753" w:rsidRDefault="00FE2EE4" w14:paraId="74820213" w14:textId="3012F971">
      <w:pPr>
        <w:spacing w:after="0" w:line="240" w:lineRule="auto"/>
        <w:contextualSpacing/>
        <w:rPr>
          <w:rFonts w:ascii="Verdana" w:hAnsi="Verdana"/>
          <w:bCs/>
          <w:sz w:val="18"/>
          <w:szCs w:val="18"/>
        </w:rPr>
      </w:pPr>
      <w:r w:rsidRPr="00C5308E">
        <w:rPr>
          <w:rFonts w:ascii="Verdana" w:hAnsi="Verdana"/>
          <w:bCs/>
          <w:sz w:val="18"/>
          <w:szCs w:val="18"/>
        </w:rPr>
        <w:t>Voor de apparaatstaakstelling in 2025 hebben we gekozen voor een grotendeels financiële invulling</w:t>
      </w:r>
      <w:r w:rsidRPr="00C5308E" w:rsidR="004612A6">
        <w:rPr>
          <w:rFonts w:ascii="Verdana" w:hAnsi="Verdana"/>
          <w:bCs/>
          <w:sz w:val="18"/>
          <w:szCs w:val="18"/>
        </w:rPr>
        <w:t xml:space="preserve"> uit de apparaatsreserves</w:t>
      </w:r>
      <w:r w:rsidRPr="00C5308E">
        <w:rPr>
          <w:rFonts w:ascii="Verdana" w:hAnsi="Verdana"/>
          <w:bCs/>
          <w:sz w:val="18"/>
          <w:szCs w:val="18"/>
        </w:rPr>
        <w:t xml:space="preserve"> met relatief snel te realiseren maatregelen. Voor 2026 en volgende jaren gaat het om inhoudelijke afwegingen en keuzes. Er z</w:t>
      </w:r>
      <w:r w:rsidRPr="00C5308E" w:rsidR="004C0310">
        <w:rPr>
          <w:rFonts w:ascii="Verdana" w:hAnsi="Verdana"/>
          <w:bCs/>
          <w:sz w:val="18"/>
          <w:szCs w:val="18"/>
        </w:rPr>
        <w:t>ijn</w:t>
      </w:r>
      <w:r w:rsidRPr="00C5308E">
        <w:rPr>
          <w:rFonts w:ascii="Verdana" w:hAnsi="Verdana"/>
          <w:bCs/>
          <w:sz w:val="18"/>
          <w:szCs w:val="18"/>
        </w:rPr>
        <w:t xml:space="preserve"> diverse plannen ontwikkeld voor de invulling. Dit voorgenomen besluit ligt voor advies </w:t>
      </w:r>
      <w:r w:rsidRPr="00C5308E" w:rsidR="004C0310">
        <w:rPr>
          <w:rFonts w:ascii="Verdana" w:hAnsi="Verdana"/>
          <w:bCs/>
          <w:sz w:val="18"/>
          <w:szCs w:val="18"/>
        </w:rPr>
        <w:t>bij</w:t>
      </w:r>
      <w:r w:rsidRPr="00C5308E">
        <w:rPr>
          <w:rFonts w:ascii="Verdana" w:hAnsi="Verdana"/>
          <w:bCs/>
          <w:sz w:val="18"/>
          <w:szCs w:val="18"/>
        </w:rPr>
        <w:t xml:space="preserve"> de Ondernemingsraad.</w:t>
      </w:r>
    </w:p>
    <w:p w:rsidRPr="00C5308E" w:rsidR="00FE2EE4" w:rsidP="00D87753" w:rsidRDefault="00FE2EE4" w14:paraId="3A9687CB" w14:textId="77777777">
      <w:pPr>
        <w:spacing w:after="0" w:line="240" w:lineRule="auto"/>
        <w:contextualSpacing/>
        <w:rPr>
          <w:rFonts w:ascii="Verdana" w:hAnsi="Verdana"/>
          <w:bCs/>
          <w:sz w:val="18"/>
          <w:szCs w:val="18"/>
        </w:rPr>
      </w:pPr>
    </w:p>
    <w:p w:rsidRPr="00C5308E" w:rsidR="00FE2EE4" w:rsidP="00D87753" w:rsidRDefault="00FE2EE4" w14:paraId="3BE43802" w14:textId="46D73159">
      <w:pPr>
        <w:spacing w:after="0" w:line="240" w:lineRule="auto"/>
        <w:contextualSpacing/>
        <w:rPr>
          <w:rFonts w:ascii="Verdana" w:hAnsi="Verdana"/>
          <w:bCs/>
          <w:sz w:val="18"/>
          <w:szCs w:val="18"/>
        </w:rPr>
      </w:pPr>
      <w:r w:rsidRPr="00C5308E">
        <w:rPr>
          <w:rFonts w:ascii="Verdana" w:hAnsi="Verdana"/>
          <w:bCs/>
          <w:sz w:val="18"/>
          <w:szCs w:val="18"/>
        </w:rPr>
        <w:t xml:space="preserve">De keuzes in het voorgenomen besluit </w:t>
      </w:r>
      <w:r w:rsidR="00744CAF">
        <w:rPr>
          <w:rFonts w:ascii="Verdana" w:hAnsi="Verdana"/>
          <w:bCs/>
          <w:sz w:val="18"/>
          <w:szCs w:val="18"/>
        </w:rPr>
        <w:t>zijn</w:t>
      </w:r>
      <w:r w:rsidRPr="00C5308E">
        <w:rPr>
          <w:rFonts w:ascii="Verdana" w:hAnsi="Verdana"/>
          <w:bCs/>
          <w:sz w:val="18"/>
          <w:szCs w:val="18"/>
        </w:rPr>
        <w:t xml:space="preserve"> genomen langs de lijn van de beleidsprioriteiten en door te focussen op speerpunten van het regeerprogramma. Verder </w:t>
      </w:r>
      <w:r w:rsidR="00744CAF">
        <w:rPr>
          <w:rFonts w:ascii="Verdana" w:hAnsi="Verdana"/>
          <w:bCs/>
          <w:sz w:val="18"/>
          <w:szCs w:val="18"/>
        </w:rPr>
        <w:t>is het de bedoeling dat ambtenaren de</w:t>
      </w:r>
      <w:r w:rsidRPr="00C5308E">
        <w:rPr>
          <w:rFonts w:ascii="Verdana" w:hAnsi="Verdana"/>
          <w:bCs/>
          <w:sz w:val="18"/>
          <w:szCs w:val="18"/>
        </w:rPr>
        <w:t xml:space="preserve"> mogelijkheden om </w:t>
      </w:r>
      <w:r w:rsidR="00744CAF">
        <w:rPr>
          <w:rFonts w:ascii="Verdana" w:hAnsi="Verdana"/>
          <w:bCs/>
          <w:sz w:val="18"/>
          <w:szCs w:val="18"/>
        </w:rPr>
        <w:t>het</w:t>
      </w:r>
      <w:r w:rsidRPr="00C5308E">
        <w:rPr>
          <w:rFonts w:ascii="Verdana" w:hAnsi="Verdana"/>
          <w:bCs/>
          <w:sz w:val="18"/>
          <w:szCs w:val="18"/>
        </w:rPr>
        <w:t xml:space="preserve"> werk slimmer en efficiënter te doen, beter benutten. </w:t>
      </w:r>
    </w:p>
    <w:p w:rsidRPr="00C5308E" w:rsidR="00FE2EE4" w:rsidP="00D87753" w:rsidRDefault="00FE2EE4" w14:paraId="3D458695" w14:textId="77777777">
      <w:pPr>
        <w:spacing w:after="0" w:line="240" w:lineRule="auto"/>
        <w:contextualSpacing/>
        <w:rPr>
          <w:rFonts w:ascii="Verdana" w:hAnsi="Verdana"/>
          <w:bCs/>
          <w:sz w:val="18"/>
          <w:szCs w:val="18"/>
        </w:rPr>
      </w:pPr>
    </w:p>
    <w:p w:rsidRPr="00C5308E" w:rsidR="00D639F0" w:rsidP="00D87753" w:rsidRDefault="00D639F0" w14:paraId="7A5F2A8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w:t>
      </w:r>
    </w:p>
    <w:p w:rsidRPr="00C5308E" w:rsidR="00D639F0" w:rsidP="00D87753" w:rsidRDefault="00D639F0" w14:paraId="2FF04F1F" w14:textId="77777777">
      <w:pPr>
        <w:spacing w:after="0" w:line="240" w:lineRule="auto"/>
        <w:contextualSpacing/>
        <w:rPr>
          <w:rFonts w:ascii="Verdana" w:hAnsi="Verdana"/>
          <w:bCs/>
          <w:sz w:val="18"/>
          <w:szCs w:val="18"/>
        </w:rPr>
      </w:pPr>
      <w:r w:rsidRPr="00C5308E">
        <w:rPr>
          <w:rFonts w:ascii="Verdana" w:hAnsi="Verdana"/>
          <w:bCs/>
          <w:sz w:val="18"/>
          <w:szCs w:val="18"/>
        </w:rPr>
        <w:t>Kunt u een overzicht geven in de ontwikkeling van externe inhuur in de afgelopen vijf jaar en de doelstelling voor de komende vijf jaar?</w:t>
      </w:r>
    </w:p>
    <w:p w:rsidRPr="00C5308E" w:rsidR="00D639F0" w:rsidP="00D87753" w:rsidRDefault="00D639F0" w14:paraId="31182151" w14:textId="77777777">
      <w:pPr>
        <w:spacing w:after="0" w:line="240" w:lineRule="auto"/>
        <w:contextualSpacing/>
        <w:rPr>
          <w:rFonts w:ascii="Verdana" w:hAnsi="Verdana"/>
          <w:bCs/>
          <w:sz w:val="18"/>
          <w:szCs w:val="18"/>
        </w:rPr>
      </w:pPr>
    </w:p>
    <w:p w:rsidRPr="00C5308E" w:rsidR="00D639F0" w:rsidP="00D87753" w:rsidRDefault="00D639F0" w14:paraId="05C2FE1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w:t>
      </w:r>
    </w:p>
    <w:p w:rsidRPr="00C5308E" w:rsidR="00D639F0" w:rsidP="00D87753" w:rsidRDefault="00D639F0" w14:paraId="249A6DC8" w14:textId="77777777">
      <w:pPr>
        <w:spacing w:after="0" w:line="240" w:lineRule="auto"/>
        <w:contextualSpacing/>
        <w:rPr>
          <w:rFonts w:ascii="Verdana" w:hAnsi="Verdana"/>
          <w:bCs/>
          <w:sz w:val="18"/>
          <w:szCs w:val="18"/>
        </w:rPr>
      </w:pPr>
      <w:r w:rsidRPr="00C5308E">
        <w:rPr>
          <w:rFonts w:ascii="Verdana" w:hAnsi="Verdana"/>
          <w:bCs/>
          <w:sz w:val="18"/>
          <w:szCs w:val="18"/>
        </w:rPr>
        <w:t>De percentages externe inhuur van SZW in de afgelopen vijf jaar:</w:t>
      </w:r>
    </w:p>
    <w:tbl>
      <w:tblPr>
        <w:tblW w:w="2880" w:type="dxa"/>
        <w:tblCellMar>
          <w:left w:w="70" w:type="dxa"/>
          <w:right w:w="70" w:type="dxa"/>
        </w:tblCellMar>
        <w:tblLook w:val="04A0" w:firstRow="1" w:lastRow="0" w:firstColumn="1" w:lastColumn="0" w:noHBand="0" w:noVBand="1"/>
      </w:tblPr>
      <w:tblGrid>
        <w:gridCol w:w="1440"/>
        <w:gridCol w:w="1440"/>
      </w:tblGrid>
      <w:tr w:rsidRPr="00C5308E" w:rsidR="00D639F0" w:rsidTr="00E018DA" w14:paraId="63BEE408" w14:textId="77777777">
        <w:trPr>
          <w:trHeight w:val="300"/>
        </w:trPr>
        <w:tc>
          <w:tcPr>
            <w:tcW w:w="1440" w:type="dxa"/>
            <w:tcBorders>
              <w:top w:val="nil"/>
              <w:left w:val="nil"/>
              <w:bottom w:val="single" w:color="auto" w:sz="4" w:space="0"/>
              <w:right w:val="nil"/>
            </w:tcBorders>
            <w:noWrap/>
            <w:vAlign w:val="bottom"/>
            <w:hideMark/>
          </w:tcPr>
          <w:p w:rsidRPr="00C5308E" w:rsidR="00D639F0" w:rsidP="00D87753" w:rsidRDefault="004612A6" w14:paraId="537258B0" w14:textId="6B8D4690">
            <w:pPr>
              <w:spacing w:after="0" w:line="240" w:lineRule="auto"/>
              <w:contextualSpacing/>
              <w:rPr>
                <w:rFonts w:ascii="Verdana" w:hAnsi="Verdana"/>
                <w:bCs/>
                <w:sz w:val="18"/>
                <w:szCs w:val="18"/>
              </w:rPr>
            </w:pPr>
            <w:r w:rsidRPr="00C5308E">
              <w:rPr>
                <w:rFonts w:ascii="Verdana" w:hAnsi="Verdana"/>
                <w:bCs/>
                <w:sz w:val="18"/>
                <w:szCs w:val="18"/>
              </w:rPr>
              <w:t>J</w:t>
            </w:r>
            <w:r w:rsidRPr="00C5308E" w:rsidR="00D639F0">
              <w:rPr>
                <w:rFonts w:ascii="Verdana" w:hAnsi="Verdana"/>
                <w:bCs/>
                <w:sz w:val="18"/>
                <w:szCs w:val="18"/>
              </w:rPr>
              <w:t>aar</w:t>
            </w:r>
          </w:p>
        </w:tc>
        <w:tc>
          <w:tcPr>
            <w:tcW w:w="1440" w:type="dxa"/>
            <w:tcBorders>
              <w:top w:val="nil"/>
              <w:left w:val="nil"/>
              <w:bottom w:val="single" w:color="auto" w:sz="4" w:space="0"/>
              <w:right w:val="nil"/>
            </w:tcBorders>
            <w:noWrap/>
            <w:vAlign w:val="bottom"/>
            <w:hideMark/>
          </w:tcPr>
          <w:p w:rsidRPr="00C5308E" w:rsidR="00D639F0" w:rsidP="00D87753" w:rsidRDefault="004612A6" w14:paraId="64C13944" w14:textId="25D8E24C">
            <w:pPr>
              <w:spacing w:after="0" w:line="240" w:lineRule="auto"/>
              <w:contextualSpacing/>
              <w:rPr>
                <w:rFonts w:ascii="Verdana" w:hAnsi="Verdana"/>
                <w:bCs/>
                <w:sz w:val="18"/>
                <w:szCs w:val="18"/>
              </w:rPr>
            </w:pPr>
            <w:r w:rsidRPr="00C5308E">
              <w:rPr>
                <w:rFonts w:ascii="Verdana" w:hAnsi="Verdana"/>
                <w:bCs/>
                <w:sz w:val="18"/>
                <w:szCs w:val="18"/>
              </w:rPr>
              <w:t>P</w:t>
            </w:r>
            <w:r w:rsidRPr="00C5308E" w:rsidR="00D639F0">
              <w:rPr>
                <w:rFonts w:ascii="Verdana" w:hAnsi="Verdana"/>
                <w:bCs/>
                <w:sz w:val="18"/>
                <w:szCs w:val="18"/>
              </w:rPr>
              <w:t>ercentage</w:t>
            </w:r>
          </w:p>
        </w:tc>
      </w:tr>
      <w:tr w:rsidRPr="00C5308E" w:rsidR="00D639F0" w:rsidTr="00E018DA" w14:paraId="7849240F" w14:textId="77777777">
        <w:trPr>
          <w:trHeight w:val="300"/>
        </w:trPr>
        <w:tc>
          <w:tcPr>
            <w:tcW w:w="1440" w:type="dxa"/>
            <w:noWrap/>
            <w:vAlign w:val="bottom"/>
            <w:hideMark/>
          </w:tcPr>
          <w:p w:rsidRPr="00C5308E" w:rsidR="00D639F0" w:rsidP="00D87753" w:rsidRDefault="00D639F0" w14:paraId="2D3EEA30" w14:textId="77777777">
            <w:pPr>
              <w:spacing w:after="0" w:line="240" w:lineRule="auto"/>
              <w:contextualSpacing/>
              <w:rPr>
                <w:rFonts w:ascii="Verdana" w:hAnsi="Verdana"/>
                <w:bCs/>
                <w:sz w:val="18"/>
                <w:szCs w:val="18"/>
              </w:rPr>
            </w:pPr>
            <w:r w:rsidRPr="00C5308E">
              <w:rPr>
                <w:rFonts w:ascii="Verdana" w:hAnsi="Verdana"/>
                <w:bCs/>
                <w:sz w:val="18"/>
                <w:szCs w:val="18"/>
              </w:rPr>
              <w:t>2020</w:t>
            </w:r>
          </w:p>
        </w:tc>
        <w:tc>
          <w:tcPr>
            <w:tcW w:w="1440" w:type="dxa"/>
            <w:noWrap/>
            <w:vAlign w:val="bottom"/>
            <w:hideMark/>
          </w:tcPr>
          <w:p w:rsidRPr="00C5308E" w:rsidR="00D639F0" w:rsidP="00D87753" w:rsidRDefault="00D639F0" w14:paraId="61AB00C3" w14:textId="4E8CEA60">
            <w:pPr>
              <w:spacing w:after="0" w:line="240" w:lineRule="auto"/>
              <w:contextualSpacing/>
              <w:rPr>
                <w:rFonts w:ascii="Verdana" w:hAnsi="Verdana"/>
                <w:bCs/>
                <w:sz w:val="18"/>
                <w:szCs w:val="18"/>
              </w:rPr>
            </w:pPr>
            <w:r w:rsidRPr="00C5308E">
              <w:rPr>
                <w:rFonts w:ascii="Verdana" w:hAnsi="Verdana"/>
                <w:bCs/>
                <w:sz w:val="18"/>
                <w:szCs w:val="18"/>
              </w:rPr>
              <w:t>4,2</w:t>
            </w:r>
            <w:r w:rsidRPr="00C5308E" w:rsidR="004612A6">
              <w:rPr>
                <w:rFonts w:ascii="Verdana" w:hAnsi="Verdana"/>
                <w:bCs/>
                <w:sz w:val="18"/>
                <w:szCs w:val="18"/>
              </w:rPr>
              <w:t>%</w:t>
            </w:r>
          </w:p>
        </w:tc>
      </w:tr>
      <w:tr w:rsidRPr="00C5308E" w:rsidR="00D639F0" w:rsidTr="00E018DA" w14:paraId="50CAF7C8" w14:textId="77777777">
        <w:trPr>
          <w:trHeight w:val="300"/>
        </w:trPr>
        <w:tc>
          <w:tcPr>
            <w:tcW w:w="1440" w:type="dxa"/>
            <w:noWrap/>
            <w:vAlign w:val="bottom"/>
            <w:hideMark/>
          </w:tcPr>
          <w:p w:rsidRPr="00C5308E" w:rsidR="00D639F0" w:rsidP="00D87753" w:rsidRDefault="00D639F0" w14:paraId="28F950E2" w14:textId="77777777">
            <w:pPr>
              <w:spacing w:after="0" w:line="240" w:lineRule="auto"/>
              <w:contextualSpacing/>
              <w:rPr>
                <w:rFonts w:ascii="Verdana" w:hAnsi="Verdana"/>
                <w:bCs/>
                <w:sz w:val="18"/>
                <w:szCs w:val="18"/>
              </w:rPr>
            </w:pPr>
            <w:r w:rsidRPr="00C5308E">
              <w:rPr>
                <w:rFonts w:ascii="Verdana" w:hAnsi="Verdana"/>
                <w:bCs/>
                <w:sz w:val="18"/>
                <w:szCs w:val="18"/>
              </w:rPr>
              <w:t>2021</w:t>
            </w:r>
          </w:p>
        </w:tc>
        <w:tc>
          <w:tcPr>
            <w:tcW w:w="1440" w:type="dxa"/>
            <w:noWrap/>
            <w:vAlign w:val="bottom"/>
            <w:hideMark/>
          </w:tcPr>
          <w:p w:rsidRPr="00C5308E" w:rsidR="00D639F0" w:rsidP="00D87753" w:rsidRDefault="00D639F0" w14:paraId="7FA0A445" w14:textId="2E878EA6">
            <w:pPr>
              <w:spacing w:after="0" w:line="240" w:lineRule="auto"/>
              <w:contextualSpacing/>
              <w:rPr>
                <w:rFonts w:ascii="Verdana" w:hAnsi="Verdana"/>
                <w:bCs/>
                <w:sz w:val="18"/>
                <w:szCs w:val="18"/>
              </w:rPr>
            </w:pPr>
            <w:r w:rsidRPr="00C5308E">
              <w:rPr>
                <w:rFonts w:ascii="Verdana" w:hAnsi="Verdana"/>
                <w:bCs/>
                <w:sz w:val="18"/>
                <w:szCs w:val="18"/>
              </w:rPr>
              <w:t>6,5</w:t>
            </w:r>
            <w:r w:rsidRPr="00C5308E" w:rsidR="004612A6">
              <w:rPr>
                <w:rFonts w:ascii="Verdana" w:hAnsi="Verdana"/>
                <w:bCs/>
                <w:sz w:val="18"/>
                <w:szCs w:val="18"/>
              </w:rPr>
              <w:t>%</w:t>
            </w:r>
          </w:p>
        </w:tc>
      </w:tr>
      <w:tr w:rsidRPr="00C5308E" w:rsidR="00D639F0" w:rsidTr="00E018DA" w14:paraId="1B25E198" w14:textId="77777777">
        <w:trPr>
          <w:trHeight w:val="300"/>
        </w:trPr>
        <w:tc>
          <w:tcPr>
            <w:tcW w:w="1440" w:type="dxa"/>
            <w:noWrap/>
            <w:vAlign w:val="bottom"/>
            <w:hideMark/>
          </w:tcPr>
          <w:p w:rsidRPr="00C5308E" w:rsidR="00D639F0" w:rsidP="00D87753" w:rsidRDefault="00D639F0" w14:paraId="1590924B" w14:textId="77777777">
            <w:pPr>
              <w:spacing w:after="0" w:line="240" w:lineRule="auto"/>
              <w:contextualSpacing/>
              <w:rPr>
                <w:rFonts w:ascii="Verdana" w:hAnsi="Verdana"/>
                <w:bCs/>
                <w:sz w:val="18"/>
                <w:szCs w:val="18"/>
              </w:rPr>
            </w:pPr>
            <w:r w:rsidRPr="00C5308E">
              <w:rPr>
                <w:rFonts w:ascii="Verdana" w:hAnsi="Verdana"/>
                <w:bCs/>
                <w:sz w:val="18"/>
                <w:szCs w:val="18"/>
              </w:rPr>
              <w:t>2022</w:t>
            </w:r>
          </w:p>
        </w:tc>
        <w:tc>
          <w:tcPr>
            <w:tcW w:w="1440" w:type="dxa"/>
            <w:noWrap/>
            <w:vAlign w:val="bottom"/>
            <w:hideMark/>
          </w:tcPr>
          <w:p w:rsidRPr="00C5308E" w:rsidR="00D639F0" w:rsidP="00D87753" w:rsidRDefault="00D639F0" w14:paraId="66490A88" w14:textId="677F5AE8">
            <w:pPr>
              <w:spacing w:after="0" w:line="240" w:lineRule="auto"/>
              <w:contextualSpacing/>
              <w:rPr>
                <w:rFonts w:ascii="Verdana" w:hAnsi="Verdana"/>
                <w:bCs/>
                <w:sz w:val="18"/>
                <w:szCs w:val="18"/>
              </w:rPr>
            </w:pPr>
            <w:r w:rsidRPr="00C5308E">
              <w:rPr>
                <w:rFonts w:ascii="Verdana" w:hAnsi="Verdana"/>
                <w:bCs/>
                <w:sz w:val="18"/>
                <w:szCs w:val="18"/>
              </w:rPr>
              <w:t>8,1</w:t>
            </w:r>
            <w:r w:rsidRPr="00C5308E" w:rsidR="004612A6">
              <w:rPr>
                <w:rFonts w:ascii="Verdana" w:hAnsi="Verdana"/>
                <w:bCs/>
                <w:sz w:val="18"/>
                <w:szCs w:val="18"/>
              </w:rPr>
              <w:t>%</w:t>
            </w:r>
          </w:p>
        </w:tc>
      </w:tr>
      <w:tr w:rsidRPr="00C5308E" w:rsidR="00D639F0" w:rsidTr="00E018DA" w14:paraId="00FAF198" w14:textId="77777777">
        <w:trPr>
          <w:trHeight w:val="300"/>
        </w:trPr>
        <w:tc>
          <w:tcPr>
            <w:tcW w:w="1440" w:type="dxa"/>
            <w:noWrap/>
            <w:vAlign w:val="bottom"/>
            <w:hideMark/>
          </w:tcPr>
          <w:p w:rsidRPr="00C5308E" w:rsidR="00D639F0" w:rsidP="00D87753" w:rsidRDefault="00D639F0" w14:paraId="174C440F" w14:textId="77777777">
            <w:pPr>
              <w:spacing w:after="0" w:line="240" w:lineRule="auto"/>
              <w:contextualSpacing/>
              <w:rPr>
                <w:rFonts w:ascii="Verdana" w:hAnsi="Verdana"/>
                <w:bCs/>
                <w:sz w:val="18"/>
                <w:szCs w:val="18"/>
              </w:rPr>
            </w:pPr>
            <w:r w:rsidRPr="00C5308E">
              <w:rPr>
                <w:rFonts w:ascii="Verdana" w:hAnsi="Verdana"/>
                <w:bCs/>
                <w:sz w:val="18"/>
                <w:szCs w:val="18"/>
              </w:rPr>
              <w:t>2023</w:t>
            </w:r>
          </w:p>
        </w:tc>
        <w:tc>
          <w:tcPr>
            <w:tcW w:w="1440" w:type="dxa"/>
            <w:noWrap/>
            <w:vAlign w:val="bottom"/>
            <w:hideMark/>
          </w:tcPr>
          <w:p w:rsidRPr="00C5308E" w:rsidR="00D639F0" w:rsidP="00D87753" w:rsidRDefault="00D639F0" w14:paraId="63DBC3FF" w14:textId="3C7424A5">
            <w:pPr>
              <w:spacing w:after="0" w:line="240" w:lineRule="auto"/>
              <w:contextualSpacing/>
              <w:rPr>
                <w:rFonts w:ascii="Verdana" w:hAnsi="Verdana"/>
                <w:bCs/>
                <w:sz w:val="18"/>
                <w:szCs w:val="18"/>
              </w:rPr>
            </w:pPr>
            <w:r w:rsidRPr="00C5308E">
              <w:rPr>
                <w:rFonts w:ascii="Verdana" w:hAnsi="Verdana"/>
                <w:bCs/>
                <w:sz w:val="18"/>
                <w:szCs w:val="18"/>
              </w:rPr>
              <w:t>8,8</w:t>
            </w:r>
            <w:r w:rsidRPr="00C5308E" w:rsidR="004612A6">
              <w:rPr>
                <w:rFonts w:ascii="Verdana" w:hAnsi="Verdana"/>
                <w:bCs/>
                <w:sz w:val="18"/>
                <w:szCs w:val="18"/>
              </w:rPr>
              <w:t>%</w:t>
            </w:r>
          </w:p>
        </w:tc>
      </w:tr>
      <w:tr w:rsidRPr="00C5308E" w:rsidR="00D639F0" w:rsidTr="00E018DA" w14:paraId="1EB767D3" w14:textId="77777777">
        <w:trPr>
          <w:trHeight w:val="300"/>
        </w:trPr>
        <w:tc>
          <w:tcPr>
            <w:tcW w:w="1440" w:type="dxa"/>
            <w:tcBorders>
              <w:top w:val="nil"/>
              <w:left w:val="nil"/>
              <w:bottom w:val="single" w:color="auto" w:sz="4" w:space="0"/>
              <w:right w:val="nil"/>
            </w:tcBorders>
            <w:noWrap/>
            <w:vAlign w:val="bottom"/>
            <w:hideMark/>
          </w:tcPr>
          <w:p w:rsidRPr="00C5308E" w:rsidR="00D639F0" w:rsidP="00D87753" w:rsidRDefault="00D639F0" w14:paraId="36131389" w14:textId="77777777">
            <w:pPr>
              <w:spacing w:after="0" w:line="240" w:lineRule="auto"/>
              <w:contextualSpacing/>
              <w:rPr>
                <w:rFonts w:ascii="Verdana" w:hAnsi="Verdana"/>
                <w:bCs/>
                <w:sz w:val="18"/>
                <w:szCs w:val="18"/>
              </w:rPr>
            </w:pPr>
            <w:r w:rsidRPr="00C5308E">
              <w:rPr>
                <w:rFonts w:ascii="Verdana" w:hAnsi="Verdana"/>
                <w:bCs/>
                <w:sz w:val="18"/>
                <w:szCs w:val="18"/>
              </w:rPr>
              <w:t>2024</w:t>
            </w:r>
          </w:p>
        </w:tc>
        <w:tc>
          <w:tcPr>
            <w:tcW w:w="1440" w:type="dxa"/>
            <w:tcBorders>
              <w:top w:val="nil"/>
              <w:left w:val="nil"/>
              <w:bottom w:val="single" w:color="auto" w:sz="4" w:space="0"/>
              <w:right w:val="nil"/>
            </w:tcBorders>
            <w:noWrap/>
            <w:vAlign w:val="bottom"/>
            <w:hideMark/>
          </w:tcPr>
          <w:p w:rsidRPr="00C5308E" w:rsidR="00D639F0" w:rsidP="00D87753" w:rsidRDefault="00D639F0" w14:paraId="14E134E8" w14:textId="41F2F348">
            <w:pPr>
              <w:spacing w:after="0" w:line="240" w:lineRule="auto"/>
              <w:contextualSpacing/>
              <w:rPr>
                <w:rFonts w:ascii="Verdana" w:hAnsi="Verdana"/>
                <w:bCs/>
                <w:sz w:val="18"/>
                <w:szCs w:val="18"/>
              </w:rPr>
            </w:pPr>
            <w:r w:rsidRPr="00C5308E">
              <w:rPr>
                <w:rFonts w:ascii="Verdana" w:hAnsi="Verdana"/>
                <w:bCs/>
                <w:sz w:val="18"/>
                <w:szCs w:val="18"/>
              </w:rPr>
              <w:t>7,9</w:t>
            </w:r>
            <w:r w:rsidRPr="00C5308E" w:rsidR="004612A6">
              <w:rPr>
                <w:rFonts w:ascii="Verdana" w:hAnsi="Verdana"/>
                <w:bCs/>
                <w:sz w:val="18"/>
                <w:szCs w:val="18"/>
              </w:rPr>
              <w:t>%</w:t>
            </w:r>
          </w:p>
        </w:tc>
      </w:tr>
    </w:tbl>
    <w:p w:rsidRPr="00C5308E" w:rsidR="00D639F0" w:rsidP="00D87753" w:rsidRDefault="00D639F0" w14:paraId="7D16BE53" w14:textId="77777777">
      <w:pPr>
        <w:spacing w:after="0" w:line="240" w:lineRule="auto"/>
        <w:contextualSpacing/>
        <w:rPr>
          <w:rFonts w:ascii="Verdana" w:hAnsi="Verdana"/>
          <w:bCs/>
          <w:sz w:val="18"/>
          <w:szCs w:val="18"/>
        </w:rPr>
      </w:pPr>
    </w:p>
    <w:p w:rsidRPr="00C5308E" w:rsidR="00D639F0" w:rsidP="00D87753" w:rsidRDefault="00D639F0" w14:paraId="6C906A97" w14:textId="0C6E4B50">
      <w:pPr>
        <w:spacing w:after="0" w:line="240" w:lineRule="auto"/>
        <w:contextualSpacing/>
        <w:rPr>
          <w:rFonts w:ascii="Verdana" w:hAnsi="Verdana"/>
          <w:bCs/>
          <w:sz w:val="18"/>
          <w:szCs w:val="18"/>
        </w:rPr>
      </w:pPr>
      <w:r w:rsidRPr="00C5308E">
        <w:rPr>
          <w:rFonts w:ascii="Verdana" w:hAnsi="Verdana"/>
          <w:bCs/>
          <w:sz w:val="18"/>
          <w:szCs w:val="18"/>
        </w:rPr>
        <w:t xml:space="preserve">Hiermee blijft SZW onder de </w:t>
      </w:r>
      <w:r w:rsidRPr="00C5308E" w:rsidR="00B100E3">
        <w:rPr>
          <w:rFonts w:ascii="Verdana" w:hAnsi="Verdana"/>
          <w:bCs/>
          <w:sz w:val="18"/>
          <w:szCs w:val="18"/>
        </w:rPr>
        <w:t>R</w:t>
      </w:r>
      <w:r w:rsidRPr="00C5308E" w:rsidR="004C0310">
        <w:rPr>
          <w:rFonts w:ascii="Verdana" w:hAnsi="Verdana"/>
          <w:bCs/>
          <w:sz w:val="18"/>
          <w:szCs w:val="18"/>
        </w:rPr>
        <w:t>ijksbrede</w:t>
      </w:r>
      <w:r w:rsidRPr="00C5308E">
        <w:rPr>
          <w:rFonts w:ascii="Verdana" w:hAnsi="Verdana"/>
          <w:bCs/>
          <w:sz w:val="18"/>
          <w:szCs w:val="18"/>
        </w:rPr>
        <w:t xml:space="preserve"> Roemer-norm van 10%.</w:t>
      </w:r>
    </w:p>
    <w:p w:rsidRPr="00C5308E" w:rsidR="00D639F0" w:rsidP="00D87753" w:rsidRDefault="00D639F0" w14:paraId="7B56072E" w14:textId="77777777">
      <w:pPr>
        <w:spacing w:after="0" w:line="240" w:lineRule="auto"/>
        <w:contextualSpacing/>
        <w:rPr>
          <w:rFonts w:ascii="Verdana" w:hAnsi="Verdana"/>
          <w:bCs/>
          <w:sz w:val="18"/>
          <w:szCs w:val="18"/>
        </w:rPr>
      </w:pPr>
      <w:r w:rsidRPr="00C5308E">
        <w:rPr>
          <w:rFonts w:ascii="Verdana" w:hAnsi="Verdana"/>
          <w:bCs/>
          <w:sz w:val="18"/>
          <w:szCs w:val="18"/>
        </w:rPr>
        <w:t>SZW heeft de ambitie dit percentage de komende jaren verder te laten dalen maar heeft daarvoor geen percentage gekozen als streefwaarde. Er is een aantal ontwikkelingen die zorgen voor een verdere daling:</w:t>
      </w:r>
    </w:p>
    <w:p w:rsidRPr="00C5308E" w:rsidR="00D639F0" w:rsidP="00D87753" w:rsidRDefault="00D639F0" w14:paraId="2E5E784E" w14:textId="77777777">
      <w:pPr>
        <w:numPr>
          <w:ilvl w:val="0"/>
          <w:numId w:val="1"/>
        </w:numPr>
        <w:spacing w:after="0" w:line="240" w:lineRule="auto"/>
        <w:contextualSpacing/>
        <w:rPr>
          <w:rFonts w:ascii="Verdana" w:hAnsi="Verdana"/>
          <w:bCs/>
          <w:sz w:val="18"/>
          <w:szCs w:val="18"/>
        </w:rPr>
      </w:pPr>
      <w:r w:rsidRPr="00C5308E">
        <w:rPr>
          <w:rFonts w:ascii="Verdana" w:hAnsi="Verdana"/>
          <w:bCs/>
          <w:sz w:val="18"/>
          <w:szCs w:val="18"/>
        </w:rPr>
        <w:t>De ontwikkeling van het percentage externe inhuur houdt voor een belangrijk deel verband met werkzaamheden die gedaan worden voor de uitvoering van de subsidie Noodmaatregel Overbrugging Werkgelegenheid (NOW). Deze zijn tijdelijk van aard en aflopend.</w:t>
      </w:r>
    </w:p>
    <w:p w:rsidRPr="00C5308E" w:rsidR="00D639F0" w:rsidP="00D87753" w:rsidRDefault="00D639F0" w14:paraId="793A2744" w14:textId="77777777">
      <w:pPr>
        <w:numPr>
          <w:ilvl w:val="0"/>
          <w:numId w:val="1"/>
        </w:numPr>
        <w:spacing w:after="0" w:line="240" w:lineRule="auto"/>
        <w:contextualSpacing/>
        <w:rPr>
          <w:rFonts w:ascii="Verdana" w:hAnsi="Verdana"/>
          <w:bCs/>
          <w:sz w:val="18"/>
          <w:szCs w:val="18"/>
        </w:rPr>
      </w:pPr>
      <w:r w:rsidRPr="00C5308E">
        <w:rPr>
          <w:rFonts w:ascii="Verdana" w:hAnsi="Verdana"/>
          <w:bCs/>
          <w:sz w:val="18"/>
          <w:szCs w:val="18"/>
        </w:rPr>
        <w:t>SZW zet in op verambtelijking, dat wil zeggen de vervanging van externe inhuur door eigen personeel.</w:t>
      </w:r>
    </w:p>
    <w:p w:rsidRPr="00C5308E" w:rsidR="00D639F0" w:rsidP="00D87753" w:rsidRDefault="00D639F0" w14:paraId="04F03807" w14:textId="77777777">
      <w:pPr>
        <w:spacing w:after="0" w:line="240" w:lineRule="auto"/>
        <w:contextualSpacing/>
        <w:rPr>
          <w:rFonts w:ascii="Verdana" w:hAnsi="Verdana"/>
          <w:bCs/>
          <w:sz w:val="18"/>
          <w:szCs w:val="18"/>
        </w:rPr>
      </w:pPr>
    </w:p>
    <w:p w:rsidRPr="00C5308E" w:rsidR="005F5D60" w:rsidP="00D87753" w:rsidRDefault="005F5D60" w14:paraId="5790641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17</w:t>
      </w:r>
    </w:p>
    <w:p w:rsidRPr="00C5308E" w:rsidR="005F5D60" w:rsidP="00D87753" w:rsidRDefault="005F5D60" w14:paraId="595DC071" w14:textId="77777777">
      <w:pPr>
        <w:spacing w:after="0" w:line="240" w:lineRule="auto"/>
        <w:contextualSpacing/>
        <w:rPr>
          <w:rFonts w:ascii="Verdana" w:hAnsi="Verdana"/>
          <w:bCs/>
          <w:sz w:val="18"/>
          <w:szCs w:val="18"/>
        </w:rPr>
      </w:pPr>
      <w:r w:rsidRPr="00C5308E">
        <w:rPr>
          <w:rFonts w:ascii="Verdana" w:hAnsi="Verdana"/>
          <w:bCs/>
          <w:sz w:val="18"/>
          <w:szCs w:val="18"/>
        </w:rPr>
        <w:t>Kan een volledig overzicht gegeven worden van de voorstellen voor koopkrachtmaatregelen in Caribisch Nederland (zowel bij SZW als eventueel bij andere ministeries, als algemeen), zowel waar het gaat om energie, drinkwater, internet, etc?</w:t>
      </w:r>
    </w:p>
    <w:p w:rsidRPr="00C5308E" w:rsidR="005F5D60" w:rsidP="00D87753" w:rsidRDefault="005F5D60" w14:paraId="7CAC9E51" w14:textId="77777777">
      <w:pPr>
        <w:spacing w:after="0" w:line="240" w:lineRule="auto"/>
        <w:contextualSpacing/>
        <w:rPr>
          <w:rFonts w:ascii="Verdana" w:hAnsi="Verdana"/>
          <w:bCs/>
          <w:sz w:val="18"/>
          <w:szCs w:val="18"/>
        </w:rPr>
      </w:pPr>
    </w:p>
    <w:p w:rsidRPr="00C5308E" w:rsidR="005F5D60" w:rsidP="00D87753" w:rsidRDefault="005F5D60" w14:paraId="05427F8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w:t>
      </w:r>
    </w:p>
    <w:p w:rsidR="005F5D60" w:rsidP="00D87753" w:rsidRDefault="005F5D60" w14:paraId="43ABA20B" w14:textId="1084FFAA">
      <w:pPr>
        <w:spacing w:after="0" w:line="240" w:lineRule="auto"/>
        <w:contextualSpacing/>
        <w:rPr>
          <w:rFonts w:ascii="Verdana" w:hAnsi="Verdana"/>
          <w:bCs/>
          <w:sz w:val="18"/>
          <w:szCs w:val="18"/>
        </w:rPr>
      </w:pPr>
      <w:r w:rsidRPr="00C5308E">
        <w:rPr>
          <w:rFonts w:ascii="Verdana" w:hAnsi="Verdana"/>
          <w:bCs/>
          <w:sz w:val="18"/>
          <w:szCs w:val="18"/>
        </w:rPr>
        <w:t>Met de Miljoenennota 2025 is structureel € 9 m</w:t>
      </w:r>
      <w:r w:rsidRPr="00C5308E" w:rsidR="00EF1671">
        <w:rPr>
          <w:rFonts w:ascii="Verdana" w:hAnsi="Verdana"/>
          <w:bCs/>
          <w:sz w:val="18"/>
          <w:szCs w:val="18"/>
        </w:rPr>
        <w:t>iljoen</w:t>
      </w:r>
      <w:r w:rsidRPr="00C5308E">
        <w:rPr>
          <w:rFonts w:ascii="Verdana" w:hAnsi="Verdana"/>
          <w:bCs/>
          <w:sz w:val="18"/>
          <w:szCs w:val="18"/>
        </w:rPr>
        <w:t xml:space="preserve"> gereserveerd om de koopkracht voor inwoners in Caribisch Nederland te verbeteren. Daarnaast is in 2026 € 4 m</w:t>
      </w:r>
      <w:r w:rsidRPr="00C5308E" w:rsidR="00EF1671">
        <w:rPr>
          <w:rFonts w:ascii="Verdana" w:hAnsi="Verdana"/>
          <w:bCs/>
          <w:sz w:val="18"/>
          <w:szCs w:val="18"/>
        </w:rPr>
        <w:t>iljoen</w:t>
      </w:r>
      <w:r w:rsidRPr="00C5308E">
        <w:rPr>
          <w:rFonts w:ascii="Verdana" w:hAnsi="Verdana"/>
          <w:bCs/>
          <w:sz w:val="18"/>
          <w:szCs w:val="18"/>
        </w:rPr>
        <w:t xml:space="preserve"> en vanaf 2027 structureel € 5,8 m</w:t>
      </w:r>
      <w:r w:rsidRPr="00C5308E" w:rsidR="00EF1671">
        <w:rPr>
          <w:rFonts w:ascii="Verdana" w:hAnsi="Verdana"/>
          <w:bCs/>
          <w:sz w:val="18"/>
          <w:szCs w:val="18"/>
        </w:rPr>
        <w:t>iljoen</w:t>
      </w:r>
      <w:r w:rsidRPr="00C5308E">
        <w:rPr>
          <w:rFonts w:ascii="Verdana" w:hAnsi="Verdana"/>
          <w:bCs/>
          <w:sz w:val="18"/>
          <w:szCs w:val="18"/>
        </w:rPr>
        <w:t xml:space="preserve"> extra beschikbaar gesteld uit de ‘groepen in de knel’-envelop voor (onder andere) koopkrachtverbetering in Caribisch Nederland. Deze maatregelen zijn in </w:t>
      </w:r>
      <w:r w:rsidRPr="00C5308E" w:rsidR="00B100E3">
        <w:rPr>
          <w:rFonts w:ascii="Verdana" w:hAnsi="Verdana"/>
          <w:bCs/>
          <w:sz w:val="18"/>
          <w:szCs w:val="18"/>
        </w:rPr>
        <w:t xml:space="preserve">de </w:t>
      </w:r>
      <w:r w:rsidRPr="00C5308E">
        <w:rPr>
          <w:rFonts w:ascii="Verdana" w:hAnsi="Verdana"/>
          <w:bCs/>
          <w:sz w:val="18"/>
          <w:szCs w:val="18"/>
        </w:rPr>
        <w:t xml:space="preserve">Voorjaarsnota 2025 uitgewerkt en verwerkt in verschillende suppletoire begrotingswetten (zie tabel). Het pakket met maatregelen is gericht op het versterken van de koopkracht voor zowel ouders, minima- en middeninkomens in Caribisch Nederland. Voor een nadere toelichting per maatregel, wordt verwezen naar de onlangs door de staatssecretaris van Koninkrijksrelaties en Digitalisering </w:t>
      </w:r>
      <w:r w:rsidRPr="00C5308E">
        <w:rPr>
          <w:rFonts w:ascii="Verdana" w:hAnsi="Verdana"/>
          <w:bCs/>
          <w:sz w:val="18"/>
          <w:szCs w:val="18"/>
        </w:rPr>
        <w:lastRenderedPageBreak/>
        <w:t>verstuurde Kamerbrief over de koopkrachtmaatregelen Caribisch Nederland (Kamerstukken II, 2024/25, 36 600-IV, nr. 65).</w:t>
      </w:r>
    </w:p>
    <w:p w:rsidR="00560DA6" w:rsidP="00560DA6" w:rsidRDefault="00560DA6" w14:paraId="09431DFE" w14:textId="77777777">
      <w:pPr>
        <w:spacing w:after="0" w:line="240" w:lineRule="auto"/>
        <w:contextualSpacing/>
        <w:rPr>
          <w:rFonts w:ascii="Verdana" w:hAnsi="Verdana" w:cs="Calibri"/>
          <w:bCs/>
          <w:sz w:val="18"/>
          <w:szCs w:val="18"/>
        </w:rPr>
      </w:pPr>
    </w:p>
    <w:p w:rsidRPr="00C5308E" w:rsidR="00560DA6" w:rsidP="00D87753" w:rsidRDefault="00560DA6" w14:paraId="7825094B" w14:textId="6EE23EF6">
      <w:pPr>
        <w:spacing w:after="0" w:line="240" w:lineRule="auto"/>
        <w:contextualSpacing/>
        <w:rPr>
          <w:rFonts w:ascii="Verdana" w:hAnsi="Verdana"/>
          <w:bCs/>
          <w:sz w:val="18"/>
          <w:szCs w:val="18"/>
        </w:rPr>
      </w:pPr>
      <w:r w:rsidRPr="00560DA6">
        <w:rPr>
          <w:rFonts w:ascii="Verdana" w:hAnsi="Verdana" w:cs="Calibri"/>
          <w:bCs/>
          <w:i/>
          <w:iCs/>
          <w:sz w:val="16"/>
          <w:szCs w:val="16"/>
        </w:rPr>
        <w:t>Tabel: Koopkrachtmaatregelen Caribisch Nederland</w:t>
      </w:r>
    </w:p>
    <w:tbl>
      <w:tblPr>
        <w:tblpPr w:leftFromText="141" w:rightFromText="141" w:bottomFromText="115" w:vertAnchor="text" w:horzAnchor="margin" w:tblpXSpec="center" w:tblpY="502"/>
        <w:tblW w:w="5044" w:type="pct"/>
        <w:tblLayout w:type="fixed"/>
        <w:tblCellMar>
          <w:left w:w="0" w:type="dxa"/>
          <w:right w:w="0" w:type="dxa"/>
        </w:tblCellMar>
        <w:tblLook w:val="04A0" w:firstRow="1" w:lastRow="0" w:firstColumn="1" w:lastColumn="0" w:noHBand="0" w:noVBand="1"/>
      </w:tblPr>
      <w:tblGrid>
        <w:gridCol w:w="3544"/>
        <w:gridCol w:w="755"/>
        <w:gridCol w:w="755"/>
        <w:gridCol w:w="755"/>
        <w:gridCol w:w="754"/>
        <w:gridCol w:w="754"/>
        <w:gridCol w:w="754"/>
        <w:gridCol w:w="1061"/>
      </w:tblGrid>
      <w:tr w:rsidRPr="00C5308E" w:rsidR="005F5D60" w:rsidTr="00E018DA" w14:paraId="68CFF8C9" w14:textId="77777777">
        <w:trPr>
          <w:trHeight w:val="454" w:hRule="exact"/>
        </w:trPr>
        <w:tc>
          <w:tcPr>
            <w:tcW w:w="193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A74685F" w14:textId="77777777">
            <w:pPr>
              <w:spacing w:line="240" w:lineRule="auto"/>
              <w:contextualSpacing/>
              <w:rPr>
                <w:rFonts w:ascii="Verdana" w:hAnsi="Verdana" w:cs="Calibri"/>
                <w:bCs/>
                <w:sz w:val="18"/>
                <w:szCs w:val="18"/>
              </w:rPr>
            </w:pPr>
            <w:r w:rsidRPr="00C5308E">
              <w:rPr>
                <w:rFonts w:ascii="Verdana" w:hAnsi="Verdana" w:cs="Calibri"/>
                <w:bCs/>
                <w:i/>
                <w:iCs/>
                <w:sz w:val="18"/>
                <w:szCs w:val="18"/>
              </w:rPr>
              <w:t>€</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4ED4DF53" w14:textId="77777777">
            <w:pPr>
              <w:spacing w:line="240" w:lineRule="auto"/>
              <w:contextualSpacing/>
              <w:rPr>
                <w:rFonts w:ascii="Verdana" w:hAnsi="Verdana" w:cs="Calibri"/>
                <w:bCs/>
                <w:sz w:val="18"/>
                <w:szCs w:val="18"/>
              </w:rPr>
            </w:pPr>
            <w:r w:rsidRPr="00C5308E">
              <w:rPr>
                <w:rFonts w:ascii="Verdana" w:hAnsi="Verdana" w:cs="Calibri"/>
                <w:bCs/>
                <w:sz w:val="18"/>
                <w:szCs w:val="18"/>
              </w:rPr>
              <w:t>2025</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78852AF" w14:textId="77777777">
            <w:pPr>
              <w:spacing w:line="240" w:lineRule="auto"/>
              <w:contextualSpacing/>
              <w:rPr>
                <w:rFonts w:ascii="Verdana" w:hAnsi="Verdana" w:cs="Calibri"/>
                <w:bCs/>
                <w:sz w:val="18"/>
                <w:szCs w:val="18"/>
              </w:rPr>
            </w:pPr>
            <w:r w:rsidRPr="00C5308E">
              <w:rPr>
                <w:rFonts w:ascii="Verdana" w:hAnsi="Verdana" w:cs="Calibri"/>
                <w:bCs/>
                <w:sz w:val="18"/>
                <w:szCs w:val="18"/>
              </w:rPr>
              <w:t>2026</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3D8F41E" w14:textId="77777777">
            <w:pPr>
              <w:spacing w:line="240" w:lineRule="auto"/>
              <w:contextualSpacing/>
              <w:rPr>
                <w:rFonts w:ascii="Verdana" w:hAnsi="Verdana" w:cs="Calibri"/>
                <w:bCs/>
                <w:sz w:val="18"/>
                <w:szCs w:val="18"/>
              </w:rPr>
            </w:pPr>
            <w:r w:rsidRPr="00C5308E">
              <w:rPr>
                <w:rFonts w:ascii="Verdana" w:hAnsi="Verdana" w:cs="Calibri"/>
                <w:bCs/>
                <w:sz w:val="18"/>
                <w:szCs w:val="18"/>
              </w:rPr>
              <w:t>2027</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519F5FE" w14:textId="77777777">
            <w:pPr>
              <w:spacing w:line="240" w:lineRule="auto"/>
              <w:contextualSpacing/>
              <w:rPr>
                <w:rFonts w:ascii="Verdana" w:hAnsi="Verdana" w:cs="Calibri"/>
                <w:bCs/>
                <w:sz w:val="18"/>
                <w:szCs w:val="18"/>
              </w:rPr>
            </w:pPr>
            <w:r w:rsidRPr="00C5308E">
              <w:rPr>
                <w:rFonts w:ascii="Verdana" w:hAnsi="Verdana" w:cs="Calibri"/>
                <w:bCs/>
                <w:sz w:val="18"/>
                <w:szCs w:val="18"/>
              </w:rPr>
              <w:t>2028</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FFEFBF8" w14:textId="77777777">
            <w:pPr>
              <w:spacing w:line="240" w:lineRule="auto"/>
              <w:contextualSpacing/>
              <w:rPr>
                <w:rFonts w:ascii="Verdana" w:hAnsi="Verdana" w:cs="Calibri"/>
                <w:bCs/>
                <w:sz w:val="18"/>
                <w:szCs w:val="18"/>
              </w:rPr>
            </w:pPr>
            <w:r w:rsidRPr="00C5308E">
              <w:rPr>
                <w:rFonts w:ascii="Verdana" w:hAnsi="Verdana" w:cs="Calibri"/>
                <w:bCs/>
                <w:sz w:val="18"/>
                <w:szCs w:val="18"/>
              </w:rPr>
              <w:t>2029</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4154C1C" w14:textId="77777777">
            <w:pPr>
              <w:spacing w:line="240" w:lineRule="auto"/>
              <w:contextualSpacing/>
              <w:rPr>
                <w:rFonts w:ascii="Verdana" w:hAnsi="Verdana" w:cs="Calibri"/>
                <w:bCs/>
                <w:sz w:val="18"/>
                <w:szCs w:val="18"/>
              </w:rPr>
            </w:pPr>
            <w:r w:rsidRPr="00C5308E">
              <w:rPr>
                <w:rFonts w:ascii="Verdana" w:hAnsi="Verdana" w:cs="Calibri"/>
                <w:bCs/>
                <w:sz w:val="18"/>
                <w:szCs w:val="18"/>
              </w:rPr>
              <w:t>Struc.</w:t>
            </w:r>
          </w:p>
        </w:tc>
        <w:tc>
          <w:tcPr>
            <w:tcW w:w="581" w:type="pct"/>
            <w:tcBorders>
              <w:top w:val="single" w:color="auto" w:sz="8" w:space="0"/>
              <w:left w:val="nil"/>
              <w:bottom w:val="single" w:color="auto" w:sz="8" w:space="0"/>
              <w:right w:val="single" w:color="auto" w:sz="8" w:space="0"/>
            </w:tcBorders>
          </w:tcPr>
          <w:p w:rsidRPr="00C5308E" w:rsidR="005F5D60" w:rsidP="00D87753" w:rsidRDefault="005F5D60" w14:paraId="5015A10B" w14:textId="77777777">
            <w:pPr>
              <w:spacing w:line="240" w:lineRule="auto"/>
              <w:contextualSpacing/>
              <w:rPr>
                <w:rFonts w:ascii="Verdana" w:hAnsi="Verdana" w:cs="Calibri"/>
                <w:bCs/>
                <w:sz w:val="18"/>
                <w:szCs w:val="18"/>
              </w:rPr>
            </w:pPr>
            <w:r w:rsidRPr="00C5308E">
              <w:rPr>
                <w:rFonts w:ascii="Verdana" w:hAnsi="Verdana" w:cs="Calibri"/>
                <w:bCs/>
                <w:sz w:val="18"/>
                <w:szCs w:val="18"/>
              </w:rPr>
              <w:t>Begrotingshoofdstuk</w:t>
            </w:r>
          </w:p>
        </w:tc>
      </w:tr>
      <w:tr w:rsidRPr="00C5308E" w:rsidR="005F5D60" w:rsidTr="00E018DA" w14:paraId="6D20B791"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D883667" w14:textId="77777777">
            <w:pPr>
              <w:spacing w:line="240" w:lineRule="auto"/>
              <w:contextualSpacing/>
              <w:rPr>
                <w:rFonts w:ascii="Verdana" w:hAnsi="Verdana" w:cs="Calibri"/>
                <w:bCs/>
                <w:sz w:val="18"/>
                <w:szCs w:val="18"/>
              </w:rPr>
            </w:pPr>
            <w:r w:rsidRPr="00C5308E">
              <w:rPr>
                <w:rFonts w:ascii="Verdana" w:hAnsi="Verdana" w:cs="Calibri"/>
                <w:bCs/>
                <w:sz w:val="18"/>
                <w:szCs w:val="18"/>
              </w:rPr>
              <w:t>1. Energietoelage minimahuishoudens</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3D9BB8CD"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A0D70D5"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0AE657C"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D78122D"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25E10CD"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7DB77B1C"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81" w:type="pct"/>
            <w:tcBorders>
              <w:top w:val="nil"/>
              <w:left w:val="nil"/>
              <w:bottom w:val="single" w:color="auto" w:sz="8" w:space="0"/>
              <w:right w:val="single" w:color="auto" w:sz="8" w:space="0"/>
            </w:tcBorders>
          </w:tcPr>
          <w:p w:rsidRPr="00C5308E" w:rsidR="005F5D60" w:rsidP="00D87753" w:rsidRDefault="005F5D60" w14:paraId="02FADDEE" w14:textId="77777777">
            <w:pPr>
              <w:spacing w:line="240" w:lineRule="auto"/>
              <w:contextualSpacing/>
              <w:rPr>
                <w:rFonts w:ascii="Verdana" w:hAnsi="Verdana" w:cs="Calibri"/>
                <w:bCs/>
                <w:sz w:val="18"/>
                <w:szCs w:val="18"/>
              </w:rPr>
            </w:pPr>
            <w:r w:rsidRPr="00C5308E">
              <w:rPr>
                <w:rFonts w:ascii="Verdana" w:hAnsi="Verdana" w:cs="Calibri"/>
                <w:bCs/>
                <w:sz w:val="18"/>
                <w:szCs w:val="18"/>
              </w:rPr>
              <w:t>XV (SZW)</w:t>
            </w:r>
          </w:p>
        </w:tc>
      </w:tr>
      <w:tr w:rsidRPr="00C5308E" w:rsidR="005F5D60" w:rsidTr="00E018DA" w14:paraId="22C23B8A"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B2F3A27"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2. Intensivering lokaal beleid kinderarmoede </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7DD6BA1D"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31AEE378"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D59530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6D3049F"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6864E96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25B039E"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81" w:type="pct"/>
            <w:tcBorders>
              <w:top w:val="nil"/>
              <w:left w:val="nil"/>
              <w:bottom w:val="single" w:color="auto" w:sz="8" w:space="0"/>
              <w:right w:val="single" w:color="auto" w:sz="8" w:space="0"/>
            </w:tcBorders>
          </w:tcPr>
          <w:p w:rsidRPr="00C5308E" w:rsidR="005F5D60" w:rsidP="00D87753" w:rsidRDefault="005F5D60" w14:paraId="78A666CA" w14:textId="77777777">
            <w:pPr>
              <w:spacing w:line="240" w:lineRule="auto"/>
              <w:contextualSpacing/>
              <w:rPr>
                <w:rFonts w:ascii="Verdana" w:hAnsi="Verdana" w:cs="Calibri"/>
                <w:bCs/>
                <w:sz w:val="18"/>
                <w:szCs w:val="18"/>
              </w:rPr>
            </w:pPr>
            <w:r w:rsidRPr="00C5308E">
              <w:rPr>
                <w:rFonts w:ascii="Verdana" w:hAnsi="Verdana" w:cs="Calibri"/>
                <w:bCs/>
                <w:sz w:val="18"/>
                <w:szCs w:val="18"/>
              </w:rPr>
              <w:t>XV (SZW)</w:t>
            </w:r>
          </w:p>
        </w:tc>
      </w:tr>
      <w:tr w:rsidRPr="00C5308E" w:rsidR="005F5D60" w:rsidTr="00E018DA" w14:paraId="0FBD4A32"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072D3C2"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3. Aanvullende telecomsubsidie </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0327CEA" w14:textId="77777777">
            <w:pPr>
              <w:spacing w:line="240" w:lineRule="auto"/>
              <w:contextualSpacing/>
              <w:rPr>
                <w:rFonts w:ascii="Verdana" w:hAnsi="Verdana" w:cs="Calibri"/>
                <w:bCs/>
                <w:sz w:val="18"/>
                <w:szCs w:val="18"/>
              </w:rPr>
            </w:pPr>
            <w:r w:rsidRPr="00C5308E">
              <w:rPr>
                <w:rFonts w:ascii="Verdana" w:hAnsi="Verdana" w:cs="Calibri"/>
                <w:bCs/>
                <w:sz w:val="18"/>
                <w:szCs w:val="18"/>
              </w:rPr>
              <w:t>2,5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4BEEE2C4" w14:textId="77777777">
            <w:pPr>
              <w:spacing w:line="240" w:lineRule="auto"/>
              <w:contextualSpacing/>
              <w:rPr>
                <w:rFonts w:ascii="Verdana" w:hAnsi="Verdana" w:cs="Calibri"/>
                <w:bCs/>
                <w:sz w:val="18"/>
                <w:szCs w:val="18"/>
              </w:rPr>
            </w:pPr>
            <w:r w:rsidRPr="00C5308E">
              <w:rPr>
                <w:rFonts w:ascii="Verdana" w:hAnsi="Verdana" w:cs="Calibri"/>
                <w:bCs/>
                <w:sz w:val="18"/>
                <w:szCs w:val="18"/>
              </w:rPr>
              <w:t>2,5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67E572A"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7E2B78E"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FA89F80"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72FBADF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81" w:type="pct"/>
            <w:tcBorders>
              <w:top w:val="nil"/>
              <w:left w:val="nil"/>
              <w:bottom w:val="single" w:color="auto" w:sz="8" w:space="0"/>
              <w:right w:val="single" w:color="auto" w:sz="8" w:space="0"/>
            </w:tcBorders>
          </w:tcPr>
          <w:p w:rsidRPr="00C5308E" w:rsidR="005F5D60" w:rsidP="00D87753" w:rsidRDefault="005F5D60" w14:paraId="3C4DCCF9" w14:textId="77777777">
            <w:pPr>
              <w:spacing w:line="240" w:lineRule="auto"/>
              <w:contextualSpacing/>
              <w:rPr>
                <w:rFonts w:ascii="Verdana" w:hAnsi="Verdana" w:cs="Calibri"/>
                <w:bCs/>
                <w:sz w:val="18"/>
                <w:szCs w:val="18"/>
              </w:rPr>
            </w:pPr>
            <w:r w:rsidRPr="00C5308E">
              <w:rPr>
                <w:rFonts w:ascii="Verdana" w:hAnsi="Verdana" w:cs="Calibri"/>
                <w:bCs/>
                <w:sz w:val="18"/>
                <w:szCs w:val="18"/>
              </w:rPr>
              <w:t>XIII (EZ)</w:t>
            </w:r>
          </w:p>
        </w:tc>
      </w:tr>
      <w:tr w:rsidRPr="00C5308E" w:rsidR="005F5D60" w:rsidTr="00E018DA" w14:paraId="2D4510AA"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6BD41C8E"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4. Aanvullende subsidie drinkwater </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43585CDC" w14:textId="77777777">
            <w:pPr>
              <w:spacing w:line="240" w:lineRule="auto"/>
              <w:contextualSpacing/>
              <w:rPr>
                <w:rFonts w:ascii="Verdana" w:hAnsi="Verdana" w:cs="Calibri"/>
                <w:bCs/>
                <w:sz w:val="18"/>
                <w:szCs w:val="18"/>
              </w:rPr>
            </w:pPr>
            <w:r w:rsidRPr="00C5308E">
              <w:rPr>
                <w:rFonts w:ascii="Verdana" w:hAnsi="Verdana" w:cs="Calibri"/>
                <w:bCs/>
                <w:sz w:val="18"/>
                <w:szCs w:val="18"/>
              </w:rPr>
              <w:t>1,5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FEF45B4" w14:textId="77777777">
            <w:pPr>
              <w:spacing w:line="240" w:lineRule="auto"/>
              <w:contextualSpacing/>
              <w:rPr>
                <w:rFonts w:ascii="Verdana" w:hAnsi="Verdana" w:cs="Calibri"/>
                <w:bCs/>
                <w:sz w:val="18"/>
                <w:szCs w:val="18"/>
              </w:rPr>
            </w:pPr>
            <w:r w:rsidRPr="00C5308E">
              <w:rPr>
                <w:rFonts w:ascii="Verdana" w:hAnsi="Verdana" w:cs="Calibri"/>
                <w:bCs/>
                <w:sz w:val="18"/>
                <w:szCs w:val="18"/>
              </w:rPr>
              <w:t>1,5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0951E5CF"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5E9DA64"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76BFDE8"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4F85D03"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81" w:type="pct"/>
            <w:tcBorders>
              <w:top w:val="nil"/>
              <w:left w:val="nil"/>
              <w:bottom w:val="single" w:color="auto" w:sz="8" w:space="0"/>
              <w:right w:val="single" w:color="auto" w:sz="8" w:space="0"/>
            </w:tcBorders>
          </w:tcPr>
          <w:p w:rsidRPr="00C5308E" w:rsidR="005F5D60" w:rsidP="00D87753" w:rsidRDefault="005F5D60" w14:paraId="67150A9D" w14:textId="77777777">
            <w:pPr>
              <w:spacing w:line="240" w:lineRule="auto"/>
              <w:contextualSpacing/>
              <w:rPr>
                <w:rFonts w:ascii="Verdana" w:hAnsi="Verdana" w:cs="Calibri"/>
                <w:bCs/>
                <w:sz w:val="18"/>
                <w:szCs w:val="18"/>
              </w:rPr>
            </w:pPr>
            <w:r w:rsidRPr="00C5308E">
              <w:rPr>
                <w:rFonts w:ascii="Verdana" w:hAnsi="Verdana" w:cs="Calibri"/>
                <w:bCs/>
                <w:sz w:val="18"/>
                <w:szCs w:val="18"/>
              </w:rPr>
              <w:t>XII (IenW)</w:t>
            </w:r>
          </w:p>
        </w:tc>
      </w:tr>
      <w:tr w:rsidRPr="00C5308E" w:rsidR="005F5D60" w:rsidTr="00E018DA" w14:paraId="3020B387"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4D9D0540"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5. Aanvullende subsidie elektra </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BDF4AA2" w14:textId="77777777">
            <w:pPr>
              <w:spacing w:line="240" w:lineRule="auto"/>
              <w:contextualSpacing/>
              <w:rPr>
                <w:rFonts w:ascii="Verdana" w:hAnsi="Verdana" w:cs="Calibri"/>
                <w:bCs/>
                <w:sz w:val="18"/>
                <w:szCs w:val="18"/>
              </w:rPr>
            </w:pPr>
            <w:r w:rsidRPr="00C5308E">
              <w:rPr>
                <w:rFonts w:ascii="Verdana" w:hAnsi="Verdana" w:cs="Calibri"/>
                <w:bCs/>
                <w:sz w:val="18"/>
                <w:szCs w:val="18"/>
              </w:rPr>
              <w:t>1</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603EEF48" w14:textId="77777777">
            <w:pPr>
              <w:spacing w:line="240" w:lineRule="auto"/>
              <w:contextualSpacing/>
              <w:rPr>
                <w:rFonts w:ascii="Verdana" w:hAnsi="Verdana" w:cs="Calibri"/>
                <w:bCs/>
                <w:sz w:val="18"/>
                <w:szCs w:val="18"/>
              </w:rPr>
            </w:pPr>
            <w:r w:rsidRPr="00C5308E">
              <w:rPr>
                <w:rFonts w:ascii="Verdana" w:hAnsi="Verdana" w:cs="Calibri"/>
                <w:bCs/>
                <w:sz w:val="18"/>
                <w:szCs w:val="18"/>
              </w:rPr>
              <w:t>1</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696E937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521C352A"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F306C8B"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FC0D3A2"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81" w:type="pct"/>
            <w:tcBorders>
              <w:top w:val="nil"/>
              <w:left w:val="nil"/>
              <w:bottom w:val="single" w:color="auto" w:sz="8" w:space="0"/>
              <w:right w:val="single" w:color="auto" w:sz="8" w:space="0"/>
            </w:tcBorders>
          </w:tcPr>
          <w:p w:rsidRPr="00C5308E" w:rsidR="005F5D60" w:rsidP="00D87753" w:rsidRDefault="005F5D60" w14:paraId="4383BE1A" w14:textId="77777777">
            <w:pPr>
              <w:spacing w:line="240" w:lineRule="auto"/>
              <w:contextualSpacing/>
              <w:rPr>
                <w:rFonts w:ascii="Verdana" w:hAnsi="Verdana" w:cs="Calibri"/>
                <w:bCs/>
                <w:sz w:val="18"/>
                <w:szCs w:val="18"/>
              </w:rPr>
            </w:pPr>
            <w:r w:rsidRPr="00C5308E">
              <w:rPr>
                <w:rFonts w:ascii="Verdana" w:hAnsi="Verdana" w:cs="Calibri"/>
                <w:bCs/>
                <w:sz w:val="18"/>
                <w:szCs w:val="18"/>
              </w:rPr>
              <w:t>XXIII (KGG)</w:t>
            </w:r>
          </w:p>
        </w:tc>
      </w:tr>
      <w:tr w:rsidRPr="00C5308E" w:rsidR="005F5D60" w:rsidTr="00E018DA" w14:paraId="22A8B4A6"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19411D7" w14:textId="77777777">
            <w:pPr>
              <w:spacing w:line="240" w:lineRule="auto"/>
              <w:contextualSpacing/>
              <w:rPr>
                <w:rFonts w:ascii="Verdana" w:hAnsi="Verdana" w:cs="Calibri"/>
                <w:bCs/>
                <w:sz w:val="18"/>
                <w:szCs w:val="18"/>
              </w:rPr>
            </w:pPr>
            <w:r w:rsidRPr="00C5308E">
              <w:rPr>
                <w:rFonts w:ascii="Verdana" w:hAnsi="Verdana" w:cs="Calibri"/>
                <w:bCs/>
                <w:sz w:val="18"/>
                <w:szCs w:val="18"/>
              </w:rPr>
              <w:t>6. Reservering inkomensafhankelijke kindregeling</w:t>
            </w:r>
            <w:r w:rsidRPr="00C5308E">
              <w:rPr>
                <w:rFonts w:ascii="Verdana" w:hAnsi="Verdana" w:cs="Calibri"/>
                <w:bCs/>
                <w:sz w:val="18"/>
                <w:szCs w:val="18"/>
              </w:rPr>
              <w:tab/>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587D501A"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5A76DDF8"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D2E5BD9" w14:textId="77777777">
            <w:pPr>
              <w:spacing w:line="240" w:lineRule="auto"/>
              <w:contextualSpacing/>
              <w:rPr>
                <w:rFonts w:ascii="Verdana" w:hAnsi="Verdana" w:cs="Calibri"/>
                <w:bCs/>
                <w:sz w:val="18"/>
                <w:szCs w:val="18"/>
              </w:rPr>
            </w:pPr>
            <w:r w:rsidRPr="00C5308E">
              <w:rPr>
                <w:rFonts w:ascii="Verdana" w:hAnsi="Verdana" w:cs="Calibri"/>
                <w:bCs/>
                <w:sz w:val="18"/>
                <w:szCs w:val="18"/>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68644C3" w14:textId="77777777">
            <w:pPr>
              <w:spacing w:line="240" w:lineRule="auto"/>
              <w:contextualSpacing/>
              <w:rPr>
                <w:rFonts w:ascii="Verdana" w:hAnsi="Verdana" w:cs="Calibri"/>
                <w:bCs/>
                <w:sz w:val="18"/>
                <w:szCs w:val="18"/>
              </w:rPr>
            </w:pPr>
            <w:r w:rsidRPr="00C5308E">
              <w:rPr>
                <w:rFonts w:ascii="Verdana" w:hAnsi="Verdana" w:cs="Calibri"/>
                <w:bCs/>
                <w:sz w:val="18"/>
                <w:szCs w:val="18"/>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3808B7C5" w14:textId="77777777">
            <w:pPr>
              <w:spacing w:line="240" w:lineRule="auto"/>
              <w:contextualSpacing/>
              <w:rPr>
                <w:rFonts w:ascii="Verdana" w:hAnsi="Verdana" w:cs="Calibri"/>
                <w:bCs/>
                <w:sz w:val="18"/>
                <w:szCs w:val="18"/>
              </w:rPr>
            </w:pPr>
            <w:r w:rsidRPr="00C5308E">
              <w:rPr>
                <w:rFonts w:ascii="Verdana" w:hAnsi="Verdana" w:cs="Calibri"/>
                <w:bCs/>
                <w:sz w:val="18"/>
                <w:szCs w:val="18"/>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417ECC9E" w14:textId="77777777">
            <w:pPr>
              <w:spacing w:line="240" w:lineRule="auto"/>
              <w:contextualSpacing/>
              <w:rPr>
                <w:rFonts w:ascii="Verdana" w:hAnsi="Verdana" w:cs="Calibri"/>
                <w:bCs/>
                <w:sz w:val="18"/>
                <w:szCs w:val="18"/>
              </w:rPr>
            </w:pPr>
            <w:r w:rsidRPr="00C5308E">
              <w:rPr>
                <w:rFonts w:ascii="Verdana" w:hAnsi="Verdana" w:cs="Calibri"/>
                <w:bCs/>
                <w:sz w:val="18"/>
                <w:szCs w:val="18"/>
              </w:rPr>
              <w:t>10,8</w:t>
            </w:r>
          </w:p>
        </w:tc>
        <w:tc>
          <w:tcPr>
            <w:tcW w:w="581" w:type="pct"/>
            <w:tcBorders>
              <w:top w:val="nil"/>
              <w:left w:val="nil"/>
              <w:bottom w:val="single" w:color="auto" w:sz="8" w:space="0"/>
              <w:right w:val="single" w:color="auto" w:sz="8" w:space="0"/>
            </w:tcBorders>
          </w:tcPr>
          <w:p w:rsidRPr="00C5308E" w:rsidR="005F5D60" w:rsidP="00D87753" w:rsidRDefault="005F5D60" w14:paraId="387CB140" w14:textId="7F676D81">
            <w:pPr>
              <w:spacing w:line="240" w:lineRule="auto"/>
              <w:contextualSpacing/>
              <w:rPr>
                <w:rFonts w:ascii="Verdana" w:hAnsi="Verdana" w:cs="Calibri"/>
                <w:bCs/>
                <w:sz w:val="18"/>
                <w:szCs w:val="18"/>
              </w:rPr>
            </w:pPr>
            <w:r w:rsidRPr="00C5308E">
              <w:rPr>
                <w:rFonts w:ascii="Verdana" w:hAnsi="Verdana" w:cs="Calibri"/>
                <w:bCs/>
                <w:sz w:val="18"/>
                <w:szCs w:val="18"/>
              </w:rPr>
              <w:t>AP</w:t>
            </w:r>
          </w:p>
        </w:tc>
      </w:tr>
      <w:tr w:rsidRPr="00C5308E" w:rsidR="005F5D60" w:rsidTr="00E018DA" w14:paraId="07100187"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3D271A53" w14:textId="77777777">
            <w:pPr>
              <w:spacing w:line="240" w:lineRule="auto"/>
              <w:contextualSpacing/>
              <w:rPr>
                <w:rFonts w:ascii="Verdana" w:hAnsi="Verdana" w:cs="Calibri"/>
                <w:bCs/>
                <w:sz w:val="18"/>
                <w:szCs w:val="18"/>
              </w:rPr>
            </w:pPr>
            <w:r w:rsidRPr="00C5308E">
              <w:rPr>
                <w:rFonts w:ascii="Verdana" w:hAnsi="Verdana" w:cs="Calibri"/>
                <w:bCs/>
                <w:sz w:val="18"/>
                <w:szCs w:val="18"/>
              </w:rPr>
              <w:t>7. Werken met een afstand tot de arbeidsmarkt</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029A9B6"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960707F"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03C8BFFC"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4779E629"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A7F94E7"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B802BDE"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581" w:type="pct"/>
            <w:tcBorders>
              <w:top w:val="nil"/>
              <w:left w:val="nil"/>
              <w:bottom w:val="single" w:color="auto" w:sz="8" w:space="0"/>
              <w:right w:val="single" w:color="auto" w:sz="8" w:space="0"/>
            </w:tcBorders>
          </w:tcPr>
          <w:p w:rsidRPr="00C5308E" w:rsidR="005F5D60" w:rsidP="00D87753" w:rsidRDefault="005F5D60" w14:paraId="7F1FEE90" w14:textId="77777777">
            <w:pPr>
              <w:spacing w:line="240" w:lineRule="auto"/>
              <w:contextualSpacing/>
              <w:rPr>
                <w:rFonts w:ascii="Verdana" w:hAnsi="Verdana" w:cs="Calibri"/>
                <w:bCs/>
                <w:sz w:val="18"/>
                <w:szCs w:val="18"/>
              </w:rPr>
            </w:pPr>
            <w:r w:rsidRPr="00C5308E">
              <w:rPr>
                <w:rFonts w:ascii="Verdana" w:hAnsi="Verdana" w:cs="Calibri"/>
                <w:bCs/>
                <w:sz w:val="18"/>
                <w:szCs w:val="18"/>
              </w:rPr>
              <w:t>XV (SZW)</w:t>
            </w:r>
          </w:p>
        </w:tc>
      </w:tr>
      <w:tr w:rsidRPr="00C5308E" w:rsidR="005F5D60" w:rsidTr="00E018DA" w14:paraId="61DF90AC"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0C174B39" w14:textId="77777777">
            <w:pPr>
              <w:spacing w:line="240" w:lineRule="auto"/>
              <w:contextualSpacing/>
              <w:rPr>
                <w:rFonts w:ascii="Verdana" w:hAnsi="Verdana" w:cs="Calibri"/>
                <w:bCs/>
                <w:sz w:val="18"/>
                <w:szCs w:val="18"/>
              </w:rPr>
            </w:pPr>
            <w:r w:rsidRPr="00C5308E">
              <w:rPr>
                <w:rFonts w:ascii="Verdana" w:hAnsi="Verdana" w:cs="Calibri"/>
                <w:bCs/>
                <w:sz w:val="18"/>
                <w:szCs w:val="18"/>
              </w:rPr>
              <w:t>Totaal</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4AD7F81" w14:textId="77777777">
            <w:pPr>
              <w:spacing w:line="240" w:lineRule="auto"/>
              <w:contextualSpacing/>
              <w:rPr>
                <w:rFonts w:ascii="Verdana" w:hAnsi="Verdana" w:cs="Calibri"/>
                <w:bCs/>
                <w:sz w:val="18"/>
                <w:szCs w:val="18"/>
              </w:rPr>
            </w:pPr>
            <w:r w:rsidRPr="00C5308E">
              <w:rPr>
                <w:rFonts w:ascii="Verdana" w:hAnsi="Verdana" w:cs="Calibri"/>
                <w:bCs/>
                <w:sz w:val="18"/>
                <w:szCs w:val="18"/>
              </w:rPr>
              <w:t>9,5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3F0161BD" w14:textId="77777777">
            <w:pPr>
              <w:spacing w:line="240" w:lineRule="auto"/>
              <w:contextualSpacing/>
              <w:rPr>
                <w:rFonts w:ascii="Verdana" w:hAnsi="Verdana" w:cs="Calibri"/>
                <w:bCs/>
                <w:sz w:val="18"/>
                <w:szCs w:val="18"/>
              </w:rPr>
            </w:pPr>
            <w:r w:rsidRPr="00C5308E">
              <w:rPr>
                <w:rFonts w:ascii="Verdana" w:hAnsi="Verdana" w:cs="Calibri"/>
                <w:bCs/>
                <w:sz w:val="18"/>
                <w:szCs w:val="18"/>
              </w:rPr>
              <w:t>13,5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330F5C76" w14:textId="77777777">
            <w:pPr>
              <w:spacing w:line="240" w:lineRule="auto"/>
              <w:contextualSpacing/>
              <w:rPr>
                <w:rFonts w:ascii="Verdana" w:hAnsi="Verdana" w:cs="Calibri"/>
                <w:bCs/>
                <w:sz w:val="18"/>
                <w:szCs w:val="18"/>
              </w:rPr>
            </w:pPr>
            <w:r w:rsidRPr="00C5308E">
              <w:rPr>
                <w:rFonts w:ascii="Verdana" w:hAnsi="Verdana" w:cs="Calibri"/>
                <w:bCs/>
                <w:sz w:val="18"/>
                <w:szCs w:val="18"/>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6F5AFBAC" w14:textId="77777777">
            <w:pPr>
              <w:spacing w:line="240" w:lineRule="auto"/>
              <w:contextualSpacing/>
              <w:rPr>
                <w:rFonts w:ascii="Verdana" w:hAnsi="Verdana" w:cs="Calibri"/>
                <w:bCs/>
                <w:sz w:val="18"/>
                <w:szCs w:val="18"/>
              </w:rPr>
            </w:pPr>
            <w:r w:rsidRPr="00C5308E">
              <w:rPr>
                <w:rFonts w:ascii="Verdana" w:hAnsi="Verdana" w:cs="Calibri"/>
                <w:bCs/>
                <w:sz w:val="18"/>
                <w:szCs w:val="18"/>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075E967" w14:textId="77777777">
            <w:pPr>
              <w:spacing w:line="240" w:lineRule="auto"/>
              <w:contextualSpacing/>
              <w:rPr>
                <w:rFonts w:ascii="Verdana" w:hAnsi="Verdana" w:cs="Calibri"/>
                <w:bCs/>
                <w:sz w:val="18"/>
                <w:szCs w:val="18"/>
              </w:rPr>
            </w:pPr>
            <w:r w:rsidRPr="00C5308E">
              <w:rPr>
                <w:rFonts w:ascii="Verdana" w:hAnsi="Verdana" w:cs="Calibri"/>
                <w:bCs/>
                <w:sz w:val="18"/>
                <w:szCs w:val="18"/>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687C7E6" w14:textId="77777777">
            <w:pPr>
              <w:spacing w:line="240" w:lineRule="auto"/>
              <w:contextualSpacing/>
              <w:rPr>
                <w:rFonts w:ascii="Verdana" w:hAnsi="Verdana" w:cs="Calibri"/>
                <w:bCs/>
                <w:sz w:val="18"/>
                <w:szCs w:val="18"/>
              </w:rPr>
            </w:pPr>
            <w:r w:rsidRPr="00C5308E">
              <w:rPr>
                <w:rFonts w:ascii="Verdana" w:hAnsi="Verdana" w:cs="Calibri"/>
                <w:bCs/>
                <w:sz w:val="18"/>
                <w:szCs w:val="18"/>
              </w:rPr>
              <w:t>14,8</w:t>
            </w:r>
          </w:p>
        </w:tc>
        <w:tc>
          <w:tcPr>
            <w:tcW w:w="581" w:type="pct"/>
            <w:tcBorders>
              <w:top w:val="nil"/>
              <w:left w:val="nil"/>
              <w:bottom w:val="single" w:color="auto" w:sz="8" w:space="0"/>
              <w:right w:val="single" w:color="auto" w:sz="8" w:space="0"/>
            </w:tcBorders>
          </w:tcPr>
          <w:p w:rsidRPr="00C5308E" w:rsidR="005F5D60" w:rsidP="00D87753" w:rsidRDefault="005F5D60" w14:paraId="720C6DDC" w14:textId="77777777">
            <w:pPr>
              <w:spacing w:line="240" w:lineRule="auto"/>
              <w:contextualSpacing/>
              <w:rPr>
                <w:rFonts w:ascii="Verdana" w:hAnsi="Verdana" w:cs="Calibri"/>
                <w:bCs/>
                <w:sz w:val="18"/>
                <w:szCs w:val="18"/>
              </w:rPr>
            </w:pPr>
          </w:p>
        </w:tc>
      </w:tr>
      <w:tr w:rsidRPr="00C5308E" w:rsidR="005F5D60" w:rsidTr="00E018DA" w14:paraId="2C094C3F"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58BE0B26" w14:textId="77777777">
            <w:pPr>
              <w:spacing w:line="240" w:lineRule="auto"/>
              <w:contextualSpacing/>
              <w:rPr>
                <w:rFonts w:ascii="Verdana" w:hAnsi="Verdana" w:cs="Calibri"/>
                <w:bCs/>
                <w:sz w:val="18"/>
                <w:szCs w:val="18"/>
              </w:rPr>
            </w:pPr>
            <w:r w:rsidRPr="00C5308E">
              <w:rPr>
                <w:rFonts w:ascii="Verdana" w:hAnsi="Verdana" w:cs="Calibri"/>
                <w:bCs/>
                <w:sz w:val="18"/>
                <w:szCs w:val="18"/>
              </w:rPr>
              <w:t> Resterend voor koopkracht CN</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0DBE838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60C899E6"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0AC4EDD1"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3FE4158F"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C1BF65A"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47C6A7A6" w14:textId="77777777">
            <w:pPr>
              <w:spacing w:line="240" w:lineRule="auto"/>
              <w:contextualSpacing/>
              <w:rPr>
                <w:rFonts w:ascii="Verdana" w:hAnsi="Verdana" w:cs="Calibri"/>
                <w:bCs/>
                <w:sz w:val="18"/>
                <w:szCs w:val="18"/>
              </w:rPr>
            </w:pPr>
            <w:r w:rsidRPr="00C5308E">
              <w:rPr>
                <w:rFonts w:ascii="Verdana" w:hAnsi="Verdana" w:cs="Calibri"/>
                <w:bCs/>
                <w:sz w:val="18"/>
                <w:szCs w:val="18"/>
              </w:rPr>
              <w:t>0,5</w:t>
            </w:r>
          </w:p>
        </w:tc>
        <w:tc>
          <w:tcPr>
            <w:tcW w:w="581" w:type="pct"/>
            <w:tcBorders>
              <w:top w:val="nil"/>
              <w:left w:val="nil"/>
              <w:bottom w:val="single" w:color="auto" w:sz="8" w:space="0"/>
              <w:right w:val="single" w:color="auto" w:sz="8" w:space="0"/>
            </w:tcBorders>
          </w:tcPr>
          <w:p w:rsidRPr="00C5308E" w:rsidR="005F5D60" w:rsidP="00D87753" w:rsidRDefault="005F5D60" w14:paraId="2B1A53B0" w14:textId="77777777">
            <w:pPr>
              <w:spacing w:line="240" w:lineRule="auto"/>
              <w:contextualSpacing/>
              <w:rPr>
                <w:rFonts w:ascii="Verdana" w:hAnsi="Verdana" w:cs="Calibri"/>
                <w:bCs/>
                <w:sz w:val="18"/>
                <w:szCs w:val="18"/>
              </w:rPr>
            </w:pPr>
            <w:r w:rsidRPr="00C5308E">
              <w:rPr>
                <w:rFonts w:ascii="Verdana" w:hAnsi="Verdana" w:cs="Calibri"/>
                <w:bCs/>
                <w:sz w:val="18"/>
                <w:szCs w:val="18"/>
              </w:rPr>
              <w:t>AP</w:t>
            </w:r>
          </w:p>
        </w:tc>
      </w:tr>
    </w:tbl>
    <w:p w:rsidRPr="00C5308E" w:rsidR="005F5D60" w:rsidP="00D87753" w:rsidRDefault="005F5D60" w14:paraId="65C01E14" w14:textId="7ED41E45">
      <w:pPr>
        <w:spacing w:after="0" w:line="240" w:lineRule="auto"/>
        <w:contextualSpacing/>
        <w:rPr>
          <w:rFonts w:ascii="Verdana" w:hAnsi="Verdana"/>
          <w:bCs/>
          <w:sz w:val="18"/>
          <w:szCs w:val="18"/>
        </w:rPr>
      </w:pPr>
    </w:p>
    <w:p w:rsidRPr="00C5308E" w:rsidR="005F5D60" w:rsidP="00D87753" w:rsidRDefault="005F5D60" w14:paraId="70F0E5C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w:t>
      </w:r>
    </w:p>
    <w:p w:rsidRPr="00C5308E" w:rsidR="005F5D60" w:rsidP="00D87753" w:rsidRDefault="005F5D60" w14:paraId="64ACF6B6" w14:textId="77777777">
      <w:pPr>
        <w:spacing w:after="0" w:line="240" w:lineRule="auto"/>
        <w:contextualSpacing/>
        <w:rPr>
          <w:rFonts w:ascii="Verdana" w:hAnsi="Verdana"/>
          <w:bCs/>
          <w:sz w:val="18"/>
          <w:szCs w:val="18"/>
        </w:rPr>
      </w:pPr>
      <w:r w:rsidRPr="00C5308E">
        <w:rPr>
          <w:rFonts w:ascii="Verdana" w:hAnsi="Verdana"/>
          <w:bCs/>
          <w:sz w:val="18"/>
          <w:szCs w:val="18"/>
        </w:rPr>
        <w:t>Hoe wordt de beschikbare € 9 miljoen waar eerder in de debatten bij de commissie Koninkrijksrelaties uitgebreid over is gesproken, verdeeld c.q. besteed? Hoe was in 2023 en 2024 de ondersteuning op deze terreinen (hoeveel en voor welke onderwerpen)?</w:t>
      </w:r>
    </w:p>
    <w:p w:rsidRPr="00C5308E" w:rsidR="005F5D60" w:rsidP="00D87753" w:rsidRDefault="005F5D60" w14:paraId="5A818D17" w14:textId="77777777">
      <w:pPr>
        <w:spacing w:after="0" w:line="240" w:lineRule="auto"/>
        <w:contextualSpacing/>
        <w:rPr>
          <w:rFonts w:ascii="Verdana" w:hAnsi="Verdana"/>
          <w:bCs/>
          <w:sz w:val="18"/>
          <w:szCs w:val="18"/>
        </w:rPr>
      </w:pPr>
    </w:p>
    <w:p w:rsidRPr="00C5308E" w:rsidR="005F5D60" w:rsidP="00D87753" w:rsidRDefault="005F5D60" w14:paraId="370E978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w:t>
      </w:r>
    </w:p>
    <w:p w:rsidRPr="00C5308E" w:rsidR="005F5D60" w:rsidP="00D87753" w:rsidRDefault="005F5D60" w14:paraId="45D8E127" w14:textId="77777777">
      <w:pPr>
        <w:spacing w:after="0" w:line="240" w:lineRule="auto"/>
        <w:contextualSpacing/>
        <w:rPr>
          <w:rFonts w:ascii="Verdana" w:hAnsi="Verdana"/>
          <w:bCs/>
          <w:sz w:val="18"/>
          <w:szCs w:val="18"/>
        </w:rPr>
      </w:pPr>
      <w:r w:rsidRPr="00C5308E">
        <w:rPr>
          <w:rFonts w:ascii="Verdana" w:hAnsi="Verdana"/>
          <w:bCs/>
          <w:sz w:val="18"/>
          <w:szCs w:val="18"/>
        </w:rPr>
        <w:t xml:space="preserve">Voor de besteding van het volledige koopkrachtpakket voor Caribisch Nederland wordt verwezen naar het antwoord op vraag 17. </w:t>
      </w:r>
    </w:p>
    <w:p w:rsidRPr="00C5308E" w:rsidR="005F5D60" w:rsidP="00D87753" w:rsidRDefault="005F5D60" w14:paraId="2C426258" w14:textId="77777777">
      <w:pPr>
        <w:spacing w:after="0" w:line="240" w:lineRule="auto"/>
        <w:contextualSpacing/>
        <w:rPr>
          <w:rFonts w:ascii="Verdana" w:hAnsi="Verdana"/>
          <w:bCs/>
          <w:sz w:val="18"/>
          <w:szCs w:val="18"/>
        </w:rPr>
      </w:pPr>
    </w:p>
    <w:p w:rsidRPr="00C5308E" w:rsidR="005F5D60" w:rsidP="00D87753" w:rsidRDefault="005F5D60" w14:paraId="09C3A742" w14:textId="7E4BFD66">
      <w:pPr>
        <w:spacing w:after="0" w:line="240" w:lineRule="auto"/>
        <w:contextualSpacing/>
        <w:rPr>
          <w:rFonts w:ascii="Verdana" w:hAnsi="Verdana"/>
          <w:bCs/>
          <w:sz w:val="18"/>
          <w:szCs w:val="18"/>
        </w:rPr>
      </w:pPr>
      <w:r w:rsidRPr="00C5308E">
        <w:rPr>
          <w:rFonts w:ascii="Verdana" w:hAnsi="Verdana"/>
          <w:bCs/>
          <w:sz w:val="18"/>
          <w:szCs w:val="18"/>
        </w:rPr>
        <w:t xml:space="preserve">Van de in 2025 genomen maatregelen zijn de aanvullende subsidies op elektra, drinkwater en telecom, alsmede de energietoelage voor minimahuishoudens ook in 2023 en/of 2024 verstrekt. Deze maatregelen zijn additioneel aan de structurele subsidies die het Rijk verstrekt ten behoeve van de betaalbaarheid van elektra, drinkwater en telecom in Caribisch Nederland. Daarbij wordt opgemerkt dat het budget voor elektra in 2023 hoger was als onderdeel van het prijsplafond dat op dat moment van kracht was. De aanvullende maatregelen in 2024 waren onderdeel van een groter pakket aan koopkrachtmaatregelen (waaronder het verhogen van het minimumloon, de minimumuitkeringen en kinderbijslag) in lijn met het advies van de Commissie sociaal minimum Caribisch Nederland. </w:t>
      </w:r>
    </w:p>
    <w:p w:rsidRPr="00C5308E" w:rsidR="005F5D60" w:rsidP="00D87753" w:rsidRDefault="005F5D60" w14:paraId="31F447EC" w14:textId="77777777">
      <w:pPr>
        <w:spacing w:after="0" w:line="240" w:lineRule="auto"/>
        <w:contextualSpacing/>
        <w:rPr>
          <w:rFonts w:ascii="Verdana" w:hAnsi="Verdana"/>
          <w:bCs/>
          <w:sz w:val="18"/>
          <w:szCs w:val="18"/>
        </w:rPr>
      </w:pPr>
    </w:p>
    <w:tbl>
      <w:tblPr>
        <w:tblpPr w:leftFromText="141" w:rightFromText="141" w:bottomFromText="115" w:vertAnchor="text" w:horzAnchor="margin" w:tblpY="109"/>
        <w:tblW w:w="4536" w:type="pct"/>
        <w:tblLayout w:type="fixed"/>
        <w:tblCellMar>
          <w:left w:w="0" w:type="dxa"/>
          <w:right w:w="0" w:type="dxa"/>
        </w:tblCellMar>
        <w:tblLook w:val="04A0" w:firstRow="1" w:lastRow="0" w:firstColumn="1" w:lastColumn="0" w:noHBand="0" w:noVBand="1"/>
      </w:tblPr>
      <w:tblGrid>
        <w:gridCol w:w="3547"/>
        <w:gridCol w:w="755"/>
        <w:gridCol w:w="755"/>
        <w:gridCol w:w="756"/>
        <w:gridCol w:w="756"/>
        <w:gridCol w:w="754"/>
        <w:gridCol w:w="889"/>
      </w:tblGrid>
      <w:tr w:rsidRPr="00C5308E" w:rsidR="005F5D60" w:rsidTr="004C0310" w14:paraId="77D26082" w14:textId="77777777">
        <w:trPr>
          <w:trHeight w:val="454" w:hRule="exact"/>
        </w:trPr>
        <w:tc>
          <w:tcPr>
            <w:tcW w:w="2160" w:type="pct"/>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hideMark/>
          </w:tcPr>
          <w:p w:rsidRPr="00C5308E" w:rsidR="005F5D60" w:rsidP="00D87753" w:rsidRDefault="004C0310" w14:paraId="03780460" w14:textId="65FA2596">
            <w:pPr>
              <w:spacing w:line="240" w:lineRule="auto"/>
              <w:contextualSpacing/>
              <w:rPr>
                <w:rFonts w:ascii="Verdana" w:hAnsi="Verdana" w:cs="Calibri"/>
                <w:bCs/>
                <w:sz w:val="18"/>
                <w:szCs w:val="18"/>
              </w:rPr>
            </w:pPr>
            <w:r w:rsidRPr="00C5308E">
              <w:rPr>
                <w:rFonts w:ascii="Verdana" w:hAnsi="Verdana" w:cs="Times New Roman"/>
                <w:sz w:val="18"/>
                <w:szCs w:val="18"/>
              </w:rPr>
              <w:t>x € 1 mln.</w:t>
            </w:r>
          </w:p>
        </w:tc>
        <w:tc>
          <w:tcPr>
            <w:tcW w:w="460" w:type="pct"/>
            <w:tcBorders>
              <w:top w:val="single" w:color="auto" w:sz="4" w:space="0"/>
              <w:left w:val="single" w:color="auto" w:sz="4" w:space="0"/>
              <w:bottom w:val="single" w:color="auto" w:sz="8" w:space="0"/>
              <w:right w:val="single" w:color="auto" w:sz="4" w:space="0"/>
            </w:tcBorders>
          </w:tcPr>
          <w:p w:rsidRPr="00C5308E" w:rsidR="005F5D60" w:rsidP="00D87753" w:rsidRDefault="005F5D60" w14:paraId="2E4C8FF9" w14:textId="77777777">
            <w:pPr>
              <w:spacing w:line="240" w:lineRule="auto"/>
              <w:contextualSpacing/>
              <w:rPr>
                <w:rFonts w:ascii="Verdana" w:hAnsi="Verdana" w:cs="Calibri"/>
                <w:bCs/>
                <w:sz w:val="18"/>
                <w:szCs w:val="18"/>
              </w:rPr>
            </w:pPr>
            <w:r w:rsidRPr="00C5308E">
              <w:rPr>
                <w:rFonts w:ascii="Verdana" w:hAnsi="Verdana" w:cs="Calibri"/>
                <w:bCs/>
                <w:sz w:val="18"/>
                <w:szCs w:val="18"/>
              </w:rPr>
              <w:t>2023</w:t>
            </w:r>
          </w:p>
        </w:tc>
        <w:tc>
          <w:tcPr>
            <w:tcW w:w="460" w:type="pct"/>
            <w:tcBorders>
              <w:top w:val="single" w:color="auto" w:sz="4" w:space="0"/>
              <w:left w:val="single" w:color="auto" w:sz="4" w:space="0"/>
              <w:bottom w:val="single" w:color="auto" w:sz="8" w:space="0"/>
              <w:right w:val="single" w:color="auto" w:sz="4" w:space="0"/>
            </w:tcBorders>
          </w:tcPr>
          <w:p w:rsidRPr="00C5308E" w:rsidR="005F5D60" w:rsidP="00D87753" w:rsidRDefault="005F5D60" w14:paraId="4A3C06AB" w14:textId="77777777">
            <w:pPr>
              <w:spacing w:line="240" w:lineRule="auto"/>
              <w:contextualSpacing/>
              <w:rPr>
                <w:rFonts w:ascii="Verdana" w:hAnsi="Verdana" w:cs="Calibri"/>
                <w:bCs/>
                <w:sz w:val="18"/>
                <w:szCs w:val="18"/>
              </w:rPr>
            </w:pPr>
            <w:r w:rsidRPr="00C5308E">
              <w:rPr>
                <w:rFonts w:ascii="Verdana" w:hAnsi="Verdana" w:cs="Calibri"/>
                <w:bCs/>
                <w:sz w:val="18"/>
                <w:szCs w:val="18"/>
              </w:rPr>
              <w:t>2024</w:t>
            </w:r>
          </w:p>
        </w:tc>
        <w:tc>
          <w:tcPr>
            <w:tcW w:w="460"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7BD8A556" w14:textId="77777777">
            <w:pPr>
              <w:spacing w:line="240" w:lineRule="auto"/>
              <w:contextualSpacing/>
              <w:rPr>
                <w:rFonts w:ascii="Verdana" w:hAnsi="Verdana" w:cs="Calibri"/>
                <w:bCs/>
                <w:sz w:val="18"/>
                <w:szCs w:val="18"/>
              </w:rPr>
            </w:pPr>
            <w:r w:rsidRPr="00C5308E">
              <w:rPr>
                <w:rFonts w:ascii="Verdana" w:hAnsi="Verdana" w:cs="Calibri"/>
                <w:bCs/>
                <w:sz w:val="18"/>
                <w:szCs w:val="18"/>
              </w:rPr>
              <w:t>2025</w:t>
            </w:r>
          </w:p>
        </w:tc>
        <w:tc>
          <w:tcPr>
            <w:tcW w:w="460"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414BBE91" w14:textId="77777777">
            <w:pPr>
              <w:spacing w:line="240" w:lineRule="auto"/>
              <w:contextualSpacing/>
              <w:rPr>
                <w:rFonts w:ascii="Verdana" w:hAnsi="Verdana" w:cs="Calibri"/>
                <w:bCs/>
                <w:sz w:val="18"/>
                <w:szCs w:val="18"/>
              </w:rPr>
            </w:pPr>
            <w:r w:rsidRPr="00C5308E">
              <w:rPr>
                <w:rFonts w:ascii="Verdana" w:hAnsi="Verdana" w:cs="Calibri"/>
                <w:bCs/>
                <w:sz w:val="18"/>
                <w:szCs w:val="18"/>
              </w:rPr>
              <w:t>2026</w:t>
            </w:r>
          </w:p>
        </w:tc>
        <w:tc>
          <w:tcPr>
            <w:tcW w:w="459" w:type="pct"/>
            <w:tcBorders>
              <w:top w:val="single" w:color="auto" w:sz="8" w:space="0"/>
              <w:left w:val="nil"/>
              <w:bottom w:val="single" w:color="auto" w:sz="8" w:space="0"/>
              <w:right w:val="single" w:color="auto" w:sz="4" w:space="0"/>
            </w:tcBorders>
          </w:tcPr>
          <w:p w:rsidRPr="00C5308E" w:rsidR="005F5D60" w:rsidP="00D87753" w:rsidRDefault="005F5D60" w14:paraId="11DA90ED" w14:textId="77777777">
            <w:pPr>
              <w:spacing w:line="240" w:lineRule="auto"/>
              <w:contextualSpacing/>
              <w:rPr>
                <w:rFonts w:ascii="Verdana" w:hAnsi="Verdana" w:cs="Calibri"/>
                <w:bCs/>
                <w:sz w:val="18"/>
                <w:szCs w:val="18"/>
              </w:rPr>
            </w:pPr>
            <w:r w:rsidRPr="00C5308E">
              <w:rPr>
                <w:rFonts w:ascii="Verdana" w:hAnsi="Verdana" w:cs="Calibri"/>
                <w:bCs/>
                <w:sz w:val="18"/>
                <w:szCs w:val="18"/>
              </w:rPr>
              <w:t>2027</w:t>
            </w:r>
          </w:p>
        </w:tc>
        <w:tc>
          <w:tcPr>
            <w:tcW w:w="541"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8F69C2F" w14:textId="77777777">
            <w:pPr>
              <w:spacing w:line="240" w:lineRule="auto"/>
              <w:contextualSpacing/>
              <w:rPr>
                <w:rFonts w:ascii="Verdana" w:hAnsi="Verdana" w:cs="Calibri"/>
                <w:bCs/>
                <w:sz w:val="18"/>
                <w:szCs w:val="18"/>
              </w:rPr>
            </w:pPr>
            <w:r w:rsidRPr="00C5308E">
              <w:rPr>
                <w:rFonts w:ascii="Verdana" w:hAnsi="Verdana" w:cs="Calibri"/>
                <w:bCs/>
                <w:sz w:val="18"/>
                <w:szCs w:val="18"/>
              </w:rPr>
              <w:t>Struc.</w:t>
            </w:r>
          </w:p>
        </w:tc>
      </w:tr>
      <w:tr w:rsidRPr="00C5308E" w:rsidR="005F5D60" w:rsidTr="004C0310" w14:paraId="30AB7631"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hideMark/>
          </w:tcPr>
          <w:p w:rsidRPr="00C5308E" w:rsidR="005F5D60" w:rsidP="00D87753" w:rsidRDefault="005F5D60" w14:paraId="5CCD4639" w14:textId="77777777">
            <w:pPr>
              <w:spacing w:line="240" w:lineRule="auto"/>
              <w:contextualSpacing/>
              <w:rPr>
                <w:rFonts w:ascii="Verdana" w:hAnsi="Verdana" w:cs="Calibri"/>
                <w:bCs/>
                <w:sz w:val="18"/>
                <w:szCs w:val="18"/>
              </w:rPr>
            </w:pPr>
            <w:r w:rsidRPr="00C5308E">
              <w:rPr>
                <w:rFonts w:ascii="Verdana" w:hAnsi="Verdana" w:cs="Calibri"/>
                <w:bCs/>
                <w:sz w:val="18"/>
                <w:szCs w:val="18"/>
              </w:rPr>
              <w:t>Energietoelage minimahuishoudens</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4A0BE13B" w14:textId="77777777">
            <w:pPr>
              <w:spacing w:line="240" w:lineRule="auto"/>
              <w:contextualSpacing/>
              <w:rPr>
                <w:rFonts w:ascii="Verdana" w:hAnsi="Verdana" w:cs="Calibri"/>
                <w:bCs/>
                <w:sz w:val="18"/>
                <w:szCs w:val="18"/>
              </w:rPr>
            </w:pPr>
            <w:r w:rsidRPr="00C5308E">
              <w:rPr>
                <w:rFonts w:ascii="Verdana" w:hAnsi="Verdana" w:cs="Calibri"/>
                <w:bCs/>
                <w:sz w:val="18"/>
                <w:szCs w:val="18"/>
              </w:rPr>
              <w:t>7</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44CC7D2F" w14:textId="77777777">
            <w:pPr>
              <w:spacing w:line="240" w:lineRule="auto"/>
              <w:contextualSpacing/>
              <w:rPr>
                <w:rFonts w:ascii="Verdana" w:hAnsi="Verdana" w:cs="Calibri"/>
                <w:bCs/>
                <w:sz w:val="18"/>
                <w:szCs w:val="18"/>
              </w:rPr>
            </w:pPr>
            <w:r w:rsidRPr="00C5308E">
              <w:rPr>
                <w:rFonts w:ascii="Verdana" w:hAnsi="Verdana" w:cs="Calibri"/>
                <w:bCs/>
                <w:sz w:val="18"/>
                <w:szCs w:val="18"/>
              </w:rPr>
              <w:t>4,5</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73EB4B5D"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60"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4B72014" w14:textId="77777777">
            <w:pPr>
              <w:spacing w:line="240" w:lineRule="auto"/>
              <w:contextualSpacing/>
              <w:rPr>
                <w:rFonts w:ascii="Verdana" w:hAnsi="Verdana" w:cs="Calibri"/>
                <w:bCs/>
                <w:sz w:val="18"/>
                <w:szCs w:val="18"/>
              </w:rPr>
            </w:pPr>
            <w:r w:rsidRPr="00C5308E">
              <w:rPr>
                <w:rFonts w:ascii="Verdana" w:hAnsi="Verdana" w:cs="Calibri"/>
                <w:bCs/>
                <w:sz w:val="18"/>
                <w:szCs w:val="18"/>
              </w:rPr>
              <w:t>4</w:t>
            </w:r>
          </w:p>
        </w:tc>
        <w:tc>
          <w:tcPr>
            <w:tcW w:w="459" w:type="pct"/>
            <w:tcBorders>
              <w:top w:val="single" w:color="auto" w:sz="8" w:space="0"/>
              <w:left w:val="nil"/>
              <w:bottom w:val="single" w:color="auto" w:sz="8" w:space="0"/>
              <w:right w:val="single" w:color="auto" w:sz="4" w:space="0"/>
            </w:tcBorders>
          </w:tcPr>
          <w:p w:rsidRPr="00C5308E" w:rsidR="005F5D60" w:rsidP="00D87753" w:rsidRDefault="005F5D60" w14:paraId="20566B52"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2E5FEA4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r>
      <w:tr w:rsidRPr="00C5308E" w:rsidR="005F5D60" w:rsidTr="004C0310" w14:paraId="407BEEFC"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hideMark/>
          </w:tcPr>
          <w:p w:rsidRPr="00C5308E" w:rsidR="005F5D60" w:rsidP="00D87753" w:rsidRDefault="005F5D60" w14:paraId="3CE20BD2"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Aanvullende telecomsubsidie </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46EC3ED8"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7033D037" w14:textId="77777777">
            <w:pPr>
              <w:spacing w:line="240" w:lineRule="auto"/>
              <w:contextualSpacing/>
              <w:rPr>
                <w:rFonts w:ascii="Verdana" w:hAnsi="Verdana" w:cs="Calibri"/>
                <w:bCs/>
                <w:sz w:val="18"/>
                <w:szCs w:val="18"/>
              </w:rPr>
            </w:pPr>
            <w:r w:rsidRPr="00C5308E">
              <w:rPr>
                <w:rFonts w:ascii="Verdana" w:hAnsi="Verdana" w:cs="Calibri"/>
                <w:bCs/>
                <w:sz w:val="18"/>
                <w:szCs w:val="18"/>
              </w:rPr>
              <w:t>1,3</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EC7AF77" w14:textId="77777777">
            <w:pPr>
              <w:spacing w:line="240" w:lineRule="auto"/>
              <w:contextualSpacing/>
              <w:rPr>
                <w:rFonts w:ascii="Verdana" w:hAnsi="Verdana" w:cs="Calibri"/>
                <w:bCs/>
                <w:sz w:val="18"/>
                <w:szCs w:val="18"/>
              </w:rPr>
            </w:pPr>
            <w:r w:rsidRPr="00C5308E">
              <w:rPr>
                <w:rFonts w:ascii="Verdana" w:hAnsi="Verdana" w:cs="Calibri"/>
                <w:bCs/>
                <w:sz w:val="18"/>
                <w:szCs w:val="18"/>
              </w:rPr>
              <w:t>2,5</w:t>
            </w:r>
          </w:p>
        </w:tc>
        <w:tc>
          <w:tcPr>
            <w:tcW w:w="460" w:type="pct"/>
            <w:tcBorders>
              <w:top w:val="nil"/>
              <w:left w:val="nil"/>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1DA327D9" w14:textId="77777777">
            <w:pPr>
              <w:spacing w:line="240" w:lineRule="auto"/>
              <w:contextualSpacing/>
              <w:rPr>
                <w:rFonts w:ascii="Verdana" w:hAnsi="Verdana" w:cs="Calibri"/>
                <w:bCs/>
                <w:sz w:val="18"/>
                <w:szCs w:val="18"/>
              </w:rPr>
            </w:pPr>
            <w:r w:rsidRPr="00C5308E">
              <w:rPr>
                <w:rFonts w:ascii="Verdana" w:hAnsi="Verdana" w:cs="Calibri"/>
                <w:bCs/>
                <w:sz w:val="18"/>
                <w:szCs w:val="18"/>
              </w:rPr>
              <w:t>2,5</w:t>
            </w:r>
          </w:p>
        </w:tc>
        <w:tc>
          <w:tcPr>
            <w:tcW w:w="459" w:type="pct"/>
            <w:tcBorders>
              <w:top w:val="single" w:color="auto" w:sz="8" w:space="0"/>
              <w:left w:val="nil"/>
              <w:bottom w:val="single" w:color="auto" w:sz="8" w:space="0"/>
              <w:right w:val="single" w:color="auto" w:sz="4" w:space="0"/>
            </w:tcBorders>
          </w:tcPr>
          <w:p w:rsidRPr="00C5308E" w:rsidR="005F5D60" w:rsidP="00D87753" w:rsidRDefault="005F5D60" w14:paraId="173C6B7A"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C5308E" w:rsidR="005F5D60" w:rsidP="00D87753" w:rsidRDefault="005F5D60" w14:paraId="03F3F147"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r>
      <w:tr w:rsidRPr="00C5308E" w:rsidR="005F5D60" w:rsidTr="004C0310" w14:paraId="45B752CD"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tcPr>
          <w:p w:rsidRPr="00C5308E" w:rsidR="005F5D60" w:rsidP="00D87753" w:rsidRDefault="005F5D60" w14:paraId="6D8C0A3E"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Aanvullende subsidie drinkwater </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3071DE6A"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1B6E65F2" w14:textId="77777777">
            <w:pPr>
              <w:spacing w:line="240" w:lineRule="auto"/>
              <w:contextualSpacing/>
              <w:rPr>
                <w:rFonts w:ascii="Verdana" w:hAnsi="Verdana" w:cs="Calibri"/>
                <w:bCs/>
                <w:sz w:val="18"/>
                <w:szCs w:val="18"/>
              </w:rPr>
            </w:pPr>
            <w:r w:rsidRPr="00C5308E">
              <w:rPr>
                <w:rFonts w:ascii="Verdana" w:hAnsi="Verdana" w:cs="Calibri"/>
                <w:bCs/>
                <w:sz w:val="18"/>
                <w:szCs w:val="18"/>
              </w:rPr>
              <w:t>1,2</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549BBCB" w14:textId="77777777">
            <w:pPr>
              <w:spacing w:line="240" w:lineRule="auto"/>
              <w:contextualSpacing/>
              <w:rPr>
                <w:rFonts w:ascii="Verdana" w:hAnsi="Verdana" w:cs="Calibri"/>
                <w:bCs/>
                <w:sz w:val="18"/>
                <w:szCs w:val="18"/>
              </w:rPr>
            </w:pPr>
            <w:r w:rsidRPr="00C5308E">
              <w:rPr>
                <w:rFonts w:ascii="Verdana" w:hAnsi="Verdana" w:cs="Calibri"/>
                <w:bCs/>
                <w:sz w:val="18"/>
                <w:szCs w:val="18"/>
              </w:rPr>
              <w:t>1,5</w:t>
            </w:r>
          </w:p>
        </w:tc>
        <w:tc>
          <w:tcPr>
            <w:tcW w:w="460"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8B65482" w14:textId="77777777">
            <w:pPr>
              <w:spacing w:line="240" w:lineRule="auto"/>
              <w:contextualSpacing/>
              <w:rPr>
                <w:rFonts w:ascii="Verdana" w:hAnsi="Verdana" w:cs="Calibri"/>
                <w:bCs/>
                <w:sz w:val="18"/>
                <w:szCs w:val="18"/>
              </w:rPr>
            </w:pPr>
            <w:r w:rsidRPr="00C5308E">
              <w:rPr>
                <w:rFonts w:ascii="Verdana" w:hAnsi="Verdana" w:cs="Calibri"/>
                <w:bCs/>
                <w:sz w:val="18"/>
                <w:szCs w:val="18"/>
              </w:rPr>
              <w:t>1,5</w:t>
            </w:r>
          </w:p>
        </w:tc>
        <w:tc>
          <w:tcPr>
            <w:tcW w:w="459" w:type="pct"/>
            <w:tcBorders>
              <w:top w:val="single" w:color="auto" w:sz="8" w:space="0"/>
              <w:left w:val="nil"/>
              <w:bottom w:val="single" w:color="auto" w:sz="8" w:space="0"/>
              <w:right w:val="single" w:color="auto" w:sz="4" w:space="0"/>
            </w:tcBorders>
          </w:tcPr>
          <w:p w:rsidRPr="00C5308E" w:rsidR="005F5D60" w:rsidP="00D87753" w:rsidRDefault="005F5D60" w14:paraId="75D4B925"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7CCFA9F0"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r>
      <w:tr w:rsidRPr="00C5308E" w:rsidR="005F5D60" w:rsidTr="004C0310" w14:paraId="53B1061D"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tcPr>
          <w:p w:rsidRPr="00C5308E" w:rsidR="005F5D60" w:rsidP="00D87753" w:rsidRDefault="005F5D60" w14:paraId="24F04AA1" w14:textId="77777777">
            <w:pPr>
              <w:spacing w:line="240" w:lineRule="auto"/>
              <w:contextualSpacing/>
              <w:rPr>
                <w:rFonts w:ascii="Verdana" w:hAnsi="Verdana" w:cs="Calibri"/>
                <w:bCs/>
                <w:sz w:val="18"/>
                <w:szCs w:val="18"/>
              </w:rPr>
            </w:pPr>
            <w:r w:rsidRPr="00C5308E">
              <w:rPr>
                <w:rFonts w:ascii="Verdana" w:hAnsi="Verdana" w:cs="Calibri"/>
                <w:bCs/>
                <w:sz w:val="18"/>
                <w:szCs w:val="18"/>
              </w:rPr>
              <w:t xml:space="preserve">Aanvullende subsidie elektra </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316BD942" w14:textId="77777777">
            <w:pPr>
              <w:spacing w:line="240" w:lineRule="auto"/>
              <w:contextualSpacing/>
              <w:rPr>
                <w:rFonts w:ascii="Verdana" w:hAnsi="Verdana" w:cs="Calibri"/>
                <w:bCs/>
                <w:sz w:val="18"/>
                <w:szCs w:val="18"/>
              </w:rPr>
            </w:pPr>
            <w:r w:rsidRPr="00C5308E">
              <w:rPr>
                <w:rFonts w:ascii="Verdana" w:hAnsi="Verdana" w:cs="Calibri"/>
                <w:bCs/>
                <w:sz w:val="18"/>
                <w:szCs w:val="18"/>
              </w:rPr>
              <w:t>12,6</w:t>
            </w:r>
          </w:p>
        </w:tc>
        <w:tc>
          <w:tcPr>
            <w:tcW w:w="460" w:type="pct"/>
            <w:tcBorders>
              <w:top w:val="single" w:color="auto" w:sz="8" w:space="0"/>
              <w:left w:val="single" w:color="auto" w:sz="4" w:space="0"/>
              <w:bottom w:val="single" w:color="auto" w:sz="8" w:space="0"/>
              <w:right w:val="single" w:color="auto" w:sz="4" w:space="0"/>
            </w:tcBorders>
          </w:tcPr>
          <w:p w:rsidRPr="00C5308E" w:rsidR="005F5D60" w:rsidP="00D87753" w:rsidRDefault="005F5D60" w14:paraId="117A797E" w14:textId="77777777">
            <w:pPr>
              <w:spacing w:line="240" w:lineRule="auto"/>
              <w:contextualSpacing/>
              <w:rPr>
                <w:rFonts w:ascii="Verdana" w:hAnsi="Verdana" w:cs="Calibri"/>
                <w:bCs/>
                <w:sz w:val="18"/>
                <w:szCs w:val="18"/>
              </w:rPr>
            </w:pPr>
            <w:r w:rsidRPr="00C5308E">
              <w:rPr>
                <w:rFonts w:ascii="Verdana" w:hAnsi="Verdana" w:cs="Calibri"/>
                <w:bCs/>
                <w:sz w:val="18"/>
                <w:szCs w:val="18"/>
              </w:rPr>
              <w:t>7,8</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22939950" w14:textId="77777777">
            <w:pPr>
              <w:spacing w:line="240" w:lineRule="auto"/>
              <w:contextualSpacing/>
              <w:rPr>
                <w:rFonts w:ascii="Verdana" w:hAnsi="Verdana" w:cs="Calibri"/>
                <w:bCs/>
                <w:sz w:val="18"/>
                <w:szCs w:val="18"/>
              </w:rPr>
            </w:pPr>
            <w:r w:rsidRPr="00C5308E">
              <w:rPr>
                <w:rFonts w:ascii="Verdana" w:hAnsi="Verdana" w:cs="Calibri"/>
                <w:bCs/>
                <w:sz w:val="18"/>
                <w:szCs w:val="18"/>
              </w:rPr>
              <w:t>1</w:t>
            </w:r>
          </w:p>
        </w:tc>
        <w:tc>
          <w:tcPr>
            <w:tcW w:w="460" w:type="pct"/>
            <w:tcBorders>
              <w:top w:val="nil"/>
              <w:left w:val="nil"/>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136D50EE" w14:textId="77777777">
            <w:pPr>
              <w:spacing w:line="240" w:lineRule="auto"/>
              <w:contextualSpacing/>
              <w:rPr>
                <w:rFonts w:ascii="Verdana" w:hAnsi="Verdana" w:cs="Calibri"/>
                <w:bCs/>
                <w:sz w:val="18"/>
                <w:szCs w:val="18"/>
              </w:rPr>
            </w:pPr>
            <w:r w:rsidRPr="00C5308E">
              <w:rPr>
                <w:rFonts w:ascii="Verdana" w:hAnsi="Verdana" w:cs="Calibri"/>
                <w:bCs/>
                <w:sz w:val="18"/>
                <w:szCs w:val="18"/>
              </w:rPr>
              <w:t>1</w:t>
            </w:r>
          </w:p>
        </w:tc>
        <w:tc>
          <w:tcPr>
            <w:tcW w:w="459" w:type="pct"/>
            <w:tcBorders>
              <w:top w:val="single" w:color="auto" w:sz="8" w:space="0"/>
              <w:left w:val="nil"/>
              <w:bottom w:val="single" w:color="auto" w:sz="8" w:space="0"/>
              <w:right w:val="single" w:color="auto" w:sz="4" w:space="0"/>
            </w:tcBorders>
          </w:tcPr>
          <w:p w:rsidRPr="00C5308E" w:rsidR="005F5D60" w:rsidP="00D87753" w:rsidRDefault="005F5D60" w14:paraId="63C67D25"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C5308E" w:rsidR="005F5D60" w:rsidP="00D87753" w:rsidRDefault="005F5D60" w14:paraId="50BBE79B" w14:textId="77777777">
            <w:pPr>
              <w:spacing w:line="240" w:lineRule="auto"/>
              <w:contextualSpacing/>
              <w:rPr>
                <w:rFonts w:ascii="Verdana" w:hAnsi="Verdana" w:cs="Calibri"/>
                <w:bCs/>
                <w:sz w:val="18"/>
                <w:szCs w:val="18"/>
              </w:rPr>
            </w:pPr>
            <w:r w:rsidRPr="00C5308E">
              <w:rPr>
                <w:rFonts w:ascii="Verdana" w:hAnsi="Verdana" w:cs="Calibri"/>
                <w:bCs/>
                <w:sz w:val="18"/>
                <w:szCs w:val="18"/>
              </w:rPr>
              <w:t>0</w:t>
            </w:r>
          </w:p>
        </w:tc>
      </w:tr>
    </w:tbl>
    <w:p w:rsidRPr="00C5308E" w:rsidR="005F5D60" w:rsidP="00D87753" w:rsidRDefault="005F5D60" w14:paraId="49447A73" w14:textId="77777777">
      <w:pPr>
        <w:spacing w:after="0" w:line="240" w:lineRule="auto"/>
        <w:contextualSpacing/>
        <w:rPr>
          <w:rFonts w:ascii="Verdana" w:hAnsi="Verdana"/>
          <w:bCs/>
          <w:sz w:val="18"/>
          <w:szCs w:val="18"/>
        </w:rPr>
      </w:pPr>
    </w:p>
    <w:p w:rsidRPr="00C5308E" w:rsidR="005F5D60" w:rsidP="00D87753" w:rsidRDefault="005F5D60" w14:paraId="631A678A" w14:textId="77777777">
      <w:pPr>
        <w:spacing w:after="0" w:line="240" w:lineRule="auto"/>
        <w:contextualSpacing/>
        <w:rPr>
          <w:rFonts w:ascii="Verdana" w:hAnsi="Verdana"/>
          <w:bCs/>
          <w:sz w:val="18"/>
          <w:szCs w:val="18"/>
          <w:u w:val="single"/>
        </w:rPr>
      </w:pPr>
    </w:p>
    <w:p w:rsidRPr="00C5308E" w:rsidR="005F5D60" w:rsidP="00D87753" w:rsidRDefault="005F5D60" w14:paraId="07030A34" w14:textId="77777777">
      <w:pPr>
        <w:spacing w:after="0" w:line="240" w:lineRule="auto"/>
        <w:contextualSpacing/>
        <w:rPr>
          <w:rFonts w:ascii="Verdana" w:hAnsi="Verdana"/>
          <w:bCs/>
          <w:sz w:val="18"/>
          <w:szCs w:val="18"/>
          <w:u w:val="single"/>
        </w:rPr>
      </w:pPr>
    </w:p>
    <w:p w:rsidRPr="00C5308E" w:rsidR="005F5D60" w:rsidP="00D87753" w:rsidRDefault="005F5D60" w14:paraId="1AAB240A" w14:textId="77777777">
      <w:pPr>
        <w:spacing w:after="0" w:line="240" w:lineRule="auto"/>
        <w:contextualSpacing/>
        <w:rPr>
          <w:rFonts w:ascii="Verdana" w:hAnsi="Verdana"/>
          <w:bCs/>
          <w:sz w:val="18"/>
          <w:szCs w:val="18"/>
          <w:u w:val="single"/>
        </w:rPr>
      </w:pPr>
    </w:p>
    <w:p w:rsidRPr="00C5308E" w:rsidR="005F5D60" w:rsidP="00D87753" w:rsidRDefault="005F5D60" w14:paraId="3292617C" w14:textId="77777777">
      <w:pPr>
        <w:spacing w:after="0" w:line="240" w:lineRule="auto"/>
        <w:contextualSpacing/>
        <w:rPr>
          <w:rFonts w:ascii="Verdana" w:hAnsi="Verdana"/>
          <w:bCs/>
          <w:sz w:val="18"/>
          <w:szCs w:val="18"/>
          <w:u w:val="single"/>
        </w:rPr>
      </w:pPr>
    </w:p>
    <w:p w:rsidRPr="00C5308E" w:rsidR="005F5D60" w:rsidP="00D87753" w:rsidRDefault="005F5D60" w14:paraId="34B2A152" w14:textId="77777777">
      <w:pPr>
        <w:spacing w:after="0" w:line="240" w:lineRule="auto"/>
        <w:contextualSpacing/>
        <w:rPr>
          <w:rFonts w:ascii="Verdana" w:hAnsi="Verdana"/>
          <w:bCs/>
          <w:sz w:val="18"/>
          <w:szCs w:val="18"/>
          <w:u w:val="single"/>
        </w:rPr>
      </w:pPr>
    </w:p>
    <w:p w:rsidRPr="00C5308E" w:rsidR="005F5D60" w:rsidP="00D87753" w:rsidRDefault="005F5D60" w14:paraId="43E3A75F" w14:textId="77777777">
      <w:pPr>
        <w:spacing w:after="0" w:line="240" w:lineRule="auto"/>
        <w:contextualSpacing/>
        <w:rPr>
          <w:rFonts w:ascii="Verdana" w:hAnsi="Verdana"/>
          <w:bCs/>
          <w:sz w:val="18"/>
          <w:szCs w:val="18"/>
          <w:u w:val="single"/>
        </w:rPr>
      </w:pPr>
    </w:p>
    <w:p w:rsidRPr="00C5308E" w:rsidR="005F5D60" w:rsidP="00D87753" w:rsidRDefault="005F5D60" w14:paraId="0F98C686" w14:textId="77777777">
      <w:pPr>
        <w:spacing w:after="0" w:line="240" w:lineRule="auto"/>
        <w:contextualSpacing/>
        <w:rPr>
          <w:rFonts w:ascii="Verdana" w:hAnsi="Verdana"/>
          <w:bCs/>
          <w:sz w:val="18"/>
          <w:szCs w:val="18"/>
          <w:u w:val="single"/>
        </w:rPr>
      </w:pPr>
    </w:p>
    <w:p w:rsidRPr="00C5308E" w:rsidR="005F5D60" w:rsidP="00D87753" w:rsidRDefault="005F5D60" w14:paraId="7304C271" w14:textId="77777777">
      <w:pPr>
        <w:spacing w:after="0" w:line="240" w:lineRule="auto"/>
        <w:contextualSpacing/>
        <w:rPr>
          <w:rFonts w:ascii="Verdana" w:hAnsi="Verdana"/>
          <w:bCs/>
          <w:sz w:val="18"/>
          <w:szCs w:val="18"/>
          <w:u w:val="single"/>
        </w:rPr>
      </w:pPr>
    </w:p>
    <w:p w:rsidRPr="00C5308E" w:rsidR="009E40FF" w:rsidP="00D87753" w:rsidRDefault="009E40FF" w14:paraId="3D06CA7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w:t>
      </w:r>
    </w:p>
    <w:p w:rsidRPr="00C5308E" w:rsidR="009E40FF" w:rsidP="00D87753" w:rsidRDefault="009E40FF" w14:paraId="48916CC0" w14:textId="77777777">
      <w:pPr>
        <w:spacing w:after="0" w:line="240" w:lineRule="auto"/>
        <w:contextualSpacing/>
        <w:rPr>
          <w:rFonts w:ascii="Verdana" w:hAnsi="Verdana"/>
          <w:bCs/>
          <w:sz w:val="18"/>
          <w:szCs w:val="18"/>
        </w:rPr>
      </w:pPr>
      <w:r w:rsidRPr="00C5308E">
        <w:rPr>
          <w:rFonts w:ascii="Verdana" w:hAnsi="Verdana"/>
          <w:bCs/>
          <w:sz w:val="18"/>
          <w:szCs w:val="18"/>
        </w:rPr>
        <w:t>Wat betekenen de voorgestelde maatregelen voor de koopkracht op Bonaire, Sint Eustatius en Saba (BES-eilanden), graag uitgesplitst voor verschillende groepen?</w:t>
      </w:r>
    </w:p>
    <w:p w:rsidRPr="00C5308E" w:rsidR="009E40FF" w:rsidP="00D87753" w:rsidRDefault="009E40FF" w14:paraId="0E05ECD3" w14:textId="77777777">
      <w:pPr>
        <w:spacing w:after="0" w:line="240" w:lineRule="auto"/>
        <w:contextualSpacing/>
        <w:rPr>
          <w:rFonts w:ascii="Verdana" w:hAnsi="Verdana"/>
          <w:bCs/>
          <w:sz w:val="18"/>
          <w:szCs w:val="18"/>
        </w:rPr>
      </w:pPr>
    </w:p>
    <w:p w:rsidRPr="00C5308E" w:rsidR="009E40FF" w:rsidP="00D87753" w:rsidRDefault="009E40FF" w14:paraId="145B23C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w:t>
      </w:r>
    </w:p>
    <w:p w:rsidRPr="00C5308E" w:rsidR="009E40FF" w:rsidP="00D87753" w:rsidRDefault="009E40FF" w14:paraId="0778944A" w14:textId="7261F2CA">
      <w:pPr>
        <w:spacing w:after="0" w:line="240" w:lineRule="auto"/>
        <w:contextualSpacing/>
        <w:rPr>
          <w:rFonts w:ascii="Verdana" w:hAnsi="Verdana"/>
          <w:bCs/>
          <w:sz w:val="18"/>
          <w:szCs w:val="18"/>
        </w:rPr>
      </w:pPr>
      <w:r w:rsidRPr="00C5308E">
        <w:rPr>
          <w:rFonts w:ascii="Verdana" w:hAnsi="Verdana"/>
          <w:bCs/>
          <w:sz w:val="18"/>
          <w:szCs w:val="18"/>
        </w:rPr>
        <w:t>Omdat een raming van lonen en prijzen voor Caribisch Nederland ontbreekt, is het niet mogelijk om de koopkrachtontwikkeling voor huishoudens in Caribisch Nederland te berekenen. Op 21 mei jl. heeft de staatssecretaris van Binnenlandse Zaken en Koninkrijksrelaties een brief gestuurd met een toelichting op de voorgestelde maatregelen voor Caribisch Nederland</w:t>
      </w:r>
      <w:r w:rsidRPr="00C5308E" w:rsidR="004C0310">
        <w:rPr>
          <w:rFonts w:ascii="Verdana" w:hAnsi="Verdana"/>
          <w:bCs/>
          <w:sz w:val="18"/>
          <w:szCs w:val="18"/>
        </w:rPr>
        <w:t xml:space="preserve"> (</w:t>
      </w:r>
      <w:r w:rsidRPr="00C5308E" w:rsidR="004C0310">
        <w:rPr>
          <w:rFonts w:ascii="Verdana" w:hAnsi="Verdana"/>
          <w:sz w:val="18"/>
          <w:szCs w:val="18"/>
        </w:rPr>
        <w:t>Kamerstukken II, 2024/25, 36 600-IV, nr. 65)</w:t>
      </w:r>
      <w:r w:rsidRPr="00C5308E">
        <w:rPr>
          <w:rFonts w:ascii="Verdana" w:hAnsi="Verdana"/>
          <w:bCs/>
          <w:sz w:val="18"/>
          <w:szCs w:val="18"/>
        </w:rPr>
        <w:t>.</w:t>
      </w:r>
    </w:p>
    <w:p w:rsidRPr="00C5308E" w:rsidR="009E40FF" w:rsidP="00D87753" w:rsidRDefault="009E40FF" w14:paraId="37DD8C30" w14:textId="77777777">
      <w:pPr>
        <w:spacing w:after="0" w:line="240" w:lineRule="auto"/>
        <w:contextualSpacing/>
        <w:rPr>
          <w:rFonts w:ascii="Verdana" w:hAnsi="Verdana"/>
          <w:bCs/>
          <w:sz w:val="18"/>
          <w:szCs w:val="18"/>
        </w:rPr>
      </w:pPr>
    </w:p>
    <w:p w:rsidRPr="00C5308E" w:rsidR="009E40FF" w:rsidP="00D87753" w:rsidRDefault="009E40FF" w14:paraId="4957D4D8" w14:textId="77777777">
      <w:pPr>
        <w:spacing w:after="0" w:line="240" w:lineRule="auto"/>
        <w:contextualSpacing/>
        <w:rPr>
          <w:rFonts w:ascii="Verdana" w:hAnsi="Verdana"/>
          <w:bCs/>
          <w:sz w:val="18"/>
          <w:szCs w:val="18"/>
        </w:rPr>
      </w:pPr>
      <w:r w:rsidRPr="00C5308E">
        <w:rPr>
          <w:rFonts w:ascii="Verdana" w:hAnsi="Verdana"/>
          <w:bCs/>
          <w:sz w:val="18"/>
          <w:szCs w:val="18"/>
        </w:rPr>
        <w:t xml:space="preserve">Het kabinet kan wel het inkomenseffect van de maatregelen tonen. Dat is het effect van een maatregel op het besteedbaar inkomen van een huishouden. Onder andere de energietoeslag van 1.300 USD per jaar wordt verlengd in 2025 en 2026. Voor een alleenstaande met een inkomen op </w:t>
      </w:r>
      <w:r w:rsidRPr="00C5308E">
        <w:rPr>
          <w:rFonts w:ascii="Verdana" w:hAnsi="Verdana"/>
          <w:bCs/>
          <w:sz w:val="18"/>
          <w:szCs w:val="18"/>
        </w:rPr>
        <w:lastRenderedPageBreak/>
        <w:t xml:space="preserve">minimumloon zorgt dat in 2025 voor een inkomenseffect van 6,0% op Bonaire en Sint Eustatius, op Saba is dat 6,1%. </w:t>
      </w:r>
    </w:p>
    <w:p w:rsidRPr="00C5308E" w:rsidR="009E40FF" w:rsidP="00D87753" w:rsidRDefault="009E40FF" w14:paraId="498D4047" w14:textId="3776D8D2">
      <w:pPr>
        <w:spacing w:after="0" w:line="240" w:lineRule="auto"/>
        <w:contextualSpacing/>
        <w:rPr>
          <w:rFonts w:ascii="Verdana" w:hAnsi="Verdana"/>
          <w:bCs/>
          <w:sz w:val="18"/>
          <w:szCs w:val="18"/>
        </w:rPr>
      </w:pPr>
      <w:r w:rsidRPr="00C5308E">
        <w:rPr>
          <w:rFonts w:ascii="Verdana" w:hAnsi="Verdana"/>
          <w:bCs/>
          <w:sz w:val="18"/>
          <w:szCs w:val="18"/>
        </w:rPr>
        <w:t>Daarnaast wordt de aanvullende subsidie van 15 USD per maand voor internet verlengd in 2025 en 2026. Voor een alleenstaande met een inkomen op minimumloon zorgt dat in 2025 voor een inkomenseffect van 0,8% op Bonaire, Sint Eustatius en Saba. De aanvullende subsidie voor elektra wordt met circa 10 USD per maand verhoogd in de tweede helft van 2025 en circa 5 USD per maand in 2026. De tarieven voor inwoners worden hierdoor verlaagd</w:t>
      </w:r>
      <w:r w:rsidRPr="00C5308E" w:rsidR="00A64929">
        <w:rPr>
          <w:rFonts w:ascii="Verdana" w:hAnsi="Verdana"/>
          <w:bCs/>
          <w:sz w:val="18"/>
          <w:szCs w:val="18"/>
        </w:rPr>
        <w:t>.</w:t>
      </w:r>
      <w:r w:rsidRPr="00C5308E">
        <w:rPr>
          <w:rStyle w:val="Voetnootmarkering"/>
          <w:rFonts w:ascii="Verdana" w:hAnsi="Verdana"/>
          <w:bCs/>
          <w:sz w:val="18"/>
          <w:szCs w:val="18"/>
        </w:rPr>
        <w:footnoteReference w:id="1"/>
      </w:r>
      <w:r w:rsidRPr="00C5308E">
        <w:rPr>
          <w:rFonts w:ascii="Verdana" w:hAnsi="Verdana"/>
          <w:bCs/>
          <w:sz w:val="18"/>
          <w:szCs w:val="18"/>
        </w:rPr>
        <w:t xml:space="preserve"> Voor een alleenstaande met een inkomen op minimumloon zorgt dat in 2025 (hele jaar) voor een inkomenseffect van 0,3% op Bonaire, Sint Eustatius en Saba. In 2024 was het drinkwatertarief met 6 USD per maand verlaagd. Dit wordt verlengd in de tweede helft van 2025 en in 2026 naar ongeveer hetzelfde niveau als 2024. Daarmee zorgt dit voor een alleenstaande met een inkomen op minimumloon voor een inkomenseffect van 0,2% in 2025 (hele jaar) voor Bonaire, Sint Eustatius en Saba.</w:t>
      </w:r>
    </w:p>
    <w:p w:rsidRPr="00C5308E" w:rsidR="005F5D60" w:rsidP="00D87753" w:rsidRDefault="005F5D60" w14:paraId="18A458FF" w14:textId="77777777">
      <w:pPr>
        <w:spacing w:after="0" w:line="240" w:lineRule="auto"/>
        <w:contextualSpacing/>
        <w:rPr>
          <w:rFonts w:ascii="Verdana" w:hAnsi="Verdana"/>
          <w:bCs/>
          <w:sz w:val="18"/>
          <w:szCs w:val="18"/>
          <w:u w:val="single"/>
        </w:rPr>
      </w:pPr>
    </w:p>
    <w:p w:rsidRPr="00C5308E" w:rsidR="00DF7D23" w:rsidP="00D87753" w:rsidRDefault="00DF7D23" w14:paraId="3CD296E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w:t>
      </w:r>
    </w:p>
    <w:p w:rsidRPr="00C5308E" w:rsidR="00DF7D23" w:rsidP="00D87753" w:rsidRDefault="00DF7D23" w14:paraId="75F4524A" w14:textId="77777777">
      <w:pPr>
        <w:spacing w:after="0" w:line="240" w:lineRule="auto"/>
        <w:contextualSpacing/>
        <w:rPr>
          <w:rFonts w:ascii="Verdana" w:hAnsi="Verdana"/>
          <w:bCs/>
          <w:sz w:val="18"/>
          <w:szCs w:val="18"/>
        </w:rPr>
      </w:pPr>
      <w:r w:rsidRPr="00C5308E">
        <w:rPr>
          <w:rFonts w:ascii="Verdana" w:hAnsi="Verdana"/>
          <w:bCs/>
          <w:sz w:val="18"/>
          <w:szCs w:val="18"/>
        </w:rPr>
        <w:t>De regering maakt € 4 miljoen vrij voor mensen met een afstand tot de arbeidsmarkt op BES-eilanden, wat wordt daar precies mee gedaan? Wat zijn de meetbare doelen die daarmee bereikt moeten worden?</w:t>
      </w:r>
    </w:p>
    <w:p w:rsidRPr="00C5308E" w:rsidR="00DF7D23" w:rsidP="00D87753" w:rsidRDefault="00DF7D23" w14:paraId="3905E56F" w14:textId="77777777">
      <w:pPr>
        <w:spacing w:after="0" w:line="240" w:lineRule="auto"/>
        <w:contextualSpacing/>
        <w:rPr>
          <w:rFonts w:ascii="Verdana" w:hAnsi="Verdana"/>
          <w:bCs/>
          <w:sz w:val="18"/>
          <w:szCs w:val="18"/>
        </w:rPr>
      </w:pPr>
    </w:p>
    <w:p w:rsidRPr="00C5308E" w:rsidR="00DF7D23" w:rsidP="00D87753" w:rsidRDefault="00DF7D23" w14:paraId="323F933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w:t>
      </w:r>
    </w:p>
    <w:p w:rsidRPr="00C5308E" w:rsidR="00DF7D23" w:rsidP="00D87753" w:rsidRDefault="00DF7D23" w14:paraId="4C0062AD" w14:textId="77777777">
      <w:pPr>
        <w:spacing w:after="0" w:line="240" w:lineRule="auto"/>
        <w:contextualSpacing/>
        <w:rPr>
          <w:rFonts w:ascii="Verdana" w:hAnsi="Verdana"/>
          <w:bCs/>
          <w:sz w:val="18"/>
          <w:szCs w:val="18"/>
        </w:rPr>
      </w:pPr>
      <w:r w:rsidRPr="00C5308E">
        <w:rPr>
          <w:rFonts w:ascii="Verdana" w:hAnsi="Verdana"/>
          <w:bCs/>
          <w:sz w:val="18"/>
          <w:szCs w:val="18"/>
        </w:rPr>
        <w:t>De regering maakt sinds 2022 incidenteel middelen vrij voor instrumenten die mensen met een afstand tot de arbeidsmarkt op de BES-eilanden nodig hebben om te kunnen werken. Specifiek gaat het over de instrumenten beschut werk, loonkostensubsidie en jobcoaching. In Europees Nederlandse gemeenten behoren deze tot standaard dienstverlening vanuit de Participatiewet. De € 4 miljoen maakt deze inzet structureel mogelijk. Dit is het bedrag dat de openbare lichamen BES nodig hebben voor het continueren van de huidige inzet.</w:t>
      </w:r>
    </w:p>
    <w:p w:rsidRPr="00C5308E" w:rsidR="00DF7D23" w:rsidP="00D87753" w:rsidRDefault="00DF7D23" w14:paraId="45D666AE" w14:textId="77777777">
      <w:pPr>
        <w:spacing w:after="0" w:line="240" w:lineRule="auto"/>
        <w:contextualSpacing/>
        <w:rPr>
          <w:rFonts w:ascii="Verdana" w:hAnsi="Verdana"/>
          <w:bCs/>
          <w:sz w:val="18"/>
          <w:szCs w:val="18"/>
        </w:rPr>
      </w:pPr>
    </w:p>
    <w:p w:rsidRPr="00C5308E" w:rsidR="00DF7D23" w:rsidP="00D87753" w:rsidRDefault="00DF7D23" w14:paraId="4D2E0743" w14:textId="77777777">
      <w:pPr>
        <w:spacing w:after="0" w:line="240" w:lineRule="auto"/>
        <w:contextualSpacing/>
        <w:rPr>
          <w:rFonts w:ascii="Verdana" w:hAnsi="Verdana"/>
          <w:bCs/>
          <w:sz w:val="18"/>
          <w:szCs w:val="18"/>
        </w:rPr>
      </w:pPr>
      <w:r w:rsidRPr="00C5308E">
        <w:rPr>
          <w:rFonts w:ascii="Verdana" w:hAnsi="Verdana"/>
          <w:bCs/>
          <w:sz w:val="18"/>
          <w:szCs w:val="18"/>
        </w:rPr>
        <w:t>In het najaar van 2025 vindt er onderzoek plaats naar de doelmatigheid en doeltreffendheid van de instrumenten. Op basis van de resultaten worden nieuwe meetbare doelen gedefinieerd voor de toekomstige inzet van de middelen.</w:t>
      </w:r>
    </w:p>
    <w:p w:rsidRPr="00C5308E" w:rsidR="00D639F0" w:rsidP="00D87753" w:rsidRDefault="00D639F0" w14:paraId="7E30BA83" w14:textId="77777777">
      <w:pPr>
        <w:spacing w:after="0" w:line="240" w:lineRule="auto"/>
        <w:contextualSpacing/>
        <w:rPr>
          <w:rFonts w:ascii="Verdana" w:hAnsi="Verdana"/>
          <w:bCs/>
          <w:sz w:val="18"/>
          <w:szCs w:val="18"/>
        </w:rPr>
      </w:pPr>
    </w:p>
    <w:p w:rsidRPr="00C5308E" w:rsidR="00EB30B0" w:rsidP="00D87753" w:rsidRDefault="00EB30B0" w14:paraId="1A72B68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21</w:t>
      </w:r>
    </w:p>
    <w:p w:rsidRPr="00C5308E" w:rsidR="00EB30B0" w:rsidP="00D87753" w:rsidRDefault="00EB30B0" w14:paraId="3DD08BDE" w14:textId="77777777">
      <w:pPr>
        <w:spacing w:after="0" w:line="240" w:lineRule="auto"/>
        <w:contextualSpacing/>
        <w:rPr>
          <w:rFonts w:ascii="Verdana" w:hAnsi="Verdana"/>
          <w:bCs/>
          <w:sz w:val="18"/>
          <w:szCs w:val="18"/>
        </w:rPr>
      </w:pPr>
      <w:r w:rsidRPr="00C5308E">
        <w:rPr>
          <w:rFonts w:ascii="Verdana" w:hAnsi="Verdana"/>
          <w:bCs/>
          <w:sz w:val="18"/>
          <w:szCs w:val="18"/>
        </w:rPr>
        <w:t>Hoeveel mensen in Nederland verdienen een modaal inkomen? Hoeveel daarvan zijn werknemer?</w:t>
      </w:r>
    </w:p>
    <w:p w:rsidRPr="00C5308E" w:rsidR="00EB30B0" w:rsidP="00D87753" w:rsidRDefault="00EB30B0" w14:paraId="04929A0B" w14:textId="77777777">
      <w:pPr>
        <w:spacing w:after="0" w:line="240" w:lineRule="auto"/>
        <w:contextualSpacing/>
        <w:rPr>
          <w:rFonts w:ascii="Verdana" w:hAnsi="Verdana"/>
          <w:bCs/>
          <w:sz w:val="18"/>
          <w:szCs w:val="18"/>
        </w:rPr>
      </w:pPr>
    </w:p>
    <w:p w:rsidRPr="00C5308E" w:rsidR="00EB30B0" w:rsidP="00D87753" w:rsidRDefault="00EB30B0" w14:paraId="072C5C0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w:t>
      </w:r>
    </w:p>
    <w:p w:rsidRPr="00C5308E" w:rsidR="00EB30B0" w:rsidP="00D87753" w:rsidRDefault="00EB30B0" w14:paraId="4BD3760C" w14:textId="4770198B">
      <w:pPr>
        <w:spacing w:after="0" w:line="240" w:lineRule="auto"/>
        <w:contextualSpacing/>
        <w:rPr>
          <w:rFonts w:ascii="Verdana" w:hAnsi="Verdana"/>
          <w:bCs/>
          <w:sz w:val="18"/>
          <w:szCs w:val="18"/>
        </w:rPr>
      </w:pPr>
      <w:r w:rsidRPr="00C5308E">
        <w:rPr>
          <w:rFonts w:ascii="Verdana" w:hAnsi="Verdana"/>
          <w:bCs/>
          <w:sz w:val="18"/>
          <w:szCs w:val="18"/>
        </w:rPr>
        <w:t xml:space="preserve">Het modaal inkomen wordt door het Centraal Planbureau (CPB) geraamd als de meest voorkomende inkomensgroep onder werknemers. Het modale inkomen wordt door het CPB geschat op een </w:t>
      </w:r>
      <w:r w:rsidRPr="00C5308E" w:rsidR="00B100E3">
        <w:rPr>
          <w:rFonts w:ascii="Verdana" w:hAnsi="Verdana"/>
          <w:bCs/>
          <w:sz w:val="18"/>
          <w:szCs w:val="18"/>
        </w:rPr>
        <w:t>bruto-inkomen</w:t>
      </w:r>
      <w:r w:rsidRPr="00C5308E">
        <w:rPr>
          <w:rFonts w:ascii="Verdana" w:hAnsi="Verdana"/>
          <w:bCs/>
          <w:sz w:val="18"/>
          <w:szCs w:val="18"/>
        </w:rPr>
        <w:t xml:space="preserve"> van € 41.500 in 2023 (in 2025: € 46.500). Hoeveel mensen precies een modaal inkomen verdienen is niet goed vast te stellen. Wel kan worden vastgesteld hoeveel mensen ongeveer een modaal inkomen verdienen. Onderstaande tabel toont daartoe de verdeling van het </w:t>
      </w:r>
      <w:r w:rsidRPr="00C5308E" w:rsidR="00B100E3">
        <w:rPr>
          <w:rFonts w:ascii="Verdana" w:hAnsi="Verdana"/>
          <w:bCs/>
          <w:sz w:val="18"/>
          <w:szCs w:val="18"/>
        </w:rPr>
        <w:t>bruto-inkomen</w:t>
      </w:r>
      <w:r w:rsidRPr="00C5308E">
        <w:rPr>
          <w:rFonts w:ascii="Verdana" w:hAnsi="Verdana"/>
          <w:bCs/>
          <w:sz w:val="18"/>
          <w:szCs w:val="18"/>
        </w:rPr>
        <w:t xml:space="preserve"> van personen in Nederland in 2023. Hieruit blijkt dat ongeveer 1 miljoen werknemers een </w:t>
      </w:r>
      <w:r w:rsidRPr="00C5308E" w:rsidR="00B100E3">
        <w:rPr>
          <w:rFonts w:ascii="Verdana" w:hAnsi="Verdana"/>
          <w:bCs/>
          <w:sz w:val="18"/>
          <w:szCs w:val="18"/>
        </w:rPr>
        <w:t>bruto-inkomen</w:t>
      </w:r>
      <w:r w:rsidRPr="00C5308E">
        <w:rPr>
          <w:rFonts w:ascii="Verdana" w:hAnsi="Verdana"/>
          <w:bCs/>
          <w:sz w:val="18"/>
          <w:szCs w:val="18"/>
        </w:rPr>
        <w:t xml:space="preserve"> hadden van tussen de € 40.000 en</w:t>
      </w:r>
      <w:r w:rsidRPr="00C5308E" w:rsidR="00EF1671">
        <w:rPr>
          <w:rFonts w:ascii="Verdana" w:hAnsi="Verdana"/>
          <w:bCs/>
          <w:sz w:val="18"/>
          <w:szCs w:val="18"/>
        </w:rPr>
        <w:t xml:space="preserve"> </w:t>
      </w:r>
      <w:r w:rsidRPr="00C5308E">
        <w:rPr>
          <w:rFonts w:ascii="Verdana" w:hAnsi="Verdana"/>
          <w:bCs/>
          <w:sz w:val="18"/>
          <w:szCs w:val="18"/>
        </w:rPr>
        <w:t>€</w:t>
      </w:r>
      <w:r w:rsidRPr="00C5308E" w:rsidR="00EF1671">
        <w:rPr>
          <w:rFonts w:ascii="Verdana" w:hAnsi="Verdana"/>
          <w:bCs/>
          <w:sz w:val="18"/>
          <w:szCs w:val="18"/>
        </w:rPr>
        <w:t xml:space="preserve"> </w:t>
      </w:r>
      <w:r w:rsidRPr="00C5308E">
        <w:rPr>
          <w:rFonts w:ascii="Verdana" w:hAnsi="Verdana"/>
          <w:bCs/>
          <w:sz w:val="18"/>
          <w:szCs w:val="18"/>
        </w:rPr>
        <w:t>50.000 in 2023.</w:t>
      </w:r>
    </w:p>
    <w:p w:rsidRPr="00C5308E" w:rsidR="00EB30B0" w:rsidP="00D87753" w:rsidRDefault="00EB30B0" w14:paraId="4E9D79C6" w14:textId="77777777">
      <w:pPr>
        <w:spacing w:after="0" w:line="240" w:lineRule="auto"/>
        <w:contextualSpacing/>
        <w:rPr>
          <w:rFonts w:ascii="Verdana" w:hAnsi="Verdana"/>
          <w:bCs/>
          <w:sz w:val="18"/>
          <w:szCs w:val="18"/>
        </w:rPr>
      </w:pPr>
    </w:p>
    <w:p w:rsidRPr="00C5308E" w:rsidR="00EB30B0" w:rsidP="00D87753" w:rsidRDefault="00EB30B0" w14:paraId="0A558809" w14:textId="3290C5E2">
      <w:pPr>
        <w:spacing w:after="0" w:line="240" w:lineRule="auto"/>
        <w:contextualSpacing/>
        <w:rPr>
          <w:rFonts w:ascii="Verdana" w:hAnsi="Verdana"/>
          <w:bCs/>
          <w:i/>
          <w:iCs/>
          <w:sz w:val="18"/>
          <w:szCs w:val="18"/>
        </w:rPr>
      </w:pPr>
      <w:r w:rsidRPr="00C5308E">
        <w:rPr>
          <w:rFonts w:ascii="Verdana" w:hAnsi="Verdana"/>
          <w:bCs/>
          <w:i/>
          <w:iCs/>
          <w:sz w:val="18"/>
          <w:szCs w:val="18"/>
        </w:rPr>
        <w:t>Tabel: Aantal personen (x 1 m</w:t>
      </w:r>
      <w:r w:rsidRPr="00C5308E" w:rsidR="004C0310">
        <w:rPr>
          <w:rFonts w:ascii="Verdana" w:hAnsi="Verdana"/>
          <w:bCs/>
          <w:i/>
          <w:iCs/>
          <w:sz w:val="18"/>
          <w:szCs w:val="18"/>
        </w:rPr>
        <w:t>ln.</w:t>
      </w:r>
      <w:r w:rsidRPr="00C5308E">
        <w:rPr>
          <w:rFonts w:ascii="Verdana" w:hAnsi="Verdana"/>
          <w:bCs/>
          <w:i/>
          <w:iCs/>
          <w:sz w:val="18"/>
          <w:szCs w:val="18"/>
        </w:rPr>
        <w:t>) naar inkomensklasse bruto</w:t>
      </w:r>
      <w:r w:rsidRPr="00C5308E" w:rsidR="00B100E3">
        <w:rPr>
          <w:rFonts w:ascii="Verdana" w:hAnsi="Verdana"/>
          <w:bCs/>
          <w:i/>
          <w:iCs/>
          <w:sz w:val="18"/>
          <w:szCs w:val="18"/>
        </w:rPr>
        <w:t>-</w:t>
      </w:r>
      <w:r w:rsidRPr="00C5308E">
        <w:rPr>
          <w:rFonts w:ascii="Verdana" w:hAnsi="Verdana"/>
          <w:bCs/>
          <w:i/>
          <w:iCs/>
          <w:sz w:val="18"/>
          <w:szCs w:val="18"/>
        </w:rPr>
        <w:t>inkomen (totaal en werknemers)</w:t>
      </w:r>
    </w:p>
    <w:tbl>
      <w:tblPr>
        <w:tblW w:w="9498" w:type="dxa"/>
        <w:tblCellMar>
          <w:left w:w="70" w:type="dxa"/>
          <w:right w:w="70" w:type="dxa"/>
        </w:tblCellMar>
        <w:tblLook w:val="04A0" w:firstRow="1" w:lastRow="0" w:firstColumn="1" w:lastColumn="0" w:noHBand="0" w:noVBand="1"/>
      </w:tblPr>
      <w:tblGrid>
        <w:gridCol w:w="3686"/>
        <w:gridCol w:w="2219"/>
        <w:gridCol w:w="3593"/>
      </w:tblGrid>
      <w:tr w:rsidRPr="00C5308E" w:rsidR="00EB30B0" w:rsidTr="003C75FE" w14:paraId="3CD7B4D8"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0E50725A" w14:textId="77044784">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Inkomensklasse (bruto</w:t>
            </w:r>
            <w:r w:rsidRPr="00C5308E" w:rsidR="00B100E3">
              <w:rPr>
                <w:rFonts w:ascii="Verdana" w:hAnsi="Verdana" w:eastAsia="Times New Roman" w:cs="Calibri"/>
                <w:bCs/>
                <w:color w:val="000000"/>
                <w:sz w:val="18"/>
                <w:szCs w:val="18"/>
                <w:lang w:eastAsia="nl-NL"/>
              </w:rPr>
              <w:t>-</w:t>
            </w:r>
            <w:r w:rsidRPr="00C5308E">
              <w:rPr>
                <w:rFonts w:ascii="Verdana" w:hAnsi="Verdana" w:eastAsia="Times New Roman" w:cs="Calibri"/>
                <w:bCs/>
                <w:color w:val="000000"/>
                <w:sz w:val="18"/>
                <w:szCs w:val="18"/>
                <w:lang w:eastAsia="nl-NL"/>
              </w:rPr>
              <w:t>inkomen)*</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3F3F9933"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Aantal personen met inkomen</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05E4FD57"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Aantal personen met inkomen: sociaaleconomische categorie werknemer</w:t>
            </w:r>
          </w:p>
        </w:tc>
      </w:tr>
      <w:tr w:rsidRPr="00C5308E" w:rsidR="00EB30B0" w:rsidTr="003C75FE" w14:paraId="6F1B149B"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3A418BD3" w14:textId="77777777">
            <w:pPr>
              <w:spacing w:after="0" w:line="240" w:lineRule="auto"/>
              <w:contextualSpacing/>
              <w:rPr>
                <w:rFonts w:ascii="Verdana" w:hAnsi="Verdana" w:eastAsia="Times New Roman" w:cs="Calibri"/>
                <w:bCs/>
                <w:i/>
                <w:iCs/>
                <w:color w:val="000000"/>
                <w:sz w:val="18"/>
                <w:szCs w:val="18"/>
                <w:lang w:eastAsia="nl-NL"/>
              </w:rPr>
            </w:pPr>
            <w:r w:rsidRPr="00C5308E">
              <w:rPr>
                <w:rFonts w:ascii="Verdana" w:hAnsi="Verdana"/>
                <w:bCs/>
                <w:i/>
                <w:iCs/>
                <w:color w:val="000000"/>
                <w:sz w:val="18"/>
                <w:szCs w:val="18"/>
              </w:rPr>
              <w:t>Totaal</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7F9DF0D2" w14:textId="77777777">
            <w:pPr>
              <w:spacing w:after="0" w:line="240" w:lineRule="auto"/>
              <w:contextualSpacing/>
              <w:jc w:val="center"/>
              <w:rPr>
                <w:rFonts w:ascii="Verdana" w:hAnsi="Verdana" w:eastAsia="Times New Roman" w:cs="Calibri"/>
                <w:bCs/>
                <w:i/>
                <w:iCs/>
                <w:color w:val="000000"/>
                <w:sz w:val="18"/>
                <w:szCs w:val="18"/>
                <w:lang w:eastAsia="nl-NL"/>
              </w:rPr>
            </w:pPr>
            <w:r w:rsidRPr="00C5308E">
              <w:rPr>
                <w:rFonts w:ascii="Verdana" w:hAnsi="Verdana"/>
                <w:bCs/>
                <w:i/>
                <w:iCs/>
                <w:color w:val="000000"/>
                <w:sz w:val="18"/>
                <w:szCs w:val="18"/>
              </w:rPr>
              <w:t>14,3</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692C99F4" w14:textId="77777777">
            <w:pPr>
              <w:spacing w:after="0" w:line="240" w:lineRule="auto"/>
              <w:contextualSpacing/>
              <w:jc w:val="center"/>
              <w:rPr>
                <w:rFonts w:ascii="Verdana" w:hAnsi="Verdana" w:eastAsia="Times New Roman" w:cs="Calibri"/>
                <w:bCs/>
                <w:i/>
                <w:iCs/>
                <w:sz w:val="18"/>
                <w:szCs w:val="18"/>
                <w:lang w:eastAsia="nl-NL"/>
              </w:rPr>
            </w:pPr>
            <w:r w:rsidRPr="00C5308E">
              <w:rPr>
                <w:rFonts w:ascii="Verdana" w:hAnsi="Verdana"/>
                <w:bCs/>
                <w:i/>
                <w:iCs/>
                <w:color w:val="000000"/>
                <w:sz w:val="18"/>
                <w:szCs w:val="18"/>
              </w:rPr>
              <w:t>7,0</w:t>
            </w:r>
          </w:p>
        </w:tc>
      </w:tr>
      <w:tr w:rsidRPr="00C5308E" w:rsidR="00EB30B0" w:rsidTr="003C75FE" w14:paraId="34397D1F"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7CF27EE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minder dan 10 000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7DFA989D"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1,6</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11BDAA43"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0,1</w:t>
            </w:r>
          </w:p>
        </w:tc>
      </w:tr>
      <w:tr w:rsidRPr="00C5308E" w:rsidR="00EB30B0" w:rsidTr="003C75FE" w14:paraId="71B4760A"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1C81CB4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10 000 tot 20 000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3A5F50E9"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2,2</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75AFBB61"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0,4</w:t>
            </w:r>
          </w:p>
        </w:tc>
      </w:tr>
      <w:tr w:rsidRPr="00C5308E" w:rsidR="00EB30B0" w:rsidTr="003C75FE" w14:paraId="0D37E83E"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33215CF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20 000 tot 30 000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21F72E0B"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2,3</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22AE2115"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0,7</w:t>
            </w:r>
          </w:p>
        </w:tc>
      </w:tr>
      <w:tr w:rsidRPr="00C5308E" w:rsidR="00EB30B0" w:rsidTr="003C75FE" w14:paraId="7EFA8F2F"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34D53C2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30 000 tot 40 000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7372B09C"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1,7</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11EE5333"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0,9</w:t>
            </w:r>
          </w:p>
        </w:tc>
      </w:tr>
      <w:tr w:rsidRPr="00C5308E" w:rsidR="00EB30B0" w:rsidTr="003C75FE" w14:paraId="00D4D0E0"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6D53FF1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40 000 tot 50 000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4A6E5A31"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1,5</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0686EA3D"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1,0</w:t>
            </w:r>
          </w:p>
        </w:tc>
      </w:tr>
      <w:tr w:rsidRPr="00C5308E" w:rsidR="00EB30B0" w:rsidTr="003C75FE" w14:paraId="39C2CFAF" w14:textId="77777777">
        <w:trPr>
          <w:trHeight w:val="225"/>
        </w:trPr>
        <w:tc>
          <w:tcPr>
            <w:tcW w:w="3686" w:type="dxa"/>
            <w:tcBorders>
              <w:top w:val="nil"/>
              <w:left w:val="nil"/>
              <w:bottom w:val="single" w:color="auto" w:sz="4" w:space="0"/>
              <w:right w:val="nil"/>
            </w:tcBorders>
            <w:shd w:val="clear" w:color="auto" w:fill="auto"/>
            <w:noWrap/>
            <w:vAlign w:val="bottom"/>
          </w:tcPr>
          <w:p w:rsidRPr="00C5308E" w:rsidR="00EB30B0" w:rsidP="00D87753" w:rsidRDefault="00EB30B0" w14:paraId="7F5DC30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50 000 tot 100 000 euro</w:t>
            </w:r>
          </w:p>
        </w:tc>
        <w:tc>
          <w:tcPr>
            <w:tcW w:w="2219" w:type="dxa"/>
            <w:tcBorders>
              <w:top w:val="nil"/>
              <w:left w:val="single" w:color="auto" w:sz="4" w:space="0"/>
              <w:bottom w:val="single" w:color="auto" w:sz="4" w:space="0"/>
              <w:right w:val="nil"/>
            </w:tcBorders>
            <w:shd w:val="clear" w:color="auto" w:fill="auto"/>
            <w:noWrap/>
            <w:vAlign w:val="bottom"/>
          </w:tcPr>
          <w:p w:rsidRPr="00C5308E" w:rsidR="00EB30B0" w:rsidP="00D87753" w:rsidRDefault="00EB30B0" w14:paraId="4B0F5FA6"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3,9</w:t>
            </w:r>
          </w:p>
        </w:tc>
        <w:tc>
          <w:tcPr>
            <w:tcW w:w="3593" w:type="dxa"/>
            <w:tcBorders>
              <w:top w:val="nil"/>
              <w:left w:val="nil"/>
              <w:bottom w:val="single" w:color="auto" w:sz="4" w:space="0"/>
              <w:right w:val="nil"/>
            </w:tcBorders>
            <w:shd w:val="clear" w:color="auto" w:fill="auto"/>
            <w:noWrap/>
            <w:vAlign w:val="bottom"/>
          </w:tcPr>
          <w:p w:rsidRPr="00C5308E" w:rsidR="00EB30B0" w:rsidP="00D87753" w:rsidRDefault="00EB30B0" w14:paraId="27D5379A"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3,0</w:t>
            </w:r>
          </w:p>
        </w:tc>
      </w:tr>
      <w:tr w:rsidRPr="00C5308E" w:rsidR="00EB30B0" w:rsidTr="003C75FE" w14:paraId="5D4370A5" w14:textId="77777777">
        <w:trPr>
          <w:trHeight w:val="225"/>
        </w:trPr>
        <w:tc>
          <w:tcPr>
            <w:tcW w:w="3686" w:type="dxa"/>
            <w:tcBorders>
              <w:top w:val="nil"/>
              <w:left w:val="nil"/>
              <w:bottom w:val="single" w:color="auto" w:sz="4" w:space="0"/>
              <w:right w:val="nil"/>
            </w:tcBorders>
            <w:shd w:val="clear" w:color="auto" w:fill="auto"/>
            <w:noWrap/>
            <w:vAlign w:val="bottom"/>
          </w:tcPr>
          <w:p w:rsidRPr="00C5308E" w:rsidR="00EB30B0" w:rsidP="00D87753" w:rsidRDefault="00EB30B0" w14:paraId="01A6440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100 000 tot 200 000 euro</w:t>
            </w:r>
          </w:p>
        </w:tc>
        <w:tc>
          <w:tcPr>
            <w:tcW w:w="2219" w:type="dxa"/>
            <w:tcBorders>
              <w:top w:val="nil"/>
              <w:left w:val="single" w:color="auto" w:sz="4" w:space="0"/>
              <w:bottom w:val="single" w:color="auto" w:sz="4" w:space="0"/>
              <w:right w:val="nil"/>
            </w:tcBorders>
            <w:shd w:val="clear" w:color="auto" w:fill="auto"/>
            <w:noWrap/>
            <w:vAlign w:val="bottom"/>
          </w:tcPr>
          <w:p w:rsidRPr="00C5308E" w:rsidR="00EB30B0" w:rsidP="00D87753" w:rsidRDefault="00EB30B0" w14:paraId="628C2651"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1,0</w:t>
            </w:r>
          </w:p>
        </w:tc>
        <w:tc>
          <w:tcPr>
            <w:tcW w:w="3593" w:type="dxa"/>
            <w:tcBorders>
              <w:top w:val="nil"/>
              <w:left w:val="nil"/>
              <w:bottom w:val="single" w:color="auto" w:sz="4" w:space="0"/>
              <w:right w:val="nil"/>
            </w:tcBorders>
            <w:shd w:val="clear" w:color="auto" w:fill="auto"/>
            <w:noWrap/>
            <w:vAlign w:val="bottom"/>
          </w:tcPr>
          <w:p w:rsidRPr="00C5308E" w:rsidR="00EB30B0" w:rsidP="00D87753" w:rsidRDefault="00EB30B0" w14:paraId="35A6DB9A"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0,8</w:t>
            </w:r>
          </w:p>
        </w:tc>
      </w:tr>
      <w:tr w:rsidRPr="00C5308E" w:rsidR="00EB30B0" w:rsidTr="003C75FE" w14:paraId="0F7CA3E4" w14:textId="77777777">
        <w:trPr>
          <w:trHeight w:val="225"/>
        </w:trPr>
        <w:tc>
          <w:tcPr>
            <w:tcW w:w="3686" w:type="dxa"/>
            <w:tcBorders>
              <w:top w:val="nil"/>
              <w:left w:val="nil"/>
              <w:bottom w:val="single" w:color="auto" w:sz="4" w:space="0"/>
              <w:right w:val="nil"/>
            </w:tcBorders>
            <w:shd w:val="clear" w:color="auto" w:fill="auto"/>
            <w:noWrap/>
            <w:vAlign w:val="bottom"/>
            <w:hideMark/>
          </w:tcPr>
          <w:p w:rsidRPr="00C5308E" w:rsidR="00EB30B0" w:rsidP="00D87753" w:rsidRDefault="00EB30B0" w14:paraId="7F4551A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bCs/>
                <w:color w:val="000000"/>
                <w:sz w:val="18"/>
                <w:szCs w:val="18"/>
              </w:rPr>
              <w:t>Inkomen: 200 000 euro of meer</w:t>
            </w:r>
          </w:p>
        </w:tc>
        <w:tc>
          <w:tcPr>
            <w:tcW w:w="2219" w:type="dxa"/>
            <w:tcBorders>
              <w:top w:val="nil"/>
              <w:left w:val="single" w:color="auto" w:sz="4" w:space="0"/>
              <w:bottom w:val="single" w:color="auto" w:sz="4" w:space="0"/>
              <w:right w:val="nil"/>
            </w:tcBorders>
            <w:shd w:val="clear" w:color="auto" w:fill="auto"/>
            <w:noWrap/>
            <w:vAlign w:val="bottom"/>
            <w:hideMark/>
          </w:tcPr>
          <w:p w:rsidRPr="00C5308E" w:rsidR="00EB30B0" w:rsidP="00D87753" w:rsidRDefault="00EB30B0" w14:paraId="2159E968" w14:textId="77777777">
            <w:pPr>
              <w:spacing w:after="0" w:line="240" w:lineRule="auto"/>
              <w:contextualSpacing/>
              <w:jc w:val="center"/>
              <w:rPr>
                <w:rFonts w:ascii="Verdana" w:hAnsi="Verdana" w:eastAsia="Times New Roman" w:cs="Calibri"/>
                <w:bCs/>
                <w:color w:val="000000"/>
                <w:sz w:val="18"/>
                <w:szCs w:val="18"/>
                <w:lang w:eastAsia="nl-NL"/>
              </w:rPr>
            </w:pPr>
            <w:r w:rsidRPr="00C5308E">
              <w:rPr>
                <w:rFonts w:ascii="Verdana" w:hAnsi="Verdana"/>
                <w:bCs/>
                <w:color w:val="000000"/>
                <w:sz w:val="18"/>
                <w:szCs w:val="18"/>
              </w:rPr>
              <w:t>0,1</w:t>
            </w:r>
          </w:p>
        </w:tc>
        <w:tc>
          <w:tcPr>
            <w:tcW w:w="3593" w:type="dxa"/>
            <w:tcBorders>
              <w:top w:val="nil"/>
              <w:left w:val="nil"/>
              <w:bottom w:val="single" w:color="auto" w:sz="4" w:space="0"/>
              <w:right w:val="nil"/>
            </w:tcBorders>
            <w:shd w:val="clear" w:color="auto" w:fill="auto"/>
            <w:noWrap/>
            <w:vAlign w:val="bottom"/>
            <w:hideMark/>
          </w:tcPr>
          <w:p w:rsidRPr="00C5308E" w:rsidR="00EB30B0" w:rsidP="00D87753" w:rsidRDefault="00EB30B0" w14:paraId="115BF2C2" w14:textId="77777777">
            <w:pPr>
              <w:spacing w:after="0" w:line="240" w:lineRule="auto"/>
              <w:contextualSpacing/>
              <w:jc w:val="center"/>
              <w:rPr>
                <w:rFonts w:ascii="Verdana" w:hAnsi="Verdana" w:eastAsia="Times New Roman" w:cs="Calibri"/>
                <w:bCs/>
                <w:sz w:val="18"/>
                <w:szCs w:val="18"/>
                <w:lang w:eastAsia="nl-NL"/>
              </w:rPr>
            </w:pPr>
            <w:r w:rsidRPr="00C5308E">
              <w:rPr>
                <w:rFonts w:ascii="Verdana" w:hAnsi="Verdana"/>
                <w:bCs/>
                <w:color w:val="000000"/>
                <w:sz w:val="18"/>
                <w:szCs w:val="18"/>
              </w:rPr>
              <w:t>0,1</w:t>
            </w:r>
          </w:p>
        </w:tc>
      </w:tr>
    </w:tbl>
    <w:p w:rsidRPr="00C5308E" w:rsidR="00EB30B0" w:rsidP="00D87753" w:rsidRDefault="00EB30B0" w14:paraId="3BA82A22" w14:textId="77777777">
      <w:pPr>
        <w:spacing w:after="0" w:line="240" w:lineRule="auto"/>
        <w:contextualSpacing/>
        <w:rPr>
          <w:rFonts w:ascii="Verdana" w:hAnsi="Verdana"/>
          <w:bCs/>
          <w:sz w:val="16"/>
          <w:szCs w:val="16"/>
        </w:rPr>
      </w:pPr>
      <w:r w:rsidRPr="00C5308E">
        <w:rPr>
          <w:rFonts w:ascii="Verdana" w:hAnsi="Verdana"/>
          <w:bCs/>
          <w:sz w:val="16"/>
          <w:szCs w:val="16"/>
        </w:rPr>
        <w:t>Bron: CBS, statline, geraadpleegd 26-05-2025 (</w:t>
      </w:r>
      <w:hyperlink w:history="1" w:anchor="/CBS/nl/dataset/83931NED/table?dl=C13B7" r:id="rId8">
        <w:r w:rsidRPr="00C5308E">
          <w:rPr>
            <w:rStyle w:val="Hyperlink"/>
            <w:rFonts w:ascii="Verdana" w:hAnsi="Verdana"/>
            <w:bCs/>
            <w:sz w:val="16"/>
            <w:szCs w:val="16"/>
          </w:rPr>
          <w:t>https://opendata.cbs.nl/statline/#/CBS/nl/dataset/83931NED/table?dl=C13B7</w:t>
        </w:r>
      </w:hyperlink>
      <w:r w:rsidRPr="00C5308E">
        <w:rPr>
          <w:rFonts w:ascii="Verdana" w:hAnsi="Verdana"/>
          <w:bCs/>
          <w:sz w:val="16"/>
          <w:szCs w:val="16"/>
        </w:rPr>
        <w:t>)</w:t>
      </w:r>
    </w:p>
    <w:p w:rsidRPr="00C5308E" w:rsidR="00EB30B0" w:rsidP="00D87753" w:rsidRDefault="00EB30B0" w14:paraId="3D653F0E" w14:textId="77777777">
      <w:pPr>
        <w:spacing w:after="0" w:line="240" w:lineRule="auto"/>
        <w:contextualSpacing/>
        <w:rPr>
          <w:rFonts w:ascii="Verdana" w:hAnsi="Verdana"/>
          <w:bCs/>
          <w:sz w:val="16"/>
          <w:szCs w:val="16"/>
        </w:rPr>
      </w:pPr>
      <w:r w:rsidRPr="00C5308E">
        <w:rPr>
          <w:rFonts w:ascii="Verdana" w:hAnsi="Verdana"/>
          <w:bCs/>
          <w:sz w:val="16"/>
          <w:szCs w:val="16"/>
        </w:rPr>
        <w:t>*het bruto modale inkomen in 2023 bedroeg € 41.500.</w:t>
      </w:r>
    </w:p>
    <w:p w:rsidR="00EB30B0" w:rsidP="00D87753" w:rsidRDefault="00EB30B0" w14:paraId="6C83EBEB" w14:textId="77777777">
      <w:pPr>
        <w:spacing w:after="0" w:line="240" w:lineRule="auto"/>
        <w:contextualSpacing/>
        <w:rPr>
          <w:rFonts w:ascii="Verdana" w:hAnsi="Verdana"/>
          <w:bCs/>
          <w:sz w:val="18"/>
          <w:szCs w:val="18"/>
        </w:rPr>
      </w:pPr>
    </w:p>
    <w:p w:rsidRPr="00C5308E" w:rsidR="003C0271" w:rsidP="00D87753" w:rsidRDefault="003C0271" w14:paraId="56CB1D75" w14:textId="77777777">
      <w:pPr>
        <w:spacing w:after="0" w:line="240" w:lineRule="auto"/>
        <w:contextualSpacing/>
        <w:rPr>
          <w:rFonts w:ascii="Verdana" w:hAnsi="Verdana"/>
          <w:bCs/>
          <w:sz w:val="18"/>
          <w:szCs w:val="18"/>
        </w:rPr>
      </w:pPr>
    </w:p>
    <w:p w:rsidRPr="00C5308E" w:rsidR="00844C2E" w:rsidP="00D87753" w:rsidRDefault="00844C2E" w14:paraId="19CD8234" w14:textId="206CCC8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22</w:t>
      </w:r>
    </w:p>
    <w:p w:rsidRPr="00C5308E" w:rsidR="00844C2E" w:rsidP="00D87753" w:rsidRDefault="00844C2E" w14:paraId="7C08D150" w14:textId="7A3879AD">
      <w:pPr>
        <w:spacing w:after="0" w:line="240" w:lineRule="auto"/>
        <w:contextualSpacing/>
        <w:rPr>
          <w:rFonts w:ascii="Verdana" w:hAnsi="Verdana"/>
          <w:bCs/>
          <w:sz w:val="18"/>
          <w:szCs w:val="18"/>
        </w:rPr>
      </w:pPr>
      <w:r w:rsidRPr="00C5308E">
        <w:rPr>
          <w:rFonts w:ascii="Verdana" w:hAnsi="Verdana"/>
          <w:bCs/>
          <w:sz w:val="18"/>
          <w:szCs w:val="18"/>
        </w:rPr>
        <w:t>Hoe hoog is het mediane bruto</w:t>
      </w:r>
      <w:r w:rsidRPr="00C5308E" w:rsidR="00B100E3">
        <w:rPr>
          <w:rFonts w:ascii="Verdana" w:hAnsi="Verdana"/>
          <w:bCs/>
          <w:sz w:val="18"/>
          <w:szCs w:val="18"/>
        </w:rPr>
        <w:t>-</w:t>
      </w:r>
      <w:r w:rsidRPr="00C5308E">
        <w:rPr>
          <w:rFonts w:ascii="Verdana" w:hAnsi="Verdana"/>
          <w:bCs/>
          <w:sz w:val="18"/>
          <w:szCs w:val="18"/>
        </w:rPr>
        <w:t>inkomen (niet-gestandaardiseerd, zonder toeslagen) in Nederland in 2025? Hoe hoog is dat van zelfstandigen zonder personeel (zzp’ers) en hoe hoog is dat van werknemers?</w:t>
      </w:r>
    </w:p>
    <w:p w:rsidRPr="00C5308E" w:rsidR="00844C2E" w:rsidP="00D87753" w:rsidRDefault="00844C2E" w14:paraId="7952F4C0" w14:textId="77777777">
      <w:pPr>
        <w:spacing w:after="0" w:line="240" w:lineRule="auto"/>
        <w:contextualSpacing/>
        <w:rPr>
          <w:rFonts w:ascii="Verdana" w:hAnsi="Verdana"/>
          <w:bCs/>
          <w:sz w:val="18"/>
          <w:szCs w:val="18"/>
        </w:rPr>
      </w:pPr>
    </w:p>
    <w:p w:rsidRPr="00C5308E" w:rsidR="00844C2E" w:rsidP="00D87753" w:rsidRDefault="00844C2E" w14:paraId="7E84725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w:t>
      </w:r>
    </w:p>
    <w:p w:rsidRPr="00C5308E" w:rsidR="00844C2E" w:rsidP="00D87753" w:rsidRDefault="00844C2E" w14:paraId="3A2378E7" w14:textId="7EF791F1">
      <w:pPr>
        <w:spacing w:after="0" w:line="240" w:lineRule="auto"/>
        <w:contextualSpacing/>
        <w:rPr>
          <w:rFonts w:ascii="Verdana" w:hAnsi="Verdana"/>
          <w:bCs/>
          <w:sz w:val="18"/>
          <w:szCs w:val="18"/>
        </w:rPr>
      </w:pPr>
      <w:r w:rsidRPr="00C5308E">
        <w:rPr>
          <w:rFonts w:ascii="Verdana" w:hAnsi="Verdana"/>
          <w:bCs/>
          <w:sz w:val="18"/>
          <w:szCs w:val="18"/>
        </w:rPr>
        <w:t>Precieze cijfers over het mediane bruto-inkomen zijn niet beschikbaar. Wel publiceert CBS-cijfers hoeveel personen er een bruto-inkomen hebben binnen verschillende inkomensklasse. Dit geeft inzicht in de bruto-inkomensverdeling van werknemers en zelfstandigen. De onderstaande tabel laat het aantal personen, met uitsplitsing naar werknemers en zelfstandigen, met een persoonlijk bruto-inkomen per inkomensklasse zien. Het persoonlijk bruto-inkomen omvat inkomen uit arbeid, inkomen uit eigen onderneming, uitkering inkomensverzekeringen en uitkering sociale voorzieningen (</w:t>
      </w:r>
      <w:r w:rsidRPr="00C5308E" w:rsidR="0031642E">
        <w:rPr>
          <w:rFonts w:ascii="Verdana" w:hAnsi="Verdana"/>
          <w:bCs/>
          <w:sz w:val="18"/>
          <w:szCs w:val="18"/>
        </w:rPr>
        <w:t>met uitzondering van</w:t>
      </w:r>
      <w:r w:rsidRPr="00C5308E">
        <w:rPr>
          <w:rFonts w:ascii="Verdana" w:hAnsi="Verdana"/>
          <w:bCs/>
          <w:sz w:val="18"/>
          <w:szCs w:val="18"/>
        </w:rPr>
        <w:t xml:space="preserve"> kinderbijslag en kindgebonden budget). De tabel bevat voorlopige cijfers van 2023 (recentere cijfers zijn op dit moment niet beschikbaar). Uit deze tabel blijkt dat het mediane bruto-inkomen voor werknemers zich bevindt in de inkomensklasse 50.000 tot 100.000 euro. Het mediane bruto-inkomen voor zelfstandigen zit in de inkomensklasse 40.000 tot 50.000 euro. </w:t>
      </w:r>
    </w:p>
    <w:p w:rsidRPr="00C5308E" w:rsidR="00844C2E" w:rsidP="00D87753" w:rsidRDefault="00844C2E" w14:paraId="7DE21526" w14:textId="77777777">
      <w:pPr>
        <w:spacing w:after="0" w:line="240" w:lineRule="auto"/>
        <w:contextualSpacing/>
        <w:rPr>
          <w:rFonts w:ascii="Verdana" w:hAnsi="Verdana"/>
          <w:bCs/>
          <w:sz w:val="18"/>
          <w:szCs w:val="18"/>
        </w:rPr>
      </w:pPr>
    </w:p>
    <w:p w:rsidRPr="00C5308E" w:rsidR="00844C2E" w:rsidP="00D87753" w:rsidRDefault="00560DA6" w14:paraId="65524DD6" w14:textId="2B6A3779">
      <w:pPr>
        <w:spacing w:after="0" w:line="240" w:lineRule="auto"/>
        <w:contextualSpacing/>
        <w:rPr>
          <w:rFonts w:ascii="Verdana" w:hAnsi="Verdana"/>
          <w:bCs/>
          <w:i/>
          <w:iCs/>
          <w:sz w:val="18"/>
          <w:szCs w:val="18"/>
        </w:rPr>
      </w:pPr>
      <w:r>
        <w:rPr>
          <w:rFonts w:ascii="Verdana" w:hAnsi="Verdana"/>
          <w:bCs/>
          <w:i/>
          <w:iCs/>
          <w:sz w:val="18"/>
          <w:szCs w:val="18"/>
        </w:rPr>
        <w:t xml:space="preserve">Tabel: </w:t>
      </w:r>
      <w:r w:rsidRPr="00C5308E" w:rsidR="00844C2E">
        <w:rPr>
          <w:rFonts w:ascii="Verdana" w:hAnsi="Verdana"/>
          <w:bCs/>
          <w:i/>
          <w:iCs/>
          <w:sz w:val="18"/>
          <w:szCs w:val="18"/>
        </w:rPr>
        <w:t>Aantal personen met persoonlijke bruto-inkomen naar inkomensklassen in 2023 (voorlopige cijfers).</w:t>
      </w:r>
    </w:p>
    <w:tbl>
      <w:tblPr>
        <w:tblStyle w:val="Rastertabel1licht"/>
        <w:tblW w:w="6141" w:type="dxa"/>
        <w:tblLook w:val="04A0" w:firstRow="1" w:lastRow="0" w:firstColumn="1" w:lastColumn="0" w:noHBand="0" w:noVBand="1"/>
      </w:tblPr>
      <w:tblGrid>
        <w:gridCol w:w="3078"/>
        <w:gridCol w:w="1051"/>
        <w:gridCol w:w="1349"/>
        <w:gridCol w:w="1413"/>
      </w:tblGrid>
      <w:tr w:rsidRPr="00C5308E" w:rsidR="00844C2E" w:rsidTr="003C75FE" w14:paraId="1695EC0D"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2180EE7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Kenmerken van personen</w:t>
            </w:r>
          </w:p>
        </w:tc>
        <w:tc>
          <w:tcPr>
            <w:tcW w:w="960" w:type="dxa"/>
            <w:noWrap/>
            <w:hideMark/>
          </w:tcPr>
          <w:p w:rsidRPr="00C5308E" w:rsidR="00844C2E" w:rsidP="00D87753" w:rsidRDefault="00844C2E" w14:paraId="6A4968BA"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Totaal personen</w:t>
            </w:r>
          </w:p>
        </w:tc>
        <w:tc>
          <w:tcPr>
            <w:tcW w:w="1014" w:type="dxa"/>
            <w:noWrap/>
            <w:hideMark/>
          </w:tcPr>
          <w:p w:rsidRPr="00C5308E" w:rsidR="00844C2E" w:rsidP="00D87753" w:rsidRDefault="00844C2E" w14:paraId="1D43A06F"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SEC: werknemer*</w:t>
            </w:r>
          </w:p>
        </w:tc>
        <w:tc>
          <w:tcPr>
            <w:tcW w:w="1089" w:type="dxa"/>
            <w:noWrap/>
            <w:hideMark/>
          </w:tcPr>
          <w:p w:rsidRPr="00C5308E" w:rsidR="00844C2E" w:rsidP="00D87753" w:rsidRDefault="00844C2E" w14:paraId="466E7547"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SEC: zelfstandige*</w:t>
            </w:r>
          </w:p>
        </w:tc>
      </w:tr>
      <w:tr w:rsidRPr="00C5308E" w:rsidR="00844C2E" w:rsidTr="003C75FE" w14:paraId="7E42D82E"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108D7E9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Inkomensklassen</w:t>
            </w:r>
          </w:p>
        </w:tc>
        <w:tc>
          <w:tcPr>
            <w:tcW w:w="960" w:type="dxa"/>
            <w:noWrap/>
            <w:hideMark/>
          </w:tcPr>
          <w:p w:rsidRPr="00C5308E" w:rsidR="00844C2E" w:rsidP="00D87753" w:rsidRDefault="00844C2E" w14:paraId="1F3E7F30"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014" w:type="dxa"/>
            <w:noWrap/>
            <w:hideMark/>
          </w:tcPr>
          <w:p w:rsidRPr="00C5308E" w:rsidR="00844C2E" w:rsidP="00D87753" w:rsidRDefault="00844C2E" w14:paraId="3BA2127B"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089" w:type="dxa"/>
            <w:noWrap/>
            <w:hideMark/>
          </w:tcPr>
          <w:p w:rsidRPr="00C5308E" w:rsidR="00844C2E" w:rsidP="00D87753" w:rsidRDefault="00844C2E" w14:paraId="53ABBB72"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r>
      <w:tr w:rsidRPr="00C5308E" w:rsidR="00844C2E" w:rsidTr="003C75FE" w14:paraId="089A97F7"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656C5FC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minder dan 10 000 euro</w:t>
            </w:r>
          </w:p>
        </w:tc>
        <w:tc>
          <w:tcPr>
            <w:tcW w:w="960" w:type="dxa"/>
            <w:noWrap/>
            <w:hideMark/>
          </w:tcPr>
          <w:p w:rsidRPr="00C5308E" w:rsidR="00844C2E" w:rsidP="00D87753" w:rsidRDefault="00844C2E" w14:paraId="09A289D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1593,8</w:t>
            </w:r>
          </w:p>
        </w:tc>
        <w:tc>
          <w:tcPr>
            <w:tcW w:w="1014" w:type="dxa"/>
            <w:noWrap/>
            <w:hideMark/>
          </w:tcPr>
          <w:p w:rsidRPr="00C5308E" w:rsidR="00844C2E" w:rsidP="00D87753" w:rsidRDefault="00844C2E" w14:paraId="3B8EDA5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148,6</w:t>
            </w:r>
          </w:p>
        </w:tc>
        <w:tc>
          <w:tcPr>
            <w:tcW w:w="1089" w:type="dxa"/>
            <w:noWrap/>
            <w:hideMark/>
          </w:tcPr>
          <w:p w:rsidRPr="00C5308E" w:rsidR="00844C2E" w:rsidP="00D87753" w:rsidRDefault="00844C2E" w14:paraId="725A2DC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154,2</w:t>
            </w:r>
          </w:p>
        </w:tc>
      </w:tr>
      <w:tr w:rsidRPr="00C5308E" w:rsidR="00844C2E" w:rsidTr="003C75FE" w14:paraId="4AFF9189"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2DC4979A"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10 000 tot 20 000 euro</w:t>
            </w:r>
          </w:p>
        </w:tc>
        <w:tc>
          <w:tcPr>
            <w:tcW w:w="960" w:type="dxa"/>
            <w:noWrap/>
            <w:hideMark/>
          </w:tcPr>
          <w:p w:rsidRPr="00C5308E" w:rsidR="00844C2E" w:rsidP="00D87753" w:rsidRDefault="00844C2E" w14:paraId="69F8C39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2217,2</w:t>
            </w:r>
          </w:p>
        </w:tc>
        <w:tc>
          <w:tcPr>
            <w:tcW w:w="1014" w:type="dxa"/>
            <w:noWrap/>
            <w:hideMark/>
          </w:tcPr>
          <w:p w:rsidRPr="00C5308E" w:rsidR="00844C2E" w:rsidP="00D87753" w:rsidRDefault="00844C2E" w14:paraId="0775419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356,9</w:t>
            </w:r>
          </w:p>
        </w:tc>
        <w:tc>
          <w:tcPr>
            <w:tcW w:w="1089" w:type="dxa"/>
            <w:noWrap/>
            <w:hideMark/>
          </w:tcPr>
          <w:p w:rsidRPr="00C5308E" w:rsidR="00844C2E" w:rsidP="00D87753" w:rsidRDefault="00844C2E" w14:paraId="38630D3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162,9</w:t>
            </w:r>
          </w:p>
        </w:tc>
      </w:tr>
      <w:tr w:rsidRPr="00C5308E" w:rsidR="00844C2E" w:rsidTr="003C75FE" w14:paraId="10C1B2DD"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497F0D56"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20 000 tot 30 000 euro</w:t>
            </w:r>
          </w:p>
        </w:tc>
        <w:tc>
          <w:tcPr>
            <w:tcW w:w="960" w:type="dxa"/>
            <w:noWrap/>
            <w:hideMark/>
          </w:tcPr>
          <w:p w:rsidRPr="00C5308E" w:rsidR="00844C2E" w:rsidP="00D87753" w:rsidRDefault="00844C2E" w14:paraId="2A2F6A8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2297,6</w:t>
            </w:r>
          </w:p>
        </w:tc>
        <w:tc>
          <w:tcPr>
            <w:tcW w:w="1014" w:type="dxa"/>
            <w:noWrap/>
            <w:hideMark/>
          </w:tcPr>
          <w:p w:rsidRPr="00C5308E" w:rsidR="00844C2E" w:rsidP="00D87753" w:rsidRDefault="00844C2E" w14:paraId="7817293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703,9</w:t>
            </w:r>
          </w:p>
        </w:tc>
        <w:tc>
          <w:tcPr>
            <w:tcW w:w="1089" w:type="dxa"/>
            <w:noWrap/>
            <w:hideMark/>
          </w:tcPr>
          <w:p w:rsidRPr="00C5308E" w:rsidR="00844C2E" w:rsidP="00D87753" w:rsidRDefault="00844C2E" w14:paraId="2B95113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155,4</w:t>
            </w:r>
          </w:p>
        </w:tc>
      </w:tr>
      <w:tr w:rsidRPr="00C5308E" w:rsidR="00844C2E" w:rsidTr="003C75FE" w14:paraId="289D2F91"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71F779E3"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30 000 tot 40 000 euro</w:t>
            </w:r>
          </w:p>
        </w:tc>
        <w:tc>
          <w:tcPr>
            <w:tcW w:w="960" w:type="dxa"/>
            <w:noWrap/>
            <w:hideMark/>
          </w:tcPr>
          <w:p w:rsidRPr="00C5308E" w:rsidR="00844C2E" w:rsidP="00D87753" w:rsidRDefault="00844C2E" w14:paraId="3E0BDCB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1729,8</w:t>
            </w:r>
          </w:p>
        </w:tc>
        <w:tc>
          <w:tcPr>
            <w:tcW w:w="1014" w:type="dxa"/>
            <w:noWrap/>
            <w:hideMark/>
          </w:tcPr>
          <w:p w:rsidRPr="00C5308E" w:rsidR="00844C2E" w:rsidP="00D87753" w:rsidRDefault="00844C2E" w14:paraId="682058C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928,7</w:t>
            </w:r>
          </w:p>
        </w:tc>
        <w:tc>
          <w:tcPr>
            <w:tcW w:w="1089" w:type="dxa"/>
            <w:noWrap/>
            <w:hideMark/>
          </w:tcPr>
          <w:p w:rsidRPr="00C5308E" w:rsidR="00844C2E" w:rsidP="00D87753" w:rsidRDefault="00844C2E" w14:paraId="3BFB093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150,6</w:t>
            </w:r>
          </w:p>
        </w:tc>
      </w:tr>
      <w:tr w:rsidRPr="00C5308E" w:rsidR="00844C2E" w:rsidTr="003C75FE" w14:paraId="1EAB3FEE"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31368413"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40 000 tot 50 000 euro</w:t>
            </w:r>
          </w:p>
        </w:tc>
        <w:tc>
          <w:tcPr>
            <w:tcW w:w="960" w:type="dxa"/>
            <w:noWrap/>
            <w:hideMark/>
          </w:tcPr>
          <w:p w:rsidRPr="00C5308E" w:rsidR="00844C2E" w:rsidP="00D87753" w:rsidRDefault="00844C2E" w14:paraId="1375A1C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1484,9</w:t>
            </w:r>
          </w:p>
        </w:tc>
        <w:tc>
          <w:tcPr>
            <w:tcW w:w="1014" w:type="dxa"/>
            <w:noWrap/>
            <w:hideMark/>
          </w:tcPr>
          <w:p w:rsidRPr="00C5308E" w:rsidR="00844C2E" w:rsidP="00D87753" w:rsidRDefault="00844C2E" w14:paraId="22CCE13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974,3</w:t>
            </w:r>
          </w:p>
        </w:tc>
        <w:tc>
          <w:tcPr>
            <w:tcW w:w="1089" w:type="dxa"/>
            <w:noWrap/>
            <w:hideMark/>
          </w:tcPr>
          <w:p w:rsidRPr="00C5308E" w:rsidR="00844C2E" w:rsidP="00D87753" w:rsidRDefault="00844C2E" w14:paraId="28E9714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148,3</w:t>
            </w:r>
          </w:p>
        </w:tc>
      </w:tr>
      <w:tr w:rsidRPr="00C5308E" w:rsidR="00844C2E" w:rsidTr="003C75FE" w14:paraId="21D3B369"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2AC05B7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50 000 tot 100 000 euro</w:t>
            </w:r>
          </w:p>
        </w:tc>
        <w:tc>
          <w:tcPr>
            <w:tcW w:w="960" w:type="dxa"/>
            <w:noWrap/>
            <w:hideMark/>
          </w:tcPr>
          <w:p w:rsidRPr="00C5308E" w:rsidR="00844C2E" w:rsidP="00D87753" w:rsidRDefault="00844C2E" w14:paraId="30819B1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3879,7</w:t>
            </w:r>
          </w:p>
        </w:tc>
        <w:tc>
          <w:tcPr>
            <w:tcW w:w="1014" w:type="dxa"/>
            <w:noWrap/>
            <w:hideMark/>
          </w:tcPr>
          <w:p w:rsidRPr="00C5308E" w:rsidR="00844C2E" w:rsidP="00D87753" w:rsidRDefault="00844C2E" w14:paraId="7727269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2984,8</w:t>
            </w:r>
          </w:p>
        </w:tc>
        <w:tc>
          <w:tcPr>
            <w:tcW w:w="1089" w:type="dxa"/>
            <w:noWrap/>
            <w:hideMark/>
          </w:tcPr>
          <w:p w:rsidRPr="00C5308E" w:rsidR="00844C2E" w:rsidP="00D87753" w:rsidRDefault="00844C2E" w14:paraId="3400E81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476,9</w:t>
            </w:r>
          </w:p>
        </w:tc>
      </w:tr>
      <w:tr w:rsidRPr="00C5308E" w:rsidR="00844C2E" w:rsidTr="003C75FE" w14:paraId="4999CFF9"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519697D0"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100 000 tot 200 000 euro</w:t>
            </w:r>
          </w:p>
        </w:tc>
        <w:tc>
          <w:tcPr>
            <w:tcW w:w="960" w:type="dxa"/>
            <w:noWrap/>
            <w:hideMark/>
          </w:tcPr>
          <w:p w:rsidRPr="00C5308E" w:rsidR="00844C2E" w:rsidP="00D87753" w:rsidRDefault="00844C2E" w14:paraId="194AEA2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1022</w:t>
            </w:r>
          </w:p>
        </w:tc>
        <w:tc>
          <w:tcPr>
            <w:tcW w:w="1014" w:type="dxa"/>
            <w:noWrap/>
            <w:hideMark/>
          </w:tcPr>
          <w:p w:rsidRPr="00C5308E" w:rsidR="00844C2E" w:rsidP="00D87753" w:rsidRDefault="00844C2E" w14:paraId="6A05504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818</w:t>
            </w:r>
          </w:p>
        </w:tc>
        <w:tc>
          <w:tcPr>
            <w:tcW w:w="1089" w:type="dxa"/>
            <w:noWrap/>
            <w:hideMark/>
          </w:tcPr>
          <w:p w:rsidRPr="00C5308E" w:rsidR="00844C2E" w:rsidP="00D87753" w:rsidRDefault="00844C2E" w14:paraId="68E58E8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160,4</w:t>
            </w:r>
          </w:p>
        </w:tc>
      </w:tr>
      <w:tr w:rsidRPr="00C5308E" w:rsidR="00844C2E" w:rsidTr="003C75FE" w14:paraId="5F747EEB"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C5308E" w:rsidR="00844C2E" w:rsidP="00D87753" w:rsidRDefault="00844C2E" w14:paraId="2CCC51C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 200 000 euro of meer</w:t>
            </w:r>
          </w:p>
        </w:tc>
        <w:tc>
          <w:tcPr>
            <w:tcW w:w="960" w:type="dxa"/>
            <w:noWrap/>
            <w:hideMark/>
          </w:tcPr>
          <w:p w:rsidRPr="00C5308E" w:rsidR="00844C2E" w:rsidP="00D87753" w:rsidRDefault="00844C2E" w14:paraId="3569523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123,7</w:t>
            </w:r>
          </w:p>
        </w:tc>
        <w:tc>
          <w:tcPr>
            <w:tcW w:w="1014" w:type="dxa"/>
            <w:noWrap/>
            <w:hideMark/>
          </w:tcPr>
          <w:p w:rsidRPr="00C5308E" w:rsidR="00844C2E" w:rsidP="00D87753" w:rsidRDefault="00844C2E" w14:paraId="2483366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93,4</w:t>
            </w:r>
          </w:p>
        </w:tc>
        <w:tc>
          <w:tcPr>
            <w:tcW w:w="1089" w:type="dxa"/>
            <w:noWrap/>
            <w:hideMark/>
          </w:tcPr>
          <w:p w:rsidRPr="00C5308E" w:rsidR="00844C2E" w:rsidP="00D87753" w:rsidRDefault="00844C2E" w14:paraId="58CA2ED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24,4</w:t>
            </w:r>
          </w:p>
        </w:tc>
      </w:tr>
    </w:tbl>
    <w:p w:rsidRPr="00C5308E" w:rsidR="00844C2E" w:rsidP="00D87753" w:rsidRDefault="00844C2E" w14:paraId="1335E4C6" w14:textId="77777777">
      <w:pPr>
        <w:spacing w:after="0" w:line="240" w:lineRule="auto"/>
        <w:contextualSpacing/>
        <w:rPr>
          <w:rFonts w:ascii="Verdana" w:hAnsi="Verdana"/>
          <w:bCs/>
          <w:sz w:val="16"/>
          <w:szCs w:val="16"/>
        </w:rPr>
      </w:pPr>
      <w:r w:rsidRPr="00C5308E">
        <w:rPr>
          <w:rFonts w:ascii="Verdana" w:hAnsi="Verdana"/>
          <w:bCs/>
          <w:sz w:val="16"/>
          <w:szCs w:val="16"/>
        </w:rPr>
        <w:t xml:space="preserve">Bron: CBS Statline: Inkomen van personen; inkomensklassen, persoonskenmerken. Geraadpleegd op 24-05-2025. </w:t>
      </w:r>
    </w:p>
    <w:p w:rsidRPr="00C5308E" w:rsidR="00844C2E" w:rsidP="00D87753" w:rsidRDefault="00844C2E" w14:paraId="15964CE2" w14:textId="77777777">
      <w:pPr>
        <w:spacing w:after="0" w:line="240" w:lineRule="auto"/>
        <w:contextualSpacing/>
        <w:rPr>
          <w:rFonts w:ascii="Verdana" w:hAnsi="Verdana"/>
          <w:bCs/>
          <w:sz w:val="16"/>
          <w:szCs w:val="16"/>
        </w:rPr>
      </w:pPr>
      <w:r w:rsidRPr="00C5308E">
        <w:rPr>
          <w:rFonts w:ascii="Verdana" w:hAnsi="Verdana"/>
          <w:bCs/>
          <w:sz w:val="16"/>
          <w:szCs w:val="16"/>
        </w:rPr>
        <w:t>*SEC: werknemer en zelfstandige: Persoon waarvoor het inkomen uit arbeid of inkomen als zelfstandige de voornaamste inkomensbron is.</w:t>
      </w:r>
    </w:p>
    <w:p w:rsidRPr="00C5308E" w:rsidR="00B72D0B" w:rsidP="00D87753" w:rsidRDefault="00B72D0B" w14:paraId="62DEC205" w14:textId="77777777">
      <w:pPr>
        <w:spacing w:after="0" w:line="240" w:lineRule="auto"/>
        <w:contextualSpacing/>
        <w:rPr>
          <w:rFonts w:ascii="Verdana" w:hAnsi="Verdana"/>
          <w:bCs/>
          <w:sz w:val="18"/>
          <w:szCs w:val="18"/>
        </w:rPr>
      </w:pPr>
    </w:p>
    <w:p w:rsidRPr="00C5308E" w:rsidR="00844C2E" w:rsidP="00D87753" w:rsidRDefault="00844C2E" w14:paraId="021AFE8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23</w:t>
      </w:r>
    </w:p>
    <w:p w:rsidRPr="00C5308E" w:rsidR="00844C2E" w:rsidP="00D87753" w:rsidRDefault="00844C2E" w14:paraId="60A3F95B" w14:textId="77777777">
      <w:pPr>
        <w:spacing w:after="0" w:line="240" w:lineRule="auto"/>
        <w:contextualSpacing/>
        <w:rPr>
          <w:rFonts w:ascii="Verdana" w:hAnsi="Verdana"/>
          <w:bCs/>
          <w:sz w:val="18"/>
          <w:szCs w:val="18"/>
        </w:rPr>
      </w:pPr>
      <w:r w:rsidRPr="00C5308E">
        <w:rPr>
          <w:rFonts w:ascii="Verdana" w:hAnsi="Verdana"/>
          <w:bCs/>
          <w:sz w:val="18"/>
          <w:szCs w:val="18"/>
        </w:rPr>
        <w:t>Hoeveel zzp’ers zijn er op dit moment actief in Nederland, uitgesplitst naar: totaal aantal, fulltime vs. parttime en sector (bouw, zorg, IT, creatieve beroepen, etc.)?</w:t>
      </w:r>
    </w:p>
    <w:p w:rsidRPr="00C5308E" w:rsidR="00844C2E" w:rsidP="00D87753" w:rsidRDefault="00844C2E" w14:paraId="0DA1F041" w14:textId="77777777">
      <w:pPr>
        <w:spacing w:after="0" w:line="240" w:lineRule="auto"/>
        <w:contextualSpacing/>
        <w:rPr>
          <w:rFonts w:ascii="Verdana" w:hAnsi="Verdana"/>
          <w:bCs/>
          <w:sz w:val="18"/>
          <w:szCs w:val="18"/>
        </w:rPr>
      </w:pPr>
    </w:p>
    <w:p w:rsidRPr="00C5308E" w:rsidR="00844C2E" w:rsidP="00D87753" w:rsidRDefault="00844C2E" w14:paraId="188AB01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23</w:t>
      </w:r>
    </w:p>
    <w:p w:rsidR="00844C2E" w:rsidP="00D87753" w:rsidRDefault="00844C2E" w14:paraId="1B91A72A"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onderstaande tabellen geven inzicht in de verdeling van het aantal momenteel actieve zzp’ers in Nederland, uitgesplitst naar voltijd ten opzichte van deeltijd en naar sector. In 2024 werkten er 519.000 zzp’ers in deeltijd en 744.000 zzp’ers in voltijd. Verder werkten er in 2024 132.000 zzp’ers in de bouwnijverheid, 162.000 in de gezondheids- en welzijnszorg en 85.000 in de cultuur, sport en recreatie. </w:t>
      </w:r>
    </w:p>
    <w:p w:rsidR="003C0271" w:rsidP="00D87753" w:rsidRDefault="003C0271" w14:paraId="35C312EF" w14:textId="77777777">
      <w:pPr>
        <w:spacing w:after="0" w:line="240" w:lineRule="auto"/>
        <w:contextualSpacing/>
        <w:rPr>
          <w:rFonts w:ascii="Verdana" w:hAnsi="Verdana"/>
          <w:bCs/>
          <w:sz w:val="18"/>
          <w:szCs w:val="18"/>
        </w:rPr>
      </w:pPr>
    </w:p>
    <w:p w:rsidR="003C0271" w:rsidP="00D87753" w:rsidRDefault="003C0271" w14:paraId="5B38C9D0" w14:textId="77777777">
      <w:pPr>
        <w:spacing w:after="0" w:line="240" w:lineRule="auto"/>
        <w:contextualSpacing/>
        <w:rPr>
          <w:rFonts w:ascii="Verdana" w:hAnsi="Verdana"/>
          <w:bCs/>
          <w:sz w:val="18"/>
          <w:szCs w:val="18"/>
        </w:rPr>
      </w:pPr>
    </w:p>
    <w:p w:rsidR="003C0271" w:rsidP="00D87753" w:rsidRDefault="003C0271" w14:paraId="0543298F" w14:textId="77777777">
      <w:pPr>
        <w:spacing w:after="0" w:line="240" w:lineRule="auto"/>
        <w:contextualSpacing/>
        <w:rPr>
          <w:rFonts w:ascii="Verdana" w:hAnsi="Verdana"/>
          <w:bCs/>
          <w:sz w:val="18"/>
          <w:szCs w:val="18"/>
        </w:rPr>
      </w:pPr>
    </w:p>
    <w:p w:rsidR="003C0271" w:rsidP="00D87753" w:rsidRDefault="003C0271" w14:paraId="577A3D79" w14:textId="77777777">
      <w:pPr>
        <w:spacing w:after="0" w:line="240" w:lineRule="auto"/>
        <w:contextualSpacing/>
        <w:rPr>
          <w:rFonts w:ascii="Verdana" w:hAnsi="Verdana"/>
          <w:bCs/>
          <w:sz w:val="18"/>
          <w:szCs w:val="18"/>
        </w:rPr>
      </w:pPr>
    </w:p>
    <w:p w:rsidR="003C0271" w:rsidP="00D87753" w:rsidRDefault="003C0271" w14:paraId="00FEE8C9" w14:textId="77777777">
      <w:pPr>
        <w:spacing w:after="0" w:line="240" w:lineRule="auto"/>
        <w:contextualSpacing/>
        <w:rPr>
          <w:rFonts w:ascii="Verdana" w:hAnsi="Verdana"/>
          <w:bCs/>
          <w:sz w:val="18"/>
          <w:szCs w:val="18"/>
        </w:rPr>
      </w:pPr>
    </w:p>
    <w:p w:rsidR="003C0271" w:rsidP="00D87753" w:rsidRDefault="003C0271" w14:paraId="638EAB1B" w14:textId="77777777">
      <w:pPr>
        <w:spacing w:after="0" w:line="240" w:lineRule="auto"/>
        <w:contextualSpacing/>
        <w:rPr>
          <w:rFonts w:ascii="Verdana" w:hAnsi="Verdana"/>
          <w:bCs/>
          <w:sz w:val="18"/>
          <w:szCs w:val="18"/>
        </w:rPr>
      </w:pPr>
    </w:p>
    <w:p w:rsidR="003C0271" w:rsidP="00D87753" w:rsidRDefault="003C0271" w14:paraId="082AF33A" w14:textId="77777777">
      <w:pPr>
        <w:spacing w:after="0" w:line="240" w:lineRule="auto"/>
        <w:contextualSpacing/>
        <w:rPr>
          <w:rFonts w:ascii="Verdana" w:hAnsi="Verdana"/>
          <w:bCs/>
          <w:sz w:val="18"/>
          <w:szCs w:val="18"/>
        </w:rPr>
      </w:pPr>
    </w:p>
    <w:p w:rsidRPr="00C5308E" w:rsidR="003C0271" w:rsidP="00D87753" w:rsidRDefault="003C0271" w14:paraId="0D40501E" w14:textId="77777777">
      <w:pPr>
        <w:spacing w:after="0" w:line="240" w:lineRule="auto"/>
        <w:contextualSpacing/>
        <w:rPr>
          <w:rFonts w:ascii="Verdana" w:hAnsi="Verdana"/>
          <w:bCs/>
          <w:sz w:val="18"/>
          <w:szCs w:val="18"/>
        </w:rPr>
      </w:pPr>
    </w:p>
    <w:p w:rsidRPr="00C5308E" w:rsidR="00844C2E" w:rsidP="00D87753" w:rsidRDefault="00844C2E" w14:paraId="3DC6BD11" w14:textId="77777777">
      <w:pPr>
        <w:spacing w:after="0" w:line="240" w:lineRule="auto"/>
        <w:contextualSpacing/>
        <w:rPr>
          <w:rFonts w:ascii="Verdana" w:hAnsi="Verdana"/>
          <w:bCs/>
          <w:sz w:val="18"/>
          <w:szCs w:val="18"/>
        </w:rPr>
      </w:pPr>
    </w:p>
    <w:p w:rsidRPr="00C5308E" w:rsidR="00844C2E" w:rsidP="00D87753" w:rsidRDefault="00560DA6" w14:paraId="0C50019B" w14:textId="6DD77DB1">
      <w:pPr>
        <w:spacing w:after="0" w:line="240" w:lineRule="auto"/>
        <w:contextualSpacing/>
        <w:rPr>
          <w:rFonts w:ascii="Verdana" w:hAnsi="Verdana"/>
          <w:bCs/>
          <w:i/>
          <w:iCs/>
          <w:sz w:val="18"/>
          <w:szCs w:val="18"/>
        </w:rPr>
      </w:pPr>
      <w:r>
        <w:rPr>
          <w:rFonts w:ascii="Verdana" w:hAnsi="Verdana"/>
          <w:bCs/>
          <w:i/>
          <w:iCs/>
          <w:sz w:val="18"/>
          <w:szCs w:val="18"/>
        </w:rPr>
        <w:lastRenderedPageBreak/>
        <w:t xml:space="preserve">Tabel: </w:t>
      </w:r>
      <w:r w:rsidRPr="00C5308E" w:rsidR="00844C2E">
        <w:rPr>
          <w:rFonts w:ascii="Verdana" w:hAnsi="Verdana"/>
          <w:bCs/>
          <w:i/>
          <w:iCs/>
          <w:sz w:val="18"/>
          <w:szCs w:val="18"/>
        </w:rPr>
        <w:t xml:space="preserve">Aantal zzp’ers uitgesplitst naar: totaal aantal, voltijd en deeltijd in 2024. </w:t>
      </w:r>
    </w:p>
    <w:tbl>
      <w:tblPr>
        <w:tblStyle w:val="Rastertabel1licht"/>
        <w:tblW w:w="5496" w:type="dxa"/>
        <w:tblLook w:val="04A0" w:firstRow="1" w:lastRow="0" w:firstColumn="1" w:lastColumn="0" w:noHBand="0" w:noVBand="1"/>
      </w:tblPr>
      <w:tblGrid>
        <w:gridCol w:w="2978"/>
        <w:gridCol w:w="1128"/>
        <w:gridCol w:w="1673"/>
      </w:tblGrid>
      <w:tr w:rsidRPr="00C5308E" w:rsidR="00844C2E" w:rsidTr="00661995" w14:paraId="61689288"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06" w:type="dxa"/>
            <w:gridSpan w:val="2"/>
            <w:noWrap/>
            <w:hideMark/>
          </w:tcPr>
          <w:p w:rsidRPr="00C5308E" w:rsidR="00844C2E" w:rsidP="00D87753" w:rsidRDefault="00844C2E" w14:paraId="745A5545"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Onderwerp</w:t>
            </w:r>
          </w:p>
        </w:tc>
        <w:tc>
          <w:tcPr>
            <w:tcW w:w="1390" w:type="dxa"/>
            <w:noWrap/>
            <w:hideMark/>
          </w:tcPr>
          <w:p w:rsidRPr="00C5308E" w:rsidR="00844C2E" w:rsidP="00D87753" w:rsidRDefault="00844C2E" w14:paraId="48864096"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Werkkring: zelfst. zonder personeel(zzp)*</w:t>
            </w:r>
          </w:p>
        </w:tc>
      </w:tr>
      <w:tr w:rsidRPr="00C5308E" w:rsidR="00844C2E" w:rsidTr="00661995" w14:paraId="486F6A3C"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C5308E" w:rsidR="00844C2E" w:rsidP="00D87753" w:rsidRDefault="00844C2E" w14:paraId="03CA55A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Werkzame beroepsbevolking</w:t>
            </w:r>
          </w:p>
        </w:tc>
        <w:tc>
          <w:tcPr>
            <w:tcW w:w="1128" w:type="dxa"/>
            <w:noWrap/>
            <w:hideMark/>
          </w:tcPr>
          <w:p w:rsidRPr="00C5308E" w:rsidR="00844C2E" w:rsidP="00D87753" w:rsidRDefault="00844C2E" w14:paraId="0444D73D"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90" w:type="dxa"/>
            <w:noWrap/>
            <w:hideMark/>
          </w:tcPr>
          <w:p w:rsidRPr="00C5308E" w:rsidR="00844C2E" w:rsidP="00D87753" w:rsidRDefault="00844C2E" w14:paraId="6002046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1262</w:t>
            </w:r>
          </w:p>
        </w:tc>
      </w:tr>
      <w:tr w:rsidRPr="00C5308E" w:rsidR="00844C2E" w:rsidTr="00661995" w14:paraId="01D21A9C"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C5308E" w:rsidR="00844C2E" w:rsidP="00D87753" w:rsidRDefault="00844C2E" w14:paraId="754B6DF0"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Deeltijd</w:t>
            </w:r>
          </w:p>
        </w:tc>
        <w:tc>
          <w:tcPr>
            <w:tcW w:w="1128" w:type="dxa"/>
            <w:noWrap/>
            <w:hideMark/>
          </w:tcPr>
          <w:p w:rsidRPr="00C5308E" w:rsidR="00844C2E" w:rsidP="00D87753" w:rsidRDefault="00844C2E" w14:paraId="69C590D6"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90" w:type="dxa"/>
            <w:noWrap/>
            <w:hideMark/>
          </w:tcPr>
          <w:p w:rsidRPr="00C5308E" w:rsidR="00844C2E" w:rsidP="00D87753" w:rsidRDefault="00844C2E" w14:paraId="5B525D4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519</w:t>
            </w:r>
          </w:p>
        </w:tc>
      </w:tr>
      <w:tr w:rsidRPr="00C5308E" w:rsidR="00844C2E" w:rsidTr="00661995" w14:paraId="67BB7E03"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C5308E" w:rsidR="00844C2E" w:rsidP="00D87753" w:rsidRDefault="00844C2E" w14:paraId="745378A8"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Voltijd</w:t>
            </w:r>
          </w:p>
        </w:tc>
        <w:tc>
          <w:tcPr>
            <w:tcW w:w="1128" w:type="dxa"/>
            <w:noWrap/>
            <w:hideMark/>
          </w:tcPr>
          <w:p w:rsidRPr="00C5308E" w:rsidR="00844C2E" w:rsidP="00D87753" w:rsidRDefault="00844C2E" w14:paraId="4148C8C2"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90" w:type="dxa"/>
            <w:noWrap/>
            <w:hideMark/>
          </w:tcPr>
          <w:p w:rsidRPr="00C5308E" w:rsidR="00844C2E" w:rsidP="00D87753" w:rsidRDefault="00844C2E" w14:paraId="204A917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744</w:t>
            </w:r>
          </w:p>
        </w:tc>
      </w:tr>
      <w:tr w:rsidRPr="00C5308E" w:rsidR="00844C2E" w:rsidTr="00661995" w14:paraId="2832D18D"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C5308E" w:rsidR="00844C2E" w:rsidP="00D87753" w:rsidRDefault="00844C2E" w14:paraId="1EDE15A1"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Gemiddelde arbeidsduur in uren</w:t>
            </w:r>
          </w:p>
        </w:tc>
        <w:tc>
          <w:tcPr>
            <w:tcW w:w="1128" w:type="dxa"/>
            <w:noWrap/>
            <w:hideMark/>
          </w:tcPr>
          <w:p w:rsidRPr="00C5308E" w:rsidR="00844C2E" w:rsidP="00D87753" w:rsidRDefault="00844C2E" w14:paraId="48F0817A"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uren</w:t>
            </w:r>
          </w:p>
        </w:tc>
        <w:tc>
          <w:tcPr>
            <w:tcW w:w="1390" w:type="dxa"/>
            <w:noWrap/>
            <w:hideMark/>
          </w:tcPr>
          <w:p w:rsidRPr="00C5308E" w:rsidR="00844C2E" w:rsidP="00D87753" w:rsidRDefault="00844C2E" w14:paraId="4DA403C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35,6</w:t>
            </w:r>
          </w:p>
        </w:tc>
      </w:tr>
    </w:tbl>
    <w:p w:rsidRPr="00C5308E" w:rsidR="00844C2E" w:rsidP="00D87753" w:rsidRDefault="00844C2E" w14:paraId="409DCE49" w14:textId="77777777">
      <w:pPr>
        <w:spacing w:after="0" w:line="240" w:lineRule="auto"/>
        <w:contextualSpacing/>
        <w:rPr>
          <w:rFonts w:ascii="Verdana" w:hAnsi="Verdana"/>
          <w:bCs/>
          <w:sz w:val="16"/>
          <w:szCs w:val="16"/>
        </w:rPr>
      </w:pPr>
      <w:r w:rsidRPr="00C5308E">
        <w:rPr>
          <w:rFonts w:ascii="Verdana" w:hAnsi="Verdana"/>
          <w:bCs/>
          <w:sz w:val="16"/>
          <w:szCs w:val="16"/>
        </w:rPr>
        <w:t>Bron: CBS Statline: Werkzame beroepsbevolking; arbeidsduur. Geraadpleegd op 24-05-2025.</w:t>
      </w:r>
    </w:p>
    <w:p w:rsidRPr="00C5308E" w:rsidR="00844C2E" w:rsidP="00D87753" w:rsidRDefault="00844C2E" w14:paraId="00FFABFA" w14:textId="77777777">
      <w:pPr>
        <w:spacing w:after="0" w:line="240" w:lineRule="auto"/>
        <w:contextualSpacing/>
        <w:rPr>
          <w:rFonts w:ascii="Verdana" w:hAnsi="Verdana"/>
          <w:bCs/>
          <w:sz w:val="16"/>
          <w:szCs w:val="16"/>
        </w:rPr>
      </w:pPr>
      <w:r w:rsidRPr="00C5308E">
        <w:rPr>
          <w:rFonts w:ascii="Verdana" w:hAnsi="Verdana"/>
          <w:bCs/>
          <w:sz w:val="16"/>
          <w:szCs w:val="16"/>
        </w:rPr>
        <w:t>*</w:t>
      </w:r>
      <w:r w:rsidRPr="00C5308E">
        <w:rPr>
          <w:rFonts w:ascii="Verdana" w:hAnsi="Verdana" w:eastAsia="Times New Roman" w:cs="Arial"/>
          <w:bCs/>
          <w:color w:val="333333"/>
          <w:sz w:val="16"/>
          <w:szCs w:val="16"/>
          <w:lang w:eastAsia="nl-NL"/>
        </w:rPr>
        <w:t xml:space="preserve"> </w:t>
      </w:r>
      <w:r w:rsidRPr="00C5308E">
        <w:rPr>
          <w:rFonts w:ascii="Verdana" w:hAnsi="Verdana"/>
          <w:bCs/>
          <w:sz w:val="16"/>
          <w:szCs w:val="16"/>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 Als een persoon meer dan één baan of werkkring heeft, dan wordt uitgegaan van de baan of werkkring waaraan de meeste tijd wordt besteed.</w:t>
      </w:r>
    </w:p>
    <w:p w:rsidRPr="00C5308E" w:rsidR="00844C2E" w:rsidP="00D87753" w:rsidRDefault="00844C2E" w14:paraId="6B75470C" w14:textId="77777777">
      <w:pPr>
        <w:spacing w:after="0" w:line="240" w:lineRule="auto"/>
        <w:contextualSpacing/>
        <w:rPr>
          <w:rFonts w:ascii="Verdana" w:hAnsi="Verdana"/>
          <w:bCs/>
          <w:sz w:val="18"/>
          <w:szCs w:val="18"/>
        </w:rPr>
      </w:pPr>
      <w:r w:rsidRPr="00C5308E">
        <w:rPr>
          <w:rFonts w:ascii="Verdana" w:hAnsi="Verdana"/>
          <w:bCs/>
          <w:sz w:val="18"/>
          <w:szCs w:val="18"/>
        </w:rPr>
        <w:t xml:space="preserve"> </w:t>
      </w:r>
    </w:p>
    <w:p w:rsidRPr="00C5308E" w:rsidR="00844C2E" w:rsidP="00D87753" w:rsidRDefault="00560DA6" w14:paraId="0D337E2A" w14:textId="7D34253A">
      <w:pPr>
        <w:spacing w:after="0" w:line="240" w:lineRule="auto"/>
        <w:contextualSpacing/>
        <w:rPr>
          <w:rFonts w:ascii="Verdana" w:hAnsi="Verdana"/>
          <w:bCs/>
          <w:i/>
          <w:iCs/>
          <w:sz w:val="18"/>
          <w:szCs w:val="18"/>
        </w:rPr>
      </w:pPr>
      <w:r>
        <w:rPr>
          <w:rFonts w:ascii="Verdana" w:hAnsi="Verdana"/>
          <w:bCs/>
          <w:i/>
          <w:iCs/>
          <w:sz w:val="18"/>
          <w:szCs w:val="18"/>
        </w:rPr>
        <w:t xml:space="preserve">Tabel: </w:t>
      </w:r>
      <w:r w:rsidRPr="00C5308E" w:rsidR="00844C2E">
        <w:rPr>
          <w:rFonts w:ascii="Verdana" w:hAnsi="Verdana"/>
          <w:bCs/>
          <w:i/>
          <w:iCs/>
          <w:sz w:val="18"/>
          <w:szCs w:val="18"/>
        </w:rPr>
        <w:t xml:space="preserve">Aantal zzp’ers uitgesplitst naar sector in 2024. </w:t>
      </w:r>
    </w:p>
    <w:tbl>
      <w:tblPr>
        <w:tblStyle w:val="Rastertabel1licht"/>
        <w:tblW w:w="5292" w:type="dxa"/>
        <w:tblLook w:val="04A0" w:firstRow="1" w:lastRow="0" w:firstColumn="1" w:lastColumn="0" w:noHBand="0" w:noVBand="1"/>
      </w:tblPr>
      <w:tblGrid>
        <w:gridCol w:w="3726"/>
        <w:gridCol w:w="1673"/>
      </w:tblGrid>
      <w:tr w:rsidRPr="00C5308E" w:rsidR="00844C2E" w:rsidTr="003C75FE" w14:paraId="0A952FD7"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0B7BD85E"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Persoonskenmerken</w:t>
            </w:r>
          </w:p>
        </w:tc>
        <w:tc>
          <w:tcPr>
            <w:tcW w:w="1566" w:type="dxa"/>
            <w:noWrap/>
            <w:hideMark/>
          </w:tcPr>
          <w:p w:rsidRPr="00C5308E" w:rsidR="00844C2E" w:rsidP="00D87753" w:rsidRDefault="00844C2E" w14:paraId="29285016"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Werkkring: zelfst. zonder personeel(zzp)*</w:t>
            </w:r>
          </w:p>
        </w:tc>
      </w:tr>
      <w:tr w:rsidRPr="00C5308E" w:rsidR="00844C2E" w:rsidTr="003C75FE" w14:paraId="6FDBA08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18590866"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Bedrijfstakken/branches (SBI 2008)</w:t>
            </w:r>
          </w:p>
        </w:tc>
        <w:tc>
          <w:tcPr>
            <w:tcW w:w="1566" w:type="dxa"/>
            <w:noWrap/>
            <w:hideMark/>
          </w:tcPr>
          <w:p w:rsidRPr="00C5308E" w:rsidR="00844C2E" w:rsidP="00D87753" w:rsidRDefault="00844C2E" w14:paraId="2AA3FADC"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r>
      <w:tr w:rsidRPr="00C5308E" w:rsidR="00844C2E" w:rsidTr="003C75FE" w14:paraId="2D522D90"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57AAA71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A-U Alle economische activiteiten</w:t>
            </w:r>
          </w:p>
        </w:tc>
        <w:tc>
          <w:tcPr>
            <w:tcW w:w="1566" w:type="dxa"/>
            <w:noWrap/>
            <w:hideMark/>
          </w:tcPr>
          <w:p w:rsidRPr="00C5308E" w:rsidR="00844C2E" w:rsidP="00D87753" w:rsidRDefault="00844C2E" w14:paraId="48D84EC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1262</w:t>
            </w:r>
          </w:p>
        </w:tc>
      </w:tr>
      <w:tr w:rsidRPr="00C5308E" w:rsidR="00844C2E" w:rsidTr="003C75FE" w14:paraId="5FC80704"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44AAB2E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A Landbouw, bosbouw en visserij</w:t>
            </w:r>
          </w:p>
        </w:tc>
        <w:tc>
          <w:tcPr>
            <w:tcW w:w="1566" w:type="dxa"/>
            <w:noWrap/>
            <w:hideMark/>
          </w:tcPr>
          <w:p w:rsidRPr="00C5308E" w:rsidR="00844C2E" w:rsidP="00D87753" w:rsidRDefault="00844C2E" w14:paraId="639ED7C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50</w:t>
            </w:r>
          </w:p>
        </w:tc>
      </w:tr>
      <w:tr w:rsidRPr="00C5308E" w:rsidR="00844C2E" w:rsidTr="003C75FE" w14:paraId="415E675F"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17C2009E"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B Delfstoffenwinning</w:t>
            </w:r>
          </w:p>
        </w:tc>
        <w:tc>
          <w:tcPr>
            <w:tcW w:w="1566" w:type="dxa"/>
            <w:noWrap/>
            <w:hideMark/>
          </w:tcPr>
          <w:p w:rsidRPr="00C5308E" w:rsidR="00844C2E" w:rsidP="00D87753" w:rsidRDefault="00844C2E" w14:paraId="089E70E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w:t>
            </w:r>
          </w:p>
        </w:tc>
      </w:tr>
      <w:tr w:rsidRPr="00C5308E" w:rsidR="00844C2E" w:rsidTr="003C75FE" w14:paraId="790F8E8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5DB0815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C Industrie</w:t>
            </w:r>
          </w:p>
        </w:tc>
        <w:tc>
          <w:tcPr>
            <w:tcW w:w="1566" w:type="dxa"/>
            <w:noWrap/>
            <w:hideMark/>
          </w:tcPr>
          <w:p w:rsidRPr="00C5308E" w:rsidR="00844C2E" w:rsidP="00D87753" w:rsidRDefault="00844C2E" w14:paraId="575F2B5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42</w:t>
            </w:r>
          </w:p>
        </w:tc>
      </w:tr>
      <w:tr w:rsidRPr="00C5308E" w:rsidR="00844C2E" w:rsidTr="003C75FE" w14:paraId="7DEDCD5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64DC125B"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D Energievoorziening</w:t>
            </w:r>
          </w:p>
        </w:tc>
        <w:tc>
          <w:tcPr>
            <w:tcW w:w="1566" w:type="dxa"/>
            <w:noWrap/>
            <w:hideMark/>
          </w:tcPr>
          <w:p w:rsidRPr="00C5308E" w:rsidR="00844C2E" w:rsidP="00D87753" w:rsidRDefault="00844C2E" w14:paraId="69B91F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w:t>
            </w:r>
          </w:p>
        </w:tc>
      </w:tr>
      <w:tr w:rsidRPr="00C5308E" w:rsidR="00844C2E" w:rsidTr="003C75FE" w14:paraId="257CEDE6"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26EACA0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E Waterbedrijven en afvalbeheer</w:t>
            </w:r>
          </w:p>
        </w:tc>
        <w:tc>
          <w:tcPr>
            <w:tcW w:w="1566" w:type="dxa"/>
            <w:noWrap/>
            <w:hideMark/>
          </w:tcPr>
          <w:p w:rsidRPr="00C5308E" w:rsidR="00844C2E" w:rsidP="00D87753" w:rsidRDefault="00844C2E" w14:paraId="18558FD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w:t>
            </w:r>
          </w:p>
        </w:tc>
      </w:tr>
      <w:tr w:rsidRPr="00C5308E" w:rsidR="00844C2E" w:rsidTr="003C75FE" w14:paraId="6EB66ABA"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44BF5783"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F Bouwnijverheid</w:t>
            </w:r>
          </w:p>
        </w:tc>
        <w:tc>
          <w:tcPr>
            <w:tcW w:w="1566" w:type="dxa"/>
            <w:noWrap/>
            <w:hideMark/>
          </w:tcPr>
          <w:p w:rsidRPr="00C5308E" w:rsidR="00844C2E" w:rsidP="00D87753" w:rsidRDefault="00844C2E" w14:paraId="7B8D16F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132</w:t>
            </w:r>
          </w:p>
        </w:tc>
      </w:tr>
      <w:tr w:rsidRPr="00C5308E" w:rsidR="00844C2E" w:rsidTr="003C75FE" w14:paraId="33F90DD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6729448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G Handel</w:t>
            </w:r>
          </w:p>
        </w:tc>
        <w:tc>
          <w:tcPr>
            <w:tcW w:w="1566" w:type="dxa"/>
            <w:noWrap/>
            <w:hideMark/>
          </w:tcPr>
          <w:p w:rsidRPr="00C5308E" w:rsidR="00844C2E" w:rsidP="00D87753" w:rsidRDefault="00844C2E" w14:paraId="3537AD1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95</w:t>
            </w:r>
          </w:p>
        </w:tc>
      </w:tr>
      <w:tr w:rsidRPr="00C5308E" w:rsidR="00844C2E" w:rsidTr="003C75FE" w14:paraId="37E3CB51"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74950F4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H Vervoer en opslag</w:t>
            </w:r>
          </w:p>
        </w:tc>
        <w:tc>
          <w:tcPr>
            <w:tcW w:w="1566" w:type="dxa"/>
            <w:noWrap/>
            <w:hideMark/>
          </w:tcPr>
          <w:p w:rsidRPr="00C5308E" w:rsidR="00844C2E" w:rsidP="00D87753" w:rsidRDefault="00844C2E" w14:paraId="157801A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44</w:t>
            </w:r>
          </w:p>
        </w:tc>
      </w:tr>
      <w:tr w:rsidRPr="00C5308E" w:rsidR="00844C2E" w:rsidTr="003C75FE" w14:paraId="65888A1F"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38FBBAFE"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 Horeca</w:t>
            </w:r>
          </w:p>
        </w:tc>
        <w:tc>
          <w:tcPr>
            <w:tcW w:w="1566" w:type="dxa"/>
            <w:noWrap/>
            <w:hideMark/>
          </w:tcPr>
          <w:p w:rsidRPr="00C5308E" w:rsidR="00844C2E" w:rsidP="00D87753" w:rsidRDefault="00844C2E" w14:paraId="2C41709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33</w:t>
            </w:r>
          </w:p>
        </w:tc>
      </w:tr>
      <w:tr w:rsidRPr="00C5308E" w:rsidR="00844C2E" w:rsidTr="003C75FE" w14:paraId="6818BE8C"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4227B57B"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J Informatie en communicatie</w:t>
            </w:r>
          </w:p>
        </w:tc>
        <w:tc>
          <w:tcPr>
            <w:tcW w:w="1566" w:type="dxa"/>
            <w:noWrap/>
            <w:hideMark/>
          </w:tcPr>
          <w:p w:rsidRPr="00C5308E" w:rsidR="00844C2E" w:rsidP="00D87753" w:rsidRDefault="00844C2E" w14:paraId="086A10F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85</w:t>
            </w:r>
          </w:p>
        </w:tc>
      </w:tr>
      <w:tr w:rsidRPr="00C5308E" w:rsidR="00844C2E" w:rsidTr="003C75FE" w14:paraId="3CAE48A1"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1852E843"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K Financiële dienstverlening</w:t>
            </w:r>
          </w:p>
        </w:tc>
        <w:tc>
          <w:tcPr>
            <w:tcW w:w="1566" w:type="dxa"/>
            <w:noWrap/>
            <w:hideMark/>
          </w:tcPr>
          <w:p w:rsidRPr="00C5308E" w:rsidR="00844C2E" w:rsidP="00D87753" w:rsidRDefault="00844C2E" w14:paraId="3FA51F4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21</w:t>
            </w:r>
          </w:p>
        </w:tc>
      </w:tr>
      <w:tr w:rsidRPr="00C5308E" w:rsidR="00844C2E" w:rsidTr="003C75FE" w14:paraId="03A32ECA"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05250DCD"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L Verhuur en handel van onroerend goed</w:t>
            </w:r>
          </w:p>
        </w:tc>
        <w:tc>
          <w:tcPr>
            <w:tcW w:w="1566" w:type="dxa"/>
            <w:noWrap/>
            <w:hideMark/>
          </w:tcPr>
          <w:p w:rsidRPr="00C5308E" w:rsidR="00844C2E" w:rsidP="00D87753" w:rsidRDefault="00844C2E" w14:paraId="798F259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11</w:t>
            </w:r>
          </w:p>
        </w:tc>
      </w:tr>
      <w:tr w:rsidRPr="00C5308E" w:rsidR="00844C2E" w:rsidTr="003C75FE" w14:paraId="7FDD3A4B"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2646AFC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M Specialistische zakelijke diensten</w:t>
            </w:r>
          </w:p>
        </w:tc>
        <w:tc>
          <w:tcPr>
            <w:tcW w:w="1566" w:type="dxa"/>
            <w:noWrap/>
            <w:hideMark/>
          </w:tcPr>
          <w:p w:rsidRPr="00C5308E" w:rsidR="00844C2E" w:rsidP="00D87753" w:rsidRDefault="00844C2E" w14:paraId="00D17E0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266</w:t>
            </w:r>
          </w:p>
        </w:tc>
      </w:tr>
      <w:tr w:rsidRPr="00C5308E" w:rsidR="00844C2E" w:rsidTr="003C75FE" w14:paraId="514335A3"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65124854"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N Verhuur en overige zakelijke diensten</w:t>
            </w:r>
          </w:p>
        </w:tc>
        <w:tc>
          <w:tcPr>
            <w:tcW w:w="1566" w:type="dxa"/>
            <w:noWrap/>
            <w:hideMark/>
          </w:tcPr>
          <w:p w:rsidRPr="00C5308E" w:rsidR="00844C2E" w:rsidP="00D87753" w:rsidRDefault="00844C2E" w14:paraId="096DB84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67</w:t>
            </w:r>
          </w:p>
        </w:tc>
      </w:tr>
      <w:tr w:rsidRPr="00C5308E" w:rsidR="00844C2E" w:rsidTr="003C75FE" w14:paraId="33A0B12F"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1A6D90C0"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O Openbaar bestuur en overheidsdiensten</w:t>
            </w:r>
          </w:p>
        </w:tc>
        <w:tc>
          <w:tcPr>
            <w:tcW w:w="1566" w:type="dxa"/>
            <w:noWrap/>
            <w:hideMark/>
          </w:tcPr>
          <w:p w:rsidRPr="00C5308E" w:rsidR="00844C2E" w:rsidP="00D87753" w:rsidRDefault="00844C2E" w14:paraId="7856C3C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w:t>
            </w:r>
          </w:p>
        </w:tc>
      </w:tr>
      <w:tr w:rsidRPr="00C5308E" w:rsidR="00844C2E" w:rsidTr="003C75FE" w14:paraId="08CDED0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36BA2B78"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P Onderwijs</w:t>
            </w:r>
          </w:p>
        </w:tc>
        <w:tc>
          <w:tcPr>
            <w:tcW w:w="1566" w:type="dxa"/>
            <w:noWrap/>
            <w:hideMark/>
          </w:tcPr>
          <w:p w:rsidRPr="00C5308E" w:rsidR="00844C2E" w:rsidP="00D87753" w:rsidRDefault="00844C2E" w14:paraId="1F227AC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83</w:t>
            </w:r>
          </w:p>
        </w:tc>
      </w:tr>
      <w:tr w:rsidRPr="00C5308E" w:rsidR="00844C2E" w:rsidTr="003C75FE" w14:paraId="491588AF"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5F0A13BB"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Q Gezondheids- en welzijnszorg</w:t>
            </w:r>
          </w:p>
        </w:tc>
        <w:tc>
          <w:tcPr>
            <w:tcW w:w="1566" w:type="dxa"/>
            <w:noWrap/>
            <w:hideMark/>
          </w:tcPr>
          <w:p w:rsidRPr="00C5308E" w:rsidR="00844C2E" w:rsidP="00D87753" w:rsidRDefault="00844C2E" w14:paraId="20A3DB0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162</w:t>
            </w:r>
          </w:p>
        </w:tc>
      </w:tr>
      <w:tr w:rsidRPr="00C5308E" w:rsidR="00844C2E" w:rsidTr="003C75FE" w14:paraId="746665F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5A297AD0"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R Cultuur, sport en recreatie</w:t>
            </w:r>
          </w:p>
        </w:tc>
        <w:tc>
          <w:tcPr>
            <w:tcW w:w="1566" w:type="dxa"/>
            <w:noWrap/>
            <w:hideMark/>
          </w:tcPr>
          <w:p w:rsidRPr="00C5308E" w:rsidR="00844C2E" w:rsidP="00D87753" w:rsidRDefault="00844C2E" w14:paraId="0459643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85</w:t>
            </w:r>
          </w:p>
        </w:tc>
      </w:tr>
      <w:tr w:rsidRPr="00C5308E" w:rsidR="00844C2E" w:rsidTr="003C75FE" w14:paraId="553EF6E3"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1762F30D"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S Overige dienstverlening</w:t>
            </w:r>
          </w:p>
        </w:tc>
        <w:tc>
          <w:tcPr>
            <w:tcW w:w="1566" w:type="dxa"/>
            <w:noWrap/>
            <w:hideMark/>
          </w:tcPr>
          <w:p w:rsidRPr="00C5308E" w:rsidR="00844C2E" w:rsidP="00D87753" w:rsidRDefault="00844C2E" w14:paraId="4A12FB4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62</w:t>
            </w:r>
          </w:p>
        </w:tc>
      </w:tr>
      <w:tr w:rsidRPr="00C5308E" w:rsidR="00844C2E" w:rsidTr="003C75FE" w14:paraId="1D35A3B5"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6B92345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T Huishoudens</w:t>
            </w:r>
          </w:p>
        </w:tc>
        <w:tc>
          <w:tcPr>
            <w:tcW w:w="1566" w:type="dxa"/>
            <w:noWrap/>
            <w:hideMark/>
          </w:tcPr>
          <w:p w:rsidRPr="00C5308E" w:rsidR="00844C2E" w:rsidP="00D87753" w:rsidRDefault="00844C2E" w14:paraId="62EF9BB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w:t>
            </w:r>
          </w:p>
        </w:tc>
      </w:tr>
      <w:tr w:rsidRPr="00C5308E" w:rsidR="00844C2E" w:rsidTr="003C75FE" w14:paraId="28B35D2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2DD623A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U Extraterritoriale organisaties</w:t>
            </w:r>
          </w:p>
        </w:tc>
        <w:tc>
          <w:tcPr>
            <w:tcW w:w="1566" w:type="dxa"/>
            <w:noWrap/>
            <w:hideMark/>
          </w:tcPr>
          <w:p w:rsidRPr="00C5308E" w:rsidR="00844C2E" w:rsidP="00D87753" w:rsidRDefault="00844C2E" w14:paraId="0B21BF4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0</w:t>
            </w:r>
          </w:p>
        </w:tc>
      </w:tr>
      <w:tr w:rsidRPr="00C5308E" w:rsidR="00844C2E" w:rsidTr="003C75FE" w14:paraId="4A8B5AE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C5308E" w:rsidR="00844C2E" w:rsidP="00D87753" w:rsidRDefault="00844C2E" w14:paraId="0408BB7F"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SBI-code onbekend</w:t>
            </w:r>
          </w:p>
        </w:tc>
        <w:tc>
          <w:tcPr>
            <w:tcW w:w="1566" w:type="dxa"/>
            <w:noWrap/>
            <w:hideMark/>
          </w:tcPr>
          <w:p w:rsidRPr="00C5308E" w:rsidR="00844C2E" w:rsidP="00D87753" w:rsidRDefault="00844C2E" w14:paraId="5E0D97F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13</w:t>
            </w:r>
          </w:p>
        </w:tc>
      </w:tr>
    </w:tbl>
    <w:p w:rsidRPr="00C5308E" w:rsidR="00844C2E" w:rsidP="00D87753" w:rsidRDefault="00844C2E" w14:paraId="5F2B6C5E" w14:textId="77777777">
      <w:pPr>
        <w:spacing w:after="0" w:line="240" w:lineRule="auto"/>
        <w:contextualSpacing/>
        <w:rPr>
          <w:rFonts w:ascii="Verdana" w:hAnsi="Verdana"/>
          <w:bCs/>
          <w:sz w:val="16"/>
          <w:szCs w:val="16"/>
        </w:rPr>
      </w:pPr>
      <w:r w:rsidRPr="00C5308E">
        <w:rPr>
          <w:rFonts w:ascii="Verdana" w:hAnsi="Verdana"/>
          <w:bCs/>
          <w:sz w:val="16"/>
          <w:szCs w:val="16"/>
        </w:rPr>
        <w:t xml:space="preserve">Bron: CBS Statline: Werkzame beroepsbevolking; bedrijf. Geraadpleegd op 24-05-2025. </w:t>
      </w:r>
    </w:p>
    <w:p w:rsidRPr="00C5308E" w:rsidR="00844C2E" w:rsidP="00D87753" w:rsidRDefault="00844C2E" w14:paraId="1FE9362E" w14:textId="77777777">
      <w:pPr>
        <w:spacing w:after="0" w:line="240" w:lineRule="auto"/>
        <w:contextualSpacing/>
        <w:rPr>
          <w:rFonts w:ascii="Verdana" w:hAnsi="Verdana"/>
          <w:bCs/>
          <w:sz w:val="16"/>
          <w:szCs w:val="16"/>
        </w:rPr>
      </w:pPr>
      <w:r w:rsidRPr="00C5308E">
        <w:rPr>
          <w:rFonts w:ascii="Verdana" w:hAnsi="Verdana"/>
          <w:bCs/>
          <w:sz w:val="16"/>
          <w:szCs w:val="16"/>
        </w:rPr>
        <w:t>*</w:t>
      </w:r>
      <w:r w:rsidRPr="00C5308E">
        <w:rPr>
          <w:rFonts w:ascii="Verdana" w:hAnsi="Verdana" w:eastAsia="Times New Roman" w:cs="Arial"/>
          <w:bCs/>
          <w:color w:val="333333"/>
          <w:sz w:val="16"/>
          <w:szCs w:val="16"/>
          <w:lang w:eastAsia="nl-NL"/>
        </w:rPr>
        <w:t xml:space="preserve"> </w:t>
      </w:r>
      <w:r w:rsidRPr="00C5308E">
        <w:rPr>
          <w:rFonts w:ascii="Verdana" w:hAnsi="Verdana"/>
          <w:bCs/>
          <w:sz w:val="16"/>
          <w:szCs w:val="16"/>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 Als een persoon meer dan één baan of werkkring heeft, dan wordt uitgegaan van de baan of werkkring waaraan de meeste tijd wordt besteed.</w:t>
      </w:r>
    </w:p>
    <w:p w:rsidR="00844C2E" w:rsidP="00D87753" w:rsidRDefault="00844C2E" w14:paraId="50D048FE" w14:textId="77777777">
      <w:pPr>
        <w:spacing w:after="0" w:line="240" w:lineRule="auto"/>
        <w:contextualSpacing/>
        <w:rPr>
          <w:rFonts w:ascii="Verdana" w:hAnsi="Verdana"/>
          <w:bCs/>
          <w:sz w:val="18"/>
          <w:szCs w:val="18"/>
        </w:rPr>
      </w:pPr>
    </w:p>
    <w:p w:rsidR="003C0271" w:rsidP="00D87753" w:rsidRDefault="003C0271" w14:paraId="11972011" w14:textId="77777777">
      <w:pPr>
        <w:spacing w:after="0" w:line="240" w:lineRule="auto"/>
        <w:contextualSpacing/>
        <w:rPr>
          <w:rFonts w:ascii="Verdana" w:hAnsi="Verdana"/>
          <w:bCs/>
          <w:sz w:val="18"/>
          <w:szCs w:val="18"/>
        </w:rPr>
      </w:pPr>
    </w:p>
    <w:p w:rsidR="003C0271" w:rsidP="00D87753" w:rsidRDefault="003C0271" w14:paraId="75185DEC" w14:textId="77777777">
      <w:pPr>
        <w:spacing w:after="0" w:line="240" w:lineRule="auto"/>
        <w:contextualSpacing/>
        <w:rPr>
          <w:rFonts w:ascii="Verdana" w:hAnsi="Verdana"/>
          <w:bCs/>
          <w:sz w:val="18"/>
          <w:szCs w:val="18"/>
        </w:rPr>
      </w:pPr>
    </w:p>
    <w:p w:rsidRPr="00C5308E" w:rsidR="003C0271" w:rsidP="00D87753" w:rsidRDefault="003C0271" w14:paraId="7A298D9F" w14:textId="77777777">
      <w:pPr>
        <w:spacing w:after="0" w:line="240" w:lineRule="auto"/>
        <w:contextualSpacing/>
        <w:rPr>
          <w:rFonts w:ascii="Verdana" w:hAnsi="Verdana"/>
          <w:bCs/>
          <w:sz w:val="18"/>
          <w:szCs w:val="18"/>
        </w:rPr>
      </w:pPr>
    </w:p>
    <w:p w:rsidRPr="00C5308E" w:rsidR="003A3DFD" w:rsidP="00D87753" w:rsidRDefault="003A3DFD" w14:paraId="5B09B3A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24</w:t>
      </w:r>
    </w:p>
    <w:p w:rsidRPr="00C5308E" w:rsidR="003A3DFD" w:rsidP="00D87753" w:rsidRDefault="003A3DFD" w14:paraId="1E3CE455" w14:textId="77777777">
      <w:pPr>
        <w:spacing w:after="0" w:line="240" w:lineRule="auto"/>
        <w:contextualSpacing/>
        <w:rPr>
          <w:rFonts w:ascii="Verdana" w:hAnsi="Verdana"/>
          <w:bCs/>
          <w:sz w:val="18"/>
          <w:szCs w:val="18"/>
        </w:rPr>
      </w:pPr>
      <w:r w:rsidRPr="00C5308E">
        <w:rPr>
          <w:rFonts w:ascii="Verdana" w:hAnsi="Verdana"/>
          <w:bCs/>
          <w:sz w:val="18"/>
          <w:szCs w:val="18"/>
        </w:rPr>
        <w:t>Hoeveel zzp’ers werken uitsluitend met eigen arbeid voor zakelijke opdrachtgevers?</w:t>
      </w:r>
    </w:p>
    <w:p w:rsidRPr="00C5308E" w:rsidR="003A3DFD" w:rsidP="00D87753" w:rsidRDefault="003A3DFD" w14:paraId="2110573D" w14:textId="77777777">
      <w:pPr>
        <w:spacing w:after="0" w:line="240" w:lineRule="auto"/>
        <w:contextualSpacing/>
        <w:rPr>
          <w:rFonts w:ascii="Verdana" w:hAnsi="Verdana"/>
          <w:bCs/>
          <w:sz w:val="18"/>
          <w:szCs w:val="18"/>
        </w:rPr>
      </w:pPr>
    </w:p>
    <w:p w:rsidRPr="00C5308E" w:rsidR="003A3DFD" w:rsidP="00D87753" w:rsidRDefault="003A3DFD" w14:paraId="0AEF882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24</w:t>
      </w:r>
    </w:p>
    <w:p w:rsidRPr="00C5308E" w:rsidR="003A3DFD" w:rsidP="00D87753" w:rsidRDefault="003A3DFD" w14:paraId="2246A3C6" w14:textId="77777777">
      <w:pPr>
        <w:spacing w:after="0" w:line="240" w:lineRule="auto"/>
        <w:contextualSpacing/>
        <w:rPr>
          <w:rFonts w:ascii="Verdana" w:hAnsi="Verdana"/>
          <w:bCs/>
          <w:sz w:val="18"/>
          <w:szCs w:val="18"/>
        </w:rPr>
      </w:pPr>
      <w:r w:rsidRPr="00C5308E">
        <w:rPr>
          <w:rFonts w:ascii="Verdana" w:hAnsi="Verdana"/>
          <w:bCs/>
          <w:sz w:val="18"/>
          <w:szCs w:val="18"/>
        </w:rPr>
        <w:t>We weten alleen hoeveel zzp’ers uitsluitend met eigen arbeid werken, en hoeveel zzp’ers uitsluitend voor zakelijke opdrachtgevers werken. Dit zijn aparte bronnen; gecombineerde gegevens zijn niet beschikbaar.</w:t>
      </w:r>
    </w:p>
    <w:p w:rsidRPr="00C5308E" w:rsidR="003A3DFD" w:rsidP="00D87753" w:rsidRDefault="003A3DFD" w14:paraId="0B059C7A" w14:textId="77777777">
      <w:pPr>
        <w:spacing w:after="0" w:line="240" w:lineRule="auto"/>
        <w:contextualSpacing/>
        <w:rPr>
          <w:rFonts w:ascii="Verdana" w:hAnsi="Verdana"/>
          <w:bCs/>
          <w:sz w:val="18"/>
          <w:szCs w:val="18"/>
        </w:rPr>
      </w:pPr>
    </w:p>
    <w:p w:rsidRPr="00C5308E" w:rsidR="003A3DFD" w:rsidP="00D87753" w:rsidRDefault="003A3DFD" w14:paraId="7150BAFA" w14:textId="4F4B05F6">
      <w:pPr>
        <w:spacing w:after="0" w:line="240" w:lineRule="auto"/>
        <w:contextualSpacing/>
        <w:rPr>
          <w:rFonts w:ascii="Verdana" w:hAnsi="Verdana"/>
          <w:bCs/>
          <w:sz w:val="18"/>
          <w:szCs w:val="18"/>
        </w:rPr>
      </w:pPr>
      <w:r w:rsidRPr="00C5308E">
        <w:rPr>
          <w:rFonts w:ascii="Verdana" w:hAnsi="Verdana"/>
          <w:bCs/>
          <w:sz w:val="18"/>
          <w:szCs w:val="18"/>
        </w:rPr>
        <w:t>Het aantal zzp’ers</w:t>
      </w:r>
      <w:r w:rsidRPr="00C5308E" w:rsidR="0031642E">
        <w:rPr>
          <w:rStyle w:val="Voetnootmarkering"/>
          <w:rFonts w:ascii="Verdana" w:hAnsi="Verdana"/>
          <w:bCs/>
          <w:sz w:val="18"/>
          <w:szCs w:val="18"/>
        </w:rPr>
        <w:footnoteReference w:id="2"/>
      </w:r>
      <w:r w:rsidRPr="00C5308E">
        <w:rPr>
          <w:rFonts w:ascii="Verdana" w:hAnsi="Verdana"/>
          <w:bCs/>
          <w:sz w:val="18"/>
          <w:szCs w:val="18"/>
        </w:rPr>
        <w:t xml:space="preserve"> dat met eigen arbeid werkt was in 2024 1.079.000. </w:t>
      </w:r>
    </w:p>
    <w:p w:rsidRPr="00C5308E" w:rsidR="003A3DFD" w:rsidP="00D87753" w:rsidRDefault="003A3DFD" w14:paraId="4121EDAD" w14:textId="77777777">
      <w:pPr>
        <w:spacing w:after="0" w:line="240" w:lineRule="auto"/>
        <w:contextualSpacing/>
        <w:rPr>
          <w:rFonts w:ascii="Verdana" w:hAnsi="Verdana"/>
          <w:bCs/>
          <w:sz w:val="18"/>
          <w:szCs w:val="18"/>
        </w:rPr>
      </w:pPr>
    </w:p>
    <w:p w:rsidRPr="00C5308E" w:rsidR="003A3DFD" w:rsidP="00D87753" w:rsidRDefault="003A3DFD" w14:paraId="4DA7CC34" w14:textId="05CA8603">
      <w:pPr>
        <w:spacing w:after="0" w:line="240" w:lineRule="auto"/>
        <w:contextualSpacing/>
        <w:rPr>
          <w:rFonts w:ascii="Verdana" w:hAnsi="Verdana"/>
          <w:bCs/>
          <w:sz w:val="18"/>
          <w:szCs w:val="18"/>
        </w:rPr>
      </w:pPr>
      <w:r w:rsidRPr="00C5308E">
        <w:rPr>
          <w:rFonts w:ascii="Verdana" w:hAnsi="Verdana"/>
          <w:bCs/>
          <w:sz w:val="18"/>
          <w:szCs w:val="18"/>
        </w:rPr>
        <w:t>Uit de Zelfstandige Enquête Arbeid van 2023 werd aan zelfstandigen gevraagd of hun opdrachtgevers en/of klanten vooral bedrijven/organisaties of particulieren zijn. Hieruit bleek dat 48,8% vooral voor bedrijven/organisaties werkt, 34,5% vooral voor particulieren en 16,7% voor beide evenveel.</w:t>
      </w:r>
      <w:r w:rsidR="0096314B">
        <w:rPr>
          <w:rStyle w:val="Voetnootmarkering"/>
          <w:rFonts w:ascii="Verdana" w:hAnsi="Verdana"/>
          <w:bCs/>
          <w:sz w:val="18"/>
          <w:szCs w:val="18"/>
        </w:rPr>
        <w:footnoteReference w:id="3"/>
      </w:r>
      <w:r w:rsidRPr="00C5308E">
        <w:rPr>
          <w:rFonts w:ascii="Verdana" w:hAnsi="Verdana"/>
          <w:bCs/>
          <w:sz w:val="18"/>
          <w:szCs w:val="18"/>
        </w:rPr>
        <w:t xml:space="preserve"> </w:t>
      </w:r>
    </w:p>
    <w:p w:rsidR="0096314B" w:rsidP="00D87753" w:rsidRDefault="0096314B" w14:paraId="0CAEAE88" w14:textId="77777777">
      <w:pPr>
        <w:spacing w:after="0" w:line="240" w:lineRule="auto"/>
        <w:contextualSpacing/>
        <w:rPr>
          <w:rFonts w:ascii="Verdana" w:hAnsi="Verdana"/>
          <w:bCs/>
          <w:sz w:val="18"/>
          <w:szCs w:val="18"/>
          <w:u w:val="single"/>
        </w:rPr>
      </w:pPr>
    </w:p>
    <w:p w:rsidRPr="00C5308E" w:rsidR="003A3DFD" w:rsidP="00D87753" w:rsidRDefault="003A3DFD" w14:paraId="14529CB8" w14:textId="322D3DF5">
      <w:pPr>
        <w:spacing w:after="0" w:line="240" w:lineRule="auto"/>
        <w:contextualSpacing/>
        <w:rPr>
          <w:rFonts w:ascii="Verdana" w:hAnsi="Verdana"/>
          <w:bCs/>
          <w:sz w:val="18"/>
          <w:szCs w:val="18"/>
          <w:u w:val="single"/>
        </w:rPr>
      </w:pPr>
      <w:r w:rsidRPr="00C5308E">
        <w:rPr>
          <w:rFonts w:ascii="Verdana" w:hAnsi="Verdana"/>
          <w:bCs/>
          <w:sz w:val="18"/>
          <w:szCs w:val="18"/>
          <w:u w:val="single"/>
        </w:rPr>
        <w:t>Vraag 25</w:t>
      </w:r>
    </w:p>
    <w:p w:rsidRPr="00C5308E" w:rsidR="003A3DFD" w:rsidP="00D87753" w:rsidRDefault="003A3DFD" w14:paraId="4052F0BF" w14:textId="77777777">
      <w:pPr>
        <w:spacing w:after="0" w:line="240" w:lineRule="auto"/>
        <w:contextualSpacing/>
        <w:rPr>
          <w:rFonts w:ascii="Verdana" w:hAnsi="Verdana"/>
          <w:bCs/>
          <w:sz w:val="18"/>
          <w:szCs w:val="18"/>
        </w:rPr>
      </w:pPr>
      <w:r w:rsidRPr="00C5308E">
        <w:rPr>
          <w:rFonts w:ascii="Verdana" w:hAnsi="Verdana"/>
          <w:bCs/>
          <w:sz w:val="18"/>
          <w:szCs w:val="18"/>
        </w:rPr>
        <w:t>Wat is de ontwikkeling geweest van het aantal zzp’ers in de afgelopen 10, 20 en 30 jaar?</w:t>
      </w:r>
    </w:p>
    <w:p w:rsidRPr="00C5308E" w:rsidR="003A3DFD" w:rsidP="00D87753" w:rsidRDefault="003A3DFD" w14:paraId="48EAA82D" w14:textId="77777777">
      <w:pPr>
        <w:spacing w:after="0" w:line="240" w:lineRule="auto"/>
        <w:contextualSpacing/>
        <w:rPr>
          <w:rFonts w:ascii="Verdana" w:hAnsi="Verdana"/>
          <w:bCs/>
          <w:sz w:val="18"/>
          <w:szCs w:val="18"/>
        </w:rPr>
      </w:pPr>
    </w:p>
    <w:p w:rsidRPr="00C5308E" w:rsidR="003A3DFD" w:rsidP="00D87753" w:rsidRDefault="003A3DFD" w14:paraId="6D42A98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25</w:t>
      </w:r>
    </w:p>
    <w:p w:rsidRPr="00C5308E" w:rsidR="003A3DFD" w:rsidP="00D87753" w:rsidRDefault="003A3DFD" w14:paraId="316F72F2" w14:textId="353606E3">
      <w:pPr>
        <w:spacing w:after="0" w:line="240" w:lineRule="auto"/>
        <w:contextualSpacing/>
        <w:rPr>
          <w:rFonts w:ascii="Verdana" w:hAnsi="Verdana"/>
          <w:bCs/>
          <w:sz w:val="18"/>
          <w:szCs w:val="18"/>
        </w:rPr>
      </w:pPr>
      <w:r w:rsidRPr="00C5308E">
        <w:rPr>
          <w:rFonts w:ascii="Verdana" w:hAnsi="Verdana"/>
          <w:bCs/>
          <w:sz w:val="18"/>
          <w:szCs w:val="18"/>
        </w:rPr>
        <w:t xml:space="preserve">De onderstaande grafiek toont de ontwikkeling van het aantal zelfstandigen van 1995-2024. Daaruit blijkt dat het aantal zelfstandigen sinds 2003 is toegenomen. In die periode is de beroepsbevolking, namelijk het aantal mensen in Nederland dat betaald werk verricht of actief op zoek is naar werk en daarvoor direct beschikbaar is, ook toegenomen. Het aantal zzp’ers is in die periode echter sneller gestegen dan de gehele beroepsbevolking. Op dit moment werkt namelijk ongeveer 13% van de beroepsbevolking als zzp’er, in 2003 bedroeg dit nog 8%. </w:t>
      </w:r>
    </w:p>
    <w:p w:rsidRPr="00C5308E" w:rsidR="003A3DFD" w:rsidP="00D87753" w:rsidRDefault="003A3DFD" w14:paraId="1B9976F9" w14:textId="77777777">
      <w:pPr>
        <w:spacing w:after="0" w:line="240" w:lineRule="auto"/>
        <w:contextualSpacing/>
        <w:rPr>
          <w:rFonts w:ascii="Verdana" w:hAnsi="Verdana"/>
          <w:bCs/>
          <w:sz w:val="18"/>
          <w:szCs w:val="18"/>
          <w:u w:val="single"/>
        </w:rPr>
      </w:pPr>
    </w:p>
    <w:p w:rsidRPr="00C5308E" w:rsidR="003A3DFD" w:rsidP="00D87753" w:rsidRDefault="003A3DFD" w14:paraId="6975E5C0" w14:textId="77777777">
      <w:pPr>
        <w:spacing w:after="0" w:line="240" w:lineRule="auto"/>
        <w:contextualSpacing/>
        <w:rPr>
          <w:rFonts w:ascii="Verdana" w:hAnsi="Verdana"/>
          <w:bCs/>
          <w:sz w:val="18"/>
          <w:szCs w:val="18"/>
          <w:u w:val="single"/>
        </w:rPr>
      </w:pPr>
      <w:r w:rsidRPr="00C5308E">
        <w:rPr>
          <w:rFonts w:ascii="Verdana" w:hAnsi="Verdana"/>
          <w:bCs/>
          <w:noProof/>
          <w:sz w:val="18"/>
          <w:szCs w:val="18"/>
        </w:rPr>
        <w:drawing>
          <wp:inline distT="0" distB="0" distL="0" distR="0" wp14:anchorId="16E3D3A4" wp14:editId="3D3AF77F">
            <wp:extent cx="4572000" cy="2743200"/>
            <wp:effectExtent l="0" t="0" r="0" b="0"/>
            <wp:docPr id="734012430" name="Grafiek 1">
              <a:extLst xmlns:a="http://schemas.openxmlformats.org/drawingml/2006/main">
                <a:ext uri="{FF2B5EF4-FFF2-40B4-BE49-F238E27FC236}">
                  <a16:creationId xmlns:a16="http://schemas.microsoft.com/office/drawing/2014/main" id="{A2400396-82F8-4FBF-1235-762AA3BEF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C5308E" w:rsidR="003A3DFD" w:rsidP="00D87753" w:rsidRDefault="003A3DFD" w14:paraId="6AFBF8E6" w14:textId="77777777">
      <w:pPr>
        <w:spacing w:after="0" w:line="240" w:lineRule="auto"/>
        <w:contextualSpacing/>
        <w:rPr>
          <w:rFonts w:ascii="Verdana" w:hAnsi="Verdana"/>
          <w:bCs/>
          <w:sz w:val="16"/>
          <w:szCs w:val="16"/>
        </w:rPr>
      </w:pPr>
      <w:r w:rsidRPr="00C5308E">
        <w:rPr>
          <w:rFonts w:ascii="Verdana" w:hAnsi="Verdana"/>
          <w:bCs/>
          <w:sz w:val="16"/>
          <w:szCs w:val="16"/>
        </w:rPr>
        <w:t>Bron: CPB: Raming februari 2025 (CEP 2025); verzamelde bijlagen met lange reeksen t/m 2029 (MLT).</w:t>
      </w:r>
    </w:p>
    <w:p w:rsidRPr="00C5308E" w:rsidR="003A3DFD" w:rsidP="00D87753" w:rsidRDefault="003A3DFD" w14:paraId="122E579D" w14:textId="77777777">
      <w:pPr>
        <w:spacing w:after="0" w:line="240" w:lineRule="auto"/>
        <w:contextualSpacing/>
        <w:rPr>
          <w:rFonts w:ascii="Verdana" w:hAnsi="Verdana"/>
          <w:bCs/>
          <w:sz w:val="16"/>
          <w:szCs w:val="16"/>
        </w:rPr>
      </w:pPr>
      <w:r w:rsidRPr="00C5308E">
        <w:rPr>
          <w:rFonts w:ascii="Verdana" w:hAnsi="Verdana"/>
          <w:bCs/>
          <w:sz w:val="16"/>
          <w:szCs w:val="16"/>
        </w:rPr>
        <w:t>Bron: CBS: Statline: Werkzame beroepsbevolking; beroep, 2003-2022</w:t>
      </w:r>
    </w:p>
    <w:p w:rsidRPr="00C5308E" w:rsidR="003A3DFD" w:rsidP="00D87753" w:rsidRDefault="003A3DFD" w14:paraId="1AFDC3F0" w14:textId="77777777">
      <w:pPr>
        <w:spacing w:after="0" w:line="240" w:lineRule="auto"/>
        <w:contextualSpacing/>
        <w:rPr>
          <w:rFonts w:ascii="Verdana" w:hAnsi="Verdana"/>
          <w:bCs/>
          <w:sz w:val="18"/>
          <w:szCs w:val="18"/>
        </w:rPr>
      </w:pPr>
    </w:p>
    <w:p w:rsidRPr="00C5308E" w:rsidR="003A3DFD" w:rsidP="00D87753" w:rsidRDefault="003A3DFD" w14:paraId="71E0A74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26</w:t>
      </w:r>
    </w:p>
    <w:p w:rsidRPr="00C5308E" w:rsidR="003A3DFD" w:rsidP="00D87753" w:rsidRDefault="003A3DFD" w14:paraId="527DCD98" w14:textId="3B707BBD">
      <w:pPr>
        <w:spacing w:after="0" w:line="240" w:lineRule="auto"/>
        <w:contextualSpacing/>
        <w:rPr>
          <w:rFonts w:ascii="Verdana" w:hAnsi="Verdana"/>
          <w:bCs/>
          <w:sz w:val="18"/>
          <w:szCs w:val="18"/>
        </w:rPr>
      </w:pPr>
      <w:r w:rsidRPr="00C5308E">
        <w:rPr>
          <w:rFonts w:ascii="Verdana" w:hAnsi="Verdana"/>
          <w:bCs/>
          <w:sz w:val="18"/>
          <w:szCs w:val="18"/>
        </w:rPr>
        <w:t xml:space="preserve">Hoeveel startende zzp’ers zijn er jaarlijks, en hoeveel daarvan </w:t>
      </w:r>
      <w:r w:rsidRPr="00C5308E" w:rsidR="0031642E">
        <w:rPr>
          <w:rFonts w:ascii="Verdana" w:hAnsi="Verdana"/>
          <w:bCs/>
          <w:sz w:val="18"/>
          <w:szCs w:val="18"/>
        </w:rPr>
        <w:t>beëindigen</w:t>
      </w:r>
      <w:r w:rsidRPr="00C5308E">
        <w:rPr>
          <w:rFonts w:ascii="Verdana" w:hAnsi="Verdana"/>
          <w:bCs/>
          <w:sz w:val="18"/>
          <w:szCs w:val="18"/>
        </w:rPr>
        <w:t xml:space="preserve"> binnen 1, 2 en 5 jaar hun ondernemerschap?</w:t>
      </w:r>
    </w:p>
    <w:p w:rsidRPr="00C5308E" w:rsidR="003A3DFD" w:rsidP="00D87753" w:rsidRDefault="003A3DFD" w14:paraId="3F451DA8" w14:textId="77777777">
      <w:pPr>
        <w:spacing w:after="0" w:line="240" w:lineRule="auto"/>
        <w:contextualSpacing/>
        <w:rPr>
          <w:rFonts w:ascii="Verdana" w:hAnsi="Verdana"/>
          <w:bCs/>
          <w:sz w:val="18"/>
          <w:szCs w:val="18"/>
        </w:rPr>
      </w:pPr>
    </w:p>
    <w:p w:rsidRPr="00C5308E" w:rsidR="003A3DFD" w:rsidP="00D87753" w:rsidRDefault="003A3DFD" w14:paraId="598F7CE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26</w:t>
      </w:r>
    </w:p>
    <w:p w:rsidRPr="00C5308E" w:rsidR="003A3DFD" w:rsidP="00D87753" w:rsidRDefault="003A3DFD" w14:paraId="70B7F066" w14:textId="63A0E33F">
      <w:pPr>
        <w:spacing w:after="0" w:line="240" w:lineRule="auto"/>
        <w:contextualSpacing/>
        <w:rPr>
          <w:rFonts w:ascii="Verdana" w:hAnsi="Verdana"/>
          <w:bCs/>
          <w:sz w:val="18"/>
          <w:szCs w:val="18"/>
        </w:rPr>
      </w:pPr>
      <w:r w:rsidRPr="00C5308E">
        <w:rPr>
          <w:rFonts w:ascii="Verdana" w:hAnsi="Verdana"/>
          <w:bCs/>
          <w:sz w:val="18"/>
          <w:szCs w:val="18"/>
        </w:rPr>
        <w:lastRenderedPageBreak/>
        <w:t>Uit cijfers van het CBS blijkt dat het aantal startende zzp’ers</w:t>
      </w:r>
      <w:r w:rsidRPr="00C5308E" w:rsidR="007D71BC">
        <w:rPr>
          <w:rStyle w:val="Voetnootmarkering"/>
          <w:rFonts w:ascii="Verdana" w:hAnsi="Verdana"/>
          <w:bCs/>
          <w:sz w:val="18"/>
          <w:szCs w:val="18"/>
        </w:rPr>
        <w:footnoteReference w:id="4"/>
      </w:r>
      <w:r w:rsidRPr="00C5308E">
        <w:rPr>
          <w:rFonts w:ascii="Verdana" w:hAnsi="Verdana"/>
          <w:bCs/>
          <w:sz w:val="18"/>
          <w:szCs w:val="18"/>
        </w:rPr>
        <w:t xml:space="preserve"> in het afgelopen decenni</w:t>
      </w:r>
      <w:r w:rsidRPr="00C5308E" w:rsidR="009E3782">
        <w:rPr>
          <w:rFonts w:ascii="Verdana" w:hAnsi="Verdana"/>
          <w:bCs/>
          <w:sz w:val="18"/>
          <w:szCs w:val="18"/>
        </w:rPr>
        <w:t>um</w:t>
      </w:r>
      <w:r w:rsidRPr="00C5308E">
        <w:rPr>
          <w:rFonts w:ascii="Verdana" w:hAnsi="Verdana"/>
          <w:bCs/>
          <w:sz w:val="18"/>
          <w:szCs w:val="18"/>
        </w:rPr>
        <w:t xml:space="preserve"> gestegen is van 189.700 in 2012 naar 318.200 in 2022. </w:t>
      </w:r>
    </w:p>
    <w:p w:rsidRPr="00C5308E" w:rsidR="003A3DFD" w:rsidP="00D87753" w:rsidRDefault="003A3DFD" w14:paraId="5B8E7FA0" w14:textId="77777777">
      <w:pPr>
        <w:spacing w:after="0" w:line="240" w:lineRule="auto"/>
        <w:contextualSpacing/>
        <w:rPr>
          <w:rFonts w:ascii="Verdana" w:hAnsi="Verdana"/>
          <w:bCs/>
          <w:sz w:val="18"/>
          <w:szCs w:val="18"/>
        </w:rPr>
      </w:pPr>
    </w:p>
    <w:p w:rsidRPr="00C5308E" w:rsidR="003A3DFD" w:rsidP="00D87753" w:rsidRDefault="003A3DFD" w14:paraId="04C2FFA9" w14:textId="3FC8B291">
      <w:pPr>
        <w:spacing w:after="0" w:line="240" w:lineRule="auto"/>
        <w:contextualSpacing/>
        <w:rPr>
          <w:rFonts w:ascii="Verdana" w:hAnsi="Verdana"/>
          <w:bCs/>
          <w:sz w:val="18"/>
          <w:szCs w:val="18"/>
        </w:rPr>
      </w:pPr>
      <w:r w:rsidRPr="00C5308E">
        <w:rPr>
          <w:rFonts w:ascii="Verdana" w:hAnsi="Verdana"/>
          <w:bCs/>
          <w:sz w:val="18"/>
          <w:szCs w:val="18"/>
        </w:rPr>
        <w:t xml:space="preserve">2017 is het meest recente startjaar waarvan al bekend is hoeveel van deze startende zzp’ers na vijf jaar nog steeds zzp’er zijn. De onderstaande tabel bevat het aantal startende zzp’ers in 2017 dat na één tot vijf jaar nog zzp’er is. In het peiljaar 2017 zijn er 219.500 zzp’ers gestart. Na één jaar is bijna 30% van hen gestopt. Een jaar later, twee jaar na de start van het ondernemerschap dus, stopt nog eens ongeveer 10% van de zzp’ers. Ongeveer de helft </w:t>
      </w:r>
      <w:r w:rsidRPr="00C5308E" w:rsidR="009E3782">
        <w:rPr>
          <w:rFonts w:ascii="Verdana" w:hAnsi="Verdana"/>
          <w:bCs/>
          <w:sz w:val="18"/>
          <w:szCs w:val="18"/>
        </w:rPr>
        <w:t xml:space="preserve">van </w:t>
      </w:r>
      <w:r w:rsidRPr="00C5308E">
        <w:rPr>
          <w:rFonts w:ascii="Verdana" w:hAnsi="Verdana"/>
          <w:bCs/>
          <w:sz w:val="18"/>
          <w:szCs w:val="18"/>
        </w:rPr>
        <w:t xml:space="preserve">de startende zzp’ers in 2017 is na vijf jaar nog steeds zzp’er. </w:t>
      </w:r>
    </w:p>
    <w:p w:rsidRPr="00C5308E" w:rsidR="003A3DFD" w:rsidP="00D87753" w:rsidRDefault="003A3DFD" w14:paraId="47D6A466" w14:textId="77777777">
      <w:pPr>
        <w:spacing w:after="0" w:line="240" w:lineRule="auto"/>
        <w:contextualSpacing/>
        <w:rPr>
          <w:rFonts w:ascii="Verdana" w:hAnsi="Verdana"/>
          <w:bCs/>
          <w:sz w:val="18"/>
          <w:szCs w:val="18"/>
        </w:rPr>
      </w:pPr>
    </w:p>
    <w:p w:rsidRPr="00C5308E" w:rsidR="003A3DFD" w:rsidP="00D87753" w:rsidRDefault="003A3DFD" w14:paraId="106DCB21" w14:textId="77777777">
      <w:pPr>
        <w:spacing w:after="0" w:line="240" w:lineRule="auto"/>
        <w:contextualSpacing/>
        <w:rPr>
          <w:rFonts w:ascii="Verdana" w:hAnsi="Verdana"/>
          <w:bCs/>
          <w:i/>
          <w:iCs/>
          <w:sz w:val="18"/>
          <w:szCs w:val="18"/>
        </w:rPr>
      </w:pPr>
      <w:r w:rsidRPr="00C5308E">
        <w:rPr>
          <w:rFonts w:ascii="Verdana" w:hAnsi="Verdana"/>
          <w:bCs/>
          <w:i/>
          <w:iCs/>
          <w:sz w:val="18"/>
          <w:szCs w:val="18"/>
        </w:rPr>
        <w:t>Aantal zzp’ers 1-5 jaar na startjaar 2017</w:t>
      </w:r>
    </w:p>
    <w:tbl>
      <w:tblPr>
        <w:tblStyle w:val="Rastertabel1licht"/>
        <w:tblW w:w="3854" w:type="dxa"/>
        <w:tblLook w:val="04A0" w:firstRow="1" w:lastRow="0" w:firstColumn="1" w:lastColumn="0" w:noHBand="0" w:noVBand="1"/>
      </w:tblPr>
      <w:tblGrid>
        <w:gridCol w:w="1551"/>
        <w:gridCol w:w="960"/>
        <w:gridCol w:w="1343"/>
      </w:tblGrid>
      <w:tr w:rsidRPr="00C5308E" w:rsidR="003A3DFD" w:rsidTr="003C75FE" w14:paraId="733FE86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5F165DF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Peiljaar 2017</w:t>
            </w:r>
          </w:p>
        </w:tc>
        <w:tc>
          <w:tcPr>
            <w:tcW w:w="960" w:type="dxa"/>
            <w:noWrap/>
            <w:hideMark/>
          </w:tcPr>
          <w:p w:rsidRPr="00C5308E" w:rsidR="003A3DFD" w:rsidP="00D87753" w:rsidRDefault="003A3DFD" w14:paraId="781EE627"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p>
        </w:tc>
        <w:tc>
          <w:tcPr>
            <w:tcW w:w="1343" w:type="dxa"/>
            <w:noWrap/>
            <w:hideMark/>
          </w:tcPr>
          <w:p w:rsidRPr="00C5308E" w:rsidR="003A3DFD" w:rsidP="00D87753" w:rsidRDefault="003A3DFD" w14:paraId="54704CD2"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Zelfstandige zonder personeel (zzp)*</w:t>
            </w:r>
          </w:p>
        </w:tc>
      </w:tr>
      <w:tr w:rsidRPr="00C5308E" w:rsidR="003A3DFD" w:rsidTr="003C75FE" w14:paraId="41C4C23F"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75C4C37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1 jaar na startjaar</w:t>
            </w:r>
          </w:p>
        </w:tc>
        <w:tc>
          <w:tcPr>
            <w:tcW w:w="960" w:type="dxa"/>
            <w:noWrap/>
            <w:hideMark/>
          </w:tcPr>
          <w:p w:rsidRPr="00C5308E" w:rsidR="003A3DFD" w:rsidP="00D87753" w:rsidRDefault="003A3DFD" w14:paraId="188C723F"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43" w:type="dxa"/>
            <w:noWrap/>
            <w:hideMark/>
          </w:tcPr>
          <w:p w:rsidRPr="00C5308E" w:rsidR="003A3DFD" w:rsidP="00D87753" w:rsidRDefault="003A3DFD" w14:paraId="5F079AA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155,4</w:t>
            </w:r>
          </w:p>
        </w:tc>
      </w:tr>
      <w:tr w:rsidRPr="00C5308E" w:rsidR="003A3DFD" w:rsidTr="003C75FE" w14:paraId="259FE9C3"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345CD2F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2 jaar na startjaar</w:t>
            </w:r>
          </w:p>
        </w:tc>
        <w:tc>
          <w:tcPr>
            <w:tcW w:w="960" w:type="dxa"/>
            <w:noWrap/>
            <w:hideMark/>
          </w:tcPr>
          <w:p w:rsidRPr="00C5308E" w:rsidR="003A3DFD" w:rsidP="00D87753" w:rsidRDefault="003A3DFD" w14:paraId="68160CAB"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43" w:type="dxa"/>
            <w:noWrap/>
            <w:hideMark/>
          </w:tcPr>
          <w:p w:rsidRPr="00C5308E" w:rsidR="003A3DFD" w:rsidP="00D87753" w:rsidRDefault="003A3DFD" w14:paraId="30F0EC2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133,1</w:t>
            </w:r>
          </w:p>
        </w:tc>
      </w:tr>
      <w:tr w:rsidRPr="00C5308E" w:rsidR="003A3DFD" w:rsidTr="003C75FE" w14:paraId="22E4250F"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02D798AA"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3 jaar na startjaar</w:t>
            </w:r>
          </w:p>
        </w:tc>
        <w:tc>
          <w:tcPr>
            <w:tcW w:w="960" w:type="dxa"/>
            <w:noWrap/>
            <w:hideMark/>
          </w:tcPr>
          <w:p w:rsidRPr="00C5308E" w:rsidR="003A3DFD" w:rsidP="00D87753" w:rsidRDefault="003A3DFD" w14:paraId="2408556D"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43" w:type="dxa"/>
            <w:noWrap/>
            <w:hideMark/>
          </w:tcPr>
          <w:p w:rsidRPr="00C5308E" w:rsidR="003A3DFD" w:rsidP="00D87753" w:rsidRDefault="003A3DFD" w14:paraId="6EC1FBC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111,3</w:t>
            </w:r>
          </w:p>
        </w:tc>
      </w:tr>
      <w:tr w:rsidRPr="00C5308E" w:rsidR="003A3DFD" w:rsidTr="003C75FE" w14:paraId="6F25E0FF"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256E735D"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4 jaar na startjaar</w:t>
            </w:r>
          </w:p>
        </w:tc>
        <w:tc>
          <w:tcPr>
            <w:tcW w:w="960" w:type="dxa"/>
            <w:noWrap/>
            <w:hideMark/>
          </w:tcPr>
          <w:p w:rsidRPr="00C5308E" w:rsidR="003A3DFD" w:rsidP="00D87753" w:rsidRDefault="003A3DFD" w14:paraId="194C7222"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43" w:type="dxa"/>
            <w:noWrap/>
            <w:hideMark/>
          </w:tcPr>
          <w:p w:rsidRPr="00C5308E" w:rsidR="003A3DFD" w:rsidP="00D87753" w:rsidRDefault="003A3DFD" w14:paraId="24C3306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108,4</w:t>
            </w:r>
          </w:p>
        </w:tc>
      </w:tr>
      <w:tr w:rsidRPr="00C5308E" w:rsidR="003A3DFD" w:rsidTr="003C75FE" w14:paraId="3D3812E6"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C5308E" w:rsidR="003A3DFD" w:rsidP="00D87753" w:rsidRDefault="003A3DFD" w14:paraId="1B358C34"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5 jaar na startjaar</w:t>
            </w:r>
          </w:p>
        </w:tc>
        <w:tc>
          <w:tcPr>
            <w:tcW w:w="960" w:type="dxa"/>
            <w:noWrap/>
            <w:hideMark/>
          </w:tcPr>
          <w:p w:rsidRPr="00C5308E" w:rsidR="003A3DFD" w:rsidP="00D87753" w:rsidRDefault="003A3DFD" w14:paraId="70505A37"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343" w:type="dxa"/>
            <w:noWrap/>
            <w:hideMark/>
          </w:tcPr>
          <w:p w:rsidRPr="00C5308E" w:rsidR="003A3DFD" w:rsidP="00D87753" w:rsidRDefault="003A3DFD" w14:paraId="55A1DA1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101,5</w:t>
            </w:r>
          </w:p>
        </w:tc>
      </w:tr>
    </w:tbl>
    <w:p w:rsidRPr="00C5308E" w:rsidR="003A3DFD" w:rsidP="00D87753" w:rsidRDefault="003A3DFD" w14:paraId="2B39CF08" w14:textId="77777777">
      <w:pPr>
        <w:spacing w:after="0" w:line="240" w:lineRule="auto"/>
        <w:contextualSpacing/>
        <w:rPr>
          <w:rFonts w:ascii="Verdana" w:hAnsi="Verdana"/>
          <w:bCs/>
          <w:sz w:val="16"/>
          <w:szCs w:val="16"/>
        </w:rPr>
      </w:pPr>
      <w:r w:rsidRPr="00C5308E">
        <w:rPr>
          <w:rFonts w:ascii="Verdana" w:hAnsi="Verdana"/>
          <w:bCs/>
          <w:sz w:val="16"/>
          <w:szCs w:val="16"/>
        </w:rPr>
        <w:t>Bron: CBS Statline: Startende zelfstandigen; loopbaan. Geraadpleegd op 24-05-2025.</w:t>
      </w:r>
    </w:p>
    <w:p w:rsidRPr="00C5308E" w:rsidR="003A3DFD" w:rsidP="00D87753" w:rsidRDefault="003A3DFD" w14:paraId="51C4BB1E" w14:textId="28A0B1B8">
      <w:pPr>
        <w:spacing w:after="0" w:line="240" w:lineRule="auto"/>
        <w:contextualSpacing/>
        <w:rPr>
          <w:rFonts w:ascii="Verdana" w:hAnsi="Verdana"/>
          <w:bCs/>
          <w:sz w:val="18"/>
          <w:szCs w:val="18"/>
        </w:rPr>
      </w:pPr>
      <w:r w:rsidRPr="00C5308E">
        <w:rPr>
          <w:rFonts w:ascii="Verdana" w:hAnsi="Verdana"/>
          <w:bCs/>
          <w:sz w:val="16"/>
          <w:szCs w:val="16"/>
        </w:rPr>
        <w:t>Bron: CBS Statline: Startende zelfstandigen; positie jaar eerder, SBI 2008, kenmerken</w:t>
      </w:r>
      <w:r w:rsidRPr="00C5308E">
        <w:rPr>
          <w:rFonts w:ascii="Verdana" w:hAnsi="Verdana"/>
          <w:bCs/>
          <w:sz w:val="18"/>
          <w:szCs w:val="18"/>
        </w:rPr>
        <w:t xml:space="preserve">. </w:t>
      </w:r>
    </w:p>
    <w:p w:rsidRPr="00C5308E" w:rsidR="003A3DFD" w:rsidP="00D87753" w:rsidRDefault="003A3DFD" w14:paraId="654A63B9" w14:textId="77777777">
      <w:pPr>
        <w:spacing w:after="0" w:line="240" w:lineRule="auto"/>
        <w:contextualSpacing/>
        <w:rPr>
          <w:rFonts w:ascii="Verdana" w:hAnsi="Verdana"/>
          <w:bCs/>
          <w:sz w:val="18"/>
          <w:szCs w:val="18"/>
        </w:rPr>
      </w:pPr>
    </w:p>
    <w:p w:rsidRPr="00C5308E" w:rsidR="003A3DFD" w:rsidP="00D87753" w:rsidRDefault="003A3DFD" w14:paraId="77D8B46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27</w:t>
      </w:r>
    </w:p>
    <w:p w:rsidRPr="00C5308E" w:rsidR="003A3DFD" w:rsidP="00D87753" w:rsidRDefault="003A3DFD" w14:paraId="4F8CAC1A" w14:textId="77777777">
      <w:pPr>
        <w:spacing w:after="0" w:line="240" w:lineRule="auto"/>
        <w:contextualSpacing/>
        <w:rPr>
          <w:rFonts w:ascii="Verdana" w:hAnsi="Verdana"/>
          <w:bCs/>
          <w:sz w:val="18"/>
          <w:szCs w:val="18"/>
        </w:rPr>
      </w:pPr>
      <w:r w:rsidRPr="00C5308E">
        <w:rPr>
          <w:rFonts w:ascii="Verdana" w:hAnsi="Verdana"/>
          <w:bCs/>
          <w:sz w:val="18"/>
          <w:szCs w:val="18"/>
        </w:rPr>
        <w:t>Wat is de gemiddelde leeftijd, geslacht en opleidingsniveau van zzp’ers in 2024?</w:t>
      </w:r>
    </w:p>
    <w:p w:rsidRPr="00C5308E" w:rsidR="003A3DFD" w:rsidP="00D87753" w:rsidRDefault="003A3DFD" w14:paraId="62B34A91" w14:textId="77777777">
      <w:pPr>
        <w:spacing w:after="0" w:line="240" w:lineRule="auto"/>
        <w:contextualSpacing/>
        <w:rPr>
          <w:rFonts w:ascii="Verdana" w:hAnsi="Verdana"/>
          <w:bCs/>
          <w:sz w:val="18"/>
          <w:szCs w:val="18"/>
        </w:rPr>
      </w:pPr>
    </w:p>
    <w:p w:rsidRPr="00C5308E" w:rsidR="003A3DFD" w:rsidP="00D87753" w:rsidRDefault="003A3DFD" w14:paraId="134096D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27</w:t>
      </w:r>
    </w:p>
    <w:p w:rsidRPr="00C5308E" w:rsidR="003A3DFD" w:rsidP="00D87753" w:rsidRDefault="003A3DFD" w14:paraId="2FE65FE3"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onderstaande tabel geeft het aantal zzp’ers weer uitgesplitst naar leeftijd, opleidingsniveau en geslacht. Dit betreft voorlopige cijfers van het CBS over 2023. Recentere cijfers zijn nog niet beschikbaar. Hieruit blijkt dat zzp’ers vaker man zijn en hoogopgeleid, en dat het merendeel van de zzp’ers ouder is dan 45 jaar. </w:t>
      </w:r>
    </w:p>
    <w:p w:rsidRPr="00C5308E" w:rsidR="003A3DFD" w:rsidP="00D87753" w:rsidRDefault="003A3DFD" w14:paraId="33F95564" w14:textId="77777777">
      <w:pPr>
        <w:spacing w:after="0" w:line="240" w:lineRule="auto"/>
        <w:contextualSpacing/>
        <w:rPr>
          <w:rFonts w:ascii="Verdana" w:hAnsi="Verdana"/>
          <w:bCs/>
          <w:sz w:val="18"/>
          <w:szCs w:val="18"/>
          <w:u w:val="single"/>
        </w:rPr>
      </w:pPr>
    </w:p>
    <w:p w:rsidRPr="00C5308E" w:rsidR="003A3DFD" w:rsidP="00D87753" w:rsidRDefault="0096314B" w14:paraId="7F4DB391" w14:textId="49F066C4">
      <w:pPr>
        <w:spacing w:after="0" w:line="240" w:lineRule="auto"/>
        <w:contextualSpacing/>
        <w:rPr>
          <w:rFonts w:ascii="Verdana" w:hAnsi="Verdana"/>
          <w:bCs/>
          <w:i/>
          <w:iCs/>
          <w:sz w:val="18"/>
          <w:szCs w:val="18"/>
        </w:rPr>
      </w:pPr>
      <w:r>
        <w:rPr>
          <w:rFonts w:ascii="Verdana" w:hAnsi="Verdana"/>
          <w:bCs/>
          <w:i/>
          <w:iCs/>
          <w:sz w:val="18"/>
          <w:szCs w:val="18"/>
        </w:rPr>
        <w:t xml:space="preserve">Tabel: </w:t>
      </w:r>
      <w:r w:rsidRPr="00C5308E" w:rsidR="003A3DFD">
        <w:rPr>
          <w:rFonts w:ascii="Verdana" w:hAnsi="Verdana"/>
          <w:bCs/>
          <w:i/>
          <w:iCs/>
          <w:sz w:val="18"/>
          <w:szCs w:val="18"/>
        </w:rPr>
        <w:t>Aantal zzp’ers</w:t>
      </w:r>
      <w:r w:rsidRPr="00C5308E" w:rsidR="007D71BC">
        <w:rPr>
          <w:rStyle w:val="Voetnootmarkering"/>
          <w:rFonts w:ascii="Verdana" w:hAnsi="Verdana"/>
          <w:bCs/>
          <w:i/>
          <w:iCs/>
          <w:sz w:val="18"/>
          <w:szCs w:val="18"/>
        </w:rPr>
        <w:footnoteReference w:id="5"/>
      </w:r>
      <w:r w:rsidRPr="00C5308E" w:rsidR="003A3DFD">
        <w:rPr>
          <w:rFonts w:ascii="Verdana" w:hAnsi="Verdana"/>
          <w:bCs/>
          <w:i/>
          <w:iCs/>
          <w:sz w:val="18"/>
          <w:szCs w:val="18"/>
        </w:rPr>
        <w:t xml:space="preserve"> uitgesplitst naar leeftijd, opleidingsniveau en geslacht in 2023 (voorlopige cijfers)</w:t>
      </w:r>
    </w:p>
    <w:tbl>
      <w:tblPr>
        <w:tblStyle w:val="Rastertabel1licht"/>
        <w:tblW w:w="5669" w:type="dxa"/>
        <w:tblLook w:val="04A0" w:firstRow="1" w:lastRow="0" w:firstColumn="1" w:lastColumn="0" w:noHBand="0" w:noVBand="1"/>
      </w:tblPr>
      <w:tblGrid>
        <w:gridCol w:w="2700"/>
        <w:gridCol w:w="993"/>
        <w:gridCol w:w="960"/>
        <w:gridCol w:w="1016"/>
      </w:tblGrid>
      <w:tr w:rsidRPr="00C5308E" w:rsidR="003A3DFD" w:rsidTr="003C75FE" w14:paraId="287DF074"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62EEC480" w14:textId="77777777">
            <w:pPr>
              <w:contextualSpacing/>
              <w:rPr>
                <w:rFonts w:ascii="Verdana" w:hAnsi="Verdana" w:eastAsia="Times New Roman" w:cs="Times New Roman"/>
                <w:b w:val="0"/>
                <w:sz w:val="18"/>
                <w:szCs w:val="18"/>
                <w:lang w:eastAsia="nl-NL"/>
              </w:rPr>
            </w:pPr>
          </w:p>
        </w:tc>
        <w:tc>
          <w:tcPr>
            <w:tcW w:w="993" w:type="dxa"/>
            <w:noWrap/>
            <w:hideMark/>
          </w:tcPr>
          <w:p w:rsidRPr="00C5308E" w:rsidR="003A3DFD" w:rsidP="00D87753" w:rsidRDefault="003A3DFD" w14:paraId="7CF54208"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Totaal mannen en vrouwen</w:t>
            </w:r>
          </w:p>
        </w:tc>
        <w:tc>
          <w:tcPr>
            <w:tcW w:w="960" w:type="dxa"/>
            <w:noWrap/>
            <w:hideMark/>
          </w:tcPr>
          <w:p w:rsidRPr="00C5308E" w:rsidR="003A3DFD" w:rsidP="00D87753" w:rsidRDefault="003A3DFD" w14:paraId="67F31D72"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Mannen</w:t>
            </w:r>
          </w:p>
        </w:tc>
        <w:tc>
          <w:tcPr>
            <w:tcW w:w="1016" w:type="dxa"/>
            <w:noWrap/>
            <w:hideMark/>
          </w:tcPr>
          <w:p w:rsidRPr="00C5308E" w:rsidR="003A3DFD" w:rsidP="00D87753" w:rsidRDefault="003A3DFD" w14:paraId="74BD9805" w14:textId="77777777">
            <w:pPr>
              <w:contextualSpacing/>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Vrouwen</w:t>
            </w:r>
          </w:p>
        </w:tc>
      </w:tr>
      <w:tr w:rsidRPr="00C5308E" w:rsidR="003A3DFD" w:rsidTr="003C75FE" w14:paraId="34DFFF1E"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027E56B4" w14:textId="77777777">
            <w:pPr>
              <w:contextualSpacing/>
              <w:rPr>
                <w:rFonts w:ascii="Verdana" w:hAnsi="Verdana" w:eastAsia="Times New Roman" w:cs="Times New Roman"/>
                <w:b w:val="0"/>
                <w:color w:val="000000"/>
                <w:sz w:val="18"/>
                <w:szCs w:val="18"/>
                <w:lang w:eastAsia="nl-NL"/>
              </w:rPr>
            </w:pPr>
          </w:p>
        </w:tc>
        <w:tc>
          <w:tcPr>
            <w:tcW w:w="993" w:type="dxa"/>
            <w:noWrap/>
            <w:hideMark/>
          </w:tcPr>
          <w:p w:rsidRPr="00C5308E" w:rsidR="003A3DFD" w:rsidP="00D87753" w:rsidRDefault="003A3DFD" w14:paraId="43D0F296"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960" w:type="dxa"/>
            <w:noWrap/>
            <w:hideMark/>
          </w:tcPr>
          <w:p w:rsidRPr="00C5308E" w:rsidR="003A3DFD" w:rsidP="00D87753" w:rsidRDefault="003A3DFD" w14:paraId="41F72B01"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c>
          <w:tcPr>
            <w:tcW w:w="1016" w:type="dxa"/>
            <w:noWrap/>
            <w:hideMark/>
          </w:tcPr>
          <w:p w:rsidRPr="00C5308E" w:rsidR="003A3DFD" w:rsidP="00D87753" w:rsidRDefault="003A3DFD" w14:paraId="42398CEC" w14:textId="77777777">
            <w:pPr>
              <w:contextualSpacing/>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x 1 000</w:t>
            </w:r>
          </w:p>
        </w:tc>
      </w:tr>
      <w:tr w:rsidRPr="00C5308E" w:rsidR="003A3DFD" w:rsidTr="003C75FE" w14:paraId="4B0AAEC9"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104B036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Totaal personen</w:t>
            </w:r>
          </w:p>
        </w:tc>
        <w:tc>
          <w:tcPr>
            <w:tcW w:w="993" w:type="dxa"/>
            <w:noWrap/>
            <w:hideMark/>
          </w:tcPr>
          <w:p w:rsidRPr="00C5308E" w:rsidR="003A3DFD" w:rsidP="00D87753" w:rsidRDefault="003A3DFD" w14:paraId="28CD862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1901,5</w:t>
            </w:r>
          </w:p>
        </w:tc>
        <w:tc>
          <w:tcPr>
            <w:tcW w:w="960" w:type="dxa"/>
            <w:noWrap/>
            <w:hideMark/>
          </w:tcPr>
          <w:p w:rsidRPr="00C5308E" w:rsidR="003A3DFD" w:rsidP="00D87753" w:rsidRDefault="003A3DFD" w14:paraId="6F9FEE1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1138,7</w:t>
            </w:r>
          </w:p>
        </w:tc>
        <w:tc>
          <w:tcPr>
            <w:tcW w:w="1016" w:type="dxa"/>
            <w:noWrap/>
            <w:hideMark/>
          </w:tcPr>
          <w:p w:rsidRPr="00C5308E" w:rsidR="003A3DFD" w:rsidP="00D87753" w:rsidRDefault="003A3DFD" w14:paraId="657EC2F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762,8</w:t>
            </w:r>
          </w:p>
        </w:tc>
      </w:tr>
      <w:tr w:rsidRPr="00C5308E" w:rsidR="009E3782" w:rsidTr="003C75FE" w14:paraId="5D28D18D"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C5308E" w:rsidR="009E3782" w:rsidP="00D87753" w:rsidRDefault="009E3782" w14:paraId="78D0CCB3" w14:textId="77777777">
            <w:pPr>
              <w:contextualSpacing/>
              <w:rPr>
                <w:rFonts w:ascii="Verdana" w:hAnsi="Verdana" w:eastAsia="Times New Roman" w:cs="Times New Roman"/>
                <w:color w:val="000000"/>
                <w:sz w:val="18"/>
                <w:szCs w:val="18"/>
                <w:lang w:eastAsia="nl-NL"/>
              </w:rPr>
            </w:pPr>
          </w:p>
        </w:tc>
        <w:tc>
          <w:tcPr>
            <w:tcW w:w="993" w:type="dxa"/>
            <w:noWrap/>
          </w:tcPr>
          <w:p w:rsidRPr="00C5308E" w:rsidR="009E3782" w:rsidP="00D87753" w:rsidRDefault="009E3782" w14:paraId="7D49DA8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960" w:type="dxa"/>
            <w:noWrap/>
          </w:tcPr>
          <w:p w:rsidRPr="00C5308E" w:rsidR="009E3782" w:rsidP="00D87753" w:rsidRDefault="009E3782" w14:paraId="15521FE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1016" w:type="dxa"/>
            <w:noWrap/>
          </w:tcPr>
          <w:p w:rsidRPr="00C5308E" w:rsidR="009E3782" w:rsidP="00D87753" w:rsidRDefault="009E3782" w14:paraId="0A9DA75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r>
      <w:tr w:rsidRPr="00C5308E" w:rsidR="003A3DFD" w:rsidTr="003C75FE" w14:paraId="24BBC007"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C5308E" w:rsidR="003A3DFD" w:rsidP="00D87753" w:rsidRDefault="003A3DFD" w14:paraId="73E0372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Leeftijd</w:t>
            </w:r>
          </w:p>
        </w:tc>
        <w:tc>
          <w:tcPr>
            <w:tcW w:w="993" w:type="dxa"/>
            <w:noWrap/>
          </w:tcPr>
          <w:p w:rsidRPr="00C5308E" w:rsidR="003A3DFD" w:rsidP="00D87753" w:rsidRDefault="003A3DFD" w14:paraId="7BB1913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960" w:type="dxa"/>
            <w:noWrap/>
          </w:tcPr>
          <w:p w:rsidRPr="00C5308E" w:rsidR="003A3DFD" w:rsidP="00D87753" w:rsidRDefault="003A3DFD" w14:paraId="661DAD8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1016" w:type="dxa"/>
            <w:noWrap/>
          </w:tcPr>
          <w:p w:rsidRPr="00C5308E" w:rsidR="003A3DFD" w:rsidP="00D87753" w:rsidRDefault="003A3DFD" w14:paraId="1B97AC5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r>
      <w:tr w:rsidRPr="00C5308E" w:rsidR="003A3DFD" w:rsidTr="003C75FE" w14:paraId="554DEBF2"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51C2A36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0 tot 25 jaar</w:t>
            </w:r>
          </w:p>
        </w:tc>
        <w:tc>
          <w:tcPr>
            <w:tcW w:w="993" w:type="dxa"/>
            <w:noWrap/>
            <w:hideMark/>
          </w:tcPr>
          <w:p w:rsidRPr="00C5308E" w:rsidR="003A3DFD" w:rsidP="00D87753" w:rsidRDefault="003A3DFD" w14:paraId="3302D47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187,7</w:t>
            </w:r>
          </w:p>
        </w:tc>
        <w:tc>
          <w:tcPr>
            <w:tcW w:w="960" w:type="dxa"/>
            <w:noWrap/>
            <w:hideMark/>
          </w:tcPr>
          <w:p w:rsidRPr="00C5308E" w:rsidR="003A3DFD" w:rsidP="00D87753" w:rsidRDefault="003A3DFD" w14:paraId="0E9CFE3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107,4</w:t>
            </w:r>
          </w:p>
        </w:tc>
        <w:tc>
          <w:tcPr>
            <w:tcW w:w="1016" w:type="dxa"/>
            <w:noWrap/>
            <w:hideMark/>
          </w:tcPr>
          <w:p w:rsidRPr="00C5308E" w:rsidR="003A3DFD" w:rsidP="00D87753" w:rsidRDefault="003A3DFD" w14:paraId="37D0836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80,3</w:t>
            </w:r>
          </w:p>
        </w:tc>
      </w:tr>
      <w:tr w:rsidRPr="00C5308E" w:rsidR="003A3DFD" w:rsidTr="003C75FE" w14:paraId="5451CF83"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2961817A"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25 tot 35 jaar</w:t>
            </w:r>
          </w:p>
        </w:tc>
        <w:tc>
          <w:tcPr>
            <w:tcW w:w="993" w:type="dxa"/>
            <w:noWrap/>
            <w:hideMark/>
          </w:tcPr>
          <w:p w:rsidRPr="00C5308E" w:rsidR="003A3DFD" w:rsidP="00D87753" w:rsidRDefault="003A3DFD" w14:paraId="1CB0E1A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335,9</w:t>
            </w:r>
          </w:p>
        </w:tc>
        <w:tc>
          <w:tcPr>
            <w:tcW w:w="960" w:type="dxa"/>
            <w:noWrap/>
            <w:hideMark/>
          </w:tcPr>
          <w:p w:rsidRPr="00C5308E" w:rsidR="003A3DFD" w:rsidP="00D87753" w:rsidRDefault="003A3DFD" w14:paraId="48CD0C8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199,8</w:t>
            </w:r>
          </w:p>
        </w:tc>
        <w:tc>
          <w:tcPr>
            <w:tcW w:w="1016" w:type="dxa"/>
            <w:noWrap/>
            <w:hideMark/>
          </w:tcPr>
          <w:p w:rsidRPr="00C5308E" w:rsidR="003A3DFD" w:rsidP="00D87753" w:rsidRDefault="003A3DFD" w14:paraId="7D66302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136,2</w:t>
            </w:r>
          </w:p>
        </w:tc>
      </w:tr>
      <w:tr w:rsidRPr="00C5308E" w:rsidR="003A3DFD" w:rsidTr="003C75FE" w14:paraId="0B2ED79B"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6192A6EF"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35 tot 45 jaar</w:t>
            </w:r>
          </w:p>
        </w:tc>
        <w:tc>
          <w:tcPr>
            <w:tcW w:w="993" w:type="dxa"/>
            <w:noWrap/>
            <w:hideMark/>
          </w:tcPr>
          <w:p w:rsidRPr="00C5308E" w:rsidR="003A3DFD" w:rsidP="00D87753" w:rsidRDefault="003A3DFD" w14:paraId="521B109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367,6</w:t>
            </w:r>
          </w:p>
        </w:tc>
        <w:tc>
          <w:tcPr>
            <w:tcW w:w="960" w:type="dxa"/>
            <w:noWrap/>
            <w:hideMark/>
          </w:tcPr>
          <w:p w:rsidRPr="00C5308E" w:rsidR="003A3DFD" w:rsidP="00D87753" w:rsidRDefault="003A3DFD" w14:paraId="73575A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215,3</w:t>
            </w:r>
          </w:p>
        </w:tc>
        <w:tc>
          <w:tcPr>
            <w:tcW w:w="1016" w:type="dxa"/>
            <w:noWrap/>
            <w:hideMark/>
          </w:tcPr>
          <w:p w:rsidRPr="00C5308E" w:rsidR="003A3DFD" w:rsidP="00D87753" w:rsidRDefault="003A3DFD" w14:paraId="792B3F7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152,3</w:t>
            </w:r>
          </w:p>
        </w:tc>
      </w:tr>
      <w:tr w:rsidRPr="00C5308E" w:rsidR="003A3DFD" w:rsidTr="003C75FE" w14:paraId="3E4DC837"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1F121646"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45 tot 55 jaar</w:t>
            </w:r>
          </w:p>
        </w:tc>
        <w:tc>
          <w:tcPr>
            <w:tcW w:w="993" w:type="dxa"/>
            <w:noWrap/>
            <w:hideMark/>
          </w:tcPr>
          <w:p w:rsidRPr="00C5308E" w:rsidR="003A3DFD" w:rsidP="00D87753" w:rsidRDefault="003A3DFD" w14:paraId="13ED416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401,9</w:t>
            </w:r>
          </w:p>
        </w:tc>
        <w:tc>
          <w:tcPr>
            <w:tcW w:w="960" w:type="dxa"/>
            <w:noWrap/>
            <w:hideMark/>
          </w:tcPr>
          <w:p w:rsidRPr="00C5308E" w:rsidR="003A3DFD" w:rsidP="00D87753" w:rsidRDefault="003A3DFD" w14:paraId="0FF34C0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231</w:t>
            </w:r>
          </w:p>
        </w:tc>
        <w:tc>
          <w:tcPr>
            <w:tcW w:w="1016" w:type="dxa"/>
            <w:noWrap/>
            <w:hideMark/>
          </w:tcPr>
          <w:p w:rsidRPr="00C5308E" w:rsidR="003A3DFD" w:rsidP="00D87753" w:rsidRDefault="003A3DFD" w14:paraId="03B7D40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171</w:t>
            </w:r>
          </w:p>
        </w:tc>
      </w:tr>
      <w:tr w:rsidRPr="00C5308E" w:rsidR="003A3DFD" w:rsidTr="003C75FE" w14:paraId="7E12BC64"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4906BE3F"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lastRenderedPageBreak/>
              <w:t>55 tot 65 jaar</w:t>
            </w:r>
          </w:p>
        </w:tc>
        <w:tc>
          <w:tcPr>
            <w:tcW w:w="993" w:type="dxa"/>
            <w:noWrap/>
            <w:hideMark/>
          </w:tcPr>
          <w:p w:rsidRPr="00C5308E" w:rsidR="003A3DFD" w:rsidP="00D87753" w:rsidRDefault="003A3DFD" w14:paraId="22BD4FA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376,2</w:t>
            </w:r>
          </w:p>
        </w:tc>
        <w:tc>
          <w:tcPr>
            <w:tcW w:w="960" w:type="dxa"/>
            <w:noWrap/>
            <w:hideMark/>
          </w:tcPr>
          <w:p w:rsidRPr="00C5308E" w:rsidR="003A3DFD" w:rsidP="00D87753" w:rsidRDefault="003A3DFD" w14:paraId="53A6830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225</w:t>
            </w:r>
          </w:p>
        </w:tc>
        <w:tc>
          <w:tcPr>
            <w:tcW w:w="1016" w:type="dxa"/>
            <w:noWrap/>
            <w:hideMark/>
          </w:tcPr>
          <w:p w:rsidRPr="00C5308E" w:rsidR="003A3DFD" w:rsidP="00D87753" w:rsidRDefault="003A3DFD" w14:paraId="35FE767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151,2</w:t>
            </w:r>
          </w:p>
        </w:tc>
      </w:tr>
      <w:tr w:rsidRPr="00C5308E" w:rsidR="003A3DFD" w:rsidTr="003C75FE" w14:paraId="4819386F"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2FD2456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65 tot 75 jaar</w:t>
            </w:r>
          </w:p>
        </w:tc>
        <w:tc>
          <w:tcPr>
            <w:tcW w:w="993" w:type="dxa"/>
            <w:noWrap/>
            <w:hideMark/>
          </w:tcPr>
          <w:p w:rsidRPr="00C5308E" w:rsidR="003A3DFD" w:rsidP="00D87753" w:rsidRDefault="003A3DFD" w14:paraId="30BCA09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188,2</w:t>
            </w:r>
          </w:p>
        </w:tc>
        <w:tc>
          <w:tcPr>
            <w:tcW w:w="960" w:type="dxa"/>
            <w:noWrap/>
            <w:hideMark/>
          </w:tcPr>
          <w:p w:rsidRPr="00C5308E" w:rsidR="003A3DFD" w:rsidP="00D87753" w:rsidRDefault="003A3DFD" w14:paraId="4F69681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128,1</w:t>
            </w:r>
          </w:p>
        </w:tc>
        <w:tc>
          <w:tcPr>
            <w:tcW w:w="1016" w:type="dxa"/>
            <w:noWrap/>
            <w:hideMark/>
          </w:tcPr>
          <w:p w:rsidRPr="00C5308E" w:rsidR="003A3DFD" w:rsidP="00D87753" w:rsidRDefault="003A3DFD" w14:paraId="19CC27A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60</w:t>
            </w:r>
          </w:p>
        </w:tc>
      </w:tr>
      <w:tr w:rsidRPr="00C5308E" w:rsidR="003A3DFD" w:rsidTr="003C75FE" w14:paraId="6501D8E9"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0A96D83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75 jaar of ouder</w:t>
            </w:r>
          </w:p>
        </w:tc>
        <w:tc>
          <w:tcPr>
            <w:tcW w:w="993" w:type="dxa"/>
            <w:noWrap/>
            <w:hideMark/>
          </w:tcPr>
          <w:p w:rsidRPr="00C5308E" w:rsidR="003A3DFD" w:rsidP="00D87753" w:rsidRDefault="003A3DFD" w14:paraId="57F159F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44</w:t>
            </w:r>
          </w:p>
        </w:tc>
        <w:tc>
          <w:tcPr>
            <w:tcW w:w="960" w:type="dxa"/>
            <w:noWrap/>
            <w:hideMark/>
          </w:tcPr>
          <w:p w:rsidRPr="00C5308E" w:rsidR="003A3DFD" w:rsidP="00D87753" w:rsidRDefault="003A3DFD" w14:paraId="611479F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32,1</w:t>
            </w:r>
          </w:p>
        </w:tc>
        <w:tc>
          <w:tcPr>
            <w:tcW w:w="1016" w:type="dxa"/>
            <w:noWrap/>
            <w:hideMark/>
          </w:tcPr>
          <w:p w:rsidRPr="00C5308E" w:rsidR="003A3DFD" w:rsidP="00D87753" w:rsidRDefault="003A3DFD" w14:paraId="69971B5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11,9</w:t>
            </w:r>
          </w:p>
        </w:tc>
      </w:tr>
      <w:tr w:rsidRPr="00C5308E" w:rsidR="009E3782" w:rsidTr="003C75FE" w14:paraId="5585FE78"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C5308E" w:rsidR="009E3782" w:rsidP="00D87753" w:rsidRDefault="009E3782" w14:paraId="7B2B9426" w14:textId="77777777">
            <w:pPr>
              <w:contextualSpacing/>
              <w:rPr>
                <w:rFonts w:ascii="Verdana" w:hAnsi="Verdana" w:eastAsia="Times New Roman" w:cs="Times New Roman"/>
                <w:color w:val="000000"/>
                <w:sz w:val="18"/>
                <w:szCs w:val="18"/>
                <w:lang w:eastAsia="nl-NL"/>
              </w:rPr>
            </w:pPr>
          </w:p>
        </w:tc>
        <w:tc>
          <w:tcPr>
            <w:tcW w:w="993" w:type="dxa"/>
            <w:noWrap/>
          </w:tcPr>
          <w:p w:rsidRPr="00C5308E" w:rsidR="009E3782" w:rsidP="00D87753" w:rsidRDefault="009E3782" w14:paraId="51DF823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960" w:type="dxa"/>
            <w:noWrap/>
          </w:tcPr>
          <w:p w:rsidRPr="00C5308E" w:rsidR="009E3782" w:rsidP="00D87753" w:rsidRDefault="009E3782" w14:paraId="0693877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1016" w:type="dxa"/>
            <w:noWrap/>
          </w:tcPr>
          <w:p w:rsidRPr="00C5308E" w:rsidR="009E3782" w:rsidP="00D87753" w:rsidRDefault="009E3782" w14:paraId="64C0DA5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r>
      <w:tr w:rsidRPr="00C5308E" w:rsidR="003A3DFD" w:rsidTr="003C75FE" w14:paraId="0F67FEDC"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C5308E" w:rsidR="003A3DFD" w:rsidP="00D87753" w:rsidRDefault="003A3DFD" w14:paraId="12EB54D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Opleidingsniveau</w:t>
            </w:r>
          </w:p>
        </w:tc>
        <w:tc>
          <w:tcPr>
            <w:tcW w:w="993" w:type="dxa"/>
            <w:noWrap/>
          </w:tcPr>
          <w:p w:rsidRPr="00C5308E" w:rsidR="003A3DFD" w:rsidP="00D87753" w:rsidRDefault="003A3DFD" w14:paraId="692268B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960" w:type="dxa"/>
            <w:noWrap/>
          </w:tcPr>
          <w:p w:rsidRPr="00C5308E" w:rsidR="003A3DFD" w:rsidP="00D87753" w:rsidRDefault="003A3DFD" w14:paraId="681704B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c>
          <w:tcPr>
            <w:tcW w:w="1016" w:type="dxa"/>
            <w:noWrap/>
          </w:tcPr>
          <w:p w:rsidRPr="00C5308E" w:rsidR="003A3DFD" w:rsidP="00D87753" w:rsidRDefault="003A3DFD" w14:paraId="561C1BE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p>
        </w:tc>
      </w:tr>
      <w:tr w:rsidRPr="00C5308E" w:rsidR="003A3DFD" w:rsidTr="003C75FE" w14:paraId="2F4313BC"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23A8F466"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1 Basisonderwijs, vmbo, mbo1</w:t>
            </w:r>
          </w:p>
        </w:tc>
        <w:tc>
          <w:tcPr>
            <w:tcW w:w="993" w:type="dxa"/>
            <w:noWrap/>
            <w:hideMark/>
          </w:tcPr>
          <w:p w:rsidRPr="00C5308E" w:rsidR="003A3DFD" w:rsidP="00D87753" w:rsidRDefault="003A3DFD" w14:paraId="23B4A28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289,8</w:t>
            </w:r>
          </w:p>
        </w:tc>
        <w:tc>
          <w:tcPr>
            <w:tcW w:w="960" w:type="dxa"/>
            <w:noWrap/>
            <w:hideMark/>
          </w:tcPr>
          <w:p w:rsidRPr="00C5308E" w:rsidR="003A3DFD" w:rsidP="00D87753" w:rsidRDefault="003A3DFD" w14:paraId="63CCEF9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200,4</w:t>
            </w:r>
          </w:p>
        </w:tc>
        <w:tc>
          <w:tcPr>
            <w:tcW w:w="1016" w:type="dxa"/>
            <w:noWrap/>
            <w:hideMark/>
          </w:tcPr>
          <w:p w:rsidRPr="00C5308E" w:rsidR="003A3DFD" w:rsidP="00D87753" w:rsidRDefault="003A3DFD" w14:paraId="48102AB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89,6</w:t>
            </w:r>
          </w:p>
        </w:tc>
      </w:tr>
      <w:tr w:rsidRPr="00C5308E" w:rsidR="003A3DFD" w:rsidTr="003C75FE" w14:paraId="232AB680"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3B58CCB1"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2 Havo, vwo, mbo2-4</w:t>
            </w:r>
          </w:p>
        </w:tc>
        <w:tc>
          <w:tcPr>
            <w:tcW w:w="993" w:type="dxa"/>
            <w:noWrap/>
            <w:hideMark/>
          </w:tcPr>
          <w:p w:rsidRPr="00C5308E" w:rsidR="003A3DFD" w:rsidP="00D87753" w:rsidRDefault="003A3DFD" w14:paraId="58B1816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783</w:t>
            </w:r>
          </w:p>
        </w:tc>
        <w:tc>
          <w:tcPr>
            <w:tcW w:w="960" w:type="dxa"/>
            <w:noWrap/>
            <w:hideMark/>
          </w:tcPr>
          <w:p w:rsidRPr="00C5308E" w:rsidR="003A3DFD" w:rsidP="00D87753" w:rsidRDefault="003A3DFD" w14:paraId="2CBD79B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477,4</w:t>
            </w:r>
          </w:p>
        </w:tc>
        <w:tc>
          <w:tcPr>
            <w:tcW w:w="1016" w:type="dxa"/>
            <w:noWrap/>
            <w:hideMark/>
          </w:tcPr>
          <w:p w:rsidRPr="00C5308E" w:rsidR="003A3DFD" w:rsidP="00D87753" w:rsidRDefault="003A3DFD" w14:paraId="7BF28D7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305,7</w:t>
            </w:r>
          </w:p>
        </w:tc>
      </w:tr>
      <w:tr w:rsidRPr="00C5308E" w:rsidR="003A3DFD" w:rsidTr="003C75FE" w14:paraId="3194BBA7"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C5308E" w:rsidR="003A3DFD" w:rsidP="00D87753" w:rsidRDefault="003A3DFD" w14:paraId="38A8081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3 Hbo, wo</w:t>
            </w:r>
          </w:p>
        </w:tc>
        <w:tc>
          <w:tcPr>
            <w:tcW w:w="993" w:type="dxa"/>
            <w:noWrap/>
            <w:hideMark/>
          </w:tcPr>
          <w:p w:rsidRPr="00C5308E" w:rsidR="003A3DFD" w:rsidP="00D87753" w:rsidRDefault="003A3DFD" w14:paraId="214A5D8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828,7</w:t>
            </w:r>
          </w:p>
        </w:tc>
        <w:tc>
          <w:tcPr>
            <w:tcW w:w="960" w:type="dxa"/>
            <w:noWrap/>
            <w:hideMark/>
          </w:tcPr>
          <w:p w:rsidRPr="00C5308E" w:rsidR="003A3DFD" w:rsidP="00D87753" w:rsidRDefault="003A3DFD" w14:paraId="3CF2C65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460,9</w:t>
            </w:r>
          </w:p>
        </w:tc>
        <w:tc>
          <w:tcPr>
            <w:tcW w:w="1016" w:type="dxa"/>
            <w:noWrap/>
            <w:hideMark/>
          </w:tcPr>
          <w:p w:rsidRPr="00C5308E" w:rsidR="003A3DFD" w:rsidP="00D87753" w:rsidRDefault="003A3DFD" w14:paraId="48B0616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367,5</w:t>
            </w:r>
          </w:p>
        </w:tc>
      </w:tr>
    </w:tbl>
    <w:p w:rsidRPr="00C5308E" w:rsidR="003A3DFD" w:rsidP="00D87753" w:rsidRDefault="003A3DFD" w14:paraId="55D93857" w14:textId="1C66CB19">
      <w:pPr>
        <w:spacing w:after="0" w:line="240" w:lineRule="auto"/>
        <w:contextualSpacing/>
        <w:rPr>
          <w:rFonts w:ascii="Verdana" w:hAnsi="Verdana"/>
          <w:bCs/>
          <w:sz w:val="16"/>
          <w:szCs w:val="16"/>
        </w:rPr>
      </w:pPr>
      <w:r w:rsidRPr="00C5308E">
        <w:rPr>
          <w:rFonts w:ascii="Verdana" w:hAnsi="Verdana"/>
          <w:bCs/>
          <w:sz w:val="16"/>
          <w:szCs w:val="16"/>
        </w:rPr>
        <w:t>Bron: CBS Statline: Zelfstandigen; persoonskenmerken en bedrijfstak (SBI 2008). Geraadpleegd op 24-05-2025.</w:t>
      </w:r>
      <w:r w:rsidRPr="00C5308E">
        <w:rPr>
          <w:rFonts w:ascii="Verdana" w:hAnsi="Verdana" w:eastAsia="Times New Roman" w:cs="Arial"/>
          <w:bCs/>
          <w:color w:val="333333"/>
          <w:sz w:val="16"/>
          <w:szCs w:val="16"/>
          <w:lang w:eastAsia="nl-NL"/>
        </w:rPr>
        <w:t xml:space="preserve"> </w:t>
      </w:r>
    </w:p>
    <w:p w:rsidR="003A3DFD" w:rsidP="00D87753" w:rsidRDefault="003A3DFD" w14:paraId="7EC21CD3" w14:textId="77777777">
      <w:pPr>
        <w:spacing w:after="0" w:line="240" w:lineRule="auto"/>
        <w:contextualSpacing/>
        <w:rPr>
          <w:rFonts w:ascii="Verdana" w:hAnsi="Verdana"/>
          <w:bCs/>
          <w:sz w:val="18"/>
          <w:szCs w:val="18"/>
        </w:rPr>
      </w:pPr>
    </w:p>
    <w:p w:rsidRPr="00C5308E" w:rsidR="00BA1787" w:rsidP="00D87753" w:rsidRDefault="00BA1787" w14:paraId="6FC9F5D0" w14:textId="77777777">
      <w:pPr>
        <w:spacing w:after="0" w:line="240" w:lineRule="auto"/>
        <w:contextualSpacing/>
        <w:rPr>
          <w:rFonts w:ascii="Verdana" w:hAnsi="Verdana"/>
          <w:bCs/>
          <w:sz w:val="18"/>
          <w:szCs w:val="18"/>
        </w:rPr>
      </w:pPr>
    </w:p>
    <w:p w:rsidRPr="00C5308E" w:rsidR="003A3DFD" w:rsidP="00D87753" w:rsidRDefault="003A3DFD" w14:paraId="77A29F6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28</w:t>
      </w:r>
    </w:p>
    <w:p w:rsidRPr="00C5308E" w:rsidR="003A3DFD" w:rsidP="00D87753" w:rsidRDefault="003A3DFD" w14:paraId="34CA3744" w14:textId="77777777">
      <w:pPr>
        <w:spacing w:after="0" w:line="240" w:lineRule="auto"/>
        <w:contextualSpacing/>
        <w:rPr>
          <w:rFonts w:ascii="Verdana" w:hAnsi="Verdana"/>
          <w:bCs/>
          <w:sz w:val="18"/>
          <w:szCs w:val="18"/>
        </w:rPr>
      </w:pPr>
      <w:r w:rsidRPr="00C5308E">
        <w:rPr>
          <w:rFonts w:ascii="Verdana" w:hAnsi="Verdana"/>
          <w:bCs/>
          <w:sz w:val="18"/>
          <w:szCs w:val="18"/>
        </w:rPr>
        <w:t>Welke vijf beroepen of branches kennen de grootste groei in het aantal zzp’ers sinds 2013?</w:t>
      </w:r>
    </w:p>
    <w:p w:rsidRPr="00C5308E" w:rsidR="003A3DFD" w:rsidP="00D87753" w:rsidRDefault="003A3DFD" w14:paraId="4CB7077D" w14:textId="77777777">
      <w:pPr>
        <w:spacing w:after="0" w:line="240" w:lineRule="auto"/>
        <w:contextualSpacing/>
        <w:rPr>
          <w:rFonts w:ascii="Verdana" w:hAnsi="Verdana"/>
          <w:bCs/>
          <w:sz w:val="18"/>
          <w:szCs w:val="18"/>
        </w:rPr>
      </w:pPr>
    </w:p>
    <w:p w:rsidRPr="00C5308E" w:rsidR="003A3DFD" w:rsidP="00D87753" w:rsidRDefault="003A3DFD" w14:paraId="24A733C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28</w:t>
      </w:r>
    </w:p>
    <w:p w:rsidRPr="00C5308E" w:rsidR="003A3DFD" w:rsidP="00D87753" w:rsidRDefault="003A3DFD" w14:paraId="3D7B472B" w14:textId="71CC4E33">
      <w:pPr>
        <w:spacing w:after="0" w:line="240" w:lineRule="auto"/>
        <w:contextualSpacing/>
        <w:rPr>
          <w:rFonts w:ascii="Verdana" w:hAnsi="Verdana"/>
          <w:bCs/>
          <w:sz w:val="18"/>
          <w:szCs w:val="18"/>
        </w:rPr>
      </w:pPr>
      <w:r w:rsidRPr="00C5308E">
        <w:rPr>
          <w:rFonts w:ascii="Verdana" w:hAnsi="Verdana"/>
          <w:bCs/>
          <w:sz w:val="18"/>
          <w:szCs w:val="18"/>
        </w:rPr>
        <w:t>De vijf sectoren met de grootste groei in het aantal zzp’ers (in absolute aantallen) sinds 2013 zijn: Specialistische zakelijke diensten (137.000), Bouwnijverheid (100.000), Onderwijs (83.000), Verhuur en overige zakelijke diensten (58.000) en Cultuur, sport en recreatie (38.000).</w:t>
      </w:r>
      <w:r w:rsidR="0096314B">
        <w:rPr>
          <w:rStyle w:val="Voetnootmarkering"/>
          <w:rFonts w:ascii="Verdana" w:hAnsi="Verdana"/>
          <w:bCs/>
          <w:sz w:val="18"/>
          <w:szCs w:val="18"/>
        </w:rPr>
        <w:footnoteReference w:id="6"/>
      </w:r>
    </w:p>
    <w:p w:rsidRPr="00C5308E" w:rsidR="003A3DFD" w:rsidP="00D87753" w:rsidRDefault="003A3DFD" w14:paraId="4DA312D4" w14:textId="77777777">
      <w:pPr>
        <w:spacing w:after="0" w:line="240" w:lineRule="auto"/>
        <w:contextualSpacing/>
        <w:rPr>
          <w:rFonts w:ascii="Verdana" w:hAnsi="Verdana"/>
          <w:bCs/>
          <w:sz w:val="18"/>
          <w:szCs w:val="18"/>
          <w:u w:val="single"/>
        </w:rPr>
      </w:pPr>
    </w:p>
    <w:p w:rsidRPr="00C5308E" w:rsidR="003A3DFD" w:rsidP="00D87753" w:rsidRDefault="003A3DFD" w14:paraId="13775082" w14:textId="68ACF0E9">
      <w:pPr>
        <w:spacing w:after="0" w:line="240" w:lineRule="auto"/>
        <w:contextualSpacing/>
        <w:rPr>
          <w:rFonts w:ascii="Verdana" w:hAnsi="Verdana"/>
          <w:bCs/>
          <w:sz w:val="18"/>
          <w:szCs w:val="18"/>
          <w:u w:val="single"/>
        </w:rPr>
      </w:pPr>
      <w:r w:rsidRPr="00C5308E">
        <w:rPr>
          <w:rFonts w:ascii="Verdana" w:hAnsi="Verdana"/>
          <w:bCs/>
          <w:sz w:val="18"/>
          <w:szCs w:val="18"/>
          <w:u w:val="single"/>
        </w:rPr>
        <w:t>Vraag 29</w:t>
      </w:r>
    </w:p>
    <w:p w:rsidRPr="00C5308E" w:rsidR="003A3DFD" w:rsidP="00D87753" w:rsidRDefault="003A3DFD" w14:paraId="63585986" w14:textId="77777777">
      <w:pPr>
        <w:spacing w:after="0" w:line="240" w:lineRule="auto"/>
        <w:contextualSpacing/>
        <w:rPr>
          <w:rFonts w:ascii="Verdana" w:hAnsi="Verdana"/>
          <w:bCs/>
          <w:sz w:val="18"/>
          <w:szCs w:val="18"/>
        </w:rPr>
      </w:pPr>
      <w:r w:rsidRPr="00C5308E">
        <w:rPr>
          <w:rFonts w:ascii="Verdana" w:hAnsi="Verdana"/>
          <w:bCs/>
          <w:sz w:val="18"/>
          <w:szCs w:val="18"/>
        </w:rPr>
        <w:t>Welk aandeel van de zzp’ers geeft aan 'gedwongen zzp'er' te zijn (door ontslag of gebrek aan vaste baan)?</w:t>
      </w:r>
    </w:p>
    <w:p w:rsidRPr="00C5308E" w:rsidR="003A3DFD" w:rsidP="00D87753" w:rsidRDefault="003A3DFD" w14:paraId="4F6F62C3" w14:textId="77777777">
      <w:pPr>
        <w:spacing w:after="0" w:line="240" w:lineRule="auto"/>
        <w:contextualSpacing/>
        <w:rPr>
          <w:rFonts w:ascii="Verdana" w:hAnsi="Verdana"/>
          <w:bCs/>
          <w:sz w:val="18"/>
          <w:szCs w:val="18"/>
        </w:rPr>
      </w:pPr>
    </w:p>
    <w:p w:rsidRPr="00C5308E" w:rsidR="003A3DFD" w:rsidP="00D87753" w:rsidRDefault="003A3DFD" w14:paraId="7F2CC10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29</w:t>
      </w:r>
    </w:p>
    <w:p w:rsidRPr="00C5308E" w:rsidR="003A3DFD" w:rsidP="00D87753" w:rsidRDefault="003A3DFD" w14:paraId="72F73DB4" w14:textId="77777777">
      <w:pPr>
        <w:spacing w:after="0" w:line="240" w:lineRule="auto"/>
        <w:contextualSpacing/>
        <w:rPr>
          <w:rFonts w:ascii="Verdana" w:hAnsi="Verdana"/>
          <w:bCs/>
          <w:sz w:val="18"/>
          <w:szCs w:val="18"/>
        </w:rPr>
      </w:pPr>
      <w:r w:rsidRPr="00C5308E">
        <w:rPr>
          <w:rFonts w:ascii="Verdana" w:hAnsi="Verdana"/>
          <w:bCs/>
          <w:sz w:val="18"/>
          <w:szCs w:val="18"/>
        </w:rPr>
        <w:t xml:space="preserve">Hier zijn geen exacte cijfers van beschikbaar. Wel kunnen we op basis van enquêtecijfers inzicht geven in de keuze om zelfstandige te zijn. Zo geeft 1 op de 10 zelfstandigen aan dat wanneer zij vrij mochten kiezen, ze liever in loondienst zouden werken. </w:t>
      </w:r>
    </w:p>
    <w:p w:rsidRPr="00C5308E" w:rsidR="003A3DFD" w:rsidP="00D87753" w:rsidRDefault="003A3DFD" w14:paraId="120719E8" w14:textId="77777777">
      <w:pPr>
        <w:spacing w:after="0" w:line="240" w:lineRule="auto"/>
        <w:contextualSpacing/>
        <w:rPr>
          <w:rFonts w:ascii="Verdana" w:hAnsi="Verdana"/>
          <w:bCs/>
          <w:sz w:val="18"/>
          <w:szCs w:val="18"/>
        </w:rPr>
      </w:pPr>
    </w:p>
    <w:p w:rsidRPr="00C5308E" w:rsidR="003A3DFD" w:rsidP="00D87753" w:rsidRDefault="003A3DFD" w14:paraId="357981F8" w14:textId="46707785">
      <w:pPr>
        <w:spacing w:after="0" w:line="240" w:lineRule="auto"/>
        <w:contextualSpacing/>
        <w:rPr>
          <w:rFonts w:ascii="Verdana" w:hAnsi="Verdana"/>
          <w:bCs/>
          <w:sz w:val="18"/>
          <w:szCs w:val="18"/>
        </w:rPr>
      </w:pPr>
      <w:r w:rsidRPr="00C5308E">
        <w:rPr>
          <w:rFonts w:ascii="Verdana" w:hAnsi="Verdana"/>
          <w:bCs/>
          <w:sz w:val="18"/>
          <w:szCs w:val="18"/>
        </w:rPr>
        <w:t>Ook geeft een klein deel van de zelfstandigen aan dat zij niet geheel vrijwillig als zelfstandige zijn gaan werken. Wanneer gevraagd wordt naar redenen om als zelfstandige te gaan werken antwoordt 8,6% van de zelfstandigen “ik kon geen geschikte baan vinden als werknemer (in loondienst)”. Voor 6,6% van de zelfstandigen geldt dat zij zelfstandige zijn geworden omdat zij zijn ontslagen of omdat hun vorige contract niet is verlengd. Een op de 25 zelfstandigen geeft aan dat hun werkgever wilde dat zij als zelfstandige gingen werken.</w:t>
      </w:r>
      <w:r w:rsidR="0096314B">
        <w:rPr>
          <w:rStyle w:val="Voetnootmarkering"/>
          <w:rFonts w:ascii="Verdana" w:hAnsi="Verdana"/>
          <w:bCs/>
          <w:sz w:val="18"/>
          <w:szCs w:val="18"/>
        </w:rPr>
        <w:footnoteReference w:id="7"/>
      </w:r>
      <w:r w:rsidRPr="00C5308E">
        <w:rPr>
          <w:rFonts w:ascii="Verdana" w:hAnsi="Verdana"/>
          <w:bCs/>
          <w:sz w:val="18"/>
          <w:szCs w:val="18"/>
        </w:rPr>
        <w:t xml:space="preserve"> </w:t>
      </w:r>
    </w:p>
    <w:p w:rsidRPr="00C5308E" w:rsidR="003A3DFD" w:rsidP="00D87753" w:rsidRDefault="003A3DFD" w14:paraId="0B593067" w14:textId="77777777">
      <w:pPr>
        <w:spacing w:after="0" w:line="240" w:lineRule="auto"/>
        <w:contextualSpacing/>
        <w:rPr>
          <w:rFonts w:ascii="Verdana" w:hAnsi="Verdana"/>
          <w:bCs/>
          <w:sz w:val="18"/>
          <w:szCs w:val="18"/>
        </w:rPr>
      </w:pPr>
    </w:p>
    <w:p w:rsidRPr="00C5308E" w:rsidR="00B72D0B" w:rsidP="00D87753" w:rsidRDefault="00B72D0B" w14:paraId="32CDB5C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30</w:t>
      </w:r>
    </w:p>
    <w:p w:rsidRPr="00C5308E" w:rsidR="00B72D0B" w:rsidP="00D87753" w:rsidRDefault="00B72D0B" w14:paraId="18C41A38" w14:textId="77777777">
      <w:pPr>
        <w:spacing w:line="240" w:lineRule="auto"/>
        <w:contextualSpacing/>
        <w:rPr>
          <w:rFonts w:ascii="Verdana" w:hAnsi="Verdana"/>
          <w:bCs/>
          <w:sz w:val="18"/>
          <w:szCs w:val="18"/>
        </w:rPr>
      </w:pPr>
      <w:r w:rsidRPr="00C5308E">
        <w:rPr>
          <w:rFonts w:ascii="Verdana" w:hAnsi="Verdana"/>
          <w:bCs/>
          <w:sz w:val="18"/>
          <w:szCs w:val="18"/>
        </w:rPr>
        <w:t>Welke fiscale regelingen (zelfstandigenaftrek, startersaftrek, Midden- en kleinbedrijf (Mkb-)winstvrijstelling) gelden voor zzp’ers per 2025? Hoeveel belasting is door zzp’ers afgetrokken via die regelingen in de periode 2015–2024?</w:t>
      </w:r>
    </w:p>
    <w:p w:rsidRPr="00C5308E" w:rsidR="000B30D8" w:rsidP="00D87753" w:rsidRDefault="000B30D8" w14:paraId="794C2D16" w14:textId="77777777">
      <w:pPr>
        <w:spacing w:after="0" w:line="240" w:lineRule="auto"/>
        <w:contextualSpacing/>
        <w:rPr>
          <w:rFonts w:ascii="Verdana" w:hAnsi="Verdana"/>
          <w:bCs/>
          <w:sz w:val="18"/>
          <w:szCs w:val="18"/>
          <w:u w:val="single"/>
        </w:rPr>
      </w:pPr>
    </w:p>
    <w:p w:rsidRPr="00C5308E" w:rsidR="00B72D0B" w:rsidP="00D87753" w:rsidRDefault="00B72D0B" w14:paraId="362E9848" w14:textId="1FC590AE">
      <w:pPr>
        <w:spacing w:after="0" w:line="240" w:lineRule="auto"/>
        <w:contextualSpacing/>
        <w:rPr>
          <w:rFonts w:ascii="Verdana" w:hAnsi="Verdana"/>
          <w:bCs/>
          <w:sz w:val="18"/>
          <w:szCs w:val="18"/>
          <w:u w:val="single"/>
        </w:rPr>
      </w:pPr>
      <w:r w:rsidRPr="00C5308E">
        <w:rPr>
          <w:rFonts w:ascii="Verdana" w:hAnsi="Verdana"/>
          <w:bCs/>
          <w:sz w:val="18"/>
          <w:szCs w:val="18"/>
          <w:u w:val="single"/>
        </w:rPr>
        <w:t>Antwoord 30</w:t>
      </w:r>
    </w:p>
    <w:p w:rsidR="00B72D0B" w:rsidP="00D87753" w:rsidRDefault="00B72D0B" w14:paraId="4CE2A1A7" w14:textId="5007C47E">
      <w:pPr>
        <w:spacing w:line="240" w:lineRule="auto"/>
        <w:contextualSpacing/>
        <w:rPr>
          <w:rFonts w:ascii="Verdana" w:hAnsi="Verdana"/>
          <w:bCs/>
          <w:sz w:val="18"/>
          <w:szCs w:val="18"/>
        </w:rPr>
      </w:pPr>
      <w:r w:rsidRPr="00C5308E">
        <w:rPr>
          <w:rFonts w:ascii="Verdana" w:hAnsi="Verdana"/>
          <w:bCs/>
          <w:sz w:val="18"/>
          <w:szCs w:val="18"/>
        </w:rPr>
        <w:t>Zelfstandigen die daarvoor in aanmerking komen kunnen in 2025 gebruikmaken van de zelfstandigenaftrek, MKB-winstvrijstelling, startersaftrek, startersaftrek voor arbeidsongeschikten, meewerkaftrek, stakingsaftrek, terbeschikkingstellingsvrijstelling, willekeurige afschrijving starters en aftrek speur- en ontwikkelingswerk. Het budgettair belang (</w:t>
      </w:r>
      <w:r w:rsidRPr="00C5308E" w:rsidR="004C0310">
        <w:rPr>
          <w:rFonts w:ascii="Verdana" w:hAnsi="Verdana" w:cs="Times New Roman"/>
          <w:sz w:val="18"/>
          <w:szCs w:val="18"/>
        </w:rPr>
        <w:t>x € 1 mln.</w:t>
      </w:r>
      <w:r w:rsidRPr="00C5308E">
        <w:rPr>
          <w:rFonts w:ascii="Verdana" w:hAnsi="Verdana"/>
          <w:bCs/>
          <w:sz w:val="18"/>
          <w:szCs w:val="18"/>
        </w:rPr>
        <w:t>) van deze regelingen is weergegeven in onderstaande tabel voor de periode 2016-2024.</w:t>
      </w:r>
    </w:p>
    <w:p w:rsidRPr="00C5308E" w:rsidR="003C0271" w:rsidP="00D87753" w:rsidRDefault="003C0271" w14:paraId="2842958B" w14:textId="77777777">
      <w:pPr>
        <w:spacing w:line="240" w:lineRule="auto"/>
        <w:contextualSpacing/>
        <w:rPr>
          <w:rFonts w:ascii="Verdana" w:hAnsi="Verdana"/>
          <w:bCs/>
          <w:sz w:val="18"/>
          <w:szCs w:val="18"/>
        </w:rPr>
      </w:pPr>
    </w:p>
    <w:tbl>
      <w:tblPr>
        <w:tblStyle w:val="Rastertabel4-Accent11"/>
        <w:tblW w:w="0" w:type="auto"/>
        <w:tblLook w:val="04A0" w:firstRow="1" w:lastRow="0" w:firstColumn="1" w:lastColumn="0" w:noHBand="0" w:noVBand="1"/>
      </w:tblPr>
      <w:tblGrid>
        <w:gridCol w:w="2373"/>
        <w:gridCol w:w="674"/>
        <w:gridCol w:w="674"/>
        <w:gridCol w:w="674"/>
        <w:gridCol w:w="674"/>
        <w:gridCol w:w="674"/>
        <w:gridCol w:w="674"/>
        <w:gridCol w:w="674"/>
        <w:gridCol w:w="674"/>
        <w:gridCol w:w="674"/>
      </w:tblGrid>
      <w:tr w:rsidRPr="00C5308E" w:rsidR="00B72D0B" w:rsidTr="003C75FE" w14:paraId="005C8D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2D6073D6" w14:textId="77777777">
            <w:pPr>
              <w:contextualSpacing/>
              <w:rPr>
                <w:b w:val="0"/>
                <w:szCs w:val="18"/>
                <w:lang w:val="nl-NL"/>
              </w:rPr>
            </w:pPr>
          </w:p>
        </w:tc>
        <w:tc>
          <w:tcPr>
            <w:tcW w:w="674" w:type="dxa"/>
          </w:tcPr>
          <w:p w:rsidRPr="00C5308E" w:rsidR="00B72D0B" w:rsidP="00D87753" w:rsidRDefault="00B72D0B" w14:paraId="6848AF5B"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2016</w:t>
            </w:r>
          </w:p>
        </w:tc>
        <w:tc>
          <w:tcPr>
            <w:tcW w:w="674" w:type="dxa"/>
          </w:tcPr>
          <w:p w:rsidRPr="00C5308E" w:rsidR="00B72D0B" w:rsidP="00D87753" w:rsidRDefault="00B72D0B" w14:paraId="477C355D"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2017</w:t>
            </w:r>
          </w:p>
        </w:tc>
        <w:tc>
          <w:tcPr>
            <w:tcW w:w="674" w:type="dxa"/>
          </w:tcPr>
          <w:p w:rsidRPr="00C5308E" w:rsidR="00B72D0B" w:rsidP="00D87753" w:rsidRDefault="00B72D0B" w14:paraId="0317FB91"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2018</w:t>
            </w:r>
          </w:p>
        </w:tc>
        <w:tc>
          <w:tcPr>
            <w:tcW w:w="674" w:type="dxa"/>
          </w:tcPr>
          <w:p w:rsidRPr="00C5308E" w:rsidR="00B72D0B" w:rsidP="00D87753" w:rsidRDefault="00B72D0B" w14:paraId="4A1AA7CB"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2019</w:t>
            </w:r>
          </w:p>
        </w:tc>
        <w:tc>
          <w:tcPr>
            <w:tcW w:w="674" w:type="dxa"/>
          </w:tcPr>
          <w:p w:rsidRPr="00C5308E" w:rsidR="00B72D0B" w:rsidP="00D87753" w:rsidRDefault="00B72D0B" w14:paraId="7BA3E079"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2020</w:t>
            </w:r>
          </w:p>
        </w:tc>
        <w:tc>
          <w:tcPr>
            <w:tcW w:w="674" w:type="dxa"/>
          </w:tcPr>
          <w:p w:rsidRPr="00C5308E" w:rsidR="00B72D0B" w:rsidP="00D87753" w:rsidRDefault="00B72D0B" w14:paraId="58E78EF9"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2021</w:t>
            </w:r>
          </w:p>
        </w:tc>
        <w:tc>
          <w:tcPr>
            <w:tcW w:w="674" w:type="dxa"/>
          </w:tcPr>
          <w:p w:rsidRPr="00C5308E" w:rsidR="00B72D0B" w:rsidP="00D87753" w:rsidRDefault="00B72D0B" w14:paraId="4664BA9A"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2022</w:t>
            </w:r>
          </w:p>
        </w:tc>
        <w:tc>
          <w:tcPr>
            <w:tcW w:w="674" w:type="dxa"/>
          </w:tcPr>
          <w:p w:rsidRPr="00C5308E" w:rsidR="00B72D0B" w:rsidP="00D87753" w:rsidRDefault="00B72D0B" w14:paraId="21577F1D"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2023</w:t>
            </w:r>
          </w:p>
        </w:tc>
        <w:tc>
          <w:tcPr>
            <w:tcW w:w="674" w:type="dxa"/>
          </w:tcPr>
          <w:p w:rsidRPr="00C5308E" w:rsidR="00B72D0B" w:rsidP="00D87753" w:rsidRDefault="00B72D0B" w14:paraId="34B434DB"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2024</w:t>
            </w:r>
          </w:p>
        </w:tc>
      </w:tr>
      <w:tr w:rsidRPr="00C5308E" w:rsidR="00B72D0B" w:rsidTr="003C75FE" w14:paraId="693A09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79B3F0B3" w14:textId="77777777">
            <w:pPr>
              <w:contextualSpacing/>
              <w:rPr>
                <w:b w:val="0"/>
                <w:szCs w:val="18"/>
                <w:lang w:val="nl-NL"/>
              </w:rPr>
            </w:pPr>
            <w:r w:rsidRPr="00C5308E">
              <w:rPr>
                <w:b w:val="0"/>
                <w:szCs w:val="18"/>
                <w:lang w:val="nl-NL"/>
              </w:rPr>
              <w:t>Zelfstandigenaftrek</w:t>
            </w:r>
          </w:p>
        </w:tc>
        <w:tc>
          <w:tcPr>
            <w:tcW w:w="674" w:type="dxa"/>
          </w:tcPr>
          <w:p w:rsidRPr="00C5308E" w:rsidR="00B72D0B" w:rsidP="00D87753" w:rsidRDefault="00B72D0B" w14:paraId="0725EE7B"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1652</w:t>
            </w:r>
          </w:p>
        </w:tc>
        <w:tc>
          <w:tcPr>
            <w:tcW w:w="674" w:type="dxa"/>
          </w:tcPr>
          <w:p w:rsidRPr="00C5308E" w:rsidR="00B72D0B" w:rsidP="00D87753" w:rsidRDefault="00B72D0B" w14:paraId="553A9250"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1769</w:t>
            </w:r>
          </w:p>
        </w:tc>
        <w:tc>
          <w:tcPr>
            <w:tcW w:w="674" w:type="dxa"/>
          </w:tcPr>
          <w:p w:rsidRPr="00C5308E" w:rsidR="00B72D0B" w:rsidP="00D87753" w:rsidRDefault="00B72D0B" w14:paraId="430BF8A7"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1882</w:t>
            </w:r>
          </w:p>
        </w:tc>
        <w:tc>
          <w:tcPr>
            <w:tcW w:w="674" w:type="dxa"/>
          </w:tcPr>
          <w:p w:rsidRPr="00C5308E" w:rsidR="00B72D0B" w:rsidP="00D87753" w:rsidRDefault="00B72D0B" w14:paraId="3D4F0698"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1860</w:t>
            </w:r>
          </w:p>
        </w:tc>
        <w:tc>
          <w:tcPr>
            <w:tcW w:w="674" w:type="dxa"/>
          </w:tcPr>
          <w:p w:rsidRPr="00C5308E" w:rsidR="00B72D0B" w:rsidP="00D87753" w:rsidRDefault="00B72D0B" w14:paraId="1BBCCC96"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1752</w:t>
            </w:r>
          </w:p>
        </w:tc>
        <w:tc>
          <w:tcPr>
            <w:tcW w:w="674" w:type="dxa"/>
          </w:tcPr>
          <w:p w:rsidRPr="00C5308E" w:rsidR="00B72D0B" w:rsidP="00D87753" w:rsidRDefault="00B72D0B" w14:paraId="35016864"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1692</w:t>
            </w:r>
          </w:p>
        </w:tc>
        <w:tc>
          <w:tcPr>
            <w:tcW w:w="674" w:type="dxa"/>
          </w:tcPr>
          <w:p w:rsidRPr="00C5308E" w:rsidR="00B72D0B" w:rsidP="00D87753" w:rsidRDefault="00B72D0B" w14:paraId="120E8C43"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1701</w:t>
            </w:r>
          </w:p>
        </w:tc>
        <w:tc>
          <w:tcPr>
            <w:tcW w:w="674" w:type="dxa"/>
          </w:tcPr>
          <w:p w:rsidRPr="00C5308E" w:rsidR="00B72D0B" w:rsidP="00D87753" w:rsidRDefault="00B72D0B" w14:paraId="5327A833"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1367</w:t>
            </w:r>
          </w:p>
        </w:tc>
        <w:tc>
          <w:tcPr>
            <w:tcW w:w="674" w:type="dxa"/>
          </w:tcPr>
          <w:p w:rsidRPr="00C5308E" w:rsidR="00B72D0B" w:rsidP="00D87753" w:rsidRDefault="00B72D0B" w14:paraId="336C9FC5"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1055</w:t>
            </w:r>
          </w:p>
        </w:tc>
      </w:tr>
      <w:tr w:rsidRPr="00C5308E" w:rsidR="00B72D0B" w:rsidTr="003C75FE" w14:paraId="0F0DE38E" w14:textId="77777777">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729DAB9C" w14:textId="77777777">
            <w:pPr>
              <w:contextualSpacing/>
              <w:rPr>
                <w:b w:val="0"/>
                <w:szCs w:val="18"/>
                <w:lang w:val="nl-NL"/>
              </w:rPr>
            </w:pPr>
            <w:r w:rsidRPr="00C5308E">
              <w:rPr>
                <w:b w:val="0"/>
                <w:szCs w:val="18"/>
                <w:lang w:val="nl-NL"/>
              </w:rPr>
              <w:t>MKB-winstvrijstelling</w:t>
            </w:r>
          </w:p>
        </w:tc>
        <w:tc>
          <w:tcPr>
            <w:tcW w:w="674" w:type="dxa"/>
          </w:tcPr>
          <w:p w:rsidRPr="00C5308E" w:rsidR="00B72D0B" w:rsidP="00D87753" w:rsidRDefault="00B72D0B" w14:paraId="25CD802D"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1688</w:t>
            </w:r>
          </w:p>
        </w:tc>
        <w:tc>
          <w:tcPr>
            <w:tcW w:w="674" w:type="dxa"/>
          </w:tcPr>
          <w:p w:rsidRPr="00C5308E" w:rsidR="00B72D0B" w:rsidP="00D87753" w:rsidRDefault="00B72D0B" w14:paraId="57BB059A"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1864</w:t>
            </w:r>
          </w:p>
        </w:tc>
        <w:tc>
          <w:tcPr>
            <w:tcW w:w="674" w:type="dxa"/>
          </w:tcPr>
          <w:p w:rsidRPr="00C5308E" w:rsidR="00B72D0B" w:rsidP="00D87753" w:rsidRDefault="00B72D0B" w14:paraId="3CD2DB2F"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2031</w:t>
            </w:r>
          </w:p>
        </w:tc>
        <w:tc>
          <w:tcPr>
            <w:tcW w:w="674" w:type="dxa"/>
          </w:tcPr>
          <w:p w:rsidRPr="00C5308E" w:rsidR="00B72D0B" w:rsidP="00D87753" w:rsidRDefault="00B72D0B" w14:paraId="002F65AE"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2129</w:t>
            </w:r>
          </w:p>
        </w:tc>
        <w:tc>
          <w:tcPr>
            <w:tcW w:w="674" w:type="dxa"/>
          </w:tcPr>
          <w:p w:rsidRPr="00C5308E" w:rsidR="00B72D0B" w:rsidP="00D87753" w:rsidRDefault="00B72D0B" w14:paraId="355C8241"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2003</w:t>
            </w:r>
          </w:p>
        </w:tc>
        <w:tc>
          <w:tcPr>
            <w:tcW w:w="674" w:type="dxa"/>
          </w:tcPr>
          <w:p w:rsidRPr="00C5308E" w:rsidR="00B72D0B" w:rsidP="00D87753" w:rsidRDefault="00B72D0B" w14:paraId="38FDBA60"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2193</w:t>
            </w:r>
          </w:p>
        </w:tc>
        <w:tc>
          <w:tcPr>
            <w:tcW w:w="674" w:type="dxa"/>
          </w:tcPr>
          <w:p w:rsidRPr="00C5308E" w:rsidR="00B72D0B" w:rsidP="00D87753" w:rsidRDefault="00B72D0B" w14:paraId="78E3D707"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2415</w:t>
            </w:r>
          </w:p>
        </w:tc>
        <w:tc>
          <w:tcPr>
            <w:tcW w:w="674" w:type="dxa"/>
          </w:tcPr>
          <w:p w:rsidRPr="00C5308E" w:rsidR="00B72D0B" w:rsidP="00D87753" w:rsidRDefault="00B72D0B" w14:paraId="57BD25CC"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2501</w:t>
            </w:r>
          </w:p>
        </w:tc>
        <w:tc>
          <w:tcPr>
            <w:tcW w:w="674" w:type="dxa"/>
          </w:tcPr>
          <w:p w:rsidRPr="00C5308E" w:rsidR="00B72D0B" w:rsidP="00D87753" w:rsidRDefault="00B72D0B" w14:paraId="0E5FDF80"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2538</w:t>
            </w:r>
          </w:p>
        </w:tc>
      </w:tr>
      <w:tr w:rsidRPr="00C5308E" w:rsidR="00B72D0B" w:rsidTr="003C75FE" w14:paraId="0E9DBD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22DF7EF4" w14:textId="77777777">
            <w:pPr>
              <w:contextualSpacing/>
              <w:rPr>
                <w:b w:val="0"/>
                <w:szCs w:val="18"/>
                <w:lang w:val="nl-NL"/>
              </w:rPr>
            </w:pPr>
            <w:r w:rsidRPr="00C5308E">
              <w:rPr>
                <w:b w:val="0"/>
                <w:szCs w:val="18"/>
                <w:lang w:val="nl-NL"/>
              </w:rPr>
              <w:t>Startersaftrek</w:t>
            </w:r>
          </w:p>
        </w:tc>
        <w:tc>
          <w:tcPr>
            <w:tcW w:w="674" w:type="dxa"/>
          </w:tcPr>
          <w:p w:rsidRPr="00C5308E" w:rsidR="00B72D0B" w:rsidP="00D87753" w:rsidRDefault="00B72D0B" w14:paraId="73160B3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95</w:t>
            </w:r>
          </w:p>
        </w:tc>
        <w:tc>
          <w:tcPr>
            <w:tcW w:w="674" w:type="dxa"/>
          </w:tcPr>
          <w:p w:rsidRPr="00C5308E" w:rsidR="00B72D0B" w:rsidP="00D87753" w:rsidRDefault="00B72D0B" w14:paraId="2FBA10A2"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99</w:t>
            </w:r>
          </w:p>
        </w:tc>
        <w:tc>
          <w:tcPr>
            <w:tcW w:w="674" w:type="dxa"/>
          </w:tcPr>
          <w:p w:rsidRPr="00C5308E" w:rsidR="00B72D0B" w:rsidP="00D87753" w:rsidRDefault="00B72D0B" w14:paraId="101CD8DE"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108</w:t>
            </w:r>
          </w:p>
        </w:tc>
        <w:tc>
          <w:tcPr>
            <w:tcW w:w="674" w:type="dxa"/>
          </w:tcPr>
          <w:p w:rsidRPr="00C5308E" w:rsidR="00B72D0B" w:rsidP="00D87753" w:rsidRDefault="00B72D0B" w14:paraId="3DB87119"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110</w:t>
            </w:r>
          </w:p>
        </w:tc>
        <w:tc>
          <w:tcPr>
            <w:tcW w:w="674" w:type="dxa"/>
          </w:tcPr>
          <w:p w:rsidRPr="00C5308E" w:rsidR="00B72D0B" w:rsidP="00D87753" w:rsidRDefault="00B72D0B" w14:paraId="67D7AB9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109</w:t>
            </w:r>
          </w:p>
        </w:tc>
        <w:tc>
          <w:tcPr>
            <w:tcW w:w="674" w:type="dxa"/>
          </w:tcPr>
          <w:p w:rsidRPr="00C5308E" w:rsidR="00B72D0B" w:rsidP="00D87753" w:rsidRDefault="00B72D0B" w14:paraId="57DF9694"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110</w:t>
            </w:r>
          </w:p>
        </w:tc>
        <w:tc>
          <w:tcPr>
            <w:tcW w:w="674" w:type="dxa"/>
          </w:tcPr>
          <w:p w:rsidRPr="00C5308E" w:rsidR="00B72D0B" w:rsidP="00D87753" w:rsidRDefault="00B72D0B" w14:paraId="37A07ED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120</w:t>
            </w:r>
          </w:p>
        </w:tc>
        <w:tc>
          <w:tcPr>
            <w:tcW w:w="674" w:type="dxa"/>
          </w:tcPr>
          <w:p w:rsidRPr="00C5308E" w:rsidR="00B72D0B" w:rsidP="00D87753" w:rsidRDefault="00B72D0B" w14:paraId="232FA89F"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120</w:t>
            </w:r>
          </w:p>
        </w:tc>
        <w:tc>
          <w:tcPr>
            <w:tcW w:w="674" w:type="dxa"/>
          </w:tcPr>
          <w:p w:rsidRPr="00C5308E" w:rsidR="00B72D0B" w:rsidP="00D87753" w:rsidRDefault="00B72D0B" w14:paraId="7664A869"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123</w:t>
            </w:r>
          </w:p>
        </w:tc>
      </w:tr>
      <w:tr w:rsidRPr="00C5308E" w:rsidR="00B72D0B" w:rsidTr="003C75FE" w14:paraId="5508741F" w14:textId="77777777">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5477082E" w14:textId="77777777">
            <w:pPr>
              <w:contextualSpacing/>
              <w:rPr>
                <w:b w:val="0"/>
                <w:szCs w:val="18"/>
                <w:lang w:val="nl-NL"/>
              </w:rPr>
            </w:pPr>
            <w:r w:rsidRPr="00C5308E">
              <w:rPr>
                <w:b w:val="0"/>
                <w:szCs w:val="18"/>
                <w:lang w:val="nl-NL"/>
              </w:rPr>
              <w:t>Startersaftrek bij arbeidsongeschiktheid*</w:t>
            </w:r>
          </w:p>
        </w:tc>
        <w:tc>
          <w:tcPr>
            <w:tcW w:w="674" w:type="dxa"/>
          </w:tcPr>
          <w:p w:rsidRPr="00C5308E" w:rsidR="00B72D0B" w:rsidP="00D87753" w:rsidRDefault="00B72D0B" w14:paraId="7581B3A9"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0BD64A44"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36EBCD86"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0F3857B6"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7F89A646"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w:t>
            </w:r>
          </w:p>
        </w:tc>
        <w:tc>
          <w:tcPr>
            <w:tcW w:w="674" w:type="dxa"/>
          </w:tcPr>
          <w:p w:rsidRPr="00C5308E" w:rsidR="00B72D0B" w:rsidP="00D87753" w:rsidRDefault="00B72D0B" w14:paraId="5EBCBE5E"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w:t>
            </w:r>
          </w:p>
        </w:tc>
        <w:tc>
          <w:tcPr>
            <w:tcW w:w="674" w:type="dxa"/>
          </w:tcPr>
          <w:p w:rsidRPr="00C5308E" w:rsidR="00B72D0B" w:rsidP="00D87753" w:rsidRDefault="00B72D0B" w14:paraId="09E00E91"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w:t>
            </w:r>
          </w:p>
        </w:tc>
        <w:tc>
          <w:tcPr>
            <w:tcW w:w="674" w:type="dxa"/>
          </w:tcPr>
          <w:p w:rsidRPr="00C5308E" w:rsidR="00B72D0B" w:rsidP="00D87753" w:rsidRDefault="00B72D0B" w14:paraId="739B9229"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w:t>
            </w:r>
          </w:p>
        </w:tc>
        <w:tc>
          <w:tcPr>
            <w:tcW w:w="674" w:type="dxa"/>
          </w:tcPr>
          <w:p w:rsidRPr="00C5308E" w:rsidR="00B72D0B" w:rsidP="00D87753" w:rsidRDefault="00B72D0B" w14:paraId="324325A8"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w:t>
            </w:r>
          </w:p>
        </w:tc>
      </w:tr>
      <w:tr w:rsidRPr="00C5308E" w:rsidR="00B72D0B" w:rsidTr="003C75FE" w14:paraId="612CAB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405BBE26" w14:textId="77777777">
            <w:pPr>
              <w:contextualSpacing/>
              <w:rPr>
                <w:b w:val="0"/>
                <w:szCs w:val="18"/>
                <w:lang w:val="nl-NL"/>
              </w:rPr>
            </w:pPr>
            <w:r w:rsidRPr="00C5308E">
              <w:rPr>
                <w:b w:val="0"/>
                <w:szCs w:val="18"/>
                <w:lang w:val="nl-NL"/>
              </w:rPr>
              <w:lastRenderedPageBreak/>
              <w:t>Meewerkaftrek</w:t>
            </w:r>
          </w:p>
        </w:tc>
        <w:tc>
          <w:tcPr>
            <w:tcW w:w="674" w:type="dxa"/>
          </w:tcPr>
          <w:p w:rsidRPr="00C5308E" w:rsidR="00B72D0B" w:rsidP="00D87753" w:rsidRDefault="00B72D0B" w14:paraId="1A9A9F6F"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w:t>
            </w:r>
          </w:p>
        </w:tc>
        <w:tc>
          <w:tcPr>
            <w:tcW w:w="674" w:type="dxa"/>
          </w:tcPr>
          <w:p w:rsidRPr="00C5308E" w:rsidR="00B72D0B" w:rsidP="00D87753" w:rsidRDefault="00B72D0B" w14:paraId="38E320D1"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w:t>
            </w:r>
          </w:p>
        </w:tc>
        <w:tc>
          <w:tcPr>
            <w:tcW w:w="674" w:type="dxa"/>
          </w:tcPr>
          <w:p w:rsidRPr="00C5308E" w:rsidR="00B72D0B" w:rsidP="00D87753" w:rsidRDefault="00B72D0B" w14:paraId="7C6ED44E"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w:t>
            </w:r>
          </w:p>
        </w:tc>
        <w:tc>
          <w:tcPr>
            <w:tcW w:w="674" w:type="dxa"/>
          </w:tcPr>
          <w:p w:rsidRPr="00C5308E" w:rsidR="00B72D0B" w:rsidP="00D87753" w:rsidRDefault="00B72D0B" w14:paraId="42D3A122"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w:t>
            </w:r>
          </w:p>
        </w:tc>
        <w:tc>
          <w:tcPr>
            <w:tcW w:w="674" w:type="dxa"/>
          </w:tcPr>
          <w:p w:rsidRPr="00C5308E" w:rsidR="00B72D0B" w:rsidP="00D87753" w:rsidRDefault="00B72D0B" w14:paraId="4BD9654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6E100D8B"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78E46DC7"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6E5454D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34489FF1"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7</w:t>
            </w:r>
          </w:p>
        </w:tc>
      </w:tr>
      <w:tr w:rsidRPr="00C5308E" w:rsidR="00B72D0B" w:rsidTr="003C75FE" w14:paraId="2A5F4B24" w14:textId="77777777">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09BE399C" w14:textId="77777777">
            <w:pPr>
              <w:contextualSpacing/>
              <w:rPr>
                <w:b w:val="0"/>
                <w:szCs w:val="18"/>
                <w:lang w:val="nl-NL"/>
              </w:rPr>
            </w:pPr>
            <w:r w:rsidRPr="00C5308E">
              <w:rPr>
                <w:b w:val="0"/>
                <w:szCs w:val="18"/>
                <w:lang w:val="nl-NL"/>
              </w:rPr>
              <w:t>Stakingsaftrek</w:t>
            </w:r>
          </w:p>
        </w:tc>
        <w:tc>
          <w:tcPr>
            <w:tcW w:w="674" w:type="dxa"/>
          </w:tcPr>
          <w:p w:rsidRPr="00C5308E" w:rsidR="00B72D0B" w:rsidP="00D87753" w:rsidRDefault="00B72D0B" w14:paraId="61B4D309"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15</w:t>
            </w:r>
          </w:p>
        </w:tc>
        <w:tc>
          <w:tcPr>
            <w:tcW w:w="674" w:type="dxa"/>
          </w:tcPr>
          <w:p w:rsidRPr="00C5308E" w:rsidR="00B72D0B" w:rsidP="00D87753" w:rsidRDefault="00B72D0B" w14:paraId="7110F767"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16</w:t>
            </w:r>
          </w:p>
        </w:tc>
        <w:tc>
          <w:tcPr>
            <w:tcW w:w="674" w:type="dxa"/>
          </w:tcPr>
          <w:p w:rsidRPr="00C5308E" w:rsidR="00B72D0B" w:rsidP="00D87753" w:rsidRDefault="00B72D0B" w14:paraId="32F02347"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18</w:t>
            </w:r>
          </w:p>
        </w:tc>
        <w:tc>
          <w:tcPr>
            <w:tcW w:w="674" w:type="dxa"/>
          </w:tcPr>
          <w:p w:rsidRPr="00C5308E" w:rsidR="00B72D0B" w:rsidP="00D87753" w:rsidRDefault="00B72D0B" w14:paraId="4186342F"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17</w:t>
            </w:r>
          </w:p>
        </w:tc>
        <w:tc>
          <w:tcPr>
            <w:tcW w:w="674" w:type="dxa"/>
          </w:tcPr>
          <w:p w:rsidRPr="00C5308E" w:rsidR="00B72D0B" w:rsidP="00D87753" w:rsidRDefault="00B72D0B" w14:paraId="548CBD4C"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17</w:t>
            </w:r>
          </w:p>
        </w:tc>
        <w:tc>
          <w:tcPr>
            <w:tcW w:w="674" w:type="dxa"/>
          </w:tcPr>
          <w:p w:rsidRPr="00C5308E" w:rsidR="00B72D0B" w:rsidP="00D87753" w:rsidRDefault="00B72D0B" w14:paraId="3646FEBA"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17</w:t>
            </w:r>
          </w:p>
        </w:tc>
        <w:tc>
          <w:tcPr>
            <w:tcW w:w="674" w:type="dxa"/>
          </w:tcPr>
          <w:p w:rsidRPr="00C5308E" w:rsidR="00B72D0B" w:rsidP="00D87753" w:rsidRDefault="00B72D0B" w14:paraId="5CA6F18C"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17</w:t>
            </w:r>
          </w:p>
        </w:tc>
        <w:tc>
          <w:tcPr>
            <w:tcW w:w="674" w:type="dxa"/>
          </w:tcPr>
          <w:p w:rsidRPr="00C5308E" w:rsidR="00B72D0B" w:rsidP="00D87753" w:rsidRDefault="00B72D0B" w14:paraId="0B8D68BF"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17</w:t>
            </w:r>
          </w:p>
        </w:tc>
        <w:tc>
          <w:tcPr>
            <w:tcW w:w="674" w:type="dxa"/>
          </w:tcPr>
          <w:p w:rsidRPr="00C5308E" w:rsidR="00B72D0B" w:rsidP="00D87753" w:rsidRDefault="00B72D0B" w14:paraId="4AF8158B"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18</w:t>
            </w:r>
          </w:p>
        </w:tc>
      </w:tr>
      <w:tr w:rsidRPr="00C5308E" w:rsidR="00B72D0B" w:rsidTr="003C75FE" w14:paraId="4F07B1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24D26F29" w14:textId="77777777">
            <w:pPr>
              <w:contextualSpacing/>
              <w:rPr>
                <w:b w:val="0"/>
                <w:szCs w:val="18"/>
                <w:lang w:val="nl-NL"/>
              </w:rPr>
            </w:pPr>
            <w:r w:rsidRPr="00C5308E">
              <w:rPr>
                <w:b w:val="0"/>
                <w:szCs w:val="18"/>
                <w:lang w:val="nl-NL"/>
              </w:rPr>
              <w:t>Terbeschikkingstellings-vrijstelling</w:t>
            </w:r>
          </w:p>
        </w:tc>
        <w:tc>
          <w:tcPr>
            <w:tcW w:w="674" w:type="dxa"/>
          </w:tcPr>
          <w:p w:rsidRPr="00C5308E" w:rsidR="00B72D0B" w:rsidP="00D87753" w:rsidRDefault="00B72D0B" w14:paraId="37FF2B85"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19</w:t>
            </w:r>
          </w:p>
        </w:tc>
        <w:tc>
          <w:tcPr>
            <w:tcW w:w="674" w:type="dxa"/>
          </w:tcPr>
          <w:p w:rsidRPr="00C5308E" w:rsidR="00B72D0B" w:rsidP="00D87753" w:rsidRDefault="00B72D0B" w14:paraId="53356CED"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18</w:t>
            </w:r>
          </w:p>
        </w:tc>
        <w:tc>
          <w:tcPr>
            <w:tcW w:w="674" w:type="dxa"/>
          </w:tcPr>
          <w:p w:rsidRPr="00C5308E" w:rsidR="00B72D0B" w:rsidP="00D87753" w:rsidRDefault="00B72D0B" w14:paraId="43A0913F"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21</w:t>
            </w:r>
          </w:p>
        </w:tc>
        <w:tc>
          <w:tcPr>
            <w:tcW w:w="674" w:type="dxa"/>
          </w:tcPr>
          <w:p w:rsidRPr="00C5308E" w:rsidR="00B72D0B" w:rsidP="00D87753" w:rsidRDefault="00B72D0B" w14:paraId="01F0ECDE"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22</w:t>
            </w:r>
          </w:p>
        </w:tc>
        <w:tc>
          <w:tcPr>
            <w:tcW w:w="674" w:type="dxa"/>
          </w:tcPr>
          <w:p w:rsidRPr="00C5308E" w:rsidR="00B72D0B" w:rsidP="00D87753" w:rsidRDefault="00B72D0B" w14:paraId="12BB9EFF"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21</w:t>
            </w:r>
          </w:p>
        </w:tc>
        <w:tc>
          <w:tcPr>
            <w:tcW w:w="674" w:type="dxa"/>
          </w:tcPr>
          <w:p w:rsidRPr="00C5308E" w:rsidR="00B72D0B" w:rsidP="00D87753" w:rsidRDefault="00B72D0B" w14:paraId="42CF65C5"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22</w:t>
            </w:r>
          </w:p>
        </w:tc>
        <w:tc>
          <w:tcPr>
            <w:tcW w:w="674" w:type="dxa"/>
          </w:tcPr>
          <w:p w:rsidRPr="00C5308E" w:rsidR="00B72D0B" w:rsidP="00D87753" w:rsidRDefault="00B72D0B" w14:paraId="29800BD6"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21</w:t>
            </w:r>
          </w:p>
        </w:tc>
        <w:tc>
          <w:tcPr>
            <w:tcW w:w="674" w:type="dxa"/>
          </w:tcPr>
          <w:p w:rsidRPr="00C5308E" w:rsidR="00B72D0B" w:rsidP="00D87753" w:rsidRDefault="00B72D0B" w14:paraId="3052DF58"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21</w:t>
            </w:r>
          </w:p>
        </w:tc>
        <w:tc>
          <w:tcPr>
            <w:tcW w:w="674" w:type="dxa"/>
          </w:tcPr>
          <w:p w:rsidRPr="00C5308E" w:rsidR="00B72D0B" w:rsidP="00D87753" w:rsidRDefault="00B72D0B" w14:paraId="764EFB32" w14:textId="77777777">
            <w:pPr>
              <w:contextualSpacing/>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22</w:t>
            </w:r>
          </w:p>
        </w:tc>
      </w:tr>
      <w:tr w:rsidRPr="00C5308E" w:rsidR="00B72D0B" w:rsidTr="003C75FE" w14:paraId="36E9A50A" w14:textId="77777777">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75283A2B" w14:textId="77777777">
            <w:pPr>
              <w:contextualSpacing/>
              <w:rPr>
                <w:b w:val="0"/>
                <w:szCs w:val="18"/>
                <w:lang w:val="nl-NL"/>
              </w:rPr>
            </w:pPr>
            <w:r w:rsidRPr="00C5308E">
              <w:rPr>
                <w:b w:val="0"/>
                <w:szCs w:val="18"/>
                <w:lang w:val="nl-NL"/>
              </w:rPr>
              <w:t>Willekeurige afschrijving starters*</w:t>
            </w:r>
          </w:p>
        </w:tc>
        <w:tc>
          <w:tcPr>
            <w:tcW w:w="674" w:type="dxa"/>
          </w:tcPr>
          <w:p w:rsidRPr="00C5308E" w:rsidR="00B72D0B" w:rsidP="00D87753" w:rsidRDefault="00B72D0B" w14:paraId="234C73DE"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4705C305"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43177992"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769FBF4F"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p>
        </w:tc>
        <w:tc>
          <w:tcPr>
            <w:tcW w:w="674" w:type="dxa"/>
          </w:tcPr>
          <w:p w:rsidRPr="00C5308E" w:rsidR="00B72D0B" w:rsidP="00D87753" w:rsidRDefault="00B72D0B" w14:paraId="697B41C4"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3896F703"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128EFCC5"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7</w:t>
            </w:r>
          </w:p>
        </w:tc>
        <w:tc>
          <w:tcPr>
            <w:tcW w:w="674" w:type="dxa"/>
          </w:tcPr>
          <w:p w:rsidRPr="00C5308E" w:rsidR="00B72D0B" w:rsidP="00D87753" w:rsidRDefault="00B72D0B" w14:paraId="1283BA68"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8</w:t>
            </w:r>
          </w:p>
        </w:tc>
        <w:tc>
          <w:tcPr>
            <w:tcW w:w="674" w:type="dxa"/>
          </w:tcPr>
          <w:p w:rsidRPr="00C5308E" w:rsidR="00B72D0B" w:rsidP="00D87753" w:rsidRDefault="00B72D0B" w14:paraId="6292DB08" w14:textId="77777777">
            <w:pPr>
              <w:contextualSpacing/>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8</w:t>
            </w:r>
          </w:p>
        </w:tc>
      </w:tr>
      <w:tr w:rsidRPr="00C5308E" w:rsidR="00B72D0B" w:rsidTr="003C75FE" w14:paraId="0C31F6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C5308E" w:rsidR="00B72D0B" w:rsidP="00D87753" w:rsidRDefault="00B72D0B" w14:paraId="3C6D3006" w14:textId="77777777">
            <w:pPr>
              <w:contextualSpacing/>
              <w:rPr>
                <w:b w:val="0"/>
                <w:sz w:val="16"/>
                <w:szCs w:val="16"/>
                <w:lang w:val="nl-NL"/>
              </w:rPr>
            </w:pPr>
            <w:r w:rsidRPr="00C5308E">
              <w:rPr>
                <w:b w:val="0"/>
                <w:sz w:val="16"/>
                <w:szCs w:val="16"/>
                <w:lang w:val="nl-NL"/>
              </w:rPr>
              <w:t>Aftrek speur- en ontwikkelingswerk*</w:t>
            </w:r>
          </w:p>
        </w:tc>
        <w:tc>
          <w:tcPr>
            <w:tcW w:w="674" w:type="dxa"/>
          </w:tcPr>
          <w:p w:rsidRPr="00C5308E" w:rsidR="00B72D0B" w:rsidP="00D87753" w:rsidRDefault="00B72D0B" w14:paraId="43D82348"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p>
        </w:tc>
        <w:tc>
          <w:tcPr>
            <w:tcW w:w="674" w:type="dxa"/>
          </w:tcPr>
          <w:p w:rsidRPr="00C5308E" w:rsidR="00B72D0B" w:rsidP="00D87753" w:rsidRDefault="00B72D0B" w14:paraId="55CE5779"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p>
        </w:tc>
        <w:tc>
          <w:tcPr>
            <w:tcW w:w="674" w:type="dxa"/>
          </w:tcPr>
          <w:p w:rsidRPr="00C5308E" w:rsidR="00B72D0B" w:rsidP="00D87753" w:rsidRDefault="00B72D0B" w14:paraId="67FEA062"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p>
        </w:tc>
        <w:tc>
          <w:tcPr>
            <w:tcW w:w="674" w:type="dxa"/>
          </w:tcPr>
          <w:p w:rsidRPr="00C5308E" w:rsidR="00B72D0B" w:rsidP="00D87753" w:rsidRDefault="00B72D0B" w14:paraId="2E5BD13B"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p>
        </w:tc>
        <w:tc>
          <w:tcPr>
            <w:tcW w:w="674" w:type="dxa"/>
          </w:tcPr>
          <w:p w:rsidRPr="00C5308E" w:rsidR="00B72D0B" w:rsidP="00D87753" w:rsidRDefault="00B72D0B" w14:paraId="1376810E"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r w:rsidRPr="00C5308E">
              <w:rPr>
                <w:bCs/>
                <w:sz w:val="16"/>
                <w:szCs w:val="16"/>
                <w:lang w:val="nl-NL"/>
              </w:rPr>
              <w:t>5</w:t>
            </w:r>
          </w:p>
        </w:tc>
        <w:tc>
          <w:tcPr>
            <w:tcW w:w="674" w:type="dxa"/>
          </w:tcPr>
          <w:p w:rsidRPr="00C5308E" w:rsidR="00B72D0B" w:rsidP="00D87753" w:rsidRDefault="00B72D0B" w14:paraId="4441A78A"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r w:rsidRPr="00C5308E">
              <w:rPr>
                <w:bCs/>
                <w:sz w:val="16"/>
                <w:szCs w:val="16"/>
                <w:lang w:val="nl-NL"/>
              </w:rPr>
              <w:t>4</w:t>
            </w:r>
          </w:p>
        </w:tc>
        <w:tc>
          <w:tcPr>
            <w:tcW w:w="674" w:type="dxa"/>
          </w:tcPr>
          <w:p w:rsidRPr="00C5308E" w:rsidR="00B72D0B" w:rsidP="00D87753" w:rsidRDefault="00B72D0B" w14:paraId="25C52E7A"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r w:rsidRPr="00C5308E">
              <w:rPr>
                <w:bCs/>
                <w:sz w:val="16"/>
                <w:szCs w:val="16"/>
                <w:lang w:val="nl-NL"/>
              </w:rPr>
              <w:t>4</w:t>
            </w:r>
          </w:p>
        </w:tc>
        <w:tc>
          <w:tcPr>
            <w:tcW w:w="674" w:type="dxa"/>
          </w:tcPr>
          <w:p w:rsidRPr="00C5308E" w:rsidR="00B72D0B" w:rsidP="00D87753" w:rsidRDefault="00B72D0B" w14:paraId="1894D3E4"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r w:rsidRPr="00C5308E">
              <w:rPr>
                <w:bCs/>
                <w:sz w:val="16"/>
                <w:szCs w:val="16"/>
                <w:lang w:val="nl-NL"/>
              </w:rPr>
              <w:t>4</w:t>
            </w:r>
          </w:p>
        </w:tc>
        <w:tc>
          <w:tcPr>
            <w:tcW w:w="674" w:type="dxa"/>
          </w:tcPr>
          <w:p w:rsidRPr="00C5308E" w:rsidR="00B72D0B" w:rsidP="00D87753" w:rsidRDefault="00B72D0B" w14:paraId="209195F1" w14:textId="77777777">
            <w:pPr>
              <w:contextualSpacing/>
              <w:cnfStyle w:val="000000100000" w:firstRow="0" w:lastRow="0" w:firstColumn="0" w:lastColumn="0" w:oddVBand="0" w:evenVBand="0" w:oddHBand="1" w:evenHBand="0" w:firstRowFirstColumn="0" w:firstRowLastColumn="0" w:lastRowFirstColumn="0" w:lastRowLastColumn="0"/>
              <w:rPr>
                <w:bCs/>
                <w:sz w:val="16"/>
                <w:szCs w:val="16"/>
                <w:lang w:val="nl-NL"/>
              </w:rPr>
            </w:pPr>
            <w:r w:rsidRPr="00C5308E">
              <w:rPr>
                <w:bCs/>
                <w:sz w:val="16"/>
                <w:szCs w:val="16"/>
                <w:lang w:val="nl-NL"/>
              </w:rPr>
              <w:t>4</w:t>
            </w:r>
          </w:p>
        </w:tc>
      </w:tr>
    </w:tbl>
    <w:p w:rsidRPr="00C5308E" w:rsidR="00B72D0B" w:rsidP="00D87753" w:rsidRDefault="00B72D0B" w14:paraId="73C2A0D7" w14:textId="77777777">
      <w:pPr>
        <w:spacing w:line="240" w:lineRule="auto"/>
        <w:contextualSpacing/>
        <w:rPr>
          <w:rFonts w:ascii="Verdana" w:hAnsi="Verdana"/>
          <w:bCs/>
          <w:sz w:val="16"/>
          <w:szCs w:val="16"/>
        </w:rPr>
      </w:pPr>
      <w:r w:rsidRPr="00C5308E">
        <w:rPr>
          <w:rFonts w:ascii="Verdana" w:hAnsi="Verdana"/>
          <w:bCs/>
          <w:sz w:val="16"/>
          <w:szCs w:val="16"/>
        </w:rPr>
        <w:t>*raming voor eerdere jaren niet beschikbaar</w:t>
      </w:r>
    </w:p>
    <w:p w:rsidRPr="00560DA6" w:rsidR="009B531C" w:rsidP="00D87753" w:rsidRDefault="0052736B" w14:paraId="779CB04A" w14:textId="32428700">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w:t>
      </w:r>
      <w:r w:rsidRPr="00560DA6" w:rsidR="00F52087">
        <w:rPr>
          <w:rFonts w:ascii="Verdana" w:hAnsi="Verdana"/>
          <w:bCs/>
          <w:sz w:val="18"/>
          <w:szCs w:val="18"/>
        </w:rPr>
        <w:t>de minister van Financiën.</w:t>
      </w:r>
    </w:p>
    <w:p w:rsidRPr="00C5308E" w:rsidR="0052736B" w:rsidP="00D87753" w:rsidRDefault="0052736B" w14:paraId="1157E5D3" w14:textId="77777777">
      <w:pPr>
        <w:spacing w:after="0" w:line="240" w:lineRule="auto"/>
        <w:contextualSpacing/>
        <w:rPr>
          <w:rFonts w:ascii="Verdana" w:hAnsi="Verdana"/>
          <w:bCs/>
          <w:sz w:val="18"/>
          <w:szCs w:val="18"/>
          <w:u w:val="single"/>
        </w:rPr>
      </w:pPr>
    </w:p>
    <w:p w:rsidRPr="00C5308E" w:rsidR="009B531C" w:rsidP="009B531C" w:rsidRDefault="009B531C" w14:paraId="5EA9AE78" w14:textId="77777777">
      <w:pPr>
        <w:spacing w:after="0" w:line="240" w:lineRule="auto"/>
        <w:rPr>
          <w:rFonts w:ascii="Verdana" w:hAnsi="Verdana"/>
          <w:bCs/>
          <w:sz w:val="18"/>
          <w:szCs w:val="18"/>
          <w:u w:val="single"/>
        </w:rPr>
      </w:pPr>
      <w:r w:rsidRPr="00C5308E">
        <w:rPr>
          <w:rFonts w:ascii="Verdana" w:hAnsi="Verdana"/>
          <w:bCs/>
          <w:sz w:val="18"/>
          <w:szCs w:val="18"/>
          <w:u w:val="single"/>
        </w:rPr>
        <w:t>Vraag 31</w:t>
      </w:r>
    </w:p>
    <w:p w:rsidRPr="00C5308E" w:rsidR="009B531C" w:rsidP="009B531C" w:rsidRDefault="009B531C" w14:paraId="2E972702" w14:textId="77777777">
      <w:pPr>
        <w:spacing w:after="0" w:line="240" w:lineRule="auto"/>
        <w:rPr>
          <w:rFonts w:ascii="Verdana" w:hAnsi="Verdana"/>
          <w:bCs/>
          <w:sz w:val="18"/>
          <w:szCs w:val="18"/>
        </w:rPr>
      </w:pPr>
      <w:r w:rsidRPr="00C5308E">
        <w:rPr>
          <w:rFonts w:ascii="Verdana" w:hAnsi="Verdana"/>
          <w:bCs/>
          <w:sz w:val="18"/>
          <w:szCs w:val="18"/>
        </w:rPr>
        <w:t>Wat is het gemiddelde uurloon of gemiddelde omzet van zzp’ers, naar sector?</w:t>
      </w:r>
    </w:p>
    <w:p w:rsidRPr="00C5308E" w:rsidR="009B531C" w:rsidP="009B531C" w:rsidRDefault="009B531C" w14:paraId="77C04367" w14:textId="77777777">
      <w:pPr>
        <w:spacing w:after="0" w:line="240" w:lineRule="auto"/>
        <w:rPr>
          <w:rFonts w:ascii="Verdana" w:hAnsi="Verdana"/>
          <w:bCs/>
          <w:sz w:val="18"/>
          <w:szCs w:val="18"/>
          <w:u w:val="single"/>
        </w:rPr>
      </w:pPr>
    </w:p>
    <w:p w:rsidRPr="00C5308E" w:rsidR="009B531C" w:rsidP="009B531C" w:rsidRDefault="009B531C" w14:paraId="25E6B1CB" w14:textId="77777777">
      <w:pPr>
        <w:spacing w:after="0" w:line="240" w:lineRule="auto"/>
        <w:rPr>
          <w:rFonts w:ascii="Verdana" w:hAnsi="Verdana"/>
          <w:bCs/>
          <w:sz w:val="18"/>
          <w:szCs w:val="18"/>
          <w:u w:val="single"/>
        </w:rPr>
      </w:pPr>
      <w:r w:rsidRPr="00C5308E">
        <w:rPr>
          <w:rFonts w:ascii="Verdana" w:hAnsi="Verdana"/>
          <w:bCs/>
          <w:sz w:val="18"/>
          <w:szCs w:val="18"/>
          <w:u w:val="single"/>
        </w:rPr>
        <w:t>Antwoord 31</w:t>
      </w:r>
    </w:p>
    <w:p w:rsidRPr="00C5308E" w:rsidR="009B531C" w:rsidP="009B531C" w:rsidRDefault="009B531C" w14:paraId="1E3F7777" w14:textId="77777777">
      <w:pPr>
        <w:spacing w:after="0" w:line="240" w:lineRule="auto"/>
        <w:rPr>
          <w:rFonts w:ascii="Verdana" w:hAnsi="Verdana"/>
          <w:bCs/>
          <w:sz w:val="18"/>
          <w:szCs w:val="18"/>
        </w:rPr>
      </w:pPr>
      <w:r w:rsidRPr="00C5308E">
        <w:rPr>
          <w:rFonts w:ascii="Verdana" w:hAnsi="Verdana"/>
          <w:bCs/>
          <w:sz w:val="18"/>
          <w:szCs w:val="18"/>
        </w:rPr>
        <w:t>Er zijn geen betrouwbare gegevens beschikbaar over de uurtarieven van zelfstandigen.</w:t>
      </w:r>
    </w:p>
    <w:p w:rsidRPr="00C5308E" w:rsidR="009B531C" w:rsidP="009B531C" w:rsidRDefault="009B531C" w14:paraId="03D6C4FC" w14:textId="77777777">
      <w:pPr>
        <w:spacing w:after="0" w:line="240" w:lineRule="auto"/>
        <w:rPr>
          <w:rFonts w:ascii="Verdana" w:hAnsi="Verdana"/>
          <w:bCs/>
          <w:sz w:val="18"/>
          <w:szCs w:val="18"/>
        </w:rPr>
      </w:pPr>
    </w:p>
    <w:p w:rsidRPr="00C5308E" w:rsidR="009B531C" w:rsidP="009B531C" w:rsidRDefault="009B531C" w14:paraId="614FA63A" w14:textId="77777777">
      <w:pPr>
        <w:spacing w:after="0" w:line="240" w:lineRule="auto"/>
        <w:rPr>
          <w:rFonts w:ascii="Verdana" w:hAnsi="Verdana"/>
          <w:bCs/>
          <w:sz w:val="18"/>
          <w:szCs w:val="18"/>
        </w:rPr>
      </w:pPr>
      <w:r w:rsidRPr="00C5308E">
        <w:rPr>
          <w:rFonts w:ascii="Verdana" w:hAnsi="Verdana"/>
          <w:bCs/>
          <w:sz w:val="18"/>
          <w:szCs w:val="18"/>
        </w:rPr>
        <w:t>In onderstaande tabel is het gemiddeld inkomen van zzp’ers opgenomen (waarvan het hoofdinkomen bestaat uit het werk als zzp´er) over 2022 en 2023 uitgesplitst naar bedrijfstak.</w:t>
      </w:r>
    </w:p>
    <w:p w:rsidRPr="00C5308E" w:rsidR="009B531C" w:rsidP="009B531C" w:rsidRDefault="009B531C" w14:paraId="47A8DF21" w14:textId="77777777">
      <w:pPr>
        <w:spacing w:after="0" w:line="240" w:lineRule="auto"/>
        <w:rPr>
          <w:rFonts w:ascii="Verdana" w:hAnsi="Verdana"/>
          <w:bCs/>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3980"/>
        <w:gridCol w:w="1997"/>
        <w:gridCol w:w="2374"/>
      </w:tblGrid>
      <w:tr w:rsidRPr="00C5308E" w:rsidR="009B531C" w:rsidTr="003C75FE" w14:paraId="447D9219" w14:textId="77777777">
        <w:trPr>
          <w:tblHeader/>
        </w:trPr>
        <w:tc>
          <w:tcPr>
            <w:tcW w:w="0" w:type="auto"/>
            <w:vMerge w:val="restart"/>
            <w:tcBorders>
              <w:bottom w:val="nil"/>
            </w:tcBorders>
            <w:shd w:val="clear" w:color="auto" w:fill="FFFFFF"/>
            <w:tcMar>
              <w:top w:w="15" w:type="dxa"/>
              <w:left w:w="75" w:type="dxa"/>
              <w:bottom w:w="15" w:type="dxa"/>
              <w:right w:w="75" w:type="dxa"/>
            </w:tcMar>
            <w:vAlign w:val="center"/>
            <w:hideMark/>
          </w:tcPr>
          <w:p w:rsidRPr="00C5308E" w:rsidR="009B531C" w:rsidP="003C75FE" w:rsidRDefault="009B531C" w14:paraId="3484C995" w14:textId="77777777">
            <w:pPr>
              <w:pBdr>
                <w:top w:val="single" w:color="ECECEC" w:sz="12" w:space="0"/>
                <w:left w:val="single" w:color="ECECEC" w:sz="12" w:space="0"/>
                <w:bottom w:val="single" w:color="ECECEC" w:sz="12" w:space="0"/>
                <w:right w:val="single" w:color="ECECEC" w:sz="12" w:space="0"/>
              </w:pBdr>
              <w:shd w:val="clear" w:color="auto" w:fill="FFFFFF"/>
              <w:spacing w:after="0" w:afterAutospacing="1"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Bedrijfstakken/branches (SBI2008)</w:t>
            </w:r>
          </w:p>
        </w:tc>
        <w:tc>
          <w:tcPr>
            <w:tcW w:w="0" w:type="auto"/>
            <w:gridSpan w:val="2"/>
            <w:tcBorders>
              <w:bottom w:val="single" w:color="ECECEC" w:sz="6" w:space="0"/>
              <w:right w:val="single" w:color="FFFFFF" w:sz="36" w:space="0"/>
            </w:tcBorders>
            <w:shd w:val="clear" w:color="auto" w:fill="FFFFFF"/>
            <w:tcMar>
              <w:top w:w="15" w:type="dxa"/>
              <w:left w:w="75" w:type="dxa"/>
              <w:bottom w:w="15" w:type="dxa"/>
              <w:right w:w="225" w:type="dxa"/>
            </w:tcMar>
            <w:vAlign w:val="bottom"/>
            <w:hideMark/>
          </w:tcPr>
          <w:p w:rsidRPr="00C5308E" w:rsidR="009B531C" w:rsidP="003C75FE" w:rsidRDefault="009B531C" w14:paraId="653635BD"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Zelfstandige, voornaamste inkomen</w:t>
            </w:r>
          </w:p>
          <w:p w:rsidRPr="00C5308E" w:rsidR="009B531C" w:rsidP="003C75FE" w:rsidRDefault="009B531C" w14:paraId="6BB880FA"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Inkomen van zelfstandigen zonder personeel</w:t>
            </w:r>
          </w:p>
          <w:p w:rsidRPr="00C5308E" w:rsidR="009B531C" w:rsidP="003C75FE" w:rsidRDefault="009B531C" w14:paraId="2038F78D"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Gemiddeld inkomen als zelfstandige</w:t>
            </w:r>
          </w:p>
        </w:tc>
      </w:tr>
      <w:tr w:rsidRPr="00C5308E" w:rsidR="009B531C" w:rsidTr="003C75FE" w14:paraId="7BA290A4" w14:textId="77777777">
        <w:trPr>
          <w:tblHeader/>
        </w:trPr>
        <w:tc>
          <w:tcPr>
            <w:tcW w:w="0" w:type="auto"/>
            <w:vMerge/>
            <w:tcBorders>
              <w:bottom w:val="nil"/>
            </w:tcBorders>
            <w:shd w:val="clear" w:color="auto" w:fill="auto"/>
            <w:vAlign w:val="center"/>
            <w:hideMark/>
          </w:tcPr>
          <w:p w:rsidRPr="00C5308E" w:rsidR="009B531C" w:rsidP="003C75FE" w:rsidRDefault="009B531C" w14:paraId="205A9390" w14:textId="77777777">
            <w:pPr>
              <w:spacing w:after="0" w:line="240" w:lineRule="auto"/>
              <w:rPr>
                <w:rFonts w:ascii="Verdana" w:hAnsi="Verdana" w:eastAsia="Times New Roman" w:cs="Times New Roman"/>
                <w:bCs/>
                <w:sz w:val="18"/>
                <w:szCs w:val="18"/>
                <w:lang w:eastAsia="nl-NL"/>
              </w:rPr>
            </w:pPr>
          </w:p>
        </w:tc>
        <w:tc>
          <w:tcPr>
            <w:tcW w:w="0" w:type="auto"/>
            <w:tcBorders>
              <w:bottom w:val="single" w:color="ECECEC" w:sz="6" w:space="0"/>
            </w:tcBorders>
            <w:shd w:val="clear" w:color="auto" w:fill="FFFFFF"/>
            <w:tcMar>
              <w:top w:w="15" w:type="dxa"/>
              <w:left w:w="75" w:type="dxa"/>
              <w:bottom w:w="15" w:type="dxa"/>
              <w:right w:w="75" w:type="dxa"/>
            </w:tcMar>
            <w:vAlign w:val="bottom"/>
            <w:hideMark/>
          </w:tcPr>
          <w:p w:rsidRPr="00C5308E" w:rsidR="009B531C" w:rsidP="003C75FE" w:rsidRDefault="009B531C" w14:paraId="4DDBC3EB" w14:textId="77777777">
            <w:pPr>
              <w:spacing w:after="0" w:line="240" w:lineRule="auto"/>
              <w:jc w:val="right"/>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2022</w:t>
            </w:r>
          </w:p>
        </w:tc>
        <w:tc>
          <w:tcPr>
            <w:tcW w:w="0" w:type="auto"/>
            <w:tcBorders>
              <w:bottom w:val="single" w:color="ECECEC" w:sz="6" w:space="0"/>
            </w:tcBorders>
            <w:shd w:val="clear" w:color="auto" w:fill="FFFFFF"/>
            <w:tcMar>
              <w:top w:w="15" w:type="dxa"/>
              <w:left w:w="75" w:type="dxa"/>
              <w:bottom w:w="15" w:type="dxa"/>
              <w:right w:w="75" w:type="dxa"/>
            </w:tcMar>
            <w:vAlign w:val="bottom"/>
            <w:hideMark/>
          </w:tcPr>
          <w:p w:rsidRPr="00C5308E" w:rsidR="009B531C" w:rsidP="003C75FE" w:rsidRDefault="009B531C" w14:paraId="02F7E897" w14:textId="77777777">
            <w:pPr>
              <w:spacing w:after="0" w:line="240" w:lineRule="auto"/>
              <w:jc w:val="right"/>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2023*</w:t>
            </w:r>
          </w:p>
        </w:tc>
      </w:tr>
      <w:tr w:rsidRPr="00C5308E" w:rsidR="009B531C" w:rsidTr="003C75FE" w14:paraId="218029CC" w14:textId="77777777">
        <w:trPr>
          <w:tblHeader/>
        </w:trPr>
        <w:tc>
          <w:tcPr>
            <w:tcW w:w="0" w:type="auto"/>
            <w:vMerge/>
            <w:tcBorders>
              <w:bottom w:val="nil"/>
            </w:tcBorders>
            <w:shd w:val="clear" w:color="auto" w:fill="auto"/>
            <w:vAlign w:val="center"/>
            <w:hideMark/>
          </w:tcPr>
          <w:p w:rsidRPr="00C5308E" w:rsidR="009B531C" w:rsidP="003C75FE" w:rsidRDefault="009B531C" w14:paraId="2693CEBB" w14:textId="77777777">
            <w:pPr>
              <w:spacing w:after="0" w:line="240" w:lineRule="auto"/>
              <w:rPr>
                <w:rFonts w:ascii="Verdana" w:hAnsi="Verdana" w:eastAsia="Times New Roman" w:cs="Times New Roman"/>
                <w:bCs/>
                <w:sz w:val="18"/>
                <w:szCs w:val="18"/>
                <w:lang w:eastAsia="nl-NL"/>
              </w:rPr>
            </w:pPr>
          </w:p>
        </w:tc>
        <w:tc>
          <w:tcPr>
            <w:tcW w:w="0" w:type="auto"/>
            <w:gridSpan w:val="2"/>
            <w:tcBorders>
              <w:bottom w:val="nil"/>
            </w:tcBorders>
            <w:shd w:val="clear" w:color="auto" w:fill="FFFFFF"/>
            <w:tcMar>
              <w:top w:w="15" w:type="dxa"/>
              <w:left w:w="75" w:type="dxa"/>
              <w:bottom w:w="15" w:type="dxa"/>
              <w:right w:w="75" w:type="dxa"/>
            </w:tcMar>
            <w:vAlign w:val="bottom"/>
            <w:hideMark/>
          </w:tcPr>
          <w:p w:rsidRPr="00C5308E" w:rsidR="009B531C" w:rsidP="003C75FE" w:rsidRDefault="009B531C" w14:paraId="0F6E9CC0"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1 000 euro</w:t>
            </w:r>
          </w:p>
        </w:tc>
      </w:tr>
      <w:tr w:rsidRPr="00C5308E" w:rsidR="009B531C" w:rsidTr="003C75FE" w14:paraId="51805AA2" w14:textId="77777777">
        <w:tc>
          <w:tcPr>
            <w:tcW w:w="0" w:type="auto"/>
            <w:tcBorders>
              <w:top w:val="single" w:color="ECECEC" w:sz="6" w:space="0"/>
            </w:tcBorders>
            <w:shd w:val="clear" w:color="auto" w:fill="ECECEC"/>
            <w:noWrap/>
            <w:tcMar>
              <w:top w:w="75" w:type="dxa"/>
              <w:left w:w="75" w:type="dxa"/>
              <w:bottom w:w="15" w:type="dxa"/>
              <w:right w:w="75" w:type="dxa"/>
            </w:tcMar>
            <w:hideMark/>
          </w:tcPr>
          <w:p w:rsidRPr="00C5308E" w:rsidR="009B531C" w:rsidP="003C75FE" w:rsidRDefault="009B531C" w14:paraId="4CD04BDA" w14:textId="77777777">
            <w:pPr>
              <w:spacing w:before="75"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A-U Alle economische activiteiten</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DFAD4BE"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46,0</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4AC0621A"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48,0</w:t>
            </w:r>
          </w:p>
        </w:tc>
      </w:tr>
      <w:tr w:rsidRPr="00C5308E" w:rsidR="009B531C" w:rsidTr="003C75FE" w14:paraId="6AF8B6EF"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4421D4DD"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A Landbouw, bosbouw en visserij</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0EFFE38"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48,9</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71F8A5AC"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50,4</w:t>
            </w:r>
          </w:p>
        </w:tc>
      </w:tr>
      <w:tr w:rsidRPr="00C5308E" w:rsidR="009B531C" w:rsidTr="003C75FE" w14:paraId="049465CB"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628EEDFA"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B Delfstoffenwinning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04C731A"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65,8</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FE879C6"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r w:rsidRPr="00C5308E" w:rsidR="009B531C" w:rsidTr="003C75FE" w14:paraId="0E263D37"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4C11CD73"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C Industrie</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203912A"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42,5</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DE4D0AC"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47,4</w:t>
            </w:r>
          </w:p>
        </w:tc>
      </w:tr>
      <w:tr w:rsidRPr="00C5308E" w:rsidR="009B531C" w:rsidTr="003C75FE" w14:paraId="7AE6BACB"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6C071B94"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D Energievoorziening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7B9EA3C"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59,2</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25BE82C"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r w:rsidRPr="00C5308E" w:rsidR="009B531C" w:rsidTr="003C75FE" w14:paraId="7BC74E25"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009903A6"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E Waterbedrijven en afvalbeheer</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92D9B33"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44,9</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5A7A73B"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r w:rsidRPr="00C5308E" w:rsidR="009B531C" w:rsidTr="003C75FE" w14:paraId="002E60E5"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280DE385"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F Bouwnijverheid</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7DE2562"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45,4</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04CDFB1"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47,0</w:t>
            </w:r>
          </w:p>
        </w:tc>
      </w:tr>
      <w:tr w:rsidRPr="00C5308E" w:rsidR="009B531C" w:rsidTr="003C75FE" w14:paraId="01E4AD51"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0E47F1A2"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G Handel</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790D8F6B"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33,8</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1843F397"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39,1</w:t>
            </w:r>
          </w:p>
        </w:tc>
      </w:tr>
      <w:tr w:rsidRPr="00C5308E" w:rsidR="009B531C" w:rsidTr="003C75FE" w14:paraId="6DD2B2F2"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3CD9BE83"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H Vervoer en opslag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86E8961"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40,8</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1398F3EE"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41,6</w:t>
            </w:r>
          </w:p>
        </w:tc>
      </w:tr>
      <w:tr w:rsidRPr="00C5308E" w:rsidR="009B531C" w:rsidTr="003C75FE" w14:paraId="656D4287"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4727E4AD"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I Horeca</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07C96F0"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31,4</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6B76A14"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33,7</w:t>
            </w:r>
          </w:p>
        </w:tc>
      </w:tr>
      <w:tr w:rsidRPr="00C5308E" w:rsidR="009B531C" w:rsidTr="003C75FE" w14:paraId="690F9BB5"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2B9E16E7"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J Informatie en communicatie</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AE157EF"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63,6</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1F7589E"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67,4</w:t>
            </w:r>
          </w:p>
        </w:tc>
      </w:tr>
      <w:tr w:rsidRPr="00C5308E" w:rsidR="009B531C" w:rsidTr="003C75FE" w14:paraId="370C6AB8"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16D567B1"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K Financiële dienstverlening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13F7AB39"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70,2</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1F706CD8"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68,7</w:t>
            </w:r>
          </w:p>
        </w:tc>
      </w:tr>
      <w:tr w:rsidRPr="00C5308E" w:rsidR="009B531C" w:rsidTr="003C75FE" w14:paraId="5D423CE8"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7266DCEC"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L Verhuur en handel van onroerend goed</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F363FE5"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56,7</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F3E1F44"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63,7</w:t>
            </w:r>
          </w:p>
        </w:tc>
      </w:tr>
      <w:tr w:rsidRPr="00C5308E" w:rsidR="009B531C" w:rsidTr="003C75FE" w14:paraId="300DC66A"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51277BE1"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M Specialistische zakelijke diensten</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72C83A48"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61,6</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670CA4E"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64,5</w:t>
            </w:r>
          </w:p>
        </w:tc>
      </w:tr>
      <w:tr w:rsidRPr="00C5308E" w:rsidR="009B531C" w:rsidTr="003C75FE" w14:paraId="3D303876"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1B818D34"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N Verhuur en overige zakelijke diensten</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5412BC50"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39,0</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DCF1A48"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41,4</w:t>
            </w:r>
          </w:p>
        </w:tc>
      </w:tr>
      <w:tr w:rsidRPr="00C5308E" w:rsidR="009B531C" w:rsidTr="003C75FE" w14:paraId="0124EAA5"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7DF2EDE4"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O Openbaar bestuur en overheidsdiensten</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B9D3AA9"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22,1</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9E068E6"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r w:rsidRPr="00C5308E" w:rsidR="009B531C" w:rsidTr="003C75FE" w14:paraId="2DA1DEEF"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004A5A11"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P Onderwijs</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F6DF267"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31,8</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77F92F8B"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33,9</w:t>
            </w:r>
          </w:p>
        </w:tc>
      </w:tr>
      <w:tr w:rsidRPr="00C5308E" w:rsidR="009B531C" w:rsidTr="003C75FE" w14:paraId="1CB1AF12"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35F23EFB"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Q Gezondheids- en welzijnszorg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966F9F4"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47,2</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6E8FC627"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52,3</w:t>
            </w:r>
          </w:p>
        </w:tc>
      </w:tr>
      <w:tr w:rsidRPr="00C5308E" w:rsidR="009B531C" w:rsidTr="003C75FE" w14:paraId="6A41D77F"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67960467"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R Cultuur, sport en recreatie</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0133CC79"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30,1</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B37E465"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30,7</w:t>
            </w:r>
          </w:p>
        </w:tc>
      </w:tr>
      <w:tr w:rsidRPr="00C5308E" w:rsidR="009B531C" w:rsidTr="003C75FE" w14:paraId="510351F0"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7AF52283"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S Overige dienstverlening</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939F3B4"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19,8</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2F46FA76"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21,4</w:t>
            </w:r>
          </w:p>
        </w:tc>
      </w:tr>
      <w:tr w:rsidRPr="00C5308E" w:rsidR="009B531C" w:rsidTr="003C75FE" w14:paraId="3F2DC14C" w14:textId="77777777">
        <w:tc>
          <w:tcPr>
            <w:tcW w:w="0" w:type="auto"/>
            <w:shd w:val="clear" w:color="auto" w:fill="ECECEC"/>
            <w:noWrap/>
            <w:tcMar>
              <w:top w:w="75" w:type="dxa"/>
              <w:left w:w="75" w:type="dxa"/>
              <w:bottom w:w="15" w:type="dxa"/>
              <w:right w:w="75" w:type="dxa"/>
            </w:tcMar>
            <w:hideMark/>
          </w:tcPr>
          <w:p w:rsidRPr="00C5308E" w:rsidR="009B531C" w:rsidP="003C75FE" w:rsidRDefault="009B531C" w14:paraId="076B5290"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T Huishoudens</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3B4B00C8"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c>
          <w:tcPr>
            <w:tcW w:w="0" w:type="auto"/>
            <w:shd w:val="clear" w:color="auto" w:fill="auto"/>
            <w:noWrap/>
            <w:tcMar>
              <w:top w:w="15" w:type="dxa"/>
              <w:left w:w="75" w:type="dxa"/>
              <w:bottom w:w="15" w:type="dxa"/>
              <w:right w:w="75" w:type="dxa"/>
            </w:tcMar>
            <w:vAlign w:val="bottom"/>
            <w:hideMark/>
          </w:tcPr>
          <w:p w:rsidRPr="00C5308E" w:rsidR="009B531C" w:rsidP="003C75FE" w:rsidRDefault="009B531C" w14:paraId="4769C169"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r w:rsidRPr="00C5308E" w:rsidR="009B531C" w:rsidTr="003C75FE" w14:paraId="072781EA" w14:textId="77777777">
        <w:tc>
          <w:tcPr>
            <w:tcW w:w="0" w:type="auto"/>
            <w:tcBorders>
              <w:bottom w:val="single" w:color="ECECEC" w:sz="6" w:space="0"/>
            </w:tcBorders>
            <w:shd w:val="clear" w:color="auto" w:fill="ECECEC"/>
            <w:noWrap/>
            <w:tcMar>
              <w:top w:w="75" w:type="dxa"/>
              <w:left w:w="75" w:type="dxa"/>
              <w:bottom w:w="15" w:type="dxa"/>
              <w:right w:w="75" w:type="dxa"/>
            </w:tcMar>
            <w:hideMark/>
          </w:tcPr>
          <w:p w:rsidRPr="00C5308E" w:rsidR="009B531C" w:rsidP="003C75FE" w:rsidRDefault="009B531C" w14:paraId="595D4684" w14:textId="77777777">
            <w:pPr>
              <w:spacing w:after="0" w:line="240" w:lineRule="auto"/>
              <w:rPr>
                <w:rFonts w:ascii="Verdana" w:hAnsi="Verdana" w:eastAsia="Times New Roman" w:cs="Times New Roman"/>
                <w:bCs/>
                <w:sz w:val="18"/>
                <w:szCs w:val="18"/>
                <w:lang w:eastAsia="nl-NL"/>
              </w:rPr>
            </w:pPr>
            <w:r w:rsidRPr="00C5308E">
              <w:rPr>
                <w:rFonts w:ascii="Verdana" w:hAnsi="Verdana" w:eastAsia="Times New Roman" w:cs="Times New Roman"/>
                <w:bCs/>
                <w:sz w:val="18"/>
                <w:szCs w:val="18"/>
                <w:lang w:eastAsia="nl-NL"/>
              </w:rPr>
              <w:t>U Extraterritoriale organisaties</w:t>
            </w:r>
          </w:p>
        </w:tc>
        <w:tc>
          <w:tcPr>
            <w:tcW w:w="0" w:type="auto"/>
            <w:tcBorders>
              <w:bottom w:val="single" w:color="ECECEC" w:sz="6" w:space="0"/>
            </w:tcBorders>
            <w:shd w:val="clear" w:color="auto" w:fill="auto"/>
            <w:noWrap/>
            <w:tcMar>
              <w:top w:w="15" w:type="dxa"/>
              <w:left w:w="75" w:type="dxa"/>
              <w:bottom w:w="15" w:type="dxa"/>
              <w:right w:w="75" w:type="dxa"/>
            </w:tcMar>
            <w:vAlign w:val="bottom"/>
            <w:hideMark/>
          </w:tcPr>
          <w:p w:rsidRPr="00C5308E" w:rsidR="009B531C" w:rsidP="003C75FE" w:rsidRDefault="009B531C" w14:paraId="6A6721D9"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c>
          <w:tcPr>
            <w:tcW w:w="0" w:type="auto"/>
            <w:tcBorders>
              <w:bottom w:val="single" w:color="ECECEC" w:sz="6" w:space="0"/>
            </w:tcBorders>
            <w:shd w:val="clear" w:color="auto" w:fill="auto"/>
            <w:noWrap/>
            <w:tcMar>
              <w:top w:w="15" w:type="dxa"/>
              <w:left w:w="75" w:type="dxa"/>
              <w:bottom w:w="15" w:type="dxa"/>
              <w:right w:w="75" w:type="dxa"/>
            </w:tcMar>
            <w:vAlign w:val="bottom"/>
            <w:hideMark/>
          </w:tcPr>
          <w:p w:rsidRPr="00C5308E" w:rsidR="009B531C" w:rsidP="003C75FE" w:rsidRDefault="009B531C" w14:paraId="118A7141" w14:textId="77777777">
            <w:pPr>
              <w:spacing w:after="0" w:line="240" w:lineRule="auto"/>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t>
            </w:r>
          </w:p>
        </w:tc>
      </w:tr>
    </w:tbl>
    <w:p w:rsidRPr="00C5308E" w:rsidR="009B531C" w:rsidP="009B531C" w:rsidRDefault="009B531C" w14:paraId="11AFA36F" w14:textId="77777777">
      <w:pPr>
        <w:spacing w:after="0" w:line="240" w:lineRule="auto"/>
        <w:rPr>
          <w:rFonts w:ascii="Verdana" w:hAnsi="Verdana"/>
          <w:bCs/>
          <w:sz w:val="16"/>
          <w:szCs w:val="16"/>
        </w:rPr>
      </w:pPr>
      <w:r w:rsidRPr="00C5308E">
        <w:rPr>
          <w:rFonts w:ascii="Verdana" w:hAnsi="Verdana"/>
          <w:bCs/>
          <w:sz w:val="16"/>
          <w:szCs w:val="16"/>
        </w:rPr>
        <w:t>Bron: CBS Statline: Zelfstandigen; inkomen, bedrijfstak. Geraadpleegd op 28 mei 2025.</w:t>
      </w:r>
    </w:p>
    <w:p w:rsidRPr="00C5308E" w:rsidR="009B531C" w:rsidP="00D87753" w:rsidRDefault="009B531C" w14:paraId="6AF4CDFC" w14:textId="77777777">
      <w:pPr>
        <w:spacing w:after="0" w:line="240" w:lineRule="auto"/>
        <w:contextualSpacing/>
        <w:rPr>
          <w:rFonts w:ascii="Verdana" w:hAnsi="Verdana"/>
          <w:bCs/>
          <w:sz w:val="18"/>
          <w:szCs w:val="18"/>
          <w:u w:val="single"/>
        </w:rPr>
      </w:pPr>
    </w:p>
    <w:p w:rsidR="00972542" w:rsidRDefault="00972542" w14:paraId="069DA520" w14:textId="77777777">
      <w:pPr>
        <w:rPr>
          <w:rFonts w:ascii="Verdana" w:hAnsi="Verdana"/>
          <w:bCs/>
          <w:sz w:val="18"/>
          <w:szCs w:val="18"/>
          <w:u w:val="single"/>
        </w:rPr>
      </w:pPr>
      <w:r>
        <w:rPr>
          <w:rFonts w:ascii="Verdana" w:hAnsi="Verdana"/>
          <w:bCs/>
          <w:sz w:val="18"/>
          <w:szCs w:val="18"/>
          <w:u w:val="single"/>
        </w:rPr>
        <w:br w:type="page"/>
      </w:r>
    </w:p>
    <w:p w:rsidRPr="00C5308E" w:rsidR="00B72D0B" w:rsidP="00D87753" w:rsidRDefault="00B72D0B" w14:paraId="488920C1" w14:textId="6698951F">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32</w:t>
      </w:r>
    </w:p>
    <w:p w:rsidRPr="00C5308E" w:rsidR="00B72D0B" w:rsidP="00D87753" w:rsidRDefault="00B72D0B" w14:paraId="4FBA55C4" w14:textId="77777777">
      <w:pPr>
        <w:spacing w:line="240" w:lineRule="auto"/>
        <w:contextualSpacing/>
        <w:rPr>
          <w:rFonts w:ascii="Verdana" w:hAnsi="Verdana"/>
          <w:bCs/>
          <w:sz w:val="18"/>
          <w:szCs w:val="18"/>
        </w:rPr>
      </w:pPr>
      <w:r w:rsidRPr="00C5308E">
        <w:rPr>
          <w:rFonts w:ascii="Verdana" w:hAnsi="Verdana"/>
          <w:bCs/>
          <w:sz w:val="18"/>
          <w:szCs w:val="18"/>
        </w:rPr>
        <w:t>Hoe groot is het fiscale voordeel voor zzp’ers gemiddeld (in euro’s of procenten) ten opzichte van werknemers?</w:t>
      </w:r>
    </w:p>
    <w:p w:rsidRPr="00C5308E" w:rsidR="000B30D8" w:rsidP="00D87753" w:rsidRDefault="000B30D8" w14:paraId="68DFFA71" w14:textId="77777777">
      <w:pPr>
        <w:spacing w:after="0" w:line="240" w:lineRule="auto"/>
        <w:contextualSpacing/>
        <w:rPr>
          <w:rFonts w:ascii="Verdana" w:hAnsi="Verdana"/>
          <w:bCs/>
          <w:sz w:val="18"/>
          <w:szCs w:val="18"/>
          <w:u w:val="single"/>
        </w:rPr>
      </w:pPr>
    </w:p>
    <w:p w:rsidRPr="00C5308E" w:rsidR="00B72D0B" w:rsidP="00D87753" w:rsidRDefault="00B72D0B" w14:paraId="3A792F3F" w14:textId="7A6AA8F0">
      <w:pPr>
        <w:spacing w:after="0" w:line="240" w:lineRule="auto"/>
        <w:contextualSpacing/>
        <w:rPr>
          <w:rFonts w:ascii="Verdana" w:hAnsi="Verdana"/>
          <w:bCs/>
          <w:sz w:val="18"/>
          <w:szCs w:val="18"/>
          <w:u w:val="single"/>
        </w:rPr>
      </w:pPr>
      <w:r w:rsidRPr="00C5308E">
        <w:rPr>
          <w:rFonts w:ascii="Verdana" w:hAnsi="Verdana"/>
          <w:bCs/>
          <w:sz w:val="18"/>
          <w:szCs w:val="18"/>
          <w:u w:val="single"/>
        </w:rPr>
        <w:t>Antwoord 32</w:t>
      </w:r>
    </w:p>
    <w:p w:rsidRPr="00C5308E" w:rsidR="00B72D0B" w:rsidP="00D87753" w:rsidRDefault="00B72D0B" w14:paraId="56166511" w14:textId="77777777">
      <w:pPr>
        <w:spacing w:line="240" w:lineRule="auto"/>
        <w:contextualSpacing/>
        <w:rPr>
          <w:rFonts w:ascii="Verdana" w:hAnsi="Verdana"/>
          <w:bCs/>
          <w:sz w:val="18"/>
          <w:szCs w:val="18"/>
        </w:rPr>
      </w:pPr>
      <w:r w:rsidRPr="00C5308E">
        <w:rPr>
          <w:rFonts w:ascii="Verdana" w:hAnsi="Verdana"/>
          <w:bCs/>
          <w:sz w:val="18"/>
          <w:szCs w:val="18"/>
        </w:rPr>
        <w:t xml:space="preserve">Onderstaande figuur geeft het verschil in belastingdruk weer tussen een werkende en een zelfstandige (IB-ondernemer). Hierbij is uitgegaan van een alleenstaande belastingplichtige, zonder kinderen. Verder is aangenomen dat de winst van de IB-ondernemer gelijk is aan de totale werkgeverslasten van de werknemer (dus brutoloon plus werkgeverspremies). </w:t>
      </w:r>
    </w:p>
    <w:p w:rsidRPr="00C5308E" w:rsidR="00B72D0B" w:rsidP="00D87753" w:rsidRDefault="00B72D0B" w14:paraId="34302D92" w14:textId="77777777">
      <w:pPr>
        <w:spacing w:line="240" w:lineRule="auto"/>
        <w:contextualSpacing/>
        <w:rPr>
          <w:rFonts w:ascii="Verdana" w:hAnsi="Verdana"/>
          <w:bCs/>
          <w:sz w:val="18"/>
          <w:szCs w:val="18"/>
        </w:rPr>
      </w:pPr>
      <w:r w:rsidRPr="00C5308E">
        <w:rPr>
          <w:rFonts w:ascii="Verdana" w:hAnsi="Verdana"/>
          <w:bCs/>
          <w:noProof/>
          <w:sz w:val="18"/>
          <w:szCs w:val="18"/>
        </w:rPr>
        <w:drawing>
          <wp:inline distT="0" distB="0" distL="0" distR="0" wp14:anchorId="761F1BB5" wp14:editId="2276EF09">
            <wp:extent cx="5414956" cy="2960370"/>
            <wp:effectExtent l="0" t="0" r="0" b="0"/>
            <wp:docPr id="19962344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7232" cy="2967081"/>
                    </a:xfrm>
                    <a:prstGeom prst="rect">
                      <a:avLst/>
                    </a:prstGeom>
                    <a:noFill/>
                  </pic:spPr>
                </pic:pic>
              </a:graphicData>
            </a:graphic>
          </wp:inline>
        </w:drawing>
      </w:r>
    </w:p>
    <w:p w:rsidRPr="00C5308E" w:rsidR="00B72D0B" w:rsidP="00D87753" w:rsidRDefault="00B72D0B" w14:paraId="790C5D6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33</w:t>
      </w:r>
    </w:p>
    <w:p w:rsidRPr="00C5308E" w:rsidR="00B72D0B" w:rsidP="00D87753" w:rsidRDefault="00B72D0B" w14:paraId="610F6F66" w14:textId="14264B5F">
      <w:pPr>
        <w:spacing w:line="240" w:lineRule="auto"/>
        <w:contextualSpacing/>
        <w:rPr>
          <w:rFonts w:ascii="Verdana" w:hAnsi="Verdana"/>
          <w:bCs/>
          <w:sz w:val="18"/>
          <w:szCs w:val="18"/>
        </w:rPr>
      </w:pPr>
      <w:r w:rsidRPr="00C5308E">
        <w:rPr>
          <w:rFonts w:ascii="Verdana" w:hAnsi="Verdana"/>
          <w:bCs/>
          <w:sz w:val="18"/>
          <w:szCs w:val="18"/>
        </w:rPr>
        <w:t>Hoeveel zzp’ers maken gebruik van inkomens- of investeringsaftrek (bijv. kleinschaligheidsinvesteringsaftrek)?</w:t>
      </w:r>
      <w:r w:rsidRPr="00C5308E" w:rsidR="0052736B">
        <w:rPr>
          <w:rFonts w:ascii="Verdana" w:hAnsi="Verdana"/>
          <w:bCs/>
          <w:sz w:val="18"/>
          <w:szCs w:val="18"/>
        </w:rPr>
        <w:t xml:space="preserve"> </w:t>
      </w:r>
    </w:p>
    <w:p w:rsidRPr="00560DA6" w:rsidR="0052736B" w:rsidP="00C5308E" w:rsidRDefault="0052736B" w14:paraId="3F06FFB9" w14:textId="53B7383C">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0B30D8" w:rsidP="00D87753" w:rsidRDefault="000B30D8" w14:paraId="1EB8797B" w14:textId="77777777">
      <w:pPr>
        <w:spacing w:after="0" w:line="240" w:lineRule="auto"/>
        <w:contextualSpacing/>
        <w:rPr>
          <w:rFonts w:ascii="Verdana" w:hAnsi="Verdana"/>
          <w:bCs/>
          <w:sz w:val="18"/>
          <w:szCs w:val="18"/>
          <w:u w:val="single"/>
        </w:rPr>
      </w:pPr>
    </w:p>
    <w:p w:rsidRPr="00C5308E" w:rsidR="00B72D0B" w:rsidP="00D87753" w:rsidRDefault="00B72D0B" w14:paraId="28317B84" w14:textId="7397B99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33</w:t>
      </w:r>
    </w:p>
    <w:p w:rsidRPr="00C5308E" w:rsidR="00B72D0B" w:rsidP="00D87753" w:rsidRDefault="00B72D0B" w14:paraId="0D5C3A2B" w14:textId="77777777">
      <w:pPr>
        <w:spacing w:line="240" w:lineRule="auto"/>
        <w:contextualSpacing/>
        <w:rPr>
          <w:rFonts w:ascii="Verdana" w:hAnsi="Verdana"/>
          <w:bCs/>
          <w:sz w:val="18"/>
          <w:szCs w:val="18"/>
        </w:rPr>
      </w:pPr>
      <w:r w:rsidRPr="00C5308E">
        <w:rPr>
          <w:rFonts w:ascii="Verdana" w:hAnsi="Verdana"/>
          <w:bCs/>
          <w:sz w:val="18"/>
          <w:szCs w:val="18"/>
        </w:rPr>
        <w:t>Onderstaande tabel geeft per regeling een overzicht van het aantal ondernemers dat in 2021 gebruikmaakt van de betreffende inkomens- of investeringsaftrek. De aantallen zijn per regeling en kunnen dus niet bij elkaar opgeteld worden (omdat ondernemers vaak gebruikmaken van meerdere regelingen tegelijk).</w:t>
      </w:r>
    </w:p>
    <w:tbl>
      <w:tblPr>
        <w:tblStyle w:val="Rastertabel4-Accent11"/>
        <w:tblW w:w="0" w:type="auto"/>
        <w:tblLook w:val="04A0" w:firstRow="1" w:lastRow="0" w:firstColumn="1" w:lastColumn="0" w:noHBand="0" w:noVBand="1"/>
      </w:tblPr>
      <w:tblGrid>
        <w:gridCol w:w="3840"/>
        <w:gridCol w:w="1311"/>
      </w:tblGrid>
      <w:tr w:rsidRPr="00C5308E" w:rsidR="00B72D0B" w:rsidTr="003C75FE" w14:paraId="6F63CA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2630347A" w14:textId="77777777">
            <w:pPr>
              <w:contextualSpacing/>
              <w:rPr>
                <w:b w:val="0"/>
                <w:szCs w:val="18"/>
                <w:lang w:val="nl-NL"/>
              </w:rPr>
            </w:pPr>
          </w:p>
        </w:tc>
        <w:tc>
          <w:tcPr>
            <w:tcW w:w="0" w:type="auto"/>
          </w:tcPr>
          <w:p w:rsidRPr="00C5308E" w:rsidR="00B72D0B" w:rsidP="00D87753" w:rsidRDefault="00B72D0B" w14:paraId="2259F048" w14:textId="77777777">
            <w:pPr>
              <w:contextualSpacing/>
              <w:cnfStyle w:val="100000000000" w:firstRow="1" w:lastRow="0" w:firstColumn="0" w:lastColumn="0" w:oddVBand="0" w:evenVBand="0" w:oddHBand="0" w:evenHBand="0" w:firstRowFirstColumn="0" w:firstRowLastColumn="0" w:lastRowFirstColumn="0" w:lastRowLastColumn="0"/>
              <w:rPr>
                <w:b w:val="0"/>
                <w:szCs w:val="18"/>
                <w:lang w:val="nl-NL"/>
              </w:rPr>
            </w:pPr>
            <w:r w:rsidRPr="00C5308E">
              <w:rPr>
                <w:b w:val="0"/>
                <w:szCs w:val="18"/>
                <w:lang w:val="nl-NL"/>
              </w:rPr>
              <w:t>Aantal 2021</w:t>
            </w:r>
          </w:p>
        </w:tc>
      </w:tr>
      <w:tr w:rsidRPr="00C5308E" w:rsidR="00B72D0B" w:rsidTr="003C75FE" w14:paraId="067B0D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6255DFFD" w14:textId="77777777">
            <w:pPr>
              <w:contextualSpacing/>
              <w:rPr>
                <w:b w:val="0"/>
                <w:szCs w:val="18"/>
                <w:lang w:val="nl-NL"/>
              </w:rPr>
            </w:pPr>
            <w:r w:rsidRPr="00C5308E">
              <w:rPr>
                <w:b w:val="0"/>
                <w:szCs w:val="18"/>
                <w:lang w:val="nl-NL"/>
              </w:rPr>
              <w:t>Kleinschaligheidsinvesteringsaftrek</w:t>
            </w:r>
          </w:p>
        </w:tc>
        <w:tc>
          <w:tcPr>
            <w:tcW w:w="0" w:type="auto"/>
            <w:vAlign w:val="center"/>
          </w:tcPr>
          <w:p w:rsidRPr="00C5308E" w:rsidR="00B72D0B" w:rsidP="00D87753" w:rsidRDefault="00B72D0B" w14:paraId="137EE745" w14:textId="77777777">
            <w:pPr>
              <w:contextualSpacing/>
              <w:jc w:val="right"/>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290.000</w:t>
            </w:r>
          </w:p>
        </w:tc>
      </w:tr>
      <w:tr w:rsidRPr="00C5308E" w:rsidR="00B72D0B" w:rsidTr="003C75FE" w14:paraId="0178EF99" w14:textId="77777777">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39B9DE2C" w14:textId="77777777">
            <w:pPr>
              <w:contextualSpacing/>
              <w:rPr>
                <w:b w:val="0"/>
                <w:szCs w:val="18"/>
                <w:lang w:val="nl-NL"/>
              </w:rPr>
            </w:pPr>
            <w:r w:rsidRPr="00C5308E">
              <w:rPr>
                <w:b w:val="0"/>
                <w:szCs w:val="18"/>
                <w:lang w:val="nl-NL"/>
              </w:rPr>
              <w:t>Investeringsaftrek Milieu / Energie</w:t>
            </w:r>
          </w:p>
        </w:tc>
        <w:tc>
          <w:tcPr>
            <w:tcW w:w="0" w:type="auto"/>
            <w:vAlign w:val="center"/>
          </w:tcPr>
          <w:p w:rsidRPr="00C5308E" w:rsidR="00B72D0B" w:rsidP="00D87753" w:rsidRDefault="00B72D0B" w14:paraId="2A8D155A" w14:textId="77777777">
            <w:pPr>
              <w:contextualSpacing/>
              <w:jc w:val="right"/>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13.800</w:t>
            </w:r>
          </w:p>
        </w:tc>
      </w:tr>
      <w:tr w:rsidRPr="00C5308E" w:rsidR="00B72D0B" w:rsidTr="003C75FE" w14:paraId="733EE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178C6227" w14:textId="77777777">
            <w:pPr>
              <w:contextualSpacing/>
              <w:rPr>
                <w:b w:val="0"/>
                <w:szCs w:val="18"/>
                <w:lang w:val="nl-NL"/>
              </w:rPr>
            </w:pPr>
            <w:r w:rsidRPr="00C5308E">
              <w:rPr>
                <w:b w:val="0"/>
                <w:szCs w:val="18"/>
                <w:lang w:val="nl-NL"/>
              </w:rPr>
              <w:t>Zelfstandigenaftrek</w:t>
            </w:r>
          </w:p>
        </w:tc>
        <w:tc>
          <w:tcPr>
            <w:tcW w:w="0" w:type="auto"/>
            <w:vAlign w:val="center"/>
          </w:tcPr>
          <w:p w:rsidRPr="00C5308E" w:rsidR="00B72D0B" w:rsidP="00D87753" w:rsidRDefault="00B72D0B" w14:paraId="7F9E3407" w14:textId="77777777">
            <w:pPr>
              <w:contextualSpacing/>
              <w:jc w:val="right"/>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993.000</w:t>
            </w:r>
          </w:p>
        </w:tc>
      </w:tr>
      <w:tr w:rsidRPr="00C5308E" w:rsidR="00B72D0B" w:rsidTr="003C75FE" w14:paraId="5AC02031" w14:textId="77777777">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506E939E" w14:textId="77777777">
            <w:pPr>
              <w:contextualSpacing/>
              <w:rPr>
                <w:b w:val="0"/>
                <w:szCs w:val="18"/>
                <w:lang w:val="nl-NL"/>
              </w:rPr>
            </w:pPr>
            <w:r w:rsidRPr="00C5308E">
              <w:rPr>
                <w:b w:val="0"/>
                <w:szCs w:val="18"/>
                <w:lang w:val="nl-NL"/>
              </w:rPr>
              <w:t>MKB-winstvrijstelling</w:t>
            </w:r>
          </w:p>
        </w:tc>
        <w:tc>
          <w:tcPr>
            <w:tcW w:w="0" w:type="auto"/>
            <w:vAlign w:val="center"/>
          </w:tcPr>
          <w:p w:rsidRPr="00C5308E" w:rsidR="00B72D0B" w:rsidP="00D87753" w:rsidRDefault="00B72D0B" w14:paraId="3D21F4FB" w14:textId="77777777">
            <w:pPr>
              <w:contextualSpacing/>
              <w:jc w:val="right"/>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1.230.000</w:t>
            </w:r>
          </w:p>
        </w:tc>
      </w:tr>
      <w:tr w:rsidRPr="00C5308E" w:rsidR="00B72D0B" w:rsidTr="003C75FE" w14:paraId="228E10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179FDDEE" w14:textId="77777777">
            <w:pPr>
              <w:contextualSpacing/>
              <w:rPr>
                <w:b w:val="0"/>
                <w:szCs w:val="18"/>
                <w:lang w:val="nl-NL"/>
              </w:rPr>
            </w:pPr>
            <w:r w:rsidRPr="00C5308E">
              <w:rPr>
                <w:b w:val="0"/>
                <w:szCs w:val="18"/>
                <w:lang w:val="nl-NL"/>
              </w:rPr>
              <w:t>Meewerkaftrek</w:t>
            </w:r>
          </w:p>
        </w:tc>
        <w:tc>
          <w:tcPr>
            <w:tcW w:w="0" w:type="auto"/>
            <w:vAlign w:val="center"/>
          </w:tcPr>
          <w:p w:rsidRPr="00C5308E" w:rsidR="00B72D0B" w:rsidP="00D87753" w:rsidRDefault="00B72D0B" w14:paraId="6B11BD0A" w14:textId="77777777">
            <w:pPr>
              <w:contextualSpacing/>
              <w:jc w:val="right"/>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19.800</w:t>
            </w:r>
          </w:p>
        </w:tc>
      </w:tr>
      <w:tr w:rsidRPr="00C5308E" w:rsidR="00B72D0B" w:rsidTr="003C75FE" w14:paraId="0B86C062" w14:textId="77777777">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3F23D522" w14:textId="77777777">
            <w:pPr>
              <w:contextualSpacing/>
              <w:rPr>
                <w:b w:val="0"/>
                <w:szCs w:val="18"/>
                <w:lang w:val="nl-NL"/>
              </w:rPr>
            </w:pPr>
            <w:r w:rsidRPr="00C5308E">
              <w:rPr>
                <w:b w:val="0"/>
                <w:szCs w:val="18"/>
                <w:lang w:val="nl-NL"/>
              </w:rPr>
              <w:t>Stakingsaftrek</w:t>
            </w:r>
          </w:p>
        </w:tc>
        <w:tc>
          <w:tcPr>
            <w:tcW w:w="0" w:type="auto"/>
            <w:vAlign w:val="center"/>
          </w:tcPr>
          <w:p w:rsidRPr="00C5308E" w:rsidR="00B72D0B" w:rsidP="00D87753" w:rsidRDefault="00B72D0B" w14:paraId="5CB449F9" w14:textId="77777777">
            <w:pPr>
              <w:contextualSpacing/>
              <w:jc w:val="right"/>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16.600</w:t>
            </w:r>
          </w:p>
        </w:tc>
      </w:tr>
      <w:tr w:rsidRPr="00C5308E" w:rsidR="00B72D0B" w:rsidTr="003C75FE" w14:paraId="445D76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4B8F2ACB" w14:textId="77777777">
            <w:pPr>
              <w:contextualSpacing/>
              <w:rPr>
                <w:b w:val="0"/>
                <w:szCs w:val="18"/>
                <w:lang w:val="nl-NL"/>
              </w:rPr>
            </w:pPr>
            <w:r w:rsidRPr="00C5308E">
              <w:rPr>
                <w:b w:val="0"/>
                <w:szCs w:val="18"/>
                <w:lang w:val="nl-NL"/>
              </w:rPr>
              <w:t>Terbeschikkingstellingsvrijstelling</w:t>
            </w:r>
          </w:p>
        </w:tc>
        <w:tc>
          <w:tcPr>
            <w:tcW w:w="0" w:type="auto"/>
            <w:vAlign w:val="center"/>
          </w:tcPr>
          <w:p w:rsidRPr="00C5308E" w:rsidR="00B72D0B" w:rsidP="00D87753" w:rsidRDefault="00B72D0B" w14:paraId="4E699A9E" w14:textId="77777777">
            <w:pPr>
              <w:contextualSpacing/>
              <w:jc w:val="right"/>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83.400</w:t>
            </w:r>
          </w:p>
        </w:tc>
      </w:tr>
      <w:tr w:rsidRPr="00C5308E" w:rsidR="00B72D0B" w:rsidTr="003C75FE" w14:paraId="7B5F09E1" w14:textId="77777777">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5090CFE0" w14:textId="77777777">
            <w:pPr>
              <w:contextualSpacing/>
              <w:rPr>
                <w:b w:val="0"/>
                <w:szCs w:val="18"/>
                <w:lang w:val="nl-NL"/>
              </w:rPr>
            </w:pPr>
            <w:r w:rsidRPr="00C5308E">
              <w:rPr>
                <w:b w:val="0"/>
                <w:szCs w:val="18"/>
                <w:lang w:val="nl-NL"/>
              </w:rPr>
              <w:t>Aftrek speur- en ontwikkelingswerk</w:t>
            </w:r>
          </w:p>
        </w:tc>
        <w:tc>
          <w:tcPr>
            <w:tcW w:w="0" w:type="auto"/>
            <w:vAlign w:val="center"/>
          </w:tcPr>
          <w:p w:rsidRPr="00C5308E" w:rsidR="00B72D0B" w:rsidP="00D87753" w:rsidRDefault="00B72D0B" w14:paraId="5E83A508" w14:textId="77777777">
            <w:pPr>
              <w:contextualSpacing/>
              <w:jc w:val="right"/>
              <w:cnfStyle w:val="000000000000" w:firstRow="0" w:lastRow="0" w:firstColumn="0" w:lastColumn="0" w:oddVBand="0" w:evenVBand="0" w:oddHBand="0" w:evenHBand="0" w:firstRowFirstColumn="0" w:firstRowLastColumn="0" w:lastRowFirstColumn="0" w:lastRowLastColumn="0"/>
              <w:rPr>
                <w:bCs/>
                <w:szCs w:val="18"/>
                <w:lang w:val="nl-NL"/>
              </w:rPr>
            </w:pPr>
            <w:r w:rsidRPr="00C5308E">
              <w:rPr>
                <w:bCs/>
                <w:szCs w:val="18"/>
                <w:lang w:val="nl-NL"/>
              </w:rPr>
              <w:t>1.000</w:t>
            </w:r>
          </w:p>
        </w:tc>
      </w:tr>
      <w:tr w:rsidRPr="00C5308E" w:rsidR="00B72D0B" w:rsidTr="003C75FE" w14:paraId="23FD29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308E" w:rsidR="00B72D0B" w:rsidP="00D87753" w:rsidRDefault="00B72D0B" w14:paraId="080B051D" w14:textId="77777777">
            <w:pPr>
              <w:contextualSpacing/>
              <w:rPr>
                <w:b w:val="0"/>
                <w:szCs w:val="18"/>
                <w:lang w:val="nl-NL"/>
              </w:rPr>
            </w:pPr>
            <w:r w:rsidRPr="00C5308E">
              <w:rPr>
                <w:b w:val="0"/>
                <w:szCs w:val="18"/>
                <w:lang w:val="nl-NL"/>
              </w:rPr>
              <w:t>Startersaftrek bij arbeidsongeschiktheid</w:t>
            </w:r>
          </w:p>
        </w:tc>
        <w:tc>
          <w:tcPr>
            <w:tcW w:w="0" w:type="auto"/>
            <w:vAlign w:val="center"/>
          </w:tcPr>
          <w:p w:rsidRPr="00C5308E" w:rsidR="00B72D0B" w:rsidP="00D87753" w:rsidRDefault="00B72D0B" w14:paraId="29CFCD21" w14:textId="77777777">
            <w:pPr>
              <w:contextualSpacing/>
              <w:jc w:val="right"/>
              <w:cnfStyle w:val="000000100000" w:firstRow="0" w:lastRow="0" w:firstColumn="0" w:lastColumn="0" w:oddVBand="0" w:evenVBand="0" w:oddHBand="1" w:evenHBand="0" w:firstRowFirstColumn="0" w:firstRowLastColumn="0" w:lastRowFirstColumn="0" w:lastRowLastColumn="0"/>
              <w:rPr>
                <w:bCs/>
                <w:szCs w:val="18"/>
                <w:lang w:val="nl-NL"/>
              </w:rPr>
            </w:pPr>
            <w:r w:rsidRPr="00C5308E">
              <w:rPr>
                <w:bCs/>
                <w:szCs w:val="18"/>
                <w:lang w:val="nl-NL"/>
              </w:rPr>
              <w:t>800</w:t>
            </w:r>
          </w:p>
        </w:tc>
      </w:tr>
    </w:tbl>
    <w:p w:rsidRPr="00560DA6" w:rsidR="00B72D0B" w:rsidP="00C5308E" w:rsidRDefault="0052736B" w14:paraId="42219A69" w14:textId="2E6CE480">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B72D0B" w:rsidP="00D87753" w:rsidRDefault="00B72D0B" w14:paraId="4B371FCF" w14:textId="77777777">
      <w:pPr>
        <w:spacing w:after="0" w:line="240" w:lineRule="auto"/>
        <w:contextualSpacing/>
        <w:rPr>
          <w:rFonts w:ascii="Verdana" w:hAnsi="Verdana"/>
          <w:bCs/>
          <w:sz w:val="18"/>
          <w:szCs w:val="18"/>
        </w:rPr>
      </w:pPr>
    </w:p>
    <w:p w:rsidRPr="00C5308E" w:rsidR="00DF7D23" w:rsidP="00D87753" w:rsidRDefault="00DF7D23" w14:paraId="0EFE88D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34</w:t>
      </w:r>
    </w:p>
    <w:p w:rsidRPr="00C5308E" w:rsidR="00DF7D23" w:rsidP="00D87753" w:rsidRDefault="00DF7D23" w14:paraId="55D58F54" w14:textId="77777777">
      <w:pPr>
        <w:spacing w:after="0" w:line="240" w:lineRule="auto"/>
        <w:contextualSpacing/>
        <w:rPr>
          <w:rFonts w:ascii="Verdana" w:hAnsi="Verdana"/>
          <w:bCs/>
          <w:sz w:val="18"/>
          <w:szCs w:val="18"/>
        </w:rPr>
      </w:pPr>
      <w:r w:rsidRPr="00C5308E">
        <w:rPr>
          <w:rFonts w:ascii="Verdana" w:hAnsi="Verdana"/>
          <w:bCs/>
          <w:sz w:val="18"/>
          <w:szCs w:val="18"/>
        </w:rPr>
        <w:t>Welke pensioen en/of Arbeidsongeschiktheidsverzekering-regelingen gebruiken zzp’ers het meest (lijfrente, pensioen-BV, banksparen)?</w:t>
      </w:r>
    </w:p>
    <w:p w:rsidRPr="00C5308E" w:rsidR="00DF7D23" w:rsidP="00D87753" w:rsidRDefault="00DF7D23" w14:paraId="7CE86BD1" w14:textId="77777777">
      <w:pPr>
        <w:spacing w:after="0" w:line="240" w:lineRule="auto"/>
        <w:contextualSpacing/>
        <w:rPr>
          <w:rFonts w:ascii="Verdana" w:hAnsi="Verdana"/>
          <w:bCs/>
          <w:sz w:val="18"/>
          <w:szCs w:val="18"/>
        </w:rPr>
      </w:pPr>
    </w:p>
    <w:p w:rsidR="00972542" w:rsidRDefault="00972542" w14:paraId="7D29AF7F" w14:textId="77777777">
      <w:pPr>
        <w:rPr>
          <w:rFonts w:ascii="Verdana" w:hAnsi="Verdana"/>
          <w:bCs/>
          <w:sz w:val="18"/>
          <w:szCs w:val="18"/>
          <w:u w:val="single"/>
        </w:rPr>
      </w:pPr>
      <w:r>
        <w:rPr>
          <w:rFonts w:ascii="Verdana" w:hAnsi="Verdana"/>
          <w:bCs/>
          <w:sz w:val="18"/>
          <w:szCs w:val="18"/>
          <w:u w:val="single"/>
        </w:rPr>
        <w:br w:type="page"/>
      </w:r>
    </w:p>
    <w:p w:rsidR="00DF7D23" w:rsidP="00D87753" w:rsidRDefault="00DF7D23" w14:paraId="7B7D3D1D" w14:textId="4C809D91">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 xml:space="preserve">Antwoord 34 </w:t>
      </w:r>
    </w:p>
    <w:p w:rsidRPr="00C5308E" w:rsidR="00972542" w:rsidP="00D87753" w:rsidRDefault="00972542" w14:paraId="504AF36C" w14:textId="77777777">
      <w:pPr>
        <w:spacing w:after="0" w:line="240" w:lineRule="auto"/>
        <w:contextualSpacing/>
        <w:rPr>
          <w:rFonts w:ascii="Verdana" w:hAnsi="Verdana"/>
          <w:bCs/>
          <w:sz w:val="18"/>
          <w:szCs w:val="18"/>
          <w:u w:val="single"/>
        </w:rPr>
      </w:pPr>
    </w:p>
    <w:p w:rsidRPr="00C5308E" w:rsidR="00DF7D23" w:rsidP="00D87753" w:rsidRDefault="00DF7D23" w14:paraId="71098B3C" w14:textId="774CA938">
      <w:pPr>
        <w:spacing w:line="240" w:lineRule="auto"/>
        <w:contextualSpacing/>
        <w:rPr>
          <w:rFonts w:ascii="Verdana" w:hAnsi="Verdana"/>
          <w:bCs/>
          <w:i/>
          <w:iCs/>
          <w:sz w:val="18"/>
          <w:szCs w:val="18"/>
        </w:rPr>
      </w:pPr>
      <w:r w:rsidRPr="00C5308E">
        <w:rPr>
          <w:rFonts w:ascii="Verdana" w:hAnsi="Verdana"/>
          <w:bCs/>
          <w:i/>
          <w:iCs/>
          <w:sz w:val="18"/>
          <w:szCs w:val="18"/>
        </w:rPr>
        <w:t>Arbeidsongeschiktheidsverzekering</w:t>
      </w:r>
    </w:p>
    <w:p w:rsidR="0096314B" w:rsidP="00972542" w:rsidRDefault="00DF7D23" w14:paraId="693D6D1F" w14:textId="086958CE">
      <w:pPr>
        <w:spacing w:line="240" w:lineRule="auto"/>
        <w:contextualSpacing/>
        <w:rPr>
          <w:rFonts w:ascii="Verdana" w:hAnsi="Verdana"/>
          <w:bCs/>
          <w:sz w:val="18"/>
          <w:szCs w:val="18"/>
        </w:rPr>
      </w:pPr>
      <w:r w:rsidRPr="00C5308E">
        <w:rPr>
          <w:rFonts w:ascii="Verdana" w:hAnsi="Verdana"/>
          <w:bCs/>
          <w:sz w:val="18"/>
          <w:szCs w:val="18"/>
        </w:rPr>
        <w:t xml:space="preserve">Onderstaande grafiek </w:t>
      </w:r>
      <w:r w:rsidRPr="00C5308E" w:rsidR="009E3782">
        <w:rPr>
          <w:rFonts w:ascii="Verdana" w:hAnsi="Verdana"/>
          <w:bCs/>
          <w:sz w:val="18"/>
          <w:szCs w:val="18"/>
        </w:rPr>
        <w:t>maak</w:t>
      </w:r>
      <w:r w:rsidRPr="00C5308E">
        <w:rPr>
          <w:rFonts w:ascii="Verdana" w:hAnsi="Verdana"/>
          <w:bCs/>
          <w:sz w:val="18"/>
          <w:szCs w:val="18"/>
        </w:rPr>
        <w:t>t inzichtelijk welke type voorziening zelfstandigen, die niet ook werknemer zijn, hebben voor arbeidsongeschiktheid</w:t>
      </w:r>
      <w:r w:rsidRPr="00C5308E" w:rsidR="00A64929">
        <w:rPr>
          <w:rFonts w:ascii="Verdana" w:hAnsi="Verdana"/>
          <w:bCs/>
          <w:sz w:val="18"/>
          <w:szCs w:val="18"/>
        </w:rPr>
        <w:t>:</w:t>
      </w:r>
      <w:r w:rsidRPr="00C5308E">
        <w:rPr>
          <w:rStyle w:val="Voetnootmarkering"/>
          <w:rFonts w:ascii="Verdana" w:hAnsi="Verdana"/>
          <w:bCs/>
          <w:sz w:val="18"/>
          <w:szCs w:val="18"/>
        </w:rPr>
        <w:footnoteReference w:id="8"/>
      </w:r>
    </w:p>
    <w:p w:rsidR="00DF7D23" w:rsidP="00D87753" w:rsidRDefault="0096314B" w14:paraId="192225F7" w14:textId="1B1B3C46">
      <w:pPr>
        <w:spacing w:line="240" w:lineRule="auto"/>
        <w:contextualSpacing/>
        <w:rPr>
          <w:rFonts w:ascii="Verdana" w:hAnsi="Verdana"/>
          <w:bCs/>
          <w:sz w:val="18"/>
          <w:szCs w:val="18"/>
        </w:rPr>
      </w:pPr>
      <w:r>
        <w:rPr>
          <w:rFonts w:ascii="Times New Roman" w:hAnsi="Times New Roman" w:cs="Times New Roman"/>
          <w:noProof/>
        </w:rPr>
        <w:drawing>
          <wp:anchor distT="0" distB="0" distL="114300" distR="114300" simplePos="0" relativeHeight="251659264" behindDoc="0" locked="0" layoutInCell="1" allowOverlap="1" wp14:editId="4E839629" wp14:anchorId="3E60BD13">
            <wp:simplePos x="0" y="0"/>
            <wp:positionH relativeFrom="margin">
              <wp:posOffset>-367059</wp:posOffset>
            </wp:positionH>
            <wp:positionV relativeFrom="paragraph">
              <wp:posOffset>-486327</wp:posOffset>
            </wp:positionV>
            <wp:extent cx="6750103" cy="2687541"/>
            <wp:effectExtent l="0" t="0" r="0" b="0"/>
            <wp:wrapNone/>
            <wp:docPr id="181030455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1">
                      <a:extLst>
                        <a:ext uri="{28A0092B-C50C-407E-A947-70E740481C1C}">
                          <a14:useLocalDpi xmlns:a14="http://schemas.microsoft.com/office/drawing/2010/main" val="0"/>
                        </a:ext>
                      </a:extLst>
                    </a:blip>
                    <a:srcRect b="44138"/>
                    <a:stretch/>
                  </pic:blipFill>
                  <pic:spPr bwMode="auto">
                    <a:xfrm>
                      <a:off x="0" y="0"/>
                      <a:ext cx="6790041" cy="2703442"/>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C5308E" w:rsidR="0096314B" w:rsidP="00D87753" w:rsidRDefault="0096314B" w14:paraId="3F4D85A6" w14:textId="670CDCD3">
      <w:pPr>
        <w:spacing w:line="240" w:lineRule="auto"/>
        <w:contextualSpacing/>
        <w:rPr>
          <w:rFonts w:ascii="Verdana" w:hAnsi="Verdana"/>
          <w:bCs/>
          <w:sz w:val="18"/>
          <w:szCs w:val="18"/>
        </w:rPr>
      </w:pPr>
    </w:p>
    <w:p w:rsidRPr="00C5308E" w:rsidR="00A92A59" w:rsidP="00D87753" w:rsidRDefault="00A92A59" w14:paraId="26A0B2DB" w14:textId="6AC4D2A6">
      <w:pPr>
        <w:spacing w:after="0" w:line="240" w:lineRule="auto"/>
        <w:contextualSpacing/>
        <w:rPr>
          <w:rFonts w:ascii="Verdana" w:hAnsi="Verdana"/>
          <w:bCs/>
          <w:sz w:val="18"/>
          <w:szCs w:val="18"/>
        </w:rPr>
      </w:pPr>
    </w:p>
    <w:p w:rsidRPr="00C5308E" w:rsidR="00A92A59" w:rsidP="00A92A59" w:rsidRDefault="00A92A59" w14:paraId="30FBF4CD" w14:textId="77777777">
      <w:pPr>
        <w:spacing w:after="0" w:line="240" w:lineRule="auto"/>
        <w:contextualSpacing/>
        <w:rPr>
          <w:rFonts w:ascii="Verdana" w:hAnsi="Verdana"/>
          <w:bCs/>
          <w:sz w:val="18"/>
          <w:szCs w:val="18"/>
        </w:rPr>
      </w:pPr>
    </w:p>
    <w:p w:rsidRPr="00C5308E" w:rsidR="00A92A59" w:rsidP="00A92A59" w:rsidRDefault="00A92A59" w14:paraId="4CEB33EA" w14:textId="6107E48E">
      <w:pPr>
        <w:spacing w:after="0" w:line="240" w:lineRule="auto"/>
        <w:contextualSpacing/>
        <w:rPr>
          <w:rFonts w:ascii="Verdana" w:hAnsi="Verdana"/>
          <w:bCs/>
          <w:sz w:val="18"/>
          <w:szCs w:val="18"/>
        </w:rPr>
      </w:pPr>
    </w:p>
    <w:p w:rsidRPr="00C5308E" w:rsidR="00A92A59" w:rsidP="00A92A59" w:rsidRDefault="00A92A59" w14:paraId="763370DF" w14:textId="1A610286">
      <w:pPr>
        <w:spacing w:after="0" w:line="240" w:lineRule="auto"/>
        <w:contextualSpacing/>
        <w:rPr>
          <w:rFonts w:ascii="Verdana" w:hAnsi="Verdana"/>
          <w:bCs/>
          <w:sz w:val="18"/>
          <w:szCs w:val="18"/>
        </w:rPr>
      </w:pPr>
    </w:p>
    <w:p w:rsidRPr="00C5308E" w:rsidR="00A92A59" w:rsidP="00D87753" w:rsidRDefault="00A92A59" w14:paraId="05D390F1" w14:textId="2CC6A792">
      <w:pPr>
        <w:spacing w:after="0" w:line="240" w:lineRule="auto"/>
        <w:contextualSpacing/>
        <w:rPr>
          <w:rFonts w:ascii="Verdana" w:hAnsi="Verdana"/>
          <w:bCs/>
          <w:sz w:val="18"/>
          <w:szCs w:val="18"/>
        </w:rPr>
      </w:pPr>
    </w:p>
    <w:p w:rsidR="0096314B" w:rsidP="00D87753" w:rsidRDefault="0096314B" w14:paraId="2BF7C57E" w14:textId="77777777">
      <w:pPr>
        <w:spacing w:after="0" w:line="240" w:lineRule="auto"/>
        <w:contextualSpacing/>
        <w:rPr>
          <w:rFonts w:ascii="Verdana" w:hAnsi="Verdana"/>
          <w:bCs/>
          <w:sz w:val="18"/>
          <w:szCs w:val="18"/>
        </w:rPr>
      </w:pPr>
    </w:p>
    <w:p w:rsidR="0096314B" w:rsidP="00D87753" w:rsidRDefault="0096314B" w14:paraId="174B6183" w14:textId="77777777">
      <w:pPr>
        <w:spacing w:after="0" w:line="240" w:lineRule="auto"/>
        <w:contextualSpacing/>
        <w:rPr>
          <w:rFonts w:ascii="Verdana" w:hAnsi="Verdana"/>
          <w:bCs/>
          <w:sz w:val="18"/>
          <w:szCs w:val="18"/>
        </w:rPr>
      </w:pPr>
    </w:p>
    <w:p w:rsidR="0096314B" w:rsidP="00D87753" w:rsidRDefault="0096314B" w14:paraId="15CD5E98" w14:textId="77777777">
      <w:pPr>
        <w:spacing w:after="0" w:line="240" w:lineRule="auto"/>
        <w:contextualSpacing/>
        <w:rPr>
          <w:rFonts w:ascii="Verdana" w:hAnsi="Verdana"/>
          <w:bCs/>
          <w:sz w:val="18"/>
          <w:szCs w:val="18"/>
        </w:rPr>
      </w:pPr>
    </w:p>
    <w:p w:rsidR="0096314B" w:rsidP="00D87753" w:rsidRDefault="0096314B" w14:paraId="1DF04E9E" w14:textId="77777777">
      <w:pPr>
        <w:spacing w:after="0" w:line="240" w:lineRule="auto"/>
        <w:contextualSpacing/>
        <w:rPr>
          <w:rFonts w:ascii="Verdana" w:hAnsi="Verdana"/>
          <w:bCs/>
          <w:sz w:val="18"/>
          <w:szCs w:val="18"/>
        </w:rPr>
      </w:pPr>
    </w:p>
    <w:p w:rsidR="0096314B" w:rsidP="00D87753" w:rsidRDefault="0096314B" w14:paraId="7CEB20E6" w14:textId="77777777">
      <w:pPr>
        <w:spacing w:after="0" w:line="240" w:lineRule="auto"/>
        <w:contextualSpacing/>
        <w:rPr>
          <w:rFonts w:ascii="Verdana" w:hAnsi="Verdana"/>
          <w:bCs/>
          <w:sz w:val="18"/>
          <w:szCs w:val="18"/>
        </w:rPr>
      </w:pPr>
    </w:p>
    <w:p w:rsidR="0096314B" w:rsidP="00D87753" w:rsidRDefault="0096314B" w14:paraId="1FEF3ACF" w14:textId="77777777">
      <w:pPr>
        <w:spacing w:after="0" w:line="240" w:lineRule="auto"/>
        <w:contextualSpacing/>
        <w:rPr>
          <w:rFonts w:ascii="Verdana" w:hAnsi="Verdana"/>
          <w:bCs/>
          <w:sz w:val="18"/>
          <w:szCs w:val="18"/>
        </w:rPr>
      </w:pPr>
    </w:p>
    <w:p w:rsidR="0096314B" w:rsidP="00D87753" w:rsidRDefault="0096314B" w14:paraId="0F5554D2" w14:textId="77777777">
      <w:pPr>
        <w:spacing w:after="0" w:line="240" w:lineRule="auto"/>
        <w:contextualSpacing/>
        <w:rPr>
          <w:rFonts w:ascii="Verdana" w:hAnsi="Verdana"/>
          <w:bCs/>
          <w:sz w:val="18"/>
          <w:szCs w:val="18"/>
        </w:rPr>
      </w:pPr>
    </w:p>
    <w:p w:rsidR="0096314B" w:rsidP="00D87753" w:rsidRDefault="0096314B" w14:paraId="47B784C1" w14:textId="77777777">
      <w:pPr>
        <w:spacing w:after="0" w:line="240" w:lineRule="auto"/>
        <w:contextualSpacing/>
        <w:rPr>
          <w:rFonts w:ascii="Verdana" w:hAnsi="Verdana"/>
          <w:bCs/>
          <w:sz w:val="18"/>
          <w:szCs w:val="18"/>
        </w:rPr>
      </w:pPr>
    </w:p>
    <w:p w:rsidR="0096314B" w:rsidP="00D87753" w:rsidRDefault="0096314B" w14:paraId="0847E189" w14:textId="77777777">
      <w:pPr>
        <w:spacing w:after="0" w:line="240" w:lineRule="auto"/>
        <w:contextualSpacing/>
        <w:rPr>
          <w:rFonts w:ascii="Verdana" w:hAnsi="Verdana"/>
          <w:bCs/>
          <w:sz w:val="18"/>
          <w:szCs w:val="18"/>
        </w:rPr>
      </w:pPr>
    </w:p>
    <w:p w:rsidRPr="00C5308E" w:rsidR="00FB0D7D" w:rsidP="00D87753" w:rsidRDefault="00DF7D23" w14:paraId="5A76DB8B" w14:textId="290A3960">
      <w:pPr>
        <w:spacing w:after="0" w:line="240" w:lineRule="auto"/>
        <w:contextualSpacing/>
        <w:rPr>
          <w:rFonts w:ascii="Verdana" w:hAnsi="Verdana"/>
          <w:bCs/>
          <w:sz w:val="18"/>
          <w:szCs w:val="18"/>
        </w:rPr>
      </w:pPr>
      <w:r w:rsidRPr="00C5308E">
        <w:rPr>
          <w:rFonts w:ascii="Verdana" w:hAnsi="Verdana"/>
          <w:bCs/>
          <w:sz w:val="18"/>
          <w:szCs w:val="18"/>
        </w:rPr>
        <w:t>Hieruit blijkt dat ongeveer een kwart van de zelfstandigen een verzekering heeft die uitkeert bij arbeidsongeschiktheid. Aan de andere kant heeft ongeveer een derde van de zelfstandigen helemaal geen voorziening tegen arbeidsongeschiktheid. Deze groep loopt daarmee het grootste risico op een sterke inkomensterugval bij arbeidsongeschiktheid. Tussen deze twee groepen in zitten</w:t>
      </w:r>
      <w:r w:rsidRPr="00C5308E" w:rsidR="009E3782">
        <w:rPr>
          <w:rFonts w:ascii="Verdana" w:hAnsi="Verdana"/>
          <w:bCs/>
          <w:sz w:val="18"/>
          <w:szCs w:val="18"/>
        </w:rPr>
        <w:t xml:space="preserve"> </w:t>
      </w:r>
      <w:r w:rsidRPr="00C5308E">
        <w:rPr>
          <w:rFonts w:ascii="Verdana" w:hAnsi="Verdana"/>
          <w:bCs/>
          <w:sz w:val="18"/>
          <w:szCs w:val="18"/>
        </w:rPr>
        <w:t>zelfstandigen die wel een voorziening hebben om op terug te vallen, zoals spaargeld, ander soort vermogen of partnerinkomen. Zij hebben het risico op inkomensverlies door arbeidsongeschiktheid alleen onder voorwaarden, of niet langdurig afgedekt. Dit soort situaties kunnen kwetsbaar zijn. Gezien bovenstaande wordt op dit moment gewerkt aan een verplichte arbeidsongeschiktheidsverzekering voor zelfstandigen (Wet Baz).</w:t>
      </w:r>
    </w:p>
    <w:p w:rsidRPr="00C5308E" w:rsidR="00962B3B" w:rsidP="00D87753" w:rsidRDefault="00962B3B" w14:paraId="042110A4" w14:textId="77777777">
      <w:pPr>
        <w:spacing w:line="240" w:lineRule="auto"/>
        <w:contextualSpacing/>
        <w:rPr>
          <w:rFonts w:ascii="Verdana" w:hAnsi="Verdana"/>
          <w:bCs/>
          <w:i/>
          <w:iCs/>
          <w:sz w:val="18"/>
          <w:szCs w:val="18"/>
        </w:rPr>
      </w:pPr>
    </w:p>
    <w:p w:rsidRPr="00C5308E" w:rsidR="00DF7D23" w:rsidP="00D87753" w:rsidRDefault="00DF7D23" w14:paraId="2FA164E6" w14:textId="30674078">
      <w:pPr>
        <w:spacing w:line="240" w:lineRule="auto"/>
        <w:contextualSpacing/>
        <w:rPr>
          <w:rFonts w:ascii="Verdana" w:hAnsi="Verdana"/>
          <w:bCs/>
          <w:i/>
          <w:iCs/>
          <w:sz w:val="18"/>
          <w:szCs w:val="18"/>
        </w:rPr>
      </w:pPr>
      <w:r w:rsidRPr="00C5308E">
        <w:rPr>
          <w:rFonts w:ascii="Verdana" w:hAnsi="Verdana"/>
          <w:bCs/>
          <w:i/>
          <w:iCs/>
          <w:sz w:val="18"/>
          <w:szCs w:val="18"/>
        </w:rPr>
        <w:t>Pensioenen</w:t>
      </w:r>
    </w:p>
    <w:p w:rsidRPr="00C5308E" w:rsidR="00DF7D23" w:rsidP="00D87753" w:rsidRDefault="00DF7D23" w14:paraId="5DA8AB3D" w14:textId="7D0B0911">
      <w:pPr>
        <w:spacing w:after="0" w:line="240" w:lineRule="auto"/>
        <w:contextualSpacing/>
        <w:rPr>
          <w:rFonts w:ascii="Verdana" w:hAnsi="Verdana"/>
          <w:bCs/>
          <w:sz w:val="18"/>
          <w:szCs w:val="18"/>
        </w:rPr>
      </w:pPr>
      <w:r w:rsidRPr="00C5308E">
        <w:rPr>
          <w:rFonts w:ascii="Verdana" w:hAnsi="Verdana"/>
          <w:bCs/>
          <w:sz w:val="18"/>
          <w:szCs w:val="18"/>
        </w:rPr>
        <w:t>Uit cijfers van het CBS</w:t>
      </w:r>
      <w:r w:rsidRPr="00C5308E" w:rsidR="00A92A59">
        <w:rPr>
          <w:rStyle w:val="Voetnootmarkering"/>
          <w:rFonts w:ascii="Verdana" w:hAnsi="Verdana"/>
          <w:bCs/>
          <w:sz w:val="18"/>
          <w:szCs w:val="18"/>
        </w:rPr>
        <w:footnoteReference w:id="9"/>
      </w:r>
      <w:r w:rsidRPr="00C5308E" w:rsidR="00A92A59">
        <w:rPr>
          <w:rFonts w:ascii="Verdana" w:hAnsi="Verdana"/>
          <w:bCs/>
          <w:sz w:val="18"/>
          <w:szCs w:val="18"/>
        </w:rPr>
        <w:t xml:space="preserve"> </w:t>
      </w:r>
      <w:r w:rsidRPr="00C5308E">
        <w:rPr>
          <w:rFonts w:ascii="Verdana" w:hAnsi="Verdana"/>
          <w:bCs/>
          <w:sz w:val="18"/>
          <w:szCs w:val="18"/>
        </w:rPr>
        <w:t>lijkt dat van de ruim 1 miljoen zelfstandigen ongeveer 80% aanspraken heeft in de tweede pijler (collectieve pensioenregeling). Daarnaast zijn er nog zo’n 90 duizend zelfstandigen met een individuele pensioenvoorziening in de derde pijler. DNB</w:t>
      </w:r>
      <w:r w:rsidRPr="00C5308E" w:rsidR="00A92A59">
        <w:rPr>
          <w:rStyle w:val="Voetnootmarkering"/>
          <w:rFonts w:ascii="Verdana" w:hAnsi="Verdana"/>
          <w:bCs/>
          <w:sz w:val="18"/>
          <w:szCs w:val="18"/>
        </w:rPr>
        <w:footnoteReference w:id="10"/>
      </w:r>
      <w:r w:rsidRPr="00C5308E">
        <w:rPr>
          <w:rFonts w:ascii="Verdana" w:hAnsi="Verdana"/>
          <w:bCs/>
          <w:sz w:val="18"/>
          <w:szCs w:val="18"/>
        </w:rPr>
        <w:t xml:space="preserve"> heeft onderzocht in welke mate de derde pijler als compensatie dient voor het gebrek aan opbouw in de tweede pijler. Zij geven aan dat zelfstandigen met een tweede pijlerpensioen gemiddeld meer premie inleggen in de derde pijler dan degenen zonder tweede pijlerpensioen. Over het geheel genomen, vormt de derde pijler maar zeer beperkt compensatie voor de tweede pijler. Aanvullend blijkt uit het IBO Pensioenopbouw in balans</w:t>
      </w:r>
      <w:r w:rsidRPr="00C5308E" w:rsidR="00A64929">
        <w:rPr>
          <w:rStyle w:val="Voetnootmarkering"/>
          <w:rFonts w:ascii="Verdana" w:hAnsi="Verdana"/>
          <w:bCs/>
          <w:sz w:val="18"/>
          <w:szCs w:val="18"/>
        </w:rPr>
        <w:footnoteReference w:id="11"/>
      </w:r>
      <w:r w:rsidRPr="00C5308E">
        <w:rPr>
          <w:rFonts w:ascii="Verdana" w:hAnsi="Verdana"/>
          <w:bCs/>
          <w:sz w:val="18"/>
          <w:szCs w:val="18"/>
        </w:rPr>
        <w:t xml:space="preserve"> dat voor de lage inkomens de AOW (eerste pijler) voldoende is om het pensioeninkomen volledig te vervangen. Zelfstandigen met een middeninkomen (44% van het totaal aantal zelfstandigen) zullen het illiquide vermogen (o.a. verkoop eigen woning) moeten aanspreken om de levensstandaard na pensionering te behouden.</w:t>
      </w:r>
    </w:p>
    <w:p w:rsidRPr="00C5308E" w:rsidR="007D707D" w:rsidP="00D87753" w:rsidRDefault="007D707D" w14:paraId="076CFB17" w14:textId="77777777">
      <w:pPr>
        <w:spacing w:after="0" w:line="240" w:lineRule="auto"/>
        <w:contextualSpacing/>
        <w:rPr>
          <w:rFonts w:ascii="Verdana" w:hAnsi="Verdana"/>
          <w:bCs/>
          <w:sz w:val="18"/>
          <w:szCs w:val="18"/>
          <w:u w:val="single"/>
        </w:rPr>
      </w:pPr>
    </w:p>
    <w:p w:rsidRPr="00C5308E" w:rsidR="000B30D8" w:rsidP="000B30D8" w:rsidRDefault="000B30D8" w14:paraId="5534F1B9" w14:textId="4B473095">
      <w:pPr>
        <w:spacing w:after="0" w:line="240" w:lineRule="auto"/>
        <w:contextualSpacing/>
        <w:rPr>
          <w:rFonts w:ascii="Verdana" w:hAnsi="Verdana"/>
          <w:bCs/>
          <w:sz w:val="18"/>
          <w:szCs w:val="18"/>
          <w:u w:val="single"/>
        </w:rPr>
      </w:pPr>
      <w:r w:rsidRPr="00C5308E">
        <w:rPr>
          <w:rFonts w:ascii="Verdana" w:hAnsi="Verdana"/>
          <w:bCs/>
          <w:sz w:val="18"/>
          <w:szCs w:val="18"/>
          <w:u w:val="single"/>
        </w:rPr>
        <w:t>Vraag 35</w:t>
      </w:r>
    </w:p>
    <w:p w:rsidRPr="00C5308E" w:rsidR="000B30D8" w:rsidP="000B30D8" w:rsidRDefault="000B30D8" w14:paraId="27F390AA" w14:textId="47303ECA">
      <w:pPr>
        <w:spacing w:after="0" w:line="240" w:lineRule="auto"/>
        <w:contextualSpacing/>
        <w:rPr>
          <w:rFonts w:ascii="Verdana" w:hAnsi="Verdana"/>
          <w:bCs/>
          <w:sz w:val="18"/>
          <w:szCs w:val="18"/>
        </w:rPr>
      </w:pPr>
      <w:r w:rsidRPr="00C5308E">
        <w:rPr>
          <w:rFonts w:ascii="Verdana" w:hAnsi="Verdana"/>
          <w:bCs/>
          <w:sz w:val="18"/>
          <w:szCs w:val="18"/>
        </w:rPr>
        <w:t>Hoeveel zzp’ers vallen onder de Werkloosheidswet(WW)- en Ziektewet(ZW)-verzekeringen (bij vrijwillige aansluiting)?</w:t>
      </w:r>
    </w:p>
    <w:p w:rsidRPr="00C5308E" w:rsidR="000B30D8" w:rsidP="000B30D8" w:rsidRDefault="000B30D8" w14:paraId="41A585D3" w14:textId="77777777">
      <w:pPr>
        <w:spacing w:after="0" w:line="240" w:lineRule="auto"/>
        <w:contextualSpacing/>
        <w:rPr>
          <w:rFonts w:ascii="Verdana" w:hAnsi="Verdana"/>
          <w:bCs/>
          <w:sz w:val="18"/>
          <w:szCs w:val="18"/>
        </w:rPr>
      </w:pPr>
    </w:p>
    <w:p w:rsidRPr="00C5308E" w:rsidR="000B30D8" w:rsidP="000B30D8" w:rsidRDefault="000B30D8" w14:paraId="765980FD" w14:textId="0834AD30">
      <w:pPr>
        <w:spacing w:after="0" w:line="240" w:lineRule="auto"/>
        <w:contextualSpacing/>
        <w:rPr>
          <w:rFonts w:ascii="Verdana" w:hAnsi="Verdana"/>
          <w:bCs/>
          <w:sz w:val="18"/>
          <w:szCs w:val="18"/>
          <w:u w:val="single"/>
        </w:rPr>
      </w:pPr>
      <w:r w:rsidRPr="00C5308E">
        <w:rPr>
          <w:rFonts w:ascii="Verdana" w:hAnsi="Verdana"/>
          <w:bCs/>
          <w:sz w:val="18"/>
          <w:szCs w:val="18"/>
          <w:u w:val="single"/>
        </w:rPr>
        <w:t>Antwoord 35</w:t>
      </w:r>
    </w:p>
    <w:p w:rsidRPr="00C5308E" w:rsidR="000B30D8" w:rsidP="00D87753" w:rsidRDefault="00C806B5" w14:paraId="4A846C20" w14:textId="6E468C9E">
      <w:pPr>
        <w:spacing w:after="0" w:line="240" w:lineRule="auto"/>
        <w:contextualSpacing/>
        <w:rPr>
          <w:rFonts w:ascii="Verdana" w:hAnsi="Verdana"/>
          <w:bCs/>
          <w:sz w:val="18"/>
          <w:szCs w:val="18"/>
          <w:u w:val="single"/>
        </w:rPr>
      </w:pPr>
      <w:r w:rsidRPr="00882A4B">
        <w:rPr>
          <w:rFonts w:ascii="Verdana" w:hAnsi="Verdana"/>
          <w:sz w:val="18"/>
          <w:szCs w:val="18"/>
        </w:rPr>
        <w:t xml:space="preserve">Uit de informatie waarover UWV beschikt ten aanzien van vrijwillige aansluiting van zzp’ers bij de WW en ZW, volgt dat er circa 11.000 zzp’ers vrijwillig zijn verzekerd voor de ZW. Voor de WW zijn er momenteel geen zzp’ers vrijwillig verzekerd. </w:t>
      </w:r>
    </w:p>
    <w:p w:rsidR="00BA1787" w:rsidP="00D87753" w:rsidRDefault="00BA1787" w14:paraId="3399E67C" w14:textId="77777777">
      <w:pPr>
        <w:spacing w:after="0" w:line="240" w:lineRule="auto"/>
        <w:contextualSpacing/>
        <w:rPr>
          <w:rFonts w:ascii="Verdana" w:hAnsi="Verdana"/>
          <w:bCs/>
          <w:sz w:val="18"/>
          <w:szCs w:val="18"/>
          <w:u w:val="single"/>
        </w:rPr>
      </w:pPr>
    </w:p>
    <w:p w:rsidRPr="00C5308E" w:rsidR="003A3DFD" w:rsidP="00D87753" w:rsidRDefault="003A3DFD" w14:paraId="0939AF66" w14:textId="31E83083">
      <w:pPr>
        <w:spacing w:after="0" w:line="240" w:lineRule="auto"/>
        <w:contextualSpacing/>
        <w:rPr>
          <w:rFonts w:ascii="Verdana" w:hAnsi="Verdana"/>
          <w:bCs/>
          <w:sz w:val="18"/>
          <w:szCs w:val="18"/>
          <w:u w:val="single"/>
        </w:rPr>
      </w:pPr>
      <w:r w:rsidRPr="00C5308E">
        <w:rPr>
          <w:rFonts w:ascii="Verdana" w:hAnsi="Verdana"/>
          <w:bCs/>
          <w:sz w:val="18"/>
          <w:szCs w:val="18"/>
          <w:u w:val="single"/>
        </w:rPr>
        <w:t>Vraag 36</w:t>
      </w:r>
    </w:p>
    <w:p w:rsidR="003A3DFD" w:rsidP="00D87753" w:rsidRDefault="003A3DFD" w14:paraId="050A86C5" w14:textId="77777777">
      <w:pPr>
        <w:spacing w:after="0" w:line="240" w:lineRule="auto"/>
        <w:contextualSpacing/>
        <w:rPr>
          <w:rFonts w:ascii="Verdana" w:hAnsi="Verdana"/>
          <w:bCs/>
          <w:sz w:val="18"/>
          <w:szCs w:val="18"/>
        </w:rPr>
      </w:pPr>
      <w:r w:rsidRPr="00C5308E">
        <w:rPr>
          <w:rFonts w:ascii="Verdana" w:hAnsi="Verdana"/>
          <w:bCs/>
          <w:sz w:val="18"/>
          <w:szCs w:val="18"/>
        </w:rPr>
        <w:t>Welke wetten en artikelen (Burgerlijk Wetboek (BW), Wet deregulering beoordeling arbeidsrelaties (DBA), etc.) zijn relevant voor de kwalificatie van zzp-werkrelaties?</w:t>
      </w:r>
    </w:p>
    <w:p w:rsidRPr="00C5308E" w:rsidR="00972542" w:rsidP="00D87753" w:rsidRDefault="00972542" w14:paraId="00D1AA14" w14:textId="77777777">
      <w:pPr>
        <w:spacing w:after="0" w:line="240" w:lineRule="auto"/>
        <w:contextualSpacing/>
        <w:rPr>
          <w:rFonts w:ascii="Verdana" w:hAnsi="Verdana"/>
          <w:bCs/>
          <w:sz w:val="18"/>
          <w:szCs w:val="18"/>
        </w:rPr>
      </w:pPr>
    </w:p>
    <w:p w:rsidRPr="00C5308E" w:rsidR="003A3DFD" w:rsidP="00D87753" w:rsidRDefault="003A3DFD" w14:paraId="7FE0D535" w14:textId="77777777">
      <w:pPr>
        <w:spacing w:after="0" w:line="240" w:lineRule="auto"/>
        <w:contextualSpacing/>
        <w:rPr>
          <w:rFonts w:ascii="Verdana" w:hAnsi="Verdana"/>
          <w:bCs/>
          <w:sz w:val="18"/>
          <w:szCs w:val="18"/>
        </w:rPr>
      </w:pPr>
    </w:p>
    <w:p w:rsidRPr="00C5308E" w:rsidR="003A3DFD" w:rsidP="00D87753" w:rsidRDefault="003A3DFD" w14:paraId="6F60417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36</w:t>
      </w:r>
    </w:p>
    <w:p w:rsidRPr="00C5308E" w:rsidR="003A3DFD" w:rsidP="00D87753" w:rsidRDefault="003A3DFD" w14:paraId="5ABBA188" w14:textId="77777777">
      <w:pPr>
        <w:spacing w:after="0" w:line="240" w:lineRule="auto"/>
        <w:contextualSpacing/>
        <w:rPr>
          <w:rFonts w:ascii="Verdana" w:hAnsi="Verdana"/>
          <w:bCs/>
          <w:sz w:val="18"/>
          <w:szCs w:val="18"/>
        </w:rPr>
      </w:pPr>
      <w:r w:rsidRPr="00C5308E">
        <w:rPr>
          <w:rFonts w:ascii="Verdana" w:hAnsi="Verdana"/>
          <w:bCs/>
          <w:sz w:val="18"/>
          <w:szCs w:val="18"/>
        </w:rPr>
        <w:t>De definitie van de arbeidsovereenkomst is vastgelegd in artikel 7:610 van het Burgerlijk Wetboek (BW). Dit artikel bepaalt dat sprake is van een arbeidsovereenkomst indien de ene partij, de werknemer, zich verbindt in dienst van de andere partij, de werkgever, tegen loon gedurende zekere tijd arbeid te verrichten. Dit artikel is dwingendrechtelijk van aard. Dit betekent dat sprake is van een arbeidsovereenkomst indien aan deze omschrijving is voldaan, ook als partijen dat niet hebben beoogd. Indien niet is voldaan aan de omschrijving van art. 7:610 BW, dan kan het werk bijvoorbeeld worden verricht op basis van de overeenkomst van opdracht (art. 7:400 BW). De zzp-werkrelatie is als zodanig niet wettelijk geregeld.</w:t>
      </w:r>
    </w:p>
    <w:p w:rsidRPr="00C5308E" w:rsidR="003A3DFD" w:rsidP="00D87753" w:rsidRDefault="003A3DFD" w14:paraId="6B30C6A1" w14:textId="77777777">
      <w:pPr>
        <w:spacing w:after="0" w:line="240" w:lineRule="auto"/>
        <w:contextualSpacing/>
        <w:rPr>
          <w:rFonts w:ascii="Verdana" w:hAnsi="Verdana"/>
          <w:bCs/>
          <w:sz w:val="18"/>
          <w:szCs w:val="18"/>
        </w:rPr>
      </w:pPr>
    </w:p>
    <w:p w:rsidRPr="00C5308E" w:rsidR="003A3DFD" w:rsidP="00D87753" w:rsidRDefault="003A3DFD" w14:paraId="494101BA" w14:textId="77777777">
      <w:pPr>
        <w:spacing w:after="0" w:line="240" w:lineRule="auto"/>
        <w:contextualSpacing/>
        <w:rPr>
          <w:rFonts w:ascii="Verdana" w:hAnsi="Verdana"/>
          <w:bCs/>
          <w:sz w:val="18"/>
          <w:szCs w:val="18"/>
        </w:rPr>
      </w:pPr>
      <w:r w:rsidRPr="00C5308E">
        <w:rPr>
          <w:rFonts w:ascii="Verdana" w:hAnsi="Verdana"/>
          <w:bCs/>
          <w:sz w:val="18"/>
          <w:szCs w:val="18"/>
        </w:rPr>
        <w:t>Artikel 7:610 BW definieert de arbeidsovereenkomst en deze definitie werkt rechtstreeks door naar de Wet op de loonbelasting 1964 (Wet LB 1964) en de werknemersverzekeringswetten, en is daarmee van groot belang voor de loonbelasting, premieheffing en uitkeringen.</w:t>
      </w:r>
    </w:p>
    <w:p w:rsidRPr="00C5308E" w:rsidR="003A3DFD" w:rsidP="00D87753" w:rsidRDefault="003A3DFD" w14:paraId="5DEC247F" w14:textId="77777777">
      <w:pPr>
        <w:spacing w:after="0" w:line="240" w:lineRule="auto"/>
        <w:contextualSpacing/>
        <w:rPr>
          <w:rFonts w:ascii="Verdana" w:hAnsi="Verdana"/>
          <w:bCs/>
          <w:sz w:val="18"/>
          <w:szCs w:val="18"/>
        </w:rPr>
      </w:pPr>
    </w:p>
    <w:p w:rsidRPr="00C5308E" w:rsidR="003A3DFD" w:rsidP="00D87753" w:rsidRDefault="003A3DFD" w14:paraId="4740F381" w14:textId="205767E0">
      <w:pPr>
        <w:spacing w:after="0" w:line="240" w:lineRule="auto"/>
        <w:contextualSpacing/>
        <w:rPr>
          <w:rFonts w:ascii="Verdana" w:hAnsi="Verdana"/>
          <w:bCs/>
          <w:sz w:val="18"/>
          <w:szCs w:val="18"/>
        </w:rPr>
      </w:pPr>
      <w:r w:rsidRPr="00C5308E">
        <w:rPr>
          <w:rFonts w:ascii="Verdana" w:hAnsi="Verdana"/>
          <w:bCs/>
          <w:sz w:val="18"/>
          <w:szCs w:val="18"/>
        </w:rPr>
        <w:t>Daarnaast bevatten de Wet LB 1964 en de materiewetten nog enkele fictieve dienstbetrekkingen</w:t>
      </w:r>
      <w:r w:rsidR="00F607B3">
        <w:rPr>
          <w:rStyle w:val="Voetnootmarkering"/>
          <w:rFonts w:ascii="Verdana" w:hAnsi="Verdana"/>
          <w:bCs/>
          <w:sz w:val="18"/>
          <w:szCs w:val="18"/>
        </w:rPr>
        <w:footnoteReference w:id="12"/>
      </w:r>
      <w:r w:rsidRPr="00C5308E">
        <w:rPr>
          <w:rFonts w:ascii="Verdana" w:hAnsi="Verdana"/>
          <w:bCs/>
          <w:sz w:val="18"/>
          <w:szCs w:val="18"/>
        </w:rPr>
        <w:t xml:space="preserve">. Het gaat dan onder meer om thuiswerkers, artiesten, uitzendkrachten en andere specifieke categorieën arbeidsrelaties die voldoen aan de wettelijke voorwaarden met betrekking tot duur of omvang van de arbeid en/of de hoogte van de beloning. Als aan die voorwaarden wordt voldaan, wordt de arbeidsrelatie voor de heffing van loonheffing en/of premies werknemersverzekering en inkomensafhankelijke bijdrage Zorgverzekeringswet aangemerkt als een dienstbetrekking. Een aantal van deze ficties kunnen vooraf schriftelijk worden uitgesloten door partijen. </w:t>
      </w:r>
    </w:p>
    <w:p w:rsidRPr="00C5308E" w:rsidR="003A3DFD" w:rsidP="00D87753" w:rsidRDefault="003A3DFD" w14:paraId="21CA6DC3" w14:textId="77777777">
      <w:pPr>
        <w:spacing w:after="0" w:line="240" w:lineRule="auto"/>
        <w:contextualSpacing/>
        <w:rPr>
          <w:rFonts w:ascii="Verdana" w:hAnsi="Verdana"/>
          <w:bCs/>
          <w:sz w:val="18"/>
          <w:szCs w:val="18"/>
        </w:rPr>
      </w:pPr>
    </w:p>
    <w:p w:rsidRPr="00C5308E" w:rsidR="003A3DFD" w:rsidP="00D87753" w:rsidRDefault="003A3DFD" w14:paraId="6DE199C5" w14:textId="4850E371">
      <w:pPr>
        <w:spacing w:after="0" w:line="240" w:lineRule="auto"/>
        <w:contextualSpacing/>
        <w:rPr>
          <w:rFonts w:ascii="Verdana" w:hAnsi="Verdana"/>
          <w:bCs/>
          <w:sz w:val="18"/>
          <w:szCs w:val="18"/>
        </w:rPr>
      </w:pPr>
      <w:r w:rsidRPr="00C5308E">
        <w:rPr>
          <w:rFonts w:ascii="Verdana" w:hAnsi="Verdana"/>
          <w:bCs/>
          <w:sz w:val="18"/>
          <w:szCs w:val="18"/>
        </w:rPr>
        <w:t>Met de Wet deregulering beoordeling arbeidsrelaties (DBA) is enkel de Verklaring Beoordeling Arbeidsrelaties (VAR) per mei 2016 afgeschaft</w:t>
      </w:r>
      <w:r w:rsidRPr="00C5308E">
        <w:rPr>
          <w:rStyle w:val="Voetnootmarkering"/>
          <w:rFonts w:ascii="Verdana" w:hAnsi="Verdana"/>
          <w:bCs/>
          <w:sz w:val="18"/>
          <w:szCs w:val="18"/>
        </w:rPr>
        <w:footnoteReference w:id="13"/>
      </w:r>
      <w:r w:rsidRPr="00C5308E" w:rsidR="00A64929">
        <w:rPr>
          <w:rFonts w:ascii="Verdana" w:hAnsi="Verdana"/>
          <w:bCs/>
          <w:sz w:val="18"/>
          <w:szCs w:val="18"/>
        </w:rPr>
        <w:t>.</w:t>
      </w:r>
      <w:r w:rsidRPr="00C5308E">
        <w:rPr>
          <w:rFonts w:ascii="Verdana" w:hAnsi="Verdana"/>
          <w:bCs/>
          <w:sz w:val="18"/>
          <w:szCs w:val="18"/>
        </w:rPr>
        <w:t xml:space="preserve"> De Wet DBA is dus niet relevant voor de kwalificatie van arbeidsrelaties. </w:t>
      </w:r>
    </w:p>
    <w:p w:rsidRPr="00C5308E" w:rsidR="007D707D" w:rsidP="00D87753" w:rsidRDefault="007D707D" w14:paraId="0D864680" w14:textId="77777777">
      <w:pPr>
        <w:spacing w:after="0" w:line="240" w:lineRule="auto"/>
        <w:contextualSpacing/>
        <w:rPr>
          <w:rFonts w:ascii="Verdana" w:hAnsi="Verdana"/>
          <w:bCs/>
          <w:sz w:val="18"/>
          <w:szCs w:val="18"/>
          <w:u w:val="single"/>
        </w:rPr>
      </w:pPr>
    </w:p>
    <w:p w:rsidRPr="00C5308E" w:rsidR="00173FB1" w:rsidP="00D87753" w:rsidRDefault="00173FB1" w14:paraId="382CA6A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37</w:t>
      </w:r>
    </w:p>
    <w:p w:rsidRPr="00C5308E" w:rsidR="00173FB1" w:rsidP="00D87753" w:rsidRDefault="00173FB1" w14:paraId="24014C9A" w14:textId="77777777">
      <w:pPr>
        <w:spacing w:after="0" w:line="240" w:lineRule="auto"/>
        <w:contextualSpacing/>
        <w:rPr>
          <w:rFonts w:ascii="Verdana" w:hAnsi="Verdana"/>
          <w:bCs/>
          <w:sz w:val="18"/>
          <w:szCs w:val="18"/>
        </w:rPr>
      </w:pPr>
      <w:r w:rsidRPr="00C5308E">
        <w:rPr>
          <w:rFonts w:ascii="Verdana" w:hAnsi="Verdana"/>
          <w:bCs/>
          <w:sz w:val="18"/>
          <w:szCs w:val="18"/>
        </w:rPr>
        <w:t>Hoeveel handhavingsacties heeft de Belastingdienst dit jaar ondernomen op het gebied van schijnzelfstandigheid.</w:t>
      </w:r>
    </w:p>
    <w:p w:rsidRPr="00C5308E" w:rsidR="00173FB1" w:rsidP="00D87753" w:rsidRDefault="00173FB1" w14:paraId="60E468D0" w14:textId="77777777">
      <w:pPr>
        <w:spacing w:after="0" w:line="240" w:lineRule="auto"/>
        <w:contextualSpacing/>
        <w:rPr>
          <w:rFonts w:ascii="Verdana" w:hAnsi="Verdana"/>
          <w:bCs/>
          <w:sz w:val="18"/>
          <w:szCs w:val="18"/>
        </w:rPr>
      </w:pPr>
    </w:p>
    <w:p w:rsidRPr="00C5308E" w:rsidR="00173FB1" w:rsidP="00D87753" w:rsidRDefault="00173FB1" w14:paraId="3595EE99" w14:textId="17E25DB6">
      <w:pPr>
        <w:spacing w:after="0" w:line="240" w:lineRule="auto"/>
        <w:contextualSpacing/>
        <w:rPr>
          <w:rFonts w:ascii="Verdana" w:hAnsi="Verdana"/>
          <w:bCs/>
          <w:sz w:val="18"/>
          <w:szCs w:val="18"/>
          <w:u w:val="single"/>
        </w:rPr>
      </w:pPr>
      <w:r w:rsidRPr="00C5308E">
        <w:rPr>
          <w:rFonts w:ascii="Verdana" w:hAnsi="Verdana"/>
          <w:bCs/>
          <w:sz w:val="18"/>
          <w:szCs w:val="18"/>
          <w:u w:val="single"/>
        </w:rPr>
        <w:t>Antwoord</w:t>
      </w:r>
      <w:r w:rsidRPr="00C5308E" w:rsidR="0052736B">
        <w:rPr>
          <w:rFonts w:ascii="Verdana" w:hAnsi="Verdana"/>
          <w:bCs/>
          <w:sz w:val="18"/>
          <w:szCs w:val="18"/>
          <w:u w:val="single"/>
        </w:rPr>
        <w:t xml:space="preserve"> 37</w:t>
      </w:r>
      <w:r w:rsidRPr="00C5308E">
        <w:rPr>
          <w:rFonts w:ascii="Verdana" w:hAnsi="Verdana"/>
          <w:bCs/>
          <w:sz w:val="18"/>
          <w:szCs w:val="18"/>
          <w:u w:val="single"/>
        </w:rPr>
        <w:t xml:space="preserve"> </w:t>
      </w:r>
    </w:p>
    <w:p w:rsidRPr="00C5308E" w:rsidR="00173FB1" w:rsidP="00D87753" w:rsidRDefault="00173FB1" w14:paraId="53EF20CC" w14:textId="77777777">
      <w:pPr>
        <w:spacing w:after="0" w:line="240" w:lineRule="auto"/>
        <w:contextualSpacing/>
        <w:rPr>
          <w:rFonts w:ascii="Verdana" w:hAnsi="Verdana"/>
          <w:bCs/>
          <w:sz w:val="18"/>
          <w:szCs w:val="18"/>
        </w:rPr>
      </w:pPr>
      <w:r w:rsidRPr="00C5308E">
        <w:rPr>
          <w:rFonts w:ascii="Verdana" w:hAnsi="Verdana"/>
          <w:bCs/>
          <w:sz w:val="18"/>
          <w:szCs w:val="18"/>
        </w:rPr>
        <w:t xml:space="preserve">In het kader van de motie Palland wordt periodiek aan de Kamer gerapporteerd over de voortgang van de handhaving op arbeidsrelaties door de Belastingdienst in de vorm van ingezette uren en gerealiseerde producten weergegeven. De laatste rapportage heeft plaatsgevonden in de brief werken met en als zelfstandige van 27 maart jl. </w:t>
      </w:r>
    </w:p>
    <w:p w:rsidRPr="00C5308E" w:rsidR="00173FB1" w:rsidP="00D87753" w:rsidRDefault="00173FB1" w14:paraId="17CA1B50" w14:textId="77777777">
      <w:pPr>
        <w:spacing w:after="0" w:line="240" w:lineRule="auto"/>
        <w:contextualSpacing/>
        <w:rPr>
          <w:rFonts w:ascii="Verdana" w:hAnsi="Verdana"/>
          <w:bCs/>
          <w:sz w:val="18"/>
          <w:szCs w:val="18"/>
        </w:rPr>
      </w:pPr>
    </w:p>
    <w:p w:rsidRPr="00C5308E" w:rsidR="00173FB1" w:rsidP="00D87753" w:rsidRDefault="00173FB1" w14:paraId="3F868070" w14:textId="77777777">
      <w:pPr>
        <w:spacing w:line="240" w:lineRule="auto"/>
        <w:contextualSpacing/>
        <w:rPr>
          <w:rFonts w:ascii="Verdana" w:hAnsi="Verdana"/>
          <w:bCs/>
          <w:sz w:val="18"/>
          <w:szCs w:val="18"/>
        </w:rPr>
      </w:pPr>
      <w:r w:rsidRPr="00C5308E">
        <w:rPr>
          <w:rFonts w:ascii="Verdana" w:hAnsi="Verdana"/>
          <w:bCs/>
          <w:sz w:val="18"/>
          <w:szCs w:val="18"/>
        </w:rPr>
        <w:t>Hieronder de aantallen boekenonderzoeken en bedrijfsbezoeken over de periode 1 januari 2025 tot en met april 2025.</w:t>
      </w:r>
    </w:p>
    <w:tbl>
      <w:tblPr>
        <w:tblStyle w:val="Tabelraster"/>
        <w:tblW w:w="0" w:type="auto"/>
        <w:tblLook w:val="04A0" w:firstRow="1" w:lastRow="0" w:firstColumn="1" w:lastColumn="0" w:noHBand="0" w:noVBand="1"/>
      </w:tblPr>
      <w:tblGrid>
        <w:gridCol w:w="2322"/>
        <w:gridCol w:w="1779"/>
        <w:gridCol w:w="1701"/>
        <w:gridCol w:w="1654"/>
      </w:tblGrid>
      <w:tr w:rsidRPr="00C5308E" w:rsidR="00173FB1" w:rsidTr="003C75FE" w14:paraId="112082A5" w14:textId="77777777">
        <w:tc>
          <w:tcPr>
            <w:tcW w:w="2322" w:type="dxa"/>
          </w:tcPr>
          <w:p w:rsidRPr="00C5308E" w:rsidR="00173FB1" w:rsidP="00D87753" w:rsidRDefault="00173FB1" w14:paraId="25FA2141" w14:textId="77777777">
            <w:pPr>
              <w:spacing w:after="160"/>
              <w:contextualSpacing/>
              <w:rPr>
                <w:rFonts w:ascii="Verdana" w:hAnsi="Verdana"/>
                <w:bCs/>
                <w:sz w:val="18"/>
                <w:szCs w:val="18"/>
              </w:rPr>
            </w:pPr>
          </w:p>
        </w:tc>
        <w:tc>
          <w:tcPr>
            <w:tcW w:w="1779" w:type="dxa"/>
          </w:tcPr>
          <w:p w:rsidRPr="00C5308E" w:rsidR="00173FB1" w:rsidP="00D87753" w:rsidRDefault="00173FB1" w14:paraId="07DA88EB" w14:textId="77777777">
            <w:pPr>
              <w:spacing w:after="160"/>
              <w:contextualSpacing/>
              <w:rPr>
                <w:rFonts w:ascii="Verdana" w:hAnsi="Verdana"/>
                <w:bCs/>
                <w:sz w:val="18"/>
                <w:szCs w:val="18"/>
              </w:rPr>
            </w:pPr>
            <w:r w:rsidRPr="00C5308E">
              <w:rPr>
                <w:rFonts w:ascii="Verdana" w:hAnsi="Verdana"/>
                <w:bCs/>
                <w:sz w:val="18"/>
                <w:szCs w:val="18"/>
              </w:rPr>
              <w:t>Onderhanden</w:t>
            </w:r>
          </w:p>
        </w:tc>
        <w:tc>
          <w:tcPr>
            <w:tcW w:w="1701" w:type="dxa"/>
          </w:tcPr>
          <w:p w:rsidRPr="00C5308E" w:rsidR="00173FB1" w:rsidP="00D87753" w:rsidRDefault="00173FB1" w14:paraId="65C34BBA" w14:textId="77777777">
            <w:pPr>
              <w:spacing w:after="160"/>
              <w:contextualSpacing/>
              <w:rPr>
                <w:rFonts w:ascii="Verdana" w:hAnsi="Verdana"/>
                <w:bCs/>
                <w:sz w:val="18"/>
                <w:szCs w:val="18"/>
              </w:rPr>
            </w:pPr>
            <w:r w:rsidRPr="00C5308E">
              <w:rPr>
                <w:rFonts w:ascii="Verdana" w:hAnsi="Verdana"/>
                <w:bCs/>
                <w:sz w:val="18"/>
                <w:szCs w:val="18"/>
              </w:rPr>
              <w:t>Afgerond</w:t>
            </w:r>
          </w:p>
        </w:tc>
        <w:tc>
          <w:tcPr>
            <w:tcW w:w="1654" w:type="dxa"/>
          </w:tcPr>
          <w:p w:rsidRPr="00C5308E" w:rsidR="00173FB1" w:rsidP="00D87753" w:rsidRDefault="00173FB1" w14:paraId="103D0CCB" w14:textId="77777777">
            <w:pPr>
              <w:spacing w:after="160"/>
              <w:contextualSpacing/>
              <w:rPr>
                <w:rFonts w:ascii="Verdana" w:hAnsi="Verdana"/>
                <w:bCs/>
                <w:sz w:val="18"/>
                <w:szCs w:val="18"/>
              </w:rPr>
            </w:pPr>
            <w:r w:rsidRPr="00C5308E">
              <w:rPr>
                <w:rFonts w:ascii="Verdana" w:hAnsi="Verdana"/>
                <w:bCs/>
                <w:sz w:val="18"/>
                <w:szCs w:val="18"/>
              </w:rPr>
              <w:t>Totaal</w:t>
            </w:r>
          </w:p>
        </w:tc>
      </w:tr>
      <w:tr w:rsidRPr="00C5308E" w:rsidR="00173FB1" w:rsidTr="003C75FE" w14:paraId="4C38A462" w14:textId="77777777">
        <w:trPr>
          <w:trHeight w:val="300"/>
        </w:trPr>
        <w:tc>
          <w:tcPr>
            <w:tcW w:w="2322" w:type="dxa"/>
          </w:tcPr>
          <w:p w:rsidRPr="00C5308E" w:rsidR="00173FB1" w:rsidP="00D87753" w:rsidRDefault="00173FB1" w14:paraId="27409E94" w14:textId="77777777">
            <w:pPr>
              <w:spacing w:after="160"/>
              <w:contextualSpacing/>
              <w:rPr>
                <w:rFonts w:ascii="Verdana" w:hAnsi="Verdana"/>
                <w:bCs/>
                <w:sz w:val="18"/>
                <w:szCs w:val="18"/>
              </w:rPr>
            </w:pPr>
            <w:r w:rsidRPr="00C5308E">
              <w:rPr>
                <w:rFonts w:ascii="Verdana" w:hAnsi="Verdana"/>
                <w:bCs/>
                <w:sz w:val="18"/>
                <w:szCs w:val="18"/>
              </w:rPr>
              <w:t>Bedrijfsbezoeken</w:t>
            </w:r>
          </w:p>
        </w:tc>
        <w:tc>
          <w:tcPr>
            <w:tcW w:w="1779" w:type="dxa"/>
          </w:tcPr>
          <w:p w:rsidRPr="00C5308E" w:rsidR="00173FB1" w:rsidP="00D87753" w:rsidRDefault="00173FB1" w14:paraId="751054CD" w14:textId="77777777">
            <w:pPr>
              <w:spacing w:after="160"/>
              <w:contextualSpacing/>
              <w:rPr>
                <w:rFonts w:ascii="Verdana" w:hAnsi="Verdana"/>
                <w:bCs/>
                <w:sz w:val="18"/>
                <w:szCs w:val="18"/>
              </w:rPr>
            </w:pPr>
            <w:r w:rsidRPr="00C5308E">
              <w:rPr>
                <w:rFonts w:ascii="Verdana" w:hAnsi="Verdana"/>
                <w:bCs/>
                <w:sz w:val="18"/>
                <w:szCs w:val="18"/>
              </w:rPr>
              <w:t>397</w:t>
            </w:r>
          </w:p>
        </w:tc>
        <w:tc>
          <w:tcPr>
            <w:tcW w:w="1701" w:type="dxa"/>
          </w:tcPr>
          <w:p w:rsidRPr="00C5308E" w:rsidR="00173FB1" w:rsidP="00D87753" w:rsidRDefault="00173FB1" w14:paraId="0E922FCA" w14:textId="77777777">
            <w:pPr>
              <w:spacing w:after="160"/>
              <w:contextualSpacing/>
              <w:rPr>
                <w:rFonts w:ascii="Verdana" w:hAnsi="Verdana"/>
                <w:bCs/>
                <w:sz w:val="18"/>
                <w:szCs w:val="18"/>
              </w:rPr>
            </w:pPr>
            <w:r w:rsidRPr="00C5308E">
              <w:rPr>
                <w:rFonts w:ascii="Verdana" w:hAnsi="Verdana"/>
                <w:bCs/>
                <w:sz w:val="18"/>
                <w:szCs w:val="18"/>
              </w:rPr>
              <w:t>199</w:t>
            </w:r>
          </w:p>
        </w:tc>
        <w:tc>
          <w:tcPr>
            <w:tcW w:w="1654" w:type="dxa"/>
          </w:tcPr>
          <w:p w:rsidRPr="00C5308E" w:rsidR="00173FB1" w:rsidP="00D87753" w:rsidRDefault="00173FB1" w14:paraId="194020D7" w14:textId="77777777">
            <w:pPr>
              <w:spacing w:after="160"/>
              <w:contextualSpacing/>
              <w:rPr>
                <w:rFonts w:ascii="Verdana" w:hAnsi="Verdana"/>
                <w:bCs/>
                <w:sz w:val="18"/>
                <w:szCs w:val="18"/>
              </w:rPr>
            </w:pPr>
            <w:r w:rsidRPr="00C5308E">
              <w:rPr>
                <w:rFonts w:ascii="Verdana" w:hAnsi="Verdana"/>
                <w:bCs/>
                <w:sz w:val="18"/>
                <w:szCs w:val="18"/>
              </w:rPr>
              <w:t>596</w:t>
            </w:r>
          </w:p>
        </w:tc>
      </w:tr>
      <w:tr w:rsidRPr="00C5308E" w:rsidR="00173FB1" w:rsidTr="003C75FE" w14:paraId="44B51BFA" w14:textId="77777777">
        <w:trPr>
          <w:trHeight w:val="50"/>
        </w:trPr>
        <w:tc>
          <w:tcPr>
            <w:tcW w:w="2322" w:type="dxa"/>
          </w:tcPr>
          <w:p w:rsidRPr="00C5308E" w:rsidR="00173FB1" w:rsidP="00D87753" w:rsidRDefault="00173FB1" w14:paraId="340719FF" w14:textId="77777777">
            <w:pPr>
              <w:spacing w:after="160"/>
              <w:contextualSpacing/>
              <w:rPr>
                <w:rFonts w:ascii="Verdana" w:hAnsi="Verdana"/>
                <w:bCs/>
                <w:sz w:val="18"/>
                <w:szCs w:val="18"/>
              </w:rPr>
            </w:pPr>
            <w:r w:rsidRPr="00C5308E">
              <w:rPr>
                <w:rFonts w:ascii="Verdana" w:hAnsi="Verdana"/>
                <w:bCs/>
                <w:sz w:val="18"/>
                <w:szCs w:val="18"/>
              </w:rPr>
              <w:t>Boekenonderzoeken</w:t>
            </w:r>
          </w:p>
        </w:tc>
        <w:tc>
          <w:tcPr>
            <w:tcW w:w="1779" w:type="dxa"/>
          </w:tcPr>
          <w:p w:rsidRPr="00C5308E" w:rsidR="00173FB1" w:rsidP="00D87753" w:rsidRDefault="00173FB1" w14:paraId="0F7D0FAD" w14:textId="77777777">
            <w:pPr>
              <w:spacing w:after="160"/>
              <w:contextualSpacing/>
              <w:rPr>
                <w:rFonts w:ascii="Verdana" w:hAnsi="Verdana"/>
                <w:bCs/>
                <w:sz w:val="18"/>
                <w:szCs w:val="18"/>
              </w:rPr>
            </w:pPr>
            <w:r w:rsidRPr="00C5308E">
              <w:rPr>
                <w:rFonts w:ascii="Verdana" w:hAnsi="Verdana"/>
                <w:bCs/>
                <w:sz w:val="18"/>
                <w:szCs w:val="18"/>
              </w:rPr>
              <w:t>153</w:t>
            </w:r>
          </w:p>
        </w:tc>
        <w:tc>
          <w:tcPr>
            <w:tcW w:w="1701" w:type="dxa"/>
          </w:tcPr>
          <w:p w:rsidRPr="00C5308E" w:rsidR="00173FB1" w:rsidP="00D87753" w:rsidRDefault="00173FB1" w14:paraId="4BCF10A0" w14:textId="77777777">
            <w:pPr>
              <w:spacing w:after="160"/>
              <w:contextualSpacing/>
              <w:rPr>
                <w:rFonts w:ascii="Verdana" w:hAnsi="Verdana"/>
                <w:bCs/>
                <w:sz w:val="18"/>
                <w:szCs w:val="18"/>
              </w:rPr>
            </w:pPr>
            <w:r w:rsidRPr="00C5308E">
              <w:rPr>
                <w:rFonts w:ascii="Verdana" w:hAnsi="Verdana"/>
                <w:bCs/>
                <w:sz w:val="18"/>
                <w:szCs w:val="18"/>
              </w:rPr>
              <w:t>56</w:t>
            </w:r>
          </w:p>
        </w:tc>
        <w:tc>
          <w:tcPr>
            <w:tcW w:w="1654" w:type="dxa"/>
          </w:tcPr>
          <w:p w:rsidRPr="00C5308E" w:rsidR="00173FB1" w:rsidP="00D87753" w:rsidRDefault="00173FB1" w14:paraId="61BDAD7A" w14:textId="77777777">
            <w:pPr>
              <w:spacing w:after="160"/>
              <w:contextualSpacing/>
              <w:rPr>
                <w:rFonts w:ascii="Verdana" w:hAnsi="Verdana"/>
                <w:bCs/>
                <w:sz w:val="18"/>
                <w:szCs w:val="18"/>
              </w:rPr>
            </w:pPr>
            <w:r w:rsidRPr="00C5308E">
              <w:rPr>
                <w:rFonts w:ascii="Verdana" w:hAnsi="Verdana"/>
                <w:bCs/>
                <w:sz w:val="18"/>
                <w:szCs w:val="18"/>
              </w:rPr>
              <w:t>209</w:t>
            </w:r>
          </w:p>
        </w:tc>
      </w:tr>
    </w:tbl>
    <w:p w:rsidRPr="00C5308E" w:rsidR="00173FB1" w:rsidP="00D87753" w:rsidRDefault="00173FB1" w14:paraId="72FF2CEB" w14:textId="77777777">
      <w:pPr>
        <w:spacing w:line="240" w:lineRule="auto"/>
        <w:contextualSpacing/>
        <w:rPr>
          <w:rFonts w:ascii="Verdana" w:hAnsi="Verdana"/>
          <w:bCs/>
          <w:sz w:val="18"/>
          <w:szCs w:val="18"/>
        </w:rPr>
      </w:pPr>
    </w:p>
    <w:p w:rsidRPr="00C5308E" w:rsidR="00173FB1" w:rsidP="00D87753" w:rsidRDefault="00173FB1" w14:paraId="426B312D" w14:textId="3C3C5C42">
      <w:pPr>
        <w:spacing w:after="0" w:line="240" w:lineRule="auto"/>
        <w:contextualSpacing/>
        <w:rPr>
          <w:rFonts w:ascii="Verdana" w:hAnsi="Verdana"/>
          <w:bCs/>
          <w:sz w:val="18"/>
          <w:szCs w:val="18"/>
        </w:rPr>
      </w:pPr>
      <w:r w:rsidRPr="00C5308E">
        <w:rPr>
          <w:rFonts w:ascii="Verdana" w:hAnsi="Verdana"/>
          <w:bCs/>
          <w:sz w:val="18"/>
          <w:szCs w:val="18"/>
        </w:rPr>
        <w:t xml:space="preserve">Naast de geregistreerde bedrijfsbezoeken en boekenonderzoeken, zijn er meer effecten bereikt die als resultaat kunnen worden gekwalificeerd maar die niet afzonderlijk geregistreerd worden. Het betreft het geven van informatie, uitleg of voorlichting/toelichting door loonheffing-specialisten tijdens bedrijfsbezoeken met als doel de betrokken opdrachtgever te ondersteunen bij het juist kwalificeren van de arbeidsrelatie(s) door het goed toepassen van de fiscale regels. Daarnaast zijn er door het marktteam </w:t>
      </w:r>
      <w:r w:rsidR="00F607B3">
        <w:rPr>
          <w:rFonts w:ascii="Verdana" w:hAnsi="Verdana"/>
          <w:bCs/>
          <w:sz w:val="18"/>
          <w:szCs w:val="18"/>
        </w:rPr>
        <w:t xml:space="preserve">van de Belastingdienst </w:t>
      </w:r>
      <w:r w:rsidRPr="00C5308E">
        <w:rPr>
          <w:rFonts w:ascii="Verdana" w:hAnsi="Verdana"/>
          <w:bCs/>
          <w:sz w:val="18"/>
          <w:szCs w:val="18"/>
        </w:rPr>
        <w:t>73 voorlichtingsgesprekken gevoerd/gepland in de periode 1 januari 2025 tot en met 1 juni 2025.</w:t>
      </w:r>
    </w:p>
    <w:p w:rsidRPr="00C5308E" w:rsidR="0052736B" w:rsidP="0052736B" w:rsidRDefault="0052736B" w14:paraId="75368643" w14:textId="6492CE9C">
      <w:pPr>
        <w:spacing w:after="0" w:line="240" w:lineRule="auto"/>
        <w:contextualSpacing/>
        <w:rPr>
          <w:rFonts w:ascii="Verdana" w:hAnsi="Verdana"/>
          <w:bCs/>
          <w:sz w:val="18"/>
          <w:szCs w:val="18"/>
        </w:rPr>
      </w:pPr>
      <w:r w:rsidRPr="00C5308E">
        <w:rPr>
          <w:rFonts w:ascii="Verdana" w:hAnsi="Verdana"/>
          <w:bCs/>
          <w:sz w:val="18"/>
          <w:szCs w:val="18"/>
        </w:rPr>
        <w:t xml:space="preserve">Deze vraag is door het ministerie van Financiën beantwoord, voor vervolgvragen verwijzen wij u graag naar </w:t>
      </w:r>
      <w:r w:rsidRPr="00C5308E" w:rsidR="00F52087">
        <w:rPr>
          <w:rFonts w:ascii="Verdana" w:hAnsi="Verdana"/>
          <w:bCs/>
          <w:sz w:val="18"/>
          <w:szCs w:val="18"/>
        </w:rPr>
        <w:t>de minister van Financiën</w:t>
      </w:r>
      <w:r w:rsidRPr="00C5308E">
        <w:rPr>
          <w:rFonts w:ascii="Verdana" w:hAnsi="Verdana"/>
          <w:bCs/>
          <w:sz w:val="18"/>
          <w:szCs w:val="18"/>
        </w:rPr>
        <w:t>.</w:t>
      </w:r>
    </w:p>
    <w:p w:rsidRPr="00C5308E" w:rsidR="007D707D" w:rsidP="00D87753" w:rsidRDefault="007D707D" w14:paraId="69743297" w14:textId="77777777">
      <w:pPr>
        <w:spacing w:after="0" w:line="240" w:lineRule="auto"/>
        <w:contextualSpacing/>
        <w:rPr>
          <w:rFonts w:ascii="Verdana" w:hAnsi="Verdana"/>
          <w:bCs/>
          <w:sz w:val="18"/>
          <w:szCs w:val="18"/>
          <w:u w:val="single"/>
        </w:rPr>
      </w:pPr>
    </w:p>
    <w:p w:rsidRPr="00C5308E" w:rsidR="00173FB1" w:rsidP="00D87753" w:rsidRDefault="00173FB1" w14:paraId="5BDF653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38</w:t>
      </w:r>
    </w:p>
    <w:p w:rsidRPr="00C5308E" w:rsidR="00173FB1" w:rsidP="00D87753" w:rsidRDefault="00173FB1" w14:paraId="243BE566" w14:textId="77777777">
      <w:pPr>
        <w:spacing w:after="0" w:line="240" w:lineRule="auto"/>
        <w:contextualSpacing/>
        <w:rPr>
          <w:rFonts w:ascii="Verdana" w:hAnsi="Verdana"/>
          <w:bCs/>
          <w:sz w:val="18"/>
          <w:szCs w:val="18"/>
        </w:rPr>
      </w:pPr>
      <w:r w:rsidRPr="00C5308E">
        <w:rPr>
          <w:rFonts w:ascii="Verdana" w:hAnsi="Verdana"/>
          <w:bCs/>
          <w:sz w:val="18"/>
          <w:szCs w:val="18"/>
        </w:rPr>
        <w:t>Wat is het aantal naheffingsaanslagen voor schijnzelfstandigheid in 2025?</w:t>
      </w:r>
    </w:p>
    <w:p w:rsidR="00173FB1" w:rsidP="00D87753" w:rsidRDefault="00173FB1" w14:paraId="28DC46C8" w14:textId="77777777">
      <w:pPr>
        <w:spacing w:after="0" w:line="240" w:lineRule="auto"/>
        <w:contextualSpacing/>
        <w:rPr>
          <w:rFonts w:ascii="Verdana" w:hAnsi="Verdana"/>
          <w:bCs/>
          <w:sz w:val="18"/>
          <w:szCs w:val="18"/>
        </w:rPr>
      </w:pPr>
    </w:p>
    <w:p w:rsidR="00972542" w:rsidP="00D87753" w:rsidRDefault="00972542" w14:paraId="088EF887" w14:textId="77777777">
      <w:pPr>
        <w:spacing w:after="0" w:line="240" w:lineRule="auto"/>
        <w:contextualSpacing/>
        <w:rPr>
          <w:rFonts w:ascii="Verdana" w:hAnsi="Verdana"/>
          <w:bCs/>
          <w:sz w:val="18"/>
          <w:szCs w:val="18"/>
        </w:rPr>
      </w:pPr>
    </w:p>
    <w:p w:rsidRPr="00C5308E" w:rsidR="00972542" w:rsidP="00D87753" w:rsidRDefault="00972542" w14:paraId="295D3210" w14:textId="77777777">
      <w:pPr>
        <w:spacing w:after="0" w:line="240" w:lineRule="auto"/>
        <w:contextualSpacing/>
        <w:rPr>
          <w:rFonts w:ascii="Verdana" w:hAnsi="Verdana"/>
          <w:bCs/>
          <w:sz w:val="18"/>
          <w:szCs w:val="18"/>
        </w:rPr>
      </w:pPr>
    </w:p>
    <w:p w:rsidRPr="00C5308E" w:rsidR="00173FB1" w:rsidP="00D87753" w:rsidRDefault="00173FB1" w14:paraId="2594407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38</w:t>
      </w:r>
    </w:p>
    <w:p w:rsidRPr="00C5308E" w:rsidR="00173FB1" w:rsidP="00D87753" w:rsidRDefault="00173FB1" w14:paraId="437B19CF" w14:textId="77777777">
      <w:pPr>
        <w:spacing w:after="0" w:line="240" w:lineRule="auto"/>
        <w:contextualSpacing/>
        <w:rPr>
          <w:rFonts w:ascii="Verdana" w:hAnsi="Verdana"/>
          <w:bCs/>
          <w:sz w:val="18"/>
          <w:szCs w:val="18"/>
        </w:rPr>
      </w:pPr>
      <w:r w:rsidRPr="00C5308E">
        <w:rPr>
          <w:rFonts w:ascii="Verdana" w:hAnsi="Verdana"/>
          <w:bCs/>
          <w:sz w:val="18"/>
          <w:szCs w:val="18"/>
        </w:rPr>
        <w:t>In het kader van de ‘zachte landing’ wordt in het kalenderjaar 2025 in beginsel gestart met een bedrijfsbezoek. Afhankelijk van de uitkomst van een bedrijfsbezoek kan de Belastingdienst overgaan tot het instellen van een boekenonderzoek, bijvoorbeeld indien sprake is van grote risico’s of ingeschat wordt dat de opdrachtgever (blijft) werk(t)(en) met schijnzelfstandigen. Over het kalenderjaar 2025 zijn nog geen naheffingen opgelegd.</w:t>
      </w:r>
    </w:p>
    <w:p w:rsidRPr="00560DA6" w:rsidR="0052736B" w:rsidP="0052736B" w:rsidRDefault="0052736B" w14:paraId="038674C8" w14:textId="1B7DAAAA">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173FB1" w:rsidP="00D87753" w:rsidRDefault="00173FB1" w14:paraId="084ACD8B" w14:textId="77777777">
      <w:pPr>
        <w:spacing w:after="0" w:line="240" w:lineRule="auto"/>
        <w:contextualSpacing/>
        <w:rPr>
          <w:rFonts w:ascii="Verdana" w:hAnsi="Verdana"/>
          <w:bCs/>
          <w:sz w:val="18"/>
          <w:szCs w:val="18"/>
          <w:u w:val="single"/>
        </w:rPr>
      </w:pPr>
    </w:p>
    <w:p w:rsidRPr="00C5308E" w:rsidR="00173FB1" w:rsidP="00D87753" w:rsidRDefault="00173FB1" w14:paraId="051CCE2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39</w:t>
      </w:r>
    </w:p>
    <w:p w:rsidRPr="00C5308E" w:rsidR="00173FB1" w:rsidP="00D87753" w:rsidRDefault="00173FB1" w14:paraId="3D1DA17C" w14:textId="77777777">
      <w:pPr>
        <w:spacing w:after="0" w:line="240" w:lineRule="auto"/>
        <w:contextualSpacing/>
        <w:rPr>
          <w:rFonts w:ascii="Verdana" w:hAnsi="Verdana"/>
          <w:bCs/>
          <w:sz w:val="18"/>
          <w:szCs w:val="18"/>
        </w:rPr>
      </w:pPr>
      <w:r w:rsidRPr="00C5308E">
        <w:rPr>
          <w:rFonts w:ascii="Verdana" w:hAnsi="Verdana"/>
          <w:bCs/>
          <w:sz w:val="18"/>
          <w:szCs w:val="18"/>
        </w:rPr>
        <w:t>Hoeveel modelovereenkomsten (DBA) zijn sinds 2016 ingediend en hoeveel daarvan zijn afgekeurd of aangepast?</w:t>
      </w:r>
    </w:p>
    <w:p w:rsidRPr="00C5308E" w:rsidR="00173FB1" w:rsidP="00D87753" w:rsidRDefault="00173FB1" w14:paraId="34C8DA6E" w14:textId="77777777">
      <w:pPr>
        <w:spacing w:after="0" w:line="240" w:lineRule="auto"/>
        <w:contextualSpacing/>
        <w:rPr>
          <w:rFonts w:ascii="Verdana" w:hAnsi="Verdana"/>
          <w:bCs/>
          <w:sz w:val="18"/>
          <w:szCs w:val="18"/>
        </w:rPr>
      </w:pPr>
    </w:p>
    <w:p w:rsidRPr="00C5308E" w:rsidR="00173FB1" w:rsidP="00D87753" w:rsidRDefault="00173FB1" w14:paraId="1870734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39</w:t>
      </w:r>
    </w:p>
    <w:p w:rsidRPr="00C5308E" w:rsidR="00173FB1" w:rsidP="00D87753" w:rsidRDefault="00173FB1" w14:paraId="2D02F895" w14:textId="77777777">
      <w:pPr>
        <w:spacing w:after="0" w:line="240" w:lineRule="auto"/>
        <w:contextualSpacing/>
        <w:rPr>
          <w:rFonts w:ascii="Verdana" w:hAnsi="Verdana"/>
          <w:bCs/>
          <w:sz w:val="18"/>
          <w:szCs w:val="18"/>
        </w:rPr>
      </w:pPr>
      <w:r w:rsidRPr="00C5308E">
        <w:rPr>
          <w:rFonts w:ascii="Verdana" w:hAnsi="Verdana"/>
          <w:bCs/>
          <w:sz w:val="18"/>
          <w:szCs w:val="18"/>
        </w:rPr>
        <w:t>Er zijn sinds 2016 ruim 8.000 modelovereenkomsten aan de Belastingdienst voorgelegd, waarvan het overgrote deel door individuele opdrachtgevers en/of opdrachtnemers. Van die voorgelegde en afgehandelde overeenkomsten is ongeveer 25% goedgekeurd, dat wil zeggen door de Belastingdienst beoordeeld dat als gewerkt wordt conform de overeenkomst, de werkzaamheden buiten dienstbetrekking kunnen worden verricht. Bijna 40% van de voorgelegde overeenkomsten zijn 'afgebroken' en bijna 35% is afgewezen.</w:t>
      </w:r>
      <w:r w:rsidRPr="00C5308E">
        <w:rPr>
          <w:rFonts w:ascii="Verdana" w:hAnsi="Verdana"/>
          <w:bCs/>
          <w:sz w:val="18"/>
          <w:szCs w:val="18"/>
          <w:u w:val="single"/>
        </w:rPr>
        <w:t xml:space="preserve"> </w:t>
      </w:r>
    </w:p>
    <w:p w:rsidRPr="00560DA6" w:rsidR="0052736B" w:rsidP="0052736B" w:rsidRDefault="0052736B" w14:paraId="385BAF2F" w14:textId="78B45CA2">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560DA6" w:rsidR="00D639F0" w:rsidP="00D87753" w:rsidRDefault="00D639F0" w14:paraId="201FA460" w14:textId="77777777">
      <w:pPr>
        <w:spacing w:after="0" w:line="240" w:lineRule="auto"/>
        <w:contextualSpacing/>
        <w:rPr>
          <w:rFonts w:ascii="Verdana" w:hAnsi="Verdana"/>
          <w:bCs/>
          <w:sz w:val="18"/>
          <w:szCs w:val="18"/>
        </w:rPr>
      </w:pPr>
    </w:p>
    <w:p w:rsidRPr="00C5308E" w:rsidR="00173FB1" w:rsidP="00D87753" w:rsidRDefault="00173FB1" w14:paraId="3BCE3C4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40</w:t>
      </w:r>
    </w:p>
    <w:p w:rsidRPr="00C5308E" w:rsidR="00173FB1" w:rsidP="00D87753" w:rsidRDefault="00173FB1" w14:paraId="71EAB39F" w14:textId="77777777">
      <w:pPr>
        <w:spacing w:after="0" w:line="240" w:lineRule="auto"/>
        <w:contextualSpacing/>
        <w:rPr>
          <w:rFonts w:ascii="Verdana" w:hAnsi="Verdana"/>
          <w:bCs/>
          <w:sz w:val="18"/>
          <w:szCs w:val="18"/>
        </w:rPr>
      </w:pPr>
      <w:r w:rsidRPr="00C5308E">
        <w:rPr>
          <w:rFonts w:ascii="Verdana" w:hAnsi="Verdana"/>
          <w:bCs/>
          <w:sz w:val="18"/>
          <w:szCs w:val="18"/>
        </w:rPr>
        <w:t>Wanneer is de Verklaring Arbeidsrelatie (VAR) ingevoerd en afgeschaft, en wat waren de concrete resultaten?</w:t>
      </w:r>
    </w:p>
    <w:p w:rsidRPr="00C5308E" w:rsidR="00173FB1" w:rsidP="00D87753" w:rsidRDefault="00173FB1" w14:paraId="53F9E06F" w14:textId="77777777">
      <w:pPr>
        <w:spacing w:after="0" w:line="240" w:lineRule="auto"/>
        <w:contextualSpacing/>
        <w:rPr>
          <w:rFonts w:ascii="Verdana" w:hAnsi="Verdana"/>
          <w:bCs/>
          <w:sz w:val="18"/>
          <w:szCs w:val="18"/>
        </w:rPr>
      </w:pPr>
    </w:p>
    <w:p w:rsidRPr="00C5308E" w:rsidR="00173FB1" w:rsidP="00D87753" w:rsidRDefault="00173FB1" w14:paraId="3423DDF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40</w:t>
      </w:r>
    </w:p>
    <w:p w:rsidRPr="00C5308E" w:rsidR="00173FB1" w:rsidP="00D87753" w:rsidRDefault="00173FB1" w14:paraId="5F0705D3" w14:textId="0E890DED">
      <w:pPr>
        <w:spacing w:after="0" w:line="240" w:lineRule="auto"/>
        <w:contextualSpacing/>
        <w:rPr>
          <w:rFonts w:ascii="Verdana" w:hAnsi="Verdana"/>
          <w:bCs/>
          <w:sz w:val="18"/>
          <w:szCs w:val="18"/>
        </w:rPr>
      </w:pPr>
      <w:r w:rsidRPr="00C5308E">
        <w:rPr>
          <w:rFonts w:ascii="Verdana" w:hAnsi="Verdana"/>
          <w:bCs/>
          <w:sz w:val="18"/>
          <w:szCs w:val="18"/>
        </w:rPr>
        <w:t>De Verklaring Arbeidsrelatie (VAR) is in 2001 ingevoerd zonder volledig vrijwarende werking voor de opdrachtgever</w:t>
      </w:r>
      <w:r w:rsidRPr="00C5308E" w:rsidR="00A64929">
        <w:rPr>
          <w:rFonts w:ascii="Verdana" w:hAnsi="Verdana"/>
          <w:bCs/>
          <w:sz w:val="18"/>
          <w:szCs w:val="18"/>
        </w:rPr>
        <w:t>.</w:t>
      </w:r>
      <w:r w:rsidRPr="00C5308E">
        <w:rPr>
          <w:rStyle w:val="Voetnootmarkering"/>
          <w:rFonts w:ascii="Verdana" w:hAnsi="Verdana"/>
          <w:bCs/>
          <w:sz w:val="18"/>
          <w:szCs w:val="18"/>
        </w:rPr>
        <w:footnoteReference w:id="14"/>
      </w:r>
      <w:r w:rsidRPr="00C5308E">
        <w:rPr>
          <w:rFonts w:ascii="Verdana" w:hAnsi="Verdana"/>
          <w:bCs/>
          <w:sz w:val="18"/>
          <w:szCs w:val="18"/>
        </w:rPr>
        <w:t xml:space="preserve"> De vrijwarende werking voor de opdrachtgever werd per 2005 ingevoerd via de Wet uitbreiding rechtsgevolgen VAR</w:t>
      </w:r>
      <w:r w:rsidRPr="00C5308E" w:rsidR="00A64929">
        <w:rPr>
          <w:rFonts w:ascii="Verdana" w:hAnsi="Verdana"/>
          <w:bCs/>
          <w:sz w:val="18"/>
          <w:szCs w:val="18"/>
        </w:rPr>
        <w:t>.</w:t>
      </w:r>
      <w:r w:rsidRPr="00C5308E">
        <w:rPr>
          <w:rStyle w:val="Voetnootmarkering"/>
          <w:rFonts w:ascii="Verdana" w:hAnsi="Verdana"/>
          <w:bCs/>
          <w:sz w:val="18"/>
          <w:szCs w:val="18"/>
        </w:rPr>
        <w:footnoteReference w:id="15"/>
      </w:r>
      <w:r w:rsidRPr="00C5308E">
        <w:rPr>
          <w:rFonts w:ascii="Verdana" w:hAnsi="Verdana"/>
          <w:bCs/>
          <w:sz w:val="18"/>
          <w:szCs w:val="18"/>
        </w:rPr>
        <w:t xml:space="preserve"> De VAR betrof een oordeel van de Belastingdienst over de fiscale status van de voordelen uit een arbeidsrelatie. Bij afgifte van een VAR-winst of een VAR-dga, kon de opdrachtgever </w:t>
      </w:r>
      <w:r w:rsidRPr="00C5308E">
        <w:rPr>
          <w:rFonts w:ascii="Verdana" w:hAnsi="Verdana"/>
          <w:bCs/>
          <w:i/>
          <w:iCs/>
          <w:sz w:val="18"/>
          <w:szCs w:val="18"/>
        </w:rPr>
        <w:t>in beginsel</w:t>
      </w:r>
      <w:r w:rsidRPr="00C5308E">
        <w:rPr>
          <w:rFonts w:ascii="Verdana" w:hAnsi="Verdana"/>
          <w:bCs/>
          <w:sz w:val="18"/>
          <w:szCs w:val="18"/>
        </w:rPr>
        <w:t xml:space="preserve"> ervan uitgaan dat geen loonheffingen verschuldigd waren. </w:t>
      </w:r>
    </w:p>
    <w:p w:rsidRPr="00C5308E" w:rsidR="00173FB1" w:rsidP="00D87753" w:rsidRDefault="00173FB1" w14:paraId="2B77593A" w14:textId="77777777">
      <w:pPr>
        <w:spacing w:after="0" w:line="240" w:lineRule="auto"/>
        <w:contextualSpacing/>
        <w:rPr>
          <w:rFonts w:ascii="Verdana" w:hAnsi="Verdana"/>
          <w:bCs/>
          <w:sz w:val="18"/>
          <w:szCs w:val="18"/>
        </w:rPr>
      </w:pPr>
    </w:p>
    <w:p w:rsidRPr="00C5308E" w:rsidR="00173FB1" w:rsidP="00D87753" w:rsidRDefault="00173FB1" w14:paraId="1CA6DD4A" w14:textId="14985640">
      <w:pPr>
        <w:spacing w:after="0" w:line="240" w:lineRule="auto"/>
        <w:contextualSpacing/>
        <w:rPr>
          <w:rFonts w:ascii="Verdana" w:hAnsi="Verdana"/>
          <w:bCs/>
          <w:sz w:val="18"/>
          <w:szCs w:val="18"/>
        </w:rPr>
      </w:pPr>
      <w:r w:rsidRPr="00C5308E">
        <w:rPr>
          <w:rFonts w:ascii="Verdana" w:hAnsi="Verdana"/>
          <w:bCs/>
          <w:sz w:val="18"/>
          <w:szCs w:val="18"/>
        </w:rPr>
        <w:t xml:space="preserve">Als achteraf blijkt dat geen sprake is van ondernemerschap, dan kan in beginsel slechts de opdrachtnemer worden aangesproken voor de ten onrechte niet ingehouden loonheffing. De Belastingdienst moest daarvoor wel bewijzen dat de VAR-beschikking eerder was afgegeven op basis van door de aanvrager onjuist verstrekte informatie. </w:t>
      </w:r>
    </w:p>
    <w:p w:rsidRPr="00C5308E" w:rsidR="00173FB1" w:rsidP="00D87753" w:rsidRDefault="00173FB1" w14:paraId="488423D8" w14:textId="77777777">
      <w:pPr>
        <w:spacing w:after="0" w:line="240" w:lineRule="auto"/>
        <w:contextualSpacing/>
        <w:rPr>
          <w:rFonts w:ascii="Verdana" w:hAnsi="Verdana"/>
          <w:bCs/>
          <w:sz w:val="18"/>
          <w:szCs w:val="18"/>
        </w:rPr>
      </w:pPr>
    </w:p>
    <w:p w:rsidRPr="00C5308E" w:rsidR="00173FB1" w:rsidP="00D87753" w:rsidRDefault="00173FB1" w14:paraId="105FE5A5" w14:textId="77777777">
      <w:pPr>
        <w:spacing w:after="0" w:line="240" w:lineRule="auto"/>
        <w:contextualSpacing/>
        <w:rPr>
          <w:rFonts w:ascii="Verdana" w:hAnsi="Verdana"/>
          <w:bCs/>
          <w:sz w:val="18"/>
          <w:szCs w:val="18"/>
        </w:rPr>
      </w:pPr>
      <w:r w:rsidRPr="00C5308E">
        <w:rPr>
          <w:rFonts w:ascii="Verdana" w:hAnsi="Verdana"/>
          <w:bCs/>
          <w:sz w:val="18"/>
          <w:szCs w:val="18"/>
        </w:rPr>
        <w:t xml:space="preserve">Deze systematiek heeft tot een niet voorziene extreme groei van het aantal VAR-aanvragen geleid. De VAR heeft mede gezorgd voor een toename van het aantal (schijn)zelfstandigen die met een VAR werkten. Dit aantal was in 2005 ongeveer 80.000 en was in 2015 opgelopen tot 500.000. </w:t>
      </w:r>
    </w:p>
    <w:p w:rsidRPr="00C5308E" w:rsidR="00173FB1" w:rsidP="00D87753" w:rsidRDefault="00173FB1" w14:paraId="49F9AC0E" w14:textId="5D2C9A89">
      <w:pPr>
        <w:spacing w:after="0" w:line="240" w:lineRule="auto"/>
        <w:contextualSpacing/>
        <w:rPr>
          <w:rFonts w:ascii="Verdana" w:hAnsi="Verdana"/>
          <w:bCs/>
          <w:sz w:val="18"/>
          <w:szCs w:val="18"/>
        </w:rPr>
      </w:pPr>
      <w:r w:rsidRPr="00C5308E">
        <w:rPr>
          <w:rFonts w:ascii="Verdana" w:hAnsi="Verdana"/>
          <w:bCs/>
          <w:sz w:val="18"/>
          <w:szCs w:val="18"/>
        </w:rPr>
        <w:t>Mede omdat de VAR in de praktijk te veel ruimte liet voor misbruik, is de VAR per mei 2016 met de Wet deregulering beoordeling arbeidsrelaties (Wet DBA) afgeschaft</w:t>
      </w:r>
      <w:r w:rsidRPr="00C5308E" w:rsidR="00A64929">
        <w:rPr>
          <w:rFonts w:ascii="Verdana" w:hAnsi="Verdana"/>
          <w:bCs/>
          <w:sz w:val="18"/>
          <w:szCs w:val="18"/>
        </w:rPr>
        <w:t>.</w:t>
      </w:r>
      <w:r w:rsidRPr="00C5308E">
        <w:rPr>
          <w:rStyle w:val="Voetnootmarkering"/>
          <w:rFonts w:ascii="Verdana" w:hAnsi="Verdana"/>
          <w:bCs/>
          <w:sz w:val="18"/>
          <w:szCs w:val="18"/>
        </w:rPr>
        <w:footnoteReference w:id="16"/>
      </w:r>
      <w:r w:rsidRPr="00C5308E">
        <w:rPr>
          <w:rFonts w:ascii="Verdana" w:hAnsi="Verdana"/>
          <w:bCs/>
          <w:sz w:val="18"/>
          <w:szCs w:val="18"/>
        </w:rPr>
        <w:t xml:space="preserve"> De Wet DBA beoogde daarmee de verantwoordelijkheid om een arbeidsrelatie te beoordelen weer primair bij opdrachtgevers en opdrachtnemers te beleggen, zodat schijnzelfstandigheid kan worden teruggedrongen. </w:t>
      </w:r>
    </w:p>
    <w:p w:rsidRPr="00560DA6" w:rsidR="0052736B" w:rsidP="0052736B" w:rsidRDefault="0052736B" w14:paraId="19A4C2D4" w14:textId="643B9E9A">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173FB1" w:rsidP="00D87753" w:rsidRDefault="00173FB1" w14:paraId="0A4A6902" w14:textId="77777777">
      <w:pPr>
        <w:spacing w:after="0" w:line="240" w:lineRule="auto"/>
        <w:contextualSpacing/>
        <w:rPr>
          <w:rFonts w:ascii="Verdana" w:hAnsi="Verdana"/>
          <w:bCs/>
          <w:i/>
          <w:iCs/>
          <w:sz w:val="18"/>
          <w:szCs w:val="18"/>
        </w:rPr>
      </w:pPr>
    </w:p>
    <w:p w:rsidRPr="00C5308E" w:rsidR="00173FB1" w:rsidP="00D87753" w:rsidRDefault="00173FB1" w14:paraId="29BAC1D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41</w:t>
      </w:r>
    </w:p>
    <w:p w:rsidRPr="00C5308E" w:rsidR="00173FB1" w:rsidP="00D87753" w:rsidRDefault="00173FB1" w14:paraId="7CAC5ABB" w14:textId="77777777">
      <w:pPr>
        <w:spacing w:after="0" w:line="240" w:lineRule="auto"/>
        <w:contextualSpacing/>
        <w:rPr>
          <w:rFonts w:ascii="Verdana" w:hAnsi="Verdana"/>
          <w:bCs/>
          <w:sz w:val="18"/>
          <w:szCs w:val="18"/>
        </w:rPr>
      </w:pPr>
      <w:r w:rsidRPr="00C5308E">
        <w:rPr>
          <w:rFonts w:ascii="Verdana" w:hAnsi="Verdana"/>
          <w:bCs/>
          <w:sz w:val="18"/>
          <w:szCs w:val="18"/>
        </w:rPr>
        <w:t>Hoeveel model-DBA-contracten bestonden er, en wat was het effect van het moratorium?</w:t>
      </w:r>
    </w:p>
    <w:p w:rsidRPr="00C5308E" w:rsidR="00173FB1" w:rsidP="00D87753" w:rsidRDefault="00173FB1" w14:paraId="7B21A626" w14:textId="77777777">
      <w:pPr>
        <w:spacing w:after="0" w:line="240" w:lineRule="auto"/>
        <w:contextualSpacing/>
        <w:rPr>
          <w:rFonts w:ascii="Verdana" w:hAnsi="Verdana"/>
          <w:bCs/>
          <w:sz w:val="18"/>
          <w:szCs w:val="18"/>
        </w:rPr>
      </w:pPr>
    </w:p>
    <w:p w:rsidRPr="00C5308E" w:rsidR="00173FB1" w:rsidP="00D87753" w:rsidRDefault="00173FB1" w14:paraId="54F0078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41</w:t>
      </w:r>
    </w:p>
    <w:p w:rsidRPr="00C5308E" w:rsidR="00173FB1" w:rsidP="00D87753" w:rsidRDefault="00173FB1" w14:paraId="175C918B" w14:textId="5EED12E0">
      <w:pPr>
        <w:spacing w:after="0" w:line="240" w:lineRule="auto"/>
        <w:contextualSpacing/>
        <w:rPr>
          <w:rFonts w:ascii="Verdana" w:hAnsi="Verdana"/>
          <w:bCs/>
          <w:sz w:val="18"/>
          <w:szCs w:val="18"/>
        </w:rPr>
      </w:pPr>
      <w:r w:rsidRPr="00C5308E">
        <w:rPr>
          <w:rFonts w:ascii="Verdana" w:hAnsi="Verdana"/>
          <w:bCs/>
          <w:sz w:val="18"/>
          <w:szCs w:val="18"/>
        </w:rPr>
        <w:t xml:space="preserve">Er zijn sinds 2016 ongeveer 2.000 modelovereenkomsten goedgekeurd door de Belastingdienst. Modelovereenkomsten hebben echter een beperktere werking dan oorspronkelijk was beoogd en zorgen voor schijnzekerheid. Het aan de hand van een toetsing vooraf van (uitsluitend) de schriftelijke overeenkomsten zekerheid geven of sprake is van werken buiten dienstbetrekking, is moeilijk te verenigen met het door de Hoge Raad geformuleerde uitgangspunt dat alle </w:t>
      </w:r>
      <w:r w:rsidRPr="00C5308E">
        <w:rPr>
          <w:rFonts w:ascii="Verdana" w:hAnsi="Verdana"/>
          <w:bCs/>
          <w:sz w:val="18"/>
          <w:szCs w:val="18"/>
        </w:rPr>
        <w:lastRenderedPageBreak/>
        <w:t>omstandigheden van het geval moeten worden beoordeeld</w:t>
      </w:r>
      <w:r w:rsidRPr="00C5308E" w:rsidR="00A64929">
        <w:rPr>
          <w:rFonts w:ascii="Verdana" w:hAnsi="Verdana"/>
          <w:bCs/>
          <w:sz w:val="18"/>
          <w:szCs w:val="18"/>
        </w:rPr>
        <w:t>.</w:t>
      </w:r>
      <w:r w:rsidRPr="00C5308E">
        <w:rPr>
          <w:rStyle w:val="Voetnootmarkering"/>
          <w:rFonts w:ascii="Verdana" w:hAnsi="Verdana"/>
          <w:bCs/>
          <w:sz w:val="18"/>
          <w:szCs w:val="18"/>
        </w:rPr>
        <w:footnoteReference w:id="17"/>
      </w:r>
      <w:r w:rsidRPr="00C5308E">
        <w:rPr>
          <w:rFonts w:ascii="Verdana" w:hAnsi="Verdana"/>
          <w:bCs/>
          <w:sz w:val="18"/>
          <w:szCs w:val="18"/>
        </w:rPr>
        <w:t xml:space="preserve"> De verkregen zekerheid is voorwaardelijk omdat die zekerheid afhankelijk is van de opvolging in de praktijk. Zo gebruikte Deliveroo een algemene modelovereenkomst, maar oordeelde de rechter dat sprake was van een arbeidsovereenkomst</w:t>
      </w:r>
      <w:r w:rsidRPr="00C5308E" w:rsidR="00A64929">
        <w:rPr>
          <w:rFonts w:ascii="Verdana" w:hAnsi="Verdana"/>
          <w:bCs/>
          <w:sz w:val="18"/>
          <w:szCs w:val="18"/>
        </w:rPr>
        <w:t>.</w:t>
      </w:r>
      <w:r w:rsidRPr="00C5308E">
        <w:rPr>
          <w:rStyle w:val="Voetnootmarkering"/>
          <w:rFonts w:ascii="Verdana" w:hAnsi="Verdana"/>
          <w:bCs/>
          <w:sz w:val="18"/>
          <w:szCs w:val="18"/>
        </w:rPr>
        <w:footnoteReference w:id="18"/>
      </w:r>
    </w:p>
    <w:p w:rsidRPr="00C5308E" w:rsidR="00173FB1" w:rsidP="00D87753" w:rsidRDefault="00173FB1" w14:paraId="55484561" w14:textId="77777777">
      <w:pPr>
        <w:spacing w:after="0" w:line="240" w:lineRule="auto"/>
        <w:contextualSpacing/>
        <w:rPr>
          <w:rFonts w:ascii="Verdana" w:hAnsi="Verdana"/>
          <w:bCs/>
          <w:sz w:val="18"/>
          <w:szCs w:val="18"/>
        </w:rPr>
      </w:pPr>
    </w:p>
    <w:p w:rsidRPr="00C5308E" w:rsidR="00173FB1" w:rsidP="00D87753" w:rsidRDefault="00173FB1" w14:paraId="509A89CE" w14:textId="5CCCB188">
      <w:pPr>
        <w:spacing w:after="0" w:line="240" w:lineRule="auto"/>
        <w:contextualSpacing/>
        <w:rPr>
          <w:rFonts w:ascii="Verdana" w:hAnsi="Verdana"/>
          <w:bCs/>
          <w:sz w:val="18"/>
          <w:szCs w:val="18"/>
        </w:rPr>
      </w:pPr>
      <w:r w:rsidRPr="00C5308E">
        <w:rPr>
          <w:rFonts w:ascii="Verdana" w:hAnsi="Verdana"/>
          <w:bCs/>
          <w:sz w:val="18"/>
          <w:szCs w:val="18"/>
        </w:rPr>
        <w:t>Het kabinet heeft daarom besloten het beoordelen van modelovereenkomsten door de Belastingdienst per 6 september 2024 te beëindigen</w:t>
      </w:r>
      <w:r w:rsidRPr="00C5308E" w:rsidR="00A64929">
        <w:rPr>
          <w:rFonts w:ascii="Verdana" w:hAnsi="Verdana"/>
          <w:bCs/>
          <w:sz w:val="18"/>
          <w:szCs w:val="18"/>
        </w:rPr>
        <w:t>.</w:t>
      </w:r>
      <w:r w:rsidRPr="00C5308E">
        <w:rPr>
          <w:rStyle w:val="Voetnootmarkering"/>
          <w:rFonts w:ascii="Verdana" w:hAnsi="Verdana"/>
          <w:bCs/>
          <w:sz w:val="18"/>
          <w:szCs w:val="18"/>
        </w:rPr>
        <w:footnoteReference w:id="19"/>
      </w:r>
      <w:r w:rsidRPr="00C5308E">
        <w:rPr>
          <w:rFonts w:ascii="Verdana" w:hAnsi="Verdana"/>
          <w:bCs/>
          <w:sz w:val="18"/>
          <w:szCs w:val="18"/>
        </w:rPr>
        <w:t xml:space="preserve"> Met het stopzetten van de beoordeling van modelovereenkomsten wil het kabinet voorkomen dat schijnzekerheid wordt ontleend aan een dergelijke overeenkomst. </w:t>
      </w:r>
    </w:p>
    <w:p w:rsidRPr="00560DA6" w:rsidR="0052736B" w:rsidP="0052736B" w:rsidRDefault="0052736B" w14:paraId="213EB007" w14:textId="42342614">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173FB1" w:rsidP="00D87753" w:rsidRDefault="00173FB1" w14:paraId="53A58F6F" w14:textId="77777777">
      <w:pPr>
        <w:spacing w:after="0" w:line="240" w:lineRule="auto"/>
        <w:contextualSpacing/>
        <w:rPr>
          <w:rFonts w:ascii="Verdana" w:hAnsi="Verdana"/>
          <w:bCs/>
          <w:sz w:val="18"/>
          <w:szCs w:val="18"/>
        </w:rPr>
      </w:pPr>
    </w:p>
    <w:p w:rsidRPr="00C5308E" w:rsidR="003A3DFD" w:rsidP="00D87753" w:rsidRDefault="003A3DFD" w14:paraId="74D7184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42</w:t>
      </w:r>
    </w:p>
    <w:p w:rsidRPr="00C5308E" w:rsidR="003A3DFD" w:rsidP="00D87753" w:rsidRDefault="003A3DFD" w14:paraId="7ACABEF1" w14:textId="77777777">
      <w:pPr>
        <w:spacing w:after="0" w:line="240" w:lineRule="auto"/>
        <w:contextualSpacing/>
        <w:rPr>
          <w:rFonts w:ascii="Verdana" w:hAnsi="Verdana"/>
          <w:bCs/>
          <w:sz w:val="18"/>
          <w:szCs w:val="18"/>
        </w:rPr>
      </w:pPr>
      <w:r w:rsidRPr="00C5308E">
        <w:rPr>
          <w:rFonts w:ascii="Verdana" w:hAnsi="Verdana"/>
          <w:bCs/>
          <w:sz w:val="18"/>
          <w:szCs w:val="18"/>
        </w:rPr>
        <w:t>Welke wetsvoorstellen en amendementen zijn de afgelopen 20 jaar ingediend met zzp-relevantie?</w:t>
      </w:r>
    </w:p>
    <w:p w:rsidRPr="00C5308E" w:rsidR="003A3DFD" w:rsidP="00D87753" w:rsidRDefault="003A3DFD" w14:paraId="4F0C2673" w14:textId="77777777">
      <w:pPr>
        <w:spacing w:after="0" w:line="240" w:lineRule="auto"/>
        <w:contextualSpacing/>
        <w:rPr>
          <w:rFonts w:ascii="Verdana" w:hAnsi="Verdana"/>
          <w:bCs/>
          <w:sz w:val="18"/>
          <w:szCs w:val="18"/>
        </w:rPr>
      </w:pPr>
    </w:p>
    <w:p w:rsidRPr="00C5308E" w:rsidR="003A3DFD" w:rsidP="00D87753" w:rsidRDefault="003A3DFD" w14:paraId="202BF03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42</w:t>
      </w:r>
    </w:p>
    <w:p w:rsidRPr="00C5308E" w:rsidR="003A3DFD" w:rsidP="00D87753" w:rsidRDefault="003A3DFD" w14:paraId="50AAE058" w14:textId="77777777">
      <w:pPr>
        <w:spacing w:after="0" w:line="240" w:lineRule="auto"/>
        <w:contextualSpacing/>
        <w:rPr>
          <w:rFonts w:ascii="Verdana" w:hAnsi="Verdana"/>
          <w:bCs/>
          <w:sz w:val="18"/>
          <w:szCs w:val="18"/>
        </w:rPr>
      </w:pPr>
      <w:r w:rsidRPr="00C5308E">
        <w:rPr>
          <w:rFonts w:ascii="Verdana" w:hAnsi="Verdana"/>
          <w:bCs/>
          <w:sz w:val="18"/>
          <w:szCs w:val="18"/>
        </w:rPr>
        <w:t>In 2016 is de Wet Deregulering beoordeling arbeidsrelatie (Wet DBA) ingevoerd. Met deze wet is de Verklaring Arbeidsrelatie (VAR) afgeschaft. Reden hiervoor was dat de VAR schijnzelfstandigheid in de hand werkte en ervoor zorgde dat het juist kwalificeren van de arbeidsrelatie naar de achtergrond verdween. Na invoering van de Wet DBA werd een moratorium aangekondigd voor handhaving door de Belastingdienst bij opdrachtgevers (loonheffingen). Per 1 januari 2025 is het handhavingsmoratorium opgeheven.</w:t>
      </w:r>
    </w:p>
    <w:p w:rsidRPr="00C5308E" w:rsidR="003A3DFD" w:rsidP="00D87753" w:rsidRDefault="003A3DFD" w14:paraId="466D678F" w14:textId="77777777">
      <w:pPr>
        <w:spacing w:after="0" w:line="240" w:lineRule="auto"/>
        <w:contextualSpacing/>
        <w:rPr>
          <w:rFonts w:ascii="Verdana" w:hAnsi="Verdana"/>
          <w:bCs/>
          <w:sz w:val="18"/>
          <w:szCs w:val="18"/>
        </w:rPr>
      </w:pPr>
    </w:p>
    <w:p w:rsidRPr="00C5308E" w:rsidR="003A3DFD" w:rsidP="00D87753" w:rsidRDefault="003A3DFD" w14:paraId="6E2ABFC0" w14:textId="77777777">
      <w:pPr>
        <w:spacing w:after="0" w:line="240" w:lineRule="auto"/>
        <w:contextualSpacing/>
        <w:rPr>
          <w:rFonts w:ascii="Verdana" w:hAnsi="Verdana"/>
          <w:bCs/>
          <w:sz w:val="18"/>
          <w:szCs w:val="18"/>
        </w:rPr>
      </w:pPr>
      <w:r w:rsidRPr="00C5308E">
        <w:rPr>
          <w:rFonts w:ascii="Verdana" w:hAnsi="Verdana"/>
          <w:bCs/>
          <w:sz w:val="18"/>
          <w:szCs w:val="18"/>
        </w:rPr>
        <w:t xml:space="preserve">Sinds 2021 wordt de zelfstandigenaftrek stapsgewijs afgebouwd. Hiermee worden de fiscale verschillen tussen zelfstandigen en werknemers kleiner. De zelfstandigenaftrek bedroeg in 2022 € 6.310. Dit wordt afgebouwd naar € 900 in 2027. </w:t>
      </w:r>
    </w:p>
    <w:p w:rsidRPr="00C5308E" w:rsidR="003A3DFD" w:rsidP="00D87753" w:rsidRDefault="003A3DFD" w14:paraId="790B0AAE" w14:textId="77777777">
      <w:pPr>
        <w:spacing w:after="0" w:line="240" w:lineRule="auto"/>
        <w:contextualSpacing/>
        <w:rPr>
          <w:rFonts w:ascii="Verdana" w:hAnsi="Verdana"/>
          <w:bCs/>
          <w:sz w:val="18"/>
          <w:szCs w:val="18"/>
        </w:rPr>
      </w:pPr>
    </w:p>
    <w:p w:rsidRPr="00C5308E" w:rsidR="003A3DFD" w:rsidP="00D87753" w:rsidRDefault="003A3DFD" w14:paraId="37A59EA3" w14:textId="77777777">
      <w:pPr>
        <w:spacing w:after="0" w:line="240" w:lineRule="auto"/>
        <w:contextualSpacing/>
        <w:rPr>
          <w:rFonts w:ascii="Verdana" w:hAnsi="Verdana"/>
          <w:bCs/>
          <w:sz w:val="18"/>
          <w:szCs w:val="18"/>
        </w:rPr>
      </w:pPr>
      <w:r w:rsidRPr="00C5308E">
        <w:rPr>
          <w:rFonts w:ascii="Verdana" w:hAnsi="Verdana"/>
          <w:bCs/>
          <w:sz w:val="18"/>
          <w:szCs w:val="18"/>
        </w:rPr>
        <w:t>Op dit moment wordt gewerkt aan het wetsvoorstel Verduidelijking beoordeling arbeidsrelaties en rechtsvermoeden (hierna: Vbar). Met dit wetsvoorstel beoogt het kabinet meer duidelijkheid te bieden over wanneer wordt gewerkt als zelfstandige of als werknemer en wordt een civielrechtelijk rechtsvermoeden van werknemerschap geïntroduceerd. Naar verwachting wordt dit wetsvoorstel voor de zomer ingediend bij de Tweede Kamer. De partijen VVD, D66, CDA en SGP hebben daarnaast het initiatiefwetsvoorstel Zelfstandigenwet aangeboden voor internetconsultatie. Het doel van dit wetsvoorstel is om duidelijkheid te bieden over wanneer gewerkt kan worden als zelfstandige. Daarnaast wordt met het wetsvoorstel Basisverzekering arbeidsongeschiktheid zelfstandigen (Baz) beoogd een verplichte basisverzekering tegen arbeidsongeschiktheid voor zelfstandigen te introduceren.</w:t>
      </w:r>
    </w:p>
    <w:p w:rsidRPr="00C5308E" w:rsidR="007D707D" w:rsidP="00D87753" w:rsidRDefault="007D707D" w14:paraId="1F88441D" w14:textId="77777777">
      <w:pPr>
        <w:spacing w:after="0" w:line="240" w:lineRule="auto"/>
        <w:contextualSpacing/>
        <w:rPr>
          <w:rFonts w:ascii="Verdana" w:hAnsi="Verdana"/>
          <w:bCs/>
          <w:sz w:val="18"/>
          <w:szCs w:val="18"/>
          <w:u w:val="single"/>
        </w:rPr>
      </w:pPr>
    </w:p>
    <w:p w:rsidRPr="00C5308E" w:rsidR="003A3DFD" w:rsidP="00D87753" w:rsidRDefault="003A3DFD" w14:paraId="28138D7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43</w:t>
      </w:r>
    </w:p>
    <w:p w:rsidRPr="00C5308E" w:rsidR="003A3DFD" w:rsidP="00D87753" w:rsidRDefault="003A3DFD" w14:paraId="1126B2F3" w14:textId="77777777">
      <w:pPr>
        <w:spacing w:after="0" w:line="240" w:lineRule="auto"/>
        <w:contextualSpacing/>
        <w:rPr>
          <w:rFonts w:ascii="Verdana" w:hAnsi="Verdana"/>
          <w:bCs/>
          <w:sz w:val="18"/>
          <w:szCs w:val="18"/>
        </w:rPr>
      </w:pPr>
      <w:r w:rsidRPr="00C5308E">
        <w:rPr>
          <w:rFonts w:ascii="Verdana" w:hAnsi="Verdana"/>
          <w:bCs/>
          <w:sz w:val="18"/>
          <w:szCs w:val="18"/>
        </w:rPr>
        <w:t>Welke Kamerbrieven en adviezen (Sociaal-Economische Raad (SER), International Labour Organization (ILO), Centraal Planbureau (CPB), Wetenschappelijke Raad voor het Regeringsbeleid (WRR), Algemene Rekenkamer) zijn hierover verschenen?</w:t>
      </w:r>
    </w:p>
    <w:p w:rsidRPr="00C5308E" w:rsidR="003A3DFD" w:rsidP="00D87753" w:rsidRDefault="003A3DFD" w14:paraId="14ABC7E8" w14:textId="77777777">
      <w:pPr>
        <w:spacing w:after="0" w:line="240" w:lineRule="auto"/>
        <w:contextualSpacing/>
        <w:rPr>
          <w:rFonts w:ascii="Verdana" w:hAnsi="Verdana"/>
          <w:bCs/>
          <w:sz w:val="18"/>
          <w:szCs w:val="18"/>
        </w:rPr>
      </w:pPr>
    </w:p>
    <w:p w:rsidRPr="00C5308E" w:rsidR="003A3DFD" w:rsidP="00D87753" w:rsidRDefault="003A3DFD" w14:paraId="1D20C88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43</w:t>
      </w:r>
    </w:p>
    <w:p w:rsidRPr="00C5308E" w:rsidR="003A3DFD" w:rsidP="00D87753" w:rsidRDefault="003A3DFD" w14:paraId="0DB9B432" w14:textId="56F2C079">
      <w:pPr>
        <w:spacing w:after="0" w:line="240" w:lineRule="auto"/>
        <w:contextualSpacing/>
        <w:rPr>
          <w:rFonts w:ascii="Verdana" w:hAnsi="Verdana"/>
          <w:bCs/>
          <w:sz w:val="18"/>
          <w:szCs w:val="18"/>
        </w:rPr>
      </w:pPr>
      <w:r w:rsidRPr="00C5308E">
        <w:rPr>
          <w:rFonts w:ascii="Verdana" w:hAnsi="Verdana"/>
          <w:bCs/>
          <w:sz w:val="18"/>
          <w:szCs w:val="18"/>
        </w:rPr>
        <w:t>Het wetsvoorstel Vbar vloeit voort uit het advies van de Commissie Regulering van Werk, beter bekend als de Commissie Borstlap</w:t>
      </w:r>
      <w:r w:rsidRPr="00C5308E" w:rsidR="00FE4028">
        <w:rPr>
          <w:rFonts w:ascii="Verdana" w:hAnsi="Verdana"/>
          <w:bCs/>
          <w:sz w:val="18"/>
          <w:szCs w:val="18"/>
        </w:rPr>
        <w:t xml:space="preserve"> (Kamerstukken II 2019/20, 29544, nr. 960)</w:t>
      </w:r>
      <w:r w:rsidRPr="00C5308E">
        <w:rPr>
          <w:rFonts w:ascii="Verdana" w:hAnsi="Verdana"/>
          <w:bCs/>
          <w:sz w:val="18"/>
          <w:szCs w:val="18"/>
        </w:rPr>
        <w:t>, en het daaruit voortvloeiende advies ‘Zekerheid voor mensen, een wendbare economie en herstel van de samenleving’, ook bekend als het SER-MLT advies 2021- 2025</w:t>
      </w:r>
      <w:r w:rsidRPr="00C5308E" w:rsidR="00FE4028">
        <w:rPr>
          <w:rFonts w:ascii="Verdana" w:hAnsi="Verdana"/>
          <w:bCs/>
          <w:sz w:val="18"/>
          <w:szCs w:val="18"/>
        </w:rPr>
        <w:t>.</w:t>
      </w:r>
      <w:r w:rsidRPr="00C5308E">
        <w:rPr>
          <w:rStyle w:val="Voetnootmarkering"/>
          <w:rFonts w:ascii="Verdana" w:hAnsi="Verdana"/>
          <w:bCs/>
          <w:sz w:val="18"/>
          <w:szCs w:val="18"/>
        </w:rPr>
        <w:footnoteReference w:id="20"/>
      </w:r>
      <w:r w:rsidRPr="00C5308E">
        <w:rPr>
          <w:rFonts w:ascii="Verdana" w:hAnsi="Verdana"/>
          <w:bCs/>
          <w:sz w:val="18"/>
          <w:szCs w:val="18"/>
        </w:rPr>
        <w:t xml:space="preserve"> Het coalitieakkoord van het toenmalige kabinet Rutte-IV, ‘Omzien naar elkaar, vooruitkijken naar de toekomst’</w:t>
      </w:r>
      <w:r w:rsidRPr="00C5308E" w:rsidR="00FE4028">
        <w:rPr>
          <w:rFonts w:ascii="Verdana" w:hAnsi="Verdana"/>
          <w:bCs/>
          <w:sz w:val="18"/>
          <w:szCs w:val="18"/>
        </w:rPr>
        <w:t>,</w:t>
      </w:r>
      <w:r w:rsidRPr="00C5308E">
        <w:rPr>
          <w:rStyle w:val="Voetnootmarkering"/>
          <w:rFonts w:ascii="Verdana" w:hAnsi="Verdana"/>
          <w:bCs/>
          <w:sz w:val="18"/>
          <w:szCs w:val="18"/>
        </w:rPr>
        <w:footnoteReference w:id="21"/>
      </w:r>
      <w:r w:rsidRPr="00C5308E">
        <w:rPr>
          <w:rFonts w:ascii="Verdana" w:hAnsi="Verdana"/>
          <w:bCs/>
          <w:sz w:val="18"/>
          <w:szCs w:val="18"/>
        </w:rPr>
        <w:t xml:space="preserve"> bevat een arbeidsmarktparagraaf die voortbouwt op de inzichten uit de Commissie Regulering van Werk en het SER-MLT, ook wat betreft de inzet rondom het werken met en als zelfstandige(n) en het tegengaan van schijnzelfstandigheid.</w:t>
      </w:r>
      <w:r w:rsidRPr="00C5308E">
        <w:rPr>
          <w:rFonts w:ascii="Verdana" w:hAnsi="Verdana" w:cs="Verdana"/>
          <w:bCs/>
          <w:color w:val="000000"/>
          <w:sz w:val="18"/>
          <w:szCs w:val="18"/>
        </w:rPr>
        <w:t xml:space="preserve"> </w:t>
      </w:r>
      <w:r w:rsidRPr="00C5308E">
        <w:rPr>
          <w:rFonts w:ascii="Verdana" w:hAnsi="Verdana"/>
          <w:bCs/>
          <w:sz w:val="18"/>
          <w:szCs w:val="18"/>
        </w:rPr>
        <w:t>De afspraken uit het coalitieakkoord rondom schijnzelfstandigheid zijn vervolgens verder uitgewerkt in de Hoofdlijnenbrief arbeidsmarkt van 5 juli 2022</w:t>
      </w:r>
      <w:r w:rsidRPr="00C5308E" w:rsidR="00FE4028">
        <w:rPr>
          <w:rFonts w:ascii="Verdana" w:hAnsi="Verdana"/>
          <w:bCs/>
          <w:sz w:val="18"/>
          <w:szCs w:val="18"/>
        </w:rPr>
        <w:t xml:space="preserve"> (Kamerstukken II 2021/22, 29544, nr. 1112)</w:t>
      </w:r>
      <w:r w:rsidRPr="00C5308E" w:rsidR="00A64929">
        <w:rPr>
          <w:rFonts w:ascii="Verdana" w:hAnsi="Verdana"/>
          <w:bCs/>
          <w:sz w:val="18"/>
          <w:szCs w:val="18"/>
        </w:rPr>
        <w:t>,</w:t>
      </w:r>
      <w:r w:rsidRPr="00C5308E">
        <w:rPr>
          <w:rFonts w:ascii="Verdana" w:hAnsi="Verdana"/>
          <w:bCs/>
          <w:sz w:val="18"/>
          <w:szCs w:val="18"/>
        </w:rPr>
        <w:t xml:space="preserve"> de voortgangsbrief werken met en als zelfstandige(n) van 16 december 2022</w:t>
      </w:r>
      <w:r w:rsidRPr="00C5308E" w:rsidR="00FE4028">
        <w:rPr>
          <w:rFonts w:ascii="Verdana" w:hAnsi="Verdana"/>
          <w:bCs/>
          <w:sz w:val="18"/>
          <w:szCs w:val="18"/>
        </w:rPr>
        <w:t xml:space="preserve"> (Kamerstukken II 2022/23, 31311 nr. 246)</w:t>
      </w:r>
      <w:r w:rsidRPr="00C5308E">
        <w:rPr>
          <w:rFonts w:ascii="Verdana" w:hAnsi="Verdana"/>
          <w:bCs/>
          <w:sz w:val="18"/>
          <w:szCs w:val="18"/>
        </w:rPr>
        <w:t xml:space="preserve"> en de Kamerbrief voortgang uitwerking arbeidsmarktpakket van 3 april 2023</w:t>
      </w:r>
      <w:r w:rsidRPr="00C5308E" w:rsidR="00FE4028">
        <w:rPr>
          <w:rFonts w:ascii="Verdana" w:hAnsi="Verdana"/>
          <w:bCs/>
          <w:sz w:val="18"/>
          <w:szCs w:val="18"/>
        </w:rPr>
        <w:t xml:space="preserve"> (Kamerstukken II 2022/23, </w:t>
      </w:r>
      <w:r w:rsidRPr="00C5308E" w:rsidR="00FE4028">
        <w:rPr>
          <w:rFonts w:ascii="Verdana" w:hAnsi="Verdana"/>
          <w:bCs/>
          <w:sz w:val="18"/>
          <w:szCs w:val="18"/>
        </w:rPr>
        <w:lastRenderedPageBreak/>
        <w:t>29544 nr. 1176)</w:t>
      </w:r>
      <w:r w:rsidRPr="00C5308E" w:rsidR="00A64929">
        <w:rPr>
          <w:rFonts w:ascii="Verdana" w:hAnsi="Verdana"/>
          <w:bCs/>
          <w:sz w:val="18"/>
          <w:szCs w:val="18"/>
        </w:rPr>
        <w:t>.</w:t>
      </w:r>
      <w:r w:rsidRPr="00C5308E">
        <w:rPr>
          <w:rFonts w:ascii="Verdana" w:hAnsi="Verdana"/>
          <w:bCs/>
          <w:sz w:val="18"/>
          <w:szCs w:val="18"/>
        </w:rPr>
        <w:t xml:space="preserve"> Het huidige kabinet Schoof heeft in het regeerprogramma afgesproken met een wetsvoorstel te komen dat duidelijker maakt wanneer je werkt als werknemer of als zelfstandige</w:t>
      </w:r>
      <w:r w:rsidRPr="00C5308E" w:rsidR="00A64929">
        <w:rPr>
          <w:rFonts w:ascii="Verdana" w:hAnsi="Verdana"/>
          <w:bCs/>
          <w:sz w:val="18"/>
          <w:szCs w:val="18"/>
        </w:rPr>
        <w:t>.</w:t>
      </w:r>
      <w:r w:rsidRPr="00C5308E">
        <w:rPr>
          <w:rStyle w:val="Voetnootmarkering"/>
          <w:rFonts w:ascii="Verdana" w:hAnsi="Verdana"/>
          <w:bCs/>
          <w:sz w:val="18"/>
          <w:szCs w:val="18"/>
        </w:rPr>
        <w:footnoteReference w:id="22"/>
      </w:r>
      <w:r w:rsidRPr="00C5308E">
        <w:rPr>
          <w:rFonts w:ascii="Verdana" w:hAnsi="Verdana"/>
          <w:bCs/>
          <w:sz w:val="18"/>
          <w:szCs w:val="18"/>
        </w:rPr>
        <w:t xml:space="preserve"> In de voortgangsbrief werken met en als zelfstandige(n) van 27 maart 2025 is dit nader toegelicht</w:t>
      </w:r>
      <w:r w:rsidRPr="00C5308E" w:rsidR="00FE4028">
        <w:rPr>
          <w:rFonts w:ascii="Verdana" w:hAnsi="Verdana"/>
          <w:bCs/>
          <w:sz w:val="18"/>
          <w:szCs w:val="18"/>
        </w:rPr>
        <w:t xml:space="preserve"> (Kamerstukken II 2024/25, 31311 nr. 281)</w:t>
      </w:r>
      <w:r w:rsidRPr="00C5308E" w:rsidR="00A64929">
        <w:rPr>
          <w:rFonts w:ascii="Verdana" w:hAnsi="Verdana"/>
          <w:bCs/>
          <w:sz w:val="18"/>
          <w:szCs w:val="18"/>
        </w:rPr>
        <w:t>.</w:t>
      </w:r>
    </w:p>
    <w:p w:rsidRPr="00C5308E" w:rsidR="003A3DFD" w:rsidP="00D87753" w:rsidRDefault="003A3DFD" w14:paraId="28428AC7" w14:textId="77777777">
      <w:pPr>
        <w:spacing w:after="0" w:line="240" w:lineRule="auto"/>
        <w:contextualSpacing/>
        <w:rPr>
          <w:rFonts w:ascii="Verdana" w:hAnsi="Verdana"/>
          <w:bCs/>
          <w:sz w:val="18"/>
          <w:szCs w:val="18"/>
        </w:rPr>
      </w:pPr>
    </w:p>
    <w:p w:rsidRPr="00C5308E" w:rsidR="003A3DFD" w:rsidP="00D87753" w:rsidRDefault="003A3DFD" w14:paraId="1BD2B901" w14:textId="4D4638EA">
      <w:pPr>
        <w:spacing w:after="0" w:line="240" w:lineRule="auto"/>
        <w:contextualSpacing/>
        <w:rPr>
          <w:rFonts w:ascii="Verdana" w:hAnsi="Verdana"/>
          <w:bCs/>
          <w:sz w:val="18"/>
          <w:szCs w:val="18"/>
        </w:rPr>
      </w:pPr>
      <w:r w:rsidRPr="00C5308E">
        <w:rPr>
          <w:rFonts w:ascii="Verdana" w:hAnsi="Verdana"/>
          <w:bCs/>
          <w:sz w:val="18"/>
          <w:szCs w:val="18"/>
        </w:rPr>
        <w:t>Ten slotte sluit het wetsvoorstel Vbar aan op adviezen die vanuit de Europese Commissie rondom (schijn)zelfstandigheid zijn gedaan de afgelopen jaren</w:t>
      </w:r>
      <w:r w:rsidRPr="00C5308E">
        <w:rPr>
          <w:rStyle w:val="Voetnootmarkering"/>
          <w:rFonts w:ascii="Verdana" w:hAnsi="Verdana"/>
          <w:bCs/>
          <w:sz w:val="18"/>
          <w:szCs w:val="18"/>
        </w:rPr>
        <w:footnoteReference w:id="23"/>
      </w:r>
      <w:r w:rsidRPr="00C5308E" w:rsidR="00FE4028">
        <w:rPr>
          <w:rFonts w:ascii="Verdana" w:hAnsi="Verdana"/>
          <w:bCs/>
          <w:sz w:val="18"/>
          <w:szCs w:val="18"/>
        </w:rPr>
        <w:t>.</w:t>
      </w:r>
      <w:r w:rsidRPr="00C5308E">
        <w:rPr>
          <w:rFonts w:ascii="Verdana" w:hAnsi="Verdana"/>
          <w:bCs/>
          <w:sz w:val="18"/>
          <w:szCs w:val="18"/>
        </w:rPr>
        <w:t xml:space="preserve"> De aanpak van schijnzelfstandigheid is ook opgenomen in de plannen van Nederland als voorwaarde voor de ontvangst van steungelden in het kader van het Herstel- en Veerkrachtplan van de Europese Unie (Maatregel 4.1H4).</w:t>
      </w:r>
    </w:p>
    <w:p w:rsidR="0096314B" w:rsidP="00D87753" w:rsidRDefault="0096314B" w14:paraId="77EEC8AC" w14:textId="77777777">
      <w:pPr>
        <w:spacing w:after="0" w:line="240" w:lineRule="auto"/>
        <w:contextualSpacing/>
        <w:rPr>
          <w:rFonts w:ascii="Verdana" w:hAnsi="Verdana"/>
          <w:bCs/>
          <w:sz w:val="18"/>
          <w:szCs w:val="18"/>
        </w:rPr>
      </w:pPr>
    </w:p>
    <w:p w:rsidRPr="00C5308E" w:rsidR="003A3DFD" w:rsidP="00D87753" w:rsidRDefault="003A3DFD" w14:paraId="4C54DA67" w14:textId="29247D7C">
      <w:pPr>
        <w:spacing w:after="0" w:line="240" w:lineRule="auto"/>
        <w:contextualSpacing/>
        <w:rPr>
          <w:rFonts w:ascii="Verdana" w:hAnsi="Verdana"/>
          <w:bCs/>
          <w:sz w:val="18"/>
          <w:szCs w:val="18"/>
        </w:rPr>
      </w:pPr>
      <w:r w:rsidRPr="00C5308E">
        <w:rPr>
          <w:rFonts w:ascii="Verdana" w:hAnsi="Verdana"/>
          <w:bCs/>
          <w:sz w:val="18"/>
          <w:szCs w:val="18"/>
        </w:rPr>
        <w:t>Als het gaat om het belang van een gelijk speelveld tussen werknemers en zelfstandigen, kunnen onder meer genoemd worden het Interdepartementaal Beleidsonderzoek zelfstandigen zonder personeel (2015)</w:t>
      </w:r>
      <w:r w:rsidRPr="00C5308E" w:rsidR="00FE4028">
        <w:rPr>
          <w:rFonts w:ascii="Verdana" w:hAnsi="Verdana"/>
          <w:bCs/>
          <w:sz w:val="18"/>
          <w:szCs w:val="18"/>
        </w:rPr>
        <w:t xml:space="preserve"> (Kamerstukken II 2015/16 31311 nr. 154)</w:t>
      </w:r>
      <w:r w:rsidRPr="00C5308E" w:rsidR="00A64929">
        <w:rPr>
          <w:rFonts w:ascii="Verdana" w:hAnsi="Verdana"/>
          <w:bCs/>
          <w:sz w:val="18"/>
          <w:szCs w:val="18"/>
        </w:rPr>
        <w:t>,</w:t>
      </w:r>
      <w:r w:rsidRPr="00C5308E">
        <w:rPr>
          <w:rFonts w:ascii="Verdana" w:hAnsi="Verdana"/>
          <w:bCs/>
          <w:sz w:val="18"/>
          <w:szCs w:val="18"/>
        </w:rPr>
        <w:t xml:space="preserve"> het rapport van de OESO (2019)</w:t>
      </w:r>
      <w:r w:rsidRPr="00C5308E">
        <w:rPr>
          <w:rStyle w:val="Voetnootmarkering"/>
          <w:rFonts w:ascii="Verdana" w:hAnsi="Verdana"/>
          <w:bCs/>
          <w:sz w:val="18"/>
          <w:szCs w:val="18"/>
        </w:rPr>
        <w:footnoteReference w:id="24"/>
      </w:r>
      <w:r w:rsidRPr="00C5308E" w:rsidR="00FE4028">
        <w:rPr>
          <w:rFonts w:ascii="Verdana" w:hAnsi="Verdana"/>
          <w:bCs/>
          <w:sz w:val="18"/>
          <w:szCs w:val="18"/>
        </w:rPr>
        <w:t>,</w:t>
      </w:r>
      <w:r w:rsidRPr="00C5308E">
        <w:rPr>
          <w:rFonts w:ascii="Verdana" w:hAnsi="Verdana"/>
          <w:bCs/>
          <w:sz w:val="18"/>
          <w:szCs w:val="18"/>
        </w:rPr>
        <w:t xml:space="preserve"> het rapport ‘Het betere werk’ van de WRR (2020)</w:t>
      </w:r>
      <w:r w:rsidRPr="00C5308E">
        <w:rPr>
          <w:rStyle w:val="Voetnootmarkering"/>
          <w:rFonts w:ascii="Verdana" w:hAnsi="Verdana"/>
          <w:bCs/>
          <w:sz w:val="18"/>
          <w:szCs w:val="18"/>
        </w:rPr>
        <w:footnoteReference w:id="25"/>
      </w:r>
      <w:r w:rsidRPr="00C5308E">
        <w:rPr>
          <w:rFonts w:ascii="Verdana" w:hAnsi="Verdana"/>
          <w:bCs/>
          <w:sz w:val="18"/>
          <w:szCs w:val="18"/>
        </w:rPr>
        <w:t xml:space="preserve"> </w:t>
      </w:r>
      <w:r w:rsidRPr="00C5308E" w:rsidR="009E36E0">
        <w:rPr>
          <w:rFonts w:ascii="Verdana" w:hAnsi="Verdana"/>
          <w:bCs/>
          <w:sz w:val="18"/>
          <w:szCs w:val="18"/>
        </w:rPr>
        <w:t>en d</w:t>
      </w:r>
      <w:r w:rsidRPr="00C5308E">
        <w:rPr>
          <w:rFonts w:ascii="Verdana" w:hAnsi="Verdana"/>
          <w:bCs/>
          <w:sz w:val="18"/>
          <w:szCs w:val="18"/>
        </w:rPr>
        <w:t>e Commissie Regulering van Werk</w:t>
      </w:r>
      <w:r w:rsidRPr="00C5308E" w:rsidR="00FE4028">
        <w:rPr>
          <w:rFonts w:ascii="Verdana" w:hAnsi="Verdana"/>
          <w:bCs/>
          <w:sz w:val="18"/>
          <w:szCs w:val="18"/>
        </w:rPr>
        <w:t xml:space="preserve"> (Kamerstukken II 2019/20, 29544, nr. 960)</w:t>
      </w:r>
      <w:r w:rsidRPr="00C5308E" w:rsidR="00A64929">
        <w:rPr>
          <w:rFonts w:ascii="Verdana" w:hAnsi="Verdana"/>
          <w:bCs/>
          <w:sz w:val="18"/>
          <w:szCs w:val="18"/>
        </w:rPr>
        <w:t>.</w:t>
      </w:r>
    </w:p>
    <w:p w:rsidRPr="00C5308E" w:rsidR="007D707D" w:rsidP="00D87753" w:rsidRDefault="007D707D" w14:paraId="0C807D20" w14:textId="77777777">
      <w:pPr>
        <w:spacing w:after="0" w:line="240" w:lineRule="auto"/>
        <w:contextualSpacing/>
        <w:rPr>
          <w:rFonts w:ascii="Verdana" w:hAnsi="Verdana"/>
          <w:bCs/>
          <w:sz w:val="18"/>
          <w:szCs w:val="18"/>
          <w:u w:val="single"/>
        </w:rPr>
      </w:pPr>
    </w:p>
    <w:p w:rsidRPr="00C5308E" w:rsidR="003A3DFD" w:rsidP="00D87753" w:rsidRDefault="003A3DFD" w14:paraId="6643475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44</w:t>
      </w:r>
    </w:p>
    <w:p w:rsidRPr="00C5308E" w:rsidR="003A3DFD" w:rsidP="00D87753" w:rsidRDefault="003A3DFD" w14:paraId="3E1570BC" w14:textId="77777777">
      <w:pPr>
        <w:spacing w:after="0" w:line="240" w:lineRule="auto"/>
        <w:contextualSpacing/>
        <w:rPr>
          <w:rFonts w:ascii="Verdana" w:hAnsi="Verdana"/>
          <w:bCs/>
          <w:sz w:val="18"/>
          <w:szCs w:val="18"/>
        </w:rPr>
      </w:pPr>
      <w:r w:rsidRPr="00C5308E">
        <w:rPr>
          <w:rFonts w:ascii="Verdana" w:hAnsi="Verdana"/>
          <w:bCs/>
          <w:sz w:val="18"/>
          <w:szCs w:val="18"/>
        </w:rPr>
        <w:t>Hoe hebben internationale aanbevelingen (Europees Semester, ILO-aanbeveling 198) de Nederlandse wetgeving beïnvloed?</w:t>
      </w:r>
    </w:p>
    <w:p w:rsidRPr="00C5308E" w:rsidR="003A3DFD" w:rsidP="00D87753" w:rsidRDefault="003A3DFD" w14:paraId="5792ADBE" w14:textId="77777777">
      <w:pPr>
        <w:spacing w:after="0" w:line="240" w:lineRule="auto"/>
        <w:contextualSpacing/>
        <w:rPr>
          <w:rFonts w:ascii="Verdana" w:hAnsi="Verdana"/>
          <w:bCs/>
          <w:sz w:val="18"/>
          <w:szCs w:val="18"/>
        </w:rPr>
      </w:pPr>
    </w:p>
    <w:p w:rsidRPr="00C5308E" w:rsidR="003A3DFD" w:rsidP="00D87753" w:rsidRDefault="003A3DFD" w14:paraId="31203CD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44</w:t>
      </w:r>
    </w:p>
    <w:p w:rsidRPr="00C5308E" w:rsidR="003A3DFD" w:rsidP="00D87753" w:rsidRDefault="003A3DFD" w14:paraId="3CCC119A" w14:textId="55F5514A">
      <w:pPr>
        <w:spacing w:after="0" w:line="240" w:lineRule="auto"/>
        <w:contextualSpacing/>
        <w:rPr>
          <w:rFonts w:ascii="Verdana" w:hAnsi="Verdana"/>
          <w:bCs/>
          <w:sz w:val="18"/>
          <w:szCs w:val="18"/>
        </w:rPr>
      </w:pPr>
      <w:r w:rsidRPr="00C5308E">
        <w:rPr>
          <w:rFonts w:ascii="Verdana" w:hAnsi="Verdana"/>
          <w:bCs/>
          <w:sz w:val="18"/>
          <w:szCs w:val="18"/>
        </w:rPr>
        <w:t>Zoals ook aangegeven bij de beantwoording van vraag 43 sluit het wetsvoorstel Vbar aan op adviezen die vanuit de Europese Commissie rondom (schijn)zelfstandigheid zijn gedaan de afgelopen jaren</w:t>
      </w:r>
      <w:r w:rsidRPr="00C5308E" w:rsidR="00A64929">
        <w:rPr>
          <w:rFonts w:ascii="Verdana" w:hAnsi="Verdana"/>
          <w:bCs/>
          <w:sz w:val="18"/>
          <w:szCs w:val="18"/>
        </w:rPr>
        <w:t>.</w:t>
      </w:r>
      <w:r w:rsidRPr="00C5308E">
        <w:rPr>
          <w:rStyle w:val="Voetnootmarkering"/>
          <w:rFonts w:ascii="Verdana" w:hAnsi="Verdana"/>
          <w:bCs/>
          <w:sz w:val="18"/>
          <w:szCs w:val="18"/>
        </w:rPr>
        <w:footnoteReference w:id="26"/>
      </w:r>
      <w:r w:rsidRPr="00C5308E">
        <w:rPr>
          <w:rFonts w:ascii="Verdana" w:hAnsi="Verdana"/>
          <w:bCs/>
          <w:sz w:val="18"/>
          <w:szCs w:val="18"/>
        </w:rPr>
        <w:t xml:space="preserve"> De aanpak van schijnzelfstandigheid is ook opgenomen in de plannen van Nederland als voorwaarde voor de ontvangst van steungelden in het kader van het Herstel- en Veerkrachtplan van de Europese Unie (Maatregel 4.1H4). Het verduidelijken van de regels als het gaat om het beoordelen van arbeidsrelaties sluit ook aan bij ILO-aanbeveling 198. Deze aanbeveling roept lidstaten op duidelijk te maken wanneer sprake is van een arbeidsovereenkomst, bijvoorbeeld door het wettelijk vastleggen van specifieke indicatoren.</w:t>
      </w:r>
    </w:p>
    <w:p w:rsidRPr="00C5308E" w:rsidR="007D707D" w:rsidP="00D87753" w:rsidRDefault="007D707D" w14:paraId="64403FE8" w14:textId="77777777">
      <w:pPr>
        <w:spacing w:after="0" w:line="240" w:lineRule="auto"/>
        <w:contextualSpacing/>
        <w:rPr>
          <w:rFonts w:ascii="Verdana" w:hAnsi="Verdana"/>
          <w:bCs/>
          <w:sz w:val="18"/>
          <w:szCs w:val="18"/>
        </w:rPr>
      </w:pPr>
    </w:p>
    <w:p w:rsidRPr="00C5308E" w:rsidR="003A3DFD" w:rsidP="00D87753" w:rsidRDefault="003A3DFD" w14:paraId="5866CE0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45</w:t>
      </w:r>
    </w:p>
    <w:p w:rsidRPr="00C5308E" w:rsidR="003A3DFD" w:rsidP="00D87753" w:rsidRDefault="003A3DFD" w14:paraId="7AF9FB4A" w14:textId="77777777">
      <w:pPr>
        <w:spacing w:after="0" w:line="240" w:lineRule="auto"/>
        <w:contextualSpacing/>
        <w:rPr>
          <w:rFonts w:ascii="Verdana" w:hAnsi="Verdana"/>
          <w:bCs/>
          <w:sz w:val="18"/>
          <w:szCs w:val="18"/>
        </w:rPr>
      </w:pPr>
      <w:r w:rsidRPr="00C5308E">
        <w:rPr>
          <w:rFonts w:ascii="Verdana" w:hAnsi="Verdana"/>
          <w:bCs/>
          <w:sz w:val="18"/>
          <w:szCs w:val="18"/>
        </w:rPr>
        <w:t>Hoe verhouden de zzp-percentages in Nederland zich tot die in België, Duitsland en Frankrijk?</w:t>
      </w:r>
    </w:p>
    <w:p w:rsidRPr="00C5308E" w:rsidR="003A3DFD" w:rsidP="00D87753" w:rsidRDefault="003A3DFD" w14:paraId="632A3A8B" w14:textId="77777777">
      <w:pPr>
        <w:spacing w:after="0" w:line="240" w:lineRule="auto"/>
        <w:contextualSpacing/>
        <w:rPr>
          <w:rFonts w:ascii="Verdana" w:hAnsi="Verdana"/>
          <w:bCs/>
          <w:sz w:val="18"/>
          <w:szCs w:val="18"/>
        </w:rPr>
      </w:pPr>
    </w:p>
    <w:p w:rsidRPr="00C5308E" w:rsidR="003A3DFD" w:rsidP="00D87753" w:rsidRDefault="003A3DFD" w14:paraId="6614DFA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45</w:t>
      </w:r>
    </w:p>
    <w:p w:rsidRPr="00C5308E" w:rsidR="003A3DFD" w:rsidP="00D87753" w:rsidRDefault="003A3DFD" w14:paraId="49D4FEDB" w14:textId="27B480F8">
      <w:pPr>
        <w:spacing w:after="0" w:line="240" w:lineRule="auto"/>
        <w:contextualSpacing/>
        <w:rPr>
          <w:rFonts w:ascii="Verdana" w:hAnsi="Verdana"/>
          <w:bCs/>
          <w:sz w:val="18"/>
          <w:szCs w:val="18"/>
        </w:rPr>
      </w:pPr>
      <w:r w:rsidRPr="00C5308E">
        <w:rPr>
          <w:rFonts w:ascii="Verdana" w:hAnsi="Verdana"/>
          <w:bCs/>
          <w:sz w:val="18"/>
          <w:szCs w:val="18"/>
        </w:rPr>
        <w:t>In 2022 heeft CBS onderzoek gedaan naar het aandeel zzp’ers ten opzichte van de beroepsbevolking in de EU met behulp van Eurostat-data</w:t>
      </w:r>
      <w:r w:rsidRPr="00C5308E" w:rsidR="00A64929">
        <w:rPr>
          <w:rFonts w:ascii="Verdana" w:hAnsi="Verdana"/>
          <w:bCs/>
          <w:sz w:val="18"/>
          <w:szCs w:val="18"/>
        </w:rPr>
        <w:t>.</w:t>
      </w:r>
      <w:r w:rsidRPr="00C5308E">
        <w:rPr>
          <w:rStyle w:val="Voetnootmarkering"/>
          <w:rFonts w:ascii="Verdana" w:hAnsi="Verdana"/>
          <w:bCs/>
          <w:sz w:val="18"/>
          <w:szCs w:val="18"/>
        </w:rPr>
        <w:footnoteReference w:id="27"/>
      </w:r>
      <w:r w:rsidRPr="00C5308E">
        <w:rPr>
          <w:rFonts w:ascii="Verdana" w:hAnsi="Verdana"/>
          <w:bCs/>
          <w:sz w:val="18"/>
          <w:szCs w:val="18"/>
        </w:rPr>
        <w:t xml:space="preserve"> Dit onderzoek laat zien dat in Nederland 12% van de werkenden tussen de 15 en 75 jaar werkt als zelfstandige. In België werkt 10,7% van de werkenden als zzp’er. Voor Duitsland is dit met 4,2% een stuk lager. In Frankrijk werkt 7,7% van de werkenden als zelfstandige.</w:t>
      </w:r>
    </w:p>
    <w:p w:rsidRPr="00C5308E" w:rsidR="003A3DFD" w:rsidP="00D87753" w:rsidRDefault="003A3DFD" w14:paraId="0B41F4B3" w14:textId="77777777">
      <w:pPr>
        <w:spacing w:after="0" w:line="240" w:lineRule="auto"/>
        <w:contextualSpacing/>
        <w:rPr>
          <w:rFonts w:ascii="Verdana" w:hAnsi="Verdana"/>
          <w:bCs/>
          <w:sz w:val="18"/>
          <w:szCs w:val="18"/>
        </w:rPr>
      </w:pPr>
    </w:p>
    <w:p w:rsidRPr="00C5308E" w:rsidR="003A3DFD" w:rsidP="00D87753" w:rsidRDefault="003A3DFD" w14:paraId="4696080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46</w:t>
      </w:r>
    </w:p>
    <w:p w:rsidRPr="00C5308E" w:rsidR="003A3DFD" w:rsidP="00D87753" w:rsidRDefault="003A3DFD" w14:paraId="04BF30FE" w14:textId="77777777">
      <w:pPr>
        <w:spacing w:after="0" w:line="240" w:lineRule="auto"/>
        <w:contextualSpacing/>
        <w:rPr>
          <w:rFonts w:ascii="Verdana" w:hAnsi="Verdana"/>
          <w:bCs/>
          <w:sz w:val="18"/>
          <w:szCs w:val="18"/>
        </w:rPr>
      </w:pPr>
      <w:r w:rsidRPr="00C5308E">
        <w:rPr>
          <w:rFonts w:ascii="Verdana" w:hAnsi="Verdana"/>
          <w:bCs/>
          <w:sz w:val="18"/>
          <w:szCs w:val="18"/>
        </w:rPr>
        <w:t>Welke lessons learned uit buitenlandse modellen zijn vooral relevant voor Nederland?</w:t>
      </w:r>
    </w:p>
    <w:p w:rsidRPr="00C5308E" w:rsidR="003A3DFD" w:rsidP="00D87753" w:rsidRDefault="003A3DFD" w14:paraId="35C72D15" w14:textId="77777777">
      <w:pPr>
        <w:spacing w:after="0" w:line="240" w:lineRule="auto"/>
        <w:contextualSpacing/>
        <w:rPr>
          <w:rFonts w:ascii="Verdana" w:hAnsi="Verdana"/>
          <w:bCs/>
          <w:sz w:val="18"/>
          <w:szCs w:val="18"/>
        </w:rPr>
      </w:pPr>
    </w:p>
    <w:p w:rsidRPr="00C5308E" w:rsidR="003A3DFD" w:rsidP="00D87753" w:rsidRDefault="003A3DFD" w14:paraId="351949E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46</w:t>
      </w:r>
    </w:p>
    <w:p w:rsidRPr="00C5308E" w:rsidR="003A3DFD" w:rsidP="00D87753" w:rsidRDefault="003A3DFD" w14:paraId="26361E5B" w14:textId="29FF80B7">
      <w:pPr>
        <w:spacing w:after="0" w:line="240" w:lineRule="auto"/>
        <w:contextualSpacing/>
        <w:rPr>
          <w:rFonts w:ascii="Verdana" w:hAnsi="Verdana"/>
          <w:bCs/>
          <w:sz w:val="18"/>
          <w:szCs w:val="18"/>
        </w:rPr>
      </w:pPr>
      <w:r w:rsidRPr="00C5308E">
        <w:rPr>
          <w:rFonts w:ascii="Verdana" w:hAnsi="Verdana"/>
          <w:bCs/>
          <w:sz w:val="18"/>
          <w:szCs w:val="18"/>
        </w:rPr>
        <w:t>Bij het (laten) verrichten van werk is de vraag of er sprake is van een arbeidsovereenkomst een belangrijke. In Nederland geldt, net als in alle andere landen in Europa, dat het doorslaggevende vereiste daarvoor ‘werken in dienst van’ is. Dit zogeheten gezagscriterium is het meest onderscheidende criterium dat werken voor eigen rekening en risico onderscheidt van werk dat op basis van een arbeidsovereenkomst wordt verricht. Zoals uiteengezet in de Voortgangsbrief werken met en als zelfstandige(n) van 27 maart 2025</w:t>
      </w:r>
      <w:r w:rsidRPr="00C5308E" w:rsidR="00FE4028">
        <w:rPr>
          <w:rFonts w:ascii="Verdana" w:hAnsi="Verdana"/>
          <w:bCs/>
          <w:sz w:val="18"/>
          <w:szCs w:val="18"/>
        </w:rPr>
        <w:t xml:space="preserve"> (Kamerstukken II 2024/25, 31311 nr. 281)</w:t>
      </w:r>
      <w:r w:rsidRPr="00C5308E">
        <w:rPr>
          <w:rFonts w:ascii="Verdana" w:hAnsi="Verdana"/>
          <w:bCs/>
          <w:sz w:val="18"/>
          <w:szCs w:val="18"/>
        </w:rPr>
        <w:t xml:space="preserve"> is uitgebreid gekeken naar het Belgische systeem. Het kabinet is van oordeel dat het Belgische systeem rondom de beoordeling van arbeidsrelaties niet één op één kan worden overgenomen. Tegelijkertijd speelde in België in het begin van vorig decennium onduidelijkheid en (dus rechtsonzekerheid) over de beoordeling van de arbeidsrelatie. Daarom heeft de Belgische wetgever </w:t>
      </w:r>
      <w:r w:rsidRPr="00C5308E">
        <w:rPr>
          <w:rFonts w:ascii="Verdana" w:hAnsi="Verdana"/>
          <w:bCs/>
          <w:sz w:val="18"/>
          <w:szCs w:val="18"/>
        </w:rPr>
        <w:lastRenderedPageBreak/>
        <w:t>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Dit is ook de grondgedachte achter het wetsvoorstel Vbar, te weten de bestaande jurisprudentie vatten in een wettelijk toetsingskader. Daarbij geldt dat ook in Nederland de afgelopen jaren is ingezet op maatregelen die bijdragen aan een gelijker speelveld tussen contractvormen, waaronder fiscale maatregelen en verder uitwerken van een arbeidsongeschiktheidsverzekering voor zelfstandigen om de balans op de arbeidsmarkt te herstellen.</w:t>
      </w:r>
    </w:p>
    <w:p w:rsidRPr="00C5308E" w:rsidR="007D707D" w:rsidP="00D87753" w:rsidRDefault="007D707D" w14:paraId="4DFCB38A" w14:textId="77777777">
      <w:pPr>
        <w:spacing w:after="0" w:line="240" w:lineRule="auto"/>
        <w:contextualSpacing/>
        <w:rPr>
          <w:rFonts w:ascii="Verdana" w:hAnsi="Verdana"/>
          <w:bCs/>
          <w:sz w:val="18"/>
          <w:szCs w:val="18"/>
        </w:rPr>
      </w:pPr>
    </w:p>
    <w:p w:rsidRPr="00C5308E" w:rsidR="003A3DFD" w:rsidP="00D87753" w:rsidRDefault="003A3DFD" w14:paraId="48C0AE9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47</w:t>
      </w:r>
    </w:p>
    <w:p w:rsidRPr="00C5308E" w:rsidR="003A3DFD" w:rsidP="00D87753" w:rsidRDefault="003A3DFD" w14:paraId="22F7F5BC" w14:textId="77777777">
      <w:pPr>
        <w:spacing w:after="0" w:line="240" w:lineRule="auto"/>
        <w:contextualSpacing/>
        <w:rPr>
          <w:rFonts w:ascii="Verdana" w:hAnsi="Verdana"/>
          <w:bCs/>
          <w:sz w:val="18"/>
          <w:szCs w:val="18"/>
        </w:rPr>
      </w:pPr>
      <w:r w:rsidRPr="00C5308E">
        <w:rPr>
          <w:rFonts w:ascii="Verdana" w:hAnsi="Verdana"/>
          <w:bCs/>
          <w:sz w:val="18"/>
          <w:szCs w:val="18"/>
        </w:rPr>
        <w:t>Hoeveel opdrachten voor zzp’ers vallen er weg door rechtsonzekerheid, zoals volgens surveys onder zzp’ers en opdrachtgevers?</w:t>
      </w:r>
    </w:p>
    <w:p w:rsidRPr="00C5308E" w:rsidR="003A3DFD" w:rsidP="00D87753" w:rsidRDefault="003A3DFD" w14:paraId="1D9AFD53" w14:textId="77777777">
      <w:pPr>
        <w:spacing w:after="0" w:line="240" w:lineRule="auto"/>
        <w:contextualSpacing/>
        <w:rPr>
          <w:rFonts w:ascii="Verdana" w:hAnsi="Verdana"/>
          <w:bCs/>
          <w:sz w:val="18"/>
          <w:szCs w:val="18"/>
        </w:rPr>
      </w:pPr>
    </w:p>
    <w:p w:rsidRPr="00C5308E" w:rsidR="003A3DFD" w:rsidP="00D87753" w:rsidRDefault="003A3DFD" w14:paraId="5DF50C5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47</w:t>
      </w:r>
    </w:p>
    <w:p w:rsidRPr="00C5308E" w:rsidR="003A3DFD" w:rsidP="00D87753" w:rsidRDefault="003A3DFD" w14:paraId="1CE6CEAE" w14:textId="570978F3">
      <w:pPr>
        <w:spacing w:after="0" w:line="240" w:lineRule="auto"/>
        <w:contextualSpacing/>
        <w:rPr>
          <w:rFonts w:ascii="Verdana" w:hAnsi="Verdana"/>
          <w:bCs/>
          <w:sz w:val="18"/>
          <w:szCs w:val="18"/>
        </w:rPr>
      </w:pPr>
      <w:r w:rsidRPr="00C5308E">
        <w:rPr>
          <w:rFonts w:ascii="Verdana" w:hAnsi="Verdana"/>
          <w:bCs/>
          <w:sz w:val="18"/>
          <w:szCs w:val="18"/>
        </w:rPr>
        <w:t>Uit onderzoek valt niet af te leiden hoeveel opdrachten wegvallen door eventuele ervaren rechtsonzekerheid door partijen. Daarbij merk ik op dat er geen sprake is van een verandering in wet- en regelgeving ten aanzien van de kwalificatie van een arbeidsrelatie per 1 januari 2025. Wel blijkt uit onderzoek van Ipsos I&amp;O dat een vijfde van de zzp’ers minder opdrachten heeft door de handhaving op schijnzelfstandigheid. Dit geldt met name voor zzp’ers waarbij er mogelijk sprake is van schijnzelfstandigheid.</w:t>
      </w:r>
      <w:r w:rsidRPr="00C5308E">
        <w:rPr>
          <w:rStyle w:val="Voetnootmarkering"/>
          <w:rFonts w:ascii="Verdana" w:hAnsi="Verdana"/>
          <w:bCs/>
          <w:sz w:val="18"/>
          <w:szCs w:val="18"/>
        </w:rPr>
        <w:footnoteReference w:id="28"/>
      </w:r>
      <w:r w:rsidRPr="00C5308E">
        <w:rPr>
          <w:rFonts w:ascii="Verdana" w:hAnsi="Verdana"/>
          <w:bCs/>
          <w:sz w:val="18"/>
          <w:szCs w:val="18"/>
        </w:rPr>
        <w:t xml:space="preserve"> Tegelijkertijd laat het onderzoek ook zien dat 20% van de werkgevers meer rechtszekerheid ervaart bij het inhuren van personeel</w:t>
      </w:r>
      <w:r w:rsidRPr="00C5308E" w:rsidR="00A64929">
        <w:rPr>
          <w:rFonts w:ascii="Verdana" w:hAnsi="Verdana"/>
          <w:bCs/>
          <w:sz w:val="18"/>
          <w:szCs w:val="18"/>
        </w:rPr>
        <w:t>.</w:t>
      </w:r>
      <w:r w:rsidRPr="00C5308E">
        <w:rPr>
          <w:rStyle w:val="Voetnootmarkering"/>
          <w:rFonts w:ascii="Verdana" w:hAnsi="Verdana"/>
          <w:bCs/>
          <w:sz w:val="18"/>
          <w:szCs w:val="18"/>
        </w:rPr>
        <w:footnoteReference w:id="29"/>
      </w:r>
    </w:p>
    <w:p w:rsidRPr="00C5308E" w:rsidR="007D707D" w:rsidP="00D87753" w:rsidRDefault="007D707D" w14:paraId="2DF5511F" w14:textId="77777777">
      <w:pPr>
        <w:spacing w:after="0" w:line="240" w:lineRule="auto"/>
        <w:contextualSpacing/>
        <w:rPr>
          <w:rFonts w:ascii="Verdana" w:hAnsi="Verdana"/>
          <w:bCs/>
          <w:sz w:val="18"/>
          <w:szCs w:val="18"/>
        </w:rPr>
      </w:pPr>
    </w:p>
    <w:p w:rsidRPr="00C5308E" w:rsidR="00173FB1" w:rsidP="00D87753" w:rsidRDefault="00173FB1" w14:paraId="5FD964F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48</w:t>
      </w:r>
    </w:p>
    <w:p w:rsidRPr="00C5308E" w:rsidR="00173FB1" w:rsidP="00D87753" w:rsidRDefault="00173FB1" w14:paraId="3202DBB4" w14:textId="77777777">
      <w:pPr>
        <w:spacing w:after="0" w:line="240" w:lineRule="auto"/>
        <w:contextualSpacing/>
        <w:rPr>
          <w:rFonts w:ascii="Verdana" w:hAnsi="Verdana"/>
          <w:bCs/>
          <w:sz w:val="18"/>
          <w:szCs w:val="18"/>
        </w:rPr>
      </w:pPr>
      <w:r w:rsidRPr="00C5308E">
        <w:rPr>
          <w:rFonts w:ascii="Verdana" w:hAnsi="Verdana"/>
          <w:bCs/>
          <w:sz w:val="18"/>
          <w:szCs w:val="18"/>
        </w:rPr>
        <w:t>Wat zijn de geschatte macro-economische gevolgen (bruto binnenlands product (BBP), belastingopbrengst) van de huidige onzekerheid voor zzp'ers die leidt tot het wegvallen van opdrachten en de afname van economische activiteit?</w:t>
      </w:r>
    </w:p>
    <w:p w:rsidRPr="00C5308E" w:rsidR="00173FB1" w:rsidP="00D87753" w:rsidRDefault="00173FB1" w14:paraId="32B353EB" w14:textId="77777777">
      <w:pPr>
        <w:spacing w:after="0" w:line="240" w:lineRule="auto"/>
        <w:contextualSpacing/>
        <w:rPr>
          <w:rFonts w:ascii="Verdana" w:hAnsi="Verdana"/>
          <w:bCs/>
          <w:sz w:val="18"/>
          <w:szCs w:val="18"/>
        </w:rPr>
      </w:pPr>
    </w:p>
    <w:p w:rsidRPr="00C5308E" w:rsidR="00173FB1" w:rsidP="00D87753" w:rsidRDefault="00173FB1" w14:paraId="24A73BC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48</w:t>
      </w:r>
    </w:p>
    <w:p w:rsidRPr="00C5308E" w:rsidR="00173FB1" w:rsidP="00D87753" w:rsidRDefault="00173FB1" w14:paraId="3EAE3B15" w14:textId="0B1CCE2F">
      <w:pPr>
        <w:spacing w:after="0" w:line="240" w:lineRule="auto"/>
        <w:contextualSpacing/>
        <w:rPr>
          <w:rFonts w:ascii="Verdana" w:hAnsi="Verdana"/>
          <w:bCs/>
          <w:sz w:val="18"/>
          <w:szCs w:val="18"/>
        </w:rPr>
      </w:pPr>
      <w:r w:rsidRPr="00C5308E">
        <w:rPr>
          <w:rFonts w:ascii="Verdana" w:hAnsi="Verdana"/>
          <w:bCs/>
          <w:sz w:val="18"/>
          <w:szCs w:val="18"/>
        </w:rPr>
        <w:t xml:space="preserve">Uit onderzoek van de KVK blijkt dat een derde van de zzp’ers zich zorgen maakt over hun bedrijf door de verscherpte handhaving. De helft van deze zelfstandigen maakt zich specifiek zorgen over hun vrijheid als ondernemer en een afname van opdrachten en inkomsten. Verder blijkt uit de zzp monitor van de KVK dat het aantal stoppende zzp’ers toenam met 2.400 in april 2025 t.o.v. april 2024. Het aantal startende zelfstandigen daalde ten opzichte van april 2024 met 3.450. Dit is in lijn met de trend van de afgelopen maanden. Overigens volgt uit cijfers van CBS dat bijna 60% van de zzp’ers die niet meer de meeste uren als zelfstandige werkzaam zijn, wel bleven werken, vooral als flexwerknemer. </w:t>
      </w:r>
    </w:p>
    <w:p w:rsidRPr="00C5308E" w:rsidR="00173FB1" w:rsidP="00D87753" w:rsidRDefault="00173FB1" w14:paraId="3D1D6806" w14:textId="77777777">
      <w:pPr>
        <w:spacing w:after="0" w:line="240" w:lineRule="auto"/>
        <w:contextualSpacing/>
        <w:rPr>
          <w:rFonts w:ascii="Verdana" w:hAnsi="Verdana"/>
          <w:bCs/>
          <w:sz w:val="18"/>
          <w:szCs w:val="18"/>
        </w:rPr>
      </w:pPr>
    </w:p>
    <w:p w:rsidRPr="00C5308E" w:rsidR="00173FB1" w:rsidP="00D87753" w:rsidRDefault="00173FB1" w14:paraId="2C2C8E64" w14:textId="6F653182">
      <w:pPr>
        <w:spacing w:after="0" w:line="240" w:lineRule="auto"/>
        <w:contextualSpacing/>
        <w:rPr>
          <w:rFonts w:ascii="Verdana" w:hAnsi="Verdana"/>
          <w:bCs/>
          <w:sz w:val="18"/>
          <w:szCs w:val="18"/>
        </w:rPr>
      </w:pPr>
      <w:r w:rsidRPr="00C5308E">
        <w:rPr>
          <w:rFonts w:ascii="Verdana" w:hAnsi="Verdana"/>
          <w:bCs/>
          <w:sz w:val="18"/>
          <w:szCs w:val="18"/>
        </w:rPr>
        <w:t>De impact van deze ontwikkelingen op macro-economische factoren als het BBP en de belastingopbrengsten laat zich moeilijk voorspellen. In de raming van de opheffing van het handhavingsmoratorium is dan ook geen toe- of afname van de belastingopbrengsten meegenomen.</w:t>
      </w:r>
      <w:r w:rsidR="0096314B">
        <w:rPr>
          <w:rStyle w:val="Voetnootmarkering"/>
          <w:rFonts w:ascii="Verdana" w:hAnsi="Verdana"/>
          <w:bCs/>
          <w:sz w:val="18"/>
          <w:szCs w:val="18"/>
        </w:rPr>
        <w:footnoteReference w:id="30"/>
      </w:r>
    </w:p>
    <w:p w:rsidRPr="00C5308E" w:rsidR="007D707D" w:rsidP="00D87753" w:rsidRDefault="007D707D" w14:paraId="3735EAD4" w14:textId="77777777">
      <w:pPr>
        <w:spacing w:after="0" w:line="240" w:lineRule="auto"/>
        <w:contextualSpacing/>
        <w:rPr>
          <w:rFonts w:ascii="Verdana" w:hAnsi="Verdana"/>
          <w:bCs/>
          <w:sz w:val="18"/>
          <w:szCs w:val="18"/>
        </w:rPr>
      </w:pPr>
    </w:p>
    <w:p w:rsidRPr="00C5308E" w:rsidR="003A3DFD" w:rsidP="00D87753" w:rsidRDefault="003A3DFD" w14:paraId="27C006A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49</w:t>
      </w:r>
    </w:p>
    <w:p w:rsidRPr="00C5308E" w:rsidR="003A3DFD" w:rsidP="00D87753" w:rsidRDefault="003A3DFD" w14:paraId="0CCCAD82" w14:textId="77777777">
      <w:pPr>
        <w:spacing w:after="0" w:line="240" w:lineRule="auto"/>
        <w:contextualSpacing/>
        <w:rPr>
          <w:rFonts w:ascii="Verdana" w:hAnsi="Verdana"/>
          <w:bCs/>
          <w:sz w:val="18"/>
          <w:szCs w:val="18"/>
        </w:rPr>
      </w:pPr>
      <w:r w:rsidRPr="00C5308E">
        <w:rPr>
          <w:rFonts w:ascii="Verdana" w:hAnsi="Verdana"/>
          <w:bCs/>
          <w:sz w:val="18"/>
          <w:szCs w:val="18"/>
        </w:rPr>
        <w:t>Welke effecten op de arbeidsmarkt (werkdruk, personeelstekorten) zijn er door verschuiving van zzp’ers naar werknemers of andersom?</w:t>
      </w:r>
    </w:p>
    <w:p w:rsidRPr="00C5308E" w:rsidR="003A3DFD" w:rsidP="00D87753" w:rsidRDefault="003A3DFD" w14:paraId="23291079" w14:textId="77777777">
      <w:pPr>
        <w:spacing w:after="0" w:line="240" w:lineRule="auto"/>
        <w:contextualSpacing/>
        <w:rPr>
          <w:rFonts w:ascii="Verdana" w:hAnsi="Verdana"/>
          <w:bCs/>
          <w:sz w:val="18"/>
          <w:szCs w:val="18"/>
        </w:rPr>
      </w:pPr>
    </w:p>
    <w:p w:rsidRPr="00C5308E" w:rsidR="003A3DFD" w:rsidP="00D87753" w:rsidRDefault="003A3DFD" w14:paraId="7969A6E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49</w:t>
      </w:r>
    </w:p>
    <w:p w:rsidRPr="00C5308E" w:rsidR="003A3DFD" w:rsidP="00D87753" w:rsidRDefault="003A3DFD" w14:paraId="6535E268" w14:textId="1F19DC6C">
      <w:pPr>
        <w:spacing w:after="0" w:line="240" w:lineRule="auto"/>
        <w:contextualSpacing/>
        <w:rPr>
          <w:rFonts w:ascii="Verdana" w:hAnsi="Verdana"/>
          <w:bCs/>
          <w:sz w:val="18"/>
          <w:szCs w:val="18"/>
        </w:rPr>
      </w:pPr>
      <w:r w:rsidRPr="00C5308E">
        <w:rPr>
          <w:rFonts w:ascii="Verdana" w:hAnsi="Verdana"/>
          <w:bCs/>
          <w:sz w:val="18"/>
          <w:szCs w:val="18"/>
        </w:rPr>
        <w:t>Het is van tevoren lastig te voorspellen wat de precieze effecten van een verschuiving van zzp’ers naar werknemers, of andersom, zullen zijn. Dit is mede afhankelijk van de omvang van de verschuiving en van de stand van de conjunctuur. Wel kan er aangegeven worden wat in grote lijnen de verwachte effecten zijn van een verschuiving van zzp’ers naar werknemers of andersom op werkdruk en personeelstekorten.</w:t>
      </w:r>
    </w:p>
    <w:p w:rsidRPr="00C5308E" w:rsidR="003A3DFD" w:rsidP="00D87753" w:rsidRDefault="003A3DFD" w14:paraId="5F3BA9FD" w14:textId="77777777">
      <w:pPr>
        <w:spacing w:after="0" w:line="240" w:lineRule="auto"/>
        <w:contextualSpacing/>
        <w:rPr>
          <w:rFonts w:ascii="Verdana" w:hAnsi="Verdana"/>
          <w:bCs/>
          <w:sz w:val="18"/>
          <w:szCs w:val="18"/>
        </w:rPr>
      </w:pPr>
    </w:p>
    <w:p w:rsidRPr="00C5308E" w:rsidR="003A3DFD" w:rsidP="00D87753" w:rsidRDefault="003A3DFD" w14:paraId="0EF53291" w14:textId="4E87D863">
      <w:pPr>
        <w:spacing w:after="0" w:line="240" w:lineRule="auto"/>
        <w:contextualSpacing/>
        <w:rPr>
          <w:rFonts w:ascii="Verdana" w:hAnsi="Verdana"/>
          <w:bCs/>
          <w:sz w:val="18"/>
          <w:szCs w:val="18"/>
        </w:rPr>
      </w:pPr>
      <w:r w:rsidRPr="00C5308E">
        <w:rPr>
          <w:rFonts w:ascii="Verdana" w:hAnsi="Verdana"/>
          <w:bCs/>
          <w:sz w:val="18"/>
          <w:szCs w:val="18"/>
        </w:rPr>
        <w:lastRenderedPageBreak/>
        <w:t>Ten eerste de werkdruk. Werknemers zijn structureel inzetbaar en daarmee zorgen zij voor stabiliteit en continuïteit van de roosters. Dit draagt bij aan het verlagen van de werkdruk. Het zzp-schap daarentegen kan worden gebruikt om bepaalde werktijden</w:t>
      </w:r>
      <w:r w:rsidRPr="00C5308E" w:rsidR="00193086">
        <w:rPr>
          <w:rFonts w:ascii="Verdana" w:hAnsi="Verdana"/>
          <w:bCs/>
          <w:sz w:val="18"/>
          <w:szCs w:val="18"/>
        </w:rPr>
        <w:t xml:space="preserve"> (bijvoorbeeld nachtdiensten)</w:t>
      </w:r>
      <w:r w:rsidRPr="00C5308E">
        <w:rPr>
          <w:rFonts w:ascii="Verdana" w:hAnsi="Verdana"/>
          <w:bCs/>
          <w:sz w:val="18"/>
          <w:szCs w:val="18"/>
        </w:rPr>
        <w:t>, inroostering of (administratieve) taken te voorkomen. Zzp’ers kunnen in piekperiodes de tijdelijk verhoogde vraag naar arbeid van een onderneming ondervangen. Het inzetten van extra arbeidskrachten zorgt er dan voor dat de tijdelijke extra taken niet alleen bij de werknemers k</w:t>
      </w:r>
      <w:r w:rsidRPr="00C5308E" w:rsidR="009E36E0">
        <w:rPr>
          <w:rFonts w:ascii="Verdana" w:hAnsi="Verdana"/>
          <w:bCs/>
          <w:sz w:val="18"/>
          <w:szCs w:val="18"/>
        </w:rPr>
        <w:t>om</w:t>
      </w:r>
      <w:r w:rsidRPr="00C5308E">
        <w:rPr>
          <w:rFonts w:ascii="Verdana" w:hAnsi="Verdana"/>
          <w:bCs/>
          <w:sz w:val="18"/>
          <w:szCs w:val="18"/>
        </w:rPr>
        <w:t>en te liggen en vermindert zo de werkdruk. Overigens zijn het niet alleen zzp’ers die een rol kunnen spelen in het opvangen van deze piek, maar kunnen uitzendkrachten, oproepkrachten en tijdelijke krachten hier ook voor worden ingeschakeld.</w:t>
      </w:r>
    </w:p>
    <w:p w:rsidRPr="00C5308E" w:rsidR="003A3DFD" w:rsidP="00D87753" w:rsidRDefault="003A3DFD" w14:paraId="6FA1AE7A" w14:textId="77777777">
      <w:pPr>
        <w:spacing w:after="0" w:line="240" w:lineRule="auto"/>
        <w:contextualSpacing/>
        <w:rPr>
          <w:rFonts w:ascii="Verdana" w:hAnsi="Verdana"/>
          <w:bCs/>
          <w:sz w:val="18"/>
          <w:szCs w:val="18"/>
        </w:rPr>
      </w:pPr>
    </w:p>
    <w:p w:rsidRPr="00C5308E" w:rsidR="003A3DFD" w:rsidP="00D87753" w:rsidRDefault="003A3DFD" w14:paraId="28AF7B4D" w14:textId="77777777">
      <w:pPr>
        <w:spacing w:after="0" w:line="240" w:lineRule="auto"/>
        <w:contextualSpacing/>
        <w:rPr>
          <w:rFonts w:ascii="Verdana" w:hAnsi="Verdana"/>
          <w:bCs/>
          <w:sz w:val="18"/>
          <w:szCs w:val="18"/>
        </w:rPr>
      </w:pPr>
      <w:r w:rsidRPr="00C5308E">
        <w:rPr>
          <w:rFonts w:ascii="Verdana" w:hAnsi="Verdana"/>
          <w:bCs/>
          <w:sz w:val="18"/>
          <w:szCs w:val="18"/>
        </w:rPr>
        <w:t xml:space="preserve">Aan de andere kant geldt dat als meer mensen in zzp-verband gaan werken, dit de continuïteit van de roosters negatief kan beïnvloeden. Dit betekent dat zwaardere diensten en taken steeds vaker door een kleinere groep werknemers gedaan worden. De verschuiving naar zzp-schap kan dan voor een hogere werkdruk bij de overgebleven werknemers leiden en een lagere werkdruk bij de overstappers. </w:t>
      </w:r>
    </w:p>
    <w:p w:rsidRPr="00C5308E" w:rsidR="003A3DFD" w:rsidP="00D87753" w:rsidRDefault="003A3DFD" w14:paraId="6F1A11E9" w14:textId="77777777">
      <w:pPr>
        <w:spacing w:after="0" w:line="240" w:lineRule="auto"/>
        <w:contextualSpacing/>
        <w:rPr>
          <w:rFonts w:ascii="Verdana" w:hAnsi="Verdana"/>
          <w:bCs/>
          <w:sz w:val="18"/>
          <w:szCs w:val="18"/>
        </w:rPr>
      </w:pPr>
    </w:p>
    <w:p w:rsidRPr="00C5308E" w:rsidR="003A3DFD" w:rsidP="00D87753" w:rsidRDefault="003A3DFD" w14:paraId="562E08C9" w14:textId="77777777">
      <w:pPr>
        <w:spacing w:after="0" w:line="240" w:lineRule="auto"/>
        <w:contextualSpacing/>
        <w:rPr>
          <w:rFonts w:ascii="Verdana" w:hAnsi="Verdana"/>
          <w:bCs/>
          <w:sz w:val="18"/>
          <w:szCs w:val="18"/>
        </w:rPr>
      </w:pPr>
      <w:r w:rsidRPr="00C5308E">
        <w:rPr>
          <w:rFonts w:ascii="Verdana" w:hAnsi="Verdana"/>
          <w:bCs/>
          <w:sz w:val="18"/>
          <w:szCs w:val="18"/>
        </w:rPr>
        <w:t>Goed werkgeverschap speelt een belangrijke rol in het verminderen van de werkdruk in het algemeen. Zo kunnen werkgevers met bijvoorbeeld zelfroostering, aandacht voor een goede werk- en privébalans en flexpools inspelen op de behoefte aan flexibiliteit die bij veel werkenden leeft.</w:t>
      </w:r>
    </w:p>
    <w:p w:rsidRPr="00C5308E" w:rsidR="003A3DFD" w:rsidP="00D87753" w:rsidRDefault="003A3DFD" w14:paraId="3F13EBA6" w14:textId="77777777">
      <w:pPr>
        <w:spacing w:after="0" w:line="240" w:lineRule="auto"/>
        <w:contextualSpacing/>
        <w:rPr>
          <w:rFonts w:ascii="Verdana" w:hAnsi="Verdana"/>
          <w:bCs/>
          <w:sz w:val="18"/>
          <w:szCs w:val="18"/>
        </w:rPr>
      </w:pPr>
    </w:p>
    <w:p w:rsidRPr="00C5308E" w:rsidR="003A3DFD" w:rsidP="00D87753" w:rsidRDefault="003A3DFD" w14:paraId="7A4416F8" w14:textId="3E29CCEA">
      <w:pPr>
        <w:spacing w:line="240" w:lineRule="auto"/>
        <w:contextualSpacing/>
        <w:rPr>
          <w:rFonts w:ascii="Verdana" w:hAnsi="Verdana"/>
          <w:bCs/>
          <w:sz w:val="18"/>
          <w:szCs w:val="18"/>
        </w:rPr>
      </w:pPr>
      <w:r w:rsidRPr="00C5308E">
        <w:rPr>
          <w:rFonts w:ascii="Verdana" w:hAnsi="Verdana"/>
          <w:bCs/>
          <w:sz w:val="18"/>
          <w:szCs w:val="18"/>
        </w:rPr>
        <w:t xml:space="preserve">Ten tweede de personeelstekorten. Personeelstekorten ontstaan wanneer er meer vacatures zijn dan beschikbaar personeel. Een verschuiving van zzp naar werknemers, of andersom, is dus alleen een oplossing voor personeelstekorten als dat ervoor zorgt dat meer mensen de arbeidsmarkt betreden, of als er minder vacatures ontstaan. Er zijn geen aanwijzingen dat een verschuiving naar meer zzp’ers of meer werknemers ertoe leidt dat er significant meer mensen aan de slag gaan. Een verschuiving van of naar zzp-schap lijkt dus geen duidelijk effect te hebben op personeelstekorten. </w:t>
      </w:r>
    </w:p>
    <w:p w:rsidRPr="00C5308E" w:rsidR="003A3DFD" w:rsidP="00D87753" w:rsidRDefault="003A3DFD" w14:paraId="1A7C25BA" w14:textId="77777777">
      <w:pPr>
        <w:spacing w:after="0" w:line="240" w:lineRule="auto"/>
        <w:contextualSpacing/>
        <w:rPr>
          <w:rFonts w:ascii="Verdana" w:hAnsi="Verdana"/>
          <w:bCs/>
          <w:sz w:val="18"/>
          <w:szCs w:val="18"/>
        </w:rPr>
      </w:pPr>
    </w:p>
    <w:p w:rsidRPr="00C5308E" w:rsidR="003A3DFD" w:rsidP="00D87753" w:rsidRDefault="003A3DFD" w14:paraId="5D488A5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50</w:t>
      </w:r>
    </w:p>
    <w:p w:rsidRPr="00C5308E" w:rsidR="003A3DFD" w:rsidP="00D87753" w:rsidRDefault="003A3DFD" w14:paraId="42F0C4F6" w14:textId="77777777">
      <w:pPr>
        <w:spacing w:after="0" w:line="240" w:lineRule="auto"/>
        <w:contextualSpacing/>
        <w:rPr>
          <w:rFonts w:ascii="Verdana" w:hAnsi="Verdana"/>
          <w:bCs/>
          <w:sz w:val="18"/>
          <w:szCs w:val="18"/>
        </w:rPr>
      </w:pPr>
      <w:r w:rsidRPr="00C5308E">
        <w:rPr>
          <w:rFonts w:ascii="Verdana" w:hAnsi="Verdana"/>
          <w:bCs/>
          <w:sz w:val="18"/>
          <w:szCs w:val="18"/>
        </w:rPr>
        <w:t>Wat is het aandeel werkgevers dat sinds het opheffen van het moratorium minder zzp’ers inhuurt?</w:t>
      </w:r>
    </w:p>
    <w:p w:rsidRPr="00C5308E" w:rsidR="003A3DFD" w:rsidP="00D87753" w:rsidRDefault="003A3DFD" w14:paraId="29C0ED88" w14:textId="77777777">
      <w:pPr>
        <w:spacing w:after="0" w:line="240" w:lineRule="auto"/>
        <w:contextualSpacing/>
        <w:rPr>
          <w:rFonts w:ascii="Verdana" w:hAnsi="Verdana"/>
          <w:bCs/>
          <w:sz w:val="18"/>
          <w:szCs w:val="18"/>
        </w:rPr>
      </w:pPr>
    </w:p>
    <w:p w:rsidRPr="00C5308E" w:rsidR="003A3DFD" w:rsidP="00D87753" w:rsidRDefault="003A3DFD" w14:paraId="69653DE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50</w:t>
      </w:r>
    </w:p>
    <w:p w:rsidRPr="00C5308E" w:rsidR="003A3DFD" w:rsidP="00D87753" w:rsidRDefault="003A3DFD" w14:paraId="6C052D18" w14:textId="21A0F5DE">
      <w:pPr>
        <w:spacing w:after="0" w:line="240" w:lineRule="auto"/>
        <w:contextualSpacing/>
        <w:rPr>
          <w:rFonts w:ascii="Verdana" w:hAnsi="Verdana"/>
          <w:bCs/>
          <w:sz w:val="18"/>
          <w:szCs w:val="18"/>
        </w:rPr>
      </w:pPr>
      <w:r w:rsidRPr="00C5308E">
        <w:rPr>
          <w:rFonts w:ascii="Verdana" w:hAnsi="Verdana"/>
          <w:bCs/>
          <w:sz w:val="18"/>
          <w:szCs w:val="18"/>
        </w:rPr>
        <w:t>Uit onderzoek van het CBS blijkt dat 42% van de bedrijven die in 2024 zzp’ers inhuurden, dat in 2025 verwacht minder te doen</w:t>
      </w:r>
      <w:r w:rsidRPr="00C5308E" w:rsidR="00A64929">
        <w:rPr>
          <w:rFonts w:ascii="Verdana" w:hAnsi="Verdana"/>
          <w:bCs/>
          <w:sz w:val="18"/>
          <w:szCs w:val="18"/>
        </w:rPr>
        <w:t>.</w:t>
      </w:r>
      <w:r w:rsidRPr="00C5308E">
        <w:rPr>
          <w:rStyle w:val="Voetnootmarkering"/>
          <w:rFonts w:ascii="Verdana" w:hAnsi="Verdana"/>
          <w:bCs/>
          <w:sz w:val="18"/>
          <w:szCs w:val="18"/>
        </w:rPr>
        <w:footnoteReference w:id="31"/>
      </w:r>
      <w:r w:rsidRPr="00C5308E">
        <w:rPr>
          <w:rFonts w:ascii="Verdana" w:hAnsi="Verdana"/>
          <w:bCs/>
          <w:sz w:val="18"/>
          <w:szCs w:val="18"/>
        </w:rPr>
        <w:t xml:space="preserve"> Ook uit onderzoek van de KVK blijkt dat zzp’ers het moeilijker vinden om opdrachtgevers te vinden en dat opdrachtgevers voorzichtiger zijn met het inhuren van zzp’ers, vanwege de behoefte om te werken conform wet- en regelgeving. Hierbij geeft één op de drie opdrachtgevers aan te overwegen geen zzp’ers meer in te huren of daarmee al te zijn gestopt</w:t>
      </w:r>
      <w:r w:rsidRPr="00C5308E" w:rsidR="00A64929">
        <w:rPr>
          <w:rFonts w:ascii="Verdana" w:hAnsi="Verdana"/>
          <w:bCs/>
          <w:sz w:val="18"/>
          <w:szCs w:val="18"/>
        </w:rPr>
        <w:t>.</w:t>
      </w:r>
      <w:r w:rsidRPr="00C5308E">
        <w:rPr>
          <w:rStyle w:val="Voetnootmarkering"/>
          <w:rFonts w:ascii="Verdana" w:hAnsi="Verdana"/>
          <w:bCs/>
          <w:sz w:val="18"/>
          <w:szCs w:val="18"/>
        </w:rPr>
        <w:footnoteReference w:id="32"/>
      </w:r>
      <w:r w:rsidRPr="00C5308E">
        <w:rPr>
          <w:rFonts w:ascii="Verdana" w:hAnsi="Verdana"/>
          <w:bCs/>
          <w:sz w:val="18"/>
          <w:szCs w:val="18"/>
        </w:rPr>
        <w:t xml:space="preserve"> Uit een ledenonderzoek van AWVN blijkt dat 40% van de werkgevers minder zzp’ers inhuurt en 7% geen zzp’ers meer inhuurt</w:t>
      </w:r>
      <w:r w:rsidRPr="00C5308E" w:rsidR="00A64929">
        <w:rPr>
          <w:rFonts w:ascii="Verdana" w:hAnsi="Verdana"/>
          <w:bCs/>
          <w:sz w:val="18"/>
          <w:szCs w:val="18"/>
        </w:rPr>
        <w:t>.</w:t>
      </w:r>
      <w:r w:rsidRPr="00C5308E">
        <w:rPr>
          <w:rStyle w:val="Voetnootmarkering"/>
          <w:rFonts w:ascii="Verdana" w:hAnsi="Verdana"/>
          <w:bCs/>
          <w:sz w:val="18"/>
          <w:szCs w:val="18"/>
        </w:rPr>
        <w:footnoteReference w:id="33"/>
      </w:r>
      <w:r w:rsidRPr="00C5308E" w:rsidR="00F1770A">
        <w:rPr>
          <w:rFonts w:ascii="Verdana" w:hAnsi="Verdana"/>
          <w:bCs/>
          <w:sz w:val="18"/>
          <w:szCs w:val="18"/>
        </w:rPr>
        <w:t xml:space="preserve"> </w:t>
      </w:r>
      <w:r w:rsidRPr="00C5308E">
        <w:rPr>
          <w:rFonts w:ascii="Verdana" w:hAnsi="Verdana"/>
          <w:bCs/>
          <w:sz w:val="18"/>
          <w:szCs w:val="18"/>
        </w:rPr>
        <w:t>Deze cijfers passen ook bij het beeld van een veranderde trend waarbij het totaal aantal ingeschreven zelfstandigen stabiliseert</w:t>
      </w:r>
      <w:r w:rsidRPr="00C5308E">
        <w:rPr>
          <w:rStyle w:val="Voetnootmarkering"/>
          <w:rFonts w:ascii="Verdana" w:hAnsi="Verdana"/>
          <w:bCs/>
          <w:sz w:val="18"/>
          <w:szCs w:val="18"/>
        </w:rPr>
        <w:footnoteReference w:id="34"/>
      </w:r>
      <w:r w:rsidRPr="00C5308E">
        <w:rPr>
          <w:rFonts w:ascii="Verdana" w:hAnsi="Verdana"/>
          <w:bCs/>
          <w:sz w:val="18"/>
          <w:szCs w:val="18"/>
        </w:rPr>
        <w:t xml:space="preserve"> en het CBS voor het eerst sinds lange tijd een jaar op jaar daling van het aantal zzp’ers meet</w:t>
      </w:r>
      <w:r w:rsidRPr="00C5308E" w:rsidR="00A64929">
        <w:rPr>
          <w:rFonts w:ascii="Verdana" w:hAnsi="Verdana"/>
          <w:bCs/>
          <w:sz w:val="18"/>
          <w:szCs w:val="18"/>
        </w:rPr>
        <w:t>.</w:t>
      </w:r>
      <w:r w:rsidRPr="00C5308E">
        <w:rPr>
          <w:rStyle w:val="Voetnootmarkering"/>
          <w:rFonts w:ascii="Verdana" w:hAnsi="Verdana"/>
          <w:bCs/>
          <w:sz w:val="18"/>
          <w:szCs w:val="18"/>
        </w:rPr>
        <w:footnoteReference w:id="35"/>
      </w:r>
      <w:r w:rsidRPr="00C5308E">
        <w:rPr>
          <w:rFonts w:ascii="Verdana" w:hAnsi="Verdana"/>
          <w:bCs/>
          <w:sz w:val="18"/>
          <w:szCs w:val="18"/>
        </w:rPr>
        <w:t xml:space="preserve"> </w:t>
      </w:r>
    </w:p>
    <w:p w:rsidRPr="00C5308E" w:rsidR="003A3DFD" w:rsidP="00D87753" w:rsidRDefault="003A3DFD" w14:paraId="1D9FF1EC" w14:textId="77777777">
      <w:pPr>
        <w:spacing w:after="0" w:line="240" w:lineRule="auto"/>
        <w:contextualSpacing/>
        <w:rPr>
          <w:rFonts w:ascii="Verdana" w:hAnsi="Verdana"/>
          <w:bCs/>
          <w:sz w:val="18"/>
          <w:szCs w:val="18"/>
        </w:rPr>
      </w:pPr>
    </w:p>
    <w:p w:rsidRPr="00C5308E" w:rsidR="003A3DFD" w:rsidP="00D87753" w:rsidRDefault="003A3DFD" w14:paraId="1C10BC7C" w14:textId="77777777">
      <w:pPr>
        <w:spacing w:after="0" w:line="240" w:lineRule="auto"/>
        <w:contextualSpacing/>
        <w:rPr>
          <w:rFonts w:ascii="Verdana" w:hAnsi="Verdana"/>
          <w:bCs/>
          <w:sz w:val="18"/>
          <w:szCs w:val="18"/>
        </w:rPr>
      </w:pPr>
      <w:r w:rsidRPr="00C5308E">
        <w:rPr>
          <w:rFonts w:ascii="Verdana" w:hAnsi="Verdana"/>
          <w:bCs/>
          <w:sz w:val="18"/>
          <w:szCs w:val="18"/>
        </w:rPr>
        <w:t>Wij zien veel voorbeelden van organisaties die serieus, voortvarend en effectief aan de slag gegaan zijn met het thema schijnzelfstandigheid. Zo zijn er organisaties in bijvoorbeeld de zorg, het onderwijs en de kinderopvang die werkenden – die eerder mogelijk als schijnzelfstandige aan de slag waren – hebben overtuigd om in loondienst te komen. Door zelfroostering, aandacht voor een goede werk- en privébalans en flexpools wordt ingespeeld op de behoefte aan flexibiliteit die bij veel werkenden leeft. Ook zijn er organisaties die actief bezig zijn om de manier van werken aan te passen, zodat duidelijk is wanneer een opdracht door een zelfstandige ingevuld kan worden.</w:t>
      </w:r>
    </w:p>
    <w:p w:rsidRPr="00C5308E" w:rsidR="007D707D" w:rsidP="00D87753" w:rsidRDefault="007D707D" w14:paraId="32948650" w14:textId="77777777">
      <w:pPr>
        <w:spacing w:after="0" w:line="240" w:lineRule="auto"/>
        <w:contextualSpacing/>
        <w:rPr>
          <w:rFonts w:ascii="Verdana" w:hAnsi="Verdana"/>
          <w:bCs/>
          <w:sz w:val="18"/>
          <w:szCs w:val="18"/>
          <w:u w:val="single"/>
        </w:rPr>
      </w:pPr>
    </w:p>
    <w:p w:rsidRPr="00C5308E" w:rsidR="00894A8A" w:rsidP="00D87753" w:rsidRDefault="00894A8A" w14:paraId="59B3E3D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51</w:t>
      </w:r>
    </w:p>
    <w:p w:rsidRPr="00C5308E" w:rsidR="00894A8A" w:rsidP="00D87753" w:rsidRDefault="00894A8A" w14:paraId="65388CB0" w14:textId="77777777">
      <w:pPr>
        <w:spacing w:after="0" w:line="240" w:lineRule="auto"/>
        <w:contextualSpacing/>
        <w:rPr>
          <w:rFonts w:ascii="Verdana" w:hAnsi="Verdana"/>
          <w:bCs/>
          <w:sz w:val="18"/>
          <w:szCs w:val="18"/>
        </w:rPr>
      </w:pPr>
      <w:r w:rsidRPr="00C5308E">
        <w:rPr>
          <w:rFonts w:ascii="Verdana" w:hAnsi="Verdana"/>
          <w:bCs/>
          <w:sz w:val="18"/>
          <w:szCs w:val="18"/>
        </w:rPr>
        <w:t>Welke sectoren ervaren de grootste problemen (uitval diensten, wachttijden, kwaliteit) door verminderde inzet van zzp’ers?</w:t>
      </w:r>
    </w:p>
    <w:p w:rsidRPr="00C5308E" w:rsidR="00894A8A" w:rsidP="00D87753" w:rsidRDefault="00894A8A" w14:paraId="457A371F" w14:textId="77777777">
      <w:pPr>
        <w:spacing w:after="0" w:line="240" w:lineRule="auto"/>
        <w:contextualSpacing/>
        <w:rPr>
          <w:rFonts w:ascii="Verdana" w:hAnsi="Verdana"/>
          <w:bCs/>
          <w:sz w:val="18"/>
          <w:szCs w:val="18"/>
        </w:rPr>
      </w:pPr>
    </w:p>
    <w:p w:rsidRPr="00C5308E" w:rsidR="00894A8A" w:rsidP="00D87753" w:rsidRDefault="00894A8A" w14:paraId="7CA16B6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51</w:t>
      </w:r>
    </w:p>
    <w:p w:rsidRPr="00C5308E" w:rsidR="00894A8A" w:rsidP="00D87753" w:rsidRDefault="00894A8A" w14:paraId="57A2A277" w14:textId="54728B43">
      <w:pPr>
        <w:spacing w:after="0" w:line="240" w:lineRule="auto"/>
        <w:contextualSpacing/>
        <w:rPr>
          <w:rFonts w:ascii="Verdana" w:hAnsi="Verdana"/>
          <w:bCs/>
          <w:sz w:val="18"/>
          <w:szCs w:val="18"/>
        </w:rPr>
      </w:pPr>
      <w:r w:rsidRPr="00C5308E">
        <w:rPr>
          <w:rFonts w:ascii="Verdana" w:hAnsi="Verdana"/>
          <w:bCs/>
          <w:sz w:val="18"/>
          <w:szCs w:val="18"/>
        </w:rPr>
        <w:t>Uit onderzoek van Ipsos I&amp;O blijkt dat 32% van de zzp’ers en 39% van de werkgevers denkt dat er arbeidstekorten zullen ontstaan door de handhaving. Zzp’ers actief in de primaire sector</w:t>
      </w:r>
      <w:r w:rsidRPr="00C5308E">
        <w:rPr>
          <w:rStyle w:val="Voetnootmarkering"/>
          <w:rFonts w:ascii="Verdana" w:hAnsi="Verdana"/>
          <w:bCs/>
          <w:sz w:val="18"/>
          <w:szCs w:val="18"/>
        </w:rPr>
        <w:footnoteReference w:id="36"/>
      </w:r>
      <w:r w:rsidRPr="00C5308E">
        <w:rPr>
          <w:rFonts w:ascii="Verdana" w:hAnsi="Verdana"/>
          <w:bCs/>
          <w:sz w:val="18"/>
          <w:szCs w:val="18"/>
        </w:rPr>
        <w:t xml:space="preserve"> en </w:t>
      </w:r>
      <w:r w:rsidRPr="00C5308E">
        <w:rPr>
          <w:rFonts w:ascii="Verdana" w:hAnsi="Verdana"/>
          <w:bCs/>
          <w:sz w:val="18"/>
          <w:szCs w:val="18"/>
        </w:rPr>
        <w:lastRenderedPageBreak/>
        <w:t>zzp’ers en organisaties in het onderwijs, de zorg en kinderopvang verwachten vaker personeelstekorten dan zzp’ers en organisaties in andere sectoren</w:t>
      </w:r>
      <w:r w:rsidRPr="00C5308E" w:rsidR="00A64929">
        <w:rPr>
          <w:rFonts w:ascii="Verdana" w:hAnsi="Verdana"/>
          <w:bCs/>
          <w:sz w:val="18"/>
          <w:szCs w:val="18"/>
        </w:rPr>
        <w:t>.</w:t>
      </w:r>
      <w:r w:rsidRPr="00C5308E">
        <w:rPr>
          <w:rStyle w:val="Voetnootmarkering"/>
          <w:rFonts w:ascii="Verdana" w:hAnsi="Verdana"/>
          <w:bCs/>
          <w:sz w:val="18"/>
          <w:szCs w:val="18"/>
        </w:rPr>
        <w:footnoteReference w:id="37"/>
      </w:r>
    </w:p>
    <w:p w:rsidRPr="00C5308E" w:rsidR="007D707D" w:rsidP="00D87753" w:rsidRDefault="007D707D" w14:paraId="101A9D3D" w14:textId="77777777">
      <w:pPr>
        <w:spacing w:after="0" w:line="240" w:lineRule="auto"/>
        <w:contextualSpacing/>
        <w:rPr>
          <w:rFonts w:ascii="Verdana" w:hAnsi="Verdana"/>
          <w:bCs/>
          <w:sz w:val="18"/>
          <w:szCs w:val="18"/>
        </w:rPr>
      </w:pPr>
    </w:p>
    <w:p w:rsidRPr="00C5308E" w:rsidR="00527AB7" w:rsidP="00D87753" w:rsidRDefault="00527AB7" w14:paraId="195A06B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52</w:t>
      </w:r>
    </w:p>
    <w:p w:rsidRPr="00C5308E" w:rsidR="00527AB7" w:rsidP="00D87753" w:rsidRDefault="00527AB7" w14:paraId="2DC063D6" w14:textId="77777777">
      <w:pPr>
        <w:spacing w:after="0" w:line="240" w:lineRule="auto"/>
        <w:contextualSpacing/>
        <w:rPr>
          <w:rFonts w:ascii="Verdana" w:hAnsi="Verdana"/>
          <w:bCs/>
          <w:sz w:val="18"/>
          <w:szCs w:val="18"/>
        </w:rPr>
      </w:pPr>
      <w:r w:rsidRPr="00C5308E">
        <w:rPr>
          <w:rFonts w:ascii="Verdana" w:hAnsi="Verdana"/>
          <w:bCs/>
          <w:sz w:val="18"/>
          <w:szCs w:val="18"/>
        </w:rPr>
        <w:t>Kunt u toezeggen dat onderbouwing conform de werkwijze Beleidskeuzes 12 uitgelegd (CW3.1) voor 2025 voor het verbeteren van de werking van loonkostensubsidie bij Beschut Werk nog tijdens de behandeling van deze suppletoire begroting naar de Kamer wordt gestuurd, zodat de Kamer haar budgetrecht goed geïnformeerd kan uitoefenen?</w:t>
      </w:r>
    </w:p>
    <w:p w:rsidRPr="00C5308E" w:rsidR="00527AB7" w:rsidP="00D87753" w:rsidRDefault="00527AB7" w14:paraId="48C2DBEA" w14:textId="77777777">
      <w:pPr>
        <w:spacing w:after="0" w:line="240" w:lineRule="auto"/>
        <w:contextualSpacing/>
        <w:rPr>
          <w:rFonts w:ascii="Verdana" w:hAnsi="Verdana"/>
          <w:bCs/>
          <w:sz w:val="18"/>
          <w:szCs w:val="18"/>
        </w:rPr>
      </w:pPr>
    </w:p>
    <w:p w:rsidRPr="00C5308E" w:rsidR="00527AB7" w:rsidP="00D87753" w:rsidRDefault="00527AB7" w14:paraId="767B6B4F" w14:textId="6BD3466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52</w:t>
      </w:r>
    </w:p>
    <w:p w:rsidRPr="00C5308E" w:rsidR="00527AB7" w:rsidP="00D87753" w:rsidRDefault="00527AB7" w14:paraId="77D0A497" w14:textId="2E5A00CA">
      <w:pPr>
        <w:spacing w:line="240" w:lineRule="auto"/>
        <w:contextualSpacing/>
        <w:rPr>
          <w:rFonts w:ascii="Verdana" w:hAnsi="Verdana" w:cs="Times New Roman"/>
          <w:bCs/>
          <w:color w:val="000000"/>
          <w:sz w:val="18"/>
          <w:szCs w:val="18"/>
          <w:lang w:eastAsia="nl-NL"/>
        </w:rPr>
      </w:pPr>
      <w:r w:rsidRPr="00C5308E">
        <w:rPr>
          <w:rFonts w:ascii="Verdana" w:hAnsi="Verdana" w:cs="Times New Roman"/>
          <w:bCs/>
          <w:color w:val="000000"/>
          <w:sz w:val="18"/>
          <w:szCs w:val="18"/>
          <w:lang w:eastAsia="nl-NL"/>
        </w:rPr>
        <w:t xml:space="preserve">In bijgevoegde bijlage </w:t>
      </w:r>
      <w:r w:rsidR="00967758">
        <w:rPr>
          <w:rFonts w:ascii="Verdana" w:hAnsi="Verdana" w:cs="Times New Roman"/>
          <w:bCs/>
          <w:color w:val="000000"/>
          <w:sz w:val="18"/>
          <w:szCs w:val="18"/>
          <w:lang w:eastAsia="nl-NL"/>
        </w:rPr>
        <w:t xml:space="preserve">(“Bijlag 2 </w:t>
      </w:r>
      <w:r w:rsidRPr="00967758" w:rsidR="00967758">
        <w:rPr>
          <w:rFonts w:ascii="Verdana" w:hAnsi="Verdana" w:cs="Times New Roman"/>
          <w:bCs/>
          <w:color w:val="000000"/>
          <w:sz w:val="18"/>
          <w:szCs w:val="18"/>
          <w:lang w:eastAsia="nl-NL"/>
        </w:rPr>
        <w:t>Aanvulling antwoord op Kamervraag 52 1e suppletoire begroting SZW 2025</w:t>
      </w:r>
      <w:r w:rsidR="00967758">
        <w:rPr>
          <w:rFonts w:ascii="Verdana" w:hAnsi="Verdana" w:cs="Times New Roman"/>
          <w:bCs/>
          <w:color w:val="000000"/>
          <w:sz w:val="18"/>
          <w:szCs w:val="18"/>
          <w:lang w:eastAsia="nl-NL"/>
        </w:rPr>
        <w:t xml:space="preserve">”) </w:t>
      </w:r>
      <w:r w:rsidRPr="00C5308E">
        <w:rPr>
          <w:rFonts w:ascii="Verdana" w:hAnsi="Verdana" w:cs="Times New Roman"/>
          <w:bCs/>
          <w:color w:val="000000"/>
          <w:sz w:val="18"/>
          <w:szCs w:val="18"/>
          <w:lang w:eastAsia="nl-NL"/>
        </w:rPr>
        <w:t>ontvangt u de door u gevraagde onderbouwing van de doeltreffendheid, doelmatigheid en evaluatie.</w:t>
      </w:r>
    </w:p>
    <w:p w:rsidRPr="00C5308E" w:rsidR="00FC491B" w:rsidP="00FC491B" w:rsidRDefault="00FC491B" w14:paraId="780CB80B" w14:textId="77777777">
      <w:pPr>
        <w:spacing w:after="0" w:line="240" w:lineRule="auto"/>
        <w:rPr>
          <w:rFonts w:ascii="Verdana" w:hAnsi="Verdana"/>
          <w:bCs/>
          <w:sz w:val="18"/>
          <w:szCs w:val="18"/>
          <w:u w:val="single"/>
        </w:rPr>
      </w:pPr>
    </w:p>
    <w:p w:rsidRPr="00C5308E" w:rsidR="00FC491B" w:rsidP="00FC491B" w:rsidRDefault="00FC491B" w14:paraId="07994A82" w14:textId="47252BC3">
      <w:pPr>
        <w:spacing w:after="0" w:line="240" w:lineRule="auto"/>
        <w:rPr>
          <w:rFonts w:ascii="Verdana" w:hAnsi="Verdana"/>
          <w:bCs/>
          <w:sz w:val="18"/>
          <w:szCs w:val="18"/>
          <w:u w:val="single"/>
        </w:rPr>
      </w:pPr>
      <w:r w:rsidRPr="00C5308E">
        <w:rPr>
          <w:rFonts w:ascii="Verdana" w:hAnsi="Verdana"/>
          <w:bCs/>
          <w:sz w:val="18"/>
          <w:szCs w:val="18"/>
          <w:u w:val="single"/>
        </w:rPr>
        <w:t>Vraag 53</w:t>
      </w:r>
    </w:p>
    <w:p w:rsidRPr="00C5308E" w:rsidR="00FC491B" w:rsidP="00FC491B" w:rsidRDefault="00FC491B" w14:paraId="1ECC016B" w14:textId="77777777">
      <w:pPr>
        <w:spacing w:after="0" w:line="240" w:lineRule="auto"/>
        <w:rPr>
          <w:rFonts w:ascii="Verdana" w:hAnsi="Verdana"/>
          <w:bCs/>
          <w:sz w:val="18"/>
          <w:szCs w:val="18"/>
        </w:rPr>
      </w:pPr>
      <w:r w:rsidRPr="00C5308E">
        <w:rPr>
          <w:rFonts w:ascii="Verdana" w:hAnsi="Verdana"/>
          <w:bCs/>
          <w:sz w:val="18"/>
          <w:szCs w:val="18"/>
        </w:rPr>
        <w:t>Verwacht u dat de middelen gereserveerd voor de Onafhankelijke Commissie Toekomst Arbeidsongeschiktheidsstelsel (OCTAS)-besluitvorming per volgend jaar gelijk kunnen worden besteed? Zo ja, waaraan?</w:t>
      </w:r>
    </w:p>
    <w:p w:rsidRPr="00C5308E" w:rsidR="00FC491B" w:rsidP="00FC491B" w:rsidRDefault="00FC491B" w14:paraId="135F3573" w14:textId="77777777">
      <w:pPr>
        <w:spacing w:after="0" w:line="240" w:lineRule="auto"/>
        <w:rPr>
          <w:rFonts w:ascii="Verdana" w:hAnsi="Verdana"/>
          <w:bCs/>
          <w:sz w:val="18"/>
          <w:szCs w:val="18"/>
        </w:rPr>
      </w:pPr>
    </w:p>
    <w:p w:rsidRPr="00C5308E" w:rsidR="00FC491B" w:rsidP="00FC491B" w:rsidRDefault="00FC491B" w14:paraId="46922C82" w14:textId="77777777">
      <w:pPr>
        <w:spacing w:after="0" w:line="240" w:lineRule="auto"/>
        <w:rPr>
          <w:rFonts w:ascii="Verdana" w:hAnsi="Verdana"/>
          <w:bCs/>
          <w:sz w:val="18"/>
          <w:szCs w:val="18"/>
          <w:u w:val="single"/>
        </w:rPr>
      </w:pPr>
      <w:r w:rsidRPr="00C5308E">
        <w:rPr>
          <w:rFonts w:ascii="Verdana" w:hAnsi="Verdana"/>
          <w:bCs/>
          <w:sz w:val="18"/>
          <w:szCs w:val="18"/>
          <w:u w:val="single"/>
        </w:rPr>
        <w:t>Antwoord 53</w:t>
      </w:r>
    </w:p>
    <w:p w:rsidRPr="00C5308E" w:rsidR="00FC491B" w:rsidP="00FC491B" w:rsidRDefault="00FC491B" w14:paraId="70C245C0" w14:textId="77777777">
      <w:pPr>
        <w:spacing w:after="0" w:line="240" w:lineRule="auto"/>
        <w:rPr>
          <w:rFonts w:ascii="Verdana" w:hAnsi="Verdana"/>
          <w:bCs/>
          <w:sz w:val="18"/>
          <w:szCs w:val="18"/>
        </w:rPr>
      </w:pPr>
      <w:r w:rsidRPr="00C5308E">
        <w:rPr>
          <w:rFonts w:ascii="Verdana" w:hAnsi="Verdana"/>
          <w:bCs/>
          <w:sz w:val="18"/>
          <w:szCs w:val="18"/>
        </w:rPr>
        <w:t xml:space="preserve">Het kabinet heeft bij de voorjaarsnota € 197 miljoen structureel vrijgemaakt voor structurele verbeteringen van het arbeidsongeschiktheidsstelsel. Dit is gebaseerd op beleidsmaatregelen waar de Tweede Kamer via een kamerbrief binnenkort nader over wordt geïnformeerd. In deze kamerbrief wordt meer inzicht gegeven in de besteding van de gereserveerde middelen. </w:t>
      </w:r>
    </w:p>
    <w:p w:rsidRPr="00C5308E" w:rsidR="00FC491B" w:rsidP="00D87753" w:rsidRDefault="00FC491B" w14:paraId="36842C03" w14:textId="77777777">
      <w:pPr>
        <w:spacing w:line="240" w:lineRule="auto"/>
        <w:contextualSpacing/>
        <w:rPr>
          <w:rFonts w:ascii="Verdana" w:hAnsi="Verdana" w:cs="Times New Roman"/>
          <w:bCs/>
          <w:color w:val="000000"/>
          <w:sz w:val="18"/>
          <w:szCs w:val="18"/>
          <w:lang w:eastAsia="nl-NL"/>
        </w:rPr>
      </w:pPr>
    </w:p>
    <w:p w:rsidRPr="00C5308E" w:rsidR="009E40FF" w:rsidP="00D87753" w:rsidRDefault="009E40FF" w14:paraId="774F916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54</w:t>
      </w:r>
    </w:p>
    <w:p w:rsidRPr="00C5308E" w:rsidR="009E40FF" w:rsidP="00D87753" w:rsidRDefault="009E40FF" w14:paraId="428AED98" w14:textId="77777777">
      <w:pPr>
        <w:spacing w:after="0" w:line="240" w:lineRule="auto"/>
        <w:contextualSpacing/>
        <w:rPr>
          <w:rFonts w:ascii="Verdana" w:hAnsi="Verdana"/>
          <w:bCs/>
          <w:sz w:val="18"/>
          <w:szCs w:val="18"/>
        </w:rPr>
      </w:pPr>
      <w:r w:rsidRPr="00C5308E">
        <w:rPr>
          <w:rFonts w:ascii="Verdana" w:hAnsi="Verdana"/>
          <w:bCs/>
          <w:sz w:val="18"/>
          <w:szCs w:val="18"/>
        </w:rPr>
        <w:t>Hoeveel huishoudens verliezen hun recht op zorgtoeslag door het verlagen van de vermogensgrenzen per 2027?</w:t>
      </w:r>
    </w:p>
    <w:p w:rsidRPr="00C5308E" w:rsidR="009E40FF" w:rsidP="00D87753" w:rsidRDefault="009E40FF" w14:paraId="66C9C8BE" w14:textId="77777777">
      <w:pPr>
        <w:spacing w:after="0" w:line="240" w:lineRule="auto"/>
        <w:contextualSpacing/>
        <w:rPr>
          <w:rFonts w:ascii="Verdana" w:hAnsi="Verdana"/>
          <w:bCs/>
          <w:sz w:val="18"/>
          <w:szCs w:val="18"/>
        </w:rPr>
      </w:pPr>
    </w:p>
    <w:p w:rsidRPr="00C5308E" w:rsidR="009E40FF" w:rsidP="00D87753" w:rsidRDefault="009E40FF" w14:paraId="662709C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54</w:t>
      </w:r>
    </w:p>
    <w:p w:rsidRPr="00C5308E" w:rsidR="009E40FF" w:rsidP="00D87753" w:rsidRDefault="009E40FF" w14:paraId="02AEC83A" w14:textId="77777777">
      <w:pPr>
        <w:spacing w:after="0" w:line="240" w:lineRule="auto"/>
        <w:contextualSpacing/>
        <w:rPr>
          <w:rFonts w:ascii="Verdana" w:hAnsi="Verdana"/>
          <w:bCs/>
          <w:sz w:val="18"/>
          <w:szCs w:val="18"/>
        </w:rPr>
      </w:pPr>
      <w:r w:rsidRPr="00C5308E">
        <w:rPr>
          <w:rFonts w:ascii="Verdana" w:hAnsi="Verdana"/>
          <w:bCs/>
          <w:sz w:val="18"/>
          <w:szCs w:val="18"/>
        </w:rPr>
        <w:t>Ongeveer 43.000 huishoudens verliezen hun recht op zorgtoeslag door verlaging van de vermogensgrens per 2027.</w:t>
      </w:r>
    </w:p>
    <w:p w:rsidRPr="00C5308E" w:rsidR="00527AB7" w:rsidP="00D87753" w:rsidRDefault="00527AB7" w14:paraId="1A6BF688" w14:textId="77777777">
      <w:pPr>
        <w:spacing w:after="0" w:line="240" w:lineRule="auto"/>
        <w:contextualSpacing/>
        <w:rPr>
          <w:rFonts w:ascii="Verdana" w:hAnsi="Verdana"/>
          <w:bCs/>
          <w:sz w:val="18"/>
          <w:szCs w:val="18"/>
        </w:rPr>
      </w:pPr>
    </w:p>
    <w:p w:rsidRPr="00C5308E" w:rsidR="00173FB1" w:rsidP="00D87753" w:rsidRDefault="00173FB1" w14:paraId="1A347BB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55</w:t>
      </w:r>
    </w:p>
    <w:p w:rsidRPr="00C5308E" w:rsidR="00173FB1" w:rsidP="00D87753" w:rsidRDefault="00173FB1" w14:paraId="6A7AC0DE" w14:textId="77777777">
      <w:pPr>
        <w:spacing w:after="0" w:line="240" w:lineRule="auto"/>
        <w:contextualSpacing/>
        <w:rPr>
          <w:rFonts w:ascii="Verdana" w:hAnsi="Verdana"/>
          <w:bCs/>
          <w:sz w:val="18"/>
          <w:szCs w:val="18"/>
        </w:rPr>
      </w:pPr>
      <w:r w:rsidRPr="00C5308E">
        <w:rPr>
          <w:rFonts w:ascii="Verdana" w:hAnsi="Verdana"/>
          <w:bCs/>
          <w:sz w:val="18"/>
          <w:szCs w:val="18"/>
        </w:rPr>
        <w:t>Op welke wijze wordt de taakstelling uit het Hoofdlijnenakkoord (HLA) op de Nederlandse Arbeidsinspectie (NLA), Uitvoeringsinstituut Werknemersverzekeringen (UWV) en de Sociale Verzekeringsbank (SVB) ingevuld in 2025 en verder?</w:t>
      </w:r>
    </w:p>
    <w:p w:rsidRPr="00C5308E" w:rsidR="00173FB1" w:rsidP="00D87753" w:rsidRDefault="00173FB1" w14:paraId="0245F6FE" w14:textId="77777777">
      <w:pPr>
        <w:spacing w:after="0" w:line="240" w:lineRule="auto"/>
        <w:contextualSpacing/>
        <w:rPr>
          <w:rFonts w:ascii="Verdana" w:hAnsi="Verdana"/>
          <w:bCs/>
          <w:sz w:val="18"/>
          <w:szCs w:val="18"/>
          <w:u w:val="single"/>
        </w:rPr>
      </w:pPr>
    </w:p>
    <w:p w:rsidRPr="00C5308E" w:rsidR="00173FB1" w:rsidP="00D87753" w:rsidRDefault="00173FB1" w14:paraId="512128C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55</w:t>
      </w:r>
    </w:p>
    <w:p w:rsidRPr="00C5308E" w:rsidR="00173FB1" w:rsidP="00D87753" w:rsidRDefault="00173FB1" w14:paraId="0026C846" w14:textId="238D78F8">
      <w:pPr>
        <w:spacing w:after="0" w:line="240" w:lineRule="auto"/>
        <w:contextualSpacing/>
        <w:rPr>
          <w:rFonts w:ascii="Verdana" w:hAnsi="Verdana"/>
          <w:bCs/>
          <w:sz w:val="18"/>
          <w:szCs w:val="18"/>
        </w:rPr>
      </w:pPr>
      <w:r w:rsidRPr="00C5308E">
        <w:rPr>
          <w:rFonts w:ascii="Verdana" w:hAnsi="Verdana"/>
          <w:bCs/>
          <w:sz w:val="18"/>
          <w:szCs w:val="18"/>
        </w:rPr>
        <w:t xml:space="preserve">De NLA, UWV en SVB zijn bereid gevonden een bijdrage te leveren aan de taakstelling van cumulatief 0,5% per jaar vanaf 2026, oplopend naar 2% in 2029 en structureel. Dit komt neer op € 4 miljoen voor NLA, € 49 miljoen voor UWV en € 7 miljoen voor SVB. Voor de NLA betreft het een financiële invulling. Over de invulling van de taakstelling bij UWV en de SVB is de minister van SZW met UWV en de SVB in gesprek. Hierbij wordt nadrukkelijk ook gekeken naar vereenvoudiging van wet- en regelgeving, </w:t>
      </w:r>
      <w:r w:rsidR="009D7D7E">
        <w:rPr>
          <w:rFonts w:ascii="Verdana" w:hAnsi="Verdana"/>
          <w:bCs/>
          <w:sz w:val="18"/>
          <w:szCs w:val="18"/>
        </w:rPr>
        <w:t>maar ook naar besparingen in bijvoorbeeld de bedrijfsvoering.</w:t>
      </w:r>
    </w:p>
    <w:p w:rsidRPr="00C5308E" w:rsidR="007D707D" w:rsidP="00D87753" w:rsidRDefault="007D707D" w14:paraId="6DCA8FE9" w14:textId="77777777">
      <w:pPr>
        <w:spacing w:after="0" w:line="240" w:lineRule="auto"/>
        <w:contextualSpacing/>
        <w:rPr>
          <w:rFonts w:ascii="Verdana" w:hAnsi="Verdana"/>
          <w:bCs/>
          <w:sz w:val="18"/>
          <w:szCs w:val="18"/>
          <w:u w:val="single"/>
        </w:rPr>
      </w:pPr>
    </w:p>
    <w:p w:rsidRPr="00C5308E" w:rsidR="00173FB1" w:rsidP="00D87753" w:rsidRDefault="00173FB1" w14:paraId="285E1D0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56</w:t>
      </w:r>
    </w:p>
    <w:p w:rsidRPr="00C5308E" w:rsidR="00173FB1" w:rsidP="00D87753" w:rsidRDefault="00173FB1" w14:paraId="3D8C31CB" w14:textId="77777777">
      <w:pPr>
        <w:spacing w:after="0" w:line="240" w:lineRule="auto"/>
        <w:contextualSpacing/>
        <w:rPr>
          <w:rFonts w:ascii="Verdana" w:hAnsi="Verdana"/>
          <w:bCs/>
          <w:sz w:val="18"/>
          <w:szCs w:val="18"/>
        </w:rPr>
      </w:pPr>
      <w:r w:rsidRPr="00C5308E">
        <w:rPr>
          <w:rFonts w:ascii="Verdana" w:hAnsi="Verdana"/>
          <w:bCs/>
          <w:sz w:val="18"/>
          <w:szCs w:val="18"/>
        </w:rPr>
        <w:t>In antwoord 32 op vragen over de tweede suppletoire begroting 2024 (36625-XV, nr. 3) wordt aangegeven dat er voor invulling van de taakstelling bij UWV vanaf 2026 wordt gezocht naar vereenvoudiging van wet- en regelgeving en taakaanpassing, welke stappen zijn daar intussen op ondernomen?</w:t>
      </w:r>
    </w:p>
    <w:p w:rsidRPr="00C5308E" w:rsidR="00173FB1" w:rsidP="00D87753" w:rsidRDefault="00173FB1" w14:paraId="465EFE94" w14:textId="77777777">
      <w:pPr>
        <w:spacing w:after="0" w:line="240" w:lineRule="auto"/>
        <w:contextualSpacing/>
        <w:rPr>
          <w:rFonts w:ascii="Verdana" w:hAnsi="Verdana"/>
          <w:bCs/>
          <w:sz w:val="18"/>
          <w:szCs w:val="18"/>
          <w:u w:val="single"/>
        </w:rPr>
      </w:pPr>
    </w:p>
    <w:p w:rsidRPr="00C5308E" w:rsidR="00173FB1" w:rsidP="00D87753" w:rsidRDefault="00173FB1" w14:paraId="455958B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56</w:t>
      </w:r>
    </w:p>
    <w:p w:rsidR="00173FB1" w:rsidP="00D87753" w:rsidRDefault="00173FB1" w14:paraId="0FAC71D8" w14:textId="3DEEA129">
      <w:pPr>
        <w:spacing w:after="0" w:line="240" w:lineRule="auto"/>
        <w:contextualSpacing/>
        <w:rPr>
          <w:rFonts w:ascii="Verdana" w:hAnsi="Verdana"/>
          <w:bCs/>
          <w:sz w:val="18"/>
          <w:szCs w:val="18"/>
        </w:rPr>
      </w:pPr>
      <w:r w:rsidRPr="00C5308E">
        <w:rPr>
          <w:rFonts w:ascii="Verdana" w:hAnsi="Verdana"/>
          <w:bCs/>
          <w:sz w:val="18"/>
          <w:szCs w:val="18"/>
        </w:rPr>
        <w:t>SZW heeft regulier overleg met UWV over de bijdrage die vereenvoudiging van wet- en regelgeving kan leveren aan de invulling van de taakstelling bij UWV vanaf 2026, dit ter voorbereiding op het UWV</w:t>
      </w:r>
      <w:r w:rsidR="009E5C06">
        <w:rPr>
          <w:rFonts w:ascii="Verdana" w:hAnsi="Verdana"/>
          <w:bCs/>
          <w:sz w:val="18"/>
          <w:szCs w:val="18"/>
        </w:rPr>
        <w:t>-</w:t>
      </w:r>
      <w:r w:rsidRPr="00C5308E">
        <w:rPr>
          <w:rFonts w:ascii="Verdana" w:hAnsi="Verdana"/>
          <w:bCs/>
          <w:sz w:val="18"/>
          <w:szCs w:val="18"/>
        </w:rPr>
        <w:t>jaarplan 2026. Met het UWV</w:t>
      </w:r>
      <w:r w:rsidR="009E5C06">
        <w:rPr>
          <w:rFonts w:ascii="Verdana" w:hAnsi="Verdana"/>
          <w:bCs/>
          <w:sz w:val="18"/>
          <w:szCs w:val="18"/>
        </w:rPr>
        <w:t>-</w:t>
      </w:r>
      <w:r w:rsidRPr="00C5308E">
        <w:rPr>
          <w:rFonts w:ascii="Verdana" w:hAnsi="Verdana"/>
          <w:bCs/>
          <w:sz w:val="18"/>
          <w:szCs w:val="18"/>
        </w:rPr>
        <w:t>jaarplan 2026 moet duidelijk worden hoe de taakstelling voor 2026 zal worden ingevuld.</w:t>
      </w:r>
    </w:p>
    <w:p w:rsidR="00972542" w:rsidP="00D87753" w:rsidRDefault="00972542" w14:paraId="487F0495" w14:textId="77777777">
      <w:pPr>
        <w:spacing w:after="0" w:line="240" w:lineRule="auto"/>
        <w:contextualSpacing/>
        <w:rPr>
          <w:rFonts w:ascii="Verdana" w:hAnsi="Verdana"/>
          <w:bCs/>
          <w:sz w:val="18"/>
          <w:szCs w:val="18"/>
        </w:rPr>
      </w:pPr>
    </w:p>
    <w:p w:rsidR="00972542" w:rsidP="00D87753" w:rsidRDefault="00972542" w14:paraId="5D60F83F" w14:textId="77777777">
      <w:pPr>
        <w:spacing w:after="0" w:line="240" w:lineRule="auto"/>
        <w:contextualSpacing/>
        <w:rPr>
          <w:rFonts w:ascii="Verdana" w:hAnsi="Verdana"/>
          <w:bCs/>
          <w:sz w:val="18"/>
          <w:szCs w:val="18"/>
        </w:rPr>
      </w:pPr>
    </w:p>
    <w:p w:rsidRPr="00C5308E" w:rsidR="00972542" w:rsidP="00D87753" w:rsidRDefault="00972542" w14:paraId="34AE6642" w14:textId="77777777">
      <w:pPr>
        <w:spacing w:after="0" w:line="240" w:lineRule="auto"/>
        <w:contextualSpacing/>
        <w:rPr>
          <w:rFonts w:ascii="Verdana" w:hAnsi="Verdana"/>
          <w:bCs/>
          <w:sz w:val="18"/>
          <w:szCs w:val="18"/>
        </w:rPr>
      </w:pPr>
    </w:p>
    <w:p w:rsidRPr="00C5308E" w:rsidR="00173FB1" w:rsidP="00D87753" w:rsidRDefault="00173FB1" w14:paraId="65982264" w14:textId="77777777">
      <w:pPr>
        <w:spacing w:after="0" w:line="240" w:lineRule="auto"/>
        <w:contextualSpacing/>
        <w:rPr>
          <w:rFonts w:ascii="Verdana" w:hAnsi="Verdana"/>
          <w:bCs/>
          <w:sz w:val="18"/>
          <w:szCs w:val="18"/>
        </w:rPr>
      </w:pPr>
    </w:p>
    <w:p w:rsidRPr="00C5308E" w:rsidR="00173FB1" w:rsidP="00D87753" w:rsidRDefault="00173FB1" w14:paraId="70FCFDA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57</w:t>
      </w:r>
    </w:p>
    <w:p w:rsidRPr="00C5308E" w:rsidR="00173FB1" w:rsidP="00D87753" w:rsidRDefault="00173FB1" w14:paraId="349C0BBF" w14:textId="77777777">
      <w:pPr>
        <w:spacing w:after="0" w:line="240" w:lineRule="auto"/>
        <w:contextualSpacing/>
        <w:rPr>
          <w:rFonts w:ascii="Verdana" w:hAnsi="Verdana"/>
          <w:bCs/>
          <w:sz w:val="18"/>
          <w:szCs w:val="18"/>
        </w:rPr>
      </w:pPr>
      <w:r w:rsidRPr="00C5308E">
        <w:rPr>
          <w:rFonts w:ascii="Verdana" w:hAnsi="Verdana"/>
          <w:bCs/>
          <w:sz w:val="18"/>
          <w:szCs w:val="18"/>
        </w:rPr>
        <w:t>Wat zijn de gevolgen van de taakstellingen uit het HLA en amendement Bontenbal c.s. voor middelen die nu extra zijn toegevoegd voor de herstelactie en sociaal-medische beoordelingen bij UWV?</w:t>
      </w:r>
    </w:p>
    <w:p w:rsidRPr="00C5308E" w:rsidR="00173FB1" w:rsidP="00D87753" w:rsidRDefault="00173FB1" w14:paraId="617B5FA6" w14:textId="77777777">
      <w:pPr>
        <w:spacing w:after="0" w:line="240" w:lineRule="auto"/>
        <w:contextualSpacing/>
        <w:rPr>
          <w:rFonts w:ascii="Verdana" w:hAnsi="Verdana"/>
          <w:bCs/>
          <w:sz w:val="18"/>
          <w:szCs w:val="18"/>
          <w:u w:val="single"/>
        </w:rPr>
      </w:pPr>
    </w:p>
    <w:p w:rsidRPr="00C5308E" w:rsidR="00173FB1" w:rsidP="00D87753" w:rsidRDefault="00173FB1" w14:paraId="5511452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57</w:t>
      </w:r>
    </w:p>
    <w:p w:rsidRPr="00C5308E" w:rsidR="00173FB1" w:rsidP="00D87753" w:rsidRDefault="00173FB1" w14:paraId="12971847"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taakstellingen hebben geen directe gevolgen voor de middelen die UWV ontvangt voor de herstelactie en sociaal-medische beoordelingen. Over de invulling van de taakstellingen is de minister van SZW in gesprek met UWV, daarbij kan UWV ervoor kiezen om bepaalde organisatieonderdelen of processen te ontzien. </w:t>
      </w:r>
    </w:p>
    <w:p w:rsidR="00173FB1" w:rsidP="00D87753" w:rsidRDefault="00173FB1" w14:paraId="1325B359" w14:textId="77777777">
      <w:pPr>
        <w:spacing w:after="0" w:line="240" w:lineRule="auto"/>
        <w:contextualSpacing/>
        <w:rPr>
          <w:rFonts w:ascii="Verdana" w:hAnsi="Verdana"/>
          <w:bCs/>
          <w:sz w:val="18"/>
          <w:szCs w:val="18"/>
          <w:u w:val="single"/>
        </w:rPr>
      </w:pPr>
    </w:p>
    <w:p w:rsidRPr="00C5308E" w:rsidR="00FE7425" w:rsidP="00D87753" w:rsidRDefault="00FE7425" w14:paraId="7E762456" w14:textId="77777777">
      <w:pPr>
        <w:spacing w:after="0" w:line="240" w:lineRule="auto"/>
        <w:contextualSpacing/>
        <w:rPr>
          <w:rFonts w:ascii="Verdana" w:hAnsi="Verdana"/>
          <w:bCs/>
          <w:sz w:val="18"/>
          <w:szCs w:val="18"/>
          <w:u w:val="single"/>
        </w:rPr>
      </w:pPr>
    </w:p>
    <w:p w:rsidRPr="00C5308E" w:rsidR="00173FB1" w:rsidP="00D87753" w:rsidRDefault="00173FB1" w14:paraId="3C0F41A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58</w:t>
      </w:r>
    </w:p>
    <w:p w:rsidRPr="00C5308E" w:rsidR="00173FB1" w:rsidP="00D87753" w:rsidRDefault="00173FB1" w14:paraId="3056417E" w14:textId="24C3D0F4">
      <w:pPr>
        <w:spacing w:after="0" w:line="240" w:lineRule="auto"/>
        <w:contextualSpacing/>
        <w:rPr>
          <w:rFonts w:ascii="Verdana" w:hAnsi="Verdana"/>
          <w:bCs/>
          <w:sz w:val="18"/>
          <w:szCs w:val="18"/>
        </w:rPr>
      </w:pPr>
      <w:r w:rsidRPr="00C5308E">
        <w:rPr>
          <w:rFonts w:ascii="Verdana" w:hAnsi="Verdana"/>
          <w:bCs/>
          <w:sz w:val="18"/>
          <w:szCs w:val="18"/>
        </w:rPr>
        <w:t>De Voorjaarsnota meldt een eenmalige uitgave van € 8,5 miljard in 2026 voor het omzetten van defensiepensioenen naar kapitaalfinanciering, kunt u toelichten waarom deze uitgave niet expliciet als eenmalige correctie is opgenomen in de Economische en Monetaire Unie</w:t>
      </w:r>
      <w:r w:rsidR="009E5C06">
        <w:rPr>
          <w:rFonts w:ascii="Verdana" w:hAnsi="Verdana"/>
          <w:bCs/>
          <w:sz w:val="18"/>
          <w:szCs w:val="18"/>
        </w:rPr>
        <w:t xml:space="preserve"> </w:t>
      </w:r>
      <w:r w:rsidRPr="00C5308E">
        <w:rPr>
          <w:rFonts w:ascii="Verdana" w:hAnsi="Verdana"/>
          <w:bCs/>
          <w:sz w:val="18"/>
          <w:szCs w:val="18"/>
        </w:rPr>
        <w:t>(EMU)-saldoberekening, zoals bij de Voorjaarsnota 2024 wel werd aangekondigd?</w:t>
      </w:r>
    </w:p>
    <w:p w:rsidRPr="00C5308E" w:rsidR="00173FB1" w:rsidP="00D87753" w:rsidRDefault="00173FB1" w14:paraId="781B3D7C" w14:textId="77777777">
      <w:pPr>
        <w:spacing w:after="0" w:line="240" w:lineRule="auto"/>
        <w:contextualSpacing/>
        <w:rPr>
          <w:rFonts w:ascii="Verdana" w:hAnsi="Verdana"/>
          <w:bCs/>
          <w:sz w:val="18"/>
          <w:szCs w:val="18"/>
        </w:rPr>
      </w:pPr>
    </w:p>
    <w:p w:rsidRPr="00C5308E" w:rsidR="00173FB1" w:rsidP="00D87753" w:rsidRDefault="00173FB1" w14:paraId="4812BF8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58</w:t>
      </w:r>
    </w:p>
    <w:p w:rsidRPr="00C5308E" w:rsidR="00173FB1" w:rsidP="00D87753" w:rsidRDefault="00173FB1" w14:paraId="124A4CBA" w14:textId="472FC01B">
      <w:pPr>
        <w:spacing w:after="0" w:line="240" w:lineRule="auto"/>
        <w:contextualSpacing/>
        <w:rPr>
          <w:rFonts w:ascii="Verdana" w:hAnsi="Verdana"/>
          <w:bCs/>
          <w:sz w:val="18"/>
          <w:szCs w:val="18"/>
        </w:rPr>
      </w:pPr>
      <w:r w:rsidRPr="00C5308E">
        <w:rPr>
          <w:rFonts w:ascii="Verdana" w:hAnsi="Verdana"/>
          <w:bCs/>
          <w:sz w:val="18"/>
          <w:szCs w:val="18"/>
        </w:rPr>
        <w:t>Zoals aangegeven in de Voorjaarsnota 2024 leidt het affinancieren van de begrotingsgefinancierde militaire pensioenen tot een eenmalige kostenpost in 2026 die het EMU-saldo belast. Deze eenmalige affinancieringskosten zijn hiermee onderdeel van het basispad en hierdoor niet expliciet opnieuw toegelicht in de Voorjaarsnota 2025 voor wat betreft de EMU-saldoberekening. In de EMU-saldoberekening (tabel 21) zijn de eenmalige affinancieringskosten opgenomen in de categorie ‘Niet</w:t>
      </w:r>
      <w:r w:rsidR="008E5CA1">
        <w:rPr>
          <w:rFonts w:ascii="Verdana" w:hAnsi="Verdana"/>
          <w:bCs/>
          <w:sz w:val="18"/>
          <w:szCs w:val="18"/>
        </w:rPr>
        <w:t>-relevante rijksuitgaven, wel relevant voor het</w:t>
      </w:r>
      <w:r w:rsidRPr="00C5308E">
        <w:rPr>
          <w:rFonts w:ascii="Verdana" w:hAnsi="Verdana"/>
          <w:bCs/>
          <w:sz w:val="18"/>
          <w:szCs w:val="18"/>
        </w:rPr>
        <w:t xml:space="preserve"> EMU-saldo’. Deze uitgaven worden in tabel 22 expliciet uitgesplitst.</w:t>
      </w:r>
    </w:p>
    <w:p w:rsidRPr="00C5308E" w:rsidR="0052736B" w:rsidP="0052736B" w:rsidRDefault="0052736B" w14:paraId="2B83E059" w14:textId="6528D1D4">
      <w:pPr>
        <w:spacing w:after="0" w:line="240" w:lineRule="auto"/>
        <w:contextualSpacing/>
        <w:rPr>
          <w:rFonts w:ascii="Verdana" w:hAnsi="Verdana"/>
          <w:bCs/>
          <w:sz w:val="18"/>
          <w:szCs w:val="18"/>
        </w:rPr>
      </w:pPr>
      <w:r w:rsidRPr="00C5308E">
        <w:rPr>
          <w:rFonts w:ascii="Verdana" w:hAnsi="Verdana"/>
          <w:bCs/>
          <w:sz w:val="18"/>
          <w:szCs w:val="18"/>
        </w:rPr>
        <w:t xml:space="preserve">Deze vraag is door het ministerie van Financiën beantwoord, voor vervolgvragen verwijzen wij u graag naar </w:t>
      </w:r>
      <w:r w:rsidRPr="00C5308E" w:rsidR="00F52087">
        <w:rPr>
          <w:rFonts w:ascii="Verdana" w:hAnsi="Verdana"/>
          <w:bCs/>
          <w:sz w:val="18"/>
          <w:szCs w:val="18"/>
        </w:rPr>
        <w:t>de minister van Financiën</w:t>
      </w:r>
      <w:r w:rsidRPr="00C5308E">
        <w:rPr>
          <w:rFonts w:ascii="Verdana" w:hAnsi="Verdana"/>
          <w:bCs/>
          <w:sz w:val="18"/>
          <w:szCs w:val="18"/>
        </w:rPr>
        <w:t>.</w:t>
      </w:r>
    </w:p>
    <w:p w:rsidRPr="00C5308E" w:rsidR="00173FB1" w:rsidP="00D87753" w:rsidRDefault="00173FB1" w14:paraId="476E3544" w14:textId="77777777">
      <w:pPr>
        <w:spacing w:after="0" w:line="240" w:lineRule="auto"/>
        <w:contextualSpacing/>
        <w:rPr>
          <w:rFonts w:ascii="Verdana" w:hAnsi="Verdana"/>
          <w:bCs/>
          <w:sz w:val="18"/>
          <w:szCs w:val="18"/>
        </w:rPr>
      </w:pPr>
    </w:p>
    <w:p w:rsidRPr="00C5308E" w:rsidR="0046268F" w:rsidP="00D87753" w:rsidRDefault="0046268F" w14:paraId="398FC3E0" w14:textId="4C3A63AE">
      <w:pPr>
        <w:spacing w:after="0" w:line="240" w:lineRule="auto"/>
        <w:contextualSpacing/>
        <w:rPr>
          <w:rFonts w:ascii="Verdana" w:hAnsi="Verdana"/>
          <w:bCs/>
          <w:sz w:val="18"/>
          <w:szCs w:val="18"/>
          <w:u w:val="single"/>
        </w:rPr>
      </w:pPr>
      <w:r w:rsidRPr="00C5308E">
        <w:rPr>
          <w:rFonts w:ascii="Verdana" w:hAnsi="Verdana"/>
          <w:bCs/>
          <w:sz w:val="18"/>
          <w:szCs w:val="18"/>
          <w:u w:val="single"/>
        </w:rPr>
        <w:t>Vraag 59</w:t>
      </w:r>
    </w:p>
    <w:p w:rsidRPr="00C5308E" w:rsidR="0046268F" w:rsidP="00D87753" w:rsidRDefault="0046268F" w14:paraId="7F43F711" w14:textId="77777777">
      <w:pPr>
        <w:spacing w:line="240" w:lineRule="auto"/>
        <w:contextualSpacing/>
        <w:rPr>
          <w:rFonts w:ascii="Verdana" w:hAnsi="Verdana"/>
          <w:bCs/>
          <w:sz w:val="18"/>
          <w:szCs w:val="18"/>
        </w:rPr>
      </w:pPr>
      <w:r w:rsidRPr="00C5308E">
        <w:rPr>
          <w:rFonts w:ascii="Verdana" w:hAnsi="Verdana"/>
          <w:bCs/>
          <w:sz w:val="18"/>
          <w:szCs w:val="18"/>
        </w:rPr>
        <w:t xml:space="preserve">Gaat het bij het doel om kinderarmoede niet te laten toenemen ten opzichte van referentiejaar 2024 om het aantal kinderen of om het percentage kinderen in armoede? </w:t>
      </w:r>
    </w:p>
    <w:p w:rsidRPr="00C5308E" w:rsidR="0046268F" w:rsidP="00D87753" w:rsidRDefault="0046268F" w14:paraId="31F87AA7" w14:textId="77777777">
      <w:pPr>
        <w:spacing w:after="0" w:line="240" w:lineRule="auto"/>
        <w:contextualSpacing/>
        <w:rPr>
          <w:rFonts w:ascii="Verdana" w:hAnsi="Verdana"/>
          <w:bCs/>
          <w:sz w:val="18"/>
          <w:szCs w:val="18"/>
        </w:rPr>
      </w:pPr>
    </w:p>
    <w:p w:rsidRPr="00C5308E" w:rsidR="0046268F" w:rsidP="00D87753" w:rsidRDefault="0046268F" w14:paraId="24862060" w14:textId="13A29DA1">
      <w:pPr>
        <w:spacing w:after="0" w:line="240" w:lineRule="auto"/>
        <w:contextualSpacing/>
        <w:rPr>
          <w:rFonts w:ascii="Verdana" w:hAnsi="Verdana"/>
          <w:bCs/>
          <w:sz w:val="18"/>
          <w:szCs w:val="18"/>
          <w:u w:val="single"/>
        </w:rPr>
      </w:pPr>
      <w:r w:rsidRPr="00C5308E">
        <w:rPr>
          <w:rFonts w:ascii="Verdana" w:hAnsi="Verdana"/>
          <w:bCs/>
          <w:sz w:val="18"/>
          <w:szCs w:val="18"/>
          <w:u w:val="single"/>
        </w:rPr>
        <w:t>Antwoord 59</w:t>
      </w:r>
    </w:p>
    <w:p w:rsidRPr="00C5308E" w:rsidR="0046268F" w:rsidP="00D87753" w:rsidRDefault="0046268F" w14:paraId="5BB24795" w14:textId="77777777">
      <w:pPr>
        <w:spacing w:line="240" w:lineRule="auto"/>
        <w:contextualSpacing/>
        <w:rPr>
          <w:rFonts w:ascii="Verdana" w:hAnsi="Verdana"/>
          <w:bCs/>
          <w:sz w:val="18"/>
          <w:szCs w:val="18"/>
        </w:rPr>
      </w:pPr>
      <w:r w:rsidRPr="00C5308E">
        <w:rPr>
          <w:rFonts w:ascii="Verdana" w:hAnsi="Verdana"/>
          <w:bCs/>
          <w:sz w:val="18"/>
          <w:szCs w:val="18"/>
        </w:rPr>
        <w:t xml:space="preserve">Het gaat om het percentage kinderen in armoede. Volgens de recente raming van het CPB daalt armoede van 3,5% in 2024 naar 2,9% in 2026. Kinderarmoede daalt van 3,4% in 2024 naar 2,9% in 2026. Daarmee wordt de doelstelling van dit kabinet gehaald. </w:t>
      </w:r>
    </w:p>
    <w:p w:rsidRPr="00C5308E" w:rsidR="0046268F" w:rsidP="00D87753" w:rsidRDefault="0046268F" w14:paraId="3C1981A7" w14:textId="77777777">
      <w:pPr>
        <w:spacing w:after="0" w:line="240" w:lineRule="auto"/>
        <w:contextualSpacing/>
        <w:rPr>
          <w:rFonts w:ascii="Verdana" w:hAnsi="Verdana"/>
          <w:bCs/>
          <w:sz w:val="18"/>
          <w:szCs w:val="18"/>
        </w:rPr>
      </w:pPr>
    </w:p>
    <w:p w:rsidRPr="00C5308E" w:rsidR="0076594D" w:rsidP="00D87753" w:rsidRDefault="0076594D" w14:paraId="7BDF925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60</w:t>
      </w:r>
    </w:p>
    <w:p w:rsidRPr="00C5308E" w:rsidR="0076594D" w:rsidP="00D87753" w:rsidRDefault="0076594D" w14:paraId="4AFD059E" w14:textId="77777777">
      <w:pPr>
        <w:spacing w:after="0" w:line="240" w:lineRule="auto"/>
        <w:contextualSpacing/>
        <w:rPr>
          <w:rFonts w:ascii="Verdana" w:hAnsi="Verdana"/>
          <w:bCs/>
          <w:sz w:val="18"/>
          <w:szCs w:val="18"/>
        </w:rPr>
      </w:pPr>
      <w:r w:rsidRPr="00C5308E">
        <w:rPr>
          <w:rFonts w:ascii="Verdana" w:hAnsi="Verdana"/>
          <w:bCs/>
          <w:sz w:val="18"/>
          <w:szCs w:val="18"/>
        </w:rPr>
        <w:t>In de Voorjaarsnota is sprake van oplopende uitvoeringskosten voor het SZW-domein, inclusief WIA-maatregelen, oplopend tot € 1 miljard per jaar vanaf 2027, kunt u uitsplitsen welke WIA-maatregelen hierin zijn opgenomen, wat de verwachte besparingen of verbeteringen zijn en of deze bedragen reeds beleidsmatig zijn onderbouwd, en zo niet, wanneer ze beleidsmatig onderbouwd worden?</w:t>
      </w:r>
    </w:p>
    <w:p w:rsidRPr="00C5308E" w:rsidR="0076594D" w:rsidP="00D87753" w:rsidRDefault="0076594D" w14:paraId="67CD504B" w14:textId="77777777">
      <w:pPr>
        <w:spacing w:after="0" w:line="240" w:lineRule="auto"/>
        <w:contextualSpacing/>
        <w:rPr>
          <w:rFonts w:ascii="Verdana" w:hAnsi="Verdana"/>
          <w:bCs/>
          <w:sz w:val="18"/>
          <w:szCs w:val="18"/>
        </w:rPr>
      </w:pPr>
    </w:p>
    <w:p w:rsidRPr="00C5308E" w:rsidR="0076594D" w:rsidP="00D87753" w:rsidRDefault="0076594D" w14:paraId="4A8E3B8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60</w:t>
      </w:r>
    </w:p>
    <w:p w:rsidRPr="00C5308E" w:rsidR="0076594D" w:rsidP="00D87753" w:rsidRDefault="0076594D" w14:paraId="4D8F055C" w14:textId="77777777">
      <w:pPr>
        <w:spacing w:after="0" w:line="240" w:lineRule="auto"/>
        <w:contextualSpacing/>
        <w:rPr>
          <w:rFonts w:ascii="Verdana" w:hAnsi="Verdana"/>
          <w:bCs/>
          <w:sz w:val="18"/>
          <w:szCs w:val="18"/>
        </w:rPr>
      </w:pPr>
      <w:r w:rsidRPr="00C5308E">
        <w:rPr>
          <w:rFonts w:ascii="Verdana" w:hAnsi="Verdana"/>
          <w:bCs/>
          <w:sz w:val="18"/>
          <w:szCs w:val="18"/>
        </w:rPr>
        <w:t>Naar aanleiding van de meest recente uitvoeringsinformatie van de verschillende uitvoeringsorganisaties, waaronder UWV, SVB en Dienst Toeslagen, zijn de regelingen op de SZW-begroting bijgesteld. In 2027 hebben deze bijstellingen geleid tot een tegenvaller van circa € 1 miljard. Deze bijstelling is het gevolg van recente informatie over de ontwikkeling van het aantal gerechtigden en de uitkeringslasten, en hangt daarmee niet samen met de uitvoeringskosten.</w:t>
      </w:r>
    </w:p>
    <w:p w:rsidRPr="00C5308E" w:rsidR="0076594D" w:rsidP="00D87753" w:rsidRDefault="0076594D" w14:paraId="02CD674D" w14:textId="77777777">
      <w:pPr>
        <w:spacing w:after="0" w:line="240" w:lineRule="auto"/>
        <w:contextualSpacing/>
        <w:rPr>
          <w:rFonts w:ascii="Verdana" w:hAnsi="Verdana"/>
          <w:bCs/>
          <w:sz w:val="18"/>
          <w:szCs w:val="18"/>
        </w:rPr>
      </w:pPr>
    </w:p>
    <w:p w:rsidR="0076594D" w:rsidP="00D87753" w:rsidRDefault="0076594D" w14:paraId="1D00B663" w14:textId="77777777">
      <w:pPr>
        <w:spacing w:after="0" w:line="240" w:lineRule="auto"/>
        <w:contextualSpacing/>
        <w:rPr>
          <w:rFonts w:ascii="Verdana" w:hAnsi="Verdana"/>
          <w:bCs/>
          <w:sz w:val="18"/>
          <w:szCs w:val="18"/>
        </w:rPr>
      </w:pPr>
      <w:r w:rsidRPr="00C5308E">
        <w:rPr>
          <w:rFonts w:ascii="Verdana" w:hAnsi="Verdana"/>
          <w:bCs/>
          <w:sz w:val="18"/>
          <w:szCs w:val="18"/>
        </w:rPr>
        <w:t>Het kabinet heeft bij de Voorjaarsnota tot verschillende maatregelen besloten omtrent de Wet Werk en Inkomen naar Arbeidsvermogen (WIA). Een deel hiervan gaat gepaard met uitvoeringskosten voor het UWV. De uitvoeringskosten volgen uit het aantal benodigde fte’s voor het uitvoeren van de maatregelen en communicatie hierover. De uitvoeringskosten zijn daarmee onderbouwd.</w:t>
      </w:r>
    </w:p>
    <w:p w:rsidR="00972542" w:rsidP="00D87753" w:rsidRDefault="00972542" w14:paraId="0680133A" w14:textId="77777777">
      <w:pPr>
        <w:spacing w:after="0" w:line="240" w:lineRule="auto"/>
        <w:contextualSpacing/>
        <w:rPr>
          <w:rFonts w:ascii="Verdana" w:hAnsi="Verdana"/>
          <w:bCs/>
          <w:sz w:val="18"/>
          <w:szCs w:val="18"/>
        </w:rPr>
      </w:pPr>
    </w:p>
    <w:p w:rsidR="00972542" w:rsidP="00D87753" w:rsidRDefault="00972542" w14:paraId="7682B270" w14:textId="77777777">
      <w:pPr>
        <w:spacing w:after="0" w:line="240" w:lineRule="auto"/>
        <w:contextualSpacing/>
        <w:rPr>
          <w:rFonts w:ascii="Verdana" w:hAnsi="Verdana"/>
          <w:bCs/>
          <w:sz w:val="18"/>
          <w:szCs w:val="18"/>
        </w:rPr>
      </w:pPr>
    </w:p>
    <w:p w:rsidR="00972542" w:rsidP="00D87753" w:rsidRDefault="00972542" w14:paraId="3992DCBF" w14:textId="77777777">
      <w:pPr>
        <w:spacing w:after="0" w:line="240" w:lineRule="auto"/>
        <w:contextualSpacing/>
        <w:rPr>
          <w:rFonts w:ascii="Verdana" w:hAnsi="Verdana"/>
          <w:bCs/>
          <w:sz w:val="18"/>
          <w:szCs w:val="18"/>
        </w:rPr>
      </w:pPr>
    </w:p>
    <w:p w:rsidR="00972542" w:rsidP="00D87753" w:rsidRDefault="00972542" w14:paraId="65DFD35A" w14:textId="77777777">
      <w:pPr>
        <w:spacing w:after="0" w:line="240" w:lineRule="auto"/>
        <w:contextualSpacing/>
        <w:rPr>
          <w:rFonts w:ascii="Verdana" w:hAnsi="Verdana"/>
          <w:bCs/>
          <w:sz w:val="18"/>
          <w:szCs w:val="18"/>
        </w:rPr>
      </w:pPr>
    </w:p>
    <w:p w:rsidR="00972542" w:rsidP="00D87753" w:rsidRDefault="00972542" w14:paraId="08CE7658" w14:textId="77777777">
      <w:pPr>
        <w:spacing w:after="0" w:line="240" w:lineRule="auto"/>
        <w:contextualSpacing/>
        <w:rPr>
          <w:rFonts w:ascii="Verdana" w:hAnsi="Verdana"/>
          <w:bCs/>
          <w:sz w:val="18"/>
          <w:szCs w:val="18"/>
        </w:rPr>
      </w:pPr>
    </w:p>
    <w:p w:rsidRPr="00C5308E" w:rsidR="00972542" w:rsidP="00D87753" w:rsidRDefault="00972542" w14:paraId="2E7E0C6C" w14:textId="77777777">
      <w:pPr>
        <w:spacing w:after="0" w:line="240" w:lineRule="auto"/>
        <w:contextualSpacing/>
        <w:rPr>
          <w:rFonts w:ascii="Verdana" w:hAnsi="Verdana"/>
          <w:bCs/>
          <w:sz w:val="18"/>
          <w:szCs w:val="18"/>
        </w:rPr>
      </w:pPr>
    </w:p>
    <w:p w:rsidRPr="00C5308E" w:rsidR="0076594D" w:rsidP="00D87753" w:rsidRDefault="0076594D" w14:paraId="3F61BD66" w14:textId="77777777">
      <w:pPr>
        <w:spacing w:after="0" w:line="240" w:lineRule="auto"/>
        <w:contextualSpacing/>
        <w:rPr>
          <w:rFonts w:ascii="Verdana" w:hAnsi="Verdana"/>
          <w:bCs/>
          <w:sz w:val="18"/>
          <w:szCs w:val="18"/>
        </w:rPr>
      </w:pPr>
    </w:p>
    <w:p w:rsidRPr="00C5308E" w:rsidR="0076594D" w:rsidP="00D87753" w:rsidRDefault="0076594D" w14:paraId="23ABBCD6" w14:textId="77777777">
      <w:pPr>
        <w:spacing w:after="0" w:line="240" w:lineRule="auto"/>
        <w:contextualSpacing/>
        <w:rPr>
          <w:rFonts w:ascii="Verdana" w:hAnsi="Verdana"/>
          <w:bCs/>
          <w:sz w:val="18"/>
          <w:szCs w:val="18"/>
        </w:rPr>
      </w:pPr>
      <w:r w:rsidRPr="00C5308E">
        <w:rPr>
          <w:rFonts w:ascii="Verdana" w:hAnsi="Verdana"/>
          <w:bCs/>
          <w:sz w:val="18"/>
          <w:szCs w:val="18"/>
        </w:rPr>
        <w:lastRenderedPageBreak/>
        <w:t>Bij de Voorjaarsnota zijn voor de WIA de volgende uitvoeringskosten gereserveerd:</w:t>
      </w:r>
    </w:p>
    <w:tbl>
      <w:tblPr>
        <w:tblW w:w="9072"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652"/>
        <w:gridCol w:w="680"/>
      </w:tblGrid>
      <w:tr w:rsidRPr="00C5308E" w:rsidR="0076594D" w:rsidTr="003C75FE" w14:paraId="476110B9" w14:textId="77777777">
        <w:trPr>
          <w:trHeight w:val="240"/>
        </w:trPr>
        <w:tc>
          <w:tcPr>
            <w:tcW w:w="3828" w:type="dxa"/>
            <w:tcBorders>
              <w:top w:val="nil"/>
              <w:left w:val="nil"/>
              <w:bottom w:val="single" w:color="auto" w:sz="8" w:space="0"/>
              <w:right w:val="nil"/>
            </w:tcBorders>
            <w:noWrap/>
            <w:vAlign w:val="bottom"/>
            <w:hideMark/>
          </w:tcPr>
          <w:p w:rsidRPr="00C5308E" w:rsidR="0076594D" w:rsidP="00D87753" w:rsidRDefault="004C0310" w14:paraId="30D190A7" w14:textId="3600D963">
            <w:pPr>
              <w:spacing w:after="0" w:line="240" w:lineRule="auto"/>
              <w:contextualSpacing/>
              <w:rPr>
                <w:rFonts w:ascii="Verdana" w:hAnsi="Verdana"/>
                <w:bCs/>
                <w:sz w:val="18"/>
                <w:szCs w:val="18"/>
              </w:rPr>
            </w:pPr>
            <w:r w:rsidRPr="00C5308E">
              <w:rPr>
                <w:rFonts w:ascii="Verdana" w:hAnsi="Verdana" w:cs="Times New Roman"/>
                <w:sz w:val="18"/>
                <w:szCs w:val="18"/>
              </w:rPr>
              <w:t>x € 1 mln.</w:t>
            </w:r>
          </w:p>
        </w:tc>
        <w:tc>
          <w:tcPr>
            <w:tcW w:w="652" w:type="dxa"/>
            <w:tcBorders>
              <w:top w:val="nil"/>
              <w:left w:val="nil"/>
              <w:bottom w:val="single" w:color="auto" w:sz="8" w:space="0"/>
              <w:right w:val="nil"/>
            </w:tcBorders>
            <w:noWrap/>
            <w:vAlign w:val="bottom"/>
            <w:hideMark/>
          </w:tcPr>
          <w:p w:rsidRPr="00C5308E" w:rsidR="0076594D" w:rsidP="00D87753" w:rsidRDefault="0076594D" w14:paraId="72A72650" w14:textId="77777777">
            <w:pPr>
              <w:spacing w:after="0" w:line="240" w:lineRule="auto"/>
              <w:contextualSpacing/>
              <w:rPr>
                <w:rFonts w:ascii="Verdana" w:hAnsi="Verdana"/>
                <w:bCs/>
                <w:sz w:val="18"/>
                <w:szCs w:val="18"/>
              </w:rPr>
            </w:pPr>
            <w:r w:rsidRPr="00C5308E">
              <w:rPr>
                <w:rFonts w:ascii="Verdana" w:hAnsi="Verdana"/>
                <w:bCs/>
                <w:sz w:val="18"/>
                <w:szCs w:val="18"/>
              </w:rPr>
              <w:t>2025</w:t>
            </w:r>
          </w:p>
        </w:tc>
        <w:tc>
          <w:tcPr>
            <w:tcW w:w="652" w:type="dxa"/>
            <w:tcBorders>
              <w:top w:val="nil"/>
              <w:left w:val="nil"/>
              <w:bottom w:val="single" w:color="auto" w:sz="8" w:space="0"/>
              <w:right w:val="nil"/>
            </w:tcBorders>
            <w:noWrap/>
            <w:vAlign w:val="bottom"/>
            <w:hideMark/>
          </w:tcPr>
          <w:p w:rsidRPr="00C5308E" w:rsidR="0076594D" w:rsidP="00D87753" w:rsidRDefault="0076594D" w14:paraId="1175CE7D" w14:textId="77777777">
            <w:pPr>
              <w:spacing w:after="0" w:line="240" w:lineRule="auto"/>
              <w:contextualSpacing/>
              <w:rPr>
                <w:rFonts w:ascii="Verdana" w:hAnsi="Verdana"/>
                <w:bCs/>
                <w:sz w:val="18"/>
                <w:szCs w:val="18"/>
              </w:rPr>
            </w:pPr>
            <w:r w:rsidRPr="00C5308E">
              <w:rPr>
                <w:rFonts w:ascii="Verdana" w:hAnsi="Verdana"/>
                <w:bCs/>
                <w:sz w:val="18"/>
                <w:szCs w:val="18"/>
              </w:rPr>
              <w:t>2026</w:t>
            </w:r>
          </w:p>
        </w:tc>
        <w:tc>
          <w:tcPr>
            <w:tcW w:w="652" w:type="dxa"/>
            <w:tcBorders>
              <w:top w:val="nil"/>
              <w:left w:val="nil"/>
              <w:bottom w:val="single" w:color="auto" w:sz="8" w:space="0"/>
              <w:right w:val="nil"/>
            </w:tcBorders>
            <w:noWrap/>
            <w:vAlign w:val="bottom"/>
            <w:hideMark/>
          </w:tcPr>
          <w:p w:rsidRPr="00C5308E" w:rsidR="0076594D" w:rsidP="00D87753" w:rsidRDefault="0076594D" w14:paraId="6F7F5BF6" w14:textId="77777777">
            <w:pPr>
              <w:spacing w:after="0" w:line="240" w:lineRule="auto"/>
              <w:contextualSpacing/>
              <w:rPr>
                <w:rFonts w:ascii="Verdana" w:hAnsi="Verdana"/>
                <w:bCs/>
                <w:sz w:val="18"/>
                <w:szCs w:val="18"/>
              </w:rPr>
            </w:pPr>
            <w:r w:rsidRPr="00C5308E">
              <w:rPr>
                <w:rFonts w:ascii="Verdana" w:hAnsi="Verdana"/>
                <w:bCs/>
                <w:sz w:val="18"/>
                <w:szCs w:val="18"/>
              </w:rPr>
              <w:t>2027</w:t>
            </w:r>
          </w:p>
        </w:tc>
        <w:tc>
          <w:tcPr>
            <w:tcW w:w="652" w:type="dxa"/>
            <w:tcBorders>
              <w:top w:val="nil"/>
              <w:left w:val="nil"/>
              <w:bottom w:val="single" w:color="auto" w:sz="8" w:space="0"/>
              <w:right w:val="nil"/>
            </w:tcBorders>
            <w:noWrap/>
            <w:vAlign w:val="bottom"/>
            <w:hideMark/>
          </w:tcPr>
          <w:p w:rsidRPr="00C5308E" w:rsidR="0076594D" w:rsidP="00D87753" w:rsidRDefault="0076594D" w14:paraId="03F7E24F" w14:textId="77777777">
            <w:pPr>
              <w:spacing w:after="0" w:line="240" w:lineRule="auto"/>
              <w:contextualSpacing/>
              <w:rPr>
                <w:rFonts w:ascii="Verdana" w:hAnsi="Verdana"/>
                <w:bCs/>
                <w:sz w:val="18"/>
                <w:szCs w:val="18"/>
              </w:rPr>
            </w:pPr>
            <w:r w:rsidRPr="00C5308E">
              <w:rPr>
                <w:rFonts w:ascii="Verdana" w:hAnsi="Verdana"/>
                <w:bCs/>
                <w:sz w:val="18"/>
                <w:szCs w:val="18"/>
              </w:rPr>
              <w:t>2028</w:t>
            </w:r>
          </w:p>
        </w:tc>
        <w:tc>
          <w:tcPr>
            <w:tcW w:w="652" w:type="dxa"/>
            <w:tcBorders>
              <w:top w:val="nil"/>
              <w:left w:val="nil"/>
              <w:bottom w:val="single" w:color="auto" w:sz="8" w:space="0"/>
              <w:right w:val="nil"/>
            </w:tcBorders>
            <w:noWrap/>
            <w:vAlign w:val="bottom"/>
            <w:hideMark/>
          </w:tcPr>
          <w:p w:rsidRPr="00C5308E" w:rsidR="0076594D" w:rsidP="00D87753" w:rsidRDefault="0076594D" w14:paraId="57B1A094" w14:textId="77777777">
            <w:pPr>
              <w:spacing w:after="0" w:line="240" w:lineRule="auto"/>
              <w:contextualSpacing/>
              <w:rPr>
                <w:rFonts w:ascii="Verdana" w:hAnsi="Verdana"/>
                <w:bCs/>
                <w:sz w:val="18"/>
                <w:szCs w:val="18"/>
              </w:rPr>
            </w:pPr>
            <w:r w:rsidRPr="00C5308E">
              <w:rPr>
                <w:rFonts w:ascii="Verdana" w:hAnsi="Verdana"/>
                <w:bCs/>
                <w:sz w:val="18"/>
                <w:szCs w:val="18"/>
              </w:rPr>
              <w:t>2029</w:t>
            </w:r>
          </w:p>
        </w:tc>
        <w:tc>
          <w:tcPr>
            <w:tcW w:w="652" w:type="dxa"/>
            <w:tcBorders>
              <w:top w:val="nil"/>
              <w:left w:val="nil"/>
              <w:bottom w:val="single" w:color="auto" w:sz="8" w:space="0"/>
              <w:right w:val="nil"/>
            </w:tcBorders>
            <w:noWrap/>
            <w:vAlign w:val="bottom"/>
            <w:hideMark/>
          </w:tcPr>
          <w:p w:rsidRPr="00C5308E" w:rsidR="0076594D" w:rsidP="00D87753" w:rsidRDefault="0076594D" w14:paraId="546A2A3A" w14:textId="77777777">
            <w:pPr>
              <w:spacing w:after="0" w:line="240" w:lineRule="auto"/>
              <w:contextualSpacing/>
              <w:rPr>
                <w:rFonts w:ascii="Verdana" w:hAnsi="Verdana"/>
                <w:bCs/>
                <w:sz w:val="18"/>
                <w:szCs w:val="18"/>
              </w:rPr>
            </w:pPr>
            <w:r w:rsidRPr="00C5308E">
              <w:rPr>
                <w:rFonts w:ascii="Verdana" w:hAnsi="Verdana"/>
                <w:bCs/>
                <w:sz w:val="18"/>
                <w:szCs w:val="18"/>
              </w:rPr>
              <w:t>2030</w:t>
            </w:r>
          </w:p>
        </w:tc>
        <w:tc>
          <w:tcPr>
            <w:tcW w:w="652" w:type="dxa"/>
            <w:tcBorders>
              <w:top w:val="nil"/>
              <w:left w:val="nil"/>
              <w:bottom w:val="single" w:color="auto" w:sz="8" w:space="0"/>
              <w:right w:val="nil"/>
            </w:tcBorders>
          </w:tcPr>
          <w:p w:rsidRPr="00C5308E" w:rsidR="0076594D" w:rsidP="00D87753" w:rsidRDefault="0076594D" w14:paraId="07E2D275" w14:textId="77777777">
            <w:pPr>
              <w:spacing w:after="0" w:line="240" w:lineRule="auto"/>
              <w:contextualSpacing/>
              <w:rPr>
                <w:rFonts w:ascii="Verdana" w:hAnsi="Verdana"/>
                <w:bCs/>
                <w:sz w:val="18"/>
                <w:szCs w:val="18"/>
              </w:rPr>
            </w:pPr>
            <w:r w:rsidRPr="00C5308E">
              <w:rPr>
                <w:rFonts w:ascii="Verdana" w:hAnsi="Verdana"/>
                <w:bCs/>
                <w:sz w:val="18"/>
                <w:szCs w:val="18"/>
              </w:rPr>
              <w:t>Cum</w:t>
            </w:r>
          </w:p>
        </w:tc>
        <w:tc>
          <w:tcPr>
            <w:tcW w:w="680" w:type="dxa"/>
            <w:tcBorders>
              <w:top w:val="nil"/>
              <w:left w:val="nil"/>
              <w:bottom w:val="single" w:color="auto" w:sz="8" w:space="0"/>
              <w:right w:val="nil"/>
            </w:tcBorders>
          </w:tcPr>
          <w:p w:rsidRPr="00C5308E" w:rsidR="0076594D" w:rsidP="00D87753" w:rsidRDefault="0076594D" w14:paraId="23B08EC0" w14:textId="77777777">
            <w:pPr>
              <w:spacing w:after="0" w:line="240" w:lineRule="auto"/>
              <w:contextualSpacing/>
              <w:rPr>
                <w:rFonts w:ascii="Verdana" w:hAnsi="Verdana"/>
                <w:bCs/>
                <w:sz w:val="18"/>
                <w:szCs w:val="18"/>
              </w:rPr>
            </w:pPr>
            <w:r w:rsidRPr="00C5308E">
              <w:rPr>
                <w:rFonts w:ascii="Verdana" w:hAnsi="Verdana"/>
                <w:bCs/>
                <w:sz w:val="18"/>
                <w:szCs w:val="18"/>
              </w:rPr>
              <w:t>Struc</w:t>
            </w:r>
          </w:p>
        </w:tc>
      </w:tr>
      <w:tr w:rsidRPr="00C5308E" w:rsidR="0076594D" w:rsidTr="003C75FE" w14:paraId="270CEFEA" w14:textId="77777777">
        <w:trPr>
          <w:trHeight w:val="230"/>
        </w:trPr>
        <w:tc>
          <w:tcPr>
            <w:tcW w:w="3828" w:type="dxa"/>
            <w:noWrap/>
            <w:vAlign w:val="bottom"/>
            <w:hideMark/>
          </w:tcPr>
          <w:p w:rsidRPr="00C5308E" w:rsidR="0076594D" w:rsidP="00D87753" w:rsidRDefault="0076594D" w14:paraId="71CB7327" w14:textId="77777777">
            <w:pPr>
              <w:spacing w:after="0" w:line="240" w:lineRule="auto"/>
              <w:contextualSpacing/>
              <w:rPr>
                <w:rFonts w:ascii="Verdana" w:hAnsi="Verdana"/>
                <w:bCs/>
                <w:sz w:val="18"/>
                <w:szCs w:val="18"/>
              </w:rPr>
            </w:pPr>
            <w:r w:rsidRPr="00C5308E">
              <w:rPr>
                <w:rFonts w:ascii="Verdana" w:hAnsi="Verdana"/>
                <w:bCs/>
                <w:sz w:val="18"/>
                <w:szCs w:val="18"/>
              </w:rPr>
              <w:t>Loonloze tijdvakken*</w:t>
            </w:r>
          </w:p>
        </w:tc>
        <w:tc>
          <w:tcPr>
            <w:tcW w:w="652" w:type="dxa"/>
            <w:noWrap/>
            <w:vAlign w:val="bottom"/>
            <w:hideMark/>
          </w:tcPr>
          <w:p w:rsidRPr="00C5308E" w:rsidR="0076594D" w:rsidP="00D87753" w:rsidRDefault="0076594D" w14:paraId="250D993A" w14:textId="77777777">
            <w:pPr>
              <w:spacing w:after="0" w:line="240" w:lineRule="auto"/>
              <w:contextualSpacing/>
              <w:rPr>
                <w:rFonts w:ascii="Verdana" w:hAnsi="Verdana"/>
                <w:bCs/>
                <w:sz w:val="18"/>
                <w:szCs w:val="18"/>
              </w:rPr>
            </w:pPr>
            <w:r w:rsidRPr="00C5308E">
              <w:rPr>
                <w:rFonts w:ascii="Verdana" w:hAnsi="Verdana"/>
                <w:bCs/>
                <w:sz w:val="18"/>
                <w:szCs w:val="18"/>
              </w:rPr>
              <w:t>-1</w:t>
            </w:r>
          </w:p>
        </w:tc>
        <w:tc>
          <w:tcPr>
            <w:tcW w:w="652" w:type="dxa"/>
            <w:noWrap/>
            <w:vAlign w:val="bottom"/>
            <w:hideMark/>
          </w:tcPr>
          <w:p w:rsidRPr="00C5308E" w:rsidR="0076594D" w:rsidP="00D87753" w:rsidRDefault="0076594D" w14:paraId="15BC1BDE" w14:textId="77777777">
            <w:pPr>
              <w:spacing w:after="0" w:line="240" w:lineRule="auto"/>
              <w:contextualSpacing/>
              <w:rPr>
                <w:rFonts w:ascii="Verdana" w:hAnsi="Verdana"/>
                <w:bCs/>
                <w:sz w:val="18"/>
                <w:szCs w:val="18"/>
              </w:rPr>
            </w:pPr>
            <w:r w:rsidRPr="00C5308E">
              <w:rPr>
                <w:rFonts w:ascii="Verdana" w:hAnsi="Verdana"/>
                <w:bCs/>
                <w:sz w:val="18"/>
                <w:szCs w:val="18"/>
              </w:rPr>
              <w:t>7</w:t>
            </w:r>
          </w:p>
        </w:tc>
        <w:tc>
          <w:tcPr>
            <w:tcW w:w="652" w:type="dxa"/>
            <w:noWrap/>
            <w:vAlign w:val="bottom"/>
            <w:hideMark/>
          </w:tcPr>
          <w:p w:rsidRPr="00C5308E" w:rsidR="0076594D" w:rsidP="00D87753" w:rsidRDefault="0076594D" w14:paraId="6C85C64C" w14:textId="77777777">
            <w:pPr>
              <w:spacing w:after="0" w:line="240" w:lineRule="auto"/>
              <w:contextualSpacing/>
              <w:rPr>
                <w:rFonts w:ascii="Verdana" w:hAnsi="Verdana"/>
                <w:bCs/>
                <w:sz w:val="18"/>
                <w:szCs w:val="18"/>
              </w:rPr>
            </w:pPr>
            <w:r w:rsidRPr="00C5308E">
              <w:rPr>
                <w:rFonts w:ascii="Verdana" w:hAnsi="Verdana"/>
                <w:bCs/>
                <w:sz w:val="18"/>
                <w:szCs w:val="18"/>
              </w:rPr>
              <w:t>4</w:t>
            </w:r>
          </w:p>
        </w:tc>
        <w:tc>
          <w:tcPr>
            <w:tcW w:w="652" w:type="dxa"/>
            <w:noWrap/>
            <w:vAlign w:val="bottom"/>
            <w:hideMark/>
          </w:tcPr>
          <w:p w:rsidRPr="00C5308E" w:rsidR="0076594D" w:rsidP="00D87753" w:rsidRDefault="0076594D" w14:paraId="631549B8"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noWrap/>
            <w:vAlign w:val="bottom"/>
            <w:hideMark/>
          </w:tcPr>
          <w:p w:rsidRPr="00C5308E" w:rsidR="0076594D" w:rsidP="00D87753" w:rsidRDefault="0076594D" w14:paraId="42B9F847"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noWrap/>
            <w:vAlign w:val="bottom"/>
            <w:hideMark/>
          </w:tcPr>
          <w:p w:rsidRPr="00C5308E" w:rsidR="0076594D" w:rsidP="00D87753" w:rsidRDefault="0076594D" w14:paraId="73768CDD"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tcPr>
          <w:p w:rsidRPr="00C5308E" w:rsidR="0076594D" w:rsidP="00D87753" w:rsidRDefault="0076594D" w14:paraId="2606E8A8" w14:textId="77777777">
            <w:pPr>
              <w:spacing w:after="0" w:line="240" w:lineRule="auto"/>
              <w:contextualSpacing/>
              <w:rPr>
                <w:rFonts w:ascii="Verdana" w:hAnsi="Verdana"/>
                <w:bCs/>
                <w:sz w:val="18"/>
                <w:szCs w:val="18"/>
              </w:rPr>
            </w:pPr>
            <w:r w:rsidRPr="00C5308E">
              <w:rPr>
                <w:rFonts w:ascii="Verdana" w:hAnsi="Verdana"/>
                <w:bCs/>
                <w:sz w:val="18"/>
                <w:szCs w:val="18"/>
              </w:rPr>
              <w:t>10</w:t>
            </w:r>
          </w:p>
        </w:tc>
        <w:tc>
          <w:tcPr>
            <w:tcW w:w="680" w:type="dxa"/>
          </w:tcPr>
          <w:p w:rsidRPr="00C5308E" w:rsidR="0076594D" w:rsidP="00D87753" w:rsidRDefault="0076594D" w14:paraId="72183DEF" w14:textId="77777777">
            <w:pPr>
              <w:spacing w:after="0" w:line="240" w:lineRule="auto"/>
              <w:contextualSpacing/>
              <w:rPr>
                <w:rFonts w:ascii="Verdana" w:hAnsi="Verdana"/>
                <w:bCs/>
                <w:sz w:val="18"/>
                <w:szCs w:val="18"/>
              </w:rPr>
            </w:pPr>
            <w:r w:rsidRPr="00C5308E">
              <w:rPr>
                <w:rFonts w:ascii="Verdana" w:hAnsi="Verdana"/>
                <w:bCs/>
                <w:sz w:val="18"/>
                <w:szCs w:val="18"/>
              </w:rPr>
              <w:t>0</w:t>
            </w:r>
          </w:p>
        </w:tc>
      </w:tr>
      <w:tr w:rsidRPr="00C5308E" w:rsidR="0076594D" w:rsidTr="003C75FE" w14:paraId="7B5E8CE0" w14:textId="77777777">
        <w:trPr>
          <w:trHeight w:val="230"/>
        </w:trPr>
        <w:tc>
          <w:tcPr>
            <w:tcW w:w="3828" w:type="dxa"/>
            <w:noWrap/>
            <w:vAlign w:val="bottom"/>
          </w:tcPr>
          <w:p w:rsidRPr="00C5308E" w:rsidR="0076594D" w:rsidP="00D87753" w:rsidRDefault="0076594D" w14:paraId="365CA1AD" w14:textId="77777777">
            <w:pPr>
              <w:spacing w:after="0" w:line="240" w:lineRule="auto"/>
              <w:contextualSpacing/>
              <w:rPr>
                <w:rFonts w:ascii="Verdana" w:hAnsi="Verdana"/>
                <w:bCs/>
                <w:sz w:val="18"/>
                <w:szCs w:val="18"/>
              </w:rPr>
            </w:pPr>
            <w:r w:rsidRPr="00C5308E">
              <w:rPr>
                <w:rFonts w:ascii="Verdana" w:hAnsi="Verdana"/>
                <w:bCs/>
                <w:sz w:val="18"/>
                <w:szCs w:val="18"/>
              </w:rPr>
              <w:t>Herstelactie WIA-dagloon</w:t>
            </w:r>
          </w:p>
        </w:tc>
        <w:tc>
          <w:tcPr>
            <w:tcW w:w="652" w:type="dxa"/>
            <w:noWrap/>
            <w:vAlign w:val="bottom"/>
          </w:tcPr>
          <w:p w:rsidRPr="00C5308E" w:rsidR="0076594D" w:rsidP="00D87753" w:rsidRDefault="0076594D" w14:paraId="1AB33022" w14:textId="77777777">
            <w:pPr>
              <w:spacing w:after="0" w:line="240" w:lineRule="auto"/>
              <w:contextualSpacing/>
              <w:rPr>
                <w:rFonts w:ascii="Verdana" w:hAnsi="Verdana"/>
                <w:bCs/>
                <w:sz w:val="18"/>
                <w:szCs w:val="18"/>
              </w:rPr>
            </w:pPr>
            <w:r w:rsidRPr="00C5308E">
              <w:rPr>
                <w:rFonts w:ascii="Verdana" w:hAnsi="Verdana"/>
                <w:bCs/>
                <w:sz w:val="18"/>
                <w:szCs w:val="18"/>
              </w:rPr>
              <w:t>13</w:t>
            </w:r>
          </w:p>
        </w:tc>
        <w:tc>
          <w:tcPr>
            <w:tcW w:w="652" w:type="dxa"/>
            <w:noWrap/>
            <w:vAlign w:val="bottom"/>
          </w:tcPr>
          <w:p w:rsidRPr="00C5308E" w:rsidR="0076594D" w:rsidP="00D87753" w:rsidRDefault="0076594D" w14:paraId="674A4A5C" w14:textId="77777777">
            <w:pPr>
              <w:spacing w:after="0" w:line="240" w:lineRule="auto"/>
              <w:contextualSpacing/>
              <w:rPr>
                <w:rFonts w:ascii="Verdana" w:hAnsi="Verdana"/>
                <w:bCs/>
                <w:sz w:val="18"/>
                <w:szCs w:val="18"/>
              </w:rPr>
            </w:pPr>
            <w:r w:rsidRPr="00C5308E">
              <w:rPr>
                <w:rFonts w:ascii="Verdana" w:hAnsi="Verdana"/>
                <w:bCs/>
                <w:sz w:val="18"/>
                <w:szCs w:val="18"/>
              </w:rPr>
              <w:t>27</w:t>
            </w:r>
          </w:p>
        </w:tc>
        <w:tc>
          <w:tcPr>
            <w:tcW w:w="652" w:type="dxa"/>
            <w:noWrap/>
            <w:vAlign w:val="bottom"/>
          </w:tcPr>
          <w:p w:rsidRPr="00C5308E" w:rsidR="0076594D" w:rsidP="00D87753" w:rsidRDefault="0076594D" w14:paraId="2813AC9A" w14:textId="77777777">
            <w:pPr>
              <w:spacing w:after="0" w:line="240" w:lineRule="auto"/>
              <w:contextualSpacing/>
              <w:rPr>
                <w:rFonts w:ascii="Verdana" w:hAnsi="Verdana"/>
                <w:bCs/>
                <w:sz w:val="18"/>
                <w:szCs w:val="18"/>
              </w:rPr>
            </w:pPr>
            <w:r w:rsidRPr="00C5308E">
              <w:rPr>
                <w:rFonts w:ascii="Verdana" w:hAnsi="Verdana"/>
                <w:bCs/>
                <w:sz w:val="18"/>
                <w:szCs w:val="18"/>
              </w:rPr>
              <w:t>13</w:t>
            </w:r>
          </w:p>
        </w:tc>
        <w:tc>
          <w:tcPr>
            <w:tcW w:w="652" w:type="dxa"/>
            <w:noWrap/>
            <w:vAlign w:val="bottom"/>
          </w:tcPr>
          <w:p w:rsidRPr="00C5308E" w:rsidR="0076594D" w:rsidP="00D87753" w:rsidRDefault="0076594D" w14:paraId="15D1491E"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noWrap/>
            <w:vAlign w:val="bottom"/>
          </w:tcPr>
          <w:p w:rsidRPr="00C5308E" w:rsidR="0076594D" w:rsidP="00D87753" w:rsidRDefault="0076594D" w14:paraId="18EECE15"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noWrap/>
            <w:vAlign w:val="bottom"/>
          </w:tcPr>
          <w:p w:rsidRPr="00C5308E" w:rsidR="0076594D" w:rsidP="00D87753" w:rsidRDefault="0076594D" w14:paraId="1C64A85D"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tcPr>
          <w:p w:rsidRPr="00C5308E" w:rsidR="0076594D" w:rsidP="00D87753" w:rsidRDefault="0076594D" w14:paraId="5C9BBC1E" w14:textId="77777777">
            <w:pPr>
              <w:spacing w:after="0" w:line="240" w:lineRule="auto"/>
              <w:contextualSpacing/>
              <w:rPr>
                <w:rFonts w:ascii="Verdana" w:hAnsi="Verdana"/>
                <w:bCs/>
                <w:sz w:val="18"/>
                <w:szCs w:val="18"/>
              </w:rPr>
            </w:pPr>
            <w:r w:rsidRPr="00C5308E">
              <w:rPr>
                <w:rFonts w:ascii="Verdana" w:hAnsi="Verdana"/>
                <w:bCs/>
                <w:sz w:val="18"/>
                <w:szCs w:val="18"/>
              </w:rPr>
              <w:t>53</w:t>
            </w:r>
          </w:p>
        </w:tc>
        <w:tc>
          <w:tcPr>
            <w:tcW w:w="680" w:type="dxa"/>
          </w:tcPr>
          <w:p w:rsidRPr="00C5308E" w:rsidR="0076594D" w:rsidP="00D87753" w:rsidRDefault="0076594D" w14:paraId="5D8CBDE9" w14:textId="77777777">
            <w:pPr>
              <w:spacing w:after="0" w:line="240" w:lineRule="auto"/>
              <w:contextualSpacing/>
              <w:rPr>
                <w:rFonts w:ascii="Verdana" w:hAnsi="Verdana"/>
                <w:bCs/>
                <w:sz w:val="18"/>
                <w:szCs w:val="18"/>
              </w:rPr>
            </w:pPr>
            <w:r w:rsidRPr="00C5308E">
              <w:rPr>
                <w:rFonts w:ascii="Verdana" w:hAnsi="Verdana"/>
                <w:bCs/>
                <w:sz w:val="18"/>
                <w:szCs w:val="18"/>
              </w:rPr>
              <w:t>0</w:t>
            </w:r>
          </w:p>
        </w:tc>
      </w:tr>
      <w:tr w:rsidRPr="00C5308E" w:rsidR="0076594D" w:rsidTr="003C75FE" w14:paraId="656AA62C" w14:textId="77777777">
        <w:trPr>
          <w:trHeight w:val="230"/>
        </w:trPr>
        <w:tc>
          <w:tcPr>
            <w:tcW w:w="3828" w:type="dxa"/>
            <w:noWrap/>
            <w:vAlign w:val="bottom"/>
          </w:tcPr>
          <w:p w:rsidRPr="00C5308E" w:rsidR="0076594D" w:rsidP="00D87753" w:rsidRDefault="0076594D" w14:paraId="754F6987" w14:textId="77777777">
            <w:pPr>
              <w:spacing w:after="0" w:line="240" w:lineRule="auto"/>
              <w:contextualSpacing/>
              <w:rPr>
                <w:rFonts w:ascii="Verdana" w:hAnsi="Verdana"/>
                <w:bCs/>
                <w:sz w:val="18"/>
                <w:szCs w:val="18"/>
              </w:rPr>
            </w:pPr>
            <w:r w:rsidRPr="00C5308E">
              <w:rPr>
                <w:rFonts w:ascii="Verdana" w:hAnsi="Verdana"/>
                <w:bCs/>
                <w:sz w:val="18"/>
                <w:szCs w:val="18"/>
              </w:rPr>
              <w:t>SMC-uitvoeringskosten**</w:t>
            </w:r>
          </w:p>
        </w:tc>
        <w:tc>
          <w:tcPr>
            <w:tcW w:w="652" w:type="dxa"/>
            <w:noWrap/>
            <w:vAlign w:val="bottom"/>
          </w:tcPr>
          <w:p w:rsidRPr="00C5308E" w:rsidR="0076594D" w:rsidP="00D87753" w:rsidRDefault="0076594D" w14:paraId="02905F80" w14:textId="77777777">
            <w:pPr>
              <w:spacing w:after="0" w:line="240" w:lineRule="auto"/>
              <w:contextualSpacing/>
              <w:rPr>
                <w:rFonts w:ascii="Verdana" w:hAnsi="Verdana"/>
                <w:bCs/>
                <w:sz w:val="18"/>
                <w:szCs w:val="18"/>
              </w:rPr>
            </w:pPr>
            <w:r w:rsidRPr="00C5308E">
              <w:rPr>
                <w:rFonts w:ascii="Verdana" w:hAnsi="Verdana"/>
                <w:bCs/>
                <w:sz w:val="18"/>
                <w:szCs w:val="18"/>
              </w:rPr>
              <w:t>30</w:t>
            </w:r>
          </w:p>
        </w:tc>
        <w:tc>
          <w:tcPr>
            <w:tcW w:w="652" w:type="dxa"/>
            <w:noWrap/>
            <w:vAlign w:val="bottom"/>
          </w:tcPr>
          <w:p w:rsidRPr="00C5308E" w:rsidR="0076594D" w:rsidP="00D87753" w:rsidRDefault="0076594D" w14:paraId="77AC63EC" w14:textId="77777777">
            <w:pPr>
              <w:spacing w:after="0" w:line="240" w:lineRule="auto"/>
              <w:contextualSpacing/>
              <w:rPr>
                <w:rFonts w:ascii="Verdana" w:hAnsi="Verdana"/>
                <w:bCs/>
                <w:sz w:val="18"/>
                <w:szCs w:val="18"/>
              </w:rPr>
            </w:pPr>
            <w:r w:rsidRPr="00C5308E">
              <w:rPr>
                <w:rFonts w:ascii="Verdana" w:hAnsi="Verdana"/>
                <w:bCs/>
                <w:sz w:val="18"/>
                <w:szCs w:val="18"/>
              </w:rPr>
              <w:t>34</w:t>
            </w:r>
          </w:p>
        </w:tc>
        <w:tc>
          <w:tcPr>
            <w:tcW w:w="652" w:type="dxa"/>
            <w:noWrap/>
            <w:vAlign w:val="bottom"/>
          </w:tcPr>
          <w:p w:rsidRPr="00C5308E" w:rsidR="0076594D" w:rsidP="00D87753" w:rsidRDefault="0076594D" w14:paraId="2B825E4E"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noWrap/>
            <w:vAlign w:val="bottom"/>
          </w:tcPr>
          <w:p w:rsidRPr="00C5308E" w:rsidR="0076594D" w:rsidP="00D87753" w:rsidRDefault="0076594D" w14:paraId="4368B3C6"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noWrap/>
            <w:vAlign w:val="bottom"/>
          </w:tcPr>
          <w:p w:rsidRPr="00C5308E" w:rsidR="0076594D" w:rsidP="00D87753" w:rsidRDefault="0076594D" w14:paraId="22C579D0"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noWrap/>
            <w:vAlign w:val="bottom"/>
          </w:tcPr>
          <w:p w:rsidRPr="00C5308E" w:rsidR="0076594D" w:rsidP="00D87753" w:rsidRDefault="0076594D" w14:paraId="0CDEF3F6"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tcPr>
          <w:p w:rsidRPr="00C5308E" w:rsidR="0076594D" w:rsidP="00D87753" w:rsidRDefault="0076594D" w14:paraId="6041DE36" w14:textId="77777777">
            <w:pPr>
              <w:spacing w:after="0" w:line="240" w:lineRule="auto"/>
              <w:contextualSpacing/>
              <w:rPr>
                <w:rFonts w:ascii="Verdana" w:hAnsi="Verdana"/>
                <w:bCs/>
                <w:sz w:val="18"/>
                <w:szCs w:val="18"/>
              </w:rPr>
            </w:pPr>
            <w:r w:rsidRPr="00C5308E">
              <w:rPr>
                <w:rFonts w:ascii="Verdana" w:hAnsi="Verdana"/>
                <w:bCs/>
                <w:sz w:val="18"/>
                <w:szCs w:val="18"/>
              </w:rPr>
              <w:t>208</w:t>
            </w:r>
          </w:p>
        </w:tc>
        <w:tc>
          <w:tcPr>
            <w:tcW w:w="680" w:type="dxa"/>
            <w:vAlign w:val="bottom"/>
          </w:tcPr>
          <w:p w:rsidRPr="00C5308E" w:rsidR="0076594D" w:rsidP="00D87753" w:rsidRDefault="0076594D" w14:paraId="59F6A026" w14:textId="77777777">
            <w:pPr>
              <w:spacing w:after="0" w:line="240" w:lineRule="auto"/>
              <w:contextualSpacing/>
              <w:rPr>
                <w:rFonts w:ascii="Verdana" w:hAnsi="Verdana"/>
                <w:bCs/>
                <w:sz w:val="18"/>
                <w:szCs w:val="18"/>
              </w:rPr>
            </w:pPr>
            <w:r w:rsidRPr="00C5308E">
              <w:rPr>
                <w:rFonts w:ascii="Verdana" w:hAnsi="Verdana"/>
                <w:bCs/>
                <w:sz w:val="18"/>
                <w:szCs w:val="18"/>
              </w:rPr>
              <w:t>36</w:t>
            </w:r>
          </w:p>
        </w:tc>
      </w:tr>
      <w:tr w:rsidRPr="00C5308E" w:rsidR="0076594D" w:rsidTr="003C75FE" w14:paraId="5E86BE26" w14:textId="77777777">
        <w:trPr>
          <w:trHeight w:val="230"/>
        </w:trPr>
        <w:tc>
          <w:tcPr>
            <w:tcW w:w="3828" w:type="dxa"/>
            <w:noWrap/>
            <w:vAlign w:val="bottom"/>
          </w:tcPr>
          <w:p w:rsidRPr="00C5308E" w:rsidR="0076594D" w:rsidP="00D87753" w:rsidRDefault="0076594D" w14:paraId="4775D40E" w14:textId="77777777">
            <w:pPr>
              <w:spacing w:after="0" w:line="240" w:lineRule="auto"/>
              <w:contextualSpacing/>
              <w:rPr>
                <w:rFonts w:ascii="Verdana" w:hAnsi="Verdana"/>
                <w:bCs/>
                <w:sz w:val="18"/>
                <w:szCs w:val="18"/>
              </w:rPr>
            </w:pPr>
            <w:r w:rsidRPr="00C5308E">
              <w:rPr>
                <w:rFonts w:ascii="Verdana" w:hAnsi="Verdana"/>
                <w:bCs/>
                <w:sz w:val="18"/>
                <w:szCs w:val="18"/>
              </w:rPr>
              <w:t>Totaal</w:t>
            </w:r>
          </w:p>
        </w:tc>
        <w:tc>
          <w:tcPr>
            <w:tcW w:w="652" w:type="dxa"/>
            <w:noWrap/>
            <w:vAlign w:val="bottom"/>
          </w:tcPr>
          <w:p w:rsidRPr="00C5308E" w:rsidR="0076594D" w:rsidP="00D87753" w:rsidRDefault="0076594D" w14:paraId="0E54F069" w14:textId="77777777">
            <w:pPr>
              <w:spacing w:after="0" w:line="240" w:lineRule="auto"/>
              <w:contextualSpacing/>
              <w:rPr>
                <w:rFonts w:ascii="Verdana" w:hAnsi="Verdana"/>
                <w:bCs/>
                <w:sz w:val="18"/>
                <w:szCs w:val="18"/>
              </w:rPr>
            </w:pPr>
            <w:r w:rsidRPr="00C5308E">
              <w:rPr>
                <w:rFonts w:ascii="Verdana" w:hAnsi="Verdana"/>
                <w:bCs/>
                <w:sz w:val="18"/>
                <w:szCs w:val="18"/>
              </w:rPr>
              <w:t>42</w:t>
            </w:r>
          </w:p>
        </w:tc>
        <w:tc>
          <w:tcPr>
            <w:tcW w:w="652" w:type="dxa"/>
            <w:noWrap/>
            <w:vAlign w:val="bottom"/>
          </w:tcPr>
          <w:p w:rsidRPr="00C5308E" w:rsidR="0076594D" w:rsidP="00D87753" w:rsidRDefault="0076594D" w14:paraId="6B979F05" w14:textId="77777777">
            <w:pPr>
              <w:spacing w:after="0" w:line="240" w:lineRule="auto"/>
              <w:contextualSpacing/>
              <w:rPr>
                <w:rFonts w:ascii="Verdana" w:hAnsi="Verdana"/>
                <w:bCs/>
                <w:sz w:val="18"/>
                <w:szCs w:val="18"/>
              </w:rPr>
            </w:pPr>
            <w:r w:rsidRPr="00C5308E">
              <w:rPr>
                <w:rFonts w:ascii="Verdana" w:hAnsi="Verdana"/>
                <w:bCs/>
                <w:sz w:val="18"/>
                <w:szCs w:val="18"/>
              </w:rPr>
              <w:t>67</w:t>
            </w:r>
          </w:p>
        </w:tc>
        <w:tc>
          <w:tcPr>
            <w:tcW w:w="652" w:type="dxa"/>
            <w:noWrap/>
            <w:vAlign w:val="bottom"/>
          </w:tcPr>
          <w:p w:rsidRPr="00C5308E" w:rsidR="0076594D" w:rsidP="00D87753" w:rsidRDefault="0076594D" w14:paraId="32BC6978" w14:textId="77777777">
            <w:pPr>
              <w:spacing w:after="0" w:line="240" w:lineRule="auto"/>
              <w:contextualSpacing/>
              <w:rPr>
                <w:rFonts w:ascii="Verdana" w:hAnsi="Verdana"/>
                <w:bCs/>
                <w:sz w:val="18"/>
                <w:szCs w:val="18"/>
              </w:rPr>
            </w:pPr>
            <w:r w:rsidRPr="00C5308E">
              <w:rPr>
                <w:rFonts w:ascii="Verdana" w:hAnsi="Verdana"/>
                <w:bCs/>
                <w:sz w:val="18"/>
                <w:szCs w:val="18"/>
              </w:rPr>
              <w:t>53</w:t>
            </w:r>
          </w:p>
        </w:tc>
        <w:tc>
          <w:tcPr>
            <w:tcW w:w="652" w:type="dxa"/>
            <w:noWrap/>
            <w:vAlign w:val="bottom"/>
          </w:tcPr>
          <w:p w:rsidRPr="00C5308E" w:rsidR="0076594D" w:rsidP="00D87753" w:rsidRDefault="0076594D" w14:paraId="0126F4BE"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noWrap/>
            <w:vAlign w:val="bottom"/>
          </w:tcPr>
          <w:p w:rsidRPr="00C5308E" w:rsidR="0076594D" w:rsidP="00D87753" w:rsidRDefault="0076594D" w14:paraId="4E87CFD3"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noWrap/>
            <w:vAlign w:val="bottom"/>
          </w:tcPr>
          <w:p w:rsidRPr="00C5308E" w:rsidR="0076594D" w:rsidP="00D87753" w:rsidRDefault="0076594D" w14:paraId="4B3CB156"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652" w:type="dxa"/>
          </w:tcPr>
          <w:p w:rsidRPr="00C5308E" w:rsidR="0076594D" w:rsidP="00D87753" w:rsidRDefault="0076594D" w14:paraId="726C13D2" w14:textId="77777777">
            <w:pPr>
              <w:spacing w:after="0" w:line="240" w:lineRule="auto"/>
              <w:contextualSpacing/>
              <w:rPr>
                <w:rFonts w:ascii="Verdana" w:hAnsi="Verdana"/>
                <w:bCs/>
                <w:sz w:val="18"/>
                <w:szCs w:val="18"/>
              </w:rPr>
            </w:pPr>
            <w:r w:rsidRPr="00C5308E">
              <w:rPr>
                <w:rFonts w:ascii="Verdana" w:hAnsi="Verdana"/>
                <w:bCs/>
                <w:sz w:val="18"/>
                <w:szCs w:val="18"/>
              </w:rPr>
              <w:t>271</w:t>
            </w:r>
          </w:p>
        </w:tc>
        <w:tc>
          <w:tcPr>
            <w:tcW w:w="680" w:type="dxa"/>
            <w:vAlign w:val="bottom"/>
          </w:tcPr>
          <w:p w:rsidRPr="00C5308E" w:rsidR="0076594D" w:rsidP="00D87753" w:rsidRDefault="0076594D" w14:paraId="3741487D" w14:textId="77777777">
            <w:pPr>
              <w:spacing w:after="0" w:line="240" w:lineRule="auto"/>
              <w:contextualSpacing/>
              <w:rPr>
                <w:rFonts w:ascii="Verdana" w:hAnsi="Verdana"/>
                <w:bCs/>
                <w:sz w:val="18"/>
                <w:szCs w:val="18"/>
              </w:rPr>
            </w:pPr>
            <w:r w:rsidRPr="00C5308E">
              <w:rPr>
                <w:rFonts w:ascii="Verdana" w:hAnsi="Verdana"/>
                <w:bCs/>
                <w:sz w:val="18"/>
                <w:szCs w:val="18"/>
              </w:rPr>
              <w:t>36</w:t>
            </w:r>
          </w:p>
        </w:tc>
      </w:tr>
    </w:tbl>
    <w:p w:rsidRPr="00C5308E" w:rsidR="0076594D" w:rsidP="00D87753" w:rsidRDefault="0076594D" w14:paraId="25645AD0" w14:textId="77777777">
      <w:pPr>
        <w:spacing w:after="0" w:line="240" w:lineRule="auto"/>
        <w:contextualSpacing/>
        <w:rPr>
          <w:rFonts w:ascii="Verdana" w:hAnsi="Verdana"/>
          <w:bCs/>
          <w:sz w:val="16"/>
          <w:szCs w:val="16"/>
        </w:rPr>
      </w:pPr>
      <w:r w:rsidRPr="00C5308E">
        <w:rPr>
          <w:rFonts w:ascii="Verdana" w:hAnsi="Verdana"/>
          <w:bCs/>
          <w:sz w:val="16"/>
          <w:szCs w:val="16"/>
        </w:rPr>
        <w:t>* Bevat ook een kasschuif van 2025 naar 2026.</w:t>
      </w:r>
    </w:p>
    <w:p w:rsidRPr="00C5308E" w:rsidR="0076594D" w:rsidP="00D87753" w:rsidRDefault="0076594D" w14:paraId="15FCB05C" w14:textId="77777777">
      <w:pPr>
        <w:spacing w:after="0" w:line="240" w:lineRule="auto"/>
        <w:contextualSpacing/>
        <w:rPr>
          <w:rFonts w:ascii="Verdana" w:hAnsi="Verdana"/>
          <w:bCs/>
          <w:sz w:val="16"/>
          <w:szCs w:val="16"/>
        </w:rPr>
      </w:pPr>
      <w:r w:rsidRPr="00C5308E">
        <w:rPr>
          <w:rFonts w:ascii="Verdana" w:hAnsi="Verdana"/>
          <w:bCs/>
          <w:sz w:val="16"/>
          <w:szCs w:val="16"/>
        </w:rPr>
        <w:t>** Hierover zijn prestatieafspraken gemaakt met het UWV. Als de effecten uitblijven of tegenvallen zal de bestemming van deze middelen opnieuw worden bezien.</w:t>
      </w:r>
    </w:p>
    <w:p w:rsidRPr="00C5308E" w:rsidR="00FE7425" w:rsidP="00D87753" w:rsidRDefault="00FE7425" w14:paraId="4EABEE10" w14:textId="77777777">
      <w:pPr>
        <w:spacing w:after="0" w:line="240" w:lineRule="auto"/>
        <w:contextualSpacing/>
        <w:rPr>
          <w:rFonts w:ascii="Verdana" w:hAnsi="Verdana"/>
          <w:bCs/>
          <w:sz w:val="18"/>
          <w:szCs w:val="18"/>
          <w:u w:val="single"/>
        </w:rPr>
      </w:pPr>
    </w:p>
    <w:p w:rsidRPr="00C5308E" w:rsidR="0076594D" w:rsidP="00D87753" w:rsidRDefault="0076594D" w14:paraId="1772623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61</w:t>
      </w:r>
    </w:p>
    <w:p w:rsidRPr="00C5308E" w:rsidR="0076594D" w:rsidP="00D87753" w:rsidRDefault="0076594D" w14:paraId="1A2E8FA8" w14:textId="77777777">
      <w:pPr>
        <w:spacing w:after="0" w:line="240" w:lineRule="auto"/>
        <w:contextualSpacing/>
        <w:rPr>
          <w:rFonts w:ascii="Verdana" w:hAnsi="Verdana"/>
          <w:bCs/>
          <w:sz w:val="18"/>
          <w:szCs w:val="18"/>
        </w:rPr>
      </w:pPr>
      <w:r w:rsidRPr="00C5308E">
        <w:rPr>
          <w:rFonts w:ascii="Verdana" w:hAnsi="Verdana"/>
          <w:bCs/>
          <w:sz w:val="18"/>
          <w:szCs w:val="18"/>
        </w:rPr>
        <w:t>Worden de bezuinigingen bij Volksgezondheid, Welzijn en Sport (VWS) en SZW doorgevoerd op trajecten gericht op automatische toekenning van rechten zoals huur- of zorgtoeslag, of op de digitalisering van toegang tot het sociaal minimum?</w:t>
      </w:r>
    </w:p>
    <w:p w:rsidRPr="00C5308E" w:rsidR="0076594D" w:rsidP="00D87753" w:rsidRDefault="0076594D" w14:paraId="0749D1F0" w14:textId="77777777">
      <w:pPr>
        <w:spacing w:after="0" w:line="240" w:lineRule="auto"/>
        <w:contextualSpacing/>
        <w:rPr>
          <w:rFonts w:ascii="Verdana" w:hAnsi="Verdana"/>
          <w:bCs/>
          <w:sz w:val="18"/>
          <w:szCs w:val="18"/>
        </w:rPr>
      </w:pPr>
    </w:p>
    <w:p w:rsidRPr="00C5308E" w:rsidR="0076594D" w:rsidP="00D87753" w:rsidRDefault="0076594D" w14:paraId="3607969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61</w:t>
      </w:r>
    </w:p>
    <w:p w:rsidRPr="00C5308E" w:rsidR="0076594D" w:rsidP="00D87753" w:rsidRDefault="0076594D" w14:paraId="5C29E83D" w14:textId="77777777">
      <w:pPr>
        <w:spacing w:after="0" w:line="240" w:lineRule="auto"/>
        <w:contextualSpacing/>
        <w:rPr>
          <w:rFonts w:ascii="Verdana" w:hAnsi="Verdana"/>
          <w:bCs/>
          <w:sz w:val="18"/>
          <w:szCs w:val="18"/>
        </w:rPr>
      </w:pPr>
      <w:r w:rsidRPr="00C5308E">
        <w:rPr>
          <w:rFonts w:ascii="Verdana" w:hAnsi="Verdana"/>
          <w:bCs/>
          <w:sz w:val="18"/>
          <w:szCs w:val="18"/>
        </w:rPr>
        <w:t>Nee, er zijn er geen bezuinigingen bij VWS en SZW doorgevoerd op trajecten gericht op automatische toekenning van rechten of op de digitalisering van toegang tot het sociaal minimum.</w:t>
      </w:r>
    </w:p>
    <w:p w:rsidRPr="00560DA6" w:rsidR="0052736B" w:rsidP="0052736B" w:rsidRDefault="0052736B" w14:paraId="6618203B" w14:textId="3400DD73">
      <w:pPr>
        <w:spacing w:after="0" w:line="240" w:lineRule="auto"/>
        <w:contextualSpacing/>
        <w:rPr>
          <w:rFonts w:ascii="Verdana" w:hAnsi="Verdana"/>
          <w:bCs/>
          <w:sz w:val="18"/>
          <w:szCs w:val="18"/>
        </w:rPr>
      </w:pPr>
      <w:r w:rsidRPr="00560DA6">
        <w:rPr>
          <w:rFonts w:ascii="Verdana" w:hAnsi="Verdana"/>
          <w:bCs/>
          <w:sz w:val="18"/>
          <w:szCs w:val="18"/>
        </w:rPr>
        <w:t xml:space="preserve">Deze vraag is </w:t>
      </w:r>
      <w:r w:rsidR="009E5C06">
        <w:rPr>
          <w:rFonts w:ascii="Verdana" w:hAnsi="Verdana"/>
          <w:bCs/>
          <w:sz w:val="18"/>
          <w:szCs w:val="18"/>
        </w:rPr>
        <w:t xml:space="preserve">wat betreft VWS </w:t>
      </w:r>
      <w:r w:rsidRPr="00560DA6">
        <w:rPr>
          <w:rFonts w:ascii="Verdana" w:hAnsi="Verdana"/>
          <w:bCs/>
          <w:sz w:val="18"/>
          <w:szCs w:val="18"/>
        </w:rPr>
        <w:t xml:space="preserve">door het ministerie </w:t>
      </w:r>
      <w:r w:rsidR="009E5C06">
        <w:rPr>
          <w:rFonts w:ascii="Verdana" w:hAnsi="Verdana"/>
          <w:bCs/>
          <w:sz w:val="18"/>
          <w:szCs w:val="18"/>
        </w:rPr>
        <w:t xml:space="preserve">van VWS </w:t>
      </w:r>
      <w:r w:rsidRPr="00560DA6">
        <w:rPr>
          <w:rFonts w:ascii="Verdana" w:hAnsi="Verdana"/>
          <w:bCs/>
          <w:sz w:val="18"/>
          <w:szCs w:val="18"/>
        </w:rPr>
        <w:t>beantwoord, voor vervolgvragen verwijzen wij u graag naar de minister van VWS.</w:t>
      </w:r>
    </w:p>
    <w:p w:rsidRPr="00C5308E" w:rsidR="0076594D" w:rsidP="00D87753" w:rsidRDefault="0076594D" w14:paraId="5404BA59" w14:textId="77777777">
      <w:pPr>
        <w:spacing w:after="0" w:line="240" w:lineRule="auto"/>
        <w:contextualSpacing/>
        <w:rPr>
          <w:rFonts w:ascii="Verdana" w:hAnsi="Verdana"/>
          <w:bCs/>
          <w:sz w:val="18"/>
          <w:szCs w:val="18"/>
          <w:u w:val="single"/>
        </w:rPr>
      </w:pPr>
    </w:p>
    <w:p w:rsidRPr="00C5308E" w:rsidR="009E40FF" w:rsidP="00D87753" w:rsidRDefault="009E40FF" w14:paraId="104269F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62</w:t>
      </w:r>
    </w:p>
    <w:p w:rsidRPr="00C5308E" w:rsidR="009E40FF" w:rsidP="00D87753" w:rsidRDefault="009E40FF" w14:paraId="5EE75A21" w14:textId="77777777">
      <w:pPr>
        <w:spacing w:after="0" w:line="240" w:lineRule="auto"/>
        <w:contextualSpacing/>
        <w:rPr>
          <w:rFonts w:ascii="Verdana" w:hAnsi="Verdana"/>
          <w:bCs/>
          <w:sz w:val="18"/>
          <w:szCs w:val="18"/>
        </w:rPr>
      </w:pPr>
      <w:r w:rsidRPr="00C5308E">
        <w:rPr>
          <w:rFonts w:ascii="Verdana" w:hAnsi="Verdana"/>
          <w:bCs/>
          <w:sz w:val="18"/>
          <w:szCs w:val="18"/>
        </w:rPr>
        <w:t>Hoe verhoudt de afroming van de envelop Groepen in de knel zich tot de kabinetsdoelstelling om een adequaat sociaal minimum te garanderen en waarom is hiervoor gekozen?</w:t>
      </w:r>
    </w:p>
    <w:p w:rsidRPr="00C5308E" w:rsidR="009E40FF" w:rsidP="00D87753" w:rsidRDefault="009E40FF" w14:paraId="6C798F6F" w14:textId="77777777">
      <w:pPr>
        <w:spacing w:after="0" w:line="240" w:lineRule="auto"/>
        <w:contextualSpacing/>
        <w:rPr>
          <w:rFonts w:ascii="Verdana" w:hAnsi="Verdana"/>
          <w:bCs/>
          <w:sz w:val="18"/>
          <w:szCs w:val="18"/>
        </w:rPr>
      </w:pPr>
    </w:p>
    <w:p w:rsidRPr="00C5308E" w:rsidR="009E40FF" w:rsidP="00D87753" w:rsidRDefault="009E40FF" w14:paraId="0E80814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62</w:t>
      </w:r>
    </w:p>
    <w:p w:rsidRPr="00C5308E" w:rsidR="009E40FF" w:rsidP="00D87753" w:rsidRDefault="009E40FF" w14:paraId="72ED10B4" w14:textId="6B1E8C88">
      <w:pPr>
        <w:spacing w:after="0" w:line="240" w:lineRule="auto"/>
        <w:contextualSpacing/>
        <w:rPr>
          <w:rFonts w:ascii="Verdana" w:hAnsi="Verdana"/>
          <w:bCs/>
          <w:sz w:val="18"/>
          <w:szCs w:val="18"/>
        </w:rPr>
      </w:pPr>
      <w:r w:rsidRPr="00C5308E">
        <w:rPr>
          <w:rFonts w:ascii="Verdana" w:hAnsi="Verdana"/>
          <w:bCs/>
          <w:sz w:val="18"/>
          <w:szCs w:val="18"/>
        </w:rPr>
        <w:t xml:space="preserve">Het kabinet vindt het van belang om huishoudens op het sociaal minimum te ondersteunen. Daarom heeft het kabinet vanaf 2025 het kindgebonden budget verhoogd en de huurtoeslag vereenvoudigd. De huurtoeslag wordt daarnaast vanaf 2026 verder verhoogd. Daarnaast treft het kabinet specifieke maatregelen voor groepen in de knel uit de envelop Groepen in de knel. Zo wordt onder meer het minimumjeugdloon verhoogd, de financiering van beschut werk verbeterd, worden afgewezen Wajongeren in de Participatiewet ondersteund in de ontwikkeling van arbeidsvermogen en wordt de Toeslagenwet vereenvoudigd. Er zijn vele terreinen die aandacht vragen van het kabinet. Daarom heeft het kabinet in de voorjaarsbesluitvorming keuzes moeten maken en onder meer besloten om een deel van de middelen uit de envelop Groepen in de knel af te romen. </w:t>
      </w:r>
    </w:p>
    <w:p w:rsidRPr="00C5308E" w:rsidR="000243CF" w:rsidP="00D87753" w:rsidRDefault="000243CF" w14:paraId="4C6DA524" w14:textId="77777777">
      <w:pPr>
        <w:spacing w:after="0" w:line="240" w:lineRule="auto"/>
        <w:contextualSpacing/>
        <w:rPr>
          <w:rFonts w:ascii="Verdana" w:hAnsi="Verdana"/>
          <w:bCs/>
          <w:sz w:val="18"/>
          <w:szCs w:val="18"/>
          <w:u w:val="single"/>
        </w:rPr>
      </w:pPr>
    </w:p>
    <w:p w:rsidRPr="00C5308E" w:rsidR="009835CB" w:rsidP="00D87753" w:rsidRDefault="009835CB" w14:paraId="385E9DE6" w14:textId="29C5ACF0">
      <w:pPr>
        <w:spacing w:after="0" w:line="240" w:lineRule="auto"/>
        <w:contextualSpacing/>
        <w:rPr>
          <w:rFonts w:ascii="Verdana" w:hAnsi="Verdana"/>
          <w:bCs/>
          <w:sz w:val="18"/>
          <w:szCs w:val="18"/>
          <w:u w:val="single"/>
        </w:rPr>
      </w:pPr>
      <w:r w:rsidRPr="00C5308E">
        <w:rPr>
          <w:rFonts w:ascii="Verdana" w:hAnsi="Verdana"/>
          <w:bCs/>
          <w:sz w:val="18"/>
          <w:szCs w:val="18"/>
          <w:u w:val="single"/>
        </w:rPr>
        <w:t>Vraag 63</w:t>
      </w:r>
    </w:p>
    <w:p w:rsidRPr="00C5308E" w:rsidR="009835CB" w:rsidP="00D87753" w:rsidRDefault="009835CB" w14:paraId="20DC5A8C" w14:textId="77777777">
      <w:pPr>
        <w:spacing w:after="0" w:line="240" w:lineRule="auto"/>
        <w:contextualSpacing/>
        <w:rPr>
          <w:rFonts w:ascii="Verdana" w:hAnsi="Verdana"/>
          <w:bCs/>
          <w:sz w:val="18"/>
          <w:szCs w:val="18"/>
        </w:rPr>
      </w:pPr>
      <w:r w:rsidRPr="00C5308E">
        <w:rPr>
          <w:rFonts w:ascii="Verdana" w:hAnsi="Verdana"/>
          <w:bCs/>
          <w:sz w:val="18"/>
          <w:szCs w:val="18"/>
        </w:rPr>
        <w:t>Hoeveel van de toegezegde middelen voor het schrappen van de bezuiniging op de kinderopvang en het flankerend beleid is reeds juridisch verplicht, en welk deel is nog kasschuifgevoelig?</w:t>
      </w:r>
    </w:p>
    <w:p w:rsidRPr="00C5308E" w:rsidR="009835CB" w:rsidP="00D87753" w:rsidRDefault="009835CB" w14:paraId="408A661B" w14:textId="77777777">
      <w:pPr>
        <w:spacing w:after="0" w:line="240" w:lineRule="auto"/>
        <w:contextualSpacing/>
        <w:rPr>
          <w:rFonts w:ascii="Verdana" w:hAnsi="Verdana"/>
          <w:bCs/>
          <w:sz w:val="18"/>
          <w:szCs w:val="18"/>
          <w:u w:val="single"/>
        </w:rPr>
      </w:pPr>
    </w:p>
    <w:p w:rsidRPr="00C5308E" w:rsidR="009835CB" w:rsidP="00D87753" w:rsidRDefault="009835CB" w14:paraId="187BEAF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63</w:t>
      </w:r>
    </w:p>
    <w:p w:rsidRPr="00C5308E" w:rsidR="009835CB" w:rsidP="00D87753" w:rsidRDefault="009835CB" w14:paraId="64F187FA" w14:textId="77777777">
      <w:pPr>
        <w:spacing w:after="0" w:line="240" w:lineRule="auto"/>
        <w:contextualSpacing/>
        <w:rPr>
          <w:rFonts w:ascii="Verdana" w:hAnsi="Verdana"/>
          <w:bCs/>
          <w:sz w:val="18"/>
          <w:szCs w:val="18"/>
        </w:rPr>
      </w:pPr>
      <w:r w:rsidRPr="00C5308E">
        <w:rPr>
          <w:rFonts w:ascii="Verdana" w:hAnsi="Verdana"/>
          <w:bCs/>
          <w:sz w:val="18"/>
          <w:szCs w:val="18"/>
        </w:rPr>
        <w:t>De middelen voor het schrappen van de bezuiniging op de kinderopvang en de middelen die zijn gereserveerd voor flankerend beleid zijn nog niet juridisch verplicht. De maximaal vergoede tarieven, de inkomensgrenzen en de vergoedingspercentages dienen voor aanvang van ieder kalenderjaar vastgesteld te worden middels een algemene maatregel van bestuur. Deze maatregel van bestuur kent een voorhangprocedure. Ook de middelen voor het flankerende beleid zijn niet juridisch verplicht, totdat daarvoor een concrete regeling is gepubliceerd of een overeenkomst is gesloten. Kasschuiven zijn voor beide niet voorzien.</w:t>
      </w:r>
    </w:p>
    <w:p w:rsidRPr="00C5308E" w:rsidR="00FB0D7D" w:rsidP="00D87753" w:rsidRDefault="00FB0D7D" w14:paraId="27825B21" w14:textId="77777777">
      <w:pPr>
        <w:spacing w:after="0" w:line="240" w:lineRule="auto"/>
        <w:contextualSpacing/>
        <w:rPr>
          <w:rFonts w:ascii="Verdana" w:hAnsi="Verdana"/>
          <w:bCs/>
          <w:sz w:val="18"/>
          <w:szCs w:val="18"/>
        </w:rPr>
      </w:pPr>
    </w:p>
    <w:p w:rsidRPr="00C5308E" w:rsidR="009835CB" w:rsidP="00D87753" w:rsidRDefault="009835CB" w14:paraId="1CCD134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64</w:t>
      </w:r>
    </w:p>
    <w:p w:rsidRPr="00C5308E" w:rsidR="009835CB" w:rsidP="00D87753" w:rsidRDefault="009835CB" w14:paraId="02689D67" w14:textId="77777777">
      <w:pPr>
        <w:spacing w:after="0" w:line="240" w:lineRule="auto"/>
        <w:contextualSpacing/>
        <w:rPr>
          <w:rFonts w:ascii="Verdana" w:hAnsi="Verdana"/>
          <w:bCs/>
          <w:sz w:val="18"/>
          <w:szCs w:val="18"/>
        </w:rPr>
      </w:pPr>
      <w:r w:rsidRPr="00C5308E">
        <w:rPr>
          <w:rFonts w:ascii="Verdana" w:hAnsi="Verdana"/>
          <w:bCs/>
          <w:sz w:val="18"/>
          <w:szCs w:val="18"/>
        </w:rPr>
        <w:t>Klopt het dat de realisatie ingangsdatum voor het nieuwe kinderopvangstelsel is doorgeschoven? Zo ja, wat zijn daarvan de budgettaire gevolgen per jaar?</w:t>
      </w:r>
    </w:p>
    <w:p w:rsidRPr="00C5308E" w:rsidR="009835CB" w:rsidP="00D87753" w:rsidRDefault="009835CB" w14:paraId="026B2468" w14:textId="77777777">
      <w:pPr>
        <w:spacing w:after="0" w:line="240" w:lineRule="auto"/>
        <w:contextualSpacing/>
        <w:rPr>
          <w:rFonts w:ascii="Verdana" w:hAnsi="Verdana"/>
          <w:bCs/>
          <w:sz w:val="18"/>
          <w:szCs w:val="18"/>
          <w:u w:val="single"/>
        </w:rPr>
      </w:pPr>
    </w:p>
    <w:p w:rsidRPr="00C5308E" w:rsidR="009835CB" w:rsidP="00D87753" w:rsidRDefault="009835CB" w14:paraId="63604EC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64</w:t>
      </w:r>
    </w:p>
    <w:p w:rsidRPr="00C5308E" w:rsidR="00FB4061" w:rsidP="00FB4061" w:rsidRDefault="009835CB" w14:paraId="44351FA3"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invoering van een nieuw financieringsstelsel voor kinderopvang betekent een ingrijpende wijziging voor zowel de sector als de uitvoering. </w:t>
      </w:r>
      <w:r w:rsidRPr="00C5308E" w:rsidR="00783E4D">
        <w:rPr>
          <w:rFonts w:ascii="Verdana" w:hAnsi="Verdana"/>
          <w:bCs/>
          <w:sz w:val="18"/>
          <w:szCs w:val="18"/>
        </w:rPr>
        <w:t>Ja, het klopt dat h</w:t>
      </w:r>
      <w:r w:rsidRPr="00C5308E">
        <w:rPr>
          <w:rFonts w:ascii="Verdana" w:hAnsi="Verdana"/>
          <w:bCs/>
          <w:sz w:val="18"/>
          <w:szCs w:val="18"/>
        </w:rPr>
        <w:t xml:space="preserve">et kabinet heeft besloten om meer </w:t>
      </w:r>
      <w:r w:rsidRPr="00C5308E" w:rsidR="00F1770A">
        <w:rPr>
          <w:rFonts w:ascii="Verdana" w:hAnsi="Verdana"/>
          <w:bCs/>
          <w:sz w:val="18"/>
          <w:szCs w:val="18"/>
        </w:rPr>
        <w:t>tijd</w:t>
      </w:r>
      <w:r w:rsidRPr="00C5308E">
        <w:rPr>
          <w:rFonts w:ascii="Verdana" w:hAnsi="Verdana"/>
          <w:bCs/>
          <w:sz w:val="18"/>
          <w:szCs w:val="18"/>
        </w:rPr>
        <w:t xml:space="preserve"> te nemen voor de implementatie van en overgang naar het nieuwe financieringsstelsel. </w:t>
      </w:r>
      <w:r w:rsidRPr="00C5308E" w:rsidR="00783E4D">
        <w:rPr>
          <w:rFonts w:ascii="Verdana" w:hAnsi="Verdana"/>
          <w:bCs/>
          <w:sz w:val="18"/>
          <w:szCs w:val="18"/>
        </w:rPr>
        <w:t xml:space="preserve">Een gelijk ingroeipad </w:t>
      </w:r>
      <w:r w:rsidRPr="00C5308E">
        <w:rPr>
          <w:rFonts w:ascii="Verdana" w:hAnsi="Verdana"/>
          <w:bCs/>
          <w:sz w:val="18"/>
          <w:szCs w:val="18"/>
        </w:rPr>
        <w:t>geeft ook de sector meer tijd om het aantal kindplaatsen mee te laten groeien met de verwachte toename van de vraag naar kinderopvang. In 2029 moet het nieuwe financieringsstelsel ingaan.</w:t>
      </w:r>
      <w:r w:rsidR="00FB4061">
        <w:rPr>
          <w:rFonts w:ascii="Verdana" w:hAnsi="Verdana"/>
          <w:bCs/>
          <w:sz w:val="18"/>
          <w:szCs w:val="18"/>
        </w:rPr>
        <w:t xml:space="preserve"> Tegelijkertijd draait het kabinet </w:t>
      </w:r>
      <w:r w:rsidRPr="00C2639C" w:rsidR="00FB4061">
        <w:rPr>
          <w:rFonts w:ascii="Verdana" w:hAnsi="Verdana"/>
          <w:bCs/>
          <w:sz w:val="18"/>
          <w:szCs w:val="18"/>
        </w:rPr>
        <w:t>de</w:t>
      </w:r>
      <w:r w:rsidR="00FB4061">
        <w:rPr>
          <w:rFonts w:ascii="Verdana" w:hAnsi="Verdana"/>
          <w:bCs/>
          <w:sz w:val="18"/>
          <w:szCs w:val="18"/>
        </w:rPr>
        <w:t xml:space="preserve"> maatregel</w:t>
      </w:r>
      <w:r w:rsidRPr="00C2639C" w:rsidR="00FB4061">
        <w:rPr>
          <w:rFonts w:ascii="Verdana" w:hAnsi="Verdana"/>
          <w:bCs/>
          <w:sz w:val="18"/>
          <w:szCs w:val="18"/>
        </w:rPr>
        <w:t xml:space="preserve"> uit het </w:t>
      </w:r>
      <w:r w:rsidR="00FB4061">
        <w:rPr>
          <w:rFonts w:ascii="Verdana" w:hAnsi="Verdana"/>
          <w:bCs/>
          <w:sz w:val="18"/>
          <w:szCs w:val="18"/>
        </w:rPr>
        <w:t>H</w:t>
      </w:r>
      <w:r w:rsidRPr="00C2639C" w:rsidR="00FB4061">
        <w:rPr>
          <w:rFonts w:ascii="Verdana" w:hAnsi="Verdana"/>
          <w:bCs/>
          <w:sz w:val="18"/>
          <w:szCs w:val="18"/>
        </w:rPr>
        <w:t xml:space="preserve">oofdlĳnenakkoord om de maximum uurprĳzen in 2026 eenmalig niet te indexeren </w:t>
      </w:r>
      <w:r w:rsidR="00FB4061">
        <w:rPr>
          <w:rFonts w:ascii="Verdana" w:hAnsi="Verdana"/>
          <w:bCs/>
          <w:sz w:val="18"/>
          <w:szCs w:val="18"/>
        </w:rPr>
        <w:t>terug</w:t>
      </w:r>
      <w:r w:rsidRPr="00C2639C" w:rsidR="00FB4061">
        <w:rPr>
          <w:rFonts w:ascii="Verdana" w:hAnsi="Verdana"/>
          <w:bCs/>
          <w:sz w:val="18"/>
          <w:szCs w:val="18"/>
        </w:rPr>
        <w:t xml:space="preserve">. Dat </w:t>
      </w:r>
      <w:r w:rsidRPr="00C2639C" w:rsidR="00FB4061">
        <w:rPr>
          <w:rFonts w:ascii="Verdana" w:hAnsi="Verdana"/>
          <w:bCs/>
          <w:sz w:val="18"/>
          <w:szCs w:val="18"/>
        </w:rPr>
        <w:lastRenderedPageBreak/>
        <w:t>betekent dat de maximum uurprĳzen in 2026 aangepast worden aan de verwachte loon- en prĳsontwikkeling.</w:t>
      </w:r>
      <w:r w:rsidR="00FB4061">
        <w:rPr>
          <w:rFonts w:ascii="Verdana" w:hAnsi="Verdana"/>
          <w:bCs/>
          <w:sz w:val="18"/>
          <w:szCs w:val="18"/>
        </w:rPr>
        <w:t xml:space="preserve"> </w:t>
      </w:r>
    </w:p>
    <w:p w:rsidRPr="00C5308E" w:rsidR="009835CB" w:rsidP="00D87753" w:rsidRDefault="009835CB" w14:paraId="3FF1F516" w14:textId="77777777">
      <w:pPr>
        <w:spacing w:after="0" w:line="240" w:lineRule="auto"/>
        <w:contextualSpacing/>
        <w:rPr>
          <w:rFonts w:ascii="Verdana" w:hAnsi="Verdana"/>
          <w:bCs/>
          <w:sz w:val="18"/>
          <w:szCs w:val="18"/>
        </w:rPr>
      </w:pPr>
    </w:p>
    <w:p w:rsidRPr="00C5308E" w:rsidR="009835CB" w:rsidP="00D87753" w:rsidRDefault="009835CB" w14:paraId="40543299" w14:textId="77777777">
      <w:pPr>
        <w:spacing w:after="0" w:line="240" w:lineRule="auto"/>
        <w:contextualSpacing/>
        <w:rPr>
          <w:rFonts w:ascii="Verdana" w:hAnsi="Verdana"/>
          <w:bCs/>
          <w:sz w:val="18"/>
          <w:szCs w:val="18"/>
        </w:rPr>
      </w:pPr>
      <w:r w:rsidRPr="00C5308E">
        <w:rPr>
          <w:rFonts w:ascii="Verdana" w:hAnsi="Verdana"/>
          <w:bCs/>
          <w:sz w:val="18"/>
          <w:szCs w:val="18"/>
        </w:rPr>
        <w:t>In de SZW-begroting voor 2025 was invoering van het nieuwe financieringsstelsel nog voorzien per 1-1-2027. Onderstaande tabel toont de budgettaire mutaties die met dit besluit samenhangen.</w:t>
      </w:r>
    </w:p>
    <w:p w:rsidRPr="00C5308E" w:rsidR="009835CB" w:rsidP="00D87753" w:rsidRDefault="009835CB" w14:paraId="3D640829" w14:textId="77777777">
      <w:pPr>
        <w:spacing w:after="0" w:line="240" w:lineRule="auto"/>
        <w:contextualSpacing/>
        <w:rPr>
          <w:rFonts w:ascii="Verdana" w:hAnsi="Verdana"/>
          <w:bCs/>
          <w:sz w:val="18"/>
          <w:szCs w:val="18"/>
        </w:rPr>
      </w:pPr>
    </w:p>
    <w:tbl>
      <w:tblPr>
        <w:tblW w:w="9660" w:type="dxa"/>
        <w:tblCellMar>
          <w:left w:w="70" w:type="dxa"/>
          <w:right w:w="70" w:type="dxa"/>
        </w:tblCellMar>
        <w:tblLook w:val="04A0" w:firstRow="1" w:lastRow="0" w:firstColumn="1" w:lastColumn="0" w:noHBand="0" w:noVBand="1"/>
      </w:tblPr>
      <w:tblGrid>
        <w:gridCol w:w="3900"/>
        <w:gridCol w:w="960"/>
        <w:gridCol w:w="960"/>
        <w:gridCol w:w="960"/>
        <w:gridCol w:w="960"/>
        <w:gridCol w:w="960"/>
        <w:gridCol w:w="960"/>
      </w:tblGrid>
      <w:tr w:rsidRPr="00C5308E" w:rsidR="009835CB" w:rsidTr="003C75FE" w14:paraId="378DC5FF" w14:textId="77777777">
        <w:trPr>
          <w:trHeight w:val="300"/>
        </w:trPr>
        <w:tc>
          <w:tcPr>
            <w:tcW w:w="3900" w:type="dxa"/>
            <w:tcBorders>
              <w:top w:val="nil"/>
              <w:left w:val="nil"/>
              <w:bottom w:val="nil"/>
              <w:right w:val="nil"/>
            </w:tcBorders>
            <w:shd w:val="clear" w:color="auto" w:fill="auto"/>
            <w:noWrap/>
            <w:vAlign w:val="center"/>
            <w:hideMark/>
          </w:tcPr>
          <w:p w:rsidRPr="00C5308E" w:rsidR="009835CB" w:rsidP="00D87753" w:rsidRDefault="009835CB" w14:paraId="4199DEF1" w14:textId="785F2546">
            <w:pPr>
              <w:spacing w:after="0" w:line="240" w:lineRule="auto"/>
              <w:contextualSpacing/>
              <w:rPr>
                <w:rFonts w:ascii="Verdana" w:hAnsi="Verdana" w:eastAsia="Times New Roman" w:cs="Times New Roman"/>
                <w:bCs/>
                <w:i/>
                <w:iCs/>
                <w:color w:val="000000"/>
                <w:sz w:val="18"/>
                <w:szCs w:val="18"/>
                <w:lang w:eastAsia="nl-NL"/>
              </w:rPr>
            </w:pPr>
            <w:r w:rsidRPr="00C5308E">
              <w:rPr>
                <w:rFonts w:ascii="Verdana" w:hAnsi="Verdana" w:eastAsia="Times New Roman" w:cs="Times New Roman"/>
                <w:bCs/>
                <w:i/>
                <w:iCs/>
                <w:sz w:val="18"/>
                <w:szCs w:val="18"/>
                <w:lang w:eastAsia="nl-NL"/>
              </w:rPr>
              <w:t xml:space="preserve">Bedragen </w:t>
            </w:r>
            <w:r w:rsidRPr="00C5308E" w:rsidR="004C0310">
              <w:rPr>
                <w:rFonts w:ascii="Verdana" w:hAnsi="Verdana" w:cs="Times New Roman"/>
                <w:i/>
                <w:iCs/>
                <w:sz w:val="18"/>
                <w:szCs w:val="18"/>
              </w:rPr>
              <w:t>x € 1 mln.</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470A996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2025</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7CAC7DD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2026</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0065083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2027</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3EF7D3C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2028</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448572C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2029</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4E914EED"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2030</w:t>
            </w:r>
          </w:p>
        </w:tc>
      </w:tr>
      <w:tr w:rsidRPr="00C5308E" w:rsidR="009835CB" w:rsidTr="003C75FE" w14:paraId="7BDFC3A3" w14:textId="77777777">
        <w:trPr>
          <w:trHeight w:val="300"/>
        </w:trPr>
        <w:tc>
          <w:tcPr>
            <w:tcW w:w="3900" w:type="dxa"/>
            <w:tcBorders>
              <w:top w:val="single" w:color="auto" w:sz="4" w:space="0"/>
              <w:left w:val="nil"/>
              <w:bottom w:val="nil"/>
              <w:right w:val="nil"/>
            </w:tcBorders>
            <w:shd w:val="clear" w:color="auto" w:fill="auto"/>
            <w:noWrap/>
            <w:vAlign w:val="center"/>
            <w:hideMark/>
          </w:tcPr>
          <w:p w:rsidRPr="00C5308E" w:rsidR="009835CB" w:rsidP="00D87753" w:rsidRDefault="009835CB" w14:paraId="54F190B1"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Invoering nieuwe financiering per 2029</w:t>
            </w:r>
          </w:p>
        </w:tc>
        <w:tc>
          <w:tcPr>
            <w:tcW w:w="960" w:type="dxa"/>
            <w:tcBorders>
              <w:top w:val="single" w:color="auto" w:sz="4" w:space="0"/>
              <w:left w:val="single" w:color="auto" w:sz="4" w:space="0"/>
              <w:bottom w:val="nil"/>
              <w:right w:val="nil"/>
            </w:tcBorders>
            <w:shd w:val="clear" w:color="auto" w:fill="auto"/>
            <w:noWrap/>
            <w:vAlign w:val="center"/>
            <w:hideMark/>
          </w:tcPr>
          <w:p w:rsidRPr="00C5308E" w:rsidR="009835CB" w:rsidP="00D87753" w:rsidRDefault="009835CB" w14:paraId="5248B3F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-38</w:t>
            </w:r>
          </w:p>
        </w:tc>
        <w:tc>
          <w:tcPr>
            <w:tcW w:w="960" w:type="dxa"/>
            <w:tcBorders>
              <w:top w:val="single" w:color="auto" w:sz="4" w:space="0"/>
              <w:left w:val="nil"/>
              <w:bottom w:val="nil"/>
              <w:right w:val="nil"/>
            </w:tcBorders>
            <w:shd w:val="clear" w:color="auto" w:fill="auto"/>
            <w:noWrap/>
            <w:vAlign w:val="center"/>
            <w:hideMark/>
          </w:tcPr>
          <w:p w:rsidRPr="00C5308E" w:rsidR="009835CB" w:rsidP="00D87753" w:rsidRDefault="009835CB" w14:paraId="4A2CC02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-607</w:t>
            </w:r>
          </w:p>
        </w:tc>
        <w:tc>
          <w:tcPr>
            <w:tcW w:w="960" w:type="dxa"/>
            <w:tcBorders>
              <w:top w:val="single" w:color="auto" w:sz="4" w:space="0"/>
              <w:left w:val="nil"/>
              <w:bottom w:val="nil"/>
              <w:right w:val="nil"/>
            </w:tcBorders>
            <w:shd w:val="clear" w:color="auto" w:fill="auto"/>
            <w:noWrap/>
            <w:vAlign w:val="center"/>
            <w:hideMark/>
          </w:tcPr>
          <w:p w:rsidRPr="00C5308E" w:rsidR="009835CB" w:rsidP="00D87753" w:rsidRDefault="009835CB" w14:paraId="31D4859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-2.196</w:t>
            </w:r>
          </w:p>
        </w:tc>
        <w:tc>
          <w:tcPr>
            <w:tcW w:w="960" w:type="dxa"/>
            <w:tcBorders>
              <w:top w:val="single" w:color="auto" w:sz="4" w:space="0"/>
              <w:left w:val="nil"/>
              <w:bottom w:val="nil"/>
              <w:right w:val="nil"/>
            </w:tcBorders>
            <w:shd w:val="clear" w:color="auto" w:fill="auto"/>
            <w:noWrap/>
            <w:vAlign w:val="center"/>
            <w:hideMark/>
          </w:tcPr>
          <w:p w:rsidRPr="00C5308E" w:rsidR="009835CB" w:rsidP="00D87753" w:rsidRDefault="009835CB" w14:paraId="4114C6A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-1.860</w:t>
            </w:r>
          </w:p>
        </w:tc>
        <w:tc>
          <w:tcPr>
            <w:tcW w:w="960" w:type="dxa"/>
            <w:tcBorders>
              <w:top w:val="single" w:color="auto" w:sz="4" w:space="0"/>
              <w:left w:val="nil"/>
              <w:bottom w:val="nil"/>
              <w:right w:val="nil"/>
            </w:tcBorders>
            <w:shd w:val="clear" w:color="auto" w:fill="auto"/>
            <w:noWrap/>
            <w:vAlign w:val="center"/>
            <w:hideMark/>
          </w:tcPr>
          <w:p w:rsidRPr="00C5308E" w:rsidR="009835CB" w:rsidP="00D87753" w:rsidRDefault="009835CB" w14:paraId="55157FE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-317</w:t>
            </w:r>
          </w:p>
        </w:tc>
        <w:tc>
          <w:tcPr>
            <w:tcW w:w="960" w:type="dxa"/>
            <w:tcBorders>
              <w:top w:val="single" w:color="auto" w:sz="4" w:space="0"/>
              <w:left w:val="nil"/>
              <w:bottom w:val="nil"/>
              <w:right w:val="nil"/>
            </w:tcBorders>
            <w:shd w:val="clear" w:color="auto" w:fill="auto"/>
            <w:noWrap/>
            <w:vAlign w:val="center"/>
            <w:hideMark/>
          </w:tcPr>
          <w:p w:rsidRPr="00C5308E" w:rsidR="009835CB" w:rsidP="00D87753" w:rsidRDefault="009835CB" w14:paraId="34D8CA9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-156</w:t>
            </w:r>
          </w:p>
        </w:tc>
      </w:tr>
      <w:tr w:rsidRPr="00C5308E" w:rsidR="009835CB" w:rsidTr="003C75FE" w14:paraId="67B91B9B" w14:textId="77777777">
        <w:trPr>
          <w:trHeight w:val="300"/>
        </w:trPr>
        <w:tc>
          <w:tcPr>
            <w:tcW w:w="3900" w:type="dxa"/>
            <w:tcBorders>
              <w:top w:val="nil"/>
              <w:left w:val="nil"/>
              <w:bottom w:val="nil"/>
              <w:right w:val="nil"/>
            </w:tcBorders>
            <w:shd w:val="clear" w:color="auto" w:fill="auto"/>
            <w:noWrap/>
            <w:vAlign w:val="center"/>
            <w:hideMark/>
          </w:tcPr>
          <w:p w:rsidRPr="00C5308E" w:rsidR="009835CB" w:rsidP="00D87753" w:rsidRDefault="009835CB" w14:paraId="52612F70"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Ingroeipadmiddelen</w:t>
            </w:r>
          </w:p>
        </w:tc>
        <w:tc>
          <w:tcPr>
            <w:tcW w:w="960" w:type="dxa"/>
            <w:tcBorders>
              <w:top w:val="nil"/>
              <w:left w:val="single" w:color="auto" w:sz="4" w:space="0"/>
              <w:bottom w:val="nil"/>
              <w:right w:val="nil"/>
            </w:tcBorders>
            <w:shd w:val="clear" w:color="auto" w:fill="auto"/>
            <w:noWrap/>
            <w:vAlign w:val="center"/>
            <w:hideMark/>
          </w:tcPr>
          <w:p w:rsidRPr="00C5308E" w:rsidR="009835CB" w:rsidP="00D87753" w:rsidRDefault="009835CB" w14:paraId="7565B2D3"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19</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598A525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292</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2A86DAF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833</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128AB7A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1.037</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6EB55D6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394</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3ECD5EC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113</w:t>
            </w:r>
          </w:p>
        </w:tc>
      </w:tr>
      <w:tr w:rsidRPr="00C5308E" w:rsidR="009835CB" w:rsidTr="003C75FE" w14:paraId="4E584080" w14:textId="77777777">
        <w:trPr>
          <w:trHeight w:val="300"/>
        </w:trPr>
        <w:tc>
          <w:tcPr>
            <w:tcW w:w="3900" w:type="dxa"/>
            <w:tcBorders>
              <w:top w:val="nil"/>
              <w:left w:val="nil"/>
              <w:bottom w:val="nil"/>
              <w:right w:val="nil"/>
            </w:tcBorders>
            <w:shd w:val="clear" w:color="auto" w:fill="auto"/>
            <w:noWrap/>
            <w:vAlign w:val="center"/>
            <w:hideMark/>
          </w:tcPr>
          <w:p w:rsidRPr="00C5308E" w:rsidR="009835CB" w:rsidP="00D87753" w:rsidRDefault="009835CB" w14:paraId="4364EF10"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Flankerend beleid</w:t>
            </w:r>
          </w:p>
        </w:tc>
        <w:tc>
          <w:tcPr>
            <w:tcW w:w="960" w:type="dxa"/>
            <w:tcBorders>
              <w:top w:val="nil"/>
              <w:left w:val="single" w:color="auto" w:sz="4" w:space="0"/>
              <w:bottom w:val="nil"/>
              <w:right w:val="nil"/>
            </w:tcBorders>
            <w:shd w:val="clear" w:color="auto" w:fill="auto"/>
            <w:noWrap/>
            <w:vAlign w:val="center"/>
            <w:hideMark/>
          </w:tcPr>
          <w:p w:rsidRPr="00C5308E" w:rsidR="009835CB" w:rsidP="00D87753" w:rsidRDefault="009835CB" w14:paraId="123405E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70D3B853" w14:textId="77777777">
            <w:pPr>
              <w:spacing w:after="0" w:line="240" w:lineRule="auto"/>
              <w:contextualSpacing/>
              <w:rPr>
                <w:rFonts w:ascii="Verdana" w:hAnsi="Verdana" w:eastAsia="Times New Roman" w:cs="Calibri"/>
                <w:bCs/>
                <w:color w:val="000000"/>
                <w:sz w:val="18"/>
                <w:szCs w:val="18"/>
                <w:lang w:eastAsia="nl-NL"/>
              </w:rPr>
            </w:pPr>
          </w:p>
        </w:tc>
        <w:tc>
          <w:tcPr>
            <w:tcW w:w="960" w:type="dxa"/>
            <w:tcBorders>
              <w:top w:val="nil"/>
              <w:left w:val="nil"/>
              <w:bottom w:val="nil"/>
              <w:right w:val="nil"/>
            </w:tcBorders>
            <w:shd w:val="clear" w:color="auto" w:fill="auto"/>
            <w:noWrap/>
            <w:vAlign w:val="center"/>
            <w:hideMark/>
          </w:tcPr>
          <w:p w:rsidRPr="00C5308E" w:rsidR="009835CB" w:rsidP="00D87753" w:rsidRDefault="009835CB" w14:paraId="05532B96" w14:textId="77777777">
            <w:pPr>
              <w:spacing w:after="0" w:line="240" w:lineRule="auto"/>
              <w:contextualSpacing/>
              <w:rPr>
                <w:rFonts w:ascii="Verdana" w:hAnsi="Verdana" w:eastAsia="Times New Roman" w:cs="Times New Roman"/>
                <w:bCs/>
                <w:sz w:val="18"/>
                <w:szCs w:val="18"/>
                <w:lang w:eastAsia="nl-NL"/>
              </w:rPr>
            </w:pPr>
          </w:p>
        </w:tc>
        <w:tc>
          <w:tcPr>
            <w:tcW w:w="960" w:type="dxa"/>
            <w:tcBorders>
              <w:top w:val="nil"/>
              <w:left w:val="nil"/>
              <w:bottom w:val="nil"/>
              <w:right w:val="nil"/>
            </w:tcBorders>
            <w:shd w:val="clear" w:color="auto" w:fill="auto"/>
            <w:noWrap/>
            <w:vAlign w:val="center"/>
            <w:hideMark/>
          </w:tcPr>
          <w:p w:rsidRPr="00C5308E" w:rsidR="009835CB" w:rsidP="00D87753" w:rsidRDefault="009835CB" w14:paraId="62BBCE7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59EC952E"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32</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6423D96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31</w:t>
            </w:r>
          </w:p>
        </w:tc>
      </w:tr>
      <w:tr w:rsidRPr="00C5308E" w:rsidR="009835CB" w:rsidTr="003C75FE" w14:paraId="7C0C1F94" w14:textId="77777777">
        <w:trPr>
          <w:trHeight w:val="315"/>
        </w:trPr>
        <w:tc>
          <w:tcPr>
            <w:tcW w:w="3900" w:type="dxa"/>
            <w:tcBorders>
              <w:top w:val="nil"/>
              <w:left w:val="nil"/>
              <w:bottom w:val="double" w:color="auto" w:sz="6" w:space="0"/>
              <w:right w:val="nil"/>
            </w:tcBorders>
            <w:shd w:val="clear" w:color="auto" w:fill="auto"/>
            <w:noWrap/>
            <w:vAlign w:val="center"/>
            <w:hideMark/>
          </w:tcPr>
          <w:p w:rsidRPr="00C5308E" w:rsidR="009835CB" w:rsidP="00D87753" w:rsidRDefault="009835CB" w14:paraId="2AAF408C"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Uitvoeringskosten</w:t>
            </w:r>
          </w:p>
        </w:tc>
        <w:tc>
          <w:tcPr>
            <w:tcW w:w="960" w:type="dxa"/>
            <w:tcBorders>
              <w:top w:val="nil"/>
              <w:left w:val="single" w:color="auto" w:sz="4" w:space="0"/>
              <w:bottom w:val="double" w:color="auto" w:sz="6" w:space="0"/>
              <w:right w:val="nil"/>
            </w:tcBorders>
            <w:shd w:val="clear" w:color="auto" w:fill="auto"/>
            <w:noWrap/>
            <w:vAlign w:val="center"/>
            <w:hideMark/>
          </w:tcPr>
          <w:p w:rsidRPr="00C5308E" w:rsidR="009835CB" w:rsidP="00D87753" w:rsidRDefault="009835CB" w14:paraId="204C10B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double" w:color="auto" w:sz="6" w:space="0"/>
              <w:right w:val="nil"/>
            </w:tcBorders>
            <w:shd w:val="clear" w:color="auto" w:fill="auto"/>
            <w:noWrap/>
            <w:vAlign w:val="center"/>
            <w:hideMark/>
          </w:tcPr>
          <w:p w:rsidRPr="00C5308E" w:rsidR="009835CB" w:rsidP="00D87753" w:rsidRDefault="009835CB" w14:paraId="212A8F8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double" w:color="auto" w:sz="6" w:space="0"/>
              <w:right w:val="nil"/>
            </w:tcBorders>
            <w:shd w:val="clear" w:color="auto" w:fill="auto"/>
            <w:noWrap/>
            <w:vAlign w:val="center"/>
            <w:hideMark/>
          </w:tcPr>
          <w:p w:rsidRPr="00C5308E" w:rsidR="009835CB" w:rsidP="00D87753" w:rsidRDefault="009835CB" w14:paraId="78D2083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double" w:color="auto" w:sz="6" w:space="0"/>
              <w:right w:val="nil"/>
            </w:tcBorders>
            <w:shd w:val="clear" w:color="auto" w:fill="auto"/>
            <w:noWrap/>
            <w:vAlign w:val="center"/>
            <w:hideMark/>
          </w:tcPr>
          <w:p w:rsidRPr="00C5308E" w:rsidR="009835CB" w:rsidP="00D87753" w:rsidRDefault="009835CB" w14:paraId="2C91E05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double" w:color="auto" w:sz="6" w:space="0"/>
              <w:right w:val="nil"/>
            </w:tcBorders>
            <w:shd w:val="clear" w:color="auto" w:fill="auto"/>
            <w:noWrap/>
            <w:vAlign w:val="center"/>
            <w:hideMark/>
          </w:tcPr>
          <w:p w:rsidRPr="00C5308E" w:rsidR="009835CB" w:rsidP="00D87753" w:rsidRDefault="009835CB" w14:paraId="7358A35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46</w:t>
            </w:r>
          </w:p>
        </w:tc>
        <w:tc>
          <w:tcPr>
            <w:tcW w:w="960" w:type="dxa"/>
            <w:tcBorders>
              <w:top w:val="nil"/>
              <w:left w:val="nil"/>
              <w:bottom w:val="double" w:color="auto" w:sz="6" w:space="0"/>
              <w:right w:val="nil"/>
            </w:tcBorders>
            <w:shd w:val="clear" w:color="auto" w:fill="auto"/>
            <w:noWrap/>
            <w:vAlign w:val="center"/>
            <w:hideMark/>
          </w:tcPr>
          <w:p w:rsidRPr="00C5308E" w:rsidR="009835CB" w:rsidP="00D87753" w:rsidRDefault="009835CB" w14:paraId="2A7F988D"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65</w:t>
            </w:r>
          </w:p>
        </w:tc>
      </w:tr>
      <w:tr w:rsidRPr="00C5308E" w:rsidR="009835CB" w:rsidTr="003C75FE" w14:paraId="6D92C144" w14:textId="77777777">
        <w:trPr>
          <w:trHeight w:val="315"/>
        </w:trPr>
        <w:tc>
          <w:tcPr>
            <w:tcW w:w="3900" w:type="dxa"/>
            <w:tcBorders>
              <w:top w:val="nil"/>
              <w:left w:val="nil"/>
              <w:bottom w:val="nil"/>
              <w:right w:val="nil"/>
            </w:tcBorders>
            <w:shd w:val="clear" w:color="auto" w:fill="auto"/>
            <w:noWrap/>
            <w:vAlign w:val="center"/>
            <w:hideMark/>
          </w:tcPr>
          <w:p w:rsidRPr="00C5308E" w:rsidR="009835CB" w:rsidP="00D87753" w:rsidRDefault="009835CB" w14:paraId="7824601B"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Totaal</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2687E904"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-19</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4703060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-315</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5A0A6679"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-1.363</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5C0A117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-821</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094BDB9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155</w:t>
            </w:r>
          </w:p>
        </w:tc>
        <w:tc>
          <w:tcPr>
            <w:tcW w:w="960" w:type="dxa"/>
            <w:tcBorders>
              <w:top w:val="nil"/>
              <w:left w:val="nil"/>
              <w:bottom w:val="nil"/>
              <w:right w:val="nil"/>
            </w:tcBorders>
            <w:shd w:val="clear" w:color="auto" w:fill="auto"/>
            <w:noWrap/>
            <w:vAlign w:val="center"/>
            <w:hideMark/>
          </w:tcPr>
          <w:p w:rsidRPr="00C5308E" w:rsidR="009835CB" w:rsidP="00D87753" w:rsidRDefault="009835CB" w14:paraId="3E340AE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sz w:val="18"/>
                <w:szCs w:val="18"/>
                <w:lang w:eastAsia="nl-NL"/>
              </w:rPr>
              <w:t>53</w:t>
            </w:r>
          </w:p>
        </w:tc>
      </w:tr>
    </w:tbl>
    <w:p w:rsidRPr="00C5308E" w:rsidR="009835CB" w:rsidP="00D87753" w:rsidRDefault="009835CB" w14:paraId="3F3F7F65" w14:textId="77777777">
      <w:pPr>
        <w:spacing w:after="0" w:line="240" w:lineRule="auto"/>
        <w:contextualSpacing/>
        <w:rPr>
          <w:rFonts w:ascii="Verdana" w:hAnsi="Verdana"/>
          <w:bCs/>
          <w:sz w:val="18"/>
          <w:szCs w:val="18"/>
        </w:rPr>
      </w:pPr>
    </w:p>
    <w:p w:rsidRPr="00C5308E" w:rsidR="009835CB" w:rsidP="00D87753" w:rsidRDefault="009835CB" w14:paraId="02072CCC" w14:textId="77777777">
      <w:pPr>
        <w:spacing w:after="0" w:line="240" w:lineRule="auto"/>
        <w:contextualSpacing/>
        <w:rPr>
          <w:rFonts w:ascii="Verdana" w:hAnsi="Verdana"/>
          <w:bCs/>
          <w:sz w:val="18"/>
          <w:szCs w:val="18"/>
        </w:rPr>
      </w:pPr>
      <w:r w:rsidRPr="00C5308E">
        <w:rPr>
          <w:rFonts w:ascii="Verdana" w:hAnsi="Verdana"/>
          <w:bCs/>
          <w:sz w:val="18"/>
          <w:szCs w:val="18"/>
        </w:rPr>
        <w:t>De eerste reeks toont de besparing bij de invoering van het nieuwe financieringsstelsel per 1-1-2029. Hierbij is aangenomen dat de ingroeistap die voor 2026 was voorzien, ook twee jaar opschuift (naar 2028). De tweede reeks toont de middelen die bij de voorjaarsbesluitvorming zijn gereserveerd voor het verhogen van de kinderopvangtoeslag in de aanloop naar de invoering naar het nieuwe stelsel in per 1-1-2029.</w:t>
      </w:r>
    </w:p>
    <w:p w:rsidRPr="00C5308E" w:rsidR="009835CB" w:rsidP="00D87753" w:rsidRDefault="009835CB" w14:paraId="684E3F2F" w14:textId="77777777">
      <w:pPr>
        <w:spacing w:after="0" w:line="240" w:lineRule="auto"/>
        <w:contextualSpacing/>
        <w:rPr>
          <w:rFonts w:ascii="Verdana" w:hAnsi="Verdana"/>
          <w:bCs/>
          <w:sz w:val="18"/>
          <w:szCs w:val="18"/>
        </w:rPr>
      </w:pPr>
    </w:p>
    <w:p w:rsidRPr="00C5308E" w:rsidR="009835CB" w:rsidP="00D87753" w:rsidRDefault="009835CB" w14:paraId="1CDAED4F" w14:textId="4A0A898F">
      <w:pPr>
        <w:spacing w:after="0" w:line="240" w:lineRule="auto"/>
        <w:contextualSpacing/>
        <w:rPr>
          <w:rFonts w:ascii="Verdana" w:hAnsi="Verdana"/>
          <w:bCs/>
          <w:sz w:val="18"/>
          <w:szCs w:val="18"/>
        </w:rPr>
      </w:pPr>
      <w:r w:rsidRPr="00C5308E">
        <w:rPr>
          <w:rFonts w:ascii="Verdana" w:hAnsi="Verdana"/>
          <w:bCs/>
          <w:sz w:val="18"/>
          <w:szCs w:val="18"/>
        </w:rPr>
        <w:t>In de Voorjaarsnota is ook een reservering getroffen voor flankeren</w:t>
      </w:r>
      <w:r w:rsidRPr="00C5308E" w:rsidR="007A3F2C">
        <w:rPr>
          <w:rFonts w:ascii="Verdana" w:hAnsi="Verdana"/>
          <w:bCs/>
          <w:sz w:val="18"/>
          <w:szCs w:val="18"/>
        </w:rPr>
        <w:t>d</w:t>
      </w:r>
      <w:r w:rsidRPr="00C5308E">
        <w:rPr>
          <w:rFonts w:ascii="Verdana" w:hAnsi="Verdana"/>
          <w:bCs/>
          <w:sz w:val="18"/>
          <w:szCs w:val="18"/>
        </w:rPr>
        <w:t xml:space="preserve"> beleid en het ondersteunen van de sector in de transitie naar het nieuwe stelsel. Ten slotte is in de Voorjaarsnota ook een aanvullende reservering opgenomen voor de uitvoeringskosten van de invoering van het nieuwe financieringsstelsel.</w:t>
      </w:r>
    </w:p>
    <w:p w:rsidRPr="00C5308E" w:rsidR="009835CB" w:rsidP="00D87753" w:rsidRDefault="009835CB" w14:paraId="771121DB" w14:textId="77777777">
      <w:pPr>
        <w:spacing w:line="240" w:lineRule="auto"/>
        <w:contextualSpacing/>
        <w:rPr>
          <w:rFonts w:ascii="Verdana" w:hAnsi="Verdana" w:cstheme="minorHAnsi"/>
          <w:bCs/>
          <w:sz w:val="18"/>
          <w:szCs w:val="18"/>
          <w:u w:val="single"/>
        </w:rPr>
      </w:pPr>
    </w:p>
    <w:p w:rsidRPr="00C5308E" w:rsidR="0009286A" w:rsidP="00D87753" w:rsidRDefault="0009286A" w14:paraId="054CDB58" w14:textId="651B3E35">
      <w:pPr>
        <w:spacing w:after="0" w:line="240" w:lineRule="auto"/>
        <w:contextualSpacing/>
        <w:rPr>
          <w:rFonts w:ascii="Verdana" w:hAnsi="Verdana"/>
          <w:bCs/>
          <w:sz w:val="18"/>
          <w:szCs w:val="18"/>
          <w:u w:val="single"/>
        </w:rPr>
      </w:pPr>
      <w:r w:rsidRPr="00C5308E">
        <w:rPr>
          <w:rFonts w:ascii="Verdana" w:hAnsi="Verdana"/>
          <w:bCs/>
          <w:sz w:val="18"/>
          <w:szCs w:val="18"/>
          <w:u w:val="single"/>
        </w:rPr>
        <w:t>Vraag 65</w:t>
      </w:r>
    </w:p>
    <w:p w:rsidRPr="00C5308E" w:rsidR="0009286A" w:rsidP="00D87753" w:rsidRDefault="0009286A" w14:paraId="4CFD4872" w14:textId="77777777">
      <w:pPr>
        <w:spacing w:line="240" w:lineRule="auto"/>
        <w:contextualSpacing/>
        <w:rPr>
          <w:rFonts w:ascii="Verdana" w:hAnsi="Verdana"/>
          <w:bCs/>
          <w:sz w:val="18"/>
          <w:szCs w:val="18"/>
        </w:rPr>
      </w:pPr>
      <w:r w:rsidRPr="00C5308E">
        <w:rPr>
          <w:rFonts w:ascii="Verdana" w:hAnsi="Verdana"/>
          <w:bCs/>
          <w:sz w:val="18"/>
          <w:szCs w:val="18"/>
        </w:rPr>
        <w:t xml:space="preserve">Zijn er kortingen toegepast op middelen die eerder waren bestemd voor gemeentelijke uitvoering van schuldhulpverlening of het vereenvoudigen van toegang via één-loketstructuren? </w:t>
      </w:r>
    </w:p>
    <w:p w:rsidRPr="00C5308E" w:rsidR="0009286A" w:rsidP="00D87753" w:rsidRDefault="0009286A" w14:paraId="158F247D" w14:textId="77777777">
      <w:pPr>
        <w:spacing w:after="0" w:line="240" w:lineRule="auto"/>
        <w:contextualSpacing/>
        <w:rPr>
          <w:rFonts w:ascii="Verdana" w:hAnsi="Verdana"/>
          <w:bCs/>
          <w:sz w:val="18"/>
          <w:szCs w:val="18"/>
          <w:u w:val="single"/>
        </w:rPr>
      </w:pPr>
    </w:p>
    <w:p w:rsidRPr="00C5308E" w:rsidR="0009286A" w:rsidP="00D87753" w:rsidRDefault="0009286A" w14:paraId="2F7786C9" w14:textId="5097BCC3">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65</w:t>
      </w:r>
    </w:p>
    <w:p w:rsidRPr="00C5308E" w:rsidR="0009286A" w:rsidP="00D87753" w:rsidRDefault="0009286A" w14:paraId="77E442FC" w14:textId="1974E145">
      <w:pPr>
        <w:spacing w:line="240" w:lineRule="auto"/>
        <w:contextualSpacing/>
        <w:rPr>
          <w:rFonts w:ascii="Verdana" w:hAnsi="Verdana"/>
          <w:bCs/>
          <w:sz w:val="18"/>
          <w:szCs w:val="18"/>
        </w:rPr>
      </w:pPr>
      <w:r w:rsidRPr="00C5308E">
        <w:rPr>
          <w:rFonts w:ascii="Verdana" w:hAnsi="Verdana"/>
          <w:bCs/>
          <w:sz w:val="18"/>
          <w:szCs w:val="18"/>
        </w:rPr>
        <w:t>Tijdens de voorjaarsbesluitvorming is besloten om in totaal € 100 miljoen in 2029 en 2030 en vanaf 2031 structureel € 75 miljoen te korten om de middelen die waren vrijgemaakt voor maatregelen ten aanzien van het basispakket IBO problematische schulden. Door de korting op deze middelen vervalt ten aanzien van schuldhulpverlening de € 20 miljoen per jaar die gereserveerd was voor vroegsignalering en € 8 m</w:t>
      </w:r>
      <w:r w:rsidRPr="00C5308E" w:rsidR="00EF1671">
        <w:rPr>
          <w:rFonts w:ascii="Verdana" w:hAnsi="Verdana"/>
          <w:bCs/>
          <w:sz w:val="18"/>
          <w:szCs w:val="18"/>
        </w:rPr>
        <w:t>iljoen</w:t>
      </w:r>
      <w:r w:rsidRPr="00C5308E">
        <w:rPr>
          <w:rFonts w:ascii="Verdana" w:hAnsi="Verdana"/>
          <w:bCs/>
          <w:sz w:val="18"/>
          <w:szCs w:val="18"/>
        </w:rPr>
        <w:t xml:space="preserve"> per jaar voor het aanscherpen van de kwaliteitseisen van schuldhulpverlening. Daarnaast vervalt vanaf 2029 structureel € 10 miljoen die gereserveerd was voor één loket voor overheidsincasso. </w:t>
      </w:r>
    </w:p>
    <w:p w:rsidRPr="00C5308E" w:rsidR="0056088B" w:rsidP="00D87753" w:rsidRDefault="0056088B" w14:paraId="68D27F23" w14:textId="77777777">
      <w:pPr>
        <w:spacing w:after="0" w:line="240" w:lineRule="auto"/>
        <w:contextualSpacing/>
        <w:rPr>
          <w:rFonts w:ascii="Verdana" w:hAnsi="Verdana"/>
          <w:bCs/>
          <w:sz w:val="18"/>
          <w:szCs w:val="18"/>
          <w:u w:val="single"/>
        </w:rPr>
      </w:pPr>
    </w:p>
    <w:p w:rsidRPr="00C5308E" w:rsidR="0009286A" w:rsidP="00D87753" w:rsidRDefault="0009286A" w14:paraId="181C6690" w14:textId="4EFA065A">
      <w:pPr>
        <w:spacing w:after="0" w:line="240" w:lineRule="auto"/>
        <w:contextualSpacing/>
        <w:rPr>
          <w:rFonts w:ascii="Verdana" w:hAnsi="Verdana"/>
          <w:bCs/>
          <w:sz w:val="18"/>
          <w:szCs w:val="18"/>
          <w:u w:val="single"/>
        </w:rPr>
      </w:pPr>
      <w:r w:rsidRPr="00C5308E">
        <w:rPr>
          <w:rFonts w:ascii="Verdana" w:hAnsi="Verdana"/>
          <w:bCs/>
          <w:sz w:val="18"/>
          <w:szCs w:val="18"/>
          <w:u w:val="single"/>
        </w:rPr>
        <w:t>Vraag 66</w:t>
      </w:r>
    </w:p>
    <w:p w:rsidRPr="00C5308E" w:rsidR="0009286A" w:rsidP="00D87753" w:rsidRDefault="0009286A" w14:paraId="3EC6C419" w14:textId="77777777">
      <w:pPr>
        <w:spacing w:line="240" w:lineRule="auto"/>
        <w:contextualSpacing/>
        <w:rPr>
          <w:rFonts w:ascii="Verdana" w:hAnsi="Verdana"/>
          <w:bCs/>
          <w:sz w:val="18"/>
          <w:szCs w:val="18"/>
        </w:rPr>
      </w:pPr>
      <w:r w:rsidRPr="00C5308E">
        <w:rPr>
          <w:rFonts w:ascii="Verdana" w:hAnsi="Verdana"/>
          <w:bCs/>
          <w:sz w:val="18"/>
          <w:szCs w:val="18"/>
        </w:rPr>
        <w:t xml:space="preserve">Welke middelen zijn voorzien voor de structurele bekostiging van het Schuldenknooppunt vanaf 2026? </w:t>
      </w:r>
    </w:p>
    <w:p w:rsidRPr="00C5308E" w:rsidR="0009286A" w:rsidP="00D87753" w:rsidRDefault="0009286A" w14:paraId="0E750488" w14:textId="77777777">
      <w:pPr>
        <w:spacing w:after="0" w:line="240" w:lineRule="auto"/>
        <w:contextualSpacing/>
        <w:rPr>
          <w:rFonts w:ascii="Verdana" w:hAnsi="Verdana"/>
          <w:bCs/>
          <w:sz w:val="18"/>
          <w:szCs w:val="18"/>
          <w:u w:val="single"/>
        </w:rPr>
      </w:pPr>
    </w:p>
    <w:p w:rsidRPr="00C5308E" w:rsidR="0009286A" w:rsidP="00D87753" w:rsidRDefault="0009286A" w14:paraId="3A3B7FF7" w14:textId="43128C5D">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66</w:t>
      </w:r>
    </w:p>
    <w:p w:rsidRPr="00C5308E" w:rsidR="0009286A" w:rsidP="00D87753" w:rsidRDefault="0009286A" w14:paraId="17215892" w14:textId="49647DFF">
      <w:pPr>
        <w:spacing w:line="240" w:lineRule="auto"/>
        <w:contextualSpacing/>
        <w:rPr>
          <w:rFonts w:ascii="Verdana" w:hAnsi="Verdana"/>
          <w:bCs/>
          <w:sz w:val="18"/>
          <w:szCs w:val="18"/>
        </w:rPr>
      </w:pPr>
      <w:bookmarkStart w:name="_Hlk199159297" w:id="3"/>
      <w:r w:rsidRPr="00C5308E">
        <w:rPr>
          <w:rFonts w:ascii="Verdana" w:hAnsi="Verdana"/>
          <w:bCs/>
          <w:sz w:val="18"/>
          <w:szCs w:val="18"/>
        </w:rPr>
        <w:t xml:space="preserve">Er zijn nog geen structurele middelen voor de bekostiging van het Schuldenknooppunt vanaf 2026 voorzien. Op 28 april 2025 heeft de staatssecretaris </w:t>
      </w:r>
      <w:r w:rsidRPr="00C5308E" w:rsidR="00F1770A">
        <w:rPr>
          <w:rFonts w:ascii="Verdana" w:hAnsi="Verdana" w:cs="Times New Roman"/>
          <w:sz w:val="18"/>
          <w:szCs w:val="18"/>
        </w:rPr>
        <w:t>Participatie en Integratie</w:t>
      </w:r>
      <w:r w:rsidRPr="00C5308E">
        <w:rPr>
          <w:rFonts w:ascii="Verdana" w:hAnsi="Verdana"/>
          <w:bCs/>
          <w:sz w:val="18"/>
          <w:szCs w:val="18"/>
        </w:rPr>
        <w:t xml:space="preserve"> de Kamer geïnformeerd dat het Inlichtingenbureau (IB) de meest aangewezen partij is voor een publiek eigenaarschap van het Schuldenknooppunt</w:t>
      </w:r>
      <w:r w:rsidRPr="00C5308E" w:rsidR="00F1770A">
        <w:rPr>
          <w:rFonts w:ascii="Verdana" w:hAnsi="Verdana"/>
          <w:bCs/>
          <w:sz w:val="18"/>
          <w:szCs w:val="18"/>
        </w:rPr>
        <w:t xml:space="preserve"> (</w:t>
      </w:r>
      <w:r w:rsidRPr="00C5308E" w:rsidR="00F1770A">
        <w:t>Kamerstukken II, 2024/2025, 24 515, nr. 797)</w:t>
      </w:r>
      <w:r w:rsidRPr="00C5308E" w:rsidR="00F1770A">
        <w:rPr>
          <w:rFonts w:ascii="Verdana" w:hAnsi="Verdana"/>
          <w:bCs/>
          <w:sz w:val="18"/>
          <w:szCs w:val="18"/>
        </w:rPr>
        <w:t>.</w:t>
      </w:r>
      <w:r w:rsidRPr="00C5308E">
        <w:rPr>
          <w:rFonts w:ascii="Verdana" w:hAnsi="Verdana"/>
          <w:bCs/>
          <w:sz w:val="18"/>
          <w:szCs w:val="18"/>
        </w:rPr>
        <w:t xml:space="preserve"> IB onderzoekt nu hoe het Schuldenknooppunt bij hen kan worden ondergebracht en welke juridische, financiële en technische implicaties dat heeft. Tot die tijd wordt het Schuldenknooppunt vanuit subsidie gefinancierd.</w:t>
      </w:r>
      <w:bookmarkEnd w:id="3"/>
    </w:p>
    <w:p w:rsidRPr="00C5308E" w:rsidR="0056088B" w:rsidP="00D87753" w:rsidRDefault="0056088B" w14:paraId="4EAC347F" w14:textId="77777777">
      <w:pPr>
        <w:spacing w:after="0" w:line="240" w:lineRule="auto"/>
        <w:contextualSpacing/>
        <w:rPr>
          <w:rFonts w:ascii="Verdana" w:hAnsi="Verdana"/>
          <w:bCs/>
          <w:sz w:val="18"/>
          <w:szCs w:val="18"/>
          <w:u w:val="single"/>
        </w:rPr>
      </w:pPr>
    </w:p>
    <w:p w:rsidRPr="00C5308E" w:rsidR="0009286A" w:rsidP="00D87753" w:rsidRDefault="0009286A" w14:paraId="3B2C2F63" w14:textId="68A2F55F">
      <w:pPr>
        <w:spacing w:after="0" w:line="240" w:lineRule="auto"/>
        <w:contextualSpacing/>
        <w:rPr>
          <w:rFonts w:ascii="Verdana" w:hAnsi="Verdana"/>
          <w:bCs/>
          <w:sz w:val="18"/>
          <w:szCs w:val="18"/>
          <w:u w:val="single"/>
        </w:rPr>
      </w:pPr>
      <w:r w:rsidRPr="00C5308E">
        <w:rPr>
          <w:rFonts w:ascii="Verdana" w:hAnsi="Verdana"/>
          <w:bCs/>
          <w:sz w:val="18"/>
          <w:szCs w:val="18"/>
          <w:u w:val="single"/>
        </w:rPr>
        <w:t>Vraag 67</w:t>
      </w:r>
    </w:p>
    <w:p w:rsidRPr="00C5308E" w:rsidR="0009286A" w:rsidP="00D87753" w:rsidRDefault="0009286A" w14:paraId="7BB72458" w14:textId="77777777">
      <w:pPr>
        <w:spacing w:line="240" w:lineRule="auto"/>
        <w:contextualSpacing/>
        <w:rPr>
          <w:rFonts w:ascii="Verdana" w:hAnsi="Verdana"/>
          <w:bCs/>
          <w:sz w:val="18"/>
          <w:szCs w:val="18"/>
        </w:rPr>
      </w:pPr>
      <w:r w:rsidRPr="00C5308E">
        <w:rPr>
          <w:rFonts w:ascii="Verdana" w:hAnsi="Verdana"/>
          <w:bCs/>
          <w:sz w:val="18"/>
          <w:szCs w:val="18"/>
        </w:rPr>
        <w:t xml:space="preserve">Hoe wordt de toegankelijkheid van het Energiefonds 2025 geborgd, met name voor huishoudens in energiearmoede? </w:t>
      </w:r>
    </w:p>
    <w:p w:rsidRPr="00C5308E" w:rsidR="0009286A" w:rsidP="00D87753" w:rsidRDefault="0009286A" w14:paraId="36CBBCAC" w14:textId="77777777">
      <w:pPr>
        <w:spacing w:after="0" w:line="240" w:lineRule="auto"/>
        <w:contextualSpacing/>
        <w:rPr>
          <w:rFonts w:ascii="Verdana" w:hAnsi="Verdana"/>
          <w:bCs/>
          <w:sz w:val="18"/>
          <w:szCs w:val="18"/>
          <w:u w:val="single"/>
        </w:rPr>
      </w:pPr>
    </w:p>
    <w:p w:rsidRPr="00C5308E" w:rsidR="0009286A" w:rsidP="00D87753" w:rsidRDefault="0009286A" w14:paraId="4111D8EB" w14:textId="35B889C3">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67</w:t>
      </w:r>
    </w:p>
    <w:p w:rsidRPr="00C5308E" w:rsidR="0009286A" w:rsidP="00D87753" w:rsidRDefault="0009286A" w14:paraId="6D4D8C3F" w14:textId="77777777">
      <w:pPr>
        <w:spacing w:line="240" w:lineRule="auto"/>
        <w:contextualSpacing/>
        <w:rPr>
          <w:rFonts w:ascii="Verdana" w:hAnsi="Verdana"/>
          <w:bCs/>
          <w:sz w:val="18"/>
          <w:szCs w:val="18"/>
        </w:rPr>
      </w:pPr>
      <w:bookmarkStart w:name="_Hlk199239407" w:id="4"/>
      <w:r w:rsidRPr="00C5308E">
        <w:rPr>
          <w:rFonts w:ascii="Verdana" w:hAnsi="Verdana"/>
          <w:bCs/>
          <w:sz w:val="18"/>
          <w:szCs w:val="18"/>
        </w:rPr>
        <w:t>In de Kamerbrief van 4 april jl. heb ik aangegeven dat het Tijdelijk Noodfonds Energie op basis van de huidige energieprijzen circa 100.000 huishoudens kon helpen en aangegeven dat met de beschikbare middelen mogelijk niet alle aanvragen konden worden gehonoreerd.</w:t>
      </w:r>
    </w:p>
    <w:p w:rsidRPr="00C5308E" w:rsidR="0009286A" w:rsidP="00D87753" w:rsidRDefault="0009286A" w14:paraId="530A4FEF" w14:textId="77777777">
      <w:pPr>
        <w:spacing w:line="240" w:lineRule="auto"/>
        <w:contextualSpacing/>
        <w:rPr>
          <w:rFonts w:ascii="Verdana" w:hAnsi="Verdana"/>
          <w:bCs/>
          <w:sz w:val="18"/>
          <w:szCs w:val="18"/>
        </w:rPr>
      </w:pPr>
      <w:r w:rsidRPr="00C5308E">
        <w:rPr>
          <w:rFonts w:ascii="Verdana" w:hAnsi="Verdana"/>
          <w:bCs/>
          <w:sz w:val="18"/>
          <w:szCs w:val="18"/>
        </w:rPr>
        <w:t xml:space="preserve">Het is heel frustrerend en vervelend voor mensen dat het indienen van een aanvraag niet (goed) is gelukt. Huishoudens die geen aanvraag meer hebben kunnen doen voor het energiefonds 2025, </w:t>
      </w:r>
      <w:r w:rsidRPr="00C5308E">
        <w:rPr>
          <w:rFonts w:ascii="Verdana" w:hAnsi="Verdana"/>
          <w:bCs/>
          <w:sz w:val="18"/>
          <w:szCs w:val="18"/>
        </w:rPr>
        <w:lastRenderedPageBreak/>
        <w:t xml:space="preserve">maar wel geldzorgen hebben, kunnen contact opnemen met hun gemeente of met hulporganisaties zoals Geldfit. </w:t>
      </w:r>
    </w:p>
    <w:p w:rsidRPr="00C5308E" w:rsidR="00E66BBB" w:rsidP="00D87753" w:rsidRDefault="0009286A" w14:paraId="2372C309" w14:textId="71939BFC">
      <w:pPr>
        <w:spacing w:after="0" w:line="240" w:lineRule="auto"/>
        <w:contextualSpacing/>
        <w:rPr>
          <w:rFonts w:ascii="Verdana" w:hAnsi="Verdana"/>
          <w:bCs/>
          <w:sz w:val="18"/>
          <w:szCs w:val="18"/>
        </w:rPr>
      </w:pPr>
      <w:r w:rsidRPr="00C5308E">
        <w:rPr>
          <w:rFonts w:ascii="Verdana" w:hAnsi="Verdana"/>
          <w:bCs/>
          <w:sz w:val="18"/>
          <w:szCs w:val="18"/>
        </w:rPr>
        <w:t>Tijdens opening van het fonds hebben we toegankelijkheid proberen te borgen via persoonlijke ondersteuning, onder andere via lokale hulpverleners, inlooppunten en keukentafelgesprekken. Er is geen papieren aanvraagroute, maar mensen krijgen hulp bij het digitaal indienen van de aanvraag, ook aan huis. Een DigiD is vereist; daarom is actief gecommuniceerd dat deze tijdig aangevraagd moet worden. Samenwerking met de alliantie digitale inclusie zorgt voor aanvullende ondersteuning, bijvoorbeeld via bibliotheken. Zie voor meer informatie de brief van de staatssecretaris van SZW van 25 april 2025, “Informatie over de toegankelijkheid van het energiefonds 2025” (Kamerstuk</w:t>
      </w:r>
      <w:r w:rsidRPr="00C5308E" w:rsidR="00FE4028">
        <w:rPr>
          <w:rFonts w:ascii="Verdana" w:hAnsi="Verdana"/>
          <w:bCs/>
          <w:sz w:val="18"/>
          <w:szCs w:val="18"/>
        </w:rPr>
        <w:t xml:space="preserve">ken II, 2024/2025, </w:t>
      </w:r>
      <w:r w:rsidRPr="00C5308E">
        <w:rPr>
          <w:rFonts w:ascii="Verdana" w:hAnsi="Verdana"/>
          <w:bCs/>
          <w:sz w:val="18"/>
          <w:szCs w:val="18"/>
        </w:rPr>
        <w:t>29023, nr. 565).</w:t>
      </w:r>
    </w:p>
    <w:p w:rsidRPr="00C5308E" w:rsidR="00E66BBB" w:rsidP="00D87753" w:rsidRDefault="00E66BBB" w14:paraId="152019E4" w14:textId="77777777">
      <w:pPr>
        <w:spacing w:after="0" w:line="240" w:lineRule="auto"/>
        <w:contextualSpacing/>
        <w:rPr>
          <w:rFonts w:ascii="Verdana" w:hAnsi="Verdana"/>
          <w:bCs/>
          <w:sz w:val="18"/>
          <w:szCs w:val="18"/>
        </w:rPr>
      </w:pPr>
    </w:p>
    <w:p w:rsidRPr="00C5308E" w:rsidR="00A24B3E" w:rsidP="00D87753" w:rsidRDefault="00A24B3E" w14:paraId="6C1DACFD" w14:textId="04B0FE80">
      <w:pPr>
        <w:spacing w:after="0" w:line="240" w:lineRule="auto"/>
        <w:contextualSpacing/>
        <w:rPr>
          <w:rFonts w:ascii="Verdana" w:hAnsi="Verdana"/>
          <w:bCs/>
          <w:sz w:val="18"/>
          <w:szCs w:val="18"/>
          <w:u w:val="single"/>
        </w:rPr>
      </w:pPr>
      <w:r w:rsidRPr="00C5308E">
        <w:rPr>
          <w:rFonts w:ascii="Verdana" w:hAnsi="Verdana"/>
          <w:bCs/>
          <w:sz w:val="18"/>
          <w:szCs w:val="18"/>
          <w:u w:val="single"/>
        </w:rPr>
        <w:t>Vraag 68</w:t>
      </w:r>
    </w:p>
    <w:p w:rsidRPr="00C5308E" w:rsidR="00A24B3E" w:rsidP="00D87753" w:rsidRDefault="00A24B3E" w14:paraId="4982504F" w14:textId="77777777">
      <w:pPr>
        <w:spacing w:after="0" w:line="240" w:lineRule="auto"/>
        <w:contextualSpacing/>
        <w:rPr>
          <w:rFonts w:ascii="Verdana" w:hAnsi="Verdana"/>
          <w:bCs/>
          <w:sz w:val="18"/>
          <w:szCs w:val="18"/>
        </w:rPr>
      </w:pPr>
      <w:r w:rsidRPr="00C5308E">
        <w:rPr>
          <w:rFonts w:ascii="Verdana" w:hAnsi="Verdana"/>
          <w:bCs/>
          <w:sz w:val="18"/>
          <w:szCs w:val="18"/>
        </w:rPr>
        <w:t>Welke middelen zijn in de begrotingswijziging voor 2025 opgenomen ten behoeve van het programma Simpel Switchen in de participatieketen? Zijn deze middelen juridisch verplicht of gevoelig voor kasschuiven?</w:t>
      </w:r>
    </w:p>
    <w:p w:rsidRPr="00C5308E" w:rsidR="00A24B3E" w:rsidP="00D87753" w:rsidRDefault="00A24B3E" w14:paraId="274FBDD8" w14:textId="77777777">
      <w:pPr>
        <w:spacing w:after="0" w:line="240" w:lineRule="auto"/>
        <w:contextualSpacing/>
        <w:rPr>
          <w:rFonts w:ascii="Verdana" w:hAnsi="Verdana"/>
          <w:bCs/>
          <w:sz w:val="18"/>
          <w:szCs w:val="18"/>
          <w:u w:val="single"/>
        </w:rPr>
      </w:pPr>
    </w:p>
    <w:p w:rsidRPr="00C5308E" w:rsidR="00A24B3E" w:rsidP="00D87753" w:rsidRDefault="00A24B3E" w14:paraId="3932C47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68</w:t>
      </w:r>
    </w:p>
    <w:bookmarkEnd w:id="4"/>
    <w:p w:rsidRPr="00C5308E" w:rsidR="00A24B3E" w:rsidP="00D87753" w:rsidRDefault="00A24B3E" w14:paraId="6BA7B729" w14:textId="64A6F0E4">
      <w:pPr>
        <w:spacing w:after="0" w:line="240" w:lineRule="auto"/>
        <w:contextualSpacing/>
        <w:rPr>
          <w:rFonts w:ascii="Verdana" w:hAnsi="Verdana"/>
          <w:bCs/>
          <w:sz w:val="18"/>
          <w:szCs w:val="18"/>
        </w:rPr>
      </w:pPr>
      <w:r w:rsidRPr="00C5308E">
        <w:rPr>
          <w:rFonts w:ascii="Verdana" w:hAnsi="Verdana"/>
          <w:bCs/>
          <w:sz w:val="18"/>
          <w:szCs w:val="18"/>
        </w:rPr>
        <w:t>Voor het programma Simpel Switchen in de Participatieketen is</w:t>
      </w:r>
      <w:r w:rsidRPr="00C5308E" w:rsidR="00EF1671">
        <w:rPr>
          <w:rFonts w:ascii="Verdana" w:hAnsi="Verdana"/>
          <w:bCs/>
          <w:sz w:val="18"/>
          <w:szCs w:val="18"/>
        </w:rPr>
        <w:t xml:space="preserve"> €</w:t>
      </w:r>
      <w:r w:rsidRPr="00C5308E">
        <w:rPr>
          <w:rFonts w:ascii="Verdana" w:hAnsi="Verdana"/>
          <w:bCs/>
          <w:sz w:val="18"/>
          <w:szCs w:val="18"/>
        </w:rPr>
        <w:t xml:space="preserve"> 5 miljoen beschikbaar voor de periode van 2024 tot en met 2027 (zie ook de SZW-begroting 2025; Kamerstukken II 2024/25, 36 600 XV, nr. 2). Bij de eerste suppletoire begroting van SZW zijn geen extra middelen opgenomen ten behoeve van het programma Simpel Switchen. Wel is de eindverantwoording en daarmee de eindafrekening voor een subsidie aan Divosa voor het programma Simpel Switchen doorgeschoven van 2024 naar 2025. Daarom zijn deze subsidiemiddelen ook doorgeschoven om zo de subsidie weer in het juiste kasritme te zetten.</w:t>
      </w:r>
    </w:p>
    <w:p w:rsidRPr="00C5308E" w:rsidR="00A24B3E" w:rsidP="00D87753" w:rsidRDefault="00A24B3E" w14:paraId="3F2AC765" w14:textId="77777777">
      <w:pPr>
        <w:spacing w:after="0" w:line="240" w:lineRule="auto"/>
        <w:contextualSpacing/>
        <w:rPr>
          <w:rFonts w:ascii="Verdana" w:hAnsi="Verdana"/>
          <w:bCs/>
          <w:sz w:val="18"/>
          <w:szCs w:val="18"/>
          <w:u w:val="single"/>
        </w:rPr>
      </w:pPr>
    </w:p>
    <w:p w:rsidRPr="00C5308E" w:rsidR="00A24B3E" w:rsidP="00D87753" w:rsidRDefault="00A24B3E" w14:paraId="674F9AE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69</w:t>
      </w:r>
    </w:p>
    <w:p w:rsidRPr="00C5308E" w:rsidR="00A24B3E" w:rsidP="00D87753" w:rsidRDefault="00A24B3E" w14:paraId="73F5AC43" w14:textId="77777777">
      <w:pPr>
        <w:spacing w:after="0" w:line="240" w:lineRule="auto"/>
        <w:contextualSpacing/>
        <w:rPr>
          <w:rFonts w:ascii="Verdana" w:hAnsi="Verdana"/>
          <w:bCs/>
          <w:sz w:val="18"/>
          <w:szCs w:val="18"/>
        </w:rPr>
      </w:pPr>
      <w:r w:rsidRPr="00C5308E">
        <w:rPr>
          <w:rFonts w:ascii="Verdana" w:hAnsi="Verdana"/>
          <w:bCs/>
          <w:sz w:val="18"/>
          <w:szCs w:val="18"/>
        </w:rPr>
        <w:t>Worden de resultaten uit de invoeringstoets Breed Offensief meegenomen in de beleidsmatige en budgettaire keuzes binnen de Voorjaarsnota 2025?</w:t>
      </w:r>
    </w:p>
    <w:p w:rsidRPr="00C5308E" w:rsidR="00A24B3E" w:rsidP="00D87753" w:rsidRDefault="00A24B3E" w14:paraId="32DE7037" w14:textId="77777777">
      <w:pPr>
        <w:spacing w:after="0" w:line="240" w:lineRule="auto"/>
        <w:contextualSpacing/>
        <w:rPr>
          <w:rFonts w:ascii="Verdana" w:hAnsi="Verdana"/>
          <w:bCs/>
          <w:sz w:val="18"/>
          <w:szCs w:val="18"/>
        </w:rPr>
      </w:pPr>
    </w:p>
    <w:p w:rsidRPr="00C5308E" w:rsidR="00A24B3E" w:rsidP="00D87753" w:rsidRDefault="00A24B3E" w14:paraId="1A83BAC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69</w:t>
      </w:r>
    </w:p>
    <w:p w:rsidRPr="00C5308E" w:rsidR="00A24B3E" w:rsidP="00D87753" w:rsidRDefault="00A24B3E" w14:paraId="4AA16B77" w14:textId="42C98348">
      <w:pPr>
        <w:spacing w:after="0" w:line="240" w:lineRule="auto"/>
        <w:contextualSpacing/>
        <w:rPr>
          <w:rFonts w:ascii="Verdana" w:hAnsi="Verdana"/>
          <w:bCs/>
          <w:sz w:val="18"/>
          <w:szCs w:val="18"/>
        </w:rPr>
      </w:pPr>
      <w:r w:rsidRPr="00C5308E">
        <w:rPr>
          <w:rFonts w:ascii="Verdana" w:hAnsi="Verdana"/>
          <w:bCs/>
          <w:sz w:val="18"/>
          <w:szCs w:val="18"/>
        </w:rPr>
        <w:t xml:space="preserve">Het kabinet is blij dat uit de resultaten van de invoeringstoets van het Breed Offensief is gebleken dat de uitvoering van de wet- en regelgeving hoofdzakelijk voorspoedig verloopt. Ook laat het zien dat er nog verbeterpunten zijn om de uitgangspositie van mensen met een arbeidsbeperking op de arbeidsmarkt te verbeteren. Daar wordt op verschillende manieren aan gewerkt. Zo zijn zowel het wetsvoorstel Participatiewet in balans als het wetsvoorstel voor de vereenvoudiging van de Banenafspraak onlangs aangenomen door de Tweede Kamer. Eerder heeft het kabinet ook structureel </w:t>
      </w:r>
      <w:r w:rsidRPr="00C5308E" w:rsidR="00EF1671">
        <w:rPr>
          <w:rFonts w:ascii="Verdana" w:hAnsi="Verdana"/>
          <w:bCs/>
          <w:sz w:val="18"/>
          <w:szCs w:val="18"/>
        </w:rPr>
        <w:t xml:space="preserve">€ </w:t>
      </w:r>
      <w:r w:rsidRPr="00C5308E">
        <w:rPr>
          <w:rFonts w:ascii="Verdana" w:hAnsi="Verdana"/>
          <w:bCs/>
          <w:sz w:val="18"/>
          <w:szCs w:val="18"/>
        </w:rPr>
        <w:t xml:space="preserve">100 miljoen beschikbaar gesteld om de komende jaren de infrastructuur van de sociaal ontwikkelbedrijven toekomstbestendig te maken en beschut werk te bevorderen. </w:t>
      </w:r>
      <w:r w:rsidRPr="00C5308E" w:rsidR="00F467E5">
        <w:rPr>
          <w:rFonts w:ascii="Verdana" w:hAnsi="Verdana"/>
          <w:sz w:val="18"/>
          <w:szCs w:val="18"/>
        </w:rPr>
        <w:t xml:space="preserve">Verder is er met de Voorjaarsnota structureel € 90 miljoen beschikbaar gesteld om de werking van loonkostensubsidie (LKS) bij beschut werk te verbeteren. </w:t>
      </w:r>
      <w:r w:rsidRPr="00C5308E">
        <w:rPr>
          <w:rFonts w:ascii="Verdana" w:hAnsi="Verdana"/>
          <w:bCs/>
          <w:sz w:val="18"/>
          <w:szCs w:val="18"/>
        </w:rPr>
        <w:t>Tot slot zijn met de Voorjaarsnota aanvullende middelen vrijgemaakt voor het ontwikkelen van het arbeidsvermogen van mensen waarvan de Wajong-aanvraag is afgewezen en die tot de doelgroep van de Participatiewet behoren.</w:t>
      </w:r>
    </w:p>
    <w:p w:rsidRPr="00C5308E" w:rsidR="00A24B3E" w:rsidP="00D87753" w:rsidRDefault="00A24B3E" w14:paraId="2E1FB439" w14:textId="77777777">
      <w:pPr>
        <w:spacing w:after="0" w:line="240" w:lineRule="auto"/>
        <w:contextualSpacing/>
        <w:rPr>
          <w:rFonts w:ascii="Verdana" w:hAnsi="Verdana"/>
          <w:bCs/>
          <w:sz w:val="18"/>
          <w:szCs w:val="18"/>
          <w:u w:val="single"/>
        </w:rPr>
      </w:pPr>
    </w:p>
    <w:p w:rsidRPr="00C5308E" w:rsidR="00720C2B" w:rsidP="00D87753" w:rsidRDefault="00720C2B" w14:paraId="5183985D" w14:textId="4A1267F4">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70 </w:t>
      </w:r>
    </w:p>
    <w:p w:rsidRPr="00C5308E" w:rsidR="00720C2B" w:rsidP="00D87753" w:rsidRDefault="00720C2B" w14:paraId="40790452" w14:textId="77777777">
      <w:pPr>
        <w:spacing w:after="0" w:line="240" w:lineRule="auto"/>
        <w:contextualSpacing/>
        <w:rPr>
          <w:rFonts w:ascii="Verdana" w:hAnsi="Verdana"/>
          <w:bCs/>
          <w:sz w:val="18"/>
          <w:szCs w:val="18"/>
        </w:rPr>
      </w:pPr>
      <w:r w:rsidRPr="00C5308E">
        <w:rPr>
          <w:rFonts w:ascii="Verdana" w:hAnsi="Verdana"/>
          <w:bCs/>
          <w:sz w:val="18"/>
          <w:szCs w:val="18"/>
        </w:rPr>
        <w:t xml:space="preserve">Hoeveel middelen zijn er in totaal vrijgemaakt in de Voorjaarsnota voor het bevorderen van de digitale soevereiniteit van uw departement en de relevante zelfstandig bestuursorganen (zbo's) en agentschappen? </w:t>
      </w:r>
    </w:p>
    <w:p w:rsidRPr="00C5308E" w:rsidR="00720C2B" w:rsidP="00D87753" w:rsidRDefault="00720C2B" w14:paraId="2350D791" w14:textId="77777777">
      <w:pPr>
        <w:spacing w:after="0" w:line="240" w:lineRule="auto"/>
        <w:contextualSpacing/>
        <w:rPr>
          <w:rFonts w:ascii="Verdana" w:hAnsi="Verdana"/>
          <w:bCs/>
          <w:sz w:val="18"/>
          <w:szCs w:val="18"/>
        </w:rPr>
      </w:pPr>
    </w:p>
    <w:p w:rsidRPr="00C5308E" w:rsidR="00720C2B" w:rsidP="00D87753" w:rsidRDefault="00720C2B" w14:paraId="6F6A8B1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70 </w:t>
      </w:r>
    </w:p>
    <w:p w:rsidRPr="00C5308E" w:rsidR="00720C2B" w:rsidP="00D87753" w:rsidRDefault="00720C2B" w14:paraId="65672B7A" w14:textId="77777777">
      <w:pPr>
        <w:spacing w:after="0" w:line="240" w:lineRule="auto"/>
        <w:contextualSpacing/>
        <w:rPr>
          <w:rFonts w:ascii="Verdana" w:hAnsi="Verdana"/>
          <w:bCs/>
          <w:sz w:val="18"/>
          <w:szCs w:val="18"/>
        </w:rPr>
      </w:pPr>
      <w:r w:rsidRPr="00C5308E">
        <w:rPr>
          <w:rFonts w:ascii="Verdana" w:hAnsi="Verdana"/>
          <w:bCs/>
          <w:sz w:val="18"/>
          <w:szCs w:val="18"/>
        </w:rPr>
        <w:t xml:space="preserve">Ten behoeve van het programma Weerbare Dienstverlening is € 4,1 miljoen in 2025 en € 2,4 miljoen in 2026 vrijgemaakt, hiervan is circa € 3,3 miljoen in 2025 en € 2,4 miljoen in 2026 bestemd voor de SVB, de overige middelen zijn bestemd voor SZW en BZK. Het programma werkt aan maatregelen om te zorgen dat de continuïteit van de dienstverlening van de SVB zo goed mogelijk gewaarborgd is. </w:t>
      </w:r>
    </w:p>
    <w:p w:rsidRPr="00C5308E" w:rsidR="00720C2B" w:rsidP="00D87753" w:rsidRDefault="00720C2B" w14:paraId="41FBC8A7" w14:textId="77777777">
      <w:pPr>
        <w:spacing w:after="0" w:line="240" w:lineRule="auto"/>
        <w:contextualSpacing/>
        <w:rPr>
          <w:rFonts w:ascii="Verdana" w:hAnsi="Verdana"/>
          <w:bCs/>
          <w:sz w:val="18"/>
          <w:szCs w:val="18"/>
        </w:rPr>
      </w:pPr>
      <w:r w:rsidRPr="00C5308E">
        <w:rPr>
          <w:rFonts w:ascii="Verdana" w:hAnsi="Verdana"/>
          <w:bCs/>
          <w:sz w:val="18"/>
          <w:szCs w:val="18"/>
        </w:rPr>
        <w:t xml:space="preserve">Voor SZW is daarnaast € 1 miljoen in 2025 en € 1,6 miljoen in 2026 vrijgemaakt voor het programma Digitale Weerbaarheid. Dit programma bevat geen budget voor het bevorderen van de digitale soevereiniteit, maar is gericht op de besturing van en verantwoordelijkheid over informatiebeveiliging, de beveiliging van de toeleveringsketen, incidentbeheer en de weerbaarheid van personeel en bestuur. </w:t>
      </w:r>
    </w:p>
    <w:p w:rsidRPr="00C5308E" w:rsidR="00527AB7" w:rsidP="00D87753" w:rsidRDefault="00527AB7" w14:paraId="6A4DF72A" w14:textId="77777777">
      <w:pPr>
        <w:spacing w:after="0" w:line="240" w:lineRule="auto"/>
        <w:contextualSpacing/>
        <w:rPr>
          <w:rFonts w:ascii="Verdana" w:hAnsi="Verdana"/>
          <w:bCs/>
          <w:sz w:val="18"/>
          <w:szCs w:val="18"/>
          <w:u w:val="single"/>
        </w:rPr>
      </w:pPr>
    </w:p>
    <w:p w:rsidRPr="00C5308E" w:rsidR="00527AB7" w:rsidP="00D87753" w:rsidRDefault="00527AB7" w14:paraId="02EF654E" w14:textId="0CC485CE">
      <w:pPr>
        <w:spacing w:after="0" w:line="240" w:lineRule="auto"/>
        <w:contextualSpacing/>
        <w:rPr>
          <w:rFonts w:ascii="Verdana" w:hAnsi="Verdana"/>
          <w:bCs/>
          <w:sz w:val="18"/>
          <w:szCs w:val="18"/>
          <w:u w:val="single"/>
        </w:rPr>
      </w:pPr>
      <w:r w:rsidRPr="00C5308E">
        <w:rPr>
          <w:rFonts w:ascii="Verdana" w:hAnsi="Verdana"/>
          <w:bCs/>
          <w:sz w:val="18"/>
          <w:szCs w:val="18"/>
          <w:u w:val="single"/>
        </w:rPr>
        <w:t>Vraag 71</w:t>
      </w:r>
    </w:p>
    <w:p w:rsidRPr="00C5308E" w:rsidR="00527AB7" w:rsidP="00D87753" w:rsidRDefault="00527AB7" w14:paraId="350E0E4B" w14:textId="77777777">
      <w:pPr>
        <w:spacing w:line="240" w:lineRule="auto"/>
        <w:contextualSpacing/>
        <w:rPr>
          <w:rFonts w:ascii="Verdana" w:hAnsi="Verdana" w:cs="Times New Roman"/>
          <w:bCs/>
          <w:color w:val="000000"/>
          <w:sz w:val="18"/>
          <w:szCs w:val="18"/>
          <w:lang w:eastAsia="nl-NL"/>
        </w:rPr>
      </w:pPr>
      <w:r w:rsidRPr="00C5308E">
        <w:rPr>
          <w:rFonts w:ascii="Verdana" w:hAnsi="Verdana" w:cs="Times New Roman"/>
          <w:bCs/>
          <w:color w:val="000000"/>
          <w:sz w:val="18"/>
          <w:szCs w:val="18"/>
          <w:lang w:eastAsia="nl-NL"/>
        </w:rPr>
        <w:t>Hoe waarborgt de regering een eerlijke beloning voor medewerkers van werk-ontwikkelbedrijven, gezien de signalen van tekorten en onderbetaling zoals aangeleverd door gemeenten en ondernemingsraden?</w:t>
      </w:r>
    </w:p>
    <w:p w:rsidRPr="00C5308E" w:rsidR="00527AB7" w:rsidP="00D87753" w:rsidRDefault="00527AB7" w14:paraId="77472C7C" w14:textId="77777777">
      <w:pPr>
        <w:spacing w:after="0" w:line="240" w:lineRule="auto"/>
        <w:contextualSpacing/>
        <w:rPr>
          <w:rFonts w:ascii="Verdana" w:hAnsi="Verdana"/>
          <w:bCs/>
          <w:sz w:val="18"/>
          <w:szCs w:val="18"/>
        </w:rPr>
      </w:pPr>
    </w:p>
    <w:p w:rsidRPr="00C5308E" w:rsidR="00527AB7" w:rsidP="00D87753" w:rsidRDefault="00527AB7" w14:paraId="00828EB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71</w:t>
      </w:r>
    </w:p>
    <w:p w:rsidRPr="00C5308E" w:rsidR="00527AB7" w:rsidP="00D87753" w:rsidRDefault="00527AB7" w14:paraId="2BA95A65" w14:textId="6B96565F">
      <w:pPr>
        <w:spacing w:line="240" w:lineRule="auto"/>
        <w:contextualSpacing/>
        <w:rPr>
          <w:rFonts w:ascii="Verdana" w:hAnsi="Verdana"/>
          <w:bCs/>
          <w:sz w:val="18"/>
          <w:szCs w:val="18"/>
        </w:rPr>
      </w:pPr>
      <w:r w:rsidRPr="00C5308E">
        <w:rPr>
          <w:rFonts w:ascii="Verdana" w:hAnsi="Verdana"/>
          <w:bCs/>
          <w:sz w:val="18"/>
          <w:szCs w:val="18"/>
        </w:rPr>
        <w:t>Het kabinet vindt het belangrijk dat medewerkers van sociaal ontwikkelbedrijven kunnen rekenen op een eerlijke beloning. De vaststelling van salarissen is echter een aangelegenheid voor gemeenten, sociaal ontwikkelbedrijven en de vertegenwoordiging van werknemers. Hierbij geldt voor iedereen met een dienstbetrekking – dus ook mensen die bij sociaal ontwikkelbedrijven werken- dat het wettelijk minimumloon en de wettelijke minimumvakantiebijslag de minimale beloning vormen. Hier moeten alle werkgevers zich aan houden, dus ook sociaal ontwikkelbedrijven. De Nederlandse Arbeidsinspectie ziet toe op naleving van arbeidswetgeving en heeft de bevoegdheid om bij overtredingen in te grijpen.</w:t>
      </w:r>
      <w:r w:rsidRPr="00C5308E" w:rsidR="00F467E5">
        <w:rPr>
          <w:rFonts w:ascii="Verdana" w:hAnsi="Verdana"/>
          <w:bCs/>
          <w:sz w:val="18"/>
          <w:szCs w:val="18"/>
        </w:rPr>
        <w:t xml:space="preserve"> Tot slot zijn met de Voorjaarsnota 2025 structurele middelen vrijgemaakt voor de invoering van een forfaitaire loonkostensubsidie. Werkgevers die beschutte werkplekken aanbieden (met name sociaal ontwikkelbedrijven) worden hierdoor meer adequaat gefinancierd. Tevens geeft dit meer duidelijkheid en rust aan de doelgroep beschut werk.</w:t>
      </w:r>
      <w:r w:rsidRPr="00C5308E">
        <w:rPr>
          <w:rFonts w:ascii="Verdana" w:hAnsi="Verdana"/>
          <w:bCs/>
          <w:sz w:val="18"/>
          <w:szCs w:val="18"/>
        </w:rPr>
        <w:t xml:space="preserve"> </w:t>
      </w:r>
      <w:r w:rsidRPr="008D4612" w:rsidR="008D4612">
        <w:rPr>
          <w:rFonts w:ascii="Verdana" w:hAnsi="Verdana"/>
          <w:bCs/>
          <w:sz w:val="18"/>
          <w:szCs w:val="18"/>
        </w:rPr>
        <w:t>Tot slot is het goed te noemen dat de cao-partners (VNG, Cedris, FNV en CNV) een eindresultaat hebben bereikt voor de Cao Aan de Slag 2025. Deze cao heeft een looptijd van één jaar en loopt tot en met 31 december 2025. Vakbonden FNV en CNV hebben het resultaat aan hun leden voorgelegd en die hebben ingestemd. Momenteel loopt de ledenraadpleging van Cedris en VNG nog. Als ook hun leden akkoord gaan, zal het cao-resultaat rondom de zomer formeel worden bekrachtigd. In de volgende voortgangsbrief over sociaal ontwikkelbedrijven en beschut werk wordt uw Kamer nader geïnformeerd over de stand van zaken van de cao Aan de Slag.</w:t>
      </w:r>
    </w:p>
    <w:p w:rsidRPr="00C5308E" w:rsidR="00720C2B" w:rsidP="00D87753" w:rsidRDefault="00720C2B" w14:paraId="0979F561" w14:textId="77777777">
      <w:pPr>
        <w:spacing w:after="0" w:line="240" w:lineRule="auto"/>
        <w:contextualSpacing/>
        <w:rPr>
          <w:rFonts w:ascii="Verdana" w:hAnsi="Verdana"/>
          <w:bCs/>
          <w:sz w:val="18"/>
          <w:szCs w:val="18"/>
          <w:u w:val="single"/>
        </w:rPr>
      </w:pPr>
    </w:p>
    <w:p w:rsidRPr="00C5308E" w:rsidR="00720C2B" w:rsidP="00D87753" w:rsidRDefault="00720C2B" w14:paraId="487CD518" w14:textId="70F1DB60">
      <w:pPr>
        <w:spacing w:after="0" w:line="240" w:lineRule="auto"/>
        <w:contextualSpacing/>
        <w:rPr>
          <w:rFonts w:ascii="Verdana" w:hAnsi="Verdana"/>
          <w:bCs/>
          <w:sz w:val="18"/>
          <w:szCs w:val="18"/>
          <w:u w:val="single"/>
        </w:rPr>
      </w:pPr>
      <w:r w:rsidRPr="00C5308E">
        <w:rPr>
          <w:rFonts w:ascii="Verdana" w:hAnsi="Verdana"/>
          <w:bCs/>
          <w:sz w:val="18"/>
          <w:szCs w:val="18"/>
          <w:u w:val="single"/>
        </w:rPr>
        <w:t>Vraag 72</w:t>
      </w:r>
    </w:p>
    <w:p w:rsidRPr="00C5308E" w:rsidR="00720C2B" w:rsidP="00D87753" w:rsidRDefault="00720C2B" w14:paraId="7807DC65" w14:textId="77777777">
      <w:pPr>
        <w:spacing w:after="0" w:line="240" w:lineRule="auto"/>
        <w:contextualSpacing/>
        <w:rPr>
          <w:rFonts w:ascii="Verdana" w:hAnsi="Verdana"/>
          <w:bCs/>
          <w:sz w:val="18"/>
          <w:szCs w:val="18"/>
        </w:rPr>
      </w:pPr>
      <w:r w:rsidRPr="00C5308E">
        <w:rPr>
          <w:rFonts w:ascii="Verdana" w:hAnsi="Verdana"/>
          <w:bCs/>
          <w:sz w:val="18"/>
          <w:szCs w:val="18"/>
        </w:rPr>
        <w:t>Zijn er in de suppletoire begrotingen of de Voorjaarsnota middelen vrijgemaakt of geoormerkt voor projecten die onder 'het recht op vergissen' vallen, zoals correctieprocessen bij uitkeringsinstanties of de Belastingdienst?</w:t>
      </w:r>
    </w:p>
    <w:p w:rsidRPr="00C5308E" w:rsidR="00720C2B" w:rsidP="00D87753" w:rsidRDefault="00720C2B" w14:paraId="609F175C" w14:textId="77777777">
      <w:pPr>
        <w:spacing w:after="0" w:line="240" w:lineRule="auto"/>
        <w:contextualSpacing/>
        <w:rPr>
          <w:rFonts w:ascii="Verdana" w:hAnsi="Verdana"/>
          <w:bCs/>
          <w:sz w:val="18"/>
          <w:szCs w:val="18"/>
        </w:rPr>
      </w:pPr>
    </w:p>
    <w:p w:rsidRPr="00C5308E" w:rsidR="00720C2B" w:rsidP="00D87753" w:rsidRDefault="00720C2B" w14:paraId="52500A4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72</w:t>
      </w:r>
    </w:p>
    <w:p w:rsidRPr="00C5308E" w:rsidR="00720C2B" w:rsidP="00D87753" w:rsidRDefault="00720C2B" w14:paraId="3D64361D" w14:textId="26C74C41">
      <w:pPr>
        <w:spacing w:line="240" w:lineRule="auto"/>
        <w:contextualSpacing/>
        <w:rPr>
          <w:rFonts w:ascii="Verdana" w:hAnsi="Verdana"/>
          <w:bCs/>
          <w:sz w:val="18"/>
          <w:szCs w:val="18"/>
        </w:rPr>
      </w:pPr>
      <w:r w:rsidRPr="00C5308E">
        <w:rPr>
          <w:rFonts w:ascii="Verdana" w:hAnsi="Verdana"/>
          <w:bCs/>
          <w:sz w:val="18"/>
          <w:szCs w:val="18"/>
        </w:rPr>
        <w:t>In de voorjaarsnota zijn er middelen gereserveerd voor het wetsvoorstel Handhaving Sociale Zekerheid. Het wetsvoorstel ziet toe op passend handhaven binnen het sociale zekerheidsdomein. Door het creëren van een waarschuwingsbevoegdheid en de mogelijkheid om af te zien van sanctioneren, wordt invulling gegeven aan het ‘recht op vergissen’ door de burger. De middelen die gedekt zijn in de voorjaarsnota vormen onderdeel van het totaalpakket aan middelen in het kader van het wetsvoorstel. Verder zijn er in de Voorjaarsnota en in de suppletoire begrotingen geen middelen vrijgemaakt of geoormerkt voor projecten binnen de Belastingdienst die onder het ‘recht op vergissen’ vallen.</w:t>
      </w:r>
    </w:p>
    <w:p w:rsidRPr="00560DA6" w:rsidR="0052736B" w:rsidP="0052736B" w:rsidRDefault="0052736B" w14:paraId="2222F440" w14:textId="6F7FD1AE">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56088B" w:rsidP="00D87753" w:rsidRDefault="0056088B" w14:paraId="67553C01" w14:textId="77777777">
      <w:pPr>
        <w:spacing w:line="240" w:lineRule="auto"/>
        <w:contextualSpacing/>
        <w:rPr>
          <w:rFonts w:ascii="Verdana" w:hAnsi="Verdana" w:cstheme="minorHAnsi"/>
          <w:bCs/>
          <w:sz w:val="18"/>
          <w:szCs w:val="18"/>
          <w:u w:val="single"/>
        </w:rPr>
      </w:pPr>
    </w:p>
    <w:p w:rsidRPr="00C5308E" w:rsidR="009835CB" w:rsidP="00D87753" w:rsidRDefault="009835CB" w14:paraId="77B58002" w14:textId="3F66D70F">
      <w:pPr>
        <w:spacing w:line="240" w:lineRule="auto"/>
        <w:contextualSpacing/>
        <w:rPr>
          <w:rFonts w:ascii="Verdana" w:hAnsi="Verdana" w:cstheme="minorHAnsi"/>
          <w:bCs/>
          <w:sz w:val="18"/>
          <w:szCs w:val="18"/>
          <w:u w:val="single"/>
        </w:rPr>
      </w:pPr>
      <w:r w:rsidRPr="00C5308E">
        <w:rPr>
          <w:rFonts w:ascii="Verdana" w:hAnsi="Verdana" w:cstheme="minorHAnsi"/>
          <w:bCs/>
          <w:sz w:val="18"/>
          <w:szCs w:val="18"/>
          <w:u w:val="single"/>
        </w:rPr>
        <w:t>Vraag 73</w:t>
      </w:r>
    </w:p>
    <w:p w:rsidRPr="00C5308E" w:rsidR="009835CB" w:rsidP="00D87753" w:rsidRDefault="009835CB" w14:paraId="37F54A78" w14:textId="06409C36">
      <w:pPr>
        <w:spacing w:line="240" w:lineRule="auto"/>
        <w:contextualSpacing/>
        <w:rPr>
          <w:rFonts w:ascii="Verdana" w:hAnsi="Verdana" w:cstheme="minorHAnsi"/>
          <w:bCs/>
          <w:sz w:val="18"/>
          <w:szCs w:val="18"/>
          <w:u w:val="single"/>
        </w:rPr>
      </w:pPr>
      <w:r w:rsidRPr="00C5308E">
        <w:rPr>
          <w:rFonts w:ascii="Verdana" w:hAnsi="Verdana" w:cstheme="minorHAnsi"/>
          <w:bCs/>
          <w:sz w:val="18"/>
          <w:szCs w:val="18"/>
        </w:rPr>
        <w:t>Kunt u een overzicht geven van de mutaties rondom de stelselherziening kinderopvang? Kunt u daarbij opnemen wat het voorziene bedrag was voor de stelselherziening voordat bij de Voorjaarsnota is besloten om de stelselherziening later in te laten gaan? Kunt u in dit overzicht ook aangeven welke middelen er resteren nu de invoering wordt uitgesteld en er middelen zijn uitgetrokken voor een nieuw ingroeipad?</w:t>
      </w:r>
    </w:p>
    <w:p w:rsidRPr="00C5308E" w:rsidR="0056088B" w:rsidP="00D87753" w:rsidRDefault="0056088B" w14:paraId="32DFD7B7" w14:textId="77777777">
      <w:pPr>
        <w:spacing w:line="240" w:lineRule="auto"/>
        <w:contextualSpacing/>
        <w:rPr>
          <w:rFonts w:ascii="Verdana" w:hAnsi="Verdana" w:cstheme="minorHAnsi"/>
          <w:bCs/>
          <w:sz w:val="18"/>
          <w:szCs w:val="18"/>
          <w:u w:val="single"/>
        </w:rPr>
      </w:pPr>
    </w:p>
    <w:p w:rsidRPr="00C5308E" w:rsidR="009835CB" w:rsidP="00D87753" w:rsidRDefault="009835CB" w14:paraId="4253BB19" w14:textId="4BEBDF3C">
      <w:pPr>
        <w:spacing w:line="240" w:lineRule="auto"/>
        <w:contextualSpacing/>
        <w:rPr>
          <w:rFonts w:ascii="Verdana" w:hAnsi="Verdana" w:cstheme="minorHAnsi"/>
          <w:bCs/>
          <w:sz w:val="18"/>
          <w:szCs w:val="18"/>
          <w:u w:val="single"/>
        </w:rPr>
      </w:pPr>
      <w:r w:rsidRPr="00C5308E">
        <w:rPr>
          <w:rFonts w:ascii="Verdana" w:hAnsi="Verdana" w:cstheme="minorHAnsi"/>
          <w:bCs/>
          <w:sz w:val="18"/>
          <w:szCs w:val="18"/>
          <w:u w:val="single"/>
        </w:rPr>
        <w:t>Antwoord 73</w:t>
      </w:r>
    </w:p>
    <w:p w:rsidRPr="00C5308E" w:rsidR="009835CB" w:rsidP="00D87753" w:rsidRDefault="009835CB" w14:paraId="213D7950" w14:textId="77777777">
      <w:pPr>
        <w:spacing w:line="240" w:lineRule="auto"/>
        <w:contextualSpacing/>
        <w:rPr>
          <w:rFonts w:ascii="Verdana" w:hAnsi="Verdana" w:cstheme="minorHAnsi"/>
          <w:bCs/>
          <w:sz w:val="18"/>
          <w:szCs w:val="18"/>
        </w:rPr>
      </w:pPr>
      <w:r w:rsidRPr="00C5308E">
        <w:rPr>
          <w:rFonts w:ascii="Verdana" w:hAnsi="Verdana" w:cstheme="minorHAnsi"/>
          <w:bCs/>
          <w:sz w:val="18"/>
          <w:szCs w:val="18"/>
        </w:rPr>
        <w:t>Onderstaande tabel bevat een overzicht van de mutaties in de 1</w:t>
      </w:r>
      <w:r w:rsidRPr="00C5308E">
        <w:rPr>
          <w:rFonts w:ascii="Verdana" w:hAnsi="Verdana" w:cstheme="minorHAnsi"/>
          <w:bCs/>
          <w:sz w:val="18"/>
          <w:szCs w:val="18"/>
          <w:vertAlign w:val="superscript"/>
        </w:rPr>
        <w:t>e</w:t>
      </w:r>
      <w:r w:rsidRPr="00C5308E">
        <w:rPr>
          <w:rFonts w:ascii="Verdana" w:hAnsi="Verdana" w:cstheme="minorHAnsi"/>
          <w:bCs/>
          <w:sz w:val="18"/>
          <w:szCs w:val="18"/>
        </w:rPr>
        <w:t xml:space="preserve"> suppletoire begroting SZW rondom de stelselherziening kinderopvang.</w:t>
      </w:r>
    </w:p>
    <w:tbl>
      <w:tblPr>
        <w:tblW w:w="0" w:type="auto"/>
        <w:tblLayout w:type="fixed"/>
        <w:tblCellMar>
          <w:left w:w="70" w:type="dxa"/>
          <w:right w:w="70" w:type="dxa"/>
        </w:tblCellMar>
        <w:tblLook w:val="04A0" w:firstRow="1" w:lastRow="0" w:firstColumn="1" w:lastColumn="0" w:noHBand="0" w:noVBand="1"/>
      </w:tblPr>
      <w:tblGrid>
        <w:gridCol w:w="3619"/>
        <w:gridCol w:w="879"/>
        <w:gridCol w:w="879"/>
        <w:gridCol w:w="879"/>
        <w:gridCol w:w="879"/>
        <w:gridCol w:w="879"/>
        <w:gridCol w:w="879"/>
      </w:tblGrid>
      <w:tr w:rsidRPr="00C5308E" w:rsidR="009835CB" w:rsidTr="003C75FE" w14:paraId="06BB1504" w14:textId="77777777">
        <w:trPr>
          <w:trHeight w:val="260"/>
        </w:trPr>
        <w:tc>
          <w:tcPr>
            <w:tcW w:w="3619" w:type="dxa"/>
            <w:tcBorders>
              <w:top w:val="single" w:color="auto" w:sz="4" w:space="0"/>
              <w:left w:val="nil"/>
              <w:bottom w:val="single" w:color="auto" w:sz="4" w:space="0"/>
              <w:right w:val="single" w:color="auto" w:sz="4" w:space="0"/>
            </w:tcBorders>
            <w:shd w:val="clear" w:color="000000" w:fill="E7E6E6"/>
            <w:noWrap/>
            <w:vAlign w:val="center"/>
            <w:hideMark/>
          </w:tcPr>
          <w:p w:rsidRPr="00C5308E" w:rsidR="009835CB" w:rsidP="00D87753" w:rsidRDefault="009835CB" w14:paraId="4E63B3A0" w14:textId="554D1A6D">
            <w:pPr>
              <w:spacing w:line="240" w:lineRule="auto"/>
              <w:contextualSpacing/>
              <w:rPr>
                <w:rFonts w:ascii="Verdana" w:hAnsi="Verdana" w:eastAsia="Times New Roman"/>
                <w:bCs/>
                <w:i/>
                <w:iCs/>
                <w:color w:val="000000"/>
                <w:sz w:val="18"/>
                <w:szCs w:val="18"/>
                <w:lang w:eastAsia="nl-NL"/>
              </w:rPr>
            </w:pPr>
            <w:r w:rsidRPr="00C5308E">
              <w:rPr>
                <w:rFonts w:ascii="Verdana" w:hAnsi="Verdana" w:eastAsia="Times New Roman"/>
                <w:bCs/>
                <w:i/>
                <w:iCs/>
                <w:color w:val="000000"/>
                <w:sz w:val="18"/>
                <w:szCs w:val="18"/>
                <w:lang w:eastAsia="nl-NL"/>
              </w:rPr>
              <w:t>Bedragen</w:t>
            </w:r>
            <w:r w:rsidRPr="00C5308E" w:rsidR="00903729">
              <w:rPr>
                <w:rFonts w:ascii="Verdana" w:hAnsi="Verdana" w:eastAsia="Times New Roman"/>
                <w:bCs/>
                <w:i/>
                <w:iCs/>
                <w:color w:val="000000"/>
                <w:sz w:val="18"/>
                <w:szCs w:val="18"/>
                <w:lang w:eastAsia="nl-NL"/>
              </w:rPr>
              <w:t xml:space="preserve"> </w:t>
            </w:r>
            <w:r w:rsidRPr="00C5308E" w:rsidR="004C0310">
              <w:rPr>
                <w:rFonts w:ascii="Verdana" w:hAnsi="Verdana" w:cs="Times New Roman"/>
                <w:i/>
                <w:iCs/>
                <w:sz w:val="18"/>
                <w:szCs w:val="18"/>
              </w:rPr>
              <w:t>x</w:t>
            </w:r>
            <w:r w:rsidRPr="00C5308E" w:rsidR="00903729">
              <w:rPr>
                <w:rFonts w:ascii="Verdana" w:hAnsi="Verdana" w:cs="Times New Roman"/>
                <w:i/>
                <w:iCs/>
                <w:sz w:val="18"/>
                <w:szCs w:val="18"/>
              </w:rPr>
              <w:t xml:space="preserve"> </w:t>
            </w:r>
            <w:r w:rsidRPr="00C5308E" w:rsidR="004C0310">
              <w:rPr>
                <w:rFonts w:ascii="Verdana" w:hAnsi="Verdana" w:cs="Times New Roman"/>
                <w:i/>
                <w:iCs/>
                <w:sz w:val="18"/>
                <w:szCs w:val="18"/>
              </w:rPr>
              <w:t>€ 1 mln.</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61EED87D"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2025</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22F42BAC"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0C3C2D6B"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7BA723BB"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5612B02C"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25FD6FE9"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2030</w:t>
            </w:r>
          </w:p>
        </w:tc>
      </w:tr>
      <w:tr w:rsidRPr="00C5308E" w:rsidR="009835CB" w:rsidTr="003C75FE" w14:paraId="16486174" w14:textId="77777777">
        <w:trPr>
          <w:trHeight w:val="260"/>
        </w:trPr>
        <w:tc>
          <w:tcPr>
            <w:tcW w:w="3619" w:type="dxa"/>
            <w:tcBorders>
              <w:top w:val="nil"/>
              <w:left w:val="nil"/>
              <w:bottom w:val="nil"/>
              <w:right w:val="single" w:color="auto" w:sz="4" w:space="0"/>
            </w:tcBorders>
            <w:shd w:val="clear" w:color="auto" w:fill="auto"/>
            <w:noWrap/>
            <w:vAlign w:val="center"/>
            <w:hideMark/>
          </w:tcPr>
          <w:p w:rsidRPr="00C5308E" w:rsidR="009835CB" w:rsidP="00D87753" w:rsidRDefault="009835CB" w14:paraId="5221E5FC" w14:textId="77777777">
            <w:pPr>
              <w:spacing w:line="240" w:lineRule="auto"/>
              <w:contextualSpacing/>
              <w:rPr>
                <w:rFonts w:ascii="Verdana" w:hAnsi="Verdana" w:eastAsia="Times New Roman"/>
                <w:bCs/>
                <w:sz w:val="18"/>
                <w:szCs w:val="18"/>
                <w:lang w:eastAsia="nl-NL"/>
              </w:rPr>
            </w:pPr>
            <w:r w:rsidRPr="00C5308E">
              <w:rPr>
                <w:rFonts w:ascii="Verdana" w:hAnsi="Verdana" w:eastAsia="Times New Roman"/>
                <w:bCs/>
                <w:sz w:val="18"/>
                <w:szCs w:val="18"/>
                <w:lang w:eastAsia="nl-NL"/>
              </w:rPr>
              <w:t>1. Invoering nieuwe financiering per 2029</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7980E2D7"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-38</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08B3A54"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-607</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58499BD4"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-2.196</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1AEC02C3"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-1.860</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B32B825"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-317</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13CF6452"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-156</w:t>
            </w:r>
          </w:p>
        </w:tc>
      </w:tr>
      <w:tr w:rsidRPr="00C5308E" w:rsidR="009835CB" w:rsidTr="003C75FE" w14:paraId="4983676D" w14:textId="77777777">
        <w:trPr>
          <w:trHeight w:val="260"/>
        </w:trPr>
        <w:tc>
          <w:tcPr>
            <w:tcW w:w="3619" w:type="dxa"/>
            <w:tcBorders>
              <w:top w:val="nil"/>
              <w:left w:val="nil"/>
              <w:bottom w:val="nil"/>
              <w:right w:val="single" w:color="auto" w:sz="4" w:space="0"/>
            </w:tcBorders>
            <w:shd w:val="clear" w:color="auto" w:fill="auto"/>
            <w:noWrap/>
            <w:vAlign w:val="center"/>
            <w:hideMark/>
          </w:tcPr>
          <w:p w:rsidRPr="00C5308E" w:rsidR="009835CB" w:rsidP="00D87753" w:rsidRDefault="009835CB" w14:paraId="71CF5370" w14:textId="77777777">
            <w:pPr>
              <w:spacing w:line="240" w:lineRule="auto"/>
              <w:contextualSpacing/>
              <w:rPr>
                <w:rFonts w:ascii="Verdana" w:hAnsi="Verdana" w:eastAsia="Times New Roman"/>
                <w:bCs/>
                <w:sz w:val="18"/>
                <w:szCs w:val="18"/>
                <w:lang w:eastAsia="nl-NL"/>
              </w:rPr>
            </w:pPr>
            <w:r w:rsidRPr="00C5308E">
              <w:rPr>
                <w:rFonts w:ascii="Verdana" w:hAnsi="Verdana" w:eastAsia="Times New Roman"/>
                <w:bCs/>
                <w:sz w:val="18"/>
                <w:szCs w:val="18"/>
                <w:lang w:eastAsia="nl-NL"/>
              </w:rPr>
              <w:t>2. Ingroeipadmiddelen</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39C0E7A6"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19</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38839DCD"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292</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2C499ACA"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833</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1EC3FEA4"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1.037</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00CA973"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394</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0CD92BE"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113</w:t>
            </w:r>
          </w:p>
        </w:tc>
      </w:tr>
      <w:tr w:rsidRPr="00C5308E" w:rsidR="009835CB" w:rsidTr="003C75FE" w14:paraId="7707F4A5" w14:textId="77777777">
        <w:trPr>
          <w:trHeight w:val="260"/>
        </w:trPr>
        <w:tc>
          <w:tcPr>
            <w:tcW w:w="3619" w:type="dxa"/>
            <w:tcBorders>
              <w:top w:val="nil"/>
              <w:left w:val="nil"/>
              <w:bottom w:val="nil"/>
              <w:right w:val="single" w:color="auto" w:sz="4" w:space="0"/>
            </w:tcBorders>
            <w:shd w:val="clear" w:color="auto" w:fill="auto"/>
            <w:noWrap/>
            <w:vAlign w:val="center"/>
            <w:hideMark/>
          </w:tcPr>
          <w:p w:rsidRPr="00C5308E" w:rsidR="009835CB" w:rsidP="00D87753" w:rsidRDefault="009835CB" w14:paraId="5123A9B9" w14:textId="77777777">
            <w:pPr>
              <w:spacing w:line="240" w:lineRule="auto"/>
              <w:contextualSpacing/>
              <w:rPr>
                <w:rFonts w:ascii="Verdana" w:hAnsi="Verdana" w:eastAsia="Times New Roman"/>
                <w:bCs/>
                <w:sz w:val="18"/>
                <w:szCs w:val="18"/>
                <w:lang w:eastAsia="nl-NL"/>
              </w:rPr>
            </w:pPr>
            <w:r w:rsidRPr="00C5308E">
              <w:rPr>
                <w:rFonts w:ascii="Verdana" w:hAnsi="Verdana" w:eastAsia="Times New Roman"/>
                <w:bCs/>
                <w:sz w:val="18"/>
                <w:szCs w:val="18"/>
                <w:lang w:eastAsia="nl-NL"/>
              </w:rPr>
              <w:t>3. Flankerend beleid</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032F1FA"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9835CB" w14:paraId="1D79E082"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9835CB" w14:paraId="67A6A926"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9835CB" w14:paraId="7FB41368"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2</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3A597F9B"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32</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16813CD8"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31</w:t>
            </w:r>
          </w:p>
        </w:tc>
      </w:tr>
      <w:tr w:rsidRPr="00C5308E" w:rsidR="009835CB" w:rsidTr="003C75FE" w14:paraId="38B896B8" w14:textId="77777777">
        <w:trPr>
          <w:trHeight w:val="260"/>
        </w:trPr>
        <w:tc>
          <w:tcPr>
            <w:tcW w:w="3619" w:type="dxa"/>
            <w:tcBorders>
              <w:top w:val="nil"/>
              <w:left w:val="nil"/>
              <w:bottom w:val="nil"/>
              <w:right w:val="single" w:color="auto" w:sz="4" w:space="0"/>
            </w:tcBorders>
            <w:shd w:val="clear" w:color="auto" w:fill="auto"/>
            <w:noWrap/>
            <w:vAlign w:val="center"/>
            <w:hideMark/>
          </w:tcPr>
          <w:p w:rsidRPr="00C5308E" w:rsidR="009835CB" w:rsidP="00D87753" w:rsidRDefault="009835CB" w14:paraId="07415767" w14:textId="153A635A">
            <w:pPr>
              <w:spacing w:line="240" w:lineRule="auto"/>
              <w:contextualSpacing/>
              <w:rPr>
                <w:rFonts w:ascii="Verdana" w:hAnsi="Verdana" w:eastAsia="Times New Roman"/>
                <w:bCs/>
                <w:sz w:val="18"/>
                <w:szCs w:val="18"/>
                <w:lang w:eastAsia="nl-NL"/>
              </w:rPr>
            </w:pPr>
            <w:r w:rsidRPr="00C5308E">
              <w:rPr>
                <w:rFonts w:ascii="Verdana" w:hAnsi="Verdana" w:eastAsia="Times New Roman"/>
                <w:bCs/>
                <w:sz w:val="18"/>
                <w:szCs w:val="18"/>
                <w:lang w:eastAsia="nl-NL"/>
              </w:rPr>
              <w:t>4. Uitvoeringskosten im</w:t>
            </w:r>
            <w:r w:rsidR="00FB2F52">
              <w:rPr>
                <w:rFonts w:ascii="Verdana" w:hAnsi="Verdana" w:eastAsia="Times New Roman"/>
                <w:bCs/>
                <w:sz w:val="18"/>
                <w:szCs w:val="18"/>
                <w:lang w:eastAsia="nl-NL"/>
              </w:rPr>
              <w:t>p</w:t>
            </w:r>
            <w:r w:rsidRPr="00C5308E">
              <w:rPr>
                <w:rFonts w:ascii="Verdana" w:hAnsi="Verdana" w:eastAsia="Times New Roman"/>
                <w:bCs/>
                <w:sz w:val="18"/>
                <w:szCs w:val="18"/>
                <w:lang w:eastAsia="nl-NL"/>
              </w:rPr>
              <w:t>lementatie</w:t>
            </w:r>
          </w:p>
        </w:tc>
        <w:tc>
          <w:tcPr>
            <w:tcW w:w="879" w:type="dxa"/>
            <w:tcBorders>
              <w:top w:val="nil"/>
              <w:left w:val="nil"/>
              <w:bottom w:val="nil"/>
              <w:right w:val="nil"/>
            </w:tcBorders>
            <w:shd w:val="clear" w:color="auto" w:fill="auto"/>
            <w:noWrap/>
            <w:vAlign w:val="center"/>
            <w:hideMark/>
          </w:tcPr>
          <w:p w:rsidRPr="00C5308E" w:rsidR="009835CB" w:rsidP="00BA1787" w:rsidRDefault="00FB2F52" w14:paraId="70C2CED3" w14:textId="3A07749A">
            <w:pPr>
              <w:spacing w:line="240" w:lineRule="auto"/>
              <w:contextualSpacing/>
              <w:jc w:val="right"/>
              <w:rPr>
                <w:rFonts w:ascii="Verdana" w:hAnsi="Verdana" w:eastAsia="Times New Roman" w:cs="Times New Roman"/>
                <w:bCs/>
                <w:sz w:val="18"/>
                <w:szCs w:val="18"/>
                <w:lang w:eastAsia="nl-NL"/>
              </w:rPr>
            </w:pPr>
            <w:r>
              <w:rPr>
                <w:rFonts w:ascii="Verdana" w:hAnsi="Verdana" w:eastAsia="Times New Roman" w:cs="Times New Roman"/>
                <w:bCs/>
                <w:sz w:val="18"/>
                <w:szCs w:val="18"/>
                <w:lang w:eastAsia="nl-NL"/>
              </w:rPr>
              <w:t>-5</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7C856EA2"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9835CB" w14:paraId="25F231F7"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9835CB" w14:paraId="5773A6F9" w14:textId="77777777">
            <w:pPr>
              <w:spacing w:line="240" w:lineRule="auto"/>
              <w:contextualSpacing/>
              <w:rPr>
                <w:rFonts w:ascii="Verdana" w:hAnsi="Verdana" w:eastAsia="Times New Roman" w:cs="Times New Roman"/>
                <w:bCs/>
                <w:sz w:val="18"/>
                <w:szCs w:val="18"/>
                <w:lang w:eastAsia="nl-NL"/>
              </w:rPr>
            </w:pPr>
          </w:p>
        </w:tc>
        <w:tc>
          <w:tcPr>
            <w:tcW w:w="879" w:type="dxa"/>
            <w:tcBorders>
              <w:top w:val="nil"/>
              <w:left w:val="nil"/>
              <w:bottom w:val="nil"/>
              <w:right w:val="nil"/>
            </w:tcBorders>
            <w:shd w:val="clear" w:color="auto" w:fill="auto"/>
            <w:noWrap/>
            <w:vAlign w:val="center"/>
            <w:hideMark/>
          </w:tcPr>
          <w:p w:rsidRPr="00C5308E" w:rsidR="009835CB" w:rsidP="00D87753" w:rsidRDefault="00FB2F52" w14:paraId="0AD97AEC" w14:textId="05668768">
            <w:pPr>
              <w:spacing w:line="240" w:lineRule="auto"/>
              <w:contextualSpacing/>
              <w:jc w:val="right"/>
              <w:rPr>
                <w:rFonts w:ascii="Verdana" w:hAnsi="Verdana" w:eastAsia="Times New Roman"/>
                <w:bCs/>
                <w:sz w:val="18"/>
                <w:szCs w:val="18"/>
                <w:lang w:eastAsia="nl-NL"/>
              </w:rPr>
            </w:pPr>
            <w:r>
              <w:rPr>
                <w:rFonts w:ascii="Verdana" w:hAnsi="Verdana" w:eastAsia="Times New Roman"/>
                <w:bCs/>
                <w:sz w:val="18"/>
                <w:szCs w:val="18"/>
                <w:lang w:eastAsia="nl-NL"/>
              </w:rPr>
              <w:t>51</w:t>
            </w:r>
          </w:p>
        </w:tc>
        <w:tc>
          <w:tcPr>
            <w:tcW w:w="879" w:type="dxa"/>
            <w:tcBorders>
              <w:top w:val="nil"/>
              <w:left w:val="nil"/>
              <w:bottom w:val="nil"/>
              <w:right w:val="nil"/>
            </w:tcBorders>
            <w:shd w:val="clear" w:color="auto" w:fill="auto"/>
            <w:noWrap/>
            <w:vAlign w:val="center"/>
            <w:hideMark/>
          </w:tcPr>
          <w:p w:rsidRPr="00C5308E" w:rsidR="009835CB" w:rsidP="00D87753" w:rsidRDefault="009835CB" w14:paraId="544D68C1" w14:textId="77777777">
            <w:pPr>
              <w:spacing w:line="240" w:lineRule="auto"/>
              <w:contextualSpacing/>
              <w:jc w:val="right"/>
              <w:rPr>
                <w:rFonts w:ascii="Verdana" w:hAnsi="Verdana" w:eastAsia="Times New Roman"/>
                <w:bCs/>
                <w:sz w:val="18"/>
                <w:szCs w:val="18"/>
                <w:lang w:eastAsia="nl-NL"/>
              </w:rPr>
            </w:pPr>
            <w:r w:rsidRPr="00C5308E">
              <w:rPr>
                <w:rFonts w:ascii="Verdana" w:hAnsi="Verdana" w:eastAsia="Times New Roman"/>
                <w:bCs/>
                <w:sz w:val="18"/>
                <w:szCs w:val="18"/>
                <w:lang w:eastAsia="nl-NL"/>
              </w:rPr>
              <w:t>65</w:t>
            </w:r>
          </w:p>
        </w:tc>
      </w:tr>
      <w:tr w:rsidRPr="00C5308E" w:rsidR="009835CB" w:rsidTr="003C75FE" w14:paraId="5A30B0F7" w14:textId="77777777">
        <w:trPr>
          <w:trHeight w:val="260"/>
        </w:trPr>
        <w:tc>
          <w:tcPr>
            <w:tcW w:w="3619" w:type="dxa"/>
            <w:tcBorders>
              <w:top w:val="single" w:color="auto" w:sz="4" w:space="0"/>
              <w:left w:val="nil"/>
              <w:bottom w:val="single" w:color="auto" w:sz="4" w:space="0"/>
              <w:right w:val="single" w:color="auto" w:sz="4" w:space="0"/>
            </w:tcBorders>
            <w:shd w:val="clear" w:color="000000" w:fill="FFF0CE"/>
            <w:noWrap/>
            <w:vAlign w:val="center"/>
            <w:hideMark/>
          </w:tcPr>
          <w:p w:rsidRPr="00C5308E" w:rsidR="009835CB" w:rsidP="00D87753" w:rsidRDefault="009835CB" w14:paraId="1C7AEC2F" w14:textId="77777777">
            <w:pPr>
              <w:spacing w:line="240" w:lineRule="auto"/>
              <w:contextualSpacing/>
              <w:rPr>
                <w:rFonts w:ascii="Verdana" w:hAnsi="Verdana" w:eastAsia="Times New Roman"/>
                <w:bCs/>
                <w:sz w:val="18"/>
                <w:szCs w:val="18"/>
                <w:lang w:eastAsia="nl-NL"/>
              </w:rPr>
            </w:pPr>
            <w:r w:rsidRPr="00C5308E">
              <w:rPr>
                <w:rFonts w:ascii="Verdana" w:hAnsi="Verdana" w:eastAsia="Times New Roman"/>
                <w:bCs/>
                <w:sz w:val="18"/>
                <w:szCs w:val="18"/>
                <w:lang w:eastAsia="nl-NL"/>
              </w:rPr>
              <w:t>Totaal</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32C38AA9" w14:textId="496554EE">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w:t>
            </w:r>
            <w:r w:rsidR="00FB2F52">
              <w:rPr>
                <w:rFonts w:ascii="Verdana" w:hAnsi="Verdana" w:cs="Calibri"/>
                <w:bCs/>
                <w:color w:val="000000"/>
                <w:sz w:val="18"/>
                <w:szCs w:val="18"/>
              </w:rPr>
              <w:t>24</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12AB4918"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-315</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501FCD13"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-1.363</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6F0B23F2"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-821</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196EF726" w14:textId="4F78187C">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1</w:t>
            </w:r>
            <w:r w:rsidR="00FB2F52">
              <w:rPr>
                <w:rFonts w:ascii="Verdana" w:hAnsi="Verdana" w:cs="Calibri"/>
                <w:bCs/>
                <w:color w:val="000000"/>
                <w:sz w:val="18"/>
                <w:szCs w:val="18"/>
              </w:rPr>
              <w:t>60</w:t>
            </w:r>
          </w:p>
        </w:tc>
        <w:tc>
          <w:tcPr>
            <w:tcW w:w="879" w:type="dxa"/>
            <w:tcBorders>
              <w:top w:val="single" w:color="auto" w:sz="4" w:space="0"/>
              <w:left w:val="nil"/>
              <w:bottom w:val="single" w:color="auto" w:sz="4" w:space="0"/>
              <w:right w:val="nil"/>
            </w:tcBorders>
            <w:shd w:val="clear" w:color="000000" w:fill="FFF0CE"/>
            <w:noWrap/>
            <w:vAlign w:val="bottom"/>
            <w:hideMark/>
          </w:tcPr>
          <w:p w:rsidRPr="00C5308E" w:rsidR="009835CB" w:rsidP="00D87753" w:rsidRDefault="009835CB" w14:paraId="510C2693"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53</w:t>
            </w:r>
          </w:p>
        </w:tc>
      </w:tr>
    </w:tbl>
    <w:p w:rsidRPr="00C5308E" w:rsidR="009835CB" w:rsidP="00D87753" w:rsidRDefault="009835CB" w14:paraId="1901CC39" w14:textId="77777777">
      <w:pPr>
        <w:spacing w:line="240" w:lineRule="auto"/>
        <w:contextualSpacing/>
        <w:rPr>
          <w:rFonts w:ascii="Verdana" w:hAnsi="Verdana" w:cstheme="minorHAnsi"/>
          <w:bCs/>
          <w:sz w:val="18"/>
          <w:szCs w:val="18"/>
        </w:rPr>
      </w:pPr>
    </w:p>
    <w:p w:rsidRPr="00C5308E" w:rsidR="009835CB" w:rsidP="00D87753" w:rsidRDefault="009835CB" w14:paraId="75046E09" w14:textId="77777777">
      <w:pPr>
        <w:spacing w:line="240" w:lineRule="auto"/>
        <w:contextualSpacing/>
        <w:rPr>
          <w:rFonts w:ascii="Verdana" w:hAnsi="Verdana" w:cstheme="minorHAnsi"/>
          <w:bCs/>
          <w:sz w:val="18"/>
          <w:szCs w:val="18"/>
        </w:rPr>
      </w:pPr>
      <w:r w:rsidRPr="00C5308E">
        <w:rPr>
          <w:rFonts w:ascii="Verdana" w:hAnsi="Verdana" w:cstheme="minorHAnsi"/>
          <w:bCs/>
          <w:sz w:val="18"/>
          <w:szCs w:val="18"/>
        </w:rPr>
        <w:t>Toelichting:</w:t>
      </w:r>
    </w:p>
    <w:p w:rsidRPr="00C5308E" w:rsidR="009835CB" w:rsidP="00D87753" w:rsidRDefault="009835CB" w14:paraId="45FE4C7A" w14:textId="77777777">
      <w:pPr>
        <w:pStyle w:val="Lijstalinea"/>
        <w:numPr>
          <w:ilvl w:val="0"/>
          <w:numId w:val="3"/>
        </w:numPr>
        <w:spacing w:after="0" w:line="240" w:lineRule="auto"/>
        <w:rPr>
          <w:rFonts w:cstheme="minorHAnsi"/>
          <w:bCs/>
          <w:szCs w:val="18"/>
          <w:lang w:val="nl-NL"/>
        </w:rPr>
      </w:pPr>
      <w:r w:rsidRPr="00C5308E">
        <w:rPr>
          <w:rFonts w:cstheme="minorHAnsi"/>
          <w:bCs/>
          <w:szCs w:val="18"/>
          <w:lang w:val="nl-NL"/>
        </w:rPr>
        <w:t>De eerste reeks toont de vrijval bij de invoering van het nieuwe financieringsstelsel per 1 januari 2029. Hierbij is aangenomen dat de ingroeistap die voor 2026 was voorzien twee jaar opschuift naar 2028.</w:t>
      </w:r>
    </w:p>
    <w:p w:rsidRPr="00C5308E" w:rsidR="009835CB" w:rsidP="00D87753" w:rsidRDefault="009835CB" w14:paraId="47C8ABE0" w14:textId="77777777">
      <w:pPr>
        <w:pStyle w:val="Lijstalinea"/>
        <w:numPr>
          <w:ilvl w:val="0"/>
          <w:numId w:val="3"/>
        </w:numPr>
        <w:spacing w:after="0" w:line="240" w:lineRule="auto"/>
        <w:rPr>
          <w:rFonts w:cstheme="minorHAnsi"/>
          <w:bCs/>
          <w:szCs w:val="18"/>
          <w:lang w:val="nl-NL"/>
        </w:rPr>
      </w:pPr>
      <w:r w:rsidRPr="00C5308E">
        <w:rPr>
          <w:rFonts w:cstheme="minorHAnsi"/>
          <w:bCs/>
          <w:szCs w:val="18"/>
          <w:lang w:val="nl-NL"/>
        </w:rPr>
        <w:lastRenderedPageBreak/>
        <w:t>De tweede reeks toont de middelen die er in de voorjaarsbesluitvorming zijn gereserveerd voor het verhogen van de kinderopvangtoeslag in de aanloop naar de invoering naar het nieuwe stelsel per 1-1-2029.</w:t>
      </w:r>
    </w:p>
    <w:p w:rsidRPr="00C5308E" w:rsidR="009835CB" w:rsidP="00D87753" w:rsidRDefault="009835CB" w14:paraId="78769C1E" w14:textId="77777777">
      <w:pPr>
        <w:pStyle w:val="Lijstalinea"/>
        <w:numPr>
          <w:ilvl w:val="0"/>
          <w:numId w:val="3"/>
        </w:numPr>
        <w:spacing w:after="0" w:line="240" w:lineRule="auto"/>
        <w:rPr>
          <w:rFonts w:cstheme="minorHAnsi"/>
          <w:bCs/>
          <w:szCs w:val="18"/>
          <w:lang w:val="nl-NL"/>
        </w:rPr>
      </w:pPr>
      <w:r w:rsidRPr="00C5308E">
        <w:rPr>
          <w:rFonts w:cstheme="minorHAnsi"/>
          <w:bCs/>
          <w:szCs w:val="18"/>
          <w:lang w:val="nl-NL"/>
        </w:rPr>
        <w:t>Op de SZW-begroting is ook een reservering getroffen voor flankerend beleid en het ondersteunen van de sector in de transitie naar het nieuwe stelsel.</w:t>
      </w:r>
    </w:p>
    <w:p w:rsidRPr="00C5308E" w:rsidR="009835CB" w:rsidP="00D87753" w:rsidRDefault="00FB2F52" w14:paraId="795032BE" w14:textId="31616BE7">
      <w:pPr>
        <w:pStyle w:val="Lijstalinea"/>
        <w:numPr>
          <w:ilvl w:val="0"/>
          <w:numId w:val="3"/>
        </w:numPr>
        <w:spacing w:after="0" w:line="240" w:lineRule="auto"/>
        <w:rPr>
          <w:rFonts w:cstheme="minorHAnsi"/>
          <w:bCs/>
          <w:szCs w:val="18"/>
          <w:lang w:val="nl-NL"/>
        </w:rPr>
      </w:pPr>
      <w:r>
        <w:rPr>
          <w:rFonts w:cstheme="minorHAnsi"/>
          <w:bCs/>
          <w:szCs w:val="18"/>
          <w:lang w:val="nl-NL"/>
        </w:rPr>
        <w:t xml:space="preserve">Vanwege de latere invoeringsdatum van het nieuwe stelsel zijn middelen (€ 4,8 miljoen) voor de uitvoeringskosten doorgeschoven van 2025 naar 2029. </w:t>
      </w:r>
      <w:r w:rsidRPr="00C5308E" w:rsidR="009835CB">
        <w:rPr>
          <w:rFonts w:cstheme="minorHAnsi"/>
          <w:bCs/>
          <w:szCs w:val="18"/>
          <w:lang w:val="nl-NL"/>
        </w:rPr>
        <w:t>Ten slotte is een aanvullende reservering opgenomen voor de uitvoeringskosten van de invoering van het nieuwe financieringsstelsel. Deze middelen staan op de aanvullende post.</w:t>
      </w:r>
    </w:p>
    <w:p w:rsidRPr="00C5308E" w:rsidR="009835CB" w:rsidP="00D87753" w:rsidRDefault="009835CB" w14:paraId="14B78901" w14:textId="77777777">
      <w:pPr>
        <w:spacing w:after="0" w:line="240" w:lineRule="auto"/>
        <w:contextualSpacing/>
        <w:rPr>
          <w:rFonts w:ascii="Verdana" w:hAnsi="Verdana" w:cstheme="minorHAnsi"/>
          <w:bCs/>
          <w:sz w:val="18"/>
          <w:szCs w:val="18"/>
        </w:rPr>
      </w:pPr>
    </w:p>
    <w:p w:rsidRPr="00C5308E" w:rsidR="009835CB" w:rsidP="00D87753" w:rsidRDefault="009835CB" w14:paraId="600FA714" w14:textId="625D852E">
      <w:pPr>
        <w:spacing w:line="240" w:lineRule="auto"/>
        <w:contextualSpacing/>
        <w:rPr>
          <w:rFonts w:ascii="Verdana" w:hAnsi="Verdana" w:cstheme="minorHAnsi"/>
          <w:bCs/>
          <w:sz w:val="18"/>
          <w:szCs w:val="18"/>
        </w:rPr>
      </w:pPr>
      <w:r w:rsidRPr="00C5308E">
        <w:rPr>
          <w:rFonts w:ascii="Verdana" w:hAnsi="Verdana" w:cstheme="minorHAnsi"/>
          <w:bCs/>
          <w:sz w:val="18"/>
          <w:szCs w:val="18"/>
        </w:rPr>
        <w:t xml:space="preserve">Het kabinet heeft in de Voorjaarnota besloten om de maximum uurprijzen in de kinderopvangtoeslag voor 2026 volgens de reguliere systematiek te indexeren. De structurele kosten van dat besluit worden geraamd op </w:t>
      </w:r>
      <w:r w:rsidRPr="00C5308E" w:rsidR="00EF1671">
        <w:rPr>
          <w:rFonts w:ascii="Verdana" w:hAnsi="Verdana" w:cstheme="minorHAnsi"/>
          <w:bCs/>
          <w:sz w:val="18"/>
          <w:szCs w:val="18"/>
        </w:rPr>
        <w:t xml:space="preserve">€ </w:t>
      </w:r>
      <w:r w:rsidRPr="00C5308E">
        <w:rPr>
          <w:rFonts w:ascii="Verdana" w:hAnsi="Verdana" w:cstheme="minorHAnsi"/>
          <w:bCs/>
          <w:sz w:val="18"/>
          <w:szCs w:val="18"/>
        </w:rPr>
        <w:t>337 miljoen per jaar (zie daarvoor ook het antwoord op vraag 91).</w:t>
      </w:r>
    </w:p>
    <w:p w:rsidRPr="00C5308E" w:rsidR="009835CB" w:rsidP="00D87753" w:rsidRDefault="009835CB" w14:paraId="5389A18D" w14:textId="09FBB5BF">
      <w:pPr>
        <w:spacing w:line="240" w:lineRule="auto"/>
        <w:contextualSpacing/>
        <w:rPr>
          <w:rFonts w:ascii="Verdana" w:hAnsi="Verdana" w:cstheme="minorHAnsi"/>
          <w:bCs/>
          <w:sz w:val="18"/>
          <w:szCs w:val="18"/>
        </w:rPr>
      </w:pPr>
      <w:r w:rsidRPr="00C5308E">
        <w:rPr>
          <w:rFonts w:ascii="Verdana" w:hAnsi="Verdana" w:cstheme="minorHAnsi"/>
          <w:bCs/>
          <w:sz w:val="18"/>
          <w:szCs w:val="18"/>
        </w:rPr>
        <w:t xml:space="preserve">Het voorziene bedrag voor de stelselherziening, voordat bij Voorjaarsnota is besloten om de stelselherziening later in te laten gaan, is hieronder weergegeven. Het betreft de middelen om de kinderopvangtoeslag vanaf 2025 stapsgewijs te verhogen, waarbij de nieuwe financiering voor de kinderopvang in 2027 zou worden ingevoerd. Daarnaast </w:t>
      </w:r>
      <w:r w:rsidRPr="00C5308E" w:rsidR="00FD7351">
        <w:rPr>
          <w:rFonts w:ascii="Verdana" w:hAnsi="Verdana" w:cstheme="minorHAnsi"/>
          <w:bCs/>
          <w:sz w:val="18"/>
          <w:szCs w:val="18"/>
        </w:rPr>
        <w:t>is</w:t>
      </w:r>
      <w:r w:rsidRPr="00C5308E">
        <w:rPr>
          <w:rFonts w:ascii="Verdana" w:hAnsi="Verdana" w:cstheme="minorHAnsi"/>
          <w:bCs/>
          <w:sz w:val="18"/>
          <w:szCs w:val="18"/>
        </w:rPr>
        <w:t xml:space="preserve"> in een afzonderlijke regel de reservering voor uitvoeringskosten voor het nieuwe stelsel</w:t>
      </w:r>
      <w:r w:rsidRPr="00C5308E" w:rsidR="00FD7351">
        <w:rPr>
          <w:rFonts w:ascii="Verdana" w:hAnsi="Verdana" w:cstheme="minorHAnsi"/>
          <w:bCs/>
          <w:sz w:val="18"/>
          <w:szCs w:val="18"/>
        </w:rPr>
        <w:t xml:space="preserve"> opgenomen</w:t>
      </w:r>
      <w:r w:rsidRPr="00C5308E">
        <w:rPr>
          <w:rFonts w:ascii="Verdana" w:hAnsi="Verdana" w:cstheme="minorHAnsi"/>
          <w:bCs/>
          <w:sz w:val="18"/>
          <w:szCs w:val="18"/>
        </w:rPr>
        <w:t>.</w:t>
      </w:r>
    </w:p>
    <w:p w:rsidRPr="00C5308E" w:rsidR="0056088B" w:rsidP="00D87753" w:rsidRDefault="0056088B" w14:paraId="0DE46C1F" w14:textId="77777777">
      <w:pPr>
        <w:spacing w:line="240" w:lineRule="auto"/>
        <w:contextualSpacing/>
        <w:rPr>
          <w:rFonts w:ascii="Verdana" w:hAnsi="Verdana" w:cstheme="minorHAnsi"/>
          <w:bCs/>
          <w:sz w:val="18"/>
          <w:szCs w:val="18"/>
        </w:rPr>
      </w:pPr>
    </w:p>
    <w:tbl>
      <w:tblPr>
        <w:tblW w:w="0" w:type="auto"/>
        <w:tblLayout w:type="fixed"/>
        <w:tblCellMar>
          <w:top w:w="11" w:type="dxa"/>
          <w:left w:w="70" w:type="dxa"/>
          <w:bottom w:w="11" w:type="dxa"/>
          <w:right w:w="70" w:type="dxa"/>
        </w:tblCellMar>
        <w:tblLook w:val="04A0" w:firstRow="1" w:lastRow="0" w:firstColumn="1" w:lastColumn="0" w:noHBand="0" w:noVBand="1"/>
      </w:tblPr>
      <w:tblGrid>
        <w:gridCol w:w="2778"/>
        <w:gridCol w:w="879"/>
        <w:gridCol w:w="879"/>
        <w:gridCol w:w="879"/>
        <w:gridCol w:w="879"/>
        <w:gridCol w:w="879"/>
        <w:gridCol w:w="879"/>
      </w:tblGrid>
      <w:tr w:rsidRPr="00C5308E" w:rsidR="009835CB" w:rsidTr="003C75FE" w14:paraId="0646B1B7" w14:textId="77777777">
        <w:tc>
          <w:tcPr>
            <w:tcW w:w="2778" w:type="dxa"/>
            <w:tcBorders>
              <w:top w:val="single" w:color="auto" w:sz="4" w:space="0"/>
              <w:left w:val="nil"/>
              <w:bottom w:val="single" w:color="auto" w:sz="4" w:space="0"/>
              <w:right w:val="single" w:color="auto" w:sz="4" w:space="0"/>
            </w:tcBorders>
            <w:shd w:val="clear" w:color="000000" w:fill="E7E6E6"/>
            <w:noWrap/>
            <w:vAlign w:val="center"/>
            <w:hideMark/>
          </w:tcPr>
          <w:p w:rsidRPr="00C5308E" w:rsidR="009835CB" w:rsidP="00D87753" w:rsidRDefault="009835CB" w14:paraId="62077EA7" w14:textId="738D8DB1">
            <w:pPr>
              <w:spacing w:line="240" w:lineRule="auto"/>
              <w:contextualSpacing/>
              <w:rPr>
                <w:rFonts w:ascii="Verdana" w:hAnsi="Verdana" w:eastAsia="Times New Roman"/>
                <w:bCs/>
                <w:i/>
                <w:iCs/>
                <w:color w:val="000000"/>
                <w:sz w:val="18"/>
                <w:szCs w:val="18"/>
                <w:lang w:eastAsia="nl-NL"/>
              </w:rPr>
            </w:pPr>
            <w:r w:rsidRPr="00C5308E">
              <w:rPr>
                <w:rFonts w:ascii="Verdana" w:hAnsi="Verdana" w:eastAsia="Times New Roman"/>
                <w:bCs/>
                <w:i/>
                <w:iCs/>
                <w:color w:val="000000"/>
                <w:sz w:val="18"/>
                <w:szCs w:val="18"/>
                <w:lang w:eastAsia="nl-NL"/>
              </w:rPr>
              <w:t xml:space="preserve">Bedragen x € 1 </w:t>
            </w:r>
            <w:r w:rsidRPr="00C5308E" w:rsidR="00F1770A">
              <w:rPr>
                <w:rFonts w:ascii="Verdana" w:hAnsi="Verdana" w:eastAsia="Times New Roman"/>
                <w:bCs/>
                <w:i/>
                <w:iCs/>
                <w:color w:val="000000"/>
                <w:sz w:val="18"/>
                <w:szCs w:val="18"/>
                <w:lang w:eastAsia="nl-NL"/>
              </w:rPr>
              <w:t>mln.</w:t>
            </w:r>
          </w:p>
        </w:tc>
        <w:tc>
          <w:tcPr>
            <w:tcW w:w="879"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5492C41A"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2025</w:t>
            </w:r>
          </w:p>
        </w:tc>
        <w:tc>
          <w:tcPr>
            <w:tcW w:w="879"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1D7A07D1"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6D8AA5C1"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7B05CC3B"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2878DBA9"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3F8FAF59"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2030</w:t>
            </w:r>
          </w:p>
        </w:tc>
      </w:tr>
      <w:tr w:rsidRPr="00C5308E" w:rsidR="009835CB" w:rsidTr="003C75FE" w14:paraId="16F77C34" w14:textId="77777777">
        <w:tc>
          <w:tcPr>
            <w:tcW w:w="2778" w:type="dxa"/>
            <w:tcBorders>
              <w:left w:val="nil"/>
              <w:right w:val="single" w:color="auto" w:sz="4" w:space="0"/>
            </w:tcBorders>
            <w:shd w:val="clear" w:color="auto" w:fill="auto"/>
            <w:noWrap/>
            <w:vAlign w:val="center"/>
          </w:tcPr>
          <w:p w:rsidRPr="00C5308E" w:rsidR="009835CB" w:rsidP="00D87753" w:rsidRDefault="009835CB" w14:paraId="611C7ECA"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Programmakosten</w:t>
            </w:r>
          </w:p>
        </w:tc>
        <w:tc>
          <w:tcPr>
            <w:tcW w:w="879" w:type="dxa"/>
            <w:tcBorders>
              <w:left w:val="nil"/>
              <w:right w:val="nil"/>
            </w:tcBorders>
            <w:shd w:val="clear" w:color="auto" w:fill="auto"/>
            <w:noWrap/>
            <w:vAlign w:val="bottom"/>
          </w:tcPr>
          <w:p w:rsidRPr="00C5308E" w:rsidR="009835CB" w:rsidP="00D87753" w:rsidRDefault="009835CB" w14:paraId="1D38E5E6"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459</w:t>
            </w:r>
          </w:p>
        </w:tc>
        <w:tc>
          <w:tcPr>
            <w:tcW w:w="879" w:type="dxa"/>
            <w:tcBorders>
              <w:left w:val="nil"/>
              <w:right w:val="nil"/>
            </w:tcBorders>
            <w:shd w:val="clear" w:color="auto" w:fill="auto"/>
            <w:noWrap/>
            <w:vAlign w:val="bottom"/>
          </w:tcPr>
          <w:p w:rsidRPr="00C5308E" w:rsidR="009835CB" w:rsidP="00D87753" w:rsidRDefault="009835CB" w14:paraId="2AD86C37"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1.120</w:t>
            </w:r>
          </w:p>
        </w:tc>
        <w:tc>
          <w:tcPr>
            <w:tcW w:w="879" w:type="dxa"/>
            <w:tcBorders>
              <w:left w:val="nil"/>
              <w:right w:val="nil"/>
            </w:tcBorders>
            <w:shd w:val="clear" w:color="auto" w:fill="auto"/>
            <w:noWrap/>
            <w:vAlign w:val="bottom"/>
          </w:tcPr>
          <w:p w:rsidRPr="00C5308E" w:rsidR="009835CB" w:rsidP="00D87753" w:rsidRDefault="009835CB" w14:paraId="4BBC54A5"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2.778</w:t>
            </w:r>
          </w:p>
        </w:tc>
        <w:tc>
          <w:tcPr>
            <w:tcW w:w="879" w:type="dxa"/>
            <w:tcBorders>
              <w:left w:val="nil"/>
              <w:right w:val="nil"/>
            </w:tcBorders>
            <w:shd w:val="clear" w:color="auto" w:fill="auto"/>
            <w:noWrap/>
            <w:vAlign w:val="bottom"/>
          </w:tcPr>
          <w:p w:rsidRPr="00C5308E" w:rsidR="009835CB" w:rsidP="00D87753" w:rsidRDefault="009835CB" w14:paraId="13080F8B"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2.871</w:t>
            </w:r>
          </w:p>
        </w:tc>
        <w:tc>
          <w:tcPr>
            <w:tcW w:w="879" w:type="dxa"/>
            <w:tcBorders>
              <w:left w:val="nil"/>
              <w:right w:val="nil"/>
            </w:tcBorders>
            <w:shd w:val="clear" w:color="auto" w:fill="auto"/>
            <w:noWrap/>
            <w:vAlign w:val="bottom"/>
          </w:tcPr>
          <w:p w:rsidRPr="00C5308E" w:rsidR="009835CB" w:rsidP="00D87753" w:rsidRDefault="009835CB" w14:paraId="3748F38E"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2.987</w:t>
            </w:r>
          </w:p>
        </w:tc>
        <w:tc>
          <w:tcPr>
            <w:tcW w:w="879" w:type="dxa"/>
            <w:tcBorders>
              <w:left w:val="nil"/>
              <w:right w:val="nil"/>
            </w:tcBorders>
            <w:shd w:val="clear" w:color="auto" w:fill="auto"/>
            <w:noWrap/>
            <w:vAlign w:val="bottom"/>
          </w:tcPr>
          <w:p w:rsidRPr="00C5308E" w:rsidR="009835CB" w:rsidP="00D87753" w:rsidRDefault="009835CB" w14:paraId="04B460F0"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sz w:val="18"/>
                <w:szCs w:val="18"/>
              </w:rPr>
              <w:t>3.038</w:t>
            </w:r>
          </w:p>
        </w:tc>
      </w:tr>
      <w:tr w:rsidRPr="00C5308E" w:rsidR="009835CB" w:rsidTr="003C75FE" w14:paraId="3061CAC4" w14:textId="77777777">
        <w:tc>
          <w:tcPr>
            <w:tcW w:w="2778" w:type="dxa"/>
            <w:tcBorders>
              <w:left w:val="nil"/>
              <w:bottom w:val="single" w:color="auto" w:sz="4" w:space="0"/>
              <w:right w:val="single" w:color="auto" w:sz="4" w:space="0"/>
            </w:tcBorders>
            <w:shd w:val="clear" w:color="auto" w:fill="auto"/>
            <w:noWrap/>
            <w:vAlign w:val="center"/>
          </w:tcPr>
          <w:p w:rsidRPr="00C5308E" w:rsidR="009835CB" w:rsidP="00D87753" w:rsidRDefault="009835CB" w14:paraId="2F64A664"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Uitvoeringskosten</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43501974" w14:textId="4D5027B6">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5</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72ED49C9" w14:textId="171042B8">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5</w:t>
            </w:r>
            <w:r w:rsidR="00FB2F52">
              <w:rPr>
                <w:rFonts w:ascii="Verdana" w:hAnsi="Verdana" w:cs="Calibri"/>
                <w:bCs/>
                <w:color w:val="000000"/>
                <w:sz w:val="18"/>
                <w:szCs w:val="18"/>
              </w:rPr>
              <w:t>3</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14348B46" w14:textId="65DC38E6">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5</w:t>
            </w:r>
            <w:r w:rsidR="00FB2F52">
              <w:rPr>
                <w:rFonts w:ascii="Verdana" w:hAnsi="Verdana" w:cs="Calibri"/>
                <w:bCs/>
                <w:color w:val="000000"/>
                <w:sz w:val="18"/>
                <w:szCs w:val="18"/>
              </w:rPr>
              <w:t>0</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3ECFBB98" w14:textId="77777777">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28</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425C94C7" w14:textId="77777777">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23</w:t>
            </w:r>
          </w:p>
        </w:tc>
        <w:tc>
          <w:tcPr>
            <w:tcW w:w="879" w:type="dxa"/>
            <w:tcBorders>
              <w:left w:val="nil"/>
              <w:bottom w:val="single" w:color="auto" w:sz="4" w:space="0"/>
              <w:right w:val="nil"/>
            </w:tcBorders>
            <w:shd w:val="clear" w:color="auto" w:fill="auto"/>
            <w:noWrap/>
            <w:vAlign w:val="bottom"/>
          </w:tcPr>
          <w:p w:rsidRPr="00C5308E" w:rsidR="009835CB" w:rsidP="00D87753" w:rsidRDefault="009835CB" w14:paraId="74C478F8" w14:textId="77777777">
            <w:pPr>
              <w:spacing w:line="240" w:lineRule="auto"/>
              <w:contextualSpacing/>
              <w:jc w:val="right"/>
              <w:rPr>
                <w:rFonts w:ascii="Verdana" w:hAnsi="Verdana" w:cs="Calibri"/>
                <w:bCs/>
                <w:sz w:val="18"/>
                <w:szCs w:val="18"/>
              </w:rPr>
            </w:pPr>
            <w:r w:rsidRPr="00C5308E">
              <w:rPr>
                <w:rFonts w:ascii="Verdana" w:hAnsi="Verdana" w:cs="Calibri"/>
                <w:bCs/>
                <w:sz w:val="18"/>
                <w:szCs w:val="18"/>
              </w:rPr>
              <w:t>23</w:t>
            </w:r>
          </w:p>
        </w:tc>
      </w:tr>
      <w:tr w:rsidRPr="00C5308E" w:rsidR="009835CB" w:rsidTr="003C75FE" w14:paraId="4729EF44" w14:textId="77777777">
        <w:tc>
          <w:tcPr>
            <w:tcW w:w="2778" w:type="dxa"/>
            <w:tcBorders>
              <w:left w:val="nil"/>
              <w:bottom w:val="single" w:color="auto" w:sz="4" w:space="0"/>
              <w:right w:val="single" w:color="auto" w:sz="4" w:space="0"/>
            </w:tcBorders>
            <w:shd w:val="clear" w:color="auto" w:fill="FFF2CC" w:themeFill="accent4" w:themeFillTint="33"/>
            <w:noWrap/>
            <w:vAlign w:val="center"/>
          </w:tcPr>
          <w:p w:rsidRPr="00C5308E" w:rsidR="009835CB" w:rsidP="00D87753" w:rsidRDefault="009835CB" w14:paraId="32AC80AB"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Totaal</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1ED0F431" w14:textId="4C7FC844">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4</w:t>
            </w:r>
            <w:r w:rsidR="00FB2F52">
              <w:rPr>
                <w:rFonts w:ascii="Verdana" w:hAnsi="Verdana" w:cs="Calibri"/>
                <w:bCs/>
                <w:color w:val="000000"/>
                <w:sz w:val="18"/>
                <w:szCs w:val="18"/>
              </w:rPr>
              <w:t>6</w:t>
            </w:r>
            <w:r w:rsidRPr="00C5308E">
              <w:rPr>
                <w:rFonts w:ascii="Verdana" w:hAnsi="Verdana" w:cs="Calibri"/>
                <w:bCs/>
                <w:color w:val="000000"/>
                <w:sz w:val="18"/>
                <w:szCs w:val="18"/>
              </w:rPr>
              <w:t>4</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5134CDFF" w14:textId="5D32A414">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1.17</w:t>
            </w:r>
            <w:r w:rsidR="00FB2F52">
              <w:rPr>
                <w:rFonts w:ascii="Verdana" w:hAnsi="Verdana" w:cs="Calibri"/>
                <w:bCs/>
                <w:color w:val="000000"/>
                <w:sz w:val="18"/>
                <w:szCs w:val="18"/>
              </w:rPr>
              <w:t>3</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71CF9370" w14:textId="7ACD8920">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2.8</w:t>
            </w:r>
            <w:r w:rsidR="00FB2F52">
              <w:rPr>
                <w:rFonts w:ascii="Verdana" w:hAnsi="Verdana" w:cs="Calibri"/>
                <w:bCs/>
                <w:color w:val="000000"/>
                <w:sz w:val="18"/>
                <w:szCs w:val="18"/>
              </w:rPr>
              <w:t>28</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43582DCB"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2.899</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28E19333"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3.010</w:t>
            </w:r>
          </w:p>
        </w:tc>
        <w:tc>
          <w:tcPr>
            <w:tcW w:w="879" w:type="dxa"/>
            <w:tcBorders>
              <w:left w:val="nil"/>
              <w:bottom w:val="single" w:color="auto" w:sz="4" w:space="0"/>
              <w:right w:val="nil"/>
            </w:tcBorders>
            <w:shd w:val="clear" w:color="auto" w:fill="FFF2CC" w:themeFill="accent4" w:themeFillTint="33"/>
            <w:noWrap/>
            <w:vAlign w:val="bottom"/>
          </w:tcPr>
          <w:p w:rsidRPr="00C5308E" w:rsidR="009835CB" w:rsidP="00D87753" w:rsidRDefault="009835CB" w14:paraId="70D8C5D2" w14:textId="77777777">
            <w:pPr>
              <w:spacing w:line="240" w:lineRule="auto"/>
              <w:contextualSpacing/>
              <w:jc w:val="right"/>
              <w:rPr>
                <w:rFonts w:ascii="Verdana" w:hAnsi="Verdana" w:cs="Calibri"/>
                <w:bCs/>
                <w:sz w:val="18"/>
                <w:szCs w:val="18"/>
              </w:rPr>
            </w:pPr>
            <w:r w:rsidRPr="00C5308E">
              <w:rPr>
                <w:rFonts w:ascii="Verdana" w:hAnsi="Verdana" w:cs="Calibri"/>
                <w:bCs/>
                <w:sz w:val="18"/>
                <w:szCs w:val="18"/>
              </w:rPr>
              <w:t>3.061</w:t>
            </w:r>
          </w:p>
        </w:tc>
      </w:tr>
    </w:tbl>
    <w:p w:rsidRPr="00C5308E" w:rsidR="009835CB" w:rsidP="00D87753" w:rsidRDefault="009835CB" w14:paraId="2ECCE5C9" w14:textId="77777777">
      <w:pPr>
        <w:spacing w:line="240" w:lineRule="auto"/>
        <w:contextualSpacing/>
        <w:rPr>
          <w:rFonts w:ascii="Verdana" w:hAnsi="Verdana" w:cstheme="minorHAnsi"/>
          <w:bCs/>
          <w:sz w:val="18"/>
          <w:szCs w:val="18"/>
        </w:rPr>
      </w:pPr>
    </w:p>
    <w:p w:rsidRPr="00C5308E" w:rsidR="009835CB" w:rsidP="00D87753" w:rsidRDefault="009835CB" w14:paraId="059820F2" w14:textId="77777777">
      <w:pPr>
        <w:spacing w:line="240" w:lineRule="auto"/>
        <w:contextualSpacing/>
        <w:rPr>
          <w:rFonts w:ascii="Verdana" w:hAnsi="Verdana" w:cstheme="minorHAnsi"/>
          <w:bCs/>
          <w:sz w:val="18"/>
          <w:szCs w:val="18"/>
        </w:rPr>
      </w:pPr>
      <w:r w:rsidRPr="00C5308E">
        <w:rPr>
          <w:rFonts w:ascii="Verdana" w:hAnsi="Verdana" w:cstheme="minorHAnsi"/>
          <w:bCs/>
          <w:sz w:val="18"/>
          <w:szCs w:val="18"/>
        </w:rPr>
        <w:t>Zoals eerder in dit antwoord genoemd, wordt het nieuwe financieringsstelsel ingevoerd in 2029 en zijn er middelen uitgetrokken voor een nieuw ingroeipad. Daarnaast is er een reservering getroffen voor flankerend beleid en uitvoeringskosten. De beschikbare middelen voor de stelselherziening zijn daarmee als volgt:</w:t>
      </w:r>
    </w:p>
    <w:tbl>
      <w:tblPr>
        <w:tblW w:w="0" w:type="auto"/>
        <w:tblLayout w:type="fixed"/>
        <w:tblCellMar>
          <w:top w:w="11" w:type="dxa"/>
          <w:left w:w="70" w:type="dxa"/>
          <w:bottom w:w="11" w:type="dxa"/>
          <w:right w:w="70" w:type="dxa"/>
        </w:tblCellMar>
        <w:tblLook w:val="04A0" w:firstRow="1" w:lastRow="0" w:firstColumn="1" w:lastColumn="0" w:noHBand="0" w:noVBand="1"/>
      </w:tblPr>
      <w:tblGrid>
        <w:gridCol w:w="2778"/>
        <w:gridCol w:w="879"/>
        <w:gridCol w:w="879"/>
        <w:gridCol w:w="879"/>
        <w:gridCol w:w="879"/>
        <w:gridCol w:w="879"/>
        <w:gridCol w:w="879"/>
      </w:tblGrid>
      <w:tr w:rsidRPr="00C5308E" w:rsidR="009835CB" w:rsidTr="003C75FE" w14:paraId="3461A596" w14:textId="77777777">
        <w:tc>
          <w:tcPr>
            <w:tcW w:w="2778" w:type="dxa"/>
            <w:tcBorders>
              <w:top w:val="single" w:color="auto" w:sz="4" w:space="0"/>
              <w:left w:val="nil"/>
              <w:bottom w:val="single" w:color="auto" w:sz="4" w:space="0"/>
              <w:right w:val="single" w:color="auto" w:sz="4" w:space="0"/>
            </w:tcBorders>
            <w:shd w:val="clear" w:color="000000" w:fill="E7E6E6"/>
            <w:noWrap/>
            <w:vAlign w:val="center"/>
            <w:hideMark/>
          </w:tcPr>
          <w:p w:rsidRPr="00C5308E" w:rsidR="009835CB" w:rsidP="00D87753" w:rsidRDefault="009835CB" w14:paraId="38349DFC" w14:textId="3641B66A">
            <w:pPr>
              <w:spacing w:line="240" w:lineRule="auto"/>
              <w:contextualSpacing/>
              <w:rPr>
                <w:rFonts w:ascii="Verdana" w:hAnsi="Verdana" w:eastAsia="Times New Roman"/>
                <w:bCs/>
                <w:i/>
                <w:iCs/>
                <w:color w:val="000000"/>
                <w:sz w:val="18"/>
                <w:szCs w:val="18"/>
                <w:lang w:eastAsia="nl-NL"/>
              </w:rPr>
            </w:pPr>
            <w:r w:rsidRPr="00C5308E">
              <w:rPr>
                <w:rFonts w:ascii="Verdana" w:hAnsi="Verdana" w:eastAsia="Times New Roman"/>
                <w:bCs/>
                <w:i/>
                <w:iCs/>
                <w:color w:val="000000"/>
                <w:sz w:val="18"/>
                <w:szCs w:val="18"/>
                <w:lang w:eastAsia="nl-NL"/>
              </w:rPr>
              <w:t xml:space="preserve">Bedragen </w:t>
            </w:r>
            <w:r w:rsidRPr="00C5308E" w:rsidR="0031642E">
              <w:rPr>
                <w:rFonts w:ascii="Verdana" w:hAnsi="Verdana" w:cs="Times New Roman"/>
                <w:i/>
                <w:iCs/>
                <w:sz w:val="18"/>
                <w:szCs w:val="18"/>
              </w:rPr>
              <w:t>x € 1 mln</w:t>
            </w:r>
            <w:r w:rsidRPr="00C5308E" w:rsidR="0031642E">
              <w:rPr>
                <w:rFonts w:ascii="Verdana" w:hAnsi="Verdana" w:cs="Times New Roman"/>
                <w:sz w:val="18"/>
                <w:szCs w:val="18"/>
              </w:rPr>
              <w:t>.</w:t>
            </w:r>
          </w:p>
        </w:tc>
        <w:tc>
          <w:tcPr>
            <w:tcW w:w="879"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559D9D9E"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2025</w:t>
            </w:r>
          </w:p>
        </w:tc>
        <w:tc>
          <w:tcPr>
            <w:tcW w:w="879"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1AB4A4C5"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1F21E266"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71F72BCF"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32588C5A"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C5308E" w:rsidR="009835CB" w:rsidP="00D87753" w:rsidRDefault="009835CB" w14:paraId="0A0D1EC2" w14:textId="77777777">
            <w:pPr>
              <w:spacing w:line="240" w:lineRule="auto"/>
              <w:contextualSpacing/>
              <w:jc w:val="right"/>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2030</w:t>
            </w:r>
          </w:p>
        </w:tc>
      </w:tr>
      <w:tr w:rsidRPr="00C5308E" w:rsidR="009835CB" w:rsidTr="003C75FE" w14:paraId="05897C11" w14:textId="77777777">
        <w:tc>
          <w:tcPr>
            <w:tcW w:w="2778" w:type="dxa"/>
            <w:tcBorders>
              <w:left w:val="nil"/>
              <w:right w:val="single" w:color="auto" w:sz="4" w:space="0"/>
            </w:tcBorders>
            <w:shd w:val="clear" w:color="auto" w:fill="auto"/>
            <w:noWrap/>
            <w:vAlign w:val="center"/>
          </w:tcPr>
          <w:p w:rsidRPr="00C5308E" w:rsidR="009835CB" w:rsidP="00D87753" w:rsidRDefault="009835CB" w14:paraId="211A2C4F"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Programmakosten</w:t>
            </w:r>
          </w:p>
        </w:tc>
        <w:tc>
          <w:tcPr>
            <w:tcW w:w="879" w:type="dxa"/>
            <w:tcBorders>
              <w:left w:val="nil"/>
              <w:right w:val="nil"/>
            </w:tcBorders>
            <w:shd w:val="clear" w:color="auto" w:fill="auto"/>
            <w:noWrap/>
            <w:vAlign w:val="center"/>
          </w:tcPr>
          <w:p w:rsidRPr="00C5308E" w:rsidR="009835CB" w:rsidP="00D87753" w:rsidRDefault="009835CB" w14:paraId="04228AC0"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440</w:t>
            </w:r>
          </w:p>
        </w:tc>
        <w:tc>
          <w:tcPr>
            <w:tcW w:w="879" w:type="dxa"/>
            <w:tcBorders>
              <w:left w:val="nil"/>
              <w:right w:val="nil"/>
            </w:tcBorders>
            <w:shd w:val="clear" w:color="auto" w:fill="auto"/>
            <w:noWrap/>
            <w:vAlign w:val="center"/>
          </w:tcPr>
          <w:p w:rsidRPr="00C5308E" w:rsidR="009835CB" w:rsidP="00D87753" w:rsidRDefault="009835CB" w14:paraId="3C319622"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805</w:t>
            </w:r>
          </w:p>
        </w:tc>
        <w:tc>
          <w:tcPr>
            <w:tcW w:w="879" w:type="dxa"/>
            <w:tcBorders>
              <w:left w:val="nil"/>
              <w:right w:val="nil"/>
            </w:tcBorders>
            <w:shd w:val="clear" w:color="auto" w:fill="auto"/>
            <w:noWrap/>
            <w:vAlign w:val="center"/>
          </w:tcPr>
          <w:p w:rsidRPr="00C5308E" w:rsidR="009835CB" w:rsidP="00D87753" w:rsidRDefault="009835CB" w14:paraId="55595A89"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1.414</w:t>
            </w:r>
          </w:p>
        </w:tc>
        <w:tc>
          <w:tcPr>
            <w:tcW w:w="879" w:type="dxa"/>
            <w:tcBorders>
              <w:left w:val="nil"/>
              <w:right w:val="nil"/>
            </w:tcBorders>
            <w:shd w:val="clear" w:color="auto" w:fill="auto"/>
            <w:noWrap/>
            <w:vAlign w:val="center"/>
          </w:tcPr>
          <w:p w:rsidRPr="00C5308E" w:rsidR="009835CB" w:rsidP="00D87753" w:rsidRDefault="009835CB" w14:paraId="5FF31ED9"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2.048</w:t>
            </w:r>
          </w:p>
        </w:tc>
        <w:tc>
          <w:tcPr>
            <w:tcW w:w="879" w:type="dxa"/>
            <w:tcBorders>
              <w:left w:val="nil"/>
              <w:right w:val="nil"/>
            </w:tcBorders>
            <w:shd w:val="clear" w:color="auto" w:fill="auto"/>
            <w:noWrap/>
            <w:vAlign w:val="center"/>
          </w:tcPr>
          <w:p w:rsidRPr="00C5308E" w:rsidR="009835CB" w:rsidP="00D87753" w:rsidRDefault="009835CB" w14:paraId="0CF345F3"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3.064</w:t>
            </w:r>
          </w:p>
        </w:tc>
        <w:tc>
          <w:tcPr>
            <w:tcW w:w="879" w:type="dxa"/>
            <w:tcBorders>
              <w:left w:val="nil"/>
              <w:right w:val="nil"/>
            </w:tcBorders>
            <w:shd w:val="clear" w:color="auto" w:fill="auto"/>
            <w:noWrap/>
            <w:vAlign w:val="center"/>
          </w:tcPr>
          <w:p w:rsidRPr="00C5308E" w:rsidR="009835CB" w:rsidP="00D87753" w:rsidRDefault="009835CB" w14:paraId="6BCF29F5" w14:textId="77777777">
            <w:pPr>
              <w:spacing w:line="240" w:lineRule="auto"/>
              <w:contextualSpacing/>
              <w:jc w:val="right"/>
              <w:rPr>
                <w:rFonts w:ascii="Verdana" w:hAnsi="Verdana" w:eastAsia="Times New Roman"/>
                <w:bCs/>
                <w:sz w:val="18"/>
                <w:szCs w:val="18"/>
                <w:lang w:eastAsia="nl-NL"/>
              </w:rPr>
            </w:pPr>
            <w:r w:rsidRPr="00C5308E">
              <w:rPr>
                <w:rFonts w:ascii="Verdana" w:hAnsi="Verdana" w:cs="Calibri"/>
                <w:bCs/>
                <w:color w:val="000000"/>
                <w:sz w:val="18"/>
                <w:szCs w:val="18"/>
              </w:rPr>
              <w:t>2.995</w:t>
            </w:r>
          </w:p>
        </w:tc>
      </w:tr>
      <w:tr w:rsidRPr="00C5308E" w:rsidR="009835CB" w:rsidTr="003C75FE" w14:paraId="0141FC57" w14:textId="77777777">
        <w:tc>
          <w:tcPr>
            <w:tcW w:w="2778" w:type="dxa"/>
            <w:tcBorders>
              <w:left w:val="nil"/>
              <w:right w:val="single" w:color="auto" w:sz="4" w:space="0"/>
            </w:tcBorders>
            <w:shd w:val="clear" w:color="auto" w:fill="auto"/>
            <w:noWrap/>
            <w:vAlign w:val="center"/>
          </w:tcPr>
          <w:p w:rsidRPr="00C5308E" w:rsidR="009835CB" w:rsidP="00D87753" w:rsidRDefault="009835CB" w14:paraId="0669468F"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Uitvoeringskosten (AP)</w:t>
            </w:r>
          </w:p>
        </w:tc>
        <w:tc>
          <w:tcPr>
            <w:tcW w:w="879" w:type="dxa"/>
            <w:tcBorders>
              <w:left w:val="nil"/>
              <w:right w:val="nil"/>
            </w:tcBorders>
            <w:shd w:val="clear" w:color="auto" w:fill="auto"/>
            <w:noWrap/>
            <w:vAlign w:val="center"/>
          </w:tcPr>
          <w:p w:rsidRPr="00C5308E" w:rsidR="009835CB" w:rsidP="00D87753" w:rsidRDefault="005D62D3" w14:paraId="0FC4A023" w14:textId="3A12861D">
            <w:pPr>
              <w:spacing w:line="240" w:lineRule="auto"/>
              <w:contextualSpacing/>
              <w:jc w:val="right"/>
              <w:rPr>
                <w:rFonts w:ascii="Verdana" w:hAnsi="Verdana" w:cs="Calibri"/>
                <w:bCs/>
                <w:sz w:val="18"/>
                <w:szCs w:val="18"/>
              </w:rPr>
            </w:pPr>
            <w:r>
              <w:rPr>
                <w:rFonts w:ascii="Verdana" w:hAnsi="Verdana" w:cs="Calibri"/>
                <w:bCs/>
                <w:color w:val="000000"/>
                <w:sz w:val="18"/>
                <w:szCs w:val="18"/>
              </w:rPr>
              <w:t>0,</w:t>
            </w:r>
            <w:r w:rsidRPr="00C5308E" w:rsidR="009835CB">
              <w:rPr>
                <w:rFonts w:ascii="Verdana" w:hAnsi="Verdana" w:cs="Calibri"/>
                <w:bCs/>
                <w:color w:val="000000"/>
                <w:sz w:val="18"/>
                <w:szCs w:val="18"/>
              </w:rPr>
              <w:t>5</w:t>
            </w:r>
          </w:p>
        </w:tc>
        <w:tc>
          <w:tcPr>
            <w:tcW w:w="879" w:type="dxa"/>
            <w:tcBorders>
              <w:left w:val="nil"/>
              <w:right w:val="nil"/>
            </w:tcBorders>
            <w:shd w:val="clear" w:color="auto" w:fill="auto"/>
            <w:noWrap/>
            <w:vAlign w:val="center"/>
          </w:tcPr>
          <w:p w:rsidRPr="00C5308E" w:rsidR="009835CB" w:rsidP="00D87753" w:rsidRDefault="009835CB" w14:paraId="05401D6F" w14:textId="73AFD92E">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5</w:t>
            </w:r>
            <w:r w:rsidR="005D62D3">
              <w:rPr>
                <w:rFonts w:ascii="Verdana" w:hAnsi="Verdana" w:cs="Calibri"/>
                <w:bCs/>
                <w:color w:val="000000"/>
                <w:sz w:val="18"/>
                <w:szCs w:val="18"/>
              </w:rPr>
              <w:t>3</w:t>
            </w:r>
          </w:p>
        </w:tc>
        <w:tc>
          <w:tcPr>
            <w:tcW w:w="879" w:type="dxa"/>
            <w:tcBorders>
              <w:left w:val="nil"/>
              <w:right w:val="nil"/>
            </w:tcBorders>
            <w:shd w:val="clear" w:color="auto" w:fill="auto"/>
            <w:noWrap/>
            <w:vAlign w:val="center"/>
          </w:tcPr>
          <w:p w:rsidRPr="00C5308E" w:rsidR="009835CB" w:rsidP="00D87753" w:rsidRDefault="009835CB" w14:paraId="07B5E014" w14:textId="3C2BA0F6">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5</w:t>
            </w:r>
            <w:r w:rsidR="005D62D3">
              <w:rPr>
                <w:rFonts w:ascii="Verdana" w:hAnsi="Verdana" w:cs="Calibri"/>
                <w:bCs/>
                <w:color w:val="000000"/>
                <w:sz w:val="18"/>
                <w:szCs w:val="18"/>
              </w:rPr>
              <w:t>0</w:t>
            </w:r>
          </w:p>
        </w:tc>
        <w:tc>
          <w:tcPr>
            <w:tcW w:w="879" w:type="dxa"/>
            <w:tcBorders>
              <w:left w:val="nil"/>
              <w:right w:val="nil"/>
            </w:tcBorders>
            <w:shd w:val="clear" w:color="auto" w:fill="auto"/>
            <w:noWrap/>
            <w:vAlign w:val="center"/>
          </w:tcPr>
          <w:p w:rsidRPr="00C5308E" w:rsidR="009835CB" w:rsidP="00D87753" w:rsidRDefault="009835CB" w14:paraId="67620DF2" w14:textId="77777777">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28</w:t>
            </w:r>
          </w:p>
        </w:tc>
        <w:tc>
          <w:tcPr>
            <w:tcW w:w="879" w:type="dxa"/>
            <w:tcBorders>
              <w:left w:val="nil"/>
              <w:right w:val="nil"/>
            </w:tcBorders>
            <w:shd w:val="clear" w:color="auto" w:fill="auto"/>
            <w:noWrap/>
            <w:vAlign w:val="center"/>
          </w:tcPr>
          <w:p w:rsidRPr="00C5308E" w:rsidR="009835CB" w:rsidP="00D87753" w:rsidRDefault="005D62D3" w14:paraId="37BDDCF9" w14:textId="70CAE2E4">
            <w:pPr>
              <w:spacing w:line="240" w:lineRule="auto"/>
              <w:contextualSpacing/>
              <w:jc w:val="right"/>
              <w:rPr>
                <w:rFonts w:ascii="Verdana" w:hAnsi="Verdana" w:cs="Calibri"/>
                <w:bCs/>
                <w:sz w:val="18"/>
                <w:szCs w:val="18"/>
              </w:rPr>
            </w:pPr>
            <w:r>
              <w:rPr>
                <w:rFonts w:ascii="Verdana" w:hAnsi="Verdana" w:cs="Calibri"/>
                <w:bCs/>
                <w:color w:val="000000"/>
                <w:sz w:val="18"/>
                <w:szCs w:val="18"/>
              </w:rPr>
              <w:t>74</w:t>
            </w:r>
          </w:p>
        </w:tc>
        <w:tc>
          <w:tcPr>
            <w:tcW w:w="879" w:type="dxa"/>
            <w:tcBorders>
              <w:left w:val="nil"/>
              <w:right w:val="nil"/>
            </w:tcBorders>
            <w:shd w:val="clear" w:color="auto" w:fill="auto"/>
            <w:noWrap/>
            <w:vAlign w:val="center"/>
          </w:tcPr>
          <w:p w:rsidRPr="00C5308E" w:rsidR="009835CB" w:rsidP="00D87753" w:rsidRDefault="009835CB" w14:paraId="09D3110E" w14:textId="77777777">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88</w:t>
            </w:r>
          </w:p>
        </w:tc>
      </w:tr>
      <w:tr w:rsidRPr="00C5308E" w:rsidR="009835CB" w:rsidTr="003C75FE" w14:paraId="6DF719ED" w14:textId="77777777">
        <w:tc>
          <w:tcPr>
            <w:tcW w:w="2778" w:type="dxa"/>
            <w:tcBorders>
              <w:left w:val="nil"/>
              <w:bottom w:val="single" w:color="auto" w:sz="4" w:space="0"/>
              <w:right w:val="single" w:color="auto" w:sz="4" w:space="0"/>
            </w:tcBorders>
            <w:shd w:val="clear" w:color="auto" w:fill="auto"/>
            <w:noWrap/>
            <w:vAlign w:val="center"/>
          </w:tcPr>
          <w:p w:rsidRPr="00C5308E" w:rsidR="009835CB" w:rsidP="00D87753" w:rsidRDefault="009835CB" w14:paraId="5B7A3633"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Flankerend beleid</w:t>
            </w: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7A7E1CE4" w14:textId="77777777">
            <w:pPr>
              <w:spacing w:line="240" w:lineRule="auto"/>
              <w:contextualSpacing/>
              <w:jc w:val="right"/>
              <w:rPr>
                <w:rFonts w:ascii="Verdana" w:hAnsi="Verdana" w:cs="Calibri"/>
                <w:bCs/>
                <w:color w:val="000000"/>
                <w:sz w:val="18"/>
                <w:szCs w:val="18"/>
              </w:rPr>
            </w:pP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53273E61" w14:textId="77777777">
            <w:pPr>
              <w:spacing w:line="240" w:lineRule="auto"/>
              <w:contextualSpacing/>
              <w:jc w:val="right"/>
              <w:rPr>
                <w:rFonts w:ascii="Verdana" w:hAnsi="Verdana" w:cs="Calibri"/>
                <w:bCs/>
                <w:color w:val="000000"/>
                <w:sz w:val="18"/>
                <w:szCs w:val="18"/>
              </w:rPr>
            </w:pP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2390EA47" w14:textId="77777777">
            <w:pPr>
              <w:spacing w:line="240" w:lineRule="auto"/>
              <w:contextualSpacing/>
              <w:jc w:val="right"/>
              <w:rPr>
                <w:rFonts w:ascii="Verdana" w:hAnsi="Verdana" w:cs="Calibri"/>
                <w:bCs/>
                <w:color w:val="000000"/>
                <w:sz w:val="18"/>
                <w:szCs w:val="18"/>
              </w:rPr>
            </w:pP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097873DF"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2</w:t>
            </w: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6D01EFD3"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32</w:t>
            </w:r>
          </w:p>
        </w:tc>
        <w:tc>
          <w:tcPr>
            <w:tcW w:w="879" w:type="dxa"/>
            <w:tcBorders>
              <w:left w:val="nil"/>
              <w:bottom w:val="single" w:color="auto" w:sz="4" w:space="0"/>
              <w:right w:val="nil"/>
            </w:tcBorders>
            <w:shd w:val="clear" w:color="auto" w:fill="auto"/>
            <w:noWrap/>
            <w:vAlign w:val="center"/>
          </w:tcPr>
          <w:p w:rsidRPr="00C5308E" w:rsidR="009835CB" w:rsidP="00D87753" w:rsidRDefault="009835CB" w14:paraId="7E5A6C3B"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31</w:t>
            </w:r>
          </w:p>
        </w:tc>
      </w:tr>
      <w:tr w:rsidRPr="00C5308E" w:rsidR="009835CB" w:rsidTr="003C75FE" w14:paraId="644A7A2E" w14:textId="77777777">
        <w:tc>
          <w:tcPr>
            <w:tcW w:w="2778" w:type="dxa"/>
            <w:tcBorders>
              <w:left w:val="nil"/>
              <w:bottom w:val="single" w:color="auto" w:sz="4" w:space="0"/>
              <w:right w:val="single" w:color="auto" w:sz="4" w:space="0"/>
            </w:tcBorders>
            <w:shd w:val="clear" w:color="auto" w:fill="FFF2CC" w:themeFill="accent4" w:themeFillTint="33"/>
            <w:noWrap/>
            <w:vAlign w:val="center"/>
          </w:tcPr>
          <w:p w:rsidRPr="00C5308E" w:rsidR="009835CB" w:rsidP="00D87753" w:rsidRDefault="009835CB" w14:paraId="3BAA9B19" w14:textId="77777777">
            <w:pPr>
              <w:spacing w:line="240" w:lineRule="auto"/>
              <w:contextualSpacing/>
              <w:rPr>
                <w:rFonts w:ascii="Verdana" w:hAnsi="Verdana" w:eastAsia="Times New Roman"/>
                <w:bCs/>
                <w:color w:val="000000"/>
                <w:sz w:val="18"/>
                <w:szCs w:val="18"/>
                <w:lang w:eastAsia="nl-NL"/>
              </w:rPr>
            </w:pPr>
            <w:r w:rsidRPr="00C5308E">
              <w:rPr>
                <w:rFonts w:ascii="Verdana" w:hAnsi="Verdana" w:eastAsia="Times New Roman"/>
                <w:bCs/>
                <w:color w:val="000000"/>
                <w:sz w:val="18"/>
                <w:szCs w:val="18"/>
                <w:lang w:eastAsia="nl-NL"/>
              </w:rPr>
              <w:t>Totaal</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1B0CED9E" w14:textId="326F49C1">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4</w:t>
            </w:r>
            <w:r w:rsidR="005D62D3">
              <w:rPr>
                <w:rFonts w:ascii="Verdana" w:hAnsi="Verdana" w:cs="Calibri"/>
                <w:bCs/>
                <w:color w:val="000000"/>
                <w:sz w:val="18"/>
                <w:szCs w:val="18"/>
              </w:rPr>
              <w:t>41</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5A049094" w14:textId="726D2D94">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8</w:t>
            </w:r>
            <w:r w:rsidR="005D62D3">
              <w:rPr>
                <w:rFonts w:ascii="Verdana" w:hAnsi="Verdana" w:cs="Calibri"/>
                <w:bCs/>
                <w:color w:val="000000"/>
                <w:sz w:val="18"/>
                <w:szCs w:val="18"/>
              </w:rPr>
              <w:t>58</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7C2B50DC" w14:textId="617A7702">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1.4</w:t>
            </w:r>
            <w:r w:rsidR="005D62D3">
              <w:rPr>
                <w:rFonts w:ascii="Verdana" w:hAnsi="Verdana" w:cs="Calibri"/>
                <w:bCs/>
                <w:color w:val="000000"/>
                <w:sz w:val="18"/>
                <w:szCs w:val="18"/>
              </w:rPr>
              <w:t>64</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24C9F29F" w14:textId="777777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2.078</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726D8A69" w14:textId="32346577">
            <w:pPr>
              <w:spacing w:line="240" w:lineRule="auto"/>
              <w:contextualSpacing/>
              <w:jc w:val="right"/>
              <w:rPr>
                <w:rFonts w:ascii="Verdana" w:hAnsi="Verdana" w:cs="Calibri"/>
                <w:bCs/>
                <w:color w:val="000000"/>
                <w:sz w:val="18"/>
                <w:szCs w:val="18"/>
              </w:rPr>
            </w:pPr>
            <w:r w:rsidRPr="00C5308E">
              <w:rPr>
                <w:rFonts w:ascii="Verdana" w:hAnsi="Verdana" w:cs="Calibri"/>
                <w:bCs/>
                <w:color w:val="000000"/>
                <w:sz w:val="18"/>
                <w:szCs w:val="18"/>
              </w:rPr>
              <w:t>3.1</w:t>
            </w:r>
            <w:r w:rsidR="005D62D3">
              <w:rPr>
                <w:rFonts w:ascii="Verdana" w:hAnsi="Verdana" w:cs="Calibri"/>
                <w:bCs/>
                <w:color w:val="000000"/>
                <w:sz w:val="18"/>
                <w:szCs w:val="18"/>
              </w:rPr>
              <w:t>70</w:t>
            </w:r>
          </w:p>
        </w:tc>
        <w:tc>
          <w:tcPr>
            <w:tcW w:w="879" w:type="dxa"/>
            <w:tcBorders>
              <w:left w:val="nil"/>
              <w:bottom w:val="single" w:color="auto" w:sz="4" w:space="0"/>
              <w:right w:val="nil"/>
            </w:tcBorders>
            <w:shd w:val="clear" w:color="auto" w:fill="FFF2CC" w:themeFill="accent4" w:themeFillTint="33"/>
            <w:noWrap/>
            <w:vAlign w:val="center"/>
          </w:tcPr>
          <w:p w:rsidRPr="00C5308E" w:rsidR="009835CB" w:rsidP="00D87753" w:rsidRDefault="009835CB" w14:paraId="6F63D760" w14:textId="77777777">
            <w:pPr>
              <w:spacing w:line="240" w:lineRule="auto"/>
              <w:contextualSpacing/>
              <w:jc w:val="right"/>
              <w:rPr>
                <w:rFonts w:ascii="Verdana" w:hAnsi="Verdana" w:cs="Calibri"/>
                <w:bCs/>
                <w:sz w:val="18"/>
                <w:szCs w:val="18"/>
              </w:rPr>
            </w:pPr>
            <w:r w:rsidRPr="00C5308E">
              <w:rPr>
                <w:rFonts w:ascii="Verdana" w:hAnsi="Verdana" w:cs="Calibri"/>
                <w:bCs/>
                <w:color w:val="000000"/>
                <w:sz w:val="18"/>
                <w:szCs w:val="18"/>
              </w:rPr>
              <w:t>3.114</w:t>
            </w:r>
          </w:p>
        </w:tc>
      </w:tr>
    </w:tbl>
    <w:p w:rsidRPr="00C5308E" w:rsidR="009835CB" w:rsidP="00D87753" w:rsidRDefault="009835CB" w14:paraId="183E1DBD" w14:textId="77777777">
      <w:pPr>
        <w:spacing w:line="240" w:lineRule="auto"/>
        <w:contextualSpacing/>
        <w:rPr>
          <w:rFonts w:ascii="Verdana" w:hAnsi="Verdana" w:cstheme="minorHAnsi"/>
          <w:bCs/>
          <w:sz w:val="18"/>
          <w:szCs w:val="18"/>
        </w:rPr>
      </w:pPr>
    </w:p>
    <w:p w:rsidRPr="00C5308E" w:rsidR="00720C2B" w:rsidP="00D87753" w:rsidRDefault="00720C2B" w14:paraId="700C54C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74</w:t>
      </w:r>
    </w:p>
    <w:p w:rsidRPr="00C5308E" w:rsidR="00720C2B" w:rsidP="00D87753" w:rsidRDefault="00720C2B" w14:paraId="241C4C5A" w14:textId="77777777">
      <w:pPr>
        <w:spacing w:after="0" w:line="240" w:lineRule="auto"/>
        <w:contextualSpacing/>
        <w:rPr>
          <w:rFonts w:ascii="Verdana" w:hAnsi="Verdana"/>
          <w:bCs/>
          <w:sz w:val="18"/>
          <w:szCs w:val="18"/>
        </w:rPr>
      </w:pPr>
      <w:r w:rsidRPr="00C5308E">
        <w:rPr>
          <w:rFonts w:ascii="Verdana" w:hAnsi="Verdana"/>
          <w:bCs/>
          <w:sz w:val="18"/>
          <w:szCs w:val="18"/>
        </w:rPr>
        <w:t>Welke middelen resteren op de aanvullende post voor SZW? Wat was de stand bij begroting 2025?</w:t>
      </w:r>
    </w:p>
    <w:p w:rsidRPr="00C5308E" w:rsidR="00720C2B" w:rsidP="00D87753" w:rsidRDefault="00720C2B" w14:paraId="6CA9E33F" w14:textId="77777777">
      <w:pPr>
        <w:spacing w:after="0" w:line="240" w:lineRule="auto"/>
        <w:contextualSpacing/>
        <w:rPr>
          <w:rFonts w:ascii="Verdana" w:hAnsi="Verdana"/>
          <w:bCs/>
          <w:sz w:val="18"/>
          <w:szCs w:val="18"/>
        </w:rPr>
      </w:pPr>
    </w:p>
    <w:p w:rsidRPr="00C5308E" w:rsidR="00720C2B" w:rsidP="00D87753" w:rsidRDefault="00720C2B" w14:paraId="4C7FDDD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74</w:t>
      </w:r>
    </w:p>
    <w:p w:rsidRPr="00C5308E" w:rsidR="00720C2B" w:rsidP="00D87753" w:rsidRDefault="00720C2B" w14:paraId="606DBDE5" w14:textId="77777777">
      <w:pPr>
        <w:spacing w:after="0" w:line="240" w:lineRule="auto"/>
        <w:contextualSpacing/>
        <w:rPr>
          <w:rFonts w:ascii="Verdana" w:hAnsi="Verdana"/>
          <w:bCs/>
          <w:sz w:val="18"/>
          <w:szCs w:val="18"/>
        </w:rPr>
      </w:pPr>
      <w:r w:rsidRPr="00C5308E">
        <w:rPr>
          <w:rFonts w:ascii="Verdana" w:hAnsi="Verdana"/>
          <w:bCs/>
          <w:sz w:val="18"/>
          <w:szCs w:val="18"/>
        </w:rPr>
        <w:t>De onderstaande tabellen tonen de middelen die op de aanvullende post voor SZW resteren bij de Miljoenennota 2025 en Voorjaarsnota 2025.</w:t>
      </w:r>
    </w:p>
    <w:p w:rsidRPr="00C5308E" w:rsidR="00720C2B" w:rsidP="00D87753" w:rsidRDefault="00720C2B" w14:paraId="6D1AD6A7" w14:textId="77777777">
      <w:pPr>
        <w:spacing w:after="0" w:line="240" w:lineRule="auto"/>
        <w:contextualSpacing/>
        <w:rPr>
          <w:rFonts w:ascii="Verdana" w:hAnsi="Verdana"/>
          <w:bCs/>
          <w:sz w:val="18"/>
          <w:szCs w:val="18"/>
        </w:rPr>
      </w:pPr>
    </w:p>
    <w:tbl>
      <w:tblPr>
        <w:tblW w:w="8169" w:type="dxa"/>
        <w:tblCellMar>
          <w:left w:w="70" w:type="dxa"/>
          <w:right w:w="70" w:type="dxa"/>
        </w:tblCellMar>
        <w:tblLook w:val="04A0" w:firstRow="1" w:lastRow="0" w:firstColumn="1" w:lastColumn="0" w:noHBand="0" w:noVBand="1"/>
      </w:tblPr>
      <w:tblGrid>
        <w:gridCol w:w="3402"/>
        <w:gridCol w:w="780"/>
        <w:gridCol w:w="780"/>
        <w:gridCol w:w="780"/>
        <w:gridCol w:w="780"/>
        <w:gridCol w:w="780"/>
        <w:gridCol w:w="867"/>
      </w:tblGrid>
      <w:tr w:rsidRPr="00C5308E" w:rsidR="00720C2B" w:rsidTr="003C75FE" w14:paraId="2D61088A" w14:textId="77777777">
        <w:trPr>
          <w:trHeight w:val="300"/>
        </w:trPr>
        <w:tc>
          <w:tcPr>
            <w:tcW w:w="3402" w:type="dxa"/>
            <w:tcBorders>
              <w:top w:val="nil"/>
              <w:left w:val="nil"/>
              <w:bottom w:val="single" w:color="auto" w:sz="4" w:space="0"/>
              <w:right w:val="nil"/>
            </w:tcBorders>
            <w:shd w:val="clear" w:color="auto" w:fill="auto"/>
            <w:noWrap/>
            <w:vAlign w:val="center"/>
            <w:hideMark/>
          </w:tcPr>
          <w:p w:rsidRPr="009E5C06" w:rsidR="00720C2B" w:rsidP="00D87753" w:rsidRDefault="00720C2B" w14:paraId="39A9A40D" w14:textId="42636337">
            <w:pPr>
              <w:spacing w:after="0" w:line="240" w:lineRule="auto"/>
              <w:contextualSpacing/>
              <w:rPr>
                <w:rFonts w:ascii="Verdana" w:hAnsi="Verdana" w:eastAsia="Times New Roman" w:cs="Calibri"/>
                <w:bCs/>
                <w:color w:val="000000"/>
                <w:sz w:val="18"/>
                <w:szCs w:val="18"/>
                <w:lang w:val="en-US" w:eastAsia="nl-NL"/>
              </w:rPr>
            </w:pPr>
            <w:r w:rsidRPr="009E5C06">
              <w:rPr>
                <w:rFonts w:ascii="Verdana" w:hAnsi="Verdana" w:eastAsia="Times New Roman" w:cs="Calibri"/>
                <w:bCs/>
                <w:color w:val="000000"/>
                <w:sz w:val="18"/>
                <w:szCs w:val="18"/>
                <w:lang w:val="en-US" w:eastAsia="nl-NL"/>
              </w:rPr>
              <w:t>Stand AP MJN 2025 (</w:t>
            </w:r>
            <w:r w:rsidRPr="009E5C06" w:rsidR="004C0310">
              <w:rPr>
                <w:rFonts w:ascii="Verdana" w:hAnsi="Verdana" w:cs="Times New Roman"/>
                <w:sz w:val="18"/>
                <w:szCs w:val="18"/>
                <w:lang w:val="en-US"/>
              </w:rPr>
              <w:t>x € 1 mln</w:t>
            </w:r>
            <w:r w:rsidRPr="009E5C06" w:rsidR="00F1770A">
              <w:rPr>
                <w:rFonts w:ascii="Verdana" w:hAnsi="Verdana" w:cs="Times New Roman"/>
                <w:sz w:val="18"/>
                <w:szCs w:val="18"/>
                <w:lang w:val="en-US"/>
              </w:rPr>
              <w:t>.</w:t>
            </w:r>
            <w:r w:rsidRPr="009E5C06">
              <w:rPr>
                <w:rFonts w:ascii="Verdana" w:hAnsi="Verdana" w:eastAsia="Times New Roman" w:cs="Calibri"/>
                <w:bCs/>
                <w:color w:val="000000"/>
                <w:sz w:val="18"/>
                <w:szCs w:val="18"/>
                <w:lang w:val="en-US" w:eastAsia="nl-NL"/>
              </w:rPr>
              <w:t>)</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3C07696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036376B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19CE7D0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219F965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025759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867" w:type="dxa"/>
            <w:tcBorders>
              <w:top w:val="nil"/>
              <w:left w:val="nil"/>
              <w:bottom w:val="single" w:color="auto" w:sz="4" w:space="0"/>
              <w:right w:val="nil"/>
            </w:tcBorders>
            <w:shd w:val="clear" w:color="auto" w:fill="auto"/>
            <w:noWrap/>
            <w:vAlign w:val="center"/>
            <w:hideMark/>
          </w:tcPr>
          <w:p w:rsidRPr="00C5308E" w:rsidR="00720C2B" w:rsidP="00D87753" w:rsidRDefault="00720C2B" w14:paraId="6C1CF14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Struc.</w:t>
            </w:r>
          </w:p>
        </w:tc>
      </w:tr>
      <w:tr w:rsidRPr="00C5308E" w:rsidR="00720C2B" w:rsidTr="003C75FE" w14:paraId="03006171"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7E91552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Kinderopvang werkenden (implementatiekosten)</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287C636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6FF378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53</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801CAD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07D0B9E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D77EA0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23</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2C59904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23</w:t>
            </w:r>
          </w:p>
        </w:tc>
      </w:tr>
      <w:tr w:rsidRPr="00C5308E" w:rsidR="00720C2B" w:rsidTr="003C75FE" w14:paraId="079F2FAC"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40A6CC4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Envelop arbeidsmarkt, armoede en schulden</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59F750F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FE981F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3C2C056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FD8E3A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3EA2CC0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0679BE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r>
      <w:tr w:rsidRPr="00C5308E" w:rsidR="00720C2B" w:rsidTr="003C75FE" w14:paraId="40C45E0C"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00F4803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Loondoorbetaling bij ziekte</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3EE7E10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0B0869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F28F5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115B250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0A7F8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76E4C0C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720C2B" w:rsidTr="003C75FE" w14:paraId="6FBECAA0"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4858BE6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Groepen in de knel</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0F8DAA0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193</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8BF6C0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164</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2A06B4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149</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0F40BD7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136</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1B05D8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110</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26002CA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412</w:t>
            </w:r>
          </w:p>
        </w:tc>
      </w:tr>
      <w:tr w:rsidRPr="00C5308E" w:rsidR="00720C2B" w:rsidTr="003C75FE" w14:paraId="3EEEDBD5" w14:textId="77777777">
        <w:trPr>
          <w:trHeight w:val="300"/>
        </w:trPr>
        <w:tc>
          <w:tcPr>
            <w:tcW w:w="3402" w:type="dxa"/>
            <w:tcBorders>
              <w:top w:val="nil"/>
              <w:left w:val="nil"/>
              <w:bottom w:val="single" w:color="auto" w:sz="4" w:space="0"/>
              <w:right w:val="nil"/>
            </w:tcBorders>
            <w:shd w:val="clear" w:color="auto" w:fill="auto"/>
            <w:noWrap/>
            <w:vAlign w:val="center"/>
            <w:hideMark/>
          </w:tcPr>
          <w:p w:rsidRPr="00C5308E" w:rsidR="00720C2B" w:rsidP="00D87753" w:rsidRDefault="00720C2B" w14:paraId="05705DE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Caribisch-Nederland</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42CF317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21A9BE8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07FF3D8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65E7260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6FAA9B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867" w:type="dxa"/>
            <w:tcBorders>
              <w:top w:val="nil"/>
              <w:left w:val="nil"/>
              <w:bottom w:val="single" w:color="auto" w:sz="4" w:space="0"/>
              <w:right w:val="nil"/>
            </w:tcBorders>
            <w:shd w:val="clear" w:color="auto" w:fill="auto"/>
            <w:noWrap/>
            <w:vAlign w:val="center"/>
            <w:hideMark/>
          </w:tcPr>
          <w:p w:rsidRPr="00C5308E" w:rsidR="00720C2B" w:rsidP="00D87753" w:rsidRDefault="00720C2B" w14:paraId="7F280FB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r>
      <w:tr w:rsidRPr="00C5308E" w:rsidR="00720C2B" w:rsidTr="003C75FE" w14:paraId="1C22AB3E"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6C744ED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500C35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243</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9523CD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262</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2F5D1D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246</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5B7FD9A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52CCDC1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146</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1823453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447</w:t>
            </w:r>
          </w:p>
        </w:tc>
      </w:tr>
    </w:tbl>
    <w:p w:rsidRPr="00C5308E" w:rsidR="00720C2B" w:rsidP="00D87753" w:rsidRDefault="00720C2B" w14:paraId="79102AB5" w14:textId="77777777">
      <w:pPr>
        <w:spacing w:after="0" w:line="240" w:lineRule="auto"/>
        <w:contextualSpacing/>
        <w:rPr>
          <w:rFonts w:ascii="Verdana" w:hAnsi="Verdana"/>
          <w:bCs/>
          <w:sz w:val="18"/>
          <w:szCs w:val="18"/>
        </w:rPr>
      </w:pPr>
    </w:p>
    <w:tbl>
      <w:tblPr>
        <w:tblW w:w="8169" w:type="dxa"/>
        <w:tblCellMar>
          <w:left w:w="70" w:type="dxa"/>
          <w:right w:w="70" w:type="dxa"/>
        </w:tblCellMar>
        <w:tblLook w:val="04A0" w:firstRow="1" w:lastRow="0" w:firstColumn="1" w:lastColumn="0" w:noHBand="0" w:noVBand="1"/>
      </w:tblPr>
      <w:tblGrid>
        <w:gridCol w:w="3402"/>
        <w:gridCol w:w="780"/>
        <w:gridCol w:w="780"/>
        <w:gridCol w:w="780"/>
        <w:gridCol w:w="780"/>
        <w:gridCol w:w="780"/>
        <w:gridCol w:w="867"/>
      </w:tblGrid>
      <w:tr w:rsidRPr="00C5308E" w:rsidR="00720C2B" w:rsidTr="003C75FE" w14:paraId="6C88497C" w14:textId="77777777">
        <w:trPr>
          <w:trHeight w:val="300"/>
        </w:trPr>
        <w:tc>
          <w:tcPr>
            <w:tcW w:w="3402" w:type="dxa"/>
            <w:tcBorders>
              <w:top w:val="nil"/>
              <w:left w:val="nil"/>
              <w:bottom w:val="single" w:color="auto" w:sz="4" w:space="0"/>
              <w:right w:val="nil"/>
            </w:tcBorders>
            <w:shd w:val="clear" w:color="auto" w:fill="auto"/>
            <w:noWrap/>
            <w:vAlign w:val="center"/>
            <w:hideMark/>
          </w:tcPr>
          <w:p w:rsidRPr="00C5308E" w:rsidR="00720C2B" w:rsidP="00D87753" w:rsidRDefault="00720C2B" w14:paraId="7C436300" w14:textId="1CFB75F1">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Stand AP VJN 2025 (</w:t>
            </w:r>
            <w:r w:rsidRPr="00C5308E" w:rsidR="0031642E">
              <w:rPr>
                <w:rFonts w:ascii="Verdana" w:hAnsi="Verdana" w:cs="Times New Roman"/>
                <w:sz w:val="18"/>
                <w:szCs w:val="18"/>
              </w:rPr>
              <w:t>x € 1 mln.</w:t>
            </w:r>
            <w:r w:rsidRPr="00C5308E">
              <w:rPr>
                <w:rFonts w:ascii="Verdana" w:hAnsi="Verdana" w:eastAsia="Times New Roman" w:cs="Calibri"/>
                <w:bCs/>
                <w:color w:val="000000"/>
                <w:sz w:val="18"/>
                <w:szCs w:val="18"/>
                <w:lang w:eastAsia="nl-NL"/>
              </w:rPr>
              <w:t>)</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403A03F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0CB601A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3D6A39F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2F3F5BF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2CB8611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867" w:type="dxa"/>
            <w:tcBorders>
              <w:top w:val="nil"/>
              <w:left w:val="nil"/>
              <w:bottom w:val="single" w:color="auto" w:sz="4" w:space="0"/>
              <w:right w:val="nil"/>
            </w:tcBorders>
            <w:shd w:val="clear" w:color="auto" w:fill="auto"/>
            <w:noWrap/>
            <w:vAlign w:val="center"/>
            <w:hideMark/>
          </w:tcPr>
          <w:p w:rsidRPr="00C5308E" w:rsidR="00720C2B" w:rsidP="00D87753" w:rsidRDefault="00720C2B" w14:paraId="3871459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Struc.</w:t>
            </w:r>
          </w:p>
        </w:tc>
      </w:tr>
      <w:tr w:rsidRPr="00C5308E" w:rsidR="00720C2B" w:rsidTr="003C75FE" w14:paraId="46DA4C5D"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437815C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Kinderopvang werkenden (implementatiekosten)</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0E762C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7C4778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53</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72B5CB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59112D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098C1EE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74</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5F89DC6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23</w:t>
            </w:r>
          </w:p>
        </w:tc>
      </w:tr>
      <w:tr w:rsidRPr="00C5308E" w:rsidR="00720C2B" w:rsidTr="003C75FE" w14:paraId="49E38736"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3FB074E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Envelop arbeidsmarkt, armoede en schulden</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F81E26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4D7D93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7B4212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6469257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30CF44E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1A94649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720C2B" w:rsidTr="003C75FE" w14:paraId="3C6A771D"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38C70FB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Loondoorbetaling bij ziekte</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7B2A4F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2B6E73A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75715F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2F3B30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0A28C44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58FEA77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720C2B" w:rsidTr="003C75FE" w14:paraId="433D4087"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5B685DF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Groepen in de knel</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DE8A83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718917C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3361D4B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B29EC3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22579FE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169DEA9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r>
      <w:tr w:rsidRPr="00C5308E" w:rsidR="00720C2B" w:rsidTr="003C75FE" w14:paraId="156990B7" w14:textId="77777777">
        <w:trPr>
          <w:trHeight w:val="300"/>
        </w:trPr>
        <w:tc>
          <w:tcPr>
            <w:tcW w:w="3402" w:type="dxa"/>
            <w:tcBorders>
              <w:top w:val="nil"/>
              <w:left w:val="nil"/>
              <w:bottom w:val="single" w:color="auto" w:sz="4" w:space="0"/>
              <w:right w:val="nil"/>
            </w:tcBorders>
            <w:shd w:val="clear" w:color="auto" w:fill="auto"/>
            <w:noWrap/>
            <w:vAlign w:val="center"/>
            <w:hideMark/>
          </w:tcPr>
          <w:p w:rsidRPr="00C5308E" w:rsidR="00720C2B" w:rsidP="00D87753" w:rsidRDefault="00720C2B" w14:paraId="1FE1523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lastRenderedPageBreak/>
              <w:t>Caribisch-Nederland</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221AB86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7622284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176F2CB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1F133FE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780" w:type="dxa"/>
            <w:tcBorders>
              <w:top w:val="nil"/>
              <w:left w:val="nil"/>
              <w:bottom w:val="single" w:color="auto" w:sz="4" w:space="0"/>
              <w:right w:val="nil"/>
            </w:tcBorders>
            <w:shd w:val="clear" w:color="auto" w:fill="auto"/>
            <w:noWrap/>
            <w:vAlign w:val="center"/>
            <w:hideMark/>
          </w:tcPr>
          <w:p w:rsidRPr="00C5308E" w:rsidR="00720C2B" w:rsidP="00D87753" w:rsidRDefault="00720C2B" w14:paraId="4088199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867" w:type="dxa"/>
            <w:tcBorders>
              <w:top w:val="nil"/>
              <w:left w:val="nil"/>
              <w:bottom w:val="single" w:color="auto" w:sz="4" w:space="0"/>
              <w:right w:val="nil"/>
            </w:tcBorders>
            <w:shd w:val="clear" w:color="auto" w:fill="auto"/>
            <w:noWrap/>
            <w:vAlign w:val="center"/>
            <w:hideMark/>
          </w:tcPr>
          <w:p w:rsidRPr="00C5308E" w:rsidR="00720C2B" w:rsidP="00D87753" w:rsidRDefault="00720C2B" w14:paraId="404AECC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r>
      <w:tr w:rsidRPr="00C5308E" w:rsidR="00720C2B" w:rsidTr="003C75FE" w14:paraId="645C350C" w14:textId="77777777">
        <w:trPr>
          <w:trHeight w:val="300"/>
        </w:trPr>
        <w:tc>
          <w:tcPr>
            <w:tcW w:w="3402" w:type="dxa"/>
            <w:tcBorders>
              <w:top w:val="nil"/>
              <w:left w:val="nil"/>
              <w:bottom w:val="nil"/>
              <w:right w:val="nil"/>
            </w:tcBorders>
            <w:shd w:val="clear" w:color="auto" w:fill="auto"/>
            <w:noWrap/>
            <w:vAlign w:val="center"/>
            <w:hideMark/>
          </w:tcPr>
          <w:p w:rsidRPr="00C5308E" w:rsidR="00720C2B" w:rsidP="00D87753" w:rsidRDefault="00720C2B" w14:paraId="0DE185D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1FD835E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4991D5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118</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41064E9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70</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2A01F07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56</w:t>
            </w:r>
          </w:p>
        </w:tc>
        <w:tc>
          <w:tcPr>
            <w:tcW w:w="780" w:type="dxa"/>
            <w:tcBorders>
              <w:top w:val="nil"/>
              <w:left w:val="nil"/>
              <w:bottom w:val="nil"/>
              <w:right w:val="nil"/>
            </w:tcBorders>
            <w:shd w:val="clear" w:color="auto" w:fill="auto"/>
            <w:noWrap/>
            <w:vAlign w:val="center"/>
            <w:hideMark/>
          </w:tcPr>
          <w:p w:rsidRPr="00C5308E" w:rsidR="00720C2B" w:rsidP="00D87753" w:rsidRDefault="00720C2B" w14:paraId="2772D78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84</w:t>
            </w:r>
          </w:p>
        </w:tc>
        <w:tc>
          <w:tcPr>
            <w:tcW w:w="867" w:type="dxa"/>
            <w:tcBorders>
              <w:top w:val="nil"/>
              <w:left w:val="nil"/>
              <w:bottom w:val="nil"/>
              <w:right w:val="nil"/>
            </w:tcBorders>
            <w:shd w:val="clear" w:color="auto" w:fill="auto"/>
            <w:noWrap/>
            <w:vAlign w:val="center"/>
            <w:hideMark/>
          </w:tcPr>
          <w:p w:rsidRPr="00C5308E" w:rsidR="00720C2B" w:rsidP="00D87753" w:rsidRDefault="00720C2B" w14:paraId="7BC2344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w:t>
            </w:r>
          </w:p>
        </w:tc>
      </w:tr>
    </w:tbl>
    <w:p w:rsidRPr="00C5308E" w:rsidR="00720C2B" w:rsidP="00D87753" w:rsidRDefault="00720C2B" w14:paraId="0170214C" w14:textId="77777777">
      <w:pPr>
        <w:spacing w:line="240" w:lineRule="auto"/>
        <w:contextualSpacing/>
        <w:rPr>
          <w:rFonts w:ascii="Verdana" w:hAnsi="Verdana" w:cstheme="minorHAnsi"/>
          <w:bCs/>
          <w:sz w:val="18"/>
          <w:szCs w:val="18"/>
        </w:rPr>
      </w:pPr>
    </w:p>
    <w:p w:rsidRPr="00C5308E" w:rsidR="009835CB" w:rsidP="00D87753" w:rsidRDefault="009835CB" w14:paraId="4C5D4EB8" w14:textId="57C5BF9C">
      <w:pPr>
        <w:spacing w:line="240" w:lineRule="auto"/>
        <w:contextualSpacing/>
        <w:rPr>
          <w:rFonts w:ascii="Verdana" w:hAnsi="Verdana"/>
          <w:bCs/>
          <w:sz w:val="18"/>
          <w:szCs w:val="18"/>
          <w:u w:val="single"/>
        </w:rPr>
      </w:pPr>
      <w:r w:rsidRPr="00C5308E">
        <w:rPr>
          <w:rFonts w:ascii="Verdana" w:hAnsi="Verdana"/>
          <w:bCs/>
          <w:sz w:val="18"/>
          <w:szCs w:val="18"/>
          <w:u w:val="single"/>
        </w:rPr>
        <w:t>Vraag 75</w:t>
      </w:r>
      <w:r w:rsidRPr="00C5308E">
        <w:rPr>
          <w:rFonts w:ascii="Verdana" w:hAnsi="Verdana"/>
          <w:bCs/>
          <w:sz w:val="18"/>
          <w:szCs w:val="18"/>
          <w:u w:val="single"/>
        </w:rPr>
        <w:br/>
      </w:r>
      <w:r w:rsidRPr="00C5308E">
        <w:rPr>
          <w:rFonts w:ascii="Verdana" w:hAnsi="Verdana"/>
          <w:bCs/>
          <w:sz w:val="18"/>
          <w:szCs w:val="18"/>
        </w:rPr>
        <w:t>Waarom komen de reeksen m.b.t. de kinderopvang (tabel 3 suppletoire begroting SZW, nr. 9 en 10) niet overeen met die van de Voorjaarsnota (tabel 5, reeks 29 en 30)?</w:t>
      </w:r>
    </w:p>
    <w:p w:rsidRPr="00C5308E" w:rsidR="0056088B" w:rsidP="00D87753" w:rsidRDefault="0056088B" w14:paraId="256C9362" w14:textId="77777777">
      <w:pPr>
        <w:spacing w:after="0" w:line="240" w:lineRule="auto"/>
        <w:contextualSpacing/>
        <w:rPr>
          <w:rFonts w:ascii="Verdana" w:hAnsi="Verdana"/>
          <w:bCs/>
          <w:sz w:val="18"/>
          <w:szCs w:val="18"/>
          <w:u w:val="single"/>
        </w:rPr>
      </w:pPr>
    </w:p>
    <w:p w:rsidRPr="00C5308E" w:rsidR="009835CB" w:rsidP="00D87753" w:rsidRDefault="009835CB" w14:paraId="32A1D9C3" w14:textId="0F14A0E1">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75</w:t>
      </w:r>
    </w:p>
    <w:p w:rsidRPr="00C5308E" w:rsidR="009835CB" w:rsidP="00D87753" w:rsidRDefault="009835CB" w14:paraId="062BDD6B" w14:textId="680636B6">
      <w:pPr>
        <w:spacing w:line="240" w:lineRule="auto"/>
        <w:contextualSpacing/>
        <w:rPr>
          <w:rFonts w:ascii="Verdana" w:hAnsi="Verdana"/>
          <w:bCs/>
          <w:sz w:val="18"/>
          <w:szCs w:val="18"/>
        </w:rPr>
      </w:pPr>
      <w:r w:rsidRPr="00C5308E">
        <w:rPr>
          <w:rFonts w:ascii="Verdana" w:hAnsi="Verdana"/>
          <w:bCs/>
          <w:sz w:val="18"/>
          <w:szCs w:val="18"/>
        </w:rPr>
        <w:t>Reeks 9 in tabel 3 van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SZW en reeks 29 in tabel 5 van de Voorjaarsnota hebben beide betrekking op de besparing als gevolg van het nieuwe invoeringsjaar van het nieuwe kinderopvangstelsel (</w:t>
      </w:r>
      <w:r w:rsidRPr="00C5308E" w:rsidR="00FF013F">
        <w:rPr>
          <w:rFonts w:ascii="Verdana" w:hAnsi="Verdana"/>
          <w:bCs/>
          <w:sz w:val="18"/>
          <w:szCs w:val="18"/>
        </w:rPr>
        <w:t xml:space="preserve">invoering per </w:t>
      </w:r>
      <w:r w:rsidRPr="00C5308E">
        <w:rPr>
          <w:rFonts w:ascii="Verdana" w:hAnsi="Verdana"/>
          <w:bCs/>
          <w:sz w:val="18"/>
          <w:szCs w:val="18"/>
        </w:rPr>
        <w:t>2029 in plaats van 2027).</w:t>
      </w:r>
    </w:p>
    <w:p w:rsidRPr="00C5308E" w:rsidR="009835CB" w:rsidP="00D87753" w:rsidRDefault="009835CB" w14:paraId="5BDA0199" w14:textId="77777777">
      <w:pPr>
        <w:spacing w:line="240" w:lineRule="auto"/>
        <w:contextualSpacing/>
        <w:rPr>
          <w:rFonts w:ascii="Verdana" w:hAnsi="Verdana"/>
          <w:bCs/>
          <w:sz w:val="18"/>
          <w:szCs w:val="18"/>
        </w:rPr>
      </w:pPr>
      <w:r w:rsidRPr="00C5308E">
        <w:rPr>
          <w:rFonts w:ascii="Verdana" w:hAnsi="Verdana"/>
          <w:bCs/>
          <w:sz w:val="18"/>
          <w:szCs w:val="18"/>
        </w:rPr>
        <w:t>Naast een besparing op de uitgaven heeft de nieuwe ingangsdatum ook een effect op de ontvangsten. Deze komen vanaf 2027 hoger uit, doordat er in de toeslagjaren waarin het huidige stelsel nog van kracht is meer terugvorderingen zijn (er zijn overigens ook meer nabetalingen). De reeks die in de Voorjaarsnota is opgenomen houdt naast het effect op de uitgaven ook rekening met de hogere ontvangsten, de reeks in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houdt alleen rekening met het effect op de uitgaven. Het effect op de ontvangsten maakt deel uit van reeks 10 in tabel 4 van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w:t>
      </w:r>
    </w:p>
    <w:p w:rsidRPr="00C5308E" w:rsidR="0056088B" w:rsidP="00D87753" w:rsidRDefault="0056088B" w14:paraId="3FD98C24" w14:textId="77777777">
      <w:pPr>
        <w:spacing w:line="240" w:lineRule="auto"/>
        <w:contextualSpacing/>
        <w:rPr>
          <w:rFonts w:ascii="Verdana" w:hAnsi="Verdana"/>
          <w:bCs/>
          <w:sz w:val="18"/>
          <w:szCs w:val="18"/>
        </w:rPr>
      </w:pPr>
    </w:p>
    <w:tbl>
      <w:tblPr>
        <w:tblW w:w="0" w:type="auto"/>
        <w:tblCellMar>
          <w:left w:w="70" w:type="dxa"/>
          <w:right w:w="70" w:type="dxa"/>
        </w:tblCellMar>
        <w:tblLook w:val="04A0" w:firstRow="1" w:lastRow="0" w:firstColumn="1" w:lastColumn="0" w:noHBand="0" w:noVBand="1"/>
      </w:tblPr>
      <w:tblGrid>
        <w:gridCol w:w="2835"/>
        <w:gridCol w:w="976"/>
        <w:gridCol w:w="976"/>
        <w:gridCol w:w="976"/>
        <w:gridCol w:w="976"/>
        <w:gridCol w:w="976"/>
        <w:gridCol w:w="976"/>
      </w:tblGrid>
      <w:tr w:rsidRPr="00C5308E" w:rsidR="009835CB" w:rsidTr="003C75FE" w14:paraId="077757A9" w14:textId="77777777">
        <w:trPr>
          <w:trHeight w:val="290"/>
        </w:trPr>
        <w:tc>
          <w:tcPr>
            <w:tcW w:w="2835"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557C3F78" w14:textId="2D2A9FE1">
            <w:pPr>
              <w:spacing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 xml:space="preserve"> Bedragen </w:t>
            </w:r>
            <w:r w:rsidRPr="00C5308E" w:rsidR="0031642E">
              <w:rPr>
                <w:rFonts w:ascii="Verdana" w:hAnsi="Verdana" w:cs="Times New Roman"/>
                <w:i/>
                <w:iCs/>
                <w:sz w:val="18"/>
                <w:szCs w:val="18"/>
              </w:rPr>
              <w:t>x € 1 mln</w:t>
            </w:r>
            <w:r w:rsidRPr="00C5308E" w:rsidR="0031642E">
              <w:rPr>
                <w:rFonts w:ascii="Verdana" w:hAnsi="Verdana" w:cs="Times New Roman"/>
                <w:sz w:val="18"/>
                <w:szCs w:val="18"/>
              </w:rPr>
              <w:t>.</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1A9BC63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6510343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39AF6AE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19A53314"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71A55636"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6EE94E8D"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2030</w:t>
            </w:r>
          </w:p>
        </w:tc>
      </w:tr>
      <w:tr w:rsidRPr="00C5308E" w:rsidR="009835CB" w:rsidTr="003C75FE" w14:paraId="1CACA1DC" w14:textId="77777777">
        <w:trPr>
          <w:trHeight w:val="290"/>
        </w:trPr>
        <w:tc>
          <w:tcPr>
            <w:tcW w:w="2835" w:type="dxa"/>
            <w:tcBorders>
              <w:top w:val="nil"/>
              <w:left w:val="nil"/>
              <w:right w:val="nil"/>
            </w:tcBorders>
            <w:shd w:val="clear" w:color="auto" w:fill="auto"/>
            <w:noWrap/>
            <w:vAlign w:val="bottom"/>
            <w:hideMark/>
          </w:tcPr>
          <w:p w:rsidRPr="00C5308E" w:rsidR="009835CB" w:rsidP="00D87753" w:rsidRDefault="009835CB" w14:paraId="086A992F" w14:textId="77777777">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Uitgaven</w:t>
            </w:r>
            <w:r w:rsidRPr="00C5308E">
              <w:rPr>
                <w:rFonts w:ascii="Verdana" w:hAnsi="Verdana" w:eastAsia="Times New Roman" w:cs="Calibri"/>
                <w:bCs/>
                <w:color w:val="000000"/>
                <w:sz w:val="18"/>
                <w:szCs w:val="18"/>
                <w:vertAlign w:val="superscript"/>
                <w:lang w:eastAsia="nl-NL"/>
              </w:rPr>
              <w:t>1</w:t>
            </w:r>
          </w:p>
        </w:tc>
        <w:tc>
          <w:tcPr>
            <w:tcW w:w="976" w:type="dxa"/>
            <w:tcBorders>
              <w:top w:val="nil"/>
              <w:left w:val="nil"/>
              <w:right w:val="nil"/>
            </w:tcBorders>
            <w:shd w:val="clear" w:color="auto" w:fill="auto"/>
            <w:noWrap/>
            <w:vAlign w:val="bottom"/>
            <w:hideMark/>
          </w:tcPr>
          <w:p w:rsidRPr="00C5308E" w:rsidR="009835CB" w:rsidP="00D87753" w:rsidRDefault="009835CB" w14:paraId="7C8348AF"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-38,3</w:t>
            </w:r>
          </w:p>
        </w:tc>
        <w:tc>
          <w:tcPr>
            <w:tcW w:w="976" w:type="dxa"/>
            <w:tcBorders>
              <w:top w:val="nil"/>
              <w:left w:val="nil"/>
              <w:right w:val="nil"/>
            </w:tcBorders>
            <w:shd w:val="clear" w:color="auto" w:fill="auto"/>
            <w:noWrap/>
            <w:vAlign w:val="bottom"/>
            <w:hideMark/>
          </w:tcPr>
          <w:p w:rsidRPr="00C5308E" w:rsidR="009835CB" w:rsidP="00D87753" w:rsidRDefault="009835CB" w14:paraId="53884CA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-611,6</w:t>
            </w:r>
          </w:p>
        </w:tc>
        <w:tc>
          <w:tcPr>
            <w:tcW w:w="976" w:type="dxa"/>
            <w:tcBorders>
              <w:top w:val="nil"/>
              <w:left w:val="nil"/>
              <w:right w:val="nil"/>
            </w:tcBorders>
            <w:shd w:val="clear" w:color="auto" w:fill="auto"/>
            <w:noWrap/>
            <w:vAlign w:val="bottom"/>
            <w:hideMark/>
          </w:tcPr>
          <w:p w:rsidRPr="00C5308E" w:rsidR="009835CB" w:rsidP="00D87753" w:rsidRDefault="009835CB" w14:paraId="2EF1458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-2.168,9</w:t>
            </w:r>
          </w:p>
        </w:tc>
        <w:tc>
          <w:tcPr>
            <w:tcW w:w="976" w:type="dxa"/>
            <w:tcBorders>
              <w:top w:val="nil"/>
              <w:left w:val="nil"/>
              <w:right w:val="nil"/>
            </w:tcBorders>
            <w:shd w:val="clear" w:color="auto" w:fill="auto"/>
            <w:noWrap/>
            <w:vAlign w:val="bottom"/>
            <w:hideMark/>
          </w:tcPr>
          <w:p w:rsidRPr="00C5308E" w:rsidR="009835CB" w:rsidP="00D87753" w:rsidRDefault="009835CB" w14:paraId="790477D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-1.742,9</w:t>
            </w:r>
          </w:p>
        </w:tc>
        <w:tc>
          <w:tcPr>
            <w:tcW w:w="976" w:type="dxa"/>
            <w:tcBorders>
              <w:top w:val="nil"/>
              <w:left w:val="nil"/>
              <w:right w:val="nil"/>
            </w:tcBorders>
            <w:shd w:val="clear" w:color="auto" w:fill="auto"/>
            <w:noWrap/>
            <w:vAlign w:val="bottom"/>
            <w:hideMark/>
          </w:tcPr>
          <w:p w:rsidRPr="00C5308E" w:rsidR="009835CB" w:rsidP="00D87753" w:rsidRDefault="009835CB" w14:paraId="3B75AD3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-155,7</w:t>
            </w:r>
          </w:p>
        </w:tc>
        <w:tc>
          <w:tcPr>
            <w:tcW w:w="976" w:type="dxa"/>
            <w:tcBorders>
              <w:top w:val="nil"/>
              <w:left w:val="nil"/>
              <w:right w:val="nil"/>
            </w:tcBorders>
            <w:shd w:val="clear" w:color="auto" w:fill="auto"/>
            <w:noWrap/>
            <w:vAlign w:val="bottom"/>
            <w:hideMark/>
          </w:tcPr>
          <w:p w:rsidRPr="00C5308E" w:rsidR="009835CB" w:rsidP="00D87753" w:rsidRDefault="009835CB" w14:paraId="2C82456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-47,3</w:t>
            </w:r>
          </w:p>
        </w:tc>
      </w:tr>
      <w:tr w:rsidRPr="00C5308E" w:rsidR="009835CB" w:rsidTr="003C75FE" w14:paraId="651D1B79" w14:textId="77777777">
        <w:trPr>
          <w:trHeight w:val="290"/>
        </w:trPr>
        <w:tc>
          <w:tcPr>
            <w:tcW w:w="2835" w:type="dxa"/>
            <w:tcBorders>
              <w:top w:val="nil"/>
              <w:left w:val="nil"/>
              <w:bottom w:val="single" w:color="auto" w:sz="4" w:space="0"/>
              <w:right w:val="nil"/>
            </w:tcBorders>
            <w:shd w:val="clear" w:color="auto" w:fill="auto"/>
            <w:noWrap/>
            <w:vAlign w:val="bottom"/>
            <w:hideMark/>
          </w:tcPr>
          <w:p w:rsidRPr="00C5308E" w:rsidR="009835CB" w:rsidP="00D87753" w:rsidRDefault="009835CB" w14:paraId="25CA45EC" w14:textId="77777777">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Ontvangsten</w:t>
            </w:r>
            <w:r w:rsidRPr="00C5308E">
              <w:rPr>
                <w:rFonts w:ascii="Verdana" w:hAnsi="Verdana" w:eastAsia="Times New Roman" w:cs="Calibri"/>
                <w:bCs/>
                <w:color w:val="000000"/>
                <w:sz w:val="18"/>
                <w:szCs w:val="18"/>
                <w:vertAlign w:val="superscript"/>
                <w:lang w:eastAsia="nl-NL"/>
              </w:rPr>
              <w:t>2</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5BE92FC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0,0</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1BDA8BE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4,2</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2A35257C"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-27,1</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53EBCB5B"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-117,1</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17E53C9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-161,0</w:t>
            </w:r>
          </w:p>
        </w:tc>
        <w:tc>
          <w:tcPr>
            <w:tcW w:w="976" w:type="dxa"/>
            <w:tcBorders>
              <w:top w:val="nil"/>
              <w:left w:val="nil"/>
              <w:bottom w:val="single" w:color="auto" w:sz="4" w:space="0"/>
              <w:right w:val="nil"/>
            </w:tcBorders>
            <w:shd w:val="clear" w:color="auto" w:fill="auto"/>
            <w:noWrap/>
            <w:vAlign w:val="bottom"/>
            <w:hideMark/>
          </w:tcPr>
          <w:p w:rsidRPr="00C5308E" w:rsidR="009835CB" w:rsidP="00D87753" w:rsidRDefault="009835CB" w14:paraId="5051971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-108,3</w:t>
            </w:r>
          </w:p>
        </w:tc>
      </w:tr>
      <w:tr w:rsidRPr="00C5308E" w:rsidR="009835CB" w:rsidTr="003C75FE" w14:paraId="11C43966" w14:textId="77777777">
        <w:trPr>
          <w:trHeight w:val="290"/>
        </w:trPr>
        <w:tc>
          <w:tcPr>
            <w:tcW w:w="2835" w:type="dxa"/>
            <w:tcBorders>
              <w:top w:val="single" w:color="auto" w:sz="4" w:space="0"/>
              <w:left w:val="nil"/>
              <w:right w:val="nil"/>
            </w:tcBorders>
            <w:shd w:val="clear" w:color="auto" w:fill="auto"/>
            <w:noWrap/>
            <w:vAlign w:val="bottom"/>
            <w:hideMark/>
          </w:tcPr>
          <w:p w:rsidRPr="00C5308E" w:rsidR="009835CB" w:rsidP="00D87753" w:rsidRDefault="009835CB" w14:paraId="28B3E8EB" w14:textId="77777777">
            <w:pPr>
              <w:spacing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 (netto-uitgaven)</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18FB51CC"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-38,3</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7C7DAB17"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-607,4</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7C198318"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-2.196,0</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79C725BA"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-1.860,0</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67FF5411"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-316,7</w:t>
            </w:r>
          </w:p>
        </w:tc>
        <w:tc>
          <w:tcPr>
            <w:tcW w:w="976" w:type="dxa"/>
            <w:tcBorders>
              <w:top w:val="single" w:color="auto" w:sz="4" w:space="0"/>
              <w:left w:val="nil"/>
              <w:right w:val="nil"/>
            </w:tcBorders>
            <w:shd w:val="clear" w:color="auto" w:fill="auto"/>
            <w:noWrap/>
            <w:vAlign w:val="bottom"/>
            <w:hideMark/>
          </w:tcPr>
          <w:p w:rsidRPr="00C5308E" w:rsidR="009835CB" w:rsidP="00D87753" w:rsidRDefault="009835CB" w14:paraId="494907FC"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-155,6</w:t>
            </w:r>
          </w:p>
        </w:tc>
      </w:tr>
      <w:tr w:rsidRPr="00C5308E" w:rsidR="009835CB" w:rsidTr="003C75FE" w14:paraId="217421F2" w14:textId="77777777">
        <w:trPr>
          <w:trHeight w:val="290"/>
        </w:trPr>
        <w:tc>
          <w:tcPr>
            <w:tcW w:w="2835" w:type="dxa"/>
            <w:tcBorders>
              <w:left w:val="nil"/>
              <w:bottom w:val="single" w:color="auto" w:sz="4" w:space="0"/>
              <w:right w:val="nil"/>
            </w:tcBorders>
            <w:shd w:val="clear" w:color="auto" w:fill="auto"/>
            <w:noWrap/>
            <w:vAlign w:val="bottom"/>
          </w:tcPr>
          <w:p w:rsidRPr="00C5308E" w:rsidR="009835CB" w:rsidP="00D87753" w:rsidRDefault="009835CB" w14:paraId="2FDAB248" w14:textId="77777777">
            <w:pPr>
              <w:spacing w:line="240" w:lineRule="auto"/>
              <w:contextualSpacing/>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73F63EC8"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48D37B90"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7438155B"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2698404B"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39E73704"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bottom"/>
          </w:tcPr>
          <w:p w:rsidRPr="00C5308E" w:rsidR="009835CB" w:rsidP="00D87753" w:rsidRDefault="009835CB" w14:paraId="76367003" w14:textId="77777777">
            <w:pPr>
              <w:spacing w:line="240" w:lineRule="auto"/>
              <w:contextualSpacing/>
              <w:jc w:val="right"/>
              <w:rPr>
                <w:rFonts w:ascii="Verdana" w:hAnsi="Verdana" w:eastAsia="Times New Roman" w:cs="Calibri"/>
                <w:bCs/>
                <w:color w:val="000000"/>
                <w:sz w:val="18"/>
                <w:szCs w:val="18"/>
                <w:lang w:eastAsia="nl-NL"/>
              </w:rPr>
            </w:pPr>
          </w:p>
        </w:tc>
      </w:tr>
      <w:tr w:rsidRPr="00C5308E" w:rsidR="009835CB" w:rsidTr="003C75FE" w14:paraId="6476C327" w14:textId="77777777">
        <w:trPr>
          <w:trHeight w:val="290"/>
        </w:trPr>
        <w:tc>
          <w:tcPr>
            <w:tcW w:w="2835"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7F470851" w14:textId="526D8C5A">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Totaal afgerond</w:t>
            </w:r>
            <w:r w:rsidRPr="00C5308E" w:rsidR="00AE27E7">
              <w:rPr>
                <w:rFonts w:ascii="Verdana" w:hAnsi="Verdana" w:eastAsia="Times New Roman" w:cs="Calibri"/>
                <w:bCs/>
                <w:color w:val="000000"/>
                <w:sz w:val="18"/>
                <w:szCs w:val="18"/>
                <w:vertAlign w:val="superscript"/>
                <w:lang w:eastAsia="nl-NL"/>
              </w:rPr>
              <w:t>3</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63170F9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06BE4A4F"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-600</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4D35777D"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-2.200</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1735D87E"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-1.900</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07BF2AB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-300</w:t>
            </w:r>
          </w:p>
        </w:tc>
        <w:tc>
          <w:tcPr>
            <w:tcW w:w="976" w:type="dxa"/>
            <w:tcBorders>
              <w:top w:val="single" w:color="auto" w:sz="4" w:space="0"/>
              <w:left w:val="nil"/>
              <w:bottom w:val="single" w:color="auto" w:sz="4" w:space="0"/>
              <w:right w:val="nil"/>
            </w:tcBorders>
            <w:shd w:val="clear" w:color="auto" w:fill="FFE599" w:themeFill="accent4" w:themeFillTint="66"/>
            <w:noWrap/>
            <w:vAlign w:val="bottom"/>
            <w:hideMark/>
          </w:tcPr>
          <w:p w:rsidRPr="00C5308E" w:rsidR="009835CB" w:rsidP="00D87753" w:rsidRDefault="009835CB" w14:paraId="4BD5CF1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-200</w:t>
            </w:r>
          </w:p>
        </w:tc>
      </w:tr>
    </w:tbl>
    <w:p w:rsidRPr="00C5308E" w:rsidR="009835CB" w:rsidP="00D87753" w:rsidRDefault="009835CB" w14:paraId="3B299D8A" w14:textId="77777777">
      <w:pPr>
        <w:spacing w:line="240" w:lineRule="auto"/>
        <w:contextualSpacing/>
        <w:rPr>
          <w:rFonts w:ascii="Verdana" w:hAnsi="Verdana"/>
          <w:bCs/>
          <w:sz w:val="16"/>
          <w:szCs w:val="16"/>
        </w:rPr>
      </w:pPr>
      <w:r w:rsidRPr="00C5308E">
        <w:rPr>
          <w:rFonts w:ascii="Verdana" w:hAnsi="Verdana"/>
          <w:bCs/>
          <w:sz w:val="16"/>
          <w:szCs w:val="16"/>
          <w:vertAlign w:val="superscript"/>
        </w:rPr>
        <w:t>1</w:t>
      </w:r>
      <w:r w:rsidRPr="00C5308E">
        <w:rPr>
          <w:rFonts w:ascii="Verdana" w:hAnsi="Verdana"/>
          <w:bCs/>
          <w:sz w:val="16"/>
          <w:szCs w:val="16"/>
        </w:rPr>
        <w:t xml:space="preserve"> Gelijk aan reeks 9 in tabel 3 van de 1</w:t>
      </w:r>
      <w:r w:rsidRPr="00C5308E">
        <w:rPr>
          <w:rFonts w:ascii="Verdana" w:hAnsi="Verdana"/>
          <w:bCs/>
          <w:sz w:val="16"/>
          <w:szCs w:val="16"/>
          <w:vertAlign w:val="superscript"/>
        </w:rPr>
        <w:t>e</w:t>
      </w:r>
      <w:r w:rsidRPr="00C5308E">
        <w:rPr>
          <w:rFonts w:ascii="Verdana" w:hAnsi="Verdana"/>
          <w:bCs/>
          <w:sz w:val="16"/>
          <w:szCs w:val="16"/>
        </w:rPr>
        <w:t xml:space="preserve"> suppletoire begroting SZW</w:t>
      </w:r>
      <w:r w:rsidRPr="00C5308E">
        <w:rPr>
          <w:rFonts w:ascii="Verdana" w:hAnsi="Verdana"/>
          <w:bCs/>
          <w:sz w:val="16"/>
          <w:szCs w:val="16"/>
        </w:rPr>
        <w:br/>
      </w:r>
      <w:r w:rsidRPr="00C5308E">
        <w:rPr>
          <w:rFonts w:ascii="Verdana" w:hAnsi="Verdana"/>
          <w:bCs/>
          <w:sz w:val="16"/>
          <w:szCs w:val="16"/>
          <w:vertAlign w:val="superscript"/>
        </w:rPr>
        <w:t>2</w:t>
      </w:r>
      <w:r w:rsidRPr="00C5308E">
        <w:rPr>
          <w:rFonts w:ascii="Verdana" w:hAnsi="Verdana"/>
          <w:bCs/>
          <w:sz w:val="16"/>
          <w:szCs w:val="16"/>
        </w:rPr>
        <w:t xml:space="preserve"> In de tabel zijn hogere ontvangsten weergegeven als lagere uitgaven en vice versa.</w:t>
      </w:r>
    </w:p>
    <w:p w:rsidRPr="00C5308E" w:rsidR="009835CB" w:rsidP="00D87753" w:rsidRDefault="00AE27E7" w14:paraId="468D7FF7" w14:textId="18087BE7">
      <w:pPr>
        <w:spacing w:line="240" w:lineRule="auto"/>
        <w:contextualSpacing/>
        <w:rPr>
          <w:rFonts w:ascii="Verdana" w:hAnsi="Verdana"/>
          <w:bCs/>
          <w:sz w:val="16"/>
          <w:szCs w:val="16"/>
        </w:rPr>
      </w:pPr>
      <w:r w:rsidRPr="00C5308E">
        <w:rPr>
          <w:rFonts w:ascii="Verdana" w:hAnsi="Verdana"/>
          <w:bCs/>
          <w:sz w:val="16"/>
          <w:szCs w:val="16"/>
          <w:vertAlign w:val="superscript"/>
        </w:rPr>
        <w:t>3</w:t>
      </w:r>
      <w:r w:rsidRPr="00C5308E">
        <w:rPr>
          <w:rFonts w:ascii="Verdana" w:hAnsi="Verdana"/>
          <w:bCs/>
          <w:sz w:val="16"/>
          <w:szCs w:val="16"/>
        </w:rPr>
        <w:t xml:space="preserve"> </w:t>
      </w:r>
      <w:r w:rsidRPr="00C5308E" w:rsidR="009835CB">
        <w:rPr>
          <w:rFonts w:ascii="Verdana" w:hAnsi="Verdana"/>
          <w:bCs/>
          <w:sz w:val="16"/>
          <w:szCs w:val="16"/>
        </w:rPr>
        <w:t>Het op honderden miljoenen afgeronde bedrag komt voor alle jaren overeen met reeks 29 in tabel 5 van de Voorjaarsnota.</w:t>
      </w:r>
    </w:p>
    <w:p w:rsidRPr="00C5308E" w:rsidR="0056088B" w:rsidP="00D87753" w:rsidRDefault="0056088B" w14:paraId="56D0CAD2" w14:textId="77777777">
      <w:pPr>
        <w:spacing w:line="240" w:lineRule="auto"/>
        <w:contextualSpacing/>
        <w:rPr>
          <w:rFonts w:ascii="Verdana" w:hAnsi="Verdana"/>
          <w:bCs/>
          <w:sz w:val="18"/>
          <w:szCs w:val="18"/>
        </w:rPr>
      </w:pPr>
    </w:p>
    <w:p w:rsidRPr="00C5308E" w:rsidR="009835CB" w:rsidP="00D87753" w:rsidRDefault="009835CB" w14:paraId="3D72EF7C" w14:textId="17E211C7">
      <w:pPr>
        <w:spacing w:line="240" w:lineRule="auto"/>
        <w:contextualSpacing/>
        <w:rPr>
          <w:rFonts w:ascii="Verdana" w:hAnsi="Verdana"/>
          <w:bCs/>
          <w:sz w:val="18"/>
          <w:szCs w:val="18"/>
        </w:rPr>
      </w:pPr>
      <w:r w:rsidRPr="00C5308E">
        <w:rPr>
          <w:rFonts w:ascii="Verdana" w:hAnsi="Verdana"/>
          <w:bCs/>
          <w:sz w:val="18"/>
          <w:szCs w:val="18"/>
        </w:rPr>
        <w:t>Een gedeelte van de besparing als gevolg van het nieuwe invoeringsjaar wordt ingezet voor het verhogen van de vergoedingspercentages in aanloop naar de nieuwe financiering. In reeks 10 in tabel 3 van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SZW zijn de bijbehorende meeruitgaven voor de stapsgewijze verhoging van de meeruitgaven weergegeven. </w:t>
      </w:r>
    </w:p>
    <w:p w:rsidRPr="00C5308E" w:rsidR="009835CB" w:rsidP="00D87753" w:rsidRDefault="009835CB" w14:paraId="7D5A5032" w14:textId="77777777">
      <w:pPr>
        <w:spacing w:line="240" w:lineRule="auto"/>
        <w:contextualSpacing/>
        <w:rPr>
          <w:rFonts w:ascii="Verdana" w:hAnsi="Verdana"/>
          <w:bCs/>
          <w:sz w:val="18"/>
          <w:szCs w:val="18"/>
        </w:rPr>
      </w:pPr>
      <w:r w:rsidRPr="00C5308E">
        <w:rPr>
          <w:rFonts w:ascii="Verdana" w:hAnsi="Verdana"/>
          <w:bCs/>
          <w:sz w:val="18"/>
          <w:szCs w:val="18"/>
        </w:rPr>
        <w:t>In de reeks in de Voorjaarsnota is naast het effect op de uitgaven ook rekening gehouden met het effect op de ontvangsten (deze komen hoger uit). Daarnaast worden middelen ingezet om de toegankelĳkheid van kinderopvang te borgen en de sector te ondersteunen bij de overgang naar het nieuwe financieringsstelsel. In de 1</w:t>
      </w:r>
      <w:r w:rsidRPr="00C5308E">
        <w:rPr>
          <w:rFonts w:ascii="Verdana" w:hAnsi="Verdana"/>
          <w:bCs/>
          <w:sz w:val="18"/>
          <w:szCs w:val="18"/>
          <w:vertAlign w:val="superscript"/>
        </w:rPr>
        <w:t>e</w:t>
      </w:r>
      <w:r w:rsidRPr="00C5308E">
        <w:rPr>
          <w:rFonts w:ascii="Verdana" w:hAnsi="Verdana"/>
          <w:bCs/>
          <w:sz w:val="18"/>
          <w:szCs w:val="18"/>
        </w:rPr>
        <w:t xml:space="preserve"> suppletoire zijn deze middelen verantwoord op artikel 99. Tot slot zijn er middelen gereserveerd voor extra uitvoeringskosten. Ook deze middelen zitten wel in de reeks van de Voorjaarsnota verwerkt maar niet in de betreffende reeks in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SZW. Het betreft een reservering op de aanvullende post.</w:t>
      </w:r>
    </w:p>
    <w:p w:rsidRPr="00C5308E" w:rsidR="00B504A7" w:rsidP="00D87753" w:rsidRDefault="00B504A7" w14:paraId="085E7052" w14:textId="77777777">
      <w:pPr>
        <w:spacing w:line="240" w:lineRule="auto"/>
        <w:contextualSpacing/>
        <w:rPr>
          <w:rFonts w:ascii="Verdana" w:hAnsi="Verdana"/>
          <w:bCs/>
          <w:sz w:val="18"/>
          <w:szCs w:val="18"/>
        </w:rPr>
      </w:pPr>
    </w:p>
    <w:tbl>
      <w:tblPr>
        <w:tblW w:w="0" w:type="auto"/>
        <w:tblCellMar>
          <w:left w:w="70" w:type="dxa"/>
          <w:right w:w="70" w:type="dxa"/>
        </w:tblCellMar>
        <w:tblLook w:val="04A0" w:firstRow="1" w:lastRow="0" w:firstColumn="1" w:lastColumn="0" w:noHBand="0" w:noVBand="1"/>
      </w:tblPr>
      <w:tblGrid>
        <w:gridCol w:w="3172"/>
        <w:gridCol w:w="975"/>
        <w:gridCol w:w="976"/>
        <w:gridCol w:w="976"/>
        <w:gridCol w:w="976"/>
        <w:gridCol w:w="976"/>
        <w:gridCol w:w="976"/>
      </w:tblGrid>
      <w:tr w:rsidRPr="00C5308E" w:rsidR="009835CB" w:rsidTr="003C75FE" w14:paraId="78B4EFB9" w14:textId="77777777">
        <w:trPr>
          <w:trHeight w:val="290"/>
        </w:trPr>
        <w:tc>
          <w:tcPr>
            <w:tcW w:w="3172"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0CC37A70" w14:textId="56C801AF">
            <w:pPr>
              <w:spacing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 xml:space="preserve"> Bedragen </w:t>
            </w:r>
            <w:r w:rsidRPr="00C5308E" w:rsidR="0031642E">
              <w:rPr>
                <w:rFonts w:ascii="Verdana" w:hAnsi="Verdana" w:cs="Times New Roman"/>
                <w:i/>
                <w:iCs/>
                <w:sz w:val="18"/>
                <w:szCs w:val="18"/>
              </w:rPr>
              <w:t>x € 1 mln.</w:t>
            </w:r>
          </w:p>
        </w:tc>
        <w:tc>
          <w:tcPr>
            <w:tcW w:w="975"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423CE04C"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76"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347593A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76"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1DAD876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76"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252FE37E"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76"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39371C4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76" w:type="dxa"/>
            <w:tcBorders>
              <w:top w:val="single" w:color="auto" w:sz="4" w:space="0"/>
              <w:left w:val="nil"/>
              <w:bottom w:val="single" w:color="auto" w:sz="4" w:space="0"/>
              <w:right w:val="nil"/>
            </w:tcBorders>
            <w:shd w:val="clear" w:color="auto" w:fill="E7E6E6" w:themeFill="background2"/>
            <w:noWrap/>
            <w:vAlign w:val="center"/>
            <w:hideMark/>
          </w:tcPr>
          <w:p w:rsidRPr="00C5308E" w:rsidR="009835CB" w:rsidP="00D87753" w:rsidRDefault="009835CB" w14:paraId="1244E94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2030</w:t>
            </w:r>
          </w:p>
        </w:tc>
      </w:tr>
      <w:tr w:rsidRPr="00C5308E" w:rsidR="009835CB" w:rsidTr="003C75FE" w14:paraId="55EDF8B5" w14:textId="77777777">
        <w:trPr>
          <w:trHeight w:val="290"/>
        </w:trPr>
        <w:tc>
          <w:tcPr>
            <w:tcW w:w="3172" w:type="dxa"/>
            <w:tcBorders>
              <w:top w:val="nil"/>
              <w:left w:val="nil"/>
              <w:bottom w:val="nil"/>
              <w:right w:val="nil"/>
            </w:tcBorders>
            <w:shd w:val="clear" w:color="auto" w:fill="auto"/>
            <w:noWrap/>
            <w:vAlign w:val="center"/>
            <w:hideMark/>
          </w:tcPr>
          <w:p w:rsidRPr="00C5308E" w:rsidR="009835CB" w:rsidP="00D87753" w:rsidRDefault="009835CB" w14:paraId="505D843E" w14:textId="77777777">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Uitgaven ingroeipadmiddelen</w:t>
            </w:r>
            <w:r w:rsidRPr="00C5308E">
              <w:rPr>
                <w:rFonts w:ascii="Verdana" w:hAnsi="Verdana" w:eastAsia="Times New Roman" w:cs="Calibri"/>
                <w:bCs/>
                <w:color w:val="000000"/>
                <w:sz w:val="18"/>
                <w:szCs w:val="18"/>
                <w:vertAlign w:val="superscript"/>
                <w:lang w:eastAsia="nl-NL"/>
              </w:rPr>
              <w:t>1</w:t>
            </w:r>
          </w:p>
        </w:tc>
        <w:tc>
          <w:tcPr>
            <w:tcW w:w="975" w:type="dxa"/>
            <w:tcBorders>
              <w:top w:val="nil"/>
              <w:left w:val="nil"/>
              <w:bottom w:val="nil"/>
              <w:right w:val="nil"/>
            </w:tcBorders>
            <w:shd w:val="clear" w:color="auto" w:fill="auto"/>
            <w:noWrap/>
            <w:vAlign w:val="center"/>
            <w:hideMark/>
          </w:tcPr>
          <w:p w:rsidRPr="00C5308E" w:rsidR="009835CB" w:rsidP="00D87753" w:rsidRDefault="009835CB" w14:paraId="2EA7181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19,2</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5B52F9F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295,8</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194CAF5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850,8</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2DEF1C9B"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1.078,6</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49294026"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445,9</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4E8EC37A"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148,4</w:t>
            </w:r>
          </w:p>
        </w:tc>
      </w:tr>
      <w:tr w:rsidRPr="00C5308E" w:rsidR="009835CB" w:rsidTr="003C75FE" w14:paraId="4702AC6C" w14:textId="77777777">
        <w:trPr>
          <w:trHeight w:val="290"/>
        </w:trPr>
        <w:tc>
          <w:tcPr>
            <w:tcW w:w="3172" w:type="dxa"/>
            <w:tcBorders>
              <w:top w:val="nil"/>
              <w:left w:val="nil"/>
              <w:bottom w:val="nil"/>
              <w:right w:val="nil"/>
            </w:tcBorders>
            <w:shd w:val="clear" w:color="auto" w:fill="auto"/>
            <w:noWrap/>
            <w:vAlign w:val="center"/>
            <w:hideMark/>
          </w:tcPr>
          <w:p w:rsidRPr="00C5308E" w:rsidR="009835CB" w:rsidP="00D87753" w:rsidRDefault="009835CB" w14:paraId="256B2C58" w14:textId="77777777">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Ontvangsten</w:t>
            </w:r>
            <w:r w:rsidRPr="00C5308E">
              <w:rPr>
                <w:rFonts w:ascii="Verdana" w:hAnsi="Verdana" w:eastAsia="Times New Roman" w:cs="Calibri"/>
                <w:bCs/>
                <w:color w:val="000000"/>
                <w:sz w:val="18"/>
                <w:szCs w:val="18"/>
                <w:vertAlign w:val="superscript"/>
                <w:lang w:eastAsia="nl-NL"/>
              </w:rPr>
              <w:t>2</w:t>
            </w:r>
          </w:p>
        </w:tc>
        <w:tc>
          <w:tcPr>
            <w:tcW w:w="975" w:type="dxa"/>
            <w:tcBorders>
              <w:top w:val="nil"/>
              <w:left w:val="nil"/>
              <w:bottom w:val="nil"/>
              <w:right w:val="nil"/>
            </w:tcBorders>
            <w:shd w:val="clear" w:color="auto" w:fill="auto"/>
            <w:noWrap/>
            <w:vAlign w:val="center"/>
            <w:hideMark/>
          </w:tcPr>
          <w:p w:rsidRPr="00C5308E" w:rsidR="009835CB" w:rsidP="00D87753" w:rsidRDefault="009835CB" w14:paraId="1B90F7B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0,0</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237C403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-3,7</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70B72BF4"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-18,3</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3E1E2A86"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-41,8</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26522C53"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-51,6</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397B373B"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-35,5</w:t>
            </w:r>
          </w:p>
        </w:tc>
      </w:tr>
      <w:tr w:rsidRPr="00C5308E" w:rsidR="009835CB" w:rsidTr="003C75FE" w14:paraId="6726D7E9" w14:textId="77777777">
        <w:trPr>
          <w:trHeight w:val="290"/>
        </w:trPr>
        <w:tc>
          <w:tcPr>
            <w:tcW w:w="3172" w:type="dxa"/>
            <w:tcBorders>
              <w:top w:val="nil"/>
              <w:left w:val="nil"/>
              <w:bottom w:val="nil"/>
              <w:right w:val="nil"/>
            </w:tcBorders>
            <w:shd w:val="clear" w:color="auto" w:fill="auto"/>
            <w:noWrap/>
            <w:vAlign w:val="center"/>
            <w:hideMark/>
          </w:tcPr>
          <w:p w:rsidRPr="00C5308E" w:rsidR="009835CB" w:rsidP="00D87753" w:rsidRDefault="009835CB" w14:paraId="4C9D8AD8" w14:textId="77777777">
            <w:pPr>
              <w:spacing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Toegankelijkheid kinderopvang</w:t>
            </w:r>
          </w:p>
        </w:tc>
        <w:tc>
          <w:tcPr>
            <w:tcW w:w="975" w:type="dxa"/>
            <w:tcBorders>
              <w:top w:val="nil"/>
              <w:left w:val="nil"/>
              <w:bottom w:val="nil"/>
              <w:right w:val="nil"/>
            </w:tcBorders>
            <w:shd w:val="clear" w:color="auto" w:fill="auto"/>
            <w:noWrap/>
            <w:vAlign w:val="center"/>
            <w:hideMark/>
          </w:tcPr>
          <w:p w:rsidRPr="00C5308E" w:rsidR="009835CB" w:rsidP="00D87753" w:rsidRDefault="009835CB" w14:paraId="52E4519E" w14:textId="77777777">
            <w:pPr>
              <w:spacing w:line="240" w:lineRule="auto"/>
              <w:contextualSpacing/>
              <w:rPr>
                <w:rFonts w:ascii="Verdana" w:hAnsi="Verdana" w:eastAsia="Times New Roman" w:cs="Calibri"/>
                <w:bCs/>
                <w:color w:val="000000"/>
                <w:sz w:val="18"/>
                <w:szCs w:val="18"/>
                <w:lang w:eastAsia="nl-NL"/>
              </w:rPr>
            </w:pPr>
          </w:p>
        </w:tc>
        <w:tc>
          <w:tcPr>
            <w:tcW w:w="976" w:type="dxa"/>
            <w:tcBorders>
              <w:top w:val="nil"/>
              <w:left w:val="nil"/>
              <w:bottom w:val="nil"/>
              <w:right w:val="nil"/>
            </w:tcBorders>
            <w:shd w:val="clear" w:color="auto" w:fill="auto"/>
            <w:noWrap/>
            <w:vAlign w:val="center"/>
            <w:hideMark/>
          </w:tcPr>
          <w:p w:rsidRPr="00C5308E" w:rsidR="009835CB" w:rsidP="00D87753" w:rsidRDefault="009835CB" w14:paraId="1C1BE960"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bottom w:val="nil"/>
              <w:right w:val="nil"/>
            </w:tcBorders>
            <w:shd w:val="clear" w:color="auto" w:fill="auto"/>
            <w:noWrap/>
            <w:vAlign w:val="center"/>
            <w:hideMark/>
          </w:tcPr>
          <w:p w:rsidRPr="00C5308E" w:rsidR="009835CB" w:rsidP="00D87753" w:rsidRDefault="009835CB" w14:paraId="75D4CC95"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bottom w:val="nil"/>
              <w:right w:val="nil"/>
            </w:tcBorders>
            <w:shd w:val="clear" w:color="auto" w:fill="auto"/>
            <w:noWrap/>
            <w:vAlign w:val="center"/>
            <w:hideMark/>
          </w:tcPr>
          <w:p w:rsidRPr="00C5308E" w:rsidR="009835CB" w:rsidP="00D87753" w:rsidRDefault="009835CB" w14:paraId="7FB95F9E"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bottom w:val="nil"/>
              <w:right w:val="nil"/>
            </w:tcBorders>
            <w:shd w:val="clear" w:color="auto" w:fill="auto"/>
            <w:noWrap/>
            <w:vAlign w:val="center"/>
            <w:hideMark/>
          </w:tcPr>
          <w:p w:rsidRPr="00C5308E" w:rsidR="009835CB" w:rsidP="00D87753" w:rsidRDefault="009835CB" w14:paraId="05963B6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24,0</w:t>
            </w:r>
          </w:p>
        </w:tc>
        <w:tc>
          <w:tcPr>
            <w:tcW w:w="976" w:type="dxa"/>
            <w:tcBorders>
              <w:top w:val="nil"/>
              <w:left w:val="nil"/>
              <w:bottom w:val="nil"/>
              <w:right w:val="nil"/>
            </w:tcBorders>
            <w:shd w:val="clear" w:color="auto" w:fill="auto"/>
            <w:noWrap/>
            <w:vAlign w:val="center"/>
            <w:hideMark/>
          </w:tcPr>
          <w:p w:rsidRPr="00C5308E" w:rsidR="009835CB" w:rsidP="00D87753" w:rsidRDefault="009835CB" w14:paraId="6F714311"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24,0</w:t>
            </w:r>
          </w:p>
        </w:tc>
      </w:tr>
      <w:tr w:rsidRPr="00C5308E" w:rsidR="009835CB" w:rsidTr="003C75FE" w14:paraId="6FAC9F34" w14:textId="77777777">
        <w:trPr>
          <w:trHeight w:val="290"/>
        </w:trPr>
        <w:tc>
          <w:tcPr>
            <w:tcW w:w="3172" w:type="dxa"/>
            <w:tcBorders>
              <w:top w:val="nil"/>
              <w:left w:val="nil"/>
              <w:right w:val="nil"/>
            </w:tcBorders>
            <w:shd w:val="clear" w:color="auto" w:fill="auto"/>
            <w:noWrap/>
            <w:vAlign w:val="center"/>
          </w:tcPr>
          <w:p w:rsidRPr="00C5308E" w:rsidR="009835CB" w:rsidP="00D87753" w:rsidRDefault="009835CB" w14:paraId="583605D8" w14:textId="77777777">
            <w:pPr>
              <w:spacing w:line="240" w:lineRule="auto"/>
              <w:contextualSpacing/>
              <w:rPr>
                <w:rFonts w:ascii="Verdana" w:hAnsi="Verdana" w:eastAsia="Times New Roman" w:cstheme="minorHAnsi"/>
                <w:bCs/>
                <w:color w:val="000000"/>
                <w:sz w:val="18"/>
                <w:szCs w:val="18"/>
                <w:lang w:eastAsia="nl-NL"/>
              </w:rPr>
            </w:pPr>
            <w:r w:rsidRPr="00C5308E">
              <w:rPr>
                <w:rFonts w:ascii="Verdana" w:hAnsi="Verdana" w:eastAsia="Times New Roman" w:cstheme="minorHAnsi"/>
                <w:bCs/>
                <w:color w:val="000000"/>
                <w:sz w:val="18"/>
                <w:szCs w:val="18"/>
                <w:lang w:eastAsia="nl-NL"/>
              </w:rPr>
              <w:t>Ondersteuning KO-sector</w:t>
            </w:r>
          </w:p>
        </w:tc>
        <w:tc>
          <w:tcPr>
            <w:tcW w:w="975" w:type="dxa"/>
            <w:tcBorders>
              <w:top w:val="nil"/>
              <w:left w:val="nil"/>
              <w:right w:val="nil"/>
            </w:tcBorders>
            <w:shd w:val="clear" w:color="auto" w:fill="auto"/>
            <w:noWrap/>
            <w:vAlign w:val="center"/>
          </w:tcPr>
          <w:p w:rsidRPr="00C5308E" w:rsidR="009835CB" w:rsidP="00D87753" w:rsidRDefault="009835CB" w14:paraId="2B8B2781" w14:textId="77777777">
            <w:pPr>
              <w:spacing w:line="240" w:lineRule="auto"/>
              <w:contextualSpacing/>
              <w:rPr>
                <w:rFonts w:ascii="Verdana" w:hAnsi="Verdana" w:eastAsia="Times New Roman" w:cstheme="minorHAnsi"/>
                <w:bCs/>
                <w:color w:val="000000"/>
                <w:sz w:val="18"/>
                <w:szCs w:val="18"/>
                <w:lang w:eastAsia="nl-NL"/>
              </w:rPr>
            </w:pPr>
          </w:p>
        </w:tc>
        <w:tc>
          <w:tcPr>
            <w:tcW w:w="976" w:type="dxa"/>
            <w:tcBorders>
              <w:top w:val="nil"/>
              <w:left w:val="nil"/>
              <w:right w:val="nil"/>
            </w:tcBorders>
            <w:shd w:val="clear" w:color="auto" w:fill="auto"/>
            <w:noWrap/>
            <w:vAlign w:val="center"/>
          </w:tcPr>
          <w:p w:rsidRPr="00C5308E" w:rsidR="009835CB" w:rsidP="00D87753" w:rsidRDefault="009835CB" w14:paraId="14775941" w14:textId="77777777">
            <w:pPr>
              <w:spacing w:line="240" w:lineRule="auto"/>
              <w:contextualSpacing/>
              <w:rPr>
                <w:rFonts w:ascii="Verdana" w:hAnsi="Verdana" w:eastAsia="Times New Roman" w:cstheme="minorHAnsi"/>
                <w:bCs/>
                <w:sz w:val="18"/>
                <w:szCs w:val="18"/>
                <w:lang w:eastAsia="nl-NL"/>
              </w:rPr>
            </w:pPr>
          </w:p>
        </w:tc>
        <w:tc>
          <w:tcPr>
            <w:tcW w:w="976" w:type="dxa"/>
            <w:tcBorders>
              <w:top w:val="nil"/>
              <w:left w:val="nil"/>
              <w:right w:val="nil"/>
            </w:tcBorders>
            <w:shd w:val="clear" w:color="auto" w:fill="auto"/>
            <w:noWrap/>
            <w:vAlign w:val="center"/>
          </w:tcPr>
          <w:p w:rsidRPr="00C5308E" w:rsidR="009835CB" w:rsidP="00D87753" w:rsidRDefault="009835CB" w14:paraId="41A7E0D7" w14:textId="77777777">
            <w:pPr>
              <w:spacing w:line="240" w:lineRule="auto"/>
              <w:contextualSpacing/>
              <w:rPr>
                <w:rFonts w:ascii="Verdana" w:hAnsi="Verdana" w:eastAsia="Times New Roman" w:cstheme="minorHAnsi"/>
                <w:bCs/>
                <w:sz w:val="18"/>
                <w:szCs w:val="18"/>
                <w:lang w:eastAsia="nl-NL"/>
              </w:rPr>
            </w:pPr>
          </w:p>
        </w:tc>
        <w:tc>
          <w:tcPr>
            <w:tcW w:w="976" w:type="dxa"/>
            <w:tcBorders>
              <w:top w:val="nil"/>
              <w:left w:val="nil"/>
              <w:right w:val="nil"/>
            </w:tcBorders>
            <w:shd w:val="clear" w:color="auto" w:fill="auto"/>
            <w:noWrap/>
            <w:vAlign w:val="center"/>
          </w:tcPr>
          <w:p w:rsidRPr="00C5308E" w:rsidR="009835CB" w:rsidP="00D87753" w:rsidRDefault="009835CB" w14:paraId="606963DB" w14:textId="77777777">
            <w:pPr>
              <w:spacing w:line="240" w:lineRule="auto"/>
              <w:contextualSpacing/>
              <w:jc w:val="right"/>
              <w:rPr>
                <w:rFonts w:ascii="Verdana" w:hAnsi="Verdana" w:eastAsia="Times New Roman" w:cstheme="minorHAnsi"/>
                <w:bCs/>
                <w:sz w:val="18"/>
                <w:szCs w:val="18"/>
                <w:lang w:eastAsia="nl-NL"/>
              </w:rPr>
            </w:pPr>
            <w:r w:rsidRPr="00C5308E">
              <w:rPr>
                <w:rFonts w:ascii="Verdana" w:hAnsi="Verdana" w:eastAsia="Times New Roman" w:cstheme="minorHAnsi"/>
                <w:bCs/>
                <w:sz w:val="18"/>
                <w:szCs w:val="18"/>
                <w:lang w:eastAsia="nl-NL"/>
              </w:rPr>
              <w:t>2,4</w:t>
            </w:r>
          </w:p>
        </w:tc>
        <w:tc>
          <w:tcPr>
            <w:tcW w:w="976" w:type="dxa"/>
            <w:tcBorders>
              <w:top w:val="nil"/>
              <w:left w:val="nil"/>
              <w:right w:val="nil"/>
            </w:tcBorders>
            <w:shd w:val="clear" w:color="auto" w:fill="auto"/>
            <w:noWrap/>
            <w:vAlign w:val="center"/>
          </w:tcPr>
          <w:p w:rsidRPr="00C5308E" w:rsidR="009835CB" w:rsidP="00D87753" w:rsidRDefault="009835CB" w14:paraId="4628BAE6" w14:textId="77777777">
            <w:pPr>
              <w:spacing w:line="240" w:lineRule="auto"/>
              <w:contextualSpacing/>
              <w:jc w:val="right"/>
              <w:rPr>
                <w:rFonts w:ascii="Verdana" w:hAnsi="Verdana" w:eastAsia="Times New Roman" w:cstheme="minorHAnsi"/>
                <w:bCs/>
                <w:color w:val="000000"/>
                <w:sz w:val="18"/>
                <w:szCs w:val="18"/>
                <w:lang w:eastAsia="nl-NL"/>
              </w:rPr>
            </w:pPr>
            <w:r w:rsidRPr="00C5308E">
              <w:rPr>
                <w:rFonts w:ascii="Verdana" w:hAnsi="Verdana" w:eastAsia="Times New Roman" w:cstheme="minorHAnsi"/>
                <w:bCs/>
                <w:color w:val="000000"/>
                <w:sz w:val="18"/>
                <w:szCs w:val="18"/>
                <w:lang w:eastAsia="nl-NL"/>
              </w:rPr>
              <w:t>7,8</w:t>
            </w:r>
          </w:p>
        </w:tc>
        <w:tc>
          <w:tcPr>
            <w:tcW w:w="976" w:type="dxa"/>
            <w:tcBorders>
              <w:top w:val="nil"/>
              <w:left w:val="nil"/>
              <w:right w:val="nil"/>
            </w:tcBorders>
            <w:shd w:val="clear" w:color="auto" w:fill="auto"/>
            <w:noWrap/>
            <w:vAlign w:val="center"/>
          </w:tcPr>
          <w:p w:rsidRPr="00C5308E" w:rsidR="009835CB" w:rsidP="00D87753" w:rsidRDefault="009835CB" w14:paraId="2396EA70" w14:textId="77777777">
            <w:pPr>
              <w:spacing w:line="240" w:lineRule="auto"/>
              <w:contextualSpacing/>
              <w:jc w:val="right"/>
              <w:rPr>
                <w:rFonts w:ascii="Verdana" w:hAnsi="Verdana" w:eastAsia="Times New Roman" w:cstheme="minorHAnsi"/>
                <w:bCs/>
                <w:color w:val="000000"/>
                <w:sz w:val="18"/>
                <w:szCs w:val="18"/>
                <w:lang w:eastAsia="nl-NL"/>
              </w:rPr>
            </w:pPr>
            <w:r w:rsidRPr="00C5308E">
              <w:rPr>
                <w:rFonts w:ascii="Verdana" w:hAnsi="Verdana" w:eastAsia="Times New Roman" w:cstheme="minorHAnsi"/>
                <w:bCs/>
                <w:color w:val="000000"/>
                <w:sz w:val="18"/>
                <w:szCs w:val="18"/>
                <w:lang w:eastAsia="nl-NL"/>
              </w:rPr>
              <w:t>7,3</w:t>
            </w:r>
          </w:p>
        </w:tc>
      </w:tr>
      <w:tr w:rsidRPr="00C5308E" w:rsidR="009835CB" w:rsidTr="003C75FE" w14:paraId="19B029D7" w14:textId="77777777">
        <w:trPr>
          <w:trHeight w:val="290"/>
        </w:trPr>
        <w:tc>
          <w:tcPr>
            <w:tcW w:w="3172" w:type="dxa"/>
            <w:tcBorders>
              <w:top w:val="nil"/>
              <w:left w:val="nil"/>
              <w:right w:val="nil"/>
            </w:tcBorders>
            <w:shd w:val="clear" w:color="auto" w:fill="auto"/>
            <w:noWrap/>
            <w:vAlign w:val="center"/>
            <w:hideMark/>
          </w:tcPr>
          <w:p w:rsidRPr="00C5308E" w:rsidR="009835CB" w:rsidP="00D87753" w:rsidRDefault="009835CB" w14:paraId="4C6489E6" w14:textId="77777777">
            <w:pPr>
              <w:spacing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Uitvoeringskosten</w:t>
            </w:r>
          </w:p>
        </w:tc>
        <w:tc>
          <w:tcPr>
            <w:tcW w:w="975" w:type="dxa"/>
            <w:tcBorders>
              <w:top w:val="nil"/>
              <w:left w:val="nil"/>
              <w:right w:val="nil"/>
            </w:tcBorders>
            <w:shd w:val="clear" w:color="auto" w:fill="auto"/>
            <w:noWrap/>
            <w:vAlign w:val="center"/>
            <w:hideMark/>
          </w:tcPr>
          <w:p w:rsidRPr="00C5308E" w:rsidR="009835CB" w:rsidP="00D87753" w:rsidRDefault="009835CB" w14:paraId="480B07B5" w14:textId="77777777">
            <w:pPr>
              <w:spacing w:line="240" w:lineRule="auto"/>
              <w:contextualSpacing/>
              <w:rPr>
                <w:rFonts w:ascii="Verdana" w:hAnsi="Verdana" w:eastAsia="Times New Roman" w:cs="Calibri"/>
                <w:bCs/>
                <w:color w:val="000000"/>
                <w:sz w:val="18"/>
                <w:szCs w:val="18"/>
                <w:lang w:eastAsia="nl-NL"/>
              </w:rPr>
            </w:pPr>
          </w:p>
        </w:tc>
        <w:tc>
          <w:tcPr>
            <w:tcW w:w="976" w:type="dxa"/>
            <w:tcBorders>
              <w:top w:val="nil"/>
              <w:left w:val="nil"/>
              <w:right w:val="nil"/>
            </w:tcBorders>
            <w:shd w:val="clear" w:color="auto" w:fill="auto"/>
            <w:noWrap/>
            <w:vAlign w:val="center"/>
            <w:hideMark/>
          </w:tcPr>
          <w:p w:rsidRPr="00C5308E" w:rsidR="009835CB" w:rsidP="00D87753" w:rsidRDefault="009835CB" w14:paraId="6A338BB5"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right w:val="nil"/>
            </w:tcBorders>
            <w:shd w:val="clear" w:color="auto" w:fill="auto"/>
            <w:noWrap/>
            <w:vAlign w:val="center"/>
            <w:hideMark/>
          </w:tcPr>
          <w:p w:rsidRPr="00C5308E" w:rsidR="009835CB" w:rsidP="00D87753" w:rsidRDefault="009835CB" w14:paraId="5683A09B"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right w:val="nil"/>
            </w:tcBorders>
            <w:shd w:val="clear" w:color="auto" w:fill="auto"/>
            <w:noWrap/>
            <w:vAlign w:val="center"/>
            <w:hideMark/>
          </w:tcPr>
          <w:p w:rsidRPr="00C5308E" w:rsidR="009835CB" w:rsidP="00D87753" w:rsidRDefault="009835CB" w14:paraId="12B52BD5" w14:textId="77777777">
            <w:pPr>
              <w:spacing w:line="240" w:lineRule="auto"/>
              <w:contextualSpacing/>
              <w:rPr>
                <w:rFonts w:ascii="Verdana" w:hAnsi="Verdana" w:eastAsia="Times New Roman" w:cs="Times New Roman"/>
                <w:bCs/>
                <w:sz w:val="18"/>
                <w:szCs w:val="18"/>
                <w:lang w:eastAsia="nl-NL"/>
              </w:rPr>
            </w:pPr>
          </w:p>
        </w:tc>
        <w:tc>
          <w:tcPr>
            <w:tcW w:w="976" w:type="dxa"/>
            <w:tcBorders>
              <w:top w:val="nil"/>
              <w:left w:val="nil"/>
              <w:right w:val="nil"/>
            </w:tcBorders>
            <w:shd w:val="clear" w:color="auto" w:fill="auto"/>
            <w:noWrap/>
            <w:vAlign w:val="center"/>
            <w:hideMark/>
          </w:tcPr>
          <w:p w:rsidRPr="00C5308E" w:rsidR="009835CB" w:rsidP="00D87753" w:rsidRDefault="009835CB" w14:paraId="4B5F55D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46,0</w:t>
            </w:r>
          </w:p>
        </w:tc>
        <w:tc>
          <w:tcPr>
            <w:tcW w:w="976" w:type="dxa"/>
            <w:tcBorders>
              <w:top w:val="nil"/>
              <w:left w:val="nil"/>
              <w:right w:val="nil"/>
            </w:tcBorders>
            <w:shd w:val="clear" w:color="auto" w:fill="auto"/>
            <w:noWrap/>
            <w:vAlign w:val="center"/>
            <w:hideMark/>
          </w:tcPr>
          <w:p w:rsidRPr="00C5308E" w:rsidR="009835CB" w:rsidP="00D87753" w:rsidRDefault="009835CB" w14:paraId="236CA2D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65,0</w:t>
            </w:r>
          </w:p>
        </w:tc>
      </w:tr>
      <w:tr w:rsidRPr="00C5308E" w:rsidR="009835CB" w:rsidTr="003C75FE" w14:paraId="5F704F25" w14:textId="77777777">
        <w:trPr>
          <w:trHeight w:val="290"/>
        </w:trPr>
        <w:tc>
          <w:tcPr>
            <w:tcW w:w="3172" w:type="dxa"/>
            <w:tcBorders>
              <w:top w:val="single" w:color="auto" w:sz="4" w:space="0"/>
              <w:left w:val="nil"/>
              <w:bottom w:val="nil"/>
              <w:right w:val="nil"/>
            </w:tcBorders>
            <w:shd w:val="clear" w:color="auto" w:fill="auto"/>
            <w:noWrap/>
            <w:vAlign w:val="center"/>
            <w:hideMark/>
          </w:tcPr>
          <w:p w:rsidRPr="00C5308E" w:rsidR="009835CB" w:rsidP="00D87753" w:rsidRDefault="009835CB" w14:paraId="1641C9C4" w14:textId="77777777">
            <w:pPr>
              <w:spacing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 (netto-uitgaven)</w:t>
            </w:r>
          </w:p>
        </w:tc>
        <w:tc>
          <w:tcPr>
            <w:tcW w:w="975" w:type="dxa"/>
            <w:tcBorders>
              <w:top w:val="single" w:color="auto" w:sz="4" w:space="0"/>
              <w:left w:val="nil"/>
              <w:bottom w:val="nil"/>
              <w:right w:val="nil"/>
            </w:tcBorders>
            <w:shd w:val="clear" w:color="auto" w:fill="auto"/>
            <w:noWrap/>
            <w:vAlign w:val="center"/>
            <w:hideMark/>
          </w:tcPr>
          <w:p w:rsidRPr="00C5308E" w:rsidR="009835CB" w:rsidP="00D87753" w:rsidRDefault="009835CB" w14:paraId="74E62191"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19,2</w:t>
            </w:r>
          </w:p>
        </w:tc>
        <w:tc>
          <w:tcPr>
            <w:tcW w:w="976" w:type="dxa"/>
            <w:tcBorders>
              <w:top w:val="single" w:color="auto" w:sz="4" w:space="0"/>
              <w:left w:val="nil"/>
              <w:bottom w:val="nil"/>
              <w:right w:val="nil"/>
            </w:tcBorders>
            <w:shd w:val="clear" w:color="auto" w:fill="auto"/>
            <w:noWrap/>
            <w:vAlign w:val="center"/>
            <w:hideMark/>
          </w:tcPr>
          <w:p w:rsidRPr="00C5308E" w:rsidR="009835CB" w:rsidP="00D87753" w:rsidRDefault="009835CB" w14:paraId="3BA2AED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292,1</w:t>
            </w:r>
          </w:p>
        </w:tc>
        <w:tc>
          <w:tcPr>
            <w:tcW w:w="976" w:type="dxa"/>
            <w:tcBorders>
              <w:top w:val="single" w:color="auto" w:sz="4" w:space="0"/>
              <w:left w:val="nil"/>
              <w:bottom w:val="nil"/>
              <w:right w:val="nil"/>
            </w:tcBorders>
            <w:shd w:val="clear" w:color="auto" w:fill="auto"/>
            <w:noWrap/>
            <w:vAlign w:val="center"/>
            <w:hideMark/>
          </w:tcPr>
          <w:p w:rsidRPr="00C5308E" w:rsidR="009835CB" w:rsidP="00D87753" w:rsidRDefault="009835CB" w14:paraId="6B19343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832,5</w:t>
            </w:r>
          </w:p>
        </w:tc>
        <w:tc>
          <w:tcPr>
            <w:tcW w:w="976" w:type="dxa"/>
            <w:tcBorders>
              <w:top w:val="single" w:color="auto" w:sz="4" w:space="0"/>
              <w:left w:val="nil"/>
              <w:bottom w:val="nil"/>
              <w:right w:val="nil"/>
            </w:tcBorders>
            <w:shd w:val="clear" w:color="auto" w:fill="auto"/>
            <w:noWrap/>
            <w:vAlign w:val="center"/>
            <w:hideMark/>
          </w:tcPr>
          <w:p w:rsidRPr="00C5308E" w:rsidR="009835CB" w:rsidP="00D87753" w:rsidRDefault="009835CB" w14:paraId="40F4BC81"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1.039,2</w:t>
            </w:r>
          </w:p>
        </w:tc>
        <w:tc>
          <w:tcPr>
            <w:tcW w:w="976" w:type="dxa"/>
            <w:tcBorders>
              <w:top w:val="single" w:color="auto" w:sz="4" w:space="0"/>
              <w:left w:val="nil"/>
              <w:bottom w:val="nil"/>
              <w:right w:val="nil"/>
            </w:tcBorders>
            <w:shd w:val="clear" w:color="auto" w:fill="auto"/>
            <w:noWrap/>
            <w:vAlign w:val="center"/>
            <w:hideMark/>
          </w:tcPr>
          <w:p w:rsidRPr="00C5308E" w:rsidR="009835CB" w:rsidP="00D87753" w:rsidRDefault="009835CB" w14:paraId="07F08665"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472,1</w:t>
            </w:r>
          </w:p>
        </w:tc>
        <w:tc>
          <w:tcPr>
            <w:tcW w:w="976" w:type="dxa"/>
            <w:tcBorders>
              <w:top w:val="single" w:color="auto" w:sz="4" w:space="0"/>
              <w:left w:val="nil"/>
              <w:bottom w:val="nil"/>
              <w:right w:val="nil"/>
            </w:tcBorders>
            <w:shd w:val="clear" w:color="auto" w:fill="auto"/>
            <w:noWrap/>
            <w:vAlign w:val="center"/>
            <w:hideMark/>
          </w:tcPr>
          <w:p w:rsidRPr="00C5308E" w:rsidR="009835CB" w:rsidP="00D87753" w:rsidRDefault="009835CB" w14:paraId="316088E4"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209,2</w:t>
            </w:r>
          </w:p>
        </w:tc>
      </w:tr>
      <w:tr w:rsidRPr="00C5308E" w:rsidR="009835CB" w:rsidTr="003C75FE" w14:paraId="1BEFD1E7" w14:textId="77777777">
        <w:trPr>
          <w:trHeight w:val="290"/>
        </w:trPr>
        <w:tc>
          <w:tcPr>
            <w:tcW w:w="3172" w:type="dxa"/>
            <w:tcBorders>
              <w:left w:val="nil"/>
              <w:bottom w:val="single" w:color="auto" w:sz="4" w:space="0"/>
              <w:right w:val="nil"/>
            </w:tcBorders>
            <w:shd w:val="clear" w:color="auto" w:fill="auto"/>
            <w:noWrap/>
            <w:vAlign w:val="center"/>
          </w:tcPr>
          <w:p w:rsidRPr="00C5308E" w:rsidR="009835CB" w:rsidP="00D87753" w:rsidRDefault="009835CB" w14:paraId="729920BF" w14:textId="77777777">
            <w:pPr>
              <w:spacing w:line="240" w:lineRule="auto"/>
              <w:contextualSpacing/>
              <w:rPr>
                <w:rFonts w:ascii="Verdana" w:hAnsi="Verdana" w:eastAsia="Times New Roman" w:cs="Calibri"/>
                <w:bCs/>
                <w:color w:val="000000"/>
                <w:sz w:val="18"/>
                <w:szCs w:val="18"/>
                <w:lang w:eastAsia="nl-NL"/>
              </w:rPr>
            </w:pPr>
          </w:p>
        </w:tc>
        <w:tc>
          <w:tcPr>
            <w:tcW w:w="975" w:type="dxa"/>
            <w:tcBorders>
              <w:left w:val="nil"/>
              <w:bottom w:val="single" w:color="auto" w:sz="4" w:space="0"/>
              <w:right w:val="nil"/>
            </w:tcBorders>
            <w:shd w:val="clear" w:color="auto" w:fill="auto"/>
            <w:noWrap/>
            <w:vAlign w:val="center"/>
          </w:tcPr>
          <w:p w:rsidRPr="00C5308E" w:rsidR="009835CB" w:rsidP="00D87753" w:rsidRDefault="009835CB" w14:paraId="778A2536"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center"/>
          </w:tcPr>
          <w:p w:rsidRPr="00C5308E" w:rsidR="009835CB" w:rsidP="00D87753" w:rsidRDefault="009835CB" w14:paraId="09C28321"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center"/>
          </w:tcPr>
          <w:p w:rsidRPr="00C5308E" w:rsidR="009835CB" w:rsidP="00D87753" w:rsidRDefault="009835CB" w14:paraId="062D3BDE"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center"/>
          </w:tcPr>
          <w:p w:rsidRPr="00C5308E" w:rsidR="009835CB" w:rsidP="00D87753" w:rsidRDefault="009835CB" w14:paraId="105E73F1"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center"/>
          </w:tcPr>
          <w:p w:rsidRPr="00C5308E" w:rsidR="009835CB" w:rsidP="00D87753" w:rsidRDefault="009835CB" w14:paraId="1292922F" w14:textId="77777777">
            <w:pPr>
              <w:spacing w:line="240" w:lineRule="auto"/>
              <w:contextualSpacing/>
              <w:jc w:val="right"/>
              <w:rPr>
                <w:rFonts w:ascii="Verdana" w:hAnsi="Verdana" w:eastAsia="Times New Roman" w:cs="Calibri"/>
                <w:bCs/>
                <w:color w:val="000000"/>
                <w:sz w:val="18"/>
                <w:szCs w:val="18"/>
                <w:lang w:eastAsia="nl-NL"/>
              </w:rPr>
            </w:pPr>
          </w:p>
        </w:tc>
        <w:tc>
          <w:tcPr>
            <w:tcW w:w="976" w:type="dxa"/>
            <w:tcBorders>
              <w:left w:val="nil"/>
              <w:bottom w:val="single" w:color="auto" w:sz="4" w:space="0"/>
              <w:right w:val="nil"/>
            </w:tcBorders>
            <w:shd w:val="clear" w:color="auto" w:fill="auto"/>
            <w:noWrap/>
            <w:vAlign w:val="center"/>
          </w:tcPr>
          <w:p w:rsidRPr="00C5308E" w:rsidR="009835CB" w:rsidP="00D87753" w:rsidRDefault="009835CB" w14:paraId="1BFEE04E" w14:textId="77777777">
            <w:pPr>
              <w:spacing w:line="240" w:lineRule="auto"/>
              <w:contextualSpacing/>
              <w:jc w:val="right"/>
              <w:rPr>
                <w:rFonts w:ascii="Verdana" w:hAnsi="Verdana" w:eastAsia="Times New Roman" w:cs="Calibri"/>
                <w:bCs/>
                <w:color w:val="000000"/>
                <w:sz w:val="18"/>
                <w:szCs w:val="18"/>
                <w:lang w:eastAsia="nl-NL"/>
              </w:rPr>
            </w:pPr>
          </w:p>
        </w:tc>
      </w:tr>
      <w:tr w:rsidRPr="00C5308E" w:rsidR="009835CB" w:rsidTr="003C75FE" w14:paraId="74952C3A" w14:textId="77777777">
        <w:trPr>
          <w:trHeight w:val="290"/>
        </w:trPr>
        <w:tc>
          <w:tcPr>
            <w:tcW w:w="3172"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5A543BEB" w14:textId="77777777">
            <w:pPr>
              <w:spacing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 afgerond</w:t>
            </w:r>
          </w:p>
        </w:tc>
        <w:tc>
          <w:tcPr>
            <w:tcW w:w="975"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6C8B9EA1"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976"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435174C8"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300</w:t>
            </w:r>
          </w:p>
        </w:tc>
        <w:tc>
          <w:tcPr>
            <w:tcW w:w="976"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26FA04E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800</w:t>
            </w:r>
          </w:p>
        </w:tc>
        <w:tc>
          <w:tcPr>
            <w:tcW w:w="976"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609A1EFA"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1.000</w:t>
            </w:r>
          </w:p>
        </w:tc>
        <w:tc>
          <w:tcPr>
            <w:tcW w:w="976"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13A3449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500</w:t>
            </w:r>
          </w:p>
        </w:tc>
        <w:tc>
          <w:tcPr>
            <w:tcW w:w="976" w:type="dxa"/>
            <w:tcBorders>
              <w:left w:val="nil"/>
              <w:bottom w:val="single" w:color="auto" w:sz="4" w:space="0"/>
              <w:right w:val="nil"/>
            </w:tcBorders>
            <w:shd w:val="clear" w:color="auto" w:fill="FFE599" w:themeFill="accent4" w:themeFillTint="66"/>
            <w:noWrap/>
            <w:vAlign w:val="center"/>
          </w:tcPr>
          <w:p w:rsidRPr="00C5308E" w:rsidR="009835CB" w:rsidP="00D87753" w:rsidRDefault="009835CB" w14:paraId="798B6B0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200</w:t>
            </w:r>
          </w:p>
        </w:tc>
      </w:tr>
    </w:tbl>
    <w:p w:rsidRPr="00C5308E" w:rsidR="009835CB" w:rsidP="00D87753" w:rsidRDefault="009835CB" w14:paraId="19CE9AB1" w14:textId="77777777">
      <w:pPr>
        <w:spacing w:line="240" w:lineRule="auto"/>
        <w:contextualSpacing/>
        <w:rPr>
          <w:rFonts w:ascii="Verdana" w:hAnsi="Verdana"/>
          <w:bCs/>
          <w:sz w:val="16"/>
          <w:szCs w:val="16"/>
        </w:rPr>
      </w:pPr>
      <w:r w:rsidRPr="00C5308E">
        <w:rPr>
          <w:rFonts w:ascii="Verdana" w:hAnsi="Verdana"/>
          <w:bCs/>
          <w:sz w:val="16"/>
          <w:szCs w:val="16"/>
          <w:vertAlign w:val="superscript"/>
        </w:rPr>
        <w:t>1</w:t>
      </w:r>
      <w:r w:rsidRPr="00C5308E">
        <w:rPr>
          <w:rFonts w:ascii="Verdana" w:hAnsi="Verdana"/>
          <w:bCs/>
          <w:sz w:val="16"/>
          <w:szCs w:val="16"/>
        </w:rPr>
        <w:t xml:space="preserve"> Gelijk aan reeks 10 in tabel 3 van de 1</w:t>
      </w:r>
      <w:r w:rsidRPr="00C5308E">
        <w:rPr>
          <w:rFonts w:ascii="Verdana" w:hAnsi="Verdana"/>
          <w:bCs/>
          <w:sz w:val="16"/>
          <w:szCs w:val="16"/>
          <w:vertAlign w:val="superscript"/>
        </w:rPr>
        <w:t>e</w:t>
      </w:r>
      <w:r w:rsidRPr="00C5308E">
        <w:rPr>
          <w:rFonts w:ascii="Verdana" w:hAnsi="Verdana"/>
          <w:bCs/>
          <w:sz w:val="16"/>
          <w:szCs w:val="16"/>
        </w:rPr>
        <w:t xml:space="preserve"> suppletoire begroting SZW</w:t>
      </w:r>
      <w:r w:rsidRPr="00C5308E">
        <w:rPr>
          <w:rFonts w:ascii="Verdana" w:hAnsi="Verdana"/>
          <w:bCs/>
          <w:sz w:val="16"/>
          <w:szCs w:val="16"/>
        </w:rPr>
        <w:br/>
      </w:r>
      <w:r w:rsidRPr="00C5308E">
        <w:rPr>
          <w:rFonts w:ascii="Verdana" w:hAnsi="Verdana"/>
          <w:bCs/>
          <w:sz w:val="16"/>
          <w:szCs w:val="16"/>
          <w:vertAlign w:val="superscript"/>
        </w:rPr>
        <w:t>2</w:t>
      </w:r>
      <w:r w:rsidRPr="00C5308E">
        <w:rPr>
          <w:rFonts w:ascii="Verdana" w:hAnsi="Verdana"/>
          <w:bCs/>
          <w:sz w:val="16"/>
          <w:szCs w:val="16"/>
        </w:rPr>
        <w:t xml:space="preserve"> De hogere ontvangsten zijn in de tabel weergegeven als lagere uitgaven.</w:t>
      </w:r>
    </w:p>
    <w:p w:rsidRPr="00C5308E" w:rsidR="0056088B" w:rsidP="00D87753" w:rsidRDefault="0056088B" w14:paraId="7A60CC6B" w14:textId="77777777">
      <w:pPr>
        <w:spacing w:line="240" w:lineRule="auto"/>
        <w:contextualSpacing/>
        <w:rPr>
          <w:rFonts w:ascii="Verdana" w:hAnsi="Verdana"/>
          <w:bCs/>
          <w:sz w:val="18"/>
          <w:szCs w:val="18"/>
        </w:rPr>
      </w:pPr>
    </w:p>
    <w:p w:rsidRPr="00C5308E" w:rsidR="009835CB" w:rsidP="00D87753" w:rsidRDefault="009835CB" w14:paraId="26114840" w14:textId="2DC50515">
      <w:pPr>
        <w:spacing w:line="240" w:lineRule="auto"/>
        <w:contextualSpacing/>
        <w:rPr>
          <w:rFonts w:ascii="Verdana" w:hAnsi="Verdana"/>
          <w:bCs/>
          <w:sz w:val="18"/>
          <w:szCs w:val="18"/>
        </w:rPr>
      </w:pPr>
      <w:r w:rsidRPr="00C5308E">
        <w:rPr>
          <w:rFonts w:ascii="Verdana" w:hAnsi="Verdana"/>
          <w:bCs/>
          <w:sz w:val="18"/>
          <w:szCs w:val="18"/>
        </w:rPr>
        <w:t>Het op honderden miljoenen afgeronde totaalbedrag komt voor alle jaren overeen met reeks 30 in tabel 5 van de Voorjaarsnota.</w:t>
      </w:r>
    </w:p>
    <w:p w:rsidR="0056088B" w:rsidP="00D87753" w:rsidRDefault="0056088B" w14:paraId="1A60F951" w14:textId="77777777">
      <w:pPr>
        <w:spacing w:after="0" w:line="240" w:lineRule="auto"/>
        <w:contextualSpacing/>
        <w:rPr>
          <w:rFonts w:ascii="Verdana" w:hAnsi="Verdana"/>
          <w:bCs/>
          <w:sz w:val="18"/>
          <w:szCs w:val="18"/>
          <w:u w:val="single"/>
        </w:rPr>
      </w:pPr>
    </w:p>
    <w:p w:rsidRPr="00C5308E" w:rsidR="00972542" w:rsidP="00D87753" w:rsidRDefault="00972542" w14:paraId="43EE47CE" w14:textId="77777777">
      <w:pPr>
        <w:spacing w:after="0" w:line="240" w:lineRule="auto"/>
        <w:contextualSpacing/>
        <w:rPr>
          <w:rFonts w:ascii="Verdana" w:hAnsi="Verdana"/>
          <w:bCs/>
          <w:sz w:val="18"/>
          <w:szCs w:val="18"/>
          <w:u w:val="single"/>
        </w:rPr>
      </w:pPr>
    </w:p>
    <w:p w:rsidRPr="00C5308E" w:rsidR="009835CB" w:rsidP="00D87753" w:rsidRDefault="009835CB" w14:paraId="6523F560" w14:textId="6E6456C0">
      <w:pPr>
        <w:spacing w:after="0" w:line="240" w:lineRule="auto"/>
        <w:contextualSpacing/>
        <w:rPr>
          <w:rFonts w:ascii="Verdana" w:hAnsi="Verdana"/>
          <w:bCs/>
          <w:sz w:val="18"/>
          <w:szCs w:val="18"/>
        </w:rPr>
      </w:pPr>
      <w:r w:rsidRPr="00C5308E">
        <w:rPr>
          <w:rFonts w:ascii="Verdana" w:hAnsi="Verdana"/>
          <w:bCs/>
          <w:sz w:val="18"/>
          <w:szCs w:val="18"/>
          <w:u w:val="single"/>
        </w:rPr>
        <w:lastRenderedPageBreak/>
        <w:t>Vraag 76</w:t>
      </w:r>
    </w:p>
    <w:p w:rsidRPr="00C5308E" w:rsidR="009835CB" w:rsidP="00D87753" w:rsidRDefault="009835CB" w14:paraId="3F144706" w14:textId="2607B957">
      <w:pPr>
        <w:spacing w:line="240" w:lineRule="auto"/>
        <w:contextualSpacing/>
        <w:rPr>
          <w:rFonts w:ascii="Verdana" w:hAnsi="Verdana"/>
          <w:bCs/>
          <w:sz w:val="18"/>
          <w:szCs w:val="18"/>
        </w:rPr>
      </w:pPr>
      <w:r w:rsidRPr="00C5308E">
        <w:rPr>
          <w:rFonts w:ascii="Verdana" w:hAnsi="Verdana"/>
          <w:bCs/>
          <w:sz w:val="18"/>
          <w:szCs w:val="18"/>
        </w:rPr>
        <w:t>Waarom heeft de reeks kinderopvang al betrekking op jaren voor 2027?</w:t>
      </w:r>
    </w:p>
    <w:p w:rsidRPr="00C5308E" w:rsidR="0056088B" w:rsidP="00D87753" w:rsidRDefault="0056088B" w14:paraId="37EBEED9" w14:textId="77777777">
      <w:pPr>
        <w:spacing w:after="0" w:line="240" w:lineRule="auto"/>
        <w:contextualSpacing/>
        <w:rPr>
          <w:rFonts w:ascii="Verdana" w:hAnsi="Verdana"/>
          <w:bCs/>
          <w:sz w:val="18"/>
          <w:szCs w:val="18"/>
          <w:u w:val="single"/>
        </w:rPr>
      </w:pPr>
    </w:p>
    <w:p w:rsidRPr="00C5308E" w:rsidR="009835CB" w:rsidP="00D87753" w:rsidRDefault="009835CB" w14:paraId="07F58674" w14:textId="15494BC1">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76</w:t>
      </w:r>
    </w:p>
    <w:p w:rsidRPr="00C5308E" w:rsidR="009835CB" w:rsidP="00D87753" w:rsidRDefault="009835CB" w14:paraId="7133B860" w14:textId="77777777">
      <w:pPr>
        <w:spacing w:line="240" w:lineRule="auto"/>
        <w:contextualSpacing/>
        <w:rPr>
          <w:rFonts w:ascii="Verdana" w:hAnsi="Verdana"/>
          <w:bCs/>
          <w:sz w:val="18"/>
          <w:szCs w:val="18"/>
        </w:rPr>
      </w:pPr>
      <w:r w:rsidRPr="00C5308E">
        <w:rPr>
          <w:rFonts w:ascii="Verdana" w:hAnsi="Verdana"/>
          <w:bCs/>
          <w:sz w:val="18"/>
          <w:szCs w:val="18"/>
        </w:rPr>
        <w:t>In de beantwoording van deze vraag is verondersteld dat wordt verwezen naar tabel 3 van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SZW (reeks 9), oftewel onderstaande reeks:</w:t>
      </w:r>
    </w:p>
    <w:p w:rsidRPr="00C5308E" w:rsidR="00B504A7" w:rsidP="00D87753" w:rsidRDefault="00B504A7" w14:paraId="034CBE5A" w14:textId="77777777">
      <w:pPr>
        <w:spacing w:line="240" w:lineRule="auto"/>
        <w:contextualSpacing/>
        <w:rPr>
          <w:rFonts w:ascii="Verdana" w:hAnsi="Verdana"/>
          <w:bCs/>
          <w:sz w:val="18"/>
          <w:szCs w:val="18"/>
        </w:rPr>
      </w:pPr>
    </w:p>
    <w:tbl>
      <w:tblPr>
        <w:tblW w:w="0" w:type="auto"/>
        <w:tblCellMar>
          <w:left w:w="70" w:type="dxa"/>
          <w:right w:w="70" w:type="dxa"/>
        </w:tblCellMar>
        <w:tblLook w:val="04A0" w:firstRow="1" w:lastRow="0" w:firstColumn="1" w:lastColumn="0" w:noHBand="0" w:noVBand="1"/>
      </w:tblPr>
      <w:tblGrid>
        <w:gridCol w:w="2948"/>
        <w:gridCol w:w="976"/>
        <w:gridCol w:w="976"/>
        <w:gridCol w:w="976"/>
        <w:gridCol w:w="976"/>
        <w:gridCol w:w="976"/>
        <w:gridCol w:w="976"/>
      </w:tblGrid>
      <w:tr w:rsidRPr="00C5308E" w:rsidR="009835CB" w:rsidTr="003C75FE" w14:paraId="2A25751E" w14:textId="77777777">
        <w:trPr>
          <w:trHeight w:val="290"/>
        </w:trPr>
        <w:tc>
          <w:tcPr>
            <w:tcW w:w="2948"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68352978" w14:textId="4EDDF014">
            <w:pPr>
              <w:spacing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 xml:space="preserve"> Bedragen </w:t>
            </w:r>
            <w:r w:rsidRPr="00C5308E" w:rsidR="0031642E">
              <w:rPr>
                <w:rFonts w:ascii="Verdana" w:hAnsi="Verdana" w:cs="Times New Roman"/>
                <w:i/>
                <w:iCs/>
                <w:sz w:val="18"/>
                <w:szCs w:val="18"/>
              </w:rPr>
              <w:t>x € 1 mln.</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5A84BE54"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31867F46"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0FCD6358"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5568E250"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33BEEB82"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76" w:type="dxa"/>
            <w:tcBorders>
              <w:top w:val="single" w:color="auto" w:sz="4" w:space="0"/>
              <w:left w:val="nil"/>
              <w:bottom w:val="single" w:color="auto" w:sz="4" w:space="0"/>
              <w:right w:val="nil"/>
            </w:tcBorders>
            <w:shd w:val="clear" w:color="auto" w:fill="E7E6E6" w:themeFill="background2"/>
            <w:noWrap/>
            <w:vAlign w:val="bottom"/>
            <w:hideMark/>
          </w:tcPr>
          <w:p w:rsidRPr="00C5308E" w:rsidR="009835CB" w:rsidP="00D87753" w:rsidRDefault="009835CB" w14:paraId="3E5DA8E7"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2030</w:t>
            </w:r>
          </w:p>
        </w:tc>
      </w:tr>
      <w:tr w:rsidRPr="00C5308E" w:rsidR="009835CB" w:rsidTr="003C75FE" w14:paraId="2F0302F0" w14:textId="77777777">
        <w:trPr>
          <w:trHeight w:val="290"/>
        </w:trPr>
        <w:tc>
          <w:tcPr>
            <w:tcW w:w="2948"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7A0AD982" w14:textId="77777777">
            <w:pPr>
              <w:spacing w:line="240" w:lineRule="auto"/>
              <w:contextualSpacing/>
              <w:rPr>
                <w:rFonts w:ascii="Verdana" w:hAnsi="Verdana" w:eastAsia="Times New Roman" w:cs="Calibri"/>
                <w:bCs/>
                <w:color w:val="000000"/>
                <w:sz w:val="18"/>
                <w:szCs w:val="18"/>
                <w:vertAlign w:val="superscript"/>
                <w:lang w:eastAsia="nl-NL"/>
              </w:rPr>
            </w:pPr>
            <w:r w:rsidRPr="00C5308E">
              <w:rPr>
                <w:rFonts w:ascii="Verdana" w:hAnsi="Verdana" w:eastAsia="Times New Roman" w:cs="Calibri"/>
                <w:bCs/>
                <w:color w:val="000000"/>
                <w:sz w:val="18"/>
                <w:szCs w:val="18"/>
                <w:lang w:eastAsia="nl-NL"/>
              </w:rPr>
              <w:t>Invoering nieuwe financiering kinderopvang per 2029</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0D4759B9"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-38,3</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0549CDAD"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-611,6</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7B64138D"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-2.168,9</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494F00C8"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-1.742,9</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76DDDC88"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-155,7</w:t>
            </w:r>
          </w:p>
        </w:tc>
        <w:tc>
          <w:tcPr>
            <w:tcW w:w="976" w:type="dxa"/>
            <w:tcBorders>
              <w:top w:val="single" w:color="auto" w:sz="4" w:space="0"/>
              <w:left w:val="nil"/>
              <w:bottom w:val="single" w:color="auto" w:sz="4" w:space="0"/>
              <w:right w:val="nil"/>
            </w:tcBorders>
            <w:shd w:val="clear" w:color="auto" w:fill="auto"/>
            <w:noWrap/>
            <w:vAlign w:val="bottom"/>
            <w:hideMark/>
          </w:tcPr>
          <w:p w:rsidRPr="00C5308E" w:rsidR="009835CB" w:rsidP="00D87753" w:rsidRDefault="009835CB" w14:paraId="3862527B" w14:textId="77777777">
            <w:pPr>
              <w:spacing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-47,3</w:t>
            </w:r>
          </w:p>
        </w:tc>
      </w:tr>
    </w:tbl>
    <w:p w:rsidRPr="00C5308E" w:rsidR="009835CB" w:rsidP="00D87753" w:rsidRDefault="009835CB" w14:paraId="21948B41" w14:textId="77777777">
      <w:pPr>
        <w:spacing w:line="240" w:lineRule="auto"/>
        <w:contextualSpacing/>
        <w:rPr>
          <w:rFonts w:ascii="Verdana" w:hAnsi="Verdana"/>
          <w:bCs/>
          <w:sz w:val="18"/>
          <w:szCs w:val="18"/>
        </w:rPr>
      </w:pPr>
    </w:p>
    <w:p w:rsidRPr="00C5308E" w:rsidR="009835CB" w:rsidP="00D87753" w:rsidRDefault="009835CB" w14:paraId="5AAEFCD3" w14:textId="77777777">
      <w:pPr>
        <w:spacing w:line="240" w:lineRule="auto"/>
        <w:contextualSpacing/>
        <w:rPr>
          <w:rFonts w:ascii="Verdana" w:hAnsi="Verdana"/>
          <w:bCs/>
          <w:sz w:val="18"/>
          <w:szCs w:val="18"/>
        </w:rPr>
      </w:pPr>
      <w:r w:rsidRPr="00C5308E">
        <w:rPr>
          <w:rFonts w:ascii="Verdana" w:hAnsi="Verdana"/>
          <w:bCs/>
          <w:sz w:val="18"/>
          <w:szCs w:val="18"/>
        </w:rPr>
        <w:t>Bovengenoemde reeks heeft betrekking op de vrijval als gevolg van de invoering van het nieuwe kinderopvangstelsel per 2029 in plaats van 2027. De vrijval is berekend op basis van een vormgeving waarin het eerder beoogde ingroeipad vanaf 2026 met twee jaar zou opschuiven. Daarnaast is er rekening mee gehouden dat ouders de kinderopvangtoeslag voor de maand januari reeds in december van het voorafgaande jaar ontvangen. Om deze redenen heeft reeks 9 ook betrekking op de jaren 2025 en 2026.</w:t>
      </w:r>
    </w:p>
    <w:p w:rsidRPr="00C5308E" w:rsidR="00D639F0" w:rsidP="00D87753" w:rsidRDefault="00D639F0" w14:paraId="6C8B148F" w14:textId="77777777">
      <w:pPr>
        <w:spacing w:after="0" w:line="240" w:lineRule="auto"/>
        <w:contextualSpacing/>
        <w:rPr>
          <w:rFonts w:ascii="Verdana" w:hAnsi="Verdana"/>
          <w:bCs/>
          <w:sz w:val="18"/>
          <w:szCs w:val="18"/>
        </w:rPr>
      </w:pPr>
    </w:p>
    <w:p w:rsidRPr="00C5308E" w:rsidR="00D639F0" w:rsidP="00D87753" w:rsidRDefault="00D639F0" w14:paraId="51EA55E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77</w:t>
      </w:r>
    </w:p>
    <w:p w:rsidRPr="00C5308E" w:rsidR="00D639F0" w:rsidP="00D87753" w:rsidRDefault="00D639F0" w14:paraId="25EF671A" w14:textId="77777777">
      <w:pPr>
        <w:spacing w:after="0" w:line="240" w:lineRule="auto"/>
        <w:contextualSpacing/>
        <w:rPr>
          <w:rFonts w:ascii="Verdana" w:hAnsi="Verdana"/>
          <w:bCs/>
          <w:sz w:val="18"/>
          <w:szCs w:val="18"/>
        </w:rPr>
      </w:pPr>
      <w:r w:rsidRPr="00C5308E">
        <w:rPr>
          <w:rFonts w:ascii="Verdana" w:hAnsi="Verdana"/>
          <w:bCs/>
          <w:sz w:val="18"/>
          <w:szCs w:val="18"/>
        </w:rPr>
        <w:t>Waarom zijn de reeksen 17 en 18 in de plus en niet in de min?</w:t>
      </w:r>
    </w:p>
    <w:p w:rsidRPr="00C5308E" w:rsidR="00D639F0" w:rsidP="00D87753" w:rsidRDefault="00D639F0" w14:paraId="6C53172D" w14:textId="77777777">
      <w:pPr>
        <w:spacing w:after="0" w:line="240" w:lineRule="auto"/>
        <w:contextualSpacing/>
        <w:rPr>
          <w:rFonts w:ascii="Verdana" w:hAnsi="Verdana"/>
          <w:bCs/>
          <w:sz w:val="18"/>
          <w:szCs w:val="18"/>
        </w:rPr>
      </w:pPr>
    </w:p>
    <w:p w:rsidRPr="00C5308E" w:rsidR="00D639F0" w:rsidP="00D87753" w:rsidRDefault="00D639F0" w14:paraId="4AAD052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77</w:t>
      </w:r>
    </w:p>
    <w:p w:rsidRPr="00C5308E" w:rsidR="00D639F0" w:rsidP="00D87753" w:rsidRDefault="00D639F0" w14:paraId="6AAC2B25" w14:textId="77777777">
      <w:pPr>
        <w:spacing w:after="0" w:line="240" w:lineRule="auto"/>
        <w:contextualSpacing/>
        <w:rPr>
          <w:rFonts w:ascii="Verdana" w:hAnsi="Verdana"/>
          <w:bCs/>
          <w:sz w:val="18"/>
          <w:szCs w:val="18"/>
        </w:rPr>
      </w:pPr>
      <w:r w:rsidRPr="00C5308E">
        <w:rPr>
          <w:rFonts w:ascii="Verdana" w:hAnsi="Verdana"/>
          <w:bCs/>
          <w:sz w:val="18"/>
          <w:szCs w:val="18"/>
        </w:rPr>
        <w:t>De oorspronkelijke taakstelling uit het HLA en de taakstelling vanwege dekking voor de OCW-begroting (amendement Bontenbal c.s.) zijn als min-reeks ingeboekt op de begroting van SZW. Dit is gebeurd in respectievelijk de ontwerpbegroting 2025 (‘taakstelling HLA’ op artikel 96) en het amendement op deze begroting (‘taakstelling OCW’ op artikel 99).</w:t>
      </w:r>
    </w:p>
    <w:p w:rsidRPr="00C5308E" w:rsidR="00D639F0" w:rsidP="00D87753" w:rsidRDefault="00D639F0" w14:paraId="6A001330" w14:textId="77777777">
      <w:pPr>
        <w:spacing w:after="0" w:line="240" w:lineRule="auto"/>
        <w:contextualSpacing/>
        <w:rPr>
          <w:rFonts w:ascii="Verdana" w:hAnsi="Verdana"/>
          <w:bCs/>
          <w:sz w:val="18"/>
          <w:szCs w:val="18"/>
        </w:rPr>
      </w:pPr>
      <w:r w:rsidRPr="00C5308E">
        <w:rPr>
          <w:rFonts w:ascii="Verdana" w:hAnsi="Verdana"/>
          <w:bCs/>
          <w:sz w:val="18"/>
          <w:szCs w:val="18"/>
        </w:rPr>
        <w:t>Bij de 1</w:t>
      </w:r>
      <w:r w:rsidRPr="00C5308E">
        <w:rPr>
          <w:rFonts w:ascii="Verdana" w:hAnsi="Verdana"/>
          <w:bCs/>
          <w:sz w:val="18"/>
          <w:szCs w:val="18"/>
          <w:vertAlign w:val="superscript"/>
        </w:rPr>
        <w:t>e</w:t>
      </w:r>
      <w:r w:rsidRPr="00C5308E">
        <w:rPr>
          <w:rFonts w:ascii="Verdana" w:hAnsi="Verdana"/>
          <w:bCs/>
          <w:sz w:val="18"/>
          <w:szCs w:val="18"/>
        </w:rPr>
        <w:t xml:space="preserve"> suppletoire begroting 2025 is een deel van de taakstelling op artikel 96 (Apparaat Kerndepartement) en artikel 99 (Nog onverdeeld) overgeboekt naar artikel 11 (waar de uitvoeringskosten ZBO’s staan).</w:t>
      </w:r>
    </w:p>
    <w:p w:rsidRPr="00C5308E" w:rsidR="00D639F0" w:rsidP="00D87753" w:rsidRDefault="00D639F0" w14:paraId="1FED1618" w14:textId="77777777">
      <w:pPr>
        <w:spacing w:after="0" w:line="240" w:lineRule="auto"/>
        <w:contextualSpacing/>
        <w:rPr>
          <w:rFonts w:ascii="Verdana" w:hAnsi="Verdana"/>
          <w:bCs/>
          <w:sz w:val="18"/>
          <w:szCs w:val="18"/>
        </w:rPr>
      </w:pPr>
      <w:r w:rsidRPr="00C5308E">
        <w:rPr>
          <w:rFonts w:ascii="Verdana" w:hAnsi="Verdana"/>
          <w:bCs/>
          <w:sz w:val="18"/>
          <w:szCs w:val="18"/>
        </w:rPr>
        <w:t>Dit wordt zichtbaar bij de reeksen 17 en 18. Deze reeksen laten zien welk deel van de oorspronkelijke taakstelling wordt ingevuld via een bijdrage van de ZBO’s.</w:t>
      </w:r>
    </w:p>
    <w:p w:rsidRPr="00C5308E" w:rsidR="00D639F0" w:rsidP="00D87753" w:rsidRDefault="00D639F0" w14:paraId="657561A5" w14:textId="1F6FB5FA">
      <w:pPr>
        <w:spacing w:after="0" w:line="240" w:lineRule="auto"/>
        <w:contextualSpacing/>
        <w:rPr>
          <w:rFonts w:ascii="Verdana" w:hAnsi="Verdana"/>
          <w:bCs/>
          <w:sz w:val="18"/>
          <w:szCs w:val="18"/>
        </w:rPr>
      </w:pPr>
      <w:r w:rsidRPr="00C5308E">
        <w:rPr>
          <w:rFonts w:ascii="Verdana" w:hAnsi="Verdana"/>
          <w:bCs/>
          <w:sz w:val="18"/>
          <w:szCs w:val="18"/>
        </w:rPr>
        <w:t xml:space="preserve">Dit leidt tot een plus op artikel 96 en 99 (reeksen 17 en 18) en een (even grote) min op artikel 11. </w:t>
      </w:r>
    </w:p>
    <w:p w:rsidRPr="00C5308E" w:rsidR="00720C2B" w:rsidP="00D87753" w:rsidRDefault="00720C2B" w14:paraId="4FA17F15" w14:textId="77777777">
      <w:pPr>
        <w:spacing w:after="0" w:line="240" w:lineRule="auto"/>
        <w:contextualSpacing/>
        <w:rPr>
          <w:rFonts w:ascii="Verdana" w:hAnsi="Verdana"/>
          <w:bCs/>
          <w:sz w:val="18"/>
          <w:szCs w:val="18"/>
        </w:rPr>
      </w:pPr>
    </w:p>
    <w:p w:rsidRPr="00C5308E" w:rsidR="00720C2B" w:rsidP="00D87753" w:rsidRDefault="00720C2B" w14:paraId="37488EA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78</w:t>
      </w:r>
    </w:p>
    <w:p w:rsidRPr="00C5308E" w:rsidR="00720C2B" w:rsidP="00D87753" w:rsidRDefault="00720C2B" w14:paraId="75968FC9" w14:textId="77777777">
      <w:pPr>
        <w:spacing w:after="0" w:line="240" w:lineRule="auto"/>
        <w:contextualSpacing/>
        <w:rPr>
          <w:rFonts w:ascii="Verdana" w:hAnsi="Verdana"/>
          <w:bCs/>
          <w:sz w:val="18"/>
          <w:szCs w:val="18"/>
        </w:rPr>
      </w:pPr>
      <w:r w:rsidRPr="00C5308E">
        <w:rPr>
          <w:rFonts w:ascii="Verdana" w:hAnsi="Verdana"/>
          <w:bCs/>
          <w:sz w:val="18"/>
          <w:szCs w:val="18"/>
        </w:rPr>
        <w:t>Hoe hoog zijn de totale oninbare vorderingen van de Tĳdelĳke Noodmaatregel Overbrugging voor Werkgelegenheid (NOW)? Hoe verhoudt dit zich tot het bedrag uitgegeven aan de NOW? Verschilt dit per fase van de NOW?</w:t>
      </w:r>
    </w:p>
    <w:p w:rsidRPr="00C5308E" w:rsidR="00720C2B" w:rsidP="00D87753" w:rsidRDefault="00720C2B" w14:paraId="2C170569" w14:textId="77777777">
      <w:pPr>
        <w:spacing w:after="0" w:line="240" w:lineRule="auto"/>
        <w:contextualSpacing/>
        <w:rPr>
          <w:rFonts w:ascii="Verdana" w:hAnsi="Verdana"/>
          <w:bCs/>
          <w:sz w:val="18"/>
          <w:szCs w:val="18"/>
        </w:rPr>
      </w:pPr>
    </w:p>
    <w:p w:rsidRPr="00C5308E" w:rsidR="00720C2B" w:rsidP="00D87753" w:rsidRDefault="00720C2B" w14:paraId="0A375C7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78</w:t>
      </w:r>
    </w:p>
    <w:p w:rsidRPr="00C5308E" w:rsidR="00720C2B" w:rsidP="00D87753" w:rsidRDefault="00720C2B" w14:paraId="35DE8C0B" w14:textId="627F07BF">
      <w:pPr>
        <w:spacing w:after="0" w:line="240" w:lineRule="auto"/>
        <w:contextualSpacing/>
        <w:rPr>
          <w:rFonts w:ascii="Verdana" w:hAnsi="Verdana"/>
          <w:bCs/>
          <w:i/>
          <w:iCs/>
          <w:sz w:val="18"/>
          <w:szCs w:val="18"/>
        </w:rPr>
      </w:pPr>
      <w:r w:rsidRPr="00C5308E">
        <w:rPr>
          <w:rFonts w:ascii="Verdana" w:hAnsi="Verdana"/>
          <w:bCs/>
          <w:i/>
          <w:iCs/>
          <w:sz w:val="18"/>
          <w:szCs w:val="18"/>
        </w:rPr>
        <w:t>Tabel: Oninbare NOW-vorderingen (bedragen x € 1 m</w:t>
      </w:r>
      <w:r w:rsidRPr="00C5308E" w:rsidR="0031642E">
        <w:rPr>
          <w:rFonts w:ascii="Verdana" w:hAnsi="Verdana"/>
          <w:bCs/>
          <w:i/>
          <w:iCs/>
          <w:sz w:val="18"/>
          <w:szCs w:val="18"/>
        </w:rPr>
        <w:t>ln.</w:t>
      </w:r>
      <w:r w:rsidRPr="00C5308E">
        <w:rPr>
          <w:rFonts w:ascii="Verdana" w:hAnsi="Verdana"/>
          <w:bCs/>
          <w:i/>
          <w:iCs/>
          <w:sz w:val="18"/>
          <w:szCs w:val="18"/>
        </w:rPr>
        <w:t>)</w:t>
      </w:r>
    </w:p>
    <w:tbl>
      <w:tblPr>
        <w:tblStyle w:val="Lijsttabel3-Accent6"/>
        <w:tblW w:w="9456" w:type="dxa"/>
        <w:tblLook w:val="04A0" w:firstRow="1" w:lastRow="0" w:firstColumn="1" w:lastColumn="0" w:noHBand="0" w:noVBand="1"/>
      </w:tblPr>
      <w:tblGrid>
        <w:gridCol w:w="2527"/>
        <w:gridCol w:w="740"/>
        <w:gridCol w:w="740"/>
        <w:gridCol w:w="740"/>
        <w:gridCol w:w="225"/>
        <w:gridCol w:w="740"/>
        <w:gridCol w:w="740"/>
        <w:gridCol w:w="705"/>
        <w:gridCol w:w="705"/>
        <w:gridCol w:w="740"/>
        <w:gridCol w:w="854"/>
      </w:tblGrid>
      <w:tr w:rsidRPr="00C5308E" w:rsidR="00EF1671" w:rsidTr="00B504A7" w14:paraId="50FFD681" w14:textId="77777777">
        <w:trPr>
          <w:cnfStyle w:val="100000000000" w:firstRow="1" w:lastRow="0" w:firstColumn="0" w:lastColumn="0" w:oddVBand="0" w:evenVBand="0" w:oddHBand="0" w:evenHBand="0" w:firstRowFirstColumn="0" w:firstRowLastColumn="0" w:lastRowFirstColumn="0" w:lastRowLastColumn="0"/>
          <w:trHeight w:val="747"/>
        </w:trPr>
        <w:tc>
          <w:tcPr>
            <w:cnfStyle w:val="001000000100" w:firstRow="0" w:lastRow="0" w:firstColumn="1" w:lastColumn="0" w:oddVBand="0" w:evenVBand="0" w:oddHBand="0" w:evenHBand="0" w:firstRowFirstColumn="1" w:firstRowLastColumn="0" w:lastRowFirstColumn="0" w:lastRowLastColumn="0"/>
            <w:tcW w:w="2245" w:type="dxa"/>
          </w:tcPr>
          <w:p w:rsidRPr="00C5308E" w:rsidR="00EF1671" w:rsidP="00D87753" w:rsidRDefault="00EF1671" w14:paraId="35AF4223" w14:textId="77777777">
            <w:pPr>
              <w:contextualSpacing/>
              <w:rPr>
                <w:rFonts w:ascii="Verdana" w:hAnsi="Verdana"/>
                <w:b w:val="0"/>
                <w:sz w:val="18"/>
                <w:szCs w:val="18"/>
              </w:rPr>
            </w:pPr>
          </w:p>
        </w:tc>
        <w:tc>
          <w:tcPr>
            <w:tcW w:w="717" w:type="dxa"/>
            <w:hideMark/>
          </w:tcPr>
          <w:p w:rsidRPr="00C5308E" w:rsidR="00EF1671" w:rsidP="00D87753" w:rsidRDefault="00EF1671" w14:paraId="1F88FEC6"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1</w:t>
            </w:r>
          </w:p>
        </w:tc>
        <w:tc>
          <w:tcPr>
            <w:tcW w:w="718" w:type="dxa"/>
            <w:hideMark/>
          </w:tcPr>
          <w:p w:rsidRPr="00C5308E" w:rsidR="00EF1671" w:rsidP="00D87753" w:rsidRDefault="00EF1671" w14:paraId="65A2C566"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2</w:t>
            </w:r>
          </w:p>
        </w:tc>
        <w:tc>
          <w:tcPr>
            <w:tcW w:w="718" w:type="dxa"/>
            <w:hideMark/>
          </w:tcPr>
          <w:p w:rsidRPr="00C5308E" w:rsidR="00EF1671" w:rsidP="00D87753" w:rsidRDefault="00EF1671" w14:paraId="307BC13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3.1</w:t>
            </w:r>
          </w:p>
        </w:tc>
        <w:tc>
          <w:tcPr>
            <w:tcW w:w="719" w:type="dxa"/>
          </w:tcPr>
          <w:p w:rsidRPr="00C5308E" w:rsidR="00EF1671" w:rsidP="00D87753" w:rsidRDefault="00EF1671" w14:paraId="6D828497"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719" w:type="dxa"/>
            <w:hideMark/>
          </w:tcPr>
          <w:p w:rsidRPr="00C5308E" w:rsidR="00EF1671" w:rsidP="00D87753" w:rsidRDefault="00EF1671" w14:paraId="16B0D2D9" w14:textId="5166BD8C">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3.2</w:t>
            </w:r>
          </w:p>
        </w:tc>
        <w:tc>
          <w:tcPr>
            <w:tcW w:w="719" w:type="dxa"/>
            <w:hideMark/>
          </w:tcPr>
          <w:p w:rsidRPr="00C5308E" w:rsidR="00EF1671" w:rsidP="00D87753" w:rsidRDefault="00EF1671" w14:paraId="18957D37"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3.3</w:t>
            </w:r>
          </w:p>
        </w:tc>
        <w:tc>
          <w:tcPr>
            <w:tcW w:w="719" w:type="dxa"/>
            <w:hideMark/>
          </w:tcPr>
          <w:p w:rsidRPr="00C5308E" w:rsidR="00EF1671" w:rsidP="00D87753" w:rsidRDefault="00EF1671" w14:paraId="39F16B2A"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4</w:t>
            </w:r>
          </w:p>
        </w:tc>
        <w:tc>
          <w:tcPr>
            <w:tcW w:w="711" w:type="dxa"/>
          </w:tcPr>
          <w:p w:rsidRPr="00C5308E" w:rsidR="00EF1671" w:rsidP="00D87753" w:rsidRDefault="00EF1671" w14:paraId="7DA90F55"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5</w:t>
            </w:r>
          </w:p>
        </w:tc>
        <w:tc>
          <w:tcPr>
            <w:tcW w:w="719" w:type="dxa"/>
          </w:tcPr>
          <w:p w:rsidRPr="00C5308E" w:rsidR="00EF1671" w:rsidP="00D87753" w:rsidRDefault="00EF1671" w14:paraId="59BE315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NOW 6</w:t>
            </w:r>
          </w:p>
        </w:tc>
        <w:tc>
          <w:tcPr>
            <w:tcW w:w="752" w:type="dxa"/>
          </w:tcPr>
          <w:p w:rsidRPr="00C5308E" w:rsidR="00EF1671" w:rsidP="00D87753" w:rsidRDefault="00EF1671" w14:paraId="70784519"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C5308E">
              <w:rPr>
                <w:rFonts w:ascii="Verdana" w:hAnsi="Verdana"/>
                <w:b w:val="0"/>
                <w:sz w:val="18"/>
                <w:szCs w:val="18"/>
              </w:rPr>
              <w:t>Totaal</w:t>
            </w:r>
          </w:p>
        </w:tc>
      </w:tr>
      <w:tr w:rsidRPr="00C5308E" w:rsidR="00EF1671" w:rsidTr="00B504A7" w14:paraId="0AAFF7A5"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hideMark/>
          </w:tcPr>
          <w:p w:rsidRPr="00C5308E" w:rsidR="00EF1671" w:rsidP="00D87753" w:rsidRDefault="00EF1671" w14:paraId="01D4E79C" w14:textId="77777777">
            <w:pPr>
              <w:contextualSpacing/>
              <w:rPr>
                <w:rFonts w:ascii="Verdana" w:hAnsi="Verdana"/>
                <w:b w:val="0"/>
                <w:sz w:val="18"/>
                <w:szCs w:val="18"/>
                <w:vertAlign w:val="superscript"/>
              </w:rPr>
            </w:pPr>
            <w:r w:rsidRPr="00C5308E">
              <w:rPr>
                <w:rFonts w:ascii="Verdana" w:hAnsi="Verdana"/>
                <w:b w:val="0"/>
                <w:sz w:val="18"/>
                <w:szCs w:val="18"/>
              </w:rPr>
              <w:t>Vastgestelde subsidie</w:t>
            </w:r>
            <w:r w:rsidRPr="00C5308E">
              <w:rPr>
                <w:rFonts w:ascii="Verdana" w:hAnsi="Verdana"/>
                <w:b w:val="0"/>
                <w:sz w:val="18"/>
                <w:szCs w:val="18"/>
                <w:vertAlign w:val="superscript"/>
              </w:rPr>
              <w:t>1</w:t>
            </w:r>
          </w:p>
        </w:tc>
        <w:tc>
          <w:tcPr>
            <w:tcW w:w="717" w:type="dxa"/>
            <w:hideMark/>
          </w:tcPr>
          <w:p w:rsidRPr="00C5308E" w:rsidR="00EF1671" w:rsidP="00D87753" w:rsidRDefault="00EF1671" w14:paraId="5FC60FD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5.156</w:t>
            </w:r>
          </w:p>
        </w:tc>
        <w:tc>
          <w:tcPr>
            <w:tcW w:w="718" w:type="dxa"/>
            <w:hideMark/>
          </w:tcPr>
          <w:p w:rsidRPr="00C5308E" w:rsidR="00EF1671" w:rsidP="00D87753" w:rsidRDefault="00EF1671" w14:paraId="4C5B29A4"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2.781</w:t>
            </w:r>
          </w:p>
        </w:tc>
        <w:tc>
          <w:tcPr>
            <w:tcW w:w="718" w:type="dxa"/>
            <w:hideMark/>
          </w:tcPr>
          <w:p w:rsidRPr="00C5308E" w:rsidR="00EF1671" w:rsidP="00D87753" w:rsidRDefault="00EF1671" w14:paraId="60594454"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2.753</w:t>
            </w:r>
          </w:p>
        </w:tc>
        <w:tc>
          <w:tcPr>
            <w:tcW w:w="719" w:type="dxa"/>
          </w:tcPr>
          <w:p w:rsidRPr="00C5308E" w:rsidR="00EF1671" w:rsidP="00D87753" w:rsidRDefault="00EF1671" w14:paraId="10F1738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color w:val="000000"/>
                <w:sz w:val="18"/>
                <w:szCs w:val="18"/>
              </w:rPr>
            </w:pPr>
          </w:p>
        </w:tc>
        <w:tc>
          <w:tcPr>
            <w:tcW w:w="719" w:type="dxa"/>
            <w:hideMark/>
          </w:tcPr>
          <w:p w:rsidRPr="00C5308E" w:rsidR="00EF1671" w:rsidP="00D87753" w:rsidRDefault="00EF1671" w14:paraId="5B9F3CDB" w14:textId="432581CD">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2.961</w:t>
            </w:r>
          </w:p>
        </w:tc>
        <w:tc>
          <w:tcPr>
            <w:tcW w:w="719" w:type="dxa"/>
            <w:hideMark/>
          </w:tcPr>
          <w:p w:rsidRPr="00C5308E" w:rsidR="00EF1671" w:rsidP="00D87753" w:rsidRDefault="00EF1671" w14:paraId="06EE7E72"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1.700</w:t>
            </w:r>
          </w:p>
        </w:tc>
        <w:tc>
          <w:tcPr>
            <w:tcW w:w="719" w:type="dxa"/>
            <w:hideMark/>
          </w:tcPr>
          <w:p w:rsidRPr="00C5308E" w:rsidR="00EF1671" w:rsidP="00D87753" w:rsidRDefault="00EF1671" w14:paraId="0675899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975</w:t>
            </w:r>
          </w:p>
        </w:tc>
        <w:tc>
          <w:tcPr>
            <w:tcW w:w="711" w:type="dxa"/>
          </w:tcPr>
          <w:p w:rsidRPr="00C5308E" w:rsidR="00EF1671" w:rsidP="00D87753" w:rsidRDefault="00EF1671" w14:paraId="662B7BA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939</w:t>
            </w:r>
          </w:p>
        </w:tc>
        <w:tc>
          <w:tcPr>
            <w:tcW w:w="719" w:type="dxa"/>
          </w:tcPr>
          <w:p w:rsidRPr="00C5308E" w:rsidR="00EF1671" w:rsidP="00D87753" w:rsidRDefault="00EF1671" w14:paraId="2D34B3A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1.218</w:t>
            </w:r>
          </w:p>
        </w:tc>
        <w:tc>
          <w:tcPr>
            <w:tcW w:w="752" w:type="dxa"/>
          </w:tcPr>
          <w:p w:rsidRPr="00C5308E" w:rsidR="00EF1671" w:rsidP="00D87753" w:rsidRDefault="00EF1671" w14:paraId="59DCE7A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18.483</w:t>
            </w:r>
          </w:p>
        </w:tc>
      </w:tr>
      <w:tr w:rsidRPr="00C5308E" w:rsidR="00EF1671" w:rsidTr="00B504A7" w14:paraId="10711B04" w14:textId="77777777">
        <w:trPr>
          <w:trHeight w:val="747"/>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1BBC1FBA" w14:textId="77777777">
            <w:pPr>
              <w:contextualSpacing/>
              <w:rPr>
                <w:rFonts w:ascii="Verdana" w:hAnsi="Verdana"/>
                <w:b w:val="0"/>
                <w:sz w:val="18"/>
                <w:szCs w:val="18"/>
              </w:rPr>
            </w:pPr>
            <w:r w:rsidRPr="00C5308E">
              <w:rPr>
                <w:rFonts w:ascii="Verdana" w:hAnsi="Verdana"/>
                <w:b w:val="0"/>
                <w:sz w:val="18"/>
                <w:szCs w:val="18"/>
              </w:rPr>
              <w:t>Prognose totaal oninbare vorderingen</w:t>
            </w:r>
          </w:p>
        </w:tc>
        <w:tc>
          <w:tcPr>
            <w:tcW w:w="717" w:type="dxa"/>
          </w:tcPr>
          <w:p w:rsidRPr="00C5308E" w:rsidR="00EF1671" w:rsidP="00D87753" w:rsidRDefault="00EF1671" w14:paraId="1B19F18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139</w:t>
            </w:r>
          </w:p>
        </w:tc>
        <w:tc>
          <w:tcPr>
            <w:tcW w:w="718" w:type="dxa"/>
          </w:tcPr>
          <w:p w:rsidRPr="00C5308E" w:rsidR="00EF1671" w:rsidP="00D87753" w:rsidRDefault="00EF1671" w14:paraId="4D544C9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139,9</w:t>
            </w:r>
          </w:p>
        </w:tc>
        <w:tc>
          <w:tcPr>
            <w:tcW w:w="718" w:type="dxa"/>
          </w:tcPr>
          <w:p w:rsidRPr="00C5308E" w:rsidR="00EF1671" w:rsidP="00D87753" w:rsidRDefault="00EF1671" w14:paraId="360A46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99,2</w:t>
            </w:r>
          </w:p>
        </w:tc>
        <w:tc>
          <w:tcPr>
            <w:tcW w:w="719" w:type="dxa"/>
          </w:tcPr>
          <w:p w:rsidRPr="00C5308E" w:rsidR="00EF1671" w:rsidP="00D87753" w:rsidRDefault="00EF1671" w14:paraId="1EAA2C9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4332C440" w14:textId="19E91A7F">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115,2</w:t>
            </w:r>
          </w:p>
        </w:tc>
        <w:tc>
          <w:tcPr>
            <w:tcW w:w="719" w:type="dxa"/>
          </w:tcPr>
          <w:p w:rsidRPr="00C5308E" w:rsidR="00EF1671" w:rsidP="00D87753" w:rsidRDefault="00EF1671" w14:paraId="0D9FA2E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92,1</w:t>
            </w:r>
          </w:p>
        </w:tc>
        <w:tc>
          <w:tcPr>
            <w:tcW w:w="719" w:type="dxa"/>
          </w:tcPr>
          <w:p w:rsidRPr="00C5308E" w:rsidR="00EF1671" w:rsidP="00D87753" w:rsidRDefault="00EF1671" w14:paraId="4039D8C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54,8</w:t>
            </w:r>
          </w:p>
        </w:tc>
        <w:tc>
          <w:tcPr>
            <w:tcW w:w="711" w:type="dxa"/>
          </w:tcPr>
          <w:p w:rsidRPr="00C5308E" w:rsidR="00EF1671" w:rsidP="00D87753" w:rsidRDefault="00EF1671" w14:paraId="063E281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40,9</w:t>
            </w:r>
          </w:p>
        </w:tc>
        <w:tc>
          <w:tcPr>
            <w:tcW w:w="719" w:type="dxa"/>
          </w:tcPr>
          <w:p w:rsidRPr="00C5308E" w:rsidR="00EF1671" w:rsidP="00D87753" w:rsidRDefault="00EF1671" w14:paraId="199557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71,5</w:t>
            </w:r>
          </w:p>
        </w:tc>
        <w:tc>
          <w:tcPr>
            <w:tcW w:w="752" w:type="dxa"/>
          </w:tcPr>
          <w:p w:rsidRPr="00C5308E" w:rsidR="00EF1671" w:rsidP="00D87753" w:rsidRDefault="00EF1671" w14:paraId="113DF1C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693,0</w:t>
            </w:r>
          </w:p>
        </w:tc>
      </w:tr>
      <w:tr w:rsidRPr="00C5308E" w:rsidR="00EF1671" w:rsidTr="00B504A7" w14:paraId="2FDCD1D2" w14:textId="77777777">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5E261303" w14:textId="77777777">
            <w:pPr>
              <w:contextualSpacing/>
              <w:rPr>
                <w:rFonts w:ascii="Verdana" w:hAnsi="Verdana"/>
                <w:b w:val="0"/>
                <w:sz w:val="18"/>
                <w:szCs w:val="18"/>
              </w:rPr>
            </w:pPr>
            <w:r w:rsidRPr="00C5308E">
              <w:rPr>
                <w:rFonts w:ascii="Verdana" w:hAnsi="Verdana"/>
                <w:b w:val="0"/>
                <w:sz w:val="18"/>
                <w:szCs w:val="18"/>
              </w:rPr>
              <w:t>w.v. reguliere vorderingen (zonder betalingsregeling)</w:t>
            </w:r>
          </w:p>
        </w:tc>
        <w:tc>
          <w:tcPr>
            <w:tcW w:w="717" w:type="dxa"/>
          </w:tcPr>
          <w:p w:rsidRPr="00C5308E" w:rsidR="00EF1671" w:rsidP="00D87753" w:rsidRDefault="00EF1671" w14:paraId="75B43A8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83,5</w:t>
            </w:r>
          </w:p>
        </w:tc>
        <w:tc>
          <w:tcPr>
            <w:tcW w:w="718" w:type="dxa"/>
          </w:tcPr>
          <w:p w:rsidRPr="00C5308E" w:rsidR="00EF1671" w:rsidP="00D87753" w:rsidRDefault="00EF1671" w14:paraId="1E35F7C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74,2</w:t>
            </w:r>
          </w:p>
        </w:tc>
        <w:tc>
          <w:tcPr>
            <w:tcW w:w="718" w:type="dxa"/>
          </w:tcPr>
          <w:p w:rsidRPr="00C5308E" w:rsidR="00EF1671" w:rsidP="00D87753" w:rsidRDefault="00EF1671" w14:paraId="176E6F4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51,9</w:t>
            </w:r>
          </w:p>
        </w:tc>
        <w:tc>
          <w:tcPr>
            <w:tcW w:w="719" w:type="dxa"/>
          </w:tcPr>
          <w:p w:rsidRPr="00C5308E" w:rsidR="00EF1671" w:rsidP="00D87753" w:rsidRDefault="00EF1671" w14:paraId="1E687BA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02AF80D6" w14:textId="017C7386">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61,1</w:t>
            </w:r>
          </w:p>
        </w:tc>
        <w:tc>
          <w:tcPr>
            <w:tcW w:w="719" w:type="dxa"/>
          </w:tcPr>
          <w:p w:rsidRPr="00C5308E" w:rsidR="00EF1671" w:rsidP="00D87753" w:rsidRDefault="00EF1671" w14:paraId="21EE5242"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48</w:t>
            </w:r>
          </w:p>
        </w:tc>
        <w:tc>
          <w:tcPr>
            <w:tcW w:w="719" w:type="dxa"/>
          </w:tcPr>
          <w:p w:rsidRPr="00C5308E" w:rsidR="00EF1671" w:rsidP="00D87753" w:rsidRDefault="00EF1671" w14:paraId="4ED67084"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28,7</w:t>
            </w:r>
          </w:p>
        </w:tc>
        <w:tc>
          <w:tcPr>
            <w:tcW w:w="711" w:type="dxa"/>
          </w:tcPr>
          <w:p w:rsidRPr="00C5308E" w:rsidR="00EF1671" w:rsidP="00D87753" w:rsidRDefault="00EF1671" w14:paraId="13A74DD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21,4</w:t>
            </w:r>
          </w:p>
        </w:tc>
        <w:tc>
          <w:tcPr>
            <w:tcW w:w="719" w:type="dxa"/>
          </w:tcPr>
          <w:p w:rsidRPr="00C5308E" w:rsidR="00EF1671" w:rsidP="00D87753" w:rsidRDefault="00EF1671" w14:paraId="1461514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36,9</w:t>
            </w:r>
          </w:p>
        </w:tc>
        <w:tc>
          <w:tcPr>
            <w:tcW w:w="752" w:type="dxa"/>
          </w:tcPr>
          <w:p w:rsidRPr="00C5308E" w:rsidR="00EF1671" w:rsidP="00D87753" w:rsidRDefault="00EF1671" w14:paraId="7477B80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405,5</w:t>
            </w:r>
          </w:p>
        </w:tc>
      </w:tr>
      <w:tr w:rsidRPr="00C5308E" w:rsidR="00EF1671" w:rsidTr="00B504A7" w14:paraId="5D699B13" w14:textId="77777777">
        <w:trPr>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456A2BF2" w14:textId="77777777">
            <w:pPr>
              <w:contextualSpacing/>
              <w:rPr>
                <w:rFonts w:ascii="Verdana" w:hAnsi="Verdana"/>
                <w:b w:val="0"/>
                <w:sz w:val="18"/>
                <w:szCs w:val="18"/>
              </w:rPr>
            </w:pPr>
            <w:r w:rsidRPr="00C5308E">
              <w:rPr>
                <w:rFonts w:ascii="Verdana" w:hAnsi="Verdana"/>
                <w:b w:val="0"/>
                <w:sz w:val="18"/>
                <w:szCs w:val="18"/>
              </w:rPr>
              <w:t xml:space="preserve"> Voorziening</w:t>
            </w:r>
          </w:p>
        </w:tc>
        <w:tc>
          <w:tcPr>
            <w:tcW w:w="717" w:type="dxa"/>
          </w:tcPr>
          <w:p w:rsidRPr="00C5308E" w:rsidR="00EF1671" w:rsidP="00D87753" w:rsidRDefault="00EF1671" w14:paraId="1524C7C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55,5</w:t>
            </w:r>
          </w:p>
        </w:tc>
        <w:tc>
          <w:tcPr>
            <w:tcW w:w="718" w:type="dxa"/>
          </w:tcPr>
          <w:p w:rsidRPr="00C5308E" w:rsidR="00EF1671" w:rsidP="00D87753" w:rsidRDefault="00EF1671" w14:paraId="3F1096C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65,7</w:t>
            </w:r>
          </w:p>
        </w:tc>
        <w:tc>
          <w:tcPr>
            <w:tcW w:w="718" w:type="dxa"/>
          </w:tcPr>
          <w:p w:rsidRPr="00C5308E" w:rsidR="00EF1671" w:rsidP="00D87753" w:rsidRDefault="00EF1671" w14:paraId="7A750B5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47,3</w:t>
            </w:r>
          </w:p>
        </w:tc>
        <w:tc>
          <w:tcPr>
            <w:tcW w:w="719" w:type="dxa"/>
          </w:tcPr>
          <w:p w:rsidRPr="00C5308E" w:rsidR="00EF1671" w:rsidP="00D87753" w:rsidRDefault="00EF1671" w14:paraId="7EF1FB3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7740C12C" w14:textId="295D64D5">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54,1</w:t>
            </w:r>
          </w:p>
        </w:tc>
        <w:tc>
          <w:tcPr>
            <w:tcW w:w="719" w:type="dxa"/>
          </w:tcPr>
          <w:p w:rsidRPr="00C5308E" w:rsidR="00EF1671" w:rsidP="00D87753" w:rsidRDefault="00EF1671" w14:paraId="0A3FBA9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44,1</w:t>
            </w:r>
          </w:p>
        </w:tc>
        <w:tc>
          <w:tcPr>
            <w:tcW w:w="719" w:type="dxa"/>
          </w:tcPr>
          <w:p w:rsidRPr="00C5308E" w:rsidR="00EF1671" w:rsidP="00D87753" w:rsidRDefault="00EF1671" w14:paraId="49E5BAD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26,1</w:t>
            </w:r>
          </w:p>
        </w:tc>
        <w:tc>
          <w:tcPr>
            <w:tcW w:w="711" w:type="dxa"/>
          </w:tcPr>
          <w:p w:rsidRPr="00C5308E" w:rsidR="00EF1671" w:rsidP="00D87753" w:rsidRDefault="00EF1671" w14:paraId="0D3EE79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19,5</w:t>
            </w:r>
          </w:p>
        </w:tc>
        <w:tc>
          <w:tcPr>
            <w:tcW w:w="719" w:type="dxa"/>
          </w:tcPr>
          <w:p w:rsidRPr="00C5308E" w:rsidR="00EF1671" w:rsidP="00D87753" w:rsidRDefault="00EF1671" w14:paraId="41463E0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34,6</w:t>
            </w:r>
          </w:p>
        </w:tc>
        <w:tc>
          <w:tcPr>
            <w:tcW w:w="752" w:type="dxa"/>
          </w:tcPr>
          <w:p w:rsidRPr="00C5308E" w:rsidR="00EF1671" w:rsidP="00D87753" w:rsidRDefault="00EF1671" w14:paraId="3EC66DA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346,9</w:t>
            </w:r>
          </w:p>
        </w:tc>
      </w:tr>
      <w:tr w:rsidRPr="00C5308E" w:rsidR="00EF1671" w:rsidTr="00B504A7" w14:paraId="768EA150"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376F07F6" w14:textId="77777777">
            <w:pPr>
              <w:contextualSpacing/>
              <w:rPr>
                <w:rFonts w:ascii="Verdana" w:hAnsi="Verdana"/>
                <w:b w:val="0"/>
                <w:sz w:val="18"/>
                <w:szCs w:val="18"/>
              </w:rPr>
            </w:pPr>
            <w:r w:rsidRPr="00C5308E">
              <w:rPr>
                <w:rFonts w:ascii="Verdana" w:hAnsi="Verdana"/>
                <w:b w:val="0"/>
                <w:sz w:val="18"/>
                <w:szCs w:val="18"/>
              </w:rPr>
              <w:t xml:space="preserve"> Afgeboekt </w:t>
            </w:r>
          </w:p>
        </w:tc>
        <w:tc>
          <w:tcPr>
            <w:tcW w:w="717" w:type="dxa"/>
          </w:tcPr>
          <w:p w:rsidRPr="00C5308E" w:rsidR="00EF1671" w:rsidP="00D87753" w:rsidRDefault="00EF1671" w14:paraId="39913CF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28</w:t>
            </w:r>
          </w:p>
        </w:tc>
        <w:tc>
          <w:tcPr>
            <w:tcW w:w="718" w:type="dxa"/>
          </w:tcPr>
          <w:p w:rsidRPr="00C5308E" w:rsidR="00EF1671" w:rsidP="00D87753" w:rsidRDefault="00EF1671" w14:paraId="13DC85F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8,5</w:t>
            </w:r>
          </w:p>
        </w:tc>
        <w:tc>
          <w:tcPr>
            <w:tcW w:w="718" w:type="dxa"/>
          </w:tcPr>
          <w:p w:rsidRPr="00C5308E" w:rsidR="00EF1671" w:rsidP="00D87753" w:rsidRDefault="00EF1671" w14:paraId="0E0CB52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4,6</w:t>
            </w:r>
          </w:p>
        </w:tc>
        <w:tc>
          <w:tcPr>
            <w:tcW w:w="719" w:type="dxa"/>
          </w:tcPr>
          <w:p w:rsidRPr="00C5308E" w:rsidR="00EF1671" w:rsidP="00D87753" w:rsidRDefault="00EF1671" w14:paraId="222808A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188E0072" w14:textId="243F0ED0">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7</w:t>
            </w:r>
          </w:p>
        </w:tc>
        <w:tc>
          <w:tcPr>
            <w:tcW w:w="719" w:type="dxa"/>
          </w:tcPr>
          <w:p w:rsidRPr="00C5308E" w:rsidR="00EF1671" w:rsidP="00D87753" w:rsidRDefault="00EF1671" w14:paraId="1AB3CB24"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3,9</w:t>
            </w:r>
          </w:p>
        </w:tc>
        <w:tc>
          <w:tcPr>
            <w:tcW w:w="719" w:type="dxa"/>
          </w:tcPr>
          <w:p w:rsidRPr="00C5308E" w:rsidR="00EF1671" w:rsidP="00D87753" w:rsidRDefault="00EF1671" w14:paraId="7E84E09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2,6</w:t>
            </w:r>
          </w:p>
        </w:tc>
        <w:tc>
          <w:tcPr>
            <w:tcW w:w="711" w:type="dxa"/>
          </w:tcPr>
          <w:p w:rsidRPr="00C5308E" w:rsidR="00EF1671" w:rsidP="00D87753" w:rsidRDefault="00EF1671" w14:paraId="4AAA049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1,9</w:t>
            </w:r>
          </w:p>
        </w:tc>
        <w:tc>
          <w:tcPr>
            <w:tcW w:w="719" w:type="dxa"/>
          </w:tcPr>
          <w:p w:rsidRPr="00C5308E" w:rsidR="00EF1671" w:rsidP="00D87753" w:rsidRDefault="00EF1671" w14:paraId="777FAE3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2,3</w:t>
            </w:r>
          </w:p>
        </w:tc>
        <w:tc>
          <w:tcPr>
            <w:tcW w:w="752" w:type="dxa"/>
          </w:tcPr>
          <w:p w:rsidRPr="00C5308E" w:rsidR="00EF1671" w:rsidP="00D87753" w:rsidRDefault="00EF1671" w14:paraId="784B29C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58,6</w:t>
            </w:r>
          </w:p>
        </w:tc>
      </w:tr>
      <w:tr w:rsidRPr="00C5308E" w:rsidR="00EF1671" w:rsidTr="00B504A7" w14:paraId="6483B56E" w14:textId="77777777">
        <w:trPr>
          <w:trHeight w:val="747"/>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58CF7B2A" w14:textId="77777777">
            <w:pPr>
              <w:contextualSpacing/>
              <w:rPr>
                <w:rFonts w:ascii="Verdana" w:hAnsi="Verdana"/>
                <w:b w:val="0"/>
                <w:sz w:val="18"/>
                <w:szCs w:val="18"/>
              </w:rPr>
            </w:pPr>
            <w:r w:rsidRPr="00C5308E">
              <w:rPr>
                <w:rFonts w:ascii="Verdana" w:hAnsi="Verdana"/>
                <w:b w:val="0"/>
                <w:sz w:val="18"/>
                <w:szCs w:val="18"/>
              </w:rPr>
              <w:t>w.v. faillissementsvorderingen</w:t>
            </w:r>
          </w:p>
        </w:tc>
        <w:tc>
          <w:tcPr>
            <w:tcW w:w="717" w:type="dxa"/>
          </w:tcPr>
          <w:p w:rsidRPr="00C5308E" w:rsidR="00EF1671" w:rsidP="00D87753" w:rsidRDefault="00EF1671" w14:paraId="2AB4D2E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67</w:t>
            </w:r>
          </w:p>
        </w:tc>
        <w:tc>
          <w:tcPr>
            <w:tcW w:w="718" w:type="dxa"/>
          </w:tcPr>
          <w:p w:rsidRPr="00C5308E" w:rsidR="00EF1671" w:rsidP="00D87753" w:rsidRDefault="00EF1671" w14:paraId="760B96D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55,1</w:t>
            </w:r>
          </w:p>
        </w:tc>
        <w:tc>
          <w:tcPr>
            <w:tcW w:w="718" w:type="dxa"/>
          </w:tcPr>
          <w:p w:rsidRPr="00C5308E" w:rsidR="00EF1671" w:rsidP="00D87753" w:rsidRDefault="00EF1671" w14:paraId="35A5EB4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33,2</w:t>
            </w:r>
          </w:p>
        </w:tc>
        <w:tc>
          <w:tcPr>
            <w:tcW w:w="719" w:type="dxa"/>
          </w:tcPr>
          <w:p w:rsidRPr="00C5308E" w:rsidR="00EF1671" w:rsidP="00D87753" w:rsidRDefault="00EF1671" w14:paraId="07A2B31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393EE4EB" w14:textId="74E1706B">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44,5</w:t>
            </w:r>
          </w:p>
        </w:tc>
        <w:tc>
          <w:tcPr>
            <w:tcW w:w="719" w:type="dxa"/>
          </w:tcPr>
          <w:p w:rsidRPr="00C5308E" w:rsidR="00EF1671" w:rsidP="00D87753" w:rsidRDefault="00EF1671" w14:paraId="3CE0F01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31,7</w:t>
            </w:r>
          </w:p>
        </w:tc>
        <w:tc>
          <w:tcPr>
            <w:tcW w:w="719" w:type="dxa"/>
          </w:tcPr>
          <w:p w:rsidRPr="00C5308E" w:rsidR="00EF1671" w:rsidP="00D87753" w:rsidRDefault="00EF1671" w14:paraId="1C66E78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18,2</w:t>
            </w:r>
          </w:p>
        </w:tc>
        <w:tc>
          <w:tcPr>
            <w:tcW w:w="711" w:type="dxa"/>
          </w:tcPr>
          <w:p w:rsidRPr="00C5308E" w:rsidR="00EF1671" w:rsidP="00D87753" w:rsidRDefault="00EF1671" w14:paraId="32CD5C6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15,2</w:t>
            </w:r>
          </w:p>
        </w:tc>
        <w:tc>
          <w:tcPr>
            <w:tcW w:w="719" w:type="dxa"/>
          </w:tcPr>
          <w:p w:rsidRPr="00C5308E" w:rsidR="00EF1671" w:rsidP="00D87753" w:rsidRDefault="00EF1671" w14:paraId="0B5F530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22,7</w:t>
            </w:r>
          </w:p>
        </w:tc>
        <w:tc>
          <w:tcPr>
            <w:tcW w:w="752" w:type="dxa"/>
          </w:tcPr>
          <w:p w:rsidRPr="00C5308E" w:rsidR="00EF1671" w:rsidP="00D87753" w:rsidRDefault="00EF1671" w14:paraId="6302264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287,5</w:t>
            </w:r>
          </w:p>
        </w:tc>
      </w:tr>
      <w:tr w:rsidRPr="00C5308E" w:rsidR="00EF1671" w:rsidTr="00B504A7" w14:paraId="67723C1A"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2BD420EB" w14:textId="4B6C0374">
            <w:pPr>
              <w:contextualSpacing/>
              <w:rPr>
                <w:rFonts w:ascii="Verdana" w:hAnsi="Verdana"/>
                <w:b w:val="0"/>
                <w:sz w:val="18"/>
                <w:szCs w:val="18"/>
              </w:rPr>
            </w:pPr>
            <w:r w:rsidRPr="00C5308E">
              <w:rPr>
                <w:rFonts w:ascii="Verdana" w:hAnsi="Verdana"/>
                <w:b w:val="0"/>
                <w:sz w:val="18"/>
                <w:szCs w:val="18"/>
              </w:rPr>
              <w:t xml:space="preserve">  Voorziening</w:t>
            </w:r>
          </w:p>
        </w:tc>
        <w:tc>
          <w:tcPr>
            <w:tcW w:w="717" w:type="dxa"/>
          </w:tcPr>
          <w:p w:rsidRPr="00C5308E" w:rsidR="00EF1671" w:rsidP="00D87753" w:rsidRDefault="00EF1671" w14:paraId="03FF96B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51,8</w:t>
            </w:r>
          </w:p>
        </w:tc>
        <w:tc>
          <w:tcPr>
            <w:tcW w:w="718" w:type="dxa"/>
          </w:tcPr>
          <w:p w:rsidRPr="00C5308E" w:rsidR="00EF1671" w:rsidP="00D87753" w:rsidRDefault="00EF1671" w14:paraId="7F44A41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41,4</w:t>
            </w:r>
          </w:p>
        </w:tc>
        <w:tc>
          <w:tcPr>
            <w:tcW w:w="718" w:type="dxa"/>
          </w:tcPr>
          <w:p w:rsidRPr="00C5308E" w:rsidR="00EF1671" w:rsidP="00D87753" w:rsidRDefault="00EF1671" w14:paraId="075720F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25,3</w:t>
            </w:r>
          </w:p>
        </w:tc>
        <w:tc>
          <w:tcPr>
            <w:tcW w:w="719" w:type="dxa"/>
          </w:tcPr>
          <w:p w:rsidRPr="00C5308E" w:rsidR="00EF1671" w:rsidP="00D87753" w:rsidRDefault="00EF1671" w14:paraId="7569AC6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3498F9F4" w14:textId="07BCEA00">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35,8</w:t>
            </w:r>
          </w:p>
        </w:tc>
        <w:tc>
          <w:tcPr>
            <w:tcW w:w="719" w:type="dxa"/>
          </w:tcPr>
          <w:p w:rsidRPr="00C5308E" w:rsidR="00EF1671" w:rsidP="00D87753" w:rsidRDefault="00EF1671" w14:paraId="6BB9C50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24,4</w:t>
            </w:r>
          </w:p>
        </w:tc>
        <w:tc>
          <w:tcPr>
            <w:tcW w:w="719" w:type="dxa"/>
          </w:tcPr>
          <w:p w:rsidRPr="00C5308E" w:rsidR="00EF1671" w:rsidP="00D87753" w:rsidRDefault="00EF1671" w14:paraId="50C89102"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13,9</w:t>
            </w:r>
          </w:p>
        </w:tc>
        <w:tc>
          <w:tcPr>
            <w:tcW w:w="711" w:type="dxa"/>
          </w:tcPr>
          <w:p w:rsidRPr="00C5308E" w:rsidR="00EF1671" w:rsidP="00D87753" w:rsidRDefault="00EF1671" w14:paraId="396FD01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11,7</w:t>
            </w:r>
          </w:p>
        </w:tc>
        <w:tc>
          <w:tcPr>
            <w:tcW w:w="719" w:type="dxa"/>
          </w:tcPr>
          <w:p w:rsidRPr="00C5308E" w:rsidR="00EF1671" w:rsidP="00D87753" w:rsidRDefault="00EF1671" w14:paraId="118FF94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17,3</w:t>
            </w:r>
          </w:p>
        </w:tc>
        <w:tc>
          <w:tcPr>
            <w:tcW w:w="752" w:type="dxa"/>
          </w:tcPr>
          <w:p w:rsidRPr="00C5308E" w:rsidR="00EF1671" w:rsidP="00D87753" w:rsidRDefault="00EF1671" w14:paraId="5B5BAFC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221,6</w:t>
            </w:r>
          </w:p>
        </w:tc>
      </w:tr>
      <w:tr w:rsidRPr="00C5308E" w:rsidR="00EF1671" w:rsidTr="00B504A7" w14:paraId="28A67FC7" w14:textId="77777777">
        <w:trPr>
          <w:trHeight w:val="386"/>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2478AC1B" w14:textId="4D085E79">
            <w:pPr>
              <w:contextualSpacing/>
              <w:rPr>
                <w:rFonts w:ascii="Verdana" w:hAnsi="Verdana"/>
                <w:b w:val="0"/>
                <w:sz w:val="18"/>
                <w:szCs w:val="18"/>
              </w:rPr>
            </w:pPr>
            <w:r w:rsidRPr="00C5308E">
              <w:rPr>
                <w:rFonts w:ascii="Verdana" w:hAnsi="Verdana"/>
                <w:b w:val="0"/>
                <w:sz w:val="18"/>
                <w:szCs w:val="18"/>
              </w:rPr>
              <w:lastRenderedPageBreak/>
              <w:t xml:space="preserve">  Afgeboekt </w:t>
            </w:r>
          </w:p>
        </w:tc>
        <w:tc>
          <w:tcPr>
            <w:tcW w:w="717" w:type="dxa"/>
          </w:tcPr>
          <w:p w:rsidRPr="00C5308E" w:rsidR="00EF1671" w:rsidP="00D87753" w:rsidRDefault="00EF1671" w14:paraId="446F488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15,2</w:t>
            </w:r>
          </w:p>
        </w:tc>
        <w:tc>
          <w:tcPr>
            <w:tcW w:w="718" w:type="dxa"/>
          </w:tcPr>
          <w:p w:rsidRPr="00C5308E" w:rsidR="00EF1671" w:rsidP="00D87753" w:rsidRDefault="00EF1671" w14:paraId="7C3EFA4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13,7</w:t>
            </w:r>
          </w:p>
        </w:tc>
        <w:tc>
          <w:tcPr>
            <w:tcW w:w="718" w:type="dxa"/>
          </w:tcPr>
          <w:p w:rsidRPr="00C5308E" w:rsidR="00EF1671" w:rsidP="00D87753" w:rsidRDefault="00EF1671" w14:paraId="171534D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7,9</w:t>
            </w:r>
          </w:p>
        </w:tc>
        <w:tc>
          <w:tcPr>
            <w:tcW w:w="719" w:type="dxa"/>
          </w:tcPr>
          <w:p w:rsidRPr="00C5308E" w:rsidR="00EF1671" w:rsidP="00D87753" w:rsidRDefault="00EF1671" w14:paraId="398D0EF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2398E011" w14:textId="72080AA3">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8,7</w:t>
            </w:r>
          </w:p>
        </w:tc>
        <w:tc>
          <w:tcPr>
            <w:tcW w:w="719" w:type="dxa"/>
          </w:tcPr>
          <w:p w:rsidRPr="00C5308E" w:rsidR="00EF1671" w:rsidP="00D87753" w:rsidRDefault="00EF1671" w14:paraId="3AD8BC5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7,3</w:t>
            </w:r>
          </w:p>
        </w:tc>
        <w:tc>
          <w:tcPr>
            <w:tcW w:w="719" w:type="dxa"/>
          </w:tcPr>
          <w:p w:rsidRPr="00C5308E" w:rsidR="00EF1671" w:rsidP="00D87753" w:rsidRDefault="00EF1671" w14:paraId="27BE89C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4,3</w:t>
            </w:r>
          </w:p>
        </w:tc>
        <w:tc>
          <w:tcPr>
            <w:tcW w:w="711" w:type="dxa"/>
          </w:tcPr>
          <w:p w:rsidRPr="00C5308E" w:rsidR="00EF1671" w:rsidP="00D87753" w:rsidRDefault="00EF1671" w14:paraId="53B99E1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3,5</w:t>
            </w:r>
          </w:p>
        </w:tc>
        <w:tc>
          <w:tcPr>
            <w:tcW w:w="719" w:type="dxa"/>
          </w:tcPr>
          <w:p w:rsidRPr="00C5308E" w:rsidR="00EF1671" w:rsidP="00D87753" w:rsidRDefault="00EF1671" w14:paraId="12F3CF8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5,4</w:t>
            </w:r>
          </w:p>
        </w:tc>
        <w:tc>
          <w:tcPr>
            <w:tcW w:w="752" w:type="dxa"/>
          </w:tcPr>
          <w:p w:rsidRPr="00C5308E" w:rsidR="00EF1671" w:rsidP="00D87753" w:rsidRDefault="00EF1671" w14:paraId="2E6D0D5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65,9</w:t>
            </w:r>
          </w:p>
        </w:tc>
      </w:tr>
      <w:tr w:rsidRPr="00C5308E" w:rsidR="00EF1671" w:rsidTr="00B504A7" w14:paraId="2410D9CA" w14:textId="77777777">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245" w:type="dxa"/>
          </w:tcPr>
          <w:p w:rsidRPr="00C5308E" w:rsidR="00EF1671" w:rsidP="00D87753" w:rsidRDefault="00EF1671" w14:paraId="1680CAB7" w14:textId="77777777">
            <w:pPr>
              <w:contextualSpacing/>
              <w:rPr>
                <w:rFonts w:ascii="Verdana" w:hAnsi="Verdana"/>
                <w:b w:val="0"/>
                <w:sz w:val="18"/>
                <w:szCs w:val="18"/>
              </w:rPr>
            </w:pPr>
            <w:r w:rsidRPr="00C5308E">
              <w:rPr>
                <w:rFonts w:ascii="Verdana" w:hAnsi="Verdana"/>
                <w:b w:val="0"/>
                <w:sz w:val="18"/>
                <w:szCs w:val="18"/>
              </w:rPr>
              <w:t>Oninbare vorderingen als percentage vastgestelde subsidie</w:t>
            </w:r>
          </w:p>
        </w:tc>
        <w:tc>
          <w:tcPr>
            <w:tcW w:w="717" w:type="dxa"/>
          </w:tcPr>
          <w:p w:rsidRPr="00C5308E" w:rsidR="00EF1671" w:rsidP="00D87753" w:rsidRDefault="00EF1671" w14:paraId="65ED84A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2,9%</w:t>
            </w:r>
          </w:p>
        </w:tc>
        <w:tc>
          <w:tcPr>
            <w:tcW w:w="718" w:type="dxa"/>
          </w:tcPr>
          <w:p w:rsidRPr="00C5308E" w:rsidR="00EF1671" w:rsidP="00D87753" w:rsidRDefault="00EF1671" w14:paraId="6406E10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4,6%</w:t>
            </w:r>
          </w:p>
        </w:tc>
        <w:tc>
          <w:tcPr>
            <w:tcW w:w="718" w:type="dxa"/>
          </w:tcPr>
          <w:p w:rsidRPr="00C5308E" w:rsidR="00EF1671" w:rsidP="00D87753" w:rsidRDefault="00EF1671" w14:paraId="76F35B4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3,1%</w:t>
            </w:r>
          </w:p>
        </w:tc>
        <w:tc>
          <w:tcPr>
            <w:tcW w:w="719" w:type="dxa"/>
          </w:tcPr>
          <w:p w:rsidRPr="00C5308E" w:rsidR="00EF1671" w:rsidP="00D87753" w:rsidRDefault="00EF1671" w14:paraId="2C290B6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color w:val="000000"/>
                <w:sz w:val="18"/>
                <w:szCs w:val="18"/>
              </w:rPr>
            </w:pPr>
          </w:p>
        </w:tc>
        <w:tc>
          <w:tcPr>
            <w:tcW w:w="719" w:type="dxa"/>
          </w:tcPr>
          <w:p w:rsidRPr="00C5308E" w:rsidR="00EF1671" w:rsidP="00D87753" w:rsidRDefault="00EF1671" w14:paraId="710274AF" w14:textId="73840E64">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3,6%</w:t>
            </w:r>
          </w:p>
        </w:tc>
        <w:tc>
          <w:tcPr>
            <w:tcW w:w="719" w:type="dxa"/>
          </w:tcPr>
          <w:p w:rsidRPr="00C5308E" w:rsidR="00EF1671" w:rsidP="00D87753" w:rsidRDefault="00EF1671" w14:paraId="0643440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4,7%</w:t>
            </w:r>
          </w:p>
        </w:tc>
        <w:tc>
          <w:tcPr>
            <w:tcW w:w="719" w:type="dxa"/>
          </w:tcPr>
          <w:p w:rsidRPr="00C5308E" w:rsidR="00EF1671" w:rsidP="00D87753" w:rsidRDefault="00EF1671" w14:paraId="5D94998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4,8%</w:t>
            </w:r>
          </w:p>
        </w:tc>
        <w:tc>
          <w:tcPr>
            <w:tcW w:w="711" w:type="dxa"/>
          </w:tcPr>
          <w:p w:rsidRPr="00C5308E" w:rsidR="00EF1671" w:rsidP="00D87753" w:rsidRDefault="00EF1671" w14:paraId="28D2AE9B" w14:textId="77777777">
            <w:pPr>
              <w:contextualSpacing/>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3,9%</w:t>
            </w:r>
          </w:p>
        </w:tc>
        <w:tc>
          <w:tcPr>
            <w:tcW w:w="719" w:type="dxa"/>
          </w:tcPr>
          <w:p w:rsidRPr="00C5308E" w:rsidR="00EF1671" w:rsidP="00D87753" w:rsidRDefault="00EF1671" w14:paraId="35812CA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4,9%</w:t>
            </w:r>
          </w:p>
        </w:tc>
        <w:tc>
          <w:tcPr>
            <w:tcW w:w="752" w:type="dxa"/>
          </w:tcPr>
          <w:p w:rsidRPr="00C5308E" w:rsidR="00EF1671" w:rsidP="00D87753" w:rsidRDefault="00EF1671" w14:paraId="3799D86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C5308E">
              <w:rPr>
                <w:rFonts w:ascii="Verdana" w:hAnsi="Verdana"/>
                <w:bCs/>
                <w:color w:val="000000"/>
                <w:sz w:val="18"/>
                <w:szCs w:val="18"/>
              </w:rPr>
              <w:t>3,7%</w:t>
            </w:r>
          </w:p>
        </w:tc>
      </w:tr>
    </w:tbl>
    <w:p w:rsidRPr="00C5308E" w:rsidR="00720C2B" w:rsidP="00D87753" w:rsidRDefault="00720C2B" w14:paraId="357FEE74" w14:textId="77777777">
      <w:pPr>
        <w:pStyle w:val="Tekstzonderopmaak"/>
        <w:contextualSpacing/>
        <w:rPr>
          <w:rFonts w:ascii="Verdana" w:hAnsi="Verdana"/>
          <w:bCs/>
          <w:sz w:val="16"/>
          <w:szCs w:val="16"/>
        </w:rPr>
      </w:pPr>
      <w:r w:rsidRPr="00C5308E">
        <w:rPr>
          <w:rFonts w:ascii="Verdana" w:hAnsi="Verdana"/>
          <w:bCs/>
          <w:sz w:val="16"/>
          <w:szCs w:val="16"/>
        </w:rPr>
        <w:t xml:space="preserve">Bron: UWV (peildatum 30 april 2025) </w:t>
      </w:r>
    </w:p>
    <w:p w:rsidRPr="00C5308E" w:rsidR="00720C2B" w:rsidP="00D87753" w:rsidRDefault="00720C2B" w14:paraId="07EBAA57" w14:textId="77777777">
      <w:pPr>
        <w:pStyle w:val="Tekstzonderopmaak"/>
        <w:contextualSpacing/>
        <w:rPr>
          <w:rFonts w:ascii="Verdana" w:hAnsi="Verdana"/>
          <w:bCs/>
          <w:sz w:val="16"/>
          <w:szCs w:val="16"/>
        </w:rPr>
      </w:pPr>
      <w:r w:rsidRPr="00C5308E">
        <w:rPr>
          <w:rFonts w:ascii="Verdana" w:hAnsi="Verdana"/>
          <w:bCs/>
          <w:sz w:val="16"/>
          <w:szCs w:val="16"/>
          <w:vertAlign w:val="superscript"/>
        </w:rPr>
        <w:t>1</w:t>
      </w:r>
      <w:r w:rsidRPr="00C5308E">
        <w:rPr>
          <w:rFonts w:ascii="Verdana" w:hAnsi="Verdana"/>
          <w:bCs/>
          <w:sz w:val="16"/>
          <w:szCs w:val="16"/>
        </w:rPr>
        <w:t xml:space="preserve"> Uit UWV jaarverslag 2024.</w:t>
      </w:r>
    </w:p>
    <w:p w:rsidRPr="00C5308E" w:rsidR="00720C2B" w:rsidP="00D87753" w:rsidRDefault="00720C2B" w14:paraId="76F2890B" w14:textId="77777777">
      <w:pPr>
        <w:spacing w:after="0" w:line="240" w:lineRule="auto"/>
        <w:contextualSpacing/>
        <w:rPr>
          <w:rFonts w:ascii="Verdana" w:hAnsi="Verdana"/>
          <w:bCs/>
          <w:i/>
          <w:iCs/>
          <w:sz w:val="18"/>
          <w:szCs w:val="18"/>
        </w:rPr>
      </w:pPr>
    </w:p>
    <w:p w:rsidRPr="00C5308E" w:rsidR="00720C2B" w:rsidP="00D87753" w:rsidRDefault="00720C2B" w14:paraId="5180691A" w14:textId="77777777">
      <w:pPr>
        <w:spacing w:after="0" w:line="240" w:lineRule="auto"/>
        <w:contextualSpacing/>
        <w:rPr>
          <w:rFonts w:ascii="Verdana" w:hAnsi="Verdana"/>
          <w:bCs/>
          <w:sz w:val="18"/>
          <w:szCs w:val="18"/>
        </w:rPr>
      </w:pPr>
      <w:r w:rsidRPr="00C5308E">
        <w:rPr>
          <w:rFonts w:ascii="Verdana" w:hAnsi="Verdana"/>
          <w:bCs/>
          <w:sz w:val="18"/>
          <w:szCs w:val="18"/>
        </w:rPr>
        <w:t>De NOW bestaat uit zes tranches, waarbij de NOW 3 uit drie aanvraagperiodes bestaat. De vastgestelde NOW-subsidie voor alle tranches samen bedraagt circa € 18,5 miljard (UWV jaarverslag 2024). Op 30 april 2025 bedroeg het totale bedrag aan (verwachte) oninbare vorderingen € 693 miljoen. Het wordt later pas duidelijk of dit bedrag inderdaad volledig oninbaar is. In de tabel hierboven is per NOW tranche een uitsplitsing gemaakt. De oninbaarheid uitgedrukt als percentage van de vastgestelde subsidie verschilt niet significant per NOW-regeling. Dit percentage ligt tussen de 2,9% en 4,9%.</w:t>
      </w:r>
    </w:p>
    <w:p w:rsidRPr="00C5308E" w:rsidR="00720C2B" w:rsidP="00D87753" w:rsidRDefault="00720C2B" w14:paraId="464CD8E5" w14:textId="77777777">
      <w:pPr>
        <w:spacing w:after="0" w:line="240" w:lineRule="auto"/>
        <w:contextualSpacing/>
        <w:rPr>
          <w:rFonts w:ascii="Verdana" w:hAnsi="Verdana"/>
          <w:bCs/>
          <w:sz w:val="18"/>
          <w:szCs w:val="18"/>
        </w:rPr>
      </w:pPr>
    </w:p>
    <w:p w:rsidRPr="00C5308E" w:rsidR="00720C2B" w:rsidP="00D87753" w:rsidRDefault="00720C2B" w14:paraId="0D29A9DA" w14:textId="18781451">
      <w:pPr>
        <w:spacing w:after="0" w:line="240" w:lineRule="auto"/>
        <w:contextualSpacing/>
        <w:rPr>
          <w:rFonts w:ascii="Verdana" w:hAnsi="Verdana"/>
          <w:bCs/>
          <w:sz w:val="18"/>
          <w:szCs w:val="18"/>
        </w:rPr>
      </w:pPr>
      <w:r w:rsidRPr="00C5308E">
        <w:rPr>
          <w:rFonts w:ascii="Verdana" w:hAnsi="Verdana"/>
          <w:bCs/>
          <w:sz w:val="18"/>
          <w:szCs w:val="18"/>
        </w:rPr>
        <w:t xml:space="preserve">We verwachten in totaal € 288 miljoen aan oninbare vorderingen als gevolg van faillissement. Hiervan is € 66 miljoen reeds afgeboekt wegens oninbaarheid. Deze vorderingen zijn definitief oninbaar gebleken. De resterende € 222 miljoen betreft een voorziening voor oninbare faillissementsvorderingen. We verwachten dat dit bedrag aan oninbare vorderingen zich nog zal materialiseren. Daarnaast zijn er reguliere vorderingen, waarvoor nog geen betalingsregeling is getroffen en geen sprake is van faillissement. In totaal gaan we uit van € 406 miljoen aan oninbaarheid op deze vorderingen. Hiervan is € 59 miljoen reeds afgeboekt. De voorziening voor reguliere oninbare vorderingen bedroeg € 347 miljoen op 30 april 2025. </w:t>
      </w:r>
    </w:p>
    <w:p w:rsidRPr="00C5308E" w:rsidR="00720C2B" w:rsidP="00D87753" w:rsidRDefault="00720C2B" w14:paraId="54C4DFD2" w14:textId="77777777">
      <w:pPr>
        <w:spacing w:after="0" w:line="240" w:lineRule="auto"/>
        <w:contextualSpacing/>
        <w:rPr>
          <w:rFonts w:ascii="Verdana" w:hAnsi="Verdana"/>
          <w:bCs/>
          <w:sz w:val="18"/>
          <w:szCs w:val="18"/>
        </w:rPr>
      </w:pPr>
    </w:p>
    <w:p w:rsidRPr="00C5308E" w:rsidR="00720C2B" w:rsidP="00D87753" w:rsidRDefault="00720C2B" w14:paraId="0867880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79</w:t>
      </w:r>
    </w:p>
    <w:p w:rsidRPr="00C5308E" w:rsidR="00720C2B" w:rsidP="00D87753" w:rsidRDefault="00720C2B" w14:paraId="06D99251" w14:textId="77777777">
      <w:pPr>
        <w:spacing w:after="0" w:line="240" w:lineRule="auto"/>
        <w:contextualSpacing/>
        <w:rPr>
          <w:rFonts w:ascii="Verdana" w:hAnsi="Verdana"/>
          <w:bCs/>
          <w:sz w:val="18"/>
          <w:szCs w:val="18"/>
        </w:rPr>
      </w:pPr>
      <w:r w:rsidRPr="00C5308E">
        <w:rPr>
          <w:rFonts w:ascii="Verdana" w:hAnsi="Verdana"/>
          <w:bCs/>
          <w:sz w:val="18"/>
          <w:szCs w:val="18"/>
        </w:rPr>
        <w:t>Kunt u uiteenzetten hoeveel misbruik en oneigenlijk gebruik er is geweest bij de NOW in euro's?</w:t>
      </w:r>
    </w:p>
    <w:p w:rsidRPr="00C5308E" w:rsidR="00720C2B" w:rsidP="00D87753" w:rsidRDefault="00720C2B" w14:paraId="63CEDBE1" w14:textId="77777777">
      <w:pPr>
        <w:spacing w:after="0" w:line="240" w:lineRule="auto"/>
        <w:contextualSpacing/>
        <w:rPr>
          <w:rFonts w:ascii="Verdana" w:hAnsi="Verdana"/>
          <w:bCs/>
          <w:sz w:val="18"/>
          <w:szCs w:val="18"/>
        </w:rPr>
      </w:pPr>
    </w:p>
    <w:p w:rsidRPr="00C5308E" w:rsidR="00720C2B" w:rsidP="00D87753" w:rsidRDefault="00720C2B" w14:paraId="11D6384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79</w:t>
      </w:r>
    </w:p>
    <w:p w:rsidRPr="00C5308E" w:rsidR="00720C2B" w:rsidP="00D87753" w:rsidRDefault="00720C2B" w14:paraId="6238F692" w14:textId="6067B7A4">
      <w:pPr>
        <w:spacing w:after="0" w:line="240" w:lineRule="auto"/>
        <w:contextualSpacing/>
        <w:rPr>
          <w:rFonts w:ascii="Verdana" w:hAnsi="Verdana"/>
          <w:bCs/>
          <w:sz w:val="18"/>
          <w:szCs w:val="18"/>
        </w:rPr>
      </w:pPr>
      <w:r w:rsidRPr="00C5308E">
        <w:rPr>
          <w:rFonts w:ascii="Verdana" w:hAnsi="Verdana"/>
          <w:bCs/>
          <w:sz w:val="18"/>
          <w:szCs w:val="18"/>
        </w:rPr>
        <w:t>In verhouding tot de subsidieaanvragen zijn er weinig signalen van misbruik en oneigenlijk gebruik (M&amp;O). Tot en met 2024 heeft UWV voor alle NOW</w:t>
      </w:r>
      <w:r w:rsidRPr="00C5308E">
        <w:rPr>
          <w:rFonts w:ascii="Cambria Math" w:hAnsi="Cambria Math" w:cs="Cambria Math"/>
          <w:bCs/>
          <w:sz w:val="18"/>
          <w:szCs w:val="18"/>
        </w:rPr>
        <w:t>‑</w:t>
      </w:r>
      <w:r w:rsidRPr="00C5308E">
        <w:rPr>
          <w:rFonts w:ascii="Verdana" w:hAnsi="Verdana"/>
          <w:bCs/>
          <w:sz w:val="18"/>
          <w:szCs w:val="18"/>
        </w:rPr>
        <w:t>regelingen in totaal 2.895 meldingen ontvangen over mogelijk misbruik door 2.302 bedrijven. Bij de helft van de meldingen is op basis van onderzoek geconcludeerd dat er geen verdere actie nodig was. Bij de andere helft was sprake van mogelijke fraude of valsheid in geschrifte. Bij die meldingen is een vervolgactie ondernomen of is de zaak overgedragen aan een ketenpartner voor verdere verwerking. De controles bij vaststellingsaanvragen naar aanleiding van alle meldingen en datagedreven signalen van de directie Handhaving bij UWV hebben in 317 gevallen geleid tot een neerwaartse bijstelling van het definitieve subsidiebedrag met c.a. € 7,6 miljoen</w:t>
      </w:r>
      <w:r w:rsidRPr="00C5308E" w:rsidR="00A64929">
        <w:rPr>
          <w:rFonts w:ascii="Verdana" w:hAnsi="Verdana"/>
          <w:bCs/>
          <w:sz w:val="18"/>
          <w:szCs w:val="18"/>
        </w:rPr>
        <w:t>.</w:t>
      </w:r>
      <w:r w:rsidRPr="00C5308E">
        <w:rPr>
          <w:rStyle w:val="Voetnootmarkering"/>
          <w:rFonts w:ascii="Verdana" w:hAnsi="Verdana"/>
          <w:bCs/>
          <w:sz w:val="18"/>
          <w:szCs w:val="18"/>
        </w:rPr>
        <w:footnoteReference w:id="38"/>
      </w:r>
      <w:r w:rsidRPr="00C5308E">
        <w:rPr>
          <w:rFonts w:ascii="Verdana" w:hAnsi="Verdana"/>
          <w:bCs/>
          <w:sz w:val="18"/>
          <w:szCs w:val="18"/>
        </w:rPr>
        <w:t xml:space="preserve"> In 14 gevallen is de definitieve subsidievaststelling achteraf herzien.</w:t>
      </w:r>
    </w:p>
    <w:p w:rsidRPr="00C5308E" w:rsidR="00720C2B" w:rsidP="00D87753" w:rsidRDefault="00720C2B" w14:paraId="3E581A87" w14:textId="77777777">
      <w:pPr>
        <w:spacing w:after="0" w:line="240" w:lineRule="auto"/>
        <w:contextualSpacing/>
        <w:rPr>
          <w:rFonts w:ascii="Verdana" w:hAnsi="Verdana"/>
          <w:bCs/>
          <w:sz w:val="18"/>
          <w:szCs w:val="18"/>
        </w:rPr>
      </w:pPr>
    </w:p>
    <w:p w:rsidRPr="00C5308E" w:rsidR="00720C2B" w:rsidP="00D87753" w:rsidRDefault="00720C2B" w14:paraId="54FE7E90" w14:textId="77777777">
      <w:pPr>
        <w:spacing w:after="0" w:line="240" w:lineRule="auto"/>
        <w:contextualSpacing/>
        <w:rPr>
          <w:rFonts w:ascii="Verdana" w:hAnsi="Verdana"/>
          <w:bCs/>
          <w:sz w:val="18"/>
          <w:szCs w:val="18"/>
        </w:rPr>
      </w:pPr>
      <w:r w:rsidRPr="00C5308E">
        <w:rPr>
          <w:rFonts w:ascii="Verdana" w:hAnsi="Verdana"/>
          <w:bCs/>
          <w:sz w:val="18"/>
          <w:szCs w:val="18"/>
        </w:rPr>
        <w:t xml:space="preserve">Tegelijkertijd wordt erkend dat mogelijk niet alle gevallen van M&amp;O in beeld zijn, zoals ook in de evaluatie van 2024 naar voren kwam </w:t>
      </w:r>
      <w:bookmarkStart w:name="_Hlk199229256" w:id="5"/>
      <w:r w:rsidRPr="00C5308E">
        <w:rPr>
          <w:rFonts w:ascii="Verdana" w:hAnsi="Verdana"/>
          <w:bCs/>
          <w:sz w:val="18"/>
          <w:szCs w:val="18"/>
        </w:rPr>
        <w:t>(</w:t>
      </w:r>
      <w:r w:rsidRPr="00C5308E">
        <w:rPr>
          <w:rFonts w:ascii="Verdana" w:hAnsi="Verdana" w:cs="Times New Roman"/>
          <w:bCs/>
          <w:sz w:val="18"/>
          <w:szCs w:val="18"/>
        </w:rPr>
        <w:t>Kamerstukken II 2023/24, 35 420, nr. 536</w:t>
      </w:r>
      <w:r w:rsidRPr="00C5308E">
        <w:rPr>
          <w:rFonts w:ascii="Verdana" w:hAnsi="Verdana"/>
          <w:bCs/>
          <w:sz w:val="18"/>
          <w:szCs w:val="18"/>
        </w:rPr>
        <w:t>)</w:t>
      </w:r>
      <w:bookmarkEnd w:id="5"/>
      <w:r w:rsidRPr="00C5308E">
        <w:rPr>
          <w:rFonts w:ascii="Verdana" w:hAnsi="Verdana"/>
          <w:bCs/>
          <w:sz w:val="18"/>
          <w:szCs w:val="18"/>
        </w:rPr>
        <w:t>. De snelle totstandkoming van de NOW-regeling heeft een verhoogd risico op M&amp;O met zich meegebracht, waarbij meer restrisico’s op M&amp;O zijn aanvaard dan bij reguliere omstandigheden gebruikelijk zouden zijn. Hierover is uw Kamer periodiek geïnformeerd. Tevens dient opgemerkt te worden dat het beleid voor M&amp;O zo veel mogelijk preventief is ingestoken. De bovenvermelde bedragen geven daarmee geen volledig en representatief beeld voor de resultaten van het M&amp;O-beleid binnen de NOW-regelingen als geheel.</w:t>
      </w:r>
    </w:p>
    <w:p w:rsidRPr="00C5308E" w:rsidR="00720C2B" w:rsidP="00D87753" w:rsidRDefault="00720C2B" w14:paraId="4BFB7294" w14:textId="77777777">
      <w:pPr>
        <w:spacing w:after="0" w:line="240" w:lineRule="auto"/>
        <w:contextualSpacing/>
        <w:rPr>
          <w:rFonts w:ascii="Verdana" w:hAnsi="Verdana"/>
          <w:bCs/>
          <w:sz w:val="18"/>
          <w:szCs w:val="18"/>
        </w:rPr>
      </w:pPr>
    </w:p>
    <w:p w:rsidRPr="00C5308E" w:rsidR="00720C2B" w:rsidP="00D87753" w:rsidRDefault="00720C2B" w14:paraId="0F07C02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80</w:t>
      </w:r>
    </w:p>
    <w:p w:rsidRPr="00C5308E" w:rsidR="00720C2B" w:rsidP="00D87753" w:rsidRDefault="00720C2B" w14:paraId="37640684" w14:textId="77777777">
      <w:pPr>
        <w:spacing w:after="0" w:line="240" w:lineRule="auto"/>
        <w:contextualSpacing/>
        <w:rPr>
          <w:rFonts w:ascii="Verdana" w:hAnsi="Verdana"/>
          <w:bCs/>
          <w:sz w:val="18"/>
          <w:szCs w:val="18"/>
        </w:rPr>
      </w:pPr>
      <w:r w:rsidRPr="00C5308E">
        <w:rPr>
          <w:rFonts w:ascii="Verdana" w:hAnsi="Verdana"/>
          <w:bCs/>
          <w:sz w:val="18"/>
          <w:szCs w:val="18"/>
        </w:rPr>
        <w:t>Kunt u voor de NOW uiteenzetten welk deel van de oninbare vorderingen komt door misbruik en oneigenlijk gebruik, dan wel fraude, dan wel te wijten is aan andere oorzaken (zoals faillissementen, schijn-faillissementen of eventueel andere oorzaken)?</w:t>
      </w:r>
    </w:p>
    <w:p w:rsidRPr="00C5308E" w:rsidR="00720C2B" w:rsidP="00D87753" w:rsidRDefault="00720C2B" w14:paraId="135AC814" w14:textId="77777777">
      <w:pPr>
        <w:spacing w:after="0" w:line="240" w:lineRule="auto"/>
        <w:contextualSpacing/>
        <w:rPr>
          <w:rFonts w:ascii="Verdana" w:hAnsi="Verdana"/>
          <w:bCs/>
          <w:sz w:val="18"/>
          <w:szCs w:val="18"/>
        </w:rPr>
      </w:pPr>
    </w:p>
    <w:p w:rsidRPr="00C5308E" w:rsidR="00720C2B" w:rsidP="00D87753" w:rsidRDefault="00720C2B" w14:paraId="1CBA5DB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80</w:t>
      </w:r>
    </w:p>
    <w:p w:rsidRPr="00C5308E" w:rsidR="00720C2B" w:rsidP="00D87753" w:rsidRDefault="00720C2B" w14:paraId="34AAF786" w14:textId="77777777">
      <w:pPr>
        <w:spacing w:after="0" w:line="240" w:lineRule="auto"/>
        <w:contextualSpacing/>
        <w:rPr>
          <w:rFonts w:ascii="Verdana" w:hAnsi="Verdana"/>
          <w:bCs/>
          <w:sz w:val="18"/>
          <w:szCs w:val="18"/>
        </w:rPr>
      </w:pPr>
      <w:r w:rsidRPr="00C5308E">
        <w:rPr>
          <w:rFonts w:ascii="Verdana" w:hAnsi="Verdana"/>
          <w:bCs/>
          <w:sz w:val="18"/>
          <w:szCs w:val="18"/>
        </w:rPr>
        <w:t xml:space="preserve">Oninbare vorderingen zijn te splitsen in NOW-vorderingen bij faillissement en reguliere NOW-vorderingen (zonder betalingsregeling). </w:t>
      </w:r>
      <w:bookmarkStart w:name="_Hlk199171647" w:id="6"/>
      <w:r w:rsidRPr="00C5308E">
        <w:rPr>
          <w:rFonts w:ascii="Verdana" w:hAnsi="Verdana"/>
          <w:bCs/>
          <w:sz w:val="18"/>
          <w:szCs w:val="18"/>
        </w:rPr>
        <w:t xml:space="preserve">Per 30 april 2025 is er € 66 miljoen afgeboekt op faillissementsvorderingen en bedraagt de voorziening voor oninbaarheid voor deze categorie vorderingen € 222 miljoen. Bij de reguliere NOW-vorderingen (zonder betalingsregeling) is er € 59 miljoen afgeboekt en komt de voorziening voor oninbaarheid uit op € 347 miljoen. De afboekingen </w:t>
      </w:r>
      <w:r w:rsidRPr="00C5308E">
        <w:rPr>
          <w:rFonts w:ascii="Verdana" w:hAnsi="Verdana"/>
          <w:bCs/>
          <w:sz w:val="18"/>
          <w:szCs w:val="18"/>
        </w:rPr>
        <w:lastRenderedPageBreak/>
        <w:t>en voorzieningen voor oninbaarheid bedragen 3,7% van de vastgestelde NOW-subsidies conform het UWV jaarverslag 2024.</w:t>
      </w:r>
      <w:bookmarkEnd w:id="6"/>
      <w:r w:rsidRPr="00C5308E">
        <w:rPr>
          <w:rFonts w:ascii="Verdana" w:hAnsi="Verdana"/>
          <w:bCs/>
          <w:sz w:val="18"/>
          <w:szCs w:val="18"/>
        </w:rPr>
        <w:t xml:space="preserve"> Een onderscheid naar misbruik en oneigenlijk gebruik (M&amp;O) of fraude is niet te maken. In 2024 is de NOW regeling geëvalueerd door SEO en Dialogic (</w:t>
      </w:r>
      <w:r w:rsidRPr="00C5308E">
        <w:rPr>
          <w:rFonts w:ascii="Verdana" w:hAnsi="Verdana" w:cs="Times New Roman"/>
          <w:bCs/>
          <w:sz w:val="18"/>
          <w:szCs w:val="18"/>
        </w:rPr>
        <w:t>Kamerstukken II 2023/24, 35 420, nr. 536</w:t>
      </w:r>
      <w:r w:rsidRPr="00C5308E">
        <w:rPr>
          <w:rFonts w:ascii="Verdana" w:hAnsi="Verdana"/>
          <w:bCs/>
          <w:sz w:val="18"/>
          <w:szCs w:val="18"/>
        </w:rPr>
        <w:t>). Dit onderzoek is tevens ingegaan op M&amp;O-aspecten van de regeling. In verhouding tot de subsidieaanvragen zijn er weinig signalen van M&amp;O. Tegelijkertijd wordt erkend dat mogelijk niet alle gevallen van M&amp;O in beeld zijn. Het is dus niet mogelijk het M&amp;O in euro’s uit te drukken.</w:t>
      </w:r>
    </w:p>
    <w:p w:rsidRPr="00C5308E" w:rsidR="00720C2B" w:rsidP="00D87753" w:rsidRDefault="00720C2B" w14:paraId="2BD46A88" w14:textId="77777777">
      <w:pPr>
        <w:spacing w:after="0" w:line="240" w:lineRule="auto"/>
        <w:contextualSpacing/>
        <w:rPr>
          <w:rFonts w:ascii="Verdana" w:hAnsi="Verdana"/>
          <w:bCs/>
          <w:sz w:val="18"/>
          <w:szCs w:val="18"/>
        </w:rPr>
      </w:pPr>
    </w:p>
    <w:p w:rsidRPr="00C5308E" w:rsidR="00720C2B" w:rsidP="00D87753" w:rsidRDefault="00720C2B" w14:paraId="7446B25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81</w:t>
      </w:r>
    </w:p>
    <w:p w:rsidRPr="00C5308E" w:rsidR="00720C2B" w:rsidP="00D87753" w:rsidRDefault="00720C2B" w14:paraId="5733E30E" w14:textId="77777777">
      <w:pPr>
        <w:spacing w:after="0" w:line="240" w:lineRule="auto"/>
        <w:contextualSpacing/>
        <w:rPr>
          <w:rFonts w:ascii="Verdana" w:hAnsi="Verdana"/>
          <w:bCs/>
          <w:sz w:val="18"/>
          <w:szCs w:val="18"/>
        </w:rPr>
      </w:pPr>
      <w:r w:rsidRPr="00C5308E">
        <w:rPr>
          <w:rFonts w:ascii="Verdana" w:hAnsi="Verdana"/>
          <w:bCs/>
          <w:sz w:val="18"/>
          <w:szCs w:val="18"/>
        </w:rPr>
        <w:t>Hoe hoog zijn de oninbare vorderingen van de NOW in totaal? Dus los van de bijstelling van € 133,7 miljoen?</w:t>
      </w:r>
    </w:p>
    <w:p w:rsidRPr="00C5308E" w:rsidR="00720C2B" w:rsidP="00D87753" w:rsidRDefault="00720C2B" w14:paraId="7C9A863F" w14:textId="77777777">
      <w:pPr>
        <w:spacing w:after="0" w:line="240" w:lineRule="auto"/>
        <w:contextualSpacing/>
        <w:rPr>
          <w:rFonts w:ascii="Verdana" w:hAnsi="Verdana"/>
          <w:bCs/>
          <w:sz w:val="18"/>
          <w:szCs w:val="18"/>
          <w:u w:val="single"/>
        </w:rPr>
      </w:pPr>
    </w:p>
    <w:p w:rsidRPr="00C5308E" w:rsidR="00720C2B" w:rsidP="00D87753" w:rsidRDefault="00720C2B" w14:paraId="4F1D09E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81</w:t>
      </w:r>
    </w:p>
    <w:p w:rsidRPr="00C5308E" w:rsidR="00720C2B" w:rsidP="00D87753" w:rsidRDefault="00720C2B" w14:paraId="28110BA1" w14:textId="77777777">
      <w:pPr>
        <w:spacing w:after="0" w:line="240" w:lineRule="auto"/>
        <w:contextualSpacing/>
        <w:rPr>
          <w:rFonts w:ascii="Verdana" w:hAnsi="Verdana"/>
          <w:bCs/>
          <w:sz w:val="18"/>
          <w:szCs w:val="18"/>
        </w:rPr>
      </w:pPr>
      <w:r w:rsidRPr="00C5308E">
        <w:rPr>
          <w:rFonts w:ascii="Verdana" w:hAnsi="Verdana"/>
          <w:bCs/>
          <w:sz w:val="18"/>
          <w:szCs w:val="18"/>
        </w:rPr>
        <w:t xml:space="preserve">Per 30 april 2025 is er € 66 miljoen afgeboekt op faillissementsvorderingen en bedraagt de voorziening voor oninbaarheid € 222 miljoen. Bij de reguliere NOW-vorderingen (zonder betalingsregeling) bedragen de afboekingen € 59 miljoen en komt de voorziening wegens oninbaarheid uit op € 347 miljoen. De afboekingen en voorzieningen voor oninbaarheid bedragen 3,7% van de vastgestelde NOW-subsidies conform het UWV jaarverslag 2024. </w:t>
      </w:r>
    </w:p>
    <w:p w:rsidRPr="00C5308E" w:rsidR="00720C2B" w:rsidP="00D87753" w:rsidRDefault="00720C2B" w14:paraId="3B101D74" w14:textId="77777777">
      <w:pPr>
        <w:spacing w:after="0" w:line="240" w:lineRule="auto"/>
        <w:contextualSpacing/>
        <w:rPr>
          <w:rFonts w:ascii="Verdana" w:hAnsi="Verdana"/>
          <w:bCs/>
          <w:sz w:val="18"/>
          <w:szCs w:val="18"/>
        </w:rPr>
      </w:pPr>
    </w:p>
    <w:p w:rsidRPr="00C5308E" w:rsidR="00720C2B" w:rsidP="00D87753" w:rsidRDefault="00720C2B" w14:paraId="3A8E531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82</w:t>
      </w:r>
    </w:p>
    <w:p w:rsidRPr="00C5308E" w:rsidR="00720C2B" w:rsidP="00D87753" w:rsidRDefault="00720C2B" w14:paraId="0116687C" w14:textId="77777777">
      <w:pPr>
        <w:pStyle w:val="Geenafstand"/>
        <w:contextualSpacing/>
        <w:rPr>
          <w:rFonts w:ascii="Verdana" w:hAnsi="Verdana"/>
          <w:bCs/>
          <w:sz w:val="18"/>
          <w:szCs w:val="18"/>
        </w:rPr>
      </w:pPr>
      <w:r w:rsidRPr="00C5308E">
        <w:rPr>
          <w:rFonts w:ascii="Verdana" w:hAnsi="Verdana"/>
          <w:bCs/>
          <w:sz w:val="18"/>
          <w:szCs w:val="18"/>
        </w:rPr>
        <w:t>Welk deel van de structurele tegenvaller in de WKB is toe te schrijven aan de te hoge inschatting van de loonontwikkeling? En wat was de feitelijke loonontwikkeling t.o.v. de Centraal Economische Plan (CEP)-raming?</w:t>
      </w:r>
    </w:p>
    <w:p w:rsidRPr="00C5308E" w:rsidR="00720C2B" w:rsidP="00D87753" w:rsidRDefault="00720C2B" w14:paraId="53B30954" w14:textId="77777777">
      <w:pPr>
        <w:pStyle w:val="Geenafstand"/>
        <w:contextualSpacing/>
        <w:rPr>
          <w:rFonts w:ascii="Verdana" w:hAnsi="Verdana"/>
          <w:bCs/>
          <w:sz w:val="18"/>
          <w:szCs w:val="18"/>
        </w:rPr>
      </w:pPr>
    </w:p>
    <w:p w:rsidRPr="00C5308E" w:rsidR="00720C2B" w:rsidP="00D87753" w:rsidRDefault="00720C2B" w14:paraId="1679C2C5" w14:textId="1DBE2312">
      <w:pPr>
        <w:spacing w:after="0" w:line="240" w:lineRule="auto"/>
        <w:contextualSpacing/>
        <w:rPr>
          <w:rFonts w:ascii="Verdana" w:hAnsi="Verdana"/>
          <w:bCs/>
          <w:sz w:val="18"/>
          <w:szCs w:val="18"/>
          <w:u w:val="single"/>
        </w:rPr>
      </w:pPr>
      <w:r w:rsidRPr="00C5308E">
        <w:rPr>
          <w:rFonts w:ascii="Verdana" w:hAnsi="Verdana"/>
          <w:bCs/>
          <w:sz w:val="18"/>
          <w:szCs w:val="18"/>
          <w:u w:val="single"/>
        </w:rPr>
        <w:t>Antwoord</w:t>
      </w:r>
      <w:r w:rsidRPr="00C5308E" w:rsidR="0056088B">
        <w:rPr>
          <w:rFonts w:ascii="Verdana" w:hAnsi="Verdana"/>
          <w:bCs/>
          <w:sz w:val="18"/>
          <w:szCs w:val="18"/>
          <w:u w:val="single"/>
        </w:rPr>
        <w:t xml:space="preserve"> 82</w:t>
      </w:r>
    </w:p>
    <w:p w:rsidRPr="00C5308E" w:rsidR="00720C2B" w:rsidP="00D87753" w:rsidRDefault="00720C2B" w14:paraId="5831CA0B" w14:textId="77777777">
      <w:pPr>
        <w:spacing w:line="240" w:lineRule="auto"/>
        <w:contextualSpacing/>
        <w:rPr>
          <w:rFonts w:ascii="Verdana" w:hAnsi="Verdana"/>
          <w:bCs/>
          <w:sz w:val="18"/>
          <w:szCs w:val="18"/>
        </w:rPr>
      </w:pPr>
      <w:r w:rsidRPr="00C5308E">
        <w:rPr>
          <w:rFonts w:ascii="Verdana" w:hAnsi="Verdana"/>
          <w:bCs/>
          <w:sz w:val="18"/>
          <w:szCs w:val="18"/>
        </w:rPr>
        <w:t xml:space="preserve">De structurele tegenvaller op het kindgebonden budget (WKB) is nagenoeg geheel toe te schrijven aan een neerwaartse bijstelling van de door het Centraal Planbureau (CPB) geprognosticeerde loonontwikkeling van huishoudens met kinderen. </w:t>
      </w:r>
    </w:p>
    <w:p w:rsidRPr="00C5308E" w:rsidR="00720C2B" w:rsidP="00D87753" w:rsidRDefault="00720C2B" w14:paraId="0920F6F8" w14:textId="77777777">
      <w:pPr>
        <w:spacing w:line="240" w:lineRule="auto"/>
        <w:contextualSpacing/>
        <w:rPr>
          <w:rFonts w:ascii="Verdana" w:hAnsi="Verdana"/>
          <w:bCs/>
          <w:sz w:val="18"/>
          <w:szCs w:val="18"/>
        </w:rPr>
      </w:pPr>
      <w:r w:rsidRPr="00C5308E">
        <w:rPr>
          <w:rFonts w:ascii="Verdana" w:hAnsi="Verdana"/>
          <w:bCs/>
          <w:sz w:val="18"/>
          <w:szCs w:val="18"/>
        </w:rPr>
        <w:t xml:space="preserve">De WKB-uitgaven nemen structureel toe doordat het CPB de inkomensontwikkeling van huishoudens met kinderen in de CEP-raming vanaf 2027 structureel lager inschat dan eerder ten tijde van de cMEV 2024 werd verwacht. De structureel lagere gezinsinkomens leiden daarbij tot hogere uitgaven aan WKB. </w:t>
      </w:r>
    </w:p>
    <w:p w:rsidRPr="00C5308E" w:rsidR="00720C2B" w:rsidP="00D87753" w:rsidRDefault="00720C2B" w14:paraId="50AF3BF2" w14:textId="2C426DA4">
      <w:pPr>
        <w:pStyle w:val="Geenafstand"/>
        <w:contextualSpacing/>
        <w:rPr>
          <w:rFonts w:ascii="Verdana" w:hAnsi="Verdana"/>
          <w:bCs/>
          <w:sz w:val="18"/>
          <w:szCs w:val="18"/>
        </w:rPr>
      </w:pPr>
      <w:r w:rsidRPr="00C5308E">
        <w:rPr>
          <w:rFonts w:ascii="Verdana" w:hAnsi="Verdana"/>
          <w:bCs/>
          <w:sz w:val="18"/>
          <w:szCs w:val="18"/>
        </w:rPr>
        <w:t xml:space="preserve">In de onderstaande tabel is indicatief zichtbaar gemaakt in hoeverre het CPB in het CEP 2025 de gemiddelde gezinsinkomens ten opzichte van de cMEV 2024 heeft bijgesteld. Het betreft hier de gemiddelde inkomensontwikkeling van </w:t>
      </w:r>
      <w:r w:rsidRPr="00C5308E">
        <w:rPr>
          <w:rFonts w:ascii="Verdana" w:hAnsi="Verdana"/>
          <w:bCs/>
          <w:i/>
          <w:iCs/>
          <w:sz w:val="18"/>
          <w:szCs w:val="18"/>
        </w:rPr>
        <w:t>alle</w:t>
      </w:r>
      <w:r w:rsidRPr="00C5308E">
        <w:rPr>
          <w:rFonts w:ascii="Verdana" w:hAnsi="Verdana"/>
          <w:bCs/>
          <w:sz w:val="18"/>
          <w:szCs w:val="18"/>
        </w:rPr>
        <w:t xml:space="preserve"> huishoudens met kinderen hetgeen dus niet per definitie gelijkstaat aan de inkomensontwikkeling van specifiek de WKB-populatie. </w:t>
      </w:r>
    </w:p>
    <w:p w:rsidRPr="00C5308E" w:rsidR="00720C2B" w:rsidP="00D87753" w:rsidRDefault="00720C2B" w14:paraId="6D9B8110" w14:textId="77777777">
      <w:pPr>
        <w:pStyle w:val="Geenafstand"/>
        <w:contextualSpacing/>
        <w:rPr>
          <w:rFonts w:ascii="Verdana" w:hAnsi="Verdana"/>
          <w:bCs/>
          <w:sz w:val="18"/>
          <w:szCs w:val="18"/>
        </w:rPr>
      </w:pPr>
    </w:p>
    <w:p w:rsidRPr="00C5308E" w:rsidR="00720C2B" w:rsidP="00D87753" w:rsidRDefault="00720C2B" w14:paraId="01B32DF7" w14:textId="77777777">
      <w:pPr>
        <w:pStyle w:val="Geenafstand"/>
        <w:contextualSpacing/>
        <w:rPr>
          <w:rFonts w:ascii="Verdana" w:hAnsi="Verdana"/>
          <w:bCs/>
          <w:sz w:val="18"/>
          <w:szCs w:val="18"/>
        </w:rPr>
      </w:pPr>
      <w:r w:rsidRPr="00C5308E">
        <w:rPr>
          <w:rFonts w:ascii="Verdana" w:hAnsi="Verdana"/>
          <w:bCs/>
          <w:sz w:val="18"/>
          <w:szCs w:val="18"/>
        </w:rPr>
        <w:t xml:space="preserve">Om in aanmerking te kunnen komen voor WKB is onder meer de hoogte van het inkomen en vermogen bepalend. Echter is de inkomensontwikkeling van specifiek de WKB-populatie lastig te bepalen, onder meer omdat de WKB-populatie als gevolg van beleid (tijdelijk) in omvang kan variëren. Zo hebben de laatste jaren als gevolg van de WKB-intensiveringen veel nieuwe gezinnen met relatief hogere inkomens recht gekregen op WKB. </w:t>
      </w:r>
    </w:p>
    <w:p w:rsidRPr="00C5308E" w:rsidR="00720C2B" w:rsidP="00D87753" w:rsidRDefault="00720C2B" w14:paraId="51F7069D" w14:textId="77777777">
      <w:pPr>
        <w:spacing w:after="0" w:line="240" w:lineRule="auto"/>
        <w:contextualSpacing/>
        <w:jc w:val="both"/>
        <w:rPr>
          <w:rFonts w:ascii="Verdana" w:hAnsi="Verdana"/>
          <w:bCs/>
          <w:i/>
          <w:color w:val="000000"/>
          <w:sz w:val="18"/>
          <w:szCs w:val="18"/>
        </w:rPr>
      </w:pPr>
    </w:p>
    <w:p w:rsidRPr="00C5308E" w:rsidR="00720C2B" w:rsidP="00D87753" w:rsidRDefault="00720C2B" w14:paraId="0CC5A37C" w14:textId="06FF4094">
      <w:pPr>
        <w:spacing w:after="0" w:line="240" w:lineRule="auto"/>
        <w:contextualSpacing/>
        <w:jc w:val="both"/>
        <w:rPr>
          <w:rFonts w:ascii="Verdana" w:hAnsi="Verdana"/>
          <w:bCs/>
          <w:i/>
          <w:color w:val="000000"/>
          <w:sz w:val="18"/>
          <w:szCs w:val="18"/>
        </w:rPr>
      </w:pPr>
      <w:r w:rsidRPr="00C5308E">
        <w:rPr>
          <w:rFonts w:ascii="Verdana" w:hAnsi="Verdana"/>
          <w:bCs/>
          <w:i/>
          <w:color w:val="000000"/>
          <w:sz w:val="18"/>
          <w:szCs w:val="18"/>
        </w:rPr>
        <w:t>Tabe</w:t>
      </w:r>
      <w:r w:rsidRPr="00C5308E" w:rsidR="00661995">
        <w:rPr>
          <w:rFonts w:ascii="Verdana" w:hAnsi="Verdana"/>
          <w:bCs/>
          <w:i/>
          <w:color w:val="000000"/>
          <w:sz w:val="18"/>
          <w:szCs w:val="18"/>
        </w:rPr>
        <w:t>l</w:t>
      </w:r>
      <w:r w:rsidRPr="00C5308E">
        <w:rPr>
          <w:rFonts w:ascii="Verdana" w:hAnsi="Verdana"/>
          <w:bCs/>
          <w:i/>
          <w:color w:val="000000"/>
          <w:sz w:val="18"/>
          <w:szCs w:val="18"/>
        </w:rPr>
        <w:t>: Indicatie bijstellingen CPB-prognose inkomensontwikkeling huishoudens met kinderen (cMEV2024 vs. CEP2025)</w:t>
      </w:r>
    </w:p>
    <w:tbl>
      <w:tblPr>
        <w:tblStyle w:val="Lijsttabel4-Accent5"/>
        <w:tblW w:w="9014" w:type="dxa"/>
        <w:tblLook w:val="04A0" w:firstRow="1" w:lastRow="0" w:firstColumn="1" w:lastColumn="0" w:noHBand="0" w:noVBand="1"/>
      </w:tblPr>
      <w:tblGrid>
        <w:gridCol w:w="3572"/>
        <w:gridCol w:w="907"/>
        <w:gridCol w:w="907"/>
        <w:gridCol w:w="907"/>
        <w:gridCol w:w="907"/>
        <w:gridCol w:w="907"/>
        <w:gridCol w:w="907"/>
      </w:tblGrid>
      <w:tr w:rsidRPr="00C5308E" w:rsidR="00720C2B" w:rsidTr="003C75FE" w14:paraId="259A294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C5308E" w:rsidR="00720C2B" w:rsidP="00D87753" w:rsidRDefault="00720C2B" w14:paraId="151D8C7D" w14:textId="77777777">
            <w:pPr>
              <w:contextualSpacing/>
              <w:rPr>
                <w:rFonts w:ascii="Verdana" w:hAnsi="Verdana" w:eastAsia="Times New Roman" w:cs="Calibri"/>
                <w:b w:val="0"/>
                <w:color w:val="000000"/>
                <w:sz w:val="18"/>
                <w:szCs w:val="18"/>
                <w:lang w:eastAsia="nl-NL"/>
              </w:rPr>
            </w:pPr>
            <w:r w:rsidRPr="00C5308E">
              <w:rPr>
                <w:rFonts w:ascii="Verdana" w:hAnsi="Verdana" w:eastAsia="Times New Roman" w:cs="Calibri"/>
                <w:b w:val="0"/>
                <w:color w:val="000000"/>
                <w:sz w:val="18"/>
                <w:szCs w:val="18"/>
                <w:lang w:eastAsia="nl-NL"/>
              </w:rPr>
              <w:t> </w:t>
            </w:r>
          </w:p>
        </w:tc>
        <w:tc>
          <w:tcPr>
            <w:tcW w:w="907" w:type="dxa"/>
          </w:tcPr>
          <w:p w:rsidRPr="00C5308E" w:rsidR="00720C2B" w:rsidP="00D87753" w:rsidRDefault="00720C2B" w14:paraId="29A352F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2025</w:t>
            </w:r>
          </w:p>
        </w:tc>
        <w:tc>
          <w:tcPr>
            <w:tcW w:w="907" w:type="dxa"/>
            <w:noWrap/>
            <w:hideMark/>
          </w:tcPr>
          <w:p w:rsidRPr="00C5308E" w:rsidR="00720C2B" w:rsidP="00D87753" w:rsidRDefault="00720C2B" w14:paraId="79B32A2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2026</w:t>
            </w:r>
          </w:p>
        </w:tc>
        <w:tc>
          <w:tcPr>
            <w:tcW w:w="907" w:type="dxa"/>
            <w:noWrap/>
            <w:hideMark/>
          </w:tcPr>
          <w:p w:rsidRPr="00C5308E" w:rsidR="00720C2B" w:rsidP="00D87753" w:rsidRDefault="00720C2B" w14:paraId="69659C4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2027</w:t>
            </w:r>
          </w:p>
        </w:tc>
        <w:tc>
          <w:tcPr>
            <w:tcW w:w="907" w:type="dxa"/>
            <w:noWrap/>
            <w:hideMark/>
          </w:tcPr>
          <w:p w:rsidRPr="00C5308E" w:rsidR="00720C2B" w:rsidP="00D87753" w:rsidRDefault="00720C2B" w14:paraId="7A29E001"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2028</w:t>
            </w:r>
          </w:p>
        </w:tc>
        <w:tc>
          <w:tcPr>
            <w:tcW w:w="907" w:type="dxa"/>
            <w:noWrap/>
            <w:hideMark/>
          </w:tcPr>
          <w:p w:rsidRPr="00C5308E" w:rsidR="00720C2B" w:rsidP="00D87753" w:rsidRDefault="00720C2B" w14:paraId="338382BF"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2029</w:t>
            </w:r>
          </w:p>
        </w:tc>
        <w:tc>
          <w:tcPr>
            <w:tcW w:w="907" w:type="dxa"/>
            <w:noWrap/>
            <w:hideMark/>
          </w:tcPr>
          <w:p w:rsidRPr="00C5308E" w:rsidR="00720C2B" w:rsidP="00D87753" w:rsidRDefault="00720C2B" w14:paraId="573BA0F1"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sz w:val="18"/>
                <w:szCs w:val="18"/>
                <w:lang w:eastAsia="nl-NL"/>
              </w:rPr>
            </w:pPr>
            <w:r w:rsidRPr="00C5308E">
              <w:rPr>
                <w:rFonts w:ascii="Verdana" w:hAnsi="Verdana" w:eastAsia="Times New Roman" w:cs="Calibri"/>
                <w:b w:val="0"/>
                <w:sz w:val="18"/>
                <w:szCs w:val="18"/>
                <w:lang w:eastAsia="nl-NL"/>
              </w:rPr>
              <w:t>2030</w:t>
            </w:r>
          </w:p>
        </w:tc>
      </w:tr>
      <w:tr w:rsidRPr="00C5308E" w:rsidR="00720C2B" w:rsidTr="003C75FE" w14:paraId="3CAA80A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C5308E" w:rsidR="00720C2B" w:rsidP="00D87753" w:rsidRDefault="00720C2B" w14:paraId="262F2A18" w14:textId="51B0162E">
            <w:pPr>
              <w:contextualSpacing/>
              <w:rPr>
                <w:rFonts w:ascii="Verdana" w:hAnsi="Verdana" w:eastAsia="Times New Roman" w:cs="Calibri"/>
                <w:b w:val="0"/>
                <w:color w:val="000000"/>
                <w:sz w:val="18"/>
                <w:szCs w:val="18"/>
                <w:lang w:eastAsia="nl-NL"/>
              </w:rPr>
            </w:pPr>
            <w:r w:rsidRPr="00C5308E">
              <w:rPr>
                <w:rFonts w:ascii="Verdana" w:hAnsi="Verdana" w:eastAsia="Times New Roman" w:cs="Calibri"/>
                <w:b w:val="0"/>
                <w:color w:val="000000"/>
                <w:sz w:val="18"/>
                <w:szCs w:val="18"/>
                <w:lang w:eastAsia="nl-NL"/>
              </w:rPr>
              <w:t>Gemiddelde inkomenswikkeling huishoudens met kinderen</w:t>
            </w:r>
            <w:r w:rsidRPr="00C5308E" w:rsidR="00903729">
              <w:rPr>
                <w:rFonts w:ascii="Verdana" w:hAnsi="Verdana" w:eastAsia="Times New Roman" w:cs="Calibri"/>
                <w:b w:val="0"/>
                <w:color w:val="000000"/>
                <w:sz w:val="18"/>
                <w:szCs w:val="18"/>
                <w:lang w:eastAsia="nl-NL"/>
              </w:rPr>
              <w:t xml:space="preserve"> </w:t>
            </w:r>
            <w:r w:rsidRPr="00C5308E">
              <w:rPr>
                <w:rFonts w:ascii="Verdana" w:hAnsi="Verdana" w:eastAsia="Times New Roman" w:cs="Calibri"/>
                <w:b w:val="0"/>
                <w:color w:val="000000"/>
                <w:sz w:val="18"/>
                <w:szCs w:val="18"/>
                <w:lang w:eastAsia="nl-NL"/>
              </w:rPr>
              <w:t>(cMEV ’24)</w:t>
            </w:r>
          </w:p>
        </w:tc>
        <w:tc>
          <w:tcPr>
            <w:tcW w:w="907" w:type="dxa"/>
          </w:tcPr>
          <w:p w:rsidRPr="00C5308E" w:rsidR="00720C2B" w:rsidP="00D87753" w:rsidRDefault="00720C2B" w14:paraId="7A6E9A4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5,9%</w:t>
            </w:r>
          </w:p>
        </w:tc>
        <w:tc>
          <w:tcPr>
            <w:tcW w:w="907" w:type="dxa"/>
            <w:noWrap/>
            <w:hideMark/>
          </w:tcPr>
          <w:p w:rsidRPr="00C5308E" w:rsidR="00720C2B" w:rsidP="00D87753" w:rsidRDefault="00720C2B" w14:paraId="0020B10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2,8%</w:t>
            </w:r>
          </w:p>
        </w:tc>
        <w:tc>
          <w:tcPr>
            <w:tcW w:w="907" w:type="dxa"/>
            <w:noWrap/>
            <w:hideMark/>
          </w:tcPr>
          <w:p w:rsidRPr="00C5308E" w:rsidR="00720C2B" w:rsidP="00D87753" w:rsidRDefault="00720C2B" w14:paraId="0133B49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4,1%</w:t>
            </w:r>
          </w:p>
        </w:tc>
        <w:tc>
          <w:tcPr>
            <w:tcW w:w="907" w:type="dxa"/>
            <w:noWrap/>
            <w:hideMark/>
          </w:tcPr>
          <w:p w:rsidRPr="00C5308E" w:rsidR="00720C2B" w:rsidP="00D87753" w:rsidRDefault="00720C2B" w14:paraId="37A4631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3,7%</w:t>
            </w:r>
          </w:p>
        </w:tc>
        <w:tc>
          <w:tcPr>
            <w:tcW w:w="907" w:type="dxa"/>
            <w:noWrap/>
            <w:hideMark/>
          </w:tcPr>
          <w:p w:rsidRPr="00C5308E" w:rsidR="00720C2B" w:rsidP="00D87753" w:rsidRDefault="00720C2B" w14:paraId="387A6E3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4,0%</w:t>
            </w:r>
          </w:p>
        </w:tc>
        <w:tc>
          <w:tcPr>
            <w:tcW w:w="907" w:type="dxa"/>
            <w:noWrap/>
            <w:hideMark/>
          </w:tcPr>
          <w:p w:rsidRPr="00C5308E" w:rsidR="00720C2B" w:rsidP="00D87753" w:rsidRDefault="00720C2B" w14:paraId="4BE21E2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4,0%</w:t>
            </w:r>
          </w:p>
        </w:tc>
      </w:tr>
      <w:tr w:rsidRPr="00C5308E" w:rsidR="00720C2B" w:rsidTr="003C75FE" w14:paraId="7482A206" w14:textId="77777777">
        <w:trPr>
          <w:trHeight w:val="288"/>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C5308E" w:rsidR="00720C2B" w:rsidP="00D87753" w:rsidRDefault="00720C2B" w14:paraId="74173886" w14:textId="77777777">
            <w:pPr>
              <w:contextualSpacing/>
              <w:rPr>
                <w:rFonts w:ascii="Verdana" w:hAnsi="Verdana" w:eastAsia="Times New Roman" w:cs="Calibri"/>
                <w:b w:val="0"/>
                <w:color w:val="000000"/>
                <w:sz w:val="18"/>
                <w:szCs w:val="18"/>
                <w:lang w:eastAsia="nl-NL"/>
              </w:rPr>
            </w:pPr>
            <w:r w:rsidRPr="00C5308E">
              <w:rPr>
                <w:rFonts w:ascii="Verdana" w:hAnsi="Verdana" w:eastAsia="Times New Roman" w:cs="Calibri"/>
                <w:b w:val="0"/>
                <w:color w:val="000000"/>
                <w:sz w:val="18"/>
                <w:szCs w:val="18"/>
                <w:lang w:eastAsia="nl-NL"/>
              </w:rPr>
              <w:t>Gemiddelde inkomensontwikkeling huishoudens met kinderen (CEP ‘25)</w:t>
            </w:r>
          </w:p>
        </w:tc>
        <w:tc>
          <w:tcPr>
            <w:tcW w:w="907" w:type="dxa"/>
          </w:tcPr>
          <w:p w:rsidRPr="00C5308E" w:rsidR="00720C2B" w:rsidP="00D87753" w:rsidRDefault="00720C2B" w14:paraId="39E0580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5,8%</w:t>
            </w:r>
          </w:p>
        </w:tc>
        <w:tc>
          <w:tcPr>
            <w:tcW w:w="907" w:type="dxa"/>
            <w:noWrap/>
            <w:hideMark/>
          </w:tcPr>
          <w:p w:rsidRPr="00C5308E" w:rsidR="00720C2B" w:rsidP="00D87753" w:rsidRDefault="00720C2B" w14:paraId="6E9ECFC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3,1%</w:t>
            </w:r>
          </w:p>
        </w:tc>
        <w:tc>
          <w:tcPr>
            <w:tcW w:w="907" w:type="dxa"/>
            <w:noWrap/>
            <w:hideMark/>
          </w:tcPr>
          <w:p w:rsidRPr="00C5308E" w:rsidR="00720C2B" w:rsidP="00D87753" w:rsidRDefault="00720C2B" w14:paraId="5D96C69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3,8%</w:t>
            </w:r>
          </w:p>
        </w:tc>
        <w:tc>
          <w:tcPr>
            <w:tcW w:w="907" w:type="dxa"/>
            <w:noWrap/>
            <w:hideMark/>
          </w:tcPr>
          <w:p w:rsidRPr="00C5308E" w:rsidR="00720C2B" w:rsidP="00D87753" w:rsidRDefault="00720C2B" w14:paraId="7C4D3D8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3,3%</w:t>
            </w:r>
          </w:p>
        </w:tc>
        <w:tc>
          <w:tcPr>
            <w:tcW w:w="907" w:type="dxa"/>
            <w:noWrap/>
            <w:hideMark/>
          </w:tcPr>
          <w:p w:rsidRPr="00C5308E" w:rsidR="00720C2B" w:rsidP="00D87753" w:rsidRDefault="00720C2B" w14:paraId="3A3E90D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3,3%</w:t>
            </w:r>
          </w:p>
        </w:tc>
        <w:tc>
          <w:tcPr>
            <w:tcW w:w="907" w:type="dxa"/>
            <w:noWrap/>
            <w:hideMark/>
          </w:tcPr>
          <w:p w:rsidRPr="00C5308E" w:rsidR="00720C2B" w:rsidP="00D87753" w:rsidRDefault="00720C2B" w14:paraId="0D46E9C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color w:val="000000"/>
                <w:sz w:val="18"/>
                <w:szCs w:val="18"/>
                <w:lang w:eastAsia="nl-NL"/>
              </w:rPr>
            </w:pPr>
            <w:r w:rsidRPr="00C5308E">
              <w:rPr>
                <w:rFonts w:ascii="Verdana" w:hAnsi="Verdana"/>
                <w:bCs/>
                <w:sz w:val="18"/>
                <w:szCs w:val="18"/>
              </w:rPr>
              <w:t>3,2%</w:t>
            </w:r>
          </w:p>
        </w:tc>
      </w:tr>
      <w:tr w:rsidRPr="00C5308E" w:rsidR="00720C2B" w:rsidTr="003C75FE" w14:paraId="66EE6D6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2" w:type="dxa"/>
            <w:noWrap/>
          </w:tcPr>
          <w:p w:rsidRPr="00C5308E" w:rsidR="00720C2B" w:rsidP="00D87753" w:rsidRDefault="00720C2B" w14:paraId="528EA542" w14:textId="77777777">
            <w:pPr>
              <w:contextualSpacing/>
              <w:rPr>
                <w:rFonts w:ascii="Verdana" w:hAnsi="Verdana" w:eastAsia="Times New Roman" w:cs="Calibri"/>
                <w:b w:val="0"/>
                <w:i/>
                <w:iCs/>
                <w:color w:val="000000"/>
                <w:sz w:val="18"/>
                <w:szCs w:val="18"/>
                <w:lang w:eastAsia="nl-NL"/>
              </w:rPr>
            </w:pPr>
            <w:r w:rsidRPr="00C5308E">
              <w:rPr>
                <w:rFonts w:ascii="Verdana" w:hAnsi="Verdana" w:eastAsia="Times New Roman" w:cs="Calibri"/>
                <w:b w:val="0"/>
                <w:i/>
                <w:iCs/>
                <w:color w:val="000000"/>
                <w:sz w:val="18"/>
                <w:szCs w:val="18"/>
                <w:lang w:eastAsia="nl-NL"/>
              </w:rPr>
              <w:t>Mutatie (jaarlijks)</w:t>
            </w:r>
          </w:p>
        </w:tc>
        <w:tc>
          <w:tcPr>
            <w:tcW w:w="907" w:type="dxa"/>
          </w:tcPr>
          <w:p w:rsidRPr="00C5308E" w:rsidR="00720C2B" w:rsidP="00D87753" w:rsidRDefault="00720C2B" w14:paraId="4566B02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-0,1%</w:t>
            </w:r>
          </w:p>
        </w:tc>
        <w:tc>
          <w:tcPr>
            <w:tcW w:w="907" w:type="dxa"/>
            <w:noWrap/>
          </w:tcPr>
          <w:p w:rsidRPr="00C5308E" w:rsidR="00720C2B" w:rsidP="00D87753" w:rsidRDefault="00720C2B" w14:paraId="0F81174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0,3%</w:t>
            </w:r>
          </w:p>
        </w:tc>
        <w:tc>
          <w:tcPr>
            <w:tcW w:w="907" w:type="dxa"/>
            <w:noWrap/>
          </w:tcPr>
          <w:p w:rsidRPr="00C5308E" w:rsidR="00720C2B" w:rsidP="00D87753" w:rsidRDefault="00720C2B" w14:paraId="66668E0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-0,3%</w:t>
            </w:r>
          </w:p>
        </w:tc>
        <w:tc>
          <w:tcPr>
            <w:tcW w:w="907" w:type="dxa"/>
            <w:noWrap/>
          </w:tcPr>
          <w:p w:rsidRPr="00C5308E" w:rsidR="00720C2B" w:rsidP="00D87753" w:rsidRDefault="00720C2B" w14:paraId="0762915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-0,4%</w:t>
            </w:r>
          </w:p>
        </w:tc>
        <w:tc>
          <w:tcPr>
            <w:tcW w:w="907" w:type="dxa"/>
            <w:noWrap/>
          </w:tcPr>
          <w:p w:rsidRPr="00C5308E" w:rsidR="00720C2B" w:rsidP="00D87753" w:rsidRDefault="00720C2B" w14:paraId="6B6E42F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-0,7%</w:t>
            </w:r>
          </w:p>
        </w:tc>
        <w:tc>
          <w:tcPr>
            <w:tcW w:w="907" w:type="dxa"/>
            <w:noWrap/>
          </w:tcPr>
          <w:p w:rsidRPr="00C5308E" w:rsidR="00720C2B" w:rsidP="00D87753" w:rsidRDefault="00720C2B" w14:paraId="000BFCD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-0,7%</w:t>
            </w:r>
          </w:p>
        </w:tc>
      </w:tr>
      <w:tr w:rsidRPr="00C5308E" w:rsidR="00720C2B" w:rsidTr="003C75FE" w14:paraId="41ADC959" w14:textId="77777777">
        <w:trPr>
          <w:trHeight w:val="288"/>
        </w:trPr>
        <w:tc>
          <w:tcPr>
            <w:cnfStyle w:val="001000000000" w:firstRow="0" w:lastRow="0" w:firstColumn="1" w:lastColumn="0" w:oddVBand="0" w:evenVBand="0" w:oddHBand="0" w:evenHBand="0" w:firstRowFirstColumn="0" w:firstRowLastColumn="0" w:lastRowFirstColumn="0" w:lastRowLastColumn="0"/>
            <w:tcW w:w="3572" w:type="dxa"/>
            <w:noWrap/>
          </w:tcPr>
          <w:p w:rsidRPr="00C5308E" w:rsidR="00720C2B" w:rsidP="00D87753" w:rsidRDefault="00720C2B" w14:paraId="63E92C2A" w14:textId="77777777">
            <w:pPr>
              <w:contextualSpacing/>
              <w:rPr>
                <w:rFonts w:ascii="Verdana" w:hAnsi="Verdana" w:eastAsia="Times New Roman" w:cs="Calibri"/>
                <w:b w:val="0"/>
                <w:i/>
                <w:iCs/>
                <w:color w:val="000000"/>
                <w:sz w:val="18"/>
                <w:szCs w:val="18"/>
                <w:lang w:eastAsia="nl-NL"/>
              </w:rPr>
            </w:pPr>
            <w:r w:rsidRPr="00C5308E">
              <w:rPr>
                <w:rFonts w:ascii="Verdana" w:hAnsi="Verdana" w:eastAsia="Times New Roman" w:cs="Calibri"/>
                <w:b w:val="0"/>
                <w:i/>
                <w:iCs/>
                <w:color w:val="000000"/>
                <w:sz w:val="18"/>
                <w:szCs w:val="18"/>
                <w:lang w:eastAsia="nl-NL"/>
              </w:rPr>
              <w:t>Mutatie (cum. t.o.v. 2025)</w:t>
            </w:r>
          </w:p>
        </w:tc>
        <w:tc>
          <w:tcPr>
            <w:tcW w:w="907" w:type="dxa"/>
          </w:tcPr>
          <w:p w:rsidRPr="00C5308E" w:rsidR="00720C2B" w:rsidP="00D87753" w:rsidRDefault="00720C2B" w14:paraId="035043D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-0,1%</w:t>
            </w:r>
          </w:p>
        </w:tc>
        <w:tc>
          <w:tcPr>
            <w:tcW w:w="907" w:type="dxa"/>
            <w:noWrap/>
          </w:tcPr>
          <w:p w:rsidRPr="00C5308E" w:rsidR="00720C2B" w:rsidP="00D87753" w:rsidRDefault="00720C2B" w14:paraId="394851B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0,2%</w:t>
            </w:r>
          </w:p>
        </w:tc>
        <w:tc>
          <w:tcPr>
            <w:tcW w:w="907" w:type="dxa"/>
            <w:noWrap/>
          </w:tcPr>
          <w:p w:rsidRPr="00C5308E" w:rsidR="00720C2B" w:rsidP="00D87753" w:rsidRDefault="00720C2B" w14:paraId="2674EBC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-0,1%</w:t>
            </w:r>
          </w:p>
        </w:tc>
        <w:tc>
          <w:tcPr>
            <w:tcW w:w="907" w:type="dxa"/>
            <w:noWrap/>
          </w:tcPr>
          <w:p w:rsidRPr="00C5308E" w:rsidR="00720C2B" w:rsidP="00D87753" w:rsidRDefault="00720C2B" w14:paraId="6E85DE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-0,4%</w:t>
            </w:r>
          </w:p>
        </w:tc>
        <w:tc>
          <w:tcPr>
            <w:tcW w:w="907" w:type="dxa"/>
            <w:noWrap/>
          </w:tcPr>
          <w:p w:rsidRPr="00C5308E" w:rsidR="00720C2B" w:rsidP="00D87753" w:rsidRDefault="00720C2B" w14:paraId="20A9369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-1,1%</w:t>
            </w:r>
          </w:p>
        </w:tc>
        <w:tc>
          <w:tcPr>
            <w:tcW w:w="907" w:type="dxa"/>
            <w:noWrap/>
          </w:tcPr>
          <w:p w:rsidRPr="00C5308E" w:rsidR="00720C2B" w:rsidP="00D87753" w:rsidRDefault="00720C2B" w14:paraId="16A1365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Cs/>
                <w:i/>
                <w:iCs/>
                <w:color w:val="000000"/>
                <w:sz w:val="18"/>
                <w:szCs w:val="18"/>
                <w:lang w:eastAsia="nl-NL"/>
              </w:rPr>
            </w:pPr>
            <w:r w:rsidRPr="00C5308E">
              <w:rPr>
                <w:rFonts w:ascii="Verdana" w:hAnsi="Verdana"/>
                <w:bCs/>
                <w:i/>
                <w:iCs/>
                <w:sz w:val="18"/>
                <w:szCs w:val="18"/>
              </w:rPr>
              <w:t>-1,8%</w:t>
            </w:r>
          </w:p>
        </w:tc>
      </w:tr>
    </w:tbl>
    <w:p w:rsidRPr="00C5308E" w:rsidR="00720C2B" w:rsidP="00D87753" w:rsidRDefault="00720C2B" w14:paraId="431221D7" w14:textId="77777777">
      <w:pPr>
        <w:pStyle w:val="Geenafstand"/>
        <w:contextualSpacing/>
        <w:rPr>
          <w:rFonts w:ascii="Verdana" w:hAnsi="Verdana"/>
          <w:bCs/>
          <w:sz w:val="18"/>
          <w:szCs w:val="18"/>
        </w:rPr>
      </w:pPr>
    </w:p>
    <w:p w:rsidRPr="00C5308E" w:rsidR="00720C2B" w:rsidP="00D87753" w:rsidRDefault="00720C2B" w14:paraId="29A90C06" w14:textId="6FCE7B9F">
      <w:pPr>
        <w:pStyle w:val="Geenafstand"/>
        <w:contextualSpacing/>
        <w:rPr>
          <w:rFonts w:ascii="Verdana" w:hAnsi="Verdana"/>
          <w:bCs/>
          <w:sz w:val="18"/>
          <w:szCs w:val="18"/>
        </w:rPr>
      </w:pPr>
      <w:r w:rsidRPr="00C5308E">
        <w:rPr>
          <w:rFonts w:ascii="Verdana" w:hAnsi="Verdana"/>
          <w:bCs/>
          <w:sz w:val="18"/>
          <w:szCs w:val="18"/>
        </w:rPr>
        <w:t>Zoals uit</w:t>
      </w:r>
      <w:r w:rsidRPr="00C5308E" w:rsidR="00661995">
        <w:rPr>
          <w:rFonts w:ascii="Verdana" w:hAnsi="Verdana"/>
          <w:bCs/>
          <w:sz w:val="18"/>
          <w:szCs w:val="18"/>
        </w:rPr>
        <w:t xml:space="preserve"> bovenstaande</w:t>
      </w:r>
      <w:r w:rsidRPr="00C5308E">
        <w:rPr>
          <w:rFonts w:ascii="Verdana" w:hAnsi="Verdana"/>
          <w:bCs/>
          <w:sz w:val="18"/>
          <w:szCs w:val="18"/>
        </w:rPr>
        <w:t xml:space="preserve"> tabel</w:t>
      </w:r>
      <w:r w:rsidRPr="00C5308E" w:rsidR="00661995">
        <w:rPr>
          <w:rFonts w:ascii="Verdana" w:hAnsi="Verdana"/>
          <w:bCs/>
          <w:sz w:val="18"/>
          <w:szCs w:val="18"/>
        </w:rPr>
        <w:t xml:space="preserve"> </w:t>
      </w:r>
      <w:r w:rsidRPr="00C5308E">
        <w:rPr>
          <w:rFonts w:ascii="Verdana" w:hAnsi="Verdana"/>
          <w:bCs/>
          <w:sz w:val="18"/>
          <w:szCs w:val="18"/>
        </w:rPr>
        <w:t xml:space="preserve">blijkt schat het CPB de inkomensontwikkeling van huishoudens met kinderen momenteel in vrijwel alle jaren (op 2026 na) lager in dan voorheen ten tijde van cMEV 2024. In de jaren 2029 en 2030 zijn de neerwaartse bijstellingen het grootst (circa -0,7% per jaar). </w:t>
      </w:r>
    </w:p>
    <w:p w:rsidRPr="00C5308E" w:rsidR="00720C2B" w:rsidP="00D87753" w:rsidRDefault="00720C2B" w14:paraId="553F10A1" w14:textId="77777777">
      <w:pPr>
        <w:pStyle w:val="Geenafstand"/>
        <w:contextualSpacing/>
        <w:rPr>
          <w:rFonts w:ascii="Verdana" w:hAnsi="Verdana"/>
          <w:bCs/>
          <w:sz w:val="18"/>
          <w:szCs w:val="18"/>
        </w:rPr>
      </w:pPr>
    </w:p>
    <w:p w:rsidRPr="00C5308E" w:rsidR="00720C2B" w:rsidP="00D87753" w:rsidRDefault="00720C2B" w14:paraId="6F6DD125" w14:textId="6B4FC9BC">
      <w:pPr>
        <w:pStyle w:val="Geenafstand"/>
        <w:contextualSpacing/>
        <w:rPr>
          <w:rFonts w:ascii="Verdana" w:hAnsi="Verdana"/>
          <w:bCs/>
          <w:sz w:val="18"/>
          <w:szCs w:val="18"/>
        </w:rPr>
      </w:pPr>
      <w:r w:rsidRPr="00C5308E">
        <w:rPr>
          <w:rFonts w:ascii="Verdana" w:hAnsi="Verdana"/>
          <w:bCs/>
          <w:sz w:val="18"/>
          <w:szCs w:val="18"/>
        </w:rPr>
        <w:t>Aangezien de loonverschillen cumuleren is er in 2030 cumulatief sprake van de grootste neerwaartse loonbijstelling (en dus ook de grootste toename van de WKB-uitgaven). Tot slot geldt dat de feitelijke loonontwikkeling pas na afloop van de betreffende jaren vastgesteld kan worden.</w:t>
      </w:r>
      <w:r w:rsidRPr="00C5308E" w:rsidR="00903729">
        <w:rPr>
          <w:rFonts w:ascii="Verdana" w:hAnsi="Verdana"/>
          <w:bCs/>
          <w:sz w:val="18"/>
          <w:szCs w:val="18"/>
        </w:rPr>
        <w:t xml:space="preserve"> </w:t>
      </w:r>
    </w:p>
    <w:p w:rsidRPr="00C5308E" w:rsidR="00720C2B" w:rsidP="00D87753" w:rsidRDefault="00720C2B" w14:paraId="33C6DE32" w14:textId="77777777">
      <w:pPr>
        <w:spacing w:after="0" w:line="240" w:lineRule="auto"/>
        <w:contextualSpacing/>
        <w:rPr>
          <w:rFonts w:ascii="Verdana" w:hAnsi="Verdana"/>
          <w:bCs/>
          <w:sz w:val="18"/>
          <w:szCs w:val="18"/>
        </w:rPr>
      </w:pPr>
    </w:p>
    <w:p w:rsidRPr="00C5308E" w:rsidR="00A24B3E" w:rsidP="00D87753" w:rsidRDefault="00A24B3E" w14:paraId="2169E14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83</w:t>
      </w:r>
    </w:p>
    <w:p w:rsidRPr="00C5308E" w:rsidR="00A24B3E" w:rsidP="00D87753" w:rsidRDefault="00A24B3E" w14:paraId="75F472D3" w14:textId="77777777">
      <w:pPr>
        <w:spacing w:after="0" w:line="240" w:lineRule="auto"/>
        <w:contextualSpacing/>
        <w:rPr>
          <w:rFonts w:ascii="Verdana" w:hAnsi="Verdana"/>
          <w:bCs/>
          <w:sz w:val="18"/>
          <w:szCs w:val="18"/>
        </w:rPr>
      </w:pPr>
      <w:r w:rsidRPr="00C5308E">
        <w:rPr>
          <w:rFonts w:ascii="Verdana" w:hAnsi="Verdana"/>
          <w:bCs/>
          <w:sz w:val="18"/>
          <w:szCs w:val="18"/>
        </w:rPr>
        <w:t>Kunt u in eenvoudige taal uitleggen wat de volgende zin over de loonkostensubsidie (LKS) betekent: "Omdat het opwaartse effect van de prijsrealisaties kleiner is dan het neerwaartse effect van de volumerealisaties, is de per saldo bijstelling naar beneden"?</w:t>
      </w:r>
    </w:p>
    <w:p w:rsidRPr="00C5308E" w:rsidR="00A24B3E" w:rsidP="00D87753" w:rsidRDefault="00A24B3E" w14:paraId="3DE60988" w14:textId="77777777">
      <w:pPr>
        <w:spacing w:after="0" w:line="240" w:lineRule="auto"/>
        <w:contextualSpacing/>
        <w:rPr>
          <w:rFonts w:ascii="Verdana" w:hAnsi="Verdana"/>
          <w:bCs/>
          <w:sz w:val="18"/>
          <w:szCs w:val="18"/>
          <w:u w:val="single"/>
        </w:rPr>
      </w:pPr>
    </w:p>
    <w:p w:rsidRPr="00C5308E" w:rsidR="00A24B3E" w:rsidP="00D87753" w:rsidRDefault="00A24B3E" w14:paraId="3D086A1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83</w:t>
      </w:r>
    </w:p>
    <w:p w:rsidRPr="00C5308E" w:rsidR="00A24B3E" w:rsidP="00D87753" w:rsidRDefault="00A24B3E" w14:paraId="06D9E8D8" w14:textId="77777777">
      <w:pPr>
        <w:spacing w:after="0" w:line="240" w:lineRule="auto"/>
        <w:contextualSpacing/>
        <w:rPr>
          <w:rFonts w:ascii="Verdana" w:hAnsi="Verdana"/>
          <w:bCs/>
          <w:sz w:val="18"/>
          <w:szCs w:val="18"/>
        </w:rPr>
      </w:pPr>
      <w:r w:rsidRPr="00C5308E">
        <w:rPr>
          <w:rFonts w:ascii="Verdana" w:hAnsi="Verdana"/>
          <w:bCs/>
          <w:sz w:val="18"/>
          <w:szCs w:val="18"/>
        </w:rPr>
        <w:t>In maart hebben we de voorlopige realisatiecijfers van 2024 voor het macrobudget Participatiewetuitkeringen (bijstand, LKS, IOAW, IOAZ en Bbz levensonderhoud) ontvangen. De gemiddeld hoogte van een LKS-uitkering (prijs) in 2024 bleek hoger dan verwacht. Hierdoor verwachten we dat de LKS-uitgaven met € 7,6 miljoen toenemen in 2025. Daar staat tegenover dat het aantal LKS-uitkeringen (volume) in 2024 juist lager bleek dan verwacht. Hierdoor verwachten we dat de LKS-uitgaven met € 32,3 miljoen afnemen in 2025. Het saldo van deze twee effecten leidt tot de verwachting dat de LKS-uitgaven in totaal met € 24,7 miljoen afnemen in 2025.</w:t>
      </w:r>
    </w:p>
    <w:p w:rsidRPr="00C5308E" w:rsidR="00A24B3E" w:rsidP="00D87753" w:rsidRDefault="00A24B3E" w14:paraId="3D9F4013" w14:textId="77777777">
      <w:pPr>
        <w:spacing w:after="0" w:line="240" w:lineRule="auto"/>
        <w:contextualSpacing/>
        <w:rPr>
          <w:rFonts w:ascii="Verdana" w:hAnsi="Verdana"/>
          <w:bCs/>
          <w:sz w:val="18"/>
          <w:szCs w:val="18"/>
        </w:rPr>
      </w:pPr>
    </w:p>
    <w:p w:rsidRPr="00C5308E" w:rsidR="00720C2B" w:rsidP="00D87753" w:rsidRDefault="00720C2B" w14:paraId="333A1B1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84</w:t>
      </w:r>
    </w:p>
    <w:p w:rsidRPr="00C5308E" w:rsidR="00720C2B" w:rsidP="00D87753" w:rsidRDefault="00720C2B" w14:paraId="572E2130" w14:textId="77777777">
      <w:pPr>
        <w:spacing w:line="240" w:lineRule="auto"/>
        <w:contextualSpacing/>
        <w:rPr>
          <w:rFonts w:ascii="Verdana" w:hAnsi="Verdana"/>
          <w:bCs/>
          <w:sz w:val="18"/>
          <w:szCs w:val="18"/>
        </w:rPr>
      </w:pPr>
      <w:r w:rsidRPr="00C5308E">
        <w:rPr>
          <w:rFonts w:ascii="Verdana" w:hAnsi="Verdana"/>
          <w:bCs/>
          <w:sz w:val="18"/>
          <w:szCs w:val="18"/>
        </w:rPr>
        <w:t>Kunt u uitleggen wat de effecten in geld voor individuen zijn voor Wajongers? Zoals geformuleerd in de memorie van toelichting dat er een lagere gemiddelde jaaruitkering van de oude Wajong-regeling ontstaat?</w:t>
      </w:r>
    </w:p>
    <w:p w:rsidRPr="00C5308E" w:rsidR="00720C2B" w:rsidP="00D87753" w:rsidRDefault="00720C2B" w14:paraId="1FBC147E" w14:textId="77777777">
      <w:pPr>
        <w:spacing w:after="0" w:line="240" w:lineRule="auto"/>
        <w:contextualSpacing/>
        <w:rPr>
          <w:rFonts w:ascii="Verdana" w:hAnsi="Verdana"/>
          <w:bCs/>
          <w:sz w:val="18"/>
          <w:szCs w:val="18"/>
        </w:rPr>
      </w:pPr>
    </w:p>
    <w:p w:rsidRPr="00C5308E" w:rsidR="00720C2B" w:rsidP="00D87753" w:rsidRDefault="00720C2B" w14:paraId="0D6AE86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84</w:t>
      </w:r>
    </w:p>
    <w:p w:rsidRPr="00C5308E" w:rsidR="00720C2B" w:rsidP="00D87753" w:rsidRDefault="00720C2B" w14:paraId="5961E3CC" w14:textId="6F77D5D4">
      <w:pPr>
        <w:spacing w:after="0" w:line="240" w:lineRule="auto"/>
        <w:contextualSpacing/>
        <w:rPr>
          <w:rFonts w:ascii="Verdana" w:hAnsi="Verdana"/>
          <w:bCs/>
          <w:sz w:val="18"/>
          <w:szCs w:val="18"/>
        </w:rPr>
      </w:pPr>
      <w:r w:rsidRPr="00C5308E">
        <w:rPr>
          <w:rFonts w:ascii="Verdana" w:hAnsi="Verdana"/>
          <w:bCs/>
          <w:sz w:val="18"/>
          <w:szCs w:val="18"/>
        </w:rPr>
        <w:t xml:space="preserve">De gemiddelde jaaruitkering van de oude Wajong-regeling is het gemiddelde van de uitkeringen voor mensen met en zonder arbeidsvermogen. Dit gemiddelde is om twee redenen lager dan eerder begroot. Ten eerste vallen er meer mensen met arbeidsvermogen onder de (oude) Wajong dan eerder verwacht. Mensen in de Wajong met arbeidsvermogen hebben een lagere uitkering (70% wml) dan de groep zonder arbeidsvermogen (75%). Ten tweede zijn er meer mensen die deels werken en vanwege het verrekenen van het inkomen met de uitkering een lagere uitkering ontvangen. De gemiddelde jaaruitkering per persoon en de totale uitkeringslasten zijn daardoor lager. Het effect per persoon verschilt, maar niemand is er </w:t>
      </w:r>
      <w:r w:rsidRPr="00C5308E" w:rsidR="001B2A29">
        <w:rPr>
          <w:rFonts w:ascii="Verdana" w:hAnsi="Verdana"/>
          <w:bCs/>
          <w:sz w:val="18"/>
          <w:szCs w:val="18"/>
        </w:rPr>
        <w:t xml:space="preserve">in </w:t>
      </w:r>
      <w:r w:rsidRPr="00C5308E">
        <w:rPr>
          <w:rFonts w:ascii="Verdana" w:hAnsi="Verdana"/>
          <w:bCs/>
          <w:sz w:val="18"/>
          <w:szCs w:val="18"/>
        </w:rPr>
        <w:t>inkomen op achteruit gegaan. De uitkeringsregels in de Wajong zorgen ervoor dat mensen die (meer) gaan werken er in bruto totaalinkomen op vooruit gaan.</w:t>
      </w:r>
    </w:p>
    <w:p w:rsidRPr="00C5308E" w:rsidR="00720C2B" w:rsidP="00D87753" w:rsidRDefault="00720C2B" w14:paraId="7D86B0D0" w14:textId="77777777">
      <w:pPr>
        <w:spacing w:after="0" w:line="240" w:lineRule="auto"/>
        <w:contextualSpacing/>
        <w:rPr>
          <w:rFonts w:ascii="Verdana" w:hAnsi="Verdana"/>
          <w:bCs/>
          <w:sz w:val="18"/>
          <w:szCs w:val="18"/>
        </w:rPr>
      </w:pPr>
    </w:p>
    <w:p w:rsidRPr="00C5308E" w:rsidR="006D7D8E" w:rsidP="00D87753" w:rsidRDefault="006D7D8E" w14:paraId="59401C58" w14:textId="5D7755F4">
      <w:pPr>
        <w:spacing w:after="0" w:line="240" w:lineRule="auto"/>
        <w:contextualSpacing/>
        <w:rPr>
          <w:rFonts w:ascii="Verdana" w:hAnsi="Verdana"/>
          <w:bCs/>
          <w:sz w:val="18"/>
          <w:szCs w:val="18"/>
          <w:u w:val="single"/>
        </w:rPr>
      </w:pPr>
      <w:r w:rsidRPr="00C5308E">
        <w:rPr>
          <w:rFonts w:ascii="Verdana" w:hAnsi="Verdana"/>
          <w:bCs/>
          <w:sz w:val="18"/>
          <w:szCs w:val="18"/>
          <w:u w:val="single"/>
        </w:rPr>
        <w:t>Vraag 85</w:t>
      </w:r>
    </w:p>
    <w:p w:rsidRPr="00C5308E" w:rsidR="006D7D8E" w:rsidP="00D87753" w:rsidRDefault="006D7D8E" w14:paraId="20A7ED74" w14:textId="123DEED1">
      <w:pPr>
        <w:spacing w:after="0" w:line="240" w:lineRule="auto"/>
        <w:contextualSpacing/>
        <w:rPr>
          <w:rFonts w:ascii="Verdana" w:hAnsi="Verdana"/>
          <w:bCs/>
          <w:sz w:val="18"/>
          <w:szCs w:val="18"/>
        </w:rPr>
      </w:pPr>
      <w:r w:rsidRPr="00C5308E">
        <w:rPr>
          <w:rFonts w:ascii="Verdana" w:hAnsi="Verdana"/>
          <w:bCs/>
          <w:sz w:val="18"/>
          <w:szCs w:val="18"/>
        </w:rPr>
        <w:t>Wat voor ingroeipad hoort er bij de voorziene middelen 'ingroeipad nieuw kinderopvangstelsel'?</w:t>
      </w:r>
    </w:p>
    <w:p w:rsidRPr="00C5308E" w:rsidR="006D7D8E" w:rsidP="00D87753" w:rsidRDefault="006D7D8E" w14:paraId="227295F8" w14:textId="77777777">
      <w:pPr>
        <w:spacing w:after="0" w:line="240" w:lineRule="auto"/>
        <w:contextualSpacing/>
        <w:rPr>
          <w:rFonts w:ascii="Verdana" w:hAnsi="Verdana"/>
          <w:bCs/>
          <w:sz w:val="18"/>
          <w:szCs w:val="18"/>
          <w:u w:val="single"/>
        </w:rPr>
      </w:pPr>
    </w:p>
    <w:p w:rsidRPr="00C5308E" w:rsidR="006D7D8E" w:rsidP="00D87753" w:rsidRDefault="006D7D8E" w14:paraId="654D4B89" w14:textId="394CD052">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85 </w:t>
      </w:r>
    </w:p>
    <w:p w:rsidRPr="00C5308E" w:rsidR="006D7D8E" w:rsidP="00D87753" w:rsidRDefault="006D7D8E" w14:paraId="6157C326" w14:textId="77777777">
      <w:pPr>
        <w:spacing w:after="0" w:line="240" w:lineRule="auto"/>
        <w:contextualSpacing/>
        <w:rPr>
          <w:rFonts w:ascii="Verdana" w:hAnsi="Verdana"/>
          <w:bCs/>
          <w:sz w:val="18"/>
          <w:szCs w:val="18"/>
        </w:rPr>
      </w:pPr>
      <w:r w:rsidRPr="00C5308E">
        <w:rPr>
          <w:rFonts w:ascii="Verdana" w:hAnsi="Verdana"/>
          <w:bCs/>
          <w:sz w:val="18"/>
          <w:szCs w:val="18"/>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C5308E" w:rsidR="006D7D8E" w:rsidP="00D87753" w:rsidRDefault="006D7D8E" w14:paraId="7EE676B9" w14:textId="77777777">
      <w:pPr>
        <w:spacing w:after="0" w:line="240" w:lineRule="auto"/>
        <w:contextualSpacing/>
        <w:rPr>
          <w:rFonts w:ascii="Verdana" w:hAnsi="Verdana"/>
          <w:bCs/>
          <w:sz w:val="18"/>
          <w:szCs w:val="18"/>
        </w:rPr>
      </w:pPr>
    </w:p>
    <w:p w:rsidRPr="00C5308E" w:rsidR="006D7D8E" w:rsidP="00D87753" w:rsidRDefault="006D7D8E" w14:paraId="6A6582F4" w14:textId="0BAFD023">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535DAC45"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583758C1"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4BA6C6E8"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5829851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4BE31F1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632C927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3FFCBD2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5DF1185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053EE08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093DE8FA"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5E54BE2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7410AAE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3E7A132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6C3C81F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6853150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659C8C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4D77D54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271F6CAE"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7B9908FA"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D639F0" w:rsidP="00D87753" w:rsidRDefault="00D639F0" w14:paraId="00C37B11" w14:textId="77777777">
      <w:pPr>
        <w:spacing w:after="0" w:line="240" w:lineRule="auto"/>
        <w:contextualSpacing/>
        <w:rPr>
          <w:rFonts w:ascii="Verdana" w:hAnsi="Verdana"/>
          <w:bCs/>
          <w:sz w:val="18"/>
          <w:szCs w:val="18"/>
        </w:rPr>
      </w:pPr>
    </w:p>
    <w:p w:rsidRPr="00C5308E" w:rsidR="006D7D8E" w:rsidP="00D87753" w:rsidRDefault="006D7D8E" w14:paraId="45BF3AB9" w14:textId="23F29B5D">
      <w:pPr>
        <w:spacing w:after="0" w:line="240" w:lineRule="auto"/>
        <w:contextualSpacing/>
        <w:rPr>
          <w:rFonts w:ascii="Verdana" w:hAnsi="Verdana"/>
          <w:bCs/>
          <w:sz w:val="18"/>
          <w:szCs w:val="18"/>
          <w:u w:val="single"/>
        </w:rPr>
      </w:pPr>
      <w:r w:rsidRPr="00C5308E">
        <w:rPr>
          <w:rFonts w:ascii="Verdana" w:hAnsi="Verdana"/>
          <w:bCs/>
          <w:sz w:val="18"/>
          <w:szCs w:val="18"/>
          <w:u w:val="single"/>
        </w:rPr>
        <w:t>Vraag 86</w:t>
      </w:r>
    </w:p>
    <w:p w:rsidRPr="00C5308E" w:rsidR="006D7D8E" w:rsidP="00D87753" w:rsidRDefault="006D7D8E" w14:paraId="35CE0C72" w14:textId="6EFB2821">
      <w:pPr>
        <w:spacing w:after="0" w:line="240" w:lineRule="auto"/>
        <w:contextualSpacing/>
        <w:rPr>
          <w:rFonts w:ascii="Verdana" w:hAnsi="Verdana"/>
          <w:bCs/>
          <w:sz w:val="18"/>
          <w:szCs w:val="18"/>
        </w:rPr>
      </w:pPr>
      <w:r w:rsidRPr="00C5308E">
        <w:rPr>
          <w:rFonts w:ascii="Verdana" w:hAnsi="Verdana"/>
          <w:bCs/>
          <w:sz w:val="18"/>
          <w:szCs w:val="18"/>
        </w:rPr>
        <w:t>Tot welke inkomensgroep (afgerond op € 100) is het mogelijk om het vergoeding</w:t>
      </w:r>
      <w:r w:rsidRPr="00C5308E" w:rsidR="00085AD3">
        <w:rPr>
          <w:rFonts w:ascii="Verdana" w:hAnsi="Verdana"/>
          <w:bCs/>
          <w:sz w:val="18"/>
          <w:szCs w:val="18"/>
        </w:rPr>
        <w:t>s</w:t>
      </w:r>
      <w:r w:rsidRPr="00C5308E">
        <w:rPr>
          <w:rFonts w:ascii="Verdana" w:hAnsi="Verdana"/>
          <w:bCs/>
          <w:sz w:val="18"/>
          <w:szCs w:val="18"/>
        </w:rPr>
        <w:t>percentage te verhogen naar 96% met de middelen voorzien voor 'ingroeipad nieuw kinderopvangstelsel' in 2025?</w:t>
      </w:r>
    </w:p>
    <w:p w:rsidRPr="00C5308E" w:rsidR="006D7D8E" w:rsidP="00D87753" w:rsidRDefault="006D7D8E" w14:paraId="6FC25768" w14:textId="77777777">
      <w:pPr>
        <w:spacing w:after="0" w:line="240" w:lineRule="auto"/>
        <w:contextualSpacing/>
        <w:rPr>
          <w:rFonts w:ascii="Verdana" w:hAnsi="Verdana"/>
          <w:bCs/>
          <w:sz w:val="18"/>
          <w:szCs w:val="18"/>
          <w:u w:val="single"/>
        </w:rPr>
      </w:pPr>
    </w:p>
    <w:p w:rsidRPr="00C5308E" w:rsidR="006D7D8E" w:rsidP="00D87753" w:rsidRDefault="006D7D8E" w14:paraId="3CC0451C" w14:textId="3594CE18">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86</w:t>
      </w:r>
    </w:p>
    <w:p w:rsidRPr="00C5308E" w:rsidR="006D7D8E" w:rsidP="00D87753" w:rsidRDefault="006D7D8E" w14:paraId="372818E4" w14:textId="77777777">
      <w:pPr>
        <w:spacing w:after="0" w:line="240" w:lineRule="auto"/>
        <w:contextualSpacing/>
        <w:rPr>
          <w:rFonts w:ascii="Verdana" w:hAnsi="Verdana"/>
          <w:bCs/>
          <w:sz w:val="18"/>
          <w:szCs w:val="18"/>
        </w:rPr>
      </w:pPr>
      <w:r w:rsidRPr="00C5308E">
        <w:rPr>
          <w:rFonts w:ascii="Verdana" w:hAnsi="Verdana"/>
          <w:bCs/>
          <w:sz w:val="18"/>
          <w:szCs w:val="18"/>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C5308E" w:rsidR="006D7D8E" w:rsidP="00D87753" w:rsidRDefault="006D7D8E" w14:paraId="184FB4E1" w14:textId="77777777">
      <w:pPr>
        <w:spacing w:after="0" w:line="240" w:lineRule="auto"/>
        <w:contextualSpacing/>
        <w:rPr>
          <w:rFonts w:ascii="Verdana" w:hAnsi="Verdana"/>
          <w:bCs/>
          <w:sz w:val="18"/>
          <w:szCs w:val="18"/>
        </w:rPr>
      </w:pPr>
    </w:p>
    <w:p w:rsidRPr="00C5308E" w:rsidR="006D7D8E" w:rsidP="00D87753" w:rsidRDefault="006D7D8E" w14:paraId="44DACB3E" w14:textId="72D07872">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18B3E982"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5B19D555"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4911EDDA"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4FDEA4E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2B6A050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1D5054E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2DD52C6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661658F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0260EAB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5551FEAB"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091A101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47E76C7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439CB1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0831A08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72E82D1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016A13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0F33E7D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45A3BE9D"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35D4545E"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6D7D8E" w:rsidP="00D87753" w:rsidRDefault="006D7D8E" w14:paraId="2DB570FE" w14:textId="77777777">
      <w:pPr>
        <w:spacing w:after="0" w:line="240" w:lineRule="auto"/>
        <w:contextualSpacing/>
        <w:rPr>
          <w:rFonts w:ascii="Verdana" w:hAnsi="Verdana"/>
          <w:bCs/>
          <w:sz w:val="18"/>
          <w:szCs w:val="18"/>
        </w:rPr>
      </w:pPr>
    </w:p>
    <w:p w:rsidRPr="00C5308E" w:rsidR="006D7D8E" w:rsidP="00D87753" w:rsidRDefault="006D7D8E" w14:paraId="24BC87C2" w14:textId="797FF09D">
      <w:pPr>
        <w:spacing w:after="0" w:line="240" w:lineRule="auto"/>
        <w:contextualSpacing/>
        <w:rPr>
          <w:rFonts w:ascii="Verdana" w:hAnsi="Verdana"/>
          <w:bCs/>
          <w:sz w:val="18"/>
          <w:szCs w:val="18"/>
          <w:u w:val="single"/>
        </w:rPr>
      </w:pPr>
      <w:r w:rsidRPr="00C5308E">
        <w:rPr>
          <w:rFonts w:ascii="Verdana" w:hAnsi="Verdana"/>
          <w:bCs/>
          <w:sz w:val="18"/>
          <w:szCs w:val="18"/>
          <w:u w:val="single"/>
        </w:rPr>
        <w:t>Vraag 87</w:t>
      </w:r>
    </w:p>
    <w:p w:rsidRPr="00C5308E" w:rsidR="006D7D8E" w:rsidP="00D87753" w:rsidRDefault="006D7D8E" w14:paraId="6EF09F6E" w14:textId="343F7D7D">
      <w:pPr>
        <w:spacing w:after="0" w:line="240" w:lineRule="auto"/>
        <w:contextualSpacing/>
        <w:rPr>
          <w:rFonts w:ascii="Verdana" w:hAnsi="Verdana"/>
          <w:bCs/>
          <w:sz w:val="18"/>
          <w:szCs w:val="18"/>
          <w:u w:val="single"/>
        </w:rPr>
      </w:pPr>
      <w:r w:rsidRPr="00C5308E">
        <w:rPr>
          <w:rFonts w:ascii="Verdana" w:hAnsi="Verdana"/>
          <w:bCs/>
          <w:sz w:val="18"/>
          <w:szCs w:val="18"/>
        </w:rPr>
        <w:t>Tot welke inkomensgroep (afgerond op € 100) is het mogelijk om het vergoeding</w:t>
      </w:r>
      <w:r w:rsidRPr="00C5308E" w:rsidR="00085AD3">
        <w:rPr>
          <w:rFonts w:ascii="Verdana" w:hAnsi="Verdana"/>
          <w:bCs/>
          <w:sz w:val="18"/>
          <w:szCs w:val="18"/>
        </w:rPr>
        <w:t>s</w:t>
      </w:r>
      <w:r w:rsidRPr="00C5308E">
        <w:rPr>
          <w:rFonts w:ascii="Verdana" w:hAnsi="Verdana"/>
          <w:bCs/>
          <w:sz w:val="18"/>
          <w:szCs w:val="18"/>
        </w:rPr>
        <w:t>percentage te verhogen naar 96% met de middelen voorzien voor 'ingroeipad nieuw kinderopvangstelsel' in 2026?</w:t>
      </w:r>
    </w:p>
    <w:p w:rsidRPr="00C5308E" w:rsidR="006D7D8E" w:rsidP="00D87753" w:rsidRDefault="006D7D8E" w14:paraId="4F7B6879" w14:textId="77777777">
      <w:pPr>
        <w:spacing w:after="0" w:line="240" w:lineRule="auto"/>
        <w:contextualSpacing/>
        <w:rPr>
          <w:rFonts w:ascii="Verdana" w:hAnsi="Verdana"/>
          <w:bCs/>
          <w:sz w:val="18"/>
          <w:szCs w:val="18"/>
          <w:u w:val="single"/>
        </w:rPr>
      </w:pPr>
    </w:p>
    <w:p w:rsidRPr="00C5308E" w:rsidR="006D7D8E" w:rsidP="00D87753" w:rsidRDefault="006D7D8E" w14:paraId="2021247E" w14:textId="5B3A94DD">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87</w:t>
      </w:r>
    </w:p>
    <w:p w:rsidRPr="00C5308E" w:rsidR="006D7D8E" w:rsidP="00D87753" w:rsidRDefault="006D7D8E" w14:paraId="3281AE0C" w14:textId="77777777">
      <w:pPr>
        <w:spacing w:after="0" w:line="240" w:lineRule="auto"/>
        <w:contextualSpacing/>
        <w:rPr>
          <w:rFonts w:ascii="Verdana" w:hAnsi="Verdana"/>
          <w:bCs/>
          <w:sz w:val="18"/>
          <w:szCs w:val="18"/>
        </w:rPr>
      </w:pPr>
      <w:r w:rsidRPr="00C5308E">
        <w:rPr>
          <w:rFonts w:ascii="Verdana" w:hAnsi="Verdana"/>
          <w:bCs/>
          <w:sz w:val="18"/>
          <w:szCs w:val="18"/>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C5308E" w:rsidR="006D7D8E" w:rsidP="00D87753" w:rsidRDefault="006D7D8E" w14:paraId="33FEC5A5" w14:textId="77777777">
      <w:pPr>
        <w:spacing w:after="0" w:line="240" w:lineRule="auto"/>
        <w:contextualSpacing/>
        <w:rPr>
          <w:rFonts w:ascii="Verdana" w:hAnsi="Verdana"/>
          <w:bCs/>
          <w:sz w:val="18"/>
          <w:szCs w:val="18"/>
        </w:rPr>
      </w:pPr>
    </w:p>
    <w:p w:rsidRPr="00C5308E" w:rsidR="006D7D8E" w:rsidP="00D87753" w:rsidRDefault="006D7D8E" w14:paraId="4FF12920" w14:textId="42A9B449">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71C396D3"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7A9360F7"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777E138F"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3AC15F5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2773795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1402548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387062D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4A8C3EE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0156D0C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38D85305"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02FBD04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17306F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04E0232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25B0863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00192AD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608E666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1FB82D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5DF5AE85"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35351E00"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6D7D8E" w:rsidP="00D87753" w:rsidRDefault="006D7D8E" w14:paraId="51CCBF3D" w14:textId="77777777">
      <w:pPr>
        <w:spacing w:after="0" w:line="240" w:lineRule="auto"/>
        <w:contextualSpacing/>
        <w:rPr>
          <w:rFonts w:ascii="Verdana" w:hAnsi="Verdana"/>
          <w:bCs/>
          <w:sz w:val="18"/>
          <w:szCs w:val="18"/>
        </w:rPr>
      </w:pPr>
    </w:p>
    <w:p w:rsidRPr="00C5308E" w:rsidR="006D7D8E" w:rsidP="00D87753" w:rsidRDefault="006D7D8E" w14:paraId="36D16DD0" w14:textId="2ED9711B">
      <w:pPr>
        <w:spacing w:after="0" w:line="240" w:lineRule="auto"/>
        <w:contextualSpacing/>
        <w:rPr>
          <w:rFonts w:ascii="Verdana" w:hAnsi="Verdana"/>
          <w:bCs/>
          <w:sz w:val="18"/>
          <w:szCs w:val="18"/>
          <w:u w:val="single"/>
        </w:rPr>
      </w:pPr>
      <w:r w:rsidRPr="00C5308E">
        <w:rPr>
          <w:rFonts w:ascii="Verdana" w:hAnsi="Verdana"/>
          <w:bCs/>
          <w:sz w:val="18"/>
          <w:szCs w:val="18"/>
          <w:u w:val="single"/>
        </w:rPr>
        <w:t>Vraag 88</w:t>
      </w:r>
    </w:p>
    <w:p w:rsidRPr="00C5308E" w:rsidR="006D7D8E" w:rsidP="00D87753" w:rsidRDefault="006D7D8E" w14:paraId="1C23A511" w14:textId="1D70A341">
      <w:pPr>
        <w:spacing w:after="0" w:line="240" w:lineRule="auto"/>
        <w:contextualSpacing/>
        <w:rPr>
          <w:rFonts w:ascii="Verdana" w:hAnsi="Verdana"/>
          <w:bCs/>
          <w:sz w:val="18"/>
          <w:szCs w:val="18"/>
          <w:u w:val="single"/>
        </w:rPr>
      </w:pPr>
      <w:r w:rsidRPr="00C5308E">
        <w:rPr>
          <w:rFonts w:ascii="Verdana" w:hAnsi="Verdana"/>
          <w:bCs/>
          <w:sz w:val="18"/>
          <w:szCs w:val="18"/>
        </w:rPr>
        <w:t>Tot welke inkomensgroep (afgerond op € 100) is het mogelijk om het vergoeding</w:t>
      </w:r>
      <w:r w:rsidRPr="00C5308E" w:rsidR="007F2D9D">
        <w:rPr>
          <w:rFonts w:ascii="Verdana" w:hAnsi="Verdana"/>
          <w:bCs/>
          <w:sz w:val="18"/>
          <w:szCs w:val="18"/>
        </w:rPr>
        <w:t>s</w:t>
      </w:r>
      <w:r w:rsidRPr="00C5308E">
        <w:rPr>
          <w:rFonts w:ascii="Verdana" w:hAnsi="Verdana"/>
          <w:bCs/>
          <w:sz w:val="18"/>
          <w:szCs w:val="18"/>
        </w:rPr>
        <w:t>percentage te verhogen naar 96% met de middelen voorzien voor 'ingroeipad nieuw kinderopvangstelsel' in 2027?</w:t>
      </w:r>
    </w:p>
    <w:p w:rsidRPr="00C5308E" w:rsidR="006D7D8E" w:rsidP="00D87753" w:rsidRDefault="006D7D8E" w14:paraId="7CDF712D" w14:textId="77777777">
      <w:pPr>
        <w:spacing w:after="0" w:line="240" w:lineRule="auto"/>
        <w:contextualSpacing/>
        <w:rPr>
          <w:rFonts w:ascii="Verdana" w:hAnsi="Verdana"/>
          <w:bCs/>
          <w:sz w:val="18"/>
          <w:szCs w:val="18"/>
          <w:u w:val="single"/>
        </w:rPr>
      </w:pPr>
    </w:p>
    <w:p w:rsidRPr="00C5308E" w:rsidR="006D7D8E" w:rsidP="00D87753" w:rsidRDefault="006D7D8E" w14:paraId="2305B346" w14:textId="65685D2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88</w:t>
      </w:r>
    </w:p>
    <w:p w:rsidRPr="00C5308E" w:rsidR="006D7D8E" w:rsidP="00D87753" w:rsidRDefault="006D7D8E" w14:paraId="2CBB5BDF" w14:textId="77777777">
      <w:pPr>
        <w:spacing w:after="0" w:line="240" w:lineRule="auto"/>
        <w:contextualSpacing/>
        <w:rPr>
          <w:rFonts w:ascii="Verdana" w:hAnsi="Verdana"/>
          <w:bCs/>
          <w:sz w:val="18"/>
          <w:szCs w:val="18"/>
        </w:rPr>
      </w:pPr>
      <w:r w:rsidRPr="00C5308E">
        <w:rPr>
          <w:rFonts w:ascii="Verdana" w:hAnsi="Verdana"/>
          <w:bCs/>
          <w:sz w:val="18"/>
          <w:szCs w:val="18"/>
        </w:rPr>
        <w:t xml:space="preserve">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w:t>
      </w:r>
      <w:r w:rsidRPr="00C5308E">
        <w:rPr>
          <w:rFonts w:ascii="Verdana" w:hAnsi="Verdana"/>
          <w:bCs/>
          <w:sz w:val="18"/>
          <w:szCs w:val="18"/>
        </w:rPr>
        <w:lastRenderedPageBreak/>
        <w:t>kabinet neemt in juni een formeel besluit over de invulling van het Besluit KOT voor 2026 en zal later deze maand bij het parlement worden voorgehangen.</w:t>
      </w:r>
    </w:p>
    <w:p w:rsidRPr="00C5308E" w:rsidR="006D7D8E" w:rsidP="00D87753" w:rsidRDefault="006D7D8E" w14:paraId="2AC052E1" w14:textId="77777777">
      <w:pPr>
        <w:spacing w:after="0" w:line="240" w:lineRule="auto"/>
        <w:contextualSpacing/>
        <w:rPr>
          <w:rFonts w:ascii="Verdana" w:hAnsi="Verdana"/>
          <w:bCs/>
          <w:sz w:val="18"/>
          <w:szCs w:val="18"/>
        </w:rPr>
      </w:pPr>
    </w:p>
    <w:p w:rsidRPr="00C5308E" w:rsidR="006D7D8E" w:rsidP="00D87753" w:rsidRDefault="006D7D8E" w14:paraId="2F38458D" w14:textId="03762C90">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1CD0F476"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1D92EF8B"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173F1C3A"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6B2A89E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59F8480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24F0969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3CCE6C2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56182F0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78D1A42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5E5A1D47"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28FC61B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753D887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4AA098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A3CBCC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27235A1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242F8F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2E5718A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42221FBC"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32283B33"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6D7D8E" w:rsidP="00D87753" w:rsidRDefault="006D7D8E" w14:paraId="4C73ED71" w14:textId="77777777">
      <w:pPr>
        <w:spacing w:after="0" w:line="240" w:lineRule="auto"/>
        <w:contextualSpacing/>
        <w:rPr>
          <w:rFonts w:ascii="Verdana" w:hAnsi="Verdana"/>
          <w:bCs/>
          <w:sz w:val="18"/>
          <w:szCs w:val="18"/>
        </w:rPr>
      </w:pPr>
    </w:p>
    <w:p w:rsidRPr="00C5308E" w:rsidR="006D7D8E" w:rsidP="00D87753" w:rsidRDefault="006D7D8E" w14:paraId="1668E0B2" w14:textId="09F4658C">
      <w:pPr>
        <w:spacing w:after="0" w:line="240" w:lineRule="auto"/>
        <w:contextualSpacing/>
        <w:rPr>
          <w:rFonts w:ascii="Verdana" w:hAnsi="Verdana"/>
          <w:bCs/>
          <w:sz w:val="18"/>
          <w:szCs w:val="18"/>
          <w:u w:val="single"/>
        </w:rPr>
      </w:pPr>
      <w:r w:rsidRPr="00C5308E">
        <w:rPr>
          <w:rFonts w:ascii="Verdana" w:hAnsi="Verdana"/>
          <w:bCs/>
          <w:sz w:val="18"/>
          <w:szCs w:val="18"/>
          <w:u w:val="single"/>
        </w:rPr>
        <w:t>Vraag 89</w:t>
      </w:r>
    </w:p>
    <w:p w:rsidRPr="00C5308E" w:rsidR="006D7D8E" w:rsidP="00D87753" w:rsidRDefault="006D7D8E" w14:paraId="7FE86002" w14:textId="4C8DBD68">
      <w:pPr>
        <w:spacing w:after="0" w:line="240" w:lineRule="auto"/>
        <w:contextualSpacing/>
        <w:rPr>
          <w:rFonts w:ascii="Verdana" w:hAnsi="Verdana"/>
          <w:bCs/>
          <w:sz w:val="18"/>
          <w:szCs w:val="18"/>
          <w:u w:val="single"/>
        </w:rPr>
      </w:pPr>
      <w:r w:rsidRPr="00C5308E">
        <w:rPr>
          <w:rFonts w:ascii="Verdana" w:hAnsi="Verdana"/>
          <w:bCs/>
          <w:sz w:val="18"/>
          <w:szCs w:val="18"/>
        </w:rPr>
        <w:t>Tot welke inkomensgroep (afgerond op € 100) is het mogelijk om het vergoeding</w:t>
      </w:r>
      <w:r w:rsidRPr="00C5308E" w:rsidR="00085AD3">
        <w:rPr>
          <w:rFonts w:ascii="Verdana" w:hAnsi="Verdana"/>
          <w:bCs/>
          <w:sz w:val="18"/>
          <w:szCs w:val="18"/>
        </w:rPr>
        <w:t>s</w:t>
      </w:r>
      <w:r w:rsidRPr="00C5308E">
        <w:rPr>
          <w:rFonts w:ascii="Verdana" w:hAnsi="Verdana"/>
          <w:bCs/>
          <w:sz w:val="18"/>
          <w:szCs w:val="18"/>
        </w:rPr>
        <w:t>percentage te verhogen naar 96% met de middelen voorzien voor 'ingroeipad nieuw kinderopvangstelsel' in 2028?</w:t>
      </w:r>
    </w:p>
    <w:p w:rsidRPr="00C5308E" w:rsidR="006D7D8E" w:rsidP="00D87753" w:rsidRDefault="006D7D8E" w14:paraId="75A89EA3" w14:textId="77777777">
      <w:pPr>
        <w:spacing w:after="0" w:line="240" w:lineRule="auto"/>
        <w:contextualSpacing/>
        <w:rPr>
          <w:rFonts w:ascii="Verdana" w:hAnsi="Verdana"/>
          <w:bCs/>
          <w:sz w:val="18"/>
          <w:szCs w:val="18"/>
          <w:u w:val="single"/>
        </w:rPr>
      </w:pPr>
    </w:p>
    <w:p w:rsidRPr="00C5308E" w:rsidR="006D7D8E" w:rsidP="00D87753" w:rsidRDefault="006D7D8E" w14:paraId="60DAC1CF" w14:textId="62BD0C83">
      <w:pPr>
        <w:spacing w:after="0" w:line="240" w:lineRule="auto"/>
        <w:contextualSpacing/>
        <w:rPr>
          <w:rFonts w:ascii="Verdana" w:hAnsi="Verdana"/>
          <w:bCs/>
          <w:sz w:val="18"/>
          <w:szCs w:val="18"/>
          <w:u w:val="single"/>
        </w:rPr>
      </w:pPr>
      <w:r w:rsidRPr="00C5308E">
        <w:rPr>
          <w:rFonts w:ascii="Verdana" w:hAnsi="Verdana"/>
          <w:bCs/>
          <w:sz w:val="18"/>
          <w:szCs w:val="18"/>
          <w:u w:val="single"/>
        </w:rPr>
        <w:t>Antwoord 89</w:t>
      </w:r>
    </w:p>
    <w:p w:rsidRPr="00C5308E" w:rsidR="006D7D8E" w:rsidP="00D87753" w:rsidRDefault="006D7D8E" w14:paraId="4349FFEF" w14:textId="77777777">
      <w:pPr>
        <w:spacing w:after="0" w:line="240" w:lineRule="auto"/>
        <w:contextualSpacing/>
        <w:rPr>
          <w:rFonts w:ascii="Verdana" w:hAnsi="Verdana"/>
          <w:bCs/>
          <w:sz w:val="18"/>
          <w:szCs w:val="18"/>
        </w:rPr>
      </w:pPr>
      <w:r w:rsidRPr="00C5308E">
        <w:rPr>
          <w:rFonts w:ascii="Verdana" w:hAnsi="Verdana"/>
          <w:bCs/>
          <w:sz w:val="18"/>
          <w:szCs w:val="18"/>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C5308E" w:rsidR="006D7D8E" w:rsidP="00D87753" w:rsidRDefault="006D7D8E" w14:paraId="08EC5695" w14:textId="77777777">
      <w:pPr>
        <w:spacing w:after="0" w:line="240" w:lineRule="auto"/>
        <w:contextualSpacing/>
        <w:rPr>
          <w:rFonts w:ascii="Verdana" w:hAnsi="Verdana"/>
          <w:bCs/>
          <w:sz w:val="18"/>
          <w:szCs w:val="18"/>
        </w:rPr>
      </w:pPr>
    </w:p>
    <w:p w:rsidRPr="00C5308E" w:rsidR="006D7D8E" w:rsidP="00D87753" w:rsidRDefault="006D7D8E" w14:paraId="6DC2550A" w14:textId="67985432">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53454257"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2F1BA309"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230ED80D"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0B83396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443DCD4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11F8103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7493643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5577DE4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72973D6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78030829"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524A6B9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0C0F034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36FCCEA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B91723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35D706F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1531FB0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397928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275D13FE"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38D4BDEE"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6D7D8E" w:rsidP="00D87753" w:rsidRDefault="006D7D8E" w14:paraId="54873850" w14:textId="77777777">
      <w:pPr>
        <w:spacing w:after="0" w:line="240" w:lineRule="auto"/>
        <w:contextualSpacing/>
        <w:rPr>
          <w:rFonts w:ascii="Verdana" w:hAnsi="Verdana"/>
          <w:bCs/>
          <w:sz w:val="18"/>
          <w:szCs w:val="18"/>
        </w:rPr>
      </w:pPr>
    </w:p>
    <w:p w:rsidRPr="00C5308E" w:rsidR="006D7D8E" w:rsidP="00D87753" w:rsidRDefault="006D7D8E" w14:paraId="628841A2" w14:textId="535E9B5E">
      <w:pPr>
        <w:spacing w:after="0" w:line="240" w:lineRule="auto"/>
        <w:contextualSpacing/>
        <w:rPr>
          <w:rFonts w:ascii="Verdana" w:hAnsi="Verdana"/>
          <w:bCs/>
          <w:sz w:val="18"/>
          <w:szCs w:val="18"/>
          <w:u w:val="single"/>
        </w:rPr>
      </w:pPr>
      <w:r w:rsidRPr="00C5308E">
        <w:rPr>
          <w:rFonts w:ascii="Verdana" w:hAnsi="Verdana"/>
          <w:bCs/>
          <w:sz w:val="18"/>
          <w:szCs w:val="18"/>
          <w:u w:val="single"/>
        </w:rPr>
        <w:t>Vraag 90</w:t>
      </w:r>
    </w:p>
    <w:p w:rsidRPr="00C5308E" w:rsidR="006D7D8E" w:rsidP="00D87753" w:rsidRDefault="006D7D8E" w14:paraId="6F7E53E8" w14:textId="5B13BA1F">
      <w:pPr>
        <w:spacing w:after="0" w:line="240" w:lineRule="auto"/>
        <w:contextualSpacing/>
        <w:rPr>
          <w:rFonts w:ascii="Verdana" w:hAnsi="Verdana"/>
          <w:bCs/>
          <w:sz w:val="18"/>
          <w:szCs w:val="18"/>
        </w:rPr>
      </w:pPr>
      <w:r w:rsidRPr="00C5308E">
        <w:rPr>
          <w:rFonts w:ascii="Verdana" w:hAnsi="Verdana"/>
          <w:bCs/>
          <w:sz w:val="18"/>
          <w:szCs w:val="18"/>
        </w:rPr>
        <w:t>Tot welke inkomensgroep (afgerond op € 100) is het mogelijk om het vergoedinsgpercentage te verhogen naar 96% met de middelen voorzien voor 'ingroeipad nieuw kinderopvangstelsel' in 2029? Is het mogelijk om alle inkomensgroepen naar dit niveau te brengen?</w:t>
      </w:r>
    </w:p>
    <w:p w:rsidRPr="00C5308E" w:rsidR="006D7D8E" w:rsidP="00D87753" w:rsidRDefault="006D7D8E" w14:paraId="308D351D" w14:textId="77777777">
      <w:pPr>
        <w:spacing w:after="0" w:line="240" w:lineRule="auto"/>
        <w:contextualSpacing/>
        <w:rPr>
          <w:rFonts w:ascii="Verdana" w:hAnsi="Verdana"/>
          <w:bCs/>
          <w:sz w:val="18"/>
          <w:szCs w:val="18"/>
          <w:u w:val="single"/>
        </w:rPr>
      </w:pPr>
    </w:p>
    <w:p w:rsidRPr="00C5308E" w:rsidR="006D7D8E" w:rsidP="00D87753" w:rsidRDefault="006D7D8E" w14:paraId="5C65F0CD" w14:textId="104B0C8F">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90</w:t>
      </w:r>
    </w:p>
    <w:p w:rsidRPr="00C5308E" w:rsidR="006D7D8E" w:rsidP="00D87753" w:rsidRDefault="006D7D8E" w14:paraId="4DD3DCB0" w14:textId="77777777">
      <w:pPr>
        <w:spacing w:after="0" w:line="240" w:lineRule="auto"/>
        <w:contextualSpacing/>
        <w:rPr>
          <w:rFonts w:ascii="Verdana" w:hAnsi="Verdana"/>
          <w:bCs/>
          <w:sz w:val="18"/>
          <w:szCs w:val="18"/>
        </w:rPr>
      </w:pPr>
      <w:r w:rsidRPr="00C5308E">
        <w:rPr>
          <w:rFonts w:ascii="Verdana" w:hAnsi="Verdana"/>
          <w:bCs/>
          <w:sz w:val="18"/>
          <w:szCs w:val="18"/>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C5308E" w:rsidR="006D7D8E" w:rsidP="00D87753" w:rsidRDefault="006D7D8E" w14:paraId="53C61B36" w14:textId="77777777">
      <w:pPr>
        <w:spacing w:after="0" w:line="240" w:lineRule="auto"/>
        <w:contextualSpacing/>
        <w:rPr>
          <w:rFonts w:ascii="Verdana" w:hAnsi="Verdana"/>
          <w:bCs/>
          <w:sz w:val="18"/>
          <w:szCs w:val="18"/>
        </w:rPr>
      </w:pPr>
    </w:p>
    <w:p w:rsidRPr="00C5308E" w:rsidR="006D7D8E" w:rsidP="00D87753" w:rsidRDefault="006D7D8E" w14:paraId="720EC732" w14:textId="59E2F1BB">
      <w:pPr>
        <w:spacing w:after="0" w:line="240" w:lineRule="auto"/>
        <w:contextualSpacing/>
        <w:rPr>
          <w:rFonts w:ascii="Verdana" w:hAnsi="Verdana"/>
          <w:bCs/>
          <w:sz w:val="18"/>
          <w:szCs w:val="18"/>
        </w:rPr>
      </w:pPr>
      <w:r w:rsidRPr="00C5308E">
        <w:rPr>
          <w:rFonts w:ascii="Verdana" w:hAnsi="Verdana"/>
          <w:bCs/>
          <w:sz w:val="18"/>
          <w:szCs w:val="18"/>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w:t>
      </w:r>
      <w:r w:rsidRPr="00C5308E">
        <w:rPr>
          <w:rFonts w:ascii="Verdana" w:hAnsi="Verdana"/>
          <w:bCs/>
          <w:sz w:val="18"/>
          <w:szCs w:val="18"/>
        </w:rPr>
        <w:lastRenderedPageBreak/>
        <w:t xml:space="preserve">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C5308E" w:rsidR="006D7D8E" w:rsidP="00D87753" w:rsidRDefault="006D7D8E" w14:paraId="3BFCCE89" w14:textId="77777777">
      <w:pPr>
        <w:spacing w:after="0" w:line="240" w:lineRule="auto"/>
        <w:contextualSpacing/>
        <w:rPr>
          <w:rFonts w:ascii="Verdana" w:hAnsi="Verdana" w:eastAsia="Times New Roman" w:cs="Calibri"/>
          <w:bCs/>
          <w:color w:val="000000"/>
          <w:sz w:val="18"/>
          <w:szCs w:val="18"/>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C5308E" w:rsidR="006D7D8E" w:rsidTr="003C75FE" w14:paraId="77712E67" w14:textId="77777777">
        <w:trPr>
          <w:trHeight w:val="207"/>
        </w:trPr>
        <w:tc>
          <w:tcPr>
            <w:tcW w:w="2219" w:type="dxa"/>
            <w:tcBorders>
              <w:top w:val="nil"/>
              <w:left w:val="nil"/>
              <w:bottom w:val="nil"/>
              <w:right w:val="nil"/>
            </w:tcBorders>
            <w:shd w:val="clear" w:color="auto" w:fill="auto"/>
            <w:noWrap/>
            <w:vAlign w:val="bottom"/>
            <w:hideMark/>
          </w:tcPr>
          <w:p w:rsidRPr="00C5308E" w:rsidR="006D7D8E" w:rsidP="00D87753" w:rsidRDefault="006D7D8E" w14:paraId="6C8C43E5" w14:textId="77777777">
            <w:pPr>
              <w:spacing w:after="0" w:line="240" w:lineRule="auto"/>
              <w:contextualSpacing/>
              <w:rPr>
                <w:rFonts w:ascii="Verdana" w:hAnsi="Verdana" w:eastAsia="Times New Roman" w:cs="Times New Roman"/>
                <w:bCs/>
                <w:sz w:val="18"/>
                <w:szCs w:val="18"/>
                <w:lang w:eastAsia="nl-NL"/>
              </w:rPr>
            </w:pP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5C15982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2024</w:t>
            </w:r>
          </w:p>
        </w:tc>
        <w:tc>
          <w:tcPr>
            <w:tcW w:w="1350" w:type="dxa"/>
            <w:tcBorders>
              <w:top w:val="nil"/>
              <w:left w:val="nil"/>
              <w:bottom w:val="nil"/>
              <w:right w:val="nil"/>
            </w:tcBorders>
            <w:shd w:val="clear" w:color="auto" w:fill="auto"/>
            <w:noWrap/>
            <w:vAlign w:val="bottom"/>
            <w:hideMark/>
          </w:tcPr>
          <w:p w:rsidRPr="00C5308E" w:rsidR="006D7D8E" w:rsidP="00D87753" w:rsidRDefault="006D7D8E" w14:paraId="437A389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42D952A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2644455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24257D7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1098" w:type="dxa"/>
            <w:tcBorders>
              <w:top w:val="nil"/>
              <w:left w:val="nil"/>
              <w:bottom w:val="nil"/>
              <w:right w:val="nil"/>
            </w:tcBorders>
            <w:shd w:val="clear" w:color="auto" w:fill="auto"/>
            <w:noWrap/>
            <w:vAlign w:val="bottom"/>
            <w:hideMark/>
          </w:tcPr>
          <w:p w:rsidRPr="00C5308E" w:rsidR="006D7D8E" w:rsidP="00D87753" w:rsidRDefault="006D7D8E" w14:paraId="4D4BFE8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r>
      <w:tr w:rsidRPr="00C5308E" w:rsidR="006D7D8E" w:rsidTr="003C75FE" w14:paraId="72764BDA"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C5308E" w:rsidR="006D7D8E" w:rsidP="00D87753" w:rsidRDefault="006D7D8E" w14:paraId="4C0E14B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33C73B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130DE4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5ACCCBC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7DB22D5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378153B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C5308E" w:rsidR="006D7D8E" w:rsidP="00D87753" w:rsidRDefault="006D7D8E" w14:paraId="777584D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bl>
    <w:p w:rsidRPr="00C5308E" w:rsidR="006D7D8E" w:rsidP="00D87753" w:rsidRDefault="006D7D8E" w14:paraId="3F48CDED" w14:textId="77777777">
      <w:pPr>
        <w:spacing w:after="0" w:line="240" w:lineRule="auto"/>
        <w:contextualSpacing/>
        <w:rPr>
          <w:rFonts w:ascii="Verdana" w:hAnsi="Verdana" w:eastAsia="Times New Roman" w:cs="Calibri"/>
          <w:bCs/>
          <w:color w:val="000000"/>
          <w:sz w:val="18"/>
          <w:szCs w:val="18"/>
          <w:lang w:eastAsia="nl-NL"/>
        </w:rPr>
      </w:pPr>
    </w:p>
    <w:p w:rsidRPr="00C5308E" w:rsidR="006D7D8E" w:rsidP="00D87753" w:rsidRDefault="006D7D8E" w14:paraId="6710CDF1" w14:textId="77777777">
      <w:pPr>
        <w:spacing w:after="0" w:line="240" w:lineRule="auto"/>
        <w:contextualSpacing/>
        <w:rPr>
          <w:rFonts w:ascii="Verdana" w:hAnsi="Verdana"/>
          <w:bCs/>
          <w:sz w:val="18"/>
          <w:szCs w:val="18"/>
        </w:rPr>
      </w:pPr>
      <w:r w:rsidRPr="00C5308E">
        <w:rPr>
          <w:rFonts w:ascii="Verdana" w:hAnsi="Verdana"/>
          <w:bCs/>
          <w:sz w:val="18"/>
          <w:szCs w:val="18"/>
        </w:rPr>
        <w:t>De genoemde bedragen in bovenstaande tabel zijn nadrukkelijk indicatief.</w:t>
      </w:r>
    </w:p>
    <w:p w:rsidRPr="00C5308E" w:rsidR="006D7D8E" w:rsidP="00D87753" w:rsidRDefault="006D7D8E" w14:paraId="0AB99662" w14:textId="77777777">
      <w:pPr>
        <w:spacing w:after="0" w:line="240" w:lineRule="auto"/>
        <w:contextualSpacing/>
        <w:rPr>
          <w:rFonts w:ascii="Verdana" w:hAnsi="Verdana"/>
          <w:bCs/>
          <w:sz w:val="18"/>
          <w:szCs w:val="18"/>
        </w:rPr>
      </w:pPr>
    </w:p>
    <w:p w:rsidRPr="00C5308E" w:rsidR="008D3CD2" w:rsidP="00D87753" w:rsidRDefault="008D3CD2" w14:paraId="42F8C99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91</w:t>
      </w:r>
    </w:p>
    <w:p w:rsidRPr="00C5308E" w:rsidR="008D3CD2" w:rsidP="00D87753" w:rsidRDefault="008D3CD2" w14:paraId="5D5B55C3" w14:textId="77777777">
      <w:pPr>
        <w:spacing w:after="0" w:line="240" w:lineRule="auto"/>
        <w:contextualSpacing/>
        <w:rPr>
          <w:rFonts w:ascii="Verdana" w:hAnsi="Verdana"/>
          <w:bCs/>
          <w:sz w:val="18"/>
          <w:szCs w:val="18"/>
        </w:rPr>
      </w:pPr>
      <w:r w:rsidRPr="00C5308E">
        <w:rPr>
          <w:rFonts w:ascii="Verdana" w:hAnsi="Verdana"/>
          <w:bCs/>
          <w:sz w:val="18"/>
          <w:szCs w:val="18"/>
        </w:rPr>
        <w:t>Hoeveel kost het toch indexeren van de maximum uurprijs? Hoe verhoudt dit zich tot mogelijk eerder ingeboekte reeksen? Op welke manier is de recente CEP-raming verwerkt?</w:t>
      </w:r>
    </w:p>
    <w:p w:rsidRPr="00C5308E" w:rsidR="008D3CD2" w:rsidP="00D87753" w:rsidRDefault="008D3CD2" w14:paraId="13F60FDB" w14:textId="77777777">
      <w:pPr>
        <w:spacing w:after="0" w:line="240" w:lineRule="auto"/>
        <w:contextualSpacing/>
        <w:rPr>
          <w:rFonts w:ascii="Verdana" w:hAnsi="Verdana"/>
          <w:bCs/>
          <w:sz w:val="18"/>
          <w:szCs w:val="18"/>
          <w:u w:val="single"/>
        </w:rPr>
      </w:pPr>
    </w:p>
    <w:p w:rsidRPr="00C5308E" w:rsidR="008D3CD2" w:rsidP="00D87753" w:rsidRDefault="008D3CD2" w14:paraId="4315DD61" w14:textId="181BA0FA">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91</w:t>
      </w:r>
    </w:p>
    <w:p w:rsidRPr="00C5308E" w:rsidR="008D3CD2" w:rsidP="00D87753" w:rsidRDefault="008D3CD2" w14:paraId="38DABA3D" w14:textId="77777777">
      <w:pPr>
        <w:spacing w:after="0" w:line="240" w:lineRule="auto"/>
        <w:contextualSpacing/>
        <w:rPr>
          <w:rFonts w:ascii="Verdana" w:hAnsi="Verdana"/>
          <w:bCs/>
          <w:sz w:val="18"/>
          <w:szCs w:val="18"/>
        </w:rPr>
      </w:pPr>
      <w:bookmarkStart w:name="_Hlk199235638" w:id="7"/>
      <w:r w:rsidRPr="00C5308E">
        <w:rPr>
          <w:rFonts w:ascii="Verdana" w:hAnsi="Verdana"/>
          <w:bCs/>
          <w:sz w:val="18"/>
          <w:szCs w:val="18"/>
        </w:rPr>
        <w:t xml:space="preserve">Het indexeren van de maximum uurprijs voor de kinderopvangtoeslag heeft structureel budgettaire gevolgen, omdat de uurprijs na indexatie structureel op een hoger niveau komt te liggen, vergeleken met wanneer indexatie achterwege blijft. De in het Besluit kinderopvangtoeslag voorgeschreven reguliere indexatie is een gewogen gemiddelde van de ontwikkeling van de loonvoet bedrijven (80%) en de ontwikkeling van de consumentenprijsindex (20%) volgens het Centraal Economisch Plan (CEP) van het Centraal Planbureau. </w:t>
      </w:r>
    </w:p>
    <w:p w:rsidRPr="00C5308E" w:rsidR="008D3CD2" w:rsidP="00D87753" w:rsidRDefault="008D3CD2" w14:paraId="3A27947F" w14:textId="77777777">
      <w:pPr>
        <w:pStyle w:val="Default"/>
        <w:contextualSpacing/>
        <w:rPr>
          <w:bCs/>
          <w:sz w:val="18"/>
          <w:szCs w:val="18"/>
        </w:rPr>
      </w:pPr>
    </w:p>
    <w:p w:rsidRPr="00C5308E" w:rsidR="008D3CD2" w:rsidP="00D87753" w:rsidRDefault="008D3CD2" w14:paraId="1B7899EA"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geraamde loon- en prijsontwikkeling voor 2026 bedroeg in het CEP 2024 nog 3,76%. Ten tijde van de opstellen van de Hoofdlijnenakkoord werd de opbrengst van het niet indexeren van de maximum uurprijs daarom geraamd op € 254 miljoen structureel. Op basis van het CEP 2025 werd de verwachte loon- en prijsontwikkeling over 2026 bijgesteld naar 3,96% (+0,2%). Daarnaast zou een correctie plaatsvinden over de geraamde loon- en prijsontwikkeling voor 2025 (0,85%), doordat in het CEP 2025 de geraamde loonontwikkeling over 2025 is bijgesteld van 4,2% naar 5,2% en de geraamde prijsontwikkeling van 2,8% naar 3,2%. Samengenomen leiden deze twee componenten ertoe dat de maximum uurprijzen in 2026 worden geïndexeerd met 4,84%, in plaats van de 3,76% waarvan in het HLA was uitgegaan. De raming van de verwachte kosten van het indexeren van de maximum uurprijzen KOT worden zodoende opwaarts bijgesteld naar € 337 miljoen structureel. </w:t>
      </w:r>
    </w:p>
    <w:p w:rsidRPr="00C5308E" w:rsidR="008D3CD2" w:rsidP="00D87753" w:rsidRDefault="008D3CD2" w14:paraId="7CB56E4F" w14:textId="77777777">
      <w:pPr>
        <w:spacing w:after="0" w:line="240" w:lineRule="auto"/>
        <w:contextualSpacing/>
        <w:rPr>
          <w:rFonts w:ascii="Verdana" w:hAnsi="Verdana"/>
          <w:bCs/>
          <w:sz w:val="18"/>
          <w:szCs w:val="18"/>
        </w:rPr>
      </w:pPr>
    </w:p>
    <w:p w:rsidRPr="00C5308E" w:rsidR="008D3CD2" w:rsidP="00D87753" w:rsidRDefault="008D3CD2" w14:paraId="5755D7C4" w14:textId="77777777">
      <w:pPr>
        <w:spacing w:after="0" w:line="240" w:lineRule="auto"/>
        <w:contextualSpacing/>
        <w:rPr>
          <w:rFonts w:ascii="Verdana" w:hAnsi="Verdana"/>
          <w:bCs/>
          <w:sz w:val="18"/>
          <w:szCs w:val="18"/>
        </w:rPr>
      </w:pPr>
      <w:r w:rsidRPr="00C5308E">
        <w:rPr>
          <w:rFonts w:ascii="Verdana" w:hAnsi="Verdana"/>
          <w:bCs/>
          <w:sz w:val="18"/>
          <w:szCs w:val="18"/>
        </w:rPr>
        <w:t>Tabel: budgettaire gevolgen indexeren maximum uurprijs KOT 2026</w:t>
      </w:r>
    </w:p>
    <w:tbl>
      <w:tblPr>
        <w:tblW w:w="8440" w:type="dxa"/>
        <w:tblCellMar>
          <w:left w:w="70" w:type="dxa"/>
          <w:right w:w="70" w:type="dxa"/>
        </w:tblCellMar>
        <w:tblLook w:val="04A0" w:firstRow="1" w:lastRow="0" w:firstColumn="1" w:lastColumn="0" w:noHBand="0" w:noVBand="1"/>
      </w:tblPr>
      <w:tblGrid>
        <w:gridCol w:w="2680"/>
        <w:gridCol w:w="960"/>
        <w:gridCol w:w="960"/>
        <w:gridCol w:w="960"/>
        <w:gridCol w:w="960"/>
        <w:gridCol w:w="960"/>
        <w:gridCol w:w="960"/>
      </w:tblGrid>
      <w:tr w:rsidRPr="00C5308E" w:rsidR="008D3CD2" w:rsidTr="003C75FE" w14:paraId="30171C47" w14:textId="77777777">
        <w:trPr>
          <w:trHeight w:val="300"/>
        </w:trPr>
        <w:tc>
          <w:tcPr>
            <w:tcW w:w="2680" w:type="dxa"/>
            <w:tcBorders>
              <w:top w:val="nil"/>
              <w:left w:val="nil"/>
              <w:bottom w:val="nil"/>
              <w:right w:val="nil"/>
            </w:tcBorders>
            <w:shd w:val="clear" w:color="auto" w:fill="auto"/>
            <w:noWrap/>
            <w:vAlign w:val="bottom"/>
            <w:hideMark/>
          </w:tcPr>
          <w:p w:rsidRPr="00C5308E" w:rsidR="008D3CD2" w:rsidP="00D87753" w:rsidRDefault="008D3CD2" w14:paraId="134358D7" w14:textId="4A716C20">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(x € 1 m</w:t>
            </w:r>
            <w:r w:rsidRPr="00C5308E" w:rsidR="0031642E">
              <w:rPr>
                <w:rFonts w:ascii="Verdana" w:hAnsi="Verdana" w:eastAsia="Times New Roman" w:cs="Calibri"/>
                <w:bCs/>
                <w:color w:val="000000"/>
                <w:sz w:val="18"/>
                <w:szCs w:val="18"/>
                <w:lang w:eastAsia="nl-NL"/>
              </w:rPr>
              <w:t>ln.</w:t>
            </w:r>
            <w:r w:rsidRPr="00C5308E">
              <w:rPr>
                <w:rFonts w:ascii="Verdana" w:hAnsi="Verdana" w:eastAsia="Times New Roman" w:cs="Calibri"/>
                <w:bCs/>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19B3F3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278D218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6C4B84C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2832304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2873914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60" w:type="dxa"/>
            <w:tcBorders>
              <w:top w:val="nil"/>
              <w:left w:val="nil"/>
              <w:bottom w:val="nil"/>
              <w:right w:val="nil"/>
            </w:tcBorders>
            <w:shd w:val="clear" w:color="auto" w:fill="auto"/>
            <w:noWrap/>
            <w:vAlign w:val="bottom"/>
            <w:hideMark/>
          </w:tcPr>
          <w:p w:rsidRPr="00C5308E" w:rsidR="008D3CD2" w:rsidP="00D87753" w:rsidRDefault="008D3CD2" w14:paraId="7499171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3030</w:t>
            </w:r>
          </w:p>
        </w:tc>
      </w:tr>
      <w:tr w:rsidRPr="00C5308E" w:rsidR="008D3CD2" w:rsidTr="003C75FE" w14:paraId="65BDD5DC" w14:textId="77777777">
        <w:trPr>
          <w:trHeight w:val="300"/>
        </w:trPr>
        <w:tc>
          <w:tcPr>
            <w:tcW w:w="2680" w:type="dxa"/>
            <w:tcBorders>
              <w:top w:val="single" w:color="auto" w:sz="4" w:space="0"/>
              <w:left w:val="single" w:color="auto" w:sz="4" w:space="0"/>
              <w:bottom w:val="nil"/>
              <w:right w:val="nil"/>
            </w:tcBorders>
            <w:shd w:val="clear" w:color="auto" w:fill="auto"/>
            <w:noWrap/>
            <w:vAlign w:val="bottom"/>
            <w:hideMark/>
          </w:tcPr>
          <w:p w:rsidRPr="00C5308E" w:rsidR="008D3CD2" w:rsidP="00D87753" w:rsidRDefault="008D3CD2" w14:paraId="01A4AAA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Indexeren MUP (CEP 2024)</w:t>
            </w:r>
          </w:p>
        </w:tc>
        <w:tc>
          <w:tcPr>
            <w:tcW w:w="960" w:type="dxa"/>
            <w:tcBorders>
              <w:top w:val="single" w:color="auto" w:sz="4" w:space="0"/>
              <w:left w:val="single" w:color="auto" w:sz="4" w:space="0"/>
              <w:bottom w:val="nil"/>
              <w:right w:val="nil"/>
            </w:tcBorders>
            <w:shd w:val="clear" w:color="auto" w:fill="auto"/>
            <w:noWrap/>
            <w:vAlign w:val="bottom"/>
            <w:hideMark/>
          </w:tcPr>
          <w:p w:rsidRPr="00C5308E" w:rsidR="008D3CD2" w:rsidP="00D87753" w:rsidRDefault="008D3CD2" w14:paraId="2534BBB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w:t>
            </w:r>
          </w:p>
        </w:tc>
        <w:tc>
          <w:tcPr>
            <w:tcW w:w="960" w:type="dxa"/>
            <w:tcBorders>
              <w:top w:val="single" w:color="auto" w:sz="4" w:space="0"/>
              <w:left w:val="nil"/>
              <w:bottom w:val="nil"/>
              <w:right w:val="nil"/>
            </w:tcBorders>
            <w:shd w:val="clear" w:color="auto" w:fill="auto"/>
            <w:noWrap/>
            <w:vAlign w:val="bottom"/>
            <w:hideMark/>
          </w:tcPr>
          <w:p w:rsidRPr="00C5308E" w:rsidR="008D3CD2" w:rsidP="00D87753" w:rsidRDefault="008D3CD2" w14:paraId="7312218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125</w:t>
            </w:r>
          </w:p>
        </w:tc>
        <w:tc>
          <w:tcPr>
            <w:tcW w:w="960" w:type="dxa"/>
            <w:tcBorders>
              <w:top w:val="single" w:color="auto" w:sz="4" w:space="0"/>
              <w:left w:val="nil"/>
              <w:bottom w:val="nil"/>
              <w:right w:val="nil"/>
            </w:tcBorders>
            <w:shd w:val="clear" w:color="auto" w:fill="auto"/>
            <w:noWrap/>
            <w:vAlign w:val="bottom"/>
            <w:hideMark/>
          </w:tcPr>
          <w:p w:rsidRPr="00C5308E" w:rsidR="008D3CD2" w:rsidP="00D87753" w:rsidRDefault="008D3CD2" w14:paraId="199D8A1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214</w:t>
            </w:r>
          </w:p>
        </w:tc>
        <w:tc>
          <w:tcPr>
            <w:tcW w:w="960" w:type="dxa"/>
            <w:tcBorders>
              <w:top w:val="single" w:color="auto" w:sz="4" w:space="0"/>
              <w:left w:val="nil"/>
              <w:bottom w:val="nil"/>
              <w:right w:val="nil"/>
            </w:tcBorders>
            <w:shd w:val="clear" w:color="auto" w:fill="auto"/>
            <w:noWrap/>
            <w:vAlign w:val="bottom"/>
            <w:hideMark/>
          </w:tcPr>
          <w:p w:rsidRPr="00C5308E" w:rsidR="008D3CD2" w:rsidP="00D87753" w:rsidRDefault="008D3CD2" w14:paraId="4BC7FD4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245</w:t>
            </w:r>
          </w:p>
        </w:tc>
        <w:tc>
          <w:tcPr>
            <w:tcW w:w="960" w:type="dxa"/>
            <w:tcBorders>
              <w:top w:val="single" w:color="auto" w:sz="4" w:space="0"/>
              <w:left w:val="nil"/>
              <w:bottom w:val="nil"/>
              <w:right w:val="nil"/>
            </w:tcBorders>
            <w:shd w:val="clear" w:color="auto" w:fill="auto"/>
            <w:noWrap/>
            <w:vAlign w:val="bottom"/>
            <w:hideMark/>
          </w:tcPr>
          <w:p w:rsidRPr="00C5308E" w:rsidR="008D3CD2" w:rsidP="00D87753" w:rsidRDefault="008D3CD2" w14:paraId="524D8ED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254</w:t>
            </w:r>
          </w:p>
        </w:tc>
        <w:tc>
          <w:tcPr>
            <w:tcW w:w="960" w:type="dxa"/>
            <w:tcBorders>
              <w:top w:val="single" w:color="auto" w:sz="4" w:space="0"/>
              <w:left w:val="nil"/>
              <w:bottom w:val="nil"/>
              <w:right w:val="single" w:color="auto" w:sz="4" w:space="0"/>
            </w:tcBorders>
            <w:shd w:val="clear" w:color="auto" w:fill="auto"/>
            <w:noWrap/>
            <w:vAlign w:val="bottom"/>
            <w:hideMark/>
          </w:tcPr>
          <w:p w:rsidRPr="00C5308E" w:rsidR="008D3CD2" w:rsidP="00D87753" w:rsidRDefault="008D3CD2" w14:paraId="046D074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254</w:t>
            </w:r>
          </w:p>
        </w:tc>
      </w:tr>
      <w:tr w:rsidRPr="00C5308E" w:rsidR="008D3CD2" w:rsidTr="003C75FE" w14:paraId="198EB3B4" w14:textId="77777777">
        <w:trPr>
          <w:trHeight w:val="300"/>
        </w:trPr>
        <w:tc>
          <w:tcPr>
            <w:tcW w:w="2680" w:type="dxa"/>
            <w:tcBorders>
              <w:top w:val="nil"/>
              <w:left w:val="single" w:color="auto" w:sz="4" w:space="0"/>
              <w:bottom w:val="single" w:color="auto" w:sz="4" w:space="0"/>
              <w:right w:val="nil"/>
            </w:tcBorders>
            <w:shd w:val="clear" w:color="auto" w:fill="auto"/>
            <w:noWrap/>
            <w:vAlign w:val="bottom"/>
            <w:hideMark/>
          </w:tcPr>
          <w:p w:rsidRPr="00C5308E" w:rsidR="008D3CD2" w:rsidP="00D87753" w:rsidRDefault="008D3CD2" w14:paraId="3EC23E4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Indexeren MUP (CEP 2025)</w:t>
            </w:r>
          </w:p>
        </w:tc>
        <w:tc>
          <w:tcPr>
            <w:tcW w:w="960" w:type="dxa"/>
            <w:tcBorders>
              <w:top w:val="nil"/>
              <w:left w:val="single" w:color="auto" w:sz="4" w:space="0"/>
              <w:bottom w:val="single" w:color="auto" w:sz="4" w:space="0"/>
              <w:right w:val="nil"/>
            </w:tcBorders>
            <w:shd w:val="clear" w:color="auto" w:fill="auto"/>
            <w:noWrap/>
            <w:vAlign w:val="bottom"/>
            <w:hideMark/>
          </w:tcPr>
          <w:p w:rsidRPr="00C5308E" w:rsidR="008D3CD2" w:rsidP="00D87753" w:rsidRDefault="008D3CD2" w14:paraId="3CDCE09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c>
          <w:tcPr>
            <w:tcW w:w="960" w:type="dxa"/>
            <w:tcBorders>
              <w:top w:val="nil"/>
              <w:left w:val="nil"/>
              <w:bottom w:val="single" w:color="auto" w:sz="4" w:space="0"/>
              <w:right w:val="nil"/>
            </w:tcBorders>
            <w:shd w:val="clear" w:color="auto" w:fill="auto"/>
            <w:noWrap/>
            <w:vAlign w:val="bottom"/>
            <w:hideMark/>
          </w:tcPr>
          <w:p w:rsidRPr="00C5308E" w:rsidR="008D3CD2" w:rsidP="00D87753" w:rsidRDefault="008D3CD2" w14:paraId="00A1122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184</w:t>
            </w:r>
          </w:p>
        </w:tc>
        <w:tc>
          <w:tcPr>
            <w:tcW w:w="960" w:type="dxa"/>
            <w:tcBorders>
              <w:top w:val="nil"/>
              <w:left w:val="nil"/>
              <w:bottom w:val="single" w:color="auto" w:sz="4" w:space="0"/>
              <w:right w:val="nil"/>
            </w:tcBorders>
            <w:shd w:val="clear" w:color="auto" w:fill="auto"/>
            <w:noWrap/>
            <w:vAlign w:val="bottom"/>
            <w:hideMark/>
          </w:tcPr>
          <w:p w:rsidRPr="00C5308E" w:rsidR="008D3CD2" w:rsidP="00D87753" w:rsidRDefault="008D3CD2" w14:paraId="3E41D0A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280</w:t>
            </w:r>
          </w:p>
        </w:tc>
        <w:tc>
          <w:tcPr>
            <w:tcW w:w="960" w:type="dxa"/>
            <w:tcBorders>
              <w:top w:val="nil"/>
              <w:left w:val="nil"/>
              <w:bottom w:val="single" w:color="auto" w:sz="4" w:space="0"/>
              <w:right w:val="nil"/>
            </w:tcBorders>
            <w:shd w:val="clear" w:color="auto" w:fill="auto"/>
            <w:noWrap/>
            <w:vAlign w:val="bottom"/>
            <w:hideMark/>
          </w:tcPr>
          <w:p w:rsidRPr="00C5308E" w:rsidR="008D3CD2" w:rsidP="00D87753" w:rsidRDefault="008D3CD2" w14:paraId="7DEDC3B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318</w:t>
            </w:r>
          </w:p>
        </w:tc>
        <w:tc>
          <w:tcPr>
            <w:tcW w:w="960" w:type="dxa"/>
            <w:tcBorders>
              <w:top w:val="nil"/>
              <w:left w:val="nil"/>
              <w:bottom w:val="single" w:color="auto" w:sz="4" w:space="0"/>
              <w:right w:val="nil"/>
            </w:tcBorders>
            <w:shd w:val="clear" w:color="auto" w:fill="auto"/>
            <w:noWrap/>
            <w:vAlign w:val="bottom"/>
            <w:hideMark/>
          </w:tcPr>
          <w:p w:rsidRPr="00C5308E" w:rsidR="008D3CD2" w:rsidP="00D87753" w:rsidRDefault="008D3CD2" w14:paraId="257A729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336</w:t>
            </w:r>
          </w:p>
        </w:tc>
        <w:tc>
          <w:tcPr>
            <w:tcW w:w="960" w:type="dxa"/>
            <w:tcBorders>
              <w:top w:val="nil"/>
              <w:left w:val="nil"/>
              <w:bottom w:val="single" w:color="auto" w:sz="4" w:space="0"/>
              <w:right w:val="single" w:color="auto" w:sz="4" w:space="0"/>
            </w:tcBorders>
            <w:shd w:val="clear" w:color="auto" w:fill="auto"/>
            <w:noWrap/>
            <w:vAlign w:val="bottom"/>
            <w:hideMark/>
          </w:tcPr>
          <w:p w:rsidRPr="00C5308E" w:rsidR="008D3CD2" w:rsidP="00D87753" w:rsidRDefault="008D3CD2" w14:paraId="658AD15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337</w:t>
            </w:r>
          </w:p>
        </w:tc>
      </w:tr>
    </w:tbl>
    <w:p w:rsidRPr="00C5308E" w:rsidR="000243CF" w:rsidP="00D87753" w:rsidRDefault="000243CF" w14:paraId="59E47146" w14:textId="77777777">
      <w:pPr>
        <w:spacing w:line="240" w:lineRule="auto"/>
        <w:contextualSpacing/>
        <w:rPr>
          <w:rFonts w:ascii="Verdana" w:hAnsi="Verdana"/>
          <w:bCs/>
          <w:sz w:val="18"/>
          <w:szCs w:val="18"/>
          <w:u w:val="single"/>
        </w:rPr>
      </w:pPr>
    </w:p>
    <w:bookmarkEnd w:id="7"/>
    <w:p w:rsidRPr="00C5308E" w:rsidR="00CB044F" w:rsidP="00D87753" w:rsidRDefault="00CB044F" w14:paraId="0F90CDF6" w14:textId="77777777">
      <w:pPr>
        <w:spacing w:line="240" w:lineRule="auto"/>
        <w:contextualSpacing/>
        <w:rPr>
          <w:rFonts w:ascii="Verdana" w:hAnsi="Verdana"/>
          <w:bCs/>
          <w:sz w:val="18"/>
          <w:szCs w:val="18"/>
          <w:u w:val="single"/>
        </w:rPr>
      </w:pPr>
      <w:r w:rsidRPr="00C5308E">
        <w:rPr>
          <w:rFonts w:ascii="Verdana" w:hAnsi="Verdana"/>
          <w:bCs/>
          <w:sz w:val="18"/>
          <w:szCs w:val="18"/>
          <w:u w:val="single"/>
        </w:rPr>
        <w:t>Vraag 92</w:t>
      </w:r>
    </w:p>
    <w:p w:rsidRPr="00C5308E" w:rsidR="00CB044F" w:rsidP="00D87753" w:rsidRDefault="00CB044F" w14:paraId="413A1B87" w14:textId="77777777">
      <w:pPr>
        <w:spacing w:line="240" w:lineRule="auto"/>
        <w:contextualSpacing/>
        <w:rPr>
          <w:rFonts w:ascii="Verdana" w:hAnsi="Verdana"/>
          <w:bCs/>
          <w:sz w:val="18"/>
          <w:szCs w:val="18"/>
        </w:rPr>
      </w:pPr>
      <w:r w:rsidRPr="00C5308E">
        <w:rPr>
          <w:rFonts w:ascii="Verdana" w:hAnsi="Verdana"/>
          <w:bCs/>
          <w:sz w:val="18"/>
          <w:szCs w:val="18"/>
        </w:rPr>
        <w:t>Wat voor inkomenseffecten heeft het uitstellen van de stelselherziening kinderopvang voor de jaren 2026, 2027 en 2028 ten opzichte van de situatie dat de stelselherziening wel doorging per 2027 (en de bijbehorende middelen om daarnaartoe te groeien)? Kunt u deze uitdrukken in de gebruikelijke voorbeeldhuishoudens en boxplots? Wilt u voor zover de invulling van de ingroeipaden (of andere parameters) nog onbekend is aannames maken over het ingroeipad op basis van de keuzes die in het verleden genomen zijn, zoals dat er gekozen is voor variant 1 voor de eerste tranche van het ingroeipad?</w:t>
      </w:r>
    </w:p>
    <w:p w:rsidRPr="00C5308E" w:rsidR="0056088B" w:rsidP="00D87753" w:rsidRDefault="0056088B" w14:paraId="43ECABD4" w14:textId="77777777">
      <w:pPr>
        <w:spacing w:line="240" w:lineRule="auto"/>
        <w:contextualSpacing/>
        <w:rPr>
          <w:rFonts w:ascii="Verdana" w:hAnsi="Verdana"/>
          <w:bCs/>
          <w:sz w:val="18"/>
          <w:szCs w:val="18"/>
          <w:u w:val="single"/>
        </w:rPr>
      </w:pPr>
    </w:p>
    <w:p w:rsidRPr="00C5308E" w:rsidR="00CB044F" w:rsidP="00D87753" w:rsidRDefault="00CB044F" w14:paraId="1EBC5DAB" w14:textId="1459610B">
      <w:pPr>
        <w:spacing w:line="240" w:lineRule="auto"/>
        <w:contextualSpacing/>
        <w:rPr>
          <w:rFonts w:ascii="Verdana" w:hAnsi="Verdana"/>
          <w:bCs/>
          <w:sz w:val="18"/>
          <w:szCs w:val="18"/>
          <w:u w:val="single"/>
        </w:rPr>
      </w:pPr>
      <w:r w:rsidRPr="00C5308E">
        <w:rPr>
          <w:rFonts w:ascii="Verdana" w:hAnsi="Verdana"/>
          <w:bCs/>
          <w:sz w:val="18"/>
          <w:szCs w:val="18"/>
          <w:u w:val="single"/>
        </w:rPr>
        <w:t>Antwoord 92</w:t>
      </w:r>
    </w:p>
    <w:p w:rsidRPr="00C5308E" w:rsidR="00CB044F" w:rsidP="00D87753" w:rsidRDefault="00CB044F" w14:paraId="3B621CBF" w14:textId="77777777">
      <w:pPr>
        <w:spacing w:line="240" w:lineRule="auto"/>
        <w:contextualSpacing/>
        <w:rPr>
          <w:rFonts w:ascii="Verdana" w:hAnsi="Verdana"/>
          <w:bCs/>
          <w:sz w:val="18"/>
          <w:szCs w:val="18"/>
        </w:rPr>
      </w:pPr>
      <w:r w:rsidRPr="00C5308E">
        <w:rPr>
          <w:rFonts w:ascii="Verdana" w:hAnsi="Verdana"/>
          <w:bCs/>
          <w:sz w:val="18"/>
          <w:szCs w:val="18"/>
        </w:rPr>
        <w:t>Op de SZW-begroting is een reservering getroffen voor het jaarlijks verhogen van de vergoedingspercentages in de kinderopvangtoeslag in de aanloop naar de invoering van een nieuw financieringsstelsel. Op dit moment is nog niet bekend wat de toekomstige vergoedingspercentages zullen zijn. De maximaal vergoede tarieven (de maximum uurprijs), de inkomensgrenzen en de vergoedingspercentages worden namelijk steeds per kalenderjaar vastgesteld met een algemene maatregel van bestuur (Amvb). Deze Amvb kent een voorhangprocedure. De wijziging van het Besluit KOT voor 2026 zal in juni bij het parlement worden voorgehangen, voorzien van rekenvoorbeelden. Met de gebruikelijke boxplots wordt in de SZW-begroting een algemeen beeld geschetst van de jaarlijkse koopkrachtontwikkeling. Hiervoor geldt dat effecten van wijzigingen in de kinderopvangtoeslag vaak minder goed zichtbaar zijn, omdat de groep die gebruik maakt van kinderopvang relatief gezien erg klein is ten opzichte van alle huishoudens. Daarom wordt doorgaans gewerkt met rekenvoorbeelden bij beleidswijzigingen.</w:t>
      </w:r>
    </w:p>
    <w:p w:rsidRPr="00C5308E" w:rsidR="00CB044F" w:rsidP="00D87753" w:rsidRDefault="00CB044F" w14:paraId="3DF5AAFF" w14:textId="77777777">
      <w:pPr>
        <w:spacing w:line="240" w:lineRule="auto"/>
        <w:contextualSpacing/>
        <w:rPr>
          <w:rFonts w:ascii="Verdana" w:hAnsi="Verdana"/>
          <w:bCs/>
          <w:sz w:val="18"/>
          <w:szCs w:val="18"/>
        </w:rPr>
      </w:pPr>
      <w:r w:rsidRPr="00C5308E">
        <w:rPr>
          <w:rFonts w:ascii="Verdana" w:hAnsi="Verdana"/>
          <w:bCs/>
          <w:sz w:val="18"/>
          <w:szCs w:val="18"/>
        </w:rPr>
        <w:lastRenderedPageBreak/>
        <w:t>Zie voor het een indicatie van het ingroeipad naar het nieuwe financieringsstelsel ook het antwoord op vraag 85.</w:t>
      </w:r>
    </w:p>
    <w:p w:rsidRPr="00C5308E" w:rsidR="00043304" w:rsidP="00D87753" w:rsidRDefault="00043304" w14:paraId="69C7B7D7" w14:textId="77777777">
      <w:pPr>
        <w:spacing w:line="240" w:lineRule="auto"/>
        <w:contextualSpacing/>
        <w:rPr>
          <w:rFonts w:ascii="Verdana" w:hAnsi="Verdana"/>
          <w:bCs/>
          <w:sz w:val="18"/>
          <w:szCs w:val="18"/>
        </w:rPr>
      </w:pPr>
    </w:p>
    <w:p w:rsidRPr="00C5308E" w:rsidR="00043304" w:rsidP="00D87753" w:rsidRDefault="00043304" w14:paraId="26186D2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93</w:t>
      </w:r>
    </w:p>
    <w:p w:rsidRPr="00C5308E" w:rsidR="00043304" w:rsidP="00D87753" w:rsidRDefault="00043304" w14:paraId="1221492B" w14:textId="77777777">
      <w:pPr>
        <w:spacing w:after="0" w:line="240" w:lineRule="auto"/>
        <w:contextualSpacing/>
        <w:rPr>
          <w:rFonts w:ascii="Verdana" w:hAnsi="Verdana"/>
          <w:bCs/>
          <w:sz w:val="18"/>
          <w:szCs w:val="18"/>
        </w:rPr>
      </w:pPr>
      <w:r w:rsidRPr="00C5308E">
        <w:rPr>
          <w:rFonts w:ascii="Verdana" w:hAnsi="Verdana"/>
          <w:bCs/>
          <w:sz w:val="18"/>
          <w:szCs w:val="18"/>
        </w:rPr>
        <w:t>Wat zijn de inkomenseffecten behorend bij het steiler afbouwen van de WKB? Kunt u deze uitdrukken in de gebruikelijke voorbeeldhuishoudens en boxplots?</w:t>
      </w:r>
    </w:p>
    <w:p w:rsidRPr="00C5308E" w:rsidR="00043304" w:rsidP="00D87753" w:rsidRDefault="00043304" w14:paraId="2200A6BA" w14:textId="77777777">
      <w:pPr>
        <w:spacing w:after="0" w:line="240" w:lineRule="auto"/>
        <w:contextualSpacing/>
        <w:rPr>
          <w:rFonts w:ascii="Verdana" w:hAnsi="Verdana"/>
          <w:bCs/>
          <w:sz w:val="18"/>
          <w:szCs w:val="18"/>
        </w:rPr>
      </w:pPr>
    </w:p>
    <w:p w:rsidRPr="00C5308E" w:rsidR="00043304" w:rsidP="00D87753" w:rsidRDefault="00043304" w14:paraId="0E08F89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93</w:t>
      </w:r>
    </w:p>
    <w:p w:rsidRPr="00C5308E" w:rsidR="00043304" w:rsidP="00D87753" w:rsidRDefault="00043304" w14:paraId="0934F26D" w14:textId="77777777">
      <w:pPr>
        <w:spacing w:after="0" w:line="240" w:lineRule="auto"/>
        <w:contextualSpacing/>
        <w:rPr>
          <w:rFonts w:ascii="Verdana" w:hAnsi="Verdana"/>
          <w:bCs/>
          <w:sz w:val="18"/>
          <w:szCs w:val="18"/>
        </w:rPr>
      </w:pPr>
      <w:r w:rsidRPr="00C5308E">
        <w:rPr>
          <w:rFonts w:ascii="Verdana" w:hAnsi="Verdana"/>
          <w:bCs/>
          <w:sz w:val="18"/>
          <w:szCs w:val="18"/>
        </w:rPr>
        <w:t xml:space="preserve">Onderstaande tabel toont het mediane inkomenseffect voor de voorbeeldhuishoudens die geraakt worden door de invoering van het tweede knikpunt in de WKB (steiler afbouwpercentage voor inkomens vanaf € 60.000, prijspeil 2024). Het mediane inkomenseffect voor alle groepen voorbeeldhuishoudens (inclusief huishoudens die geen WKB ontvangen) is 0,0%. </w:t>
      </w:r>
    </w:p>
    <w:p w:rsidRPr="00C5308E" w:rsidR="00043304" w:rsidP="00D87753" w:rsidRDefault="00043304" w14:paraId="4F44FCF7" w14:textId="77777777">
      <w:pPr>
        <w:spacing w:after="0" w:line="240" w:lineRule="auto"/>
        <w:contextualSpacing/>
        <w:rPr>
          <w:rFonts w:ascii="Verdana" w:hAnsi="Verdana"/>
          <w:bCs/>
          <w:sz w:val="18"/>
          <w:szCs w:val="18"/>
          <w:u w:val="single"/>
        </w:rPr>
      </w:pPr>
    </w:p>
    <w:p w:rsidRPr="00C5308E" w:rsidR="00043304" w:rsidP="00D87753" w:rsidRDefault="00043304" w14:paraId="24A96081" w14:textId="77777777">
      <w:pPr>
        <w:spacing w:line="240" w:lineRule="auto"/>
        <w:contextualSpacing/>
        <w:rPr>
          <w:rFonts w:ascii="Verdana" w:hAnsi="Verdana"/>
          <w:bCs/>
          <w:i/>
          <w:iCs/>
          <w:sz w:val="18"/>
          <w:szCs w:val="18"/>
        </w:rPr>
      </w:pPr>
      <w:r w:rsidRPr="00C5308E">
        <w:rPr>
          <w:rFonts w:ascii="Verdana" w:hAnsi="Verdana"/>
          <w:bCs/>
          <w:i/>
          <w:iCs/>
          <w:sz w:val="18"/>
          <w:szCs w:val="18"/>
        </w:rPr>
        <w:t>Tabel: inkomenseffecten voor huishoudens met effect door verhoging van het afbouwpercentage met 4,3%-punt bij inkomens vanaf € 60.000 (prijspeil 2024) in 2027.</w:t>
      </w:r>
    </w:p>
    <w:tbl>
      <w:tblPr>
        <w:tblW w:w="4100" w:type="dxa"/>
        <w:tblCellMar>
          <w:left w:w="70" w:type="dxa"/>
          <w:right w:w="70" w:type="dxa"/>
        </w:tblCellMar>
        <w:tblLook w:val="04A0" w:firstRow="1" w:lastRow="0" w:firstColumn="1" w:lastColumn="0" w:noHBand="0" w:noVBand="1"/>
      </w:tblPr>
      <w:tblGrid>
        <w:gridCol w:w="3080"/>
        <w:gridCol w:w="1020"/>
      </w:tblGrid>
      <w:tr w:rsidRPr="00C5308E" w:rsidR="00043304" w:rsidTr="003C75FE" w14:paraId="343A72EB"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C5308E" w:rsidR="00043304" w:rsidP="00D87753" w:rsidRDefault="00043304" w14:paraId="10E8075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Inkomensgroep</w:t>
            </w:r>
          </w:p>
        </w:tc>
        <w:tc>
          <w:tcPr>
            <w:tcW w:w="1020" w:type="dxa"/>
            <w:tcBorders>
              <w:top w:val="single" w:color="auto" w:sz="8" w:space="0"/>
              <w:left w:val="nil"/>
              <w:bottom w:val="single" w:color="auto" w:sz="8" w:space="0"/>
              <w:right w:val="nil"/>
            </w:tcBorders>
            <w:shd w:val="clear" w:color="000000" w:fill="FFFFFF"/>
            <w:hideMark/>
          </w:tcPr>
          <w:p w:rsidRPr="00C5308E" w:rsidR="00043304" w:rsidP="00D87753" w:rsidRDefault="00043304" w14:paraId="306F2DB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 effect</w:t>
            </w:r>
          </w:p>
        </w:tc>
      </w:tr>
      <w:tr w:rsidRPr="00C5308E" w:rsidR="00043304" w:rsidTr="003C75FE" w14:paraId="6A3024D0" w14:textId="77777777">
        <w:trPr>
          <w:trHeight w:val="300"/>
        </w:trPr>
        <w:tc>
          <w:tcPr>
            <w:tcW w:w="3080" w:type="dxa"/>
            <w:tcBorders>
              <w:top w:val="nil"/>
              <w:left w:val="nil"/>
              <w:bottom w:val="nil"/>
              <w:right w:val="nil"/>
            </w:tcBorders>
            <w:shd w:val="clear" w:color="auto" w:fill="auto"/>
            <w:vAlign w:val="bottom"/>
            <w:hideMark/>
          </w:tcPr>
          <w:p w:rsidRPr="00C5308E" w:rsidR="00043304" w:rsidP="00D87753" w:rsidRDefault="00043304" w14:paraId="4157713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1e (&lt;=106% WML)</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52A0497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0,0%</w:t>
            </w:r>
          </w:p>
        </w:tc>
      </w:tr>
      <w:tr w:rsidRPr="00C5308E" w:rsidR="00043304" w:rsidTr="003C75FE" w14:paraId="7167EB70" w14:textId="77777777">
        <w:trPr>
          <w:trHeight w:val="300"/>
        </w:trPr>
        <w:tc>
          <w:tcPr>
            <w:tcW w:w="3080" w:type="dxa"/>
            <w:tcBorders>
              <w:top w:val="nil"/>
              <w:left w:val="nil"/>
              <w:bottom w:val="nil"/>
              <w:right w:val="nil"/>
            </w:tcBorders>
            <w:shd w:val="clear" w:color="auto" w:fill="auto"/>
            <w:vAlign w:val="bottom"/>
            <w:hideMark/>
          </w:tcPr>
          <w:p w:rsidRPr="00C5308E" w:rsidR="00043304" w:rsidP="00D87753" w:rsidRDefault="00043304" w14:paraId="540128B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2e (106-173% WML)</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4B82BBB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0,0%</w:t>
            </w:r>
          </w:p>
        </w:tc>
      </w:tr>
      <w:tr w:rsidRPr="00C5308E" w:rsidR="00043304" w:rsidTr="003C75FE" w14:paraId="0D876E47" w14:textId="77777777">
        <w:trPr>
          <w:trHeight w:val="300"/>
        </w:trPr>
        <w:tc>
          <w:tcPr>
            <w:tcW w:w="3080" w:type="dxa"/>
            <w:tcBorders>
              <w:top w:val="nil"/>
              <w:left w:val="nil"/>
              <w:bottom w:val="nil"/>
              <w:right w:val="nil"/>
            </w:tcBorders>
            <w:shd w:val="clear" w:color="auto" w:fill="auto"/>
            <w:vAlign w:val="bottom"/>
            <w:hideMark/>
          </w:tcPr>
          <w:p w:rsidRPr="00C5308E" w:rsidR="00043304" w:rsidP="00D87753" w:rsidRDefault="00043304" w14:paraId="3AC01BF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3e (173-257% WML)</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76FE1C0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-0,2%</w:t>
            </w:r>
          </w:p>
        </w:tc>
      </w:tr>
      <w:tr w:rsidRPr="00C5308E" w:rsidR="00043304" w:rsidTr="003C75FE" w14:paraId="448D98BD" w14:textId="77777777">
        <w:trPr>
          <w:trHeight w:val="300"/>
        </w:trPr>
        <w:tc>
          <w:tcPr>
            <w:tcW w:w="3080" w:type="dxa"/>
            <w:tcBorders>
              <w:top w:val="nil"/>
              <w:left w:val="nil"/>
              <w:bottom w:val="nil"/>
              <w:right w:val="nil"/>
            </w:tcBorders>
            <w:shd w:val="clear" w:color="auto" w:fill="auto"/>
            <w:vAlign w:val="bottom"/>
            <w:hideMark/>
          </w:tcPr>
          <w:p w:rsidRPr="00C5308E" w:rsidR="00043304" w:rsidP="00D87753" w:rsidRDefault="00043304" w14:paraId="1F9E52F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4e (257-380% WML)</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17E197E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-0,8%</w:t>
            </w:r>
          </w:p>
        </w:tc>
      </w:tr>
      <w:tr w:rsidRPr="00C5308E" w:rsidR="00043304" w:rsidTr="003C75FE" w14:paraId="6BEA06C5" w14:textId="77777777">
        <w:trPr>
          <w:trHeight w:val="300"/>
        </w:trPr>
        <w:tc>
          <w:tcPr>
            <w:tcW w:w="3080" w:type="dxa"/>
            <w:tcBorders>
              <w:top w:val="nil"/>
              <w:left w:val="nil"/>
              <w:bottom w:val="nil"/>
              <w:right w:val="nil"/>
            </w:tcBorders>
            <w:shd w:val="clear" w:color="auto" w:fill="auto"/>
            <w:vAlign w:val="bottom"/>
            <w:hideMark/>
          </w:tcPr>
          <w:p w:rsidRPr="00C5308E" w:rsidR="00043304" w:rsidP="00D87753" w:rsidRDefault="00043304" w14:paraId="0729755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5e (&gt;380% WML)</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5C8817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w:t>
            </w:r>
          </w:p>
        </w:tc>
      </w:tr>
      <w:tr w:rsidRPr="00C5308E" w:rsidR="00043304" w:rsidTr="003C75FE" w14:paraId="555FAD53"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0C12AFB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43EC254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3CA5C8CE"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5289256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Inkomensbron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726C37C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3DB6A90D"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3F15612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Werkenden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323BDDB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r w:rsidRPr="00C5308E" w:rsidR="00043304" w:rsidTr="003C75FE" w14:paraId="4C21129A"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2380283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Uitkeringsgerechtigden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0692E32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-0,4%</w:t>
            </w:r>
          </w:p>
        </w:tc>
      </w:tr>
      <w:tr w:rsidRPr="00C5308E" w:rsidR="00043304" w:rsidTr="003C75FE" w14:paraId="4560EC03"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2BD38A1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Gepensioneerden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6D648C2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0,0%</w:t>
            </w:r>
          </w:p>
        </w:tc>
      </w:tr>
      <w:tr w:rsidRPr="00C5308E" w:rsidR="00043304" w:rsidTr="003C75FE" w14:paraId="1F75A527"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324B0C1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041B1EB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67ECFB7C"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7F4D80C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Huishoudtype</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5B51B08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4E0C35D1"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0978ADD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Tweeverdieners</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75B2239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r w:rsidRPr="00C5308E" w:rsidR="00043304" w:rsidTr="003C75FE" w14:paraId="42E55303"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4579645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Alleenstaanden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5D0C7B5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r w:rsidRPr="00C5308E" w:rsidR="00043304" w:rsidTr="003C75FE" w14:paraId="5F205102"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72AE64B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Alleenverdieners</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275ABD6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-0,6%</w:t>
            </w:r>
          </w:p>
        </w:tc>
      </w:tr>
      <w:tr w:rsidRPr="00C5308E" w:rsidR="00043304" w:rsidTr="003C75FE" w14:paraId="79F9529C"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75D0B5F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62E157F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0C075495"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6CE3125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5E44AF5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0C14002E"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10447F8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met kinderen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2EDDBF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r w:rsidRPr="00C5308E" w:rsidR="00043304" w:rsidTr="003C75FE" w14:paraId="7960F3B6" w14:textId="77777777">
        <w:trPr>
          <w:trHeight w:val="300"/>
        </w:trPr>
        <w:tc>
          <w:tcPr>
            <w:tcW w:w="3080" w:type="dxa"/>
            <w:tcBorders>
              <w:top w:val="nil"/>
              <w:left w:val="nil"/>
              <w:bottom w:val="nil"/>
              <w:right w:val="nil"/>
            </w:tcBorders>
            <w:shd w:val="clear" w:color="000000" w:fill="FFFFFF"/>
            <w:noWrap/>
            <w:vAlign w:val="bottom"/>
            <w:hideMark/>
          </w:tcPr>
          <w:p w:rsidRPr="00C5308E" w:rsidR="00043304" w:rsidP="00D87753" w:rsidRDefault="00043304" w14:paraId="76579CF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zonder kinderen</w:t>
            </w:r>
          </w:p>
        </w:tc>
        <w:tc>
          <w:tcPr>
            <w:tcW w:w="1020" w:type="dxa"/>
            <w:tcBorders>
              <w:top w:val="nil"/>
              <w:left w:val="nil"/>
              <w:bottom w:val="nil"/>
              <w:right w:val="nil"/>
            </w:tcBorders>
            <w:shd w:val="clear" w:color="000000" w:fill="FFFFFF"/>
            <w:noWrap/>
            <w:vAlign w:val="bottom"/>
            <w:hideMark/>
          </w:tcPr>
          <w:p w:rsidRPr="00C5308E" w:rsidR="00043304" w:rsidP="00D87753" w:rsidRDefault="00043304" w14:paraId="1A2E32D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t>
            </w:r>
          </w:p>
        </w:tc>
      </w:tr>
      <w:tr w:rsidRPr="00C5308E" w:rsidR="00043304" w:rsidTr="003C75FE" w14:paraId="0106339B"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C5308E" w:rsidR="00043304" w:rsidP="00D87753" w:rsidRDefault="00043304" w14:paraId="1772814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20" w:type="dxa"/>
            <w:tcBorders>
              <w:top w:val="nil"/>
              <w:left w:val="nil"/>
              <w:bottom w:val="single" w:color="auto" w:sz="4" w:space="0"/>
              <w:right w:val="nil"/>
            </w:tcBorders>
            <w:shd w:val="clear" w:color="000000" w:fill="FFFFFF"/>
            <w:noWrap/>
            <w:vAlign w:val="bottom"/>
            <w:hideMark/>
          </w:tcPr>
          <w:p w:rsidRPr="00C5308E" w:rsidR="00043304" w:rsidP="00D87753" w:rsidRDefault="00043304" w14:paraId="1ED5896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043304" w:rsidTr="003C75FE" w14:paraId="16DEA830"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C5308E" w:rsidR="00043304" w:rsidP="00D87753" w:rsidRDefault="00043304" w14:paraId="65F6715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 huishoudens met effect</w:t>
            </w:r>
          </w:p>
        </w:tc>
        <w:tc>
          <w:tcPr>
            <w:tcW w:w="1020" w:type="dxa"/>
            <w:tcBorders>
              <w:top w:val="nil"/>
              <w:left w:val="nil"/>
              <w:bottom w:val="single" w:color="auto" w:sz="8" w:space="0"/>
              <w:right w:val="nil"/>
            </w:tcBorders>
            <w:shd w:val="clear" w:color="000000" w:fill="FFFFFF"/>
            <w:noWrap/>
            <w:vAlign w:val="bottom"/>
            <w:hideMark/>
          </w:tcPr>
          <w:p w:rsidRPr="00C5308E" w:rsidR="00043304" w:rsidP="00D87753" w:rsidRDefault="00043304" w14:paraId="3A66DAA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bl>
    <w:p w:rsidRPr="00C5308E" w:rsidR="00043304" w:rsidP="00D87753" w:rsidRDefault="00043304" w14:paraId="76E6EE69" w14:textId="77777777">
      <w:pPr>
        <w:spacing w:line="240" w:lineRule="auto"/>
        <w:contextualSpacing/>
        <w:rPr>
          <w:rFonts w:ascii="Verdana" w:hAnsi="Verdana"/>
          <w:bCs/>
          <w:sz w:val="18"/>
          <w:szCs w:val="18"/>
        </w:rPr>
      </w:pPr>
    </w:p>
    <w:p w:rsidRPr="00C5308E" w:rsidR="00720C2B" w:rsidP="00D87753" w:rsidRDefault="00720C2B" w14:paraId="1B7B66F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94</w:t>
      </w:r>
    </w:p>
    <w:p w:rsidRPr="00C5308E" w:rsidR="00720C2B" w:rsidP="00D87753" w:rsidRDefault="00720C2B" w14:paraId="682A8CF6" w14:textId="77777777">
      <w:pPr>
        <w:spacing w:after="0" w:line="240" w:lineRule="auto"/>
        <w:contextualSpacing/>
        <w:rPr>
          <w:rFonts w:ascii="Verdana" w:hAnsi="Verdana"/>
          <w:bCs/>
          <w:sz w:val="18"/>
          <w:szCs w:val="18"/>
        </w:rPr>
      </w:pPr>
      <w:r w:rsidRPr="00C5308E">
        <w:rPr>
          <w:rFonts w:ascii="Verdana" w:hAnsi="Verdana"/>
          <w:bCs/>
          <w:sz w:val="18"/>
          <w:szCs w:val="18"/>
        </w:rPr>
        <w:t>Welke structurele tegenvaller op de SZW-begroting wordt gedekt door de steilere afbouw WKB?</w:t>
      </w:r>
    </w:p>
    <w:p w:rsidRPr="00C5308E" w:rsidR="00720C2B" w:rsidP="00D87753" w:rsidRDefault="00720C2B" w14:paraId="436EBB25" w14:textId="77777777">
      <w:pPr>
        <w:spacing w:after="0" w:line="240" w:lineRule="auto"/>
        <w:contextualSpacing/>
        <w:rPr>
          <w:rFonts w:ascii="Verdana" w:hAnsi="Verdana"/>
          <w:bCs/>
          <w:sz w:val="18"/>
          <w:szCs w:val="18"/>
        </w:rPr>
      </w:pPr>
    </w:p>
    <w:p w:rsidRPr="00C5308E" w:rsidR="00720C2B" w:rsidP="00D87753" w:rsidRDefault="00720C2B" w14:paraId="0A0E450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94</w:t>
      </w:r>
    </w:p>
    <w:p w:rsidRPr="00C5308E" w:rsidR="00720C2B" w:rsidP="00D87753" w:rsidRDefault="00720C2B" w14:paraId="6079BA35" w14:textId="77777777">
      <w:pPr>
        <w:spacing w:after="0" w:line="240" w:lineRule="auto"/>
        <w:contextualSpacing/>
        <w:rPr>
          <w:rFonts w:ascii="Verdana" w:hAnsi="Verdana"/>
          <w:bCs/>
          <w:sz w:val="18"/>
          <w:szCs w:val="18"/>
        </w:rPr>
      </w:pPr>
      <w:bookmarkStart w:name="_Hlk198904226" w:id="8"/>
      <w:r w:rsidRPr="00C5308E">
        <w:rPr>
          <w:rFonts w:ascii="Verdana" w:hAnsi="Verdana"/>
          <w:bCs/>
          <w:sz w:val="18"/>
          <w:szCs w:val="18"/>
        </w:rPr>
        <w:t xml:space="preserve">De structurele tegenvaller van € 0,7 miljard op de SZW-begroting is het gevolg van bijstellingen op basis van uitvoeringsinformatie van onder andere het UWV, SVB en Dienst Toeslagen. De tegenvaller wordt onder andere veroorzaakt door een hogere dan verwachte instroom in de Wet werk en inkomen naar arbeidsvermogen (WIA). Daarnaast draagt ook een toename in de instroom in de Ziektewet (ZW) bij aan de tegenvaller. Ook is het aantal kinderen dat gebruikmaakt van kinderopvang naar boven bijgesteld, wat resulteert in een tegenvaller op de Kinderopvangtoeslag (KOT). </w:t>
      </w:r>
    </w:p>
    <w:p w:rsidRPr="00C5308E" w:rsidR="00720C2B" w:rsidP="00D87753" w:rsidRDefault="00720C2B" w14:paraId="38E97FB6" w14:textId="77777777">
      <w:pPr>
        <w:spacing w:after="0" w:line="240" w:lineRule="auto"/>
        <w:contextualSpacing/>
        <w:rPr>
          <w:rFonts w:ascii="Verdana" w:hAnsi="Verdana"/>
          <w:bCs/>
          <w:sz w:val="18"/>
          <w:szCs w:val="18"/>
        </w:rPr>
      </w:pPr>
    </w:p>
    <w:p w:rsidRPr="00C5308E" w:rsidR="00720C2B" w:rsidP="00D87753" w:rsidRDefault="00720C2B" w14:paraId="70D537A4"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middelen die vrij zijn gekomen door de steilere afbouw van het kindgebonden budget (WKB) zijn ingezet om de problematiek op de SZW-begroting in algemene zin van dekking te voorzien. Dit is niet toe te wijzen aan een specifieke tegenvaller of beleidsdossier. </w:t>
      </w:r>
      <w:bookmarkEnd w:id="8"/>
    </w:p>
    <w:p w:rsidRPr="00C5308E" w:rsidR="00EB30B0" w:rsidP="00D87753" w:rsidRDefault="00EB30B0" w14:paraId="362B8997" w14:textId="77777777">
      <w:pPr>
        <w:spacing w:after="0" w:line="240" w:lineRule="auto"/>
        <w:contextualSpacing/>
        <w:rPr>
          <w:rFonts w:ascii="Verdana" w:hAnsi="Verdana"/>
          <w:bCs/>
          <w:sz w:val="18"/>
          <w:szCs w:val="18"/>
          <w:u w:val="single"/>
        </w:rPr>
      </w:pPr>
    </w:p>
    <w:p w:rsidRPr="00C5308E" w:rsidR="00EB30B0" w:rsidP="00D87753" w:rsidRDefault="00EB30B0" w14:paraId="0CE381C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95</w:t>
      </w:r>
    </w:p>
    <w:p w:rsidRPr="00C5308E" w:rsidR="00EB30B0" w:rsidP="00D87753" w:rsidRDefault="00EB30B0" w14:paraId="0EF553D5" w14:textId="77777777">
      <w:pPr>
        <w:spacing w:after="0" w:line="240" w:lineRule="auto"/>
        <w:contextualSpacing/>
        <w:rPr>
          <w:rFonts w:ascii="Verdana" w:hAnsi="Verdana"/>
          <w:bCs/>
          <w:sz w:val="18"/>
          <w:szCs w:val="18"/>
        </w:rPr>
      </w:pPr>
      <w:r w:rsidRPr="00C5308E">
        <w:rPr>
          <w:rFonts w:ascii="Verdana" w:hAnsi="Verdana"/>
          <w:bCs/>
          <w:sz w:val="18"/>
          <w:szCs w:val="18"/>
        </w:rPr>
        <w:t>Hoeveel kindgebonden budget krijgt een gezin met respectievelijk twee, drie en vier kinderen, bij een inkomen van respectievelijk € 65.000, 70.000, 75.000, 80.000, 85.000 en 90.000, zowel voor het jaar 2025 als voor 2026?</w:t>
      </w:r>
    </w:p>
    <w:p w:rsidRPr="00C5308E" w:rsidR="00EB30B0" w:rsidP="00D87753" w:rsidRDefault="00EB30B0" w14:paraId="749DC4E1" w14:textId="77777777">
      <w:pPr>
        <w:spacing w:after="0" w:line="240" w:lineRule="auto"/>
        <w:contextualSpacing/>
        <w:rPr>
          <w:rFonts w:ascii="Verdana" w:hAnsi="Verdana"/>
          <w:bCs/>
          <w:sz w:val="18"/>
          <w:szCs w:val="18"/>
        </w:rPr>
      </w:pPr>
    </w:p>
    <w:p w:rsidRPr="00C5308E" w:rsidR="00EB30B0" w:rsidP="00D87753" w:rsidRDefault="00EB30B0" w14:paraId="6396D5E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95</w:t>
      </w:r>
    </w:p>
    <w:p w:rsidRPr="00C5308E" w:rsidR="00EB30B0" w:rsidP="00D87753" w:rsidRDefault="00EB30B0" w14:paraId="2C993452" w14:textId="77777777">
      <w:pPr>
        <w:spacing w:line="240" w:lineRule="auto"/>
        <w:contextualSpacing/>
        <w:rPr>
          <w:rFonts w:ascii="Verdana" w:hAnsi="Verdana"/>
          <w:bCs/>
          <w:sz w:val="18"/>
          <w:szCs w:val="18"/>
        </w:rPr>
      </w:pPr>
      <w:r w:rsidRPr="00C5308E">
        <w:rPr>
          <w:rFonts w:ascii="Verdana" w:hAnsi="Verdana"/>
          <w:bCs/>
          <w:sz w:val="18"/>
          <w:szCs w:val="18"/>
        </w:rPr>
        <w:t>Onderstaande tabellen tonen het totale bedrag aan kindgebonden budget voor een paar met verschillende inkomenshoogtes in 2025 en 2026 in lopende prijzen. In de berekening wordt uitgegaan van kinderen in de leeftijdscategorie 6 tot en met 11 jaar. De bedragen voor alleenstaande ouders vallen hoger uit vanwege de aanvulling voor alleenstaande ouders (ALO-kop), deze bedraagt € 3.389 in 2025 en (voorlopig) € 3.407 in 2026.</w:t>
      </w:r>
    </w:p>
    <w:p w:rsidRPr="00C5308E" w:rsidR="00085AD3" w:rsidP="00D87753" w:rsidRDefault="00085AD3" w14:paraId="289011DB" w14:textId="77777777">
      <w:pPr>
        <w:spacing w:line="240" w:lineRule="auto"/>
        <w:contextualSpacing/>
        <w:rPr>
          <w:rFonts w:ascii="Verdana" w:hAnsi="Verdana"/>
          <w:bCs/>
          <w:sz w:val="18"/>
          <w:szCs w:val="18"/>
        </w:rPr>
      </w:pPr>
    </w:p>
    <w:p w:rsidRPr="00C5308E" w:rsidR="00EB30B0" w:rsidP="00D87753" w:rsidRDefault="00EB30B0" w14:paraId="0C78FE1E" w14:textId="77777777">
      <w:pPr>
        <w:spacing w:after="0" w:line="240" w:lineRule="auto"/>
        <w:contextualSpacing/>
        <w:rPr>
          <w:rFonts w:ascii="Verdana" w:hAnsi="Verdana"/>
          <w:bCs/>
          <w:i/>
          <w:iCs/>
          <w:sz w:val="18"/>
          <w:szCs w:val="18"/>
        </w:rPr>
      </w:pPr>
      <w:r w:rsidRPr="00C5308E">
        <w:rPr>
          <w:rFonts w:ascii="Verdana" w:hAnsi="Verdana"/>
          <w:bCs/>
          <w:i/>
          <w:iCs/>
          <w:sz w:val="18"/>
          <w:szCs w:val="18"/>
        </w:rPr>
        <w:t>Tabel: Hoogte kindgebonden budget in 2025 en 2026 voor een paar met 2 kinderen.</w:t>
      </w:r>
    </w:p>
    <w:tbl>
      <w:tblPr>
        <w:tblStyle w:val="Rastertabel1licht-Accent1"/>
        <w:tblW w:w="3677" w:type="dxa"/>
        <w:tblLook w:val="04A0" w:firstRow="1" w:lastRow="0" w:firstColumn="1" w:lastColumn="0" w:noHBand="0" w:noVBand="1"/>
      </w:tblPr>
      <w:tblGrid>
        <w:gridCol w:w="1255"/>
        <w:gridCol w:w="1236"/>
        <w:gridCol w:w="1186"/>
      </w:tblGrid>
      <w:tr w:rsidRPr="00C5308E" w:rsidR="00EB30B0" w:rsidTr="003C75FE" w14:paraId="140A7848" w14:textId="77777777">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18B96D96"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w:t>
            </w:r>
          </w:p>
        </w:tc>
        <w:tc>
          <w:tcPr>
            <w:tcW w:w="1236" w:type="dxa"/>
            <w:noWrap/>
            <w:hideMark/>
          </w:tcPr>
          <w:p w:rsidRPr="00C5308E" w:rsidR="00EB30B0" w:rsidP="00D87753" w:rsidRDefault="00EB30B0" w14:paraId="1CADDF2C"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WKB 2025</w:t>
            </w:r>
          </w:p>
        </w:tc>
        <w:tc>
          <w:tcPr>
            <w:tcW w:w="1186" w:type="dxa"/>
            <w:noWrap/>
            <w:hideMark/>
          </w:tcPr>
          <w:p w:rsidRPr="00C5308E" w:rsidR="00EB30B0" w:rsidP="00D87753" w:rsidRDefault="00EB30B0" w14:paraId="55575FFE"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WKB 2026</w:t>
            </w:r>
          </w:p>
        </w:tc>
      </w:tr>
      <w:tr w:rsidRPr="00C5308E" w:rsidR="00EB30B0" w:rsidTr="003C75FE" w14:paraId="7481282B"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70B50FEF"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€ 65.000</w:t>
            </w:r>
          </w:p>
        </w:tc>
        <w:tc>
          <w:tcPr>
            <w:tcW w:w="1236" w:type="dxa"/>
            <w:noWrap/>
            <w:hideMark/>
          </w:tcPr>
          <w:p w:rsidRPr="00C5308E" w:rsidR="00EB30B0" w:rsidP="00D87753" w:rsidRDefault="00EB30B0" w14:paraId="6D31435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€ 3.280</w:t>
            </w:r>
          </w:p>
        </w:tc>
        <w:tc>
          <w:tcPr>
            <w:tcW w:w="1186" w:type="dxa"/>
            <w:noWrap/>
            <w:hideMark/>
          </w:tcPr>
          <w:p w:rsidRPr="00C5308E" w:rsidR="00EB30B0" w:rsidP="00D87753" w:rsidRDefault="00EB30B0" w14:paraId="15F1B38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€ 3.399</w:t>
            </w:r>
          </w:p>
        </w:tc>
      </w:tr>
      <w:tr w:rsidRPr="00C5308E" w:rsidR="00EB30B0" w:rsidTr="003C75FE" w14:paraId="68CACCA6"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19EEE991"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€ 70.000</w:t>
            </w:r>
          </w:p>
        </w:tc>
        <w:tc>
          <w:tcPr>
            <w:tcW w:w="1236" w:type="dxa"/>
            <w:noWrap/>
            <w:hideMark/>
          </w:tcPr>
          <w:p w:rsidRPr="00C5308E" w:rsidR="00EB30B0" w:rsidP="00D87753" w:rsidRDefault="00EB30B0" w14:paraId="7D83218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€ 2.947</w:t>
            </w:r>
          </w:p>
        </w:tc>
        <w:tc>
          <w:tcPr>
            <w:tcW w:w="1186" w:type="dxa"/>
            <w:noWrap/>
            <w:hideMark/>
          </w:tcPr>
          <w:p w:rsidRPr="00C5308E" w:rsidR="00EB30B0" w:rsidP="00D87753" w:rsidRDefault="00EB30B0" w14:paraId="2AAA780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€ 3.043</w:t>
            </w:r>
          </w:p>
        </w:tc>
      </w:tr>
      <w:tr w:rsidRPr="00C5308E" w:rsidR="00EB30B0" w:rsidTr="003C75FE" w14:paraId="51446372"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4719FA09"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€ 75.000</w:t>
            </w:r>
          </w:p>
        </w:tc>
        <w:tc>
          <w:tcPr>
            <w:tcW w:w="1236" w:type="dxa"/>
            <w:noWrap/>
            <w:hideMark/>
          </w:tcPr>
          <w:p w:rsidRPr="00C5308E" w:rsidR="00EB30B0" w:rsidP="00D87753" w:rsidRDefault="00EB30B0" w14:paraId="4A99FD2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€ 2.614</w:t>
            </w:r>
          </w:p>
        </w:tc>
        <w:tc>
          <w:tcPr>
            <w:tcW w:w="1186" w:type="dxa"/>
            <w:noWrap/>
            <w:hideMark/>
          </w:tcPr>
          <w:p w:rsidRPr="00C5308E" w:rsidR="00EB30B0" w:rsidP="00D87753" w:rsidRDefault="00EB30B0" w14:paraId="1092228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€ 2.687</w:t>
            </w:r>
          </w:p>
        </w:tc>
      </w:tr>
      <w:tr w:rsidRPr="00C5308E" w:rsidR="00EB30B0" w:rsidTr="003C75FE" w14:paraId="19F8B79C"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47A7FFA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€ 80.000</w:t>
            </w:r>
          </w:p>
        </w:tc>
        <w:tc>
          <w:tcPr>
            <w:tcW w:w="1236" w:type="dxa"/>
            <w:noWrap/>
            <w:hideMark/>
          </w:tcPr>
          <w:p w:rsidRPr="00C5308E" w:rsidR="00EB30B0" w:rsidP="00D87753" w:rsidRDefault="00EB30B0" w14:paraId="1307917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€ 2.281</w:t>
            </w:r>
          </w:p>
        </w:tc>
        <w:tc>
          <w:tcPr>
            <w:tcW w:w="1186" w:type="dxa"/>
            <w:noWrap/>
            <w:hideMark/>
          </w:tcPr>
          <w:p w:rsidRPr="00C5308E" w:rsidR="00EB30B0" w:rsidP="00D87753" w:rsidRDefault="00EB30B0" w14:paraId="24638BD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€ 2.331</w:t>
            </w:r>
          </w:p>
        </w:tc>
      </w:tr>
      <w:tr w:rsidRPr="00C5308E" w:rsidR="00EB30B0" w:rsidTr="003C75FE" w14:paraId="7A08FC8A"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75A8A2DA"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€ 85.000</w:t>
            </w:r>
          </w:p>
        </w:tc>
        <w:tc>
          <w:tcPr>
            <w:tcW w:w="1236" w:type="dxa"/>
            <w:noWrap/>
            <w:hideMark/>
          </w:tcPr>
          <w:p w:rsidRPr="00C5308E" w:rsidR="00EB30B0" w:rsidP="00D87753" w:rsidRDefault="00EB30B0" w14:paraId="617C747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€ 1.948</w:t>
            </w:r>
          </w:p>
        </w:tc>
        <w:tc>
          <w:tcPr>
            <w:tcW w:w="1186" w:type="dxa"/>
            <w:noWrap/>
            <w:hideMark/>
          </w:tcPr>
          <w:p w:rsidRPr="00C5308E" w:rsidR="00EB30B0" w:rsidP="00D87753" w:rsidRDefault="00EB30B0" w14:paraId="7E8CC90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€ 1.974</w:t>
            </w:r>
          </w:p>
        </w:tc>
      </w:tr>
      <w:tr w:rsidRPr="00C5308E" w:rsidR="00EB30B0" w:rsidTr="003C75FE" w14:paraId="01B7F91A"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308E" w:rsidR="00EB30B0" w:rsidP="00D87753" w:rsidRDefault="00EB30B0" w14:paraId="45CD22A8"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€ 90.000</w:t>
            </w:r>
          </w:p>
        </w:tc>
        <w:tc>
          <w:tcPr>
            <w:tcW w:w="1236" w:type="dxa"/>
            <w:noWrap/>
            <w:hideMark/>
          </w:tcPr>
          <w:p w:rsidRPr="00C5308E" w:rsidR="00EB30B0" w:rsidP="00D87753" w:rsidRDefault="00EB30B0" w14:paraId="69B76FD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€ 1.615</w:t>
            </w:r>
          </w:p>
        </w:tc>
        <w:tc>
          <w:tcPr>
            <w:tcW w:w="1186" w:type="dxa"/>
            <w:noWrap/>
            <w:hideMark/>
          </w:tcPr>
          <w:p w:rsidRPr="00C5308E" w:rsidR="00EB30B0" w:rsidP="00D87753" w:rsidRDefault="00EB30B0" w14:paraId="3D4B02D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€ 1.618</w:t>
            </w:r>
          </w:p>
        </w:tc>
      </w:tr>
    </w:tbl>
    <w:p w:rsidRPr="00C5308E" w:rsidR="00EB30B0" w:rsidP="00D87753" w:rsidRDefault="00EB30B0" w14:paraId="09DC0083" w14:textId="77777777">
      <w:pPr>
        <w:spacing w:after="0" w:line="240" w:lineRule="auto"/>
        <w:contextualSpacing/>
        <w:rPr>
          <w:rFonts w:ascii="Verdana" w:hAnsi="Verdana"/>
          <w:bCs/>
          <w:sz w:val="18"/>
          <w:szCs w:val="18"/>
          <w:u w:val="single"/>
        </w:rPr>
      </w:pPr>
    </w:p>
    <w:p w:rsidRPr="00C5308E" w:rsidR="00EB30B0" w:rsidP="00D87753" w:rsidRDefault="00EB30B0" w14:paraId="580C5F8F" w14:textId="77777777">
      <w:pPr>
        <w:spacing w:after="0" w:line="240" w:lineRule="auto"/>
        <w:contextualSpacing/>
        <w:rPr>
          <w:rFonts w:ascii="Verdana" w:hAnsi="Verdana"/>
          <w:bCs/>
          <w:i/>
          <w:iCs/>
          <w:sz w:val="18"/>
          <w:szCs w:val="18"/>
        </w:rPr>
      </w:pPr>
      <w:r w:rsidRPr="00C5308E">
        <w:rPr>
          <w:rFonts w:ascii="Verdana" w:hAnsi="Verdana"/>
          <w:bCs/>
          <w:i/>
          <w:iCs/>
          <w:sz w:val="18"/>
          <w:szCs w:val="18"/>
        </w:rPr>
        <w:t>Tabel: Hoogte kindgebonden budget in 2025 en 2026 voor een paar met 3 kinderen.</w:t>
      </w:r>
    </w:p>
    <w:tbl>
      <w:tblPr>
        <w:tblStyle w:val="Rastertabel1licht-Accent1"/>
        <w:tblW w:w="3662" w:type="dxa"/>
        <w:tblLook w:val="04A0" w:firstRow="1" w:lastRow="0" w:firstColumn="1" w:lastColumn="0" w:noHBand="0" w:noVBand="1"/>
      </w:tblPr>
      <w:tblGrid>
        <w:gridCol w:w="1250"/>
        <w:gridCol w:w="1231"/>
        <w:gridCol w:w="1181"/>
      </w:tblGrid>
      <w:tr w:rsidRPr="00C5308E" w:rsidR="00EB30B0" w:rsidTr="003C75FE" w14:paraId="55F59CC0"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6DBAC3BC"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w:t>
            </w:r>
          </w:p>
        </w:tc>
        <w:tc>
          <w:tcPr>
            <w:tcW w:w="1231" w:type="dxa"/>
            <w:noWrap/>
            <w:hideMark/>
          </w:tcPr>
          <w:p w:rsidRPr="00C5308E" w:rsidR="00EB30B0" w:rsidP="00D87753" w:rsidRDefault="00EB30B0" w14:paraId="30F3E933"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2025</w:t>
            </w:r>
          </w:p>
        </w:tc>
        <w:tc>
          <w:tcPr>
            <w:tcW w:w="1181" w:type="dxa"/>
            <w:noWrap/>
            <w:hideMark/>
          </w:tcPr>
          <w:p w:rsidRPr="00C5308E" w:rsidR="00EB30B0" w:rsidP="00D87753" w:rsidRDefault="00EB30B0" w14:paraId="18462491"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2026</w:t>
            </w:r>
          </w:p>
        </w:tc>
      </w:tr>
      <w:tr w:rsidRPr="00C5308E" w:rsidR="00EB30B0" w:rsidTr="003C75FE" w14:paraId="468BE988"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4A8B55EE"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€ 65.000</w:t>
            </w:r>
          </w:p>
        </w:tc>
        <w:tc>
          <w:tcPr>
            <w:tcW w:w="1231" w:type="dxa"/>
            <w:noWrap/>
            <w:hideMark/>
          </w:tcPr>
          <w:p w:rsidRPr="00C5308E" w:rsidR="00EB30B0" w:rsidP="00D87753" w:rsidRDefault="00EB30B0" w14:paraId="5E6C5FA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€ 5.791</w:t>
            </w:r>
          </w:p>
        </w:tc>
        <w:tc>
          <w:tcPr>
            <w:tcW w:w="1181" w:type="dxa"/>
            <w:noWrap/>
            <w:hideMark/>
          </w:tcPr>
          <w:p w:rsidRPr="00C5308E" w:rsidR="00EB30B0" w:rsidP="00D87753" w:rsidRDefault="00EB30B0" w14:paraId="7E9F765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€ 5.973</w:t>
            </w:r>
          </w:p>
        </w:tc>
      </w:tr>
      <w:tr w:rsidRPr="00C5308E" w:rsidR="00EB30B0" w:rsidTr="003C75FE" w14:paraId="6B3CDD0C"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008ADF0D"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€ 70.000</w:t>
            </w:r>
          </w:p>
        </w:tc>
        <w:tc>
          <w:tcPr>
            <w:tcW w:w="1231" w:type="dxa"/>
            <w:noWrap/>
            <w:hideMark/>
          </w:tcPr>
          <w:p w:rsidRPr="00C5308E" w:rsidR="00EB30B0" w:rsidP="00D87753" w:rsidRDefault="00EB30B0" w14:paraId="6A9BA4A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€ 5.458</w:t>
            </w:r>
          </w:p>
        </w:tc>
        <w:tc>
          <w:tcPr>
            <w:tcW w:w="1181" w:type="dxa"/>
            <w:noWrap/>
            <w:hideMark/>
          </w:tcPr>
          <w:p w:rsidRPr="00C5308E" w:rsidR="00EB30B0" w:rsidP="00D87753" w:rsidRDefault="00EB30B0" w14:paraId="7007831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€ 5.617</w:t>
            </w:r>
          </w:p>
        </w:tc>
      </w:tr>
      <w:tr w:rsidRPr="00C5308E" w:rsidR="00EB30B0" w:rsidTr="003C75FE" w14:paraId="2DC0A65B"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18F91185"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€ 75.000</w:t>
            </w:r>
          </w:p>
        </w:tc>
        <w:tc>
          <w:tcPr>
            <w:tcW w:w="1231" w:type="dxa"/>
            <w:noWrap/>
            <w:hideMark/>
          </w:tcPr>
          <w:p w:rsidRPr="00C5308E" w:rsidR="00EB30B0" w:rsidP="00D87753" w:rsidRDefault="00EB30B0" w14:paraId="2621CE0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€ 5.125</w:t>
            </w:r>
          </w:p>
        </w:tc>
        <w:tc>
          <w:tcPr>
            <w:tcW w:w="1181" w:type="dxa"/>
            <w:noWrap/>
            <w:hideMark/>
          </w:tcPr>
          <w:p w:rsidRPr="00C5308E" w:rsidR="00EB30B0" w:rsidP="00D87753" w:rsidRDefault="00EB30B0" w14:paraId="79EA54B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€ 5.261</w:t>
            </w:r>
          </w:p>
        </w:tc>
      </w:tr>
      <w:tr w:rsidRPr="00C5308E" w:rsidR="00EB30B0" w:rsidTr="003C75FE" w14:paraId="4518F8BA"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52BABB9D"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€ 80.000</w:t>
            </w:r>
          </w:p>
        </w:tc>
        <w:tc>
          <w:tcPr>
            <w:tcW w:w="1231" w:type="dxa"/>
            <w:noWrap/>
            <w:hideMark/>
          </w:tcPr>
          <w:p w:rsidRPr="00C5308E" w:rsidR="00EB30B0" w:rsidP="00D87753" w:rsidRDefault="00EB30B0" w14:paraId="60BC459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€ 4.792</w:t>
            </w:r>
          </w:p>
        </w:tc>
        <w:tc>
          <w:tcPr>
            <w:tcW w:w="1181" w:type="dxa"/>
            <w:noWrap/>
            <w:hideMark/>
          </w:tcPr>
          <w:p w:rsidRPr="00C5308E" w:rsidR="00EB30B0" w:rsidP="00D87753" w:rsidRDefault="00EB30B0" w14:paraId="31C747C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€ 4.905</w:t>
            </w:r>
          </w:p>
        </w:tc>
      </w:tr>
      <w:tr w:rsidRPr="00C5308E" w:rsidR="00EB30B0" w:rsidTr="003C75FE" w14:paraId="4061FFF6"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6A0ADF3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€ 85.000</w:t>
            </w:r>
          </w:p>
        </w:tc>
        <w:tc>
          <w:tcPr>
            <w:tcW w:w="1231" w:type="dxa"/>
            <w:noWrap/>
            <w:hideMark/>
          </w:tcPr>
          <w:p w:rsidRPr="00C5308E" w:rsidR="00EB30B0" w:rsidP="00D87753" w:rsidRDefault="00EB30B0" w14:paraId="3E21630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€ 4.459</w:t>
            </w:r>
          </w:p>
        </w:tc>
        <w:tc>
          <w:tcPr>
            <w:tcW w:w="1181" w:type="dxa"/>
            <w:noWrap/>
            <w:hideMark/>
          </w:tcPr>
          <w:p w:rsidRPr="00C5308E" w:rsidR="00EB30B0" w:rsidP="00D87753" w:rsidRDefault="00EB30B0" w14:paraId="21E0993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€ 4.548</w:t>
            </w:r>
          </w:p>
        </w:tc>
      </w:tr>
      <w:tr w:rsidRPr="00C5308E" w:rsidR="00EB30B0" w:rsidTr="003C75FE" w14:paraId="5C370BDF"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C5308E" w:rsidR="00EB30B0" w:rsidP="00D87753" w:rsidRDefault="00EB30B0" w14:paraId="0AA5505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€ 90.000</w:t>
            </w:r>
          </w:p>
        </w:tc>
        <w:tc>
          <w:tcPr>
            <w:tcW w:w="1231" w:type="dxa"/>
            <w:noWrap/>
            <w:hideMark/>
          </w:tcPr>
          <w:p w:rsidRPr="00C5308E" w:rsidR="00EB30B0" w:rsidP="00D87753" w:rsidRDefault="00EB30B0" w14:paraId="0307060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€ 4.126</w:t>
            </w:r>
          </w:p>
        </w:tc>
        <w:tc>
          <w:tcPr>
            <w:tcW w:w="1181" w:type="dxa"/>
            <w:noWrap/>
            <w:hideMark/>
          </w:tcPr>
          <w:p w:rsidRPr="00C5308E" w:rsidR="00EB30B0" w:rsidP="00D87753" w:rsidRDefault="00EB30B0" w14:paraId="3F7DE7E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€ 4.192</w:t>
            </w:r>
          </w:p>
        </w:tc>
      </w:tr>
    </w:tbl>
    <w:p w:rsidRPr="00C5308E" w:rsidR="00EB30B0" w:rsidP="00D87753" w:rsidRDefault="00EB30B0" w14:paraId="46CF5143" w14:textId="77777777">
      <w:pPr>
        <w:spacing w:after="0" w:line="240" w:lineRule="auto"/>
        <w:contextualSpacing/>
        <w:rPr>
          <w:rFonts w:ascii="Verdana" w:hAnsi="Verdana"/>
          <w:bCs/>
          <w:sz w:val="18"/>
          <w:szCs w:val="18"/>
          <w:u w:val="single"/>
        </w:rPr>
      </w:pPr>
    </w:p>
    <w:p w:rsidRPr="00C5308E" w:rsidR="00EB30B0" w:rsidP="00D87753" w:rsidRDefault="00EB30B0" w14:paraId="1A6D5CB8" w14:textId="77777777">
      <w:pPr>
        <w:spacing w:after="0" w:line="240" w:lineRule="auto"/>
        <w:contextualSpacing/>
        <w:rPr>
          <w:rFonts w:ascii="Verdana" w:hAnsi="Verdana"/>
          <w:bCs/>
          <w:i/>
          <w:iCs/>
          <w:sz w:val="18"/>
          <w:szCs w:val="18"/>
        </w:rPr>
      </w:pPr>
      <w:r w:rsidRPr="00C5308E">
        <w:rPr>
          <w:rFonts w:ascii="Verdana" w:hAnsi="Verdana"/>
          <w:bCs/>
          <w:i/>
          <w:iCs/>
          <w:sz w:val="18"/>
          <w:szCs w:val="18"/>
        </w:rPr>
        <w:t>Tabel: Hoogte kindgebonden budget in 2025 en 2026 voor een paar met 4 kinderen.</w:t>
      </w:r>
    </w:p>
    <w:tbl>
      <w:tblPr>
        <w:tblStyle w:val="Rastertabel1licht-Accent1"/>
        <w:tblW w:w="3692" w:type="dxa"/>
        <w:tblLook w:val="04A0" w:firstRow="1" w:lastRow="0" w:firstColumn="1" w:lastColumn="0" w:noHBand="0" w:noVBand="1"/>
      </w:tblPr>
      <w:tblGrid>
        <w:gridCol w:w="1260"/>
        <w:gridCol w:w="1241"/>
        <w:gridCol w:w="1191"/>
      </w:tblGrid>
      <w:tr w:rsidRPr="00C5308E" w:rsidR="00EB30B0" w:rsidTr="003C75FE" w14:paraId="38C185F3" w14:textId="7777777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708ACF77"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Inkomen</w:t>
            </w:r>
          </w:p>
        </w:tc>
        <w:tc>
          <w:tcPr>
            <w:tcW w:w="1241" w:type="dxa"/>
            <w:noWrap/>
            <w:hideMark/>
          </w:tcPr>
          <w:p w:rsidRPr="00C5308E" w:rsidR="00EB30B0" w:rsidP="00D87753" w:rsidRDefault="00EB30B0" w14:paraId="1845F328"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WKB 2025</w:t>
            </w:r>
          </w:p>
        </w:tc>
        <w:tc>
          <w:tcPr>
            <w:tcW w:w="1191" w:type="dxa"/>
            <w:noWrap/>
            <w:hideMark/>
          </w:tcPr>
          <w:p w:rsidRPr="00C5308E" w:rsidR="00EB30B0" w:rsidP="00D87753" w:rsidRDefault="00EB30B0" w14:paraId="4E8E00CD"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WKB 2026</w:t>
            </w:r>
          </w:p>
        </w:tc>
      </w:tr>
      <w:tr w:rsidRPr="00C5308E" w:rsidR="00EB30B0" w:rsidTr="003C75FE" w14:paraId="04902234"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733C8E12"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€ 65.000</w:t>
            </w:r>
          </w:p>
        </w:tc>
        <w:tc>
          <w:tcPr>
            <w:tcW w:w="1241" w:type="dxa"/>
            <w:noWrap/>
            <w:hideMark/>
          </w:tcPr>
          <w:p w:rsidRPr="00C5308E" w:rsidR="00EB30B0" w:rsidP="00D87753" w:rsidRDefault="00EB30B0" w14:paraId="75233DB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€ 8.302</w:t>
            </w:r>
          </w:p>
        </w:tc>
        <w:tc>
          <w:tcPr>
            <w:tcW w:w="1191" w:type="dxa"/>
            <w:noWrap/>
            <w:hideMark/>
          </w:tcPr>
          <w:p w:rsidRPr="00C5308E" w:rsidR="00EB30B0" w:rsidP="00D87753" w:rsidRDefault="00EB30B0" w14:paraId="6403E5B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€ 8.547</w:t>
            </w:r>
          </w:p>
        </w:tc>
      </w:tr>
      <w:tr w:rsidRPr="00C5308E" w:rsidR="00EB30B0" w:rsidTr="003C75FE" w14:paraId="53CC0377"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287CE960"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€ 70.000</w:t>
            </w:r>
          </w:p>
        </w:tc>
        <w:tc>
          <w:tcPr>
            <w:tcW w:w="1241" w:type="dxa"/>
            <w:noWrap/>
            <w:hideMark/>
          </w:tcPr>
          <w:p w:rsidRPr="00C5308E" w:rsidR="00EB30B0" w:rsidP="00D87753" w:rsidRDefault="00EB30B0" w14:paraId="5B11E27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€ 7.969</w:t>
            </w:r>
          </w:p>
        </w:tc>
        <w:tc>
          <w:tcPr>
            <w:tcW w:w="1191" w:type="dxa"/>
            <w:noWrap/>
            <w:hideMark/>
          </w:tcPr>
          <w:p w:rsidRPr="00C5308E" w:rsidR="00EB30B0" w:rsidP="00D87753" w:rsidRDefault="00EB30B0" w14:paraId="5829B9D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€ 8.191</w:t>
            </w:r>
          </w:p>
        </w:tc>
      </w:tr>
      <w:tr w:rsidRPr="00C5308E" w:rsidR="00EB30B0" w:rsidTr="003C75FE" w14:paraId="7ED944A8"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54ADBE33"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€ 75.000</w:t>
            </w:r>
          </w:p>
        </w:tc>
        <w:tc>
          <w:tcPr>
            <w:tcW w:w="1241" w:type="dxa"/>
            <w:noWrap/>
            <w:hideMark/>
          </w:tcPr>
          <w:p w:rsidRPr="00C5308E" w:rsidR="00EB30B0" w:rsidP="00D87753" w:rsidRDefault="00EB30B0" w14:paraId="28669FC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€ 7.636</w:t>
            </w:r>
          </w:p>
        </w:tc>
        <w:tc>
          <w:tcPr>
            <w:tcW w:w="1191" w:type="dxa"/>
            <w:noWrap/>
            <w:hideMark/>
          </w:tcPr>
          <w:p w:rsidRPr="00C5308E" w:rsidR="00EB30B0" w:rsidP="00D87753" w:rsidRDefault="00EB30B0" w14:paraId="040CEC7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€ 7.835</w:t>
            </w:r>
          </w:p>
        </w:tc>
      </w:tr>
      <w:tr w:rsidRPr="00C5308E" w:rsidR="00EB30B0" w:rsidTr="003C75FE" w14:paraId="6A72C19B"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702BEBA5"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€ 80.000</w:t>
            </w:r>
          </w:p>
        </w:tc>
        <w:tc>
          <w:tcPr>
            <w:tcW w:w="1241" w:type="dxa"/>
            <w:noWrap/>
            <w:hideMark/>
          </w:tcPr>
          <w:p w:rsidRPr="00C5308E" w:rsidR="00EB30B0" w:rsidP="00D87753" w:rsidRDefault="00EB30B0" w14:paraId="5FFC1AA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€ 7.303</w:t>
            </w:r>
          </w:p>
        </w:tc>
        <w:tc>
          <w:tcPr>
            <w:tcW w:w="1191" w:type="dxa"/>
            <w:noWrap/>
            <w:hideMark/>
          </w:tcPr>
          <w:p w:rsidRPr="00C5308E" w:rsidR="00EB30B0" w:rsidP="00D87753" w:rsidRDefault="00EB30B0" w14:paraId="6596EF9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€ 7.479</w:t>
            </w:r>
          </w:p>
        </w:tc>
      </w:tr>
      <w:tr w:rsidRPr="00C5308E" w:rsidR="00EB30B0" w:rsidTr="003C75FE" w14:paraId="521DD2DB"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4F7A4F45"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€ 85.000</w:t>
            </w:r>
          </w:p>
        </w:tc>
        <w:tc>
          <w:tcPr>
            <w:tcW w:w="1241" w:type="dxa"/>
            <w:noWrap/>
            <w:hideMark/>
          </w:tcPr>
          <w:p w:rsidRPr="00C5308E" w:rsidR="00EB30B0" w:rsidP="00D87753" w:rsidRDefault="00EB30B0" w14:paraId="223FDC7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€ 6.970</w:t>
            </w:r>
          </w:p>
        </w:tc>
        <w:tc>
          <w:tcPr>
            <w:tcW w:w="1191" w:type="dxa"/>
            <w:noWrap/>
            <w:hideMark/>
          </w:tcPr>
          <w:p w:rsidRPr="00C5308E" w:rsidR="00EB30B0" w:rsidP="00D87753" w:rsidRDefault="00EB30B0" w14:paraId="06FA79C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€ 7.122</w:t>
            </w:r>
          </w:p>
        </w:tc>
      </w:tr>
      <w:tr w:rsidRPr="00C5308E" w:rsidR="00EB30B0" w:rsidTr="003C75FE" w14:paraId="1BBE7AB0"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C5308E" w:rsidR="00EB30B0" w:rsidP="00D87753" w:rsidRDefault="00EB30B0" w14:paraId="5D2EEB0E" w14:textId="77777777">
            <w:pPr>
              <w:contextualSpacing/>
              <w:rPr>
                <w:rFonts w:ascii="Verdana" w:hAnsi="Verdana" w:eastAsia="Times New Roman" w:cs="Times New Roman"/>
                <w:b w:val="0"/>
                <w:color w:val="000000"/>
                <w:sz w:val="18"/>
                <w:szCs w:val="18"/>
                <w:lang w:eastAsia="nl-NL"/>
              </w:rPr>
            </w:pPr>
            <w:r w:rsidRPr="00C5308E">
              <w:rPr>
                <w:rFonts w:ascii="Verdana" w:hAnsi="Verdana" w:eastAsia="Times New Roman" w:cs="Times New Roman"/>
                <w:b w:val="0"/>
                <w:color w:val="000000"/>
                <w:sz w:val="18"/>
                <w:szCs w:val="18"/>
                <w:lang w:eastAsia="nl-NL"/>
              </w:rPr>
              <w:t>€ 90.000</w:t>
            </w:r>
          </w:p>
        </w:tc>
        <w:tc>
          <w:tcPr>
            <w:tcW w:w="1241" w:type="dxa"/>
            <w:noWrap/>
            <w:hideMark/>
          </w:tcPr>
          <w:p w:rsidRPr="00C5308E" w:rsidR="00EB30B0" w:rsidP="00D87753" w:rsidRDefault="00EB30B0" w14:paraId="6BFC6D9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€ 6.637</w:t>
            </w:r>
          </w:p>
        </w:tc>
        <w:tc>
          <w:tcPr>
            <w:tcW w:w="1191" w:type="dxa"/>
            <w:noWrap/>
            <w:hideMark/>
          </w:tcPr>
          <w:p w:rsidRPr="00C5308E" w:rsidR="00EB30B0" w:rsidP="00D87753" w:rsidRDefault="00EB30B0" w14:paraId="4E04730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€ 6.766</w:t>
            </w:r>
          </w:p>
        </w:tc>
      </w:tr>
    </w:tbl>
    <w:p w:rsidRPr="00C5308E" w:rsidR="00EB30B0" w:rsidP="00D87753" w:rsidRDefault="00EB30B0" w14:paraId="1FE770EA" w14:textId="77777777">
      <w:pPr>
        <w:spacing w:after="0" w:line="240" w:lineRule="auto"/>
        <w:contextualSpacing/>
        <w:rPr>
          <w:rFonts w:ascii="Verdana" w:hAnsi="Verdana"/>
          <w:bCs/>
          <w:sz w:val="18"/>
          <w:szCs w:val="18"/>
          <w:u w:val="single"/>
        </w:rPr>
      </w:pPr>
    </w:p>
    <w:p w:rsidRPr="00C5308E" w:rsidR="00894A8A" w:rsidP="00D87753" w:rsidRDefault="00894A8A" w14:paraId="7A391348" w14:textId="3F4A4936">
      <w:pPr>
        <w:spacing w:after="0" w:line="240" w:lineRule="auto"/>
        <w:contextualSpacing/>
        <w:rPr>
          <w:rFonts w:ascii="Verdana" w:hAnsi="Verdana"/>
          <w:bCs/>
          <w:sz w:val="18"/>
          <w:szCs w:val="18"/>
          <w:u w:val="single"/>
        </w:rPr>
      </w:pPr>
      <w:r w:rsidRPr="00C5308E">
        <w:rPr>
          <w:rFonts w:ascii="Verdana" w:hAnsi="Verdana"/>
          <w:bCs/>
          <w:sz w:val="18"/>
          <w:szCs w:val="18"/>
          <w:u w:val="single"/>
        </w:rPr>
        <w:t>Vraag 96</w:t>
      </w:r>
    </w:p>
    <w:p w:rsidRPr="00C5308E" w:rsidR="00894A8A" w:rsidP="00D87753" w:rsidRDefault="00894A8A" w14:paraId="7AA5AB5C" w14:textId="77777777">
      <w:pPr>
        <w:spacing w:after="0" w:line="240" w:lineRule="auto"/>
        <w:contextualSpacing/>
        <w:rPr>
          <w:rFonts w:ascii="Verdana" w:hAnsi="Verdana"/>
          <w:bCs/>
          <w:sz w:val="18"/>
          <w:szCs w:val="18"/>
        </w:rPr>
      </w:pPr>
      <w:r w:rsidRPr="00C5308E">
        <w:rPr>
          <w:rFonts w:ascii="Verdana" w:hAnsi="Verdana"/>
          <w:bCs/>
          <w:sz w:val="18"/>
          <w:szCs w:val="18"/>
        </w:rPr>
        <w:t>Kunt u uiteenzetten hoe de extra gelden voor de Actieagenda Integratie terechtkomen in het Gemeentefonds en waar dit aan besteed moet worden? Zijn dit extra fondsen bovenop het Gemeentefonds of inclusief?</w:t>
      </w:r>
    </w:p>
    <w:p w:rsidRPr="00C5308E" w:rsidR="00894A8A" w:rsidP="00D87753" w:rsidRDefault="00894A8A" w14:paraId="1F8382CE" w14:textId="77777777">
      <w:pPr>
        <w:spacing w:after="0" w:line="240" w:lineRule="auto"/>
        <w:contextualSpacing/>
        <w:rPr>
          <w:rFonts w:ascii="Verdana" w:hAnsi="Verdana"/>
          <w:bCs/>
          <w:sz w:val="18"/>
          <w:szCs w:val="18"/>
        </w:rPr>
      </w:pPr>
    </w:p>
    <w:p w:rsidRPr="00C5308E" w:rsidR="00894A8A" w:rsidP="00D87753" w:rsidRDefault="00894A8A" w14:paraId="133DCBF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96</w:t>
      </w:r>
    </w:p>
    <w:p w:rsidRPr="00C5308E" w:rsidR="00894A8A" w:rsidP="00D87753" w:rsidRDefault="00894A8A" w14:paraId="44C58B62" w14:textId="0348065C">
      <w:pPr>
        <w:spacing w:after="0" w:line="240" w:lineRule="auto"/>
        <w:contextualSpacing/>
        <w:rPr>
          <w:rFonts w:ascii="Verdana" w:hAnsi="Verdana"/>
          <w:bCs/>
          <w:sz w:val="18"/>
          <w:szCs w:val="18"/>
        </w:rPr>
      </w:pPr>
      <w:r w:rsidRPr="00C5308E">
        <w:rPr>
          <w:rFonts w:ascii="Verdana" w:hAnsi="Verdana" w:eastAsia="Times New Roman"/>
          <w:bCs/>
          <w:color w:val="000000"/>
          <w:sz w:val="18"/>
          <w:szCs w:val="18"/>
        </w:rPr>
        <w:t>Een deel van de middelen van de Actieagenda Integratie, namelijk 3 x 2 m</w:t>
      </w:r>
      <w:r w:rsidRPr="00C5308E" w:rsidR="00EF1671">
        <w:rPr>
          <w:rFonts w:ascii="Verdana" w:hAnsi="Verdana" w:eastAsia="Times New Roman"/>
          <w:bCs/>
          <w:color w:val="000000"/>
          <w:sz w:val="18"/>
          <w:szCs w:val="18"/>
        </w:rPr>
        <w:t>iljoen</w:t>
      </w:r>
      <w:r w:rsidRPr="00C5308E">
        <w:rPr>
          <w:rFonts w:ascii="Verdana" w:hAnsi="Verdana" w:eastAsia="Times New Roman"/>
          <w:bCs/>
          <w:color w:val="000000"/>
          <w:sz w:val="18"/>
          <w:szCs w:val="18"/>
        </w:rPr>
        <w:t xml:space="preserve"> wordt ingezet voor verlenging van de SPUK agenda veerkracht en weerbaarheid in de periode 2026 tot en met 2028, als onderdeel van de grotere interdepartementale SPUK Kansrijke Wijken waaraan ook andere departementen bijdragen. Deze middelen zijn inmiddels overgemaakt naar het Gemeentefonds.</w:t>
      </w:r>
    </w:p>
    <w:p w:rsidRPr="00C5308E" w:rsidR="00720C2B" w:rsidP="00D87753" w:rsidRDefault="00720C2B" w14:paraId="0AFADFB9" w14:textId="77777777">
      <w:pPr>
        <w:spacing w:after="0" w:line="240" w:lineRule="auto"/>
        <w:contextualSpacing/>
        <w:rPr>
          <w:rFonts w:ascii="Verdana" w:hAnsi="Verdana"/>
          <w:bCs/>
          <w:sz w:val="18"/>
          <w:szCs w:val="18"/>
          <w:u w:val="single"/>
        </w:rPr>
      </w:pPr>
    </w:p>
    <w:p w:rsidRPr="00C5308E" w:rsidR="0056088B" w:rsidP="0056088B" w:rsidRDefault="0056088B" w14:paraId="5B4852E7" w14:textId="02D3B987">
      <w:pPr>
        <w:spacing w:after="0" w:line="240" w:lineRule="auto"/>
        <w:contextualSpacing/>
        <w:rPr>
          <w:rFonts w:ascii="Verdana" w:hAnsi="Verdana"/>
          <w:bCs/>
          <w:sz w:val="18"/>
          <w:szCs w:val="18"/>
          <w:u w:val="single"/>
        </w:rPr>
      </w:pPr>
      <w:r w:rsidRPr="00C5308E">
        <w:rPr>
          <w:rFonts w:ascii="Verdana" w:hAnsi="Verdana"/>
          <w:bCs/>
          <w:sz w:val="18"/>
          <w:szCs w:val="18"/>
          <w:u w:val="single"/>
        </w:rPr>
        <w:t>Vraag 97</w:t>
      </w:r>
    </w:p>
    <w:p w:rsidRPr="00C5308E" w:rsidR="0056088B" w:rsidP="0056088B" w:rsidRDefault="0056088B" w14:paraId="4683F437" w14:textId="5142A3E5">
      <w:pPr>
        <w:spacing w:after="0" w:line="240" w:lineRule="auto"/>
        <w:contextualSpacing/>
        <w:rPr>
          <w:rFonts w:ascii="Verdana" w:hAnsi="Verdana"/>
          <w:bCs/>
          <w:sz w:val="18"/>
          <w:szCs w:val="18"/>
        </w:rPr>
      </w:pPr>
      <w:r w:rsidRPr="00C5308E">
        <w:rPr>
          <w:rFonts w:ascii="Verdana" w:hAnsi="Verdana"/>
          <w:bCs/>
          <w:sz w:val="18"/>
          <w:szCs w:val="18"/>
        </w:rPr>
        <w:t xml:space="preserve">Kunt u de reeks behorend bij de duurverkorting WW uitleggen (zowel als het gaat om uitgavenmutaties als om premiegefinancierde uitgavenmutaties)? Hoe verhoudt deze zich tot </w:t>
      </w:r>
      <w:r w:rsidRPr="00C5308E">
        <w:rPr>
          <w:rFonts w:ascii="Verdana" w:hAnsi="Verdana"/>
          <w:bCs/>
          <w:sz w:val="18"/>
          <w:szCs w:val="18"/>
        </w:rPr>
        <w:lastRenderedPageBreak/>
        <w:t>eerder ingeboekte reeksen (zoals bij HLA)? Wanneer zijn er reeksen behorend bij deze wijziging ingeboekt en ter waarde van hoeveel euro?</w:t>
      </w:r>
    </w:p>
    <w:p w:rsidRPr="00C5308E" w:rsidR="0056088B" w:rsidP="0056088B" w:rsidRDefault="0056088B" w14:paraId="708763FC" w14:textId="77777777">
      <w:pPr>
        <w:spacing w:after="0" w:line="240" w:lineRule="auto"/>
        <w:contextualSpacing/>
        <w:rPr>
          <w:rFonts w:ascii="Verdana" w:hAnsi="Verdana"/>
          <w:bCs/>
          <w:sz w:val="18"/>
          <w:szCs w:val="18"/>
        </w:rPr>
      </w:pPr>
    </w:p>
    <w:p w:rsidRPr="00C5308E" w:rsidR="0056088B" w:rsidP="0056088B" w:rsidRDefault="0056088B" w14:paraId="4F3CC543" w14:textId="4E487D3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97</w:t>
      </w:r>
    </w:p>
    <w:p w:rsidR="00C806B5" w:rsidP="00C806B5" w:rsidRDefault="00C806B5" w14:paraId="3DC97482" w14:textId="77777777">
      <w:pPr>
        <w:spacing w:after="0" w:line="240" w:lineRule="auto"/>
        <w:rPr>
          <w:rFonts w:ascii="Verdana" w:hAnsi="Verdana"/>
          <w:sz w:val="18"/>
          <w:szCs w:val="18"/>
        </w:rPr>
      </w:pPr>
      <w:r>
        <w:rPr>
          <w:rFonts w:ascii="Verdana" w:hAnsi="Verdana"/>
          <w:sz w:val="18"/>
          <w:szCs w:val="18"/>
        </w:rPr>
        <w:t xml:space="preserve">In de Begroting SZW 2025 (Kamerstukken II 2024/2025, 36 600 XV, nr. 2) is de besparingsopgave uit het HLA ter waarde van € 200 miljoen per jaar ingeboekt. In de eerste suppletoire begroting (Kamerstukken II 2024/2025, 36 725 XV, nr. 2) is de reeks uit het HLA uitgeboekt en ingevuld met de budgettaire effecten van een duurverkorting naar 18 maanden conform de Voorjaarsnota. De tabel hieronder biedt een overzicht van alle effecten die zijn ingeboekt. </w:t>
      </w:r>
    </w:p>
    <w:p w:rsidR="00C806B5" w:rsidP="00C806B5" w:rsidRDefault="00C806B5" w14:paraId="748767D4" w14:textId="77777777">
      <w:pPr>
        <w:spacing w:after="0" w:line="240" w:lineRule="auto"/>
        <w:rPr>
          <w:rFonts w:ascii="Verdana" w:hAnsi="Verdana"/>
          <w:sz w:val="18"/>
          <w:szCs w:val="18"/>
        </w:rPr>
      </w:pPr>
    </w:p>
    <w:p w:rsidR="00C806B5" w:rsidP="00C806B5" w:rsidRDefault="00C806B5" w14:paraId="09A73099" w14:textId="77777777">
      <w:pPr>
        <w:spacing w:after="0" w:line="240" w:lineRule="auto"/>
        <w:rPr>
          <w:rFonts w:ascii="Verdana" w:hAnsi="Verdana"/>
          <w:sz w:val="18"/>
          <w:szCs w:val="18"/>
        </w:rPr>
      </w:pPr>
      <w:r>
        <w:rPr>
          <w:rFonts w:ascii="Verdana" w:hAnsi="Verdana"/>
          <w:sz w:val="18"/>
          <w:szCs w:val="18"/>
        </w:rPr>
        <w:t xml:space="preserve">Een duurverkorting van de WW- en loongerelateerde WGA-uitkering heeft effecten op uitgaven die begrotingsgefinancierd en premiegefinancierd zijn. In de eerste suppletoire begroting is in hoofdstuk 2.1 de mutatie uitgesplitst naar type financiering. Bij de uitgavenmutaties is het effect op de Inkomensvoorziening oudere werklozen (IOW), bijstand, Toeslagenwet (TW) en kosten voor gemeenten opgenomen. </w:t>
      </w:r>
    </w:p>
    <w:p w:rsidR="00C806B5" w:rsidP="00C806B5" w:rsidRDefault="00C806B5" w14:paraId="6E00055E" w14:textId="77777777">
      <w:pPr>
        <w:spacing w:after="0" w:line="240" w:lineRule="auto"/>
        <w:rPr>
          <w:rFonts w:ascii="Verdana" w:hAnsi="Verdana"/>
          <w:sz w:val="18"/>
          <w:szCs w:val="18"/>
        </w:rPr>
      </w:pPr>
    </w:p>
    <w:p w:rsidR="00C806B5" w:rsidP="00C806B5" w:rsidRDefault="00C806B5" w14:paraId="11DAD24D" w14:textId="77777777">
      <w:pPr>
        <w:spacing w:after="0" w:line="240" w:lineRule="auto"/>
        <w:rPr>
          <w:rFonts w:ascii="Verdana" w:hAnsi="Verdana"/>
          <w:sz w:val="18"/>
          <w:szCs w:val="18"/>
        </w:rPr>
      </w:pPr>
      <w:r>
        <w:rPr>
          <w:rFonts w:ascii="Verdana" w:hAnsi="Verdana"/>
          <w:sz w:val="18"/>
          <w:szCs w:val="18"/>
        </w:rPr>
        <w:t>Onder de premiegefinancierde mutaties is de besparing op de WW- en WGA-uitkering en uitvoeringskosten voor UWV opgenomen. Daarbij is de besparingsopgave van € 200 miljoen per jaar uit het Hoofdlijnenakkoord (HLA) ingevuld door het effect dat bij de duurverkorting hoort. De ingeboekte budgettaire effecten vinden grotendeels vanaf 2029 plaats. De WW-uitgaven in 2027 en 2028 zijn in de eerste suppletoire begroting opgehoogd, omdat de geraamde besparing in die jaren lager uitpakt dan wat na het HLA is ingeboekt. Vanaf 2029 is de geraamde besparing ten opzichte van het HLA hoger waardoor de WW-uitgaven in de begroting verder naar beneden zijn bijgesteld.</w:t>
      </w:r>
    </w:p>
    <w:p w:rsidR="00C806B5" w:rsidP="00C806B5" w:rsidRDefault="00C806B5" w14:paraId="4A632901" w14:textId="77777777">
      <w:pPr>
        <w:spacing w:after="0" w:line="240" w:lineRule="auto"/>
        <w:rPr>
          <w:rFonts w:ascii="Verdana" w:hAnsi="Verdana"/>
          <w:sz w:val="18"/>
          <w:szCs w:val="18"/>
        </w:rPr>
      </w:pPr>
    </w:p>
    <w:p w:rsidRPr="008959FC" w:rsidR="00C806B5" w:rsidP="00C806B5" w:rsidRDefault="00C806B5" w14:paraId="5928DB29" w14:textId="77777777">
      <w:pPr>
        <w:spacing w:after="0" w:line="240" w:lineRule="auto"/>
        <w:rPr>
          <w:rFonts w:ascii="Verdana" w:hAnsi="Verdana"/>
          <w:i/>
          <w:iCs/>
          <w:sz w:val="18"/>
          <w:szCs w:val="18"/>
        </w:rPr>
      </w:pPr>
      <w:r>
        <w:rPr>
          <w:rFonts w:ascii="Verdana" w:hAnsi="Verdana"/>
          <w:i/>
          <w:iCs/>
          <w:sz w:val="18"/>
          <w:szCs w:val="18"/>
        </w:rPr>
        <w:t>Ingeboekte budgettaire effecten duurverkorting WW- en loongerelateerde WGA-uitkering</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7"/>
        <w:gridCol w:w="1191"/>
        <w:gridCol w:w="1190"/>
        <w:gridCol w:w="1188"/>
        <w:gridCol w:w="1188"/>
        <w:gridCol w:w="1188"/>
      </w:tblGrid>
      <w:tr w:rsidR="00C806B5" w:rsidTr="00DE3575" w14:paraId="6CD182F9" w14:textId="77777777">
        <w:trPr>
          <w:trHeight w:val="340"/>
        </w:trPr>
        <w:tc>
          <w:tcPr>
            <w:tcW w:w="1723" w:type="pct"/>
            <w:tcBorders>
              <w:top w:val="single" w:color="auto" w:sz="4" w:space="0"/>
              <w:bottom w:val="single" w:color="auto" w:sz="4" w:space="0"/>
            </w:tcBorders>
            <w:vAlign w:val="center"/>
          </w:tcPr>
          <w:p w:rsidRPr="007143A8" w:rsidR="00C806B5" w:rsidP="00DE3575" w:rsidRDefault="00C806B5" w14:paraId="0F6C9EE5" w14:textId="77777777">
            <w:pPr>
              <w:rPr>
                <w:b/>
                <w:bCs/>
              </w:rPr>
            </w:pPr>
            <w:r w:rsidRPr="007143A8">
              <w:rPr>
                <w:b/>
                <w:bCs/>
              </w:rPr>
              <w:t>x € mln. (prijspeil 2024)</w:t>
            </w:r>
          </w:p>
        </w:tc>
        <w:tc>
          <w:tcPr>
            <w:tcW w:w="656" w:type="pct"/>
            <w:tcBorders>
              <w:top w:val="single" w:color="auto" w:sz="4" w:space="0"/>
              <w:left w:val="nil"/>
              <w:bottom w:val="single" w:color="auto" w:sz="4" w:space="0"/>
            </w:tcBorders>
            <w:vAlign w:val="center"/>
          </w:tcPr>
          <w:p w:rsidRPr="007143A8" w:rsidR="00C806B5" w:rsidP="00DE3575" w:rsidRDefault="00C806B5" w14:paraId="5518795A" w14:textId="77777777">
            <w:pPr>
              <w:jc w:val="center"/>
              <w:rPr>
                <w:b/>
                <w:bCs/>
              </w:rPr>
            </w:pPr>
            <w:r w:rsidRPr="007143A8">
              <w:rPr>
                <w:b/>
                <w:bCs/>
              </w:rPr>
              <w:t>2026</w:t>
            </w:r>
          </w:p>
        </w:tc>
        <w:tc>
          <w:tcPr>
            <w:tcW w:w="656" w:type="pct"/>
            <w:tcBorders>
              <w:top w:val="single" w:color="auto" w:sz="4" w:space="0"/>
              <w:bottom w:val="single" w:color="auto" w:sz="4" w:space="0"/>
            </w:tcBorders>
            <w:vAlign w:val="center"/>
          </w:tcPr>
          <w:p w:rsidRPr="007143A8" w:rsidR="00C806B5" w:rsidP="00DE3575" w:rsidRDefault="00C806B5" w14:paraId="26F45A72" w14:textId="77777777">
            <w:pPr>
              <w:jc w:val="center"/>
              <w:rPr>
                <w:b/>
                <w:bCs/>
              </w:rPr>
            </w:pPr>
            <w:r w:rsidRPr="007143A8">
              <w:rPr>
                <w:b/>
                <w:bCs/>
              </w:rPr>
              <w:t>2027</w:t>
            </w:r>
          </w:p>
        </w:tc>
        <w:tc>
          <w:tcPr>
            <w:tcW w:w="655" w:type="pct"/>
            <w:tcBorders>
              <w:top w:val="single" w:color="auto" w:sz="4" w:space="0"/>
              <w:bottom w:val="single" w:color="auto" w:sz="4" w:space="0"/>
            </w:tcBorders>
            <w:vAlign w:val="center"/>
          </w:tcPr>
          <w:p w:rsidRPr="007143A8" w:rsidR="00C806B5" w:rsidP="00DE3575" w:rsidRDefault="00C806B5" w14:paraId="073E9EB6" w14:textId="77777777">
            <w:pPr>
              <w:jc w:val="center"/>
              <w:rPr>
                <w:b/>
                <w:bCs/>
              </w:rPr>
            </w:pPr>
            <w:r w:rsidRPr="007143A8">
              <w:rPr>
                <w:b/>
                <w:bCs/>
              </w:rPr>
              <w:t>2028</w:t>
            </w:r>
          </w:p>
        </w:tc>
        <w:tc>
          <w:tcPr>
            <w:tcW w:w="655" w:type="pct"/>
            <w:tcBorders>
              <w:top w:val="single" w:color="auto" w:sz="4" w:space="0"/>
              <w:bottom w:val="single" w:color="auto" w:sz="4" w:space="0"/>
            </w:tcBorders>
            <w:vAlign w:val="center"/>
          </w:tcPr>
          <w:p w:rsidRPr="007143A8" w:rsidR="00C806B5" w:rsidP="00DE3575" w:rsidRDefault="00C806B5" w14:paraId="085B50B0" w14:textId="77777777">
            <w:pPr>
              <w:jc w:val="center"/>
              <w:rPr>
                <w:b/>
                <w:bCs/>
              </w:rPr>
            </w:pPr>
            <w:r w:rsidRPr="007143A8">
              <w:rPr>
                <w:b/>
                <w:bCs/>
              </w:rPr>
              <w:t>2029</w:t>
            </w:r>
          </w:p>
        </w:tc>
        <w:tc>
          <w:tcPr>
            <w:tcW w:w="655" w:type="pct"/>
            <w:tcBorders>
              <w:top w:val="single" w:color="auto" w:sz="4" w:space="0"/>
              <w:bottom w:val="single" w:color="auto" w:sz="4" w:space="0"/>
            </w:tcBorders>
            <w:vAlign w:val="center"/>
          </w:tcPr>
          <w:p w:rsidRPr="007143A8" w:rsidR="00C806B5" w:rsidP="00DE3575" w:rsidRDefault="00C806B5" w14:paraId="323315A1" w14:textId="77777777">
            <w:pPr>
              <w:jc w:val="center"/>
              <w:rPr>
                <w:b/>
                <w:bCs/>
              </w:rPr>
            </w:pPr>
            <w:r w:rsidRPr="007143A8">
              <w:rPr>
                <w:b/>
                <w:bCs/>
              </w:rPr>
              <w:t>2030</w:t>
            </w:r>
          </w:p>
        </w:tc>
      </w:tr>
      <w:tr w:rsidR="00C806B5" w:rsidTr="00DE3575" w14:paraId="7FD6FC15" w14:textId="77777777">
        <w:trPr>
          <w:trHeight w:val="340"/>
        </w:trPr>
        <w:tc>
          <w:tcPr>
            <w:tcW w:w="1723" w:type="pct"/>
            <w:tcBorders>
              <w:top w:val="single" w:color="auto" w:sz="4" w:space="0"/>
            </w:tcBorders>
            <w:vAlign w:val="center"/>
          </w:tcPr>
          <w:p w:rsidRPr="00CD0D07" w:rsidR="00C806B5" w:rsidP="00DE3575" w:rsidRDefault="00C806B5" w14:paraId="3C9A8138" w14:textId="77777777">
            <w:pPr>
              <w:rPr>
                <w:i/>
                <w:iCs/>
              </w:rPr>
            </w:pPr>
            <w:r w:rsidRPr="00CD0D07">
              <w:rPr>
                <w:i/>
                <w:iCs/>
              </w:rPr>
              <w:t>Totaal</w:t>
            </w:r>
          </w:p>
        </w:tc>
        <w:tc>
          <w:tcPr>
            <w:tcW w:w="656" w:type="pct"/>
            <w:tcBorders>
              <w:top w:val="single" w:color="auto" w:sz="4" w:space="0"/>
              <w:left w:val="nil"/>
            </w:tcBorders>
            <w:vAlign w:val="center"/>
          </w:tcPr>
          <w:p w:rsidRPr="00CD0D07" w:rsidR="00C806B5" w:rsidP="00DE3575" w:rsidRDefault="00C806B5" w14:paraId="0E5C1771" w14:textId="77777777">
            <w:pPr>
              <w:jc w:val="center"/>
              <w:rPr>
                <w:i/>
                <w:iCs/>
              </w:rPr>
            </w:pPr>
            <w:r w:rsidRPr="00CD0D07">
              <w:rPr>
                <w:i/>
                <w:iCs/>
              </w:rPr>
              <w:t>5,0</w:t>
            </w:r>
          </w:p>
        </w:tc>
        <w:tc>
          <w:tcPr>
            <w:tcW w:w="656" w:type="pct"/>
            <w:tcBorders>
              <w:top w:val="single" w:color="auto" w:sz="4" w:space="0"/>
            </w:tcBorders>
            <w:vAlign w:val="center"/>
          </w:tcPr>
          <w:p w:rsidRPr="00CD0D07" w:rsidR="00C806B5" w:rsidP="00DE3575" w:rsidRDefault="00C806B5" w14:paraId="7DFBF235" w14:textId="77777777">
            <w:pPr>
              <w:jc w:val="center"/>
              <w:rPr>
                <w:i/>
                <w:iCs/>
              </w:rPr>
            </w:pPr>
            <w:r w:rsidRPr="00CD0D07">
              <w:rPr>
                <w:i/>
                <w:iCs/>
              </w:rPr>
              <w:t>0</w:t>
            </w:r>
          </w:p>
        </w:tc>
        <w:tc>
          <w:tcPr>
            <w:tcW w:w="655" w:type="pct"/>
            <w:tcBorders>
              <w:top w:val="single" w:color="auto" w:sz="4" w:space="0"/>
            </w:tcBorders>
            <w:vAlign w:val="center"/>
          </w:tcPr>
          <w:p w:rsidRPr="00CD0D07" w:rsidR="00C806B5" w:rsidP="00DE3575" w:rsidRDefault="00C806B5" w14:paraId="4587E93E" w14:textId="77777777">
            <w:pPr>
              <w:jc w:val="center"/>
              <w:rPr>
                <w:i/>
                <w:iCs/>
              </w:rPr>
            </w:pPr>
            <w:r w:rsidRPr="00CD0D07">
              <w:rPr>
                <w:i/>
                <w:iCs/>
              </w:rPr>
              <w:t>-114,4</w:t>
            </w:r>
          </w:p>
        </w:tc>
        <w:tc>
          <w:tcPr>
            <w:tcW w:w="655" w:type="pct"/>
            <w:tcBorders>
              <w:top w:val="single" w:color="auto" w:sz="4" w:space="0"/>
            </w:tcBorders>
            <w:vAlign w:val="center"/>
          </w:tcPr>
          <w:p w:rsidRPr="00CD0D07" w:rsidR="00C806B5" w:rsidP="00DE3575" w:rsidRDefault="00C806B5" w14:paraId="0A0BD175" w14:textId="77777777">
            <w:pPr>
              <w:jc w:val="center"/>
              <w:rPr>
                <w:i/>
                <w:iCs/>
              </w:rPr>
            </w:pPr>
            <w:r w:rsidRPr="00CD0D07">
              <w:rPr>
                <w:i/>
                <w:iCs/>
              </w:rPr>
              <w:t>-398,1</w:t>
            </w:r>
          </w:p>
        </w:tc>
        <w:tc>
          <w:tcPr>
            <w:tcW w:w="655" w:type="pct"/>
            <w:tcBorders>
              <w:top w:val="single" w:color="auto" w:sz="4" w:space="0"/>
            </w:tcBorders>
            <w:vAlign w:val="center"/>
          </w:tcPr>
          <w:p w:rsidRPr="00CD0D07" w:rsidR="00C806B5" w:rsidP="00DE3575" w:rsidRDefault="00C806B5" w14:paraId="026F387E" w14:textId="77777777">
            <w:pPr>
              <w:jc w:val="center"/>
              <w:rPr>
                <w:i/>
                <w:iCs/>
              </w:rPr>
            </w:pPr>
            <w:r w:rsidRPr="00CD0D07">
              <w:rPr>
                <w:i/>
                <w:iCs/>
              </w:rPr>
              <w:t>-442,7</w:t>
            </w:r>
          </w:p>
        </w:tc>
      </w:tr>
      <w:tr w:rsidR="00C806B5" w:rsidTr="00DE3575" w14:paraId="3CDDC943" w14:textId="77777777">
        <w:trPr>
          <w:trHeight w:val="340"/>
        </w:trPr>
        <w:tc>
          <w:tcPr>
            <w:tcW w:w="1723" w:type="pct"/>
            <w:tcBorders>
              <w:top w:val="single" w:color="auto" w:sz="4" w:space="0"/>
            </w:tcBorders>
            <w:vAlign w:val="center"/>
          </w:tcPr>
          <w:p w:rsidR="00C806B5" w:rsidP="00DE3575" w:rsidRDefault="00C806B5" w14:paraId="7591A851" w14:textId="77777777">
            <w:r>
              <w:t>WW</w:t>
            </w:r>
          </w:p>
        </w:tc>
        <w:tc>
          <w:tcPr>
            <w:tcW w:w="656" w:type="pct"/>
            <w:tcBorders>
              <w:top w:val="single" w:color="auto" w:sz="4" w:space="0"/>
              <w:left w:val="nil"/>
            </w:tcBorders>
            <w:vAlign w:val="center"/>
          </w:tcPr>
          <w:p w:rsidR="00C806B5" w:rsidP="00DE3575" w:rsidRDefault="00C806B5" w14:paraId="6FF3118D" w14:textId="77777777">
            <w:pPr>
              <w:jc w:val="center"/>
            </w:pPr>
          </w:p>
        </w:tc>
        <w:tc>
          <w:tcPr>
            <w:tcW w:w="656" w:type="pct"/>
            <w:tcBorders>
              <w:top w:val="single" w:color="auto" w:sz="4" w:space="0"/>
            </w:tcBorders>
            <w:vAlign w:val="center"/>
          </w:tcPr>
          <w:p w:rsidR="00C806B5" w:rsidP="00DE3575" w:rsidRDefault="00C806B5" w14:paraId="5AF53E3D" w14:textId="77777777">
            <w:pPr>
              <w:jc w:val="center"/>
            </w:pPr>
          </w:p>
        </w:tc>
        <w:tc>
          <w:tcPr>
            <w:tcW w:w="655" w:type="pct"/>
            <w:tcBorders>
              <w:top w:val="single" w:color="auto" w:sz="4" w:space="0"/>
            </w:tcBorders>
            <w:vAlign w:val="center"/>
          </w:tcPr>
          <w:p w:rsidR="00C806B5" w:rsidP="00DE3575" w:rsidRDefault="00C806B5" w14:paraId="0D619948" w14:textId="77777777">
            <w:pPr>
              <w:jc w:val="center"/>
            </w:pPr>
            <w:r w:rsidRPr="00CD6A45">
              <w:t>-115,2</w:t>
            </w:r>
          </w:p>
        </w:tc>
        <w:tc>
          <w:tcPr>
            <w:tcW w:w="655" w:type="pct"/>
            <w:tcBorders>
              <w:top w:val="single" w:color="auto" w:sz="4" w:space="0"/>
            </w:tcBorders>
            <w:vAlign w:val="center"/>
          </w:tcPr>
          <w:p w:rsidR="00C806B5" w:rsidP="00DE3575" w:rsidRDefault="00C806B5" w14:paraId="744220F1" w14:textId="77777777">
            <w:pPr>
              <w:jc w:val="center"/>
            </w:pPr>
            <w:r w:rsidRPr="00CD6A45">
              <w:t>-438,5</w:t>
            </w:r>
          </w:p>
        </w:tc>
        <w:tc>
          <w:tcPr>
            <w:tcW w:w="655" w:type="pct"/>
            <w:tcBorders>
              <w:top w:val="single" w:color="auto" w:sz="4" w:space="0"/>
            </w:tcBorders>
            <w:vAlign w:val="center"/>
          </w:tcPr>
          <w:p w:rsidR="00C806B5" w:rsidP="00DE3575" w:rsidRDefault="00C806B5" w14:paraId="27F6A9D3" w14:textId="77777777">
            <w:pPr>
              <w:jc w:val="center"/>
            </w:pPr>
            <w:r w:rsidRPr="00CD6A45">
              <w:t>-453,8</w:t>
            </w:r>
          </w:p>
        </w:tc>
      </w:tr>
      <w:tr w:rsidR="00C806B5" w:rsidTr="00DE3575" w14:paraId="11F4D982" w14:textId="77777777">
        <w:trPr>
          <w:trHeight w:val="340"/>
        </w:trPr>
        <w:tc>
          <w:tcPr>
            <w:tcW w:w="1723" w:type="pct"/>
            <w:vAlign w:val="center"/>
          </w:tcPr>
          <w:p w:rsidR="00C806B5" w:rsidP="00DE3575" w:rsidRDefault="00C806B5" w14:paraId="237EDF5E" w14:textId="77777777">
            <w:r>
              <w:t>IOW</w:t>
            </w:r>
          </w:p>
        </w:tc>
        <w:tc>
          <w:tcPr>
            <w:tcW w:w="656" w:type="pct"/>
            <w:tcBorders>
              <w:left w:val="nil"/>
            </w:tcBorders>
            <w:vAlign w:val="center"/>
          </w:tcPr>
          <w:p w:rsidR="00C806B5" w:rsidP="00DE3575" w:rsidRDefault="00C806B5" w14:paraId="554BCC53" w14:textId="77777777">
            <w:pPr>
              <w:jc w:val="center"/>
            </w:pPr>
          </w:p>
        </w:tc>
        <w:tc>
          <w:tcPr>
            <w:tcW w:w="656" w:type="pct"/>
            <w:vAlign w:val="center"/>
          </w:tcPr>
          <w:p w:rsidR="00C806B5" w:rsidP="00DE3575" w:rsidRDefault="00C806B5" w14:paraId="57EA6850" w14:textId="77777777">
            <w:pPr>
              <w:jc w:val="center"/>
            </w:pPr>
          </w:p>
        </w:tc>
        <w:tc>
          <w:tcPr>
            <w:tcW w:w="655" w:type="pct"/>
            <w:vAlign w:val="center"/>
          </w:tcPr>
          <w:p w:rsidR="00C806B5" w:rsidP="00DE3575" w:rsidRDefault="00C806B5" w14:paraId="56B0AEEF" w14:textId="77777777">
            <w:pPr>
              <w:jc w:val="center"/>
            </w:pPr>
          </w:p>
        </w:tc>
        <w:tc>
          <w:tcPr>
            <w:tcW w:w="655" w:type="pct"/>
            <w:vAlign w:val="center"/>
          </w:tcPr>
          <w:p w:rsidR="00C806B5" w:rsidP="00DE3575" w:rsidRDefault="00C806B5" w14:paraId="5333F9EA" w14:textId="77777777">
            <w:pPr>
              <w:jc w:val="center"/>
            </w:pPr>
            <w:r w:rsidRPr="00BB7DE3">
              <w:t>38,1</w:t>
            </w:r>
          </w:p>
        </w:tc>
        <w:tc>
          <w:tcPr>
            <w:tcW w:w="655" w:type="pct"/>
            <w:vAlign w:val="center"/>
          </w:tcPr>
          <w:p w:rsidR="00C806B5" w:rsidP="00DE3575" w:rsidRDefault="00C806B5" w14:paraId="0C075FDA" w14:textId="77777777">
            <w:pPr>
              <w:jc w:val="center"/>
            </w:pPr>
            <w:r w:rsidRPr="00BB7DE3">
              <w:t>6,5</w:t>
            </w:r>
          </w:p>
        </w:tc>
      </w:tr>
      <w:tr w:rsidR="00C806B5" w:rsidTr="00DE3575" w14:paraId="7036A21C" w14:textId="77777777">
        <w:trPr>
          <w:trHeight w:val="340"/>
        </w:trPr>
        <w:tc>
          <w:tcPr>
            <w:tcW w:w="1723" w:type="pct"/>
            <w:vAlign w:val="center"/>
          </w:tcPr>
          <w:p w:rsidR="00C806B5" w:rsidP="00DE3575" w:rsidRDefault="00C806B5" w14:paraId="79490340" w14:textId="77777777">
            <w:r>
              <w:t>Bijstand</w:t>
            </w:r>
          </w:p>
        </w:tc>
        <w:tc>
          <w:tcPr>
            <w:tcW w:w="656" w:type="pct"/>
            <w:tcBorders>
              <w:left w:val="nil"/>
            </w:tcBorders>
            <w:vAlign w:val="center"/>
          </w:tcPr>
          <w:p w:rsidR="00C806B5" w:rsidP="00DE3575" w:rsidRDefault="00C806B5" w14:paraId="010EA2D8" w14:textId="77777777">
            <w:pPr>
              <w:jc w:val="center"/>
            </w:pPr>
          </w:p>
        </w:tc>
        <w:tc>
          <w:tcPr>
            <w:tcW w:w="656" w:type="pct"/>
            <w:vAlign w:val="center"/>
          </w:tcPr>
          <w:p w:rsidR="00C806B5" w:rsidP="00DE3575" w:rsidRDefault="00C806B5" w14:paraId="2989DDDC" w14:textId="77777777">
            <w:pPr>
              <w:jc w:val="center"/>
            </w:pPr>
          </w:p>
        </w:tc>
        <w:tc>
          <w:tcPr>
            <w:tcW w:w="655" w:type="pct"/>
            <w:vAlign w:val="center"/>
          </w:tcPr>
          <w:p w:rsidR="00C806B5" w:rsidP="00DE3575" w:rsidRDefault="00C806B5" w14:paraId="29110CE7" w14:textId="77777777">
            <w:pPr>
              <w:jc w:val="center"/>
            </w:pPr>
            <w:r w:rsidRPr="0089247B">
              <w:t>16,2</w:t>
            </w:r>
          </w:p>
        </w:tc>
        <w:tc>
          <w:tcPr>
            <w:tcW w:w="655" w:type="pct"/>
            <w:vAlign w:val="center"/>
          </w:tcPr>
          <w:p w:rsidR="00C806B5" w:rsidP="00DE3575" w:rsidRDefault="00C806B5" w14:paraId="0E28BFF1" w14:textId="77777777">
            <w:pPr>
              <w:jc w:val="center"/>
            </w:pPr>
            <w:r w:rsidRPr="0089247B">
              <w:t>61,6</w:t>
            </w:r>
          </w:p>
        </w:tc>
        <w:tc>
          <w:tcPr>
            <w:tcW w:w="655" w:type="pct"/>
            <w:vAlign w:val="center"/>
          </w:tcPr>
          <w:p w:rsidR="00C806B5" w:rsidP="00DE3575" w:rsidRDefault="00C806B5" w14:paraId="4C583D5B" w14:textId="77777777">
            <w:pPr>
              <w:jc w:val="center"/>
            </w:pPr>
            <w:r w:rsidRPr="0089247B">
              <w:t>63,7</w:t>
            </w:r>
          </w:p>
        </w:tc>
      </w:tr>
      <w:tr w:rsidR="00C806B5" w:rsidTr="00DE3575" w14:paraId="7AFDE3EA" w14:textId="77777777">
        <w:trPr>
          <w:trHeight w:val="340"/>
        </w:trPr>
        <w:tc>
          <w:tcPr>
            <w:tcW w:w="1723" w:type="pct"/>
            <w:vAlign w:val="center"/>
          </w:tcPr>
          <w:p w:rsidR="00C806B5" w:rsidP="00DE3575" w:rsidRDefault="00C806B5" w14:paraId="7AF610CB" w14:textId="77777777">
            <w:r>
              <w:t>WGA</w:t>
            </w:r>
          </w:p>
        </w:tc>
        <w:tc>
          <w:tcPr>
            <w:tcW w:w="656" w:type="pct"/>
            <w:tcBorders>
              <w:left w:val="nil"/>
            </w:tcBorders>
            <w:vAlign w:val="center"/>
          </w:tcPr>
          <w:p w:rsidR="00C806B5" w:rsidP="00DE3575" w:rsidRDefault="00C806B5" w14:paraId="4CEF2911" w14:textId="77777777">
            <w:pPr>
              <w:jc w:val="center"/>
            </w:pPr>
          </w:p>
        </w:tc>
        <w:tc>
          <w:tcPr>
            <w:tcW w:w="656" w:type="pct"/>
            <w:vAlign w:val="center"/>
          </w:tcPr>
          <w:p w:rsidR="00C806B5" w:rsidP="00DE3575" w:rsidRDefault="00C806B5" w14:paraId="0E074B9E" w14:textId="77777777">
            <w:pPr>
              <w:jc w:val="center"/>
            </w:pPr>
          </w:p>
        </w:tc>
        <w:tc>
          <w:tcPr>
            <w:tcW w:w="655" w:type="pct"/>
            <w:vAlign w:val="center"/>
          </w:tcPr>
          <w:p w:rsidR="00C806B5" w:rsidP="00DE3575" w:rsidRDefault="00C806B5" w14:paraId="48ECA917" w14:textId="77777777">
            <w:pPr>
              <w:jc w:val="center"/>
            </w:pPr>
            <w:r w:rsidRPr="00B418A0">
              <w:t>-16,0</w:t>
            </w:r>
          </w:p>
        </w:tc>
        <w:tc>
          <w:tcPr>
            <w:tcW w:w="655" w:type="pct"/>
            <w:vAlign w:val="center"/>
          </w:tcPr>
          <w:p w:rsidR="00C806B5" w:rsidP="00DE3575" w:rsidRDefault="00C806B5" w14:paraId="3A1FB624" w14:textId="77777777">
            <w:pPr>
              <w:jc w:val="center"/>
            </w:pPr>
            <w:r w:rsidRPr="00B418A0">
              <w:t>-61,6</w:t>
            </w:r>
          </w:p>
        </w:tc>
        <w:tc>
          <w:tcPr>
            <w:tcW w:w="655" w:type="pct"/>
            <w:vAlign w:val="center"/>
          </w:tcPr>
          <w:p w:rsidR="00C806B5" w:rsidP="00DE3575" w:rsidRDefault="00C806B5" w14:paraId="6D9B544C" w14:textId="77777777">
            <w:pPr>
              <w:jc w:val="center"/>
            </w:pPr>
            <w:r w:rsidRPr="00B418A0">
              <w:t>-61,2</w:t>
            </w:r>
          </w:p>
        </w:tc>
      </w:tr>
      <w:tr w:rsidR="00C806B5" w:rsidTr="00DE3575" w14:paraId="11866C1A" w14:textId="77777777">
        <w:trPr>
          <w:trHeight w:val="340"/>
        </w:trPr>
        <w:tc>
          <w:tcPr>
            <w:tcW w:w="1723" w:type="pct"/>
            <w:vAlign w:val="center"/>
          </w:tcPr>
          <w:p w:rsidR="00C806B5" w:rsidP="00DE3575" w:rsidRDefault="00C806B5" w14:paraId="791D6F08" w14:textId="77777777">
            <w:r>
              <w:t>TW</w:t>
            </w:r>
          </w:p>
        </w:tc>
        <w:tc>
          <w:tcPr>
            <w:tcW w:w="656" w:type="pct"/>
            <w:tcBorders>
              <w:left w:val="nil"/>
            </w:tcBorders>
            <w:vAlign w:val="center"/>
          </w:tcPr>
          <w:p w:rsidR="00C806B5" w:rsidP="00DE3575" w:rsidRDefault="00C806B5" w14:paraId="79397CD0" w14:textId="77777777">
            <w:pPr>
              <w:jc w:val="center"/>
            </w:pPr>
          </w:p>
        </w:tc>
        <w:tc>
          <w:tcPr>
            <w:tcW w:w="656" w:type="pct"/>
            <w:vAlign w:val="center"/>
          </w:tcPr>
          <w:p w:rsidR="00C806B5" w:rsidP="00DE3575" w:rsidRDefault="00C806B5" w14:paraId="2D7641F5" w14:textId="77777777">
            <w:pPr>
              <w:jc w:val="center"/>
            </w:pPr>
          </w:p>
        </w:tc>
        <w:tc>
          <w:tcPr>
            <w:tcW w:w="655" w:type="pct"/>
            <w:vAlign w:val="center"/>
          </w:tcPr>
          <w:p w:rsidR="00C806B5" w:rsidP="00DE3575" w:rsidRDefault="00C806B5" w14:paraId="2CCD1A5D" w14:textId="77777777">
            <w:pPr>
              <w:jc w:val="center"/>
            </w:pPr>
            <w:r w:rsidRPr="00DE2D7F">
              <w:t>0,2</w:t>
            </w:r>
          </w:p>
        </w:tc>
        <w:tc>
          <w:tcPr>
            <w:tcW w:w="655" w:type="pct"/>
            <w:vAlign w:val="center"/>
          </w:tcPr>
          <w:p w:rsidR="00C806B5" w:rsidP="00DE3575" w:rsidRDefault="00C806B5" w14:paraId="53792AC4" w14:textId="77777777">
            <w:pPr>
              <w:jc w:val="center"/>
            </w:pPr>
            <w:r w:rsidRPr="00DE2D7F">
              <w:t>0,7</w:t>
            </w:r>
          </w:p>
        </w:tc>
        <w:tc>
          <w:tcPr>
            <w:tcW w:w="655" w:type="pct"/>
            <w:vAlign w:val="center"/>
          </w:tcPr>
          <w:p w:rsidR="00C806B5" w:rsidP="00DE3575" w:rsidRDefault="00C806B5" w14:paraId="6A6A77E5" w14:textId="77777777">
            <w:pPr>
              <w:jc w:val="center"/>
            </w:pPr>
            <w:r w:rsidRPr="00DE2D7F">
              <w:t>0,5</w:t>
            </w:r>
          </w:p>
        </w:tc>
      </w:tr>
      <w:tr w:rsidR="00C806B5" w:rsidTr="00DE3575" w14:paraId="5FF6B9D9" w14:textId="77777777">
        <w:trPr>
          <w:trHeight w:val="340"/>
        </w:trPr>
        <w:tc>
          <w:tcPr>
            <w:tcW w:w="1723" w:type="pct"/>
            <w:vAlign w:val="center"/>
          </w:tcPr>
          <w:p w:rsidR="00C806B5" w:rsidP="00DE3575" w:rsidRDefault="00C806B5" w14:paraId="6CEDE81A" w14:textId="77777777">
            <w:r>
              <w:t>Uitvoeringskosten UWV</w:t>
            </w:r>
          </w:p>
        </w:tc>
        <w:tc>
          <w:tcPr>
            <w:tcW w:w="656" w:type="pct"/>
            <w:tcBorders>
              <w:left w:val="nil"/>
            </w:tcBorders>
            <w:vAlign w:val="center"/>
          </w:tcPr>
          <w:p w:rsidR="00C806B5" w:rsidP="00DE3575" w:rsidRDefault="00C806B5" w14:paraId="7DEE124C" w14:textId="77777777">
            <w:pPr>
              <w:jc w:val="center"/>
            </w:pPr>
            <w:r w:rsidRPr="004A2CCE">
              <w:t>5,0</w:t>
            </w:r>
          </w:p>
        </w:tc>
        <w:tc>
          <w:tcPr>
            <w:tcW w:w="656" w:type="pct"/>
            <w:vAlign w:val="center"/>
          </w:tcPr>
          <w:p w:rsidR="00C806B5" w:rsidP="00DE3575" w:rsidRDefault="00C806B5" w14:paraId="3140DA55" w14:textId="77777777">
            <w:pPr>
              <w:jc w:val="center"/>
            </w:pPr>
          </w:p>
        </w:tc>
        <w:tc>
          <w:tcPr>
            <w:tcW w:w="655" w:type="pct"/>
            <w:vAlign w:val="center"/>
          </w:tcPr>
          <w:p w:rsidR="00C806B5" w:rsidP="00DE3575" w:rsidRDefault="00C806B5" w14:paraId="2004B7F0" w14:textId="77777777">
            <w:pPr>
              <w:jc w:val="center"/>
            </w:pPr>
            <w:r w:rsidRPr="004A2CCE">
              <w:t>-2,2</w:t>
            </w:r>
          </w:p>
        </w:tc>
        <w:tc>
          <w:tcPr>
            <w:tcW w:w="655" w:type="pct"/>
            <w:vAlign w:val="center"/>
          </w:tcPr>
          <w:p w:rsidR="00C806B5" w:rsidP="00DE3575" w:rsidRDefault="00C806B5" w14:paraId="7011297B" w14:textId="77777777">
            <w:pPr>
              <w:jc w:val="center"/>
            </w:pPr>
            <w:r w:rsidRPr="004A2CCE">
              <w:t>-8,3</w:t>
            </w:r>
          </w:p>
        </w:tc>
        <w:tc>
          <w:tcPr>
            <w:tcW w:w="655" w:type="pct"/>
            <w:vAlign w:val="center"/>
          </w:tcPr>
          <w:p w:rsidR="00C806B5" w:rsidP="00DE3575" w:rsidRDefault="00C806B5" w14:paraId="5D7155D5" w14:textId="77777777">
            <w:pPr>
              <w:jc w:val="center"/>
            </w:pPr>
            <w:r w:rsidRPr="004A2CCE">
              <w:t>-8,6</w:t>
            </w:r>
          </w:p>
        </w:tc>
      </w:tr>
      <w:tr w:rsidR="00C806B5" w:rsidTr="00DE3575" w14:paraId="3C8211DA" w14:textId="77777777">
        <w:trPr>
          <w:trHeight w:val="340"/>
        </w:trPr>
        <w:tc>
          <w:tcPr>
            <w:tcW w:w="1723" w:type="pct"/>
            <w:tcBorders>
              <w:bottom w:val="single" w:color="auto" w:sz="4" w:space="0"/>
            </w:tcBorders>
            <w:vAlign w:val="center"/>
          </w:tcPr>
          <w:p w:rsidR="00C806B5" w:rsidP="00DE3575" w:rsidRDefault="00C806B5" w14:paraId="1744A223" w14:textId="77777777">
            <w:r>
              <w:t>Uitvoeringskosten gemeente</w:t>
            </w:r>
          </w:p>
        </w:tc>
        <w:tc>
          <w:tcPr>
            <w:tcW w:w="656" w:type="pct"/>
            <w:tcBorders>
              <w:left w:val="nil"/>
              <w:bottom w:val="single" w:color="auto" w:sz="4" w:space="0"/>
            </w:tcBorders>
            <w:vAlign w:val="center"/>
          </w:tcPr>
          <w:p w:rsidR="00C806B5" w:rsidP="00DE3575" w:rsidRDefault="00C806B5" w14:paraId="3F0CC632" w14:textId="77777777">
            <w:pPr>
              <w:jc w:val="center"/>
            </w:pPr>
          </w:p>
        </w:tc>
        <w:tc>
          <w:tcPr>
            <w:tcW w:w="656" w:type="pct"/>
            <w:tcBorders>
              <w:bottom w:val="single" w:color="auto" w:sz="4" w:space="0"/>
            </w:tcBorders>
            <w:vAlign w:val="center"/>
          </w:tcPr>
          <w:p w:rsidR="00C806B5" w:rsidP="00DE3575" w:rsidRDefault="00C806B5" w14:paraId="681C4FD1" w14:textId="77777777">
            <w:pPr>
              <w:jc w:val="center"/>
            </w:pPr>
          </w:p>
        </w:tc>
        <w:tc>
          <w:tcPr>
            <w:tcW w:w="655" w:type="pct"/>
            <w:tcBorders>
              <w:bottom w:val="single" w:color="auto" w:sz="4" w:space="0"/>
            </w:tcBorders>
            <w:vAlign w:val="center"/>
          </w:tcPr>
          <w:p w:rsidR="00C806B5" w:rsidP="00DE3575" w:rsidRDefault="00C806B5" w14:paraId="212EF518" w14:textId="77777777">
            <w:pPr>
              <w:jc w:val="center"/>
            </w:pPr>
            <w:r w:rsidRPr="005A1A44">
              <w:t>2,6</w:t>
            </w:r>
          </w:p>
        </w:tc>
        <w:tc>
          <w:tcPr>
            <w:tcW w:w="655" w:type="pct"/>
            <w:tcBorders>
              <w:bottom w:val="single" w:color="auto" w:sz="4" w:space="0"/>
            </w:tcBorders>
            <w:vAlign w:val="center"/>
          </w:tcPr>
          <w:p w:rsidR="00C806B5" w:rsidP="00DE3575" w:rsidRDefault="00C806B5" w14:paraId="217D7057" w14:textId="77777777">
            <w:pPr>
              <w:jc w:val="center"/>
            </w:pPr>
            <w:r w:rsidRPr="005A1A44">
              <w:t>10,0</w:t>
            </w:r>
          </w:p>
        </w:tc>
        <w:tc>
          <w:tcPr>
            <w:tcW w:w="655" w:type="pct"/>
            <w:tcBorders>
              <w:bottom w:val="single" w:color="auto" w:sz="4" w:space="0"/>
            </w:tcBorders>
            <w:vAlign w:val="center"/>
          </w:tcPr>
          <w:p w:rsidR="00C806B5" w:rsidP="00DE3575" w:rsidRDefault="00C806B5" w14:paraId="644B6C2E" w14:textId="77777777">
            <w:pPr>
              <w:jc w:val="center"/>
            </w:pPr>
            <w:r w:rsidRPr="005A1A44">
              <w:t>10,3</w:t>
            </w:r>
          </w:p>
        </w:tc>
      </w:tr>
    </w:tbl>
    <w:p w:rsidR="00C806B5" w:rsidP="00C806B5" w:rsidRDefault="00C806B5" w14:paraId="759A0293" w14:textId="77777777">
      <w:pPr>
        <w:spacing w:after="0" w:line="240" w:lineRule="auto"/>
        <w:rPr>
          <w:rFonts w:ascii="Verdana" w:hAnsi="Verdana"/>
          <w:sz w:val="18"/>
          <w:szCs w:val="18"/>
          <w:u w:val="single"/>
        </w:rPr>
      </w:pPr>
    </w:p>
    <w:p w:rsidRPr="00C5308E" w:rsidR="0056088B" w:rsidP="0056088B" w:rsidRDefault="0056088B" w14:paraId="0FE1EBCB" w14:textId="4B99BDF2">
      <w:pPr>
        <w:spacing w:after="0" w:line="240" w:lineRule="auto"/>
        <w:contextualSpacing/>
        <w:rPr>
          <w:rFonts w:ascii="Verdana" w:hAnsi="Verdana"/>
          <w:bCs/>
          <w:sz w:val="18"/>
          <w:szCs w:val="18"/>
          <w:u w:val="single"/>
        </w:rPr>
      </w:pPr>
      <w:r w:rsidRPr="00C5308E">
        <w:rPr>
          <w:rFonts w:ascii="Verdana" w:hAnsi="Verdana"/>
          <w:bCs/>
          <w:sz w:val="18"/>
          <w:szCs w:val="18"/>
          <w:u w:val="single"/>
        </w:rPr>
        <w:t>Vraag 98</w:t>
      </w:r>
    </w:p>
    <w:p w:rsidRPr="00C5308E" w:rsidR="0056088B" w:rsidP="0056088B" w:rsidRDefault="0056088B" w14:paraId="691F8F4E" w14:textId="28CB29AF">
      <w:pPr>
        <w:spacing w:after="0" w:line="240" w:lineRule="auto"/>
        <w:contextualSpacing/>
        <w:rPr>
          <w:rFonts w:ascii="Verdana" w:hAnsi="Verdana"/>
          <w:bCs/>
          <w:sz w:val="18"/>
          <w:szCs w:val="18"/>
        </w:rPr>
      </w:pPr>
      <w:r w:rsidRPr="00C5308E">
        <w:rPr>
          <w:rFonts w:ascii="Verdana" w:hAnsi="Verdana"/>
          <w:bCs/>
          <w:sz w:val="18"/>
          <w:szCs w:val="18"/>
        </w:rPr>
        <w:t>Wanneer gaat de duurverkorting WW in? Wanneer ontvangt de Kamer deze wetswijziging?</w:t>
      </w:r>
    </w:p>
    <w:p w:rsidRPr="00C5308E" w:rsidR="0056088B" w:rsidP="0056088B" w:rsidRDefault="0056088B" w14:paraId="7AC984E4" w14:textId="77777777">
      <w:pPr>
        <w:spacing w:after="0" w:line="240" w:lineRule="auto"/>
        <w:contextualSpacing/>
        <w:rPr>
          <w:rFonts w:ascii="Verdana" w:hAnsi="Verdana"/>
          <w:bCs/>
          <w:sz w:val="18"/>
          <w:szCs w:val="18"/>
        </w:rPr>
      </w:pPr>
    </w:p>
    <w:p w:rsidRPr="00C5308E" w:rsidR="0056088B" w:rsidP="0056088B" w:rsidRDefault="0056088B" w14:paraId="1FFC0BB4" w14:textId="233C0784">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98</w:t>
      </w:r>
    </w:p>
    <w:p w:rsidRPr="00C5308E" w:rsidR="0056088B" w:rsidP="0056088B" w:rsidRDefault="00C806B5" w14:paraId="40E74948" w14:textId="5EC26770">
      <w:pPr>
        <w:spacing w:after="0" w:line="240" w:lineRule="auto"/>
        <w:contextualSpacing/>
        <w:rPr>
          <w:rFonts w:ascii="Verdana" w:hAnsi="Verdana"/>
          <w:bCs/>
          <w:sz w:val="18"/>
          <w:szCs w:val="18"/>
          <w:u w:val="single"/>
        </w:rPr>
      </w:pPr>
      <w:r>
        <w:rPr>
          <w:rFonts w:ascii="Verdana" w:hAnsi="Verdana"/>
          <w:sz w:val="18"/>
          <w:szCs w:val="18"/>
        </w:rPr>
        <w:t xml:space="preserve">De Voorjaarsnota en eerste suppletoire begroting gaan uit van een datum van inwerkingtreding van 1 januari 2027. UWV heeft aangegeven dat een duurverkorting vóór 1 januari 2028 niet uitvoerbaar is. Het kabinet is momenteel in gesprek met UWV en bekijkt de gevolgen hiervan. </w:t>
      </w:r>
    </w:p>
    <w:p w:rsidR="00FE7425" w:rsidP="0056088B" w:rsidRDefault="00FE7425" w14:paraId="1F3020FD" w14:textId="77777777">
      <w:pPr>
        <w:spacing w:after="0" w:line="240" w:lineRule="auto"/>
        <w:contextualSpacing/>
        <w:rPr>
          <w:rFonts w:ascii="Verdana" w:hAnsi="Verdana"/>
          <w:bCs/>
          <w:sz w:val="18"/>
          <w:szCs w:val="18"/>
          <w:u w:val="single"/>
        </w:rPr>
      </w:pPr>
    </w:p>
    <w:p w:rsidRPr="00C5308E" w:rsidR="0056088B" w:rsidP="0056088B" w:rsidRDefault="0056088B" w14:paraId="41B5FA3C" w14:textId="7CFD5EF0">
      <w:pPr>
        <w:spacing w:after="0" w:line="240" w:lineRule="auto"/>
        <w:contextualSpacing/>
        <w:rPr>
          <w:rFonts w:ascii="Verdana" w:hAnsi="Verdana"/>
          <w:bCs/>
          <w:sz w:val="18"/>
          <w:szCs w:val="18"/>
          <w:u w:val="single"/>
        </w:rPr>
      </w:pPr>
      <w:r w:rsidRPr="00C5308E">
        <w:rPr>
          <w:rFonts w:ascii="Verdana" w:hAnsi="Verdana"/>
          <w:bCs/>
          <w:sz w:val="18"/>
          <w:szCs w:val="18"/>
          <w:u w:val="single"/>
        </w:rPr>
        <w:t>Vraag 99</w:t>
      </w:r>
    </w:p>
    <w:p w:rsidRPr="00C5308E" w:rsidR="0056088B" w:rsidP="0056088B" w:rsidRDefault="0056088B" w14:paraId="7D4DAC54" w14:textId="26DA33B6">
      <w:pPr>
        <w:spacing w:after="0" w:line="240" w:lineRule="auto"/>
        <w:contextualSpacing/>
        <w:rPr>
          <w:rFonts w:ascii="Verdana" w:hAnsi="Verdana"/>
          <w:bCs/>
          <w:sz w:val="18"/>
          <w:szCs w:val="18"/>
        </w:rPr>
      </w:pPr>
      <w:r w:rsidRPr="00C5308E">
        <w:rPr>
          <w:rFonts w:ascii="Verdana" w:hAnsi="Verdana"/>
          <w:bCs/>
          <w:sz w:val="18"/>
          <w:szCs w:val="18"/>
        </w:rPr>
        <w:t>Kunt u een overzicht maken van de doorwerking van de WW-maatregel op andere regelingen, in zowel het budgettair effect als de beleidseffecten?</w:t>
      </w:r>
    </w:p>
    <w:p w:rsidRPr="00C5308E" w:rsidR="0056088B" w:rsidP="0056088B" w:rsidRDefault="0056088B" w14:paraId="27D91F3C" w14:textId="77777777">
      <w:pPr>
        <w:spacing w:after="0" w:line="240" w:lineRule="auto"/>
        <w:contextualSpacing/>
        <w:rPr>
          <w:rFonts w:ascii="Verdana" w:hAnsi="Verdana"/>
          <w:bCs/>
          <w:sz w:val="18"/>
          <w:szCs w:val="18"/>
        </w:rPr>
      </w:pPr>
    </w:p>
    <w:p w:rsidRPr="00C5308E" w:rsidR="0056088B" w:rsidP="0056088B" w:rsidRDefault="0056088B" w14:paraId="4F8FF911" w14:textId="7F5B1156">
      <w:pPr>
        <w:spacing w:after="0" w:line="240" w:lineRule="auto"/>
        <w:contextualSpacing/>
        <w:rPr>
          <w:rFonts w:ascii="Verdana" w:hAnsi="Verdana"/>
          <w:bCs/>
          <w:sz w:val="18"/>
          <w:szCs w:val="18"/>
          <w:u w:val="single"/>
        </w:rPr>
      </w:pPr>
      <w:r w:rsidRPr="00C5308E">
        <w:rPr>
          <w:rFonts w:ascii="Verdana" w:hAnsi="Verdana"/>
          <w:bCs/>
          <w:sz w:val="18"/>
          <w:szCs w:val="18"/>
          <w:u w:val="single"/>
        </w:rPr>
        <w:t>Antwoord 99</w:t>
      </w:r>
    </w:p>
    <w:p w:rsidR="00C806B5" w:rsidP="00C806B5" w:rsidRDefault="00C806B5" w14:paraId="018C62ED" w14:textId="77777777">
      <w:pPr>
        <w:spacing w:after="0" w:line="240" w:lineRule="auto"/>
        <w:rPr>
          <w:rFonts w:ascii="Verdana" w:hAnsi="Verdana"/>
          <w:sz w:val="18"/>
          <w:szCs w:val="18"/>
        </w:rPr>
      </w:pPr>
      <w:r>
        <w:rPr>
          <w:rFonts w:ascii="Verdana" w:hAnsi="Verdana"/>
          <w:sz w:val="18"/>
          <w:szCs w:val="18"/>
        </w:rPr>
        <w:t xml:space="preserve">In onderstaande tabel vindt u de budgettaire effecten van een duurverkorting van de WW- en loongerelateerde WGA-uitkering naar 18 maanden die ingeboekt zijn in de eerste suppletoire begroting. </w:t>
      </w:r>
    </w:p>
    <w:p w:rsidR="00C806B5" w:rsidP="00C806B5" w:rsidRDefault="00C806B5" w14:paraId="01BBDCD1" w14:textId="77777777">
      <w:pPr>
        <w:spacing w:after="0" w:line="240" w:lineRule="auto"/>
        <w:rPr>
          <w:rFonts w:ascii="Verdana" w:hAnsi="Verdana"/>
          <w:sz w:val="18"/>
          <w:szCs w:val="18"/>
        </w:rPr>
      </w:pPr>
    </w:p>
    <w:p w:rsidR="00C806B5" w:rsidP="00C806B5" w:rsidRDefault="00C806B5" w14:paraId="1F12F2AE" w14:textId="77777777">
      <w:pPr>
        <w:spacing w:after="0" w:line="240" w:lineRule="auto"/>
        <w:rPr>
          <w:rFonts w:ascii="Verdana" w:hAnsi="Verdana"/>
          <w:sz w:val="18"/>
          <w:szCs w:val="18"/>
        </w:rPr>
      </w:pPr>
      <w:r w:rsidRPr="00882A4B">
        <w:rPr>
          <w:rFonts w:ascii="Verdana" w:hAnsi="Verdana"/>
          <w:sz w:val="18"/>
          <w:szCs w:val="18"/>
        </w:rPr>
        <w:t xml:space="preserve">Werkloze werknemers die op de eerste werkloosheidsdag of eerste dag van de loongerelateerde WGA-uitkering 60 jaar en 4 maanden of ouder zijn, kunnen na het bereiken van de maximale uitkeringsduur recht hebben op een IOW-uitkering. </w:t>
      </w:r>
      <w:r>
        <w:rPr>
          <w:rFonts w:ascii="Verdana" w:hAnsi="Verdana"/>
          <w:sz w:val="18"/>
          <w:szCs w:val="18"/>
        </w:rPr>
        <w:t xml:space="preserve">Een duurverkorting per 1 januari 2027 zou </w:t>
      </w:r>
      <w:r w:rsidRPr="00882A4B">
        <w:rPr>
          <w:rFonts w:ascii="Verdana" w:hAnsi="Verdana"/>
          <w:sz w:val="18"/>
          <w:szCs w:val="18"/>
        </w:rPr>
        <w:t xml:space="preserve">naar verwachting </w:t>
      </w:r>
      <w:r>
        <w:rPr>
          <w:rFonts w:ascii="Verdana" w:hAnsi="Verdana"/>
          <w:sz w:val="18"/>
          <w:szCs w:val="18"/>
        </w:rPr>
        <w:t xml:space="preserve">leiden tot </w:t>
      </w:r>
      <w:r w:rsidRPr="00882A4B">
        <w:rPr>
          <w:rFonts w:ascii="Verdana" w:hAnsi="Verdana"/>
          <w:sz w:val="18"/>
          <w:szCs w:val="18"/>
        </w:rPr>
        <w:t xml:space="preserve">meer mensen </w:t>
      </w:r>
      <w:r>
        <w:rPr>
          <w:rFonts w:ascii="Verdana" w:hAnsi="Verdana"/>
          <w:sz w:val="18"/>
          <w:szCs w:val="18"/>
        </w:rPr>
        <w:t xml:space="preserve">die </w:t>
      </w:r>
      <w:r w:rsidRPr="00882A4B">
        <w:rPr>
          <w:rFonts w:ascii="Verdana" w:hAnsi="Verdana"/>
          <w:sz w:val="18"/>
          <w:szCs w:val="18"/>
        </w:rPr>
        <w:t xml:space="preserve">recht hebben op een IOW-uitkering. Hierbij </w:t>
      </w:r>
      <w:r>
        <w:rPr>
          <w:rFonts w:ascii="Verdana" w:hAnsi="Verdana"/>
          <w:sz w:val="18"/>
          <w:szCs w:val="18"/>
        </w:rPr>
        <w:t>zouden</w:t>
      </w:r>
      <w:r w:rsidRPr="00882A4B">
        <w:rPr>
          <w:rFonts w:ascii="Verdana" w:hAnsi="Verdana"/>
          <w:sz w:val="18"/>
          <w:szCs w:val="18"/>
        </w:rPr>
        <w:t xml:space="preserve"> zij naar verwachting langer gebruik</w:t>
      </w:r>
      <w:r>
        <w:rPr>
          <w:rFonts w:ascii="Verdana" w:hAnsi="Verdana"/>
          <w:sz w:val="18"/>
          <w:szCs w:val="18"/>
        </w:rPr>
        <w:t xml:space="preserve"> maken</w:t>
      </w:r>
      <w:r w:rsidRPr="00882A4B">
        <w:rPr>
          <w:rFonts w:ascii="Verdana" w:hAnsi="Verdana"/>
          <w:sz w:val="18"/>
          <w:szCs w:val="18"/>
        </w:rPr>
        <w:t xml:space="preserve"> van een IOW-uitkering omdat de WW- of loongerelateerde WGA-uitkering al eerder eindigt. Voor nieuwe WW- en WGA-gerechtigden met een eerste </w:t>
      </w:r>
      <w:r w:rsidRPr="00882A4B">
        <w:rPr>
          <w:rFonts w:ascii="Verdana" w:hAnsi="Verdana"/>
          <w:sz w:val="18"/>
          <w:szCs w:val="18"/>
        </w:rPr>
        <w:lastRenderedPageBreak/>
        <w:t xml:space="preserve">uitkeringsdag met ingang van 1 januari 2028 </w:t>
      </w:r>
      <w:r>
        <w:rPr>
          <w:rFonts w:ascii="Verdana" w:hAnsi="Verdana"/>
          <w:sz w:val="18"/>
          <w:szCs w:val="18"/>
        </w:rPr>
        <w:t xml:space="preserve">is </w:t>
      </w:r>
      <w:r w:rsidRPr="00882A4B">
        <w:rPr>
          <w:rFonts w:ascii="Verdana" w:hAnsi="Verdana"/>
          <w:sz w:val="18"/>
          <w:szCs w:val="18"/>
        </w:rPr>
        <w:t>er geen recht op IOW-uitkering meer omdat de IOW tijdelijk is.</w:t>
      </w:r>
      <w:r>
        <w:rPr>
          <w:rFonts w:ascii="Verdana" w:hAnsi="Verdana"/>
          <w:sz w:val="18"/>
          <w:szCs w:val="18"/>
        </w:rPr>
        <w:t xml:space="preserve"> </w:t>
      </w:r>
    </w:p>
    <w:p w:rsidR="00C806B5" w:rsidP="00C806B5" w:rsidRDefault="00C806B5" w14:paraId="34F4B764" w14:textId="77777777">
      <w:pPr>
        <w:spacing w:after="0" w:line="240" w:lineRule="auto"/>
        <w:rPr>
          <w:rFonts w:ascii="Verdana" w:hAnsi="Verdana"/>
          <w:sz w:val="18"/>
          <w:szCs w:val="18"/>
        </w:rPr>
      </w:pPr>
    </w:p>
    <w:p w:rsidR="00C806B5" w:rsidP="00C806B5" w:rsidRDefault="00C806B5" w14:paraId="2B2C4F09" w14:textId="77777777">
      <w:pPr>
        <w:spacing w:after="0" w:line="240" w:lineRule="auto"/>
        <w:rPr>
          <w:rFonts w:ascii="Verdana" w:hAnsi="Verdana"/>
          <w:sz w:val="18"/>
          <w:szCs w:val="18"/>
        </w:rPr>
      </w:pPr>
      <w:r>
        <w:rPr>
          <w:rFonts w:ascii="Verdana" w:hAnsi="Verdana"/>
          <w:sz w:val="18"/>
          <w:szCs w:val="18"/>
        </w:rPr>
        <w:t xml:space="preserve">Daarnaast stroomt een deel van de mensen na afloop van de WW-uitkering door naar de bijstand wanneer zij nog onvoldoende inkomen hebben. Of iemand in aanmerking komt voor een bijstandsuitkering is onder meer afhankelijk van het inkomen van een eventuele partner en het beschikbare vermogen. </w:t>
      </w:r>
    </w:p>
    <w:p w:rsidR="00C806B5" w:rsidP="00C806B5" w:rsidRDefault="00C806B5" w14:paraId="5DE0C3FA" w14:textId="77777777">
      <w:pPr>
        <w:spacing w:after="0" w:line="240" w:lineRule="auto"/>
        <w:rPr>
          <w:rFonts w:ascii="Verdana" w:hAnsi="Verdana"/>
          <w:sz w:val="18"/>
          <w:szCs w:val="18"/>
        </w:rPr>
      </w:pPr>
    </w:p>
    <w:p w:rsidR="00C806B5" w:rsidP="00C806B5" w:rsidRDefault="00C806B5" w14:paraId="12CB3CC1" w14:textId="77777777">
      <w:pPr>
        <w:spacing w:after="0" w:line="240" w:lineRule="auto"/>
        <w:rPr>
          <w:rFonts w:ascii="Verdana" w:hAnsi="Verdana"/>
          <w:sz w:val="18"/>
          <w:szCs w:val="18"/>
        </w:rPr>
      </w:pPr>
      <w:r>
        <w:rPr>
          <w:rFonts w:ascii="Verdana" w:hAnsi="Verdana"/>
          <w:sz w:val="18"/>
          <w:szCs w:val="18"/>
        </w:rPr>
        <w:t>Voor de loongerelateerde WGA-uitkering geldt dat een inkorting ertoe leidt dat uitkeringsgerechtigden eerder doorstromen naar de vervolgfase van de WGA-uitkering. Uitkeringsgerechtigden ontvangen dan een WGA-loonaanvullingsuitkering of een WGA-vervolguitkering. De uitkeringshoogte is hier gemiddeld lager dan in de loongerelateerde fase van de WGA-uitkering waardoor er een besparing optreedt. Voor deze groep uitkeringsgerechtigden zijn er iets hogere uitgaven aan de Toeslagenwet (TW) voorzien om aan te vullen tot het sociaal minimum. Anderzijds neemt het aantal TW-aanvullingen behorende bij WW-uitkeringen af omdat het aantal WW-uitkeringen afneemt. Per saldo zijn hogere uitgaven aan de TW voorzien.</w:t>
      </w:r>
    </w:p>
    <w:p w:rsidR="00C806B5" w:rsidP="00C806B5" w:rsidRDefault="00C806B5" w14:paraId="19E67BB4" w14:textId="77777777">
      <w:pPr>
        <w:spacing w:after="0" w:line="240" w:lineRule="auto"/>
        <w:rPr>
          <w:rFonts w:ascii="Verdana" w:hAnsi="Verdana"/>
          <w:sz w:val="18"/>
          <w:szCs w:val="18"/>
        </w:rPr>
      </w:pPr>
    </w:p>
    <w:p w:rsidRPr="008959FC" w:rsidR="00C806B5" w:rsidP="00C806B5" w:rsidRDefault="00C806B5" w14:paraId="3A2455B9" w14:textId="77777777">
      <w:pPr>
        <w:spacing w:after="0" w:line="240" w:lineRule="auto"/>
        <w:rPr>
          <w:rFonts w:ascii="Verdana" w:hAnsi="Verdana"/>
          <w:i/>
          <w:iCs/>
          <w:sz w:val="18"/>
          <w:szCs w:val="18"/>
        </w:rPr>
      </w:pPr>
      <w:r>
        <w:rPr>
          <w:rFonts w:ascii="Verdana" w:hAnsi="Verdana"/>
          <w:i/>
          <w:iCs/>
          <w:sz w:val="18"/>
          <w:szCs w:val="18"/>
        </w:rPr>
        <w:t>Ingeboekte budgettaire effecten duurverkorting WW- en loongerelateerde WGA-uitkering</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7"/>
        <w:gridCol w:w="1191"/>
        <w:gridCol w:w="1190"/>
        <w:gridCol w:w="1188"/>
        <w:gridCol w:w="1188"/>
        <w:gridCol w:w="1188"/>
      </w:tblGrid>
      <w:tr w:rsidR="00C806B5" w:rsidTr="00DE3575" w14:paraId="37863ED1" w14:textId="77777777">
        <w:trPr>
          <w:trHeight w:val="340"/>
        </w:trPr>
        <w:tc>
          <w:tcPr>
            <w:tcW w:w="1723" w:type="pct"/>
            <w:tcBorders>
              <w:top w:val="single" w:color="auto" w:sz="4" w:space="0"/>
              <w:bottom w:val="single" w:color="auto" w:sz="4" w:space="0"/>
            </w:tcBorders>
            <w:vAlign w:val="center"/>
          </w:tcPr>
          <w:p w:rsidRPr="007143A8" w:rsidR="00C806B5" w:rsidP="00DE3575" w:rsidRDefault="00C806B5" w14:paraId="1EF96FED" w14:textId="77777777">
            <w:pPr>
              <w:rPr>
                <w:b/>
                <w:bCs/>
              </w:rPr>
            </w:pPr>
            <w:r w:rsidRPr="007143A8">
              <w:rPr>
                <w:b/>
                <w:bCs/>
              </w:rPr>
              <w:t>x € mln. (prijspeil 2024)</w:t>
            </w:r>
          </w:p>
        </w:tc>
        <w:tc>
          <w:tcPr>
            <w:tcW w:w="656" w:type="pct"/>
            <w:tcBorders>
              <w:top w:val="single" w:color="auto" w:sz="4" w:space="0"/>
              <w:left w:val="nil"/>
              <w:bottom w:val="single" w:color="auto" w:sz="4" w:space="0"/>
            </w:tcBorders>
            <w:vAlign w:val="center"/>
          </w:tcPr>
          <w:p w:rsidRPr="007143A8" w:rsidR="00C806B5" w:rsidP="00DE3575" w:rsidRDefault="00C806B5" w14:paraId="6247A924" w14:textId="77777777">
            <w:pPr>
              <w:jc w:val="center"/>
              <w:rPr>
                <w:b/>
                <w:bCs/>
              </w:rPr>
            </w:pPr>
            <w:r w:rsidRPr="007143A8">
              <w:rPr>
                <w:b/>
                <w:bCs/>
              </w:rPr>
              <w:t>2026</w:t>
            </w:r>
          </w:p>
        </w:tc>
        <w:tc>
          <w:tcPr>
            <w:tcW w:w="656" w:type="pct"/>
            <w:tcBorders>
              <w:top w:val="single" w:color="auto" w:sz="4" w:space="0"/>
              <w:bottom w:val="single" w:color="auto" w:sz="4" w:space="0"/>
            </w:tcBorders>
            <w:vAlign w:val="center"/>
          </w:tcPr>
          <w:p w:rsidRPr="007143A8" w:rsidR="00C806B5" w:rsidP="00DE3575" w:rsidRDefault="00C806B5" w14:paraId="7230C64E" w14:textId="77777777">
            <w:pPr>
              <w:jc w:val="center"/>
              <w:rPr>
                <w:b/>
                <w:bCs/>
              </w:rPr>
            </w:pPr>
            <w:r w:rsidRPr="007143A8">
              <w:rPr>
                <w:b/>
                <w:bCs/>
              </w:rPr>
              <w:t>2027</w:t>
            </w:r>
          </w:p>
        </w:tc>
        <w:tc>
          <w:tcPr>
            <w:tcW w:w="655" w:type="pct"/>
            <w:tcBorders>
              <w:top w:val="single" w:color="auto" w:sz="4" w:space="0"/>
              <w:bottom w:val="single" w:color="auto" w:sz="4" w:space="0"/>
            </w:tcBorders>
            <w:vAlign w:val="center"/>
          </w:tcPr>
          <w:p w:rsidRPr="007143A8" w:rsidR="00C806B5" w:rsidP="00DE3575" w:rsidRDefault="00C806B5" w14:paraId="5434A4AE" w14:textId="77777777">
            <w:pPr>
              <w:jc w:val="center"/>
              <w:rPr>
                <w:b/>
                <w:bCs/>
              </w:rPr>
            </w:pPr>
            <w:r w:rsidRPr="007143A8">
              <w:rPr>
                <w:b/>
                <w:bCs/>
              </w:rPr>
              <w:t>2028</w:t>
            </w:r>
          </w:p>
        </w:tc>
        <w:tc>
          <w:tcPr>
            <w:tcW w:w="655" w:type="pct"/>
            <w:tcBorders>
              <w:top w:val="single" w:color="auto" w:sz="4" w:space="0"/>
              <w:bottom w:val="single" w:color="auto" w:sz="4" w:space="0"/>
            </w:tcBorders>
            <w:vAlign w:val="center"/>
          </w:tcPr>
          <w:p w:rsidRPr="007143A8" w:rsidR="00C806B5" w:rsidP="00DE3575" w:rsidRDefault="00C806B5" w14:paraId="029E9B47" w14:textId="77777777">
            <w:pPr>
              <w:jc w:val="center"/>
              <w:rPr>
                <w:b/>
                <w:bCs/>
              </w:rPr>
            </w:pPr>
            <w:r w:rsidRPr="007143A8">
              <w:rPr>
                <w:b/>
                <w:bCs/>
              </w:rPr>
              <w:t>2029</w:t>
            </w:r>
          </w:p>
        </w:tc>
        <w:tc>
          <w:tcPr>
            <w:tcW w:w="655" w:type="pct"/>
            <w:tcBorders>
              <w:top w:val="single" w:color="auto" w:sz="4" w:space="0"/>
              <w:bottom w:val="single" w:color="auto" w:sz="4" w:space="0"/>
            </w:tcBorders>
            <w:vAlign w:val="center"/>
          </w:tcPr>
          <w:p w:rsidRPr="007143A8" w:rsidR="00C806B5" w:rsidP="00DE3575" w:rsidRDefault="00C806B5" w14:paraId="19B7B422" w14:textId="77777777">
            <w:pPr>
              <w:jc w:val="center"/>
              <w:rPr>
                <w:b/>
                <w:bCs/>
              </w:rPr>
            </w:pPr>
            <w:r w:rsidRPr="007143A8">
              <w:rPr>
                <w:b/>
                <w:bCs/>
              </w:rPr>
              <w:t>2030</w:t>
            </w:r>
          </w:p>
        </w:tc>
      </w:tr>
      <w:tr w:rsidR="00C806B5" w:rsidTr="00DE3575" w14:paraId="5E68C7ED" w14:textId="77777777">
        <w:trPr>
          <w:trHeight w:val="340"/>
        </w:trPr>
        <w:tc>
          <w:tcPr>
            <w:tcW w:w="1723" w:type="pct"/>
            <w:tcBorders>
              <w:top w:val="single" w:color="auto" w:sz="4" w:space="0"/>
            </w:tcBorders>
            <w:vAlign w:val="center"/>
          </w:tcPr>
          <w:p w:rsidRPr="00CD0D07" w:rsidR="00C806B5" w:rsidP="00DE3575" w:rsidRDefault="00C806B5" w14:paraId="3424A6D4" w14:textId="77777777">
            <w:pPr>
              <w:rPr>
                <w:i/>
                <w:iCs/>
              </w:rPr>
            </w:pPr>
            <w:r w:rsidRPr="00CD0D07">
              <w:rPr>
                <w:i/>
                <w:iCs/>
              </w:rPr>
              <w:t>Totaal</w:t>
            </w:r>
          </w:p>
        </w:tc>
        <w:tc>
          <w:tcPr>
            <w:tcW w:w="656" w:type="pct"/>
            <w:tcBorders>
              <w:top w:val="single" w:color="auto" w:sz="4" w:space="0"/>
              <w:left w:val="nil"/>
            </w:tcBorders>
            <w:vAlign w:val="center"/>
          </w:tcPr>
          <w:p w:rsidRPr="00CD0D07" w:rsidR="00C806B5" w:rsidP="00DE3575" w:rsidRDefault="00C806B5" w14:paraId="7D20D0C1" w14:textId="77777777">
            <w:pPr>
              <w:jc w:val="center"/>
              <w:rPr>
                <w:i/>
                <w:iCs/>
              </w:rPr>
            </w:pPr>
            <w:r w:rsidRPr="00CD0D07">
              <w:rPr>
                <w:i/>
                <w:iCs/>
              </w:rPr>
              <w:t>5,0</w:t>
            </w:r>
          </w:p>
        </w:tc>
        <w:tc>
          <w:tcPr>
            <w:tcW w:w="656" w:type="pct"/>
            <w:tcBorders>
              <w:top w:val="single" w:color="auto" w:sz="4" w:space="0"/>
            </w:tcBorders>
            <w:vAlign w:val="center"/>
          </w:tcPr>
          <w:p w:rsidRPr="00CD0D07" w:rsidR="00C806B5" w:rsidP="00DE3575" w:rsidRDefault="00C806B5" w14:paraId="6EF56FBA" w14:textId="77777777">
            <w:pPr>
              <w:jc w:val="center"/>
              <w:rPr>
                <w:i/>
                <w:iCs/>
              </w:rPr>
            </w:pPr>
            <w:r w:rsidRPr="00CD0D07">
              <w:rPr>
                <w:i/>
                <w:iCs/>
              </w:rPr>
              <w:t>0</w:t>
            </w:r>
          </w:p>
        </w:tc>
        <w:tc>
          <w:tcPr>
            <w:tcW w:w="655" w:type="pct"/>
            <w:tcBorders>
              <w:top w:val="single" w:color="auto" w:sz="4" w:space="0"/>
            </w:tcBorders>
            <w:vAlign w:val="center"/>
          </w:tcPr>
          <w:p w:rsidRPr="00CD0D07" w:rsidR="00C806B5" w:rsidP="00DE3575" w:rsidRDefault="00C806B5" w14:paraId="58CC16E6" w14:textId="77777777">
            <w:pPr>
              <w:jc w:val="center"/>
              <w:rPr>
                <w:i/>
                <w:iCs/>
              </w:rPr>
            </w:pPr>
            <w:r w:rsidRPr="00CD0D07">
              <w:rPr>
                <w:i/>
                <w:iCs/>
              </w:rPr>
              <w:t>-114,4</w:t>
            </w:r>
          </w:p>
        </w:tc>
        <w:tc>
          <w:tcPr>
            <w:tcW w:w="655" w:type="pct"/>
            <w:tcBorders>
              <w:top w:val="single" w:color="auto" w:sz="4" w:space="0"/>
            </w:tcBorders>
            <w:vAlign w:val="center"/>
          </w:tcPr>
          <w:p w:rsidRPr="00CD0D07" w:rsidR="00C806B5" w:rsidP="00DE3575" w:rsidRDefault="00C806B5" w14:paraId="289757CA" w14:textId="77777777">
            <w:pPr>
              <w:jc w:val="center"/>
              <w:rPr>
                <w:i/>
                <w:iCs/>
              </w:rPr>
            </w:pPr>
            <w:r w:rsidRPr="00CD0D07">
              <w:rPr>
                <w:i/>
                <w:iCs/>
              </w:rPr>
              <w:t>-398,1</w:t>
            </w:r>
          </w:p>
        </w:tc>
        <w:tc>
          <w:tcPr>
            <w:tcW w:w="655" w:type="pct"/>
            <w:tcBorders>
              <w:top w:val="single" w:color="auto" w:sz="4" w:space="0"/>
            </w:tcBorders>
            <w:vAlign w:val="center"/>
          </w:tcPr>
          <w:p w:rsidRPr="00CD0D07" w:rsidR="00C806B5" w:rsidP="00DE3575" w:rsidRDefault="00C806B5" w14:paraId="510F98E1" w14:textId="77777777">
            <w:pPr>
              <w:jc w:val="center"/>
              <w:rPr>
                <w:i/>
                <w:iCs/>
              </w:rPr>
            </w:pPr>
            <w:r w:rsidRPr="00CD0D07">
              <w:rPr>
                <w:i/>
                <w:iCs/>
              </w:rPr>
              <w:t>-442,7</w:t>
            </w:r>
          </w:p>
        </w:tc>
      </w:tr>
      <w:tr w:rsidR="00C806B5" w:rsidTr="00DE3575" w14:paraId="00055D9D" w14:textId="77777777">
        <w:trPr>
          <w:trHeight w:val="340"/>
        </w:trPr>
        <w:tc>
          <w:tcPr>
            <w:tcW w:w="1723" w:type="pct"/>
            <w:tcBorders>
              <w:top w:val="single" w:color="auto" w:sz="4" w:space="0"/>
            </w:tcBorders>
            <w:vAlign w:val="center"/>
          </w:tcPr>
          <w:p w:rsidR="00C806B5" w:rsidP="00DE3575" w:rsidRDefault="00C806B5" w14:paraId="74CAC748" w14:textId="77777777">
            <w:r>
              <w:t>WW</w:t>
            </w:r>
          </w:p>
        </w:tc>
        <w:tc>
          <w:tcPr>
            <w:tcW w:w="656" w:type="pct"/>
            <w:tcBorders>
              <w:top w:val="single" w:color="auto" w:sz="4" w:space="0"/>
              <w:left w:val="nil"/>
            </w:tcBorders>
            <w:vAlign w:val="center"/>
          </w:tcPr>
          <w:p w:rsidR="00C806B5" w:rsidP="00DE3575" w:rsidRDefault="00C806B5" w14:paraId="224BFC7C" w14:textId="77777777">
            <w:pPr>
              <w:jc w:val="center"/>
            </w:pPr>
          </w:p>
        </w:tc>
        <w:tc>
          <w:tcPr>
            <w:tcW w:w="656" w:type="pct"/>
            <w:tcBorders>
              <w:top w:val="single" w:color="auto" w:sz="4" w:space="0"/>
            </w:tcBorders>
            <w:vAlign w:val="center"/>
          </w:tcPr>
          <w:p w:rsidR="00C806B5" w:rsidP="00DE3575" w:rsidRDefault="00C806B5" w14:paraId="5821E71B" w14:textId="77777777">
            <w:pPr>
              <w:jc w:val="center"/>
            </w:pPr>
          </w:p>
        </w:tc>
        <w:tc>
          <w:tcPr>
            <w:tcW w:w="655" w:type="pct"/>
            <w:tcBorders>
              <w:top w:val="single" w:color="auto" w:sz="4" w:space="0"/>
            </w:tcBorders>
            <w:vAlign w:val="center"/>
          </w:tcPr>
          <w:p w:rsidR="00C806B5" w:rsidP="00DE3575" w:rsidRDefault="00C806B5" w14:paraId="27ABCA48" w14:textId="77777777">
            <w:pPr>
              <w:jc w:val="center"/>
            </w:pPr>
            <w:r w:rsidRPr="00CD6A45">
              <w:t>-115,2</w:t>
            </w:r>
          </w:p>
        </w:tc>
        <w:tc>
          <w:tcPr>
            <w:tcW w:w="655" w:type="pct"/>
            <w:tcBorders>
              <w:top w:val="single" w:color="auto" w:sz="4" w:space="0"/>
            </w:tcBorders>
            <w:vAlign w:val="center"/>
          </w:tcPr>
          <w:p w:rsidR="00C806B5" w:rsidP="00DE3575" w:rsidRDefault="00C806B5" w14:paraId="047BECF9" w14:textId="77777777">
            <w:pPr>
              <w:jc w:val="center"/>
            </w:pPr>
            <w:r w:rsidRPr="00CD6A45">
              <w:t>-438,5</w:t>
            </w:r>
          </w:p>
        </w:tc>
        <w:tc>
          <w:tcPr>
            <w:tcW w:w="655" w:type="pct"/>
            <w:tcBorders>
              <w:top w:val="single" w:color="auto" w:sz="4" w:space="0"/>
            </w:tcBorders>
            <w:vAlign w:val="center"/>
          </w:tcPr>
          <w:p w:rsidR="00C806B5" w:rsidP="00DE3575" w:rsidRDefault="00C806B5" w14:paraId="213EC481" w14:textId="77777777">
            <w:pPr>
              <w:jc w:val="center"/>
            </w:pPr>
            <w:r w:rsidRPr="00CD6A45">
              <w:t>-453,8</w:t>
            </w:r>
          </w:p>
        </w:tc>
      </w:tr>
      <w:tr w:rsidR="00C806B5" w:rsidTr="00DE3575" w14:paraId="0BE886AB" w14:textId="77777777">
        <w:trPr>
          <w:trHeight w:val="340"/>
        </w:trPr>
        <w:tc>
          <w:tcPr>
            <w:tcW w:w="1723" w:type="pct"/>
            <w:vAlign w:val="center"/>
          </w:tcPr>
          <w:p w:rsidR="00C806B5" w:rsidP="00DE3575" w:rsidRDefault="00C806B5" w14:paraId="68E4EDDB" w14:textId="77777777">
            <w:r>
              <w:t>IOW</w:t>
            </w:r>
          </w:p>
        </w:tc>
        <w:tc>
          <w:tcPr>
            <w:tcW w:w="656" w:type="pct"/>
            <w:tcBorders>
              <w:left w:val="nil"/>
            </w:tcBorders>
            <w:vAlign w:val="center"/>
          </w:tcPr>
          <w:p w:rsidR="00C806B5" w:rsidP="00DE3575" w:rsidRDefault="00C806B5" w14:paraId="3185CFA4" w14:textId="77777777">
            <w:pPr>
              <w:jc w:val="center"/>
            </w:pPr>
          </w:p>
        </w:tc>
        <w:tc>
          <w:tcPr>
            <w:tcW w:w="656" w:type="pct"/>
            <w:vAlign w:val="center"/>
          </w:tcPr>
          <w:p w:rsidR="00C806B5" w:rsidP="00DE3575" w:rsidRDefault="00C806B5" w14:paraId="757B8930" w14:textId="77777777">
            <w:pPr>
              <w:jc w:val="center"/>
            </w:pPr>
          </w:p>
        </w:tc>
        <w:tc>
          <w:tcPr>
            <w:tcW w:w="655" w:type="pct"/>
            <w:vAlign w:val="center"/>
          </w:tcPr>
          <w:p w:rsidR="00C806B5" w:rsidP="00DE3575" w:rsidRDefault="00C806B5" w14:paraId="1F4AE2A3" w14:textId="77777777">
            <w:pPr>
              <w:jc w:val="center"/>
            </w:pPr>
          </w:p>
        </w:tc>
        <w:tc>
          <w:tcPr>
            <w:tcW w:w="655" w:type="pct"/>
            <w:vAlign w:val="center"/>
          </w:tcPr>
          <w:p w:rsidR="00C806B5" w:rsidP="00DE3575" w:rsidRDefault="00C806B5" w14:paraId="16E545C8" w14:textId="77777777">
            <w:pPr>
              <w:jc w:val="center"/>
            </w:pPr>
            <w:r w:rsidRPr="00BB7DE3">
              <w:t>38,1</w:t>
            </w:r>
          </w:p>
        </w:tc>
        <w:tc>
          <w:tcPr>
            <w:tcW w:w="655" w:type="pct"/>
            <w:vAlign w:val="center"/>
          </w:tcPr>
          <w:p w:rsidR="00C806B5" w:rsidP="00DE3575" w:rsidRDefault="00C806B5" w14:paraId="74B2D6D4" w14:textId="77777777">
            <w:pPr>
              <w:jc w:val="center"/>
            </w:pPr>
            <w:r w:rsidRPr="00BB7DE3">
              <w:t>6,5</w:t>
            </w:r>
          </w:p>
        </w:tc>
      </w:tr>
      <w:tr w:rsidR="00C806B5" w:rsidTr="00DE3575" w14:paraId="20670B9E" w14:textId="77777777">
        <w:trPr>
          <w:trHeight w:val="340"/>
        </w:trPr>
        <w:tc>
          <w:tcPr>
            <w:tcW w:w="1723" w:type="pct"/>
            <w:vAlign w:val="center"/>
          </w:tcPr>
          <w:p w:rsidR="00C806B5" w:rsidP="00DE3575" w:rsidRDefault="00C806B5" w14:paraId="72830724" w14:textId="77777777">
            <w:r>
              <w:t>Bijstand</w:t>
            </w:r>
          </w:p>
        </w:tc>
        <w:tc>
          <w:tcPr>
            <w:tcW w:w="656" w:type="pct"/>
            <w:tcBorders>
              <w:left w:val="nil"/>
            </w:tcBorders>
            <w:vAlign w:val="center"/>
          </w:tcPr>
          <w:p w:rsidR="00C806B5" w:rsidP="00DE3575" w:rsidRDefault="00C806B5" w14:paraId="27B5D2B0" w14:textId="77777777">
            <w:pPr>
              <w:jc w:val="center"/>
            </w:pPr>
          </w:p>
        </w:tc>
        <w:tc>
          <w:tcPr>
            <w:tcW w:w="656" w:type="pct"/>
            <w:vAlign w:val="center"/>
          </w:tcPr>
          <w:p w:rsidR="00C806B5" w:rsidP="00DE3575" w:rsidRDefault="00C806B5" w14:paraId="05605EEA" w14:textId="77777777">
            <w:pPr>
              <w:jc w:val="center"/>
            </w:pPr>
          </w:p>
        </w:tc>
        <w:tc>
          <w:tcPr>
            <w:tcW w:w="655" w:type="pct"/>
            <w:vAlign w:val="center"/>
          </w:tcPr>
          <w:p w:rsidR="00C806B5" w:rsidP="00DE3575" w:rsidRDefault="00C806B5" w14:paraId="5D25FA97" w14:textId="77777777">
            <w:pPr>
              <w:jc w:val="center"/>
            </w:pPr>
            <w:r w:rsidRPr="0089247B">
              <w:t>16,2</w:t>
            </w:r>
          </w:p>
        </w:tc>
        <w:tc>
          <w:tcPr>
            <w:tcW w:w="655" w:type="pct"/>
            <w:vAlign w:val="center"/>
          </w:tcPr>
          <w:p w:rsidR="00C806B5" w:rsidP="00DE3575" w:rsidRDefault="00C806B5" w14:paraId="150B6CEB" w14:textId="77777777">
            <w:pPr>
              <w:jc w:val="center"/>
            </w:pPr>
            <w:r w:rsidRPr="0089247B">
              <w:t>61,6</w:t>
            </w:r>
          </w:p>
        </w:tc>
        <w:tc>
          <w:tcPr>
            <w:tcW w:w="655" w:type="pct"/>
            <w:vAlign w:val="center"/>
          </w:tcPr>
          <w:p w:rsidR="00C806B5" w:rsidP="00DE3575" w:rsidRDefault="00C806B5" w14:paraId="725E22B9" w14:textId="77777777">
            <w:pPr>
              <w:jc w:val="center"/>
            </w:pPr>
            <w:r w:rsidRPr="0089247B">
              <w:t>63,7</w:t>
            </w:r>
          </w:p>
        </w:tc>
      </w:tr>
      <w:tr w:rsidR="00C806B5" w:rsidTr="00DE3575" w14:paraId="570B2477" w14:textId="77777777">
        <w:trPr>
          <w:trHeight w:val="340"/>
        </w:trPr>
        <w:tc>
          <w:tcPr>
            <w:tcW w:w="1723" w:type="pct"/>
            <w:vAlign w:val="center"/>
          </w:tcPr>
          <w:p w:rsidR="00C806B5" w:rsidP="00DE3575" w:rsidRDefault="00C806B5" w14:paraId="2C358258" w14:textId="77777777">
            <w:r>
              <w:t>WGA</w:t>
            </w:r>
          </w:p>
        </w:tc>
        <w:tc>
          <w:tcPr>
            <w:tcW w:w="656" w:type="pct"/>
            <w:tcBorders>
              <w:left w:val="nil"/>
            </w:tcBorders>
            <w:vAlign w:val="center"/>
          </w:tcPr>
          <w:p w:rsidR="00C806B5" w:rsidP="00DE3575" w:rsidRDefault="00C806B5" w14:paraId="1BD62A8F" w14:textId="77777777">
            <w:pPr>
              <w:jc w:val="center"/>
            </w:pPr>
          </w:p>
        </w:tc>
        <w:tc>
          <w:tcPr>
            <w:tcW w:w="656" w:type="pct"/>
            <w:vAlign w:val="center"/>
          </w:tcPr>
          <w:p w:rsidR="00C806B5" w:rsidP="00DE3575" w:rsidRDefault="00C806B5" w14:paraId="022B7975" w14:textId="77777777">
            <w:pPr>
              <w:jc w:val="center"/>
            </w:pPr>
          </w:p>
        </w:tc>
        <w:tc>
          <w:tcPr>
            <w:tcW w:w="655" w:type="pct"/>
            <w:vAlign w:val="center"/>
          </w:tcPr>
          <w:p w:rsidR="00C806B5" w:rsidP="00DE3575" w:rsidRDefault="00C806B5" w14:paraId="58DF383F" w14:textId="77777777">
            <w:pPr>
              <w:jc w:val="center"/>
            </w:pPr>
            <w:r w:rsidRPr="00B418A0">
              <w:t>-16,0</w:t>
            </w:r>
          </w:p>
        </w:tc>
        <w:tc>
          <w:tcPr>
            <w:tcW w:w="655" w:type="pct"/>
            <w:vAlign w:val="center"/>
          </w:tcPr>
          <w:p w:rsidR="00C806B5" w:rsidP="00DE3575" w:rsidRDefault="00C806B5" w14:paraId="067DB251" w14:textId="77777777">
            <w:pPr>
              <w:jc w:val="center"/>
            </w:pPr>
            <w:r w:rsidRPr="00B418A0">
              <w:t>-61,6</w:t>
            </w:r>
          </w:p>
        </w:tc>
        <w:tc>
          <w:tcPr>
            <w:tcW w:w="655" w:type="pct"/>
            <w:vAlign w:val="center"/>
          </w:tcPr>
          <w:p w:rsidR="00C806B5" w:rsidP="00DE3575" w:rsidRDefault="00C806B5" w14:paraId="1F2E8759" w14:textId="77777777">
            <w:pPr>
              <w:jc w:val="center"/>
            </w:pPr>
            <w:r w:rsidRPr="00B418A0">
              <w:t>-61,2</w:t>
            </w:r>
          </w:p>
        </w:tc>
      </w:tr>
      <w:tr w:rsidR="00C806B5" w:rsidTr="00DE3575" w14:paraId="42DD4085" w14:textId="77777777">
        <w:trPr>
          <w:trHeight w:val="340"/>
        </w:trPr>
        <w:tc>
          <w:tcPr>
            <w:tcW w:w="1723" w:type="pct"/>
            <w:vAlign w:val="center"/>
          </w:tcPr>
          <w:p w:rsidR="00C806B5" w:rsidP="00DE3575" w:rsidRDefault="00C806B5" w14:paraId="6182DFD7" w14:textId="77777777">
            <w:r>
              <w:t>TW</w:t>
            </w:r>
          </w:p>
        </w:tc>
        <w:tc>
          <w:tcPr>
            <w:tcW w:w="656" w:type="pct"/>
            <w:tcBorders>
              <w:left w:val="nil"/>
            </w:tcBorders>
            <w:vAlign w:val="center"/>
          </w:tcPr>
          <w:p w:rsidR="00C806B5" w:rsidP="00DE3575" w:rsidRDefault="00C806B5" w14:paraId="74D2298C" w14:textId="77777777">
            <w:pPr>
              <w:jc w:val="center"/>
            </w:pPr>
          </w:p>
        </w:tc>
        <w:tc>
          <w:tcPr>
            <w:tcW w:w="656" w:type="pct"/>
            <w:vAlign w:val="center"/>
          </w:tcPr>
          <w:p w:rsidR="00C806B5" w:rsidP="00DE3575" w:rsidRDefault="00C806B5" w14:paraId="3D90D606" w14:textId="77777777">
            <w:pPr>
              <w:jc w:val="center"/>
            </w:pPr>
          </w:p>
        </w:tc>
        <w:tc>
          <w:tcPr>
            <w:tcW w:w="655" w:type="pct"/>
            <w:vAlign w:val="center"/>
          </w:tcPr>
          <w:p w:rsidR="00C806B5" w:rsidP="00DE3575" w:rsidRDefault="00C806B5" w14:paraId="786F68E3" w14:textId="77777777">
            <w:pPr>
              <w:jc w:val="center"/>
            </w:pPr>
            <w:r w:rsidRPr="00DE2D7F">
              <w:t>0,2</w:t>
            </w:r>
          </w:p>
        </w:tc>
        <w:tc>
          <w:tcPr>
            <w:tcW w:w="655" w:type="pct"/>
            <w:vAlign w:val="center"/>
          </w:tcPr>
          <w:p w:rsidR="00C806B5" w:rsidP="00DE3575" w:rsidRDefault="00C806B5" w14:paraId="6517BBF5" w14:textId="77777777">
            <w:pPr>
              <w:jc w:val="center"/>
            </w:pPr>
            <w:r w:rsidRPr="00DE2D7F">
              <w:t>0,7</w:t>
            </w:r>
          </w:p>
        </w:tc>
        <w:tc>
          <w:tcPr>
            <w:tcW w:w="655" w:type="pct"/>
            <w:vAlign w:val="center"/>
          </w:tcPr>
          <w:p w:rsidR="00C806B5" w:rsidP="00DE3575" w:rsidRDefault="00C806B5" w14:paraId="5A928AA2" w14:textId="77777777">
            <w:pPr>
              <w:jc w:val="center"/>
            </w:pPr>
            <w:r w:rsidRPr="00DE2D7F">
              <w:t>0,5</w:t>
            </w:r>
          </w:p>
        </w:tc>
      </w:tr>
      <w:tr w:rsidR="00C806B5" w:rsidTr="00DE3575" w14:paraId="4E64AE28" w14:textId="77777777">
        <w:trPr>
          <w:trHeight w:val="340"/>
        </w:trPr>
        <w:tc>
          <w:tcPr>
            <w:tcW w:w="1723" w:type="pct"/>
            <w:vAlign w:val="center"/>
          </w:tcPr>
          <w:p w:rsidR="00C806B5" w:rsidP="00DE3575" w:rsidRDefault="00C806B5" w14:paraId="3D00F5B9" w14:textId="77777777">
            <w:r>
              <w:t>Uitvoeringskosten UWV</w:t>
            </w:r>
          </w:p>
        </w:tc>
        <w:tc>
          <w:tcPr>
            <w:tcW w:w="656" w:type="pct"/>
            <w:tcBorders>
              <w:left w:val="nil"/>
            </w:tcBorders>
            <w:vAlign w:val="center"/>
          </w:tcPr>
          <w:p w:rsidR="00C806B5" w:rsidP="00DE3575" w:rsidRDefault="00C806B5" w14:paraId="68DF9804" w14:textId="77777777">
            <w:pPr>
              <w:jc w:val="center"/>
            </w:pPr>
            <w:r w:rsidRPr="004A2CCE">
              <w:t>5,0</w:t>
            </w:r>
          </w:p>
        </w:tc>
        <w:tc>
          <w:tcPr>
            <w:tcW w:w="656" w:type="pct"/>
            <w:vAlign w:val="center"/>
          </w:tcPr>
          <w:p w:rsidR="00C806B5" w:rsidP="00DE3575" w:rsidRDefault="00C806B5" w14:paraId="64D7BB2D" w14:textId="77777777">
            <w:pPr>
              <w:jc w:val="center"/>
            </w:pPr>
          </w:p>
        </w:tc>
        <w:tc>
          <w:tcPr>
            <w:tcW w:w="655" w:type="pct"/>
            <w:vAlign w:val="center"/>
          </w:tcPr>
          <w:p w:rsidR="00C806B5" w:rsidP="00DE3575" w:rsidRDefault="00C806B5" w14:paraId="43349280" w14:textId="77777777">
            <w:pPr>
              <w:jc w:val="center"/>
            </w:pPr>
            <w:r w:rsidRPr="004A2CCE">
              <w:t>-2,2</w:t>
            </w:r>
          </w:p>
        </w:tc>
        <w:tc>
          <w:tcPr>
            <w:tcW w:w="655" w:type="pct"/>
            <w:vAlign w:val="center"/>
          </w:tcPr>
          <w:p w:rsidR="00C806B5" w:rsidP="00DE3575" w:rsidRDefault="00C806B5" w14:paraId="52E51A95" w14:textId="77777777">
            <w:pPr>
              <w:jc w:val="center"/>
            </w:pPr>
            <w:r w:rsidRPr="004A2CCE">
              <w:t>-8,3</w:t>
            </w:r>
          </w:p>
        </w:tc>
        <w:tc>
          <w:tcPr>
            <w:tcW w:w="655" w:type="pct"/>
            <w:vAlign w:val="center"/>
          </w:tcPr>
          <w:p w:rsidR="00C806B5" w:rsidP="00DE3575" w:rsidRDefault="00C806B5" w14:paraId="3A39970D" w14:textId="77777777">
            <w:pPr>
              <w:jc w:val="center"/>
            </w:pPr>
            <w:r w:rsidRPr="004A2CCE">
              <w:t>-8,6</w:t>
            </w:r>
          </w:p>
        </w:tc>
      </w:tr>
      <w:tr w:rsidR="00C806B5" w:rsidTr="00DE3575" w14:paraId="6B913757" w14:textId="77777777">
        <w:trPr>
          <w:trHeight w:val="340"/>
        </w:trPr>
        <w:tc>
          <w:tcPr>
            <w:tcW w:w="1723" w:type="pct"/>
            <w:tcBorders>
              <w:bottom w:val="single" w:color="auto" w:sz="4" w:space="0"/>
            </w:tcBorders>
            <w:vAlign w:val="center"/>
          </w:tcPr>
          <w:p w:rsidR="00C806B5" w:rsidP="00DE3575" w:rsidRDefault="00C806B5" w14:paraId="077A059C" w14:textId="77777777">
            <w:r>
              <w:t>Uitvoeringskosten gemeente</w:t>
            </w:r>
          </w:p>
        </w:tc>
        <w:tc>
          <w:tcPr>
            <w:tcW w:w="656" w:type="pct"/>
            <w:tcBorders>
              <w:left w:val="nil"/>
              <w:bottom w:val="single" w:color="auto" w:sz="4" w:space="0"/>
            </w:tcBorders>
            <w:vAlign w:val="center"/>
          </w:tcPr>
          <w:p w:rsidR="00C806B5" w:rsidP="00DE3575" w:rsidRDefault="00C806B5" w14:paraId="6F35D350" w14:textId="77777777">
            <w:pPr>
              <w:jc w:val="center"/>
            </w:pPr>
          </w:p>
        </w:tc>
        <w:tc>
          <w:tcPr>
            <w:tcW w:w="656" w:type="pct"/>
            <w:tcBorders>
              <w:bottom w:val="single" w:color="auto" w:sz="4" w:space="0"/>
            </w:tcBorders>
            <w:vAlign w:val="center"/>
          </w:tcPr>
          <w:p w:rsidR="00C806B5" w:rsidP="00DE3575" w:rsidRDefault="00C806B5" w14:paraId="7EF89341" w14:textId="77777777">
            <w:pPr>
              <w:jc w:val="center"/>
            </w:pPr>
          </w:p>
        </w:tc>
        <w:tc>
          <w:tcPr>
            <w:tcW w:w="655" w:type="pct"/>
            <w:tcBorders>
              <w:bottom w:val="single" w:color="auto" w:sz="4" w:space="0"/>
            </w:tcBorders>
            <w:vAlign w:val="center"/>
          </w:tcPr>
          <w:p w:rsidR="00C806B5" w:rsidP="00DE3575" w:rsidRDefault="00C806B5" w14:paraId="213613BC" w14:textId="77777777">
            <w:pPr>
              <w:jc w:val="center"/>
            </w:pPr>
            <w:r w:rsidRPr="005A1A44">
              <w:t>2,6</w:t>
            </w:r>
          </w:p>
        </w:tc>
        <w:tc>
          <w:tcPr>
            <w:tcW w:w="655" w:type="pct"/>
            <w:tcBorders>
              <w:bottom w:val="single" w:color="auto" w:sz="4" w:space="0"/>
            </w:tcBorders>
            <w:vAlign w:val="center"/>
          </w:tcPr>
          <w:p w:rsidR="00C806B5" w:rsidP="00DE3575" w:rsidRDefault="00C806B5" w14:paraId="329FD529" w14:textId="77777777">
            <w:pPr>
              <w:jc w:val="center"/>
            </w:pPr>
            <w:r w:rsidRPr="005A1A44">
              <w:t>10,0</w:t>
            </w:r>
          </w:p>
        </w:tc>
        <w:tc>
          <w:tcPr>
            <w:tcW w:w="655" w:type="pct"/>
            <w:tcBorders>
              <w:bottom w:val="single" w:color="auto" w:sz="4" w:space="0"/>
            </w:tcBorders>
            <w:vAlign w:val="center"/>
          </w:tcPr>
          <w:p w:rsidR="00C806B5" w:rsidP="00DE3575" w:rsidRDefault="00C806B5" w14:paraId="38C152C6" w14:textId="77777777">
            <w:pPr>
              <w:jc w:val="center"/>
            </w:pPr>
            <w:r w:rsidRPr="005A1A44">
              <w:t>10,3</w:t>
            </w:r>
          </w:p>
        </w:tc>
      </w:tr>
    </w:tbl>
    <w:p w:rsidRPr="00C5308E" w:rsidR="0056088B" w:rsidP="0056088B" w:rsidRDefault="0056088B" w14:paraId="52E30223" w14:textId="77777777">
      <w:pPr>
        <w:spacing w:after="0" w:line="240" w:lineRule="auto"/>
        <w:contextualSpacing/>
        <w:rPr>
          <w:rFonts w:ascii="Verdana" w:hAnsi="Verdana"/>
          <w:bCs/>
          <w:sz w:val="18"/>
          <w:szCs w:val="18"/>
          <w:u w:val="single"/>
        </w:rPr>
      </w:pPr>
    </w:p>
    <w:p w:rsidRPr="00C5308E" w:rsidR="00720C2B" w:rsidP="00D87753" w:rsidRDefault="00720C2B" w14:paraId="614A0912" w14:textId="675A36F2">
      <w:pPr>
        <w:spacing w:after="0" w:line="240" w:lineRule="auto"/>
        <w:contextualSpacing/>
        <w:rPr>
          <w:rFonts w:ascii="Verdana" w:hAnsi="Verdana"/>
          <w:bCs/>
          <w:sz w:val="18"/>
          <w:szCs w:val="18"/>
          <w:u w:val="single"/>
        </w:rPr>
      </w:pPr>
      <w:r w:rsidRPr="00C5308E">
        <w:rPr>
          <w:rFonts w:ascii="Verdana" w:hAnsi="Verdana"/>
          <w:bCs/>
          <w:sz w:val="18"/>
          <w:szCs w:val="18"/>
          <w:u w:val="single"/>
        </w:rPr>
        <w:t>Vraag 100</w:t>
      </w:r>
    </w:p>
    <w:p w:rsidRPr="00C5308E" w:rsidR="00720C2B" w:rsidP="00D87753" w:rsidRDefault="00720C2B" w14:paraId="704ADE30" w14:textId="77777777">
      <w:pPr>
        <w:spacing w:after="0" w:line="240" w:lineRule="auto"/>
        <w:contextualSpacing/>
        <w:rPr>
          <w:rFonts w:ascii="Verdana" w:hAnsi="Verdana"/>
          <w:bCs/>
          <w:sz w:val="18"/>
          <w:szCs w:val="18"/>
        </w:rPr>
      </w:pPr>
      <w:r w:rsidRPr="00C5308E">
        <w:rPr>
          <w:rFonts w:ascii="Verdana" w:hAnsi="Verdana"/>
          <w:bCs/>
          <w:sz w:val="18"/>
          <w:szCs w:val="18"/>
        </w:rPr>
        <w:t>100. Welke tegemoetkoming voor arbeidsongeschikte zzp'ers die een inkomenshiaat hebben wordt niet doorgezet? Over wat voor bedragen gaat dit voor de begroting en voor mensen?</w:t>
      </w:r>
    </w:p>
    <w:p w:rsidRPr="00C5308E" w:rsidR="00720C2B" w:rsidP="00D87753" w:rsidRDefault="00720C2B" w14:paraId="033AD1CD" w14:textId="77777777">
      <w:pPr>
        <w:spacing w:after="0" w:line="240" w:lineRule="auto"/>
        <w:contextualSpacing/>
        <w:rPr>
          <w:rFonts w:ascii="Verdana" w:hAnsi="Verdana"/>
          <w:bCs/>
          <w:sz w:val="18"/>
          <w:szCs w:val="18"/>
        </w:rPr>
      </w:pPr>
    </w:p>
    <w:p w:rsidRPr="00C5308E" w:rsidR="00720C2B" w:rsidP="00D87753" w:rsidRDefault="00720C2B" w14:paraId="028F4A6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100</w:t>
      </w:r>
    </w:p>
    <w:p w:rsidRPr="00C5308E" w:rsidR="00720C2B" w:rsidP="00D87753" w:rsidRDefault="00720C2B" w14:paraId="1A828029" w14:textId="1522AD01">
      <w:pPr>
        <w:spacing w:after="0" w:line="240" w:lineRule="auto"/>
        <w:contextualSpacing/>
        <w:rPr>
          <w:rFonts w:ascii="Verdana" w:hAnsi="Verdana"/>
          <w:bCs/>
          <w:sz w:val="18"/>
          <w:szCs w:val="18"/>
        </w:rPr>
      </w:pPr>
      <w:r w:rsidRPr="00C5308E">
        <w:rPr>
          <w:rFonts w:ascii="Verdana" w:hAnsi="Verdana"/>
          <w:bCs/>
          <w:sz w:val="18"/>
          <w:szCs w:val="18"/>
        </w:rPr>
        <w:t>In de SZW begroting was naar aanleiding van de aangenomen motie van Kent</w:t>
      </w:r>
      <w:r w:rsidRPr="00C5308E" w:rsidR="00B504A7">
        <w:rPr>
          <w:rFonts w:ascii="Verdana" w:hAnsi="Verdana"/>
          <w:bCs/>
          <w:sz w:val="18"/>
          <w:szCs w:val="18"/>
        </w:rPr>
        <w:t xml:space="preserve"> (</w:t>
      </w:r>
      <w:r w:rsidRPr="00C5308E" w:rsidR="00B504A7">
        <w:rPr>
          <w:rFonts w:ascii="Verdana" w:hAnsi="Verdana"/>
          <w:sz w:val="18"/>
          <w:szCs w:val="18"/>
        </w:rPr>
        <w:t>Kamerstukken</w:t>
      </w:r>
      <w:r w:rsidRPr="00C5308E" w:rsidR="00FE4028">
        <w:rPr>
          <w:rFonts w:ascii="Verdana" w:hAnsi="Verdana"/>
          <w:sz w:val="18"/>
          <w:szCs w:val="18"/>
        </w:rPr>
        <w:t xml:space="preserve"> II</w:t>
      </w:r>
      <w:r w:rsidRPr="00C5308E" w:rsidR="00B504A7">
        <w:rPr>
          <w:rFonts w:ascii="Verdana" w:hAnsi="Verdana"/>
          <w:sz w:val="18"/>
          <w:szCs w:val="18"/>
        </w:rPr>
        <w:t>, 2023</w:t>
      </w:r>
      <w:r w:rsidRPr="00C5308E" w:rsidR="00FE4028">
        <w:rPr>
          <w:rFonts w:ascii="Verdana" w:hAnsi="Verdana"/>
          <w:sz w:val="18"/>
          <w:szCs w:val="18"/>
        </w:rPr>
        <w:t>/</w:t>
      </w:r>
      <w:r w:rsidRPr="00C5308E" w:rsidR="00B504A7">
        <w:rPr>
          <w:rFonts w:ascii="Verdana" w:hAnsi="Verdana"/>
          <w:sz w:val="18"/>
          <w:szCs w:val="18"/>
        </w:rPr>
        <w:t>2024, 32 043, nr. 635)</w:t>
      </w:r>
      <w:r w:rsidRPr="00C5308E">
        <w:rPr>
          <w:rFonts w:ascii="Verdana" w:hAnsi="Verdana"/>
          <w:bCs/>
          <w:sz w:val="18"/>
          <w:szCs w:val="18"/>
        </w:rPr>
        <w:t xml:space="preserve"> een reservering getroffen van € 24,5 miljoen in 2025 voor een mogelijke tegemoetkoming voor een groep arbeidsongeschikte zzp'ers. De motie riep op een regeling te treffen voor de groep zelfstandigen die per 1 januari 2013 een private arbeidsongeschiktheidsuitkering (AOV) ontvangt en door de verhoging van de AOW-leeftijd een gat heeft tussen de duur van de verzekering en de ingang van de AOW. Met de Kamerbrief van 15 april jl.</w:t>
      </w:r>
      <w:r w:rsidRPr="00C5308E" w:rsidR="00B504A7">
        <w:rPr>
          <w:rFonts w:ascii="Verdana" w:hAnsi="Verdana"/>
          <w:bCs/>
          <w:sz w:val="18"/>
          <w:szCs w:val="18"/>
        </w:rPr>
        <w:t xml:space="preserve"> </w:t>
      </w:r>
      <w:r w:rsidRPr="00C5308E" w:rsidR="00B504A7">
        <w:rPr>
          <w:rFonts w:ascii="Verdana" w:hAnsi="Verdana"/>
          <w:sz w:val="18"/>
          <w:szCs w:val="18"/>
        </w:rPr>
        <w:t>(Kamerstukken</w:t>
      </w:r>
      <w:r w:rsidRPr="00C5308E" w:rsidR="00FE4028">
        <w:rPr>
          <w:rFonts w:ascii="Verdana" w:hAnsi="Verdana"/>
          <w:sz w:val="18"/>
          <w:szCs w:val="18"/>
        </w:rPr>
        <w:t xml:space="preserve"> II</w:t>
      </w:r>
      <w:r w:rsidRPr="00C5308E" w:rsidR="00B504A7">
        <w:rPr>
          <w:rFonts w:ascii="Verdana" w:hAnsi="Verdana"/>
          <w:sz w:val="18"/>
          <w:szCs w:val="18"/>
        </w:rPr>
        <w:t>, 2024</w:t>
      </w:r>
      <w:r w:rsidRPr="00C5308E" w:rsidR="00FE4028">
        <w:rPr>
          <w:rFonts w:ascii="Verdana" w:hAnsi="Verdana"/>
          <w:sz w:val="18"/>
          <w:szCs w:val="18"/>
        </w:rPr>
        <w:t>/</w:t>
      </w:r>
      <w:r w:rsidRPr="00C5308E" w:rsidR="00B504A7">
        <w:rPr>
          <w:rFonts w:ascii="Verdana" w:hAnsi="Verdana"/>
          <w:sz w:val="18"/>
          <w:szCs w:val="18"/>
        </w:rPr>
        <w:t>2025, 32043, nr. 683)</w:t>
      </w:r>
      <w:r w:rsidRPr="00C5308E">
        <w:rPr>
          <w:rFonts w:ascii="Verdana" w:hAnsi="Verdana"/>
          <w:bCs/>
          <w:sz w:val="18"/>
          <w:szCs w:val="18"/>
        </w:rPr>
        <w:t xml:space="preserve"> heb ik uw Kamer geïnformeerd de betreffende groep niet met een eenmalige passende regeling tegemoetgekomen kan worden zonder precedentwerking, zoals de motie vraagt. </w:t>
      </w:r>
    </w:p>
    <w:p w:rsidRPr="00C5308E" w:rsidR="00720C2B" w:rsidP="00D87753" w:rsidRDefault="00720C2B" w14:paraId="6AEB0FB2" w14:textId="77777777">
      <w:pPr>
        <w:spacing w:after="0" w:line="240" w:lineRule="auto"/>
        <w:contextualSpacing/>
        <w:rPr>
          <w:rFonts w:ascii="Verdana" w:hAnsi="Verdana"/>
          <w:bCs/>
          <w:sz w:val="18"/>
          <w:szCs w:val="18"/>
        </w:rPr>
      </w:pPr>
    </w:p>
    <w:p w:rsidRPr="00C5308E" w:rsidR="00720C2B" w:rsidP="00D87753" w:rsidRDefault="00720C2B" w14:paraId="5F63E12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101</w:t>
      </w:r>
    </w:p>
    <w:p w:rsidRPr="00C5308E" w:rsidR="00720C2B" w:rsidP="00D87753" w:rsidRDefault="00720C2B" w14:paraId="15C1FD00" w14:textId="77777777">
      <w:pPr>
        <w:spacing w:after="0" w:line="240" w:lineRule="auto"/>
        <w:contextualSpacing/>
        <w:rPr>
          <w:rFonts w:ascii="Verdana" w:hAnsi="Verdana"/>
          <w:bCs/>
          <w:sz w:val="18"/>
          <w:szCs w:val="18"/>
        </w:rPr>
      </w:pPr>
      <w:r w:rsidRPr="00C5308E">
        <w:rPr>
          <w:rFonts w:ascii="Verdana" w:hAnsi="Verdana"/>
          <w:bCs/>
          <w:sz w:val="18"/>
          <w:szCs w:val="18"/>
        </w:rPr>
        <w:t>Waarom komt de reservering gemaakt voor de aanpak van problematische schulden naar aanleiding van het IBO te vervallen? Waar worden deze middelen nu voor gebruikt? Komen deze middelen vrij?</w:t>
      </w:r>
    </w:p>
    <w:p w:rsidRPr="00C5308E" w:rsidR="00720C2B" w:rsidP="00D87753" w:rsidRDefault="00720C2B" w14:paraId="4E139C53" w14:textId="77777777">
      <w:pPr>
        <w:spacing w:after="0" w:line="240" w:lineRule="auto"/>
        <w:contextualSpacing/>
        <w:rPr>
          <w:rFonts w:ascii="Verdana" w:hAnsi="Verdana"/>
          <w:bCs/>
          <w:sz w:val="18"/>
          <w:szCs w:val="18"/>
        </w:rPr>
      </w:pPr>
    </w:p>
    <w:p w:rsidRPr="00C5308E" w:rsidR="00720C2B" w:rsidP="00D87753" w:rsidRDefault="00720C2B" w14:paraId="6161064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101</w:t>
      </w:r>
    </w:p>
    <w:p w:rsidRPr="00C5308E" w:rsidR="00720C2B" w:rsidP="00D87753" w:rsidRDefault="00720C2B" w14:paraId="6239A6E1" w14:textId="77777777">
      <w:pPr>
        <w:spacing w:after="0" w:line="240" w:lineRule="auto"/>
        <w:contextualSpacing/>
        <w:rPr>
          <w:rFonts w:ascii="Verdana" w:hAnsi="Verdana"/>
          <w:bCs/>
          <w:sz w:val="18"/>
          <w:szCs w:val="18"/>
        </w:rPr>
      </w:pPr>
      <w:r w:rsidRPr="00C5308E">
        <w:rPr>
          <w:rFonts w:ascii="Verdana" w:hAnsi="Verdana"/>
          <w:bCs/>
          <w:sz w:val="18"/>
          <w:szCs w:val="18"/>
        </w:rPr>
        <w:t>De middelen vanaf 2029 voor de aanpak van problematisch schulden zijn ingezet om de problematiek op de SZW-begroting in algemene zin van dekking te voorzien. Dit is niet toe te wijzen aan een specifieke tegenvaller of beleidsdossier. De middelen zijn dus niet vrij beschikbaar.</w:t>
      </w:r>
    </w:p>
    <w:p w:rsidRPr="00C5308E" w:rsidR="00720C2B" w:rsidP="00D87753" w:rsidRDefault="00720C2B" w14:paraId="2A3C1E51" w14:textId="77777777">
      <w:pPr>
        <w:spacing w:line="240" w:lineRule="auto"/>
        <w:contextualSpacing/>
        <w:rPr>
          <w:rFonts w:ascii="Verdana" w:hAnsi="Verdana"/>
          <w:bCs/>
          <w:sz w:val="18"/>
          <w:szCs w:val="18"/>
        </w:rPr>
      </w:pPr>
    </w:p>
    <w:p w:rsidRPr="00C5308E" w:rsidR="00D117F7" w:rsidP="00D87753" w:rsidRDefault="00D117F7" w14:paraId="72114C9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102</w:t>
      </w:r>
    </w:p>
    <w:p w:rsidR="00D117F7" w:rsidP="00D87753" w:rsidRDefault="00D117F7" w14:paraId="1CB3475F" w14:textId="77777777">
      <w:pPr>
        <w:spacing w:after="0" w:line="240" w:lineRule="auto"/>
        <w:contextualSpacing/>
        <w:rPr>
          <w:rFonts w:ascii="Verdana" w:hAnsi="Verdana"/>
          <w:bCs/>
          <w:sz w:val="18"/>
          <w:szCs w:val="18"/>
        </w:rPr>
      </w:pPr>
      <w:bookmarkStart w:name="_Hlk198902117" w:id="9"/>
      <w:r w:rsidRPr="00C5308E">
        <w:rPr>
          <w:rFonts w:ascii="Verdana" w:hAnsi="Verdana"/>
          <w:bCs/>
          <w:sz w:val="18"/>
          <w:szCs w:val="18"/>
        </w:rPr>
        <w:t>Kunt u een overzicht geven van de niet-juridisch verplichte onverdeelde reserveringen die volgens artikel 99 nog te verdelen zijn voor het aankomende jaar?</w:t>
      </w:r>
    </w:p>
    <w:p w:rsidRPr="00C5308E" w:rsidR="00972542" w:rsidP="00D87753" w:rsidRDefault="00972542" w14:paraId="2F46E7A0" w14:textId="77777777">
      <w:pPr>
        <w:spacing w:after="0" w:line="240" w:lineRule="auto"/>
        <w:contextualSpacing/>
        <w:rPr>
          <w:rFonts w:ascii="Verdana" w:hAnsi="Verdana"/>
          <w:bCs/>
          <w:sz w:val="18"/>
          <w:szCs w:val="18"/>
        </w:rPr>
      </w:pPr>
    </w:p>
    <w:bookmarkEnd w:id="9"/>
    <w:p w:rsidRPr="00C5308E" w:rsidR="00D117F7" w:rsidP="00D87753" w:rsidRDefault="00D117F7" w14:paraId="24C5C22F" w14:textId="77777777">
      <w:pPr>
        <w:spacing w:after="0" w:line="240" w:lineRule="auto"/>
        <w:contextualSpacing/>
        <w:rPr>
          <w:rFonts w:ascii="Verdana" w:hAnsi="Verdana"/>
          <w:bCs/>
          <w:sz w:val="18"/>
          <w:szCs w:val="18"/>
        </w:rPr>
      </w:pPr>
    </w:p>
    <w:p w:rsidRPr="00C5308E" w:rsidR="00D117F7" w:rsidP="00D87753" w:rsidRDefault="00D117F7" w14:paraId="51B7412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102</w:t>
      </w:r>
    </w:p>
    <w:p w:rsidRPr="00C5308E" w:rsidR="00D117F7" w:rsidP="00D87753" w:rsidRDefault="00D117F7" w14:paraId="7E4BDC05" w14:textId="77777777">
      <w:pPr>
        <w:spacing w:after="0" w:line="240" w:lineRule="auto"/>
        <w:contextualSpacing/>
        <w:rPr>
          <w:rFonts w:ascii="Verdana" w:hAnsi="Verdana"/>
          <w:bCs/>
          <w:sz w:val="18"/>
          <w:szCs w:val="18"/>
        </w:rPr>
      </w:pPr>
      <w:r w:rsidRPr="00C5308E">
        <w:rPr>
          <w:rFonts w:ascii="Verdana" w:hAnsi="Verdana"/>
          <w:bCs/>
          <w:sz w:val="18"/>
          <w:szCs w:val="18"/>
        </w:rPr>
        <w:t>Onderstaand is een overzicht weergegeven van de niet-juridische verplichte onderverdeelde reserveringen van artikel 99 voor het jaar 2025.</w:t>
      </w:r>
    </w:p>
    <w:tbl>
      <w:tblPr>
        <w:tblW w:w="9700" w:type="dxa"/>
        <w:tblCellMar>
          <w:left w:w="70" w:type="dxa"/>
          <w:right w:w="70" w:type="dxa"/>
        </w:tblCellMar>
        <w:tblLook w:val="04A0" w:firstRow="1" w:lastRow="0" w:firstColumn="1" w:lastColumn="0" w:noHBand="0" w:noVBand="1"/>
      </w:tblPr>
      <w:tblGrid>
        <w:gridCol w:w="7960"/>
        <w:gridCol w:w="1740"/>
      </w:tblGrid>
      <w:tr w:rsidRPr="00C5308E" w:rsidR="00D117F7" w:rsidTr="003C75FE" w14:paraId="5448E9C8" w14:textId="77777777">
        <w:trPr>
          <w:trHeight w:val="225"/>
        </w:trPr>
        <w:tc>
          <w:tcPr>
            <w:tcW w:w="7960" w:type="dxa"/>
            <w:tcBorders>
              <w:top w:val="nil"/>
              <w:left w:val="nil"/>
              <w:bottom w:val="single" w:color="auto" w:sz="4" w:space="0"/>
              <w:right w:val="nil"/>
            </w:tcBorders>
            <w:shd w:val="clear" w:color="auto" w:fill="auto"/>
            <w:noWrap/>
            <w:vAlign w:val="bottom"/>
            <w:hideMark/>
          </w:tcPr>
          <w:p w:rsidRPr="00C5308E" w:rsidR="00D117F7" w:rsidP="00D87753" w:rsidRDefault="00D117F7" w14:paraId="466E85AC"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w:t>
            </w:r>
          </w:p>
        </w:tc>
        <w:tc>
          <w:tcPr>
            <w:tcW w:w="1740" w:type="dxa"/>
            <w:tcBorders>
              <w:top w:val="nil"/>
              <w:left w:val="nil"/>
              <w:bottom w:val="single" w:color="auto" w:sz="4" w:space="0"/>
              <w:right w:val="nil"/>
            </w:tcBorders>
            <w:shd w:val="clear" w:color="auto" w:fill="auto"/>
            <w:noWrap/>
            <w:vAlign w:val="bottom"/>
            <w:hideMark/>
          </w:tcPr>
          <w:p w:rsidRPr="00C5308E" w:rsidR="00D117F7" w:rsidP="00D87753" w:rsidRDefault="00D117F7" w14:paraId="190AF440" w14:textId="23A70F44">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Bedrag (</w:t>
            </w:r>
            <w:r w:rsidRPr="00C5308E" w:rsidR="00B504A7">
              <w:rPr>
                <w:rFonts w:ascii="Verdana" w:hAnsi="Verdana" w:eastAsia="Times New Roman" w:cs="Times New Roman"/>
                <w:bCs/>
                <w:color w:val="000000"/>
                <w:sz w:val="18"/>
                <w:szCs w:val="18"/>
                <w:lang w:eastAsia="nl-NL"/>
              </w:rPr>
              <w:t xml:space="preserve">x </w:t>
            </w:r>
            <w:r w:rsidRPr="00C5308E">
              <w:rPr>
                <w:rFonts w:ascii="Verdana" w:hAnsi="Verdana" w:eastAsia="Times New Roman" w:cs="Times New Roman"/>
                <w:bCs/>
                <w:color w:val="000000"/>
                <w:sz w:val="18"/>
                <w:szCs w:val="18"/>
                <w:lang w:eastAsia="nl-NL"/>
              </w:rPr>
              <w:t>€</w:t>
            </w:r>
            <w:r w:rsidRPr="00C5308E" w:rsidR="00B504A7">
              <w:rPr>
                <w:rFonts w:ascii="Verdana" w:hAnsi="Verdana" w:eastAsia="Times New Roman" w:cs="Times New Roman"/>
                <w:bCs/>
                <w:color w:val="000000"/>
                <w:sz w:val="18"/>
                <w:szCs w:val="18"/>
                <w:lang w:eastAsia="nl-NL"/>
              </w:rPr>
              <w:t xml:space="preserve"> mln.</w:t>
            </w:r>
            <w:r w:rsidRPr="00C5308E">
              <w:rPr>
                <w:rFonts w:ascii="Verdana" w:hAnsi="Verdana" w:eastAsia="Times New Roman" w:cs="Times New Roman"/>
                <w:bCs/>
                <w:color w:val="000000"/>
                <w:sz w:val="18"/>
                <w:szCs w:val="18"/>
                <w:lang w:eastAsia="nl-NL"/>
              </w:rPr>
              <w:t>)</w:t>
            </w:r>
          </w:p>
        </w:tc>
      </w:tr>
      <w:tr w:rsidRPr="00C5308E" w:rsidR="00D117F7" w:rsidTr="003C75FE" w14:paraId="17BC87DA"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0C3D6FC8"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uitvoeringskosten voor wetgeving omtrent ZZP'ers</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2BF6022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1,000</w:t>
            </w:r>
          </w:p>
        </w:tc>
      </w:tr>
      <w:tr w:rsidRPr="00C5308E" w:rsidR="00D117F7" w:rsidTr="003C75FE" w14:paraId="128C93BE" w14:textId="77777777">
        <w:trPr>
          <w:trHeight w:val="450"/>
        </w:trPr>
        <w:tc>
          <w:tcPr>
            <w:tcW w:w="7960" w:type="dxa"/>
            <w:tcBorders>
              <w:top w:val="nil"/>
              <w:left w:val="nil"/>
              <w:bottom w:val="nil"/>
              <w:right w:val="nil"/>
            </w:tcBorders>
            <w:shd w:val="clear" w:color="auto" w:fill="auto"/>
            <w:vAlign w:val="bottom"/>
            <w:hideMark/>
          </w:tcPr>
          <w:p w:rsidRPr="00C5308E" w:rsidR="00D117F7" w:rsidP="00D87753" w:rsidRDefault="00D117F7" w14:paraId="36B48432"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Reservering voor het bruteren van kwijtgescholden schulden i.h.k.v. hersteloperatie </w:t>
            </w:r>
          </w:p>
          <w:p w:rsidRPr="00C5308E" w:rsidR="00D117F7" w:rsidP="00D87753" w:rsidRDefault="00903729" w14:paraId="46404F60" w14:textId="74A8195E">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 </w:t>
            </w:r>
            <w:r w:rsidRPr="00C5308E" w:rsidR="00D117F7">
              <w:rPr>
                <w:rFonts w:ascii="Verdana" w:hAnsi="Verdana" w:eastAsia="Times New Roman" w:cs="Times New Roman"/>
                <w:bCs/>
                <w:color w:val="000000"/>
                <w:sz w:val="18"/>
                <w:szCs w:val="18"/>
                <w:lang w:eastAsia="nl-NL"/>
              </w:rPr>
              <w:t xml:space="preserve"> Kinderopvang Toeslagenaffaire</w:t>
            </w:r>
          </w:p>
        </w:tc>
        <w:tc>
          <w:tcPr>
            <w:tcW w:w="1740" w:type="dxa"/>
            <w:tcBorders>
              <w:top w:val="nil"/>
              <w:left w:val="nil"/>
              <w:bottom w:val="nil"/>
              <w:right w:val="nil"/>
            </w:tcBorders>
            <w:shd w:val="clear" w:color="auto" w:fill="auto"/>
            <w:noWrap/>
            <w:vAlign w:val="center"/>
            <w:hideMark/>
          </w:tcPr>
          <w:p w:rsidRPr="00C5308E" w:rsidR="00D117F7" w:rsidP="00D87753" w:rsidRDefault="00D117F7" w14:paraId="2C31EE3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0,100</w:t>
            </w:r>
          </w:p>
        </w:tc>
      </w:tr>
      <w:tr w:rsidRPr="00C5308E" w:rsidR="00D117F7" w:rsidTr="003C75FE" w14:paraId="31060B4C" w14:textId="77777777">
        <w:trPr>
          <w:trHeight w:val="450"/>
        </w:trPr>
        <w:tc>
          <w:tcPr>
            <w:tcW w:w="7960" w:type="dxa"/>
            <w:tcBorders>
              <w:top w:val="nil"/>
              <w:left w:val="nil"/>
              <w:bottom w:val="nil"/>
              <w:right w:val="nil"/>
            </w:tcBorders>
            <w:shd w:val="clear" w:color="auto" w:fill="auto"/>
            <w:vAlign w:val="bottom"/>
            <w:hideMark/>
          </w:tcPr>
          <w:p w:rsidRPr="00C5308E" w:rsidR="00D117F7" w:rsidP="00D87753" w:rsidRDefault="00D117F7" w14:paraId="360C98BF"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Reservering ten behoeven van de wetsvoorstellen Meer zekerheid flexwerkers en </w:t>
            </w:r>
          </w:p>
          <w:p w:rsidRPr="00C5308E" w:rsidR="00D117F7" w:rsidP="00D87753" w:rsidRDefault="00903729" w14:paraId="1C4C9E1F" w14:textId="6FE23324">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 </w:t>
            </w:r>
            <w:r w:rsidRPr="00C5308E" w:rsidR="00D117F7">
              <w:rPr>
                <w:rFonts w:ascii="Verdana" w:hAnsi="Verdana" w:eastAsia="Times New Roman" w:cs="Times New Roman"/>
                <w:bCs/>
                <w:color w:val="000000"/>
                <w:sz w:val="18"/>
                <w:szCs w:val="18"/>
                <w:lang w:eastAsia="nl-NL"/>
              </w:rPr>
              <w:t xml:space="preserve"> Verduidelijking beoordeling arbeidsrelaties (Vbar) </w:t>
            </w:r>
          </w:p>
        </w:tc>
        <w:tc>
          <w:tcPr>
            <w:tcW w:w="1740" w:type="dxa"/>
            <w:tcBorders>
              <w:top w:val="nil"/>
              <w:left w:val="nil"/>
              <w:bottom w:val="nil"/>
              <w:right w:val="nil"/>
            </w:tcBorders>
            <w:shd w:val="clear" w:color="auto" w:fill="auto"/>
            <w:noWrap/>
            <w:vAlign w:val="center"/>
            <w:hideMark/>
          </w:tcPr>
          <w:p w:rsidRPr="00C5308E" w:rsidR="00D117F7" w:rsidP="00D87753" w:rsidRDefault="00D117F7" w14:paraId="425AD0B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2,575</w:t>
            </w:r>
          </w:p>
        </w:tc>
      </w:tr>
      <w:tr w:rsidRPr="00C5308E" w:rsidR="00D117F7" w:rsidTr="003C75FE" w14:paraId="7411FA8E"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4FEC1E07"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implementatiekosten Participatiewet in balans</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3048CDF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37,710</w:t>
            </w:r>
          </w:p>
        </w:tc>
      </w:tr>
      <w:tr w:rsidRPr="00C5308E" w:rsidR="00D117F7" w:rsidTr="003C75FE" w14:paraId="4E760345"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70C60F85"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uitvoeringskosten wetsvoorstel proactieve dienstverlening</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794E5DE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1,850</w:t>
            </w:r>
          </w:p>
        </w:tc>
      </w:tr>
      <w:tr w:rsidRPr="00C5308E" w:rsidR="00D117F7" w:rsidTr="003C75FE" w14:paraId="5118C7A9"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2068547F"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Reservering uitvoeringskosten om netto terug te vorderen i.p.v. bruto </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5D7E4B3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1,000</w:t>
            </w:r>
          </w:p>
        </w:tc>
      </w:tr>
      <w:tr w:rsidRPr="00C5308E" w:rsidR="00D117F7" w:rsidTr="003C75FE" w14:paraId="3D80CF12"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3EB08532"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uitvoeringskosten wetsvoorstel handhaving sociale zekerheid</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14F2B119"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14,000</w:t>
            </w:r>
          </w:p>
        </w:tc>
      </w:tr>
      <w:tr w:rsidRPr="00C5308E" w:rsidR="00D117F7" w:rsidTr="003C75FE" w14:paraId="60EA8B5D"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1194A7DB"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waarborgfonds saneringskredieten van gemeenten</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0EF8268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6,000</w:t>
            </w:r>
          </w:p>
        </w:tc>
      </w:tr>
      <w:tr w:rsidRPr="00C5308E" w:rsidR="00D117F7" w:rsidTr="003C75FE" w14:paraId="481C4D2F"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20F160D4"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voor verbetering schuldenketens</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671C6A0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1,990</w:t>
            </w:r>
          </w:p>
        </w:tc>
      </w:tr>
      <w:tr w:rsidRPr="00C5308E" w:rsidR="00D117F7" w:rsidTr="003C75FE" w14:paraId="63D81BE9"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00C9D839"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voor bescherming arbeidsmigranten (cie. Roemer)</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5A78B58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5,813</w:t>
            </w:r>
          </w:p>
        </w:tc>
      </w:tr>
      <w:tr w:rsidRPr="00C5308E" w:rsidR="00D117F7" w:rsidTr="003C75FE" w14:paraId="7FFBAB04"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74B39D39"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voor wet implementatie richtlijn Loontransparantie</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29A37CE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2,500</w:t>
            </w:r>
          </w:p>
        </w:tc>
      </w:tr>
      <w:tr w:rsidRPr="00C5308E" w:rsidR="00D117F7" w:rsidTr="003C75FE" w14:paraId="46264874"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74DCB761"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hogere kosten Kamer van Koophandel</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5273F90D"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0,322</w:t>
            </w:r>
          </w:p>
        </w:tc>
      </w:tr>
      <w:tr w:rsidRPr="00C5308E" w:rsidR="00D117F7" w:rsidTr="003C75FE" w14:paraId="1141D612"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45B67716"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loonkostensubsidie beschut werk (SO-bedrijven)</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040364E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34,257</w:t>
            </w:r>
          </w:p>
        </w:tc>
      </w:tr>
      <w:tr w:rsidRPr="00C5308E" w:rsidR="00D117F7" w:rsidTr="003C75FE" w14:paraId="26197D85"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25BE2B36"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Nog te verdelen loon- en prijsindexatie 2025*</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0B8C72B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67,628</w:t>
            </w:r>
          </w:p>
        </w:tc>
      </w:tr>
      <w:tr w:rsidRPr="00C5308E" w:rsidR="00D117F7" w:rsidTr="003C75FE" w14:paraId="15E753BB"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3AF12325"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apparaat</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4FDE1563"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0,647</w:t>
            </w:r>
          </w:p>
        </w:tc>
      </w:tr>
      <w:tr w:rsidRPr="00C5308E" w:rsidR="00D117F7" w:rsidTr="003C75FE" w14:paraId="3D3CF788" w14:textId="77777777">
        <w:trPr>
          <w:trHeight w:val="225"/>
        </w:trPr>
        <w:tc>
          <w:tcPr>
            <w:tcW w:w="7960" w:type="dxa"/>
            <w:tcBorders>
              <w:top w:val="nil"/>
              <w:left w:val="nil"/>
              <w:bottom w:val="nil"/>
              <w:right w:val="nil"/>
            </w:tcBorders>
            <w:shd w:val="clear" w:color="auto" w:fill="auto"/>
            <w:noWrap/>
            <w:vAlign w:val="bottom"/>
            <w:hideMark/>
          </w:tcPr>
          <w:p w:rsidRPr="00C5308E" w:rsidR="00D117F7" w:rsidP="00D87753" w:rsidRDefault="00D117F7" w14:paraId="6683DB76"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Taakstelling SZW**</w:t>
            </w:r>
          </w:p>
        </w:tc>
        <w:tc>
          <w:tcPr>
            <w:tcW w:w="1740" w:type="dxa"/>
            <w:tcBorders>
              <w:top w:val="nil"/>
              <w:left w:val="nil"/>
              <w:bottom w:val="nil"/>
              <w:right w:val="nil"/>
            </w:tcBorders>
            <w:shd w:val="clear" w:color="auto" w:fill="auto"/>
            <w:noWrap/>
            <w:vAlign w:val="bottom"/>
            <w:hideMark/>
          </w:tcPr>
          <w:p w:rsidRPr="00C5308E" w:rsidR="00D117F7" w:rsidP="00D87753" w:rsidRDefault="00D117F7" w14:paraId="6B873659"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-30,000</w:t>
            </w:r>
          </w:p>
        </w:tc>
      </w:tr>
      <w:tr w:rsidRPr="00C5308E" w:rsidR="00D117F7" w:rsidTr="003C75FE" w14:paraId="1286FC48" w14:textId="77777777">
        <w:trPr>
          <w:trHeight w:val="225"/>
        </w:trPr>
        <w:tc>
          <w:tcPr>
            <w:tcW w:w="7960" w:type="dxa"/>
            <w:tcBorders>
              <w:top w:val="single" w:color="auto" w:sz="4" w:space="0"/>
              <w:left w:val="nil"/>
              <w:bottom w:val="nil"/>
              <w:right w:val="nil"/>
            </w:tcBorders>
            <w:shd w:val="clear" w:color="auto" w:fill="auto"/>
            <w:noWrap/>
            <w:vAlign w:val="bottom"/>
            <w:hideMark/>
          </w:tcPr>
          <w:p w:rsidRPr="00C5308E" w:rsidR="00D117F7" w:rsidP="00D87753" w:rsidRDefault="00D117F7" w14:paraId="66F0F857"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Totaal 1e suppletoire begroting</w:t>
            </w:r>
          </w:p>
        </w:tc>
        <w:tc>
          <w:tcPr>
            <w:tcW w:w="1740" w:type="dxa"/>
            <w:tcBorders>
              <w:top w:val="single" w:color="auto" w:sz="4" w:space="0"/>
              <w:left w:val="nil"/>
              <w:bottom w:val="nil"/>
              <w:right w:val="nil"/>
            </w:tcBorders>
            <w:shd w:val="clear" w:color="auto" w:fill="auto"/>
            <w:noWrap/>
            <w:vAlign w:val="bottom"/>
            <w:hideMark/>
          </w:tcPr>
          <w:p w:rsidRPr="00C5308E" w:rsidR="00D117F7" w:rsidP="00D87753" w:rsidRDefault="00D117F7" w14:paraId="45741CF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147,392</w:t>
            </w:r>
          </w:p>
        </w:tc>
      </w:tr>
    </w:tbl>
    <w:p w:rsidRPr="00C5308E" w:rsidR="00D117F7" w:rsidP="00D87753" w:rsidRDefault="00D117F7" w14:paraId="27183F77" w14:textId="77777777">
      <w:pPr>
        <w:spacing w:after="0" w:line="240" w:lineRule="auto"/>
        <w:contextualSpacing/>
        <w:rPr>
          <w:rFonts w:ascii="Verdana" w:hAnsi="Verdana"/>
          <w:bCs/>
          <w:sz w:val="16"/>
          <w:szCs w:val="16"/>
        </w:rPr>
      </w:pPr>
      <w:r w:rsidRPr="00C5308E">
        <w:rPr>
          <w:rFonts w:ascii="Verdana" w:hAnsi="Verdana"/>
          <w:bCs/>
          <w:sz w:val="16"/>
          <w:szCs w:val="16"/>
        </w:rPr>
        <w:t>* De gereserveerde loon- en prijsbijstelling is na publicatie van de 1</w:t>
      </w:r>
      <w:r w:rsidRPr="00C5308E">
        <w:rPr>
          <w:rFonts w:ascii="Verdana" w:hAnsi="Verdana"/>
          <w:bCs/>
          <w:sz w:val="16"/>
          <w:szCs w:val="16"/>
          <w:vertAlign w:val="superscript"/>
        </w:rPr>
        <w:t>e</w:t>
      </w:r>
      <w:r w:rsidRPr="00C5308E">
        <w:rPr>
          <w:rFonts w:ascii="Verdana" w:hAnsi="Verdana"/>
          <w:bCs/>
          <w:sz w:val="16"/>
          <w:szCs w:val="16"/>
        </w:rPr>
        <w:t xml:space="preserve"> suppletoire begroting doorverdeeld naar de desbetreffende beleidsonderdelen.</w:t>
      </w:r>
    </w:p>
    <w:p w:rsidRPr="00C5308E" w:rsidR="00D117F7" w:rsidP="00D87753" w:rsidRDefault="00D117F7" w14:paraId="684782B5" w14:textId="77777777">
      <w:pPr>
        <w:spacing w:after="0" w:line="240" w:lineRule="auto"/>
        <w:contextualSpacing/>
        <w:rPr>
          <w:rFonts w:ascii="Verdana" w:hAnsi="Verdana"/>
          <w:bCs/>
          <w:sz w:val="16"/>
          <w:szCs w:val="16"/>
        </w:rPr>
      </w:pPr>
      <w:r w:rsidRPr="00C5308E">
        <w:rPr>
          <w:rFonts w:ascii="Verdana" w:hAnsi="Verdana"/>
          <w:bCs/>
          <w:sz w:val="16"/>
          <w:szCs w:val="16"/>
        </w:rPr>
        <w:t>** Dit betreft een oude taakstelling vanuit de augustusbesluitvorming 2020 die door SZW moet worden ingevuld gedurende het jaar 2025.</w:t>
      </w:r>
    </w:p>
    <w:p w:rsidRPr="00C5308E" w:rsidR="00D117F7" w:rsidP="00D87753" w:rsidRDefault="00D117F7" w14:paraId="1A6E48BA" w14:textId="77777777">
      <w:pPr>
        <w:spacing w:after="0" w:line="240" w:lineRule="auto"/>
        <w:contextualSpacing/>
        <w:rPr>
          <w:rFonts w:ascii="Verdana" w:hAnsi="Verdana"/>
          <w:bCs/>
          <w:sz w:val="18"/>
          <w:szCs w:val="18"/>
        </w:rPr>
      </w:pPr>
    </w:p>
    <w:p w:rsidRPr="00C5308E" w:rsidR="0056088B" w:rsidP="0056088B" w:rsidRDefault="0056088B" w14:paraId="04ADF0EF" w14:textId="3BC46625">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103</w:t>
      </w:r>
    </w:p>
    <w:p w:rsidRPr="00C5308E" w:rsidR="0056088B" w:rsidP="0056088B" w:rsidRDefault="00250847" w14:paraId="53AD7B31" w14:textId="32ADDE2C">
      <w:pPr>
        <w:spacing w:after="0" w:line="240" w:lineRule="auto"/>
        <w:contextualSpacing/>
        <w:rPr>
          <w:rFonts w:ascii="Verdana" w:hAnsi="Verdana"/>
          <w:bCs/>
          <w:sz w:val="18"/>
          <w:szCs w:val="18"/>
        </w:rPr>
      </w:pPr>
      <w:r w:rsidRPr="00C5308E">
        <w:rPr>
          <w:rFonts w:ascii="Verdana" w:hAnsi="Verdana"/>
          <w:bCs/>
          <w:sz w:val="18"/>
          <w:szCs w:val="18"/>
        </w:rPr>
        <w:t>Hoeveel besparing levert de verkorting van de WW op in de WIA, via de verkorting van de loongerelateerde uitkering?</w:t>
      </w:r>
    </w:p>
    <w:p w:rsidRPr="00C5308E" w:rsidR="00250847" w:rsidP="0056088B" w:rsidRDefault="00250847" w14:paraId="1E23C30D" w14:textId="77777777">
      <w:pPr>
        <w:spacing w:after="0" w:line="240" w:lineRule="auto"/>
        <w:contextualSpacing/>
        <w:rPr>
          <w:rFonts w:ascii="Verdana" w:hAnsi="Verdana"/>
          <w:bCs/>
          <w:sz w:val="18"/>
          <w:szCs w:val="18"/>
        </w:rPr>
      </w:pPr>
    </w:p>
    <w:p w:rsidRPr="00C5308E" w:rsidR="0056088B" w:rsidP="0056088B" w:rsidRDefault="0056088B" w14:paraId="415BDB9F" w14:textId="78C8D5BC">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103</w:t>
      </w:r>
    </w:p>
    <w:p w:rsidRPr="00C5308E" w:rsidR="0056088B" w:rsidP="00D87753" w:rsidRDefault="00C806B5" w14:paraId="1F4712EE" w14:textId="3B409933">
      <w:pPr>
        <w:spacing w:after="0" w:line="240" w:lineRule="auto"/>
        <w:contextualSpacing/>
        <w:rPr>
          <w:rFonts w:ascii="Verdana" w:hAnsi="Verdana"/>
          <w:bCs/>
          <w:sz w:val="18"/>
          <w:szCs w:val="18"/>
        </w:rPr>
      </w:pPr>
      <w:r>
        <w:rPr>
          <w:rFonts w:ascii="Verdana" w:hAnsi="Verdana"/>
          <w:sz w:val="18"/>
          <w:szCs w:val="18"/>
        </w:rPr>
        <w:t>De structurele besparing bedraagt ongeveer € 45 miljoen. Deze besparing is inclusief hogere uitgaven aan de Toeslagenwet voor deze groep uitkeringsgerechtigden.</w:t>
      </w:r>
    </w:p>
    <w:p w:rsidR="00FE7425" w:rsidP="0056088B" w:rsidRDefault="00FE7425" w14:paraId="67212F03" w14:textId="77777777">
      <w:pPr>
        <w:spacing w:after="0" w:line="240" w:lineRule="auto"/>
        <w:contextualSpacing/>
        <w:rPr>
          <w:rFonts w:ascii="Verdana" w:hAnsi="Verdana"/>
          <w:bCs/>
          <w:sz w:val="18"/>
          <w:szCs w:val="18"/>
          <w:u w:val="single"/>
        </w:rPr>
      </w:pPr>
    </w:p>
    <w:p w:rsidRPr="00C5308E" w:rsidR="0056088B" w:rsidP="0056088B" w:rsidRDefault="0056088B" w14:paraId="7E2612AE" w14:textId="146E50DF">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104</w:t>
      </w:r>
    </w:p>
    <w:p w:rsidRPr="00C5308E" w:rsidR="0056088B" w:rsidP="0056088B" w:rsidRDefault="00250847" w14:paraId="57F5F85C" w14:textId="62FA8200">
      <w:pPr>
        <w:spacing w:after="0" w:line="240" w:lineRule="auto"/>
        <w:contextualSpacing/>
        <w:rPr>
          <w:rFonts w:ascii="Verdana" w:hAnsi="Verdana"/>
          <w:bCs/>
          <w:sz w:val="18"/>
          <w:szCs w:val="18"/>
        </w:rPr>
      </w:pPr>
      <w:r w:rsidRPr="00C5308E">
        <w:rPr>
          <w:rFonts w:ascii="Verdana" w:hAnsi="Verdana"/>
          <w:bCs/>
          <w:sz w:val="18"/>
          <w:szCs w:val="18"/>
        </w:rPr>
        <w:t>Is het theoretisch en praktisch mogelijk om de Werkhervatting Gedeeltelijk Arbeidsgeschikten (WGA) uit te zonderen van de geplande duurverkorting van de WW-uitkering?</w:t>
      </w:r>
    </w:p>
    <w:p w:rsidRPr="00C5308E" w:rsidR="00250847" w:rsidP="0056088B" w:rsidRDefault="00250847" w14:paraId="7E30AB58" w14:textId="77777777">
      <w:pPr>
        <w:spacing w:after="0" w:line="240" w:lineRule="auto"/>
        <w:contextualSpacing/>
        <w:rPr>
          <w:rFonts w:ascii="Verdana" w:hAnsi="Verdana"/>
          <w:bCs/>
          <w:sz w:val="18"/>
          <w:szCs w:val="18"/>
        </w:rPr>
      </w:pPr>
    </w:p>
    <w:p w:rsidRPr="00C5308E" w:rsidR="0056088B" w:rsidP="0056088B" w:rsidRDefault="0056088B" w14:paraId="1245B3B2" w14:textId="632A3EAC">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104</w:t>
      </w:r>
    </w:p>
    <w:p w:rsidRPr="00882A4B" w:rsidR="00C806B5" w:rsidP="00C806B5" w:rsidRDefault="00C806B5" w14:paraId="4B9A8B4D" w14:textId="77777777">
      <w:pPr>
        <w:spacing w:after="0" w:line="240" w:lineRule="auto"/>
        <w:rPr>
          <w:rFonts w:ascii="Verdana" w:hAnsi="Verdana"/>
          <w:sz w:val="18"/>
          <w:szCs w:val="18"/>
        </w:rPr>
      </w:pPr>
      <w:r w:rsidRPr="00882A4B">
        <w:rPr>
          <w:rFonts w:ascii="Verdana" w:hAnsi="Verdana"/>
          <w:sz w:val="18"/>
          <w:szCs w:val="18"/>
        </w:rPr>
        <w:t xml:space="preserve">Voor de komst van de Wet WIA had de gedeeltelijk arbeidsongeschikte werknemer tegelijkertijd recht op zowel een WAO- als een WW-uitkering. Bij de invoering van de Wet WIA in 2006 is ervoor gekozen om de WW-uitkering te incorporeren in de loongerelateerde WGA-uitkering. Dit is gerealiseerd door zowel de hoogte als de duur van de loongerelateerde WGA-uitkering gelijk te stellen aan die van de WW. Ook geldt voor het recht op een loongerelateerde WGA-uitkering dezelfde referte-eis als voor het recht op WW. </w:t>
      </w:r>
    </w:p>
    <w:p w:rsidRPr="00882A4B" w:rsidR="00C806B5" w:rsidP="00C806B5" w:rsidRDefault="00C806B5" w14:paraId="02DEF1A7" w14:textId="77777777">
      <w:pPr>
        <w:spacing w:after="0" w:line="240" w:lineRule="auto"/>
        <w:rPr>
          <w:rFonts w:ascii="Verdana" w:hAnsi="Verdana"/>
          <w:sz w:val="18"/>
          <w:szCs w:val="18"/>
        </w:rPr>
      </w:pPr>
    </w:p>
    <w:p w:rsidRPr="00882A4B" w:rsidR="00C806B5" w:rsidP="00C806B5" w:rsidRDefault="00C806B5" w14:paraId="3DE93DA1" w14:textId="77777777">
      <w:pPr>
        <w:spacing w:after="0" w:line="240" w:lineRule="auto"/>
        <w:rPr>
          <w:rFonts w:ascii="Verdana" w:hAnsi="Verdana"/>
          <w:sz w:val="18"/>
          <w:szCs w:val="18"/>
        </w:rPr>
      </w:pPr>
      <w:r w:rsidRPr="00882A4B">
        <w:rPr>
          <w:rFonts w:ascii="Verdana" w:hAnsi="Verdana"/>
          <w:sz w:val="18"/>
          <w:szCs w:val="18"/>
        </w:rPr>
        <w:t xml:space="preserve">Voor gedeeltelijk arbeidsgeschikten betekende de incorporatie van de WW-uitkering in de loongerelateerde WGA-uitkering dat zij niet langer afzonderlijk een WW-uitkering en een arbeidsongeschiktheidsuitkering hoefden aan te vragen. De samenvoeging van beide regelingen heeft zodoende gezorgd voor een duidelijke vereenvoudiging voor gedeeltelijk arbeidsgeschikten en de uitvoering. De gedeeltelijk arbeidsgeschikte werknemer heeft met minder verschillende rechten en plichten te maken en de uitvoerder hoeft minder beoordelingen te doen. De koppeling tussen de WW- en de loongerelateerde uitkering is altijd een belangrijk uitgangspunt geweest. </w:t>
      </w:r>
      <w:r w:rsidRPr="00882A4B" w:rsidDel="00FA514B">
        <w:rPr>
          <w:rFonts w:ascii="Verdana" w:hAnsi="Verdana"/>
          <w:sz w:val="18"/>
          <w:szCs w:val="18"/>
        </w:rPr>
        <w:t xml:space="preserve"> </w:t>
      </w:r>
    </w:p>
    <w:p w:rsidRPr="00882A4B" w:rsidR="00C806B5" w:rsidP="00C806B5" w:rsidRDefault="00C806B5" w14:paraId="37EE188A" w14:textId="77777777">
      <w:pPr>
        <w:spacing w:after="0" w:line="240" w:lineRule="auto"/>
        <w:rPr>
          <w:rFonts w:ascii="Verdana" w:hAnsi="Verdana"/>
          <w:dstrike/>
          <w:sz w:val="18"/>
          <w:szCs w:val="18"/>
        </w:rPr>
      </w:pPr>
    </w:p>
    <w:p w:rsidRPr="00882A4B" w:rsidR="00C806B5" w:rsidP="00C806B5" w:rsidRDefault="00C806B5" w14:paraId="443048D0" w14:textId="77777777">
      <w:pPr>
        <w:spacing w:line="240" w:lineRule="auto"/>
        <w:rPr>
          <w:rFonts w:ascii="Verdana" w:hAnsi="Verdana"/>
          <w:sz w:val="18"/>
          <w:szCs w:val="18"/>
        </w:rPr>
      </w:pPr>
      <w:r w:rsidRPr="00882A4B">
        <w:rPr>
          <w:rFonts w:ascii="Verdana" w:hAnsi="Verdana"/>
          <w:sz w:val="18"/>
          <w:szCs w:val="18"/>
        </w:rPr>
        <w:t xml:space="preserve">Het zou theoretisch gezien mogelijk zijn om de loongerelateerde WGA-uitkering uit te zonderen van de geplande duurverkorting van de WW-uitkering. In de praktijk brengt deze uitzondering van de loongerelateerde WGA-uitkering veel bezwaren met zich mee. Het kabinet wil graag de eenvoud behouden, die met de incorporatie van het WW-deel in de loongerelateerde WGA-uitkering is bereikt. Het kabinet vindt het onwenselijk om wetgeving onnodig complex(er) te maken. Dit strookt niet de inzet van het kabinet om wet- en regelgeving te vereenvoudigen.  </w:t>
      </w:r>
    </w:p>
    <w:p w:rsidRPr="00C5308E" w:rsidR="0056088B" w:rsidP="00D87753" w:rsidRDefault="00C806B5" w14:paraId="5EABC15E" w14:textId="580524CE">
      <w:pPr>
        <w:spacing w:after="0" w:line="240" w:lineRule="auto"/>
        <w:contextualSpacing/>
        <w:rPr>
          <w:rFonts w:ascii="Verdana" w:hAnsi="Verdana"/>
          <w:bCs/>
          <w:sz w:val="18"/>
          <w:szCs w:val="18"/>
        </w:rPr>
      </w:pPr>
      <w:r w:rsidRPr="00882A4B">
        <w:rPr>
          <w:rFonts w:ascii="Verdana" w:hAnsi="Verdana"/>
          <w:sz w:val="18"/>
          <w:szCs w:val="18"/>
        </w:rPr>
        <w:lastRenderedPageBreak/>
        <w:t>De duurverkorting van de loongerelateerde WGA-uitkering heeft tot gevolg dat de W</w:t>
      </w:r>
      <w:r>
        <w:rPr>
          <w:rFonts w:ascii="Verdana" w:hAnsi="Verdana"/>
          <w:sz w:val="18"/>
          <w:szCs w:val="18"/>
        </w:rPr>
        <w:t>G</w:t>
      </w:r>
      <w:r w:rsidRPr="00882A4B">
        <w:rPr>
          <w:rFonts w:ascii="Verdana" w:hAnsi="Verdana"/>
          <w:sz w:val="18"/>
          <w:szCs w:val="18"/>
        </w:rPr>
        <w:t>A-gerechtigde na maximaal 18 maanden doorstroomt naar de volgende uitkeringsfase. Na de loongerelateerde WGA-uitkering komt de WIA- uitkeringsgerechtigde in aanmerking voor een loonaanvullingsuitkering (LAU) óf een vervolguitkering (VVU). Dit is afhankelijk van de hoogte van eventuele inkomsten uit arbeid (ten minste 50% van de resterende verdiencapaciteit) of de mate van arbeidsongeschiktheid.</w:t>
      </w:r>
    </w:p>
    <w:p w:rsidR="00FE7425" w:rsidP="0056088B" w:rsidRDefault="00FE7425" w14:paraId="72643B40" w14:textId="77777777">
      <w:pPr>
        <w:spacing w:after="0" w:line="240" w:lineRule="auto"/>
        <w:contextualSpacing/>
        <w:rPr>
          <w:rFonts w:ascii="Verdana" w:hAnsi="Verdana"/>
          <w:bCs/>
          <w:sz w:val="18"/>
          <w:szCs w:val="18"/>
          <w:u w:val="single"/>
        </w:rPr>
      </w:pPr>
    </w:p>
    <w:p w:rsidRPr="00C5308E" w:rsidR="0056088B" w:rsidP="0056088B" w:rsidRDefault="0056088B" w14:paraId="4E052D21" w14:textId="7F15622C">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105</w:t>
      </w:r>
    </w:p>
    <w:p w:rsidRPr="00C5308E" w:rsidR="0056088B" w:rsidP="0056088B" w:rsidRDefault="00250847" w14:paraId="3B67F230" w14:textId="26A7DA4C">
      <w:pPr>
        <w:spacing w:after="0" w:line="240" w:lineRule="auto"/>
        <w:contextualSpacing/>
        <w:rPr>
          <w:rFonts w:ascii="Verdana" w:hAnsi="Verdana"/>
          <w:bCs/>
          <w:sz w:val="18"/>
          <w:szCs w:val="18"/>
        </w:rPr>
      </w:pPr>
      <w:r w:rsidRPr="00C5308E">
        <w:rPr>
          <w:rFonts w:ascii="Verdana" w:hAnsi="Verdana"/>
          <w:bCs/>
          <w:sz w:val="18"/>
          <w:szCs w:val="18"/>
        </w:rPr>
        <w:t>Is het juridisch en praktisch mogelijk om te differentiëren in de WW-duur tussen verschillende leeftijdsgroepen?</w:t>
      </w:r>
    </w:p>
    <w:p w:rsidRPr="00C5308E" w:rsidR="00250847" w:rsidP="0056088B" w:rsidRDefault="00250847" w14:paraId="7515BEB5" w14:textId="77777777">
      <w:pPr>
        <w:spacing w:after="0" w:line="240" w:lineRule="auto"/>
        <w:contextualSpacing/>
        <w:rPr>
          <w:rFonts w:ascii="Verdana" w:hAnsi="Verdana"/>
          <w:bCs/>
          <w:sz w:val="18"/>
          <w:szCs w:val="18"/>
        </w:rPr>
      </w:pPr>
    </w:p>
    <w:p w:rsidRPr="00C5308E" w:rsidR="0056088B" w:rsidP="0056088B" w:rsidRDefault="0056088B" w14:paraId="1DC2FDAC" w14:textId="0E3D068A">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105</w:t>
      </w:r>
    </w:p>
    <w:p w:rsidR="00C806B5" w:rsidP="00C806B5" w:rsidRDefault="00C806B5" w14:paraId="0D665D84" w14:textId="77777777">
      <w:pPr>
        <w:spacing w:after="0" w:line="240" w:lineRule="auto"/>
        <w:rPr>
          <w:rFonts w:ascii="Verdana" w:hAnsi="Verdana"/>
          <w:sz w:val="18"/>
          <w:szCs w:val="18"/>
        </w:rPr>
      </w:pPr>
      <w:r w:rsidRPr="007D5B96">
        <w:rPr>
          <w:rFonts w:ascii="Verdana" w:hAnsi="Verdana"/>
          <w:sz w:val="18"/>
          <w:szCs w:val="18"/>
        </w:rPr>
        <w:t xml:space="preserve">Differentiëren in de WW-duur tussen verschillende leeftijdsgroepen leidt tot een direct onderscheid op basis van leeftijd. Een direct onderscheid op leeftijd is in principe verboden, maar in sommige gevallen mag een direct onderscheid </w:t>
      </w:r>
      <w:r>
        <w:rPr>
          <w:rFonts w:ascii="Verdana" w:hAnsi="Verdana"/>
          <w:sz w:val="18"/>
          <w:szCs w:val="18"/>
        </w:rPr>
        <w:t xml:space="preserve">wel </w:t>
      </w:r>
      <w:r w:rsidRPr="007D5B96">
        <w:rPr>
          <w:rFonts w:ascii="Verdana" w:hAnsi="Verdana"/>
          <w:sz w:val="18"/>
          <w:szCs w:val="18"/>
        </w:rPr>
        <w:t>worden gemaakt. Er moet hierbij sprake zijn van een objectieve rechtvaardiging voor dit onderscheid. Om te voldoen aan de toets van de objectieve rechtvaardigingsgrond moet voor een concrete maatregel sprake zijn van een legitiem doel en van een maatregel die geschikt, noodzakelijk en evenredig is om het doel te bereiken. Of er sprake is van een objectieve rechtvaardiging is sterk afhankelijk van de verdere uitwerking.</w:t>
      </w:r>
      <w:r>
        <w:rPr>
          <w:rFonts w:ascii="Verdana" w:hAnsi="Verdana"/>
          <w:sz w:val="18"/>
          <w:szCs w:val="18"/>
        </w:rPr>
        <w:t xml:space="preserve"> Dit zou nadere uitwerking vergen. </w:t>
      </w:r>
    </w:p>
    <w:p w:rsidR="00C806B5" w:rsidP="00C806B5" w:rsidRDefault="00C806B5" w14:paraId="2B1E3D3D" w14:textId="77777777">
      <w:pPr>
        <w:spacing w:after="0" w:line="240" w:lineRule="auto"/>
        <w:rPr>
          <w:rFonts w:ascii="Verdana" w:hAnsi="Verdana"/>
          <w:sz w:val="18"/>
          <w:szCs w:val="18"/>
        </w:rPr>
      </w:pPr>
    </w:p>
    <w:p w:rsidRPr="00C5308E" w:rsidR="0056088B" w:rsidP="00D87753" w:rsidRDefault="00C806B5" w14:paraId="5AF3976E" w14:textId="3C65C9F7">
      <w:pPr>
        <w:spacing w:after="0" w:line="240" w:lineRule="auto"/>
        <w:contextualSpacing/>
        <w:rPr>
          <w:rFonts w:ascii="Verdana" w:hAnsi="Verdana"/>
          <w:bCs/>
          <w:sz w:val="18"/>
          <w:szCs w:val="18"/>
        </w:rPr>
      </w:pPr>
      <w:r>
        <w:rPr>
          <w:rFonts w:ascii="Verdana" w:hAnsi="Verdana"/>
          <w:sz w:val="18"/>
          <w:szCs w:val="18"/>
        </w:rPr>
        <w:t xml:space="preserve">Daarnaast zou differentiëren in de WW-duur tussen verschillende leeftijdsgroepen zorgen voor een behoorlijke toename aan complexiteit in de WW. Dit strookt niet met de inzet van het kabinet om wet- en regelgeving te vereenvoudigen.  </w:t>
      </w:r>
    </w:p>
    <w:p w:rsidR="00FE7425" w:rsidP="0056088B" w:rsidRDefault="00FE7425" w14:paraId="20A57169" w14:textId="77777777">
      <w:pPr>
        <w:spacing w:after="0" w:line="240" w:lineRule="auto"/>
        <w:contextualSpacing/>
        <w:rPr>
          <w:rFonts w:ascii="Verdana" w:hAnsi="Verdana"/>
          <w:bCs/>
          <w:sz w:val="18"/>
          <w:szCs w:val="18"/>
          <w:u w:val="single"/>
        </w:rPr>
      </w:pPr>
    </w:p>
    <w:p w:rsidRPr="00C5308E" w:rsidR="0056088B" w:rsidP="0056088B" w:rsidRDefault="0056088B" w14:paraId="37EC57FE" w14:textId="0A41FD7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106</w:t>
      </w:r>
    </w:p>
    <w:p w:rsidR="0056088B" w:rsidP="0056088B" w:rsidRDefault="00250847" w14:paraId="561DBD7A" w14:textId="77A1C792">
      <w:pPr>
        <w:spacing w:after="0" w:line="240" w:lineRule="auto"/>
        <w:contextualSpacing/>
        <w:rPr>
          <w:rFonts w:ascii="Verdana" w:hAnsi="Verdana"/>
          <w:bCs/>
          <w:sz w:val="18"/>
          <w:szCs w:val="18"/>
        </w:rPr>
      </w:pPr>
      <w:r w:rsidRPr="00C5308E">
        <w:rPr>
          <w:rFonts w:ascii="Verdana" w:hAnsi="Verdana"/>
          <w:bCs/>
          <w:sz w:val="18"/>
          <w:szCs w:val="18"/>
        </w:rPr>
        <w:t>Wat zou het budgettaire effect zijn wanneer de WGA wordt uitgezonderd van de geplande duurverkorting van de WW-uitkering?</w:t>
      </w:r>
    </w:p>
    <w:p w:rsidRPr="00C5308E" w:rsidR="00C806B5" w:rsidP="0056088B" w:rsidRDefault="00C806B5" w14:paraId="44064F72" w14:textId="77777777">
      <w:pPr>
        <w:spacing w:after="0" w:line="240" w:lineRule="auto"/>
        <w:contextualSpacing/>
        <w:rPr>
          <w:rFonts w:ascii="Verdana" w:hAnsi="Verdana"/>
          <w:bCs/>
          <w:sz w:val="18"/>
          <w:szCs w:val="18"/>
        </w:rPr>
      </w:pPr>
    </w:p>
    <w:p w:rsidRPr="00C5308E" w:rsidR="0056088B" w:rsidP="0056088B" w:rsidRDefault="0056088B" w14:paraId="4DFADC9E" w14:textId="0C2FD3E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106</w:t>
      </w:r>
    </w:p>
    <w:p w:rsidRPr="00C5308E" w:rsidR="0056088B" w:rsidP="00D87753" w:rsidRDefault="00C806B5" w14:paraId="298394B3" w14:textId="6CBC7CEE">
      <w:pPr>
        <w:spacing w:after="0" w:line="240" w:lineRule="auto"/>
        <w:contextualSpacing/>
        <w:rPr>
          <w:rFonts w:ascii="Verdana" w:hAnsi="Verdana"/>
          <w:bCs/>
          <w:sz w:val="18"/>
          <w:szCs w:val="18"/>
        </w:rPr>
      </w:pPr>
      <w:r>
        <w:rPr>
          <w:rFonts w:ascii="Verdana" w:hAnsi="Verdana"/>
          <w:sz w:val="18"/>
          <w:szCs w:val="18"/>
        </w:rPr>
        <w:t xml:space="preserve">Wanneer de WGA wordt uitgezonderd van de duurverkorting van de WW-uitkering betekent dit dat de geboekte besparing op de WGA-uitkering niet zal optreden. Dit resulteert in een besparingsverlies van structureel € 45 miljoen. </w:t>
      </w:r>
    </w:p>
    <w:p w:rsidR="00FE7425" w:rsidP="0056088B" w:rsidRDefault="00FE7425" w14:paraId="429ECD6D" w14:textId="77777777">
      <w:pPr>
        <w:spacing w:after="0" w:line="240" w:lineRule="auto"/>
        <w:contextualSpacing/>
        <w:rPr>
          <w:rFonts w:ascii="Verdana" w:hAnsi="Verdana"/>
          <w:bCs/>
          <w:sz w:val="18"/>
          <w:szCs w:val="18"/>
          <w:u w:val="single"/>
        </w:rPr>
      </w:pPr>
    </w:p>
    <w:p w:rsidRPr="00C5308E" w:rsidR="0056088B" w:rsidP="0056088B" w:rsidRDefault="0056088B" w14:paraId="04719E53" w14:textId="05FC7EF2">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107</w:t>
      </w:r>
    </w:p>
    <w:p w:rsidRPr="00C5308E" w:rsidR="0056088B" w:rsidP="0056088B" w:rsidRDefault="00250847" w14:paraId="6E3CE3B4" w14:textId="7A09B777">
      <w:pPr>
        <w:spacing w:after="0" w:line="240" w:lineRule="auto"/>
        <w:contextualSpacing/>
        <w:rPr>
          <w:rFonts w:ascii="Verdana" w:hAnsi="Verdana"/>
          <w:bCs/>
          <w:sz w:val="18"/>
          <w:szCs w:val="18"/>
        </w:rPr>
      </w:pPr>
      <w:r w:rsidRPr="00C5308E">
        <w:rPr>
          <w:rFonts w:ascii="Verdana" w:hAnsi="Verdana"/>
          <w:bCs/>
          <w:sz w:val="18"/>
          <w:szCs w:val="18"/>
        </w:rPr>
        <w:t>Wat is de impact van de duurverkorting van de WW-uitkering op de leeftijdsgroep van 55-67 jarige werknemers?</w:t>
      </w:r>
    </w:p>
    <w:p w:rsidRPr="00C5308E" w:rsidR="00250847" w:rsidP="0056088B" w:rsidRDefault="00250847" w14:paraId="0EDB8D63" w14:textId="77777777">
      <w:pPr>
        <w:spacing w:after="0" w:line="240" w:lineRule="auto"/>
        <w:contextualSpacing/>
        <w:rPr>
          <w:rFonts w:ascii="Verdana" w:hAnsi="Verdana"/>
          <w:bCs/>
          <w:sz w:val="18"/>
          <w:szCs w:val="18"/>
        </w:rPr>
      </w:pPr>
    </w:p>
    <w:p w:rsidRPr="00C5308E" w:rsidR="0056088B" w:rsidP="0056088B" w:rsidRDefault="0056088B" w14:paraId="30F859E4" w14:textId="62C04ADE">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107</w:t>
      </w:r>
    </w:p>
    <w:p w:rsidR="00C806B5" w:rsidP="00C806B5" w:rsidRDefault="00C806B5" w14:paraId="7A0F9D95" w14:textId="77777777">
      <w:pPr>
        <w:spacing w:after="0" w:line="240" w:lineRule="auto"/>
        <w:rPr>
          <w:rFonts w:ascii="Verdana" w:hAnsi="Verdana"/>
          <w:sz w:val="18"/>
          <w:szCs w:val="18"/>
        </w:rPr>
      </w:pPr>
      <w:r>
        <w:rPr>
          <w:rFonts w:ascii="Verdana" w:hAnsi="Verdana"/>
          <w:sz w:val="18"/>
          <w:szCs w:val="18"/>
        </w:rPr>
        <w:t>In 2024 waren er circa 24.000 personen met een WW-uitkering die de grens van 18 maanden looptijd in dat jaar passeerden. De tabel hieronder laat de leeftijdsverdeling van deze groep zien.</w:t>
      </w:r>
    </w:p>
    <w:p w:rsidR="00C806B5" w:rsidP="00C806B5" w:rsidRDefault="00C806B5" w14:paraId="441D6413" w14:textId="77777777">
      <w:pPr>
        <w:spacing w:after="0" w:line="240" w:lineRule="auto"/>
        <w:rPr>
          <w:rFonts w:ascii="Verdana" w:hAnsi="Verdana"/>
          <w:sz w:val="18"/>
          <w:szCs w:val="18"/>
          <w:u w:val="single"/>
        </w:rPr>
      </w:pPr>
    </w:p>
    <w:p w:rsidRPr="004D6E9F" w:rsidR="00C806B5" w:rsidP="00C806B5" w:rsidRDefault="00C806B5" w14:paraId="36950BFD" w14:textId="77777777">
      <w:pPr>
        <w:spacing w:after="0" w:line="240" w:lineRule="auto"/>
        <w:rPr>
          <w:rFonts w:ascii="Verdana" w:hAnsi="Verdana"/>
          <w:b/>
          <w:bCs/>
          <w:sz w:val="18"/>
          <w:szCs w:val="18"/>
          <w:u w:val="single"/>
        </w:rPr>
      </w:pPr>
      <w:r w:rsidRPr="004D6E9F">
        <w:rPr>
          <w:rFonts w:ascii="Verdana" w:hAnsi="Verdana"/>
          <w:b/>
          <w:bCs/>
          <w:sz w:val="18"/>
          <w:szCs w:val="18"/>
          <w:u w:val="single"/>
        </w:rPr>
        <w:t>Leeftijdsverdeling van personen met een WW-uitkering die de grens van 18 maanden looptijd passeert in 2024.</w:t>
      </w:r>
    </w:p>
    <w:p w:rsidRPr="00600DD4" w:rsidR="00C806B5" w:rsidP="00C806B5" w:rsidRDefault="00C806B5" w14:paraId="0EF9AFA5" w14:textId="77777777">
      <w:pPr>
        <w:spacing w:after="0" w:line="240" w:lineRule="auto"/>
        <w:rPr>
          <w:rFonts w:ascii="Verdana" w:hAnsi="Verdana"/>
          <w:b/>
          <w:bCs/>
          <w:sz w:val="18"/>
          <w:szCs w:val="18"/>
          <w:u w:val="single"/>
        </w:rPr>
      </w:pPr>
    </w:p>
    <w:tbl>
      <w:tblPr>
        <w:tblStyle w:val="Rastertabel1licht"/>
        <w:tblW w:w="0" w:type="auto"/>
        <w:tblLook w:val="04A0" w:firstRow="1" w:lastRow="0" w:firstColumn="1" w:lastColumn="0" w:noHBand="0" w:noVBand="1"/>
      </w:tblPr>
      <w:tblGrid>
        <w:gridCol w:w="3005"/>
        <w:gridCol w:w="3006"/>
      </w:tblGrid>
      <w:tr w:rsidRPr="004D6E9F" w:rsidR="00C806B5" w:rsidTr="00DE3575" w14:paraId="7C7025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1BD41267" w14:textId="77777777">
            <w:pPr>
              <w:spacing w:line="276" w:lineRule="auto"/>
              <w:rPr>
                <w:szCs w:val="18"/>
              </w:rPr>
            </w:pPr>
            <w:r w:rsidRPr="004D6E9F">
              <w:rPr>
                <w:szCs w:val="18"/>
              </w:rPr>
              <w:t>Leeftijd</w:t>
            </w:r>
          </w:p>
        </w:tc>
        <w:tc>
          <w:tcPr>
            <w:tcW w:w="3006" w:type="dxa"/>
          </w:tcPr>
          <w:p w:rsidRPr="004D6E9F" w:rsidR="00C806B5" w:rsidP="00DE3575" w:rsidRDefault="00C806B5" w14:paraId="31D2BB82" w14:textId="77777777">
            <w:pPr>
              <w:spacing w:line="276" w:lineRule="auto"/>
              <w:cnfStyle w:val="100000000000" w:firstRow="1" w:lastRow="0" w:firstColumn="0" w:lastColumn="0" w:oddVBand="0" w:evenVBand="0" w:oddHBand="0" w:evenHBand="0" w:firstRowFirstColumn="0" w:firstRowLastColumn="0" w:lastRowFirstColumn="0" w:lastRowLastColumn="0"/>
              <w:rPr>
                <w:szCs w:val="18"/>
              </w:rPr>
            </w:pPr>
            <w:r w:rsidRPr="004D6E9F">
              <w:rPr>
                <w:szCs w:val="18"/>
              </w:rPr>
              <w:t>Aandeel</w:t>
            </w:r>
          </w:p>
        </w:tc>
      </w:tr>
      <w:tr w:rsidRPr="004D6E9F" w:rsidR="00C806B5" w:rsidTr="00DE3575" w14:paraId="2487A5B0"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7561065A" w14:textId="77777777">
            <w:pPr>
              <w:spacing w:line="276" w:lineRule="auto"/>
              <w:rPr>
                <w:b w:val="0"/>
                <w:bCs w:val="0"/>
                <w:szCs w:val="18"/>
              </w:rPr>
            </w:pPr>
            <w:r w:rsidRPr="004D6E9F">
              <w:rPr>
                <w:szCs w:val="18"/>
              </w:rPr>
              <w:t>&lt; 35 jaar</w:t>
            </w:r>
          </w:p>
        </w:tc>
        <w:tc>
          <w:tcPr>
            <w:tcW w:w="3006" w:type="dxa"/>
          </w:tcPr>
          <w:p w:rsidRPr="004D6E9F" w:rsidR="00C806B5" w:rsidP="00DE3575" w:rsidRDefault="00C806B5" w14:paraId="263D9B9D"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0%</w:t>
            </w:r>
          </w:p>
        </w:tc>
      </w:tr>
      <w:tr w:rsidRPr="004D6E9F" w:rsidR="00C806B5" w:rsidTr="00DE3575" w14:paraId="43500F67"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02EC07A4" w14:textId="77777777">
            <w:pPr>
              <w:spacing w:line="276" w:lineRule="auto"/>
              <w:rPr>
                <w:b w:val="0"/>
                <w:bCs w:val="0"/>
                <w:szCs w:val="18"/>
              </w:rPr>
            </w:pPr>
            <w:r w:rsidRPr="004D6E9F">
              <w:rPr>
                <w:szCs w:val="18"/>
              </w:rPr>
              <w:t>35 – 44 jaar</w:t>
            </w:r>
          </w:p>
        </w:tc>
        <w:tc>
          <w:tcPr>
            <w:tcW w:w="3006" w:type="dxa"/>
          </w:tcPr>
          <w:p w:rsidRPr="004D6E9F" w:rsidR="00C806B5" w:rsidP="00DE3575" w:rsidRDefault="00C806B5" w14:paraId="33EDC29F"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8%</w:t>
            </w:r>
          </w:p>
        </w:tc>
      </w:tr>
      <w:tr w:rsidRPr="004D6E9F" w:rsidR="00C806B5" w:rsidTr="00DE3575" w14:paraId="36C41CA0"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716BB164" w14:textId="77777777">
            <w:pPr>
              <w:spacing w:line="276" w:lineRule="auto"/>
              <w:rPr>
                <w:b w:val="0"/>
                <w:bCs w:val="0"/>
                <w:szCs w:val="18"/>
              </w:rPr>
            </w:pPr>
            <w:r w:rsidRPr="004D6E9F">
              <w:rPr>
                <w:szCs w:val="18"/>
              </w:rPr>
              <w:t>45 – 54 jaar</w:t>
            </w:r>
          </w:p>
        </w:tc>
        <w:tc>
          <w:tcPr>
            <w:tcW w:w="3006" w:type="dxa"/>
          </w:tcPr>
          <w:p w:rsidRPr="004D6E9F" w:rsidR="00C806B5" w:rsidP="00DE3575" w:rsidRDefault="00C806B5" w14:paraId="4B813466"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31%</w:t>
            </w:r>
          </w:p>
        </w:tc>
      </w:tr>
      <w:tr w:rsidRPr="004D6E9F" w:rsidR="00C806B5" w:rsidTr="00DE3575" w14:paraId="349620E0" w14:textId="77777777">
        <w:trPr>
          <w:trHeight w:val="254"/>
        </w:trPr>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1C8AEB5C" w14:textId="77777777">
            <w:pPr>
              <w:spacing w:line="276" w:lineRule="auto"/>
              <w:rPr>
                <w:b w:val="0"/>
                <w:bCs w:val="0"/>
                <w:szCs w:val="18"/>
              </w:rPr>
            </w:pPr>
            <w:r w:rsidRPr="004D6E9F">
              <w:rPr>
                <w:szCs w:val="18"/>
              </w:rPr>
              <w:t>55 – 64 jaar</w:t>
            </w:r>
          </w:p>
        </w:tc>
        <w:tc>
          <w:tcPr>
            <w:tcW w:w="3006" w:type="dxa"/>
          </w:tcPr>
          <w:p w:rsidRPr="004D6E9F" w:rsidR="00C806B5" w:rsidP="00DE3575" w:rsidRDefault="00C806B5" w14:paraId="1873FBF8"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46%</w:t>
            </w:r>
          </w:p>
        </w:tc>
      </w:tr>
      <w:tr w:rsidRPr="004D6E9F" w:rsidR="00C806B5" w:rsidTr="00DE3575" w14:paraId="490C7167"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7E780BA9" w14:textId="77777777">
            <w:pPr>
              <w:spacing w:line="276" w:lineRule="auto"/>
              <w:rPr>
                <w:b w:val="0"/>
                <w:bCs w:val="0"/>
                <w:szCs w:val="18"/>
              </w:rPr>
            </w:pPr>
            <w:r w:rsidRPr="004D6E9F">
              <w:rPr>
                <w:szCs w:val="18"/>
              </w:rPr>
              <w:t>65 – 67 jaar</w:t>
            </w:r>
          </w:p>
        </w:tc>
        <w:tc>
          <w:tcPr>
            <w:tcW w:w="3006" w:type="dxa"/>
          </w:tcPr>
          <w:p w:rsidRPr="004D6E9F" w:rsidR="00C806B5" w:rsidP="00DE3575" w:rsidRDefault="00C806B5" w14:paraId="5E644DE0"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15%</w:t>
            </w:r>
          </w:p>
        </w:tc>
      </w:tr>
    </w:tbl>
    <w:p w:rsidR="00C806B5" w:rsidP="00C806B5" w:rsidRDefault="00C806B5" w14:paraId="7D674CE3" w14:textId="77777777">
      <w:pPr>
        <w:spacing w:after="0" w:line="240" w:lineRule="auto"/>
        <w:rPr>
          <w:rFonts w:ascii="Verdana" w:hAnsi="Verdana"/>
          <w:sz w:val="18"/>
          <w:szCs w:val="18"/>
        </w:rPr>
      </w:pPr>
    </w:p>
    <w:p w:rsidR="00C806B5" w:rsidP="00C806B5" w:rsidRDefault="00C806B5" w14:paraId="7EFDA3D0" w14:textId="77777777">
      <w:pPr>
        <w:spacing w:after="0" w:line="240" w:lineRule="auto"/>
        <w:rPr>
          <w:rFonts w:ascii="Verdana" w:hAnsi="Verdana"/>
          <w:sz w:val="18"/>
          <w:szCs w:val="18"/>
        </w:rPr>
      </w:pPr>
      <w:r>
        <w:rPr>
          <w:rFonts w:ascii="Verdana" w:hAnsi="Verdana"/>
          <w:sz w:val="18"/>
          <w:szCs w:val="18"/>
        </w:rPr>
        <w:t>Overwegend zijn het</w:t>
      </w:r>
      <w:r w:rsidRPr="003B3B97">
        <w:rPr>
          <w:rFonts w:ascii="Verdana" w:hAnsi="Verdana"/>
          <w:sz w:val="18"/>
          <w:szCs w:val="18"/>
        </w:rPr>
        <w:t xml:space="preserve"> relatief oudere werknemers die langer dan 18 maanden gebruik maken van een WW-uitkering.</w:t>
      </w:r>
      <w:r>
        <w:rPr>
          <w:rFonts w:ascii="Verdana" w:hAnsi="Verdana"/>
          <w:sz w:val="18"/>
          <w:szCs w:val="18"/>
        </w:rPr>
        <w:t xml:space="preserve"> Dit heeft twee redenen. Ten eerste is het voor ouderen relatief lastiger om een nieuwe baan te vinden. Ten tweede hebben deze werknemers</w:t>
      </w:r>
      <w:r w:rsidRPr="003B3B97">
        <w:rPr>
          <w:rFonts w:ascii="Verdana" w:hAnsi="Verdana"/>
          <w:sz w:val="18"/>
          <w:szCs w:val="18"/>
        </w:rPr>
        <w:t xml:space="preserve"> voldoende arbeidsverleden opgebouwd om een uitkeringsrecht van meer dan 18 maanden te krijgen. </w:t>
      </w:r>
      <w:r>
        <w:rPr>
          <w:rFonts w:ascii="Verdana" w:hAnsi="Verdana"/>
          <w:sz w:val="18"/>
          <w:szCs w:val="18"/>
        </w:rPr>
        <w:t xml:space="preserve">Voor de eerste 10 jaar arbeidsverleden wordt één maand WW-recht toegekend, voor de jaren daarna een halve maand. Om recht te hebben op een WW-uitkering van 18 maanden is derhalve een arbeidsverleden van 26 jaar vereist. </w:t>
      </w:r>
    </w:p>
    <w:p w:rsidR="00C806B5" w:rsidP="00C806B5" w:rsidRDefault="00C806B5" w14:paraId="63824C6F" w14:textId="77777777">
      <w:pPr>
        <w:spacing w:after="0" w:line="240" w:lineRule="auto"/>
        <w:rPr>
          <w:rFonts w:ascii="Verdana" w:hAnsi="Verdana"/>
          <w:sz w:val="18"/>
          <w:szCs w:val="18"/>
        </w:rPr>
      </w:pPr>
    </w:p>
    <w:p w:rsidRPr="00C5308E" w:rsidR="0056088B" w:rsidP="00D87753" w:rsidRDefault="00C806B5" w14:paraId="122083EC" w14:textId="3FECF144">
      <w:pPr>
        <w:spacing w:after="0" w:line="240" w:lineRule="auto"/>
        <w:contextualSpacing/>
        <w:rPr>
          <w:rFonts w:ascii="Verdana" w:hAnsi="Verdana"/>
          <w:bCs/>
          <w:sz w:val="18"/>
          <w:szCs w:val="18"/>
        </w:rPr>
      </w:pPr>
      <w:r>
        <w:rPr>
          <w:rFonts w:ascii="Verdana" w:hAnsi="Verdana"/>
          <w:sz w:val="18"/>
          <w:szCs w:val="18"/>
        </w:rPr>
        <w:lastRenderedPageBreak/>
        <w:t>De impact van een duurverkorting hangt uiteindelijk sterk af van de arbeidsmarktpositie van de werkloze werknemer. Voor sommige werknemers zal gelden dat zij door hun zoekgedrag te intensiveren sneller een nieuwe baan zullen vinden. Tegelijkertijd zijn er ook werknemers met een grotere afstand tot de arbeidsmarkt. Voor deze werknemers is alleen intensiever zoekgedrag niet altijd voldoende om een baan te vinden. Zij kunnen terecht bij UWV voor ondersteunende dienstverlening.</w:t>
      </w:r>
    </w:p>
    <w:p w:rsidR="00FE7425" w:rsidP="0056088B" w:rsidRDefault="00FE7425" w14:paraId="46C298FE" w14:textId="77777777">
      <w:pPr>
        <w:spacing w:after="0" w:line="240" w:lineRule="auto"/>
        <w:contextualSpacing/>
        <w:rPr>
          <w:rFonts w:ascii="Verdana" w:hAnsi="Verdana"/>
          <w:bCs/>
          <w:sz w:val="18"/>
          <w:szCs w:val="18"/>
          <w:u w:val="single"/>
        </w:rPr>
      </w:pPr>
    </w:p>
    <w:p w:rsidRPr="00C5308E" w:rsidR="0056088B" w:rsidP="0056088B" w:rsidRDefault="0056088B" w14:paraId="571679FC" w14:textId="613B9B53">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108</w:t>
      </w:r>
    </w:p>
    <w:p w:rsidRPr="00C5308E" w:rsidR="0056088B" w:rsidP="0056088B" w:rsidRDefault="00250847" w14:paraId="40FA184A" w14:textId="2227E672">
      <w:pPr>
        <w:spacing w:after="0" w:line="240" w:lineRule="auto"/>
        <w:contextualSpacing/>
        <w:rPr>
          <w:rFonts w:ascii="Verdana" w:hAnsi="Verdana"/>
          <w:bCs/>
          <w:sz w:val="18"/>
          <w:szCs w:val="18"/>
        </w:rPr>
      </w:pPr>
      <w:r w:rsidRPr="00C5308E">
        <w:rPr>
          <w:rFonts w:ascii="Verdana" w:hAnsi="Verdana"/>
          <w:bCs/>
          <w:sz w:val="18"/>
          <w:szCs w:val="18"/>
        </w:rPr>
        <w:t>Wat is de impact van de duurverkorting van de WW-uitkering op andere leeftijdsgroepen dan 55-67 jarige werknemers?</w:t>
      </w:r>
    </w:p>
    <w:p w:rsidRPr="00C5308E" w:rsidR="00250847" w:rsidP="0056088B" w:rsidRDefault="00250847" w14:paraId="43983A8E" w14:textId="77777777">
      <w:pPr>
        <w:spacing w:after="0" w:line="240" w:lineRule="auto"/>
        <w:contextualSpacing/>
        <w:rPr>
          <w:rFonts w:ascii="Verdana" w:hAnsi="Verdana"/>
          <w:bCs/>
          <w:sz w:val="18"/>
          <w:szCs w:val="18"/>
        </w:rPr>
      </w:pPr>
    </w:p>
    <w:p w:rsidRPr="00C5308E" w:rsidR="0056088B" w:rsidP="0056088B" w:rsidRDefault="0056088B" w14:paraId="5582A62C" w14:textId="22B02076">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108</w:t>
      </w:r>
    </w:p>
    <w:p w:rsidR="00C806B5" w:rsidP="00C806B5" w:rsidRDefault="00C806B5" w14:paraId="56168023" w14:textId="77777777">
      <w:pPr>
        <w:spacing w:after="0" w:line="240" w:lineRule="auto"/>
        <w:rPr>
          <w:rFonts w:ascii="Verdana" w:hAnsi="Verdana"/>
          <w:sz w:val="18"/>
          <w:szCs w:val="18"/>
        </w:rPr>
      </w:pPr>
      <w:r>
        <w:rPr>
          <w:rFonts w:ascii="Verdana" w:hAnsi="Verdana"/>
          <w:sz w:val="18"/>
          <w:szCs w:val="18"/>
        </w:rPr>
        <w:t>In 2024 waren er circa 24.000 personen met een WW-uitkering die de grens van 18 maanden looptijd in dat jaar passeerden. De tabel hieronder laat deze leeftijdsverdeling van deze groep zien.</w:t>
      </w:r>
    </w:p>
    <w:p w:rsidR="00C806B5" w:rsidP="00C806B5" w:rsidRDefault="00C806B5" w14:paraId="383E9243" w14:textId="77777777">
      <w:pPr>
        <w:spacing w:after="0" w:line="240" w:lineRule="auto"/>
        <w:rPr>
          <w:rFonts w:ascii="Verdana" w:hAnsi="Verdana"/>
          <w:sz w:val="18"/>
          <w:szCs w:val="18"/>
          <w:u w:val="single"/>
        </w:rPr>
      </w:pPr>
    </w:p>
    <w:p w:rsidRPr="004D6E9F" w:rsidR="00C806B5" w:rsidP="00C806B5" w:rsidRDefault="00C806B5" w14:paraId="537DDC1F" w14:textId="77777777">
      <w:pPr>
        <w:spacing w:after="0" w:line="240" w:lineRule="auto"/>
        <w:rPr>
          <w:rFonts w:ascii="Verdana" w:hAnsi="Verdana"/>
          <w:b/>
          <w:bCs/>
          <w:sz w:val="18"/>
          <w:szCs w:val="18"/>
          <w:u w:val="single"/>
        </w:rPr>
      </w:pPr>
      <w:r w:rsidRPr="004D6E9F">
        <w:rPr>
          <w:rFonts w:ascii="Verdana" w:hAnsi="Verdana"/>
          <w:b/>
          <w:bCs/>
          <w:sz w:val="18"/>
          <w:szCs w:val="18"/>
          <w:u w:val="single"/>
        </w:rPr>
        <w:t>Leeftijdsverdeling van personen met een WW-uitkering die de grens van 18 maanden looptijd passeert in 2024.</w:t>
      </w:r>
    </w:p>
    <w:p w:rsidRPr="00600DD4" w:rsidR="00C806B5" w:rsidP="00C806B5" w:rsidRDefault="00C806B5" w14:paraId="1E726B8D" w14:textId="77777777">
      <w:pPr>
        <w:spacing w:after="0" w:line="240" w:lineRule="auto"/>
        <w:rPr>
          <w:rFonts w:ascii="Verdana" w:hAnsi="Verdana"/>
          <w:b/>
          <w:bCs/>
          <w:sz w:val="18"/>
          <w:szCs w:val="18"/>
          <w:u w:val="single"/>
        </w:rPr>
      </w:pPr>
    </w:p>
    <w:tbl>
      <w:tblPr>
        <w:tblStyle w:val="Rastertabel1licht"/>
        <w:tblW w:w="0" w:type="auto"/>
        <w:tblLook w:val="04A0" w:firstRow="1" w:lastRow="0" w:firstColumn="1" w:lastColumn="0" w:noHBand="0" w:noVBand="1"/>
      </w:tblPr>
      <w:tblGrid>
        <w:gridCol w:w="3005"/>
        <w:gridCol w:w="3006"/>
      </w:tblGrid>
      <w:tr w:rsidRPr="004D6E9F" w:rsidR="00C806B5" w:rsidTr="00DE3575" w14:paraId="644D84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2694D558" w14:textId="77777777">
            <w:pPr>
              <w:spacing w:line="276" w:lineRule="auto"/>
              <w:rPr>
                <w:szCs w:val="18"/>
              </w:rPr>
            </w:pPr>
            <w:r w:rsidRPr="004D6E9F">
              <w:rPr>
                <w:szCs w:val="18"/>
              </w:rPr>
              <w:t>Leeftijd</w:t>
            </w:r>
          </w:p>
        </w:tc>
        <w:tc>
          <w:tcPr>
            <w:tcW w:w="3006" w:type="dxa"/>
          </w:tcPr>
          <w:p w:rsidRPr="004D6E9F" w:rsidR="00C806B5" w:rsidP="00DE3575" w:rsidRDefault="00C806B5" w14:paraId="36C951A2" w14:textId="77777777">
            <w:pPr>
              <w:spacing w:line="276" w:lineRule="auto"/>
              <w:cnfStyle w:val="100000000000" w:firstRow="1" w:lastRow="0" w:firstColumn="0" w:lastColumn="0" w:oddVBand="0" w:evenVBand="0" w:oddHBand="0" w:evenHBand="0" w:firstRowFirstColumn="0" w:firstRowLastColumn="0" w:lastRowFirstColumn="0" w:lastRowLastColumn="0"/>
              <w:rPr>
                <w:szCs w:val="18"/>
              </w:rPr>
            </w:pPr>
            <w:r w:rsidRPr="004D6E9F">
              <w:rPr>
                <w:szCs w:val="18"/>
              </w:rPr>
              <w:t>Aandeel</w:t>
            </w:r>
          </w:p>
        </w:tc>
      </w:tr>
      <w:tr w:rsidRPr="004D6E9F" w:rsidR="00C806B5" w:rsidTr="00DE3575" w14:paraId="5B031EB6"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0CDA4124" w14:textId="77777777">
            <w:pPr>
              <w:spacing w:line="276" w:lineRule="auto"/>
              <w:rPr>
                <w:b w:val="0"/>
                <w:bCs w:val="0"/>
                <w:szCs w:val="18"/>
              </w:rPr>
            </w:pPr>
            <w:r w:rsidRPr="004D6E9F">
              <w:rPr>
                <w:szCs w:val="18"/>
              </w:rPr>
              <w:t>&lt; 35 jaar</w:t>
            </w:r>
          </w:p>
        </w:tc>
        <w:tc>
          <w:tcPr>
            <w:tcW w:w="3006" w:type="dxa"/>
          </w:tcPr>
          <w:p w:rsidRPr="004D6E9F" w:rsidR="00C806B5" w:rsidP="00DE3575" w:rsidRDefault="00C806B5" w14:paraId="2C01C584"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0%</w:t>
            </w:r>
          </w:p>
        </w:tc>
      </w:tr>
      <w:tr w:rsidRPr="004D6E9F" w:rsidR="00C806B5" w:rsidTr="00DE3575" w14:paraId="0A58DB3A"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21BE0A14" w14:textId="77777777">
            <w:pPr>
              <w:spacing w:line="276" w:lineRule="auto"/>
              <w:rPr>
                <w:b w:val="0"/>
                <w:bCs w:val="0"/>
                <w:szCs w:val="18"/>
              </w:rPr>
            </w:pPr>
            <w:r w:rsidRPr="004D6E9F">
              <w:rPr>
                <w:szCs w:val="18"/>
              </w:rPr>
              <w:t>35 – 44 jaar</w:t>
            </w:r>
          </w:p>
        </w:tc>
        <w:tc>
          <w:tcPr>
            <w:tcW w:w="3006" w:type="dxa"/>
          </w:tcPr>
          <w:p w:rsidRPr="004D6E9F" w:rsidR="00C806B5" w:rsidP="00DE3575" w:rsidRDefault="00C806B5" w14:paraId="12957291"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8%</w:t>
            </w:r>
          </w:p>
        </w:tc>
      </w:tr>
      <w:tr w:rsidRPr="004D6E9F" w:rsidR="00C806B5" w:rsidTr="00DE3575" w14:paraId="7625C4AC"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0DDEFC8A" w14:textId="77777777">
            <w:pPr>
              <w:spacing w:line="276" w:lineRule="auto"/>
              <w:rPr>
                <w:b w:val="0"/>
                <w:bCs w:val="0"/>
                <w:szCs w:val="18"/>
              </w:rPr>
            </w:pPr>
            <w:r w:rsidRPr="004D6E9F">
              <w:rPr>
                <w:szCs w:val="18"/>
              </w:rPr>
              <w:t>45 – 54 jaar</w:t>
            </w:r>
          </w:p>
        </w:tc>
        <w:tc>
          <w:tcPr>
            <w:tcW w:w="3006" w:type="dxa"/>
          </w:tcPr>
          <w:p w:rsidRPr="004D6E9F" w:rsidR="00C806B5" w:rsidP="00DE3575" w:rsidRDefault="00C806B5" w14:paraId="3E8B0403"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31%</w:t>
            </w:r>
          </w:p>
        </w:tc>
      </w:tr>
      <w:tr w:rsidRPr="004D6E9F" w:rsidR="00C806B5" w:rsidTr="00DE3575" w14:paraId="74B59A62" w14:textId="77777777">
        <w:trPr>
          <w:trHeight w:val="254"/>
        </w:trPr>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21F6F5AB" w14:textId="77777777">
            <w:pPr>
              <w:spacing w:line="276" w:lineRule="auto"/>
              <w:rPr>
                <w:b w:val="0"/>
                <w:bCs w:val="0"/>
                <w:szCs w:val="18"/>
              </w:rPr>
            </w:pPr>
            <w:r w:rsidRPr="004D6E9F">
              <w:rPr>
                <w:szCs w:val="18"/>
              </w:rPr>
              <w:t>55 – 64 jaar</w:t>
            </w:r>
          </w:p>
        </w:tc>
        <w:tc>
          <w:tcPr>
            <w:tcW w:w="3006" w:type="dxa"/>
          </w:tcPr>
          <w:p w:rsidRPr="004D6E9F" w:rsidR="00C806B5" w:rsidP="00DE3575" w:rsidRDefault="00C806B5" w14:paraId="1A3B6C4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46%</w:t>
            </w:r>
          </w:p>
        </w:tc>
      </w:tr>
      <w:tr w:rsidRPr="004D6E9F" w:rsidR="00C806B5" w:rsidTr="00DE3575" w14:paraId="4FFAA728" w14:textId="77777777">
        <w:tc>
          <w:tcPr>
            <w:cnfStyle w:val="001000000000" w:firstRow="0" w:lastRow="0" w:firstColumn="1" w:lastColumn="0" w:oddVBand="0" w:evenVBand="0" w:oddHBand="0" w:evenHBand="0" w:firstRowFirstColumn="0" w:firstRowLastColumn="0" w:lastRowFirstColumn="0" w:lastRowLastColumn="0"/>
            <w:tcW w:w="3005" w:type="dxa"/>
          </w:tcPr>
          <w:p w:rsidRPr="004D6E9F" w:rsidR="00C806B5" w:rsidP="00DE3575" w:rsidRDefault="00C806B5" w14:paraId="75F0A373" w14:textId="77777777">
            <w:pPr>
              <w:spacing w:line="276" w:lineRule="auto"/>
              <w:rPr>
                <w:b w:val="0"/>
                <w:bCs w:val="0"/>
                <w:szCs w:val="18"/>
              </w:rPr>
            </w:pPr>
            <w:r w:rsidRPr="004D6E9F">
              <w:rPr>
                <w:szCs w:val="18"/>
              </w:rPr>
              <w:t>65 – 67 jaar</w:t>
            </w:r>
          </w:p>
        </w:tc>
        <w:tc>
          <w:tcPr>
            <w:tcW w:w="3006" w:type="dxa"/>
          </w:tcPr>
          <w:p w:rsidRPr="004D6E9F" w:rsidR="00C806B5" w:rsidP="00DE3575" w:rsidRDefault="00C806B5" w14:paraId="2BBB6ABD"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4D6E9F">
              <w:rPr>
                <w:szCs w:val="18"/>
              </w:rPr>
              <w:t>15%</w:t>
            </w:r>
          </w:p>
        </w:tc>
      </w:tr>
    </w:tbl>
    <w:p w:rsidRPr="00600DD4" w:rsidR="00C806B5" w:rsidP="00C806B5" w:rsidRDefault="00C806B5" w14:paraId="5DEB82D8" w14:textId="77777777">
      <w:pPr>
        <w:spacing w:after="0" w:line="240" w:lineRule="auto"/>
        <w:rPr>
          <w:rFonts w:ascii="Verdana" w:hAnsi="Verdana"/>
          <w:sz w:val="18"/>
          <w:szCs w:val="18"/>
        </w:rPr>
      </w:pPr>
    </w:p>
    <w:p w:rsidRPr="00C5308E" w:rsidR="0056088B" w:rsidP="0056088B" w:rsidRDefault="00C806B5" w14:paraId="102DD747" w14:textId="7FF088C7">
      <w:pPr>
        <w:spacing w:after="0" w:line="240" w:lineRule="auto"/>
        <w:rPr>
          <w:rFonts w:ascii="Verdana" w:hAnsi="Verdana" w:eastAsia="Times New Roman"/>
          <w:bCs/>
          <w:color w:val="000000"/>
          <w:sz w:val="18"/>
          <w:szCs w:val="18"/>
        </w:rPr>
      </w:pPr>
      <w:r>
        <w:rPr>
          <w:rFonts w:ascii="Verdana" w:hAnsi="Verdana"/>
          <w:sz w:val="18"/>
          <w:szCs w:val="18"/>
        </w:rPr>
        <w:t>In de tabel is te zien dat het niet alleen 55-plussers zijn die te maken krijgen met de duurverkorting. 39% van de werknemers die het betreft zijn werknemers onder de 55 jaar. De impact van een duurverkorting hangt uiteindelijk sterk af van de arbeidsmarktpositie van de werkloze werknemer. Voor sommige werknemers zal gelden dat zij door hun zoekgedrag te intensiveren sneller een nieuwe baan zullen vinden. Tegelijkertijd zijn er ook werknemers met een grotere afstand tot de arbeidsmarkt. Voor deze werknemers is alleen intensiever zoekgedrag niet altijd voldoende om een baan te vinden. Zij kunnen terecht bij UWV voor ondersteunende dienstverlening.</w:t>
      </w:r>
    </w:p>
    <w:p w:rsidRPr="00C5308E" w:rsidR="0056088B" w:rsidP="00D87753" w:rsidRDefault="0056088B" w14:paraId="68F34121" w14:textId="77777777">
      <w:pPr>
        <w:spacing w:after="0" w:line="240" w:lineRule="auto"/>
        <w:contextualSpacing/>
        <w:rPr>
          <w:rFonts w:ascii="Verdana" w:hAnsi="Verdana"/>
          <w:bCs/>
          <w:sz w:val="18"/>
          <w:szCs w:val="18"/>
        </w:rPr>
      </w:pPr>
    </w:p>
    <w:p w:rsidRPr="00C5308E" w:rsidR="0056088B" w:rsidP="0056088B" w:rsidRDefault="0056088B" w14:paraId="3B9A66D8" w14:textId="7D481BAA">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109</w:t>
      </w:r>
    </w:p>
    <w:p w:rsidRPr="00C5308E" w:rsidR="0056088B" w:rsidP="0056088B" w:rsidRDefault="00250847" w14:paraId="148C144E" w14:textId="018E185C">
      <w:pPr>
        <w:spacing w:after="0" w:line="240" w:lineRule="auto"/>
        <w:contextualSpacing/>
        <w:rPr>
          <w:rFonts w:ascii="Verdana" w:hAnsi="Verdana"/>
          <w:bCs/>
          <w:sz w:val="18"/>
          <w:szCs w:val="18"/>
        </w:rPr>
      </w:pPr>
      <w:r w:rsidRPr="00C5308E">
        <w:rPr>
          <w:rFonts w:ascii="Verdana" w:hAnsi="Verdana"/>
          <w:bCs/>
          <w:sz w:val="18"/>
          <w:szCs w:val="18"/>
        </w:rPr>
        <w:t>Hoeveel mensen hebben volgens de meest recente jaarcijfers (2024 of ouder) een WW-uitkering ontvangen met een loopduur van tussen de 18 en 24 maanden?</w:t>
      </w:r>
    </w:p>
    <w:p w:rsidRPr="00C5308E" w:rsidR="00250847" w:rsidP="0056088B" w:rsidRDefault="00250847" w14:paraId="67771025" w14:textId="77777777">
      <w:pPr>
        <w:spacing w:after="0" w:line="240" w:lineRule="auto"/>
        <w:contextualSpacing/>
        <w:rPr>
          <w:rFonts w:ascii="Verdana" w:hAnsi="Verdana"/>
          <w:bCs/>
          <w:sz w:val="18"/>
          <w:szCs w:val="18"/>
        </w:rPr>
      </w:pPr>
    </w:p>
    <w:p w:rsidRPr="00C5308E" w:rsidR="0056088B" w:rsidP="0056088B" w:rsidRDefault="0056088B" w14:paraId="5CF3B226" w14:textId="2CEF9065">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10</w:t>
      </w:r>
      <w:r w:rsidRPr="00C5308E">
        <w:rPr>
          <w:rFonts w:ascii="Verdana" w:hAnsi="Verdana"/>
          <w:bCs/>
          <w:sz w:val="18"/>
          <w:szCs w:val="18"/>
          <w:u w:val="single"/>
        </w:rPr>
        <w:t>9</w:t>
      </w:r>
    </w:p>
    <w:p w:rsidRPr="00C5308E" w:rsidR="0056088B" w:rsidP="00D87753" w:rsidRDefault="00C806B5" w14:paraId="61E36851" w14:textId="5522ABA0">
      <w:pPr>
        <w:spacing w:after="0" w:line="240" w:lineRule="auto"/>
        <w:contextualSpacing/>
        <w:rPr>
          <w:rFonts w:ascii="Verdana" w:hAnsi="Verdana"/>
          <w:bCs/>
          <w:sz w:val="18"/>
          <w:szCs w:val="18"/>
        </w:rPr>
      </w:pPr>
      <w:r>
        <w:rPr>
          <w:rFonts w:ascii="Verdana" w:hAnsi="Verdana"/>
          <w:sz w:val="18"/>
          <w:szCs w:val="18"/>
        </w:rPr>
        <w:t xml:space="preserve">In 2024 waren er 24.000 personen met een WW-uitkering die de grens van 18 maanden looptijd in dat jaar passeerden. </w:t>
      </w:r>
    </w:p>
    <w:p w:rsidR="00FE7425" w:rsidP="0056088B" w:rsidRDefault="00FE7425" w14:paraId="2B14324E" w14:textId="77777777">
      <w:pPr>
        <w:spacing w:after="0" w:line="240" w:lineRule="auto"/>
        <w:contextualSpacing/>
        <w:rPr>
          <w:rFonts w:ascii="Verdana" w:hAnsi="Verdana"/>
          <w:bCs/>
          <w:sz w:val="18"/>
          <w:szCs w:val="18"/>
          <w:u w:val="single"/>
        </w:rPr>
      </w:pPr>
    </w:p>
    <w:p w:rsidRPr="00C5308E" w:rsidR="0056088B" w:rsidP="0056088B" w:rsidRDefault="0056088B" w14:paraId="00791870" w14:textId="327419F2">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110</w:t>
      </w:r>
    </w:p>
    <w:p w:rsidRPr="00C5308E" w:rsidR="0056088B" w:rsidP="0056088B" w:rsidRDefault="00250847" w14:paraId="003700E1" w14:textId="65B0310D">
      <w:pPr>
        <w:spacing w:after="0" w:line="240" w:lineRule="auto"/>
        <w:contextualSpacing/>
        <w:rPr>
          <w:rFonts w:ascii="Verdana" w:hAnsi="Verdana"/>
          <w:bCs/>
          <w:sz w:val="18"/>
          <w:szCs w:val="18"/>
        </w:rPr>
      </w:pPr>
      <w:r w:rsidRPr="00C5308E">
        <w:rPr>
          <w:rFonts w:ascii="Verdana" w:hAnsi="Verdana"/>
          <w:bCs/>
          <w:sz w:val="18"/>
          <w:szCs w:val="18"/>
        </w:rPr>
        <w:t>Hoeveel mensen hebben volgens de meest recente jaarcijfers (2024 of ouder) een WGA-loongerelateerde uitkering ontvangen met een loopduur van tussen de 18 en 24 maanden?</w:t>
      </w:r>
    </w:p>
    <w:p w:rsidRPr="00C5308E" w:rsidR="00250847" w:rsidP="0056088B" w:rsidRDefault="00250847" w14:paraId="1FB4F3CD" w14:textId="77777777">
      <w:pPr>
        <w:spacing w:after="0" w:line="240" w:lineRule="auto"/>
        <w:contextualSpacing/>
        <w:rPr>
          <w:rFonts w:ascii="Verdana" w:hAnsi="Verdana"/>
          <w:bCs/>
          <w:sz w:val="18"/>
          <w:szCs w:val="18"/>
        </w:rPr>
      </w:pPr>
    </w:p>
    <w:p w:rsidRPr="00C5308E" w:rsidR="0056088B" w:rsidP="0056088B" w:rsidRDefault="0056088B" w14:paraId="59296452" w14:textId="56C36C48">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110</w:t>
      </w:r>
    </w:p>
    <w:p w:rsidRPr="00C5308E" w:rsidR="0056088B" w:rsidP="00D87753" w:rsidRDefault="00C806B5" w14:paraId="599D3EA5" w14:textId="7419A260">
      <w:pPr>
        <w:spacing w:after="0" w:line="240" w:lineRule="auto"/>
        <w:contextualSpacing/>
        <w:rPr>
          <w:rFonts w:ascii="Verdana" w:hAnsi="Verdana"/>
          <w:bCs/>
          <w:sz w:val="18"/>
          <w:szCs w:val="18"/>
        </w:rPr>
      </w:pPr>
      <w:r>
        <w:rPr>
          <w:rFonts w:ascii="Verdana" w:hAnsi="Verdana"/>
          <w:sz w:val="18"/>
          <w:szCs w:val="18"/>
        </w:rPr>
        <w:t xml:space="preserve">In 2024 waren er 18.000 personen met een loongerelateerde WGA-uitkering die de grens van 18 maanden looptijd in dat jaar passeerden. </w:t>
      </w:r>
    </w:p>
    <w:p w:rsidR="00FE7425" w:rsidP="0056088B" w:rsidRDefault="00FE7425" w14:paraId="1F816811" w14:textId="77777777">
      <w:pPr>
        <w:spacing w:after="0" w:line="240" w:lineRule="auto"/>
        <w:contextualSpacing/>
        <w:rPr>
          <w:rFonts w:ascii="Verdana" w:hAnsi="Verdana"/>
          <w:bCs/>
          <w:sz w:val="18"/>
          <w:szCs w:val="18"/>
          <w:u w:val="single"/>
        </w:rPr>
      </w:pPr>
    </w:p>
    <w:p w:rsidRPr="00C5308E" w:rsidR="0056088B" w:rsidP="0056088B" w:rsidRDefault="0056088B" w14:paraId="12A9FCAA" w14:textId="40DAA890">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111</w:t>
      </w:r>
    </w:p>
    <w:p w:rsidRPr="00C5308E" w:rsidR="0056088B" w:rsidP="0056088B" w:rsidRDefault="00250847" w14:paraId="4CBAA941" w14:textId="0DD83477">
      <w:pPr>
        <w:spacing w:after="0" w:line="240" w:lineRule="auto"/>
        <w:contextualSpacing/>
        <w:rPr>
          <w:rFonts w:ascii="Verdana" w:hAnsi="Verdana"/>
          <w:bCs/>
          <w:sz w:val="18"/>
          <w:szCs w:val="18"/>
        </w:rPr>
      </w:pPr>
      <w:r w:rsidRPr="00C5308E">
        <w:rPr>
          <w:rFonts w:ascii="Verdana" w:hAnsi="Verdana"/>
          <w:bCs/>
          <w:sz w:val="18"/>
          <w:szCs w:val="18"/>
        </w:rPr>
        <w:t>Wat is de verwachte doorstroom van de WW naar de Participatiewet indien de WW 1 januari 2027 wordt ingekort van 24 naar 18 maanden?</w:t>
      </w:r>
    </w:p>
    <w:p w:rsidRPr="00C5308E" w:rsidR="00250847" w:rsidP="0056088B" w:rsidRDefault="00250847" w14:paraId="45C256DE" w14:textId="77777777">
      <w:pPr>
        <w:spacing w:after="0" w:line="240" w:lineRule="auto"/>
        <w:contextualSpacing/>
        <w:rPr>
          <w:rFonts w:ascii="Verdana" w:hAnsi="Verdana"/>
          <w:bCs/>
          <w:sz w:val="18"/>
          <w:szCs w:val="18"/>
        </w:rPr>
      </w:pPr>
    </w:p>
    <w:p w:rsidRPr="00C5308E" w:rsidR="0056088B" w:rsidP="0056088B" w:rsidRDefault="0056088B" w14:paraId="2FFBFB08" w14:textId="24C7EAA6">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111</w:t>
      </w:r>
    </w:p>
    <w:p w:rsidRPr="00C5308E" w:rsidR="0056088B" w:rsidP="00D87753" w:rsidRDefault="00C806B5" w14:paraId="34CF6031" w14:textId="7452BDE8">
      <w:pPr>
        <w:spacing w:after="0" w:line="240" w:lineRule="auto"/>
        <w:contextualSpacing/>
        <w:rPr>
          <w:rFonts w:ascii="Verdana" w:hAnsi="Verdana"/>
          <w:bCs/>
          <w:sz w:val="18"/>
          <w:szCs w:val="18"/>
        </w:rPr>
      </w:pPr>
      <w:r>
        <w:rPr>
          <w:rFonts w:ascii="Verdana" w:hAnsi="Verdana"/>
          <w:sz w:val="18"/>
          <w:szCs w:val="18"/>
        </w:rPr>
        <w:t xml:space="preserve">Als gevolg van een duurverkorting naar 18 maanden stromen naar verwachting maximaal 4.000 mensen extra van de WW-uitkering door naar de Participatiewet. </w:t>
      </w:r>
    </w:p>
    <w:p w:rsidR="00FE7425" w:rsidP="0056088B" w:rsidRDefault="00FE7425" w14:paraId="1518590E" w14:textId="77777777">
      <w:pPr>
        <w:spacing w:after="0" w:line="240" w:lineRule="auto"/>
        <w:contextualSpacing/>
        <w:rPr>
          <w:rFonts w:ascii="Verdana" w:hAnsi="Verdana"/>
          <w:bCs/>
          <w:sz w:val="18"/>
          <w:szCs w:val="18"/>
          <w:u w:val="single"/>
        </w:rPr>
      </w:pPr>
    </w:p>
    <w:p w:rsidRPr="00C5308E" w:rsidR="0056088B" w:rsidP="0056088B" w:rsidRDefault="0056088B" w14:paraId="5A35D934" w14:textId="4282202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112</w:t>
      </w:r>
    </w:p>
    <w:p w:rsidRPr="00C5308E" w:rsidR="0056088B" w:rsidP="0056088B" w:rsidRDefault="00250847" w14:paraId="0325B6F0" w14:textId="41A65F88">
      <w:pPr>
        <w:spacing w:after="0" w:line="240" w:lineRule="auto"/>
        <w:contextualSpacing/>
        <w:rPr>
          <w:rFonts w:ascii="Verdana" w:hAnsi="Verdana"/>
          <w:bCs/>
          <w:sz w:val="18"/>
          <w:szCs w:val="18"/>
        </w:rPr>
      </w:pPr>
      <w:r w:rsidRPr="00C5308E">
        <w:rPr>
          <w:rFonts w:ascii="Verdana" w:hAnsi="Verdana"/>
          <w:bCs/>
          <w:sz w:val="18"/>
          <w:szCs w:val="18"/>
        </w:rPr>
        <w:t>Welke maatregelen en prikkels voor re-integratie in werk zitten verwerkt in de huidige duur van de WW?</w:t>
      </w:r>
    </w:p>
    <w:p w:rsidRPr="00C5308E" w:rsidR="00250847" w:rsidP="0056088B" w:rsidRDefault="00250847" w14:paraId="232D4566" w14:textId="77777777">
      <w:pPr>
        <w:spacing w:after="0" w:line="240" w:lineRule="auto"/>
        <w:contextualSpacing/>
        <w:rPr>
          <w:rFonts w:ascii="Verdana" w:hAnsi="Verdana"/>
          <w:bCs/>
          <w:sz w:val="18"/>
          <w:szCs w:val="18"/>
        </w:rPr>
      </w:pPr>
    </w:p>
    <w:p w:rsidRPr="00C5308E" w:rsidR="0056088B" w:rsidP="0056088B" w:rsidRDefault="0056088B" w14:paraId="58E7D852" w14:textId="50D369F4">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112</w:t>
      </w:r>
    </w:p>
    <w:p w:rsidRPr="00C5308E" w:rsidR="0056088B" w:rsidP="00D87753" w:rsidRDefault="00C806B5" w14:paraId="6845D629" w14:textId="00AF18C3">
      <w:pPr>
        <w:spacing w:after="0" w:line="240" w:lineRule="auto"/>
        <w:contextualSpacing/>
        <w:rPr>
          <w:rFonts w:ascii="Verdana" w:hAnsi="Verdana"/>
          <w:bCs/>
          <w:sz w:val="18"/>
          <w:szCs w:val="18"/>
        </w:rPr>
      </w:pPr>
      <w:r w:rsidRPr="00DD2887">
        <w:rPr>
          <w:rFonts w:ascii="Verdana" w:hAnsi="Verdana"/>
          <w:sz w:val="18"/>
          <w:szCs w:val="18"/>
        </w:rPr>
        <w:t xml:space="preserve">De Werkloosheidswet (WW) biedt werknemers een verzekering tegen het risico van </w:t>
      </w:r>
      <w:r w:rsidRPr="00357318">
        <w:rPr>
          <w:rFonts w:ascii="Verdana" w:hAnsi="Verdana"/>
          <w:sz w:val="18"/>
          <w:szCs w:val="18"/>
        </w:rPr>
        <w:t>inkomensverlies als gevolg van werkloosheid. De financiële zekerheid die de WW geeft gaat gelijk op met de inspanningsverplichting van de werknemer om snel en actief op zoek te gaan naar een nieuwe baan. De WW fungeert hiermee als een vangnet, dat tegelijk een springplank naar nieuw werk moet zijn.</w:t>
      </w:r>
      <w:r w:rsidRPr="00357318">
        <w:rPr>
          <w:rFonts w:ascii="Verdana" w:hAnsi="Verdana"/>
          <w:sz w:val="18"/>
          <w:szCs w:val="18"/>
        </w:rPr>
        <w:br/>
      </w:r>
      <w:r w:rsidRPr="00357318">
        <w:rPr>
          <w:rFonts w:ascii="Verdana" w:hAnsi="Verdana"/>
          <w:sz w:val="18"/>
          <w:szCs w:val="18"/>
        </w:rPr>
        <w:br/>
        <w:t xml:space="preserve">Met de inwerkingtreding van de Wet werk en zekerheid (Wwz) in 2016 is de WW activerender gemaakt. Zo is met de Wwz inkomensverrekening vanaf de eerste werkloosheidsdag geïntroduceerd, in plaats van urenverrekening. De systematiek van urenverrekening leidde tot een lager totaal inkomen in de situatie dat een werknemer het werk hervatte tegen een loon dat lager was dan de hoogte van de uitkering. Om werkhervatting tegen een lager loon niet te ontmoedigen, is de systematiek van urenverrekening in de WW vervangen door </w:t>
      </w:r>
      <w:r w:rsidRPr="00882A4B">
        <w:rPr>
          <w:rFonts w:ascii="Verdana" w:hAnsi="Verdana"/>
          <w:sz w:val="18"/>
          <w:szCs w:val="18"/>
        </w:rPr>
        <w:t>de systematiek van inkomensverrekening. Hierdoor wordt een deel van de inkomsten uit die baan in mindering gebracht op de uitkering. Hiermee wordt bereikt dat werken naast een WW-uitkering lonend is. Daarnaast is met de Wwz het begrip passende arbeid aangescherpt. De aanpassing houdt in dat na zes maanden, in plaats van de tot dan toe geldende twaalf maanden, alle arbeid in beginsel als passend wordt aangemerkt. Dit versterkt de activerende werking van de WW, omdat werkloze werknemers een sterke prikkel krijgen om in een vroeg(er) stadium op een lager opleidingsniveau of tegen een lager loon werk te aanvaarden, als blijkt dat werk vinden op het eigen opleidingsniveau</w:t>
      </w:r>
      <w:r w:rsidRPr="00357318">
        <w:rPr>
          <w:rFonts w:ascii="Verdana" w:hAnsi="Verdana"/>
          <w:sz w:val="18"/>
          <w:szCs w:val="18"/>
        </w:rPr>
        <w:t xml:space="preserve"> of loonniveau van het vorige werk binnen zes maanden niet lukt.</w:t>
      </w:r>
      <w:r>
        <w:rPr>
          <w:rFonts w:ascii="Verdana" w:hAnsi="Verdana"/>
          <w:sz w:val="18"/>
          <w:szCs w:val="18"/>
        </w:rPr>
        <w:t xml:space="preserve"> </w:t>
      </w:r>
    </w:p>
    <w:p w:rsidR="00FE7425" w:rsidP="0056088B" w:rsidRDefault="00FE7425" w14:paraId="11D14C2B" w14:textId="77777777">
      <w:pPr>
        <w:spacing w:after="0" w:line="240" w:lineRule="auto"/>
        <w:contextualSpacing/>
        <w:rPr>
          <w:rFonts w:ascii="Verdana" w:hAnsi="Verdana"/>
          <w:bCs/>
          <w:sz w:val="18"/>
          <w:szCs w:val="18"/>
          <w:u w:val="single"/>
        </w:rPr>
      </w:pPr>
    </w:p>
    <w:p w:rsidRPr="00C5308E" w:rsidR="0056088B" w:rsidP="0056088B" w:rsidRDefault="0056088B" w14:paraId="794C580A" w14:textId="621D1C3D">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sidRPr="00C5308E" w:rsidR="00250847">
        <w:rPr>
          <w:rFonts w:ascii="Verdana" w:hAnsi="Verdana"/>
          <w:bCs/>
          <w:sz w:val="18"/>
          <w:szCs w:val="18"/>
          <w:u w:val="single"/>
        </w:rPr>
        <w:t>113</w:t>
      </w:r>
    </w:p>
    <w:p w:rsidRPr="00C5308E" w:rsidR="0056088B" w:rsidP="0056088B" w:rsidRDefault="00250847" w14:paraId="54A4E78F" w14:textId="2F6D836C">
      <w:pPr>
        <w:spacing w:after="0" w:line="240" w:lineRule="auto"/>
        <w:contextualSpacing/>
        <w:rPr>
          <w:rFonts w:ascii="Verdana" w:hAnsi="Verdana"/>
          <w:bCs/>
          <w:sz w:val="18"/>
          <w:szCs w:val="18"/>
        </w:rPr>
      </w:pPr>
      <w:r w:rsidRPr="00C5308E">
        <w:rPr>
          <w:rFonts w:ascii="Verdana" w:hAnsi="Verdana"/>
          <w:bCs/>
          <w:sz w:val="18"/>
          <w:szCs w:val="18"/>
        </w:rPr>
        <w:t>Welk flankerend beleid is denkbaar om de negatieve effecten van de WW-verkorting naar 18 maanden zoveel mogelijk te mitigeren?</w:t>
      </w:r>
    </w:p>
    <w:p w:rsidRPr="00C5308E" w:rsidR="00250847" w:rsidP="0056088B" w:rsidRDefault="00250847" w14:paraId="5C5C7207" w14:textId="77777777">
      <w:pPr>
        <w:spacing w:after="0" w:line="240" w:lineRule="auto"/>
        <w:contextualSpacing/>
        <w:rPr>
          <w:rFonts w:ascii="Verdana" w:hAnsi="Verdana"/>
          <w:bCs/>
          <w:sz w:val="18"/>
          <w:szCs w:val="18"/>
        </w:rPr>
      </w:pPr>
    </w:p>
    <w:p w:rsidRPr="00C5308E" w:rsidR="0056088B" w:rsidP="0056088B" w:rsidRDefault="0056088B" w14:paraId="5554424C" w14:textId="09423C4E">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w:t>
      </w:r>
      <w:r w:rsidRPr="00C5308E" w:rsidR="00250847">
        <w:rPr>
          <w:rFonts w:ascii="Verdana" w:hAnsi="Verdana"/>
          <w:bCs/>
          <w:sz w:val="18"/>
          <w:szCs w:val="18"/>
          <w:u w:val="single"/>
        </w:rPr>
        <w:t>113</w:t>
      </w:r>
    </w:p>
    <w:p w:rsidRPr="00C5308E" w:rsidR="0056088B" w:rsidP="00D87753" w:rsidRDefault="00C806B5" w14:paraId="3856E999" w14:textId="655A4DF4">
      <w:pPr>
        <w:spacing w:after="0" w:line="240" w:lineRule="auto"/>
        <w:contextualSpacing/>
        <w:rPr>
          <w:rFonts w:ascii="Verdana" w:hAnsi="Verdana"/>
          <w:bCs/>
          <w:sz w:val="18"/>
          <w:szCs w:val="18"/>
        </w:rPr>
      </w:pPr>
      <w:r w:rsidRPr="00CA1167">
        <w:rPr>
          <w:rFonts w:ascii="Verdana" w:hAnsi="Verdana"/>
          <w:sz w:val="18"/>
          <w:szCs w:val="18"/>
        </w:rPr>
        <w:t xml:space="preserve">In algemene zin zou </w:t>
      </w:r>
      <w:r>
        <w:rPr>
          <w:rFonts w:ascii="Verdana" w:hAnsi="Verdana"/>
          <w:sz w:val="18"/>
          <w:szCs w:val="18"/>
        </w:rPr>
        <w:t xml:space="preserve">het bestaande instrumentarium geïntensiveerd kunnen worden of </w:t>
      </w:r>
      <w:r w:rsidRPr="00CA1167">
        <w:rPr>
          <w:rFonts w:ascii="Verdana" w:hAnsi="Verdana"/>
          <w:sz w:val="18"/>
          <w:szCs w:val="18"/>
        </w:rPr>
        <w:t>nieuw flankerend beleid ontwikkeld kunnen worden. Het bestaande instrumentarium bestaat uit</w:t>
      </w:r>
      <w:r>
        <w:rPr>
          <w:rFonts w:ascii="Verdana" w:hAnsi="Verdana"/>
          <w:sz w:val="18"/>
          <w:szCs w:val="18"/>
        </w:rPr>
        <w:t xml:space="preserve"> (online) basisdienstverlening voor alle WW-gerechtigden. Aanvullend biedt UWV</w:t>
      </w:r>
      <w:r w:rsidRPr="00CA1167">
        <w:rPr>
          <w:rFonts w:ascii="Verdana" w:hAnsi="Verdana"/>
          <w:sz w:val="18"/>
          <w:szCs w:val="18"/>
        </w:rPr>
        <w:t xml:space="preserve"> </w:t>
      </w:r>
      <w:r>
        <w:rPr>
          <w:rFonts w:ascii="Verdana" w:hAnsi="Verdana"/>
          <w:sz w:val="18"/>
          <w:szCs w:val="18"/>
        </w:rPr>
        <w:t xml:space="preserve">voor WW-gerechtigden die dat nodig hebben </w:t>
      </w:r>
      <w:r w:rsidRPr="00CA1167">
        <w:rPr>
          <w:rFonts w:ascii="Verdana" w:hAnsi="Verdana"/>
          <w:sz w:val="18"/>
          <w:szCs w:val="18"/>
        </w:rPr>
        <w:t>persoonlijke begeleidingsgesprekken</w:t>
      </w:r>
      <w:r>
        <w:rPr>
          <w:rFonts w:ascii="Verdana" w:hAnsi="Verdana"/>
          <w:sz w:val="18"/>
          <w:szCs w:val="18"/>
        </w:rPr>
        <w:t xml:space="preserve">, </w:t>
      </w:r>
      <w:r w:rsidRPr="00CA1167">
        <w:rPr>
          <w:rFonts w:ascii="Verdana" w:hAnsi="Verdana"/>
          <w:sz w:val="18"/>
          <w:szCs w:val="18"/>
        </w:rPr>
        <w:t>scholing of inkoop van re-integratie</w:t>
      </w:r>
      <w:r>
        <w:rPr>
          <w:rFonts w:ascii="Verdana" w:hAnsi="Verdana"/>
          <w:sz w:val="18"/>
          <w:szCs w:val="18"/>
        </w:rPr>
        <w:t>dienstverlening.</w:t>
      </w:r>
    </w:p>
    <w:p w:rsidR="00FE7425" w:rsidP="00D87753" w:rsidRDefault="00FE7425" w14:paraId="027D2505" w14:textId="77777777">
      <w:pPr>
        <w:spacing w:after="0" w:line="240" w:lineRule="auto"/>
        <w:contextualSpacing/>
        <w:rPr>
          <w:rFonts w:ascii="Verdana" w:hAnsi="Verdana"/>
          <w:bCs/>
          <w:sz w:val="18"/>
          <w:szCs w:val="18"/>
          <w:u w:val="single"/>
        </w:rPr>
      </w:pPr>
    </w:p>
    <w:p w:rsidRPr="00C5308E" w:rsidR="00467E77" w:rsidP="00D87753" w:rsidRDefault="00467E77" w14:paraId="08C46640" w14:textId="2563D8B4">
      <w:pPr>
        <w:spacing w:after="0" w:line="240" w:lineRule="auto"/>
        <w:contextualSpacing/>
        <w:rPr>
          <w:rFonts w:ascii="Verdana" w:hAnsi="Verdana"/>
          <w:bCs/>
          <w:sz w:val="18"/>
          <w:szCs w:val="18"/>
          <w:u w:val="single"/>
        </w:rPr>
      </w:pPr>
      <w:r w:rsidRPr="00C5308E">
        <w:rPr>
          <w:rFonts w:ascii="Verdana" w:hAnsi="Verdana"/>
          <w:bCs/>
          <w:sz w:val="18"/>
          <w:szCs w:val="18"/>
          <w:u w:val="single"/>
        </w:rPr>
        <w:t>Vraag 114</w:t>
      </w:r>
    </w:p>
    <w:p w:rsidRPr="00C5308E" w:rsidR="00467E77" w:rsidP="00D87753" w:rsidRDefault="00467E77" w14:paraId="71934FBB" w14:textId="77777777">
      <w:pPr>
        <w:spacing w:after="0" w:line="240" w:lineRule="auto"/>
        <w:contextualSpacing/>
        <w:rPr>
          <w:rFonts w:ascii="Verdana" w:hAnsi="Verdana"/>
          <w:bCs/>
          <w:sz w:val="18"/>
          <w:szCs w:val="18"/>
        </w:rPr>
      </w:pPr>
      <w:r w:rsidRPr="00C5308E">
        <w:rPr>
          <w:rFonts w:ascii="Verdana" w:hAnsi="Verdana"/>
          <w:bCs/>
          <w:sz w:val="18"/>
          <w:szCs w:val="18"/>
        </w:rPr>
        <w:t>Hoe is de structurele € 36 miljoen per jaar gereserveerd voor het UWV zodat het financieringstekort bij het sociaal-medisch beoordelen kan worden opgevangen en taakdelegatie kan worden uitgebreid opgebouwd?</w:t>
      </w:r>
    </w:p>
    <w:p w:rsidRPr="00C5308E" w:rsidR="00467E77" w:rsidP="00D87753" w:rsidRDefault="00467E77" w14:paraId="3B66B8C3" w14:textId="77777777">
      <w:pPr>
        <w:spacing w:after="0" w:line="240" w:lineRule="auto"/>
        <w:contextualSpacing/>
        <w:rPr>
          <w:rFonts w:ascii="Verdana" w:hAnsi="Verdana"/>
          <w:bCs/>
          <w:sz w:val="18"/>
          <w:szCs w:val="18"/>
        </w:rPr>
      </w:pPr>
    </w:p>
    <w:p w:rsidRPr="00C5308E" w:rsidR="00467E77" w:rsidP="00D87753" w:rsidRDefault="00467E77" w14:paraId="6ECAE62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114</w:t>
      </w:r>
    </w:p>
    <w:p w:rsidRPr="00C5308E" w:rsidR="00467E77" w:rsidP="00D87753" w:rsidRDefault="00467E77" w14:paraId="78ED6EA4" w14:textId="0F2DED1E">
      <w:pPr>
        <w:spacing w:after="0" w:line="240" w:lineRule="auto"/>
        <w:contextualSpacing/>
        <w:rPr>
          <w:rFonts w:ascii="Verdana" w:hAnsi="Verdana"/>
          <w:bCs/>
          <w:sz w:val="18"/>
          <w:szCs w:val="18"/>
        </w:rPr>
      </w:pPr>
      <w:r w:rsidRPr="00C5308E">
        <w:rPr>
          <w:rFonts w:ascii="Verdana" w:hAnsi="Verdana"/>
          <w:bCs/>
          <w:sz w:val="18"/>
          <w:szCs w:val="18"/>
        </w:rPr>
        <w:t>Als gevolg van de vorming van sociaal-medische centra (SMC’s) bedraagt het structurele financieringstekort bij de divisie sociaal-medische zaken € 16 miljoen per jaar.</w:t>
      </w:r>
      <w:r w:rsidRPr="00C5308E" w:rsidR="00085AD3">
        <w:rPr>
          <w:rFonts w:ascii="Verdana" w:hAnsi="Verdana"/>
          <w:bCs/>
          <w:sz w:val="18"/>
          <w:szCs w:val="18"/>
        </w:rPr>
        <w:t xml:space="preserve"> Dat wordt hiermee opgelost.</w:t>
      </w:r>
      <w:r w:rsidRPr="00C5308E">
        <w:rPr>
          <w:rFonts w:ascii="Verdana" w:hAnsi="Verdana"/>
          <w:bCs/>
          <w:sz w:val="18"/>
          <w:szCs w:val="18"/>
        </w:rPr>
        <w:t xml:space="preserve"> De resterende € 20 miljoen is bestemd voor het uitbreiden van taakdelegatie. Het doel van deze aanvullende middelen is om de omslag naar SMC’s te versnellen. Aan deze extra middelen is een prestatieafspraak verbonden, waar ik voor de zomer meer informatie over verstrek.</w:t>
      </w:r>
    </w:p>
    <w:p w:rsidRPr="00C5308E" w:rsidR="00467E77" w:rsidP="00D87753" w:rsidRDefault="00467E77" w14:paraId="472A1009" w14:textId="77777777">
      <w:pPr>
        <w:spacing w:after="0" w:line="240" w:lineRule="auto"/>
        <w:contextualSpacing/>
        <w:rPr>
          <w:rFonts w:ascii="Verdana" w:hAnsi="Verdana"/>
          <w:bCs/>
          <w:sz w:val="18"/>
          <w:szCs w:val="18"/>
        </w:rPr>
      </w:pPr>
    </w:p>
    <w:p w:rsidRPr="00C5308E" w:rsidR="00CC30C7" w:rsidP="00D87753" w:rsidRDefault="00CC30C7" w14:paraId="77C9D3C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115</w:t>
      </w:r>
    </w:p>
    <w:p w:rsidRPr="00C5308E" w:rsidR="00CC30C7" w:rsidP="00D87753" w:rsidRDefault="00CC30C7" w14:paraId="14CEC6D3" w14:textId="77777777">
      <w:pPr>
        <w:spacing w:after="0" w:line="240" w:lineRule="auto"/>
        <w:contextualSpacing/>
        <w:rPr>
          <w:rFonts w:ascii="Verdana" w:hAnsi="Verdana"/>
          <w:bCs/>
          <w:sz w:val="18"/>
          <w:szCs w:val="18"/>
        </w:rPr>
      </w:pPr>
      <w:r w:rsidRPr="00C5308E">
        <w:rPr>
          <w:rFonts w:ascii="Verdana" w:hAnsi="Verdana"/>
          <w:bCs/>
          <w:sz w:val="18"/>
          <w:szCs w:val="18"/>
        </w:rPr>
        <w:t>Waarom is er gekozen voor een tijdspanne van 50 jaar omtrent OCTAS en waar is dat op gebaseerd?</w:t>
      </w:r>
    </w:p>
    <w:p w:rsidRPr="00C5308E" w:rsidR="00CC30C7" w:rsidP="00D87753" w:rsidRDefault="00CC30C7" w14:paraId="5BAE496B" w14:textId="77777777">
      <w:pPr>
        <w:spacing w:after="0" w:line="240" w:lineRule="auto"/>
        <w:contextualSpacing/>
        <w:rPr>
          <w:rFonts w:ascii="Verdana" w:hAnsi="Verdana"/>
          <w:bCs/>
          <w:sz w:val="18"/>
          <w:szCs w:val="18"/>
        </w:rPr>
      </w:pPr>
    </w:p>
    <w:p w:rsidRPr="00C5308E" w:rsidR="00CC30C7" w:rsidP="00D87753" w:rsidRDefault="00CC30C7" w14:paraId="5EB78E3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115</w:t>
      </w:r>
    </w:p>
    <w:p w:rsidRPr="00C5308E" w:rsidR="00CC30C7" w:rsidP="00D87753" w:rsidRDefault="00CC30C7" w14:paraId="42D81D63" w14:textId="0533C3D1">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3D0897">
        <w:rPr>
          <w:rFonts w:ascii="Verdana" w:hAnsi="Verdana"/>
          <w:bCs/>
          <w:sz w:val="18"/>
          <w:szCs w:val="18"/>
        </w:rPr>
        <w:t>V</w:t>
      </w:r>
      <w:r w:rsidRPr="00C5308E">
        <w:rPr>
          <w:rFonts w:ascii="Verdana" w:hAnsi="Verdana"/>
          <w:bCs/>
          <w:sz w:val="18"/>
          <w:szCs w:val="18"/>
        </w:rPr>
        <w:t xml:space="preserve">oorjaarsnota € 197 miljoen structureel vrijgemaakt voor structurele verbeteringen van het arbeidsongeschiktheidsstelsel. De reservering bouwt in 50 jaar geleidelijk op, omdat WIA-uitkeringsgerechtigden tot aan de pensioenleeftijd in de WIA kunnen verblijven. De raming is gebaseerd op maatregelen waarvoor geldt dat het na invoering vele jaren duurt voordat alle uitkeringsgerechtigden in de WIA door deze beleidsmaatregelen worden geraakt. Hiermee is in de budgettaire raming rekening gehouden. </w:t>
      </w:r>
    </w:p>
    <w:p w:rsidRPr="00C5308E" w:rsidR="00D117F7" w:rsidP="00D87753" w:rsidRDefault="00D117F7" w14:paraId="1F9A007C" w14:textId="77777777">
      <w:pPr>
        <w:spacing w:line="240" w:lineRule="auto"/>
        <w:contextualSpacing/>
        <w:rPr>
          <w:rFonts w:ascii="Verdana" w:hAnsi="Verdana"/>
          <w:bCs/>
          <w:sz w:val="18"/>
          <w:szCs w:val="18"/>
        </w:rPr>
      </w:pPr>
    </w:p>
    <w:p w:rsidRPr="00C5308E" w:rsidR="00CC30C7" w:rsidP="00D87753" w:rsidRDefault="00CC30C7" w14:paraId="1440C7D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116</w:t>
      </w:r>
    </w:p>
    <w:p w:rsidR="00CC30C7" w:rsidP="00D87753" w:rsidRDefault="00CC30C7" w14:paraId="77381D91" w14:textId="4D10234C">
      <w:pPr>
        <w:spacing w:after="0" w:line="240" w:lineRule="auto"/>
        <w:contextualSpacing/>
        <w:rPr>
          <w:rFonts w:ascii="Verdana" w:hAnsi="Verdana"/>
          <w:bCs/>
          <w:sz w:val="18"/>
          <w:szCs w:val="18"/>
        </w:rPr>
      </w:pPr>
      <w:r w:rsidRPr="00C5308E">
        <w:rPr>
          <w:rFonts w:ascii="Verdana" w:hAnsi="Verdana"/>
          <w:bCs/>
          <w:sz w:val="18"/>
          <w:szCs w:val="18"/>
        </w:rPr>
        <w:t>Hoe zien de reserveringen er de aankomende 50 jaar uit omtrent de structurele reservering voor de opvolging van de aanbevelingen voor OCTAS?</w:t>
      </w:r>
    </w:p>
    <w:p w:rsidRPr="00C5308E" w:rsidR="00972542" w:rsidP="00D87753" w:rsidRDefault="00972542" w14:paraId="72215E83" w14:textId="77777777">
      <w:pPr>
        <w:spacing w:after="0" w:line="240" w:lineRule="auto"/>
        <w:contextualSpacing/>
        <w:rPr>
          <w:rFonts w:ascii="Verdana" w:hAnsi="Verdana"/>
          <w:bCs/>
          <w:sz w:val="18"/>
          <w:szCs w:val="18"/>
        </w:rPr>
      </w:pPr>
    </w:p>
    <w:p w:rsidRPr="00C5308E" w:rsidR="00CC30C7" w:rsidP="00D87753" w:rsidRDefault="00CC30C7" w14:paraId="3ED32E00" w14:textId="77777777">
      <w:pPr>
        <w:spacing w:after="0" w:line="240" w:lineRule="auto"/>
        <w:contextualSpacing/>
        <w:rPr>
          <w:rFonts w:ascii="Verdana" w:hAnsi="Verdana"/>
          <w:bCs/>
          <w:sz w:val="18"/>
          <w:szCs w:val="18"/>
        </w:rPr>
      </w:pPr>
    </w:p>
    <w:p w:rsidRPr="00C5308E" w:rsidR="00CC30C7" w:rsidP="00D87753" w:rsidRDefault="00CC30C7" w14:paraId="4698864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116</w:t>
      </w:r>
    </w:p>
    <w:p w:rsidRPr="00C5308E" w:rsidR="00CC30C7" w:rsidP="00D87753" w:rsidRDefault="00CC30C7" w14:paraId="64630D54" w14:textId="6FEE4334">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085AD3">
        <w:rPr>
          <w:rFonts w:ascii="Verdana" w:hAnsi="Verdana"/>
          <w:bCs/>
          <w:sz w:val="18"/>
          <w:szCs w:val="18"/>
        </w:rPr>
        <w:t>V</w:t>
      </w:r>
      <w:r w:rsidRPr="00C5308E">
        <w:rPr>
          <w:rFonts w:ascii="Verdana" w:hAnsi="Verdana"/>
          <w:bCs/>
          <w:sz w:val="18"/>
          <w:szCs w:val="18"/>
        </w:rPr>
        <w:t>oorjaarsnota € 197 miljoen structureel vrijgemaakt voor structurele verbeteringen van het arbeidsongeschiktheidsstelsel. Dit is gebaseerd op beleidsmaatregelen waar de Tweede Kamer via een kamerbrief binnenkort nader over wordt geïnformeerd.</w:t>
      </w:r>
    </w:p>
    <w:p w:rsidRPr="00C5308E" w:rsidR="00CC30C7" w:rsidP="00D87753" w:rsidRDefault="00CC30C7" w14:paraId="470345AD" w14:textId="77777777">
      <w:pPr>
        <w:spacing w:after="0" w:line="240" w:lineRule="auto"/>
        <w:contextualSpacing/>
        <w:rPr>
          <w:rFonts w:ascii="Verdana" w:hAnsi="Verdana"/>
          <w:bCs/>
          <w:sz w:val="18"/>
          <w:szCs w:val="18"/>
        </w:rPr>
      </w:pPr>
    </w:p>
    <w:p w:rsidRPr="00C5308E" w:rsidR="00CC30C7" w:rsidP="00D87753" w:rsidRDefault="00CC30C7" w14:paraId="6394E8D8" w14:textId="48138BBE">
      <w:pPr>
        <w:spacing w:after="0" w:line="240" w:lineRule="auto"/>
        <w:contextualSpacing/>
        <w:rPr>
          <w:rFonts w:ascii="Verdana" w:hAnsi="Verdana"/>
          <w:bCs/>
          <w:sz w:val="18"/>
          <w:szCs w:val="18"/>
        </w:rPr>
      </w:pPr>
      <w:r w:rsidRPr="00C5308E">
        <w:rPr>
          <w:rFonts w:ascii="Verdana" w:hAnsi="Verdana"/>
          <w:bCs/>
          <w:sz w:val="18"/>
          <w:szCs w:val="18"/>
        </w:rPr>
        <w:t xml:space="preserve">De reservering bouwt in 50 jaar geleidelijk op, omdat WIA-uitkeringsgerechtigden tot aan de pensioenleeftijd in de WIA kunnen verblijven. Hierdoor kost het na invoering vele jaren voordat alle uitkeringsgerechtigden in de WIA door deze beleidsmaatregelen worden geraakt. Hiermee is in de budgettaire raming rekening gehouden. </w:t>
      </w:r>
    </w:p>
    <w:p w:rsidRPr="00C5308E" w:rsidR="00CC30C7" w:rsidP="00D87753" w:rsidRDefault="00CC30C7" w14:paraId="62B58EFE" w14:textId="77777777">
      <w:pPr>
        <w:spacing w:after="0" w:line="240" w:lineRule="auto"/>
        <w:contextualSpacing/>
        <w:rPr>
          <w:rFonts w:ascii="Verdana" w:hAnsi="Verdana"/>
          <w:bCs/>
          <w:sz w:val="18"/>
          <w:szCs w:val="18"/>
        </w:rPr>
      </w:pPr>
    </w:p>
    <w:p w:rsidRPr="00C5308E" w:rsidR="00CC30C7" w:rsidP="00D87753" w:rsidRDefault="00CC30C7" w14:paraId="37828CA5" w14:textId="77777777">
      <w:pPr>
        <w:spacing w:line="240" w:lineRule="auto"/>
        <w:contextualSpacing/>
        <w:rPr>
          <w:rFonts w:ascii="Verdana" w:hAnsi="Verdana"/>
          <w:bCs/>
          <w:sz w:val="18"/>
          <w:szCs w:val="18"/>
        </w:rPr>
      </w:pPr>
      <w:r w:rsidRPr="00C5308E">
        <w:rPr>
          <w:rFonts w:ascii="Verdana" w:hAnsi="Verdana"/>
          <w:bCs/>
          <w:sz w:val="18"/>
          <w:szCs w:val="18"/>
          <w:u w:val="single"/>
        </w:rPr>
        <w:t>Vraag 117</w:t>
      </w:r>
    </w:p>
    <w:p w:rsidRPr="00C5308E" w:rsidR="00CC30C7" w:rsidP="00D87753" w:rsidRDefault="00CC30C7" w14:paraId="265A55A2" w14:textId="77777777">
      <w:pPr>
        <w:spacing w:after="0" w:line="240" w:lineRule="auto"/>
        <w:contextualSpacing/>
        <w:rPr>
          <w:rFonts w:ascii="Verdana" w:hAnsi="Verdana"/>
          <w:bCs/>
          <w:sz w:val="18"/>
          <w:szCs w:val="18"/>
        </w:rPr>
      </w:pPr>
      <w:r w:rsidRPr="00C5308E">
        <w:rPr>
          <w:rFonts w:ascii="Verdana" w:hAnsi="Verdana"/>
          <w:bCs/>
          <w:sz w:val="18"/>
          <w:szCs w:val="18"/>
        </w:rPr>
        <w:t>Welke middelen zijn precies bedoeld voor OCTAS, en welke voor de hersteloperatie UWV?</w:t>
      </w:r>
    </w:p>
    <w:p w:rsidRPr="00C5308E" w:rsidR="00CC30C7" w:rsidP="00D87753" w:rsidRDefault="00CC30C7" w14:paraId="7293EA76" w14:textId="77777777">
      <w:pPr>
        <w:spacing w:after="0" w:line="240" w:lineRule="auto"/>
        <w:contextualSpacing/>
        <w:rPr>
          <w:rFonts w:ascii="Verdana" w:hAnsi="Verdana"/>
          <w:bCs/>
          <w:sz w:val="18"/>
          <w:szCs w:val="18"/>
        </w:rPr>
      </w:pPr>
    </w:p>
    <w:p w:rsidRPr="00C5308E" w:rsidR="00CC30C7" w:rsidP="00D87753" w:rsidRDefault="00CC30C7" w14:paraId="2F969D1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117</w:t>
      </w:r>
    </w:p>
    <w:p w:rsidRPr="00C5308E" w:rsidR="00CC30C7" w:rsidP="00D87753" w:rsidRDefault="00CC30C7" w14:paraId="401453BE" w14:textId="77777777">
      <w:pPr>
        <w:spacing w:after="0" w:line="240" w:lineRule="auto"/>
        <w:contextualSpacing/>
        <w:rPr>
          <w:rFonts w:ascii="Verdana" w:hAnsi="Verdana"/>
          <w:bCs/>
          <w:sz w:val="18"/>
          <w:szCs w:val="18"/>
        </w:rPr>
      </w:pPr>
      <w:r w:rsidRPr="00C5308E">
        <w:rPr>
          <w:rFonts w:ascii="Verdana" w:hAnsi="Verdana"/>
          <w:bCs/>
          <w:sz w:val="18"/>
          <w:szCs w:val="18"/>
        </w:rPr>
        <w:t xml:space="preserve">Voor de herstelacties UWV is in totaal € 133 miljoen (herstelactie WIA-dagloon, herstelactie WIA-indexatie en reservering maatmanloonindexatie) aan middelen binnen de begrotingshorizon gereserveerd. Voor OCTAS is in totaal € 27 miljoen aan middelen binnen de begrotingshorizon gereserveerd en structureel € 197 miljoen. </w:t>
      </w:r>
    </w:p>
    <w:p w:rsidRPr="00C5308E" w:rsidR="00CC30C7" w:rsidP="00D87753" w:rsidRDefault="00CC30C7" w14:paraId="66DD6D33" w14:textId="77777777">
      <w:pPr>
        <w:spacing w:after="0" w:line="240" w:lineRule="auto"/>
        <w:contextualSpacing/>
        <w:rPr>
          <w:rFonts w:ascii="Verdana" w:hAnsi="Verdana"/>
          <w:bCs/>
          <w:sz w:val="18"/>
          <w:szCs w:val="18"/>
          <w:u w:val="single"/>
        </w:rPr>
      </w:pPr>
    </w:p>
    <w:p w:rsidRPr="00C5308E" w:rsidR="00CC30C7" w:rsidP="00D87753" w:rsidRDefault="00CC30C7" w14:paraId="0B97C36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118</w:t>
      </w:r>
    </w:p>
    <w:p w:rsidRPr="00C5308E" w:rsidR="00CC30C7" w:rsidP="00D87753" w:rsidRDefault="00CC30C7" w14:paraId="5830ED7C" w14:textId="77777777">
      <w:pPr>
        <w:spacing w:after="0" w:line="240" w:lineRule="auto"/>
        <w:contextualSpacing/>
        <w:rPr>
          <w:rFonts w:ascii="Verdana" w:hAnsi="Verdana"/>
          <w:bCs/>
          <w:sz w:val="18"/>
          <w:szCs w:val="18"/>
        </w:rPr>
      </w:pPr>
      <w:r w:rsidRPr="00C5308E">
        <w:rPr>
          <w:rFonts w:ascii="Verdana" w:hAnsi="Verdana"/>
          <w:bCs/>
          <w:sz w:val="18"/>
          <w:szCs w:val="18"/>
        </w:rPr>
        <w:t>Waar zijn het bedrag van € 197 en de tijdspanne van 50 jaar op gebaseerd voor de opvolging van de aanbevelingen van OCTAS?</w:t>
      </w:r>
    </w:p>
    <w:p w:rsidRPr="00C5308E" w:rsidR="00CC30C7" w:rsidP="00D87753" w:rsidRDefault="00CC30C7" w14:paraId="6813936C" w14:textId="77777777">
      <w:pPr>
        <w:spacing w:after="0" w:line="240" w:lineRule="auto"/>
        <w:contextualSpacing/>
        <w:rPr>
          <w:rFonts w:ascii="Verdana" w:hAnsi="Verdana"/>
          <w:bCs/>
          <w:sz w:val="18"/>
          <w:szCs w:val="18"/>
        </w:rPr>
      </w:pPr>
    </w:p>
    <w:p w:rsidRPr="00C5308E" w:rsidR="00CC30C7" w:rsidP="00D87753" w:rsidRDefault="00CC30C7" w14:paraId="2035884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118</w:t>
      </w:r>
    </w:p>
    <w:p w:rsidRPr="00C5308E" w:rsidR="00CC30C7" w:rsidP="00D87753" w:rsidRDefault="00CC30C7" w14:paraId="40B97A43" w14:textId="229521A5">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085AD3">
        <w:rPr>
          <w:rFonts w:ascii="Verdana" w:hAnsi="Verdana"/>
          <w:bCs/>
          <w:sz w:val="18"/>
          <w:szCs w:val="18"/>
        </w:rPr>
        <w:t>V</w:t>
      </w:r>
      <w:r w:rsidRPr="00C5308E">
        <w:rPr>
          <w:rFonts w:ascii="Verdana" w:hAnsi="Verdana"/>
          <w:bCs/>
          <w:sz w:val="18"/>
          <w:szCs w:val="18"/>
        </w:rPr>
        <w:t>oorjaarsnota € 197 miljoen structureel vrijgemaakt voor structurele verbeteringen van het arbeidsongeschiktheidsstelsel. Dit is gebaseerd op beleidsmaatregelen waar de Tweede Kamer via een kamerbrief binnenkort nader over wordt geïnformeerd.</w:t>
      </w:r>
    </w:p>
    <w:p w:rsidRPr="00C5308E" w:rsidR="00CC30C7" w:rsidP="00D87753" w:rsidRDefault="00CC30C7" w14:paraId="269422D9" w14:textId="77777777">
      <w:pPr>
        <w:spacing w:after="0" w:line="240" w:lineRule="auto"/>
        <w:contextualSpacing/>
        <w:rPr>
          <w:rFonts w:ascii="Verdana" w:hAnsi="Verdana"/>
          <w:bCs/>
          <w:sz w:val="18"/>
          <w:szCs w:val="18"/>
        </w:rPr>
      </w:pPr>
    </w:p>
    <w:p w:rsidRPr="00C5308E" w:rsidR="00CC30C7" w:rsidP="00D87753" w:rsidRDefault="00CC30C7" w14:paraId="1C09B5C0" w14:textId="30E4E1C0">
      <w:pPr>
        <w:spacing w:after="0" w:line="240" w:lineRule="auto"/>
        <w:contextualSpacing/>
        <w:rPr>
          <w:rFonts w:ascii="Verdana" w:hAnsi="Verdana"/>
          <w:bCs/>
          <w:sz w:val="18"/>
          <w:szCs w:val="18"/>
        </w:rPr>
      </w:pPr>
      <w:r w:rsidRPr="00C5308E">
        <w:rPr>
          <w:rFonts w:ascii="Verdana" w:hAnsi="Verdana"/>
          <w:bCs/>
          <w:sz w:val="18"/>
          <w:szCs w:val="18"/>
        </w:rPr>
        <w:t xml:space="preserve">De reservering bouwt in 50 jaar geleidelijk op, omdat WIA-uitkeringsgerechtigden tot aan de pensioenleeftijd in de WIA kunnen verblijven. Hierdoor kost het na invoering vele jaren voordat alle uitkeringsgerechtigden in de WIA door deze beleidsmaatregelen worden geraakt. Hiermee is in de budgettaire raming rekening gehouden. </w:t>
      </w:r>
    </w:p>
    <w:p w:rsidRPr="00C5308E" w:rsidR="00CC30C7" w:rsidP="00D87753" w:rsidRDefault="00CC30C7" w14:paraId="4ABB3973" w14:textId="77777777">
      <w:pPr>
        <w:spacing w:after="0" w:line="240" w:lineRule="auto"/>
        <w:contextualSpacing/>
        <w:rPr>
          <w:rFonts w:ascii="Verdana" w:hAnsi="Verdana"/>
          <w:bCs/>
          <w:sz w:val="18"/>
          <w:szCs w:val="18"/>
        </w:rPr>
      </w:pPr>
    </w:p>
    <w:p w:rsidRPr="00C5308E" w:rsidR="00CC30C7" w:rsidP="00D87753" w:rsidRDefault="00CC30C7" w14:paraId="19DCAB3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119</w:t>
      </w:r>
    </w:p>
    <w:p w:rsidRPr="00C5308E" w:rsidR="00CC30C7" w:rsidP="00D87753" w:rsidRDefault="00CC30C7" w14:paraId="41A132A0" w14:textId="77777777">
      <w:pPr>
        <w:spacing w:after="0" w:line="240" w:lineRule="auto"/>
        <w:contextualSpacing/>
        <w:rPr>
          <w:rFonts w:ascii="Verdana" w:hAnsi="Verdana"/>
          <w:bCs/>
          <w:sz w:val="18"/>
          <w:szCs w:val="18"/>
        </w:rPr>
      </w:pPr>
      <w:r w:rsidRPr="00C5308E">
        <w:rPr>
          <w:rFonts w:ascii="Verdana" w:hAnsi="Verdana"/>
          <w:bCs/>
          <w:sz w:val="18"/>
          <w:szCs w:val="18"/>
        </w:rPr>
        <w:t>Is de structurele reservering van € 197 miljoen voor OCTAS voldoende om de hardheden uit de aanbevelingen uit OCTAS 1 te financieren?</w:t>
      </w:r>
    </w:p>
    <w:p w:rsidRPr="00C5308E" w:rsidR="00CC30C7" w:rsidP="00D87753" w:rsidRDefault="00CC30C7" w14:paraId="442877E1" w14:textId="77777777">
      <w:pPr>
        <w:spacing w:after="0" w:line="240" w:lineRule="auto"/>
        <w:contextualSpacing/>
        <w:rPr>
          <w:rFonts w:ascii="Verdana" w:hAnsi="Verdana"/>
          <w:bCs/>
          <w:sz w:val="18"/>
          <w:szCs w:val="18"/>
        </w:rPr>
      </w:pPr>
    </w:p>
    <w:p w:rsidRPr="00C5308E" w:rsidR="00CC30C7" w:rsidP="00D87753" w:rsidRDefault="00CC30C7" w14:paraId="5F8BD25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119</w:t>
      </w:r>
    </w:p>
    <w:p w:rsidRPr="00C5308E" w:rsidR="00CC30C7" w:rsidP="00D87753" w:rsidRDefault="00CC30C7" w14:paraId="1211717C" w14:textId="2DEBDC2E">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3D0897">
        <w:rPr>
          <w:rFonts w:ascii="Verdana" w:hAnsi="Verdana"/>
          <w:bCs/>
          <w:sz w:val="18"/>
          <w:szCs w:val="18"/>
        </w:rPr>
        <w:t>V</w:t>
      </w:r>
      <w:r w:rsidRPr="00C5308E">
        <w:rPr>
          <w:rFonts w:ascii="Verdana" w:hAnsi="Verdana"/>
          <w:bCs/>
          <w:sz w:val="18"/>
          <w:szCs w:val="18"/>
        </w:rPr>
        <w:t xml:space="preserve">oorjaarsnota € 197 miljoen structureel vrijgemaakt voor structurele verbeteringen van het arbeidsongeschiktheidsstelsel. Dit is gebaseerd op beleidsmaatregelen waar de Tweede Kamer via een kamerbrief binnenkort nader over wordt geïnformeerd. Met de reservering voor OCTAS kunnen echter niet alle hardheden worden opgelost die OCTAS in haar probleemanalyse heeft geconstateerd. </w:t>
      </w:r>
    </w:p>
    <w:p w:rsidRPr="00C5308E" w:rsidR="00CC30C7" w:rsidP="00D87753" w:rsidRDefault="00CC30C7" w14:paraId="423B4AA9" w14:textId="77777777">
      <w:pPr>
        <w:spacing w:after="0" w:line="240" w:lineRule="auto"/>
        <w:contextualSpacing/>
        <w:rPr>
          <w:rFonts w:ascii="Verdana" w:hAnsi="Verdana"/>
          <w:bCs/>
          <w:sz w:val="18"/>
          <w:szCs w:val="18"/>
          <w:u w:val="single"/>
        </w:rPr>
      </w:pPr>
    </w:p>
    <w:p w:rsidRPr="00C5308E" w:rsidR="00CC30C7" w:rsidP="00D87753" w:rsidRDefault="00CC30C7" w14:paraId="4535EB6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120</w:t>
      </w:r>
    </w:p>
    <w:p w:rsidRPr="00C5308E" w:rsidR="00CC30C7" w:rsidP="00D87753" w:rsidRDefault="00CC30C7" w14:paraId="4095E32E" w14:textId="77777777">
      <w:pPr>
        <w:spacing w:after="0" w:line="240" w:lineRule="auto"/>
        <w:contextualSpacing/>
        <w:rPr>
          <w:rFonts w:ascii="Verdana" w:hAnsi="Verdana"/>
          <w:bCs/>
          <w:sz w:val="18"/>
          <w:szCs w:val="18"/>
        </w:rPr>
      </w:pPr>
      <w:r w:rsidRPr="00C5308E">
        <w:rPr>
          <w:rFonts w:ascii="Verdana" w:hAnsi="Verdana"/>
          <w:bCs/>
          <w:sz w:val="18"/>
          <w:szCs w:val="18"/>
        </w:rPr>
        <w:t>Wat wordt er gefinancierd met € 197 miljoen ten behoeve van OCTAS?</w:t>
      </w:r>
    </w:p>
    <w:p w:rsidRPr="00C5308E" w:rsidR="00CC30C7" w:rsidP="00D87753" w:rsidRDefault="00CC30C7" w14:paraId="1C0FE527" w14:textId="77777777">
      <w:pPr>
        <w:spacing w:after="0" w:line="240" w:lineRule="auto"/>
        <w:contextualSpacing/>
        <w:rPr>
          <w:rFonts w:ascii="Verdana" w:hAnsi="Verdana"/>
          <w:bCs/>
          <w:sz w:val="18"/>
          <w:szCs w:val="18"/>
        </w:rPr>
      </w:pPr>
    </w:p>
    <w:p w:rsidRPr="00C5308E" w:rsidR="00CC30C7" w:rsidP="00D87753" w:rsidRDefault="00CC30C7" w14:paraId="28D6D91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120</w:t>
      </w:r>
    </w:p>
    <w:p w:rsidRPr="00C5308E" w:rsidR="00CC30C7" w:rsidP="00D87753" w:rsidRDefault="00CC30C7" w14:paraId="55542678" w14:textId="4E38853E">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085AD3">
        <w:rPr>
          <w:rFonts w:ascii="Verdana" w:hAnsi="Verdana"/>
          <w:bCs/>
          <w:sz w:val="18"/>
          <w:szCs w:val="18"/>
        </w:rPr>
        <w:t>V</w:t>
      </w:r>
      <w:r w:rsidRPr="00C5308E">
        <w:rPr>
          <w:rFonts w:ascii="Verdana" w:hAnsi="Verdana"/>
          <w:bCs/>
          <w:sz w:val="18"/>
          <w:szCs w:val="18"/>
        </w:rPr>
        <w:t>oorjaarsnota € 197 miljoen structureel vrijgemaakt voor structurele verbeteringen van het arbeidsongeschiktheidsstelsel. Dit is gebaseerd op beleidsmaatregelen waar de Tweede Kamer via een kamerbrief binnenkort nader over wordt geïnformeerd.</w:t>
      </w:r>
    </w:p>
    <w:p w:rsidRPr="00C5308E" w:rsidR="00CC30C7" w:rsidP="00D87753" w:rsidRDefault="00CC30C7" w14:paraId="1854A9E1" w14:textId="77777777">
      <w:pPr>
        <w:spacing w:after="0" w:line="240" w:lineRule="auto"/>
        <w:contextualSpacing/>
        <w:rPr>
          <w:rFonts w:ascii="Verdana" w:hAnsi="Verdana"/>
          <w:bCs/>
          <w:sz w:val="18"/>
          <w:szCs w:val="18"/>
        </w:rPr>
      </w:pPr>
    </w:p>
    <w:p w:rsidRPr="00C5308E" w:rsidR="00CC30C7" w:rsidP="00D87753" w:rsidRDefault="00CC30C7" w14:paraId="5EA3C63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121</w:t>
      </w:r>
    </w:p>
    <w:p w:rsidRPr="00C5308E" w:rsidR="00CC30C7" w:rsidP="00D87753" w:rsidRDefault="00CC30C7" w14:paraId="4BF798B9" w14:textId="77777777">
      <w:pPr>
        <w:spacing w:after="0" w:line="240" w:lineRule="auto"/>
        <w:contextualSpacing/>
        <w:rPr>
          <w:rFonts w:ascii="Verdana" w:hAnsi="Verdana"/>
          <w:bCs/>
          <w:sz w:val="18"/>
          <w:szCs w:val="18"/>
        </w:rPr>
      </w:pPr>
      <w:r w:rsidRPr="00C5308E">
        <w:rPr>
          <w:rFonts w:ascii="Verdana" w:hAnsi="Verdana"/>
          <w:bCs/>
          <w:sz w:val="18"/>
          <w:szCs w:val="18"/>
        </w:rPr>
        <w:t>Hoeveel middelen worden gereserveerd voor OCTAS? Hoe verhouden deze bedragen zich tot de kosten omschreven in het rapport van deze commissie?</w:t>
      </w:r>
    </w:p>
    <w:p w:rsidRPr="00C5308E" w:rsidR="00CC30C7" w:rsidP="00D87753" w:rsidRDefault="00CC30C7" w14:paraId="74AAD742" w14:textId="77777777">
      <w:pPr>
        <w:spacing w:after="0" w:line="240" w:lineRule="auto"/>
        <w:contextualSpacing/>
        <w:rPr>
          <w:rFonts w:ascii="Verdana" w:hAnsi="Verdana"/>
          <w:bCs/>
          <w:sz w:val="18"/>
          <w:szCs w:val="18"/>
        </w:rPr>
      </w:pPr>
    </w:p>
    <w:p w:rsidRPr="00C5308E" w:rsidR="00CC30C7" w:rsidP="00D87753" w:rsidRDefault="00CC30C7" w14:paraId="5910E7F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121</w:t>
      </w:r>
    </w:p>
    <w:p w:rsidR="00CC30C7" w:rsidP="00D87753" w:rsidRDefault="00CC30C7" w14:paraId="789F418C" w14:textId="695C6E3E">
      <w:pPr>
        <w:spacing w:after="0" w:line="240" w:lineRule="auto"/>
        <w:contextualSpacing/>
        <w:rPr>
          <w:rFonts w:ascii="Verdana" w:hAnsi="Verdana"/>
          <w:bCs/>
          <w:sz w:val="18"/>
          <w:szCs w:val="18"/>
        </w:rPr>
      </w:pPr>
      <w:r w:rsidRPr="00C5308E">
        <w:rPr>
          <w:rFonts w:ascii="Verdana" w:hAnsi="Verdana"/>
          <w:bCs/>
          <w:sz w:val="18"/>
          <w:szCs w:val="18"/>
        </w:rPr>
        <w:t xml:space="preserve">Het kabinet heeft bij de </w:t>
      </w:r>
      <w:r w:rsidRPr="00C5308E" w:rsidR="00085AD3">
        <w:rPr>
          <w:rFonts w:ascii="Verdana" w:hAnsi="Verdana"/>
          <w:bCs/>
          <w:sz w:val="18"/>
          <w:szCs w:val="18"/>
        </w:rPr>
        <w:t>V</w:t>
      </w:r>
      <w:r w:rsidRPr="00C5308E">
        <w:rPr>
          <w:rFonts w:ascii="Verdana" w:hAnsi="Verdana"/>
          <w:bCs/>
          <w:sz w:val="18"/>
          <w:szCs w:val="18"/>
        </w:rPr>
        <w:t>oorjaarsnota € 197 miljoen structureel vrijgemaakt voor structurele verbeteringen van het arbeidsongeschiktheidsstelsel. Dit is gebaseerd op beleidsmaatregelen waar de Tweede Kamer via een kamerbrief binnenkort nader over wordt geïnformeerd. Er zijn meer middelen benodigd om alle oplossingen te realiseren zoals in de variant “huidig stelsel beter’ van het OCTAS-rapport wordt benoemd.</w:t>
      </w:r>
    </w:p>
    <w:p w:rsidRPr="00C5308E" w:rsidR="00972542" w:rsidP="00D87753" w:rsidRDefault="00972542" w14:paraId="30306A03" w14:textId="77777777">
      <w:pPr>
        <w:spacing w:after="0" w:line="240" w:lineRule="auto"/>
        <w:contextualSpacing/>
        <w:rPr>
          <w:rFonts w:ascii="Verdana" w:hAnsi="Verdana"/>
          <w:bCs/>
          <w:sz w:val="18"/>
          <w:szCs w:val="18"/>
        </w:rPr>
      </w:pPr>
    </w:p>
    <w:p w:rsidRPr="00C5308E" w:rsidR="00CC30C7" w:rsidP="00D87753" w:rsidRDefault="00CC30C7" w14:paraId="54305E70" w14:textId="77777777">
      <w:pPr>
        <w:spacing w:after="0" w:line="240" w:lineRule="auto"/>
        <w:contextualSpacing/>
        <w:rPr>
          <w:rFonts w:ascii="Verdana" w:hAnsi="Verdana"/>
          <w:bCs/>
          <w:sz w:val="18"/>
          <w:szCs w:val="18"/>
        </w:rPr>
      </w:pPr>
    </w:p>
    <w:p w:rsidRPr="00C5308E" w:rsidR="00467E77" w:rsidP="00D87753" w:rsidRDefault="00467E77" w14:paraId="0829AE1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122</w:t>
      </w:r>
    </w:p>
    <w:p w:rsidRPr="00C5308E" w:rsidR="00467E77" w:rsidP="00D87753" w:rsidRDefault="00467E77" w14:paraId="42075A27" w14:textId="77777777">
      <w:pPr>
        <w:spacing w:after="0" w:line="240" w:lineRule="auto"/>
        <w:contextualSpacing/>
        <w:rPr>
          <w:rFonts w:ascii="Verdana" w:hAnsi="Verdana"/>
          <w:bCs/>
          <w:sz w:val="18"/>
          <w:szCs w:val="18"/>
        </w:rPr>
      </w:pPr>
      <w:r w:rsidRPr="00C5308E">
        <w:rPr>
          <w:rFonts w:ascii="Verdana" w:hAnsi="Verdana"/>
          <w:bCs/>
          <w:sz w:val="18"/>
          <w:szCs w:val="18"/>
        </w:rPr>
        <w:t>Op welke wijze wordt de € 36 miljoen per jaar die gereserveerd is voor het UWV ingezet om de taakdelegatie uit te breiden?</w:t>
      </w:r>
    </w:p>
    <w:p w:rsidRPr="00C5308E" w:rsidR="00467E77" w:rsidP="00D87753" w:rsidRDefault="00467E77" w14:paraId="2F1A68CE" w14:textId="77777777">
      <w:pPr>
        <w:spacing w:after="0" w:line="240" w:lineRule="auto"/>
        <w:contextualSpacing/>
        <w:rPr>
          <w:rFonts w:ascii="Verdana" w:hAnsi="Verdana"/>
          <w:bCs/>
          <w:sz w:val="18"/>
          <w:szCs w:val="18"/>
        </w:rPr>
      </w:pPr>
    </w:p>
    <w:p w:rsidRPr="00C5308E" w:rsidR="00467E77" w:rsidP="00D87753" w:rsidRDefault="00467E77" w14:paraId="23336A2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122</w:t>
      </w:r>
    </w:p>
    <w:p w:rsidRPr="00C5308E" w:rsidR="00467E77" w:rsidP="00D87753" w:rsidRDefault="00467E77" w14:paraId="067B0573" w14:textId="19FE2EBF">
      <w:pPr>
        <w:spacing w:after="0" w:line="240" w:lineRule="auto"/>
        <w:contextualSpacing/>
        <w:rPr>
          <w:rFonts w:ascii="Verdana" w:hAnsi="Verdana"/>
          <w:bCs/>
          <w:sz w:val="18"/>
          <w:szCs w:val="18"/>
        </w:rPr>
      </w:pPr>
      <w:r w:rsidRPr="00C5308E">
        <w:rPr>
          <w:rFonts w:ascii="Verdana" w:hAnsi="Verdana"/>
          <w:bCs/>
          <w:sz w:val="18"/>
          <w:szCs w:val="18"/>
        </w:rPr>
        <w:t>Er is € 20 miljoen per jaar voor het UWV gereserveerd voor het uitbreiden van taakdelegatie. De gereserveerde middelen worden ingezet voor uitbreiding van de capaciteit van ondersteunend personeel van verzekeringsartsen. Het gaat om sociaal-medisch verpleegkundigen, arbeidsdeskundigen en medisch secretaresse</w:t>
      </w:r>
      <w:r w:rsidRPr="00C5308E" w:rsidR="00085AD3">
        <w:rPr>
          <w:rFonts w:ascii="Verdana" w:hAnsi="Verdana"/>
          <w:bCs/>
          <w:sz w:val="18"/>
          <w:szCs w:val="18"/>
        </w:rPr>
        <w:t>s</w:t>
      </w:r>
      <w:r w:rsidRPr="00C5308E">
        <w:rPr>
          <w:rFonts w:ascii="Verdana" w:hAnsi="Verdana"/>
          <w:bCs/>
          <w:sz w:val="18"/>
          <w:szCs w:val="18"/>
        </w:rPr>
        <w:t>. Deze uitbreiding van taakdelegatie is onderdeel van de omslag naar sociaal-medische centra waar UWV mee bezig is. Het doel van de aanvullende middelen is om deze omslag te versnellen. Daarnaast is er € 16 miljoen per jaar gereserveerd om het structurele financieringstekort bij de divisie sociaal-medische zaken op te vangen.</w:t>
      </w:r>
    </w:p>
    <w:p w:rsidRPr="00C5308E" w:rsidR="00467E77" w:rsidP="00D87753" w:rsidRDefault="00467E77" w14:paraId="60A07EB4" w14:textId="77777777">
      <w:pPr>
        <w:spacing w:after="0" w:line="240" w:lineRule="auto"/>
        <w:contextualSpacing/>
        <w:rPr>
          <w:rFonts w:ascii="Verdana" w:hAnsi="Verdana"/>
          <w:bCs/>
          <w:sz w:val="18"/>
          <w:szCs w:val="18"/>
        </w:rPr>
      </w:pPr>
    </w:p>
    <w:p w:rsidRPr="00C5308E" w:rsidR="000B30D8" w:rsidP="000B30D8" w:rsidRDefault="000B30D8" w14:paraId="676AE590" w14:textId="77777777">
      <w:pPr>
        <w:spacing w:after="0" w:line="240" w:lineRule="auto"/>
        <w:rPr>
          <w:rFonts w:ascii="Verdana" w:hAnsi="Verdana"/>
          <w:sz w:val="18"/>
          <w:szCs w:val="18"/>
          <w:u w:val="single"/>
        </w:rPr>
      </w:pPr>
      <w:r w:rsidRPr="00C5308E">
        <w:rPr>
          <w:rFonts w:ascii="Verdana" w:hAnsi="Verdana"/>
          <w:sz w:val="18"/>
          <w:szCs w:val="18"/>
          <w:u w:val="single"/>
        </w:rPr>
        <w:t>Vraag 123</w:t>
      </w:r>
    </w:p>
    <w:p w:rsidRPr="00C5308E" w:rsidR="000B30D8" w:rsidP="000B30D8" w:rsidRDefault="000B30D8" w14:paraId="0AF5BEB3" w14:textId="77777777">
      <w:pPr>
        <w:spacing w:after="0" w:line="240" w:lineRule="auto"/>
        <w:rPr>
          <w:rFonts w:ascii="Verdana" w:hAnsi="Verdana"/>
          <w:sz w:val="18"/>
          <w:szCs w:val="18"/>
        </w:rPr>
      </w:pPr>
      <w:r w:rsidRPr="00C5308E">
        <w:rPr>
          <w:rFonts w:ascii="Verdana" w:hAnsi="Verdana"/>
          <w:sz w:val="18"/>
          <w:szCs w:val="18"/>
        </w:rPr>
        <w:t>Welke kleinere intensiveringen en ombuigingen vallen er precies onder 16?</w:t>
      </w:r>
    </w:p>
    <w:p w:rsidRPr="00C5308E" w:rsidR="000B30D8" w:rsidP="000B30D8" w:rsidRDefault="000B30D8" w14:paraId="10A19666" w14:textId="77777777">
      <w:pPr>
        <w:spacing w:after="0" w:line="240" w:lineRule="auto"/>
        <w:rPr>
          <w:rFonts w:ascii="Verdana" w:hAnsi="Verdana"/>
          <w:sz w:val="18"/>
          <w:szCs w:val="18"/>
          <w:u w:val="single"/>
        </w:rPr>
      </w:pPr>
    </w:p>
    <w:p w:rsidRPr="00C5308E" w:rsidR="000B30D8" w:rsidP="000B30D8" w:rsidRDefault="000B30D8" w14:paraId="22137177" w14:textId="77777777">
      <w:pPr>
        <w:spacing w:after="0" w:line="240" w:lineRule="auto"/>
        <w:rPr>
          <w:rFonts w:ascii="Verdana" w:hAnsi="Verdana"/>
          <w:sz w:val="18"/>
          <w:szCs w:val="18"/>
          <w:u w:val="single"/>
        </w:rPr>
      </w:pPr>
      <w:r w:rsidRPr="00C5308E">
        <w:rPr>
          <w:rFonts w:ascii="Verdana" w:hAnsi="Verdana"/>
          <w:sz w:val="18"/>
          <w:szCs w:val="18"/>
          <w:u w:val="single"/>
        </w:rPr>
        <w:t>Antwoord 123</w:t>
      </w:r>
    </w:p>
    <w:p w:rsidRPr="00C5308E" w:rsidR="000B30D8" w:rsidP="000B30D8" w:rsidRDefault="000B30D8" w14:paraId="5EF4B4BA" w14:textId="77777777">
      <w:pPr>
        <w:spacing w:after="0" w:line="240" w:lineRule="auto"/>
        <w:rPr>
          <w:rFonts w:ascii="Verdana" w:hAnsi="Verdana"/>
          <w:sz w:val="18"/>
          <w:szCs w:val="18"/>
        </w:rPr>
      </w:pPr>
      <w:r w:rsidRPr="00C5308E">
        <w:rPr>
          <w:rFonts w:ascii="Verdana" w:hAnsi="Verdana"/>
          <w:sz w:val="18"/>
          <w:szCs w:val="18"/>
        </w:rPr>
        <w:t>De post Overige intensiveringen en ombuigingen (hierna: Overige) is in de 1</w:t>
      </w:r>
      <w:r w:rsidRPr="00C5308E">
        <w:rPr>
          <w:rFonts w:ascii="Verdana" w:hAnsi="Verdana"/>
          <w:sz w:val="18"/>
          <w:szCs w:val="18"/>
          <w:vertAlign w:val="superscript"/>
        </w:rPr>
        <w:t>e</w:t>
      </w:r>
      <w:r w:rsidRPr="00C5308E">
        <w:rPr>
          <w:rFonts w:ascii="Verdana" w:hAnsi="Verdana"/>
          <w:sz w:val="18"/>
          <w:szCs w:val="18"/>
        </w:rPr>
        <w:t xml:space="preserve"> suppletoire begroting SZW uiteengezet in mutaties voor hoofdstuk 15 (rijksgefinancierd) en hoofdstuk 40 (premiegefinancierd). Hieronder volgt een uitsplitsing van de post Overige per hoofdstuk. Voor beide hoofdstukken geldt dat de post Overige uit zeer veel mutaties bestaat. Daarom zijn alleen de mutaties boven de € 1 miljoen weergegeven.</w:t>
      </w:r>
    </w:p>
    <w:p w:rsidRPr="00C5308E" w:rsidR="000B30D8" w:rsidP="000B30D8" w:rsidRDefault="000B30D8" w14:paraId="6CC61CE2" w14:textId="77777777">
      <w:pPr>
        <w:spacing w:after="0" w:line="240" w:lineRule="auto"/>
        <w:rPr>
          <w:rFonts w:ascii="Verdana" w:hAnsi="Verdana"/>
          <w:sz w:val="18"/>
          <w:szCs w:val="18"/>
        </w:rPr>
      </w:pPr>
    </w:p>
    <w:p w:rsidRPr="00C5308E" w:rsidR="000B30D8" w:rsidP="000B30D8" w:rsidRDefault="000B30D8" w14:paraId="074EF7BA" w14:textId="77777777">
      <w:pPr>
        <w:spacing w:after="0" w:line="240" w:lineRule="auto"/>
        <w:rPr>
          <w:rFonts w:ascii="Verdana" w:hAnsi="Verdana"/>
          <w:sz w:val="18"/>
          <w:szCs w:val="18"/>
        </w:rPr>
      </w:pPr>
      <w:r w:rsidRPr="00C5308E">
        <w:rPr>
          <w:rFonts w:ascii="Verdana" w:hAnsi="Verdana"/>
          <w:sz w:val="18"/>
          <w:szCs w:val="18"/>
        </w:rPr>
        <w:t>Mutaties Overige intensiveringen en ombuigingen hoofdstuk 15:</w:t>
      </w:r>
    </w:p>
    <w:p w:rsidRPr="00C5308E" w:rsidR="000B30D8" w:rsidP="000B30D8" w:rsidRDefault="000B30D8" w14:paraId="7B824427" w14:textId="77777777">
      <w:pPr>
        <w:spacing w:after="0" w:line="240" w:lineRule="auto"/>
        <w:rPr>
          <w:rFonts w:ascii="Verdana" w:hAnsi="Verdana"/>
          <w:sz w:val="18"/>
          <w:szCs w:val="18"/>
        </w:rPr>
      </w:pPr>
    </w:p>
    <w:tbl>
      <w:tblPr>
        <w:tblW w:w="9166" w:type="dxa"/>
        <w:tblCellMar>
          <w:left w:w="70" w:type="dxa"/>
          <w:right w:w="70" w:type="dxa"/>
        </w:tblCellMar>
        <w:tblLook w:val="04A0" w:firstRow="1" w:lastRow="0" w:firstColumn="1" w:lastColumn="0" w:noHBand="0" w:noVBand="1"/>
      </w:tblPr>
      <w:tblGrid>
        <w:gridCol w:w="5350"/>
        <w:gridCol w:w="652"/>
        <w:gridCol w:w="652"/>
        <w:gridCol w:w="652"/>
        <w:gridCol w:w="652"/>
        <w:gridCol w:w="652"/>
        <w:gridCol w:w="652"/>
      </w:tblGrid>
      <w:tr w:rsidRPr="00C5308E" w:rsidR="000B30D8" w:rsidTr="00B504A7" w14:paraId="0946FCF8" w14:textId="77777777">
        <w:trPr>
          <w:trHeight w:val="217"/>
        </w:trPr>
        <w:tc>
          <w:tcPr>
            <w:tcW w:w="5350" w:type="dxa"/>
            <w:tcBorders>
              <w:top w:val="nil"/>
              <w:left w:val="nil"/>
              <w:bottom w:val="single" w:color="auto" w:sz="4" w:space="0"/>
              <w:right w:val="nil"/>
            </w:tcBorders>
            <w:shd w:val="clear" w:color="auto" w:fill="auto"/>
            <w:noWrap/>
            <w:hideMark/>
          </w:tcPr>
          <w:p w:rsidRPr="00C5308E" w:rsidR="000B30D8" w:rsidP="003C75FE" w:rsidRDefault="000B30D8" w14:paraId="4F7D851A" w14:textId="41F57B86">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(x € m</w:t>
            </w:r>
            <w:r w:rsidRPr="00C5308E" w:rsidR="00B504A7">
              <w:rPr>
                <w:rFonts w:ascii="Verdana" w:hAnsi="Verdana" w:eastAsia="Times New Roman" w:cs="Times New Roman"/>
                <w:b/>
                <w:bCs/>
                <w:color w:val="000000"/>
                <w:sz w:val="16"/>
                <w:szCs w:val="16"/>
                <w:lang w:eastAsia="nl-NL"/>
              </w:rPr>
              <w:t>ln.</w:t>
            </w:r>
            <w:r w:rsidRPr="00C5308E">
              <w:rPr>
                <w:rFonts w:ascii="Verdana" w:hAnsi="Verdana" w:eastAsia="Times New Roman" w:cs="Times New Roman"/>
                <w:b/>
                <w:bCs/>
                <w:color w:val="000000"/>
                <w:sz w:val="16"/>
                <w:szCs w:val="16"/>
                <w:lang w:eastAsia="nl-NL"/>
              </w:rPr>
              <w:t>)</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1D6816E1"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2025</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3D4286D0"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2026</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3C3AA192"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2027</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305526DF"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2028</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4DC101C4"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2029</w:t>
            </w:r>
          </w:p>
        </w:tc>
        <w:tc>
          <w:tcPr>
            <w:tcW w:w="636" w:type="dxa"/>
            <w:tcBorders>
              <w:top w:val="nil"/>
              <w:left w:val="nil"/>
              <w:bottom w:val="single" w:color="auto" w:sz="4" w:space="0"/>
              <w:right w:val="nil"/>
            </w:tcBorders>
            <w:shd w:val="clear" w:color="auto" w:fill="auto"/>
            <w:noWrap/>
            <w:hideMark/>
          </w:tcPr>
          <w:p w:rsidRPr="00C5308E" w:rsidR="000B30D8" w:rsidP="003C75FE" w:rsidRDefault="000B30D8" w14:paraId="006DA45C"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2030</w:t>
            </w:r>
          </w:p>
        </w:tc>
      </w:tr>
      <w:tr w:rsidRPr="00C5308E" w:rsidR="000B30D8" w:rsidTr="00B504A7" w14:paraId="32050ED0" w14:textId="77777777">
        <w:trPr>
          <w:trHeight w:val="217"/>
        </w:trPr>
        <w:tc>
          <w:tcPr>
            <w:tcW w:w="5350" w:type="dxa"/>
            <w:tcBorders>
              <w:top w:val="nil"/>
              <w:left w:val="nil"/>
              <w:bottom w:val="nil"/>
              <w:right w:val="nil"/>
            </w:tcBorders>
            <w:shd w:val="clear" w:color="auto" w:fill="auto"/>
            <w:noWrap/>
            <w:hideMark/>
          </w:tcPr>
          <w:p w:rsidRPr="00C5308E" w:rsidR="000B30D8" w:rsidP="003C75FE" w:rsidRDefault="000B30D8" w14:paraId="03637BA2"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Intensiveringen</w:t>
            </w:r>
          </w:p>
        </w:tc>
        <w:tc>
          <w:tcPr>
            <w:tcW w:w="636" w:type="dxa"/>
            <w:tcBorders>
              <w:top w:val="nil"/>
              <w:left w:val="nil"/>
              <w:bottom w:val="nil"/>
              <w:right w:val="nil"/>
            </w:tcBorders>
            <w:shd w:val="clear" w:color="auto" w:fill="auto"/>
            <w:noWrap/>
            <w:hideMark/>
          </w:tcPr>
          <w:p w:rsidRPr="00C5308E" w:rsidR="000B30D8" w:rsidP="003C75FE" w:rsidRDefault="000B30D8" w14:paraId="1A8AA40C" w14:textId="77777777">
            <w:pPr>
              <w:spacing w:after="0" w:line="240" w:lineRule="auto"/>
              <w:rPr>
                <w:rFonts w:ascii="Verdana" w:hAnsi="Verdana" w:eastAsia="Times New Roman" w:cs="Times New Roman"/>
                <w:b/>
                <w:bCs/>
                <w:color w:val="000000"/>
                <w:sz w:val="16"/>
                <w:szCs w:val="16"/>
                <w:lang w:eastAsia="nl-NL"/>
              </w:rPr>
            </w:pPr>
          </w:p>
        </w:tc>
        <w:tc>
          <w:tcPr>
            <w:tcW w:w="636" w:type="dxa"/>
            <w:tcBorders>
              <w:top w:val="nil"/>
              <w:left w:val="nil"/>
              <w:bottom w:val="nil"/>
              <w:right w:val="nil"/>
            </w:tcBorders>
            <w:shd w:val="clear" w:color="auto" w:fill="auto"/>
            <w:noWrap/>
            <w:hideMark/>
          </w:tcPr>
          <w:p w:rsidRPr="00C5308E" w:rsidR="000B30D8" w:rsidP="003C75FE" w:rsidRDefault="000B30D8" w14:paraId="53C4264E"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0B30D8" w:rsidP="003C75FE" w:rsidRDefault="000B30D8" w14:paraId="26FE5A89"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0B30D8" w:rsidP="003C75FE" w:rsidRDefault="000B30D8" w14:paraId="06E413FD"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0B30D8" w:rsidP="003C75FE" w:rsidRDefault="000B30D8" w14:paraId="76DF78B2"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0B30D8" w:rsidP="003C75FE" w:rsidRDefault="000B30D8" w14:paraId="76262FCF" w14:textId="77777777">
            <w:pPr>
              <w:spacing w:after="0" w:line="240" w:lineRule="auto"/>
              <w:jc w:val="right"/>
              <w:rPr>
                <w:rFonts w:ascii="Times New Roman" w:hAnsi="Times New Roman" w:eastAsia="Times New Roman" w:cs="Times New Roman"/>
                <w:sz w:val="20"/>
                <w:szCs w:val="20"/>
                <w:lang w:eastAsia="nl-NL"/>
              </w:rPr>
            </w:pPr>
          </w:p>
        </w:tc>
      </w:tr>
      <w:tr w:rsidRPr="00C5308E" w:rsidR="000B30D8" w:rsidTr="00B504A7" w14:paraId="47E5833E"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071609B9"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Uitvoeringskosten NOW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37FAE9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45A7D8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E8F4CD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A83739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FF5B35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FED912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2B7367A7"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AE8BCB6"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Toelatingsstelsel WTTA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D9C6E2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539C3E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41E301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526D54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DD06A6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F8F671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6F52C129"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055C3A47"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Maatregelen ZZP en flexcontracten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E3469A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BC5AD1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98E368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FCDC31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3C2F79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9A2383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r>
      <w:tr w:rsidRPr="00C5308E" w:rsidR="000B30D8" w:rsidTr="00B504A7" w14:paraId="4B139CE9"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54C92A6B"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Doorwerking gerechtelijke uitspraak box 3 op Toeslagen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46D33B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C6511E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C6D77E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E9DCBB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69CC31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6F4DEC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877F60B"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A7772F5"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Bestedingsplan Paticipatiewet in balans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381F27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B3F10A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D6DA4B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254CB1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A00C7B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AFA897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699F1BCB"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D26C1BD"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Asielzoekers aan het werk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2E33CE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2A49AE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FD744B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075090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4E87A3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5A5183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r>
      <w:tr w:rsidRPr="00C5308E" w:rsidR="000B30D8" w:rsidTr="00B504A7" w14:paraId="157E8D3C"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17FA39D4"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Rentebaten Just Transition Fund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5892FE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AFF084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4EE877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DCF554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607E42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7C8981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3EA74602"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32FCEE18" w14:textId="4C6A8D7A">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
            </w:r>
            <w:r w:rsidRPr="00C5308E" w:rsidR="000844CD">
              <w:rPr>
                <w:rFonts w:ascii="Verdana" w:hAnsi="Verdana" w:eastAsia="Times New Roman" w:cs="Times New Roman"/>
                <w:color w:val="000000"/>
                <w:sz w:val="18"/>
                <w:szCs w:val="18"/>
                <w:lang w:eastAsia="nl-NL"/>
              </w:rPr>
              <w:t>Stroomlijning keten voor derdenbeslag (SKD)</w:t>
            </w:r>
            <w:r w:rsidRPr="00C5308E">
              <w:rPr>
                <w:rFonts w:ascii="Verdana" w:hAnsi="Verdana" w:eastAsia="Times New Roman" w:cs="Times New Roman"/>
                <w:color w:val="000000"/>
                <w:sz w:val="18"/>
                <w:szCs w:val="18"/>
                <w:lang w:eastAsia="nl-NL"/>
              </w:rPr>
              <w:t xml:space="preserve"> plateau 1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C46EA8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79F444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40A794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0DCA3A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B7F943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864D0B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809BF40"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3235928B" w14:textId="57B5418A">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Work in NL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C43B3D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C5714A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3C0F4F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C82391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AD5ECC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BE9164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r>
      <w:tr w:rsidRPr="00C5308E" w:rsidR="000B30D8" w:rsidTr="00B504A7" w14:paraId="42956FE4"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8FAB8F7"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Continuïteit dienstverlening SVB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596B6D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1F1518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1D0EEA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7602AE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F5A963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142968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0FF226CA"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79F2562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Energietoelage Caribisch Nederland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0E08F6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1E95B7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06705A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B4FAEB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AEE189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B32339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6DCF32AA"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57C6BB52"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WTTA en WGS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E0D0B8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57F687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3D6BEC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0607D5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0B5C8F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8EBEC2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r>
      <w:tr w:rsidRPr="00C5308E" w:rsidR="000B30D8" w:rsidTr="00B504A7" w14:paraId="16474B69"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0D7864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Systeemfout TW-ZW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747995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0D1FA3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277F90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F984E9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10CCBA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2EE2D2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6B47879"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824BE48" w14:textId="138D88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
            </w:r>
            <w:r w:rsidRPr="00C5308E" w:rsidR="000844CD">
              <w:rPr>
                <w:rFonts w:ascii="Verdana" w:hAnsi="Verdana" w:eastAsia="Times New Roman" w:cs="Times New Roman"/>
                <w:color w:val="000000"/>
                <w:sz w:val="18"/>
                <w:szCs w:val="18"/>
                <w:lang w:eastAsia="nl-NL"/>
              </w:rPr>
              <w:t>Wet Kinderopvang Bonaire, Sint Eustatius en Saba (</w:t>
            </w:r>
            <w:r w:rsidRPr="00C5308E">
              <w:rPr>
                <w:rFonts w:ascii="Verdana" w:hAnsi="Verdana" w:eastAsia="Times New Roman" w:cs="Times New Roman"/>
                <w:color w:val="000000"/>
                <w:sz w:val="18"/>
                <w:szCs w:val="18"/>
                <w:lang w:eastAsia="nl-NL"/>
              </w:rPr>
              <w:t>WKO-BES</w:t>
            </w:r>
            <w:r w:rsidRPr="00C5308E" w:rsidR="000844CD">
              <w:rPr>
                <w:rFonts w:ascii="Verdana" w:hAnsi="Verdana" w:eastAsia="Times New Roman" w:cs="Times New Roman"/>
                <w:color w:val="000000"/>
                <w:sz w:val="18"/>
                <w:szCs w:val="18"/>
                <w:lang w:eastAsia="nl-NL"/>
              </w:rPr>
              <w:t>)</w:t>
            </w:r>
            <w:r w:rsidRPr="00C5308E">
              <w:rPr>
                <w:rFonts w:ascii="Verdana" w:hAnsi="Verdana" w:eastAsia="Times New Roman" w:cs="Times New Roman"/>
                <w:color w:val="000000"/>
                <w:sz w:val="18"/>
                <w:szCs w:val="18"/>
                <w:lang w:eastAsia="nl-NL"/>
              </w:rPr>
              <w:t xml:space="preserve">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4A4A06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AAA7DD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9AB571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D38ABB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21FE19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C1E6FD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502C76AC"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247E81BE"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Implementatie asbestrichtlijn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44409F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13E846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669FDB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B374C5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3779C6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EB851F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09F94DFD"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54D18272"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Arbeidsmarkinfrastructuur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48620B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8A1C30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0C3C65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19E1AC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9753BB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18016D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7EBE1C17"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3C319D81"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Registers Kinderopvang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674395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3C9033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18D46C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3E1D69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9F1B6C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8FD76A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0DA12DD4"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5E48915E"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Subsidie vroegsignalering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0FDBC7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133B14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724529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78189B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F8C9B3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02BDBE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6DB73F6E"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7B67D4DC" w14:textId="77777777">
            <w:pPr>
              <w:spacing w:after="0" w:line="240" w:lineRule="auto"/>
              <w:jc w:val="right"/>
              <w:rPr>
                <w:rFonts w:ascii="Verdana" w:hAnsi="Verdana" w:eastAsia="Times New Roman" w:cs="Times New Roman"/>
                <w:color w:val="000000"/>
                <w:sz w:val="18"/>
                <w:szCs w:val="18"/>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95DFAA0"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564ABF6"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225BC0F"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CAC4E0F"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93B81A5"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AE992F2" w14:textId="77777777">
            <w:pPr>
              <w:spacing w:after="0" w:line="240" w:lineRule="auto"/>
              <w:rPr>
                <w:rFonts w:ascii="Times New Roman" w:hAnsi="Times New Roman" w:eastAsia="Times New Roman" w:cs="Times New Roman"/>
                <w:sz w:val="20"/>
                <w:szCs w:val="20"/>
                <w:lang w:eastAsia="nl-NL"/>
              </w:rPr>
            </w:pPr>
          </w:p>
        </w:tc>
      </w:tr>
      <w:tr w:rsidRPr="00C5308E" w:rsidR="000B30D8" w:rsidTr="00B504A7" w14:paraId="01AEB200" w14:textId="77777777">
        <w:trPr>
          <w:trHeight w:val="217"/>
        </w:trPr>
        <w:tc>
          <w:tcPr>
            <w:tcW w:w="5350" w:type="dxa"/>
            <w:tcBorders>
              <w:top w:val="nil"/>
              <w:left w:val="nil"/>
              <w:bottom w:val="nil"/>
              <w:right w:val="nil"/>
            </w:tcBorders>
            <w:shd w:val="clear" w:color="auto" w:fill="auto"/>
            <w:noWrap/>
            <w:hideMark/>
          </w:tcPr>
          <w:p w:rsidRPr="00C5308E" w:rsidR="000B30D8" w:rsidP="003C75FE" w:rsidRDefault="000B30D8" w14:paraId="2A093FFF"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Ombuigingen</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FE8D5CE" w14:textId="77777777">
            <w:pPr>
              <w:spacing w:after="0" w:line="240" w:lineRule="auto"/>
              <w:rPr>
                <w:rFonts w:ascii="Verdana" w:hAnsi="Verdana" w:eastAsia="Times New Roman" w:cs="Times New Roman"/>
                <w:b/>
                <w:bCs/>
                <w:color w:val="000000"/>
                <w:sz w:val="16"/>
                <w:szCs w:val="16"/>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25F1434"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496FCF5"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F733CB0"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2EC052D"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38F7601" w14:textId="77777777">
            <w:pPr>
              <w:spacing w:after="0" w:line="240" w:lineRule="auto"/>
              <w:rPr>
                <w:rFonts w:ascii="Times New Roman" w:hAnsi="Times New Roman" w:eastAsia="Times New Roman" w:cs="Times New Roman"/>
                <w:sz w:val="20"/>
                <w:szCs w:val="20"/>
                <w:lang w:eastAsia="nl-NL"/>
              </w:rPr>
            </w:pPr>
          </w:p>
        </w:tc>
      </w:tr>
      <w:tr w:rsidRPr="00C5308E" w:rsidR="000B30D8" w:rsidTr="00B504A7" w14:paraId="4122C26D"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25EF4EDE"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Uitstel Participatiewet in balans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8B15C3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72B71F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8C0BFB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588A4C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6264E7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69C317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2A6ADFE8"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6D89B6C5"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Onderuitputting re-integratiebudget UWV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735A85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087E65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89CCEE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2B972D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F76970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38D2FA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57F173A"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611C9BE0"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Niet halen banenafspraak overheid overige departementen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194BCF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222FC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34BAB0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8EC6E2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14B975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BF9495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67909745"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47AABB46"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SLIM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BDF56E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215BA0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68E7DC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37C0FF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97D33F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33EB41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A951C60"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310830FF"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ingroeipad kinderopvang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24C74F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A2EEDE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569CB8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6B0CEC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7F8B97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BF03E5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741A8DFC"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656E5741"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artikel 11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516444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2467F0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5843FE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D95681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7C8656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DE5CDF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r>
      <w:tr w:rsidRPr="00C5308E" w:rsidR="000B30D8" w:rsidTr="00B504A7" w14:paraId="26102E33"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39C5EB11"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Uitvoeringskosten Stroomlijning keten derdenbeslag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8D7C20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83B014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AADA58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2B46C4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EABEFF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52275D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15D84BB9"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55C9139F"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Vertraging nieuwe ziekten voor TSB-regeling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E02A45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6674E7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2439C8D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57DA3D3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A6A41E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96F81E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7B7B6812" w14:textId="77777777">
        <w:trPr>
          <w:trHeight w:val="217"/>
        </w:trPr>
        <w:tc>
          <w:tcPr>
            <w:tcW w:w="5350" w:type="dxa"/>
            <w:tcBorders>
              <w:top w:val="nil"/>
              <w:left w:val="nil"/>
              <w:bottom w:val="nil"/>
              <w:right w:val="nil"/>
            </w:tcBorders>
            <w:shd w:val="clear" w:color="auto" w:fill="auto"/>
            <w:noWrap/>
            <w:vAlign w:val="bottom"/>
            <w:hideMark/>
          </w:tcPr>
          <w:p w:rsidRPr="00C5308E" w:rsidR="000B30D8" w:rsidP="003C75FE" w:rsidRDefault="000B30D8" w14:paraId="25DDBDE4"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Afschaffing Belastingrente bij Toeslagen </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46CAAAD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68080FB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184F6F4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-12</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3A6D503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0EABEC4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0B30D8" w:rsidP="003C75FE" w:rsidRDefault="000B30D8" w14:paraId="749461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r>
    </w:tbl>
    <w:p w:rsidRPr="00C5308E" w:rsidR="000B30D8" w:rsidP="000B30D8" w:rsidRDefault="000B30D8" w14:paraId="4854866E" w14:textId="77777777">
      <w:pPr>
        <w:spacing w:after="0" w:line="240" w:lineRule="auto"/>
        <w:rPr>
          <w:rFonts w:ascii="Verdana" w:hAnsi="Verdana"/>
          <w:sz w:val="18"/>
          <w:szCs w:val="18"/>
        </w:rPr>
      </w:pPr>
    </w:p>
    <w:p w:rsidR="00972542" w:rsidP="000B30D8" w:rsidRDefault="00972542" w14:paraId="12E5AE63" w14:textId="77777777">
      <w:pPr>
        <w:spacing w:after="0" w:line="240" w:lineRule="auto"/>
        <w:rPr>
          <w:rFonts w:ascii="Verdana" w:hAnsi="Verdana"/>
          <w:sz w:val="18"/>
          <w:szCs w:val="18"/>
        </w:rPr>
      </w:pPr>
    </w:p>
    <w:p w:rsidR="00972542" w:rsidP="000B30D8" w:rsidRDefault="00972542" w14:paraId="43854C21" w14:textId="77777777">
      <w:pPr>
        <w:spacing w:after="0" w:line="240" w:lineRule="auto"/>
        <w:rPr>
          <w:rFonts w:ascii="Verdana" w:hAnsi="Verdana"/>
          <w:sz w:val="18"/>
          <w:szCs w:val="18"/>
        </w:rPr>
      </w:pPr>
    </w:p>
    <w:p w:rsidR="00972542" w:rsidP="000B30D8" w:rsidRDefault="00972542" w14:paraId="355EE3A1" w14:textId="77777777">
      <w:pPr>
        <w:spacing w:after="0" w:line="240" w:lineRule="auto"/>
        <w:rPr>
          <w:rFonts w:ascii="Verdana" w:hAnsi="Verdana"/>
          <w:sz w:val="18"/>
          <w:szCs w:val="18"/>
        </w:rPr>
      </w:pPr>
    </w:p>
    <w:p w:rsidR="00972542" w:rsidP="000B30D8" w:rsidRDefault="00972542" w14:paraId="44710F92" w14:textId="77777777">
      <w:pPr>
        <w:spacing w:after="0" w:line="240" w:lineRule="auto"/>
        <w:rPr>
          <w:rFonts w:ascii="Verdana" w:hAnsi="Verdana"/>
          <w:sz w:val="18"/>
          <w:szCs w:val="18"/>
        </w:rPr>
      </w:pPr>
    </w:p>
    <w:p w:rsidRPr="00C5308E" w:rsidR="000B30D8" w:rsidP="000B30D8" w:rsidRDefault="000B30D8" w14:paraId="7B7498DD" w14:textId="144F620C">
      <w:pPr>
        <w:spacing w:after="0" w:line="240" w:lineRule="auto"/>
        <w:rPr>
          <w:rFonts w:ascii="Aptos Narrow" w:hAnsi="Aptos Narrow" w:eastAsia="Times New Roman" w:cs="Times New Roman"/>
          <w:color w:val="000000"/>
          <w:lang w:eastAsia="nl-NL"/>
        </w:rPr>
      </w:pPr>
      <w:r w:rsidRPr="00C5308E">
        <w:rPr>
          <w:rFonts w:ascii="Verdana" w:hAnsi="Verdana"/>
          <w:sz w:val="18"/>
          <w:szCs w:val="18"/>
        </w:rPr>
        <w:lastRenderedPageBreak/>
        <w:t>Mutaties Overige intensiveringen en ombuigingen hoofdstuk 40:</w:t>
      </w:r>
    </w:p>
    <w:p w:rsidRPr="00C5308E" w:rsidR="000B30D8" w:rsidP="000B30D8" w:rsidRDefault="000B30D8" w14:paraId="43195AFC" w14:textId="77777777">
      <w:pPr>
        <w:spacing w:after="0" w:line="240" w:lineRule="auto"/>
        <w:rPr>
          <w:rFonts w:ascii="Aptos Narrow" w:hAnsi="Aptos Narrow" w:eastAsia="Times New Roman" w:cs="Times New Roman"/>
          <w:color w:val="000000"/>
          <w:lang w:eastAsia="nl-NL"/>
        </w:rPr>
      </w:pPr>
    </w:p>
    <w:tbl>
      <w:tblPr>
        <w:tblW w:w="9168" w:type="dxa"/>
        <w:tblCellMar>
          <w:left w:w="70" w:type="dxa"/>
          <w:right w:w="70" w:type="dxa"/>
        </w:tblCellMar>
        <w:tblLook w:val="04A0" w:firstRow="1" w:lastRow="0" w:firstColumn="1" w:lastColumn="0" w:noHBand="0" w:noVBand="1"/>
      </w:tblPr>
      <w:tblGrid>
        <w:gridCol w:w="5310"/>
        <w:gridCol w:w="652"/>
        <w:gridCol w:w="652"/>
        <w:gridCol w:w="652"/>
        <w:gridCol w:w="652"/>
        <w:gridCol w:w="652"/>
        <w:gridCol w:w="652"/>
      </w:tblGrid>
      <w:tr w:rsidRPr="00C5308E" w:rsidR="000B30D8" w:rsidTr="00B504A7" w14:paraId="258493DF" w14:textId="77777777">
        <w:trPr>
          <w:trHeight w:val="269"/>
        </w:trPr>
        <w:tc>
          <w:tcPr>
            <w:tcW w:w="5310" w:type="dxa"/>
            <w:tcBorders>
              <w:top w:val="nil"/>
              <w:left w:val="nil"/>
              <w:bottom w:val="single" w:color="auto" w:sz="4" w:space="0"/>
              <w:right w:val="nil"/>
            </w:tcBorders>
            <w:shd w:val="clear" w:color="auto" w:fill="auto"/>
            <w:noWrap/>
            <w:hideMark/>
          </w:tcPr>
          <w:p w:rsidRPr="00C5308E" w:rsidR="000B30D8" w:rsidP="003C75FE" w:rsidRDefault="000B30D8" w14:paraId="3EC44366" w14:textId="5AF90B7E">
            <w:pPr>
              <w:spacing w:after="0" w:line="240" w:lineRule="auto"/>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(x € m</w:t>
            </w:r>
            <w:r w:rsidRPr="00C5308E" w:rsidR="00B504A7">
              <w:rPr>
                <w:rFonts w:ascii="Verdana" w:hAnsi="Verdana" w:eastAsia="Times New Roman" w:cs="Times New Roman"/>
                <w:b/>
                <w:bCs/>
                <w:color w:val="000000"/>
                <w:sz w:val="18"/>
                <w:szCs w:val="18"/>
                <w:lang w:eastAsia="nl-NL"/>
              </w:rPr>
              <w:t>ln.</w:t>
            </w:r>
            <w:r w:rsidRPr="00C5308E">
              <w:rPr>
                <w:rFonts w:ascii="Verdana" w:hAnsi="Verdana" w:eastAsia="Times New Roman" w:cs="Times New Roman"/>
                <w:b/>
                <w:bCs/>
                <w:color w:val="000000"/>
                <w:sz w:val="18"/>
                <w:szCs w:val="18"/>
                <w:lang w:eastAsia="nl-NL"/>
              </w:rPr>
              <w:t>)</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0A5A6F55"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2025</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4A6DCA19"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2026</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70EF0017"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2027</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1BE3587C"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2028</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7BC656B3"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2029</w:t>
            </w:r>
          </w:p>
        </w:tc>
        <w:tc>
          <w:tcPr>
            <w:tcW w:w="643" w:type="dxa"/>
            <w:tcBorders>
              <w:top w:val="nil"/>
              <w:left w:val="nil"/>
              <w:bottom w:val="single" w:color="auto" w:sz="4" w:space="0"/>
              <w:right w:val="nil"/>
            </w:tcBorders>
            <w:shd w:val="clear" w:color="auto" w:fill="auto"/>
            <w:noWrap/>
            <w:hideMark/>
          </w:tcPr>
          <w:p w:rsidRPr="00C5308E" w:rsidR="000B30D8" w:rsidP="003C75FE" w:rsidRDefault="000B30D8" w14:paraId="02F90013"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2030</w:t>
            </w:r>
          </w:p>
        </w:tc>
      </w:tr>
      <w:tr w:rsidRPr="00C5308E" w:rsidR="000B30D8" w:rsidTr="00B504A7" w14:paraId="07BE18A2" w14:textId="77777777">
        <w:trPr>
          <w:trHeight w:val="269"/>
        </w:trPr>
        <w:tc>
          <w:tcPr>
            <w:tcW w:w="5310" w:type="dxa"/>
            <w:tcBorders>
              <w:top w:val="nil"/>
              <w:left w:val="nil"/>
              <w:bottom w:val="nil"/>
              <w:right w:val="nil"/>
            </w:tcBorders>
            <w:shd w:val="clear" w:color="auto" w:fill="auto"/>
            <w:noWrap/>
            <w:hideMark/>
          </w:tcPr>
          <w:p w:rsidRPr="00C5308E" w:rsidR="000B30D8" w:rsidP="003C75FE" w:rsidRDefault="000B30D8" w14:paraId="6A29A9FA"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Intensiveringen</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B6AD61A" w14:textId="77777777">
            <w:pPr>
              <w:spacing w:after="0" w:line="240" w:lineRule="auto"/>
              <w:rPr>
                <w:rFonts w:ascii="Verdana" w:hAnsi="Verdana" w:eastAsia="Times New Roman" w:cs="Times New Roman"/>
                <w:b/>
                <w:bCs/>
                <w:color w:val="000000"/>
                <w:sz w:val="16"/>
                <w:szCs w:val="16"/>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CA48E12"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FEB0E39"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78D77B3"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4935E372"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36368F4" w14:textId="77777777">
            <w:pPr>
              <w:spacing w:after="0" w:line="240" w:lineRule="auto"/>
              <w:rPr>
                <w:rFonts w:ascii="Times New Roman" w:hAnsi="Times New Roman" w:eastAsia="Times New Roman" w:cs="Times New Roman"/>
                <w:sz w:val="20"/>
                <w:szCs w:val="20"/>
                <w:lang w:eastAsia="nl-NL"/>
              </w:rPr>
            </w:pPr>
          </w:p>
        </w:tc>
      </w:tr>
      <w:tr w:rsidRPr="00C5308E" w:rsidR="000B30D8" w:rsidTr="00B504A7" w14:paraId="224297F7"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22C3B6FA" w14:textId="47541048">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Hogere gebruikerskosten Basisregistratiepersoonsregister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494F4A2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6</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1DD3A0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F08C3D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E4CDA2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55A07F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9F0B45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4C76459A"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6FCCA10A" w14:textId="7F016B26">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
            </w:r>
            <w:r w:rsidRPr="00C5308E" w:rsidR="0041230B">
              <w:rPr>
                <w:rFonts w:ascii="Verdana" w:hAnsi="Verdana" w:eastAsia="Times New Roman" w:cs="Times New Roman"/>
                <w:color w:val="000000"/>
                <w:sz w:val="18"/>
                <w:szCs w:val="18"/>
                <w:lang w:eastAsia="nl-NL"/>
              </w:rPr>
              <w:t>V</w:t>
            </w:r>
            <w:r w:rsidRPr="00C5308E">
              <w:rPr>
                <w:rFonts w:ascii="Verdana" w:hAnsi="Verdana" w:eastAsia="Times New Roman" w:cs="Times New Roman"/>
                <w:color w:val="000000"/>
                <w:sz w:val="18"/>
                <w:szCs w:val="18"/>
                <w:lang w:eastAsia="nl-NL"/>
              </w:rPr>
              <w:t xml:space="preserve">ereenvoudiging verlofstelsel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84AF35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E655FD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21A86C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6</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EB1920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D3BFB8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12DFE0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r>
      <w:tr w:rsidRPr="00C5308E" w:rsidR="000B30D8" w:rsidTr="00B504A7" w14:paraId="093BDFA8"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70590B98"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Tussentijdse maatregelenbesluit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31EC09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DCEB91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E9EB01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8D575C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014724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B716BA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4C12FC86"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58FFD86B" w14:textId="74789E91">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Overige beleidsmatige uitvoeringskosten</w:t>
            </w:r>
            <w:r w:rsidRPr="00C5308E" w:rsidR="00903729">
              <w:rPr>
                <w:rFonts w:ascii="Verdana" w:hAnsi="Verdana" w:eastAsia="Times New Roman" w:cs="Times New Roman"/>
                <w:color w:val="000000"/>
                <w:sz w:val="18"/>
                <w:szCs w:val="18"/>
                <w:lang w:eastAsia="nl-NL"/>
              </w:rPr>
              <w:t xml:space="preserve">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A1E570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8FDF02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0F1DF2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4A09D73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6925E3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834C91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5106AD53"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0F6E8EF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Vertraging nieuw werkgeverschap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F6FCEA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F58DC7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F0E0F8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4977840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910679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562F96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0B30D8" w:rsidTr="00B504A7" w14:paraId="34C21D7F"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083418E1"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Alle overige posten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1AB2D6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EF9B51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CA40F3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CE77F3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80999C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35D7E4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0B30D8" w:rsidTr="00B504A7" w14:paraId="35E51637"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15F2515A" w14:textId="77777777">
            <w:pPr>
              <w:spacing w:after="0" w:line="240" w:lineRule="auto"/>
              <w:jc w:val="right"/>
              <w:rPr>
                <w:rFonts w:ascii="Verdana" w:hAnsi="Verdana" w:eastAsia="Times New Roman" w:cs="Times New Roman"/>
                <w:color w:val="000000"/>
                <w:sz w:val="18"/>
                <w:szCs w:val="18"/>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C27B6BA"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A99A68E"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3977D24"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5A8829B"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CA73473"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2593E5D6" w14:textId="77777777">
            <w:pPr>
              <w:spacing w:after="0" w:line="240" w:lineRule="auto"/>
              <w:rPr>
                <w:rFonts w:ascii="Times New Roman" w:hAnsi="Times New Roman" w:eastAsia="Times New Roman" w:cs="Times New Roman"/>
                <w:sz w:val="20"/>
                <w:szCs w:val="20"/>
                <w:lang w:eastAsia="nl-NL"/>
              </w:rPr>
            </w:pPr>
          </w:p>
        </w:tc>
      </w:tr>
      <w:tr w:rsidRPr="00C5308E" w:rsidR="000B30D8" w:rsidTr="00B504A7" w14:paraId="6A61D477" w14:textId="77777777">
        <w:trPr>
          <w:trHeight w:val="269"/>
        </w:trPr>
        <w:tc>
          <w:tcPr>
            <w:tcW w:w="5310" w:type="dxa"/>
            <w:tcBorders>
              <w:top w:val="nil"/>
              <w:left w:val="nil"/>
              <w:bottom w:val="nil"/>
              <w:right w:val="nil"/>
            </w:tcBorders>
            <w:shd w:val="clear" w:color="auto" w:fill="auto"/>
            <w:noWrap/>
            <w:hideMark/>
          </w:tcPr>
          <w:p w:rsidRPr="00C5308E" w:rsidR="000B30D8" w:rsidP="003C75FE" w:rsidRDefault="000B30D8" w14:paraId="3091FCCB"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Ombuigingen</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6B9BD627" w14:textId="77777777">
            <w:pPr>
              <w:spacing w:after="0" w:line="240" w:lineRule="auto"/>
              <w:rPr>
                <w:rFonts w:ascii="Verdana" w:hAnsi="Verdana" w:eastAsia="Times New Roman" w:cs="Times New Roman"/>
                <w:b/>
                <w:bCs/>
                <w:color w:val="000000"/>
                <w:sz w:val="16"/>
                <w:szCs w:val="16"/>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54739146"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099150D"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BC97FC5"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C377FB5"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82B261C" w14:textId="77777777">
            <w:pPr>
              <w:spacing w:after="0" w:line="240" w:lineRule="auto"/>
              <w:rPr>
                <w:rFonts w:ascii="Times New Roman" w:hAnsi="Times New Roman" w:eastAsia="Times New Roman" w:cs="Times New Roman"/>
                <w:sz w:val="20"/>
                <w:szCs w:val="20"/>
                <w:lang w:eastAsia="nl-NL"/>
              </w:rPr>
            </w:pPr>
          </w:p>
        </w:tc>
      </w:tr>
      <w:tr w:rsidRPr="00C5308E" w:rsidR="000B30D8" w:rsidTr="00B504A7" w14:paraId="6C867DCA" w14:textId="77777777">
        <w:trPr>
          <w:trHeight w:val="269"/>
        </w:trPr>
        <w:tc>
          <w:tcPr>
            <w:tcW w:w="5310" w:type="dxa"/>
            <w:tcBorders>
              <w:top w:val="nil"/>
              <w:left w:val="nil"/>
              <w:bottom w:val="nil"/>
              <w:right w:val="nil"/>
            </w:tcBorders>
            <w:shd w:val="clear" w:color="auto" w:fill="auto"/>
            <w:noWrap/>
            <w:vAlign w:val="bottom"/>
            <w:hideMark/>
          </w:tcPr>
          <w:p w:rsidRPr="00C5308E" w:rsidR="000B30D8" w:rsidP="003C75FE" w:rsidRDefault="000B30D8" w14:paraId="4620C055"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Niet ingezette AP-middelen </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17F545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CD2A6A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78503EF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398D667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00A00B0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43" w:type="dxa"/>
            <w:tcBorders>
              <w:top w:val="nil"/>
              <w:left w:val="nil"/>
              <w:bottom w:val="nil"/>
              <w:right w:val="nil"/>
            </w:tcBorders>
            <w:shd w:val="clear" w:color="auto" w:fill="auto"/>
            <w:noWrap/>
            <w:vAlign w:val="bottom"/>
            <w:hideMark/>
          </w:tcPr>
          <w:p w:rsidRPr="00C5308E" w:rsidR="000B30D8" w:rsidP="003C75FE" w:rsidRDefault="000B30D8" w14:paraId="16D4607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r>
    </w:tbl>
    <w:p w:rsidRPr="00C5308E" w:rsidR="000B30D8" w:rsidP="00D87753" w:rsidRDefault="000B30D8" w14:paraId="3BBCC04F" w14:textId="77777777">
      <w:pPr>
        <w:spacing w:after="0" w:line="240" w:lineRule="auto"/>
        <w:contextualSpacing/>
        <w:rPr>
          <w:rFonts w:ascii="Verdana" w:hAnsi="Verdana"/>
          <w:bCs/>
          <w:sz w:val="18"/>
          <w:szCs w:val="18"/>
        </w:rPr>
      </w:pPr>
    </w:p>
    <w:p w:rsidRPr="00C5308E" w:rsidR="00D639F0" w:rsidP="00D87753" w:rsidRDefault="00D639F0" w14:paraId="282A3D7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124</w:t>
      </w:r>
    </w:p>
    <w:p w:rsidRPr="00C5308E" w:rsidR="00D639F0" w:rsidP="00D87753" w:rsidRDefault="00D639F0" w14:paraId="7783AC5A" w14:textId="77777777">
      <w:pPr>
        <w:spacing w:after="0" w:line="240" w:lineRule="auto"/>
        <w:contextualSpacing/>
        <w:rPr>
          <w:rFonts w:ascii="Verdana" w:hAnsi="Verdana"/>
          <w:bCs/>
          <w:sz w:val="18"/>
          <w:szCs w:val="18"/>
        </w:rPr>
      </w:pPr>
      <w:r w:rsidRPr="00C5308E">
        <w:rPr>
          <w:rFonts w:ascii="Verdana" w:hAnsi="Verdana"/>
          <w:bCs/>
          <w:sz w:val="18"/>
          <w:szCs w:val="18"/>
        </w:rPr>
        <w:t>Kunt u nader specificeren waar de taakstelling HLA en Onderwijs, Cultuur en Wetenschap (OCW) precies neerslaan?</w:t>
      </w:r>
    </w:p>
    <w:p w:rsidRPr="00C5308E" w:rsidR="00D639F0" w:rsidP="00D87753" w:rsidRDefault="00D639F0" w14:paraId="11780184" w14:textId="77777777">
      <w:pPr>
        <w:spacing w:after="0" w:line="240" w:lineRule="auto"/>
        <w:contextualSpacing/>
        <w:rPr>
          <w:rFonts w:ascii="Verdana" w:hAnsi="Verdana"/>
          <w:bCs/>
          <w:sz w:val="18"/>
          <w:szCs w:val="18"/>
        </w:rPr>
      </w:pPr>
    </w:p>
    <w:p w:rsidRPr="00C5308E" w:rsidR="00D639F0" w:rsidP="00D87753" w:rsidRDefault="00D639F0" w14:paraId="43DEF28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124</w:t>
      </w:r>
    </w:p>
    <w:p w:rsidRPr="00C5308E" w:rsidR="00D639F0" w:rsidP="00D87753" w:rsidRDefault="00D639F0" w14:paraId="5B0A18A0" w14:textId="3130547D">
      <w:pPr>
        <w:spacing w:after="0" w:line="240" w:lineRule="auto"/>
        <w:contextualSpacing/>
        <w:rPr>
          <w:rFonts w:ascii="Verdana" w:hAnsi="Verdana"/>
          <w:bCs/>
          <w:sz w:val="18"/>
          <w:szCs w:val="18"/>
        </w:rPr>
      </w:pPr>
      <w:r w:rsidRPr="00C5308E">
        <w:rPr>
          <w:rFonts w:ascii="Verdana" w:hAnsi="Verdana"/>
          <w:bCs/>
          <w:sz w:val="18"/>
          <w:szCs w:val="18"/>
        </w:rPr>
        <w:t>De taakstelling HLA slaat neer bij (bedragen x € 1 m</w:t>
      </w:r>
      <w:r w:rsidRPr="00C5308E" w:rsidR="00B504A7">
        <w:rPr>
          <w:rFonts w:ascii="Verdana" w:hAnsi="Verdana"/>
          <w:bCs/>
          <w:sz w:val="18"/>
          <w:szCs w:val="18"/>
        </w:rPr>
        <w:t>ln.</w:t>
      </w:r>
      <w:r w:rsidRPr="00C5308E">
        <w:rPr>
          <w:rFonts w:ascii="Verdana" w:hAnsi="Verdana"/>
          <w:bCs/>
          <w:sz w:val="18"/>
          <w:szCs w:val="18"/>
        </w:rPr>
        <w:t>):</w:t>
      </w:r>
    </w:p>
    <w:p w:rsidRPr="00C5308E" w:rsidR="00D639F0" w:rsidP="00D87753" w:rsidRDefault="00D639F0" w14:paraId="2D5FA331" w14:textId="77777777">
      <w:pPr>
        <w:spacing w:after="0" w:line="240" w:lineRule="auto"/>
        <w:contextualSpacing/>
        <w:rPr>
          <w:rFonts w:ascii="Verdana" w:hAnsi="Verdana"/>
          <w:bCs/>
          <w:sz w:val="18"/>
          <w:szCs w:val="18"/>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C5308E" w:rsidR="00D639F0" w:rsidTr="00E018DA" w14:paraId="27977818" w14:textId="77777777">
        <w:trPr>
          <w:trHeight w:val="300"/>
        </w:trPr>
        <w:tc>
          <w:tcPr>
            <w:tcW w:w="2320" w:type="dxa"/>
            <w:tcBorders>
              <w:top w:val="nil"/>
              <w:left w:val="nil"/>
              <w:bottom w:val="single" w:color="auto" w:sz="4" w:space="0"/>
              <w:right w:val="nil"/>
            </w:tcBorders>
            <w:noWrap/>
            <w:vAlign w:val="bottom"/>
            <w:hideMark/>
          </w:tcPr>
          <w:p w:rsidRPr="00C5308E" w:rsidR="00D639F0" w:rsidP="00D87753" w:rsidRDefault="00D639F0" w14:paraId="49046C50" w14:textId="77777777">
            <w:pPr>
              <w:spacing w:after="0" w:line="240" w:lineRule="auto"/>
              <w:contextualSpacing/>
              <w:rPr>
                <w:rFonts w:ascii="Verdana" w:hAnsi="Verdana"/>
                <w:bCs/>
                <w:sz w:val="18"/>
                <w:szCs w:val="18"/>
              </w:rPr>
            </w:pPr>
            <w:r w:rsidRPr="00C5308E">
              <w:rPr>
                <w:rFonts w:ascii="Verdana" w:hAnsi="Verdana"/>
                <w:bCs/>
                <w:sz w:val="18"/>
                <w:szCs w:val="18"/>
              </w:rPr>
              <w:t> </w:t>
            </w:r>
          </w:p>
        </w:tc>
        <w:tc>
          <w:tcPr>
            <w:tcW w:w="960" w:type="dxa"/>
            <w:tcBorders>
              <w:top w:val="nil"/>
              <w:left w:val="nil"/>
              <w:bottom w:val="single" w:color="auto" w:sz="4" w:space="0"/>
              <w:right w:val="nil"/>
            </w:tcBorders>
            <w:noWrap/>
            <w:vAlign w:val="bottom"/>
            <w:hideMark/>
          </w:tcPr>
          <w:p w:rsidRPr="00C5308E" w:rsidR="00D639F0" w:rsidP="00D87753" w:rsidRDefault="00D639F0" w14:paraId="49BC06EA" w14:textId="77777777">
            <w:pPr>
              <w:spacing w:after="0" w:line="240" w:lineRule="auto"/>
              <w:contextualSpacing/>
              <w:rPr>
                <w:rFonts w:ascii="Verdana" w:hAnsi="Verdana"/>
                <w:bCs/>
                <w:sz w:val="18"/>
                <w:szCs w:val="18"/>
              </w:rPr>
            </w:pPr>
            <w:r w:rsidRPr="00C5308E">
              <w:rPr>
                <w:rFonts w:ascii="Verdana" w:hAnsi="Verdana"/>
                <w:bCs/>
                <w:sz w:val="18"/>
                <w:szCs w:val="18"/>
              </w:rPr>
              <w:t>2025</w:t>
            </w:r>
          </w:p>
        </w:tc>
        <w:tc>
          <w:tcPr>
            <w:tcW w:w="960" w:type="dxa"/>
            <w:tcBorders>
              <w:top w:val="nil"/>
              <w:left w:val="nil"/>
              <w:bottom w:val="single" w:color="auto" w:sz="4" w:space="0"/>
              <w:right w:val="nil"/>
            </w:tcBorders>
            <w:noWrap/>
            <w:vAlign w:val="bottom"/>
            <w:hideMark/>
          </w:tcPr>
          <w:p w:rsidRPr="00C5308E" w:rsidR="00D639F0" w:rsidP="00D87753" w:rsidRDefault="00D639F0" w14:paraId="4D620E48" w14:textId="77777777">
            <w:pPr>
              <w:spacing w:after="0" w:line="240" w:lineRule="auto"/>
              <w:contextualSpacing/>
              <w:rPr>
                <w:rFonts w:ascii="Verdana" w:hAnsi="Verdana"/>
                <w:bCs/>
                <w:sz w:val="18"/>
                <w:szCs w:val="18"/>
              </w:rPr>
            </w:pPr>
            <w:r w:rsidRPr="00C5308E">
              <w:rPr>
                <w:rFonts w:ascii="Verdana" w:hAnsi="Verdana"/>
                <w:bCs/>
                <w:sz w:val="18"/>
                <w:szCs w:val="18"/>
              </w:rPr>
              <w:t>2026</w:t>
            </w:r>
          </w:p>
        </w:tc>
        <w:tc>
          <w:tcPr>
            <w:tcW w:w="960" w:type="dxa"/>
            <w:tcBorders>
              <w:top w:val="nil"/>
              <w:left w:val="nil"/>
              <w:bottom w:val="single" w:color="auto" w:sz="4" w:space="0"/>
              <w:right w:val="nil"/>
            </w:tcBorders>
            <w:noWrap/>
            <w:vAlign w:val="bottom"/>
            <w:hideMark/>
          </w:tcPr>
          <w:p w:rsidRPr="00C5308E" w:rsidR="00D639F0" w:rsidP="00D87753" w:rsidRDefault="00D639F0" w14:paraId="45CAC0BD" w14:textId="77777777">
            <w:pPr>
              <w:spacing w:after="0" w:line="240" w:lineRule="auto"/>
              <w:contextualSpacing/>
              <w:rPr>
                <w:rFonts w:ascii="Verdana" w:hAnsi="Verdana"/>
                <w:bCs/>
                <w:sz w:val="18"/>
                <w:szCs w:val="18"/>
              </w:rPr>
            </w:pPr>
            <w:r w:rsidRPr="00C5308E">
              <w:rPr>
                <w:rFonts w:ascii="Verdana" w:hAnsi="Verdana"/>
                <w:bCs/>
                <w:sz w:val="18"/>
                <w:szCs w:val="18"/>
              </w:rPr>
              <w:t>2027</w:t>
            </w:r>
          </w:p>
        </w:tc>
        <w:tc>
          <w:tcPr>
            <w:tcW w:w="960" w:type="dxa"/>
            <w:tcBorders>
              <w:top w:val="nil"/>
              <w:left w:val="nil"/>
              <w:bottom w:val="single" w:color="auto" w:sz="4" w:space="0"/>
              <w:right w:val="nil"/>
            </w:tcBorders>
            <w:noWrap/>
            <w:vAlign w:val="bottom"/>
            <w:hideMark/>
          </w:tcPr>
          <w:p w:rsidRPr="00C5308E" w:rsidR="00D639F0" w:rsidP="00D87753" w:rsidRDefault="00D639F0" w14:paraId="0E50F1AC" w14:textId="77777777">
            <w:pPr>
              <w:spacing w:after="0" w:line="240" w:lineRule="auto"/>
              <w:contextualSpacing/>
              <w:rPr>
                <w:rFonts w:ascii="Verdana" w:hAnsi="Verdana"/>
                <w:bCs/>
                <w:sz w:val="18"/>
                <w:szCs w:val="18"/>
              </w:rPr>
            </w:pPr>
            <w:r w:rsidRPr="00C5308E">
              <w:rPr>
                <w:rFonts w:ascii="Verdana" w:hAnsi="Verdana"/>
                <w:bCs/>
                <w:sz w:val="18"/>
                <w:szCs w:val="18"/>
              </w:rPr>
              <w:t>2028</w:t>
            </w:r>
          </w:p>
        </w:tc>
        <w:tc>
          <w:tcPr>
            <w:tcW w:w="960" w:type="dxa"/>
            <w:tcBorders>
              <w:top w:val="nil"/>
              <w:left w:val="nil"/>
              <w:bottom w:val="single" w:color="auto" w:sz="4" w:space="0"/>
              <w:right w:val="nil"/>
            </w:tcBorders>
            <w:noWrap/>
            <w:vAlign w:val="bottom"/>
            <w:hideMark/>
          </w:tcPr>
          <w:p w:rsidRPr="00C5308E" w:rsidR="00D639F0" w:rsidP="00D87753" w:rsidRDefault="00D639F0" w14:paraId="5254133F" w14:textId="77777777">
            <w:pPr>
              <w:spacing w:after="0" w:line="240" w:lineRule="auto"/>
              <w:contextualSpacing/>
              <w:rPr>
                <w:rFonts w:ascii="Verdana" w:hAnsi="Verdana"/>
                <w:bCs/>
                <w:sz w:val="18"/>
                <w:szCs w:val="18"/>
              </w:rPr>
            </w:pPr>
            <w:r w:rsidRPr="00C5308E">
              <w:rPr>
                <w:rFonts w:ascii="Verdana" w:hAnsi="Verdana"/>
                <w:bCs/>
                <w:sz w:val="18"/>
                <w:szCs w:val="18"/>
              </w:rPr>
              <w:t>2029</w:t>
            </w:r>
          </w:p>
        </w:tc>
        <w:tc>
          <w:tcPr>
            <w:tcW w:w="960" w:type="dxa"/>
            <w:tcBorders>
              <w:top w:val="nil"/>
              <w:left w:val="nil"/>
              <w:bottom w:val="single" w:color="auto" w:sz="4" w:space="0"/>
              <w:right w:val="nil"/>
            </w:tcBorders>
            <w:noWrap/>
            <w:vAlign w:val="bottom"/>
            <w:hideMark/>
          </w:tcPr>
          <w:p w:rsidRPr="00C5308E" w:rsidR="00D639F0" w:rsidP="00D87753" w:rsidRDefault="00D639F0" w14:paraId="7E7347D3" w14:textId="77777777">
            <w:pPr>
              <w:spacing w:after="0" w:line="240" w:lineRule="auto"/>
              <w:contextualSpacing/>
              <w:rPr>
                <w:rFonts w:ascii="Verdana" w:hAnsi="Verdana"/>
                <w:bCs/>
                <w:sz w:val="18"/>
                <w:szCs w:val="18"/>
              </w:rPr>
            </w:pPr>
            <w:r w:rsidRPr="00C5308E">
              <w:rPr>
                <w:rFonts w:ascii="Verdana" w:hAnsi="Verdana"/>
                <w:bCs/>
                <w:sz w:val="18"/>
                <w:szCs w:val="18"/>
              </w:rPr>
              <w:t>2030</w:t>
            </w:r>
          </w:p>
        </w:tc>
      </w:tr>
      <w:tr w:rsidRPr="00C5308E" w:rsidR="00D639F0" w:rsidTr="00E018DA" w14:paraId="3600C38F" w14:textId="77777777">
        <w:trPr>
          <w:trHeight w:val="300"/>
        </w:trPr>
        <w:tc>
          <w:tcPr>
            <w:tcW w:w="2320" w:type="dxa"/>
            <w:noWrap/>
            <w:vAlign w:val="bottom"/>
            <w:hideMark/>
          </w:tcPr>
          <w:p w:rsidRPr="00C5308E" w:rsidR="00D639F0" w:rsidP="00D87753" w:rsidRDefault="00D639F0" w14:paraId="78E6EFBB" w14:textId="002AB6E9">
            <w:pPr>
              <w:spacing w:after="0" w:line="240" w:lineRule="auto"/>
              <w:contextualSpacing/>
              <w:rPr>
                <w:rFonts w:ascii="Verdana" w:hAnsi="Verdana"/>
                <w:bCs/>
                <w:sz w:val="18"/>
                <w:szCs w:val="18"/>
              </w:rPr>
            </w:pPr>
            <w:r w:rsidRPr="00C5308E">
              <w:rPr>
                <w:rFonts w:ascii="Verdana" w:hAnsi="Verdana"/>
                <w:bCs/>
                <w:sz w:val="18"/>
                <w:szCs w:val="18"/>
              </w:rPr>
              <w:t>Kern</w:t>
            </w:r>
            <w:r w:rsidR="009D7D7E">
              <w:rPr>
                <w:rFonts w:ascii="Verdana" w:hAnsi="Verdana"/>
                <w:bCs/>
                <w:sz w:val="18"/>
                <w:szCs w:val="18"/>
              </w:rPr>
              <w:t>departement</w:t>
            </w:r>
          </w:p>
        </w:tc>
        <w:tc>
          <w:tcPr>
            <w:tcW w:w="960" w:type="dxa"/>
            <w:noWrap/>
            <w:vAlign w:val="bottom"/>
            <w:hideMark/>
          </w:tcPr>
          <w:p w:rsidRPr="00C5308E" w:rsidR="00D639F0" w:rsidP="00D87753" w:rsidRDefault="00D639F0" w14:paraId="4E87CFEB" w14:textId="77777777">
            <w:pPr>
              <w:spacing w:after="0" w:line="240" w:lineRule="auto"/>
              <w:contextualSpacing/>
              <w:rPr>
                <w:rFonts w:ascii="Verdana" w:hAnsi="Verdana"/>
                <w:bCs/>
                <w:sz w:val="18"/>
                <w:szCs w:val="18"/>
              </w:rPr>
            </w:pPr>
            <w:r w:rsidRPr="00C5308E">
              <w:rPr>
                <w:rFonts w:ascii="Verdana" w:hAnsi="Verdana"/>
                <w:bCs/>
                <w:sz w:val="18"/>
                <w:szCs w:val="18"/>
              </w:rPr>
              <w:t>21,9</w:t>
            </w:r>
          </w:p>
        </w:tc>
        <w:tc>
          <w:tcPr>
            <w:tcW w:w="960" w:type="dxa"/>
            <w:noWrap/>
            <w:vAlign w:val="bottom"/>
            <w:hideMark/>
          </w:tcPr>
          <w:p w:rsidRPr="00C5308E" w:rsidR="00D639F0" w:rsidP="00D87753" w:rsidRDefault="00D639F0" w14:paraId="4B40554B" w14:textId="77777777">
            <w:pPr>
              <w:spacing w:after="0" w:line="240" w:lineRule="auto"/>
              <w:contextualSpacing/>
              <w:rPr>
                <w:rFonts w:ascii="Verdana" w:hAnsi="Verdana"/>
                <w:bCs/>
                <w:sz w:val="18"/>
                <w:szCs w:val="18"/>
              </w:rPr>
            </w:pPr>
            <w:r w:rsidRPr="00C5308E">
              <w:rPr>
                <w:rFonts w:ascii="Verdana" w:hAnsi="Verdana"/>
                <w:bCs/>
                <w:sz w:val="18"/>
                <w:szCs w:val="18"/>
              </w:rPr>
              <w:t>30,7</w:t>
            </w:r>
          </w:p>
        </w:tc>
        <w:tc>
          <w:tcPr>
            <w:tcW w:w="960" w:type="dxa"/>
            <w:noWrap/>
            <w:vAlign w:val="bottom"/>
            <w:hideMark/>
          </w:tcPr>
          <w:p w:rsidRPr="00C5308E" w:rsidR="00D639F0" w:rsidP="00D87753" w:rsidRDefault="00D639F0" w14:paraId="7E14FFCD" w14:textId="77777777">
            <w:pPr>
              <w:spacing w:after="0" w:line="240" w:lineRule="auto"/>
              <w:contextualSpacing/>
              <w:rPr>
                <w:rFonts w:ascii="Verdana" w:hAnsi="Verdana"/>
                <w:bCs/>
                <w:sz w:val="18"/>
                <w:szCs w:val="18"/>
              </w:rPr>
            </w:pPr>
            <w:r w:rsidRPr="00C5308E">
              <w:rPr>
                <w:rFonts w:ascii="Verdana" w:hAnsi="Verdana"/>
                <w:bCs/>
                <w:sz w:val="18"/>
                <w:szCs w:val="18"/>
              </w:rPr>
              <w:t>38,1</w:t>
            </w:r>
          </w:p>
        </w:tc>
        <w:tc>
          <w:tcPr>
            <w:tcW w:w="960" w:type="dxa"/>
            <w:noWrap/>
            <w:vAlign w:val="bottom"/>
            <w:hideMark/>
          </w:tcPr>
          <w:p w:rsidRPr="00C5308E" w:rsidR="00D639F0" w:rsidP="00D87753" w:rsidRDefault="00D639F0" w14:paraId="06A64859" w14:textId="77777777">
            <w:pPr>
              <w:spacing w:after="0" w:line="240" w:lineRule="auto"/>
              <w:contextualSpacing/>
              <w:rPr>
                <w:rFonts w:ascii="Verdana" w:hAnsi="Verdana"/>
                <w:bCs/>
                <w:sz w:val="18"/>
                <w:szCs w:val="18"/>
              </w:rPr>
            </w:pPr>
            <w:r w:rsidRPr="00C5308E">
              <w:rPr>
                <w:rFonts w:ascii="Verdana" w:hAnsi="Verdana"/>
                <w:bCs/>
                <w:sz w:val="18"/>
                <w:szCs w:val="18"/>
              </w:rPr>
              <w:t>45,2</w:t>
            </w:r>
          </w:p>
        </w:tc>
        <w:tc>
          <w:tcPr>
            <w:tcW w:w="960" w:type="dxa"/>
            <w:noWrap/>
            <w:vAlign w:val="bottom"/>
            <w:hideMark/>
          </w:tcPr>
          <w:p w:rsidRPr="00C5308E" w:rsidR="00D639F0" w:rsidP="00D87753" w:rsidRDefault="00D639F0" w14:paraId="34322EF6" w14:textId="77777777">
            <w:pPr>
              <w:spacing w:after="0" w:line="240" w:lineRule="auto"/>
              <w:contextualSpacing/>
              <w:rPr>
                <w:rFonts w:ascii="Verdana" w:hAnsi="Verdana"/>
                <w:bCs/>
                <w:sz w:val="18"/>
                <w:szCs w:val="18"/>
              </w:rPr>
            </w:pPr>
            <w:r w:rsidRPr="00C5308E">
              <w:rPr>
                <w:rFonts w:ascii="Verdana" w:hAnsi="Verdana"/>
                <w:bCs/>
                <w:sz w:val="18"/>
                <w:szCs w:val="18"/>
              </w:rPr>
              <w:t>38,9</w:t>
            </w:r>
          </w:p>
        </w:tc>
        <w:tc>
          <w:tcPr>
            <w:tcW w:w="960" w:type="dxa"/>
            <w:noWrap/>
            <w:vAlign w:val="bottom"/>
            <w:hideMark/>
          </w:tcPr>
          <w:p w:rsidRPr="00C5308E" w:rsidR="00D639F0" w:rsidP="00D87753" w:rsidRDefault="00D639F0" w14:paraId="044068CA" w14:textId="77777777">
            <w:pPr>
              <w:spacing w:after="0" w:line="240" w:lineRule="auto"/>
              <w:contextualSpacing/>
              <w:rPr>
                <w:rFonts w:ascii="Verdana" w:hAnsi="Verdana"/>
                <w:bCs/>
                <w:sz w:val="18"/>
                <w:szCs w:val="18"/>
              </w:rPr>
            </w:pPr>
            <w:r w:rsidRPr="00C5308E">
              <w:rPr>
                <w:rFonts w:ascii="Verdana" w:hAnsi="Verdana"/>
                <w:bCs/>
                <w:sz w:val="18"/>
                <w:szCs w:val="18"/>
              </w:rPr>
              <w:t>38,9</w:t>
            </w:r>
          </w:p>
        </w:tc>
      </w:tr>
      <w:tr w:rsidRPr="00C5308E" w:rsidR="00D639F0" w:rsidTr="00E018DA" w14:paraId="24C9FF82" w14:textId="77777777">
        <w:trPr>
          <w:trHeight w:val="300"/>
        </w:trPr>
        <w:tc>
          <w:tcPr>
            <w:tcW w:w="2320" w:type="dxa"/>
            <w:noWrap/>
            <w:vAlign w:val="bottom"/>
            <w:hideMark/>
          </w:tcPr>
          <w:p w:rsidRPr="00C5308E" w:rsidR="00D639F0" w:rsidP="00D87753" w:rsidRDefault="00D639F0" w14:paraId="565B04F0" w14:textId="77777777">
            <w:pPr>
              <w:spacing w:after="0" w:line="240" w:lineRule="auto"/>
              <w:contextualSpacing/>
              <w:rPr>
                <w:rFonts w:ascii="Verdana" w:hAnsi="Verdana"/>
                <w:bCs/>
                <w:sz w:val="18"/>
                <w:szCs w:val="18"/>
              </w:rPr>
            </w:pPr>
            <w:r w:rsidRPr="00C5308E">
              <w:rPr>
                <w:rFonts w:ascii="Verdana" w:hAnsi="Verdana"/>
                <w:bCs/>
                <w:sz w:val="18"/>
                <w:szCs w:val="18"/>
              </w:rPr>
              <w:t>NLA</w:t>
            </w:r>
          </w:p>
        </w:tc>
        <w:tc>
          <w:tcPr>
            <w:tcW w:w="960" w:type="dxa"/>
            <w:noWrap/>
            <w:vAlign w:val="bottom"/>
            <w:hideMark/>
          </w:tcPr>
          <w:p w:rsidRPr="00C5308E" w:rsidR="00D639F0" w:rsidP="00D87753" w:rsidRDefault="00D639F0" w14:paraId="7CD949AB" w14:textId="77777777">
            <w:pPr>
              <w:spacing w:after="0" w:line="240" w:lineRule="auto"/>
              <w:contextualSpacing/>
              <w:rPr>
                <w:rFonts w:ascii="Verdana" w:hAnsi="Verdana"/>
                <w:bCs/>
                <w:sz w:val="18"/>
                <w:szCs w:val="18"/>
              </w:rPr>
            </w:pPr>
            <w:r w:rsidRPr="00C5308E">
              <w:rPr>
                <w:rFonts w:ascii="Verdana" w:hAnsi="Verdana"/>
                <w:bCs/>
                <w:sz w:val="18"/>
                <w:szCs w:val="18"/>
              </w:rPr>
              <w:t>1,0</w:t>
            </w:r>
          </w:p>
        </w:tc>
        <w:tc>
          <w:tcPr>
            <w:tcW w:w="960" w:type="dxa"/>
            <w:noWrap/>
            <w:vAlign w:val="bottom"/>
            <w:hideMark/>
          </w:tcPr>
          <w:p w:rsidRPr="00C5308E" w:rsidR="00D639F0" w:rsidP="00D87753" w:rsidRDefault="00D639F0" w14:paraId="36EC2733" w14:textId="77777777">
            <w:pPr>
              <w:spacing w:after="0" w:line="240" w:lineRule="auto"/>
              <w:contextualSpacing/>
              <w:rPr>
                <w:rFonts w:ascii="Verdana" w:hAnsi="Verdana"/>
                <w:bCs/>
                <w:sz w:val="18"/>
                <w:szCs w:val="18"/>
              </w:rPr>
            </w:pPr>
            <w:r w:rsidRPr="00C5308E">
              <w:rPr>
                <w:rFonts w:ascii="Verdana" w:hAnsi="Verdana"/>
                <w:bCs/>
                <w:sz w:val="18"/>
                <w:szCs w:val="18"/>
              </w:rPr>
              <w:t>1,0</w:t>
            </w:r>
          </w:p>
        </w:tc>
        <w:tc>
          <w:tcPr>
            <w:tcW w:w="960" w:type="dxa"/>
            <w:noWrap/>
            <w:vAlign w:val="bottom"/>
            <w:hideMark/>
          </w:tcPr>
          <w:p w:rsidRPr="00C5308E" w:rsidR="00D639F0" w:rsidP="00D87753" w:rsidRDefault="00D639F0" w14:paraId="1CA88F98" w14:textId="77777777">
            <w:pPr>
              <w:spacing w:after="0" w:line="240" w:lineRule="auto"/>
              <w:contextualSpacing/>
              <w:rPr>
                <w:rFonts w:ascii="Verdana" w:hAnsi="Verdana"/>
                <w:bCs/>
                <w:sz w:val="18"/>
                <w:szCs w:val="18"/>
              </w:rPr>
            </w:pPr>
            <w:r w:rsidRPr="00C5308E">
              <w:rPr>
                <w:rFonts w:ascii="Verdana" w:hAnsi="Verdana"/>
                <w:bCs/>
                <w:sz w:val="18"/>
                <w:szCs w:val="18"/>
              </w:rPr>
              <w:t>2,0</w:t>
            </w:r>
          </w:p>
        </w:tc>
        <w:tc>
          <w:tcPr>
            <w:tcW w:w="960" w:type="dxa"/>
            <w:noWrap/>
            <w:vAlign w:val="bottom"/>
            <w:hideMark/>
          </w:tcPr>
          <w:p w:rsidRPr="00C5308E" w:rsidR="00D639F0" w:rsidP="00D87753" w:rsidRDefault="00D639F0" w14:paraId="09997950" w14:textId="77777777">
            <w:pPr>
              <w:spacing w:after="0" w:line="240" w:lineRule="auto"/>
              <w:contextualSpacing/>
              <w:rPr>
                <w:rFonts w:ascii="Verdana" w:hAnsi="Verdana"/>
                <w:bCs/>
                <w:sz w:val="18"/>
                <w:szCs w:val="18"/>
              </w:rPr>
            </w:pPr>
            <w:r w:rsidRPr="00C5308E">
              <w:rPr>
                <w:rFonts w:ascii="Verdana" w:hAnsi="Verdana"/>
                <w:bCs/>
                <w:sz w:val="18"/>
                <w:szCs w:val="18"/>
              </w:rPr>
              <w:t>3,0</w:t>
            </w:r>
          </w:p>
        </w:tc>
        <w:tc>
          <w:tcPr>
            <w:tcW w:w="960" w:type="dxa"/>
            <w:noWrap/>
            <w:vAlign w:val="bottom"/>
            <w:hideMark/>
          </w:tcPr>
          <w:p w:rsidRPr="00C5308E" w:rsidR="00D639F0" w:rsidP="00D87753" w:rsidRDefault="00D639F0" w14:paraId="5FCFA34A" w14:textId="77777777">
            <w:pPr>
              <w:spacing w:after="0" w:line="240" w:lineRule="auto"/>
              <w:contextualSpacing/>
              <w:rPr>
                <w:rFonts w:ascii="Verdana" w:hAnsi="Verdana"/>
                <w:bCs/>
                <w:sz w:val="18"/>
                <w:szCs w:val="18"/>
              </w:rPr>
            </w:pPr>
            <w:r w:rsidRPr="00C5308E">
              <w:rPr>
                <w:rFonts w:ascii="Verdana" w:hAnsi="Verdana"/>
                <w:bCs/>
                <w:sz w:val="18"/>
                <w:szCs w:val="18"/>
              </w:rPr>
              <w:t>4,0</w:t>
            </w:r>
          </w:p>
        </w:tc>
        <w:tc>
          <w:tcPr>
            <w:tcW w:w="960" w:type="dxa"/>
            <w:noWrap/>
            <w:vAlign w:val="bottom"/>
            <w:hideMark/>
          </w:tcPr>
          <w:p w:rsidRPr="00C5308E" w:rsidR="00D639F0" w:rsidP="00D87753" w:rsidRDefault="00D639F0" w14:paraId="3BB834AF" w14:textId="77777777">
            <w:pPr>
              <w:spacing w:after="0" w:line="240" w:lineRule="auto"/>
              <w:contextualSpacing/>
              <w:rPr>
                <w:rFonts w:ascii="Verdana" w:hAnsi="Verdana"/>
                <w:bCs/>
                <w:sz w:val="18"/>
                <w:szCs w:val="18"/>
              </w:rPr>
            </w:pPr>
            <w:r w:rsidRPr="00C5308E">
              <w:rPr>
                <w:rFonts w:ascii="Verdana" w:hAnsi="Verdana"/>
                <w:bCs/>
                <w:sz w:val="18"/>
                <w:szCs w:val="18"/>
              </w:rPr>
              <w:t>4,0</w:t>
            </w:r>
          </w:p>
        </w:tc>
      </w:tr>
      <w:tr w:rsidRPr="00C5308E" w:rsidR="00D639F0" w:rsidTr="00E018DA" w14:paraId="63420329" w14:textId="77777777">
        <w:trPr>
          <w:trHeight w:val="300"/>
        </w:trPr>
        <w:tc>
          <w:tcPr>
            <w:tcW w:w="2320" w:type="dxa"/>
            <w:noWrap/>
            <w:vAlign w:val="bottom"/>
            <w:hideMark/>
          </w:tcPr>
          <w:p w:rsidRPr="00C5308E" w:rsidR="00D639F0" w:rsidP="00D87753" w:rsidRDefault="00D639F0" w14:paraId="745BE136" w14:textId="77777777">
            <w:pPr>
              <w:spacing w:after="0" w:line="240" w:lineRule="auto"/>
              <w:contextualSpacing/>
              <w:rPr>
                <w:rFonts w:ascii="Verdana" w:hAnsi="Verdana"/>
                <w:bCs/>
                <w:sz w:val="18"/>
                <w:szCs w:val="18"/>
              </w:rPr>
            </w:pPr>
            <w:r w:rsidRPr="00C5308E">
              <w:rPr>
                <w:rFonts w:ascii="Verdana" w:hAnsi="Verdana"/>
                <w:bCs/>
                <w:sz w:val="18"/>
                <w:szCs w:val="18"/>
              </w:rPr>
              <w:t>UWV</w:t>
            </w:r>
          </w:p>
        </w:tc>
        <w:tc>
          <w:tcPr>
            <w:tcW w:w="960" w:type="dxa"/>
            <w:noWrap/>
            <w:vAlign w:val="bottom"/>
            <w:hideMark/>
          </w:tcPr>
          <w:p w:rsidRPr="00C5308E" w:rsidR="00D639F0" w:rsidP="00D87753" w:rsidRDefault="00D639F0" w14:paraId="03DBBD4C" w14:textId="77777777">
            <w:pPr>
              <w:spacing w:after="0" w:line="240" w:lineRule="auto"/>
              <w:contextualSpacing/>
              <w:rPr>
                <w:rFonts w:ascii="Verdana" w:hAnsi="Verdana"/>
                <w:bCs/>
                <w:sz w:val="18"/>
                <w:szCs w:val="18"/>
              </w:rPr>
            </w:pPr>
            <w:r w:rsidRPr="00C5308E">
              <w:rPr>
                <w:rFonts w:ascii="Verdana" w:hAnsi="Verdana"/>
                <w:bCs/>
                <w:sz w:val="18"/>
                <w:szCs w:val="18"/>
              </w:rPr>
              <w:t>0,0</w:t>
            </w:r>
          </w:p>
        </w:tc>
        <w:tc>
          <w:tcPr>
            <w:tcW w:w="960" w:type="dxa"/>
            <w:noWrap/>
            <w:vAlign w:val="bottom"/>
            <w:hideMark/>
          </w:tcPr>
          <w:p w:rsidRPr="00C5308E" w:rsidR="00D639F0" w:rsidP="00D87753" w:rsidRDefault="00D639F0" w14:paraId="1FF9B6A5" w14:textId="77777777">
            <w:pPr>
              <w:spacing w:after="0" w:line="240" w:lineRule="auto"/>
              <w:contextualSpacing/>
              <w:rPr>
                <w:rFonts w:ascii="Verdana" w:hAnsi="Verdana"/>
                <w:bCs/>
                <w:sz w:val="18"/>
                <w:szCs w:val="18"/>
              </w:rPr>
            </w:pPr>
            <w:r w:rsidRPr="00C5308E">
              <w:rPr>
                <w:rFonts w:ascii="Verdana" w:hAnsi="Verdana"/>
                <w:bCs/>
                <w:sz w:val="18"/>
                <w:szCs w:val="18"/>
              </w:rPr>
              <w:t>11,7</w:t>
            </w:r>
          </w:p>
        </w:tc>
        <w:tc>
          <w:tcPr>
            <w:tcW w:w="960" w:type="dxa"/>
            <w:noWrap/>
            <w:vAlign w:val="bottom"/>
            <w:hideMark/>
          </w:tcPr>
          <w:p w:rsidRPr="00C5308E" w:rsidR="00D639F0" w:rsidP="00D87753" w:rsidRDefault="00D639F0" w14:paraId="49E0ADF5" w14:textId="77777777">
            <w:pPr>
              <w:spacing w:after="0" w:line="240" w:lineRule="auto"/>
              <w:contextualSpacing/>
              <w:rPr>
                <w:rFonts w:ascii="Verdana" w:hAnsi="Verdana"/>
                <w:bCs/>
                <w:sz w:val="18"/>
                <w:szCs w:val="18"/>
              </w:rPr>
            </w:pPr>
            <w:r w:rsidRPr="00C5308E">
              <w:rPr>
                <w:rFonts w:ascii="Verdana" w:hAnsi="Verdana"/>
                <w:bCs/>
                <w:sz w:val="18"/>
                <w:szCs w:val="18"/>
              </w:rPr>
              <w:t>23,8</w:t>
            </w:r>
          </w:p>
        </w:tc>
        <w:tc>
          <w:tcPr>
            <w:tcW w:w="960" w:type="dxa"/>
            <w:noWrap/>
            <w:vAlign w:val="bottom"/>
            <w:hideMark/>
          </w:tcPr>
          <w:p w:rsidRPr="00C5308E" w:rsidR="00D639F0" w:rsidP="00D87753" w:rsidRDefault="00D639F0" w14:paraId="4B7E7DEC" w14:textId="77777777">
            <w:pPr>
              <w:spacing w:after="0" w:line="240" w:lineRule="auto"/>
              <w:contextualSpacing/>
              <w:rPr>
                <w:rFonts w:ascii="Verdana" w:hAnsi="Verdana"/>
                <w:bCs/>
                <w:sz w:val="18"/>
                <w:szCs w:val="18"/>
              </w:rPr>
            </w:pPr>
            <w:r w:rsidRPr="00C5308E">
              <w:rPr>
                <w:rFonts w:ascii="Verdana" w:hAnsi="Verdana"/>
                <w:bCs/>
                <w:sz w:val="18"/>
                <w:szCs w:val="18"/>
              </w:rPr>
              <w:t>36,3</w:t>
            </w:r>
          </w:p>
        </w:tc>
        <w:tc>
          <w:tcPr>
            <w:tcW w:w="960" w:type="dxa"/>
            <w:noWrap/>
            <w:vAlign w:val="bottom"/>
            <w:hideMark/>
          </w:tcPr>
          <w:p w:rsidRPr="00C5308E" w:rsidR="00D639F0" w:rsidP="00D87753" w:rsidRDefault="00D639F0" w14:paraId="4EB1B27B" w14:textId="77777777">
            <w:pPr>
              <w:spacing w:after="0" w:line="240" w:lineRule="auto"/>
              <w:contextualSpacing/>
              <w:rPr>
                <w:rFonts w:ascii="Verdana" w:hAnsi="Verdana"/>
                <w:bCs/>
                <w:sz w:val="18"/>
                <w:szCs w:val="18"/>
              </w:rPr>
            </w:pPr>
            <w:r w:rsidRPr="00C5308E">
              <w:rPr>
                <w:rFonts w:ascii="Verdana" w:hAnsi="Verdana"/>
                <w:bCs/>
                <w:sz w:val="18"/>
                <w:szCs w:val="18"/>
              </w:rPr>
              <w:t>48,7</w:t>
            </w:r>
          </w:p>
        </w:tc>
        <w:tc>
          <w:tcPr>
            <w:tcW w:w="960" w:type="dxa"/>
            <w:noWrap/>
            <w:vAlign w:val="bottom"/>
            <w:hideMark/>
          </w:tcPr>
          <w:p w:rsidRPr="00C5308E" w:rsidR="00D639F0" w:rsidP="00D87753" w:rsidRDefault="00D639F0" w14:paraId="1218FA2B" w14:textId="77777777">
            <w:pPr>
              <w:spacing w:after="0" w:line="240" w:lineRule="auto"/>
              <w:contextualSpacing/>
              <w:rPr>
                <w:rFonts w:ascii="Verdana" w:hAnsi="Verdana"/>
                <w:bCs/>
                <w:sz w:val="18"/>
                <w:szCs w:val="18"/>
              </w:rPr>
            </w:pPr>
            <w:r w:rsidRPr="00C5308E">
              <w:rPr>
                <w:rFonts w:ascii="Verdana" w:hAnsi="Verdana"/>
                <w:bCs/>
                <w:sz w:val="18"/>
                <w:szCs w:val="18"/>
              </w:rPr>
              <w:t>48,7</w:t>
            </w:r>
          </w:p>
        </w:tc>
      </w:tr>
      <w:tr w:rsidRPr="00C5308E" w:rsidR="00D639F0" w:rsidTr="00E018DA" w14:paraId="54EE4E69" w14:textId="77777777">
        <w:trPr>
          <w:trHeight w:val="300"/>
        </w:trPr>
        <w:tc>
          <w:tcPr>
            <w:tcW w:w="2320" w:type="dxa"/>
            <w:noWrap/>
            <w:vAlign w:val="bottom"/>
            <w:hideMark/>
          </w:tcPr>
          <w:p w:rsidRPr="00C5308E" w:rsidR="00D639F0" w:rsidP="00D87753" w:rsidRDefault="00D639F0" w14:paraId="768016EE" w14:textId="77777777">
            <w:pPr>
              <w:spacing w:after="0" w:line="240" w:lineRule="auto"/>
              <w:contextualSpacing/>
              <w:rPr>
                <w:rFonts w:ascii="Verdana" w:hAnsi="Verdana"/>
                <w:bCs/>
                <w:sz w:val="18"/>
                <w:szCs w:val="18"/>
              </w:rPr>
            </w:pPr>
            <w:r w:rsidRPr="00C5308E">
              <w:rPr>
                <w:rFonts w:ascii="Verdana" w:hAnsi="Verdana"/>
                <w:bCs/>
                <w:sz w:val="18"/>
                <w:szCs w:val="18"/>
              </w:rPr>
              <w:t>SVB</w:t>
            </w:r>
          </w:p>
        </w:tc>
        <w:tc>
          <w:tcPr>
            <w:tcW w:w="960" w:type="dxa"/>
            <w:noWrap/>
            <w:vAlign w:val="bottom"/>
            <w:hideMark/>
          </w:tcPr>
          <w:p w:rsidRPr="00C5308E" w:rsidR="00D639F0" w:rsidP="00D87753" w:rsidRDefault="00D639F0" w14:paraId="2AFC9CE7" w14:textId="77777777">
            <w:pPr>
              <w:spacing w:after="0" w:line="240" w:lineRule="auto"/>
              <w:contextualSpacing/>
              <w:rPr>
                <w:rFonts w:ascii="Verdana" w:hAnsi="Verdana"/>
                <w:bCs/>
                <w:sz w:val="18"/>
                <w:szCs w:val="18"/>
              </w:rPr>
            </w:pPr>
            <w:r w:rsidRPr="00C5308E">
              <w:rPr>
                <w:rFonts w:ascii="Verdana" w:hAnsi="Verdana"/>
                <w:bCs/>
                <w:sz w:val="18"/>
                <w:szCs w:val="18"/>
              </w:rPr>
              <w:t>0,0</w:t>
            </w:r>
          </w:p>
        </w:tc>
        <w:tc>
          <w:tcPr>
            <w:tcW w:w="960" w:type="dxa"/>
            <w:noWrap/>
            <w:vAlign w:val="bottom"/>
            <w:hideMark/>
          </w:tcPr>
          <w:p w:rsidRPr="00C5308E" w:rsidR="00D639F0" w:rsidP="00D87753" w:rsidRDefault="00D639F0" w14:paraId="381C07E2" w14:textId="77777777">
            <w:pPr>
              <w:spacing w:after="0" w:line="240" w:lineRule="auto"/>
              <w:contextualSpacing/>
              <w:rPr>
                <w:rFonts w:ascii="Verdana" w:hAnsi="Verdana"/>
                <w:bCs/>
                <w:sz w:val="18"/>
                <w:szCs w:val="18"/>
              </w:rPr>
            </w:pPr>
            <w:r w:rsidRPr="00C5308E">
              <w:rPr>
                <w:rFonts w:ascii="Verdana" w:hAnsi="Verdana"/>
                <w:bCs/>
                <w:sz w:val="18"/>
                <w:szCs w:val="18"/>
              </w:rPr>
              <w:t>1,8</w:t>
            </w:r>
          </w:p>
        </w:tc>
        <w:tc>
          <w:tcPr>
            <w:tcW w:w="960" w:type="dxa"/>
            <w:noWrap/>
            <w:vAlign w:val="bottom"/>
            <w:hideMark/>
          </w:tcPr>
          <w:p w:rsidRPr="00C5308E" w:rsidR="00D639F0" w:rsidP="00D87753" w:rsidRDefault="00D639F0" w14:paraId="26674B42" w14:textId="77777777">
            <w:pPr>
              <w:spacing w:after="0" w:line="240" w:lineRule="auto"/>
              <w:contextualSpacing/>
              <w:rPr>
                <w:rFonts w:ascii="Verdana" w:hAnsi="Verdana"/>
                <w:bCs/>
                <w:sz w:val="18"/>
                <w:szCs w:val="18"/>
              </w:rPr>
            </w:pPr>
            <w:r w:rsidRPr="00C5308E">
              <w:rPr>
                <w:rFonts w:ascii="Verdana" w:hAnsi="Verdana"/>
                <w:bCs/>
                <w:sz w:val="18"/>
                <w:szCs w:val="18"/>
              </w:rPr>
              <w:t>3,6</w:t>
            </w:r>
          </w:p>
        </w:tc>
        <w:tc>
          <w:tcPr>
            <w:tcW w:w="960" w:type="dxa"/>
            <w:noWrap/>
            <w:vAlign w:val="bottom"/>
            <w:hideMark/>
          </w:tcPr>
          <w:p w:rsidRPr="00C5308E" w:rsidR="00D639F0" w:rsidP="00D87753" w:rsidRDefault="00D639F0" w14:paraId="63BEFADE" w14:textId="77777777">
            <w:pPr>
              <w:spacing w:after="0" w:line="240" w:lineRule="auto"/>
              <w:contextualSpacing/>
              <w:rPr>
                <w:rFonts w:ascii="Verdana" w:hAnsi="Verdana"/>
                <w:bCs/>
                <w:sz w:val="18"/>
                <w:szCs w:val="18"/>
              </w:rPr>
            </w:pPr>
            <w:r w:rsidRPr="00C5308E">
              <w:rPr>
                <w:rFonts w:ascii="Verdana" w:hAnsi="Verdana"/>
                <w:bCs/>
                <w:sz w:val="18"/>
                <w:szCs w:val="18"/>
              </w:rPr>
              <w:t>5,5</w:t>
            </w:r>
          </w:p>
        </w:tc>
        <w:tc>
          <w:tcPr>
            <w:tcW w:w="960" w:type="dxa"/>
            <w:noWrap/>
            <w:vAlign w:val="bottom"/>
            <w:hideMark/>
          </w:tcPr>
          <w:p w:rsidRPr="00C5308E" w:rsidR="00D639F0" w:rsidP="00D87753" w:rsidRDefault="00D639F0" w14:paraId="30AAF2F6" w14:textId="77777777">
            <w:pPr>
              <w:spacing w:after="0" w:line="240" w:lineRule="auto"/>
              <w:contextualSpacing/>
              <w:rPr>
                <w:rFonts w:ascii="Verdana" w:hAnsi="Verdana"/>
                <w:bCs/>
                <w:sz w:val="18"/>
                <w:szCs w:val="18"/>
              </w:rPr>
            </w:pPr>
            <w:r w:rsidRPr="00C5308E">
              <w:rPr>
                <w:rFonts w:ascii="Verdana" w:hAnsi="Verdana"/>
                <w:bCs/>
                <w:sz w:val="18"/>
                <w:szCs w:val="18"/>
              </w:rPr>
              <w:t>7,3</w:t>
            </w:r>
          </w:p>
        </w:tc>
        <w:tc>
          <w:tcPr>
            <w:tcW w:w="960" w:type="dxa"/>
            <w:noWrap/>
            <w:vAlign w:val="bottom"/>
            <w:hideMark/>
          </w:tcPr>
          <w:p w:rsidRPr="00C5308E" w:rsidR="00D639F0" w:rsidP="00D87753" w:rsidRDefault="00D639F0" w14:paraId="293798D1" w14:textId="77777777">
            <w:pPr>
              <w:spacing w:after="0" w:line="240" w:lineRule="auto"/>
              <w:contextualSpacing/>
              <w:rPr>
                <w:rFonts w:ascii="Verdana" w:hAnsi="Verdana"/>
                <w:bCs/>
                <w:sz w:val="18"/>
                <w:szCs w:val="18"/>
              </w:rPr>
            </w:pPr>
            <w:r w:rsidRPr="00C5308E">
              <w:rPr>
                <w:rFonts w:ascii="Verdana" w:hAnsi="Verdana"/>
                <w:bCs/>
                <w:sz w:val="18"/>
                <w:szCs w:val="18"/>
              </w:rPr>
              <w:t>7,3</w:t>
            </w:r>
          </w:p>
        </w:tc>
      </w:tr>
      <w:tr w:rsidRPr="00C5308E" w:rsidR="00D639F0" w:rsidTr="00E018DA" w14:paraId="4E75AEB7" w14:textId="77777777">
        <w:trPr>
          <w:trHeight w:val="300"/>
        </w:trPr>
        <w:tc>
          <w:tcPr>
            <w:tcW w:w="2320" w:type="dxa"/>
            <w:tcBorders>
              <w:top w:val="nil"/>
              <w:left w:val="nil"/>
              <w:bottom w:val="single" w:color="auto" w:sz="4" w:space="0"/>
              <w:right w:val="nil"/>
            </w:tcBorders>
            <w:noWrap/>
            <w:vAlign w:val="bottom"/>
            <w:hideMark/>
          </w:tcPr>
          <w:p w:rsidRPr="00C5308E" w:rsidR="00D639F0" w:rsidP="00D87753" w:rsidRDefault="0041230B" w14:paraId="5542ECBB" w14:textId="526813FD">
            <w:pPr>
              <w:spacing w:after="0" w:line="240" w:lineRule="auto"/>
              <w:contextualSpacing/>
              <w:rPr>
                <w:rFonts w:ascii="Verdana" w:hAnsi="Verdana"/>
                <w:bCs/>
                <w:sz w:val="18"/>
                <w:szCs w:val="18"/>
              </w:rPr>
            </w:pPr>
            <w:r w:rsidRPr="00C5308E">
              <w:rPr>
                <w:rFonts w:ascii="Verdana" w:hAnsi="Verdana"/>
                <w:bCs/>
                <w:sz w:val="18"/>
                <w:szCs w:val="18"/>
              </w:rPr>
              <w:t>T</w:t>
            </w:r>
            <w:r w:rsidRPr="00C5308E" w:rsidR="00D639F0">
              <w:rPr>
                <w:rFonts w:ascii="Verdana" w:hAnsi="Verdana"/>
                <w:bCs/>
                <w:sz w:val="18"/>
                <w:szCs w:val="18"/>
              </w:rPr>
              <w:t>otaal</w:t>
            </w:r>
          </w:p>
        </w:tc>
        <w:tc>
          <w:tcPr>
            <w:tcW w:w="960" w:type="dxa"/>
            <w:tcBorders>
              <w:top w:val="nil"/>
              <w:left w:val="nil"/>
              <w:bottom w:val="single" w:color="auto" w:sz="4" w:space="0"/>
              <w:right w:val="nil"/>
            </w:tcBorders>
            <w:noWrap/>
            <w:vAlign w:val="bottom"/>
            <w:hideMark/>
          </w:tcPr>
          <w:p w:rsidRPr="00C5308E" w:rsidR="00D639F0" w:rsidP="00D87753" w:rsidRDefault="00D639F0" w14:paraId="0380B2EE" w14:textId="77777777">
            <w:pPr>
              <w:spacing w:after="0" w:line="240" w:lineRule="auto"/>
              <w:contextualSpacing/>
              <w:rPr>
                <w:rFonts w:ascii="Verdana" w:hAnsi="Verdana"/>
                <w:bCs/>
                <w:sz w:val="18"/>
                <w:szCs w:val="18"/>
              </w:rPr>
            </w:pPr>
            <w:r w:rsidRPr="00C5308E">
              <w:rPr>
                <w:rFonts w:ascii="Verdana" w:hAnsi="Verdana"/>
                <w:bCs/>
                <w:sz w:val="18"/>
                <w:szCs w:val="18"/>
              </w:rPr>
              <w:t>23,0</w:t>
            </w:r>
          </w:p>
        </w:tc>
        <w:tc>
          <w:tcPr>
            <w:tcW w:w="960" w:type="dxa"/>
            <w:tcBorders>
              <w:top w:val="nil"/>
              <w:left w:val="nil"/>
              <w:bottom w:val="single" w:color="auto" w:sz="4" w:space="0"/>
              <w:right w:val="nil"/>
            </w:tcBorders>
            <w:noWrap/>
            <w:vAlign w:val="bottom"/>
            <w:hideMark/>
          </w:tcPr>
          <w:p w:rsidRPr="00C5308E" w:rsidR="00D639F0" w:rsidP="00D87753" w:rsidRDefault="00D639F0" w14:paraId="7B5D04A3" w14:textId="77777777">
            <w:pPr>
              <w:spacing w:after="0" w:line="240" w:lineRule="auto"/>
              <w:contextualSpacing/>
              <w:rPr>
                <w:rFonts w:ascii="Verdana" w:hAnsi="Verdana"/>
                <w:bCs/>
                <w:sz w:val="18"/>
                <w:szCs w:val="18"/>
              </w:rPr>
            </w:pPr>
            <w:r w:rsidRPr="00C5308E">
              <w:rPr>
                <w:rFonts w:ascii="Verdana" w:hAnsi="Verdana"/>
                <w:bCs/>
                <w:sz w:val="18"/>
                <w:szCs w:val="18"/>
              </w:rPr>
              <w:t>45,3</w:t>
            </w:r>
          </w:p>
        </w:tc>
        <w:tc>
          <w:tcPr>
            <w:tcW w:w="960" w:type="dxa"/>
            <w:tcBorders>
              <w:top w:val="nil"/>
              <w:left w:val="nil"/>
              <w:bottom w:val="single" w:color="auto" w:sz="4" w:space="0"/>
              <w:right w:val="nil"/>
            </w:tcBorders>
            <w:noWrap/>
            <w:vAlign w:val="bottom"/>
            <w:hideMark/>
          </w:tcPr>
          <w:p w:rsidRPr="00C5308E" w:rsidR="00D639F0" w:rsidP="00D87753" w:rsidRDefault="00D639F0" w14:paraId="3A87D98D" w14:textId="77777777">
            <w:pPr>
              <w:spacing w:after="0" w:line="240" w:lineRule="auto"/>
              <w:contextualSpacing/>
              <w:rPr>
                <w:rFonts w:ascii="Verdana" w:hAnsi="Verdana"/>
                <w:bCs/>
                <w:sz w:val="18"/>
                <w:szCs w:val="18"/>
              </w:rPr>
            </w:pPr>
            <w:r w:rsidRPr="00C5308E">
              <w:rPr>
                <w:rFonts w:ascii="Verdana" w:hAnsi="Verdana"/>
                <w:bCs/>
                <w:sz w:val="18"/>
                <w:szCs w:val="18"/>
              </w:rPr>
              <w:t>67,5</w:t>
            </w:r>
          </w:p>
        </w:tc>
        <w:tc>
          <w:tcPr>
            <w:tcW w:w="960" w:type="dxa"/>
            <w:tcBorders>
              <w:top w:val="nil"/>
              <w:left w:val="nil"/>
              <w:bottom w:val="single" w:color="auto" w:sz="4" w:space="0"/>
              <w:right w:val="nil"/>
            </w:tcBorders>
            <w:noWrap/>
            <w:vAlign w:val="bottom"/>
            <w:hideMark/>
          </w:tcPr>
          <w:p w:rsidRPr="00C5308E" w:rsidR="00D639F0" w:rsidP="00D87753" w:rsidRDefault="00D639F0" w14:paraId="08B1C547" w14:textId="77777777">
            <w:pPr>
              <w:spacing w:after="0" w:line="240" w:lineRule="auto"/>
              <w:contextualSpacing/>
              <w:rPr>
                <w:rFonts w:ascii="Verdana" w:hAnsi="Verdana"/>
                <w:bCs/>
                <w:sz w:val="18"/>
                <w:szCs w:val="18"/>
              </w:rPr>
            </w:pPr>
            <w:r w:rsidRPr="00C5308E">
              <w:rPr>
                <w:rFonts w:ascii="Verdana" w:hAnsi="Verdana"/>
                <w:bCs/>
                <w:sz w:val="18"/>
                <w:szCs w:val="18"/>
              </w:rPr>
              <w:t>90,0</w:t>
            </w:r>
          </w:p>
        </w:tc>
        <w:tc>
          <w:tcPr>
            <w:tcW w:w="960" w:type="dxa"/>
            <w:tcBorders>
              <w:top w:val="nil"/>
              <w:left w:val="nil"/>
              <w:bottom w:val="single" w:color="auto" w:sz="4" w:space="0"/>
              <w:right w:val="nil"/>
            </w:tcBorders>
            <w:noWrap/>
            <w:vAlign w:val="bottom"/>
            <w:hideMark/>
          </w:tcPr>
          <w:p w:rsidRPr="00C5308E" w:rsidR="00D639F0" w:rsidP="00D87753" w:rsidRDefault="00D639F0" w14:paraId="26E9DA1C" w14:textId="77777777">
            <w:pPr>
              <w:spacing w:after="0" w:line="240" w:lineRule="auto"/>
              <w:contextualSpacing/>
              <w:rPr>
                <w:rFonts w:ascii="Verdana" w:hAnsi="Verdana"/>
                <w:bCs/>
                <w:sz w:val="18"/>
                <w:szCs w:val="18"/>
              </w:rPr>
            </w:pPr>
            <w:r w:rsidRPr="00C5308E">
              <w:rPr>
                <w:rFonts w:ascii="Verdana" w:hAnsi="Verdana"/>
                <w:bCs/>
                <w:sz w:val="18"/>
                <w:szCs w:val="18"/>
              </w:rPr>
              <w:t>99,0</w:t>
            </w:r>
          </w:p>
        </w:tc>
        <w:tc>
          <w:tcPr>
            <w:tcW w:w="960" w:type="dxa"/>
            <w:tcBorders>
              <w:top w:val="nil"/>
              <w:left w:val="nil"/>
              <w:bottom w:val="single" w:color="auto" w:sz="4" w:space="0"/>
              <w:right w:val="nil"/>
            </w:tcBorders>
            <w:noWrap/>
            <w:vAlign w:val="bottom"/>
            <w:hideMark/>
          </w:tcPr>
          <w:p w:rsidRPr="00C5308E" w:rsidR="00D639F0" w:rsidP="00D87753" w:rsidRDefault="00D639F0" w14:paraId="7461292E" w14:textId="77777777">
            <w:pPr>
              <w:spacing w:after="0" w:line="240" w:lineRule="auto"/>
              <w:contextualSpacing/>
              <w:rPr>
                <w:rFonts w:ascii="Verdana" w:hAnsi="Verdana"/>
                <w:bCs/>
                <w:sz w:val="18"/>
                <w:szCs w:val="18"/>
              </w:rPr>
            </w:pPr>
            <w:r w:rsidRPr="00C5308E">
              <w:rPr>
                <w:rFonts w:ascii="Verdana" w:hAnsi="Verdana"/>
                <w:bCs/>
                <w:sz w:val="18"/>
                <w:szCs w:val="18"/>
              </w:rPr>
              <w:t>99,0</w:t>
            </w:r>
          </w:p>
        </w:tc>
      </w:tr>
    </w:tbl>
    <w:p w:rsidRPr="00C5308E" w:rsidR="00D639F0" w:rsidP="00D87753" w:rsidRDefault="00D639F0" w14:paraId="13BC76A1" w14:textId="77777777">
      <w:pPr>
        <w:spacing w:after="0" w:line="240" w:lineRule="auto"/>
        <w:contextualSpacing/>
        <w:rPr>
          <w:rFonts w:ascii="Verdana" w:hAnsi="Verdana"/>
          <w:bCs/>
          <w:sz w:val="18"/>
          <w:szCs w:val="18"/>
        </w:rPr>
      </w:pPr>
    </w:p>
    <w:p w:rsidRPr="00C5308E" w:rsidR="00D639F0" w:rsidP="00D87753" w:rsidRDefault="00D639F0" w14:paraId="401FB14A" w14:textId="77777777">
      <w:pPr>
        <w:spacing w:after="0" w:line="240" w:lineRule="auto"/>
        <w:contextualSpacing/>
        <w:rPr>
          <w:rFonts w:ascii="Verdana" w:hAnsi="Verdana"/>
          <w:bCs/>
          <w:sz w:val="18"/>
          <w:szCs w:val="18"/>
        </w:rPr>
      </w:pPr>
    </w:p>
    <w:p w:rsidRPr="00C5308E" w:rsidR="00D639F0" w:rsidP="00D87753" w:rsidRDefault="00D639F0" w14:paraId="1AE14392" w14:textId="446F37E2">
      <w:pPr>
        <w:spacing w:after="0" w:line="240" w:lineRule="auto"/>
        <w:contextualSpacing/>
        <w:rPr>
          <w:rFonts w:ascii="Verdana" w:hAnsi="Verdana"/>
          <w:bCs/>
          <w:sz w:val="18"/>
          <w:szCs w:val="18"/>
        </w:rPr>
      </w:pPr>
      <w:r w:rsidRPr="00C5308E">
        <w:rPr>
          <w:rFonts w:ascii="Verdana" w:hAnsi="Verdana"/>
          <w:bCs/>
          <w:sz w:val="18"/>
          <w:szCs w:val="18"/>
        </w:rPr>
        <w:t xml:space="preserve">De taakstelling OCW </w:t>
      </w:r>
      <w:r w:rsidR="009D7D7E">
        <w:rPr>
          <w:rFonts w:ascii="Verdana" w:hAnsi="Verdana"/>
          <w:bCs/>
          <w:sz w:val="18"/>
          <w:szCs w:val="18"/>
        </w:rPr>
        <w:t xml:space="preserve">(dekking amendement Bontenbal c.s.) </w:t>
      </w:r>
      <w:r w:rsidRPr="00C5308E">
        <w:rPr>
          <w:rFonts w:ascii="Verdana" w:hAnsi="Verdana"/>
          <w:bCs/>
          <w:sz w:val="18"/>
          <w:szCs w:val="18"/>
        </w:rPr>
        <w:t>slaat neer bij (bedragen x € 1 m</w:t>
      </w:r>
      <w:r w:rsidRPr="00C5308E" w:rsidR="00B504A7">
        <w:rPr>
          <w:rFonts w:ascii="Verdana" w:hAnsi="Verdana"/>
          <w:bCs/>
          <w:sz w:val="18"/>
          <w:szCs w:val="18"/>
        </w:rPr>
        <w:t>ln.</w:t>
      </w:r>
      <w:r w:rsidRPr="00C5308E">
        <w:rPr>
          <w:rFonts w:ascii="Verdana" w:hAnsi="Verdana"/>
          <w:bCs/>
          <w:sz w:val="18"/>
          <w:szCs w:val="18"/>
        </w:rPr>
        <w:t>):</w:t>
      </w:r>
    </w:p>
    <w:p w:rsidRPr="00C5308E" w:rsidR="00D639F0" w:rsidP="00D87753" w:rsidRDefault="00D639F0" w14:paraId="4EE9E9CA" w14:textId="77777777">
      <w:pPr>
        <w:spacing w:after="0" w:line="240" w:lineRule="auto"/>
        <w:contextualSpacing/>
        <w:rPr>
          <w:rFonts w:ascii="Verdana" w:hAnsi="Verdana"/>
          <w:bCs/>
          <w:sz w:val="18"/>
          <w:szCs w:val="18"/>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C5308E" w:rsidR="00D639F0" w:rsidTr="00E018DA" w14:paraId="2B3722FB" w14:textId="77777777">
        <w:trPr>
          <w:trHeight w:val="300"/>
        </w:trPr>
        <w:tc>
          <w:tcPr>
            <w:tcW w:w="2320" w:type="dxa"/>
            <w:tcBorders>
              <w:top w:val="nil"/>
              <w:left w:val="nil"/>
              <w:bottom w:val="single" w:color="auto" w:sz="4" w:space="0"/>
              <w:right w:val="nil"/>
            </w:tcBorders>
            <w:noWrap/>
            <w:vAlign w:val="bottom"/>
            <w:hideMark/>
          </w:tcPr>
          <w:p w:rsidRPr="00C5308E" w:rsidR="00D639F0" w:rsidP="00D87753" w:rsidRDefault="00D639F0" w14:paraId="7EBADB99" w14:textId="77777777">
            <w:pPr>
              <w:spacing w:after="0" w:line="240" w:lineRule="auto"/>
              <w:contextualSpacing/>
              <w:rPr>
                <w:rFonts w:ascii="Verdana" w:hAnsi="Verdana"/>
                <w:bCs/>
                <w:sz w:val="18"/>
                <w:szCs w:val="18"/>
              </w:rPr>
            </w:pPr>
            <w:r w:rsidRPr="00C5308E">
              <w:rPr>
                <w:rFonts w:ascii="Verdana" w:hAnsi="Verdana"/>
                <w:bCs/>
                <w:sz w:val="18"/>
                <w:szCs w:val="18"/>
              </w:rPr>
              <w:t> </w:t>
            </w:r>
          </w:p>
        </w:tc>
        <w:tc>
          <w:tcPr>
            <w:tcW w:w="960" w:type="dxa"/>
            <w:tcBorders>
              <w:top w:val="nil"/>
              <w:left w:val="nil"/>
              <w:bottom w:val="single" w:color="auto" w:sz="4" w:space="0"/>
              <w:right w:val="nil"/>
            </w:tcBorders>
            <w:noWrap/>
            <w:vAlign w:val="bottom"/>
            <w:hideMark/>
          </w:tcPr>
          <w:p w:rsidRPr="00C5308E" w:rsidR="00D639F0" w:rsidP="00D87753" w:rsidRDefault="00D639F0" w14:paraId="61876807" w14:textId="77777777">
            <w:pPr>
              <w:spacing w:after="0" w:line="240" w:lineRule="auto"/>
              <w:contextualSpacing/>
              <w:rPr>
                <w:rFonts w:ascii="Verdana" w:hAnsi="Verdana"/>
                <w:bCs/>
                <w:sz w:val="18"/>
                <w:szCs w:val="18"/>
              </w:rPr>
            </w:pPr>
            <w:r w:rsidRPr="00C5308E">
              <w:rPr>
                <w:rFonts w:ascii="Verdana" w:hAnsi="Verdana"/>
                <w:bCs/>
                <w:sz w:val="18"/>
                <w:szCs w:val="18"/>
              </w:rPr>
              <w:t>2025</w:t>
            </w:r>
          </w:p>
        </w:tc>
        <w:tc>
          <w:tcPr>
            <w:tcW w:w="960" w:type="dxa"/>
            <w:tcBorders>
              <w:top w:val="nil"/>
              <w:left w:val="nil"/>
              <w:bottom w:val="single" w:color="auto" w:sz="4" w:space="0"/>
              <w:right w:val="nil"/>
            </w:tcBorders>
            <w:noWrap/>
            <w:vAlign w:val="bottom"/>
            <w:hideMark/>
          </w:tcPr>
          <w:p w:rsidRPr="00C5308E" w:rsidR="00D639F0" w:rsidP="00D87753" w:rsidRDefault="00D639F0" w14:paraId="22AEC0AB" w14:textId="77777777">
            <w:pPr>
              <w:spacing w:after="0" w:line="240" w:lineRule="auto"/>
              <w:contextualSpacing/>
              <w:rPr>
                <w:rFonts w:ascii="Verdana" w:hAnsi="Verdana"/>
                <w:bCs/>
                <w:sz w:val="18"/>
                <w:szCs w:val="18"/>
              </w:rPr>
            </w:pPr>
            <w:r w:rsidRPr="00C5308E">
              <w:rPr>
                <w:rFonts w:ascii="Verdana" w:hAnsi="Verdana"/>
                <w:bCs/>
                <w:sz w:val="18"/>
                <w:szCs w:val="18"/>
              </w:rPr>
              <w:t>2026</w:t>
            </w:r>
          </w:p>
        </w:tc>
        <w:tc>
          <w:tcPr>
            <w:tcW w:w="960" w:type="dxa"/>
            <w:tcBorders>
              <w:top w:val="nil"/>
              <w:left w:val="nil"/>
              <w:bottom w:val="single" w:color="auto" w:sz="4" w:space="0"/>
              <w:right w:val="nil"/>
            </w:tcBorders>
            <w:noWrap/>
            <w:vAlign w:val="bottom"/>
            <w:hideMark/>
          </w:tcPr>
          <w:p w:rsidRPr="00C5308E" w:rsidR="00D639F0" w:rsidP="00D87753" w:rsidRDefault="00D639F0" w14:paraId="252217B8" w14:textId="77777777">
            <w:pPr>
              <w:spacing w:after="0" w:line="240" w:lineRule="auto"/>
              <w:contextualSpacing/>
              <w:rPr>
                <w:rFonts w:ascii="Verdana" w:hAnsi="Verdana"/>
                <w:bCs/>
                <w:sz w:val="18"/>
                <w:szCs w:val="18"/>
              </w:rPr>
            </w:pPr>
            <w:r w:rsidRPr="00C5308E">
              <w:rPr>
                <w:rFonts w:ascii="Verdana" w:hAnsi="Verdana"/>
                <w:bCs/>
                <w:sz w:val="18"/>
                <w:szCs w:val="18"/>
              </w:rPr>
              <w:t>2027</w:t>
            </w:r>
          </w:p>
        </w:tc>
        <w:tc>
          <w:tcPr>
            <w:tcW w:w="960" w:type="dxa"/>
            <w:tcBorders>
              <w:top w:val="nil"/>
              <w:left w:val="nil"/>
              <w:bottom w:val="single" w:color="auto" w:sz="4" w:space="0"/>
              <w:right w:val="nil"/>
            </w:tcBorders>
            <w:noWrap/>
            <w:vAlign w:val="bottom"/>
            <w:hideMark/>
          </w:tcPr>
          <w:p w:rsidRPr="00C5308E" w:rsidR="00D639F0" w:rsidP="00D87753" w:rsidRDefault="00D639F0" w14:paraId="27F4BF25" w14:textId="77777777">
            <w:pPr>
              <w:spacing w:after="0" w:line="240" w:lineRule="auto"/>
              <w:contextualSpacing/>
              <w:rPr>
                <w:rFonts w:ascii="Verdana" w:hAnsi="Verdana"/>
                <w:bCs/>
                <w:sz w:val="18"/>
                <w:szCs w:val="18"/>
              </w:rPr>
            </w:pPr>
            <w:r w:rsidRPr="00C5308E">
              <w:rPr>
                <w:rFonts w:ascii="Verdana" w:hAnsi="Verdana"/>
                <w:bCs/>
                <w:sz w:val="18"/>
                <w:szCs w:val="18"/>
              </w:rPr>
              <w:t>2028</w:t>
            </w:r>
          </w:p>
        </w:tc>
        <w:tc>
          <w:tcPr>
            <w:tcW w:w="960" w:type="dxa"/>
            <w:tcBorders>
              <w:top w:val="nil"/>
              <w:left w:val="nil"/>
              <w:bottom w:val="single" w:color="auto" w:sz="4" w:space="0"/>
              <w:right w:val="nil"/>
            </w:tcBorders>
            <w:noWrap/>
            <w:vAlign w:val="bottom"/>
            <w:hideMark/>
          </w:tcPr>
          <w:p w:rsidRPr="00C5308E" w:rsidR="00D639F0" w:rsidP="00D87753" w:rsidRDefault="00D639F0" w14:paraId="7355A4FD" w14:textId="77777777">
            <w:pPr>
              <w:spacing w:after="0" w:line="240" w:lineRule="auto"/>
              <w:contextualSpacing/>
              <w:rPr>
                <w:rFonts w:ascii="Verdana" w:hAnsi="Verdana"/>
                <w:bCs/>
                <w:sz w:val="18"/>
                <w:szCs w:val="18"/>
              </w:rPr>
            </w:pPr>
            <w:r w:rsidRPr="00C5308E">
              <w:rPr>
                <w:rFonts w:ascii="Verdana" w:hAnsi="Verdana"/>
                <w:bCs/>
                <w:sz w:val="18"/>
                <w:szCs w:val="18"/>
              </w:rPr>
              <w:t>2029</w:t>
            </w:r>
          </w:p>
        </w:tc>
        <w:tc>
          <w:tcPr>
            <w:tcW w:w="960" w:type="dxa"/>
            <w:tcBorders>
              <w:top w:val="nil"/>
              <w:left w:val="nil"/>
              <w:bottom w:val="single" w:color="auto" w:sz="4" w:space="0"/>
              <w:right w:val="nil"/>
            </w:tcBorders>
            <w:noWrap/>
            <w:vAlign w:val="bottom"/>
            <w:hideMark/>
          </w:tcPr>
          <w:p w:rsidRPr="00C5308E" w:rsidR="00D639F0" w:rsidP="00D87753" w:rsidRDefault="00D639F0" w14:paraId="37A760BE" w14:textId="77777777">
            <w:pPr>
              <w:spacing w:after="0" w:line="240" w:lineRule="auto"/>
              <w:contextualSpacing/>
              <w:rPr>
                <w:rFonts w:ascii="Verdana" w:hAnsi="Verdana"/>
                <w:bCs/>
                <w:sz w:val="18"/>
                <w:szCs w:val="18"/>
              </w:rPr>
            </w:pPr>
            <w:r w:rsidRPr="00C5308E">
              <w:rPr>
                <w:rFonts w:ascii="Verdana" w:hAnsi="Verdana"/>
                <w:bCs/>
                <w:sz w:val="18"/>
                <w:szCs w:val="18"/>
              </w:rPr>
              <w:t>2030</w:t>
            </w:r>
          </w:p>
        </w:tc>
      </w:tr>
      <w:tr w:rsidRPr="00C5308E" w:rsidR="00D639F0" w:rsidTr="00E018DA" w14:paraId="429A068C" w14:textId="77777777">
        <w:trPr>
          <w:trHeight w:val="300"/>
        </w:trPr>
        <w:tc>
          <w:tcPr>
            <w:tcW w:w="2320" w:type="dxa"/>
            <w:noWrap/>
            <w:vAlign w:val="bottom"/>
            <w:hideMark/>
          </w:tcPr>
          <w:p w:rsidRPr="00C5308E" w:rsidR="00D639F0" w:rsidP="00D87753" w:rsidRDefault="00D639F0" w14:paraId="7D45B55F" w14:textId="788059FE">
            <w:pPr>
              <w:spacing w:after="0" w:line="240" w:lineRule="auto"/>
              <w:contextualSpacing/>
              <w:rPr>
                <w:rFonts w:ascii="Verdana" w:hAnsi="Verdana"/>
                <w:bCs/>
                <w:sz w:val="18"/>
                <w:szCs w:val="18"/>
              </w:rPr>
            </w:pPr>
            <w:r w:rsidRPr="00C5308E">
              <w:rPr>
                <w:rFonts w:ascii="Verdana" w:hAnsi="Verdana"/>
                <w:bCs/>
                <w:sz w:val="18"/>
                <w:szCs w:val="18"/>
              </w:rPr>
              <w:t>Kern</w:t>
            </w:r>
            <w:r w:rsidR="009D7D7E">
              <w:rPr>
                <w:rFonts w:ascii="Verdana" w:hAnsi="Verdana"/>
                <w:bCs/>
                <w:sz w:val="18"/>
                <w:szCs w:val="18"/>
              </w:rPr>
              <w:t>departement</w:t>
            </w:r>
          </w:p>
        </w:tc>
        <w:tc>
          <w:tcPr>
            <w:tcW w:w="960" w:type="dxa"/>
            <w:noWrap/>
            <w:vAlign w:val="bottom"/>
            <w:hideMark/>
          </w:tcPr>
          <w:p w:rsidRPr="00C5308E" w:rsidR="00D639F0" w:rsidP="00D87753" w:rsidRDefault="00D639F0" w14:paraId="764BF492" w14:textId="77777777">
            <w:pPr>
              <w:spacing w:after="0" w:line="240" w:lineRule="auto"/>
              <w:contextualSpacing/>
              <w:rPr>
                <w:rFonts w:ascii="Verdana" w:hAnsi="Verdana"/>
                <w:bCs/>
                <w:sz w:val="18"/>
                <w:szCs w:val="18"/>
              </w:rPr>
            </w:pPr>
            <w:r w:rsidRPr="00C5308E">
              <w:rPr>
                <w:rFonts w:ascii="Verdana" w:hAnsi="Verdana"/>
                <w:bCs/>
                <w:sz w:val="18"/>
                <w:szCs w:val="18"/>
              </w:rPr>
              <w:t>2,5</w:t>
            </w:r>
          </w:p>
        </w:tc>
        <w:tc>
          <w:tcPr>
            <w:tcW w:w="960" w:type="dxa"/>
            <w:noWrap/>
            <w:vAlign w:val="bottom"/>
            <w:hideMark/>
          </w:tcPr>
          <w:p w:rsidRPr="00C5308E" w:rsidR="00D639F0" w:rsidP="00D87753" w:rsidRDefault="00D639F0" w14:paraId="5AF27701" w14:textId="77777777">
            <w:pPr>
              <w:spacing w:after="0" w:line="240" w:lineRule="auto"/>
              <w:contextualSpacing/>
              <w:rPr>
                <w:rFonts w:ascii="Verdana" w:hAnsi="Verdana"/>
                <w:bCs/>
                <w:sz w:val="18"/>
                <w:szCs w:val="18"/>
              </w:rPr>
            </w:pPr>
            <w:r w:rsidRPr="00C5308E">
              <w:rPr>
                <w:rFonts w:ascii="Verdana" w:hAnsi="Verdana"/>
                <w:bCs/>
                <w:sz w:val="18"/>
                <w:szCs w:val="18"/>
              </w:rPr>
              <w:t>2,5</w:t>
            </w:r>
          </w:p>
        </w:tc>
        <w:tc>
          <w:tcPr>
            <w:tcW w:w="960" w:type="dxa"/>
            <w:noWrap/>
            <w:vAlign w:val="bottom"/>
            <w:hideMark/>
          </w:tcPr>
          <w:p w:rsidRPr="00C5308E" w:rsidR="00D639F0" w:rsidP="00D87753" w:rsidRDefault="00D639F0" w14:paraId="22CC45D8" w14:textId="77777777">
            <w:pPr>
              <w:spacing w:after="0" w:line="240" w:lineRule="auto"/>
              <w:contextualSpacing/>
              <w:rPr>
                <w:rFonts w:ascii="Verdana" w:hAnsi="Verdana"/>
                <w:bCs/>
                <w:sz w:val="18"/>
                <w:szCs w:val="18"/>
              </w:rPr>
            </w:pPr>
            <w:r w:rsidRPr="00C5308E">
              <w:rPr>
                <w:rFonts w:ascii="Verdana" w:hAnsi="Verdana"/>
                <w:bCs/>
                <w:sz w:val="18"/>
                <w:szCs w:val="18"/>
              </w:rPr>
              <w:t>2,4</w:t>
            </w:r>
          </w:p>
        </w:tc>
        <w:tc>
          <w:tcPr>
            <w:tcW w:w="960" w:type="dxa"/>
            <w:noWrap/>
            <w:vAlign w:val="bottom"/>
            <w:hideMark/>
          </w:tcPr>
          <w:p w:rsidRPr="00C5308E" w:rsidR="00D639F0" w:rsidP="00D87753" w:rsidRDefault="00D639F0" w14:paraId="11A03934" w14:textId="77777777">
            <w:pPr>
              <w:spacing w:after="0" w:line="240" w:lineRule="auto"/>
              <w:contextualSpacing/>
              <w:rPr>
                <w:rFonts w:ascii="Verdana" w:hAnsi="Verdana"/>
                <w:bCs/>
                <w:sz w:val="18"/>
                <w:szCs w:val="18"/>
              </w:rPr>
            </w:pPr>
            <w:r w:rsidRPr="00C5308E">
              <w:rPr>
                <w:rFonts w:ascii="Verdana" w:hAnsi="Verdana"/>
                <w:bCs/>
                <w:sz w:val="18"/>
                <w:szCs w:val="18"/>
              </w:rPr>
              <w:t>2,4</w:t>
            </w:r>
          </w:p>
        </w:tc>
        <w:tc>
          <w:tcPr>
            <w:tcW w:w="960" w:type="dxa"/>
            <w:noWrap/>
            <w:vAlign w:val="bottom"/>
            <w:hideMark/>
          </w:tcPr>
          <w:p w:rsidRPr="00C5308E" w:rsidR="00D639F0" w:rsidP="00D87753" w:rsidRDefault="00D639F0" w14:paraId="4ABF292D" w14:textId="77777777">
            <w:pPr>
              <w:spacing w:after="0" w:line="240" w:lineRule="auto"/>
              <w:contextualSpacing/>
              <w:rPr>
                <w:rFonts w:ascii="Verdana" w:hAnsi="Verdana"/>
                <w:bCs/>
                <w:sz w:val="18"/>
                <w:szCs w:val="18"/>
              </w:rPr>
            </w:pPr>
            <w:r w:rsidRPr="00C5308E">
              <w:rPr>
                <w:rFonts w:ascii="Verdana" w:hAnsi="Verdana"/>
                <w:bCs/>
                <w:sz w:val="18"/>
                <w:szCs w:val="18"/>
              </w:rPr>
              <w:t>2,4</w:t>
            </w:r>
          </w:p>
        </w:tc>
        <w:tc>
          <w:tcPr>
            <w:tcW w:w="960" w:type="dxa"/>
            <w:noWrap/>
            <w:vAlign w:val="bottom"/>
            <w:hideMark/>
          </w:tcPr>
          <w:p w:rsidRPr="00C5308E" w:rsidR="00D639F0" w:rsidP="00D87753" w:rsidRDefault="00D639F0" w14:paraId="229B8069" w14:textId="77777777">
            <w:pPr>
              <w:spacing w:after="0" w:line="240" w:lineRule="auto"/>
              <w:contextualSpacing/>
              <w:rPr>
                <w:rFonts w:ascii="Verdana" w:hAnsi="Verdana"/>
                <w:bCs/>
                <w:sz w:val="18"/>
                <w:szCs w:val="18"/>
              </w:rPr>
            </w:pPr>
            <w:r w:rsidRPr="00C5308E">
              <w:rPr>
                <w:rFonts w:ascii="Verdana" w:hAnsi="Verdana"/>
                <w:bCs/>
                <w:sz w:val="18"/>
                <w:szCs w:val="18"/>
              </w:rPr>
              <w:t>2,4</w:t>
            </w:r>
          </w:p>
        </w:tc>
      </w:tr>
      <w:tr w:rsidRPr="00C5308E" w:rsidR="00D639F0" w:rsidTr="00E018DA" w14:paraId="6E9BFC4B" w14:textId="77777777">
        <w:trPr>
          <w:trHeight w:val="300"/>
        </w:trPr>
        <w:tc>
          <w:tcPr>
            <w:tcW w:w="2320" w:type="dxa"/>
            <w:noWrap/>
            <w:vAlign w:val="bottom"/>
            <w:hideMark/>
          </w:tcPr>
          <w:p w:rsidRPr="00C5308E" w:rsidR="00D639F0" w:rsidP="00D87753" w:rsidRDefault="00D639F0" w14:paraId="29FA10DD" w14:textId="77777777">
            <w:pPr>
              <w:spacing w:after="0" w:line="240" w:lineRule="auto"/>
              <w:contextualSpacing/>
              <w:rPr>
                <w:rFonts w:ascii="Verdana" w:hAnsi="Verdana"/>
                <w:bCs/>
                <w:sz w:val="18"/>
                <w:szCs w:val="18"/>
              </w:rPr>
            </w:pPr>
            <w:r w:rsidRPr="00C5308E">
              <w:rPr>
                <w:rFonts w:ascii="Verdana" w:hAnsi="Verdana"/>
                <w:bCs/>
                <w:sz w:val="18"/>
                <w:szCs w:val="18"/>
              </w:rPr>
              <w:t>NLA</w:t>
            </w:r>
          </w:p>
        </w:tc>
        <w:tc>
          <w:tcPr>
            <w:tcW w:w="960" w:type="dxa"/>
            <w:noWrap/>
            <w:vAlign w:val="bottom"/>
            <w:hideMark/>
          </w:tcPr>
          <w:p w:rsidRPr="00C5308E" w:rsidR="00D639F0" w:rsidP="00D87753" w:rsidRDefault="00D639F0" w14:paraId="7965A641" w14:textId="77777777">
            <w:pPr>
              <w:spacing w:after="0" w:line="240" w:lineRule="auto"/>
              <w:contextualSpacing/>
              <w:rPr>
                <w:rFonts w:ascii="Verdana" w:hAnsi="Verdana"/>
                <w:bCs/>
                <w:sz w:val="18"/>
                <w:szCs w:val="18"/>
              </w:rPr>
            </w:pPr>
            <w:r w:rsidRPr="00C5308E">
              <w:rPr>
                <w:rFonts w:ascii="Verdana" w:hAnsi="Verdana"/>
                <w:bCs/>
                <w:sz w:val="18"/>
                <w:szCs w:val="18"/>
              </w:rPr>
              <w:t>1,4</w:t>
            </w:r>
          </w:p>
        </w:tc>
        <w:tc>
          <w:tcPr>
            <w:tcW w:w="960" w:type="dxa"/>
            <w:noWrap/>
            <w:vAlign w:val="bottom"/>
            <w:hideMark/>
          </w:tcPr>
          <w:p w:rsidRPr="00C5308E" w:rsidR="00D639F0" w:rsidP="00D87753" w:rsidRDefault="00D639F0" w14:paraId="4BA7FFC0" w14:textId="77777777">
            <w:pPr>
              <w:spacing w:after="0" w:line="240" w:lineRule="auto"/>
              <w:contextualSpacing/>
              <w:rPr>
                <w:rFonts w:ascii="Verdana" w:hAnsi="Verdana"/>
                <w:bCs/>
                <w:sz w:val="18"/>
                <w:szCs w:val="18"/>
              </w:rPr>
            </w:pPr>
            <w:r w:rsidRPr="00C5308E">
              <w:rPr>
                <w:rFonts w:ascii="Verdana" w:hAnsi="Verdana"/>
                <w:bCs/>
                <w:sz w:val="18"/>
                <w:szCs w:val="18"/>
              </w:rPr>
              <w:t>1,4</w:t>
            </w:r>
          </w:p>
        </w:tc>
        <w:tc>
          <w:tcPr>
            <w:tcW w:w="960" w:type="dxa"/>
            <w:noWrap/>
            <w:vAlign w:val="bottom"/>
            <w:hideMark/>
          </w:tcPr>
          <w:p w:rsidRPr="00C5308E" w:rsidR="00D639F0" w:rsidP="00D87753" w:rsidRDefault="00D639F0" w14:paraId="070B5793" w14:textId="77777777">
            <w:pPr>
              <w:spacing w:after="0" w:line="240" w:lineRule="auto"/>
              <w:contextualSpacing/>
              <w:rPr>
                <w:rFonts w:ascii="Verdana" w:hAnsi="Verdana"/>
                <w:bCs/>
                <w:sz w:val="18"/>
                <w:szCs w:val="18"/>
              </w:rPr>
            </w:pPr>
            <w:r w:rsidRPr="00C5308E">
              <w:rPr>
                <w:rFonts w:ascii="Verdana" w:hAnsi="Verdana"/>
                <w:bCs/>
                <w:sz w:val="18"/>
                <w:szCs w:val="18"/>
              </w:rPr>
              <w:t>1,5</w:t>
            </w:r>
          </w:p>
        </w:tc>
        <w:tc>
          <w:tcPr>
            <w:tcW w:w="960" w:type="dxa"/>
            <w:noWrap/>
            <w:vAlign w:val="bottom"/>
            <w:hideMark/>
          </w:tcPr>
          <w:p w:rsidRPr="00C5308E" w:rsidR="00D639F0" w:rsidP="00D87753" w:rsidRDefault="00D639F0" w14:paraId="592B4851" w14:textId="77777777">
            <w:pPr>
              <w:spacing w:after="0" w:line="240" w:lineRule="auto"/>
              <w:contextualSpacing/>
              <w:rPr>
                <w:rFonts w:ascii="Verdana" w:hAnsi="Verdana"/>
                <w:bCs/>
                <w:sz w:val="18"/>
                <w:szCs w:val="18"/>
              </w:rPr>
            </w:pPr>
            <w:r w:rsidRPr="00C5308E">
              <w:rPr>
                <w:rFonts w:ascii="Verdana" w:hAnsi="Verdana"/>
                <w:bCs/>
                <w:sz w:val="18"/>
                <w:szCs w:val="18"/>
              </w:rPr>
              <w:t>1,5</w:t>
            </w:r>
          </w:p>
        </w:tc>
        <w:tc>
          <w:tcPr>
            <w:tcW w:w="960" w:type="dxa"/>
            <w:noWrap/>
            <w:vAlign w:val="bottom"/>
            <w:hideMark/>
          </w:tcPr>
          <w:p w:rsidRPr="00C5308E" w:rsidR="00D639F0" w:rsidP="00D87753" w:rsidRDefault="00D639F0" w14:paraId="6C8221D1" w14:textId="77777777">
            <w:pPr>
              <w:spacing w:after="0" w:line="240" w:lineRule="auto"/>
              <w:contextualSpacing/>
              <w:rPr>
                <w:rFonts w:ascii="Verdana" w:hAnsi="Verdana"/>
                <w:bCs/>
                <w:sz w:val="18"/>
                <w:szCs w:val="18"/>
              </w:rPr>
            </w:pPr>
            <w:r w:rsidRPr="00C5308E">
              <w:rPr>
                <w:rFonts w:ascii="Verdana" w:hAnsi="Verdana"/>
                <w:bCs/>
                <w:sz w:val="18"/>
                <w:szCs w:val="18"/>
              </w:rPr>
              <w:t>1,5</w:t>
            </w:r>
          </w:p>
        </w:tc>
        <w:tc>
          <w:tcPr>
            <w:tcW w:w="960" w:type="dxa"/>
            <w:noWrap/>
            <w:vAlign w:val="bottom"/>
            <w:hideMark/>
          </w:tcPr>
          <w:p w:rsidRPr="00C5308E" w:rsidR="00D639F0" w:rsidP="00D87753" w:rsidRDefault="00D639F0" w14:paraId="57583953" w14:textId="77777777">
            <w:pPr>
              <w:spacing w:after="0" w:line="240" w:lineRule="auto"/>
              <w:contextualSpacing/>
              <w:rPr>
                <w:rFonts w:ascii="Verdana" w:hAnsi="Verdana"/>
                <w:bCs/>
                <w:sz w:val="18"/>
                <w:szCs w:val="18"/>
              </w:rPr>
            </w:pPr>
            <w:r w:rsidRPr="00C5308E">
              <w:rPr>
                <w:rFonts w:ascii="Verdana" w:hAnsi="Verdana"/>
                <w:bCs/>
                <w:sz w:val="18"/>
                <w:szCs w:val="18"/>
              </w:rPr>
              <w:t>1,5</w:t>
            </w:r>
          </w:p>
        </w:tc>
      </w:tr>
      <w:tr w:rsidRPr="00C5308E" w:rsidR="00D639F0" w:rsidTr="00E018DA" w14:paraId="5DB28510" w14:textId="77777777">
        <w:trPr>
          <w:trHeight w:val="300"/>
        </w:trPr>
        <w:tc>
          <w:tcPr>
            <w:tcW w:w="2320" w:type="dxa"/>
            <w:noWrap/>
            <w:vAlign w:val="bottom"/>
            <w:hideMark/>
          </w:tcPr>
          <w:p w:rsidRPr="00C5308E" w:rsidR="00D639F0" w:rsidP="00D87753" w:rsidRDefault="00D639F0" w14:paraId="712AAC99" w14:textId="77777777">
            <w:pPr>
              <w:spacing w:after="0" w:line="240" w:lineRule="auto"/>
              <w:contextualSpacing/>
              <w:rPr>
                <w:rFonts w:ascii="Verdana" w:hAnsi="Verdana"/>
                <w:bCs/>
                <w:sz w:val="18"/>
                <w:szCs w:val="18"/>
              </w:rPr>
            </w:pPr>
            <w:r w:rsidRPr="00C5308E">
              <w:rPr>
                <w:rFonts w:ascii="Verdana" w:hAnsi="Verdana"/>
                <w:bCs/>
                <w:sz w:val="18"/>
                <w:szCs w:val="18"/>
              </w:rPr>
              <w:t>UWV</w:t>
            </w:r>
          </w:p>
        </w:tc>
        <w:tc>
          <w:tcPr>
            <w:tcW w:w="960" w:type="dxa"/>
            <w:noWrap/>
            <w:vAlign w:val="bottom"/>
            <w:hideMark/>
          </w:tcPr>
          <w:p w:rsidRPr="00C5308E" w:rsidR="00D639F0" w:rsidP="00D87753" w:rsidRDefault="00D639F0" w14:paraId="0D2C6465" w14:textId="77777777">
            <w:pPr>
              <w:spacing w:after="0" w:line="240" w:lineRule="auto"/>
              <w:contextualSpacing/>
              <w:rPr>
                <w:rFonts w:ascii="Verdana" w:hAnsi="Verdana"/>
                <w:bCs/>
                <w:sz w:val="18"/>
                <w:szCs w:val="18"/>
              </w:rPr>
            </w:pPr>
            <w:r w:rsidRPr="00C5308E">
              <w:rPr>
                <w:rFonts w:ascii="Verdana" w:hAnsi="Verdana"/>
                <w:bCs/>
                <w:sz w:val="18"/>
                <w:szCs w:val="18"/>
              </w:rPr>
              <w:t>26,6</w:t>
            </w:r>
          </w:p>
        </w:tc>
        <w:tc>
          <w:tcPr>
            <w:tcW w:w="960" w:type="dxa"/>
            <w:noWrap/>
            <w:vAlign w:val="bottom"/>
            <w:hideMark/>
          </w:tcPr>
          <w:p w:rsidRPr="00C5308E" w:rsidR="00D639F0" w:rsidP="00D87753" w:rsidRDefault="00D639F0" w14:paraId="7B141F13" w14:textId="77777777">
            <w:pPr>
              <w:spacing w:after="0" w:line="240" w:lineRule="auto"/>
              <w:contextualSpacing/>
              <w:rPr>
                <w:rFonts w:ascii="Verdana" w:hAnsi="Verdana"/>
                <w:bCs/>
                <w:sz w:val="18"/>
                <w:szCs w:val="18"/>
              </w:rPr>
            </w:pPr>
            <w:r w:rsidRPr="00C5308E">
              <w:rPr>
                <w:rFonts w:ascii="Verdana" w:hAnsi="Verdana"/>
                <w:bCs/>
                <w:sz w:val="18"/>
                <w:szCs w:val="18"/>
              </w:rPr>
              <w:t>26,6</w:t>
            </w:r>
          </w:p>
        </w:tc>
        <w:tc>
          <w:tcPr>
            <w:tcW w:w="960" w:type="dxa"/>
            <w:noWrap/>
            <w:vAlign w:val="bottom"/>
            <w:hideMark/>
          </w:tcPr>
          <w:p w:rsidRPr="00C5308E" w:rsidR="00D639F0" w:rsidP="00D87753" w:rsidRDefault="00D639F0" w14:paraId="4DF9186F" w14:textId="77777777">
            <w:pPr>
              <w:spacing w:after="0" w:line="240" w:lineRule="auto"/>
              <w:contextualSpacing/>
              <w:rPr>
                <w:rFonts w:ascii="Verdana" w:hAnsi="Verdana"/>
                <w:bCs/>
                <w:sz w:val="18"/>
                <w:szCs w:val="18"/>
              </w:rPr>
            </w:pPr>
            <w:r w:rsidRPr="00C5308E">
              <w:rPr>
                <w:rFonts w:ascii="Verdana" w:hAnsi="Verdana"/>
                <w:bCs/>
                <w:sz w:val="18"/>
                <w:szCs w:val="18"/>
              </w:rPr>
              <w:t>26,6</w:t>
            </w:r>
          </w:p>
        </w:tc>
        <w:tc>
          <w:tcPr>
            <w:tcW w:w="960" w:type="dxa"/>
            <w:noWrap/>
            <w:vAlign w:val="bottom"/>
            <w:hideMark/>
          </w:tcPr>
          <w:p w:rsidRPr="00C5308E" w:rsidR="00D639F0" w:rsidP="00D87753" w:rsidRDefault="00D639F0" w14:paraId="682B2FF7" w14:textId="77777777">
            <w:pPr>
              <w:spacing w:after="0" w:line="240" w:lineRule="auto"/>
              <w:contextualSpacing/>
              <w:rPr>
                <w:rFonts w:ascii="Verdana" w:hAnsi="Verdana"/>
                <w:bCs/>
                <w:sz w:val="18"/>
                <w:szCs w:val="18"/>
              </w:rPr>
            </w:pPr>
            <w:r w:rsidRPr="00C5308E">
              <w:rPr>
                <w:rFonts w:ascii="Verdana" w:hAnsi="Verdana"/>
                <w:bCs/>
                <w:sz w:val="18"/>
                <w:szCs w:val="18"/>
              </w:rPr>
              <w:t>26,6</w:t>
            </w:r>
          </w:p>
        </w:tc>
        <w:tc>
          <w:tcPr>
            <w:tcW w:w="960" w:type="dxa"/>
            <w:noWrap/>
            <w:vAlign w:val="bottom"/>
            <w:hideMark/>
          </w:tcPr>
          <w:p w:rsidRPr="00C5308E" w:rsidR="00D639F0" w:rsidP="00D87753" w:rsidRDefault="00D639F0" w14:paraId="5BDC082C" w14:textId="77777777">
            <w:pPr>
              <w:spacing w:after="0" w:line="240" w:lineRule="auto"/>
              <w:contextualSpacing/>
              <w:rPr>
                <w:rFonts w:ascii="Verdana" w:hAnsi="Verdana"/>
                <w:bCs/>
                <w:sz w:val="18"/>
                <w:szCs w:val="18"/>
              </w:rPr>
            </w:pPr>
            <w:r w:rsidRPr="00C5308E">
              <w:rPr>
                <w:rFonts w:ascii="Verdana" w:hAnsi="Verdana"/>
                <w:bCs/>
                <w:sz w:val="18"/>
                <w:szCs w:val="18"/>
              </w:rPr>
              <w:t>26,6</w:t>
            </w:r>
          </w:p>
        </w:tc>
        <w:tc>
          <w:tcPr>
            <w:tcW w:w="960" w:type="dxa"/>
            <w:noWrap/>
            <w:vAlign w:val="bottom"/>
            <w:hideMark/>
          </w:tcPr>
          <w:p w:rsidRPr="00C5308E" w:rsidR="00D639F0" w:rsidP="00D87753" w:rsidRDefault="00D639F0" w14:paraId="233259FA" w14:textId="77777777">
            <w:pPr>
              <w:spacing w:after="0" w:line="240" w:lineRule="auto"/>
              <w:contextualSpacing/>
              <w:rPr>
                <w:rFonts w:ascii="Verdana" w:hAnsi="Verdana"/>
                <w:bCs/>
                <w:sz w:val="18"/>
                <w:szCs w:val="18"/>
              </w:rPr>
            </w:pPr>
            <w:r w:rsidRPr="00C5308E">
              <w:rPr>
                <w:rFonts w:ascii="Verdana" w:hAnsi="Verdana"/>
                <w:bCs/>
                <w:sz w:val="18"/>
                <w:szCs w:val="18"/>
              </w:rPr>
              <w:t>26,6</w:t>
            </w:r>
          </w:p>
        </w:tc>
      </w:tr>
      <w:tr w:rsidRPr="00C5308E" w:rsidR="00D639F0" w:rsidTr="00E018DA" w14:paraId="401211A7" w14:textId="77777777">
        <w:trPr>
          <w:trHeight w:val="300"/>
        </w:trPr>
        <w:tc>
          <w:tcPr>
            <w:tcW w:w="2320" w:type="dxa"/>
            <w:noWrap/>
            <w:vAlign w:val="bottom"/>
            <w:hideMark/>
          </w:tcPr>
          <w:p w:rsidRPr="00C5308E" w:rsidR="00D639F0" w:rsidP="00D87753" w:rsidRDefault="00D639F0" w14:paraId="24A7AE53" w14:textId="77777777">
            <w:pPr>
              <w:spacing w:after="0" w:line="240" w:lineRule="auto"/>
              <w:contextualSpacing/>
              <w:rPr>
                <w:rFonts w:ascii="Verdana" w:hAnsi="Verdana"/>
                <w:bCs/>
                <w:sz w:val="18"/>
                <w:szCs w:val="18"/>
              </w:rPr>
            </w:pPr>
            <w:r w:rsidRPr="00C5308E">
              <w:rPr>
                <w:rFonts w:ascii="Verdana" w:hAnsi="Verdana"/>
                <w:bCs/>
                <w:sz w:val="18"/>
                <w:szCs w:val="18"/>
              </w:rPr>
              <w:t>SVB</w:t>
            </w:r>
          </w:p>
        </w:tc>
        <w:tc>
          <w:tcPr>
            <w:tcW w:w="960" w:type="dxa"/>
            <w:noWrap/>
            <w:vAlign w:val="bottom"/>
            <w:hideMark/>
          </w:tcPr>
          <w:p w:rsidRPr="00C5308E" w:rsidR="00D639F0" w:rsidP="00D87753" w:rsidRDefault="00D639F0" w14:paraId="4FD77520" w14:textId="77777777">
            <w:pPr>
              <w:spacing w:after="0" w:line="240" w:lineRule="auto"/>
              <w:contextualSpacing/>
              <w:rPr>
                <w:rFonts w:ascii="Verdana" w:hAnsi="Verdana"/>
                <w:bCs/>
                <w:sz w:val="18"/>
                <w:szCs w:val="18"/>
              </w:rPr>
            </w:pPr>
            <w:r w:rsidRPr="00C5308E">
              <w:rPr>
                <w:rFonts w:ascii="Verdana" w:hAnsi="Verdana"/>
                <w:bCs/>
                <w:sz w:val="18"/>
                <w:szCs w:val="18"/>
              </w:rPr>
              <w:t>3,9</w:t>
            </w:r>
          </w:p>
        </w:tc>
        <w:tc>
          <w:tcPr>
            <w:tcW w:w="960" w:type="dxa"/>
            <w:noWrap/>
            <w:vAlign w:val="bottom"/>
            <w:hideMark/>
          </w:tcPr>
          <w:p w:rsidRPr="00C5308E" w:rsidR="00D639F0" w:rsidP="00D87753" w:rsidRDefault="00D639F0" w14:paraId="17B537B3" w14:textId="77777777">
            <w:pPr>
              <w:spacing w:after="0" w:line="240" w:lineRule="auto"/>
              <w:contextualSpacing/>
              <w:rPr>
                <w:rFonts w:ascii="Verdana" w:hAnsi="Verdana"/>
                <w:bCs/>
                <w:sz w:val="18"/>
                <w:szCs w:val="18"/>
              </w:rPr>
            </w:pPr>
            <w:r w:rsidRPr="00C5308E">
              <w:rPr>
                <w:rFonts w:ascii="Verdana" w:hAnsi="Verdana"/>
                <w:bCs/>
                <w:sz w:val="18"/>
                <w:szCs w:val="18"/>
              </w:rPr>
              <w:t>3,9</w:t>
            </w:r>
          </w:p>
        </w:tc>
        <w:tc>
          <w:tcPr>
            <w:tcW w:w="960" w:type="dxa"/>
            <w:noWrap/>
            <w:vAlign w:val="bottom"/>
            <w:hideMark/>
          </w:tcPr>
          <w:p w:rsidRPr="00C5308E" w:rsidR="00D639F0" w:rsidP="00D87753" w:rsidRDefault="00D639F0" w14:paraId="1E269729" w14:textId="77777777">
            <w:pPr>
              <w:spacing w:after="0" w:line="240" w:lineRule="auto"/>
              <w:contextualSpacing/>
              <w:rPr>
                <w:rFonts w:ascii="Verdana" w:hAnsi="Verdana"/>
                <w:bCs/>
                <w:sz w:val="18"/>
                <w:szCs w:val="18"/>
              </w:rPr>
            </w:pPr>
            <w:r w:rsidRPr="00C5308E">
              <w:rPr>
                <w:rFonts w:ascii="Verdana" w:hAnsi="Verdana"/>
                <w:bCs/>
                <w:sz w:val="18"/>
                <w:szCs w:val="18"/>
              </w:rPr>
              <w:t>3,9</w:t>
            </w:r>
          </w:p>
        </w:tc>
        <w:tc>
          <w:tcPr>
            <w:tcW w:w="960" w:type="dxa"/>
            <w:noWrap/>
            <w:vAlign w:val="bottom"/>
            <w:hideMark/>
          </w:tcPr>
          <w:p w:rsidRPr="00C5308E" w:rsidR="00D639F0" w:rsidP="00D87753" w:rsidRDefault="00D639F0" w14:paraId="4981BE29" w14:textId="77777777">
            <w:pPr>
              <w:spacing w:after="0" w:line="240" w:lineRule="auto"/>
              <w:contextualSpacing/>
              <w:rPr>
                <w:rFonts w:ascii="Verdana" w:hAnsi="Verdana"/>
                <w:bCs/>
                <w:sz w:val="18"/>
                <w:szCs w:val="18"/>
              </w:rPr>
            </w:pPr>
            <w:r w:rsidRPr="00C5308E">
              <w:rPr>
                <w:rFonts w:ascii="Verdana" w:hAnsi="Verdana"/>
                <w:bCs/>
                <w:sz w:val="18"/>
                <w:szCs w:val="18"/>
              </w:rPr>
              <w:t>3,9</w:t>
            </w:r>
          </w:p>
        </w:tc>
        <w:tc>
          <w:tcPr>
            <w:tcW w:w="960" w:type="dxa"/>
            <w:noWrap/>
            <w:vAlign w:val="bottom"/>
            <w:hideMark/>
          </w:tcPr>
          <w:p w:rsidRPr="00C5308E" w:rsidR="00D639F0" w:rsidP="00D87753" w:rsidRDefault="00D639F0" w14:paraId="11690290" w14:textId="77777777">
            <w:pPr>
              <w:spacing w:after="0" w:line="240" w:lineRule="auto"/>
              <w:contextualSpacing/>
              <w:rPr>
                <w:rFonts w:ascii="Verdana" w:hAnsi="Verdana"/>
                <w:bCs/>
                <w:sz w:val="18"/>
                <w:szCs w:val="18"/>
              </w:rPr>
            </w:pPr>
            <w:r w:rsidRPr="00C5308E">
              <w:rPr>
                <w:rFonts w:ascii="Verdana" w:hAnsi="Verdana"/>
                <w:bCs/>
                <w:sz w:val="18"/>
                <w:szCs w:val="18"/>
              </w:rPr>
              <w:t>3,9</w:t>
            </w:r>
          </w:p>
        </w:tc>
        <w:tc>
          <w:tcPr>
            <w:tcW w:w="960" w:type="dxa"/>
            <w:noWrap/>
            <w:vAlign w:val="bottom"/>
            <w:hideMark/>
          </w:tcPr>
          <w:p w:rsidRPr="00C5308E" w:rsidR="00D639F0" w:rsidP="00D87753" w:rsidRDefault="00D639F0" w14:paraId="049415B9" w14:textId="77777777">
            <w:pPr>
              <w:spacing w:after="0" w:line="240" w:lineRule="auto"/>
              <w:contextualSpacing/>
              <w:rPr>
                <w:rFonts w:ascii="Verdana" w:hAnsi="Verdana"/>
                <w:bCs/>
                <w:sz w:val="18"/>
                <w:szCs w:val="18"/>
              </w:rPr>
            </w:pPr>
            <w:r w:rsidRPr="00C5308E">
              <w:rPr>
                <w:rFonts w:ascii="Verdana" w:hAnsi="Verdana"/>
                <w:bCs/>
                <w:sz w:val="18"/>
                <w:szCs w:val="18"/>
              </w:rPr>
              <w:t>3,9</w:t>
            </w:r>
          </w:p>
        </w:tc>
      </w:tr>
      <w:tr w:rsidRPr="00C5308E" w:rsidR="00D639F0" w:rsidTr="00E018DA" w14:paraId="79A47222" w14:textId="77777777">
        <w:trPr>
          <w:trHeight w:val="300"/>
        </w:trPr>
        <w:tc>
          <w:tcPr>
            <w:tcW w:w="2320" w:type="dxa"/>
            <w:tcBorders>
              <w:top w:val="nil"/>
              <w:left w:val="nil"/>
              <w:bottom w:val="single" w:color="auto" w:sz="4" w:space="0"/>
              <w:right w:val="nil"/>
            </w:tcBorders>
            <w:noWrap/>
            <w:vAlign w:val="bottom"/>
            <w:hideMark/>
          </w:tcPr>
          <w:p w:rsidRPr="00C5308E" w:rsidR="00D639F0" w:rsidP="00D87753" w:rsidRDefault="0041230B" w14:paraId="103C1D65" w14:textId="7DD3BFBA">
            <w:pPr>
              <w:spacing w:after="0" w:line="240" w:lineRule="auto"/>
              <w:contextualSpacing/>
              <w:rPr>
                <w:rFonts w:ascii="Verdana" w:hAnsi="Verdana"/>
                <w:bCs/>
                <w:sz w:val="18"/>
                <w:szCs w:val="18"/>
              </w:rPr>
            </w:pPr>
            <w:r w:rsidRPr="00C5308E">
              <w:rPr>
                <w:rFonts w:ascii="Verdana" w:hAnsi="Verdana"/>
                <w:bCs/>
                <w:sz w:val="18"/>
                <w:szCs w:val="18"/>
              </w:rPr>
              <w:t>T</w:t>
            </w:r>
            <w:r w:rsidRPr="00C5308E" w:rsidR="00D639F0">
              <w:rPr>
                <w:rFonts w:ascii="Verdana" w:hAnsi="Verdana"/>
                <w:bCs/>
                <w:sz w:val="18"/>
                <w:szCs w:val="18"/>
              </w:rPr>
              <w:t>otaal</w:t>
            </w:r>
          </w:p>
        </w:tc>
        <w:tc>
          <w:tcPr>
            <w:tcW w:w="960" w:type="dxa"/>
            <w:tcBorders>
              <w:top w:val="nil"/>
              <w:left w:val="nil"/>
              <w:bottom w:val="single" w:color="auto" w:sz="4" w:space="0"/>
              <w:right w:val="nil"/>
            </w:tcBorders>
            <w:noWrap/>
            <w:vAlign w:val="bottom"/>
            <w:hideMark/>
          </w:tcPr>
          <w:p w:rsidRPr="00C5308E" w:rsidR="00D639F0" w:rsidP="00D87753" w:rsidRDefault="00D639F0" w14:paraId="6D406A7B" w14:textId="77777777">
            <w:pPr>
              <w:spacing w:after="0" w:line="240" w:lineRule="auto"/>
              <w:contextualSpacing/>
              <w:rPr>
                <w:rFonts w:ascii="Verdana" w:hAnsi="Verdana"/>
                <w:bCs/>
                <w:sz w:val="18"/>
                <w:szCs w:val="18"/>
              </w:rPr>
            </w:pPr>
            <w:r w:rsidRPr="00C5308E">
              <w:rPr>
                <w:rFonts w:ascii="Verdana" w:hAnsi="Verdana"/>
                <w:bCs/>
                <w:sz w:val="18"/>
                <w:szCs w:val="18"/>
              </w:rPr>
              <w:t>34,4</w:t>
            </w:r>
          </w:p>
        </w:tc>
        <w:tc>
          <w:tcPr>
            <w:tcW w:w="960" w:type="dxa"/>
            <w:tcBorders>
              <w:top w:val="nil"/>
              <w:left w:val="nil"/>
              <w:bottom w:val="single" w:color="auto" w:sz="4" w:space="0"/>
              <w:right w:val="nil"/>
            </w:tcBorders>
            <w:noWrap/>
            <w:vAlign w:val="bottom"/>
            <w:hideMark/>
          </w:tcPr>
          <w:p w:rsidRPr="00C5308E" w:rsidR="00D639F0" w:rsidP="00D87753" w:rsidRDefault="00D639F0" w14:paraId="5B41D2C3" w14:textId="77777777">
            <w:pPr>
              <w:spacing w:after="0" w:line="240" w:lineRule="auto"/>
              <w:contextualSpacing/>
              <w:rPr>
                <w:rFonts w:ascii="Verdana" w:hAnsi="Verdana"/>
                <w:bCs/>
                <w:sz w:val="18"/>
                <w:szCs w:val="18"/>
              </w:rPr>
            </w:pPr>
            <w:r w:rsidRPr="00C5308E">
              <w:rPr>
                <w:rFonts w:ascii="Verdana" w:hAnsi="Verdana"/>
                <w:bCs/>
                <w:sz w:val="18"/>
                <w:szCs w:val="18"/>
              </w:rPr>
              <w:t>34,4</w:t>
            </w:r>
          </w:p>
        </w:tc>
        <w:tc>
          <w:tcPr>
            <w:tcW w:w="960" w:type="dxa"/>
            <w:tcBorders>
              <w:top w:val="nil"/>
              <w:left w:val="nil"/>
              <w:bottom w:val="single" w:color="auto" w:sz="4" w:space="0"/>
              <w:right w:val="nil"/>
            </w:tcBorders>
            <w:noWrap/>
            <w:vAlign w:val="bottom"/>
            <w:hideMark/>
          </w:tcPr>
          <w:p w:rsidRPr="00C5308E" w:rsidR="00D639F0" w:rsidP="00D87753" w:rsidRDefault="00D639F0" w14:paraId="073F7A34" w14:textId="77777777">
            <w:pPr>
              <w:spacing w:after="0" w:line="240" w:lineRule="auto"/>
              <w:contextualSpacing/>
              <w:rPr>
                <w:rFonts w:ascii="Verdana" w:hAnsi="Verdana"/>
                <w:bCs/>
                <w:sz w:val="18"/>
                <w:szCs w:val="18"/>
              </w:rPr>
            </w:pPr>
            <w:r w:rsidRPr="00C5308E">
              <w:rPr>
                <w:rFonts w:ascii="Verdana" w:hAnsi="Verdana"/>
                <w:bCs/>
                <w:sz w:val="18"/>
                <w:szCs w:val="18"/>
              </w:rPr>
              <w:t>34,4</w:t>
            </w:r>
          </w:p>
        </w:tc>
        <w:tc>
          <w:tcPr>
            <w:tcW w:w="960" w:type="dxa"/>
            <w:tcBorders>
              <w:top w:val="nil"/>
              <w:left w:val="nil"/>
              <w:bottom w:val="single" w:color="auto" w:sz="4" w:space="0"/>
              <w:right w:val="nil"/>
            </w:tcBorders>
            <w:noWrap/>
            <w:vAlign w:val="bottom"/>
            <w:hideMark/>
          </w:tcPr>
          <w:p w:rsidRPr="00C5308E" w:rsidR="00D639F0" w:rsidP="00D87753" w:rsidRDefault="00D639F0" w14:paraId="293FDDEE" w14:textId="77777777">
            <w:pPr>
              <w:spacing w:after="0" w:line="240" w:lineRule="auto"/>
              <w:contextualSpacing/>
              <w:rPr>
                <w:rFonts w:ascii="Verdana" w:hAnsi="Verdana"/>
                <w:bCs/>
                <w:sz w:val="18"/>
                <w:szCs w:val="18"/>
              </w:rPr>
            </w:pPr>
            <w:r w:rsidRPr="00C5308E">
              <w:rPr>
                <w:rFonts w:ascii="Verdana" w:hAnsi="Verdana"/>
                <w:bCs/>
                <w:sz w:val="18"/>
                <w:szCs w:val="18"/>
              </w:rPr>
              <w:t>34,4</w:t>
            </w:r>
          </w:p>
        </w:tc>
        <w:tc>
          <w:tcPr>
            <w:tcW w:w="960" w:type="dxa"/>
            <w:tcBorders>
              <w:top w:val="nil"/>
              <w:left w:val="nil"/>
              <w:bottom w:val="single" w:color="auto" w:sz="4" w:space="0"/>
              <w:right w:val="nil"/>
            </w:tcBorders>
            <w:noWrap/>
            <w:vAlign w:val="bottom"/>
            <w:hideMark/>
          </w:tcPr>
          <w:p w:rsidRPr="00C5308E" w:rsidR="00D639F0" w:rsidP="00D87753" w:rsidRDefault="00D639F0" w14:paraId="1231C06A" w14:textId="77777777">
            <w:pPr>
              <w:spacing w:after="0" w:line="240" w:lineRule="auto"/>
              <w:contextualSpacing/>
              <w:rPr>
                <w:rFonts w:ascii="Verdana" w:hAnsi="Verdana"/>
                <w:bCs/>
                <w:sz w:val="18"/>
                <w:szCs w:val="18"/>
              </w:rPr>
            </w:pPr>
            <w:r w:rsidRPr="00C5308E">
              <w:rPr>
                <w:rFonts w:ascii="Verdana" w:hAnsi="Verdana"/>
                <w:bCs/>
                <w:sz w:val="18"/>
                <w:szCs w:val="18"/>
              </w:rPr>
              <w:t>34,4</w:t>
            </w:r>
          </w:p>
        </w:tc>
        <w:tc>
          <w:tcPr>
            <w:tcW w:w="960" w:type="dxa"/>
            <w:tcBorders>
              <w:top w:val="nil"/>
              <w:left w:val="nil"/>
              <w:bottom w:val="single" w:color="auto" w:sz="4" w:space="0"/>
              <w:right w:val="nil"/>
            </w:tcBorders>
            <w:noWrap/>
            <w:vAlign w:val="bottom"/>
            <w:hideMark/>
          </w:tcPr>
          <w:p w:rsidRPr="00C5308E" w:rsidR="00D639F0" w:rsidP="00D87753" w:rsidRDefault="00D639F0" w14:paraId="19AF6AE4" w14:textId="77777777">
            <w:pPr>
              <w:spacing w:after="0" w:line="240" w:lineRule="auto"/>
              <w:contextualSpacing/>
              <w:rPr>
                <w:rFonts w:ascii="Verdana" w:hAnsi="Verdana"/>
                <w:bCs/>
                <w:sz w:val="18"/>
                <w:szCs w:val="18"/>
              </w:rPr>
            </w:pPr>
            <w:r w:rsidRPr="00C5308E">
              <w:rPr>
                <w:rFonts w:ascii="Verdana" w:hAnsi="Verdana"/>
                <w:bCs/>
                <w:sz w:val="18"/>
                <w:szCs w:val="18"/>
              </w:rPr>
              <w:t>34,4</w:t>
            </w:r>
          </w:p>
        </w:tc>
      </w:tr>
    </w:tbl>
    <w:p w:rsidRPr="00C5308E" w:rsidR="00D639F0" w:rsidP="00D87753" w:rsidRDefault="00D639F0" w14:paraId="3EC1C3FC" w14:textId="77777777">
      <w:pPr>
        <w:spacing w:after="0" w:line="240" w:lineRule="auto"/>
        <w:contextualSpacing/>
        <w:rPr>
          <w:rFonts w:ascii="Verdana" w:hAnsi="Verdana"/>
          <w:bCs/>
          <w:sz w:val="18"/>
          <w:szCs w:val="18"/>
        </w:rPr>
      </w:pPr>
    </w:p>
    <w:p w:rsidRPr="00C5308E" w:rsidR="00D639F0" w:rsidP="00D87753" w:rsidRDefault="00D639F0" w14:paraId="21A98FF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125</w:t>
      </w:r>
    </w:p>
    <w:p w:rsidRPr="00C5308E" w:rsidR="00D639F0" w:rsidP="00D87753" w:rsidRDefault="00D639F0" w14:paraId="0104A4AA" w14:textId="77777777">
      <w:pPr>
        <w:spacing w:after="0" w:line="240" w:lineRule="auto"/>
        <w:contextualSpacing/>
        <w:rPr>
          <w:rFonts w:ascii="Verdana" w:hAnsi="Verdana"/>
          <w:bCs/>
          <w:sz w:val="18"/>
          <w:szCs w:val="18"/>
        </w:rPr>
      </w:pPr>
      <w:r w:rsidRPr="00C5308E">
        <w:rPr>
          <w:rFonts w:ascii="Verdana" w:hAnsi="Verdana"/>
          <w:bCs/>
          <w:sz w:val="18"/>
          <w:szCs w:val="18"/>
        </w:rPr>
        <w:t>Welke relatief snel te realiseren maatregelen zijn getroffen om de financiële invulling van de taakstelling voor 2025 in te vullen?</w:t>
      </w:r>
    </w:p>
    <w:p w:rsidRPr="00C5308E" w:rsidR="00D639F0" w:rsidP="00D87753" w:rsidRDefault="00D639F0" w14:paraId="2A2DCE7F" w14:textId="77777777">
      <w:pPr>
        <w:spacing w:after="0" w:line="240" w:lineRule="auto"/>
        <w:contextualSpacing/>
        <w:rPr>
          <w:rFonts w:ascii="Verdana" w:hAnsi="Verdana"/>
          <w:bCs/>
          <w:sz w:val="18"/>
          <w:szCs w:val="18"/>
        </w:rPr>
      </w:pPr>
    </w:p>
    <w:p w:rsidRPr="00C5308E" w:rsidR="00D639F0" w:rsidP="00D87753" w:rsidRDefault="00D639F0" w14:paraId="3A57B59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125</w:t>
      </w:r>
    </w:p>
    <w:p w:rsidRPr="00C5308E" w:rsidR="00D639F0" w:rsidP="00D87753" w:rsidRDefault="00D639F0" w14:paraId="51DDD322" w14:textId="4C1F5882">
      <w:pPr>
        <w:spacing w:line="240" w:lineRule="auto"/>
        <w:contextualSpacing/>
        <w:rPr>
          <w:rFonts w:ascii="Verdana" w:hAnsi="Verdana"/>
          <w:bCs/>
          <w:sz w:val="18"/>
          <w:szCs w:val="18"/>
        </w:rPr>
      </w:pPr>
      <w:r w:rsidRPr="00C5308E">
        <w:rPr>
          <w:rFonts w:ascii="Verdana" w:hAnsi="Verdana"/>
          <w:bCs/>
          <w:sz w:val="18"/>
          <w:szCs w:val="18"/>
        </w:rPr>
        <w:t>De apparaatstaakstelling voor 2025 vullen we grotendeels in met reserves</w:t>
      </w:r>
      <w:r w:rsidRPr="00C5308E" w:rsidR="0022367C">
        <w:rPr>
          <w:rFonts w:ascii="Verdana" w:hAnsi="Verdana"/>
          <w:bCs/>
          <w:sz w:val="18"/>
          <w:szCs w:val="18"/>
        </w:rPr>
        <w:t xml:space="preserve"> op het terrein van apparaat</w:t>
      </w:r>
      <w:r w:rsidRPr="00C5308E">
        <w:rPr>
          <w:rFonts w:ascii="Verdana" w:hAnsi="Verdana"/>
          <w:bCs/>
          <w:sz w:val="18"/>
          <w:szCs w:val="18"/>
        </w:rPr>
        <w:t>. Voor een beperkt bedrag wordt een besparing op zaken zoals de overige personeelskosten (zoals bloemetjes en borrels) en de catering ingeboekt. Daarnaast worden vacatures die ontstaan als gevolg van pensioneringen niet ingevuld en wordt er terughoudend omgegaan met het invullen van vacatures. Ten slotte is er een bijdrage van de NLA.</w:t>
      </w:r>
    </w:p>
    <w:p w:rsidRPr="00C5308E" w:rsidR="00B504A7" w:rsidP="00D87753" w:rsidRDefault="00B504A7" w14:paraId="0DAD074E" w14:textId="77777777">
      <w:pPr>
        <w:spacing w:after="0" w:line="240" w:lineRule="auto"/>
        <w:contextualSpacing/>
        <w:rPr>
          <w:rFonts w:ascii="Verdana" w:hAnsi="Verdana"/>
          <w:bCs/>
          <w:sz w:val="18"/>
          <w:szCs w:val="18"/>
          <w:u w:val="single"/>
        </w:rPr>
      </w:pPr>
    </w:p>
    <w:p w:rsidRPr="00C5308E" w:rsidR="00D117F7" w:rsidP="00D87753" w:rsidRDefault="00D117F7" w14:paraId="24B337E5" w14:textId="706FD78C">
      <w:pPr>
        <w:spacing w:after="0" w:line="240" w:lineRule="auto"/>
        <w:contextualSpacing/>
        <w:rPr>
          <w:rFonts w:ascii="Verdana" w:hAnsi="Verdana"/>
          <w:bCs/>
          <w:sz w:val="18"/>
          <w:szCs w:val="18"/>
          <w:u w:val="single"/>
        </w:rPr>
      </w:pPr>
      <w:r w:rsidRPr="00C5308E">
        <w:rPr>
          <w:rFonts w:ascii="Verdana" w:hAnsi="Verdana"/>
          <w:bCs/>
          <w:sz w:val="18"/>
          <w:szCs w:val="18"/>
          <w:u w:val="single"/>
        </w:rPr>
        <w:t>Vraag 126</w:t>
      </w:r>
    </w:p>
    <w:p w:rsidR="00D117F7" w:rsidP="00D87753" w:rsidRDefault="00D117F7" w14:paraId="0A7406B7" w14:textId="77777777">
      <w:pPr>
        <w:spacing w:after="0" w:line="240" w:lineRule="auto"/>
        <w:contextualSpacing/>
        <w:rPr>
          <w:rFonts w:ascii="Verdana" w:hAnsi="Verdana"/>
          <w:bCs/>
          <w:sz w:val="18"/>
          <w:szCs w:val="18"/>
        </w:rPr>
      </w:pPr>
      <w:r w:rsidRPr="00C5308E">
        <w:rPr>
          <w:rFonts w:ascii="Verdana" w:hAnsi="Verdana"/>
          <w:bCs/>
          <w:sz w:val="18"/>
          <w:szCs w:val="18"/>
        </w:rPr>
        <w:t>Hoe wordt € 4 miljoen voor de NLA, € 49 miljoen voor het UWV en € 7 miljoen voor de SVB als taakstelling concreet ingevuld?</w:t>
      </w:r>
    </w:p>
    <w:p w:rsidR="00972542" w:rsidP="00D87753" w:rsidRDefault="00972542" w14:paraId="03B028E1" w14:textId="77777777">
      <w:pPr>
        <w:spacing w:after="0" w:line="240" w:lineRule="auto"/>
        <w:contextualSpacing/>
        <w:rPr>
          <w:rFonts w:ascii="Verdana" w:hAnsi="Verdana"/>
          <w:bCs/>
          <w:sz w:val="18"/>
          <w:szCs w:val="18"/>
        </w:rPr>
      </w:pPr>
    </w:p>
    <w:p w:rsidRPr="00C5308E" w:rsidR="00972542" w:rsidP="00D87753" w:rsidRDefault="00972542" w14:paraId="2BBC3EDC" w14:textId="77777777">
      <w:pPr>
        <w:spacing w:after="0" w:line="240" w:lineRule="auto"/>
        <w:contextualSpacing/>
        <w:rPr>
          <w:rFonts w:ascii="Verdana" w:hAnsi="Verdana"/>
          <w:bCs/>
          <w:sz w:val="18"/>
          <w:szCs w:val="18"/>
        </w:rPr>
      </w:pPr>
    </w:p>
    <w:p w:rsidRPr="00C5308E" w:rsidR="00D117F7" w:rsidP="00D87753" w:rsidRDefault="00D117F7" w14:paraId="203248A3" w14:textId="77777777">
      <w:pPr>
        <w:spacing w:after="0" w:line="240" w:lineRule="auto"/>
        <w:contextualSpacing/>
        <w:rPr>
          <w:rFonts w:ascii="Verdana" w:hAnsi="Verdana"/>
          <w:bCs/>
          <w:sz w:val="18"/>
          <w:szCs w:val="18"/>
          <w:u w:val="single"/>
        </w:rPr>
      </w:pPr>
    </w:p>
    <w:p w:rsidRPr="00C5308E" w:rsidR="00D117F7" w:rsidP="00D87753" w:rsidRDefault="00D117F7" w14:paraId="44196AD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126</w:t>
      </w:r>
    </w:p>
    <w:p w:rsidRPr="00C5308E" w:rsidR="00D117F7" w:rsidP="00D87753" w:rsidRDefault="00D117F7" w14:paraId="0B52B23F" w14:textId="08BE3B9C">
      <w:pPr>
        <w:spacing w:after="0" w:line="240" w:lineRule="auto"/>
        <w:contextualSpacing/>
        <w:rPr>
          <w:rFonts w:ascii="Verdana" w:hAnsi="Verdana"/>
          <w:bCs/>
          <w:sz w:val="18"/>
          <w:szCs w:val="18"/>
        </w:rPr>
      </w:pPr>
      <w:r w:rsidRPr="00C5308E">
        <w:rPr>
          <w:rFonts w:ascii="Verdana" w:hAnsi="Verdana"/>
          <w:bCs/>
          <w:sz w:val="18"/>
          <w:szCs w:val="18"/>
        </w:rPr>
        <w:t>De NLA, UWV en SVB zijn bereid gevonden een bijdrage te leveren aan de taakstelling van cumulatief 0,5% per jaar vanaf 2026, oplopend naar 2% in 2029 en structureel. Voor de NLA betreft het een financiële invulling. Over de invulling van de taakstelling bij UWV en de SVB is de minister van SZW met UWV en de SVB in gesprek. Hierbij wordt nadrukkelijk ook gekeken naar vereenvoudiging van wet- en regelgeving,</w:t>
      </w:r>
      <w:r w:rsidRPr="00C5308E" w:rsidR="009D7D7E">
        <w:rPr>
          <w:rFonts w:ascii="Verdana" w:hAnsi="Verdana"/>
          <w:bCs/>
          <w:sz w:val="18"/>
          <w:szCs w:val="18"/>
        </w:rPr>
        <w:t xml:space="preserve"> </w:t>
      </w:r>
      <w:r w:rsidR="009D7D7E">
        <w:rPr>
          <w:rFonts w:ascii="Verdana" w:hAnsi="Verdana"/>
          <w:bCs/>
          <w:sz w:val="18"/>
          <w:szCs w:val="18"/>
        </w:rPr>
        <w:t>maar ook naar</w:t>
      </w:r>
      <w:r w:rsidRPr="00C5308E" w:rsidR="009D7D7E">
        <w:rPr>
          <w:rFonts w:ascii="Verdana" w:hAnsi="Verdana"/>
          <w:bCs/>
          <w:sz w:val="18"/>
          <w:szCs w:val="18"/>
        </w:rPr>
        <w:t xml:space="preserve"> besparing</w:t>
      </w:r>
      <w:r w:rsidR="009D7D7E">
        <w:rPr>
          <w:rFonts w:ascii="Verdana" w:hAnsi="Verdana"/>
          <w:bCs/>
          <w:sz w:val="18"/>
          <w:szCs w:val="18"/>
        </w:rPr>
        <w:t>en in bijvoorbeeld de</w:t>
      </w:r>
      <w:r w:rsidRPr="00C5308E" w:rsidR="009D7D7E">
        <w:rPr>
          <w:rFonts w:ascii="Verdana" w:hAnsi="Verdana"/>
          <w:bCs/>
          <w:sz w:val="18"/>
          <w:szCs w:val="18"/>
        </w:rPr>
        <w:t xml:space="preserve"> bedrijfsvoering. </w:t>
      </w:r>
    </w:p>
    <w:p w:rsidRPr="00C5308E" w:rsidR="00D639F0" w:rsidP="00D87753" w:rsidRDefault="00D639F0" w14:paraId="4FDD2C06" w14:textId="77777777">
      <w:pPr>
        <w:spacing w:after="0" w:line="240" w:lineRule="auto"/>
        <w:contextualSpacing/>
        <w:rPr>
          <w:rFonts w:ascii="Verdana" w:hAnsi="Verdana"/>
          <w:bCs/>
          <w:sz w:val="18"/>
          <w:szCs w:val="18"/>
        </w:rPr>
      </w:pPr>
    </w:p>
    <w:p w:rsidRPr="00C5308E" w:rsidR="00D117F7" w:rsidP="00D87753" w:rsidRDefault="00D117F7" w14:paraId="7E210AB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127</w:t>
      </w:r>
    </w:p>
    <w:p w:rsidRPr="00C5308E" w:rsidR="00D117F7" w:rsidP="00D87753" w:rsidRDefault="00D117F7" w14:paraId="54A5E67A" w14:textId="77777777">
      <w:pPr>
        <w:spacing w:after="0" w:line="240" w:lineRule="auto"/>
        <w:contextualSpacing/>
        <w:rPr>
          <w:rFonts w:ascii="Verdana" w:hAnsi="Verdana"/>
          <w:bCs/>
          <w:sz w:val="18"/>
          <w:szCs w:val="18"/>
        </w:rPr>
      </w:pPr>
      <w:r w:rsidRPr="00C5308E">
        <w:rPr>
          <w:rFonts w:ascii="Verdana" w:hAnsi="Verdana"/>
          <w:bCs/>
          <w:sz w:val="18"/>
          <w:szCs w:val="18"/>
        </w:rPr>
        <w:t>Kunt u uitleggen waar de totale bezuinigingen bij het UWV landen, die onder andere voortkomen uit het amendement Bontenbal c.s. en uit de taakstelling uit het HLA?</w:t>
      </w:r>
    </w:p>
    <w:p w:rsidRPr="00C5308E" w:rsidR="00D117F7" w:rsidP="00D87753" w:rsidRDefault="00D117F7" w14:paraId="7B87ACDC" w14:textId="77777777">
      <w:pPr>
        <w:spacing w:after="0" w:line="240" w:lineRule="auto"/>
        <w:contextualSpacing/>
        <w:rPr>
          <w:rFonts w:ascii="Verdana" w:hAnsi="Verdana"/>
          <w:bCs/>
          <w:sz w:val="18"/>
          <w:szCs w:val="18"/>
          <w:u w:val="single"/>
        </w:rPr>
      </w:pPr>
    </w:p>
    <w:p w:rsidRPr="00C5308E" w:rsidR="00D117F7" w:rsidP="00D87753" w:rsidRDefault="00D117F7" w14:paraId="1EFF6C4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127</w:t>
      </w:r>
    </w:p>
    <w:p w:rsidRPr="00C5308E" w:rsidR="00D117F7" w:rsidP="00D87753" w:rsidRDefault="00D117F7" w14:paraId="47E8EF07" w14:textId="050190F0">
      <w:pPr>
        <w:spacing w:after="0" w:line="240" w:lineRule="auto"/>
        <w:contextualSpacing/>
        <w:rPr>
          <w:rFonts w:ascii="Verdana" w:hAnsi="Verdana"/>
          <w:bCs/>
          <w:sz w:val="18"/>
          <w:szCs w:val="18"/>
        </w:rPr>
      </w:pPr>
      <w:r w:rsidRPr="00C5308E">
        <w:rPr>
          <w:rFonts w:ascii="Verdana" w:hAnsi="Verdana"/>
          <w:bCs/>
          <w:sz w:val="18"/>
          <w:szCs w:val="18"/>
        </w:rPr>
        <w:t xml:space="preserve">Over de invulling van de bezuinigingen voortkomend uit het amendement Bontenbal c.s. en de taakstelling uit het HLA is SZW in gesprek met UWV. Hierbij wordt nadrukkelijk ook gekeken naar vereenvoudiging van wet- en regelgeving, </w:t>
      </w:r>
      <w:r w:rsidR="009D7D7E">
        <w:rPr>
          <w:rFonts w:ascii="Verdana" w:hAnsi="Verdana"/>
          <w:bCs/>
          <w:sz w:val="18"/>
          <w:szCs w:val="18"/>
        </w:rPr>
        <w:t xml:space="preserve">maar ook naar </w:t>
      </w:r>
      <w:r w:rsidRPr="00C5308E" w:rsidR="009D7D7E">
        <w:rPr>
          <w:rFonts w:ascii="Verdana" w:hAnsi="Verdana"/>
          <w:bCs/>
          <w:sz w:val="18"/>
          <w:szCs w:val="18"/>
        </w:rPr>
        <w:t>besparing</w:t>
      </w:r>
      <w:r w:rsidR="009D7D7E">
        <w:rPr>
          <w:rFonts w:ascii="Verdana" w:hAnsi="Verdana"/>
          <w:bCs/>
          <w:sz w:val="18"/>
          <w:szCs w:val="18"/>
        </w:rPr>
        <w:t>en in bijvoorbeeld</w:t>
      </w:r>
      <w:r w:rsidRPr="00C5308E" w:rsidR="009D7D7E">
        <w:rPr>
          <w:rFonts w:ascii="Verdana" w:hAnsi="Verdana"/>
          <w:bCs/>
          <w:sz w:val="18"/>
          <w:szCs w:val="18"/>
        </w:rPr>
        <w:t xml:space="preserve"> de bedrijfsvoering. </w:t>
      </w:r>
    </w:p>
    <w:p w:rsidRPr="00C5308E" w:rsidR="00D117F7" w:rsidP="00D87753" w:rsidRDefault="00D117F7" w14:paraId="73A438B9" w14:textId="77777777">
      <w:pPr>
        <w:spacing w:after="0" w:line="240" w:lineRule="auto"/>
        <w:contextualSpacing/>
        <w:rPr>
          <w:rFonts w:ascii="Verdana" w:hAnsi="Verdana"/>
          <w:bCs/>
          <w:sz w:val="18"/>
          <w:szCs w:val="18"/>
        </w:rPr>
      </w:pPr>
    </w:p>
    <w:p w:rsidRPr="00C5308E" w:rsidR="00D117F7" w:rsidP="00D87753" w:rsidRDefault="00D117F7" w14:paraId="02FDFE1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128</w:t>
      </w:r>
    </w:p>
    <w:p w:rsidRPr="00C5308E" w:rsidR="00D117F7" w:rsidP="00D87753" w:rsidRDefault="00D117F7" w14:paraId="65093E1F" w14:textId="77777777">
      <w:pPr>
        <w:spacing w:after="0" w:line="240" w:lineRule="auto"/>
        <w:contextualSpacing/>
        <w:rPr>
          <w:rFonts w:ascii="Verdana" w:hAnsi="Verdana"/>
          <w:bCs/>
          <w:sz w:val="18"/>
          <w:szCs w:val="18"/>
        </w:rPr>
      </w:pPr>
      <w:r w:rsidRPr="00C5308E">
        <w:rPr>
          <w:rFonts w:ascii="Verdana" w:hAnsi="Verdana"/>
          <w:bCs/>
          <w:sz w:val="18"/>
          <w:szCs w:val="18"/>
        </w:rPr>
        <w:t>Wat wordt de invulling van de taakstelling uit het HLA op de NLA, het UWV en SVB in 2025 en verder?</w:t>
      </w:r>
    </w:p>
    <w:p w:rsidRPr="00C5308E" w:rsidR="00D117F7" w:rsidP="00D87753" w:rsidRDefault="00D117F7" w14:paraId="2EA12AF1" w14:textId="77777777">
      <w:pPr>
        <w:spacing w:after="0" w:line="240" w:lineRule="auto"/>
        <w:contextualSpacing/>
        <w:rPr>
          <w:rFonts w:ascii="Verdana" w:hAnsi="Verdana"/>
          <w:bCs/>
          <w:sz w:val="18"/>
          <w:szCs w:val="18"/>
          <w:u w:val="single"/>
        </w:rPr>
      </w:pPr>
    </w:p>
    <w:p w:rsidRPr="00C5308E" w:rsidR="00D117F7" w:rsidP="00D87753" w:rsidRDefault="00D117F7" w14:paraId="77F93DC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128</w:t>
      </w:r>
    </w:p>
    <w:p w:rsidRPr="00C5308E" w:rsidR="00E97B61" w:rsidP="00D87753" w:rsidRDefault="00E97B61" w14:paraId="05D49A03"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NLA, UWV en SVB zijn bereid gevonden een bijdrage te leveren aan de taakstelling van cumulatief 0,5% per jaar vanaf 2026, oplopend naar 2% in 2029 en structureel. Dit komt neer op € 4 miljoen voor NLA, € 49 miljoen voor UWV en € 7 miljoen voor SVB. Voor de NLA betreft het een financiële invulling. Over de invulling van de taakstelling bij UWV en de SVB is de minister van SZW met UWV en de SVB in gesprek. Hierbij wordt nadrukkelijk ook gekeken naar vereenvoudiging van wet- en regelgeving, waar dit niet lukt wordt de taakstelling ingevuld met een besparing op bedrijfsvoering of door middel van taakaanpassing. </w:t>
      </w:r>
    </w:p>
    <w:p w:rsidRPr="00C5308E" w:rsidR="00D117F7" w:rsidP="00D87753" w:rsidRDefault="00D117F7" w14:paraId="76219FD7" w14:textId="77777777">
      <w:pPr>
        <w:spacing w:after="0" w:line="240" w:lineRule="auto"/>
        <w:contextualSpacing/>
        <w:rPr>
          <w:rFonts w:ascii="Verdana" w:hAnsi="Verdana"/>
          <w:bCs/>
          <w:sz w:val="18"/>
          <w:szCs w:val="18"/>
        </w:rPr>
      </w:pPr>
    </w:p>
    <w:p w:rsidRPr="00C5308E" w:rsidR="00E97B61" w:rsidP="00D87753" w:rsidRDefault="00E97B61" w14:paraId="0B92C62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129</w:t>
      </w:r>
    </w:p>
    <w:p w:rsidRPr="00C5308E" w:rsidR="00E97B61" w:rsidP="00D87753" w:rsidRDefault="00E97B61" w14:paraId="18C938A3" w14:textId="77777777">
      <w:pPr>
        <w:spacing w:after="0" w:line="240" w:lineRule="auto"/>
        <w:contextualSpacing/>
        <w:rPr>
          <w:rFonts w:ascii="Verdana" w:hAnsi="Verdana"/>
          <w:bCs/>
          <w:sz w:val="18"/>
          <w:szCs w:val="18"/>
        </w:rPr>
      </w:pPr>
      <w:r w:rsidRPr="00C5308E">
        <w:rPr>
          <w:rFonts w:ascii="Verdana" w:hAnsi="Verdana"/>
          <w:bCs/>
          <w:sz w:val="18"/>
          <w:szCs w:val="18"/>
        </w:rPr>
        <w:t>Hoe wordt de taakstelling OCW op de NLA, het UWV en SVB ingevuld in 2025 en verder?</w:t>
      </w:r>
    </w:p>
    <w:p w:rsidRPr="00C5308E" w:rsidR="00E97B61" w:rsidP="00D87753" w:rsidRDefault="00E97B61" w14:paraId="7A8E96F5" w14:textId="77777777">
      <w:pPr>
        <w:spacing w:after="0" w:line="240" w:lineRule="auto"/>
        <w:contextualSpacing/>
        <w:rPr>
          <w:rFonts w:ascii="Verdana" w:hAnsi="Verdana"/>
          <w:bCs/>
          <w:sz w:val="18"/>
          <w:szCs w:val="18"/>
        </w:rPr>
      </w:pPr>
    </w:p>
    <w:p w:rsidRPr="00C5308E" w:rsidR="00E97B61" w:rsidP="00D87753" w:rsidRDefault="00E97B61" w14:paraId="4B423BB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129</w:t>
      </w:r>
    </w:p>
    <w:p w:rsidRPr="00C5308E" w:rsidR="00E97B61" w:rsidP="00D87753" w:rsidRDefault="00E97B61" w14:paraId="46FA18D3" w14:textId="7EF7C0FA">
      <w:pPr>
        <w:spacing w:after="0" w:line="240" w:lineRule="auto"/>
        <w:contextualSpacing/>
        <w:rPr>
          <w:rFonts w:ascii="Verdana" w:hAnsi="Verdana"/>
          <w:bCs/>
          <w:sz w:val="18"/>
          <w:szCs w:val="18"/>
        </w:rPr>
      </w:pPr>
      <w:r w:rsidRPr="00C5308E">
        <w:rPr>
          <w:rFonts w:ascii="Verdana" w:hAnsi="Verdana"/>
          <w:bCs/>
          <w:sz w:val="18"/>
          <w:szCs w:val="18"/>
        </w:rPr>
        <w:t xml:space="preserve">Onderstaande tabel bevat de verdeling van de taakstelling OCW </w:t>
      </w:r>
      <w:r w:rsidR="009D7D7E">
        <w:rPr>
          <w:rFonts w:ascii="Verdana" w:hAnsi="Verdana"/>
          <w:bCs/>
          <w:sz w:val="18"/>
          <w:szCs w:val="18"/>
        </w:rPr>
        <w:t xml:space="preserve">(dekking amendement Bontenbal c.s.) </w:t>
      </w:r>
      <w:r w:rsidRPr="00C5308E">
        <w:rPr>
          <w:rFonts w:ascii="Verdana" w:hAnsi="Verdana"/>
          <w:bCs/>
          <w:sz w:val="18"/>
          <w:szCs w:val="18"/>
        </w:rPr>
        <w:t>over de vier partijen in de jaren 2025-2030 (bedragen in m</w:t>
      </w:r>
      <w:r w:rsidRPr="00C5308E" w:rsidR="00EF1671">
        <w:rPr>
          <w:rFonts w:ascii="Verdana" w:hAnsi="Verdana"/>
          <w:bCs/>
          <w:sz w:val="18"/>
          <w:szCs w:val="18"/>
        </w:rPr>
        <w:t>iljoenen</w:t>
      </w:r>
      <w:r w:rsidRPr="00C5308E">
        <w:rPr>
          <w:rFonts w:ascii="Verdana" w:hAnsi="Verdana"/>
          <w:bCs/>
          <w:sz w:val="18"/>
          <w:szCs w:val="18"/>
        </w:rPr>
        <w:t xml:space="preserve"> euro).</w:t>
      </w:r>
    </w:p>
    <w:p w:rsidRPr="00C5308E" w:rsidR="00E97B61" w:rsidP="00D87753" w:rsidRDefault="00E97B61" w14:paraId="039730B8" w14:textId="77777777">
      <w:pPr>
        <w:spacing w:after="0" w:line="240" w:lineRule="auto"/>
        <w:contextualSpacing/>
        <w:rPr>
          <w:rFonts w:ascii="Verdana" w:hAnsi="Verdana"/>
          <w:bCs/>
          <w:sz w:val="18"/>
          <w:szCs w:val="18"/>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C5308E" w:rsidR="00E97B61" w:rsidTr="003C75FE" w14:paraId="2E87E578" w14:textId="77777777">
        <w:trPr>
          <w:trHeight w:val="300"/>
        </w:trPr>
        <w:tc>
          <w:tcPr>
            <w:tcW w:w="2320" w:type="dxa"/>
            <w:tcBorders>
              <w:top w:val="nil"/>
              <w:left w:val="nil"/>
              <w:bottom w:val="single" w:color="auto" w:sz="4" w:space="0"/>
              <w:right w:val="nil"/>
            </w:tcBorders>
            <w:shd w:val="clear" w:color="auto" w:fill="auto"/>
            <w:noWrap/>
            <w:vAlign w:val="bottom"/>
            <w:hideMark/>
          </w:tcPr>
          <w:p w:rsidRPr="00C5308E" w:rsidR="00E97B61" w:rsidP="00D87753" w:rsidRDefault="00E97B61" w14:paraId="5A34C30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352BE37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6FC28EA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15E81DA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04C72A8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67B724C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7809E44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2030</w:t>
            </w:r>
          </w:p>
        </w:tc>
      </w:tr>
      <w:tr w:rsidRPr="00C5308E" w:rsidR="00E97B61" w:rsidTr="003C75FE" w14:paraId="21549A2B" w14:textId="77777777">
        <w:trPr>
          <w:trHeight w:val="300"/>
        </w:trPr>
        <w:tc>
          <w:tcPr>
            <w:tcW w:w="2320" w:type="dxa"/>
            <w:tcBorders>
              <w:top w:val="nil"/>
              <w:left w:val="nil"/>
              <w:bottom w:val="nil"/>
              <w:right w:val="nil"/>
            </w:tcBorders>
            <w:shd w:val="clear" w:color="auto" w:fill="auto"/>
            <w:noWrap/>
            <w:vAlign w:val="bottom"/>
            <w:hideMark/>
          </w:tcPr>
          <w:p w:rsidRPr="00C5308E" w:rsidR="00E97B61" w:rsidP="00D87753" w:rsidRDefault="00E97B61" w14:paraId="2E7AE65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Kern</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3BE4595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24483D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5981FCF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6AD3266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17491C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300A972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r>
      <w:tr w:rsidRPr="00C5308E" w:rsidR="00E97B61" w:rsidTr="003C75FE" w14:paraId="676ADBEB" w14:textId="77777777">
        <w:trPr>
          <w:trHeight w:val="300"/>
        </w:trPr>
        <w:tc>
          <w:tcPr>
            <w:tcW w:w="2320" w:type="dxa"/>
            <w:tcBorders>
              <w:top w:val="nil"/>
              <w:left w:val="nil"/>
              <w:bottom w:val="nil"/>
              <w:right w:val="nil"/>
            </w:tcBorders>
            <w:shd w:val="clear" w:color="auto" w:fill="auto"/>
            <w:noWrap/>
            <w:vAlign w:val="bottom"/>
            <w:hideMark/>
          </w:tcPr>
          <w:p w:rsidRPr="00C5308E" w:rsidR="00E97B61" w:rsidP="00D87753" w:rsidRDefault="00E97B61" w14:paraId="45AB1A8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NLA</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502625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62852B7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29E1A06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FD3EC1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1014B8D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060420C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r>
      <w:tr w:rsidRPr="00C5308E" w:rsidR="00E97B61" w:rsidTr="003C75FE" w14:paraId="64EA8C3E" w14:textId="77777777">
        <w:trPr>
          <w:trHeight w:val="300"/>
        </w:trPr>
        <w:tc>
          <w:tcPr>
            <w:tcW w:w="2320" w:type="dxa"/>
            <w:tcBorders>
              <w:top w:val="nil"/>
              <w:left w:val="nil"/>
              <w:bottom w:val="nil"/>
              <w:right w:val="nil"/>
            </w:tcBorders>
            <w:shd w:val="clear" w:color="auto" w:fill="auto"/>
            <w:noWrap/>
            <w:vAlign w:val="bottom"/>
            <w:hideMark/>
          </w:tcPr>
          <w:p w:rsidRPr="00C5308E" w:rsidR="00E97B61" w:rsidP="00D87753" w:rsidRDefault="00E97B61" w14:paraId="0983ADD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UWV</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1BB131C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77CE7D5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7AC918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258F21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694C3FB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2D34FD6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26,6</w:t>
            </w:r>
          </w:p>
        </w:tc>
      </w:tr>
      <w:tr w:rsidRPr="00C5308E" w:rsidR="00E97B61" w:rsidTr="003C75FE" w14:paraId="30C68D2B" w14:textId="77777777">
        <w:trPr>
          <w:trHeight w:val="300"/>
        </w:trPr>
        <w:tc>
          <w:tcPr>
            <w:tcW w:w="2320" w:type="dxa"/>
            <w:tcBorders>
              <w:top w:val="nil"/>
              <w:left w:val="nil"/>
              <w:bottom w:val="nil"/>
              <w:right w:val="nil"/>
            </w:tcBorders>
            <w:shd w:val="clear" w:color="auto" w:fill="auto"/>
            <w:noWrap/>
            <w:vAlign w:val="bottom"/>
            <w:hideMark/>
          </w:tcPr>
          <w:p w:rsidRPr="00C5308E" w:rsidR="00E97B61" w:rsidP="00D87753" w:rsidRDefault="00E97B61" w14:paraId="1513245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SVB</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1A65836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436E0A6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6F9246B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59B0D6B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702B0A4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960" w:type="dxa"/>
            <w:tcBorders>
              <w:top w:val="nil"/>
              <w:left w:val="nil"/>
              <w:bottom w:val="nil"/>
              <w:right w:val="nil"/>
            </w:tcBorders>
            <w:shd w:val="clear" w:color="auto" w:fill="auto"/>
            <w:noWrap/>
            <w:vAlign w:val="bottom"/>
            <w:hideMark/>
          </w:tcPr>
          <w:p w:rsidRPr="00C5308E" w:rsidR="00E97B61" w:rsidP="00D87753" w:rsidRDefault="00E97B61" w14:paraId="3E35CB5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r>
      <w:tr w:rsidRPr="00C5308E" w:rsidR="00E97B61" w:rsidTr="003C75FE" w14:paraId="749D0F67" w14:textId="77777777">
        <w:trPr>
          <w:trHeight w:val="300"/>
        </w:trPr>
        <w:tc>
          <w:tcPr>
            <w:tcW w:w="2320" w:type="dxa"/>
            <w:tcBorders>
              <w:top w:val="nil"/>
              <w:left w:val="nil"/>
              <w:bottom w:val="single" w:color="auto" w:sz="4" w:space="0"/>
              <w:right w:val="nil"/>
            </w:tcBorders>
            <w:shd w:val="clear" w:color="auto" w:fill="auto"/>
            <w:noWrap/>
            <w:vAlign w:val="bottom"/>
            <w:hideMark/>
          </w:tcPr>
          <w:p w:rsidRPr="00C5308E" w:rsidR="00E97B61" w:rsidP="00D87753" w:rsidRDefault="0041230B" w14:paraId="4C2265D0" w14:textId="3F6F3536">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w:t>
            </w:r>
            <w:r w:rsidRPr="00C5308E" w:rsidR="00E97B61">
              <w:rPr>
                <w:rFonts w:ascii="Verdana" w:hAnsi="Verdana" w:eastAsia="Times New Roman" w:cs="Calibri"/>
                <w:bCs/>
                <w:color w:val="000000"/>
                <w:sz w:val="18"/>
                <w:szCs w:val="18"/>
                <w:lang w:eastAsia="nl-NL"/>
              </w:rPr>
              <w:t>otaal</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5EA8C96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0C447E3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3AABDEF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6E95D71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056A598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c>
          <w:tcPr>
            <w:tcW w:w="960" w:type="dxa"/>
            <w:tcBorders>
              <w:top w:val="nil"/>
              <w:left w:val="nil"/>
              <w:bottom w:val="single" w:color="auto" w:sz="4" w:space="0"/>
              <w:right w:val="nil"/>
            </w:tcBorders>
            <w:shd w:val="clear" w:color="auto" w:fill="auto"/>
            <w:noWrap/>
            <w:vAlign w:val="bottom"/>
            <w:hideMark/>
          </w:tcPr>
          <w:p w:rsidRPr="00C5308E" w:rsidR="00E97B61" w:rsidP="00D87753" w:rsidRDefault="00E97B61" w14:paraId="5BF8D8A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34,4</w:t>
            </w:r>
          </w:p>
        </w:tc>
      </w:tr>
    </w:tbl>
    <w:p w:rsidRPr="00C5308E" w:rsidR="00E97B61" w:rsidP="00D87753" w:rsidRDefault="00E97B61" w14:paraId="4864E937" w14:textId="77777777">
      <w:pPr>
        <w:spacing w:after="0" w:line="240" w:lineRule="auto"/>
        <w:contextualSpacing/>
        <w:rPr>
          <w:rFonts w:ascii="Verdana" w:hAnsi="Verdana"/>
          <w:bCs/>
          <w:sz w:val="18"/>
          <w:szCs w:val="18"/>
        </w:rPr>
      </w:pPr>
    </w:p>
    <w:p w:rsidRPr="00C5308E" w:rsidR="00E97B61" w:rsidP="00D87753" w:rsidRDefault="00E97B61" w14:paraId="6253B420" w14:textId="77777777">
      <w:pPr>
        <w:spacing w:after="0" w:line="240" w:lineRule="auto"/>
        <w:contextualSpacing/>
        <w:rPr>
          <w:rFonts w:ascii="Verdana" w:hAnsi="Verdana"/>
          <w:bCs/>
          <w:sz w:val="18"/>
          <w:szCs w:val="18"/>
        </w:rPr>
      </w:pPr>
      <w:r w:rsidRPr="00C5308E">
        <w:rPr>
          <w:rFonts w:ascii="Verdana" w:hAnsi="Verdana"/>
          <w:bCs/>
          <w:sz w:val="18"/>
          <w:szCs w:val="18"/>
        </w:rPr>
        <w:t>De taakstelling op de NLA wordt ingevuld vanuit de ontvangen LPO (2025) en de centrale reserve op artikel 96 en 99 (2026 en verder).</w:t>
      </w:r>
    </w:p>
    <w:p w:rsidRPr="00C5308E" w:rsidR="00E97B61" w:rsidP="00D87753" w:rsidRDefault="00E97B61" w14:paraId="403224F7" w14:textId="77777777">
      <w:pPr>
        <w:spacing w:after="0" w:line="240" w:lineRule="auto"/>
        <w:contextualSpacing/>
        <w:rPr>
          <w:rFonts w:ascii="Verdana" w:hAnsi="Verdana"/>
          <w:bCs/>
          <w:sz w:val="18"/>
          <w:szCs w:val="18"/>
        </w:rPr>
      </w:pPr>
      <w:r w:rsidRPr="00C5308E">
        <w:rPr>
          <w:rFonts w:ascii="Verdana" w:hAnsi="Verdana"/>
          <w:bCs/>
          <w:sz w:val="18"/>
          <w:szCs w:val="18"/>
        </w:rPr>
        <w:t xml:space="preserve">Over de invulling van de taakstelling bij UWV en de SVB is SZW in gesprek met UWV en de SVB. </w:t>
      </w:r>
    </w:p>
    <w:p w:rsidRPr="00C5308E" w:rsidR="00D639F0" w:rsidP="00D87753" w:rsidRDefault="00D639F0" w14:paraId="0822DDEA" w14:textId="77777777">
      <w:pPr>
        <w:spacing w:after="0" w:line="240" w:lineRule="auto"/>
        <w:contextualSpacing/>
        <w:rPr>
          <w:rFonts w:ascii="Verdana" w:hAnsi="Verdana"/>
          <w:bCs/>
          <w:sz w:val="18"/>
          <w:szCs w:val="18"/>
        </w:rPr>
      </w:pPr>
    </w:p>
    <w:p w:rsidRPr="00C5308E" w:rsidR="00E97B61" w:rsidP="00D87753" w:rsidRDefault="00E97B61" w14:paraId="6E06B9C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130</w:t>
      </w:r>
    </w:p>
    <w:p w:rsidRPr="00C5308E" w:rsidR="00E97B61" w:rsidP="00D87753" w:rsidRDefault="00E97B61" w14:paraId="13121A28" w14:textId="77777777">
      <w:pPr>
        <w:spacing w:after="0" w:line="240" w:lineRule="auto"/>
        <w:contextualSpacing/>
        <w:rPr>
          <w:rFonts w:ascii="Verdana" w:hAnsi="Verdana"/>
          <w:bCs/>
          <w:sz w:val="18"/>
          <w:szCs w:val="18"/>
        </w:rPr>
      </w:pPr>
      <w:r w:rsidRPr="00C5308E">
        <w:rPr>
          <w:rFonts w:ascii="Verdana" w:hAnsi="Verdana"/>
          <w:bCs/>
          <w:sz w:val="18"/>
          <w:szCs w:val="18"/>
        </w:rPr>
        <w:t>Wat is het gevolg van de taakstellingen op de middelen die nu extra zijn toegevoegd voor de herstelactie en sociaal-medische beoordelingen bij het UWV?</w:t>
      </w:r>
    </w:p>
    <w:p w:rsidRPr="00C5308E" w:rsidR="00E97B61" w:rsidP="00D87753" w:rsidRDefault="00E97B61" w14:paraId="3882249B" w14:textId="77777777">
      <w:pPr>
        <w:spacing w:after="0" w:line="240" w:lineRule="auto"/>
        <w:contextualSpacing/>
        <w:rPr>
          <w:rFonts w:ascii="Verdana" w:hAnsi="Verdana"/>
          <w:bCs/>
          <w:sz w:val="18"/>
          <w:szCs w:val="18"/>
          <w:u w:val="single"/>
        </w:rPr>
      </w:pPr>
    </w:p>
    <w:p w:rsidRPr="00C5308E" w:rsidR="00E97B61" w:rsidP="00D87753" w:rsidRDefault="00E97B61" w14:paraId="73C3315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130</w:t>
      </w:r>
    </w:p>
    <w:p w:rsidR="00E97B61" w:rsidP="00D87753" w:rsidRDefault="00E97B61" w14:paraId="52C855E4"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taakstellingen hebben geen directe gevolgen voor de middelen die UWV ontvangt voor de herstelactie en sociaal-medische beoordelingen. Over de invulling van de taakstellingen is de minister van SZW in gesprek met UWV, daarbij kan UWV ervoor kiezen om bepaalde organisatieonderdelen of processen te ontzien. </w:t>
      </w:r>
    </w:p>
    <w:p w:rsidR="00972542" w:rsidP="00D87753" w:rsidRDefault="00972542" w14:paraId="55EF98FB" w14:textId="77777777">
      <w:pPr>
        <w:spacing w:after="0" w:line="240" w:lineRule="auto"/>
        <w:contextualSpacing/>
        <w:rPr>
          <w:rFonts w:ascii="Verdana" w:hAnsi="Verdana"/>
          <w:bCs/>
          <w:sz w:val="18"/>
          <w:szCs w:val="18"/>
        </w:rPr>
      </w:pPr>
    </w:p>
    <w:p w:rsidRPr="00C5308E" w:rsidR="00972542" w:rsidP="00D87753" w:rsidRDefault="00972542" w14:paraId="42A799B5" w14:textId="77777777">
      <w:pPr>
        <w:spacing w:after="0" w:line="240" w:lineRule="auto"/>
        <w:contextualSpacing/>
        <w:rPr>
          <w:rFonts w:ascii="Verdana" w:hAnsi="Verdana"/>
          <w:bCs/>
          <w:sz w:val="18"/>
          <w:szCs w:val="18"/>
        </w:rPr>
      </w:pPr>
    </w:p>
    <w:p w:rsidRPr="00C5308E" w:rsidR="00E97B61" w:rsidP="00D87753" w:rsidRDefault="00E97B61" w14:paraId="41EE4CD7" w14:textId="77777777">
      <w:pPr>
        <w:spacing w:after="0" w:line="240" w:lineRule="auto"/>
        <w:contextualSpacing/>
        <w:rPr>
          <w:rFonts w:ascii="Verdana" w:hAnsi="Verdana"/>
          <w:bCs/>
          <w:sz w:val="18"/>
          <w:szCs w:val="18"/>
        </w:rPr>
      </w:pPr>
    </w:p>
    <w:p w:rsidRPr="00C5308E" w:rsidR="00E97B61" w:rsidP="00D87753" w:rsidRDefault="00E97B61" w14:paraId="24C6F56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 xml:space="preserve">Vraag 131 </w:t>
      </w:r>
    </w:p>
    <w:p w:rsidRPr="00C5308E" w:rsidR="00E97B61" w:rsidP="00D87753" w:rsidRDefault="00E97B61" w14:paraId="7FC1C07E" w14:textId="77777777">
      <w:pPr>
        <w:spacing w:after="0" w:line="240" w:lineRule="auto"/>
        <w:contextualSpacing/>
        <w:rPr>
          <w:rFonts w:ascii="Verdana" w:hAnsi="Verdana"/>
          <w:bCs/>
          <w:sz w:val="18"/>
          <w:szCs w:val="18"/>
        </w:rPr>
      </w:pPr>
      <w:r w:rsidRPr="00C5308E">
        <w:rPr>
          <w:rFonts w:ascii="Verdana" w:hAnsi="Verdana"/>
          <w:bCs/>
          <w:sz w:val="18"/>
          <w:szCs w:val="18"/>
        </w:rPr>
        <w:t xml:space="preserve">Wat is de netto bezuiniging/investering in de SVB na de verschillende ombuigingen en intensiveringen? </w:t>
      </w:r>
    </w:p>
    <w:p w:rsidRPr="00C5308E" w:rsidR="00E97B61" w:rsidP="00D87753" w:rsidRDefault="00E97B61" w14:paraId="47B14C29" w14:textId="77777777">
      <w:pPr>
        <w:spacing w:after="0" w:line="240" w:lineRule="auto"/>
        <w:contextualSpacing/>
        <w:rPr>
          <w:rFonts w:ascii="Verdana" w:hAnsi="Verdana"/>
          <w:bCs/>
          <w:sz w:val="18"/>
          <w:szCs w:val="18"/>
        </w:rPr>
      </w:pPr>
    </w:p>
    <w:p w:rsidRPr="00C5308E" w:rsidR="00E97B61" w:rsidP="00D87753" w:rsidRDefault="00E97B61" w14:paraId="77C39ED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Antwoord 131 </w:t>
      </w:r>
    </w:p>
    <w:p w:rsidRPr="00C5308E" w:rsidR="00E97B61" w:rsidP="00D87753" w:rsidRDefault="00E97B61" w14:paraId="26B208DC" w14:textId="77777777">
      <w:pPr>
        <w:spacing w:after="0" w:line="240" w:lineRule="auto"/>
        <w:contextualSpacing/>
        <w:rPr>
          <w:rFonts w:ascii="Verdana" w:hAnsi="Verdana"/>
          <w:bCs/>
          <w:sz w:val="18"/>
          <w:szCs w:val="18"/>
        </w:rPr>
      </w:pPr>
      <w:r w:rsidRPr="00C5308E">
        <w:rPr>
          <w:rFonts w:ascii="Verdana" w:hAnsi="Verdana"/>
          <w:bCs/>
          <w:sz w:val="18"/>
          <w:szCs w:val="18"/>
        </w:rPr>
        <w:t>Netto is de bezuiniging op de uitvoeringskosten van de SVB € 1,7 miljoen in 2025.</w:t>
      </w:r>
    </w:p>
    <w:p w:rsidRPr="00C5308E" w:rsidR="00E97B61" w:rsidP="00D87753" w:rsidRDefault="00E97B61" w14:paraId="78B076B5" w14:textId="77777777">
      <w:pPr>
        <w:spacing w:after="0" w:line="240" w:lineRule="auto"/>
        <w:contextualSpacing/>
        <w:rPr>
          <w:rFonts w:ascii="Verdana" w:hAnsi="Verdana"/>
          <w:bCs/>
          <w:sz w:val="18"/>
          <w:szCs w:val="18"/>
        </w:rPr>
      </w:pPr>
    </w:p>
    <w:p w:rsidRPr="00C5308E" w:rsidR="00E97B61" w:rsidP="00D87753" w:rsidRDefault="00E97B61" w14:paraId="556CF95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132</w:t>
      </w:r>
    </w:p>
    <w:p w:rsidRPr="00C5308E" w:rsidR="00E97B61" w:rsidP="00D87753" w:rsidRDefault="00E97B61" w14:paraId="50A711BE" w14:textId="77777777">
      <w:pPr>
        <w:spacing w:after="0" w:line="240" w:lineRule="auto"/>
        <w:contextualSpacing/>
        <w:rPr>
          <w:rFonts w:ascii="Verdana" w:hAnsi="Verdana"/>
          <w:bCs/>
          <w:sz w:val="18"/>
          <w:szCs w:val="18"/>
        </w:rPr>
      </w:pPr>
      <w:r w:rsidRPr="00C5308E">
        <w:rPr>
          <w:rFonts w:ascii="Verdana" w:hAnsi="Verdana"/>
          <w:bCs/>
          <w:sz w:val="18"/>
          <w:szCs w:val="18"/>
        </w:rPr>
        <w:t>Wat is de netto bezuiniging/investering in het UWV na de verschillende ombuigingen en intensiveringen?</w:t>
      </w:r>
    </w:p>
    <w:p w:rsidRPr="00C5308E" w:rsidR="00E97B61" w:rsidP="00D87753" w:rsidRDefault="00E97B61" w14:paraId="34607F44" w14:textId="77777777">
      <w:pPr>
        <w:spacing w:after="0" w:line="240" w:lineRule="auto"/>
        <w:contextualSpacing/>
        <w:rPr>
          <w:rFonts w:ascii="Verdana" w:hAnsi="Verdana"/>
          <w:bCs/>
          <w:sz w:val="18"/>
          <w:szCs w:val="18"/>
          <w:u w:val="single"/>
        </w:rPr>
      </w:pPr>
    </w:p>
    <w:p w:rsidRPr="00C5308E" w:rsidR="00E97B61" w:rsidP="00D87753" w:rsidRDefault="00E97B61" w14:paraId="74FF13F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132</w:t>
      </w:r>
    </w:p>
    <w:p w:rsidRPr="00C5308E" w:rsidR="00E97B61" w:rsidP="00D87753" w:rsidRDefault="00E97B61" w14:paraId="78AECB44" w14:textId="1EF367E8">
      <w:pPr>
        <w:spacing w:after="0" w:line="240" w:lineRule="auto"/>
        <w:contextualSpacing/>
        <w:rPr>
          <w:rFonts w:ascii="Verdana" w:hAnsi="Verdana"/>
          <w:bCs/>
          <w:sz w:val="18"/>
          <w:szCs w:val="18"/>
        </w:rPr>
      </w:pPr>
      <w:r w:rsidRPr="00C5308E">
        <w:rPr>
          <w:rFonts w:ascii="Verdana" w:hAnsi="Verdana"/>
          <w:bCs/>
          <w:sz w:val="18"/>
          <w:szCs w:val="18"/>
        </w:rPr>
        <w:t xml:space="preserve">Netto is de investering in de uitvoeringskosten van het UWV € 35 miljoen in 2025. </w:t>
      </w:r>
    </w:p>
    <w:p w:rsidRPr="00C5308E" w:rsidR="00E97B61" w:rsidP="00D87753" w:rsidRDefault="00E97B61" w14:paraId="31B3AFD3" w14:textId="77777777">
      <w:pPr>
        <w:spacing w:after="0" w:line="240" w:lineRule="auto"/>
        <w:contextualSpacing/>
        <w:rPr>
          <w:rFonts w:ascii="Verdana" w:hAnsi="Verdana"/>
          <w:bCs/>
          <w:sz w:val="18"/>
          <w:szCs w:val="18"/>
        </w:rPr>
      </w:pPr>
    </w:p>
    <w:p w:rsidRPr="00C5308E" w:rsidR="00E97B61" w:rsidP="00D87753" w:rsidRDefault="00E97B61" w14:paraId="36B75A3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133</w:t>
      </w:r>
    </w:p>
    <w:p w:rsidRPr="00C5308E" w:rsidR="00E97B61" w:rsidP="00D87753" w:rsidRDefault="00E97B61" w14:paraId="330D9447" w14:textId="77777777">
      <w:pPr>
        <w:spacing w:after="0" w:line="240" w:lineRule="auto"/>
        <w:contextualSpacing/>
        <w:rPr>
          <w:rFonts w:ascii="Verdana" w:hAnsi="Verdana"/>
          <w:bCs/>
          <w:sz w:val="18"/>
          <w:szCs w:val="18"/>
        </w:rPr>
      </w:pPr>
      <w:r w:rsidRPr="00C5308E">
        <w:rPr>
          <w:rFonts w:ascii="Verdana" w:hAnsi="Verdana"/>
          <w:bCs/>
          <w:sz w:val="18"/>
          <w:szCs w:val="18"/>
        </w:rPr>
        <w:t>Kan de verhoging van het minimumjeugdloon per leeftijd worden weergegeven qua percentage van het minimumloon? Kan worden weergeven wat het huidige minimumjeugdloon per 1 juli 2025 zou bedragen indien deze verhoging op dat moment in werking was getreden?</w:t>
      </w:r>
    </w:p>
    <w:p w:rsidRPr="00C5308E" w:rsidR="00E97B61" w:rsidP="00D87753" w:rsidRDefault="00E97B61" w14:paraId="2AFE3186" w14:textId="77777777">
      <w:pPr>
        <w:spacing w:after="0" w:line="240" w:lineRule="auto"/>
        <w:contextualSpacing/>
        <w:rPr>
          <w:rFonts w:ascii="Verdana" w:hAnsi="Verdana"/>
          <w:bCs/>
          <w:sz w:val="18"/>
          <w:szCs w:val="18"/>
        </w:rPr>
      </w:pPr>
    </w:p>
    <w:p w:rsidRPr="00C5308E" w:rsidR="00E97B61" w:rsidP="00D87753" w:rsidRDefault="00E97B61" w14:paraId="74BEB15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133</w:t>
      </w:r>
    </w:p>
    <w:p w:rsidRPr="00C5308E" w:rsidR="00E97B61" w:rsidP="00D87753" w:rsidRDefault="00E97B61" w14:paraId="52A5C093" w14:textId="77777777">
      <w:pPr>
        <w:spacing w:after="0" w:line="240" w:lineRule="auto"/>
        <w:contextualSpacing/>
        <w:rPr>
          <w:rFonts w:ascii="Verdana" w:hAnsi="Verdana"/>
          <w:bCs/>
          <w:sz w:val="18"/>
          <w:szCs w:val="18"/>
        </w:rPr>
      </w:pPr>
      <w:r w:rsidRPr="00C5308E">
        <w:rPr>
          <w:rFonts w:ascii="Verdana" w:hAnsi="Verdana"/>
          <w:bCs/>
          <w:sz w:val="18"/>
          <w:szCs w:val="18"/>
        </w:rPr>
        <w:t xml:space="preserve">Onderstaande tabel tonen het minimumjeugdloon als percentage van het volwassenminimumloon, zowel in de situatie vóór de aangekondigde verhoging in de Voorjaarsnota 2025 als de situatie ná de verhoging per 1 januari 2027. </w:t>
      </w:r>
    </w:p>
    <w:p w:rsidRPr="00C5308E" w:rsidR="00E97B61" w:rsidP="00D87753" w:rsidRDefault="00E97B61" w14:paraId="3BD9B852" w14:textId="77777777">
      <w:pPr>
        <w:spacing w:after="0" w:line="240" w:lineRule="auto"/>
        <w:contextualSpacing/>
        <w:rPr>
          <w:rFonts w:ascii="Verdana" w:hAnsi="Verdana"/>
          <w:bCs/>
          <w:sz w:val="18"/>
          <w:szCs w:val="18"/>
        </w:rPr>
      </w:pPr>
    </w:p>
    <w:tbl>
      <w:tblPr>
        <w:tblW w:w="7527" w:type="dxa"/>
        <w:tblCellMar>
          <w:left w:w="70" w:type="dxa"/>
          <w:right w:w="70" w:type="dxa"/>
        </w:tblCellMar>
        <w:tblLook w:val="04A0" w:firstRow="1" w:lastRow="0" w:firstColumn="1" w:lastColumn="0" w:noHBand="0" w:noVBand="1"/>
      </w:tblPr>
      <w:tblGrid>
        <w:gridCol w:w="4082"/>
        <w:gridCol w:w="1823"/>
        <w:gridCol w:w="1622"/>
      </w:tblGrid>
      <w:tr w:rsidRPr="00C5308E" w:rsidR="00E97B61" w:rsidTr="003C75FE" w14:paraId="1D2401F8"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2A80F15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Staffel als % volwassenminimumloon</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2FB852E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Vóór verhoging</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4D505043"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Na verhoging</w:t>
            </w:r>
          </w:p>
        </w:tc>
      </w:tr>
      <w:tr w:rsidRPr="00C5308E" w:rsidR="00E97B61" w:rsidTr="003C75FE" w14:paraId="1247F627"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096C429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194356E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100%</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476895CF"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100%</w:t>
            </w:r>
          </w:p>
        </w:tc>
      </w:tr>
      <w:tr w:rsidRPr="00C5308E" w:rsidR="00E97B61" w:rsidTr="003C75FE" w14:paraId="10743007"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6DBAE26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358B5D2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80%</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3E81B11B"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87,5%</w:t>
            </w:r>
          </w:p>
        </w:tc>
      </w:tr>
      <w:tr w:rsidRPr="00C5308E" w:rsidR="00E97B61" w:rsidTr="003C75FE" w14:paraId="1F550062"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5463408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7EAE650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0366F1C0"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75%</w:t>
            </w:r>
          </w:p>
        </w:tc>
      </w:tr>
      <w:tr w:rsidRPr="00C5308E" w:rsidR="00E97B61" w:rsidTr="003C75FE" w14:paraId="397E1B45"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1AFC7AD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6300FEF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50%</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38413AEB"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62,5%</w:t>
            </w:r>
          </w:p>
        </w:tc>
      </w:tr>
      <w:tr w:rsidRPr="00C5308E" w:rsidR="00E97B61" w:rsidTr="003C75FE" w14:paraId="23A09AAC"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35E8EE0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43FF37D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39,5%</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310EE62A"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50%</w:t>
            </w:r>
          </w:p>
        </w:tc>
      </w:tr>
      <w:tr w:rsidRPr="00C5308E" w:rsidR="00E97B61" w:rsidTr="003C75FE" w14:paraId="356352D1"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635A81E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2236C82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34,5%</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2AA920FD"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40%</w:t>
            </w:r>
          </w:p>
        </w:tc>
      </w:tr>
      <w:tr w:rsidRPr="00C5308E" w:rsidR="00E97B61" w:rsidTr="003C75FE" w14:paraId="319CDD35" w14:textId="77777777">
        <w:trPr>
          <w:trHeight w:val="225"/>
        </w:trPr>
        <w:tc>
          <w:tcPr>
            <w:tcW w:w="4082" w:type="dxa"/>
            <w:tcBorders>
              <w:top w:val="nil"/>
              <w:left w:val="nil"/>
              <w:bottom w:val="single" w:color="auto" w:sz="4" w:space="0"/>
              <w:right w:val="nil"/>
            </w:tcBorders>
            <w:shd w:val="clear" w:color="auto" w:fill="auto"/>
            <w:noWrap/>
            <w:vAlign w:val="bottom"/>
            <w:hideMark/>
          </w:tcPr>
          <w:p w:rsidRPr="00C5308E" w:rsidR="00E97B61" w:rsidP="00D87753" w:rsidRDefault="00E97B61" w14:paraId="3E6CEBA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 jaar</w:t>
            </w:r>
          </w:p>
        </w:tc>
        <w:tc>
          <w:tcPr>
            <w:tcW w:w="1823" w:type="dxa"/>
            <w:tcBorders>
              <w:top w:val="nil"/>
              <w:left w:val="single" w:color="auto" w:sz="4" w:space="0"/>
              <w:bottom w:val="single" w:color="auto" w:sz="4" w:space="0"/>
              <w:right w:val="nil"/>
            </w:tcBorders>
            <w:shd w:val="clear" w:color="auto" w:fill="auto"/>
            <w:noWrap/>
            <w:vAlign w:val="bottom"/>
            <w:hideMark/>
          </w:tcPr>
          <w:p w:rsidRPr="00C5308E" w:rsidR="00E97B61" w:rsidP="00D87753" w:rsidRDefault="00E97B61" w14:paraId="7399235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30%</w:t>
            </w:r>
          </w:p>
        </w:tc>
        <w:tc>
          <w:tcPr>
            <w:tcW w:w="1622" w:type="dxa"/>
            <w:tcBorders>
              <w:top w:val="nil"/>
              <w:left w:val="nil"/>
              <w:bottom w:val="single" w:color="auto" w:sz="4" w:space="0"/>
              <w:right w:val="nil"/>
            </w:tcBorders>
            <w:shd w:val="clear" w:color="auto" w:fill="auto"/>
            <w:noWrap/>
            <w:vAlign w:val="bottom"/>
            <w:hideMark/>
          </w:tcPr>
          <w:p w:rsidRPr="00C5308E" w:rsidR="00E97B61" w:rsidP="00D87753" w:rsidRDefault="00E97B61" w14:paraId="54ED6086" w14:textId="77777777">
            <w:pPr>
              <w:spacing w:after="0" w:line="240" w:lineRule="auto"/>
              <w:contextualSpacing/>
              <w:jc w:val="right"/>
              <w:rPr>
                <w:rFonts w:ascii="Verdana" w:hAnsi="Verdana" w:eastAsia="Times New Roman" w:cs="Calibri"/>
                <w:bCs/>
                <w:sz w:val="18"/>
                <w:szCs w:val="18"/>
                <w:lang w:eastAsia="nl-NL"/>
              </w:rPr>
            </w:pPr>
            <w:r w:rsidRPr="00C5308E">
              <w:rPr>
                <w:rFonts w:ascii="Verdana" w:hAnsi="Verdana" w:eastAsia="Times New Roman" w:cs="Calibri"/>
                <w:bCs/>
                <w:sz w:val="18"/>
                <w:szCs w:val="18"/>
                <w:lang w:eastAsia="nl-NL"/>
              </w:rPr>
              <w:t>30%</w:t>
            </w:r>
          </w:p>
        </w:tc>
      </w:tr>
    </w:tbl>
    <w:p w:rsidRPr="00C5308E" w:rsidR="00E97B61" w:rsidP="00D87753" w:rsidRDefault="00E97B61" w14:paraId="69DEFCA3" w14:textId="77777777">
      <w:pPr>
        <w:spacing w:after="0" w:line="240" w:lineRule="auto"/>
        <w:contextualSpacing/>
        <w:rPr>
          <w:rFonts w:ascii="Verdana" w:hAnsi="Verdana"/>
          <w:bCs/>
          <w:sz w:val="18"/>
          <w:szCs w:val="18"/>
        </w:rPr>
      </w:pPr>
    </w:p>
    <w:p w:rsidRPr="00C5308E" w:rsidR="00E97B61" w:rsidP="00D87753" w:rsidRDefault="00E97B61" w14:paraId="2A8EF6DF" w14:textId="77777777">
      <w:pPr>
        <w:spacing w:after="0" w:line="240" w:lineRule="auto"/>
        <w:contextualSpacing/>
        <w:rPr>
          <w:rFonts w:ascii="Verdana" w:hAnsi="Verdana"/>
          <w:bCs/>
          <w:sz w:val="18"/>
          <w:szCs w:val="18"/>
        </w:rPr>
      </w:pPr>
    </w:p>
    <w:p w:rsidRPr="00C5308E" w:rsidR="00E97B61" w:rsidP="00D87753" w:rsidRDefault="00E97B61" w14:paraId="49A193F1" w14:textId="77777777">
      <w:pPr>
        <w:spacing w:after="0" w:line="240" w:lineRule="auto"/>
        <w:contextualSpacing/>
        <w:rPr>
          <w:rFonts w:ascii="Verdana" w:hAnsi="Verdana"/>
          <w:bCs/>
          <w:sz w:val="18"/>
          <w:szCs w:val="18"/>
        </w:rPr>
      </w:pPr>
      <w:r w:rsidRPr="00C5308E">
        <w:rPr>
          <w:rFonts w:ascii="Verdana" w:hAnsi="Verdana"/>
          <w:bCs/>
          <w:sz w:val="18"/>
          <w:szCs w:val="18"/>
        </w:rPr>
        <w:t>De volgende tabel toont de bedragen van het minimumjeugdloon per 1 juli 2025 zowel in de situatie zonder verhoging van het minimumjeugdloon als in de hypothetische situatie dat de verhoging van het minimumjeugdloon per 1 juli 2025 in zou gaan.</w:t>
      </w:r>
    </w:p>
    <w:p w:rsidRPr="00C5308E" w:rsidR="00E97B61" w:rsidP="00D87753" w:rsidRDefault="00E97B61" w14:paraId="56B5509A" w14:textId="77777777">
      <w:pPr>
        <w:spacing w:after="0" w:line="240" w:lineRule="auto"/>
        <w:contextualSpacing/>
        <w:rPr>
          <w:rFonts w:ascii="Verdana" w:hAnsi="Verdana"/>
          <w:bCs/>
          <w:sz w:val="18"/>
          <w:szCs w:val="18"/>
        </w:rPr>
      </w:pPr>
    </w:p>
    <w:tbl>
      <w:tblPr>
        <w:tblW w:w="7132" w:type="dxa"/>
        <w:tblCellMar>
          <w:left w:w="70" w:type="dxa"/>
          <w:right w:w="70" w:type="dxa"/>
        </w:tblCellMar>
        <w:tblLook w:val="04A0" w:firstRow="1" w:lastRow="0" w:firstColumn="1" w:lastColumn="0" w:noHBand="0" w:noVBand="1"/>
      </w:tblPr>
      <w:tblGrid>
        <w:gridCol w:w="3012"/>
        <w:gridCol w:w="2060"/>
        <w:gridCol w:w="2060"/>
      </w:tblGrid>
      <w:tr w:rsidRPr="00C5308E" w:rsidR="00E97B61" w:rsidTr="003C75FE" w14:paraId="7E45CE71" w14:textId="77777777">
        <w:trPr>
          <w:trHeight w:val="255"/>
        </w:trPr>
        <w:tc>
          <w:tcPr>
            <w:tcW w:w="3012" w:type="dxa"/>
            <w:tcBorders>
              <w:top w:val="nil"/>
              <w:left w:val="nil"/>
              <w:bottom w:val="single" w:color="auto" w:sz="4" w:space="0"/>
              <w:right w:val="single" w:color="auto" w:sz="4" w:space="0"/>
            </w:tcBorders>
            <w:shd w:val="clear" w:color="auto" w:fill="auto"/>
            <w:noWrap/>
            <w:vAlign w:val="center"/>
            <w:hideMark/>
          </w:tcPr>
          <w:p w:rsidRPr="00C5308E" w:rsidR="00E97B61" w:rsidP="00D87753" w:rsidRDefault="00E97B61" w14:paraId="04E20BCD"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Minimumjeugdloon per uur</w:t>
            </w:r>
          </w:p>
        </w:tc>
        <w:tc>
          <w:tcPr>
            <w:tcW w:w="2060" w:type="dxa"/>
            <w:tcBorders>
              <w:top w:val="nil"/>
              <w:left w:val="single" w:color="auto" w:sz="4" w:space="0"/>
              <w:bottom w:val="single" w:color="auto" w:sz="4" w:space="0"/>
              <w:right w:val="nil"/>
            </w:tcBorders>
            <w:shd w:val="clear" w:color="auto" w:fill="auto"/>
            <w:noWrap/>
            <w:vAlign w:val="center"/>
            <w:hideMark/>
          </w:tcPr>
          <w:p w:rsidRPr="00C5308E" w:rsidR="00E97B61" w:rsidP="00D87753" w:rsidRDefault="00E97B61" w14:paraId="6EEB6181"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Zonder verhoging</w:t>
            </w:r>
          </w:p>
        </w:tc>
        <w:tc>
          <w:tcPr>
            <w:tcW w:w="2060" w:type="dxa"/>
            <w:tcBorders>
              <w:top w:val="nil"/>
              <w:left w:val="nil"/>
              <w:bottom w:val="single" w:color="auto" w:sz="4" w:space="0"/>
              <w:right w:val="nil"/>
            </w:tcBorders>
          </w:tcPr>
          <w:p w:rsidRPr="00C5308E" w:rsidR="00E97B61" w:rsidP="00D87753" w:rsidRDefault="00E97B61" w14:paraId="57088E3E"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Met verhoging</w:t>
            </w:r>
          </w:p>
        </w:tc>
      </w:tr>
      <w:tr w:rsidRPr="00C5308E" w:rsidR="00E97B61" w:rsidTr="003C75FE" w14:paraId="444B2A4C" w14:textId="77777777">
        <w:trPr>
          <w:trHeight w:val="255"/>
        </w:trPr>
        <w:tc>
          <w:tcPr>
            <w:tcW w:w="3012" w:type="dxa"/>
            <w:tcBorders>
              <w:top w:val="single" w:color="auto" w:sz="4" w:space="0"/>
              <w:left w:val="nil"/>
              <w:bottom w:val="nil"/>
              <w:right w:val="single" w:color="auto" w:sz="4" w:space="0"/>
            </w:tcBorders>
            <w:shd w:val="clear" w:color="auto" w:fill="auto"/>
            <w:noWrap/>
            <w:vAlign w:val="center"/>
            <w:hideMark/>
          </w:tcPr>
          <w:p w:rsidRPr="00C5308E" w:rsidR="00E97B61" w:rsidP="00D87753" w:rsidRDefault="00E97B61" w14:paraId="570DB0CC"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21 jaar</w:t>
            </w:r>
          </w:p>
        </w:tc>
        <w:tc>
          <w:tcPr>
            <w:tcW w:w="2060" w:type="dxa"/>
            <w:tcBorders>
              <w:top w:val="single" w:color="auto" w:sz="4" w:space="0"/>
              <w:left w:val="single" w:color="auto" w:sz="4" w:space="0"/>
              <w:bottom w:val="nil"/>
              <w:right w:val="nil"/>
            </w:tcBorders>
            <w:shd w:val="clear" w:color="auto" w:fill="auto"/>
            <w:noWrap/>
            <w:vAlign w:val="center"/>
            <w:hideMark/>
          </w:tcPr>
          <w:p w:rsidRPr="00C5308E" w:rsidR="00E97B61" w:rsidP="00D87753" w:rsidRDefault="00E97B61" w14:paraId="434463BE"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€ 14,40 </w:t>
            </w:r>
          </w:p>
        </w:tc>
        <w:tc>
          <w:tcPr>
            <w:tcW w:w="2060" w:type="dxa"/>
            <w:tcBorders>
              <w:top w:val="single" w:color="auto" w:sz="4" w:space="0"/>
              <w:left w:val="nil"/>
              <w:bottom w:val="nil"/>
              <w:right w:val="nil"/>
            </w:tcBorders>
          </w:tcPr>
          <w:p w:rsidRPr="00C5308E" w:rsidR="00E97B61" w:rsidP="00D87753" w:rsidRDefault="00E97B61" w14:paraId="31B33D80"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€ 14,40</w:t>
            </w:r>
          </w:p>
        </w:tc>
      </w:tr>
      <w:tr w:rsidRPr="00C5308E" w:rsidR="00E97B61" w:rsidTr="003C75FE" w14:paraId="31E28331"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12A27470"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20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7D59A375"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€ 11,52 </w:t>
            </w:r>
          </w:p>
        </w:tc>
        <w:tc>
          <w:tcPr>
            <w:tcW w:w="2060" w:type="dxa"/>
            <w:tcBorders>
              <w:top w:val="nil"/>
              <w:left w:val="nil"/>
              <w:bottom w:val="nil"/>
              <w:right w:val="nil"/>
            </w:tcBorders>
          </w:tcPr>
          <w:p w:rsidRPr="00C5308E" w:rsidR="00E97B61" w:rsidP="00D87753" w:rsidRDefault="00E97B61" w14:paraId="72E0B73D"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€ 12,60</w:t>
            </w:r>
          </w:p>
        </w:tc>
      </w:tr>
      <w:tr w:rsidRPr="00C5308E" w:rsidR="00E97B61" w:rsidTr="003C75FE" w14:paraId="21A6D216"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59CFB528"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19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1065AEE1"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€ 8,64 </w:t>
            </w:r>
          </w:p>
        </w:tc>
        <w:tc>
          <w:tcPr>
            <w:tcW w:w="2060" w:type="dxa"/>
            <w:tcBorders>
              <w:top w:val="nil"/>
              <w:left w:val="nil"/>
              <w:bottom w:val="nil"/>
              <w:right w:val="nil"/>
            </w:tcBorders>
          </w:tcPr>
          <w:p w:rsidRPr="00C5308E" w:rsidR="00E97B61" w:rsidP="00D87753" w:rsidRDefault="00E97B61" w14:paraId="27F29E12"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€ 10,80</w:t>
            </w:r>
          </w:p>
        </w:tc>
      </w:tr>
      <w:tr w:rsidRPr="00C5308E" w:rsidR="00E97B61" w:rsidTr="003C75FE" w14:paraId="30FA9EDA"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17D65CA7"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18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15AD3129"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€ 7,20 </w:t>
            </w:r>
          </w:p>
        </w:tc>
        <w:tc>
          <w:tcPr>
            <w:tcW w:w="2060" w:type="dxa"/>
            <w:tcBorders>
              <w:top w:val="nil"/>
              <w:left w:val="nil"/>
              <w:bottom w:val="nil"/>
              <w:right w:val="nil"/>
            </w:tcBorders>
          </w:tcPr>
          <w:p w:rsidRPr="00C5308E" w:rsidR="00E97B61" w:rsidP="00D87753" w:rsidRDefault="00E97B61" w14:paraId="3043B81B"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€ 9,00</w:t>
            </w:r>
          </w:p>
        </w:tc>
      </w:tr>
      <w:tr w:rsidRPr="00C5308E" w:rsidR="00E97B61" w:rsidTr="003C75FE" w14:paraId="72DD2890"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19ACF022"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17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1A850126"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€ 5,69 </w:t>
            </w:r>
          </w:p>
        </w:tc>
        <w:tc>
          <w:tcPr>
            <w:tcW w:w="2060" w:type="dxa"/>
            <w:tcBorders>
              <w:top w:val="nil"/>
              <w:left w:val="nil"/>
              <w:bottom w:val="nil"/>
              <w:right w:val="nil"/>
            </w:tcBorders>
          </w:tcPr>
          <w:p w:rsidRPr="00C5308E" w:rsidR="00E97B61" w:rsidP="00D87753" w:rsidRDefault="00E97B61" w14:paraId="7B89DC81"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€ 7,20</w:t>
            </w:r>
          </w:p>
        </w:tc>
      </w:tr>
      <w:tr w:rsidRPr="00C5308E" w:rsidR="00E97B61" w:rsidTr="003C75FE" w14:paraId="259794CF"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296A0524"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16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6353EE0C"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€ 4,97 </w:t>
            </w:r>
          </w:p>
        </w:tc>
        <w:tc>
          <w:tcPr>
            <w:tcW w:w="2060" w:type="dxa"/>
            <w:tcBorders>
              <w:top w:val="nil"/>
              <w:left w:val="nil"/>
              <w:bottom w:val="nil"/>
              <w:right w:val="nil"/>
            </w:tcBorders>
          </w:tcPr>
          <w:p w:rsidRPr="00C5308E" w:rsidR="00E97B61" w:rsidP="00D87753" w:rsidRDefault="00E97B61" w14:paraId="25E03680"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€ 5,76</w:t>
            </w:r>
          </w:p>
        </w:tc>
      </w:tr>
      <w:tr w:rsidRPr="00C5308E" w:rsidR="00E97B61" w:rsidTr="003C75FE" w14:paraId="646B4061" w14:textId="77777777">
        <w:trPr>
          <w:trHeight w:val="255"/>
        </w:trPr>
        <w:tc>
          <w:tcPr>
            <w:tcW w:w="3012" w:type="dxa"/>
            <w:tcBorders>
              <w:top w:val="nil"/>
              <w:left w:val="nil"/>
              <w:bottom w:val="nil"/>
              <w:right w:val="single" w:color="auto" w:sz="4" w:space="0"/>
            </w:tcBorders>
            <w:shd w:val="clear" w:color="auto" w:fill="auto"/>
            <w:noWrap/>
            <w:vAlign w:val="center"/>
            <w:hideMark/>
          </w:tcPr>
          <w:p w:rsidRPr="00C5308E" w:rsidR="00E97B61" w:rsidP="00D87753" w:rsidRDefault="00E97B61" w14:paraId="4334878A" w14:textId="77777777">
            <w:pPr>
              <w:spacing w:after="0" w:line="240" w:lineRule="auto"/>
              <w:contextualSpacing/>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15 jaar</w:t>
            </w:r>
          </w:p>
        </w:tc>
        <w:tc>
          <w:tcPr>
            <w:tcW w:w="2060" w:type="dxa"/>
            <w:tcBorders>
              <w:top w:val="nil"/>
              <w:left w:val="single" w:color="auto" w:sz="4" w:space="0"/>
              <w:bottom w:val="nil"/>
              <w:right w:val="nil"/>
            </w:tcBorders>
            <w:shd w:val="clear" w:color="auto" w:fill="auto"/>
            <w:noWrap/>
            <w:vAlign w:val="center"/>
            <w:hideMark/>
          </w:tcPr>
          <w:p w:rsidRPr="00C5308E" w:rsidR="00E97B61" w:rsidP="00D87753" w:rsidRDefault="00E97B61" w14:paraId="514097C4"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xml:space="preserve"> € 4,32 </w:t>
            </w:r>
          </w:p>
        </w:tc>
        <w:tc>
          <w:tcPr>
            <w:tcW w:w="2060" w:type="dxa"/>
            <w:tcBorders>
              <w:top w:val="nil"/>
              <w:left w:val="nil"/>
              <w:bottom w:val="nil"/>
              <w:right w:val="nil"/>
            </w:tcBorders>
          </w:tcPr>
          <w:p w:rsidRPr="00C5308E" w:rsidR="00E97B61" w:rsidP="00D87753" w:rsidRDefault="00E97B61" w14:paraId="360B23DA" w14:textId="77777777">
            <w:pPr>
              <w:spacing w:after="0" w:line="240" w:lineRule="auto"/>
              <w:contextualSpacing/>
              <w:jc w:val="right"/>
              <w:rPr>
                <w:rFonts w:ascii="Verdana" w:hAnsi="Verdana" w:eastAsia="Times New Roman" w:cs="Arial"/>
                <w:bCs/>
                <w:sz w:val="18"/>
                <w:szCs w:val="18"/>
                <w:lang w:eastAsia="nl-NL"/>
              </w:rPr>
            </w:pPr>
            <w:r w:rsidRPr="00C5308E">
              <w:rPr>
                <w:rFonts w:ascii="Verdana" w:hAnsi="Verdana" w:eastAsia="Times New Roman" w:cs="Arial"/>
                <w:bCs/>
                <w:sz w:val="18"/>
                <w:szCs w:val="18"/>
                <w:lang w:eastAsia="nl-NL"/>
              </w:rPr>
              <w:t>€ 4,32</w:t>
            </w:r>
          </w:p>
        </w:tc>
      </w:tr>
    </w:tbl>
    <w:p w:rsidRPr="00C5308E" w:rsidR="00E97B61" w:rsidP="00D87753" w:rsidRDefault="00E97B61" w14:paraId="3CE84BF9" w14:textId="77777777">
      <w:pPr>
        <w:spacing w:after="0" w:line="240" w:lineRule="auto"/>
        <w:contextualSpacing/>
        <w:rPr>
          <w:rFonts w:ascii="Verdana" w:hAnsi="Verdana"/>
          <w:bCs/>
          <w:sz w:val="18"/>
          <w:szCs w:val="18"/>
        </w:rPr>
      </w:pPr>
    </w:p>
    <w:p w:rsidRPr="00C5308E" w:rsidR="009E40FF" w:rsidP="00D87753" w:rsidRDefault="009E40FF" w14:paraId="20FF780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134</w:t>
      </w:r>
    </w:p>
    <w:p w:rsidRPr="00C5308E" w:rsidR="009E40FF" w:rsidP="00D87753" w:rsidRDefault="009E40FF" w14:paraId="03ACF599" w14:textId="77777777">
      <w:pPr>
        <w:spacing w:after="0" w:line="240" w:lineRule="auto"/>
        <w:contextualSpacing/>
        <w:rPr>
          <w:rFonts w:ascii="Verdana" w:hAnsi="Verdana"/>
          <w:bCs/>
          <w:sz w:val="18"/>
          <w:szCs w:val="18"/>
        </w:rPr>
      </w:pPr>
      <w:r w:rsidRPr="00C5308E">
        <w:rPr>
          <w:rFonts w:ascii="Verdana" w:hAnsi="Verdana"/>
          <w:bCs/>
          <w:sz w:val="18"/>
          <w:szCs w:val="18"/>
        </w:rPr>
        <w:t>Waarom was er een kasschuif noodzakelijk voor Groepen in de knel? Welke uitgaven werden voorzien en welke worden nu voorzien? Hoezo kwamen de reserveringen in eerdere jaren niet tot besteding?</w:t>
      </w:r>
    </w:p>
    <w:p w:rsidRPr="00C5308E" w:rsidR="009E40FF" w:rsidP="00D87753" w:rsidRDefault="009E40FF" w14:paraId="1D569985" w14:textId="77777777">
      <w:pPr>
        <w:spacing w:after="0" w:line="240" w:lineRule="auto"/>
        <w:contextualSpacing/>
        <w:rPr>
          <w:rFonts w:ascii="Verdana" w:hAnsi="Verdana"/>
          <w:bCs/>
          <w:sz w:val="18"/>
          <w:szCs w:val="18"/>
        </w:rPr>
      </w:pPr>
    </w:p>
    <w:p w:rsidRPr="00C5308E" w:rsidR="009E40FF" w:rsidP="00D87753" w:rsidRDefault="009E40FF" w14:paraId="1E4C39D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134</w:t>
      </w:r>
    </w:p>
    <w:p w:rsidRPr="00C5308E" w:rsidR="009E40FF" w:rsidP="00D87753" w:rsidRDefault="009E40FF" w14:paraId="6D54B61D" w14:textId="77777777">
      <w:pPr>
        <w:spacing w:after="0" w:line="240" w:lineRule="auto"/>
        <w:contextualSpacing/>
        <w:rPr>
          <w:rFonts w:ascii="Verdana" w:hAnsi="Verdana"/>
          <w:bCs/>
          <w:sz w:val="18"/>
          <w:szCs w:val="18"/>
        </w:rPr>
      </w:pPr>
      <w:r w:rsidRPr="00C5308E">
        <w:rPr>
          <w:rFonts w:ascii="Verdana" w:hAnsi="Verdana"/>
          <w:bCs/>
          <w:sz w:val="18"/>
          <w:szCs w:val="18"/>
        </w:rPr>
        <w:t>De besteding van de middelen uit de envelop Groepen in de knel die bij de Miljoenennota 2025 nog op de aanvullende post resteerden waren destijds nog niet concreet ingevuld. In de Miljoenennota 2025 is opgenomen dat voor deze middelen bij de voorjaarsbesluitvorming beleidsopties worden uitgewerkt. Het was niet mogelijk om beleidsopties uit te werken waarvan het kasritme exact aansloot op het kasritme van de middelen op de aanvullende post. Dat komt onder meer omdat een groot deel van de middelen in 2025 stonden en tegelijkertijd veel beleidsopties een wetswijziging vergen, waardoor het niet mogelijk is om die beleidsopties nog dit jaar in te voeren. Daarom heeft het kabinet besloten om het kasritme van de middelen uit de envelop Groepen in de knel aan te passen, zodat het kasritme aansluit bij de uitgewerkte beleidsopties.</w:t>
      </w:r>
    </w:p>
    <w:p w:rsidRPr="00C5308E" w:rsidR="009E40FF" w:rsidP="00D87753" w:rsidRDefault="009E40FF" w14:paraId="65DB66C7" w14:textId="77777777">
      <w:pPr>
        <w:spacing w:after="0" w:line="240" w:lineRule="auto"/>
        <w:contextualSpacing/>
        <w:rPr>
          <w:rFonts w:ascii="Verdana" w:hAnsi="Verdana"/>
          <w:bCs/>
          <w:sz w:val="18"/>
          <w:szCs w:val="18"/>
        </w:rPr>
      </w:pPr>
    </w:p>
    <w:p w:rsidRPr="00C5308E" w:rsidR="009E40FF" w:rsidP="00D87753" w:rsidRDefault="009E40FF" w14:paraId="2D02BE08"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de uitgaven die worden voorzien met de middelen uit de envelop Groepen inde knel.</w:t>
      </w:r>
    </w:p>
    <w:p w:rsidRPr="00C5308E" w:rsidR="009E40FF" w:rsidP="00D87753" w:rsidRDefault="009E40FF" w14:paraId="5D40F54C" w14:textId="77777777">
      <w:pPr>
        <w:spacing w:after="0" w:line="240" w:lineRule="auto"/>
        <w:contextualSpacing/>
        <w:rPr>
          <w:rFonts w:ascii="Verdana" w:hAnsi="Verdana"/>
          <w:bCs/>
          <w:sz w:val="18"/>
          <w:szCs w:val="18"/>
        </w:rPr>
      </w:pPr>
    </w:p>
    <w:tbl>
      <w:tblPr>
        <w:tblW w:w="10595" w:type="dxa"/>
        <w:tblInd w:w="-947" w:type="dxa"/>
        <w:tblCellMar>
          <w:left w:w="70" w:type="dxa"/>
          <w:right w:w="70" w:type="dxa"/>
        </w:tblCellMar>
        <w:tblLook w:val="04A0" w:firstRow="1" w:lastRow="0" w:firstColumn="1" w:lastColumn="0" w:noHBand="0" w:noVBand="1"/>
      </w:tblPr>
      <w:tblGrid>
        <w:gridCol w:w="491"/>
        <w:gridCol w:w="5502"/>
        <w:gridCol w:w="753"/>
        <w:gridCol w:w="753"/>
        <w:gridCol w:w="753"/>
        <w:gridCol w:w="753"/>
        <w:gridCol w:w="753"/>
        <w:gridCol w:w="837"/>
      </w:tblGrid>
      <w:tr w:rsidRPr="00C5308E" w:rsidR="009E40FF" w:rsidTr="00B504A7" w14:paraId="320DFD1A" w14:textId="77777777">
        <w:trPr>
          <w:trHeight w:val="228"/>
        </w:trPr>
        <w:tc>
          <w:tcPr>
            <w:tcW w:w="491" w:type="dxa"/>
            <w:tcBorders>
              <w:top w:val="nil"/>
              <w:left w:val="nil"/>
              <w:bottom w:val="single" w:color="auto" w:sz="4" w:space="0"/>
              <w:right w:val="nil"/>
            </w:tcBorders>
            <w:shd w:val="clear" w:color="auto" w:fill="auto"/>
            <w:noWrap/>
            <w:vAlign w:val="bottom"/>
            <w:hideMark/>
          </w:tcPr>
          <w:p w:rsidRPr="00C5308E" w:rsidR="009E40FF" w:rsidP="00D87753" w:rsidRDefault="009E40FF" w14:paraId="200F4DE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Nr.</w:t>
            </w:r>
          </w:p>
        </w:tc>
        <w:tc>
          <w:tcPr>
            <w:tcW w:w="5502" w:type="dxa"/>
            <w:tcBorders>
              <w:top w:val="nil"/>
              <w:left w:val="nil"/>
              <w:bottom w:val="single" w:color="auto" w:sz="4" w:space="0"/>
              <w:right w:val="nil"/>
            </w:tcBorders>
            <w:shd w:val="clear" w:color="auto" w:fill="auto"/>
            <w:noWrap/>
            <w:vAlign w:val="bottom"/>
            <w:hideMark/>
          </w:tcPr>
          <w:p w:rsidRPr="00C5308E" w:rsidR="009E40FF" w:rsidP="00D87753" w:rsidRDefault="009E40FF" w14:paraId="062BB8D0" w14:textId="34213AE9">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xml:space="preserve">Budgettaire effecten maatregelen, </w:t>
            </w:r>
            <w:r w:rsidRPr="00C5308E" w:rsidR="00EF1671">
              <w:rPr>
                <w:rFonts w:ascii="Verdana" w:hAnsi="Verdana" w:eastAsia="Times New Roman" w:cs="Calibri"/>
                <w:bCs/>
                <w:color w:val="000000"/>
                <w:sz w:val="18"/>
                <w:szCs w:val="18"/>
                <w:lang w:eastAsia="nl-NL"/>
              </w:rPr>
              <w:t>x €</w:t>
            </w:r>
            <w:r w:rsidRPr="00C5308E">
              <w:rPr>
                <w:rFonts w:ascii="Verdana" w:hAnsi="Verdana" w:eastAsia="Times New Roman" w:cs="Calibri"/>
                <w:bCs/>
                <w:color w:val="000000"/>
                <w:sz w:val="18"/>
                <w:szCs w:val="18"/>
                <w:lang w:eastAsia="nl-NL"/>
              </w:rPr>
              <w:t xml:space="preserve"> m</w:t>
            </w:r>
            <w:r w:rsidRPr="00C5308E" w:rsidR="0031642E">
              <w:rPr>
                <w:rFonts w:ascii="Verdana" w:hAnsi="Verdana" w:eastAsia="Times New Roman" w:cs="Calibri"/>
                <w:bCs/>
                <w:color w:val="000000"/>
                <w:sz w:val="18"/>
                <w:szCs w:val="18"/>
                <w:lang w:eastAsia="nl-NL"/>
              </w:rPr>
              <w:t>ln.</w:t>
            </w:r>
          </w:p>
        </w:tc>
        <w:tc>
          <w:tcPr>
            <w:tcW w:w="753" w:type="dxa"/>
            <w:tcBorders>
              <w:top w:val="nil"/>
              <w:left w:val="nil"/>
              <w:bottom w:val="single" w:color="auto" w:sz="4" w:space="0"/>
              <w:right w:val="nil"/>
            </w:tcBorders>
            <w:shd w:val="clear" w:color="auto" w:fill="auto"/>
            <w:noWrap/>
            <w:vAlign w:val="bottom"/>
            <w:hideMark/>
          </w:tcPr>
          <w:p w:rsidRPr="00C5308E" w:rsidR="009E40FF" w:rsidP="00D87753" w:rsidRDefault="009E40FF" w14:paraId="565DB1A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753" w:type="dxa"/>
            <w:tcBorders>
              <w:top w:val="nil"/>
              <w:left w:val="nil"/>
              <w:bottom w:val="single" w:color="auto" w:sz="4" w:space="0"/>
              <w:right w:val="nil"/>
            </w:tcBorders>
            <w:shd w:val="clear" w:color="auto" w:fill="auto"/>
            <w:noWrap/>
            <w:vAlign w:val="bottom"/>
            <w:hideMark/>
          </w:tcPr>
          <w:p w:rsidRPr="00C5308E" w:rsidR="009E40FF" w:rsidP="00D87753" w:rsidRDefault="009E40FF" w14:paraId="6374D59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753" w:type="dxa"/>
            <w:tcBorders>
              <w:top w:val="nil"/>
              <w:left w:val="nil"/>
              <w:bottom w:val="single" w:color="auto" w:sz="4" w:space="0"/>
              <w:right w:val="nil"/>
            </w:tcBorders>
            <w:shd w:val="clear" w:color="auto" w:fill="auto"/>
            <w:noWrap/>
            <w:vAlign w:val="bottom"/>
            <w:hideMark/>
          </w:tcPr>
          <w:p w:rsidRPr="00C5308E" w:rsidR="009E40FF" w:rsidP="00D87753" w:rsidRDefault="009E40FF" w14:paraId="1433DD9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753" w:type="dxa"/>
            <w:tcBorders>
              <w:top w:val="nil"/>
              <w:left w:val="nil"/>
              <w:bottom w:val="single" w:color="auto" w:sz="4" w:space="0"/>
              <w:right w:val="nil"/>
            </w:tcBorders>
            <w:shd w:val="clear" w:color="auto" w:fill="auto"/>
            <w:noWrap/>
            <w:vAlign w:val="bottom"/>
            <w:hideMark/>
          </w:tcPr>
          <w:p w:rsidRPr="00C5308E" w:rsidR="009E40FF" w:rsidP="00D87753" w:rsidRDefault="009E40FF" w14:paraId="24C9103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753" w:type="dxa"/>
            <w:tcBorders>
              <w:top w:val="nil"/>
              <w:left w:val="nil"/>
              <w:bottom w:val="single" w:color="auto" w:sz="4" w:space="0"/>
              <w:right w:val="nil"/>
            </w:tcBorders>
            <w:shd w:val="clear" w:color="auto" w:fill="auto"/>
            <w:noWrap/>
            <w:vAlign w:val="bottom"/>
            <w:hideMark/>
          </w:tcPr>
          <w:p w:rsidRPr="00C5308E" w:rsidR="009E40FF" w:rsidP="00D87753" w:rsidRDefault="009E40FF" w14:paraId="507F314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837" w:type="dxa"/>
            <w:tcBorders>
              <w:top w:val="nil"/>
              <w:left w:val="nil"/>
              <w:bottom w:val="single" w:color="auto" w:sz="4" w:space="0"/>
              <w:right w:val="nil"/>
            </w:tcBorders>
            <w:shd w:val="clear" w:color="auto" w:fill="auto"/>
            <w:noWrap/>
            <w:vAlign w:val="bottom"/>
            <w:hideMark/>
          </w:tcPr>
          <w:p w:rsidRPr="00C5308E" w:rsidR="009E40FF" w:rsidP="00D87753" w:rsidRDefault="009E40FF" w14:paraId="3A92F00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Struc.</w:t>
            </w:r>
          </w:p>
        </w:tc>
      </w:tr>
      <w:tr w:rsidRPr="00C5308E" w:rsidR="009E40FF" w:rsidTr="00B504A7" w14:paraId="515801D6" w14:textId="77777777">
        <w:trPr>
          <w:trHeight w:val="228"/>
        </w:trPr>
        <w:tc>
          <w:tcPr>
            <w:tcW w:w="491" w:type="dxa"/>
            <w:tcBorders>
              <w:top w:val="nil"/>
              <w:left w:val="nil"/>
              <w:bottom w:val="nil"/>
              <w:right w:val="nil"/>
            </w:tcBorders>
            <w:shd w:val="clear" w:color="auto" w:fill="auto"/>
            <w:noWrap/>
          </w:tcPr>
          <w:p w:rsidRPr="00C5308E" w:rsidR="009E40FF" w:rsidP="00D87753" w:rsidRDefault="009E40FF" w14:paraId="5DB3A4C3" w14:textId="77777777">
            <w:pPr>
              <w:spacing w:after="0" w:line="240" w:lineRule="auto"/>
              <w:contextualSpacing/>
              <w:rPr>
                <w:rFonts w:ascii="Verdana" w:hAnsi="Verdana" w:eastAsia="Times New Roman" w:cs="Calibri"/>
                <w:bCs/>
                <w:color w:val="000000"/>
                <w:sz w:val="18"/>
                <w:szCs w:val="18"/>
                <w:lang w:eastAsia="nl-NL"/>
              </w:rPr>
            </w:pPr>
          </w:p>
        </w:tc>
        <w:tc>
          <w:tcPr>
            <w:tcW w:w="5502" w:type="dxa"/>
            <w:tcBorders>
              <w:top w:val="nil"/>
              <w:left w:val="nil"/>
              <w:bottom w:val="nil"/>
              <w:right w:val="nil"/>
            </w:tcBorders>
            <w:shd w:val="clear" w:color="auto" w:fill="auto"/>
            <w:noWrap/>
            <w:vAlign w:val="bottom"/>
          </w:tcPr>
          <w:p w:rsidRPr="00C5308E" w:rsidR="009E40FF" w:rsidP="00D87753" w:rsidRDefault="009E40FF" w14:paraId="4FC4B045" w14:textId="77777777">
            <w:pPr>
              <w:spacing w:after="0" w:line="240" w:lineRule="auto"/>
              <w:contextualSpacing/>
              <w:rPr>
                <w:rFonts w:ascii="Verdana" w:hAnsi="Verdana" w:eastAsia="Times New Roman" w:cs="Calibri"/>
                <w:bCs/>
                <w:i/>
                <w:i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47AB2254"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0B50D380"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36CE86F4"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2C1C13FC"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4C37801D" w14:textId="77777777">
            <w:pPr>
              <w:spacing w:after="0" w:line="240" w:lineRule="auto"/>
              <w:contextualSpacing/>
              <w:jc w:val="right"/>
              <w:rPr>
                <w:rFonts w:ascii="Verdana" w:hAnsi="Verdana" w:eastAsia="Times New Roman" w:cs="Calibri"/>
                <w:bCs/>
                <w:color w:val="000000"/>
                <w:sz w:val="18"/>
                <w:szCs w:val="18"/>
                <w:lang w:eastAsia="nl-NL"/>
              </w:rPr>
            </w:pPr>
          </w:p>
        </w:tc>
        <w:tc>
          <w:tcPr>
            <w:tcW w:w="837" w:type="dxa"/>
            <w:tcBorders>
              <w:top w:val="nil"/>
              <w:left w:val="nil"/>
              <w:bottom w:val="nil"/>
              <w:right w:val="nil"/>
            </w:tcBorders>
            <w:shd w:val="clear" w:color="auto" w:fill="auto"/>
            <w:noWrap/>
            <w:vAlign w:val="bottom"/>
          </w:tcPr>
          <w:p w:rsidRPr="00C5308E" w:rsidR="009E40FF" w:rsidP="00D87753" w:rsidRDefault="009E40FF" w14:paraId="083AC303" w14:textId="77777777">
            <w:pPr>
              <w:spacing w:after="0" w:line="240" w:lineRule="auto"/>
              <w:contextualSpacing/>
              <w:jc w:val="right"/>
              <w:rPr>
                <w:rFonts w:ascii="Verdana" w:hAnsi="Verdana" w:eastAsia="Times New Roman" w:cs="Calibri"/>
                <w:bCs/>
                <w:color w:val="000000"/>
                <w:sz w:val="18"/>
                <w:szCs w:val="18"/>
                <w:lang w:eastAsia="nl-NL"/>
              </w:rPr>
            </w:pPr>
          </w:p>
        </w:tc>
      </w:tr>
      <w:tr w:rsidRPr="00C5308E" w:rsidR="009E40FF" w:rsidTr="00B504A7" w14:paraId="7EDB13C6"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384B4DFA" w14:textId="77777777">
            <w:pPr>
              <w:spacing w:after="0" w:line="240" w:lineRule="auto"/>
              <w:contextualSpacing/>
              <w:rPr>
                <w:rFonts w:ascii="Verdana" w:hAnsi="Verdana" w:eastAsia="Times New Roman" w:cs="Calibri"/>
                <w:bCs/>
                <w:color w:val="000000"/>
                <w:sz w:val="18"/>
                <w:szCs w:val="18"/>
                <w:lang w:eastAsia="nl-NL"/>
              </w:rPr>
            </w:pP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3BFB447D" w14:textId="77777777">
            <w:pPr>
              <w:spacing w:after="0"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Augustusbesluitvorming 2024</w:t>
            </w:r>
          </w:p>
        </w:tc>
        <w:tc>
          <w:tcPr>
            <w:tcW w:w="753" w:type="dxa"/>
            <w:tcBorders>
              <w:top w:val="nil"/>
              <w:left w:val="nil"/>
              <w:bottom w:val="nil"/>
              <w:right w:val="nil"/>
            </w:tcBorders>
            <w:shd w:val="clear" w:color="auto" w:fill="auto"/>
            <w:noWrap/>
            <w:vAlign w:val="bottom"/>
          </w:tcPr>
          <w:p w:rsidRPr="00C5308E" w:rsidR="009E40FF" w:rsidP="00D87753" w:rsidRDefault="009E40FF" w14:paraId="317F52FE"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7C9F9D1B"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125B15EA"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4B646449"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bottom w:val="nil"/>
              <w:right w:val="nil"/>
            </w:tcBorders>
            <w:shd w:val="clear" w:color="auto" w:fill="auto"/>
            <w:noWrap/>
            <w:vAlign w:val="bottom"/>
          </w:tcPr>
          <w:p w:rsidRPr="00C5308E" w:rsidR="009E40FF" w:rsidP="00D87753" w:rsidRDefault="009E40FF" w14:paraId="656819C9" w14:textId="77777777">
            <w:pPr>
              <w:spacing w:after="0" w:line="240" w:lineRule="auto"/>
              <w:contextualSpacing/>
              <w:jc w:val="right"/>
              <w:rPr>
                <w:rFonts w:ascii="Verdana" w:hAnsi="Verdana" w:eastAsia="Times New Roman" w:cs="Calibri"/>
                <w:bCs/>
                <w:color w:val="000000"/>
                <w:sz w:val="18"/>
                <w:szCs w:val="18"/>
                <w:lang w:eastAsia="nl-NL"/>
              </w:rPr>
            </w:pPr>
          </w:p>
        </w:tc>
        <w:tc>
          <w:tcPr>
            <w:tcW w:w="837" w:type="dxa"/>
            <w:tcBorders>
              <w:top w:val="nil"/>
              <w:left w:val="nil"/>
              <w:bottom w:val="nil"/>
              <w:right w:val="nil"/>
            </w:tcBorders>
            <w:shd w:val="clear" w:color="auto" w:fill="auto"/>
            <w:noWrap/>
            <w:vAlign w:val="bottom"/>
          </w:tcPr>
          <w:p w:rsidRPr="00C5308E" w:rsidR="009E40FF" w:rsidP="00D87753" w:rsidRDefault="009E40FF" w14:paraId="65B228FB" w14:textId="77777777">
            <w:pPr>
              <w:spacing w:after="0" w:line="240" w:lineRule="auto"/>
              <w:contextualSpacing/>
              <w:jc w:val="right"/>
              <w:rPr>
                <w:rFonts w:ascii="Verdana" w:hAnsi="Verdana" w:eastAsia="Times New Roman" w:cs="Calibri"/>
                <w:bCs/>
                <w:color w:val="000000"/>
                <w:sz w:val="18"/>
                <w:szCs w:val="18"/>
                <w:lang w:eastAsia="nl-NL"/>
              </w:rPr>
            </w:pPr>
          </w:p>
        </w:tc>
      </w:tr>
      <w:tr w:rsidRPr="00C5308E" w:rsidR="009E40FF" w:rsidTr="00B504A7" w14:paraId="54C20E75"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3592970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53B8CA5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Integraal pakket problematische schulden</w:t>
            </w:r>
          </w:p>
        </w:tc>
        <w:tc>
          <w:tcPr>
            <w:tcW w:w="753" w:type="dxa"/>
            <w:tcBorders>
              <w:top w:val="nil"/>
              <w:left w:val="nil"/>
              <w:bottom w:val="nil"/>
              <w:right w:val="nil"/>
            </w:tcBorders>
            <w:shd w:val="clear" w:color="auto" w:fill="auto"/>
            <w:noWrap/>
            <w:hideMark/>
          </w:tcPr>
          <w:p w:rsidRPr="00C5308E" w:rsidR="009E40FF" w:rsidP="00D87753" w:rsidRDefault="009E40FF" w14:paraId="73388EC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c>
          <w:tcPr>
            <w:tcW w:w="753" w:type="dxa"/>
            <w:tcBorders>
              <w:top w:val="nil"/>
              <w:left w:val="nil"/>
              <w:bottom w:val="nil"/>
              <w:right w:val="nil"/>
            </w:tcBorders>
            <w:shd w:val="clear" w:color="auto" w:fill="auto"/>
            <w:noWrap/>
            <w:hideMark/>
          </w:tcPr>
          <w:p w:rsidRPr="00C5308E" w:rsidR="009E40FF" w:rsidP="00D87753" w:rsidRDefault="009E40FF" w14:paraId="5BC95FB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56</w:t>
            </w:r>
          </w:p>
        </w:tc>
        <w:tc>
          <w:tcPr>
            <w:tcW w:w="753" w:type="dxa"/>
            <w:tcBorders>
              <w:top w:val="nil"/>
              <w:left w:val="nil"/>
              <w:bottom w:val="nil"/>
              <w:right w:val="nil"/>
            </w:tcBorders>
            <w:shd w:val="clear" w:color="auto" w:fill="auto"/>
            <w:noWrap/>
            <w:hideMark/>
          </w:tcPr>
          <w:p w:rsidRPr="00C5308E" w:rsidR="009E40FF" w:rsidP="00D87753" w:rsidRDefault="009E40FF" w14:paraId="57692AE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73</w:t>
            </w:r>
          </w:p>
        </w:tc>
        <w:tc>
          <w:tcPr>
            <w:tcW w:w="753" w:type="dxa"/>
            <w:tcBorders>
              <w:top w:val="nil"/>
              <w:left w:val="nil"/>
              <w:bottom w:val="nil"/>
              <w:right w:val="nil"/>
            </w:tcBorders>
            <w:shd w:val="clear" w:color="auto" w:fill="auto"/>
            <w:noWrap/>
            <w:hideMark/>
          </w:tcPr>
          <w:p w:rsidRPr="00C5308E" w:rsidR="009E40FF" w:rsidP="00D87753" w:rsidRDefault="009E40FF" w14:paraId="78A071D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100</w:t>
            </w:r>
          </w:p>
        </w:tc>
        <w:tc>
          <w:tcPr>
            <w:tcW w:w="753" w:type="dxa"/>
            <w:tcBorders>
              <w:top w:val="nil"/>
              <w:left w:val="nil"/>
              <w:bottom w:val="nil"/>
              <w:right w:val="nil"/>
            </w:tcBorders>
            <w:shd w:val="clear" w:color="auto" w:fill="auto"/>
            <w:noWrap/>
            <w:hideMark/>
          </w:tcPr>
          <w:p w:rsidRPr="00C5308E" w:rsidR="009E40FF" w:rsidP="00D87753" w:rsidRDefault="009E40FF" w14:paraId="3E3CBB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bottom w:val="nil"/>
              <w:right w:val="nil"/>
            </w:tcBorders>
            <w:shd w:val="clear" w:color="auto" w:fill="auto"/>
            <w:noWrap/>
            <w:hideMark/>
          </w:tcPr>
          <w:p w:rsidRPr="00C5308E" w:rsidR="009E40FF" w:rsidP="00D87753" w:rsidRDefault="009E40FF" w14:paraId="3AEDEDA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3928B9CA"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33B1779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3A45DAE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Aanpassing handhaving sociale zekerheid</w:t>
            </w:r>
          </w:p>
        </w:tc>
        <w:tc>
          <w:tcPr>
            <w:tcW w:w="753" w:type="dxa"/>
            <w:tcBorders>
              <w:top w:val="nil"/>
              <w:left w:val="nil"/>
              <w:bottom w:val="nil"/>
              <w:right w:val="nil"/>
            </w:tcBorders>
            <w:shd w:val="clear" w:color="auto" w:fill="auto"/>
            <w:noWrap/>
            <w:hideMark/>
          </w:tcPr>
          <w:p w:rsidRPr="00C5308E" w:rsidR="009E40FF" w:rsidP="00D87753" w:rsidRDefault="009E40FF" w14:paraId="24ECDF1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w:t>
            </w:r>
          </w:p>
        </w:tc>
        <w:tc>
          <w:tcPr>
            <w:tcW w:w="753" w:type="dxa"/>
            <w:tcBorders>
              <w:top w:val="nil"/>
              <w:left w:val="nil"/>
              <w:bottom w:val="nil"/>
              <w:right w:val="nil"/>
            </w:tcBorders>
            <w:shd w:val="clear" w:color="auto" w:fill="auto"/>
            <w:noWrap/>
            <w:hideMark/>
          </w:tcPr>
          <w:p w:rsidRPr="00C5308E" w:rsidR="009E40FF" w:rsidP="00D87753" w:rsidRDefault="009E40FF" w14:paraId="2E36334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705A8CD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5CDA616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40D7C74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837" w:type="dxa"/>
            <w:tcBorders>
              <w:top w:val="nil"/>
              <w:left w:val="nil"/>
              <w:bottom w:val="nil"/>
              <w:right w:val="nil"/>
            </w:tcBorders>
            <w:shd w:val="clear" w:color="auto" w:fill="auto"/>
            <w:noWrap/>
            <w:hideMark/>
          </w:tcPr>
          <w:p w:rsidRPr="00C5308E" w:rsidR="009E40FF" w:rsidP="00D87753" w:rsidRDefault="009E40FF" w14:paraId="310573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9E40FF" w:rsidTr="00B504A7" w14:paraId="6A58B847"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6A6C5AE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59E7B4D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Schoolmaaltĳden</w:t>
            </w:r>
          </w:p>
        </w:tc>
        <w:tc>
          <w:tcPr>
            <w:tcW w:w="753" w:type="dxa"/>
            <w:tcBorders>
              <w:top w:val="nil"/>
              <w:left w:val="nil"/>
              <w:bottom w:val="nil"/>
              <w:right w:val="nil"/>
            </w:tcBorders>
            <w:shd w:val="clear" w:color="auto" w:fill="auto"/>
            <w:noWrap/>
            <w:hideMark/>
          </w:tcPr>
          <w:p w:rsidRPr="00C5308E" w:rsidR="009E40FF" w:rsidP="00D87753" w:rsidRDefault="009E40FF" w14:paraId="291292E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c>
          <w:tcPr>
            <w:tcW w:w="753" w:type="dxa"/>
            <w:tcBorders>
              <w:top w:val="nil"/>
              <w:left w:val="nil"/>
              <w:bottom w:val="nil"/>
              <w:right w:val="nil"/>
            </w:tcBorders>
            <w:shd w:val="clear" w:color="auto" w:fill="auto"/>
            <w:noWrap/>
            <w:hideMark/>
          </w:tcPr>
          <w:p w:rsidRPr="00C5308E" w:rsidR="009E40FF" w:rsidP="00D87753" w:rsidRDefault="009E40FF" w14:paraId="489A4AC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c>
          <w:tcPr>
            <w:tcW w:w="753" w:type="dxa"/>
            <w:tcBorders>
              <w:top w:val="nil"/>
              <w:left w:val="nil"/>
              <w:bottom w:val="nil"/>
              <w:right w:val="nil"/>
            </w:tcBorders>
            <w:shd w:val="clear" w:color="auto" w:fill="auto"/>
            <w:noWrap/>
            <w:hideMark/>
          </w:tcPr>
          <w:p w:rsidRPr="00C5308E" w:rsidR="009E40FF" w:rsidP="00D87753" w:rsidRDefault="009E40FF" w14:paraId="6232E0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c>
          <w:tcPr>
            <w:tcW w:w="753" w:type="dxa"/>
            <w:tcBorders>
              <w:top w:val="nil"/>
              <w:left w:val="nil"/>
              <w:bottom w:val="nil"/>
              <w:right w:val="nil"/>
            </w:tcBorders>
            <w:shd w:val="clear" w:color="auto" w:fill="auto"/>
            <w:noWrap/>
            <w:hideMark/>
          </w:tcPr>
          <w:p w:rsidRPr="00C5308E" w:rsidR="009E40FF" w:rsidP="00D87753" w:rsidRDefault="009E40FF" w14:paraId="54CB0C7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c>
          <w:tcPr>
            <w:tcW w:w="753" w:type="dxa"/>
            <w:tcBorders>
              <w:top w:val="nil"/>
              <w:left w:val="nil"/>
              <w:bottom w:val="nil"/>
              <w:right w:val="nil"/>
            </w:tcBorders>
            <w:shd w:val="clear" w:color="auto" w:fill="auto"/>
            <w:noWrap/>
            <w:hideMark/>
          </w:tcPr>
          <w:p w:rsidRPr="00C5308E" w:rsidR="009E40FF" w:rsidP="00D87753" w:rsidRDefault="009E40FF" w14:paraId="0CA95F9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c>
          <w:tcPr>
            <w:tcW w:w="837" w:type="dxa"/>
            <w:tcBorders>
              <w:top w:val="nil"/>
              <w:left w:val="nil"/>
              <w:bottom w:val="nil"/>
              <w:right w:val="nil"/>
            </w:tcBorders>
            <w:shd w:val="clear" w:color="auto" w:fill="auto"/>
            <w:noWrap/>
            <w:hideMark/>
          </w:tcPr>
          <w:p w:rsidRPr="00C5308E" w:rsidR="009E40FF" w:rsidP="00D87753" w:rsidRDefault="009E40FF" w14:paraId="58C3CB3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45</w:t>
            </w:r>
          </w:p>
        </w:tc>
      </w:tr>
      <w:tr w:rsidRPr="00C5308E" w:rsidR="009E40FF" w:rsidTr="00B504A7" w14:paraId="57934BB9" w14:textId="77777777">
        <w:trPr>
          <w:trHeight w:val="457"/>
        </w:trPr>
        <w:tc>
          <w:tcPr>
            <w:tcW w:w="491" w:type="dxa"/>
            <w:tcBorders>
              <w:top w:val="nil"/>
              <w:left w:val="nil"/>
              <w:bottom w:val="nil"/>
              <w:right w:val="nil"/>
            </w:tcBorders>
            <w:shd w:val="clear" w:color="auto" w:fill="auto"/>
            <w:noWrap/>
            <w:hideMark/>
          </w:tcPr>
          <w:p w:rsidRPr="00C5308E" w:rsidR="009E40FF" w:rsidP="00D87753" w:rsidRDefault="009E40FF" w14:paraId="68A262D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5502" w:type="dxa"/>
            <w:tcBorders>
              <w:top w:val="nil"/>
              <w:left w:val="nil"/>
              <w:bottom w:val="nil"/>
              <w:right w:val="nil"/>
            </w:tcBorders>
            <w:shd w:val="clear" w:color="auto" w:fill="auto"/>
            <w:vAlign w:val="bottom"/>
            <w:hideMark/>
          </w:tcPr>
          <w:p w:rsidRPr="00C5308E" w:rsidR="009E40FF" w:rsidP="00D87753" w:rsidRDefault="009E40FF" w14:paraId="38B5E2C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Aanpassen toeslagpartnerbegrip: oplossing voor achterblĳvers noodgedwongen elders verblĳvende partner</w:t>
            </w:r>
          </w:p>
        </w:tc>
        <w:tc>
          <w:tcPr>
            <w:tcW w:w="753" w:type="dxa"/>
            <w:tcBorders>
              <w:top w:val="nil"/>
              <w:left w:val="nil"/>
              <w:bottom w:val="nil"/>
              <w:right w:val="nil"/>
            </w:tcBorders>
            <w:shd w:val="clear" w:color="auto" w:fill="auto"/>
            <w:noWrap/>
            <w:hideMark/>
          </w:tcPr>
          <w:p w:rsidRPr="00C5308E" w:rsidR="009E40FF" w:rsidP="00D87753" w:rsidRDefault="009E40FF" w14:paraId="34C92FD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253C9B7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212476E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0EF2338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753" w:type="dxa"/>
            <w:tcBorders>
              <w:top w:val="nil"/>
              <w:left w:val="nil"/>
              <w:bottom w:val="nil"/>
              <w:right w:val="nil"/>
            </w:tcBorders>
            <w:shd w:val="clear" w:color="auto" w:fill="auto"/>
            <w:noWrap/>
            <w:hideMark/>
          </w:tcPr>
          <w:p w:rsidRPr="00C5308E" w:rsidR="009E40FF" w:rsidP="00D87753" w:rsidRDefault="009E40FF" w14:paraId="7CAF203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837" w:type="dxa"/>
            <w:tcBorders>
              <w:top w:val="nil"/>
              <w:left w:val="nil"/>
              <w:bottom w:val="nil"/>
              <w:right w:val="nil"/>
            </w:tcBorders>
            <w:shd w:val="clear" w:color="auto" w:fill="auto"/>
            <w:noWrap/>
            <w:hideMark/>
          </w:tcPr>
          <w:p w:rsidRPr="00C5308E" w:rsidR="009E40FF" w:rsidP="00D87753" w:rsidRDefault="009E40FF" w14:paraId="6575142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9E40FF" w:rsidTr="00B504A7" w14:paraId="7D623AE3" w14:textId="77777777">
        <w:trPr>
          <w:trHeight w:val="457"/>
        </w:trPr>
        <w:tc>
          <w:tcPr>
            <w:tcW w:w="491" w:type="dxa"/>
            <w:tcBorders>
              <w:top w:val="nil"/>
              <w:left w:val="nil"/>
              <w:bottom w:val="nil"/>
              <w:right w:val="nil"/>
            </w:tcBorders>
            <w:shd w:val="clear" w:color="auto" w:fill="auto"/>
            <w:noWrap/>
            <w:hideMark/>
          </w:tcPr>
          <w:p w:rsidRPr="00C5308E" w:rsidR="009E40FF" w:rsidP="00D87753" w:rsidRDefault="009E40FF" w14:paraId="48CCE87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5502" w:type="dxa"/>
            <w:tcBorders>
              <w:top w:val="nil"/>
              <w:left w:val="nil"/>
              <w:bottom w:val="nil"/>
              <w:right w:val="nil"/>
            </w:tcBorders>
            <w:shd w:val="clear" w:color="auto" w:fill="auto"/>
            <w:vAlign w:val="bottom"/>
            <w:hideMark/>
          </w:tcPr>
          <w:p w:rsidRPr="00C5308E" w:rsidR="009E40FF" w:rsidP="00D87753" w:rsidRDefault="009E40FF" w14:paraId="77FE615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Niet meer met terugwerkende kracht vaststellen van grondslag toeslagen obv verblĳfstitel en recht kinderbĳslag</w:t>
            </w:r>
          </w:p>
        </w:tc>
        <w:tc>
          <w:tcPr>
            <w:tcW w:w="753" w:type="dxa"/>
            <w:tcBorders>
              <w:top w:val="nil"/>
              <w:left w:val="nil"/>
              <w:bottom w:val="nil"/>
              <w:right w:val="nil"/>
            </w:tcBorders>
            <w:shd w:val="clear" w:color="auto" w:fill="auto"/>
            <w:noWrap/>
            <w:hideMark/>
          </w:tcPr>
          <w:p w:rsidRPr="00C5308E" w:rsidR="009E40FF" w:rsidP="00D87753" w:rsidRDefault="009E40FF" w14:paraId="74EA019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bottom w:val="nil"/>
              <w:right w:val="nil"/>
            </w:tcBorders>
            <w:shd w:val="clear" w:color="auto" w:fill="auto"/>
            <w:noWrap/>
            <w:hideMark/>
          </w:tcPr>
          <w:p w:rsidRPr="00C5308E" w:rsidR="009E40FF" w:rsidP="00D87753" w:rsidRDefault="009E40FF" w14:paraId="504C627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1D6A29E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0CD63F0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123C237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837" w:type="dxa"/>
            <w:tcBorders>
              <w:top w:val="nil"/>
              <w:left w:val="nil"/>
              <w:bottom w:val="nil"/>
              <w:right w:val="nil"/>
            </w:tcBorders>
            <w:shd w:val="clear" w:color="auto" w:fill="auto"/>
            <w:noWrap/>
            <w:hideMark/>
          </w:tcPr>
          <w:p w:rsidRPr="00C5308E" w:rsidR="009E40FF" w:rsidP="00D87753" w:rsidRDefault="009E40FF" w14:paraId="282A649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r>
      <w:tr w:rsidRPr="00C5308E" w:rsidR="009E40FF" w:rsidTr="00B504A7" w14:paraId="5482E81F"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3C7A199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33348AE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Verlengen aanvraagtermĳn toeslagen</w:t>
            </w:r>
          </w:p>
        </w:tc>
        <w:tc>
          <w:tcPr>
            <w:tcW w:w="753" w:type="dxa"/>
            <w:tcBorders>
              <w:top w:val="nil"/>
              <w:left w:val="nil"/>
              <w:bottom w:val="nil"/>
              <w:right w:val="nil"/>
            </w:tcBorders>
            <w:shd w:val="clear" w:color="auto" w:fill="auto"/>
            <w:noWrap/>
            <w:hideMark/>
          </w:tcPr>
          <w:p w:rsidRPr="00C5308E" w:rsidR="009E40FF" w:rsidP="00D87753" w:rsidRDefault="009E40FF" w14:paraId="01C1799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bottom w:val="nil"/>
              <w:right w:val="nil"/>
            </w:tcBorders>
            <w:shd w:val="clear" w:color="auto" w:fill="auto"/>
            <w:noWrap/>
            <w:hideMark/>
          </w:tcPr>
          <w:p w:rsidRPr="00C5308E" w:rsidR="009E40FF" w:rsidP="00D87753" w:rsidRDefault="009E40FF" w14:paraId="766350A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5B190D1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6B187C7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753" w:type="dxa"/>
            <w:tcBorders>
              <w:top w:val="nil"/>
              <w:left w:val="nil"/>
              <w:bottom w:val="nil"/>
              <w:right w:val="nil"/>
            </w:tcBorders>
            <w:shd w:val="clear" w:color="auto" w:fill="auto"/>
            <w:noWrap/>
            <w:hideMark/>
          </w:tcPr>
          <w:p w:rsidRPr="00C5308E" w:rsidR="009E40FF" w:rsidP="00D87753" w:rsidRDefault="009E40FF" w14:paraId="256C52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c>
          <w:tcPr>
            <w:tcW w:w="837" w:type="dxa"/>
            <w:tcBorders>
              <w:top w:val="nil"/>
              <w:left w:val="nil"/>
              <w:bottom w:val="nil"/>
              <w:right w:val="nil"/>
            </w:tcBorders>
            <w:shd w:val="clear" w:color="auto" w:fill="auto"/>
            <w:noWrap/>
            <w:hideMark/>
          </w:tcPr>
          <w:p w:rsidRPr="00C5308E" w:rsidR="009E40FF" w:rsidP="00D87753" w:rsidRDefault="009E40FF" w14:paraId="47B70D3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r>
      <w:tr w:rsidRPr="00C5308E" w:rsidR="009E40FF" w:rsidTr="00B504A7" w14:paraId="44F75F80" w14:textId="77777777">
        <w:trPr>
          <w:trHeight w:val="457"/>
        </w:trPr>
        <w:tc>
          <w:tcPr>
            <w:tcW w:w="491" w:type="dxa"/>
            <w:tcBorders>
              <w:top w:val="nil"/>
              <w:left w:val="nil"/>
              <w:bottom w:val="nil"/>
              <w:right w:val="nil"/>
            </w:tcBorders>
            <w:shd w:val="clear" w:color="auto" w:fill="auto"/>
            <w:noWrap/>
            <w:hideMark/>
          </w:tcPr>
          <w:p w:rsidRPr="00C5308E" w:rsidR="009E40FF" w:rsidP="00D87753" w:rsidRDefault="009E40FF" w14:paraId="3D0FD1B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c>
          <w:tcPr>
            <w:tcW w:w="5502" w:type="dxa"/>
            <w:tcBorders>
              <w:top w:val="nil"/>
              <w:left w:val="nil"/>
              <w:bottom w:val="nil"/>
              <w:right w:val="nil"/>
            </w:tcBorders>
            <w:shd w:val="clear" w:color="auto" w:fill="auto"/>
            <w:vAlign w:val="bottom"/>
            <w:hideMark/>
          </w:tcPr>
          <w:p w:rsidRPr="00C5308E" w:rsidR="009E40FF" w:rsidP="00D87753" w:rsidRDefault="009E40FF" w14:paraId="22EE2FC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Verhogen forfait aftrekbaar bedrag extra vervoerskosten door ziekte of invaliditeit in de inkomstenbelasting</w:t>
            </w:r>
          </w:p>
        </w:tc>
        <w:tc>
          <w:tcPr>
            <w:tcW w:w="753" w:type="dxa"/>
            <w:tcBorders>
              <w:top w:val="nil"/>
              <w:left w:val="nil"/>
              <w:bottom w:val="nil"/>
              <w:right w:val="nil"/>
            </w:tcBorders>
            <w:shd w:val="clear" w:color="auto" w:fill="auto"/>
            <w:noWrap/>
            <w:hideMark/>
          </w:tcPr>
          <w:p w:rsidRPr="00C5308E" w:rsidR="009E40FF" w:rsidP="00D87753" w:rsidRDefault="009E40FF" w14:paraId="26AACEC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01CAEBE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60C8C75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11937CC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622746B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837" w:type="dxa"/>
            <w:tcBorders>
              <w:top w:val="nil"/>
              <w:left w:val="nil"/>
              <w:bottom w:val="nil"/>
              <w:right w:val="nil"/>
            </w:tcBorders>
            <w:shd w:val="clear" w:color="auto" w:fill="auto"/>
            <w:noWrap/>
            <w:hideMark/>
          </w:tcPr>
          <w:p w:rsidRPr="00C5308E" w:rsidR="009E40FF" w:rsidP="00D87753" w:rsidRDefault="009E40FF" w14:paraId="17D0EBE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r>
      <w:tr w:rsidRPr="00C5308E" w:rsidR="009E40FF" w:rsidTr="00B504A7" w14:paraId="09EB1108"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6117962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60E747A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Netto i.p.v. bruto terugvorderen</w:t>
            </w:r>
          </w:p>
        </w:tc>
        <w:tc>
          <w:tcPr>
            <w:tcW w:w="753" w:type="dxa"/>
            <w:tcBorders>
              <w:top w:val="nil"/>
              <w:left w:val="nil"/>
              <w:bottom w:val="nil"/>
              <w:right w:val="nil"/>
            </w:tcBorders>
            <w:shd w:val="clear" w:color="auto" w:fill="auto"/>
            <w:noWrap/>
            <w:hideMark/>
          </w:tcPr>
          <w:p w:rsidRPr="00C5308E" w:rsidR="009E40FF" w:rsidP="00D87753" w:rsidRDefault="009E40FF" w14:paraId="23B4BF7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bottom w:val="nil"/>
              <w:right w:val="nil"/>
            </w:tcBorders>
            <w:shd w:val="clear" w:color="auto" w:fill="auto"/>
            <w:noWrap/>
            <w:hideMark/>
          </w:tcPr>
          <w:p w:rsidRPr="00C5308E" w:rsidR="009E40FF" w:rsidP="00D87753" w:rsidRDefault="009E40FF" w14:paraId="6821097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31</w:t>
            </w:r>
          </w:p>
        </w:tc>
        <w:tc>
          <w:tcPr>
            <w:tcW w:w="753" w:type="dxa"/>
            <w:tcBorders>
              <w:top w:val="nil"/>
              <w:left w:val="nil"/>
              <w:bottom w:val="nil"/>
              <w:right w:val="nil"/>
            </w:tcBorders>
            <w:shd w:val="clear" w:color="auto" w:fill="auto"/>
            <w:noWrap/>
            <w:hideMark/>
          </w:tcPr>
          <w:p w:rsidRPr="00C5308E" w:rsidR="009E40FF" w:rsidP="00D87753" w:rsidRDefault="009E40FF" w14:paraId="567636D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31</w:t>
            </w:r>
          </w:p>
        </w:tc>
        <w:tc>
          <w:tcPr>
            <w:tcW w:w="753" w:type="dxa"/>
            <w:tcBorders>
              <w:top w:val="nil"/>
              <w:left w:val="nil"/>
              <w:bottom w:val="nil"/>
              <w:right w:val="nil"/>
            </w:tcBorders>
            <w:shd w:val="clear" w:color="auto" w:fill="auto"/>
            <w:noWrap/>
            <w:hideMark/>
          </w:tcPr>
          <w:p w:rsidRPr="00C5308E" w:rsidR="009E40FF" w:rsidP="00D87753" w:rsidRDefault="009E40FF" w14:paraId="10237B1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31</w:t>
            </w:r>
          </w:p>
        </w:tc>
        <w:tc>
          <w:tcPr>
            <w:tcW w:w="753" w:type="dxa"/>
            <w:tcBorders>
              <w:top w:val="nil"/>
              <w:left w:val="nil"/>
              <w:bottom w:val="nil"/>
              <w:right w:val="nil"/>
            </w:tcBorders>
            <w:shd w:val="clear" w:color="auto" w:fill="auto"/>
            <w:noWrap/>
            <w:hideMark/>
          </w:tcPr>
          <w:p w:rsidRPr="00C5308E" w:rsidR="009E40FF" w:rsidP="00D87753" w:rsidRDefault="009E40FF" w14:paraId="3C3569F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bottom w:val="nil"/>
              <w:right w:val="nil"/>
            </w:tcBorders>
            <w:shd w:val="clear" w:color="auto" w:fill="auto"/>
            <w:noWrap/>
            <w:hideMark/>
          </w:tcPr>
          <w:p w:rsidRPr="00C5308E" w:rsidR="009E40FF" w:rsidP="00D87753" w:rsidRDefault="009E40FF" w14:paraId="682FB97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5AD63532"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19F90A9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0219176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Reservering voor aanpak armoede Caribisch Nederland</w:t>
            </w:r>
          </w:p>
        </w:tc>
        <w:tc>
          <w:tcPr>
            <w:tcW w:w="753" w:type="dxa"/>
            <w:tcBorders>
              <w:top w:val="nil"/>
              <w:left w:val="nil"/>
              <w:bottom w:val="nil"/>
              <w:right w:val="nil"/>
            </w:tcBorders>
            <w:shd w:val="clear" w:color="auto" w:fill="auto"/>
            <w:noWrap/>
            <w:hideMark/>
          </w:tcPr>
          <w:p w:rsidRPr="00C5308E" w:rsidR="009E40FF" w:rsidP="00D87753" w:rsidRDefault="009E40FF" w14:paraId="17A3B99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53" w:type="dxa"/>
            <w:tcBorders>
              <w:top w:val="nil"/>
              <w:left w:val="nil"/>
              <w:bottom w:val="nil"/>
              <w:right w:val="nil"/>
            </w:tcBorders>
            <w:shd w:val="clear" w:color="auto" w:fill="auto"/>
            <w:noWrap/>
            <w:hideMark/>
          </w:tcPr>
          <w:p w:rsidRPr="00C5308E" w:rsidR="009E40FF" w:rsidP="00D87753" w:rsidRDefault="009E40FF" w14:paraId="7F1484C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53" w:type="dxa"/>
            <w:tcBorders>
              <w:top w:val="nil"/>
              <w:left w:val="nil"/>
              <w:bottom w:val="nil"/>
              <w:right w:val="nil"/>
            </w:tcBorders>
            <w:shd w:val="clear" w:color="auto" w:fill="auto"/>
            <w:noWrap/>
            <w:hideMark/>
          </w:tcPr>
          <w:p w:rsidRPr="00C5308E" w:rsidR="009E40FF" w:rsidP="00D87753" w:rsidRDefault="009E40FF" w14:paraId="5137388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53" w:type="dxa"/>
            <w:tcBorders>
              <w:top w:val="nil"/>
              <w:left w:val="nil"/>
              <w:bottom w:val="nil"/>
              <w:right w:val="nil"/>
            </w:tcBorders>
            <w:shd w:val="clear" w:color="auto" w:fill="auto"/>
            <w:noWrap/>
            <w:hideMark/>
          </w:tcPr>
          <w:p w:rsidRPr="00C5308E" w:rsidR="009E40FF" w:rsidP="00D87753" w:rsidRDefault="009E40FF" w14:paraId="4E80C30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53" w:type="dxa"/>
            <w:tcBorders>
              <w:top w:val="nil"/>
              <w:left w:val="nil"/>
              <w:bottom w:val="nil"/>
              <w:right w:val="nil"/>
            </w:tcBorders>
            <w:shd w:val="clear" w:color="auto" w:fill="auto"/>
            <w:noWrap/>
            <w:hideMark/>
          </w:tcPr>
          <w:p w:rsidRPr="00C5308E" w:rsidR="009E40FF" w:rsidP="00D87753" w:rsidRDefault="009E40FF" w14:paraId="3CC7970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837" w:type="dxa"/>
            <w:tcBorders>
              <w:top w:val="nil"/>
              <w:left w:val="nil"/>
              <w:bottom w:val="nil"/>
              <w:right w:val="nil"/>
            </w:tcBorders>
            <w:shd w:val="clear" w:color="auto" w:fill="auto"/>
            <w:noWrap/>
            <w:hideMark/>
          </w:tcPr>
          <w:p w:rsidRPr="00C5308E" w:rsidR="009E40FF" w:rsidP="00D87753" w:rsidRDefault="009E40FF" w14:paraId="4FFA929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r>
      <w:tr w:rsidRPr="00C5308E" w:rsidR="009E40FF" w:rsidTr="00B504A7" w14:paraId="6D3C9E15" w14:textId="77777777">
        <w:trPr>
          <w:trHeight w:val="228"/>
        </w:trPr>
        <w:tc>
          <w:tcPr>
            <w:tcW w:w="491" w:type="dxa"/>
            <w:tcBorders>
              <w:top w:val="nil"/>
              <w:left w:val="nil"/>
              <w:bottom w:val="nil"/>
              <w:right w:val="nil"/>
            </w:tcBorders>
            <w:shd w:val="clear" w:color="auto" w:fill="auto"/>
            <w:noWrap/>
            <w:hideMark/>
          </w:tcPr>
          <w:p w:rsidRPr="00C5308E" w:rsidR="009E40FF" w:rsidP="00D87753" w:rsidRDefault="009E40FF" w14:paraId="66C39B8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w:t>
            </w:r>
          </w:p>
        </w:tc>
        <w:tc>
          <w:tcPr>
            <w:tcW w:w="5502" w:type="dxa"/>
            <w:tcBorders>
              <w:top w:val="nil"/>
              <w:left w:val="nil"/>
              <w:bottom w:val="nil"/>
              <w:right w:val="nil"/>
            </w:tcBorders>
            <w:shd w:val="clear" w:color="auto" w:fill="auto"/>
            <w:noWrap/>
            <w:vAlign w:val="bottom"/>
            <w:hideMark/>
          </w:tcPr>
          <w:p w:rsidRPr="00C5308E" w:rsidR="009E40FF" w:rsidP="00D87753" w:rsidRDefault="009E40FF" w14:paraId="793348A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Tijdelijke verlenging IPS-regeling gemeentelĳke doelgroep</w:t>
            </w:r>
          </w:p>
        </w:tc>
        <w:tc>
          <w:tcPr>
            <w:tcW w:w="753" w:type="dxa"/>
            <w:tcBorders>
              <w:top w:val="nil"/>
              <w:left w:val="nil"/>
              <w:bottom w:val="nil"/>
              <w:right w:val="nil"/>
            </w:tcBorders>
            <w:shd w:val="clear" w:color="auto" w:fill="auto"/>
            <w:noWrap/>
            <w:hideMark/>
          </w:tcPr>
          <w:p w:rsidRPr="00C5308E" w:rsidR="009E40FF" w:rsidP="00D87753" w:rsidRDefault="009E40FF" w14:paraId="3F767BF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bottom w:val="nil"/>
              <w:right w:val="nil"/>
            </w:tcBorders>
            <w:shd w:val="clear" w:color="auto" w:fill="auto"/>
            <w:noWrap/>
            <w:hideMark/>
          </w:tcPr>
          <w:p w:rsidRPr="00C5308E" w:rsidR="009E40FF" w:rsidP="00D87753" w:rsidRDefault="009E40FF" w14:paraId="3F7DA79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753" w:type="dxa"/>
            <w:tcBorders>
              <w:top w:val="nil"/>
              <w:left w:val="nil"/>
              <w:bottom w:val="nil"/>
              <w:right w:val="nil"/>
            </w:tcBorders>
            <w:shd w:val="clear" w:color="auto" w:fill="auto"/>
            <w:noWrap/>
            <w:hideMark/>
          </w:tcPr>
          <w:p w:rsidRPr="00C5308E" w:rsidR="009E40FF" w:rsidP="00D87753" w:rsidRDefault="009E40FF" w14:paraId="529319E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w:t>
            </w:r>
          </w:p>
        </w:tc>
        <w:tc>
          <w:tcPr>
            <w:tcW w:w="753" w:type="dxa"/>
            <w:tcBorders>
              <w:top w:val="nil"/>
              <w:left w:val="nil"/>
              <w:bottom w:val="nil"/>
              <w:right w:val="nil"/>
            </w:tcBorders>
            <w:shd w:val="clear" w:color="auto" w:fill="auto"/>
            <w:noWrap/>
            <w:hideMark/>
          </w:tcPr>
          <w:p w:rsidRPr="00C5308E" w:rsidR="009E40FF" w:rsidP="00D87753" w:rsidRDefault="009E40FF" w14:paraId="7056A3A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bottom w:val="nil"/>
              <w:right w:val="nil"/>
            </w:tcBorders>
            <w:shd w:val="clear" w:color="auto" w:fill="auto"/>
            <w:noWrap/>
            <w:hideMark/>
          </w:tcPr>
          <w:p w:rsidRPr="00C5308E" w:rsidR="009E40FF" w:rsidP="00D87753" w:rsidRDefault="009E40FF" w14:paraId="46D09EC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bottom w:val="nil"/>
              <w:right w:val="nil"/>
            </w:tcBorders>
            <w:shd w:val="clear" w:color="auto" w:fill="auto"/>
            <w:noWrap/>
            <w:hideMark/>
          </w:tcPr>
          <w:p w:rsidRPr="00C5308E" w:rsidR="009E40FF" w:rsidP="00D87753" w:rsidRDefault="009E40FF" w14:paraId="4C68D83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381BF1F2" w14:textId="77777777">
        <w:trPr>
          <w:trHeight w:val="228"/>
        </w:trPr>
        <w:tc>
          <w:tcPr>
            <w:tcW w:w="491" w:type="dxa"/>
            <w:tcBorders>
              <w:top w:val="nil"/>
              <w:left w:val="nil"/>
              <w:right w:val="nil"/>
            </w:tcBorders>
            <w:shd w:val="clear" w:color="auto" w:fill="auto"/>
            <w:noWrap/>
            <w:hideMark/>
          </w:tcPr>
          <w:p w:rsidRPr="00C5308E" w:rsidR="009E40FF" w:rsidP="00D87753" w:rsidRDefault="009E40FF" w14:paraId="49898A7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11.</w:t>
            </w:r>
          </w:p>
        </w:tc>
        <w:tc>
          <w:tcPr>
            <w:tcW w:w="5502" w:type="dxa"/>
            <w:tcBorders>
              <w:top w:val="nil"/>
              <w:left w:val="nil"/>
              <w:right w:val="nil"/>
            </w:tcBorders>
            <w:shd w:val="clear" w:color="auto" w:fill="auto"/>
            <w:noWrap/>
            <w:vAlign w:val="bottom"/>
            <w:hideMark/>
          </w:tcPr>
          <w:p w:rsidRPr="00C5308E" w:rsidR="009E40FF" w:rsidP="00D87753" w:rsidRDefault="009E40FF" w14:paraId="3C927E7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Tĳdelĳke verlenging energiefonds</w:t>
            </w:r>
          </w:p>
        </w:tc>
        <w:tc>
          <w:tcPr>
            <w:tcW w:w="753" w:type="dxa"/>
            <w:tcBorders>
              <w:top w:val="nil"/>
              <w:left w:val="nil"/>
              <w:right w:val="nil"/>
            </w:tcBorders>
            <w:shd w:val="clear" w:color="auto" w:fill="auto"/>
            <w:noWrap/>
            <w:hideMark/>
          </w:tcPr>
          <w:p w:rsidRPr="00C5308E" w:rsidR="009E40FF" w:rsidP="00D87753" w:rsidRDefault="009E40FF" w14:paraId="5B0A05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w:t>
            </w:r>
          </w:p>
        </w:tc>
        <w:tc>
          <w:tcPr>
            <w:tcW w:w="753" w:type="dxa"/>
            <w:tcBorders>
              <w:top w:val="nil"/>
              <w:left w:val="nil"/>
              <w:right w:val="nil"/>
            </w:tcBorders>
            <w:shd w:val="clear" w:color="auto" w:fill="auto"/>
            <w:noWrap/>
            <w:hideMark/>
          </w:tcPr>
          <w:p w:rsidRPr="00C5308E" w:rsidR="009E40FF" w:rsidP="00D87753" w:rsidRDefault="009E40FF" w14:paraId="2A93250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w:t>
            </w:r>
          </w:p>
        </w:tc>
        <w:tc>
          <w:tcPr>
            <w:tcW w:w="753" w:type="dxa"/>
            <w:tcBorders>
              <w:top w:val="nil"/>
              <w:left w:val="nil"/>
              <w:right w:val="nil"/>
            </w:tcBorders>
            <w:shd w:val="clear" w:color="auto" w:fill="auto"/>
            <w:noWrap/>
            <w:hideMark/>
          </w:tcPr>
          <w:p w:rsidRPr="00C5308E" w:rsidR="009E40FF" w:rsidP="00D87753" w:rsidRDefault="009E40FF" w14:paraId="69FF562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hideMark/>
          </w:tcPr>
          <w:p w:rsidRPr="00C5308E" w:rsidR="009E40FF" w:rsidP="00D87753" w:rsidRDefault="009E40FF" w14:paraId="0398F84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hideMark/>
          </w:tcPr>
          <w:p w:rsidRPr="00C5308E" w:rsidR="009E40FF" w:rsidP="00D87753" w:rsidRDefault="009E40FF" w14:paraId="1E78802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right w:val="nil"/>
            </w:tcBorders>
            <w:shd w:val="clear" w:color="auto" w:fill="auto"/>
            <w:noWrap/>
            <w:hideMark/>
          </w:tcPr>
          <w:p w:rsidRPr="00C5308E" w:rsidR="009E40FF" w:rsidP="00D87753" w:rsidRDefault="009E40FF" w14:paraId="0FD9F86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320F5ADD" w14:textId="77777777">
        <w:trPr>
          <w:trHeight w:val="228"/>
        </w:trPr>
        <w:tc>
          <w:tcPr>
            <w:tcW w:w="491" w:type="dxa"/>
            <w:tcBorders>
              <w:top w:val="nil"/>
              <w:left w:val="nil"/>
              <w:right w:val="nil"/>
            </w:tcBorders>
            <w:shd w:val="clear" w:color="auto" w:fill="auto"/>
            <w:noWrap/>
          </w:tcPr>
          <w:p w:rsidRPr="00C5308E" w:rsidR="009E40FF" w:rsidP="00D87753" w:rsidRDefault="009E40FF" w14:paraId="231D98EC" w14:textId="77777777">
            <w:pPr>
              <w:spacing w:after="0" w:line="240" w:lineRule="auto"/>
              <w:contextualSpacing/>
              <w:jc w:val="right"/>
              <w:rPr>
                <w:rFonts w:ascii="Verdana" w:hAnsi="Verdana" w:eastAsia="Times New Roman" w:cs="Calibri"/>
                <w:bCs/>
                <w:color w:val="000000"/>
                <w:sz w:val="18"/>
                <w:szCs w:val="18"/>
                <w:lang w:eastAsia="nl-NL"/>
              </w:rPr>
            </w:pPr>
          </w:p>
        </w:tc>
        <w:tc>
          <w:tcPr>
            <w:tcW w:w="5502" w:type="dxa"/>
            <w:tcBorders>
              <w:top w:val="nil"/>
              <w:left w:val="nil"/>
              <w:right w:val="nil"/>
            </w:tcBorders>
            <w:shd w:val="clear" w:color="auto" w:fill="auto"/>
            <w:noWrap/>
            <w:vAlign w:val="bottom"/>
          </w:tcPr>
          <w:p w:rsidRPr="00C5308E" w:rsidR="009E40FF" w:rsidP="00D87753" w:rsidRDefault="009E40FF" w14:paraId="41805E91" w14:textId="77777777">
            <w:pPr>
              <w:spacing w:after="0" w:line="240" w:lineRule="auto"/>
              <w:contextualSpacing/>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74B8A96E"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6B48C91C"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62582397"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6A5A51C3"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25FF93FD" w14:textId="77777777">
            <w:pPr>
              <w:spacing w:after="0" w:line="240" w:lineRule="auto"/>
              <w:contextualSpacing/>
              <w:jc w:val="right"/>
              <w:rPr>
                <w:rFonts w:ascii="Verdana" w:hAnsi="Verdana" w:eastAsia="Times New Roman" w:cs="Calibri"/>
                <w:bCs/>
                <w:color w:val="000000"/>
                <w:sz w:val="18"/>
                <w:szCs w:val="18"/>
                <w:lang w:eastAsia="nl-NL"/>
              </w:rPr>
            </w:pPr>
          </w:p>
        </w:tc>
        <w:tc>
          <w:tcPr>
            <w:tcW w:w="837" w:type="dxa"/>
            <w:tcBorders>
              <w:top w:val="nil"/>
              <w:left w:val="nil"/>
              <w:right w:val="nil"/>
            </w:tcBorders>
            <w:shd w:val="clear" w:color="auto" w:fill="auto"/>
            <w:noWrap/>
          </w:tcPr>
          <w:p w:rsidRPr="00C5308E" w:rsidR="009E40FF" w:rsidP="00D87753" w:rsidRDefault="009E40FF" w14:paraId="58DD04D6" w14:textId="77777777">
            <w:pPr>
              <w:spacing w:after="0" w:line="240" w:lineRule="auto"/>
              <w:contextualSpacing/>
              <w:jc w:val="right"/>
              <w:rPr>
                <w:rFonts w:ascii="Verdana" w:hAnsi="Verdana" w:eastAsia="Times New Roman" w:cs="Calibri"/>
                <w:bCs/>
                <w:color w:val="000000"/>
                <w:sz w:val="18"/>
                <w:szCs w:val="18"/>
                <w:lang w:eastAsia="nl-NL"/>
              </w:rPr>
            </w:pPr>
          </w:p>
        </w:tc>
      </w:tr>
      <w:tr w:rsidRPr="00C5308E" w:rsidR="009E40FF" w:rsidTr="00B504A7" w14:paraId="41FCFA43" w14:textId="77777777">
        <w:trPr>
          <w:trHeight w:val="228"/>
        </w:trPr>
        <w:tc>
          <w:tcPr>
            <w:tcW w:w="491" w:type="dxa"/>
            <w:tcBorders>
              <w:top w:val="nil"/>
              <w:left w:val="nil"/>
              <w:right w:val="nil"/>
            </w:tcBorders>
            <w:shd w:val="clear" w:color="auto" w:fill="auto"/>
            <w:noWrap/>
          </w:tcPr>
          <w:p w:rsidRPr="00C5308E" w:rsidR="009E40FF" w:rsidP="00D87753" w:rsidRDefault="009E40FF" w14:paraId="121D90F4" w14:textId="77777777">
            <w:pPr>
              <w:spacing w:after="0" w:line="240" w:lineRule="auto"/>
              <w:contextualSpacing/>
              <w:jc w:val="right"/>
              <w:rPr>
                <w:rFonts w:ascii="Verdana" w:hAnsi="Verdana" w:eastAsia="Times New Roman" w:cs="Calibri"/>
                <w:bCs/>
                <w:color w:val="000000"/>
                <w:sz w:val="18"/>
                <w:szCs w:val="18"/>
                <w:lang w:eastAsia="nl-NL"/>
              </w:rPr>
            </w:pPr>
          </w:p>
        </w:tc>
        <w:tc>
          <w:tcPr>
            <w:tcW w:w="5502" w:type="dxa"/>
            <w:tcBorders>
              <w:top w:val="nil"/>
              <w:left w:val="nil"/>
              <w:right w:val="nil"/>
            </w:tcBorders>
            <w:shd w:val="clear" w:color="auto" w:fill="auto"/>
            <w:noWrap/>
            <w:vAlign w:val="bottom"/>
          </w:tcPr>
          <w:p w:rsidRPr="00C5308E" w:rsidR="009E40FF" w:rsidP="00D87753" w:rsidRDefault="009E40FF" w14:paraId="134E8AC1" w14:textId="77777777">
            <w:pPr>
              <w:spacing w:after="0"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Voorjaarsbesluitvorming 2025</w:t>
            </w:r>
          </w:p>
        </w:tc>
        <w:tc>
          <w:tcPr>
            <w:tcW w:w="753" w:type="dxa"/>
            <w:tcBorders>
              <w:top w:val="nil"/>
              <w:left w:val="nil"/>
              <w:right w:val="nil"/>
            </w:tcBorders>
            <w:shd w:val="clear" w:color="auto" w:fill="auto"/>
            <w:noWrap/>
          </w:tcPr>
          <w:p w:rsidRPr="00C5308E" w:rsidR="009E40FF" w:rsidP="00D87753" w:rsidRDefault="009E40FF" w14:paraId="472DC4BC"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41E14A19"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7AE466D6"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274A2411" w14:textId="77777777">
            <w:pPr>
              <w:spacing w:after="0" w:line="240" w:lineRule="auto"/>
              <w:contextualSpacing/>
              <w:jc w:val="right"/>
              <w:rPr>
                <w:rFonts w:ascii="Verdana" w:hAnsi="Verdana" w:eastAsia="Times New Roman" w:cs="Calibri"/>
                <w:bCs/>
                <w:color w:val="000000"/>
                <w:sz w:val="18"/>
                <w:szCs w:val="18"/>
                <w:lang w:eastAsia="nl-NL"/>
              </w:rPr>
            </w:pPr>
          </w:p>
        </w:tc>
        <w:tc>
          <w:tcPr>
            <w:tcW w:w="753" w:type="dxa"/>
            <w:tcBorders>
              <w:top w:val="nil"/>
              <w:left w:val="nil"/>
              <w:right w:val="nil"/>
            </w:tcBorders>
            <w:shd w:val="clear" w:color="auto" w:fill="auto"/>
            <w:noWrap/>
          </w:tcPr>
          <w:p w:rsidRPr="00C5308E" w:rsidR="009E40FF" w:rsidP="00D87753" w:rsidRDefault="009E40FF" w14:paraId="6256719F" w14:textId="77777777">
            <w:pPr>
              <w:spacing w:after="0" w:line="240" w:lineRule="auto"/>
              <w:contextualSpacing/>
              <w:jc w:val="right"/>
              <w:rPr>
                <w:rFonts w:ascii="Verdana" w:hAnsi="Verdana" w:eastAsia="Times New Roman" w:cs="Calibri"/>
                <w:bCs/>
                <w:color w:val="000000"/>
                <w:sz w:val="18"/>
                <w:szCs w:val="18"/>
                <w:lang w:eastAsia="nl-NL"/>
              </w:rPr>
            </w:pPr>
          </w:p>
        </w:tc>
        <w:tc>
          <w:tcPr>
            <w:tcW w:w="837" w:type="dxa"/>
            <w:tcBorders>
              <w:top w:val="nil"/>
              <w:left w:val="nil"/>
              <w:right w:val="nil"/>
            </w:tcBorders>
            <w:shd w:val="clear" w:color="auto" w:fill="auto"/>
            <w:noWrap/>
          </w:tcPr>
          <w:p w:rsidRPr="00C5308E" w:rsidR="009E40FF" w:rsidP="00D87753" w:rsidRDefault="009E40FF" w14:paraId="2951CB9C" w14:textId="77777777">
            <w:pPr>
              <w:spacing w:after="0" w:line="240" w:lineRule="auto"/>
              <w:contextualSpacing/>
              <w:jc w:val="right"/>
              <w:rPr>
                <w:rFonts w:ascii="Verdana" w:hAnsi="Verdana" w:eastAsia="Times New Roman" w:cs="Calibri"/>
                <w:bCs/>
                <w:color w:val="000000"/>
                <w:sz w:val="18"/>
                <w:szCs w:val="18"/>
                <w:lang w:eastAsia="nl-NL"/>
              </w:rPr>
            </w:pPr>
          </w:p>
        </w:tc>
      </w:tr>
      <w:tr w:rsidRPr="00C5308E" w:rsidR="009E40FF" w:rsidTr="00B504A7" w14:paraId="180D7436" w14:textId="77777777">
        <w:trPr>
          <w:trHeight w:val="228"/>
        </w:trPr>
        <w:tc>
          <w:tcPr>
            <w:tcW w:w="491" w:type="dxa"/>
            <w:tcBorders>
              <w:top w:val="nil"/>
              <w:left w:val="nil"/>
              <w:right w:val="nil"/>
            </w:tcBorders>
            <w:shd w:val="clear" w:color="auto" w:fill="auto"/>
            <w:noWrap/>
          </w:tcPr>
          <w:p w:rsidRPr="00C5308E" w:rsidR="009E40FF" w:rsidP="00D87753" w:rsidRDefault="009E40FF" w14:paraId="2119A6F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5502" w:type="dxa"/>
            <w:tcBorders>
              <w:top w:val="nil"/>
              <w:left w:val="nil"/>
              <w:right w:val="nil"/>
            </w:tcBorders>
            <w:shd w:val="clear" w:color="auto" w:fill="auto"/>
            <w:noWrap/>
            <w:vAlign w:val="bottom"/>
          </w:tcPr>
          <w:p w:rsidRPr="00C5308E" w:rsidR="009E40FF" w:rsidP="00D87753" w:rsidRDefault="009E40FF" w14:paraId="70274EA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Ontwikkeling arbeidsvermogen afgewezen Wajongeren</w:t>
            </w:r>
          </w:p>
        </w:tc>
        <w:tc>
          <w:tcPr>
            <w:tcW w:w="753" w:type="dxa"/>
            <w:tcBorders>
              <w:top w:val="nil"/>
              <w:left w:val="nil"/>
              <w:right w:val="nil"/>
            </w:tcBorders>
            <w:shd w:val="clear" w:color="auto" w:fill="auto"/>
            <w:noWrap/>
          </w:tcPr>
          <w:p w:rsidRPr="00C5308E" w:rsidR="009E40FF" w:rsidP="00D87753" w:rsidRDefault="009E40FF" w14:paraId="2F00953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4468217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69D9841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right w:val="nil"/>
            </w:tcBorders>
            <w:shd w:val="clear" w:color="auto" w:fill="auto"/>
            <w:noWrap/>
          </w:tcPr>
          <w:p w:rsidRPr="00C5308E" w:rsidR="009E40FF" w:rsidP="00D87753" w:rsidRDefault="009E40FF" w14:paraId="58AD2B5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w:t>
            </w:r>
          </w:p>
        </w:tc>
        <w:tc>
          <w:tcPr>
            <w:tcW w:w="753" w:type="dxa"/>
            <w:tcBorders>
              <w:top w:val="nil"/>
              <w:left w:val="nil"/>
              <w:right w:val="nil"/>
            </w:tcBorders>
            <w:shd w:val="clear" w:color="auto" w:fill="auto"/>
            <w:noWrap/>
          </w:tcPr>
          <w:p w:rsidRPr="00C5308E" w:rsidR="009E40FF" w:rsidP="00D87753" w:rsidRDefault="009E40FF" w14:paraId="066573C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13</w:t>
            </w:r>
          </w:p>
        </w:tc>
        <w:tc>
          <w:tcPr>
            <w:tcW w:w="837" w:type="dxa"/>
            <w:tcBorders>
              <w:top w:val="nil"/>
              <w:left w:val="nil"/>
              <w:right w:val="nil"/>
            </w:tcBorders>
            <w:shd w:val="clear" w:color="auto" w:fill="auto"/>
            <w:noWrap/>
          </w:tcPr>
          <w:p w:rsidRPr="00C5308E" w:rsidR="009E40FF" w:rsidP="00D87753" w:rsidRDefault="009E40FF" w14:paraId="7D17E08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29</w:t>
            </w:r>
          </w:p>
        </w:tc>
      </w:tr>
      <w:tr w:rsidRPr="00C5308E" w:rsidR="009E40FF" w:rsidTr="00B504A7" w14:paraId="594C496C" w14:textId="77777777">
        <w:trPr>
          <w:trHeight w:val="228"/>
        </w:trPr>
        <w:tc>
          <w:tcPr>
            <w:tcW w:w="491" w:type="dxa"/>
            <w:tcBorders>
              <w:top w:val="nil"/>
              <w:left w:val="nil"/>
              <w:right w:val="nil"/>
            </w:tcBorders>
            <w:shd w:val="clear" w:color="auto" w:fill="auto"/>
            <w:noWrap/>
          </w:tcPr>
          <w:p w:rsidRPr="00C5308E" w:rsidR="009E40FF" w:rsidP="00D87753" w:rsidRDefault="009E40FF" w14:paraId="572FF51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13.</w:t>
            </w:r>
          </w:p>
        </w:tc>
        <w:tc>
          <w:tcPr>
            <w:tcW w:w="5502" w:type="dxa"/>
            <w:tcBorders>
              <w:top w:val="nil"/>
              <w:left w:val="nil"/>
              <w:right w:val="nil"/>
            </w:tcBorders>
            <w:shd w:val="clear" w:color="auto" w:fill="auto"/>
            <w:noWrap/>
            <w:vAlign w:val="bottom"/>
          </w:tcPr>
          <w:p w:rsidRPr="00C5308E" w:rsidR="009E40FF" w:rsidP="00D87753" w:rsidRDefault="009E40FF" w14:paraId="65DA330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Structurele verlenging IPS-regeling gemeentelijke doelgroep</w:t>
            </w:r>
          </w:p>
        </w:tc>
        <w:tc>
          <w:tcPr>
            <w:tcW w:w="753" w:type="dxa"/>
            <w:tcBorders>
              <w:top w:val="nil"/>
              <w:left w:val="nil"/>
              <w:right w:val="nil"/>
            </w:tcBorders>
            <w:shd w:val="clear" w:color="auto" w:fill="auto"/>
            <w:noWrap/>
          </w:tcPr>
          <w:p w:rsidRPr="00C5308E" w:rsidR="009E40FF" w:rsidP="00D87753" w:rsidRDefault="009E40FF" w14:paraId="7EE515F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3588B74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w:t>
            </w:r>
          </w:p>
        </w:tc>
        <w:tc>
          <w:tcPr>
            <w:tcW w:w="753" w:type="dxa"/>
            <w:tcBorders>
              <w:top w:val="nil"/>
              <w:left w:val="nil"/>
              <w:right w:val="nil"/>
            </w:tcBorders>
            <w:shd w:val="clear" w:color="auto" w:fill="auto"/>
            <w:noWrap/>
          </w:tcPr>
          <w:p w:rsidRPr="00C5308E" w:rsidR="009E40FF" w:rsidP="00D87753" w:rsidRDefault="009E40FF" w14:paraId="58EC76C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c>
          <w:tcPr>
            <w:tcW w:w="753" w:type="dxa"/>
            <w:tcBorders>
              <w:top w:val="nil"/>
              <w:left w:val="nil"/>
              <w:right w:val="nil"/>
            </w:tcBorders>
            <w:shd w:val="clear" w:color="auto" w:fill="auto"/>
            <w:noWrap/>
          </w:tcPr>
          <w:p w:rsidRPr="00C5308E" w:rsidR="009E40FF" w:rsidP="00D87753" w:rsidRDefault="009E40FF" w14:paraId="0296D6B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c>
          <w:tcPr>
            <w:tcW w:w="753" w:type="dxa"/>
            <w:tcBorders>
              <w:top w:val="nil"/>
              <w:left w:val="nil"/>
              <w:right w:val="nil"/>
            </w:tcBorders>
            <w:shd w:val="clear" w:color="auto" w:fill="auto"/>
            <w:noWrap/>
          </w:tcPr>
          <w:p w:rsidRPr="00C5308E" w:rsidR="009E40FF" w:rsidP="00D87753" w:rsidRDefault="009E40FF" w14:paraId="6FB8EDF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c>
          <w:tcPr>
            <w:tcW w:w="837" w:type="dxa"/>
            <w:tcBorders>
              <w:top w:val="nil"/>
              <w:left w:val="nil"/>
              <w:right w:val="nil"/>
            </w:tcBorders>
            <w:shd w:val="clear" w:color="auto" w:fill="auto"/>
            <w:noWrap/>
          </w:tcPr>
          <w:p w:rsidRPr="00C5308E" w:rsidR="009E40FF" w:rsidP="00D87753" w:rsidRDefault="009E40FF" w14:paraId="248D3C3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9E40FF" w:rsidTr="00B504A7" w14:paraId="14640206" w14:textId="77777777">
        <w:trPr>
          <w:trHeight w:val="228"/>
        </w:trPr>
        <w:tc>
          <w:tcPr>
            <w:tcW w:w="491" w:type="dxa"/>
            <w:tcBorders>
              <w:top w:val="nil"/>
              <w:left w:val="nil"/>
              <w:right w:val="nil"/>
            </w:tcBorders>
            <w:shd w:val="clear" w:color="auto" w:fill="auto"/>
            <w:noWrap/>
          </w:tcPr>
          <w:p w:rsidRPr="00C5308E" w:rsidR="009E40FF" w:rsidP="00D87753" w:rsidRDefault="009E40FF" w14:paraId="5EA9919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c>
          <w:tcPr>
            <w:tcW w:w="5502" w:type="dxa"/>
            <w:tcBorders>
              <w:top w:val="nil"/>
              <w:left w:val="nil"/>
              <w:right w:val="nil"/>
            </w:tcBorders>
            <w:shd w:val="clear" w:color="auto" w:fill="auto"/>
            <w:noWrap/>
            <w:vAlign w:val="bottom"/>
          </w:tcPr>
          <w:p w:rsidRPr="00C5308E" w:rsidR="009E40FF" w:rsidP="00D87753" w:rsidRDefault="009E40FF" w14:paraId="2A435A7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Inkomensafhankelijke kindregeling en plusopvang CN</w:t>
            </w:r>
          </w:p>
        </w:tc>
        <w:tc>
          <w:tcPr>
            <w:tcW w:w="753" w:type="dxa"/>
            <w:tcBorders>
              <w:top w:val="nil"/>
              <w:left w:val="nil"/>
              <w:right w:val="nil"/>
            </w:tcBorders>
            <w:shd w:val="clear" w:color="auto" w:fill="auto"/>
            <w:noWrap/>
          </w:tcPr>
          <w:p w:rsidRPr="00C5308E" w:rsidR="009E40FF" w:rsidP="00D87753" w:rsidRDefault="009E40FF" w14:paraId="74F391A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right w:val="nil"/>
            </w:tcBorders>
            <w:shd w:val="clear" w:color="auto" w:fill="auto"/>
            <w:noWrap/>
          </w:tcPr>
          <w:p w:rsidRPr="00C5308E" w:rsidR="009E40FF" w:rsidP="00D87753" w:rsidRDefault="009E40FF" w14:paraId="3F27938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right w:val="nil"/>
            </w:tcBorders>
            <w:shd w:val="clear" w:color="auto" w:fill="auto"/>
            <w:noWrap/>
          </w:tcPr>
          <w:p w:rsidRPr="00C5308E" w:rsidR="009E40FF" w:rsidP="00D87753" w:rsidRDefault="009E40FF" w14:paraId="6C527BA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753" w:type="dxa"/>
            <w:tcBorders>
              <w:top w:val="nil"/>
              <w:left w:val="nil"/>
              <w:right w:val="nil"/>
            </w:tcBorders>
            <w:shd w:val="clear" w:color="auto" w:fill="auto"/>
            <w:noWrap/>
          </w:tcPr>
          <w:p w:rsidRPr="00C5308E" w:rsidR="009E40FF" w:rsidP="00D87753" w:rsidRDefault="009E40FF" w14:paraId="335D99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753" w:type="dxa"/>
            <w:tcBorders>
              <w:top w:val="nil"/>
              <w:left w:val="nil"/>
              <w:right w:val="nil"/>
            </w:tcBorders>
            <w:shd w:val="clear" w:color="auto" w:fill="auto"/>
            <w:noWrap/>
          </w:tcPr>
          <w:p w:rsidRPr="00C5308E" w:rsidR="009E40FF" w:rsidP="00D87753" w:rsidRDefault="009E40FF" w14:paraId="28C6096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837" w:type="dxa"/>
            <w:tcBorders>
              <w:top w:val="nil"/>
              <w:left w:val="nil"/>
              <w:right w:val="nil"/>
            </w:tcBorders>
            <w:shd w:val="clear" w:color="auto" w:fill="auto"/>
            <w:noWrap/>
          </w:tcPr>
          <w:p w:rsidRPr="00C5308E" w:rsidR="009E40FF" w:rsidP="00D87753" w:rsidRDefault="009E40FF" w14:paraId="5063814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r>
      <w:tr w:rsidRPr="00C5308E" w:rsidR="009E40FF" w:rsidTr="00B504A7" w14:paraId="06EB4B6B" w14:textId="77777777">
        <w:trPr>
          <w:trHeight w:val="228"/>
        </w:trPr>
        <w:tc>
          <w:tcPr>
            <w:tcW w:w="491" w:type="dxa"/>
            <w:tcBorders>
              <w:top w:val="nil"/>
              <w:left w:val="nil"/>
              <w:right w:val="nil"/>
            </w:tcBorders>
            <w:shd w:val="clear" w:color="auto" w:fill="auto"/>
            <w:noWrap/>
          </w:tcPr>
          <w:p w:rsidRPr="00C5308E" w:rsidR="009E40FF" w:rsidP="00D87753" w:rsidRDefault="009E40FF" w14:paraId="5BAE699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15.</w:t>
            </w:r>
          </w:p>
        </w:tc>
        <w:tc>
          <w:tcPr>
            <w:tcW w:w="5502" w:type="dxa"/>
            <w:tcBorders>
              <w:top w:val="nil"/>
              <w:left w:val="nil"/>
              <w:right w:val="nil"/>
            </w:tcBorders>
            <w:shd w:val="clear" w:color="auto" w:fill="auto"/>
            <w:noWrap/>
            <w:vAlign w:val="bottom"/>
          </w:tcPr>
          <w:p w:rsidRPr="00C5308E" w:rsidR="009E40FF" w:rsidP="00D87753" w:rsidRDefault="009E40FF" w14:paraId="4D165FC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Werken met een arbeidsbeperking CN</w:t>
            </w:r>
          </w:p>
        </w:tc>
        <w:tc>
          <w:tcPr>
            <w:tcW w:w="753" w:type="dxa"/>
            <w:tcBorders>
              <w:top w:val="nil"/>
              <w:left w:val="nil"/>
              <w:right w:val="nil"/>
            </w:tcBorders>
            <w:shd w:val="clear" w:color="auto" w:fill="auto"/>
            <w:noWrap/>
          </w:tcPr>
          <w:p w:rsidRPr="00C5308E" w:rsidR="009E40FF" w:rsidP="00D87753" w:rsidRDefault="009E40FF" w14:paraId="6E6675B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6BBFE94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right w:val="nil"/>
            </w:tcBorders>
            <w:shd w:val="clear" w:color="auto" w:fill="auto"/>
            <w:noWrap/>
          </w:tcPr>
          <w:p w:rsidRPr="00C5308E" w:rsidR="009E40FF" w:rsidP="00D87753" w:rsidRDefault="009E40FF" w14:paraId="3C65B20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right w:val="nil"/>
            </w:tcBorders>
            <w:shd w:val="clear" w:color="auto" w:fill="auto"/>
            <w:noWrap/>
          </w:tcPr>
          <w:p w:rsidRPr="00C5308E" w:rsidR="009E40FF" w:rsidP="00D87753" w:rsidRDefault="009E40FF" w14:paraId="246C3B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right w:val="nil"/>
            </w:tcBorders>
            <w:shd w:val="clear" w:color="auto" w:fill="auto"/>
            <w:noWrap/>
          </w:tcPr>
          <w:p w:rsidRPr="00C5308E" w:rsidR="009E40FF" w:rsidP="00D87753" w:rsidRDefault="009E40FF" w14:paraId="6722EAA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837" w:type="dxa"/>
            <w:tcBorders>
              <w:top w:val="nil"/>
              <w:left w:val="nil"/>
              <w:right w:val="nil"/>
            </w:tcBorders>
            <w:shd w:val="clear" w:color="auto" w:fill="auto"/>
            <w:noWrap/>
          </w:tcPr>
          <w:p w:rsidRPr="00C5308E" w:rsidR="009E40FF" w:rsidP="00D87753" w:rsidRDefault="009E40FF" w14:paraId="419186C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r>
      <w:tr w:rsidRPr="00C5308E" w:rsidR="009E40FF" w:rsidTr="00B504A7" w14:paraId="44BA3824" w14:textId="77777777">
        <w:trPr>
          <w:trHeight w:val="228"/>
        </w:trPr>
        <w:tc>
          <w:tcPr>
            <w:tcW w:w="491" w:type="dxa"/>
            <w:tcBorders>
              <w:top w:val="nil"/>
              <w:left w:val="nil"/>
              <w:right w:val="nil"/>
            </w:tcBorders>
            <w:shd w:val="clear" w:color="auto" w:fill="auto"/>
            <w:noWrap/>
          </w:tcPr>
          <w:p w:rsidRPr="00C5308E" w:rsidR="009E40FF" w:rsidP="00D87753" w:rsidRDefault="009E40FF" w14:paraId="0BB90F4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w:t>
            </w:r>
          </w:p>
        </w:tc>
        <w:tc>
          <w:tcPr>
            <w:tcW w:w="5502" w:type="dxa"/>
            <w:tcBorders>
              <w:top w:val="nil"/>
              <w:left w:val="nil"/>
              <w:right w:val="nil"/>
            </w:tcBorders>
            <w:shd w:val="clear" w:color="auto" w:fill="auto"/>
            <w:noWrap/>
            <w:vAlign w:val="bottom"/>
          </w:tcPr>
          <w:p w:rsidRPr="00C5308E" w:rsidR="009E40FF" w:rsidP="00D87753" w:rsidRDefault="009E40FF" w14:paraId="558BF49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Financiering sociaal ontwikkelbedrijven</w:t>
            </w:r>
          </w:p>
        </w:tc>
        <w:tc>
          <w:tcPr>
            <w:tcW w:w="753" w:type="dxa"/>
            <w:tcBorders>
              <w:top w:val="nil"/>
              <w:left w:val="nil"/>
              <w:right w:val="nil"/>
            </w:tcBorders>
            <w:shd w:val="clear" w:color="auto" w:fill="auto"/>
            <w:noWrap/>
          </w:tcPr>
          <w:p w:rsidRPr="00C5308E" w:rsidR="009E40FF" w:rsidP="00D87753" w:rsidRDefault="009E40FF" w14:paraId="7533A1A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w:t>
            </w:r>
          </w:p>
        </w:tc>
        <w:tc>
          <w:tcPr>
            <w:tcW w:w="753" w:type="dxa"/>
            <w:tcBorders>
              <w:top w:val="nil"/>
              <w:left w:val="nil"/>
              <w:right w:val="nil"/>
            </w:tcBorders>
            <w:shd w:val="clear" w:color="auto" w:fill="auto"/>
            <w:noWrap/>
          </w:tcPr>
          <w:p w:rsidRPr="00C5308E" w:rsidR="009E40FF" w:rsidP="00D87753" w:rsidRDefault="009E40FF" w14:paraId="58CE024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37</w:t>
            </w:r>
          </w:p>
        </w:tc>
        <w:tc>
          <w:tcPr>
            <w:tcW w:w="753" w:type="dxa"/>
            <w:tcBorders>
              <w:top w:val="nil"/>
              <w:left w:val="nil"/>
              <w:right w:val="nil"/>
            </w:tcBorders>
            <w:shd w:val="clear" w:color="auto" w:fill="auto"/>
            <w:noWrap/>
          </w:tcPr>
          <w:p w:rsidRPr="00C5308E" w:rsidR="009E40FF" w:rsidP="00D87753" w:rsidRDefault="009E40FF" w14:paraId="723A19A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753" w:type="dxa"/>
            <w:tcBorders>
              <w:top w:val="nil"/>
              <w:left w:val="nil"/>
              <w:right w:val="nil"/>
            </w:tcBorders>
            <w:shd w:val="clear" w:color="auto" w:fill="auto"/>
            <w:noWrap/>
          </w:tcPr>
          <w:p w:rsidRPr="00C5308E" w:rsidR="009E40FF" w:rsidP="00D87753" w:rsidRDefault="009E40FF" w14:paraId="39F7474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42</w:t>
            </w:r>
          </w:p>
        </w:tc>
        <w:tc>
          <w:tcPr>
            <w:tcW w:w="753" w:type="dxa"/>
            <w:tcBorders>
              <w:top w:val="nil"/>
              <w:left w:val="nil"/>
              <w:right w:val="nil"/>
            </w:tcBorders>
            <w:shd w:val="clear" w:color="auto" w:fill="auto"/>
            <w:noWrap/>
          </w:tcPr>
          <w:p w:rsidRPr="00C5308E" w:rsidR="009E40FF" w:rsidP="00D87753" w:rsidRDefault="009E40FF" w14:paraId="5E7560F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44</w:t>
            </w:r>
          </w:p>
        </w:tc>
        <w:tc>
          <w:tcPr>
            <w:tcW w:w="837" w:type="dxa"/>
            <w:tcBorders>
              <w:top w:val="nil"/>
              <w:left w:val="nil"/>
              <w:right w:val="nil"/>
            </w:tcBorders>
            <w:shd w:val="clear" w:color="auto" w:fill="auto"/>
            <w:noWrap/>
          </w:tcPr>
          <w:p w:rsidRPr="00C5308E" w:rsidR="009E40FF" w:rsidP="00D87753" w:rsidRDefault="009E40FF" w14:paraId="5815506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90</w:t>
            </w:r>
          </w:p>
        </w:tc>
      </w:tr>
      <w:tr w:rsidRPr="00C5308E" w:rsidR="009E40FF" w:rsidTr="00B504A7" w14:paraId="71F20FC5" w14:textId="77777777">
        <w:trPr>
          <w:trHeight w:val="228"/>
        </w:trPr>
        <w:tc>
          <w:tcPr>
            <w:tcW w:w="491" w:type="dxa"/>
            <w:tcBorders>
              <w:top w:val="nil"/>
              <w:left w:val="nil"/>
              <w:right w:val="nil"/>
            </w:tcBorders>
            <w:shd w:val="clear" w:color="auto" w:fill="auto"/>
            <w:noWrap/>
          </w:tcPr>
          <w:p w:rsidRPr="00C5308E" w:rsidR="009E40FF" w:rsidP="00D87753" w:rsidRDefault="009E40FF" w14:paraId="370883D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w:t>
            </w:r>
          </w:p>
        </w:tc>
        <w:tc>
          <w:tcPr>
            <w:tcW w:w="5502" w:type="dxa"/>
            <w:tcBorders>
              <w:top w:val="nil"/>
              <w:left w:val="nil"/>
              <w:right w:val="nil"/>
            </w:tcBorders>
            <w:shd w:val="clear" w:color="auto" w:fill="auto"/>
            <w:noWrap/>
            <w:vAlign w:val="bottom"/>
          </w:tcPr>
          <w:p w:rsidRPr="00C5308E" w:rsidR="009E40FF" w:rsidP="00D87753" w:rsidRDefault="009E40FF" w14:paraId="5CB5880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Uitstellen aangepast arbeidsongeschiktheidscriterium bij loonkostensubsidie met 1 jaar (naar 2027)</w:t>
            </w:r>
          </w:p>
        </w:tc>
        <w:tc>
          <w:tcPr>
            <w:tcW w:w="753" w:type="dxa"/>
            <w:tcBorders>
              <w:top w:val="nil"/>
              <w:left w:val="nil"/>
              <w:right w:val="nil"/>
            </w:tcBorders>
            <w:shd w:val="clear" w:color="auto" w:fill="auto"/>
            <w:noWrap/>
          </w:tcPr>
          <w:p w:rsidRPr="00C5308E" w:rsidR="009E40FF" w:rsidP="00D87753" w:rsidRDefault="009E40FF" w14:paraId="3B30104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3DECE27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right w:val="nil"/>
            </w:tcBorders>
            <w:shd w:val="clear" w:color="auto" w:fill="auto"/>
            <w:noWrap/>
          </w:tcPr>
          <w:p w:rsidRPr="00C5308E" w:rsidR="009E40FF" w:rsidP="00D87753" w:rsidRDefault="009E40FF" w14:paraId="43B98A7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right w:val="nil"/>
            </w:tcBorders>
            <w:shd w:val="clear" w:color="auto" w:fill="auto"/>
            <w:noWrap/>
          </w:tcPr>
          <w:p w:rsidRPr="00C5308E" w:rsidR="009E40FF" w:rsidP="00D87753" w:rsidRDefault="009E40FF" w14:paraId="40019B6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753" w:type="dxa"/>
            <w:tcBorders>
              <w:top w:val="nil"/>
              <w:left w:val="nil"/>
              <w:right w:val="nil"/>
            </w:tcBorders>
            <w:shd w:val="clear" w:color="auto" w:fill="auto"/>
            <w:noWrap/>
          </w:tcPr>
          <w:p w:rsidRPr="00C5308E" w:rsidR="009E40FF" w:rsidP="00D87753" w:rsidRDefault="009E40FF" w14:paraId="18B44DD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w:t>
            </w:r>
          </w:p>
        </w:tc>
        <w:tc>
          <w:tcPr>
            <w:tcW w:w="837" w:type="dxa"/>
            <w:tcBorders>
              <w:top w:val="nil"/>
              <w:left w:val="nil"/>
              <w:right w:val="nil"/>
            </w:tcBorders>
            <w:shd w:val="clear" w:color="auto" w:fill="auto"/>
            <w:noWrap/>
          </w:tcPr>
          <w:p w:rsidRPr="00C5308E" w:rsidR="009E40FF" w:rsidP="00D87753" w:rsidRDefault="009E40FF" w14:paraId="5819D44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115B6FB7" w14:textId="77777777">
        <w:trPr>
          <w:trHeight w:val="228"/>
        </w:trPr>
        <w:tc>
          <w:tcPr>
            <w:tcW w:w="491" w:type="dxa"/>
            <w:tcBorders>
              <w:top w:val="nil"/>
              <w:left w:val="nil"/>
              <w:right w:val="nil"/>
            </w:tcBorders>
            <w:shd w:val="clear" w:color="auto" w:fill="auto"/>
            <w:noWrap/>
          </w:tcPr>
          <w:p w:rsidRPr="00C5308E" w:rsidR="009E40FF" w:rsidP="00D87753" w:rsidRDefault="009E40FF" w14:paraId="6E53E03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w:t>
            </w:r>
          </w:p>
        </w:tc>
        <w:tc>
          <w:tcPr>
            <w:tcW w:w="5502" w:type="dxa"/>
            <w:tcBorders>
              <w:top w:val="nil"/>
              <w:left w:val="nil"/>
              <w:right w:val="nil"/>
            </w:tcBorders>
            <w:shd w:val="clear" w:color="auto" w:fill="auto"/>
            <w:noWrap/>
            <w:vAlign w:val="bottom"/>
          </w:tcPr>
          <w:p w:rsidRPr="00C5308E" w:rsidR="009E40FF" w:rsidP="00D87753" w:rsidRDefault="009E40FF" w14:paraId="22CC99B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xml:space="preserve">Vereenvoudiging Toeslagenwet </w:t>
            </w:r>
          </w:p>
        </w:tc>
        <w:tc>
          <w:tcPr>
            <w:tcW w:w="753" w:type="dxa"/>
            <w:tcBorders>
              <w:top w:val="nil"/>
              <w:left w:val="nil"/>
              <w:right w:val="nil"/>
            </w:tcBorders>
            <w:shd w:val="clear" w:color="auto" w:fill="auto"/>
            <w:noWrap/>
          </w:tcPr>
          <w:p w:rsidRPr="00C5308E" w:rsidR="009E40FF" w:rsidP="00D87753" w:rsidRDefault="009E40FF" w14:paraId="1E32845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130C86B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6298739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0D975DA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753" w:type="dxa"/>
            <w:tcBorders>
              <w:top w:val="nil"/>
              <w:left w:val="nil"/>
              <w:right w:val="nil"/>
            </w:tcBorders>
            <w:shd w:val="clear" w:color="auto" w:fill="auto"/>
            <w:noWrap/>
          </w:tcPr>
          <w:p w:rsidRPr="00C5308E" w:rsidR="009E40FF" w:rsidP="00D87753" w:rsidRDefault="009E40FF" w14:paraId="02F04B1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w:t>
            </w:r>
          </w:p>
        </w:tc>
        <w:tc>
          <w:tcPr>
            <w:tcW w:w="837" w:type="dxa"/>
            <w:tcBorders>
              <w:top w:val="nil"/>
              <w:left w:val="nil"/>
              <w:right w:val="nil"/>
            </w:tcBorders>
            <w:shd w:val="clear" w:color="auto" w:fill="auto"/>
            <w:noWrap/>
          </w:tcPr>
          <w:p w:rsidRPr="00C5308E" w:rsidR="009E40FF" w:rsidP="00D87753" w:rsidRDefault="009E40FF" w14:paraId="577DD4D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w:t>
            </w:r>
          </w:p>
        </w:tc>
      </w:tr>
      <w:tr w:rsidRPr="00C5308E" w:rsidR="009E40FF" w:rsidTr="00B504A7" w14:paraId="0EF2403C" w14:textId="77777777">
        <w:trPr>
          <w:trHeight w:val="228"/>
        </w:trPr>
        <w:tc>
          <w:tcPr>
            <w:tcW w:w="491" w:type="dxa"/>
            <w:tcBorders>
              <w:top w:val="nil"/>
              <w:left w:val="nil"/>
              <w:right w:val="nil"/>
            </w:tcBorders>
            <w:shd w:val="clear" w:color="auto" w:fill="auto"/>
            <w:noWrap/>
          </w:tcPr>
          <w:p w:rsidRPr="00C5308E" w:rsidR="009E40FF" w:rsidP="00D87753" w:rsidRDefault="009E40FF" w14:paraId="7BD972A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w:t>
            </w:r>
          </w:p>
        </w:tc>
        <w:tc>
          <w:tcPr>
            <w:tcW w:w="5502" w:type="dxa"/>
            <w:tcBorders>
              <w:top w:val="nil"/>
              <w:left w:val="nil"/>
              <w:right w:val="nil"/>
            </w:tcBorders>
            <w:shd w:val="clear" w:color="auto" w:fill="auto"/>
            <w:noWrap/>
            <w:vAlign w:val="bottom"/>
          </w:tcPr>
          <w:p w:rsidRPr="00C5308E" w:rsidR="009E40FF" w:rsidP="00D87753" w:rsidRDefault="009E40FF" w14:paraId="6010733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Verbreden pilot dakloze arbeidsmigranten</w:t>
            </w:r>
          </w:p>
        </w:tc>
        <w:tc>
          <w:tcPr>
            <w:tcW w:w="753" w:type="dxa"/>
            <w:tcBorders>
              <w:top w:val="nil"/>
              <w:left w:val="nil"/>
              <w:right w:val="nil"/>
            </w:tcBorders>
            <w:shd w:val="clear" w:color="auto" w:fill="auto"/>
            <w:noWrap/>
          </w:tcPr>
          <w:p w:rsidRPr="00C5308E" w:rsidR="009E40FF" w:rsidP="00D87753" w:rsidRDefault="009E40FF" w14:paraId="722008D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51FF615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w:t>
            </w:r>
          </w:p>
        </w:tc>
        <w:tc>
          <w:tcPr>
            <w:tcW w:w="753" w:type="dxa"/>
            <w:tcBorders>
              <w:top w:val="nil"/>
              <w:left w:val="nil"/>
              <w:right w:val="nil"/>
            </w:tcBorders>
            <w:shd w:val="clear" w:color="auto" w:fill="auto"/>
            <w:noWrap/>
          </w:tcPr>
          <w:p w:rsidRPr="00C5308E" w:rsidR="009E40FF" w:rsidP="00D87753" w:rsidRDefault="009E40FF" w14:paraId="4D45322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w:t>
            </w:r>
          </w:p>
        </w:tc>
        <w:tc>
          <w:tcPr>
            <w:tcW w:w="753" w:type="dxa"/>
            <w:tcBorders>
              <w:top w:val="nil"/>
              <w:left w:val="nil"/>
              <w:right w:val="nil"/>
            </w:tcBorders>
            <w:shd w:val="clear" w:color="auto" w:fill="auto"/>
            <w:noWrap/>
          </w:tcPr>
          <w:p w:rsidRPr="00C5308E" w:rsidR="009E40FF" w:rsidP="00D87753" w:rsidRDefault="009E40FF" w14:paraId="72A2A25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8</w:t>
            </w:r>
          </w:p>
        </w:tc>
        <w:tc>
          <w:tcPr>
            <w:tcW w:w="753" w:type="dxa"/>
            <w:tcBorders>
              <w:top w:val="nil"/>
              <w:left w:val="nil"/>
              <w:right w:val="nil"/>
            </w:tcBorders>
            <w:shd w:val="clear" w:color="auto" w:fill="auto"/>
            <w:noWrap/>
          </w:tcPr>
          <w:p w:rsidRPr="00C5308E" w:rsidR="009E40FF" w:rsidP="00D87753" w:rsidRDefault="009E40FF" w14:paraId="643AD41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right w:val="nil"/>
            </w:tcBorders>
            <w:shd w:val="clear" w:color="auto" w:fill="auto"/>
            <w:noWrap/>
          </w:tcPr>
          <w:p w:rsidRPr="00C5308E" w:rsidR="009E40FF" w:rsidP="00D87753" w:rsidRDefault="009E40FF" w14:paraId="3FE6A91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r>
      <w:tr w:rsidRPr="00C5308E" w:rsidR="009E40FF" w:rsidTr="00B504A7" w14:paraId="79023FCF" w14:textId="77777777">
        <w:trPr>
          <w:trHeight w:val="228"/>
        </w:trPr>
        <w:tc>
          <w:tcPr>
            <w:tcW w:w="491" w:type="dxa"/>
            <w:tcBorders>
              <w:top w:val="nil"/>
              <w:left w:val="nil"/>
              <w:right w:val="nil"/>
            </w:tcBorders>
            <w:shd w:val="clear" w:color="auto" w:fill="auto"/>
            <w:noWrap/>
          </w:tcPr>
          <w:p w:rsidRPr="00C5308E" w:rsidR="009E40FF" w:rsidP="00D87753" w:rsidRDefault="009E40FF" w14:paraId="7E9705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c>
          <w:tcPr>
            <w:tcW w:w="5502" w:type="dxa"/>
            <w:tcBorders>
              <w:top w:val="nil"/>
              <w:left w:val="nil"/>
              <w:right w:val="nil"/>
            </w:tcBorders>
            <w:shd w:val="clear" w:color="auto" w:fill="auto"/>
            <w:noWrap/>
            <w:vAlign w:val="bottom"/>
          </w:tcPr>
          <w:p w:rsidRPr="00C5308E" w:rsidR="009E40FF" w:rsidP="00D87753" w:rsidRDefault="009E40FF" w14:paraId="02CC386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Verhoging minimumjeugdloon</w:t>
            </w:r>
          </w:p>
        </w:tc>
        <w:tc>
          <w:tcPr>
            <w:tcW w:w="753" w:type="dxa"/>
            <w:tcBorders>
              <w:top w:val="nil"/>
              <w:left w:val="nil"/>
              <w:right w:val="nil"/>
            </w:tcBorders>
            <w:shd w:val="clear" w:color="auto" w:fill="auto"/>
            <w:noWrap/>
          </w:tcPr>
          <w:p w:rsidRPr="00C5308E" w:rsidR="009E40FF" w:rsidP="00D87753" w:rsidRDefault="009E40FF" w14:paraId="6F9CD4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6E9CD9A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12578F8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39</w:t>
            </w:r>
          </w:p>
        </w:tc>
        <w:tc>
          <w:tcPr>
            <w:tcW w:w="753" w:type="dxa"/>
            <w:tcBorders>
              <w:top w:val="nil"/>
              <w:left w:val="nil"/>
              <w:right w:val="nil"/>
            </w:tcBorders>
            <w:shd w:val="clear" w:color="auto" w:fill="auto"/>
            <w:noWrap/>
          </w:tcPr>
          <w:p w:rsidRPr="00C5308E" w:rsidR="009E40FF" w:rsidP="00D87753" w:rsidRDefault="009E40FF" w14:paraId="442AD5A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40</w:t>
            </w:r>
          </w:p>
        </w:tc>
        <w:tc>
          <w:tcPr>
            <w:tcW w:w="753" w:type="dxa"/>
            <w:tcBorders>
              <w:top w:val="nil"/>
              <w:left w:val="nil"/>
              <w:right w:val="nil"/>
            </w:tcBorders>
            <w:shd w:val="clear" w:color="auto" w:fill="auto"/>
            <w:noWrap/>
          </w:tcPr>
          <w:p w:rsidRPr="00C5308E" w:rsidR="009E40FF" w:rsidP="00D87753" w:rsidRDefault="009E40FF" w14:paraId="3A5297A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42</w:t>
            </w:r>
          </w:p>
        </w:tc>
        <w:tc>
          <w:tcPr>
            <w:tcW w:w="837" w:type="dxa"/>
            <w:tcBorders>
              <w:top w:val="nil"/>
              <w:left w:val="nil"/>
              <w:right w:val="nil"/>
            </w:tcBorders>
            <w:shd w:val="clear" w:color="auto" w:fill="auto"/>
            <w:noWrap/>
          </w:tcPr>
          <w:p w:rsidRPr="00C5308E" w:rsidR="009E40FF" w:rsidP="00D87753" w:rsidRDefault="009E40FF" w14:paraId="0D906F1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w:t>
            </w:r>
          </w:p>
        </w:tc>
      </w:tr>
      <w:tr w:rsidRPr="00C5308E" w:rsidR="009E40FF" w:rsidTr="00B504A7" w14:paraId="2CA5A3D1" w14:textId="77777777">
        <w:trPr>
          <w:trHeight w:val="228"/>
        </w:trPr>
        <w:tc>
          <w:tcPr>
            <w:tcW w:w="491" w:type="dxa"/>
            <w:tcBorders>
              <w:top w:val="nil"/>
              <w:left w:val="nil"/>
              <w:right w:val="nil"/>
            </w:tcBorders>
            <w:shd w:val="clear" w:color="auto" w:fill="auto"/>
            <w:noWrap/>
          </w:tcPr>
          <w:p w:rsidRPr="00C5308E" w:rsidR="009E40FF" w:rsidP="00D87753" w:rsidRDefault="009E40FF" w14:paraId="6656D77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w:t>
            </w:r>
          </w:p>
        </w:tc>
        <w:tc>
          <w:tcPr>
            <w:tcW w:w="5502" w:type="dxa"/>
            <w:tcBorders>
              <w:top w:val="nil"/>
              <w:left w:val="nil"/>
              <w:right w:val="nil"/>
            </w:tcBorders>
            <w:shd w:val="clear" w:color="auto" w:fill="auto"/>
            <w:noWrap/>
            <w:vAlign w:val="bottom"/>
          </w:tcPr>
          <w:p w:rsidRPr="00C5308E" w:rsidR="009E40FF" w:rsidP="00D87753" w:rsidRDefault="009E40FF" w14:paraId="2C94E66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Re-integratiedienstverlening WW'ers met een kwetsbare arbeidsmarktpositie</w:t>
            </w:r>
          </w:p>
        </w:tc>
        <w:tc>
          <w:tcPr>
            <w:tcW w:w="753" w:type="dxa"/>
            <w:tcBorders>
              <w:top w:val="nil"/>
              <w:left w:val="nil"/>
              <w:right w:val="nil"/>
            </w:tcBorders>
            <w:shd w:val="clear" w:color="auto" w:fill="auto"/>
            <w:noWrap/>
          </w:tcPr>
          <w:p w:rsidRPr="00C5308E" w:rsidR="009E40FF" w:rsidP="00D87753" w:rsidRDefault="009E40FF" w14:paraId="6757755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213CD9A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3677AA9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27D886E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753" w:type="dxa"/>
            <w:tcBorders>
              <w:top w:val="nil"/>
              <w:left w:val="nil"/>
              <w:right w:val="nil"/>
            </w:tcBorders>
            <w:shd w:val="clear" w:color="auto" w:fill="auto"/>
            <w:noWrap/>
          </w:tcPr>
          <w:p w:rsidRPr="00C5308E" w:rsidR="009E40FF" w:rsidP="00D87753" w:rsidRDefault="009E40FF" w14:paraId="38BB0A4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w:t>
            </w:r>
          </w:p>
        </w:tc>
        <w:tc>
          <w:tcPr>
            <w:tcW w:w="837" w:type="dxa"/>
            <w:tcBorders>
              <w:top w:val="nil"/>
              <w:left w:val="nil"/>
              <w:right w:val="nil"/>
            </w:tcBorders>
            <w:shd w:val="clear" w:color="auto" w:fill="auto"/>
            <w:noWrap/>
          </w:tcPr>
          <w:p w:rsidRPr="00C5308E" w:rsidR="009E40FF" w:rsidP="00D87753" w:rsidRDefault="009E40FF" w14:paraId="7A871E6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r>
      <w:tr w:rsidRPr="00C5308E" w:rsidR="009E40FF" w:rsidTr="00B504A7" w14:paraId="0DA9564F" w14:textId="77777777">
        <w:trPr>
          <w:trHeight w:val="228"/>
        </w:trPr>
        <w:tc>
          <w:tcPr>
            <w:tcW w:w="491" w:type="dxa"/>
            <w:tcBorders>
              <w:top w:val="nil"/>
              <w:left w:val="nil"/>
              <w:right w:val="nil"/>
            </w:tcBorders>
            <w:shd w:val="clear" w:color="auto" w:fill="auto"/>
            <w:noWrap/>
          </w:tcPr>
          <w:p w:rsidRPr="00C5308E" w:rsidR="009E40FF" w:rsidP="00D87753" w:rsidRDefault="009E40FF" w14:paraId="698A597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22.</w:t>
            </w:r>
          </w:p>
        </w:tc>
        <w:tc>
          <w:tcPr>
            <w:tcW w:w="5502" w:type="dxa"/>
            <w:tcBorders>
              <w:top w:val="nil"/>
              <w:left w:val="nil"/>
              <w:right w:val="nil"/>
            </w:tcBorders>
            <w:shd w:val="clear" w:color="auto" w:fill="auto"/>
            <w:noWrap/>
            <w:vAlign w:val="bottom"/>
          </w:tcPr>
          <w:p w:rsidRPr="00C5308E" w:rsidR="009E40FF" w:rsidP="00D87753" w:rsidRDefault="009E40FF" w14:paraId="7B975AE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Uitvoering WGS en uitbreiding toezicht Wtta</w:t>
            </w:r>
          </w:p>
        </w:tc>
        <w:tc>
          <w:tcPr>
            <w:tcW w:w="753" w:type="dxa"/>
            <w:tcBorders>
              <w:top w:val="nil"/>
              <w:left w:val="nil"/>
              <w:right w:val="nil"/>
            </w:tcBorders>
            <w:shd w:val="clear" w:color="auto" w:fill="auto"/>
            <w:noWrap/>
          </w:tcPr>
          <w:p w:rsidRPr="00C5308E" w:rsidR="009E40FF" w:rsidP="00D87753" w:rsidRDefault="009E40FF" w14:paraId="7887825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w:t>
            </w:r>
          </w:p>
        </w:tc>
        <w:tc>
          <w:tcPr>
            <w:tcW w:w="753" w:type="dxa"/>
            <w:tcBorders>
              <w:top w:val="nil"/>
              <w:left w:val="nil"/>
              <w:right w:val="nil"/>
            </w:tcBorders>
            <w:shd w:val="clear" w:color="auto" w:fill="auto"/>
            <w:noWrap/>
          </w:tcPr>
          <w:p w:rsidRPr="00C5308E" w:rsidR="009E40FF" w:rsidP="00D87753" w:rsidRDefault="009E40FF" w14:paraId="019F705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c>
          <w:tcPr>
            <w:tcW w:w="753" w:type="dxa"/>
            <w:tcBorders>
              <w:top w:val="nil"/>
              <w:left w:val="nil"/>
              <w:right w:val="nil"/>
            </w:tcBorders>
            <w:shd w:val="clear" w:color="auto" w:fill="auto"/>
            <w:noWrap/>
          </w:tcPr>
          <w:p w:rsidRPr="00C5308E" w:rsidR="009E40FF" w:rsidP="00D87753" w:rsidRDefault="009E40FF" w14:paraId="5CA65AE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c>
          <w:tcPr>
            <w:tcW w:w="753" w:type="dxa"/>
            <w:tcBorders>
              <w:top w:val="nil"/>
              <w:left w:val="nil"/>
              <w:right w:val="nil"/>
            </w:tcBorders>
            <w:shd w:val="clear" w:color="auto" w:fill="auto"/>
            <w:noWrap/>
          </w:tcPr>
          <w:p w:rsidRPr="00C5308E" w:rsidR="009E40FF" w:rsidP="00D87753" w:rsidRDefault="009E40FF" w14:paraId="74FA35D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c>
          <w:tcPr>
            <w:tcW w:w="753" w:type="dxa"/>
            <w:tcBorders>
              <w:top w:val="nil"/>
              <w:left w:val="nil"/>
              <w:right w:val="nil"/>
            </w:tcBorders>
            <w:shd w:val="clear" w:color="auto" w:fill="auto"/>
            <w:noWrap/>
          </w:tcPr>
          <w:p w:rsidRPr="00C5308E" w:rsidR="009E40FF" w:rsidP="00D87753" w:rsidRDefault="009E40FF" w14:paraId="3DEF9FC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c>
          <w:tcPr>
            <w:tcW w:w="837" w:type="dxa"/>
            <w:tcBorders>
              <w:top w:val="nil"/>
              <w:left w:val="nil"/>
              <w:right w:val="nil"/>
            </w:tcBorders>
            <w:shd w:val="clear" w:color="auto" w:fill="auto"/>
            <w:noWrap/>
          </w:tcPr>
          <w:p w:rsidRPr="00C5308E" w:rsidR="009E40FF" w:rsidP="00D87753" w:rsidRDefault="009E40FF" w14:paraId="2CD1F4CE"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w:t>
            </w:r>
          </w:p>
        </w:tc>
      </w:tr>
    </w:tbl>
    <w:p w:rsidRPr="00C5308E" w:rsidR="000243CF" w:rsidP="00D87753" w:rsidRDefault="000243CF" w14:paraId="50A2B7C0" w14:textId="77777777">
      <w:pPr>
        <w:spacing w:after="0" w:line="240" w:lineRule="auto"/>
        <w:contextualSpacing/>
        <w:rPr>
          <w:rFonts w:ascii="Verdana" w:hAnsi="Verdana"/>
          <w:bCs/>
          <w:sz w:val="18"/>
          <w:szCs w:val="18"/>
        </w:rPr>
      </w:pPr>
    </w:p>
    <w:p w:rsidRPr="00C5308E" w:rsidR="000243CF" w:rsidP="00D87753" w:rsidRDefault="000243CF" w14:paraId="69B6C7CB" w14:textId="77777777">
      <w:pPr>
        <w:spacing w:after="0" w:line="240" w:lineRule="auto"/>
        <w:contextualSpacing/>
        <w:rPr>
          <w:rFonts w:ascii="Verdana" w:hAnsi="Verdana"/>
          <w:bCs/>
          <w:sz w:val="18"/>
          <w:szCs w:val="18"/>
        </w:rPr>
      </w:pPr>
    </w:p>
    <w:p w:rsidRPr="00C5308E" w:rsidR="009E40FF" w:rsidP="00D87753" w:rsidRDefault="009E40FF" w14:paraId="348F074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135</w:t>
      </w:r>
    </w:p>
    <w:p w:rsidRPr="00C5308E" w:rsidR="009E40FF" w:rsidP="00D87753" w:rsidRDefault="009E40FF" w14:paraId="6E17BE68" w14:textId="77777777">
      <w:pPr>
        <w:spacing w:after="0" w:line="240" w:lineRule="auto"/>
        <w:contextualSpacing/>
        <w:rPr>
          <w:rFonts w:ascii="Verdana" w:hAnsi="Verdana"/>
          <w:bCs/>
          <w:sz w:val="18"/>
          <w:szCs w:val="18"/>
        </w:rPr>
      </w:pPr>
      <w:r w:rsidRPr="00C5308E">
        <w:rPr>
          <w:rFonts w:ascii="Verdana" w:hAnsi="Verdana"/>
          <w:bCs/>
          <w:sz w:val="18"/>
          <w:szCs w:val="18"/>
        </w:rPr>
        <w:t>Welke gevolgen heeft het afromen van de envelop Groepen in de knel voor de doelen van de envelop?</w:t>
      </w:r>
    </w:p>
    <w:p w:rsidRPr="00C5308E" w:rsidR="009E40FF" w:rsidP="00D87753" w:rsidRDefault="009E40FF" w14:paraId="1FF086C8" w14:textId="77777777">
      <w:pPr>
        <w:spacing w:after="0" w:line="240" w:lineRule="auto"/>
        <w:contextualSpacing/>
        <w:rPr>
          <w:rFonts w:ascii="Verdana" w:hAnsi="Verdana"/>
          <w:bCs/>
          <w:sz w:val="18"/>
          <w:szCs w:val="18"/>
        </w:rPr>
      </w:pPr>
    </w:p>
    <w:p w:rsidRPr="00C5308E" w:rsidR="009E40FF" w:rsidP="00D87753" w:rsidRDefault="009E40FF" w14:paraId="696F68D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135</w:t>
      </w:r>
    </w:p>
    <w:p w:rsidRPr="00C5308E" w:rsidR="009E40FF" w:rsidP="00D87753" w:rsidRDefault="009E40FF" w14:paraId="721502AC" w14:textId="77777777">
      <w:pPr>
        <w:spacing w:after="0" w:line="240" w:lineRule="auto"/>
        <w:contextualSpacing/>
        <w:rPr>
          <w:rFonts w:ascii="Verdana" w:hAnsi="Verdana"/>
          <w:bCs/>
          <w:sz w:val="18"/>
          <w:szCs w:val="18"/>
        </w:rPr>
      </w:pPr>
      <w:r w:rsidRPr="00C5308E">
        <w:rPr>
          <w:rFonts w:ascii="Verdana" w:hAnsi="Verdana"/>
          <w:bCs/>
          <w:sz w:val="18"/>
          <w:szCs w:val="18"/>
        </w:rPr>
        <w:t>Met de middelen uit de envelop Groepen in de knel biedt het kabinet meer ondersteuning aan kwetsbare groepen. Daarom zet het kabinet de middelen uit de envelop Groepen in de knel in op maatregelen die hieraan een bijdrage leveren. Zo wordt het minimumjeugdloon verhoogd, de financiering van beschut werk verbeterd, worden afgewezen Wajongeren in de Participatiewet ondersteund in de ontwikkeling van arbeidsvermogen en wordt de Toeslagenwet vereenvoudigd. Onder andere deze maatregelen dragen bij aan het oorspronkelijke doel van de envelop. Er zijn daarnaast nog vele terreinen die aandacht vragen van het kabinet. Daarom heeft het kabinet in de voorjaarsbesluitvorming keuzes moeten maken en onder meer besloten om een deel van de middelen uit de envelop af te romen.</w:t>
      </w:r>
    </w:p>
    <w:p w:rsidRPr="00C5308E" w:rsidR="000243CF" w:rsidP="00D87753" w:rsidRDefault="000243CF" w14:paraId="538EB93F" w14:textId="77777777">
      <w:pPr>
        <w:spacing w:after="0" w:line="240" w:lineRule="auto"/>
        <w:contextualSpacing/>
        <w:rPr>
          <w:rFonts w:ascii="Verdana" w:hAnsi="Verdana"/>
          <w:bCs/>
          <w:sz w:val="18"/>
          <w:szCs w:val="18"/>
        </w:rPr>
      </w:pPr>
    </w:p>
    <w:p w:rsidRPr="00C5308E" w:rsidR="0076594D" w:rsidP="00D87753" w:rsidRDefault="0076594D" w14:paraId="4CE2B26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136</w:t>
      </w:r>
    </w:p>
    <w:p w:rsidRPr="00C5308E" w:rsidR="0076594D" w:rsidP="00D87753" w:rsidRDefault="0076594D" w14:paraId="2FE234CA" w14:textId="77777777">
      <w:pPr>
        <w:spacing w:after="0" w:line="240" w:lineRule="auto"/>
        <w:contextualSpacing/>
        <w:rPr>
          <w:rFonts w:ascii="Verdana" w:hAnsi="Verdana"/>
          <w:bCs/>
          <w:sz w:val="18"/>
          <w:szCs w:val="18"/>
        </w:rPr>
      </w:pPr>
      <w:r w:rsidRPr="00C5308E">
        <w:rPr>
          <w:rFonts w:ascii="Verdana" w:hAnsi="Verdana"/>
          <w:bCs/>
          <w:sz w:val="18"/>
          <w:szCs w:val="18"/>
        </w:rPr>
        <w:t>Kunt u reeks 11 omtrent de WIA uitsplitsen?</w:t>
      </w:r>
    </w:p>
    <w:p w:rsidRPr="00C5308E" w:rsidR="0076594D" w:rsidP="00D87753" w:rsidRDefault="0076594D" w14:paraId="14100566" w14:textId="77777777">
      <w:pPr>
        <w:spacing w:after="0" w:line="240" w:lineRule="auto"/>
        <w:contextualSpacing/>
        <w:rPr>
          <w:rFonts w:ascii="Verdana" w:hAnsi="Verdana"/>
          <w:bCs/>
          <w:sz w:val="18"/>
          <w:szCs w:val="18"/>
        </w:rPr>
      </w:pPr>
    </w:p>
    <w:p w:rsidRPr="00C5308E" w:rsidR="0076594D" w:rsidP="00D87753" w:rsidRDefault="0076594D" w14:paraId="45ABCFA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136</w:t>
      </w:r>
    </w:p>
    <w:p w:rsidRPr="00C5308E" w:rsidR="0076594D" w:rsidP="00D87753" w:rsidRDefault="0076594D" w14:paraId="6B492874" w14:textId="77777777">
      <w:pPr>
        <w:spacing w:after="0" w:line="240" w:lineRule="auto"/>
        <w:contextualSpacing/>
        <w:rPr>
          <w:rFonts w:ascii="Verdana" w:hAnsi="Verdana"/>
          <w:bCs/>
          <w:sz w:val="18"/>
          <w:szCs w:val="18"/>
        </w:rPr>
      </w:pPr>
      <w:r w:rsidRPr="00C5308E">
        <w:rPr>
          <w:rFonts w:ascii="Verdana" w:hAnsi="Verdana"/>
          <w:bCs/>
          <w:sz w:val="18"/>
          <w:szCs w:val="18"/>
        </w:rPr>
        <w:t>Reeks 11 in tabel 5 bevat de budgettaire effecten van enkele maatregelen op artikel 3 van de SZW-begroting. Weglekeffecten op bijvoorbeeld de Toeslagenwet (TW) zijn hier niet in meegenomen. De reeks bestaat uit onderstaande reeksen:</w:t>
      </w:r>
    </w:p>
    <w:p w:rsidRPr="00FE7425" w:rsidR="0076594D" w:rsidP="00D87753" w:rsidRDefault="0076594D" w14:paraId="70A1E997" w14:textId="77777777">
      <w:pPr>
        <w:spacing w:after="0" w:line="240" w:lineRule="auto"/>
        <w:contextualSpacing/>
        <w:rPr>
          <w:rFonts w:ascii="Verdana" w:hAnsi="Verdana"/>
          <w:bCs/>
          <w:i/>
          <w:iCs/>
          <w:sz w:val="18"/>
          <w:szCs w:val="18"/>
        </w:rPr>
      </w:pPr>
    </w:p>
    <w:p w:rsidRPr="00FE7425" w:rsidR="0076594D" w:rsidP="00D87753" w:rsidRDefault="0076594D" w14:paraId="0E8B4503" w14:textId="4EFA51CA">
      <w:pPr>
        <w:spacing w:after="0" w:line="240" w:lineRule="auto"/>
        <w:ind w:left="708" w:hanging="708"/>
        <w:contextualSpacing/>
        <w:rPr>
          <w:rFonts w:ascii="Verdana" w:hAnsi="Verdana"/>
          <w:bCs/>
          <w:i/>
          <w:iCs/>
          <w:sz w:val="18"/>
          <w:szCs w:val="18"/>
        </w:rPr>
      </w:pPr>
      <w:r w:rsidRPr="00FE7425">
        <w:rPr>
          <w:rFonts w:ascii="Verdana" w:hAnsi="Verdana"/>
          <w:bCs/>
          <w:i/>
          <w:iCs/>
          <w:sz w:val="18"/>
          <w:szCs w:val="18"/>
        </w:rPr>
        <w:t>Tabel uitsplitsing reeks 11 tabel 5</w:t>
      </w:r>
    </w:p>
    <w:p w:rsidRPr="00C5308E" w:rsidR="0076594D" w:rsidP="00D87753" w:rsidRDefault="0076594D" w14:paraId="0FE34103" w14:textId="77777777">
      <w:pPr>
        <w:spacing w:after="0" w:line="240" w:lineRule="auto"/>
        <w:contextualSpacing/>
        <w:rPr>
          <w:rFonts w:ascii="Verdana" w:hAnsi="Verdana"/>
          <w:bCs/>
          <w:sz w:val="18"/>
          <w:szCs w:val="18"/>
        </w:rPr>
      </w:pPr>
    </w:p>
    <w:tbl>
      <w:tblPr>
        <w:tblW w:w="7740"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tblGrid>
      <w:tr w:rsidRPr="00C5308E" w:rsidR="0076594D" w:rsidTr="003C75FE" w14:paraId="00F52925" w14:textId="77777777">
        <w:trPr>
          <w:trHeight w:val="240"/>
        </w:trPr>
        <w:tc>
          <w:tcPr>
            <w:tcW w:w="3828" w:type="dxa"/>
            <w:tcBorders>
              <w:top w:val="nil"/>
              <w:left w:val="nil"/>
              <w:bottom w:val="single" w:color="auto" w:sz="8" w:space="0"/>
              <w:right w:val="nil"/>
            </w:tcBorders>
            <w:noWrap/>
            <w:vAlign w:val="bottom"/>
            <w:hideMark/>
          </w:tcPr>
          <w:p w:rsidRPr="00C5308E" w:rsidR="0076594D" w:rsidP="00D87753" w:rsidRDefault="0076594D" w14:paraId="1C41B70E" w14:textId="78423B42">
            <w:pPr>
              <w:spacing w:after="0" w:line="240" w:lineRule="auto"/>
              <w:contextualSpacing/>
              <w:rPr>
                <w:rFonts w:ascii="Verdana" w:hAnsi="Verdana"/>
                <w:bCs/>
                <w:sz w:val="18"/>
                <w:szCs w:val="18"/>
              </w:rPr>
            </w:pPr>
            <w:r w:rsidRPr="00C5308E">
              <w:rPr>
                <w:rFonts w:ascii="Verdana" w:hAnsi="Verdana"/>
                <w:bCs/>
                <w:sz w:val="18"/>
                <w:szCs w:val="18"/>
              </w:rPr>
              <w:t> x € 1 m</w:t>
            </w:r>
            <w:r w:rsidRPr="00C5308E" w:rsidR="0031642E">
              <w:rPr>
                <w:rFonts w:ascii="Verdana" w:hAnsi="Verdana"/>
                <w:bCs/>
                <w:sz w:val="18"/>
                <w:szCs w:val="18"/>
              </w:rPr>
              <w:t>ln.</w:t>
            </w:r>
          </w:p>
        </w:tc>
        <w:tc>
          <w:tcPr>
            <w:tcW w:w="652" w:type="dxa"/>
            <w:tcBorders>
              <w:top w:val="nil"/>
              <w:left w:val="nil"/>
              <w:bottom w:val="single" w:color="auto" w:sz="8" w:space="0"/>
              <w:right w:val="nil"/>
            </w:tcBorders>
            <w:noWrap/>
            <w:vAlign w:val="bottom"/>
            <w:hideMark/>
          </w:tcPr>
          <w:p w:rsidRPr="00C5308E" w:rsidR="0076594D" w:rsidP="00D87753" w:rsidRDefault="0076594D" w14:paraId="201858F3" w14:textId="77777777">
            <w:pPr>
              <w:spacing w:after="0" w:line="240" w:lineRule="auto"/>
              <w:contextualSpacing/>
              <w:rPr>
                <w:rFonts w:ascii="Verdana" w:hAnsi="Verdana"/>
                <w:bCs/>
                <w:sz w:val="18"/>
                <w:szCs w:val="18"/>
              </w:rPr>
            </w:pPr>
            <w:r w:rsidRPr="00C5308E">
              <w:rPr>
                <w:rFonts w:ascii="Verdana" w:hAnsi="Verdana"/>
                <w:bCs/>
                <w:sz w:val="18"/>
                <w:szCs w:val="18"/>
              </w:rPr>
              <w:t>2025</w:t>
            </w:r>
          </w:p>
        </w:tc>
        <w:tc>
          <w:tcPr>
            <w:tcW w:w="652" w:type="dxa"/>
            <w:tcBorders>
              <w:top w:val="nil"/>
              <w:left w:val="nil"/>
              <w:bottom w:val="single" w:color="auto" w:sz="8" w:space="0"/>
              <w:right w:val="nil"/>
            </w:tcBorders>
            <w:noWrap/>
            <w:vAlign w:val="bottom"/>
            <w:hideMark/>
          </w:tcPr>
          <w:p w:rsidRPr="00C5308E" w:rsidR="0076594D" w:rsidP="00D87753" w:rsidRDefault="0076594D" w14:paraId="611912FB" w14:textId="77777777">
            <w:pPr>
              <w:spacing w:after="0" w:line="240" w:lineRule="auto"/>
              <w:contextualSpacing/>
              <w:rPr>
                <w:rFonts w:ascii="Verdana" w:hAnsi="Verdana"/>
                <w:bCs/>
                <w:sz w:val="18"/>
                <w:szCs w:val="18"/>
              </w:rPr>
            </w:pPr>
            <w:r w:rsidRPr="00C5308E">
              <w:rPr>
                <w:rFonts w:ascii="Verdana" w:hAnsi="Verdana"/>
                <w:bCs/>
                <w:sz w:val="18"/>
                <w:szCs w:val="18"/>
              </w:rPr>
              <w:t>2026</w:t>
            </w:r>
          </w:p>
        </w:tc>
        <w:tc>
          <w:tcPr>
            <w:tcW w:w="652" w:type="dxa"/>
            <w:tcBorders>
              <w:top w:val="nil"/>
              <w:left w:val="nil"/>
              <w:bottom w:val="single" w:color="auto" w:sz="8" w:space="0"/>
              <w:right w:val="nil"/>
            </w:tcBorders>
            <w:noWrap/>
            <w:vAlign w:val="bottom"/>
            <w:hideMark/>
          </w:tcPr>
          <w:p w:rsidRPr="00C5308E" w:rsidR="0076594D" w:rsidP="00D87753" w:rsidRDefault="0076594D" w14:paraId="19FA0393" w14:textId="77777777">
            <w:pPr>
              <w:spacing w:after="0" w:line="240" w:lineRule="auto"/>
              <w:contextualSpacing/>
              <w:rPr>
                <w:rFonts w:ascii="Verdana" w:hAnsi="Verdana"/>
                <w:bCs/>
                <w:sz w:val="18"/>
                <w:szCs w:val="18"/>
              </w:rPr>
            </w:pPr>
            <w:r w:rsidRPr="00C5308E">
              <w:rPr>
                <w:rFonts w:ascii="Verdana" w:hAnsi="Verdana"/>
                <w:bCs/>
                <w:sz w:val="18"/>
                <w:szCs w:val="18"/>
              </w:rPr>
              <w:t>2027</w:t>
            </w:r>
          </w:p>
        </w:tc>
        <w:tc>
          <w:tcPr>
            <w:tcW w:w="652" w:type="dxa"/>
            <w:tcBorders>
              <w:top w:val="nil"/>
              <w:left w:val="nil"/>
              <w:bottom w:val="single" w:color="auto" w:sz="8" w:space="0"/>
              <w:right w:val="nil"/>
            </w:tcBorders>
            <w:noWrap/>
            <w:vAlign w:val="bottom"/>
            <w:hideMark/>
          </w:tcPr>
          <w:p w:rsidRPr="00C5308E" w:rsidR="0076594D" w:rsidP="00D87753" w:rsidRDefault="0076594D" w14:paraId="2767D075" w14:textId="77777777">
            <w:pPr>
              <w:spacing w:after="0" w:line="240" w:lineRule="auto"/>
              <w:contextualSpacing/>
              <w:rPr>
                <w:rFonts w:ascii="Verdana" w:hAnsi="Verdana"/>
                <w:bCs/>
                <w:sz w:val="18"/>
                <w:szCs w:val="18"/>
              </w:rPr>
            </w:pPr>
            <w:r w:rsidRPr="00C5308E">
              <w:rPr>
                <w:rFonts w:ascii="Verdana" w:hAnsi="Verdana"/>
                <w:bCs/>
                <w:sz w:val="18"/>
                <w:szCs w:val="18"/>
              </w:rPr>
              <w:t>2028</w:t>
            </w:r>
          </w:p>
        </w:tc>
        <w:tc>
          <w:tcPr>
            <w:tcW w:w="652" w:type="dxa"/>
            <w:tcBorders>
              <w:top w:val="nil"/>
              <w:left w:val="nil"/>
              <w:bottom w:val="single" w:color="auto" w:sz="8" w:space="0"/>
              <w:right w:val="nil"/>
            </w:tcBorders>
            <w:noWrap/>
            <w:vAlign w:val="bottom"/>
            <w:hideMark/>
          </w:tcPr>
          <w:p w:rsidRPr="00C5308E" w:rsidR="0076594D" w:rsidP="00D87753" w:rsidRDefault="0076594D" w14:paraId="54B4D8DE" w14:textId="77777777">
            <w:pPr>
              <w:spacing w:after="0" w:line="240" w:lineRule="auto"/>
              <w:contextualSpacing/>
              <w:rPr>
                <w:rFonts w:ascii="Verdana" w:hAnsi="Verdana"/>
                <w:bCs/>
                <w:sz w:val="18"/>
                <w:szCs w:val="18"/>
              </w:rPr>
            </w:pPr>
            <w:r w:rsidRPr="00C5308E">
              <w:rPr>
                <w:rFonts w:ascii="Verdana" w:hAnsi="Verdana"/>
                <w:bCs/>
                <w:sz w:val="18"/>
                <w:szCs w:val="18"/>
              </w:rPr>
              <w:t>2029</w:t>
            </w:r>
          </w:p>
        </w:tc>
        <w:tc>
          <w:tcPr>
            <w:tcW w:w="652" w:type="dxa"/>
            <w:tcBorders>
              <w:top w:val="nil"/>
              <w:left w:val="nil"/>
              <w:bottom w:val="single" w:color="auto" w:sz="8" w:space="0"/>
              <w:right w:val="nil"/>
            </w:tcBorders>
            <w:noWrap/>
            <w:vAlign w:val="bottom"/>
            <w:hideMark/>
          </w:tcPr>
          <w:p w:rsidRPr="00C5308E" w:rsidR="0076594D" w:rsidP="00D87753" w:rsidRDefault="0076594D" w14:paraId="38F0979D" w14:textId="77777777">
            <w:pPr>
              <w:spacing w:after="0" w:line="240" w:lineRule="auto"/>
              <w:contextualSpacing/>
              <w:rPr>
                <w:rFonts w:ascii="Verdana" w:hAnsi="Verdana"/>
                <w:bCs/>
                <w:sz w:val="18"/>
                <w:szCs w:val="18"/>
              </w:rPr>
            </w:pPr>
            <w:r w:rsidRPr="00C5308E">
              <w:rPr>
                <w:rFonts w:ascii="Verdana" w:hAnsi="Verdana"/>
                <w:bCs/>
                <w:sz w:val="18"/>
                <w:szCs w:val="18"/>
              </w:rPr>
              <w:t>2030</w:t>
            </w:r>
          </w:p>
        </w:tc>
      </w:tr>
      <w:tr w:rsidRPr="00C5308E" w:rsidR="0076594D" w:rsidTr="003C75FE" w14:paraId="64B0D6E5" w14:textId="77777777">
        <w:trPr>
          <w:trHeight w:val="230"/>
        </w:trPr>
        <w:tc>
          <w:tcPr>
            <w:tcW w:w="3828" w:type="dxa"/>
            <w:noWrap/>
            <w:vAlign w:val="bottom"/>
            <w:hideMark/>
          </w:tcPr>
          <w:p w:rsidRPr="00C5308E" w:rsidR="0076594D" w:rsidP="00D87753" w:rsidRDefault="0076594D" w14:paraId="58383261" w14:textId="77777777">
            <w:pPr>
              <w:spacing w:after="0" w:line="240" w:lineRule="auto"/>
              <w:contextualSpacing/>
              <w:rPr>
                <w:rFonts w:ascii="Verdana" w:hAnsi="Verdana"/>
                <w:bCs/>
                <w:sz w:val="18"/>
                <w:szCs w:val="18"/>
              </w:rPr>
            </w:pPr>
            <w:r w:rsidRPr="00C5308E">
              <w:rPr>
                <w:rFonts w:ascii="Verdana" w:hAnsi="Verdana"/>
                <w:bCs/>
                <w:sz w:val="18"/>
                <w:szCs w:val="18"/>
              </w:rPr>
              <w:t>Loonloze tijdvakken</w:t>
            </w:r>
          </w:p>
        </w:tc>
        <w:tc>
          <w:tcPr>
            <w:tcW w:w="652" w:type="dxa"/>
            <w:noWrap/>
            <w:vAlign w:val="bottom"/>
            <w:hideMark/>
          </w:tcPr>
          <w:p w:rsidRPr="00C5308E" w:rsidR="0076594D" w:rsidP="00D87753" w:rsidRDefault="0076594D" w14:paraId="7EF18715" w14:textId="77777777">
            <w:pPr>
              <w:spacing w:after="0" w:line="240" w:lineRule="auto"/>
              <w:contextualSpacing/>
              <w:rPr>
                <w:rFonts w:ascii="Verdana" w:hAnsi="Verdana"/>
                <w:bCs/>
                <w:sz w:val="18"/>
                <w:szCs w:val="18"/>
              </w:rPr>
            </w:pPr>
            <w:r w:rsidRPr="00C5308E">
              <w:rPr>
                <w:rFonts w:ascii="Verdana" w:hAnsi="Verdana"/>
                <w:bCs/>
                <w:sz w:val="18"/>
                <w:szCs w:val="18"/>
              </w:rPr>
              <w:t>-38</w:t>
            </w:r>
          </w:p>
        </w:tc>
        <w:tc>
          <w:tcPr>
            <w:tcW w:w="652" w:type="dxa"/>
            <w:noWrap/>
            <w:vAlign w:val="bottom"/>
            <w:hideMark/>
          </w:tcPr>
          <w:p w:rsidRPr="00C5308E" w:rsidR="0076594D" w:rsidP="00D87753" w:rsidRDefault="0076594D" w14:paraId="12D81FC0" w14:textId="77777777">
            <w:pPr>
              <w:spacing w:after="0" w:line="240" w:lineRule="auto"/>
              <w:contextualSpacing/>
              <w:rPr>
                <w:rFonts w:ascii="Verdana" w:hAnsi="Verdana"/>
                <w:bCs/>
                <w:sz w:val="18"/>
                <w:szCs w:val="18"/>
              </w:rPr>
            </w:pPr>
            <w:r w:rsidRPr="00C5308E">
              <w:rPr>
                <w:rFonts w:ascii="Verdana" w:hAnsi="Verdana"/>
                <w:bCs/>
                <w:sz w:val="18"/>
                <w:szCs w:val="18"/>
              </w:rPr>
              <w:t>103</w:t>
            </w:r>
          </w:p>
        </w:tc>
        <w:tc>
          <w:tcPr>
            <w:tcW w:w="652" w:type="dxa"/>
            <w:noWrap/>
            <w:vAlign w:val="bottom"/>
            <w:hideMark/>
          </w:tcPr>
          <w:p w:rsidRPr="00C5308E" w:rsidR="0076594D" w:rsidP="00D87753" w:rsidRDefault="0076594D" w14:paraId="0846CA9E" w14:textId="77777777">
            <w:pPr>
              <w:spacing w:after="0" w:line="240" w:lineRule="auto"/>
              <w:contextualSpacing/>
              <w:rPr>
                <w:rFonts w:ascii="Verdana" w:hAnsi="Verdana"/>
                <w:bCs/>
                <w:sz w:val="18"/>
                <w:szCs w:val="18"/>
              </w:rPr>
            </w:pPr>
            <w:r w:rsidRPr="00C5308E">
              <w:rPr>
                <w:rFonts w:ascii="Verdana" w:hAnsi="Verdana"/>
                <w:bCs/>
                <w:sz w:val="18"/>
                <w:szCs w:val="18"/>
              </w:rPr>
              <w:t>113</w:t>
            </w:r>
          </w:p>
        </w:tc>
        <w:tc>
          <w:tcPr>
            <w:tcW w:w="652" w:type="dxa"/>
            <w:noWrap/>
            <w:vAlign w:val="bottom"/>
            <w:hideMark/>
          </w:tcPr>
          <w:p w:rsidRPr="00C5308E" w:rsidR="0076594D" w:rsidP="00D87753" w:rsidRDefault="0076594D" w14:paraId="1ED7B5EA" w14:textId="77777777">
            <w:pPr>
              <w:spacing w:after="0" w:line="240" w:lineRule="auto"/>
              <w:contextualSpacing/>
              <w:rPr>
                <w:rFonts w:ascii="Verdana" w:hAnsi="Verdana"/>
                <w:bCs/>
                <w:sz w:val="18"/>
                <w:szCs w:val="18"/>
              </w:rPr>
            </w:pPr>
            <w:r w:rsidRPr="00C5308E">
              <w:rPr>
                <w:rFonts w:ascii="Verdana" w:hAnsi="Verdana"/>
                <w:bCs/>
                <w:sz w:val="18"/>
                <w:szCs w:val="18"/>
              </w:rPr>
              <w:t>65</w:t>
            </w:r>
          </w:p>
        </w:tc>
        <w:tc>
          <w:tcPr>
            <w:tcW w:w="652" w:type="dxa"/>
            <w:noWrap/>
            <w:vAlign w:val="bottom"/>
            <w:hideMark/>
          </w:tcPr>
          <w:p w:rsidRPr="00C5308E" w:rsidR="0076594D" w:rsidP="00D87753" w:rsidRDefault="0076594D" w14:paraId="546A936B" w14:textId="77777777">
            <w:pPr>
              <w:spacing w:after="0" w:line="240" w:lineRule="auto"/>
              <w:contextualSpacing/>
              <w:rPr>
                <w:rFonts w:ascii="Verdana" w:hAnsi="Verdana"/>
                <w:bCs/>
                <w:sz w:val="18"/>
                <w:szCs w:val="18"/>
              </w:rPr>
            </w:pPr>
            <w:r w:rsidRPr="00C5308E">
              <w:rPr>
                <w:rFonts w:ascii="Verdana" w:hAnsi="Verdana"/>
                <w:bCs/>
                <w:sz w:val="18"/>
                <w:szCs w:val="18"/>
              </w:rPr>
              <w:t>69</w:t>
            </w:r>
          </w:p>
        </w:tc>
        <w:tc>
          <w:tcPr>
            <w:tcW w:w="652" w:type="dxa"/>
            <w:noWrap/>
            <w:vAlign w:val="bottom"/>
            <w:hideMark/>
          </w:tcPr>
          <w:p w:rsidRPr="00C5308E" w:rsidR="0076594D" w:rsidP="00D87753" w:rsidRDefault="0076594D" w14:paraId="17A65FAB" w14:textId="77777777">
            <w:pPr>
              <w:spacing w:after="0" w:line="240" w:lineRule="auto"/>
              <w:contextualSpacing/>
              <w:rPr>
                <w:rFonts w:ascii="Verdana" w:hAnsi="Verdana"/>
                <w:bCs/>
                <w:sz w:val="18"/>
                <w:szCs w:val="18"/>
              </w:rPr>
            </w:pPr>
            <w:r w:rsidRPr="00C5308E">
              <w:rPr>
                <w:rFonts w:ascii="Verdana" w:hAnsi="Verdana"/>
                <w:bCs/>
                <w:sz w:val="18"/>
                <w:szCs w:val="18"/>
              </w:rPr>
              <w:t>73</w:t>
            </w:r>
          </w:p>
        </w:tc>
      </w:tr>
      <w:tr w:rsidRPr="00C5308E" w:rsidR="0076594D" w:rsidTr="003C75FE" w14:paraId="425DACBF" w14:textId="77777777">
        <w:trPr>
          <w:trHeight w:val="230"/>
        </w:trPr>
        <w:tc>
          <w:tcPr>
            <w:tcW w:w="3828" w:type="dxa"/>
            <w:noWrap/>
            <w:vAlign w:val="bottom"/>
          </w:tcPr>
          <w:p w:rsidRPr="00C5308E" w:rsidR="0076594D" w:rsidP="00D87753" w:rsidRDefault="0076594D" w14:paraId="6F30FCBC" w14:textId="77777777">
            <w:pPr>
              <w:spacing w:after="0" w:line="240" w:lineRule="auto"/>
              <w:contextualSpacing/>
              <w:rPr>
                <w:rFonts w:ascii="Verdana" w:hAnsi="Verdana"/>
                <w:bCs/>
                <w:sz w:val="18"/>
                <w:szCs w:val="18"/>
              </w:rPr>
            </w:pPr>
            <w:r w:rsidRPr="00C5308E">
              <w:rPr>
                <w:rFonts w:ascii="Verdana" w:hAnsi="Verdana"/>
                <w:bCs/>
                <w:sz w:val="18"/>
                <w:szCs w:val="18"/>
              </w:rPr>
              <w:t>60-plusmaatregel</w:t>
            </w:r>
          </w:p>
        </w:tc>
        <w:tc>
          <w:tcPr>
            <w:tcW w:w="652" w:type="dxa"/>
            <w:noWrap/>
            <w:vAlign w:val="bottom"/>
          </w:tcPr>
          <w:p w:rsidRPr="00C5308E" w:rsidR="0076594D" w:rsidP="00D87753" w:rsidRDefault="0076594D" w14:paraId="455CA791" w14:textId="77777777">
            <w:pPr>
              <w:spacing w:after="0" w:line="240" w:lineRule="auto"/>
              <w:contextualSpacing/>
              <w:rPr>
                <w:rFonts w:ascii="Verdana" w:hAnsi="Verdana"/>
                <w:bCs/>
                <w:sz w:val="18"/>
                <w:szCs w:val="18"/>
              </w:rPr>
            </w:pPr>
            <w:r w:rsidRPr="00C5308E">
              <w:rPr>
                <w:rFonts w:ascii="Verdana" w:hAnsi="Verdana"/>
                <w:bCs/>
                <w:sz w:val="18"/>
                <w:szCs w:val="18"/>
              </w:rPr>
              <w:t>7</w:t>
            </w:r>
          </w:p>
        </w:tc>
        <w:tc>
          <w:tcPr>
            <w:tcW w:w="652" w:type="dxa"/>
            <w:noWrap/>
            <w:vAlign w:val="bottom"/>
          </w:tcPr>
          <w:p w:rsidRPr="00C5308E" w:rsidR="0076594D" w:rsidP="00D87753" w:rsidRDefault="0076594D" w14:paraId="0E95357A" w14:textId="77777777">
            <w:pPr>
              <w:spacing w:after="0" w:line="240" w:lineRule="auto"/>
              <w:contextualSpacing/>
              <w:rPr>
                <w:rFonts w:ascii="Verdana" w:hAnsi="Verdana"/>
                <w:bCs/>
                <w:sz w:val="18"/>
                <w:szCs w:val="18"/>
              </w:rPr>
            </w:pPr>
            <w:r w:rsidRPr="00C5308E">
              <w:rPr>
                <w:rFonts w:ascii="Verdana" w:hAnsi="Verdana"/>
                <w:bCs/>
                <w:sz w:val="18"/>
                <w:szCs w:val="18"/>
              </w:rPr>
              <w:t>33</w:t>
            </w:r>
          </w:p>
        </w:tc>
        <w:tc>
          <w:tcPr>
            <w:tcW w:w="652" w:type="dxa"/>
            <w:noWrap/>
            <w:vAlign w:val="bottom"/>
          </w:tcPr>
          <w:p w:rsidRPr="00C5308E" w:rsidR="0076594D" w:rsidP="00D87753" w:rsidRDefault="0076594D" w14:paraId="0D314DF5" w14:textId="77777777">
            <w:pPr>
              <w:spacing w:after="0" w:line="240" w:lineRule="auto"/>
              <w:contextualSpacing/>
              <w:rPr>
                <w:rFonts w:ascii="Verdana" w:hAnsi="Verdana"/>
                <w:bCs/>
                <w:sz w:val="18"/>
                <w:szCs w:val="18"/>
              </w:rPr>
            </w:pPr>
            <w:r w:rsidRPr="00C5308E">
              <w:rPr>
                <w:rFonts w:ascii="Verdana" w:hAnsi="Verdana"/>
                <w:bCs/>
                <w:sz w:val="18"/>
                <w:szCs w:val="18"/>
              </w:rPr>
              <w:t>67</w:t>
            </w:r>
          </w:p>
        </w:tc>
        <w:tc>
          <w:tcPr>
            <w:tcW w:w="652" w:type="dxa"/>
            <w:noWrap/>
            <w:vAlign w:val="bottom"/>
          </w:tcPr>
          <w:p w:rsidRPr="00C5308E" w:rsidR="0076594D" w:rsidP="00D87753" w:rsidRDefault="0076594D" w14:paraId="3788722B" w14:textId="77777777">
            <w:pPr>
              <w:spacing w:after="0" w:line="240" w:lineRule="auto"/>
              <w:contextualSpacing/>
              <w:rPr>
                <w:rFonts w:ascii="Verdana" w:hAnsi="Verdana"/>
                <w:bCs/>
                <w:sz w:val="18"/>
                <w:szCs w:val="18"/>
              </w:rPr>
            </w:pPr>
            <w:r w:rsidRPr="00C5308E">
              <w:rPr>
                <w:rFonts w:ascii="Verdana" w:hAnsi="Verdana"/>
                <w:bCs/>
                <w:sz w:val="18"/>
                <w:szCs w:val="18"/>
              </w:rPr>
              <w:t>83</w:t>
            </w:r>
          </w:p>
        </w:tc>
        <w:tc>
          <w:tcPr>
            <w:tcW w:w="652" w:type="dxa"/>
            <w:noWrap/>
            <w:vAlign w:val="bottom"/>
          </w:tcPr>
          <w:p w:rsidRPr="00C5308E" w:rsidR="0076594D" w:rsidP="00D87753" w:rsidRDefault="0076594D" w14:paraId="08909E03" w14:textId="77777777">
            <w:pPr>
              <w:spacing w:after="0" w:line="240" w:lineRule="auto"/>
              <w:contextualSpacing/>
              <w:rPr>
                <w:rFonts w:ascii="Verdana" w:hAnsi="Verdana"/>
                <w:bCs/>
                <w:sz w:val="18"/>
                <w:szCs w:val="18"/>
              </w:rPr>
            </w:pPr>
            <w:r w:rsidRPr="00C5308E">
              <w:rPr>
                <w:rFonts w:ascii="Verdana" w:hAnsi="Verdana"/>
                <w:bCs/>
                <w:sz w:val="18"/>
                <w:szCs w:val="18"/>
              </w:rPr>
              <w:t>76</w:t>
            </w:r>
          </w:p>
        </w:tc>
        <w:tc>
          <w:tcPr>
            <w:tcW w:w="652" w:type="dxa"/>
            <w:noWrap/>
            <w:vAlign w:val="bottom"/>
          </w:tcPr>
          <w:p w:rsidRPr="00C5308E" w:rsidR="0076594D" w:rsidP="00D87753" w:rsidRDefault="0076594D" w14:paraId="2F0A8A05" w14:textId="77777777">
            <w:pPr>
              <w:spacing w:after="0" w:line="240" w:lineRule="auto"/>
              <w:contextualSpacing/>
              <w:rPr>
                <w:rFonts w:ascii="Verdana" w:hAnsi="Verdana"/>
                <w:bCs/>
                <w:sz w:val="18"/>
                <w:szCs w:val="18"/>
              </w:rPr>
            </w:pPr>
            <w:r w:rsidRPr="00C5308E">
              <w:rPr>
                <w:rFonts w:ascii="Verdana" w:hAnsi="Verdana"/>
                <w:bCs/>
                <w:sz w:val="18"/>
                <w:szCs w:val="18"/>
              </w:rPr>
              <w:t>60</w:t>
            </w:r>
          </w:p>
        </w:tc>
      </w:tr>
      <w:tr w:rsidRPr="00C5308E" w:rsidR="0076594D" w:rsidTr="003C75FE" w14:paraId="6684E750" w14:textId="77777777">
        <w:trPr>
          <w:trHeight w:val="230"/>
        </w:trPr>
        <w:tc>
          <w:tcPr>
            <w:tcW w:w="3828" w:type="dxa"/>
            <w:noWrap/>
            <w:vAlign w:val="bottom"/>
          </w:tcPr>
          <w:p w:rsidRPr="00C5308E" w:rsidR="0076594D" w:rsidP="00D87753" w:rsidRDefault="0076594D" w14:paraId="1EB8E771" w14:textId="77777777">
            <w:pPr>
              <w:spacing w:after="0" w:line="240" w:lineRule="auto"/>
              <w:contextualSpacing/>
              <w:rPr>
                <w:rFonts w:ascii="Verdana" w:hAnsi="Verdana"/>
                <w:bCs/>
                <w:sz w:val="18"/>
                <w:szCs w:val="18"/>
              </w:rPr>
            </w:pPr>
            <w:r w:rsidRPr="00C5308E">
              <w:rPr>
                <w:rFonts w:ascii="Verdana" w:hAnsi="Verdana"/>
                <w:bCs/>
                <w:sz w:val="18"/>
                <w:szCs w:val="18"/>
              </w:rPr>
              <w:t>Kwijtschelden voorschotten</w:t>
            </w:r>
          </w:p>
        </w:tc>
        <w:tc>
          <w:tcPr>
            <w:tcW w:w="652" w:type="dxa"/>
            <w:noWrap/>
            <w:vAlign w:val="bottom"/>
          </w:tcPr>
          <w:p w:rsidRPr="00C5308E" w:rsidR="0076594D" w:rsidP="00D87753" w:rsidRDefault="0076594D" w14:paraId="36939B8A" w14:textId="77777777">
            <w:pPr>
              <w:spacing w:after="0" w:line="240" w:lineRule="auto"/>
              <w:contextualSpacing/>
              <w:rPr>
                <w:rFonts w:ascii="Verdana" w:hAnsi="Verdana"/>
                <w:bCs/>
                <w:sz w:val="18"/>
                <w:szCs w:val="18"/>
              </w:rPr>
            </w:pPr>
            <w:r w:rsidRPr="00C5308E">
              <w:rPr>
                <w:rFonts w:ascii="Verdana" w:hAnsi="Verdana"/>
                <w:bCs/>
                <w:sz w:val="18"/>
                <w:szCs w:val="18"/>
              </w:rPr>
              <w:t>0</w:t>
            </w:r>
          </w:p>
        </w:tc>
        <w:tc>
          <w:tcPr>
            <w:tcW w:w="652" w:type="dxa"/>
            <w:noWrap/>
            <w:vAlign w:val="bottom"/>
          </w:tcPr>
          <w:p w:rsidRPr="00C5308E" w:rsidR="0076594D" w:rsidP="00D87753" w:rsidRDefault="0076594D" w14:paraId="57C2CD88" w14:textId="77777777">
            <w:pPr>
              <w:spacing w:after="0" w:line="240" w:lineRule="auto"/>
              <w:contextualSpacing/>
              <w:rPr>
                <w:rFonts w:ascii="Verdana" w:hAnsi="Verdana"/>
                <w:bCs/>
                <w:sz w:val="18"/>
                <w:szCs w:val="18"/>
              </w:rPr>
            </w:pPr>
            <w:r w:rsidRPr="00C5308E">
              <w:rPr>
                <w:rFonts w:ascii="Verdana" w:hAnsi="Verdana"/>
                <w:bCs/>
                <w:sz w:val="18"/>
                <w:szCs w:val="18"/>
              </w:rPr>
              <w:t>30</w:t>
            </w:r>
          </w:p>
        </w:tc>
        <w:tc>
          <w:tcPr>
            <w:tcW w:w="652" w:type="dxa"/>
            <w:noWrap/>
            <w:vAlign w:val="bottom"/>
          </w:tcPr>
          <w:p w:rsidRPr="00C5308E" w:rsidR="0076594D" w:rsidP="00D87753" w:rsidRDefault="0076594D" w14:paraId="6753B06C" w14:textId="77777777">
            <w:pPr>
              <w:spacing w:after="0" w:line="240" w:lineRule="auto"/>
              <w:contextualSpacing/>
              <w:rPr>
                <w:rFonts w:ascii="Verdana" w:hAnsi="Verdana"/>
                <w:bCs/>
                <w:sz w:val="18"/>
                <w:szCs w:val="18"/>
              </w:rPr>
            </w:pPr>
            <w:r w:rsidRPr="00C5308E">
              <w:rPr>
                <w:rFonts w:ascii="Verdana" w:hAnsi="Verdana"/>
                <w:bCs/>
                <w:sz w:val="18"/>
                <w:szCs w:val="18"/>
              </w:rPr>
              <w:t>33</w:t>
            </w:r>
          </w:p>
        </w:tc>
        <w:tc>
          <w:tcPr>
            <w:tcW w:w="652" w:type="dxa"/>
            <w:noWrap/>
            <w:vAlign w:val="bottom"/>
          </w:tcPr>
          <w:p w:rsidRPr="00C5308E" w:rsidR="0076594D" w:rsidP="00D87753" w:rsidRDefault="0076594D" w14:paraId="10A40D28" w14:textId="77777777">
            <w:pPr>
              <w:spacing w:after="0" w:line="240" w:lineRule="auto"/>
              <w:contextualSpacing/>
              <w:rPr>
                <w:rFonts w:ascii="Verdana" w:hAnsi="Verdana"/>
                <w:bCs/>
                <w:sz w:val="18"/>
                <w:szCs w:val="18"/>
              </w:rPr>
            </w:pPr>
            <w:r w:rsidRPr="00C5308E">
              <w:rPr>
                <w:rFonts w:ascii="Verdana" w:hAnsi="Verdana"/>
                <w:bCs/>
                <w:sz w:val="18"/>
                <w:szCs w:val="18"/>
              </w:rPr>
              <w:t>49</w:t>
            </w:r>
          </w:p>
        </w:tc>
        <w:tc>
          <w:tcPr>
            <w:tcW w:w="652" w:type="dxa"/>
            <w:noWrap/>
            <w:vAlign w:val="bottom"/>
          </w:tcPr>
          <w:p w:rsidRPr="00C5308E" w:rsidR="0076594D" w:rsidP="00D87753" w:rsidRDefault="0076594D" w14:paraId="00997CEB" w14:textId="77777777">
            <w:pPr>
              <w:spacing w:after="0" w:line="240" w:lineRule="auto"/>
              <w:contextualSpacing/>
              <w:rPr>
                <w:rFonts w:ascii="Verdana" w:hAnsi="Verdana"/>
                <w:bCs/>
                <w:sz w:val="18"/>
                <w:szCs w:val="18"/>
              </w:rPr>
            </w:pPr>
            <w:r w:rsidRPr="00C5308E">
              <w:rPr>
                <w:rFonts w:ascii="Verdana" w:hAnsi="Verdana"/>
                <w:bCs/>
                <w:sz w:val="18"/>
                <w:szCs w:val="18"/>
              </w:rPr>
              <w:t>69</w:t>
            </w:r>
          </w:p>
        </w:tc>
        <w:tc>
          <w:tcPr>
            <w:tcW w:w="652" w:type="dxa"/>
            <w:noWrap/>
            <w:vAlign w:val="bottom"/>
          </w:tcPr>
          <w:p w:rsidRPr="00C5308E" w:rsidR="0076594D" w:rsidP="00D87753" w:rsidRDefault="0076594D" w14:paraId="1B59FE7E" w14:textId="77777777">
            <w:pPr>
              <w:spacing w:after="0" w:line="240" w:lineRule="auto"/>
              <w:contextualSpacing/>
              <w:rPr>
                <w:rFonts w:ascii="Verdana" w:hAnsi="Verdana"/>
                <w:bCs/>
                <w:sz w:val="18"/>
                <w:szCs w:val="18"/>
              </w:rPr>
            </w:pPr>
            <w:r w:rsidRPr="00C5308E">
              <w:rPr>
                <w:rFonts w:ascii="Verdana" w:hAnsi="Verdana"/>
                <w:bCs/>
                <w:sz w:val="18"/>
                <w:szCs w:val="18"/>
              </w:rPr>
              <w:t>91</w:t>
            </w:r>
          </w:p>
        </w:tc>
      </w:tr>
      <w:tr w:rsidRPr="00C5308E" w:rsidR="0076594D" w:rsidTr="003C75FE" w14:paraId="39FA26CA" w14:textId="77777777">
        <w:trPr>
          <w:trHeight w:val="230"/>
        </w:trPr>
        <w:tc>
          <w:tcPr>
            <w:tcW w:w="3828" w:type="dxa"/>
            <w:noWrap/>
            <w:vAlign w:val="bottom"/>
          </w:tcPr>
          <w:p w:rsidRPr="00C5308E" w:rsidR="0076594D" w:rsidP="00D87753" w:rsidRDefault="0076594D" w14:paraId="13AACE9B" w14:textId="77777777">
            <w:pPr>
              <w:spacing w:after="0" w:line="240" w:lineRule="auto"/>
              <w:contextualSpacing/>
              <w:rPr>
                <w:rFonts w:ascii="Verdana" w:hAnsi="Verdana"/>
                <w:bCs/>
                <w:sz w:val="18"/>
                <w:szCs w:val="18"/>
              </w:rPr>
            </w:pPr>
            <w:r w:rsidRPr="00C5308E">
              <w:rPr>
                <w:rFonts w:ascii="Verdana" w:hAnsi="Verdana"/>
                <w:bCs/>
                <w:sz w:val="18"/>
                <w:szCs w:val="18"/>
              </w:rPr>
              <w:t>Totaal</w:t>
            </w:r>
          </w:p>
        </w:tc>
        <w:tc>
          <w:tcPr>
            <w:tcW w:w="652" w:type="dxa"/>
            <w:noWrap/>
            <w:vAlign w:val="bottom"/>
          </w:tcPr>
          <w:p w:rsidRPr="00C5308E" w:rsidR="0076594D" w:rsidP="00D87753" w:rsidRDefault="0076594D" w14:paraId="1AC4C6B6" w14:textId="77777777">
            <w:pPr>
              <w:spacing w:after="0" w:line="240" w:lineRule="auto"/>
              <w:contextualSpacing/>
              <w:rPr>
                <w:rFonts w:ascii="Verdana" w:hAnsi="Verdana"/>
                <w:bCs/>
                <w:sz w:val="18"/>
                <w:szCs w:val="18"/>
              </w:rPr>
            </w:pPr>
            <w:r w:rsidRPr="00C5308E">
              <w:rPr>
                <w:rFonts w:ascii="Verdana" w:hAnsi="Verdana"/>
                <w:bCs/>
                <w:sz w:val="18"/>
                <w:szCs w:val="18"/>
              </w:rPr>
              <w:t>-32</w:t>
            </w:r>
          </w:p>
        </w:tc>
        <w:tc>
          <w:tcPr>
            <w:tcW w:w="652" w:type="dxa"/>
            <w:noWrap/>
            <w:vAlign w:val="bottom"/>
          </w:tcPr>
          <w:p w:rsidRPr="00C5308E" w:rsidR="0076594D" w:rsidP="00D87753" w:rsidRDefault="0076594D" w14:paraId="0A07E2A7" w14:textId="77777777">
            <w:pPr>
              <w:spacing w:after="0" w:line="240" w:lineRule="auto"/>
              <w:contextualSpacing/>
              <w:rPr>
                <w:rFonts w:ascii="Verdana" w:hAnsi="Verdana"/>
                <w:bCs/>
                <w:sz w:val="18"/>
                <w:szCs w:val="18"/>
              </w:rPr>
            </w:pPr>
            <w:r w:rsidRPr="00C5308E">
              <w:rPr>
                <w:rFonts w:ascii="Verdana" w:hAnsi="Verdana"/>
                <w:bCs/>
                <w:sz w:val="18"/>
                <w:szCs w:val="18"/>
              </w:rPr>
              <w:t>167</w:t>
            </w:r>
          </w:p>
        </w:tc>
        <w:tc>
          <w:tcPr>
            <w:tcW w:w="652" w:type="dxa"/>
            <w:noWrap/>
            <w:vAlign w:val="bottom"/>
          </w:tcPr>
          <w:p w:rsidRPr="00C5308E" w:rsidR="0076594D" w:rsidP="00D87753" w:rsidRDefault="0076594D" w14:paraId="6B8ECC6C" w14:textId="77777777">
            <w:pPr>
              <w:spacing w:after="0" w:line="240" w:lineRule="auto"/>
              <w:contextualSpacing/>
              <w:rPr>
                <w:rFonts w:ascii="Verdana" w:hAnsi="Verdana"/>
                <w:bCs/>
                <w:sz w:val="18"/>
                <w:szCs w:val="18"/>
              </w:rPr>
            </w:pPr>
            <w:r w:rsidRPr="00C5308E">
              <w:rPr>
                <w:rFonts w:ascii="Verdana" w:hAnsi="Verdana"/>
                <w:bCs/>
                <w:sz w:val="18"/>
                <w:szCs w:val="18"/>
              </w:rPr>
              <w:t>212</w:t>
            </w:r>
          </w:p>
        </w:tc>
        <w:tc>
          <w:tcPr>
            <w:tcW w:w="652" w:type="dxa"/>
            <w:noWrap/>
            <w:vAlign w:val="bottom"/>
          </w:tcPr>
          <w:p w:rsidRPr="00C5308E" w:rsidR="0076594D" w:rsidP="00D87753" w:rsidRDefault="0076594D" w14:paraId="60454E6F" w14:textId="77777777">
            <w:pPr>
              <w:spacing w:after="0" w:line="240" w:lineRule="auto"/>
              <w:contextualSpacing/>
              <w:rPr>
                <w:rFonts w:ascii="Verdana" w:hAnsi="Verdana"/>
                <w:bCs/>
                <w:sz w:val="18"/>
                <w:szCs w:val="18"/>
              </w:rPr>
            </w:pPr>
            <w:r w:rsidRPr="00C5308E">
              <w:rPr>
                <w:rFonts w:ascii="Verdana" w:hAnsi="Verdana"/>
                <w:bCs/>
                <w:sz w:val="18"/>
                <w:szCs w:val="18"/>
              </w:rPr>
              <w:t>197</w:t>
            </w:r>
          </w:p>
        </w:tc>
        <w:tc>
          <w:tcPr>
            <w:tcW w:w="652" w:type="dxa"/>
            <w:noWrap/>
            <w:vAlign w:val="bottom"/>
          </w:tcPr>
          <w:p w:rsidRPr="00C5308E" w:rsidR="0076594D" w:rsidP="00D87753" w:rsidRDefault="0076594D" w14:paraId="5DDED442" w14:textId="77777777">
            <w:pPr>
              <w:spacing w:after="0" w:line="240" w:lineRule="auto"/>
              <w:contextualSpacing/>
              <w:rPr>
                <w:rFonts w:ascii="Verdana" w:hAnsi="Verdana"/>
                <w:bCs/>
                <w:sz w:val="18"/>
                <w:szCs w:val="18"/>
              </w:rPr>
            </w:pPr>
            <w:r w:rsidRPr="00C5308E">
              <w:rPr>
                <w:rFonts w:ascii="Verdana" w:hAnsi="Verdana"/>
                <w:bCs/>
                <w:sz w:val="18"/>
                <w:szCs w:val="18"/>
              </w:rPr>
              <w:t>214</w:t>
            </w:r>
          </w:p>
        </w:tc>
        <w:tc>
          <w:tcPr>
            <w:tcW w:w="652" w:type="dxa"/>
            <w:noWrap/>
            <w:vAlign w:val="bottom"/>
          </w:tcPr>
          <w:p w:rsidRPr="00C5308E" w:rsidR="0076594D" w:rsidP="00D87753" w:rsidRDefault="0076594D" w14:paraId="4881E34F" w14:textId="77777777">
            <w:pPr>
              <w:spacing w:after="0" w:line="240" w:lineRule="auto"/>
              <w:contextualSpacing/>
              <w:rPr>
                <w:rFonts w:ascii="Verdana" w:hAnsi="Verdana"/>
                <w:bCs/>
                <w:sz w:val="18"/>
                <w:szCs w:val="18"/>
              </w:rPr>
            </w:pPr>
            <w:r w:rsidRPr="00C5308E">
              <w:rPr>
                <w:rFonts w:ascii="Verdana" w:hAnsi="Verdana"/>
                <w:bCs/>
                <w:sz w:val="18"/>
                <w:szCs w:val="18"/>
              </w:rPr>
              <w:t>224</w:t>
            </w:r>
          </w:p>
        </w:tc>
      </w:tr>
    </w:tbl>
    <w:p w:rsidRPr="00C5308E" w:rsidR="0076594D" w:rsidP="00D87753" w:rsidRDefault="0076594D" w14:paraId="4CAEEC19" w14:textId="77777777">
      <w:pPr>
        <w:spacing w:after="0" w:line="240" w:lineRule="auto"/>
        <w:contextualSpacing/>
        <w:rPr>
          <w:rFonts w:ascii="Verdana" w:hAnsi="Verdana"/>
          <w:bCs/>
          <w:sz w:val="18"/>
          <w:szCs w:val="18"/>
        </w:rPr>
      </w:pPr>
    </w:p>
    <w:p w:rsidRPr="00C5308E" w:rsidR="009B531C" w:rsidP="009B531C" w:rsidRDefault="009B531C" w14:paraId="20F8442A" w14:textId="77777777">
      <w:pPr>
        <w:spacing w:after="0" w:line="240" w:lineRule="auto"/>
        <w:rPr>
          <w:rFonts w:ascii="Verdana" w:hAnsi="Verdana"/>
          <w:sz w:val="18"/>
          <w:szCs w:val="18"/>
          <w:u w:val="single"/>
        </w:rPr>
      </w:pPr>
      <w:r w:rsidRPr="00C5308E">
        <w:rPr>
          <w:rFonts w:ascii="Verdana" w:hAnsi="Verdana"/>
          <w:sz w:val="18"/>
          <w:szCs w:val="18"/>
          <w:u w:val="single"/>
        </w:rPr>
        <w:t>Vraag 137</w:t>
      </w:r>
    </w:p>
    <w:p w:rsidRPr="00C5308E" w:rsidR="009B531C" w:rsidP="009B531C" w:rsidRDefault="009B531C" w14:paraId="6F5BBF05" w14:textId="77777777">
      <w:pPr>
        <w:spacing w:after="0" w:line="240" w:lineRule="auto"/>
        <w:rPr>
          <w:rFonts w:ascii="Verdana" w:hAnsi="Verdana"/>
          <w:sz w:val="18"/>
          <w:szCs w:val="18"/>
        </w:rPr>
      </w:pPr>
      <w:r w:rsidRPr="00C5308E">
        <w:rPr>
          <w:rFonts w:ascii="Verdana" w:hAnsi="Verdana"/>
          <w:sz w:val="18"/>
          <w:szCs w:val="18"/>
        </w:rPr>
        <w:t>Kunt u een overzicht maken van alle mutaties die de WIA aangaan en specificeren waar deze precies voor zijn bedoeld? Kunt u hierbij zowel een financiële tabel presenteren als uitleg geven in woorden?</w:t>
      </w:r>
    </w:p>
    <w:p w:rsidRPr="00C5308E" w:rsidR="009B531C" w:rsidP="009B531C" w:rsidRDefault="009B531C" w14:paraId="2DBC12C3" w14:textId="77777777">
      <w:pPr>
        <w:spacing w:after="0" w:line="240" w:lineRule="auto"/>
        <w:rPr>
          <w:rFonts w:ascii="Verdana" w:hAnsi="Verdana"/>
          <w:sz w:val="18"/>
          <w:szCs w:val="18"/>
        </w:rPr>
      </w:pPr>
    </w:p>
    <w:p w:rsidRPr="00C5308E" w:rsidR="009B531C" w:rsidP="009B531C" w:rsidRDefault="009B531C" w14:paraId="232884B4" w14:textId="77777777">
      <w:pPr>
        <w:spacing w:after="0" w:line="240" w:lineRule="auto"/>
        <w:rPr>
          <w:rFonts w:ascii="Verdana" w:hAnsi="Verdana"/>
          <w:sz w:val="18"/>
          <w:szCs w:val="18"/>
          <w:u w:val="single"/>
        </w:rPr>
      </w:pPr>
      <w:r w:rsidRPr="00C5308E">
        <w:rPr>
          <w:rFonts w:ascii="Verdana" w:hAnsi="Verdana"/>
          <w:sz w:val="18"/>
          <w:szCs w:val="18"/>
          <w:u w:val="single"/>
        </w:rPr>
        <w:t>Antwoord 137</w:t>
      </w:r>
    </w:p>
    <w:p w:rsidRPr="00C5308E" w:rsidR="009B531C" w:rsidP="009B531C" w:rsidRDefault="009B531C" w14:paraId="6477BA44" w14:textId="77777777">
      <w:pPr>
        <w:spacing w:after="0" w:line="240" w:lineRule="auto"/>
        <w:rPr>
          <w:rFonts w:ascii="Verdana" w:hAnsi="Verdana"/>
          <w:sz w:val="18"/>
          <w:szCs w:val="18"/>
        </w:rPr>
      </w:pPr>
      <w:r w:rsidRPr="00C5308E">
        <w:rPr>
          <w:rFonts w:ascii="Verdana" w:hAnsi="Verdana"/>
          <w:sz w:val="18"/>
          <w:szCs w:val="18"/>
        </w:rPr>
        <w:t>Hieronder volgt een overzicht van alle maatregelen waartoe het kabinet heeft besloten omtrent de WIA. De reeksen betreffen voornamelijk totaalreeksen tenzij anders aangegeven. Deze reeksen bevatten dus ook weglekeffecten op bijvoorbeeld de bijstand, de TW en uitvoeringskosten. Over de grootste beleidswijzigingen wordt uw Kamer binnenkort apart geïnformeerd. Daarnaast ontvangt uw Kamer voor de zomer een brief over herstelacties bij het UWV. In die brief wordt ook ingegaan op onderstaande reservering naar aanleiding van maatmanloonindexatiefouten, waarover u eerder via Kamerstukken II, 2024/2025, 25 883, nr. 520 op de hoogte bent gebracht.</w:t>
      </w:r>
    </w:p>
    <w:p w:rsidRPr="00C5308E" w:rsidR="009B531C" w:rsidP="009B531C" w:rsidRDefault="009B531C" w14:paraId="6031AA7A" w14:textId="77777777">
      <w:pPr>
        <w:spacing w:after="0" w:line="240" w:lineRule="auto"/>
        <w:rPr>
          <w:rFonts w:ascii="Verdana" w:hAnsi="Verdana"/>
          <w:sz w:val="18"/>
          <w:szCs w:val="18"/>
        </w:rPr>
      </w:pPr>
    </w:p>
    <w:p w:rsidRPr="00FE7425" w:rsidR="009B531C" w:rsidP="009B531C" w:rsidRDefault="009B531C" w14:paraId="6C65FA1C" w14:textId="45F3465A">
      <w:pPr>
        <w:spacing w:after="0" w:line="240" w:lineRule="auto"/>
        <w:ind w:left="708" w:hanging="708"/>
        <w:rPr>
          <w:rFonts w:ascii="Verdana" w:hAnsi="Verdana"/>
          <w:i/>
          <w:iCs/>
          <w:sz w:val="18"/>
          <w:szCs w:val="18"/>
        </w:rPr>
      </w:pPr>
      <w:r w:rsidRPr="00FE7425">
        <w:rPr>
          <w:rFonts w:ascii="Verdana" w:hAnsi="Verdana"/>
          <w:i/>
          <w:iCs/>
          <w:sz w:val="18"/>
          <w:szCs w:val="18"/>
        </w:rPr>
        <w:t>Tabel maatregelen met betrekking tot de WIA</w:t>
      </w:r>
    </w:p>
    <w:p w:rsidRPr="00C5308E" w:rsidR="009B531C" w:rsidP="009B531C" w:rsidRDefault="009B531C" w14:paraId="1F3904AD" w14:textId="77777777">
      <w:pPr>
        <w:spacing w:after="0" w:line="240" w:lineRule="auto"/>
        <w:rPr>
          <w:rFonts w:ascii="Verdana" w:hAnsi="Verdana"/>
          <w:sz w:val="18"/>
          <w:szCs w:val="18"/>
        </w:rPr>
      </w:pPr>
    </w:p>
    <w:tbl>
      <w:tblPr>
        <w:tblW w:w="9185"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765"/>
        <w:gridCol w:w="680"/>
      </w:tblGrid>
      <w:tr w:rsidRPr="00C5308E" w:rsidR="009B531C" w:rsidTr="003C75FE" w14:paraId="43D666C9" w14:textId="77777777">
        <w:trPr>
          <w:trHeight w:val="240"/>
        </w:trPr>
        <w:tc>
          <w:tcPr>
            <w:tcW w:w="3828" w:type="dxa"/>
            <w:tcBorders>
              <w:top w:val="nil"/>
              <w:left w:val="nil"/>
              <w:bottom w:val="single" w:color="auto" w:sz="8" w:space="0"/>
              <w:right w:val="nil"/>
            </w:tcBorders>
            <w:noWrap/>
            <w:vAlign w:val="bottom"/>
            <w:hideMark/>
          </w:tcPr>
          <w:p w:rsidRPr="00C5308E" w:rsidR="009B531C" w:rsidP="003C75FE" w:rsidRDefault="009B531C" w14:paraId="6975281A" w14:textId="1C337782">
            <w:pPr>
              <w:spacing w:after="0" w:line="240" w:lineRule="auto"/>
              <w:rPr>
                <w:rFonts w:ascii="Verdana" w:hAnsi="Verdana"/>
                <w:b/>
                <w:bCs/>
                <w:sz w:val="18"/>
                <w:szCs w:val="18"/>
              </w:rPr>
            </w:pPr>
            <w:r w:rsidRPr="00C5308E">
              <w:rPr>
                <w:rFonts w:ascii="Verdana" w:hAnsi="Verdana"/>
                <w:b/>
                <w:bCs/>
                <w:sz w:val="18"/>
                <w:szCs w:val="18"/>
              </w:rPr>
              <w:t> x € 1 m</w:t>
            </w:r>
            <w:r w:rsidRPr="00C5308E" w:rsidR="0031642E">
              <w:rPr>
                <w:rFonts w:ascii="Verdana" w:hAnsi="Verdana"/>
                <w:b/>
                <w:bCs/>
                <w:sz w:val="18"/>
                <w:szCs w:val="18"/>
              </w:rPr>
              <w:t>ln.</w:t>
            </w:r>
          </w:p>
        </w:tc>
        <w:tc>
          <w:tcPr>
            <w:tcW w:w="652" w:type="dxa"/>
            <w:tcBorders>
              <w:top w:val="nil"/>
              <w:left w:val="nil"/>
              <w:bottom w:val="single" w:color="auto" w:sz="8" w:space="0"/>
              <w:right w:val="nil"/>
            </w:tcBorders>
            <w:noWrap/>
            <w:vAlign w:val="bottom"/>
            <w:hideMark/>
          </w:tcPr>
          <w:p w:rsidRPr="00C5308E" w:rsidR="009B531C" w:rsidP="003C75FE" w:rsidRDefault="009B531C" w14:paraId="4E9063AE" w14:textId="77777777">
            <w:pPr>
              <w:spacing w:after="0" w:line="240" w:lineRule="auto"/>
              <w:rPr>
                <w:rFonts w:ascii="Verdana" w:hAnsi="Verdana"/>
                <w:b/>
                <w:bCs/>
                <w:sz w:val="18"/>
                <w:szCs w:val="18"/>
              </w:rPr>
            </w:pPr>
            <w:r w:rsidRPr="00C5308E">
              <w:rPr>
                <w:rFonts w:ascii="Verdana" w:hAnsi="Verdana"/>
                <w:b/>
                <w:bCs/>
                <w:sz w:val="18"/>
                <w:szCs w:val="18"/>
              </w:rPr>
              <w:t>2025</w:t>
            </w:r>
          </w:p>
        </w:tc>
        <w:tc>
          <w:tcPr>
            <w:tcW w:w="652" w:type="dxa"/>
            <w:tcBorders>
              <w:top w:val="nil"/>
              <w:left w:val="nil"/>
              <w:bottom w:val="single" w:color="auto" w:sz="8" w:space="0"/>
              <w:right w:val="nil"/>
            </w:tcBorders>
            <w:noWrap/>
            <w:vAlign w:val="bottom"/>
            <w:hideMark/>
          </w:tcPr>
          <w:p w:rsidRPr="00C5308E" w:rsidR="009B531C" w:rsidP="003C75FE" w:rsidRDefault="009B531C" w14:paraId="144CFC2E" w14:textId="77777777">
            <w:pPr>
              <w:spacing w:after="0" w:line="240" w:lineRule="auto"/>
              <w:rPr>
                <w:rFonts w:ascii="Verdana" w:hAnsi="Verdana"/>
                <w:b/>
                <w:bCs/>
                <w:sz w:val="18"/>
                <w:szCs w:val="18"/>
              </w:rPr>
            </w:pPr>
            <w:r w:rsidRPr="00C5308E">
              <w:rPr>
                <w:rFonts w:ascii="Verdana" w:hAnsi="Verdana"/>
                <w:b/>
                <w:bCs/>
                <w:sz w:val="18"/>
                <w:szCs w:val="18"/>
              </w:rPr>
              <w:t>2026</w:t>
            </w:r>
          </w:p>
        </w:tc>
        <w:tc>
          <w:tcPr>
            <w:tcW w:w="652" w:type="dxa"/>
            <w:tcBorders>
              <w:top w:val="nil"/>
              <w:left w:val="nil"/>
              <w:bottom w:val="single" w:color="auto" w:sz="8" w:space="0"/>
              <w:right w:val="nil"/>
            </w:tcBorders>
            <w:noWrap/>
            <w:vAlign w:val="bottom"/>
            <w:hideMark/>
          </w:tcPr>
          <w:p w:rsidRPr="00C5308E" w:rsidR="009B531C" w:rsidP="003C75FE" w:rsidRDefault="009B531C" w14:paraId="68732EC0" w14:textId="77777777">
            <w:pPr>
              <w:spacing w:after="0" w:line="240" w:lineRule="auto"/>
              <w:rPr>
                <w:rFonts w:ascii="Verdana" w:hAnsi="Verdana"/>
                <w:b/>
                <w:bCs/>
                <w:sz w:val="18"/>
                <w:szCs w:val="18"/>
              </w:rPr>
            </w:pPr>
            <w:r w:rsidRPr="00C5308E">
              <w:rPr>
                <w:rFonts w:ascii="Verdana" w:hAnsi="Verdana"/>
                <w:b/>
                <w:bCs/>
                <w:sz w:val="18"/>
                <w:szCs w:val="18"/>
              </w:rPr>
              <w:t>2027</w:t>
            </w:r>
          </w:p>
        </w:tc>
        <w:tc>
          <w:tcPr>
            <w:tcW w:w="652" w:type="dxa"/>
            <w:tcBorders>
              <w:top w:val="nil"/>
              <w:left w:val="nil"/>
              <w:bottom w:val="single" w:color="auto" w:sz="8" w:space="0"/>
              <w:right w:val="nil"/>
            </w:tcBorders>
            <w:noWrap/>
            <w:vAlign w:val="bottom"/>
            <w:hideMark/>
          </w:tcPr>
          <w:p w:rsidRPr="00C5308E" w:rsidR="009B531C" w:rsidP="003C75FE" w:rsidRDefault="009B531C" w14:paraId="25D564E0" w14:textId="77777777">
            <w:pPr>
              <w:spacing w:after="0" w:line="240" w:lineRule="auto"/>
              <w:rPr>
                <w:rFonts w:ascii="Verdana" w:hAnsi="Verdana"/>
                <w:b/>
                <w:bCs/>
                <w:sz w:val="18"/>
                <w:szCs w:val="18"/>
              </w:rPr>
            </w:pPr>
            <w:r w:rsidRPr="00C5308E">
              <w:rPr>
                <w:rFonts w:ascii="Verdana" w:hAnsi="Verdana"/>
                <w:b/>
                <w:bCs/>
                <w:sz w:val="18"/>
                <w:szCs w:val="18"/>
              </w:rPr>
              <w:t>2028</w:t>
            </w:r>
          </w:p>
        </w:tc>
        <w:tc>
          <w:tcPr>
            <w:tcW w:w="652" w:type="dxa"/>
            <w:tcBorders>
              <w:top w:val="nil"/>
              <w:left w:val="nil"/>
              <w:bottom w:val="single" w:color="auto" w:sz="8" w:space="0"/>
              <w:right w:val="nil"/>
            </w:tcBorders>
            <w:noWrap/>
            <w:vAlign w:val="bottom"/>
            <w:hideMark/>
          </w:tcPr>
          <w:p w:rsidRPr="00C5308E" w:rsidR="009B531C" w:rsidP="003C75FE" w:rsidRDefault="009B531C" w14:paraId="068BB926" w14:textId="77777777">
            <w:pPr>
              <w:spacing w:after="0" w:line="240" w:lineRule="auto"/>
              <w:rPr>
                <w:rFonts w:ascii="Verdana" w:hAnsi="Verdana"/>
                <w:b/>
                <w:bCs/>
                <w:sz w:val="18"/>
                <w:szCs w:val="18"/>
              </w:rPr>
            </w:pPr>
            <w:r w:rsidRPr="00C5308E">
              <w:rPr>
                <w:rFonts w:ascii="Verdana" w:hAnsi="Verdana"/>
                <w:b/>
                <w:bCs/>
                <w:sz w:val="18"/>
                <w:szCs w:val="18"/>
              </w:rPr>
              <w:t>2029</w:t>
            </w:r>
          </w:p>
        </w:tc>
        <w:tc>
          <w:tcPr>
            <w:tcW w:w="652" w:type="dxa"/>
            <w:tcBorders>
              <w:top w:val="nil"/>
              <w:left w:val="nil"/>
              <w:bottom w:val="single" w:color="auto" w:sz="8" w:space="0"/>
              <w:right w:val="nil"/>
            </w:tcBorders>
            <w:noWrap/>
            <w:vAlign w:val="bottom"/>
            <w:hideMark/>
          </w:tcPr>
          <w:p w:rsidRPr="00C5308E" w:rsidR="009B531C" w:rsidP="003C75FE" w:rsidRDefault="009B531C" w14:paraId="394A9D21" w14:textId="77777777">
            <w:pPr>
              <w:spacing w:after="0" w:line="240" w:lineRule="auto"/>
              <w:rPr>
                <w:rFonts w:ascii="Verdana" w:hAnsi="Verdana"/>
                <w:b/>
                <w:bCs/>
                <w:sz w:val="18"/>
                <w:szCs w:val="18"/>
              </w:rPr>
            </w:pPr>
            <w:r w:rsidRPr="00C5308E">
              <w:rPr>
                <w:rFonts w:ascii="Verdana" w:hAnsi="Verdana"/>
                <w:b/>
                <w:bCs/>
                <w:sz w:val="18"/>
                <w:szCs w:val="18"/>
              </w:rPr>
              <w:t>2030</w:t>
            </w:r>
          </w:p>
        </w:tc>
        <w:tc>
          <w:tcPr>
            <w:tcW w:w="765" w:type="dxa"/>
            <w:tcBorders>
              <w:top w:val="nil"/>
              <w:left w:val="nil"/>
              <w:bottom w:val="single" w:color="auto" w:sz="8" w:space="0"/>
              <w:right w:val="nil"/>
            </w:tcBorders>
            <w:noWrap/>
            <w:vAlign w:val="bottom"/>
            <w:hideMark/>
          </w:tcPr>
          <w:p w:rsidRPr="00C5308E" w:rsidR="009B531C" w:rsidP="003C75FE" w:rsidRDefault="009B531C" w14:paraId="7E7AC8E9" w14:textId="77777777">
            <w:pPr>
              <w:spacing w:after="0" w:line="240" w:lineRule="auto"/>
              <w:rPr>
                <w:rFonts w:ascii="Verdana" w:hAnsi="Verdana"/>
                <w:b/>
                <w:bCs/>
                <w:sz w:val="18"/>
                <w:szCs w:val="18"/>
              </w:rPr>
            </w:pPr>
            <w:r w:rsidRPr="00C5308E">
              <w:rPr>
                <w:rFonts w:ascii="Verdana" w:hAnsi="Verdana"/>
                <w:b/>
                <w:bCs/>
                <w:sz w:val="18"/>
                <w:szCs w:val="18"/>
              </w:rPr>
              <w:t>Cum</w:t>
            </w:r>
          </w:p>
        </w:tc>
        <w:tc>
          <w:tcPr>
            <w:tcW w:w="680" w:type="dxa"/>
            <w:tcBorders>
              <w:top w:val="nil"/>
              <w:left w:val="nil"/>
              <w:bottom w:val="single" w:color="auto" w:sz="8" w:space="0"/>
              <w:right w:val="nil"/>
            </w:tcBorders>
            <w:noWrap/>
            <w:vAlign w:val="bottom"/>
            <w:hideMark/>
          </w:tcPr>
          <w:p w:rsidRPr="00C5308E" w:rsidR="009B531C" w:rsidP="003C75FE" w:rsidRDefault="009B531C" w14:paraId="477A8F40" w14:textId="77777777">
            <w:pPr>
              <w:spacing w:after="0" w:line="240" w:lineRule="auto"/>
              <w:rPr>
                <w:rFonts w:ascii="Verdana" w:hAnsi="Verdana"/>
                <w:b/>
                <w:bCs/>
                <w:sz w:val="18"/>
                <w:szCs w:val="18"/>
              </w:rPr>
            </w:pPr>
            <w:r w:rsidRPr="00C5308E">
              <w:rPr>
                <w:rFonts w:ascii="Verdana" w:hAnsi="Verdana"/>
                <w:b/>
                <w:bCs/>
                <w:sz w:val="18"/>
                <w:szCs w:val="18"/>
              </w:rPr>
              <w:t>Struc</w:t>
            </w:r>
          </w:p>
        </w:tc>
      </w:tr>
      <w:tr w:rsidRPr="00C5308E" w:rsidR="009B531C" w:rsidTr="003C75FE" w14:paraId="6516EDD7" w14:textId="77777777">
        <w:trPr>
          <w:trHeight w:val="230"/>
        </w:trPr>
        <w:tc>
          <w:tcPr>
            <w:tcW w:w="3828" w:type="dxa"/>
            <w:noWrap/>
            <w:vAlign w:val="bottom"/>
            <w:hideMark/>
          </w:tcPr>
          <w:p w:rsidRPr="00C5308E" w:rsidR="009B531C" w:rsidP="003C75FE" w:rsidRDefault="009B531C" w14:paraId="13321360" w14:textId="77777777">
            <w:pPr>
              <w:spacing w:after="0" w:line="240" w:lineRule="auto"/>
              <w:rPr>
                <w:rFonts w:ascii="Verdana" w:hAnsi="Verdana"/>
                <w:b/>
                <w:bCs/>
                <w:sz w:val="18"/>
                <w:szCs w:val="18"/>
              </w:rPr>
            </w:pPr>
            <w:r w:rsidRPr="00C5308E">
              <w:rPr>
                <w:rFonts w:ascii="Verdana" w:hAnsi="Verdana"/>
                <w:b/>
                <w:bCs/>
                <w:sz w:val="18"/>
                <w:szCs w:val="18"/>
              </w:rPr>
              <w:t>Herstelacties</w:t>
            </w:r>
          </w:p>
        </w:tc>
        <w:tc>
          <w:tcPr>
            <w:tcW w:w="652" w:type="dxa"/>
            <w:noWrap/>
            <w:vAlign w:val="bottom"/>
            <w:hideMark/>
          </w:tcPr>
          <w:p w:rsidRPr="00C5308E" w:rsidR="009B531C" w:rsidP="003C75FE" w:rsidRDefault="009B531C" w14:paraId="031E0200" w14:textId="77777777">
            <w:pPr>
              <w:spacing w:after="0" w:line="240" w:lineRule="auto"/>
              <w:rPr>
                <w:rFonts w:ascii="Verdana" w:hAnsi="Verdana"/>
                <w:b/>
                <w:bCs/>
                <w:sz w:val="18"/>
                <w:szCs w:val="18"/>
              </w:rPr>
            </w:pPr>
          </w:p>
        </w:tc>
        <w:tc>
          <w:tcPr>
            <w:tcW w:w="652" w:type="dxa"/>
            <w:noWrap/>
            <w:vAlign w:val="bottom"/>
            <w:hideMark/>
          </w:tcPr>
          <w:p w:rsidRPr="00C5308E" w:rsidR="009B531C" w:rsidP="003C75FE" w:rsidRDefault="009B531C" w14:paraId="313F6F5A"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699F8FC2"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295B01EF"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2365FC5A"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1A8EC9F6" w14:textId="77777777">
            <w:pPr>
              <w:spacing w:after="0" w:line="240" w:lineRule="auto"/>
              <w:rPr>
                <w:rFonts w:ascii="Verdana" w:hAnsi="Verdana"/>
                <w:sz w:val="18"/>
                <w:szCs w:val="18"/>
              </w:rPr>
            </w:pPr>
          </w:p>
        </w:tc>
        <w:tc>
          <w:tcPr>
            <w:tcW w:w="765" w:type="dxa"/>
            <w:noWrap/>
            <w:vAlign w:val="bottom"/>
            <w:hideMark/>
          </w:tcPr>
          <w:p w:rsidRPr="00C5308E" w:rsidR="009B531C" w:rsidP="003C75FE" w:rsidRDefault="009B531C" w14:paraId="72E69DDC" w14:textId="77777777">
            <w:pPr>
              <w:spacing w:after="0" w:line="240" w:lineRule="auto"/>
              <w:rPr>
                <w:rFonts w:ascii="Verdana" w:hAnsi="Verdana"/>
                <w:sz w:val="18"/>
                <w:szCs w:val="18"/>
              </w:rPr>
            </w:pPr>
          </w:p>
        </w:tc>
        <w:tc>
          <w:tcPr>
            <w:tcW w:w="680" w:type="dxa"/>
            <w:noWrap/>
            <w:vAlign w:val="bottom"/>
            <w:hideMark/>
          </w:tcPr>
          <w:p w:rsidRPr="00C5308E" w:rsidR="009B531C" w:rsidP="003C75FE" w:rsidRDefault="009B531C" w14:paraId="1442E34E" w14:textId="77777777">
            <w:pPr>
              <w:spacing w:after="0" w:line="240" w:lineRule="auto"/>
              <w:rPr>
                <w:rFonts w:ascii="Verdana" w:hAnsi="Verdana"/>
                <w:sz w:val="18"/>
                <w:szCs w:val="18"/>
              </w:rPr>
            </w:pPr>
          </w:p>
        </w:tc>
      </w:tr>
      <w:tr w:rsidRPr="00C5308E" w:rsidR="009B531C" w:rsidTr="003C75FE" w14:paraId="0528C9B7" w14:textId="77777777">
        <w:trPr>
          <w:trHeight w:val="230"/>
        </w:trPr>
        <w:tc>
          <w:tcPr>
            <w:tcW w:w="3828" w:type="dxa"/>
            <w:noWrap/>
            <w:vAlign w:val="bottom"/>
            <w:hideMark/>
          </w:tcPr>
          <w:p w:rsidRPr="00C5308E" w:rsidR="009B531C" w:rsidP="003C75FE" w:rsidRDefault="009B531C" w14:paraId="3BAF4E63" w14:textId="77777777">
            <w:pPr>
              <w:spacing w:after="0" w:line="240" w:lineRule="auto"/>
              <w:rPr>
                <w:rFonts w:ascii="Verdana" w:hAnsi="Verdana"/>
                <w:sz w:val="18"/>
                <w:szCs w:val="18"/>
              </w:rPr>
            </w:pPr>
            <w:r w:rsidRPr="00C5308E">
              <w:rPr>
                <w:rFonts w:ascii="Verdana" w:hAnsi="Verdana"/>
                <w:sz w:val="18"/>
                <w:szCs w:val="18"/>
              </w:rPr>
              <w:t>Herstelactie WIA-dagloon</w:t>
            </w:r>
          </w:p>
        </w:tc>
        <w:tc>
          <w:tcPr>
            <w:tcW w:w="652" w:type="dxa"/>
            <w:noWrap/>
            <w:vAlign w:val="bottom"/>
            <w:hideMark/>
          </w:tcPr>
          <w:p w:rsidRPr="00C5308E" w:rsidR="009B531C" w:rsidP="003C75FE" w:rsidRDefault="009B531C" w14:paraId="4F5EFA6A" w14:textId="77777777">
            <w:pPr>
              <w:spacing w:after="0" w:line="240" w:lineRule="auto"/>
              <w:rPr>
                <w:rFonts w:ascii="Verdana" w:hAnsi="Verdana"/>
                <w:sz w:val="18"/>
                <w:szCs w:val="18"/>
              </w:rPr>
            </w:pPr>
            <w:r w:rsidRPr="00C5308E">
              <w:rPr>
                <w:rFonts w:ascii="Verdana" w:hAnsi="Verdana"/>
                <w:sz w:val="18"/>
                <w:szCs w:val="18"/>
              </w:rPr>
              <w:t>26</w:t>
            </w:r>
          </w:p>
        </w:tc>
        <w:tc>
          <w:tcPr>
            <w:tcW w:w="652" w:type="dxa"/>
            <w:noWrap/>
            <w:vAlign w:val="bottom"/>
            <w:hideMark/>
          </w:tcPr>
          <w:p w:rsidRPr="00C5308E" w:rsidR="009B531C" w:rsidP="003C75FE" w:rsidRDefault="009B531C" w14:paraId="09B9952B" w14:textId="77777777">
            <w:pPr>
              <w:spacing w:after="0" w:line="240" w:lineRule="auto"/>
              <w:rPr>
                <w:rFonts w:ascii="Verdana" w:hAnsi="Verdana"/>
                <w:sz w:val="18"/>
                <w:szCs w:val="18"/>
              </w:rPr>
            </w:pPr>
            <w:r w:rsidRPr="00C5308E">
              <w:rPr>
                <w:rFonts w:ascii="Verdana" w:hAnsi="Verdana"/>
                <w:sz w:val="18"/>
                <w:szCs w:val="18"/>
              </w:rPr>
              <w:t>59</w:t>
            </w:r>
          </w:p>
        </w:tc>
        <w:tc>
          <w:tcPr>
            <w:tcW w:w="652" w:type="dxa"/>
            <w:noWrap/>
            <w:vAlign w:val="bottom"/>
            <w:hideMark/>
          </w:tcPr>
          <w:p w:rsidRPr="00C5308E" w:rsidR="009B531C" w:rsidP="003C75FE" w:rsidRDefault="009B531C" w14:paraId="2F9C523D"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9B531C" w:rsidP="003C75FE" w:rsidRDefault="009B531C" w14:paraId="1B0BA9CE"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9B531C" w:rsidP="003C75FE" w:rsidRDefault="009B531C" w14:paraId="297E0DCB"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9B531C" w:rsidP="003C75FE" w:rsidRDefault="009B531C" w14:paraId="63E3E2EF" w14:textId="77777777">
            <w:pPr>
              <w:spacing w:after="0" w:line="240" w:lineRule="auto"/>
              <w:rPr>
                <w:rFonts w:ascii="Verdana" w:hAnsi="Verdana"/>
                <w:sz w:val="18"/>
                <w:szCs w:val="18"/>
              </w:rPr>
            </w:pPr>
            <w:r w:rsidRPr="00C5308E">
              <w:rPr>
                <w:rFonts w:ascii="Verdana" w:hAnsi="Verdana"/>
                <w:sz w:val="18"/>
                <w:szCs w:val="18"/>
              </w:rPr>
              <w:t>0</w:t>
            </w:r>
          </w:p>
        </w:tc>
        <w:tc>
          <w:tcPr>
            <w:tcW w:w="765" w:type="dxa"/>
            <w:noWrap/>
            <w:vAlign w:val="bottom"/>
            <w:hideMark/>
          </w:tcPr>
          <w:p w:rsidRPr="00C5308E" w:rsidR="009B531C" w:rsidP="003C75FE" w:rsidRDefault="009B531C" w14:paraId="3885E1E3" w14:textId="77777777">
            <w:pPr>
              <w:spacing w:after="0" w:line="240" w:lineRule="auto"/>
              <w:rPr>
                <w:rFonts w:ascii="Verdana" w:hAnsi="Verdana"/>
                <w:sz w:val="18"/>
                <w:szCs w:val="18"/>
              </w:rPr>
            </w:pPr>
            <w:r w:rsidRPr="00C5308E">
              <w:rPr>
                <w:rFonts w:ascii="Verdana" w:hAnsi="Verdana"/>
                <w:sz w:val="18"/>
                <w:szCs w:val="18"/>
              </w:rPr>
              <w:t>120</w:t>
            </w:r>
          </w:p>
        </w:tc>
        <w:tc>
          <w:tcPr>
            <w:tcW w:w="680" w:type="dxa"/>
            <w:noWrap/>
            <w:vAlign w:val="bottom"/>
            <w:hideMark/>
          </w:tcPr>
          <w:p w:rsidRPr="00C5308E" w:rsidR="009B531C" w:rsidP="003C75FE" w:rsidRDefault="009B531C" w14:paraId="03378CFF" w14:textId="77777777">
            <w:pPr>
              <w:spacing w:after="0" w:line="240" w:lineRule="auto"/>
              <w:rPr>
                <w:rFonts w:ascii="Verdana" w:hAnsi="Verdana"/>
                <w:sz w:val="18"/>
                <w:szCs w:val="18"/>
              </w:rPr>
            </w:pPr>
            <w:r w:rsidRPr="00C5308E">
              <w:rPr>
                <w:rFonts w:ascii="Verdana" w:hAnsi="Verdana"/>
                <w:sz w:val="18"/>
                <w:szCs w:val="18"/>
              </w:rPr>
              <w:t>0</w:t>
            </w:r>
          </w:p>
        </w:tc>
      </w:tr>
      <w:tr w:rsidRPr="00C5308E" w:rsidR="009B531C" w:rsidTr="003C75FE" w14:paraId="1342592D" w14:textId="77777777">
        <w:trPr>
          <w:trHeight w:val="230"/>
        </w:trPr>
        <w:tc>
          <w:tcPr>
            <w:tcW w:w="3828" w:type="dxa"/>
            <w:noWrap/>
            <w:vAlign w:val="bottom"/>
          </w:tcPr>
          <w:p w:rsidRPr="00C5308E" w:rsidR="009B531C" w:rsidP="003C75FE" w:rsidRDefault="009B531C" w14:paraId="08CF1201" w14:textId="77777777">
            <w:pPr>
              <w:spacing w:after="0" w:line="240" w:lineRule="auto"/>
              <w:rPr>
                <w:rFonts w:ascii="Verdana" w:hAnsi="Verdana"/>
                <w:sz w:val="18"/>
                <w:szCs w:val="18"/>
              </w:rPr>
            </w:pPr>
            <w:r w:rsidRPr="00C5308E">
              <w:rPr>
                <w:rFonts w:ascii="Verdana" w:hAnsi="Verdana"/>
                <w:sz w:val="18"/>
                <w:szCs w:val="18"/>
              </w:rPr>
              <w:t>Herstelactie WIA-indexatie</w:t>
            </w:r>
          </w:p>
        </w:tc>
        <w:tc>
          <w:tcPr>
            <w:tcW w:w="652" w:type="dxa"/>
            <w:noWrap/>
          </w:tcPr>
          <w:p w:rsidRPr="00C5308E" w:rsidR="009B531C" w:rsidP="003C75FE" w:rsidRDefault="009B531C" w14:paraId="0AF27464"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tcPr>
          <w:p w:rsidRPr="00C5308E" w:rsidR="009B531C" w:rsidP="003C75FE" w:rsidRDefault="009B531C" w14:paraId="1267E837" w14:textId="77777777">
            <w:pPr>
              <w:spacing w:after="0" w:line="240" w:lineRule="auto"/>
              <w:rPr>
                <w:rFonts w:ascii="Verdana" w:hAnsi="Verdana"/>
                <w:sz w:val="18"/>
                <w:szCs w:val="18"/>
              </w:rPr>
            </w:pPr>
            <w:r w:rsidRPr="00C5308E">
              <w:rPr>
                <w:rFonts w:ascii="Verdana" w:hAnsi="Verdana"/>
                <w:sz w:val="18"/>
                <w:szCs w:val="18"/>
              </w:rPr>
              <w:t>3</w:t>
            </w:r>
          </w:p>
        </w:tc>
        <w:tc>
          <w:tcPr>
            <w:tcW w:w="652" w:type="dxa"/>
            <w:noWrap/>
          </w:tcPr>
          <w:p w:rsidRPr="00C5308E" w:rsidR="009B531C" w:rsidP="003C75FE" w:rsidRDefault="009B531C" w14:paraId="37444849"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tcPr>
          <w:p w:rsidRPr="00C5308E" w:rsidR="009B531C" w:rsidP="003C75FE" w:rsidRDefault="009B531C" w14:paraId="5195D998"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9B531C" w:rsidP="003C75FE" w:rsidRDefault="009B531C" w14:paraId="7CC97FDF"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9B531C" w:rsidP="003C75FE" w:rsidRDefault="009B531C" w14:paraId="593B7E2E" w14:textId="77777777">
            <w:pPr>
              <w:spacing w:after="0" w:line="240" w:lineRule="auto"/>
              <w:rPr>
                <w:rFonts w:ascii="Verdana" w:hAnsi="Verdana"/>
                <w:sz w:val="18"/>
                <w:szCs w:val="18"/>
              </w:rPr>
            </w:pPr>
            <w:r w:rsidRPr="00C5308E">
              <w:rPr>
                <w:rFonts w:ascii="Verdana" w:hAnsi="Verdana"/>
                <w:sz w:val="18"/>
                <w:szCs w:val="18"/>
              </w:rPr>
              <w:t>0</w:t>
            </w:r>
          </w:p>
        </w:tc>
        <w:tc>
          <w:tcPr>
            <w:tcW w:w="765" w:type="dxa"/>
            <w:noWrap/>
            <w:vAlign w:val="bottom"/>
          </w:tcPr>
          <w:p w:rsidRPr="00C5308E" w:rsidR="009B531C" w:rsidP="003C75FE" w:rsidRDefault="009B531C" w14:paraId="5A648167" w14:textId="77777777">
            <w:pPr>
              <w:spacing w:after="0" w:line="240" w:lineRule="auto"/>
              <w:rPr>
                <w:rFonts w:ascii="Verdana" w:hAnsi="Verdana"/>
                <w:sz w:val="18"/>
                <w:szCs w:val="18"/>
              </w:rPr>
            </w:pPr>
            <w:r w:rsidRPr="00C5308E">
              <w:rPr>
                <w:rFonts w:ascii="Verdana" w:hAnsi="Verdana"/>
                <w:sz w:val="18"/>
                <w:szCs w:val="18"/>
              </w:rPr>
              <w:t>6</w:t>
            </w:r>
          </w:p>
        </w:tc>
        <w:tc>
          <w:tcPr>
            <w:tcW w:w="680" w:type="dxa"/>
            <w:noWrap/>
            <w:vAlign w:val="bottom"/>
          </w:tcPr>
          <w:p w:rsidRPr="00C5308E" w:rsidR="009B531C" w:rsidP="003C75FE" w:rsidRDefault="009B531C" w14:paraId="5CC52C53" w14:textId="77777777">
            <w:pPr>
              <w:spacing w:after="0" w:line="240" w:lineRule="auto"/>
              <w:rPr>
                <w:rFonts w:ascii="Verdana" w:hAnsi="Verdana"/>
                <w:sz w:val="18"/>
                <w:szCs w:val="18"/>
              </w:rPr>
            </w:pPr>
            <w:r w:rsidRPr="00C5308E">
              <w:rPr>
                <w:rFonts w:ascii="Verdana" w:hAnsi="Verdana"/>
                <w:sz w:val="18"/>
                <w:szCs w:val="18"/>
              </w:rPr>
              <w:t>0</w:t>
            </w:r>
          </w:p>
        </w:tc>
      </w:tr>
      <w:tr w:rsidRPr="00C5308E" w:rsidR="009B531C" w:rsidTr="003C75FE" w14:paraId="4A7AC883" w14:textId="77777777">
        <w:trPr>
          <w:trHeight w:val="230"/>
        </w:trPr>
        <w:tc>
          <w:tcPr>
            <w:tcW w:w="3828" w:type="dxa"/>
            <w:noWrap/>
            <w:vAlign w:val="bottom"/>
          </w:tcPr>
          <w:p w:rsidRPr="00C5308E" w:rsidR="009B531C" w:rsidP="003C75FE" w:rsidRDefault="009B531C" w14:paraId="7363D1D6" w14:textId="77777777">
            <w:pPr>
              <w:spacing w:after="0" w:line="240" w:lineRule="auto"/>
              <w:rPr>
                <w:rFonts w:ascii="Verdana" w:hAnsi="Verdana"/>
                <w:sz w:val="18"/>
                <w:szCs w:val="18"/>
              </w:rPr>
            </w:pPr>
            <w:r w:rsidRPr="00C5308E">
              <w:rPr>
                <w:rFonts w:ascii="Verdana" w:hAnsi="Verdana"/>
                <w:sz w:val="18"/>
                <w:szCs w:val="18"/>
              </w:rPr>
              <w:t>Reservering maatmanloonindexatie</w:t>
            </w:r>
          </w:p>
        </w:tc>
        <w:tc>
          <w:tcPr>
            <w:tcW w:w="652" w:type="dxa"/>
            <w:noWrap/>
            <w:vAlign w:val="bottom"/>
          </w:tcPr>
          <w:p w:rsidRPr="00C5308E" w:rsidR="009B531C" w:rsidP="003C75FE" w:rsidRDefault="009B531C" w14:paraId="5775EB50"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tcPr>
          <w:p w:rsidRPr="00C5308E" w:rsidR="009B531C" w:rsidP="003C75FE" w:rsidRDefault="009B531C" w14:paraId="61D13D8B"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9B531C" w:rsidP="003C75FE" w:rsidRDefault="009B531C" w14:paraId="3332E366"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9B531C" w:rsidP="003C75FE" w:rsidRDefault="009B531C" w14:paraId="424A9B18"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9B531C" w:rsidP="003C75FE" w:rsidRDefault="009B531C" w14:paraId="432CB5CB"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9B531C" w:rsidP="003C75FE" w:rsidRDefault="009B531C" w14:paraId="254710ED" w14:textId="77777777">
            <w:pPr>
              <w:spacing w:after="0" w:line="240" w:lineRule="auto"/>
              <w:rPr>
                <w:rFonts w:ascii="Verdana" w:hAnsi="Verdana"/>
                <w:sz w:val="18"/>
                <w:szCs w:val="18"/>
              </w:rPr>
            </w:pPr>
            <w:r w:rsidRPr="00C5308E">
              <w:rPr>
                <w:rFonts w:ascii="Verdana" w:hAnsi="Verdana"/>
                <w:sz w:val="18"/>
                <w:szCs w:val="18"/>
              </w:rPr>
              <w:t>1</w:t>
            </w:r>
          </w:p>
        </w:tc>
        <w:tc>
          <w:tcPr>
            <w:tcW w:w="765" w:type="dxa"/>
            <w:noWrap/>
            <w:vAlign w:val="bottom"/>
          </w:tcPr>
          <w:p w:rsidRPr="00C5308E" w:rsidR="009B531C" w:rsidP="003C75FE" w:rsidRDefault="009B531C" w14:paraId="32612851" w14:textId="77777777">
            <w:pPr>
              <w:spacing w:after="0" w:line="240" w:lineRule="auto"/>
              <w:rPr>
                <w:rFonts w:ascii="Verdana" w:hAnsi="Verdana"/>
                <w:sz w:val="18"/>
                <w:szCs w:val="18"/>
              </w:rPr>
            </w:pPr>
            <w:r w:rsidRPr="00C5308E">
              <w:rPr>
                <w:rFonts w:ascii="Verdana" w:hAnsi="Verdana"/>
                <w:sz w:val="18"/>
                <w:szCs w:val="18"/>
              </w:rPr>
              <w:t>7</w:t>
            </w:r>
          </w:p>
        </w:tc>
        <w:tc>
          <w:tcPr>
            <w:tcW w:w="680" w:type="dxa"/>
            <w:noWrap/>
            <w:vAlign w:val="bottom"/>
          </w:tcPr>
          <w:p w:rsidRPr="00C5308E" w:rsidR="009B531C" w:rsidP="003C75FE" w:rsidRDefault="009B531C" w14:paraId="54548B8F" w14:textId="77777777">
            <w:pPr>
              <w:spacing w:after="0" w:line="240" w:lineRule="auto"/>
              <w:rPr>
                <w:rFonts w:ascii="Verdana" w:hAnsi="Verdana"/>
                <w:sz w:val="18"/>
                <w:szCs w:val="18"/>
              </w:rPr>
            </w:pPr>
            <w:r w:rsidRPr="00C5308E">
              <w:rPr>
                <w:rFonts w:ascii="Verdana" w:hAnsi="Verdana"/>
                <w:sz w:val="18"/>
                <w:szCs w:val="18"/>
              </w:rPr>
              <w:t>0</w:t>
            </w:r>
          </w:p>
        </w:tc>
      </w:tr>
      <w:tr w:rsidRPr="00C5308E" w:rsidR="009B531C" w:rsidTr="003C75FE" w14:paraId="68F55D0A" w14:textId="77777777">
        <w:trPr>
          <w:trHeight w:val="230"/>
        </w:trPr>
        <w:tc>
          <w:tcPr>
            <w:tcW w:w="3828" w:type="dxa"/>
            <w:noWrap/>
            <w:vAlign w:val="bottom"/>
          </w:tcPr>
          <w:p w:rsidRPr="00C5308E" w:rsidR="009B531C" w:rsidP="003C75FE" w:rsidRDefault="009B531C" w14:paraId="636B2214" w14:textId="77777777">
            <w:pPr>
              <w:spacing w:after="0" w:line="240" w:lineRule="auto"/>
              <w:rPr>
                <w:rFonts w:ascii="Verdana" w:hAnsi="Verdana"/>
                <w:b/>
                <w:bCs/>
                <w:sz w:val="18"/>
                <w:szCs w:val="18"/>
              </w:rPr>
            </w:pPr>
            <w:r w:rsidRPr="00C5308E">
              <w:rPr>
                <w:rFonts w:ascii="Verdana" w:hAnsi="Verdana"/>
                <w:b/>
                <w:bCs/>
                <w:sz w:val="18"/>
                <w:szCs w:val="18"/>
              </w:rPr>
              <w:t>Sociaal-medisch beoordelen</w:t>
            </w:r>
          </w:p>
        </w:tc>
        <w:tc>
          <w:tcPr>
            <w:tcW w:w="652" w:type="dxa"/>
            <w:noWrap/>
            <w:vAlign w:val="bottom"/>
          </w:tcPr>
          <w:p w:rsidRPr="00C5308E" w:rsidR="009B531C" w:rsidP="003C75FE" w:rsidRDefault="009B531C" w14:paraId="200746F7"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523A2235"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1B3F391A"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637E58DC"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0123D587"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56C35B35" w14:textId="77777777">
            <w:pPr>
              <w:spacing w:after="0" w:line="240" w:lineRule="auto"/>
              <w:rPr>
                <w:rFonts w:ascii="Verdana" w:hAnsi="Verdana"/>
                <w:sz w:val="18"/>
                <w:szCs w:val="18"/>
              </w:rPr>
            </w:pPr>
          </w:p>
        </w:tc>
        <w:tc>
          <w:tcPr>
            <w:tcW w:w="765" w:type="dxa"/>
            <w:noWrap/>
            <w:vAlign w:val="bottom"/>
          </w:tcPr>
          <w:p w:rsidRPr="00C5308E" w:rsidR="009B531C" w:rsidP="003C75FE" w:rsidRDefault="009B531C" w14:paraId="1F8EDED1" w14:textId="77777777">
            <w:pPr>
              <w:spacing w:after="0" w:line="240" w:lineRule="auto"/>
              <w:rPr>
                <w:rFonts w:ascii="Verdana" w:hAnsi="Verdana"/>
                <w:sz w:val="18"/>
                <w:szCs w:val="18"/>
              </w:rPr>
            </w:pPr>
          </w:p>
        </w:tc>
        <w:tc>
          <w:tcPr>
            <w:tcW w:w="680" w:type="dxa"/>
            <w:noWrap/>
            <w:vAlign w:val="bottom"/>
          </w:tcPr>
          <w:p w:rsidRPr="00C5308E" w:rsidR="009B531C" w:rsidP="003C75FE" w:rsidRDefault="009B531C" w14:paraId="4706BFB5" w14:textId="77777777">
            <w:pPr>
              <w:spacing w:after="0" w:line="240" w:lineRule="auto"/>
              <w:rPr>
                <w:rFonts w:ascii="Verdana" w:hAnsi="Verdana"/>
                <w:sz w:val="18"/>
                <w:szCs w:val="18"/>
              </w:rPr>
            </w:pPr>
          </w:p>
        </w:tc>
      </w:tr>
      <w:tr w:rsidRPr="00C5308E" w:rsidR="009B531C" w:rsidTr="003C75FE" w14:paraId="60EAF36B" w14:textId="77777777">
        <w:trPr>
          <w:trHeight w:val="230"/>
        </w:trPr>
        <w:tc>
          <w:tcPr>
            <w:tcW w:w="3828" w:type="dxa"/>
            <w:noWrap/>
            <w:vAlign w:val="bottom"/>
            <w:hideMark/>
          </w:tcPr>
          <w:p w:rsidRPr="00C5308E" w:rsidR="009B531C" w:rsidP="003C75FE" w:rsidRDefault="009B531C" w14:paraId="27FF441E" w14:textId="77777777">
            <w:pPr>
              <w:spacing w:after="0" w:line="240" w:lineRule="auto"/>
              <w:rPr>
                <w:rFonts w:ascii="Verdana" w:hAnsi="Verdana"/>
                <w:sz w:val="18"/>
                <w:szCs w:val="18"/>
              </w:rPr>
            </w:pPr>
            <w:r w:rsidRPr="00C5308E">
              <w:rPr>
                <w:rFonts w:ascii="Verdana" w:hAnsi="Verdana"/>
                <w:sz w:val="18"/>
                <w:szCs w:val="18"/>
              </w:rPr>
              <w:t>60-plusmaatregel</w:t>
            </w:r>
          </w:p>
        </w:tc>
        <w:tc>
          <w:tcPr>
            <w:tcW w:w="652" w:type="dxa"/>
            <w:noWrap/>
            <w:vAlign w:val="bottom"/>
            <w:hideMark/>
          </w:tcPr>
          <w:p w:rsidRPr="00C5308E" w:rsidR="009B531C" w:rsidP="003C75FE" w:rsidRDefault="009B531C" w14:paraId="06E4F391"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hideMark/>
          </w:tcPr>
          <w:p w:rsidRPr="00C5308E" w:rsidR="009B531C" w:rsidP="003C75FE" w:rsidRDefault="009B531C" w14:paraId="1860ABCA" w14:textId="77777777">
            <w:pPr>
              <w:spacing w:after="0" w:line="240" w:lineRule="auto"/>
              <w:rPr>
                <w:rFonts w:ascii="Verdana" w:hAnsi="Verdana"/>
                <w:sz w:val="18"/>
                <w:szCs w:val="18"/>
              </w:rPr>
            </w:pPr>
            <w:r w:rsidRPr="00C5308E">
              <w:rPr>
                <w:rFonts w:ascii="Verdana" w:hAnsi="Verdana"/>
                <w:sz w:val="18"/>
                <w:szCs w:val="18"/>
              </w:rPr>
              <w:t>9</w:t>
            </w:r>
          </w:p>
        </w:tc>
        <w:tc>
          <w:tcPr>
            <w:tcW w:w="652" w:type="dxa"/>
            <w:noWrap/>
            <w:vAlign w:val="bottom"/>
            <w:hideMark/>
          </w:tcPr>
          <w:p w:rsidRPr="00C5308E" w:rsidR="009B531C" w:rsidP="003C75FE" w:rsidRDefault="009B531C" w14:paraId="4FAB1B01" w14:textId="77777777">
            <w:pPr>
              <w:spacing w:after="0" w:line="240" w:lineRule="auto"/>
              <w:rPr>
                <w:rFonts w:ascii="Verdana" w:hAnsi="Verdana"/>
                <w:sz w:val="18"/>
                <w:szCs w:val="18"/>
              </w:rPr>
            </w:pPr>
            <w:r w:rsidRPr="00C5308E">
              <w:rPr>
                <w:rFonts w:ascii="Verdana" w:hAnsi="Verdana"/>
                <w:sz w:val="18"/>
                <w:szCs w:val="18"/>
              </w:rPr>
              <w:t>24</w:t>
            </w:r>
          </w:p>
        </w:tc>
        <w:tc>
          <w:tcPr>
            <w:tcW w:w="652" w:type="dxa"/>
            <w:noWrap/>
            <w:vAlign w:val="bottom"/>
            <w:hideMark/>
          </w:tcPr>
          <w:p w:rsidRPr="00C5308E" w:rsidR="009B531C" w:rsidP="003C75FE" w:rsidRDefault="009B531C" w14:paraId="7237DF29" w14:textId="77777777">
            <w:pPr>
              <w:spacing w:after="0" w:line="240" w:lineRule="auto"/>
              <w:rPr>
                <w:rFonts w:ascii="Verdana" w:hAnsi="Verdana"/>
                <w:sz w:val="18"/>
                <w:szCs w:val="18"/>
              </w:rPr>
            </w:pPr>
            <w:r w:rsidRPr="00C5308E">
              <w:rPr>
                <w:rFonts w:ascii="Verdana" w:hAnsi="Verdana"/>
                <w:sz w:val="18"/>
                <w:szCs w:val="18"/>
              </w:rPr>
              <w:t>47</w:t>
            </w:r>
          </w:p>
        </w:tc>
        <w:tc>
          <w:tcPr>
            <w:tcW w:w="652" w:type="dxa"/>
            <w:noWrap/>
            <w:vAlign w:val="bottom"/>
            <w:hideMark/>
          </w:tcPr>
          <w:p w:rsidRPr="00C5308E" w:rsidR="009B531C" w:rsidP="003C75FE" w:rsidRDefault="009B531C" w14:paraId="64791404" w14:textId="77777777">
            <w:pPr>
              <w:spacing w:after="0" w:line="240" w:lineRule="auto"/>
              <w:rPr>
                <w:rFonts w:ascii="Verdana" w:hAnsi="Verdana"/>
                <w:sz w:val="18"/>
                <w:szCs w:val="18"/>
              </w:rPr>
            </w:pPr>
            <w:r w:rsidRPr="00C5308E">
              <w:rPr>
                <w:rFonts w:ascii="Verdana" w:hAnsi="Verdana"/>
                <w:sz w:val="18"/>
                <w:szCs w:val="18"/>
              </w:rPr>
              <w:t>61</w:t>
            </w:r>
          </w:p>
        </w:tc>
        <w:tc>
          <w:tcPr>
            <w:tcW w:w="652" w:type="dxa"/>
            <w:noWrap/>
            <w:vAlign w:val="bottom"/>
            <w:hideMark/>
          </w:tcPr>
          <w:p w:rsidRPr="00C5308E" w:rsidR="009B531C" w:rsidP="003C75FE" w:rsidRDefault="009B531C" w14:paraId="1401BB7E" w14:textId="77777777">
            <w:pPr>
              <w:spacing w:after="0" w:line="240" w:lineRule="auto"/>
              <w:rPr>
                <w:rFonts w:ascii="Verdana" w:hAnsi="Verdana"/>
                <w:sz w:val="18"/>
                <w:szCs w:val="18"/>
              </w:rPr>
            </w:pPr>
            <w:r w:rsidRPr="00C5308E">
              <w:rPr>
                <w:rFonts w:ascii="Verdana" w:hAnsi="Verdana"/>
                <w:sz w:val="18"/>
                <w:szCs w:val="18"/>
              </w:rPr>
              <w:t>54</w:t>
            </w:r>
          </w:p>
        </w:tc>
        <w:tc>
          <w:tcPr>
            <w:tcW w:w="765" w:type="dxa"/>
            <w:noWrap/>
            <w:vAlign w:val="bottom"/>
            <w:hideMark/>
          </w:tcPr>
          <w:p w:rsidRPr="00C5308E" w:rsidR="009B531C" w:rsidP="003C75FE" w:rsidRDefault="009B531C" w14:paraId="218282AE" w14:textId="77777777">
            <w:pPr>
              <w:spacing w:after="0" w:line="240" w:lineRule="auto"/>
              <w:rPr>
                <w:rFonts w:ascii="Verdana" w:hAnsi="Verdana"/>
                <w:sz w:val="18"/>
                <w:szCs w:val="18"/>
              </w:rPr>
            </w:pPr>
            <w:r w:rsidRPr="00C5308E">
              <w:rPr>
                <w:rFonts w:ascii="Verdana" w:hAnsi="Verdana"/>
                <w:sz w:val="18"/>
                <w:szCs w:val="18"/>
              </w:rPr>
              <w:t>197</w:t>
            </w:r>
          </w:p>
        </w:tc>
        <w:tc>
          <w:tcPr>
            <w:tcW w:w="680" w:type="dxa"/>
            <w:noWrap/>
            <w:vAlign w:val="bottom"/>
            <w:hideMark/>
          </w:tcPr>
          <w:p w:rsidRPr="00C5308E" w:rsidR="009B531C" w:rsidP="003C75FE" w:rsidRDefault="009B531C" w14:paraId="26DBFFA4" w14:textId="77777777">
            <w:pPr>
              <w:spacing w:after="0" w:line="240" w:lineRule="auto"/>
              <w:rPr>
                <w:rFonts w:ascii="Verdana" w:hAnsi="Verdana"/>
                <w:sz w:val="18"/>
                <w:szCs w:val="18"/>
              </w:rPr>
            </w:pPr>
            <w:r w:rsidRPr="00C5308E">
              <w:rPr>
                <w:rFonts w:ascii="Verdana" w:hAnsi="Verdana"/>
                <w:sz w:val="18"/>
                <w:szCs w:val="18"/>
              </w:rPr>
              <w:t>0</w:t>
            </w:r>
          </w:p>
        </w:tc>
      </w:tr>
      <w:tr w:rsidRPr="00C5308E" w:rsidR="009B531C" w:rsidTr="003C75FE" w14:paraId="378B0A59" w14:textId="77777777">
        <w:trPr>
          <w:trHeight w:val="230"/>
        </w:trPr>
        <w:tc>
          <w:tcPr>
            <w:tcW w:w="3828" w:type="dxa"/>
            <w:noWrap/>
            <w:vAlign w:val="bottom"/>
            <w:hideMark/>
          </w:tcPr>
          <w:p w:rsidRPr="00C5308E" w:rsidR="009B531C" w:rsidP="003C75FE" w:rsidRDefault="009B531C" w14:paraId="30893C98" w14:textId="77777777">
            <w:pPr>
              <w:spacing w:after="0" w:line="240" w:lineRule="auto"/>
              <w:rPr>
                <w:rFonts w:ascii="Verdana" w:hAnsi="Verdana"/>
                <w:sz w:val="18"/>
                <w:szCs w:val="18"/>
              </w:rPr>
            </w:pPr>
            <w:r w:rsidRPr="00C5308E">
              <w:rPr>
                <w:rFonts w:ascii="Verdana" w:hAnsi="Verdana"/>
                <w:sz w:val="18"/>
                <w:szCs w:val="18"/>
              </w:rPr>
              <w:t>Uitvoeringskosten SMC</w:t>
            </w:r>
          </w:p>
        </w:tc>
        <w:tc>
          <w:tcPr>
            <w:tcW w:w="652" w:type="dxa"/>
            <w:noWrap/>
            <w:vAlign w:val="bottom"/>
            <w:hideMark/>
          </w:tcPr>
          <w:p w:rsidRPr="00C5308E" w:rsidR="009B531C" w:rsidP="003C75FE" w:rsidRDefault="009B531C" w14:paraId="1BE65C34" w14:textId="77777777">
            <w:pPr>
              <w:spacing w:after="0" w:line="240" w:lineRule="auto"/>
              <w:rPr>
                <w:rFonts w:ascii="Verdana" w:hAnsi="Verdana"/>
                <w:sz w:val="18"/>
                <w:szCs w:val="18"/>
              </w:rPr>
            </w:pPr>
            <w:r w:rsidRPr="00C5308E">
              <w:rPr>
                <w:rFonts w:ascii="Verdana" w:hAnsi="Verdana"/>
                <w:sz w:val="18"/>
                <w:szCs w:val="18"/>
              </w:rPr>
              <w:t>30</w:t>
            </w:r>
          </w:p>
        </w:tc>
        <w:tc>
          <w:tcPr>
            <w:tcW w:w="652" w:type="dxa"/>
            <w:noWrap/>
            <w:vAlign w:val="bottom"/>
            <w:hideMark/>
          </w:tcPr>
          <w:p w:rsidRPr="00C5308E" w:rsidR="009B531C" w:rsidP="003C75FE" w:rsidRDefault="009B531C" w14:paraId="6F6BE738" w14:textId="77777777">
            <w:pPr>
              <w:spacing w:after="0" w:line="240" w:lineRule="auto"/>
              <w:rPr>
                <w:rFonts w:ascii="Verdana" w:hAnsi="Verdana"/>
                <w:sz w:val="18"/>
                <w:szCs w:val="18"/>
              </w:rPr>
            </w:pPr>
            <w:r w:rsidRPr="00C5308E">
              <w:rPr>
                <w:rFonts w:ascii="Verdana" w:hAnsi="Verdana"/>
                <w:sz w:val="18"/>
                <w:szCs w:val="18"/>
              </w:rPr>
              <w:t>34</w:t>
            </w:r>
          </w:p>
        </w:tc>
        <w:tc>
          <w:tcPr>
            <w:tcW w:w="652" w:type="dxa"/>
            <w:noWrap/>
            <w:vAlign w:val="bottom"/>
            <w:hideMark/>
          </w:tcPr>
          <w:p w:rsidRPr="00C5308E" w:rsidR="009B531C" w:rsidP="003C75FE" w:rsidRDefault="009B531C" w14:paraId="19922F41"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9B531C" w:rsidP="003C75FE" w:rsidRDefault="009B531C" w14:paraId="182B9746"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9B531C" w:rsidP="003C75FE" w:rsidRDefault="009B531C" w14:paraId="5B5716EB"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9B531C" w:rsidP="003C75FE" w:rsidRDefault="009B531C" w14:paraId="371721F1" w14:textId="77777777">
            <w:pPr>
              <w:spacing w:after="0" w:line="240" w:lineRule="auto"/>
              <w:rPr>
                <w:rFonts w:ascii="Verdana" w:hAnsi="Verdana"/>
                <w:sz w:val="18"/>
                <w:szCs w:val="18"/>
              </w:rPr>
            </w:pPr>
            <w:r w:rsidRPr="00C5308E">
              <w:rPr>
                <w:rFonts w:ascii="Verdana" w:hAnsi="Verdana"/>
                <w:sz w:val="18"/>
                <w:szCs w:val="18"/>
              </w:rPr>
              <w:t>36</w:t>
            </w:r>
          </w:p>
        </w:tc>
        <w:tc>
          <w:tcPr>
            <w:tcW w:w="765" w:type="dxa"/>
            <w:noWrap/>
            <w:vAlign w:val="bottom"/>
            <w:hideMark/>
          </w:tcPr>
          <w:p w:rsidRPr="00C5308E" w:rsidR="009B531C" w:rsidP="003C75FE" w:rsidRDefault="009B531C" w14:paraId="0D7DFBF6" w14:textId="77777777">
            <w:pPr>
              <w:spacing w:after="0" w:line="240" w:lineRule="auto"/>
              <w:rPr>
                <w:rFonts w:ascii="Verdana" w:hAnsi="Verdana"/>
                <w:sz w:val="18"/>
                <w:szCs w:val="18"/>
              </w:rPr>
            </w:pPr>
            <w:r w:rsidRPr="00C5308E">
              <w:rPr>
                <w:rFonts w:ascii="Verdana" w:hAnsi="Verdana"/>
                <w:sz w:val="18"/>
                <w:szCs w:val="18"/>
              </w:rPr>
              <w:t>208</w:t>
            </w:r>
          </w:p>
        </w:tc>
        <w:tc>
          <w:tcPr>
            <w:tcW w:w="680" w:type="dxa"/>
            <w:noWrap/>
            <w:vAlign w:val="bottom"/>
            <w:hideMark/>
          </w:tcPr>
          <w:p w:rsidRPr="00C5308E" w:rsidR="009B531C" w:rsidP="003C75FE" w:rsidRDefault="009B531C" w14:paraId="3537C4F0" w14:textId="77777777">
            <w:pPr>
              <w:spacing w:after="0" w:line="240" w:lineRule="auto"/>
              <w:rPr>
                <w:rFonts w:ascii="Verdana" w:hAnsi="Verdana"/>
                <w:sz w:val="18"/>
                <w:szCs w:val="18"/>
              </w:rPr>
            </w:pPr>
            <w:r w:rsidRPr="00C5308E">
              <w:rPr>
                <w:rFonts w:ascii="Verdana" w:hAnsi="Verdana"/>
                <w:sz w:val="18"/>
                <w:szCs w:val="18"/>
              </w:rPr>
              <w:t>36</w:t>
            </w:r>
          </w:p>
        </w:tc>
      </w:tr>
      <w:tr w:rsidRPr="00C5308E" w:rsidR="009B531C" w:rsidTr="003C75FE" w14:paraId="76D3AF25" w14:textId="77777777">
        <w:trPr>
          <w:trHeight w:val="230"/>
        </w:trPr>
        <w:tc>
          <w:tcPr>
            <w:tcW w:w="3828" w:type="dxa"/>
            <w:noWrap/>
            <w:vAlign w:val="bottom"/>
            <w:hideMark/>
          </w:tcPr>
          <w:p w:rsidRPr="00C5308E" w:rsidR="009B531C" w:rsidP="003C75FE" w:rsidRDefault="009B531C" w14:paraId="6C18C608" w14:textId="77777777">
            <w:pPr>
              <w:spacing w:after="0" w:line="240" w:lineRule="auto"/>
              <w:rPr>
                <w:rFonts w:ascii="Verdana" w:hAnsi="Verdana"/>
                <w:sz w:val="18"/>
                <w:szCs w:val="18"/>
              </w:rPr>
            </w:pPr>
            <w:r w:rsidRPr="00C5308E">
              <w:rPr>
                <w:rFonts w:ascii="Verdana" w:hAnsi="Verdana"/>
                <w:sz w:val="18"/>
                <w:szCs w:val="18"/>
              </w:rPr>
              <w:t>Kwijtschelden voorschotten</w:t>
            </w:r>
          </w:p>
        </w:tc>
        <w:tc>
          <w:tcPr>
            <w:tcW w:w="652" w:type="dxa"/>
            <w:noWrap/>
            <w:vAlign w:val="bottom"/>
            <w:hideMark/>
          </w:tcPr>
          <w:p w:rsidRPr="00C5308E" w:rsidR="009B531C" w:rsidP="003C75FE" w:rsidRDefault="009B531C" w14:paraId="0D72089C"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9B531C" w:rsidP="003C75FE" w:rsidRDefault="009B531C" w14:paraId="6AC10B22" w14:textId="77777777">
            <w:pPr>
              <w:spacing w:after="0" w:line="240" w:lineRule="auto"/>
              <w:rPr>
                <w:rFonts w:ascii="Verdana" w:hAnsi="Verdana"/>
                <w:sz w:val="18"/>
                <w:szCs w:val="18"/>
              </w:rPr>
            </w:pPr>
            <w:r w:rsidRPr="00C5308E">
              <w:rPr>
                <w:rFonts w:ascii="Verdana" w:hAnsi="Verdana"/>
                <w:sz w:val="18"/>
                <w:szCs w:val="18"/>
              </w:rPr>
              <w:t>31</w:t>
            </w:r>
          </w:p>
        </w:tc>
        <w:tc>
          <w:tcPr>
            <w:tcW w:w="652" w:type="dxa"/>
            <w:noWrap/>
            <w:vAlign w:val="bottom"/>
            <w:hideMark/>
          </w:tcPr>
          <w:p w:rsidRPr="00C5308E" w:rsidR="009B531C" w:rsidP="003C75FE" w:rsidRDefault="009B531C" w14:paraId="0AD4F59D" w14:textId="77777777">
            <w:pPr>
              <w:spacing w:after="0" w:line="240" w:lineRule="auto"/>
              <w:rPr>
                <w:rFonts w:ascii="Verdana" w:hAnsi="Verdana"/>
                <w:sz w:val="18"/>
                <w:szCs w:val="18"/>
              </w:rPr>
            </w:pPr>
            <w:r w:rsidRPr="00C5308E">
              <w:rPr>
                <w:rFonts w:ascii="Verdana" w:hAnsi="Verdana"/>
                <w:sz w:val="18"/>
                <w:szCs w:val="18"/>
              </w:rPr>
              <w:t>33</w:t>
            </w:r>
          </w:p>
        </w:tc>
        <w:tc>
          <w:tcPr>
            <w:tcW w:w="652" w:type="dxa"/>
            <w:noWrap/>
            <w:vAlign w:val="bottom"/>
            <w:hideMark/>
          </w:tcPr>
          <w:p w:rsidRPr="00C5308E" w:rsidR="009B531C" w:rsidP="003C75FE" w:rsidRDefault="009B531C" w14:paraId="26DF4ED8" w14:textId="77777777">
            <w:pPr>
              <w:spacing w:after="0" w:line="240" w:lineRule="auto"/>
              <w:rPr>
                <w:rFonts w:ascii="Verdana" w:hAnsi="Verdana"/>
                <w:sz w:val="18"/>
                <w:szCs w:val="18"/>
              </w:rPr>
            </w:pPr>
            <w:r w:rsidRPr="00C5308E">
              <w:rPr>
                <w:rFonts w:ascii="Verdana" w:hAnsi="Verdana"/>
                <w:sz w:val="18"/>
                <w:szCs w:val="18"/>
              </w:rPr>
              <w:t>50</w:t>
            </w:r>
          </w:p>
        </w:tc>
        <w:tc>
          <w:tcPr>
            <w:tcW w:w="652" w:type="dxa"/>
            <w:noWrap/>
            <w:vAlign w:val="bottom"/>
            <w:hideMark/>
          </w:tcPr>
          <w:p w:rsidRPr="00C5308E" w:rsidR="009B531C" w:rsidP="003C75FE" w:rsidRDefault="009B531C" w14:paraId="5FE080E5" w14:textId="77777777">
            <w:pPr>
              <w:spacing w:after="0" w:line="240" w:lineRule="auto"/>
              <w:rPr>
                <w:rFonts w:ascii="Verdana" w:hAnsi="Verdana"/>
                <w:sz w:val="18"/>
                <w:szCs w:val="18"/>
              </w:rPr>
            </w:pPr>
            <w:r w:rsidRPr="00C5308E">
              <w:rPr>
                <w:rFonts w:ascii="Verdana" w:hAnsi="Verdana"/>
                <w:sz w:val="18"/>
                <w:szCs w:val="18"/>
              </w:rPr>
              <w:t>71</w:t>
            </w:r>
          </w:p>
        </w:tc>
        <w:tc>
          <w:tcPr>
            <w:tcW w:w="652" w:type="dxa"/>
            <w:noWrap/>
            <w:vAlign w:val="bottom"/>
            <w:hideMark/>
          </w:tcPr>
          <w:p w:rsidRPr="00C5308E" w:rsidR="009B531C" w:rsidP="003C75FE" w:rsidRDefault="009B531C" w14:paraId="42BDB585" w14:textId="77777777">
            <w:pPr>
              <w:spacing w:after="0" w:line="240" w:lineRule="auto"/>
              <w:rPr>
                <w:rFonts w:ascii="Verdana" w:hAnsi="Verdana"/>
                <w:sz w:val="18"/>
                <w:szCs w:val="18"/>
              </w:rPr>
            </w:pPr>
            <w:r w:rsidRPr="00C5308E">
              <w:rPr>
                <w:rFonts w:ascii="Verdana" w:hAnsi="Verdana"/>
                <w:sz w:val="18"/>
                <w:szCs w:val="18"/>
              </w:rPr>
              <w:t>93</w:t>
            </w:r>
          </w:p>
        </w:tc>
        <w:tc>
          <w:tcPr>
            <w:tcW w:w="765" w:type="dxa"/>
            <w:noWrap/>
            <w:vAlign w:val="bottom"/>
            <w:hideMark/>
          </w:tcPr>
          <w:p w:rsidRPr="00C5308E" w:rsidR="009B531C" w:rsidP="003C75FE" w:rsidRDefault="009B531C" w14:paraId="02E9917A" w14:textId="77777777">
            <w:pPr>
              <w:spacing w:after="0" w:line="240" w:lineRule="auto"/>
              <w:rPr>
                <w:rFonts w:ascii="Verdana" w:hAnsi="Verdana"/>
                <w:sz w:val="18"/>
                <w:szCs w:val="18"/>
              </w:rPr>
            </w:pPr>
            <w:r w:rsidRPr="00C5308E">
              <w:rPr>
                <w:rFonts w:ascii="Verdana" w:hAnsi="Verdana"/>
                <w:sz w:val="18"/>
                <w:szCs w:val="18"/>
              </w:rPr>
              <w:t>278</w:t>
            </w:r>
          </w:p>
        </w:tc>
        <w:tc>
          <w:tcPr>
            <w:tcW w:w="680" w:type="dxa"/>
            <w:noWrap/>
            <w:vAlign w:val="bottom"/>
            <w:hideMark/>
          </w:tcPr>
          <w:p w:rsidRPr="00C5308E" w:rsidR="009B531C" w:rsidP="003C75FE" w:rsidRDefault="009B531C" w14:paraId="557EA6D9" w14:textId="77777777">
            <w:pPr>
              <w:spacing w:after="0" w:line="240" w:lineRule="auto"/>
              <w:rPr>
                <w:rFonts w:ascii="Verdana" w:hAnsi="Verdana"/>
                <w:sz w:val="18"/>
                <w:szCs w:val="18"/>
              </w:rPr>
            </w:pPr>
            <w:r w:rsidRPr="00C5308E">
              <w:rPr>
                <w:rFonts w:ascii="Verdana" w:hAnsi="Verdana"/>
                <w:sz w:val="18"/>
                <w:szCs w:val="18"/>
              </w:rPr>
              <w:t>93</w:t>
            </w:r>
          </w:p>
        </w:tc>
      </w:tr>
      <w:tr w:rsidRPr="00C5308E" w:rsidR="009B531C" w:rsidTr="003C75FE" w14:paraId="3F6ADC22" w14:textId="77777777">
        <w:trPr>
          <w:trHeight w:val="230"/>
        </w:trPr>
        <w:tc>
          <w:tcPr>
            <w:tcW w:w="3828" w:type="dxa"/>
            <w:noWrap/>
            <w:vAlign w:val="bottom"/>
            <w:hideMark/>
          </w:tcPr>
          <w:p w:rsidRPr="00C5308E" w:rsidR="009B531C" w:rsidP="003C75FE" w:rsidRDefault="009B531C" w14:paraId="31F306E5" w14:textId="77777777">
            <w:pPr>
              <w:spacing w:after="0" w:line="240" w:lineRule="auto"/>
              <w:rPr>
                <w:rFonts w:ascii="Verdana" w:hAnsi="Verdana"/>
                <w:b/>
                <w:bCs/>
                <w:sz w:val="18"/>
                <w:szCs w:val="18"/>
              </w:rPr>
            </w:pPr>
            <w:r w:rsidRPr="00C5308E">
              <w:rPr>
                <w:rFonts w:ascii="Verdana" w:hAnsi="Verdana"/>
                <w:b/>
                <w:bCs/>
                <w:sz w:val="18"/>
                <w:szCs w:val="18"/>
              </w:rPr>
              <w:t>OCTAS</w:t>
            </w:r>
          </w:p>
        </w:tc>
        <w:tc>
          <w:tcPr>
            <w:tcW w:w="652" w:type="dxa"/>
            <w:noWrap/>
            <w:vAlign w:val="bottom"/>
            <w:hideMark/>
          </w:tcPr>
          <w:p w:rsidRPr="00C5308E" w:rsidR="009B531C" w:rsidP="003C75FE" w:rsidRDefault="009B531C" w14:paraId="535C3AC2" w14:textId="77777777">
            <w:pPr>
              <w:spacing w:after="0" w:line="240" w:lineRule="auto"/>
              <w:rPr>
                <w:rFonts w:ascii="Verdana" w:hAnsi="Verdana"/>
                <w:b/>
                <w:bCs/>
                <w:sz w:val="18"/>
                <w:szCs w:val="18"/>
              </w:rPr>
            </w:pPr>
          </w:p>
        </w:tc>
        <w:tc>
          <w:tcPr>
            <w:tcW w:w="652" w:type="dxa"/>
            <w:noWrap/>
            <w:vAlign w:val="bottom"/>
            <w:hideMark/>
          </w:tcPr>
          <w:p w:rsidRPr="00C5308E" w:rsidR="009B531C" w:rsidP="003C75FE" w:rsidRDefault="009B531C" w14:paraId="14470DD4"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04EA4055"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29B2A6D7"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45B75528" w14:textId="77777777">
            <w:pPr>
              <w:spacing w:after="0" w:line="240" w:lineRule="auto"/>
              <w:rPr>
                <w:rFonts w:ascii="Verdana" w:hAnsi="Verdana"/>
                <w:sz w:val="18"/>
                <w:szCs w:val="18"/>
              </w:rPr>
            </w:pPr>
          </w:p>
        </w:tc>
        <w:tc>
          <w:tcPr>
            <w:tcW w:w="652" w:type="dxa"/>
            <w:noWrap/>
            <w:vAlign w:val="bottom"/>
            <w:hideMark/>
          </w:tcPr>
          <w:p w:rsidRPr="00C5308E" w:rsidR="009B531C" w:rsidP="003C75FE" w:rsidRDefault="009B531C" w14:paraId="254AAB36" w14:textId="77777777">
            <w:pPr>
              <w:spacing w:after="0" w:line="240" w:lineRule="auto"/>
              <w:rPr>
                <w:rFonts w:ascii="Verdana" w:hAnsi="Verdana"/>
                <w:sz w:val="18"/>
                <w:szCs w:val="18"/>
              </w:rPr>
            </w:pPr>
          </w:p>
        </w:tc>
        <w:tc>
          <w:tcPr>
            <w:tcW w:w="765" w:type="dxa"/>
            <w:noWrap/>
            <w:vAlign w:val="bottom"/>
            <w:hideMark/>
          </w:tcPr>
          <w:p w:rsidRPr="00C5308E" w:rsidR="009B531C" w:rsidP="003C75FE" w:rsidRDefault="009B531C" w14:paraId="3C96FBA0" w14:textId="77777777">
            <w:pPr>
              <w:spacing w:after="0" w:line="240" w:lineRule="auto"/>
              <w:rPr>
                <w:rFonts w:ascii="Verdana" w:hAnsi="Verdana"/>
                <w:sz w:val="18"/>
                <w:szCs w:val="18"/>
              </w:rPr>
            </w:pPr>
          </w:p>
        </w:tc>
        <w:tc>
          <w:tcPr>
            <w:tcW w:w="680" w:type="dxa"/>
            <w:noWrap/>
            <w:vAlign w:val="bottom"/>
            <w:hideMark/>
          </w:tcPr>
          <w:p w:rsidRPr="00C5308E" w:rsidR="009B531C" w:rsidP="003C75FE" w:rsidRDefault="009B531C" w14:paraId="07400E22" w14:textId="77777777">
            <w:pPr>
              <w:spacing w:after="0" w:line="240" w:lineRule="auto"/>
              <w:rPr>
                <w:rFonts w:ascii="Verdana" w:hAnsi="Verdana"/>
                <w:sz w:val="18"/>
                <w:szCs w:val="18"/>
              </w:rPr>
            </w:pPr>
          </w:p>
        </w:tc>
      </w:tr>
      <w:tr w:rsidRPr="00C5308E" w:rsidR="009B531C" w:rsidTr="003C75FE" w14:paraId="5CF3521C" w14:textId="77777777">
        <w:trPr>
          <w:trHeight w:val="230"/>
        </w:trPr>
        <w:tc>
          <w:tcPr>
            <w:tcW w:w="3828" w:type="dxa"/>
            <w:noWrap/>
            <w:vAlign w:val="bottom"/>
            <w:hideMark/>
          </w:tcPr>
          <w:p w:rsidRPr="00C5308E" w:rsidR="009B531C" w:rsidP="003C75FE" w:rsidRDefault="009B531C" w14:paraId="018BDD85" w14:textId="77777777">
            <w:pPr>
              <w:spacing w:after="0" w:line="240" w:lineRule="auto"/>
              <w:rPr>
                <w:rFonts w:ascii="Verdana" w:hAnsi="Verdana"/>
                <w:sz w:val="18"/>
                <w:szCs w:val="18"/>
              </w:rPr>
            </w:pPr>
            <w:r w:rsidRPr="00C5308E">
              <w:rPr>
                <w:rFonts w:ascii="Verdana" w:hAnsi="Verdana"/>
                <w:sz w:val="18"/>
                <w:szCs w:val="18"/>
              </w:rPr>
              <w:t>Praktisch beoordelen</w:t>
            </w:r>
          </w:p>
        </w:tc>
        <w:tc>
          <w:tcPr>
            <w:tcW w:w="652" w:type="dxa"/>
            <w:noWrap/>
            <w:vAlign w:val="bottom"/>
            <w:hideMark/>
          </w:tcPr>
          <w:p w:rsidRPr="00C5308E" w:rsidR="009B531C" w:rsidP="003C75FE" w:rsidRDefault="009B531C" w14:paraId="6DBDF0A2"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9B531C" w:rsidP="003C75FE" w:rsidRDefault="009B531C" w14:paraId="2AC57555"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9B531C" w:rsidP="003C75FE" w:rsidRDefault="009B531C" w14:paraId="74331445"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hideMark/>
          </w:tcPr>
          <w:p w:rsidRPr="00C5308E" w:rsidR="009B531C" w:rsidP="003C75FE" w:rsidRDefault="009B531C" w14:paraId="669D8576" w14:textId="77777777">
            <w:pPr>
              <w:spacing w:after="0" w:line="240" w:lineRule="auto"/>
              <w:rPr>
                <w:rFonts w:ascii="Verdana" w:hAnsi="Verdana"/>
                <w:sz w:val="18"/>
                <w:szCs w:val="18"/>
              </w:rPr>
            </w:pPr>
            <w:r w:rsidRPr="00C5308E">
              <w:rPr>
                <w:rFonts w:ascii="Verdana" w:hAnsi="Verdana"/>
                <w:sz w:val="18"/>
                <w:szCs w:val="18"/>
              </w:rPr>
              <w:t>3</w:t>
            </w:r>
          </w:p>
        </w:tc>
        <w:tc>
          <w:tcPr>
            <w:tcW w:w="652" w:type="dxa"/>
            <w:noWrap/>
            <w:vAlign w:val="bottom"/>
            <w:hideMark/>
          </w:tcPr>
          <w:p w:rsidRPr="00C5308E" w:rsidR="009B531C" w:rsidP="003C75FE" w:rsidRDefault="009B531C" w14:paraId="4415FD5F" w14:textId="77777777">
            <w:pPr>
              <w:spacing w:after="0" w:line="240" w:lineRule="auto"/>
              <w:rPr>
                <w:rFonts w:ascii="Verdana" w:hAnsi="Verdana"/>
                <w:sz w:val="18"/>
                <w:szCs w:val="18"/>
              </w:rPr>
            </w:pPr>
            <w:r w:rsidRPr="00C5308E">
              <w:rPr>
                <w:rFonts w:ascii="Verdana" w:hAnsi="Verdana"/>
                <w:sz w:val="18"/>
                <w:szCs w:val="18"/>
              </w:rPr>
              <w:t>6</w:t>
            </w:r>
          </w:p>
        </w:tc>
        <w:tc>
          <w:tcPr>
            <w:tcW w:w="652" w:type="dxa"/>
            <w:noWrap/>
            <w:vAlign w:val="bottom"/>
            <w:hideMark/>
          </w:tcPr>
          <w:p w:rsidRPr="00C5308E" w:rsidR="009B531C" w:rsidP="003C75FE" w:rsidRDefault="009B531C" w14:paraId="1AA608DF" w14:textId="77777777">
            <w:pPr>
              <w:spacing w:after="0" w:line="240" w:lineRule="auto"/>
              <w:rPr>
                <w:rFonts w:ascii="Verdana" w:hAnsi="Verdana"/>
                <w:sz w:val="18"/>
                <w:szCs w:val="18"/>
              </w:rPr>
            </w:pPr>
            <w:r w:rsidRPr="00C5308E">
              <w:rPr>
                <w:rFonts w:ascii="Verdana" w:hAnsi="Verdana"/>
                <w:sz w:val="18"/>
                <w:szCs w:val="18"/>
              </w:rPr>
              <w:t>9</w:t>
            </w:r>
          </w:p>
        </w:tc>
        <w:tc>
          <w:tcPr>
            <w:tcW w:w="765" w:type="dxa"/>
            <w:noWrap/>
            <w:vAlign w:val="bottom"/>
            <w:hideMark/>
          </w:tcPr>
          <w:p w:rsidRPr="00C5308E" w:rsidR="009B531C" w:rsidP="003C75FE" w:rsidRDefault="009B531C" w14:paraId="6EAF00F1" w14:textId="77777777">
            <w:pPr>
              <w:spacing w:after="0" w:line="240" w:lineRule="auto"/>
              <w:rPr>
                <w:rFonts w:ascii="Verdana" w:hAnsi="Verdana"/>
                <w:sz w:val="18"/>
                <w:szCs w:val="18"/>
              </w:rPr>
            </w:pPr>
            <w:r w:rsidRPr="00C5308E">
              <w:rPr>
                <w:rFonts w:ascii="Verdana" w:hAnsi="Verdana"/>
                <w:sz w:val="18"/>
                <w:szCs w:val="18"/>
              </w:rPr>
              <w:t>19</w:t>
            </w:r>
          </w:p>
        </w:tc>
        <w:tc>
          <w:tcPr>
            <w:tcW w:w="680" w:type="dxa"/>
            <w:noWrap/>
            <w:vAlign w:val="bottom"/>
            <w:hideMark/>
          </w:tcPr>
          <w:p w:rsidRPr="00C5308E" w:rsidR="009B531C" w:rsidP="003C75FE" w:rsidRDefault="009B531C" w14:paraId="4AC404A7" w14:textId="77777777">
            <w:pPr>
              <w:spacing w:after="0" w:line="240" w:lineRule="auto"/>
              <w:rPr>
                <w:rFonts w:ascii="Verdana" w:hAnsi="Verdana"/>
                <w:sz w:val="18"/>
                <w:szCs w:val="18"/>
              </w:rPr>
            </w:pPr>
            <w:r w:rsidRPr="00C5308E">
              <w:rPr>
                <w:rFonts w:ascii="Verdana" w:hAnsi="Verdana"/>
                <w:sz w:val="18"/>
                <w:szCs w:val="18"/>
              </w:rPr>
              <w:t>47</w:t>
            </w:r>
          </w:p>
        </w:tc>
      </w:tr>
      <w:tr w:rsidRPr="00C5308E" w:rsidR="009B531C" w:rsidTr="003C75FE" w14:paraId="7C158749" w14:textId="77777777">
        <w:trPr>
          <w:trHeight w:val="230"/>
        </w:trPr>
        <w:tc>
          <w:tcPr>
            <w:tcW w:w="3828" w:type="dxa"/>
            <w:noWrap/>
          </w:tcPr>
          <w:p w:rsidRPr="00C5308E" w:rsidR="009B531C" w:rsidP="003C75FE" w:rsidRDefault="009B531C" w14:paraId="7DA1D509" w14:textId="77777777">
            <w:pPr>
              <w:spacing w:after="0" w:line="240" w:lineRule="auto"/>
              <w:rPr>
                <w:rFonts w:ascii="Verdana" w:hAnsi="Verdana"/>
                <w:sz w:val="18"/>
                <w:szCs w:val="18"/>
              </w:rPr>
            </w:pPr>
            <w:r w:rsidRPr="00C5308E">
              <w:rPr>
                <w:rFonts w:ascii="Verdana" w:hAnsi="Verdana"/>
                <w:sz w:val="18"/>
                <w:szCs w:val="18"/>
              </w:rPr>
              <w:t>RIV-toets</w:t>
            </w:r>
          </w:p>
        </w:tc>
        <w:tc>
          <w:tcPr>
            <w:tcW w:w="652" w:type="dxa"/>
            <w:noWrap/>
          </w:tcPr>
          <w:p w:rsidRPr="00C5308E" w:rsidR="009B531C" w:rsidP="003C75FE" w:rsidRDefault="009B531C" w14:paraId="4476A471"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9B531C" w:rsidP="003C75FE" w:rsidRDefault="009B531C" w14:paraId="168F6BBA"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9B531C" w:rsidP="003C75FE" w:rsidRDefault="009B531C" w14:paraId="17248EE5"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9B531C" w:rsidP="003C75FE" w:rsidRDefault="009B531C" w14:paraId="708AB63D"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9B531C" w:rsidP="003C75FE" w:rsidRDefault="009B531C" w14:paraId="147E3434"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tcPr>
          <w:p w:rsidRPr="00C5308E" w:rsidR="009B531C" w:rsidP="003C75FE" w:rsidRDefault="009B531C" w14:paraId="48A5740D" w14:textId="77777777">
            <w:pPr>
              <w:spacing w:after="0" w:line="240" w:lineRule="auto"/>
              <w:rPr>
                <w:rFonts w:ascii="Verdana" w:hAnsi="Verdana"/>
                <w:sz w:val="18"/>
                <w:szCs w:val="18"/>
              </w:rPr>
            </w:pPr>
            <w:r w:rsidRPr="00C5308E">
              <w:rPr>
                <w:rFonts w:ascii="Verdana" w:hAnsi="Verdana"/>
                <w:sz w:val="18"/>
                <w:szCs w:val="18"/>
              </w:rPr>
              <w:t>6</w:t>
            </w:r>
          </w:p>
        </w:tc>
        <w:tc>
          <w:tcPr>
            <w:tcW w:w="765" w:type="dxa"/>
            <w:noWrap/>
          </w:tcPr>
          <w:p w:rsidRPr="00C5308E" w:rsidR="009B531C" w:rsidP="003C75FE" w:rsidRDefault="009B531C" w14:paraId="0E61E34D" w14:textId="77777777">
            <w:pPr>
              <w:spacing w:after="0" w:line="240" w:lineRule="auto"/>
              <w:rPr>
                <w:rFonts w:ascii="Verdana" w:hAnsi="Verdana"/>
                <w:sz w:val="18"/>
                <w:szCs w:val="18"/>
              </w:rPr>
            </w:pPr>
            <w:r w:rsidRPr="00C5308E">
              <w:rPr>
                <w:rFonts w:ascii="Verdana" w:hAnsi="Verdana"/>
                <w:sz w:val="18"/>
                <w:szCs w:val="18"/>
              </w:rPr>
              <w:t>8</w:t>
            </w:r>
          </w:p>
        </w:tc>
        <w:tc>
          <w:tcPr>
            <w:tcW w:w="680" w:type="dxa"/>
            <w:noWrap/>
          </w:tcPr>
          <w:p w:rsidRPr="00C5308E" w:rsidR="009B531C" w:rsidP="003C75FE" w:rsidRDefault="009B531C" w14:paraId="5C59CCE0" w14:textId="77777777">
            <w:pPr>
              <w:spacing w:after="0" w:line="240" w:lineRule="auto"/>
              <w:rPr>
                <w:rFonts w:ascii="Verdana" w:hAnsi="Verdana"/>
                <w:sz w:val="18"/>
                <w:szCs w:val="18"/>
              </w:rPr>
            </w:pPr>
            <w:r w:rsidRPr="00C5308E">
              <w:rPr>
                <w:rFonts w:ascii="Verdana" w:hAnsi="Verdana"/>
                <w:sz w:val="18"/>
                <w:szCs w:val="18"/>
              </w:rPr>
              <w:t>150</w:t>
            </w:r>
          </w:p>
        </w:tc>
      </w:tr>
      <w:tr w:rsidRPr="00C5308E" w:rsidR="009B531C" w:rsidTr="003C75FE" w14:paraId="0A093434" w14:textId="77777777">
        <w:trPr>
          <w:trHeight w:val="230"/>
        </w:trPr>
        <w:tc>
          <w:tcPr>
            <w:tcW w:w="3828" w:type="dxa"/>
            <w:noWrap/>
            <w:vAlign w:val="bottom"/>
          </w:tcPr>
          <w:p w:rsidRPr="00C5308E" w:rsidR="009B531C" w:rsidP="003C75FE" w:rsidRDefault="009B531C" w14:paraId="60F3FA85" w14:textId="77777777">
            <w:pPr>
              <w:spacing w:after="0" w:line="240" w:lineRule="auto"/>
              <w:rPr>
                <w:rFonts w:ascii="Verdana" w:hAnsi="Verdana"/>
                <w:b/>
                <w:bCs/>
                <w:sz w:val="18"/>
                <w:szCs w:val="18"/>
              </w:rPr>
            </w:pPr>
            <w:r w:rsidRPr="00C5308E">
              <w:rPr>
                <w:rFonts w:ascii="Verdana" w:hAnsi="Verdana"/>
                <w:b/>
                <w:bCs/>
                <w:sz w:val="18"/>
                <w:szCs w:val="18"/>
              </w:rPr>
              <w:t>Overig</w:t>
            </w:r>
          </w:p>
        </w:tc>
        <w:tc>
          <w:tcPr>
            <w:tcW w:w="652" w:type="dxa"/>
            <w:noWrap/>
            <w:vAlign w:val="bottom"/>
          </w:tcPr>
          <w:p w:rsidRPr="00C5308E" w:rsidR="009B531C" w:rsidP="003C75FE" w:rsidRDefault="009B531C" w14:paraId="0ADEBC07"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1DE007C0"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369614DC"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36AB1A08"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5D128423" w14:textId="77777777">
            <w:pPr>
              <w:spacing w:after="0" w:line="240" w:lineRule="auto"/>
              <w:rPr>
                <w:rFonts w:ascii="Verdana" w:hAnsi="Verdana"/>
                <w:sz w:val="18"/>
                <w:szCs w:val="18"/>
              </w:rPr>
            </w:pPr>
          </w:p>
        </w:tc>
        <w:tc>
          <w:tcPr>
            <w:tcW w:w="652" w:type="dxa"/>
            <w:noWrap/>
            <w:vAlign w:val="bottom"/>
          </w:tcPr>
          <w:p w:rsidRPr="00C5308E" w:rsidR="009B531C" w:rsidP="003C75FE" w:rsidRDefault="009B531C" w14:paraId="2A642DC0" w14:textId="77777777">
            <w:pPr>
              <w:spacing w:after="0" w:line="240" w:lineRule="auto"/>
              <w:rPr>
                <w:rFonts w:ascii="Verdana" w:hAnsi="Verdana"/>
                <w:sz w:val="18"/>
                <w:szCs w:val="18"/>
              </w:rPr>
            </w:pPr>
          </w:p>
        </w:tc>
        <w:tc>
          <w:tcPr>
            <w:tcW w:w="765" w:type="dxa"/>
            <w:noWrap/>
            <w:vAlign w:val="bottom"/>
          </w:tcPr>
          <w:p w:rsidRPr="00C5308E" w:rsidR="009B531C" w:rsidP="003C75FE" w:rsidRDefault="009B531C" w14:paraId="603BDBF7" w14:textId="77777777">
            <w:pPr>
              <w:spacing w:after="0" w:line="240" w:lineRule="auto"/>
              <w:rPr>
                <w:rFonts w:ascii="Verdana" w:hAnsi="Verdana"/>
                <w:sz w:val="18"/>
                <w:szCs w:val="18"/>
              </w:rPr>
            </w:pPr>
          </w:p>
        </w:tc>
        <w:tc>
          <w:tcPr>
            <w:tcW w:w="680" w:type="dxa"/>
            <w:noWrap/>
            <w:vAlign w:val="bottom"/>
          </w:tcPr>
          <w:p w:rsidRPr="00C5308E" w:rsidR="009B531C" w:rsidP="003C75FE" w:rsidRDefault="009B531C" w14:paraId="73727BED" w14:textId="77777777">
            <w:pPr>
              <w:spacing w:after="0" w:line="240" w:lineRule="auto"/>
              <w:rPr>
                <w:rFonts w:ascii="Verdana" w:hAnsi="Verdana"/>
                <w:sz w:val="18"/>
                <w:szCs w:val="18"/>
              </w:rPr>
            </w:pPr>
          </w:p>
        </w:tc>
      </w:tr>
      <w:tr w:rsidRPr="00C5308E" w:rsidR="009B531C" w:rsidTr="003C75FE" w14:paraId="2C2C3C20" w14:textId="77777777">
        <w:trPr>
          <w:trHeight w:val="230"/>
        </w:trPr>
        <w:tc>
          <w:tcPr>
            <w:tcW w:w="3828" w:type="dxa"/>
            <w:noWrap/>
            <w:vAlign w:val="bottom"/>
          </w:tcPr>
          <w:p w:rsidRPr="00C5308E" w:rsidR="009B531C" w:rsidP="003C75FE" w:rsidRDefault="009B531C" w14:paraId="1E24612B" w14:textId="77777777">
            <w:pPr>
              <w:spacing w:after="0" w:line="240" w:lineRule="auto"/>
              <w:rPr>
                <w:rFonts w:ascii="Verdana" w:hAnsi="Verdana"/>
                <w:sz w:val="18"/>
                <w:szCs w:val="18"/>
              </w:rPr>
            </w:pPr>
            <w:r w:rsidRPr="00C5308E">
              <w:rPr>
                <w:rFonts w:ascii="Verdana" w:hAnsi="Verdana"/>
                <w:sz w:val="18"/>
                <w:szCs w:val="18"/>
              </w:rPr>
              <w:t>Duurverkorting LGU WGA*</w:t>
            </w:r>
          </w:p>
        </w:tc>
        <w:tc>
          <w:tcPr>
            <w:tcW w:w="652" w:type="dxa"/>
            <w:noWrap/>
            <w:vAlign w:val="bottom"/>
          </w:tcPr>
          <w:p w:rsidRPr="00C5308E" w:rsidR="009B531C" w:rsidP="003C75FE" w:rsidRDefault="009B531C" w14:paraId="74B083E3"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9B531C" w:rsidP="003C75FE" w:rsidRDefault="009B531C" w14:paraId="32C0906E"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9B531C" w:rsidP="003C75FE" w:rsidRDefault="009B531C" w14:paraId="20719445"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9B531C" w:rsidP="003C75FE" w:rsidRDefault="009B531C" w14:paraId="4051D968" w14:textId="77777777">
            <w:pPr>
              <w:spacing w:after="0" w:line="240" w:lineRule="auto"/>
              <w:rPr>
                <w:rFonts w:ascii="Verdana" w:hAnsi="Verdana"/>
                <w:sz w:val="18"/>
                <w:szCs w:val="18"/>
              </w:rPr>
            </w:pPr>
            <w:r w:rsidRPr="00C5308E">
              <w:rPr>
                <w:rFonts w:ascii="Verdana" w:hAnsi="Verdana"/>
                <w:sz w:val="18"/>
                <w:szCs w:val="18"/>
              </w:rPr>
              <w:t>-14</w:t>
            </w:r>
          </w:p>
        </w:tc>
        <w:tc>
          <w:tcPr>
            <w:tcW w:w="652" w:type="dxa"/>
            <w:noWrap/>
            <w:vAlign w:val="bottom"/>
          </w:tcPr>
          <w:p w:rsidRPr="00C5308E" w:rsidR="009B531C" w:rsidP="003C75FE" w:rsidRDefault="009B531C" w14:paraId="1F0E496B" w14:textId="77777777">
            <w:pPr>
              <w:spacing w:after="0" w:line="240" w:lineRule="auto"/>
              <w:rPr>
                <w:rFonts w:ascii="Verdana" w:hAnsi="Verdana"/>
                <w:sz w:val="18"/>
                <w:szCs w:val="18"/>
              </w:rPr>
            </w:pPr>
            <w:r w:rsidRPr="00C5308E">
              <w:rPr>
                <w:rFonts w:ascii="Verdana" w:hAnsi="Verdana"/>
                <w:sz w:val="18"/>
                <w:szCs w:val="18"/>
              </w:rPr>
              <w:t>-55</w:t>
            </w:r>
          </w:p>
        </w:tc>
        <w:tc>
          <w:tcPr>
            <w:tcW w:w="652" w:type="dxa"/>
            <w:noWrap/>
            <w:vAlign w:val="bottom"/>
          </w:tcPr>
          <w:p w:rsidRPr="00C5308E" w:rsidR="009B531C" w:rsidP="003C75FE" w:rsidRDefault="009B531C" w14:paraId="02235129" w14:textId="77777777">
            <w:pPr>
              <w:spacing w:after="0" w:line="240" w:lineRule="auto"/>
              <w:rPr>
                <w:rFonts w:ascii="Verdana" w:hAnsi="Verdana"/>
                <w:sz w:val="18"/>
                <w:szCs w:val="18"/>
              </w:rPr>
            </w:pPr>
            <w:r w:rsidRPr="00C5308E">
              <w:rPr>
                <w:rFonts w:ascii="Verdana" w:hAnsi="Verdana"/>
                <w:sz w:val="18"/>
                <w:szCs w:val="18"/>
              </w:rPr>
              <w:t>-55</w:t>
            </w:r>
          </w:p>
        </w:tc>
        <w:tc>
          <w:tcPr>
            <w:tcW w:w="765" w:type="dxa"/>
            <w:noWrap/>
            <w:vAlign w:val="bottom"/>
          </w:tcPr>
          <w:p w:rsidRPr="00C5308E" w:rsidR="009B531C" w:rsidP="003C75FE" w:rsidRDefault="009B531C" w14:paraId="1FED49B8" w14:textId="77777777">
            <w:pPr>
              <w:spacing w:after="0" w:line="240" w:lineRule="auto"/>
              <w:rPr>
                <w:rFonts w:ascii="Verdana" w:hAnsi="Verdana"/>
                <w:sz w:val="18"/>
                <w:szCs w:val="18"/>
              </w:rPr>
            </w:pPr>
            <w:r w:rsidRPr="00C5308E">
              <w:rPr>
                <w:rFonts w:ascii="Verdana" w:hAnsi="Verdana"/>
                <w:sz w:val="18"/>
                <w:szCs w:val="18"/>
              </w:rPr>
              <w:t>-125</w:t>
            </w:r>
          </w:p>
        </w:tc>
        <w:tc>
          <w:tcPr>
            <w:tcW w:w="680" w:type="dxa"/>
            <w:noWrap/>
            <w:vAlign w:val="bottom"/>
          </w:tcPr>
          <w:p w:rsidRPr="00C5308E" w:rsidR="009B531C" w:rsidP="003C75FE" w:rsidRDefault="009B531C" w14:paraId="6D31D7AF" w14:textId="77777777">
            <w:pPr>
              <w:spacing w:after="0" w:line="240" w:lineRule="auto"/>
              <w:rPr>
                <w:rFonts w:ascii="Verdana" w:hAnsi="Verdana"/>
                <w:sz w:val="18"/>
                <w:szCs w:val="18"/>
              </w:rPr>
            </w:pPr>
            <w:r w:rsidRPr="00C5308E">
              <w:rPr>
                <w:rFonts w:ascii="Verdana" w:hAnsi="Verdana"/>
                <w:sz w:val="18"/>
                <w:szCs w:val="18"/>
              </w:rPr>
              <w:t>-45</w:t>
            </w:r>
          </w:p>
        </w:tc>
      </w:tr>
      <w:tr w:rsidRPr="00C5308E" w:rsidR="009B531C" w:rsidTr="003C75FE" w14:paraId="13C5CBDF" w14:textId="77777777">
        <w:trPr>
          <w:trHeight w:val="230"/>
        </w:trPr>
        <w:tc>
          <w:tcPr>
            <w:tcW w:w="3828" w:type="dxa"/>
            <w:noWrap/>
          </w:tcPr>
          <w:p w:rsidRPr="00C5308E" w:rsidR="009B531C" w:rsidP="003C75FE" w:rsidRDefault="009B531C" w14:paraId="380B72AA" w14:textId="77777777">
            <w:pPr>
              <w:spacing w:after="0" w:line="240" w:lineRule="auto"/>
              <w:rPr>
                <w:rFonts w:ascii="Verdana" w:hAnsi="Verdana"/>
                <w:sz w:val="18"/>
                <w:szCs w:val="18"/>
              </w:rPr>
            </w:pPr>
            <w:r w:rsidRPr="00C5308E">
              <w:rPr>
                <w:rFonts w:ascii="Verdana" w:hAnsi="Verdana"/>
                <w:sz w:val="18"/>
                <w:szCs w:val="18"/>
              </w:rPr>
              <w:t>Loonloze tijdvakken</w:t>
            </w:r>
          </w:p>
        </w:tc>
        <w:tc>
          <w:tcPr>
            <w:tcW w:w="652" w:type="dxa"/>
            <w:noWrap/>
          </w:tcPr>
          <w:p w:rsidRPr="00C5308E" w:rsidR="009B531C" w:rsidP="003C75FE" w:rsidRDefault="009B531C" w14:paraId="2A3AB1D6" w14:textId="77777777">
            <w:pPr>
              <w:spacing w:after="0" w:line="240" w:lineRule="auto"/>
              <w:rPr>
                <w:rFonts w:ascii="Verdana" w:hAnsi="Verdana"/>
                <w:sz w:val="18"/>
                <w:szCs w:val="18"/>
              </w:rPr>
            </w:pPr>
            <w:r w:rsidRPr="00C5308E">
              <w:rPr>
                <w:rFonts w:ascii="Verdana" w:hAnsi="Verdana"/>
                <w:sz w:val="18"/>
                <w:szCs w:val="18"/>
              </w:rPr>
              <w:t>-35</w:t>
            </w:r>
          </w:p>
        </w:tc>
        <w:tc>
          <w:tcPr>
            <w:tcW w:w="652" w:type="dxa"/>
            <w:noWrap/>
          </w:tcPr>
          <w:p w:rsidRPr="00C5308E" w:rsidR="009B531C" w:rsidP="003C75FE" w:rsidRDefault="009B531C" w14:paraId="28C51C8F" w14:textId="77777777">
            <w:pPr>
              <w:spacing w:after="0" w:line="240" w:lineRule="auto"/>
              <w:rPr>
                <w:rFonts w:ascii="Verdana" w:hAnsi="Verdana"/>
                <w:sz w:val="18"/>
                <w:szCs w:val="18"/>
              </w:rPr>
            </w:pPr>
            <w:r w:rsidRPr="00C5308E">
              <w:rPr>
                <w:rFonts w:ascii="Verdana" w:hAnsi="Verdana"/>
                <w:sz w:val="18"/>
                <w:szCs w:val="18"/>
              </w:rPr>
              <w:t>101</w:t>
            </w:r>
          </w:p>
        </w:tc>
        <w:tc>
          <w:tcPr>
            <w:tcW w:w="652" w:type="dxa"/>
            <w:noWrap/>
          </w:tcPr>
          <w:p w:rsidRPr="00C5308E" w:rsidR="009B531C" w:rsidP="003C75FE" w:rsidRDefault="009B531C" w14:paraId="2CE56E2C" w14:textId="77777777">
            <w:pPr>
              <w:spacing w:after="0" w:line="240" w:lineRule="auto"/>
              <w:rPr>
                <w:rFonts w:ascii="Verdana" w:hAnsi="Verdana"/>
                <w:sz w:val="18"/>
                <w:szCs w:val="18"/>
              </w:rPr>
            </w:pPr>
            <w:r w:rsidRPr="00C5308E">
              <w:rPr>
                <w:rFonts w:ascii="Verdana" w:hAnsi="Verdana"/>
                <w:sz w:val="18"/>
                <w:szCs w:val="18"/>
              </w:rPr>
              <w:t>106</w:t>
            </w:r>
          </w:p>
        </w:tc>
        <w:tc>
          <w:tcPr>
            <w:tcW w:w="652" w:type="dxa"/>
            <w:noWrap/>
          </w:tcPr>
          <w:p w:rsidRPr="00C5308E" w:rsidR="009B531C" w:rsidP="003C75FE" w:rsidRDefault="009B531C" w14:paraId="78C047C0" w14:textId="77777777">
            <w:pPr>
              <w:spacing w:after="0" w:line="240" w:lineRule="auto"/>
              <w:rPr>
                <w:rFonts w:ascii="Verdana" w:hAnsi="Verdana"/>
                <w:sz w:val="18"/>
                <w:szCs w:val="18"/>
              </w:rPr>
            </w:pPr>
            <w:r w:rsidRPr="00C5308E">
              <w:rPr>
                <w:rFonts w:ascii="Verdana" w:hAnsi="Verdana"/>
                <w:sz w:val="18"/>
                <w:szCs w:val="18"/>
              </w:rPr>
              <w:t>59</w:t>
            </w:r>
          </w:p>
        </w:tc>
        <w:tc>
          <w:tcPr>
            <w:tcW w:w="652" w:type="dxa"/>
            <w:noWrap/>
          </w:tcPr>
          <w:p w:rsidRPr="00C5308E" w:rsidR="009B531C" w:rsidP="003C75FE" w:rsidRDefault="009B531C" w14:paraId="038D92AE" w14:textId="77777777">
            <w:pPr>
              <w:spacing w:after="0" w:line="240" w:lineRule="auto"/>
              <w:rPr>
                <w:rFonts w:ascii="Verdana" w:hAnsi="Verdana"/>
                <w:sz w:val="18"/>
                <w:szCs w:val="18"/>
              </w:rPr>
            </w:pPr>
            <w:r w:rsidRPr="00C5308E">
              <w:rPr>
                <w:rFonts w:ascii="Verdana" w:hAnsi="Verdana"/>
                <w:sz w:val="18"/>
                <w:szCs w:val="18"/>
              </w:rPr>
              <w:t>62</w:t>
            </w:r>
          </w:p>
        </w:tc>
        <w:tc>
          <w:tcPr>
            <w:tcW w:w="652" w:type="dxa"/>
            <w:noWrap/>
          </w:tcPr>
          <w:p w:rsidRPr="00C5308E" w:rsidR="009B531C" w:rsidP="003C75FE" w:rsidRDefault="009B531C" w14:paraId="6940CF7C" w14:textId="77777777">
            <w:pPr>
              <w:spacing w:after="0" w:line="240" w:lineRule="auto"/>
              <w:rPr>
                <w:rFonts w:ascii="Verdana" w:hAnsi="Verdana"/>
                <w:sz w:val="18"/>
                <w:szCs w:val="18"/>
              </w:rPr>
            </w:pPr>
            <w:r w:rsidRPr="00C5308E">
              <w:rPr>
                <w:rFonts w:ascii="Verdana" w:hAnsi="Verdana"/>
                <w:sz w:val="18"/>
                <w:szCs w:val="18"/>
              </w:rPr>
              <w:t>66</w:t>
            </w:r>
          </w:p>
        </w:tc>
        <w:tc>
          <w:tcPr>
            <w:tcW w:w="765" w:type="dxa"/>
            <w:noWrap/>
          </w:tcPr>
          <w:p w:rsidRPr="00C5308E" w:rsidR="009B531C" w:rsidP="003C75FE" w:rsidRDefault="009B531C" w14:paraId="7664C3AD" w14:textId="77777777">
            <w:pPr>
              <w:spacing w:after="0" w:line="240" w:lineRule="auto"/>
              <w:rPr>
                <w:rFonts w:ascii="Verdana" w:hAnsi="Verdana"/>
                <w:sz w:val="18"/>
                <w:szCs w:val="18"/>
              </w:rPr>
            </w:pPr>
            <w:r w:rsidRPr="00C5308E">
              <w:rPr>
                <w:rFonts w:ascii="Verdana" w:hAnsi="Verdana"/>
                <w:sz w:val="18"/>
                <w:szCs w:val="18"/>
              </w:rPr>
              <w:t>358</w:t>
            </w:r>
          </w:p>
        </w:tc>
        <w:tc>
          <w:tcPr>
            <w:tcW w:w="680" w:type="dxa"/>
            <w:noWrap/>
          </w:tcPr>
          <w:p w:rsidRPr="00C5308E" w:rsidR="009B531C" w:rsidP="003C75FE" w:rsidRDefault="009B531C" w14:paraId="12B3B8D0" w14:textId="77777777">
            <w:pPr>
              <w:spacing w:after="0" w:line="240" w:lineRule="auto"/>
              <w:rPr>
                <w:rFonts w:ascii="Verdana" w:hAnsi="Verdana"/>
                <w:sz w:val="18"/>
                <w:szCs w:val="18"/>
              </w:rPr>
            </w:pPr>
            <w:r w:rsidRPr="00C5308E">
              <w:rPr>
                <w:rFonts w:ascii="Verdana" w:hAnsi="Verdana"/>
                <w:sz w:val="18"/>
                <w:szCs w:val="18"/>
              </w:rPr>
              <w:t>91</w:t>
            </w:r>
          </w:p>
        </w:tc>
      </w:tr>
      <w:tr w:rsidRPr="00C5308E" w:rsidR="009B531C" w:rsidTr="003C75FE" w14:paraId="7CBF3DE3" w14:textId="77777777">
        <w:trPr>
          <w:trHeight w:val="240"/>
        </w:trPr>
        <w:tc>
          <w:tcPr>
            <w:tcW w:w="3828" w:type="dxa"/>
            <w:tcBorders>
              <w:top w:val="nil"/>
              <w:left w:val="nil"/>
              <w:right w:val="nil"/>
            </w:tcBorders>
            <w:noWrap/>
            <w:hideMark/>
          </w:tcPr>
          <w:p w:rsidRPr="00C5308E" w:rsidR="009B531C" w:rsidP="003C75FE" w:rsidRDefault="009B531C" w14:paraId="262AE85B" w14:textId="77777777">
            <w:pPr>
              <w:spacing w:after="0" w:line="240" w:lineRule="auto"/>
              <w:rPr>
                <w:rFonts w:ascii="Verdana" w:hAnsi="Verdana"/>
                <w:sz w:val="18"/>
                <w:szCs w:val="18"/>
              </w:rPr>
            </w:pPr>
            <w:r w:rsidRPr="00C5308E">
              <w:rPr>
                <w:rFonts w:ascii="Verdana" w:hAnsi="Verdana"/>
                <w:sz w:val="18"/>
                <w:szCs w:val="18"/>
              </w:rPr>
              <w:t>Uitstel aangepast AO-criterium bij LKS</w:t>
            </w:r>
          </w:p>
        </w:tc>
        <w:tc>
          <w:tcPr>
            <w:tcW w:w="652" w:type="dxa"/>
            <w:tcBorders>
              <w:top w:val="nil"/>
              <w:left w:val="nil"/>
              <w:right w:val="nil"/>
            </w:tcBorders>
            <w:noWrap/>
          </w:tcPr>
          <w:p w:rsidRPr="00C5308E" w:rsidR="009B531C" w:rsidP="003C75FE" w:rsidRDefault="009B531C" w14:paraId="5720A354"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top w:val="nil"/>
              <w:left w:val="nil"/>
              <w:right w:val="nil"/>
            </w:tcBorders>
            <w:noWrap/>
          </w:tcPr>
          <w:p w:rsidRPr="00C5308E" w:rsidR="009B531C" w:rsidP="003C75FE" w:rsidRDefault="009B531C" w14:paraId="1A26B72B"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9B531C" w:rsidP="003C75FE" w:rsidRDefault="009B531C" w14:paraId="5A4DA471"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9B531C" w:rsidP="003C75FE" w:rsidRDefault="009B531C" w14:paraId="6FAA6940"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9B531C" w:rsidP="003C75FE" w:rsidRDefault="009B531C" w14:paraId="7794B328"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9B531C" w:rsidP="003C75FE" w:rsidRDefault="009B531C" w14:paraId="1EAA0FED" w14:textId="77777777">
            <w:pPr>
              <w:spacing w:after="0" w:line="240" w:lineRule="auto"/>
              <w:rPr>
                <w:rFonts w:ascii="Verdana" w:hAnsi="Verdana"/>
                <w:sz w:val="18"/>
                <w:szCs w:val="18"/>
              </w:rPr>
            </w:pPr>
            <w:r w:rsidRPr="00C5308E">
              <w:rPr>
                <w:rFonts w:ascii="Verdana" w:hAnsi="Verdana"/>
                <w:sz w:val="18"/>
                <w:szCs w:val="18"/>
              </w:rPr>
              <w:t>1</w:t>
            </w:r>
          </w:p>
        </w:tc>
        <w:tc>
          <w:tcPr>
            <w:tcW w:w="765" w:type="dxa"/>
            <w:tcBorders>
              <w:top w:val="nil"/>
              <w:left w:val="nil"/>
              <w:right w:val="nil"/>
            </w:tcBorders>
            <w:noWrap/>
          </w:tcPr>
          <w:p w:rsidRPr="00C5308E" w:rsidR="009B531C" w:rsidP="003C75FE" w:rsidRDefault="009B531C" w14:paraId="7D31BD74" w14:textId="77777777">
            <w:pPr>
              <w:spacing w:after="0" w:line="240" w:lineRule="auto"/>
              <w:rPr>
                <w:rFonts w:ascii="Verdana" w:hAnsi="Verdana"/>
                <w:sz w:val="18"/>
                <w:szCs w:val="18"/>
              </w:rPr>
            </w:pPr>
            <w:r w:rsidRPr="00C5308E">
              <w:rPr>
                <w:rFonts w:ascii="Verdana" w:hAnsi="Verdana"/>
                <w:sz w:val="18"/>
                <w:szCs w:val="18"/>
              </w:rPr>
              <w:t>4</w:t>
            </w:r>
          </w:p>
        </w:tc>
        <w:tc>
          <w:tcPr>
            <w:tcW w:w="680" w:type="dxa"/>
            <w:tcBorders>
              <w:top w:val="nil"/>
              <w:left w:val="nil"/>
              <w:right w:val="nil"/>
            </w:tcBorders>
            <w:noWrap/>
          </w:tcPr>
          <w:p w:rsidRPr="00C5308E" w:rsidR="009B531C" w:rsidP="003C75FE" w:rsidRDefault="009B531C" w14:paraId="783DFA7B" w14:textId="77777777">
            <w:pPr>
              <w:spacing w:after="0" w:line="240" w:lineRule="auto"/>
              <w:rPr>
                <w:rFonts w:ascii="Verdana" w:hAnsi="Verdana"/>
                <w:sz w:val="18"/>
                <w:szCs w:val="18"/>
              </w:rPr>
            </w:pPr>
            <w:r w:rsidRPr="00C5308E">
              <w:rPr>
                <w:rFonts w:ascii="Verdana" w:hAnsi="Verdana"/>
                <w:sz w:val="18"/>
                <w:szCs w:val="18"/>
              </w:rPr>
              <w:t>0</w:t>
            </w:r>
          </w:p>
        </w:tc>
      </w:tr>
      <w:tr w:rsidRPr="00C5308E" w:rsidR="009B531C" w:rsidTr="003C75FE" w14:paraId="5636DE9F" w14:textId="77777777">
        <w:trPr>
          <w:trHeight w:val="240"/>
        </w:trPr>
        <w:tc>
          <w:tcPr>
            <w:tcW w:w="3828" w:type="dxa"/>
            <w:tcBorders>
              <w:left w:val="nil"/>
              <w:bottom w:val="single" w:color="auto" w:sz="8" w:space="0"/>
              <w:right w:val="nil"/>
            </w:tcBorders>
            <w:noWrap/>
          </w:tcPr>
          <w:p w:rsidRPr="00C5308E" w:rsidR="009B531C" w:rsidP="003C75FE" w:rsidRDefault="009B531C" w14:paraId="4FB61B62" w14:textId="77777777">
            <w:pPr>
              <w:spacing w:after="0" w:line="240" w:lineRule="auto"/>
              <w:rPr>
                <w:rFonts w:ascii="Verdana" w:hAnsi="Verdana"/>
                <w:sz w:val="18"/>
                <w:szCs w:val="18"/>
              </w:rPr>
            </w:pPr>
            <w:r w:rsidRPr="00C5308E">
              <w:rPr>
                <w:rFonts w:ascii="Verdana" w:hAnsi="Verdana"/>
                <w:sz w:val="18"/>
                <w:szCs w:val="18"/>
              </w:rPr>
              <w:t>Herziene Opvangrichtlijn**</w:t>
            </w:r>
          </w:p>
        </w:tc>
        <w:tc>
          <w:tcPr>
            <w:tcW w:w="652" w:type="dxa"/>
            <w:tcBorders>
              <w:left w:val="nil"/>
              <w:bottom w:val="single" w:color="auto" w:sz="8" w:space="0"/>
              <w:right w:val="nil"/>
            </w:tcBorders>
            <w:noWrap/>
          </w:tcPr>
          <w:p w:rsidRPr="00C5308E" w:rsidR="009B531C" w:rsidP="003C75FE" w:rsidRDefault="009B531C" w14:paraId="18456A6D"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9B531C" w:rsidP="003C75FE" w:rsidRDefault="009B531C" w14:paraId="3A1099AF"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9B531C" w:rsidP="003C75FE" w:rsidRDefault="009B531C" w14:paraId="29E4B05B"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9B531C" w:rsidP="003C75FE" w:rsidRDefault="009B531C" w14:paraId="454E6E79"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9B531C" w:rsidP="003C75FE" w:rsidRDefault="009B531C" w14:paraId="6CF0E282"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9B531C" w:rsidP="003C75FE" w:rsidRDefault="009B531C" w14:paraId="702E8B29" w14:textId="77777777">
            <w:pPr>
              <w:spacing w:after="0" w:line="240" w:lineRule="auto"/>
              <w:rPr>
                <w:rFonts w:ascii="Verdana" w:hAnsi="Verdana"/>
                <w:sz w:val="18"/>
                <w:szCs w:val="18"/>
              </w:rPr>
            </w:pPr>
            <w:r w:rsidRPr="00C5308E">
              <w:rPr>
                <w:rFonts w:ascii="Verdana" w:hAnsi="Verdana"/>
                <w:sz w:val="18"/>
                <w:szCs w:val="18"/>
              </w:rPr>
              <w:t>1</w:t>
            </w:r>
          </w:p>
        </w:tc>
        <w:tc>
          <w:tcPr>
            <w:tcW w:w="765" w:type="dxa"/>
            <w:tcBorders>
              <w:left w:val="nil"/>
              <w:bottom w:val="single" w:color="auto" w:sz="8" w:space="0"/>
              <w:right w:val="nil"/>
            </w:tcBorders>
            <w:noWrap/>
          </w:tcPr>
          <w:p w:rsidRPr="00C5308E" w:rsidR="009B531C" w:rsidP="003C75FE" w:rsidRDefault="009B531C" w14:paraId="449DA080" w14:textId="77777777">
            <w:pPr>
              <w:spacing w:after="0" w:line="240" w:lineRule="auto"/>
              <w:rPr>
                <w:rFonts w:ascii="Verdana" w:hAnsi="Verdana"/>
                <w:sz w:val="18"/>
                <w:szCs w:val="18"/>
              </w:rPr>
            </w:pPr>
            <w:r w:rsidRPr="00C5308E">
              <w:rPr>
                <w:rFonts w:ascii="Verdana" w:hAnsi="Verdana"/>
                <w:sz w:val="18"/>
                <w:szCs w:val="18"/>
              </w:rPr>
              <w:t>1</w:t>
            </w:r>
          </w:p>
        </w:tc>
        <w:tc>
          <w:tcPr>
            <w:tcW w:w="680" w:type="dxa"/>
            <w:tcBorders>
              <w:left w:val="nil"/>
              <w:bottom w:val="single" w:color="auto" w:sz="8" w:space="0"/>
              <w:right w:val="nil"/>
            </w:tcBorders>
            <w:noWrap/>
          </w:tcPr>
          <w:p w:rsidRPr="00C5308E" w:rsidR="009B531C" w:rsidP="003C75FE" w:rsidRDefault="009B531C" w14:paraId="6E232B09" w14:textId="77777777">
            <w:pPr>
              <w:spacing w:after="0" w:line="240" w:lineRule="auto"/>
              <w:rPr>
                <w:rFonts w:ascii="Verdana" w:hAnsi="Verdana"/>
                <w:sz w:val="18"/>
                <w:szCs w:val="18"/>
              </w:rPr>
            </w:pPr>
            <w:r w:rsidRPr="00C5308E">
              <w:rPr>
                <w:rFonts w:ascii="Verdana" w:hAnsi="Verdana"/>
                <w:sz w:val="18"/>
                <w:szCs w:val="18"/>
              </w:rPr>
              <w:t>1</w:t>
            </w:r>
          </w:p>
        </w:tc>
      </w:tr>
      <w:tr w:rsidRPr="00C5308E" w:rsidR="009B531C" w:rsidTr="003C75FE" w14:paraId="4FAD1F30" w14:textId="77777777">
        <w:trPr>
          <w:trHeight w:val="240"/>
        </w:trPr>
        <w:tc>
          <w:tcPr>
            <w:tcW w:w="3828" w:type="dxa"/>
            <w:tcBorders>
              <w:top w:val="nil"/>
              <w:left w:val="nil"/>
              <w:bottom w:val="single" w:color="auto" w:sz="8" w:space="0"/>
              <w:right w:val="nil"/>
            </w:tcBorders>
            <w:noWrap/>
            <w:vAlign w:val="bottom"/>
            <w:hideMark/>
          </w:tcPr>
          <w:p w:rsidRPr="00C5308E" w:rsidR="009B531C" w:rsidP="003C75FE" w:rsidRDefault="009B531C" w14:paraId="12075866" w14:textId="77777777">
            <w:pPr>
              <w:spacing w:after="0" w:line="240" w:lineRule="auto"/>
              <w:rPr>
                <w:rFonts w:ascii="Verdana" w:hAnsi="Verdana"/>
                <w:b/>
                <w:bCs/>
                <w:sz w:val="18"/>
                <w:szCs w:val="18"/>
              </w:rPr>
            </w:pPr>
            <w:r w:rsidRPr="00C5308E">
              <w:rPr>
                <w:rFonts w:ascii="Verdana" w:hAnsi="Verdana"/>
                <w:b/>
                <w:bCs/>
                <w:sz w:val="18"/>
                <w:szCs w:val="18"/>
              </w:rPr>
              <w:t>Totaal</w:t>
            </w:r>
          </w:p>
        </w:tc>
        <w:tc>
          <w:tcPr>
            <w:tcW w:w="652" w:type="dxa"/>
            <w:tcBorders>
              <w:top w:val="nil"/>
              <w:left w:val="nil"/>
              <w:bottom w:val="single" w:color="auto" w:sz="8" w:space="0"/>
              <w:right w:val="nil"/>
            </w:tcBorders>
            <w:noWrap/>
            <w:vAlign w:val="bottom"/>
          </w:tcPr>
          <w:p w:rsidRPr="00C5308E" w:rsidR="009B531C" w:rsidP="003C75FE" w:rsidRDefault="009B531C" w14:paraId="3ED70457" w14:textId="77777777">
            <w:pPr>
              <w:spacing w:after="0" w:line="240" w:lineRule="auto"/>
              <w:rPr>
                <w:rFonts w:ascii="Verdana" w:hAnsi="Verdana"/>
                <w:b/>
                <w:bCs/>
                <w:sz w:val="18"/>
                <w:szCs w:val="18"/>
              </w:rPr>
            </w:pPr>
            <w:r w:rsidRPr="00C5308E">
              <w:rPr>
                <w:rFonts w:ascii="Verdana" w:hAnsi="Verdana"/>
                <w:b/>
                <w:bCs/>
                <w:sz w:val="18"/>
                <w:szCs w:val="18"/>
              </w:rPr>
              <w:t>27</w:t>
            </w:r>
          </w:p>
        </w:tc>
        <w:tc>
          <w:tcPr>
            <w:tcW w:w="652" w:type="dxa"/>
            <w:tcBorders>
              <w:top w:val="nil"/>
              <w:left w:val="nil"/>
              <w:bottom w:val="single" w:color="auto" w:sz="8" w:space="0"/>
              <w:right w:val="nil"/>
            </w:tcBorders>
            <w:noWrap/>
            <w:vAlign w:val="bottom"/>
          </w:tcPr>
          <w:p w:rsidRPr="00C5308E" w:rsidR="009B531C" w:rsidP="003C75FE" w:rsidRDefault="009B531C" w14:paraId="59CE5BCA" w14:textId="77777777">
            <w:pPr>
              <w:spacing w:after="0" w:line="240" w:lineRule="auto"/>
              <w:rPr>
                <w:rFonts w:ascii="Verdana" w:hAnsi="Verdana"/>
                <w:b/>
                <w:bCs/>
                <w:sz w:val="18"/>
                <w:szCs w:val="18"/>
              </w:rPr>
            </w:pPr>
            <w:r w:rsidRPr="00C5308E">
              <w:rPr>
                <w:rFonts w:ascii="Verdana" w:hAnsi="Verdana"/>
                <w:b/>
                <w:bCs/>
                <w:sz w:val="18"/>
                <w:szCs w:val="18"/>
              </w:rPr>
              <w:t>238</w:t>
            </w:r>
          </w:p>
        </w:tc>
        <w:tc>
          <w:tcPr>
            <w:tcW w:w="652" w:type="dxa"/>
            <w:tcBorders>
              <w:top w:val="nil"/>
              <w:left w:val="nil"/>
              <w:bottom w:val="single" w:color="auto" w:sz="8" w:space="0"/>
              <w:right w:val="nil"/>
            </w:tcBorders>
            <w:noWrap/>
            <w:vAlign w:val="bottom"/>
          </w:tcPr>
          <w:p w:rsidRPr="00C5308E" w:rsidR="009B531C" w:rsidP="003C75FE" w:rsidRDefault="009B531C" w14:paraId="5CA43A95" w14:textId="77777777">
            <w:pPr>
              <w:spacing w:after="0" w:line="240" w:lineRule="auto"/>
              <w:rPr>
                <w:rFonts w:ascii="Verdana" w:hAnsi="Verdana"/>
                <w:b/>
                <w:bCs/>
                <w:sz w:val="18"/>
                <w:szCs w:val="18"/>
              </w:rPr>
            </w:pPr>
            <w:r w:rsidRPr="00C5308E">
              <w:rPr>
                <w:rFonts w:ascii="Verdana" w:hAnsi="Verdana"/>
                <w:b/>
                <w:bCs/>
                <w:sz w:val="18"/>
                <w:szCs w:val="18"/>
              </w:rPr>
              <w:t>240</w:t>
            </w:r>
          </w:p>
        </w:tc>
        <w:tc>
          <w:tcPr>
            <w:tcW w:w="652" w:type="dxa"/>
            <w:tcBorders>
              <w:top w:val="nil"/>
              <w:left w:val="nil"/>
              <w:bottom w:val="single" w:color="auto" w:sz="8" w:space="0"/>
              <w:right w:val="nil"/>
            </w:tcBorders>
            <w:noWrap/>
            <w:vAlign w:val="bottom"/>
          </w:tcPr>
          <w:p w:rsidRPr="00C5308E" w:rsidR="009B531C" w:rsidP="003C75FE" w:rsidRDefault="009B531C" w14:paraId="23685D0B" w14:textId="77777777">
            <w:pPr>
              <w:spacing w:after="0" w:line="240" w:lineRule="auto"/>
              <w:rPr>
                <w:rFonts w:ascii="Verdana" w:hAnsi="Verdana"/>
                <w:b/>
                <w:bCs/>
                <w:sz w:val="18"/>
                <w:szCs w:val="18"/>
              </w:rPr>
            </w:pPr>
            <w:r w:rsidRPr="00C5308E">
              <w:rPr>
                <w:rFonts w:ascii="Verdana" w:hAnsi="Verdana"/>
                <w:b/>
                <w:bCs/>
                <w:sz w:val="18"/>
                <w:szCs w:val="18"/>
              </w:rPr>
              <w:t>182</w:t>
            </w:r>
          </w:p>
        </w:tc>
        <w:tc>
          <w:tcPr>
            <w:tcW w:w="652" w:type="dxa"/>
            <w:tcBorders>
              <w:top w:val="nil"/>
              <w:left w:val="nil"/>
              <w:bottom w:val="single" w:color="auto" w:sz="8" w:space="0"/>
              <w:right w:val="nil"/>
            </w:tcBorders>
            <w:noWrap/>
            <w:vAlign w:val="bottom"/>
          </w:tcPr>
          <w:p w:rsidRPr="00C5308E" w:rsidR="009B531C" w:rsidP="003C75FE" w:rsidRDefault="009B531C" w14:paraId="75C62C96" w14:textId="77777777">
            <w:pPr>
              <w:spacing w:after="0" w:line="240" w:lineRule="auto"/>
              <w:rPr>
                <w:rFonts w:ascii="Verdana" w:hAnsi="Verdana"/>
                <w:b/>
                <w:bCs/>
                <w:sz w:val="18"/>
                <w:szCs w:val="18"/>
              </w:rPr>
            </w:pPr>
            <w:r w:rsidRPr="00C5308E">
              <w:rPr>
                <w:rFonts w:ascii="Verdana" w:hAnsi="Verdana"/>
                <w:b/>
                <w:bCs/>
                <w:sz w:val="18"/>
                <w:szCs w:val="18"/>
              </w:rPr>
              <w:t>184</w:t>
            </w:r>
          </w:p>
        </w:tc>
        <w:tc>
          <w:tcPr>
            <w:tcW w:w="652" w:type="dxa"/>
            <w:tcBorders>
              <w:top w:val="nil"/>
              <w:left w:val="nil"/>
              <w:bottom w:val="single" w:color="auto" w:sz="8" w:space="0"/>
              <w:right w:val="nil"/>
            </w:tcBorders>
            <w:noWrap/>
            <w:vAlign w:val="bottom"/>
          </w:tcPr>
          <w:p w:rsidRPr="00C5308E" w:rsidR="009B531C" w:rsidP="003C75FE" w:rsidRDefault="009B531C" w14:paraId="4EA95C2B" w14:textId="77777777">
            <w:pPr>
              <w:spacing w:after="0" w:line="240" w:lineRule="auto"/>
              <w:rPr>
                <w:rFonts w:ascii="Verdana" w:hAnsi="Verdana"/>
                <w:b/>
                <w:bCs/>
                <w:sz w:val="18"/>
                <w:szCs w:val="18"/>
              </w:rPr>
            </w:pPr>
            <w:r w:rsidRPr="00C5308E">
              <w:rPr>
                <w:rFonts w:ascii="Verdana" w:hAnsi="Verdana"/>
                <w:b/>
                <w:bCs/>
                <w:sz w:val="18"/>
                <w:szCs w:val="18"/>
              </w:rPr>
              <w:t>211</w:t>
            </w:r>
          </w:p>
        </w:tc>
        <w:tc>
          <w:tcPr>
            <w:tcW w:w="765" w:type="dxa"/>
            <w:tcBorders>
              <w:top w:val="nil"/>
              <w:left w:val="nil"/>
              <w:bottom w:val="single" w:color="auto" w:sz="8" w:space="0"/>
              <w:right w:val="nil"/>
            </w:tcBorders>
            <w:noWrap/>
            <w:vAlign w:val="bottom"/>
          </w:tcPr>
          <w:p w:rsidRPr="00C5308E" w:rsidR="009B531C" w:rsidP="003C75FE" w:rsidRDefault="009B531C" w14:paraId="5241CA31" w14:textId="77777777">
            <w:pPr>
              <w:spacing w:after="0" w:line="240" w:lineRule="auto"/>
              <w:rPr>
                <w:rFonts w:ascii="Verdana" w:hAnsi="Verdana"/>
                <w:b/>
                <w:bCs/>
                <w:sz w:val="18"/>
                <w:szCs w:val="18"/>
              </w:rPr>
            </w:pPr>
            <w:r w:rsidRPr="00C5308E">
              <w:rPr>
                <w:rFonts w:ascii="Verdana" w:hAnsi="Verdana"/>
                <w:b/>
                <w:bCs/>
                <w:sz w:val="18"/>
                <w:szCs w:val="18"/>
              </w:rPr>
              <w:t>1.081</w:t>
            </w:r>
          </w:p>
        </w:tc>
        <w:tc>
          <w:tcPr>
            <w:tcW w:w="680" w:type="dxa"/>
            <w:tcBorders>
              <w:top w:val="nil"/>
              <w:left w:val="nil"/>
              <w:bottom w:val="single" w:color="auto" w:sz="8" w:space="0"/>
              <w:right w:val="nil"/>
            </w:tcBorders>
            <w:noWrap/>
            <w:vAlign w:val="bottom"/>
          </w:tcPr>
          <w:p w:rsidRPr="00C5308E" w:rsidR="009B531C" w:rsidP="003C75FE" w:rsidRDefault="009B531C" w14:paraId="40F69B35" w14:textId="77777777">
            <w:pPr>
              <w:spacing w:after="0" w:line="240" w:lineRule="auto"/>
              <w:rPr>
                <w:rFonts w:ascii="Verdana" w:hAnsi="Verdana"/>
                <w:b/>
                <w:bCs/>
                <w:sz w:val="18"/>
                <w:szCs w:val="18"/>
              </w:rPr>
            </w:pPr>
            <w:r w:rsidRPr="00C5308E">
              <w:rPr>
                <w:rFonts w:ascii="Verdana" w:hAnsi="Verdana"/>
                <w:b/>
                <w:bCs/>
                <w:sz w:val="18"/>
                <w:szCs w:val="18"/>
              </w:rPr>
              <w:t>374</w:t>
            </w:r>
          </w:p>
        </w:tc>
      </w:tr>
    </w:tbl>
    <w:p w:rsidRPr="00C5308E" w:rsidR="009B531C" w:rsidP="009B531C" w:rsidRDefault="009B531C" w14:paraId="3F925399" w14:textId="77777777">
      <w:pPr>
        <w:spacing w:after="0" w:line="240" w:lineRule="auto"/>
        <w:rPr>
          <w:rFonts w:ascii="Verdana" w:hAnsi="Verdana"/>
          <w:sz w:val="16"/>
          <w:szCs w:val="16"/>
        </w:rPr>
      </w:pPr>
      <w:r w:rsidRPr="00C5308E">
        <w:rPr>
          <w:rFonts w:ascii="Verdana" w:hAnsi="Verdana"/>
          <w:sz w:val="16"/>
          <w:szCs w:val="16"/>
        </w:rPr>
        <w:t>* Betreft enkel het effect op de WGA plus de doorwerking daarvan op de TW.</w:t>
      </w:r>
    </w:p>
    <w:p w:rsidRPr="00C5308E" w:rsidR="009B531C" w:rsidP="009B531C" w:rsidRDefault="009B531C" w14:paraId="6B9DE248" w14:textId="77777777">
      <w:pPr>
        <w:spacing w:after="0" w:line="240" w:lineRule="auto"/>
        <w:rPr>
          <w:rFonts w:ascii="Verdana" w:hAnsi="Verdana"/>
          <w:sz w:val="16"/>
          <w:szCs w:val="16"/>
        </w:rPr>
      </w:pPr>
      <w:r w:rsidRPr="00C5308E">
        <w:rPr>
          <w:rFonts w:ascii="Verdana" w:hAnsi="Verdana"/>
          <w:sz w:val="16"/>
          <w:szCs w:val="16"/>
        </w:rPr>
        <w:t>** Betreft enkel het effect op de WGA.</w:t>
      </w:r>
    </w:p>
    <w:p w:rsidRPr="00C5308E" w:rsidR="009B531C" w:rsidP="009B531C" w:rsidRDefault="009B531C" w14:paraId="23DF7963" w14:textId="77777777">
      <w:pPr>
        <w:spacing w:after="0" w:line="240" w:lineRule="auto"/>
        <w:rPr>
          <w:rFonts w:ascii="Verdana" w:hAnsi="Verdana"/>
          <w:sz w:val="18"/>
          <w:szCs w:val="18"/>
        </w:rPr>
      </w:pPr>
    </w:p>
    <w:p w:rsidRPr="00C5308E" w:rsidR="009B531C" w:rsidP="009B531C" w:rsidRDefault="009B531C" w14:paraId="4F4082DC"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Herstelactie WIA-dagloon: </w:t>
      </w:r>
      <w:r w:rsidRPr="00C5308E">
        <w:rPr>
          <w:rFonts w:ascii="Verdana" w:hAnsi="Verdana"/>
          <w:sz w:val="18"/>
          <w:szCs w:val="18"/>
        </w:rPr>
        <w:t>UWV heeft in de periode 2020–2024 fouten gemaakt bij de vaststelling van het dagloon van WIA-uitkeringen. Deze fouten worden de komende jaren hersteld, wat extra WIA-uitgaven tot gevolg heeft. Voor het herstel zet UWV een organisatie op.</w:t>
      </w:r>
    </w:p>
    <w:p w:rsidRPr="00C5308E" w:rsidR="009B531C" w:rsidP="009B531C" w:rsidRDefault="009B531C" w14:paraId="78E91F17" w14:textId="77777777">
      <w:pPr>
        <w:numPr>
          <w:ilvl w:val="0"/>
          <w:numId w:val="4"/>
        </w:numPr>
        <w:spacing w:after="0" w:line="240" w:lineRule="auto"/>
        <w:rPr>
          <w:rFonts w:ascii="Verdana" w:hAnsi="Verdana"/>
          <w:sz w:val="18"/>
          <w:szCs w:val="18"/>
        </w:rPr>
      </w:pPr>
      <w:r w:rsidRPr="00C5308E">
        <w:rPr>
          <w:rFonts w:ascii="Verdana" w:hAnsi="Verdana"/>
          <w:b/>
          <w:bCs/>
          <w:sz w:val="18"/>
          <w:szCs w:val="18"/>
        </w:rPr>
        <w:t>Herstelactie WIA-indexatie:</w:t>
      </w:r>
      <w:r w:rsidRPr="00C5308E">
        <w:rPr>
          <w:rFonts w:ascii="Verdana" w:hAnsi="Verdana"/>
          <w:sz w:val="18"/>
          <w:szCs w:val="18"/>
        </w:rPr>
        <w:t xml:space="preserve"> in de periode 2006-2022 heeft de indexatie bij de toekenning van nieuwe WIA-uitkeringen in een deel van de gevallen onjuist plaatsgevonden. Dit wordt de komende jaren hersteld.</w:t>
      </w:r>
    </w:p>
    <w:p w:rsidRPr="00C5308E" w:rsidR="009B531C" w:rsidP="009B531C" w:rsidRDefault="009B531C" w14:paraId="225AA826" w14:textId="77777777">
      <w:pPr>
        <w:numPr>
          <w:ilvl w:val="0"/>
          <w:numId w:val="4"/>
        </w:numPr>
        <w:spacing w:after="0" w:line="240" w:lineRule="auto"/>
        <w:rPr>
          <w:rFonts w:ascii="Verdana" w:hAnsi="Verdana"/>
          <w:sz w:val="18"/>
          <w:szCs w:val="18"/>
        </w:rPr>
      </w:pPr>
      <w:r w:rsidRPr="00C5308E">
        <w:rPr>
          <w:rFonts w:ascii="Verdana" w:hAnsi="Verdana"/>
          <w:b/>
          <w:bCs/>
          <w:sz w:val="18"/>
          <w:szCs w:val="18"/>
        </w:rPr>
        <w:t>Reservering maatmanloonindexatie:</w:t>
      </w:r>
      <w:r w:rsidRPr="00C5308E">
        <w:rPr>
          <w:rFonts w:ascii="Verdana" w:hAnsi="Verdana"/>
          <w:sz w:val="18"/>
          <w:szCs w:val="18"/>
        </w:rPr>
        <w:t xml:space="preserve"> UWV is erachter gekomen dat het vanaf november 2023 bij de berekening van het maatmanloon een te laag indexatiepercentage gehanteerd heeft. In afwachting van verder onderzoek wordt een reservering genomen voor eventueel herstel.</w:t>
      </w:r>
    </w:p>
    <w:p w:rsidRPr="00C5308E" w:rsidR="009B531C" w:rsidP="009B531C" w:rsidRDefault="009B531C" w14:paraId="0AF177C6" w14:textId="77777777">
      <w:pPr>
        <w:numPr>
          <w:ilvl w:val="0"/>
          <w:numId w:val="4"/>
        </w:numPr>
        <w:spacing w:after="0" w:line="240" w:lineRule="auto"/>
        <w:rPr>
          <w:rFonts w:ascii="Verdana" w:hAnsi="Verdana"/>
          <w:sz w:val="18"/>
          <w:szCs w:val="18"/>
        </w:rPr>
      </w:pPr>
      <w:r w:rsidRPr="00C5308E">
        <w:rPr>
          <w:rFonts w:ascii="Verdana" w:hAnsi="Verdana"/>
          <w:b/>
          <w:bCs/>
          <w:sz w:val="18"/>
          <w:szCs w:val="18"/>
        </w:rPr>
        <w:t>60-plusmaatregel:</w:t>
      </w:r>
      <w:r w:rsidRPr="00C5308E">
        <w:rPr>
          <w:rFonts w:ascii="Verdana" w:hAnsi="Verdana"/>
          <w:sz w:val="18"/>
          <w:szCs w:val="18"/>
        </w:rPr>
        <w:t xml:space="preserve"> om de mismatch bij sociaal-medisch beoordelen te verkleinen is het streven om vanaf september 2025 de vereenvoudigde claimbeoordeling voor 60-plussers voort te zetten voor een periode van 2 jaar.</w:t>
      </w:r>
    </w:p>
    <w:p w:rsidRPr="00C5308E" w:rsidR="009B531C" w:rsidP="009B531C" w:rsidRDefault="009B531C" w14:paraId="6C8CA2B8" w14:textId="77777777">
      <w:pPr>
        <w:numPr>
          <w:ilvl w:val="0"/>
          <w:numId w:val="4"/>
        </w:numPr>
        <w:spacing w:after="0" w:line="240" w:lineRule="auto"/>
        <w:rPr>
          <w:rFonts w:ascii="Verdana" w:hAnsi="Verdana"/>
          <w:sz w:val="18"/>
          <w:szCs w:val="18"/>
        </w:rPr>
      </w:pPr>
      <w:r w:rsidRPr="00C5308E">
        <w:rPr>
          <w:rFonts w:ascii="Verdana" w:hAnsi="Verdana"/>
          <w:b/>
          <w:bCs/>
          <w:sz w:val="18"/>
          <w:szCs w:val="18"/>
        </w:rPr>
        <w:t>Uitvoeringskosten Sociaal-Medische Centra (SMC):</w:t>
      </w:r>
      <w:r w:rsidRPr="00C5308E">
        <w:rPr>
          <w:rFonts w:ascii="Verdana" w:hAnsi="Verdana"/>
          <w:sz w:val="18"/>
          <w:szCs w:val="18"/>
        </w:rPr>
        <w:t xml:space="preserve"> de vraag naar sociaal-medische beoordelingen is al tijden groter dan het aantal beoordelingen dat UWV kan verrichten. </w:t>
      </w:r>
      <w:r w:rsidRPr="00C5308E">
        <w:rPr>
          <w:rFonts w:ascii="Verdana" w:hAnsi="Verdana"/>
          <w:sz w:val="18"/>
          <w:szCs w:val="18"/>
        </w:rPr>
        <w:lastRenderedPageBreak/>
        <w:t>Hierdoor lopen de wachttijden op en komt de dienstverlening van UWV onder druk te staan. Daarom is structurele aanvullende financiering voor het UWV nodig, zodat taakdelegatie bij sociaal-medische centra kan worden uitgebreid. Hierover zijn prestatieafspraken gemaakt met het UWV. Als de effecten uitblijven of tegenvallen zal de bestemming van deze middelen opnieuw worden bezien.</w:t>
      </w:r>
    </w:p>
    <w:p w:rsidRPr="00C5308E" w:rsidR="009B531C" w:rsidP="009B531C" w:rsidRDefault="009B531C" w14:paraId="6A4B6B18" w14:textId="77777777">
      <w:pPr>
        <w:numPr>
          <w:ilvl w:val="0"/>
          <w:numId w:val="4"/>
        </w:numPr>
        <w:spacing w:after="0" w:line="240" w:lineRule="auto"/>
        <w:rPr>
          <w:rFonts w:ascii="Verdana" w:hAnsi="Verdana"/>
          <w:sz w:val="18"/>
          <w:szCs w:val="18"/>
        </w:rPr>
      </w:pPr>
      <w:r w:rsidRPr="00C5308E">
        <w:rPr>
          <w:rFonts w:ascii="Verdana" w:hAnsi="Verdana"/>
          <w:b/>
          <w:bCs/>
          <w:sz w:val="18"/>
          <w:szCs w:val="18"/>
        </w:rPr>
        <w:t>Kwijtschelden voorschotten:</w:t>
      </w:r>
      <w:r w:rsidRPr="00C5308E">
        <w:rPr>
          <w:rFonts w:ascii="Verdana" w:hAnsi="Verdana"/>
          <w:sz w:val="18"/>
          <w:szCs w:val="18"/>
        </w:rPr>
        <w:t xml:space="preserve"> 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Dit beleid wordt structureel en binnenwettelijk gemaakt, zodat het beleid voorspelbaar wordt voor langdurig zieke werknemers.</w:t>
      </w:r>
    </w:p>
    <w:p w:rsidRPr="00C5308E" w:rsidR="009B531C" w:rsidP="009B531C" w:rsidRDefault="009B531C" w14:paraId="6A587A77" w14:textId="38CB0E6D">
      <w:pPr>
        <w:numPr>
          <w:ilvl w:val="0"/>
          <w:numId w:val="4"/>
        </w:numPr>
        <w:spacing w:after="0" w:line="240" w:lineRule="auto"/>
        <w:rPr>
          <w:rFonts w:ascii="Verdana" w:hAnsi="Verdana"/>
          <w:sz w:val="18"/>
          <w:szCs w:val="18"/>
        </w:rPr>
      </w:pPr>
      <w:r w:rsidRPr="00C5308E">
        <w:rPr>
          <w:rFonts w:ascii="Verdana" w:hAnsi="Verdana"/>
          <w:b/>
          <w:bCs/>
          <w:sz w:val="18"/>
          <w:szCs w:val="18"/>
        </w:rPr>
        <w:t xml:space="preserve">Praktisch beoordelen: </w:t>
      </w:r>
      <w:r w:rsidRPr="00C5308E">
        <w:rPr>
          <w:rFonts w:ascii="Verdana" w:hAnsi="Verdana"/>
          <w:sz w:val="18"/>
          <w:szCs w:val="18"/>
        </w:rPr>
        <w:t>het kabinet heeft € 197 miljoen structureel vrijgemaakt voor structurele verbeteringen in het arbeidsongeschiktheidsstelsel. Hiermee kunnen twee maatregelen worden gefinancierd. De eerste is het structureel maken van de maatregel praktisch beoordelen, waarbij het arbeidsongeschiktheidspercentage van iemand die werkt bij een WIA-aanvraag wordt bepaald aan de hand van het inkomen dat met dat werk verdiend wordt.</w:t>
      </w:r>
    </w:p>
    <w:p w:rsidRPr="00C5308E" w:rsidR="009B531C" w:rsidP="009B531C" w:rsidRDefault="009B531C" w14:paraId="5F5F2602"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Medisch advies van de bedrijfsarts leidend maken bij het re-integratieverslag (RIV): </w:t>
      </w:r>
      <w:r w:rsidRPr="00C5308E">
        <w:rPr>
          <w:rFonts w:ascii="Verdana" w:hAnsi="Verdana"/>
          <w:sz w:val="18"/>
          <w:szCs w:val="18"/>
        </w:rPr>
        <w:t>de tweede maatregel is het leidend maken van het medisch advies van de bedrijfsarts over de belastbaarheid van de zieke werknemer bij de toets op de re-integratie inspanningen door UWV. Hierdoor zal de verzekeringsarts dit advies bij deze toets niet langer beoordelen waardoor loonsancties op basis van een medisch verschil van inzicht tussen de bedrijfsarts en de verzekeringsarts niet meer mogelijk zijn. De sociaal-medische claimbeoordeling voor het recht op een WIA-uitkering blijft (onveranderd) uitgevoerd worden door de verzekeringsarts van UWV.</w:t>
      </w:r>
    </w:p>
    <w:p w:rsidRPr="00C5308E" w:rsidR="009B531C" w:rsidP="009B531C" w:rsidRDefault="009B531C" w14:paraId="60420174" w14:textId="77777777">
      <w:pPr>
        <w:numPr>
          <w:ilvl w:val="0"/>
          <w:numId w:val="4"/>
        </w:numPr>
        <w:spacing w:after="0" w:line="240" w:lineRule="auto"/>
        <w:rPr>
          <w:rFonts w:ascii="Verdana" w:hAnsi="Verdana"/>
          <w:b/>
          <w:bCs/>
          <w:sz w:val="18"/>
          <w:szCs w:val="18"/>
        </w:rPr>
      </w:pPr>
      <w:r w:rsidRPr="00C5308E">
        <w:rPr>
          <w:rFonts w:ascii="Verdana" w:hAnsi="Verdana"/>
          <w:b/>
          <w:bCs/>
          <w:sz w:val="18"/>
          <w:szCs w:val="18"/>
        </w:rPr>
        <w:t>Duurverkorting loongerelateerde uitkering (LGU) in de Werkhervatting Gedeeltelijk Arbeidsgeschikten (WGA):</w:t>
      </w:r>
      <w:r w:rsidRPr="00C5308E">
        <w:rPr>
          <w:rFonts w:ascii="Verdana" w:hAnsi="Verdana"/>
          <w:sz w:val="18"/>
          <w:szCs w:val="18"/>
        </w:rPr>
        <w:t xml:space="preserve"> voor de LGU van de WGA en de Werkloosheidswet (WW) is omwille van vereenvoudiging ervoor gekozen om de hoogte en duur van de twee uitkeringen te harmoniseren. In het Hoofdlijnenakkoord is gekozen voor een besparing op de WW. Hier wordt invulling aan gegeven met een inkorting van de maximale WW-uitkeringsduur, wat ook leidt tot een inkorting van de maximale uitkeringsduur van de loongerelateerde WGA-uitkering. WGA-gerechtigden ontvangen daardoor eerder een loonaanvullingsuitkering of vervolguitkering.</w:t>
      </w:r>
    </w:p>
    <w:p w:rsidRPr="00C5308E" w:rsidR="00767C37" w:rsidP="00767C37" w:rsidRDefault="009B531C" w14:paraId="2FF37857" w14:textId="60809CC1">
      <w:pPr>
        <w:numPr>
          <w:ilvl w:val="0"/>
          <w:numId w:val="4"/>
        </w:numPr>
        <w:spacing w:after="0" w:line="240" w:lineRule="auto"/>
        <w:rPr>
          <w:rFonts w:ascii="Verdana" w:hAnsi="Verdana"/>
          <w:b/>
          <w:bCs/>
          <w:sz w:val="18"/>
          <w:szCs w:val="18"/>
        </w:rPr>
      </w:pPr>
      <w:r w:rsidRPr="00C5308E">
        <w:rPr>
          <w:rFonts w:ascii="Verdana" w:hAnsi="Verdana"/>
          <w:b/>
          <w:bCs/>
          <w:sz w:val="18"/>
          <w:szCs w:val="18"/>
        </w:rPr>
        <w:t>Loonloze tijdvakken:</w:t>
      </w:r>
      <w:r w:rsidRPr="00C5308E">
        <w:rPr>
          <w:rFonts w:ascii="Verdana" w:hAnsi="Verdana"/>
          <w:sz w:val="18"/>
          <w:szCs w:val="18"/>
        </w:rPr>
        <w:t xml:space="preserve"> </w:t>
      </w:r>
      <w:r w:rsidRPr="00C5308E" w:rsidR="00767C37">
        <w:rPr>
          <w:rFonts w:ascii="Verdana" w:hAnsi="Verdana"/>
          <w:sz w:val="18"/>
          <w:szCs w:val="18"/>
        </w:rPr>
        <w:t>De Centrale Raad van Beroep heeft op 30 juli 2024 een uitspraak gedaan omtrent de WIA-dagloonvaststelling waarbij sprake is van zogenoemde loonloze tijdvakken. Deze uitspraak gaat verder dan een eerdere uitspraak van 29 november 2023 waar reeds middelen voor gereserveerd waren. Nu is aanvullend budget vrijgemaakt voor het opvolgen van de laatste uitspraak.</w:t>
      </w:r>
    </w:p>
    <w:p w:rsidRPr="00C5308E" w:rsidR="009B531C" w:rsidP="003D3114" w:rsidRDefault="009B531C" w14:paraId="7FAAC4E9"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Uitstel aangepast arbeidsongeschiktheidscriterium bij loonkostensubsidie (LKS): </w:t>
      </w:r>
      <w:r w:rsidRPr="00C5308E">
        <w:rPr>
          <w:rFonts w:ascii="Verdana" w:hAnsi="Verdana"/>
          <w:sz w:val="18"/>
          <w:szCs w:val="18"/>
        </w:rPr>
        <w:t>de invoering van een aangepast arbeidsongeschiktheidscriterium voor mensen die werken met loonkostensubsidie wordt met een jaar uitgesteld, van 1 januari 2026 naar 1 januari 2027.</w:t>
      </w:r>
    </w:p>
    <w:p w:rsidRPr="00C5308E" w:rsidR="009B531C" w:rsidP="009B531C" w:rsidRDefault="009B531C" w14:paraId="55512D4F"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Herziene Opvangrichtlijn: </w:t>
      </w:r>
      <w:r w:rsidRPr="00C5308E">
        <w:rPr>
          <w:rFonts w:ascii="Verdana" w:hAnsi="Verdana"/>
          <w:sz w:val="18"/>
          <w:szCs w:val="18"/>
        </w:rPr>
        <w:t>als onderdeel van het Migratiepact is de Opvangrichtlijn herzien. Implementatie in nationale wetgeving moet in juni 2026 gereed zijn. De herziening ziet onder andere op het uitsluiten van de toegang tot de arbeidsmarkt voor een aantal categorieën asielzoekers van wie de asielaanvraag in de versnelde behandelingsprocedure zit. Daarnaast nodigt de herziene opvangrichtlijn lidstaten uit om de wachttermijn voor toetreding tot de arbeidsmarkt voor kansrijke asielzoekers te verkorten naar 3 maanden. SZW zet hierop in, in lijn met de ambitie uit het regeerakkoord om asielzoekers te stimuleren te werken. Dit leidt tot indirecte kosten voor werknemersregelingen en volksverzekeringen.</w:t>
      </w:r>
    </w:p>
    <w:p w:rsidRPr="00C5308E" w:rsidR="0076594D" w:rsidP="00D87753" w:rsidRDefault="0076594D" w14:paraId="6CA2CA8F" w14:textId="77777777">
      <w:pPr>
        <w:spacing w:after="0" w:line="240" w:lineRule="auto"/>
        <w:contextualSpacing/>
        <w:rPr>
          <w:rFonts w:ascii="Verdana" w:hAnsi="Verdana"/>
          <w:bCs/>
          <w:sz w:val="18"/>
          <w:szCs w:val="18"/>
        </w:rPr>
      </w:pPr>
    </w:p>
    <w:p w:rsidRPr="00C5308E" w:rsidR="00250847" w:rsidP="00250847" w:rsidRDefault="00250847" w14:paraId="2C65B9EA" w14:textId="4461F8E4">
      <w:pPr>
        <w:spacing w:after="0" w:line="240" w:lineRule="auto"/>
        <w:rPr>
          <w:rFonts w:ascii="Verdana" w:hAnsi="Verdana"/>
          <w:sz w:val="18"/>
          <w:szCs w:val="18"/>
          <w:u w:val="single"/>
        </w:rPr>
      </w:pPr>
      <w:r w:rsidRPr="00C5308E">
        <w:rPr>
          <w:rFonts w:ascii="Verdana" w:hAnsi="Verdana"/>
          <w:sz w:val="18"/>
          <w:szCs w:val="18"/>
          <w:u w:val="single"/>
        </w:rPr>
        <w:t>Vraag 138</w:t>
      </w:r>
    </w:p>
    <w:p w:rsidRPr="00C5308E" w:rsidR="00250847" w:rsidP="00250847" w:rsidRDefault="00250847" w14:paraId="5599FDD4" w14:textId="25922574">
      <w:pPr>
        <w:spacing w:after="0" w:line="240" w:lineRule="auto"/>
        <w:rPr>
          <w:rFonts w:ascii="Verdana" w:hAnsi="Verdana"/>
          <w:sz w:val="18"/>
          <w:szCs w:val="18"/>
        </w:rPr>
      </w:pPr>
      <w:r w:rsidRPr="00C5308E">
        <w:rPr>
          <w:rFonts w:ascii="Verdana" w:hAnsi="Verdana"/>
          <w:sz w:val="18"/>
          <w:szCs w:val="18"/>
        </w:rPr>
        <w:t>Hoe werkt het overgangsrecht bij de WW-duurverkorting? Hoe lang loopt dit overgangsrecht en voor welke groepen?</w:t>
      </w:r>
    </w:p>
    <w:p w:rsidRPr="00C5308E" w:rsidR="00250847" w:rsidP="00250847" w:rsidRDefault="00250847" w14:paraId="6D628002" w14:textId="77777777">
      <w:pPr>
        <w:spacing w:after="0" w:line="240" w:lineRule="auto"/>
        <w:rPr>
          <w:rFonts w:ascii="Verdana" w:hAnsi="Verdana"/>
          <w:sz w:val="18"/>
          <w:szCs w:val="18"/>
        </w:rPr>
      </w:pPr>
    </w:p>
    <w:p w:rsidRPr="00C5308E" w:rsidR="00250847" w:rsidP="00250847" w:rsidRDefault="00250847" w14:paraId="1C37CEB0" w14:textId="51CAFBE5">
      <w:pPr>
        <w:spacing w:after="0" w:line="240" w:lineRule="auto"/>
        <w:rPr>
          <w:rFonts w:ascii="Verdana" w:hAnsi="Verdana"/>
          <w:sz w:val="18"/>
          <w:szCs w:val="18"/>
          <w:u w:val="single"/>
        </w:rPr>
      </w:pPr>
      <w:r w:rsidRPr="00C5308E">
        <w:rPr>
          <w:rFonts w:ascii="Verdana" w:hAnsi="Verdana"/>
          <w:sz w:val="18"/>
          <w:szCs w:val="18"/>
          <w:u w:val="single"/>
        </w:rPr>
        <w:t>Antwoord 138</w:t>
      </w:r>
    </w:p>
    <w:p w:rsidRPr="00C5308E" w:rsidR="00250847" w:rsidP="00D87753" w:rsidRDefault="00C806B5" w14:paraId="09AC2720" w14:textId="3BCDAF98">
      <w:pPr>
        <w:spacing w:after="0" w:line="240" w:lineRule="auto"/>
        <w:contextualSpacing/>
        <w:rPr>
          <w:rFonts w:ascii="Verdana" w:hAnsi="Verdana"/>
          <w:bCs/>
          <w:sz w:val="18"/>
          <w:szCs w:val="18"/>
        </w:rPr>
      </w:pPr>
      <w:r w:rsidRPr="006342D0">
        <w:rPr>
          <w:rFonts w:ascii="Verdana" w:hAnsi="Verdana"/>
          <w:sz w:val="18"/>
          <w:szCs w:val="18"/>
        </w:rPr>
        <w:t xml:space="preserve">Op dit moment wordt het wetsvoorstel voor de WW-duurverkorting nader uitgewerkt. </w:t>
      </w:r>
      <w:r>
        <w:rPr>
          <w:rFonts w:ascii="Verdana" w:hAnsi="Verdana"/>
          <w:sz w:val="18"/>
          <w:szCs w:val="18"/>
        </w:rPr>
        <w:t>De memorie van toelichting behorende bij het wetsvoorstel zal nader in gaan op het overgangsrecht.</w:t>
      </w:r>
      <w:r w:rsidDel="006342D0">
        <w:rPr>
          <w:rFonts w:ascii="Verdana" w:hAnsi="Verdana"/>
          <w:sz w:val="18"/>
          <w:szCs w:val="18"/>
        </w:rPr>
        <w:t xml:space="preserve"> </w:t>
      </w:r>
    </w:p>
    <w:p w:rsidR="00FE7425" w:rsidP="000B30D8" w:rsidRDefault="00FE7425" w14:paraId="627D38F6" w14:textId="77777777">
      <w:pPr>
        <w:spacing w:after="0" w:line="240" w:lineRule="auto"/>
        <w:rPr>
          <w:rFonts w:ascii="Verdana" w:hAnsi="Verdana"/>
          <w:sz w:val="18"/>
          <w:szCs w:val="18"/>
          <w:u w:val="single"/>
        </w:rPr>
      </w:pPr>
    </w:p>
    <w:p w:rsidRPr="00C5308E" w:rsidR="000B30D8" w:rsidP="000B30D8" w:rsidRDefault="000B30D8" w14:paraId="4E44A56F" w14:textId="1601EA11">
      <w:pPr>
        <w:spacing w:after="0" w:line="240" w:lineRule="auto"/>
        <w:rPr>
          <w:rFonts w:ascii="Verdana" w:hAnsi="Verdana"/>
          <w:sz w:val="18"/>
          <w:szCs w:val="18"/>
          <w:u w:val="single"/>
        </w:rPr>
      </w:pPr>
      <w:r w:rsidRPr="00C5308E">
        <w:rPr>
          <w:rFonts w:ascii="Verdana" w:hAnsi="Verdana"/>
          <w:sz w:val="18"/>
          <w:szCs w:val="18"/>
          <w:u w:val="single"/>
        </w:rPr>
        <w:t>Vraag 139</w:t>
      </w:r>
    </w:p>
    <w:p w:rsidRPr="00C5308E" w:rsidR="000B30D8" w:rsidP="000B30D8" w:rsidRDefault="000B30D8" w14:paraId="3A8B672B" w14:textId="77777777">
      <w:pPr>
        <w:spacing w:after="0" w:line="240" w:lineRule="auto"/>
        <w:rPr>
          <w:rFonts w:ascii="Verdana" w:hAnsi="Verdana"/>
          <w:sz w:val="18"/>
          <w:szCs w:val="18"/>
        </w:rPr>
      </w:pPr>
      <w:r w:rsidRPr="00C5308E">
        <w:rPr>
          <w:rFonts w:ascii="Verdana" w:hAnsi="Verdana"/>
          <w:sz w:val="18"/>
          <w:szCs w:val="18"/>
        </w:rPr>
        <w:t>Wat valt er onder Overige intensiveringen en ombuigingen?</w:t>
      </w:r>
    </w:p>
    <w:p w:rsidRPr="00C5308E" w:rsidR="000B30D8" w:rsidP="000B30D8" w:rsidRDefault="000B30D8" w14:paraId="1101C047" w14:textId="77777777">
      <w:pPr>
        <w:spacing w:after="0" w:line="240" w:lineRule="auto"/>
        <w:rPr>
          <w:rFonts w:ascii="Verdana" w:hAnsi="Verdana"/>
          <w:sz w:val="18"/>
          <w:szCs w:val="18"/>
          <w:u w:val="single"/>
        </w:rPr>
      </w:pPr>
    </w:p>
    <w:p w:rsidRPr="00C5308E" w:rsidR="000B30D8" w:rsidP="000B30D8" w:rsidRDefault="000B30D8" w14:paraId="0B3A2D9A" w14:textId="77777777">
      <w:pPr>
        <w:spacing w:after="0" w:line="240" w:lineRule="auto"/>
        <w:rPr>
          <w:rFonts w:ascii="Verdana" w:hAnsi="Verdana"/>
          <w:sz w:val="18"/>
          <w:szCs w:val="18"/>
          <w:u w:val="single"/>
        </w:rPr>
      </w:pPr>
      <w:r w:rsidRPr="00C5308E">
        <w:rPr>
          <w:rFonts w:ascii="Verdana" w:hAnsi="Verdana"/>
          <w:sz w:val="18"/>
          <w:szCs w:val="18"/>
          <w:u w:val="single"/>
        </w:rPr>
        <w:t>Antwoord 139</w:t>
      </w:r>
    </w:p>
    <w:p w:rsidRPr="00C5308E" w:rsidR="009F30FF" w:rsidP="009F30FF" w:rsidRDefault="009F30FF" w14:paraId="6C363CCE" w14:textId="77777777">
      <w:pPr>
        <w:spacing w:after="0" w:line="240" w:lineRule="auto"/>
        <w:rPr>
          <w:rFonts w:ascii="Verdana" w:hAnsi="Verdana"/>
          <w:sz w:val="18"/>
          <w:szCs w:val="18"/>
        </w:rPr>
      </w:pPr>
      <w:r w:rsidRPr="00C5308E">
        <w:rPr>
          <w:rFonts w:ascii="Verdana" w:hAnsi="Verdana"/>
          <w:sz w:val="18"/>
          <w:szCs w:val="18"/>
        </w:rPr>
        <w:t>De post Overige intensiveringen en ombuigingen (hierna: Overige) is in de 1</w:t>
      </w:r>
      <w:r w:rsidRPr="00C5308E">
        <w:rPr>
          <w:rFonts w:ascii="Verdana" w:hAnsi="Verdana"/>
          <w:sz w:val="18"/>
          <w:szCs w:val="18"/>
          <w:vertAlign w:val="superscript"/>
        </w:rPr>
        <w:t>e</w:t>
      </w:r>
      <w:r w:rsidRPr="00C5308E">
        <w:rPr>
          <w:rFonts w:ascii="Verdana" w:hAnsi="Verdana"/>
          <w:sz w:val="18"/>
          <w:szCs w:val="18"/>
        </w:rPr>
        <w:t xml:space="preserve"> suppletoire begroting SZW uiteengezet in mutaties voor hoofdstuk 15 (rijksgefinancierd) en hoofdstuk 40 (premiegefinancierd). Hieronder volgt een uitsplitsing van de post Overige per hoofdstuk. Voor beide hoofdstukken geldt dat de post Overige uit zeer veel mutaties bestaat. Daarom zijn alleen de mutaties boven de € 1 miljoen weergegeven.</w:t>
      </w:r>
    </w:p>
    <w:p w:rsidRPr="00C5308E" w:rsidR="009F30FF" w:rsidP="009F30FF" w:rsidRDefault="009F30FF" w14:paraId="77C791A2" w14:textId="77777777">
      <w:pPr>
        <w:spacing w:after="0" w:line="240" w:lineRule="auto"/>
        <w:rPr>
          <w:rFonts w:ascii="Verdana" w:hAnsi="Verdana"/>
          <w:sz w:val="18"/>
          <w:szCs w:val="18"/>
        </w:rPr>
      </w:pPr>
    </w:p>
    <w:p w:rsidRPr="00C5308E" w:rsidR="009F30FF" w:rsidP="009F30FF" w:rsidRDefault="009F30FF" w14:paraId="3E2AFC26" w14:textId="77777777">
      <w:pPr>
        <w:spacing w:after="0" w:line="240" w:lineRule="auto"/>
        <w:rPr>
          <w:rFonts w:ascii="Verdana" w:hAnsi="Verdana"/>
          <w:sz w:val="18"/>
          <w:szCs w:val="18"/>
        </w:rPr>
      </w:pPr>
      <w:r w:rsidRPr="00C5308E">
        <w:rPr>
          <w:rFonts w:ascii="Verdana" w:hAnsi="Verdana"/>
          <w:sz w:val="18"/>
          <w:szCs w:val="18"/>
        </w:rPr>
        <w:t>Mutaties Overige intensiveringen en ombuigingen hoofdstuk 15:</w:t>
      </w:r>
    </w:p>
    <w:p w:rsidRPr="00C5308E" w:rsidR="009F30FF" w:rsidP="009F30FF" w:rsidRDefault="009F30FF" w14:paraId="121800DE" w14:textId="77777777">
      <w:pPr>
        <w:spacing w:after="0" w:line="240" w:lineRule="auto"/>
        <w:rPr>
          <w:rFonts w:ascii="Verdana" w:hAnsi="Verdana"/>
          <w:sz w:val="18"/>
          <w:szCs w:val="18"/>
        </w:rPr>
      </w:pPr>
    </w:p>
    <w:tbl>
      <w:tblPr>
        <w:tblW w:w="9166" w:type="dxa"/>
        <w:tblCellMar>
          <w:left w:w="70" w:type="dxa"/>
          <w:right w:w="70" w:type="dxa"/>
        </w:tblCellMar>
        <w:tblLook w:val="04A0" w:firstRow="1" w:lastRow="0" w:firstColumn="1" w:lastColumn="0" w:noHBand="0" w:noVBand="1"/>
      </w:tblPr>
      <w:tblGrid>
        <w:gridCol w:w="5350"/>
        <w:gridCol w:w="652"/>
        <w:gridCol w:w="652"/>
        <w:gridCol w:w="652"/>
        <w:gridCol w:w="652"/>
        <w:gridCol w:w="652"/>
        <w:gridCol w:w="652"/>
      </w:tblGrid>
      <w:tr w:rsidRPr="00C5308E" w:rsidR="009F30FF" w:rsidTr="00571199" w14:paraId="44BDCC6F" w14:textId="77777777">
        <w:trPr>
          <w:trHeight w:val="217"/>
        </w:trPr>
        <w:tc>
          <w:tcPr>
            <w:tcW w:w="5350" w:type="dxa"/>
            <w:tcBorders>
              <w:top w:val="nil"/>
              <w:left w:val="nil"/>
              <w:bottom w:val="single" w:color="auto" w:sz="4" w:space="0"/>
              <w:right w:val="nil"/>
            </w:tcBorders>
            <w:shd w:val="clear" w:color="auto" w:fill="auto"/>
            <w:noWrap/>
            <w:hideMark/>
          </w:tcPr>
          <w:p w:rsidRPr="00C5308E" w:rsidR="009F30FF" w:rsidP="00571199" w:rsidRDefault="009F30FF" w14:paraId="3DE60DEE"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(x € mln.)</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3DB12FAA"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2025</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517E5C2E"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2026</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77A33F3A"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2027</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4CBD9133"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2028</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1F78388E"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2029</w:t>
            </w:r>
          </w:p>
        </w:tc>
        <w:tc>
          <w:tcPr>
            <w:tcW w:w="636" w:type="dxa"/>
            <w:tcBorders>
              <w:top w:val="nil"/>
              <w:left w:val="nil"/>
              <w:bottom w:val="single" w:color="auto" w:sz="4" w:space="0"/>
              <w:right w:val="nil"/>
            </w:tcBorders>
            <w:shd w:val="clear" w:color="auto" w:fill="auto"/>
            <w:noWrap/>
            <w:hideMark/>
          </w:tcPr>
          <w:p w:rsidRPr="00C5308E" w:rsidR="009F30FF" w:rsidP="00571199" w:rsidRDefault="009F30FF" w14:paraId="621E700F"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2030</w:t>
            </w:r>
          </w:p>
        </w:tc>
      </w:tr>
      <w:tr w:rsidRPr="00C5308E" w:rsidR="009F30FF" w:rsidTr="00571199" w14:paraId="3B347F79" w14:textId="77777777">
        <w:trPr>
          <w:trHeight w:val="217"/>
        </w:trPr>
        <w:tc>
          <w:tcPr>
            <w:tcW w:w="5350" w:type="dxa"/>
            <w:tcBorders>
              <w:top w:val="nil"/>
              <w:left w:val="nil"/>
              <w:bottom w:val="nil"/>
              <w:right w:val="nil"/>
            </w:tcBorders>
            <w:shd w:val="clear" w:color="auto" w:fill="auto"/>
            <w:noWrap/>
            <w:hideMark/>
          </w:tcPr>
          <w:p w:rsidRPr="00C5308E" w:rsidR="009F30FF" w:rsidP="00571199" w:rsidRDefault="009F30FF" w14:paraId="4058A820"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Intensiveringen</w:t>
            </w:r>
          </w:p>
        </w:tc>
        <w:tc>
          <w:tcPr>
            <w:tcW w:w="636" w:type="dxa"/>
            <w:tcBorders>
              <w:top w:val="nil"/>
              <w:left w:val="nil"/>
              <w:bottom w:val="nil"/>
              <w:right w:val="nil"/>
            </w:tcBorders>
            <w:shd w:val="clear" w:color="auto" w:fill="auto"/>
            <w:noWrap/>
            <w:hideMark/>
          </w:tcPr>
          <w:p w:rsidRPr="00C5308E" w:rsidR="009F30FF" w:rsidP="00571199" w:rsidRDefault="009F30FF" w14:paraId="24369963" w14:textId="77777777">
            <w:pPr>
              <w:spacing w:after="0" w:line="240" w:lineRule="auto"/>
              <w:rPr>
                <w:rFonts w:ascii="Verdana" w:hAnsi="Verdana" w:eastAsia="Times New Roman" w:cs="Times New Roman"/>
                <w:b/>
                <w:bCs/>
                <w:color w:val="000000"/>
                <w:sz w:val="16"/>
                <w:szCs w:val="16"/>
                <w:lang w:eastAsia="nl-NL"/>
              </w:rPr>
            </w:pPr>
          </w:p>
        </w:tc>
        <w:tc>
          <w:tcPr>
            <w:tcW w:w="636" w:type="dxa"/>
            <w:tcBorders>
              <w:top w:val="nil"/>
              <w:left w:val="nil"/>
              <w:bottom w:val="nil"/>
              <w:right w:val="nil"/>
            </w:tcBorders>
            <w:shd w:val="clear" w:color="auto" w:fill="auto"/>
            <w:noWrap/>
            <w:hideMark/>
          </w:tcPr>
          <w:p w:rsidRPr="00C5308E" w:rsidR="009F30FF" w:rsidP="00571199" w:rsidRDefault="009F30FF" w14:paraId="5DA7228F"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9F30FF" w:rsidP="00571199" w:rsidRDefault="009F30FF" w14:paraId="6FE5BF9B"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9F30FF" w:rsidP="00571199" w:rsidRDefault="009F30FF" w14:paraId="5BF4A095"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9F30FF" w:rsidP="00571199" w:rsidRDefault="009F30FF" w14:paraId="52C156F5" w14:textId="77777777">
            <w:pPr>
              <w:spacing w:after="0" w:line="240" w:lineRule="auto"/>
              <w:jc w:val="right"/>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hideMark/>
          </w:tcPr>
          <w:p w:rsidRPr="00C5308E" w:rsidR="009F30FF" w:rsidP="00571199" w:rsidRDefault="009F30FF" w14:paraId="5E31E53F" w14:textId="77777777">
            <w:pPr>
              <w:spacing w:after="0" w:line="240" w:lineRule="auto"/>
              <w:jc w:val="right"/>
              <w:rPr>
                <w:rFonts w:ascii="Times New Roman" w:hAnsi="Times New Roman" w:eastAsia="Times New Roman" w:cs="Times New Roman"/>
                <w:sz w:val="20"/>
                <w:szCs w:val="20"/>
                <w:lang w:eastAsia="nl-NL"/>
              </w:rPr>
            </w:pPr>
          </w:p>
        </w:tc>
      </w:tr>
      <w:tr w:rsidRPr="00C5308E" w:rsidR="009F30FF" w:rsidTr="00571199" w14:paraId="3E40664B"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680B19C6"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Uitvoeringskosten NOW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CE8B27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612A05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39F380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E34298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229C52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77C7FD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5A53DA69"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7A11E44"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Toelatingsstelsel WTTA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B12FA7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21E451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E4DA29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362E12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36489C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305A33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2E9D37FF"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DEECF06"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Maatregelen ZZP en flexcontracten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D89141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ED37F7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2CD769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F4B0C4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D227A4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EB8B24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r>
      <w:tr w:rsidRPr="00C5308E" w:rsidR="009F30FF" w:rsidTr="00571199" w14:paraId="5415547D"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607A0D6C"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Doorwerking gerechtelijke uitspraak box 3 op Toeslagen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561D5A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54D62D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4D4EA4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72BA2E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014F88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F8ECB2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3CFCDFB4"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15722D7"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Bestedingsplan Paticipatiewet in balans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6E06D5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AD0922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E82D3C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C045B2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E2AC95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A7B732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40CAF853"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C1EDC00"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Asielzoekers aan het werk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6EABD2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66729C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EBAA25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8F3B94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917BD6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ECAAFE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r>
      <w:tr w:rsidRPr="00C5308E" w:rsidR="009F30FF" w:rsidTr="00571199" w14:paraId="25FFFA68"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5A5660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Rentebaten Just Transition Fund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54857F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363596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569809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B76CEE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7ED9BD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1813CA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6D46141C"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68361C4E" w14:textId="6D391D86">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
            </w:r>
            <w:r w:rsidRPr="00C5308E" w:rsidR="000844CD">
              <w:rPr>
                <w:rFonts w:ascii="Verdana" w:hAnsi="Verdana" w:eastAsia="Times New Roman" w:cs="Times New Roman"/>
                <w:color w:val="000000"/>
                <w:sz w:val="18"/>
                <w:szCs w:val="18"/>
                <w:lang w:eastAsia="nl-NL"/>
              </w:rPr>
              <w:t>Stroomlijning keten voor derdenbeslag (</w:t>
            </w:r>
            <w:r w:rsidRPr="00C5308E">
              <w:rPr>
                <w:rFonts w:ascii="Verdana" w:hAnsi="Verdana" w:eastAsia="Times New Roman" w:cs="Times New Roman"/>
                <w:color w:val="000000"/>
                <w:sz w:val="18"/>
                <w:szCs w:val="18"/>
                <w:lang w:eastAsia="nl-NL"/>
              </w:rPr>
              <w:t>SKD</w:t>
            </w:r>
            <w:r w:rsidRPr="00C5308E" w:rsidR="000844CD">
              <w:rPr>
                <w:rFonts w:ascii="Verdana" w:hAnsi="Verdana" w:eastAsia="Times New Roman" w:cs="Times New Roman"/>
                <w:color w:val="000000"/>
                <w:sz w:val="18"/>
                <w:szCs w:val="18"/>
                <w:lang w:eastAsia="nl-NL"/>
              </w:rPr>
              <w:t>)</w:t>
            </w:r>
            <w:r w:rsidRPr="00C5308E">
              <w:rPr>
                <w:rFonts w:ascii="Verdana" w:hAnsi="Verdana" w:eastAsia="Times New Roman" w:cs="Times New Roman"/>
                <w:color w:val="000000"/>
                <w:sz w:val="18"/>
                <w:szCs w:val="18"/>
                <w:lang w:eastAsia="nl-NL"/>
              </w:rPr>
              <w:t xml:space="preserve"> plateau 1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EE8C2D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287782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219B6C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F86C49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031BBB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EFA240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782816B8"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347E6D02"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Work in NL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128C2D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3C869A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A8A360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348CA1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A7DE33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A83AA4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r>
      <w:tr w:rsidRPr="00C5308E" w:rsidR="009F30FF" w:rsidTr="00571199" w14:paraId="3C3B5BB1"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34FC8223"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Continuïteit dienstverlening SVB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61944C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26FFB0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CFF187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15B231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05D0AB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C7193A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5ED107D9"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C397B34"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Energietoelage Caribisch Nederland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43854E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01EFC8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FCAF7F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896F97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2EE5D4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D7CFBB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665FB041"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1426F969"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WTTA en WGS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63AE20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BFCDDF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EDBF68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78DF39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BC77BA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EE01A5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r>
      <w:tr w:rsidRPr="00C5308E" w:rsidR="009F30FF" w:rsidTr="00571199" w14:paraId="62EFE6FE"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7FF9AB57"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Systeemfout TW-ZW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82F20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30CACA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84871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E44F40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6530BC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AF7E3E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135BAC37"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287D8DB2" w14:textId="5C1D701D">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w:t>
            </w:r>
            <w:r w:rsidRPr="00C5308E" w:rsidR="000844CD">
              <w:rPr>
                <w:rFonts w:ascii="Verdana" w:hAnsi="Verdana" w:eastAsia="Times New Roman" w:cs="Times New Roman"/>
                <w:color w:val="000000"/>
                <w:sz w:val="18"/>
                <w:szCs w:val="18"/>
                <w:lang w:eastAsia="nl-NL"/>
              </w:rPr>
              <w:t>Wet Kinderopvang Bonaire Sint Eustatius en Saba (</w:t>
            </w:r>
            <w:r w:rsidRPr="00C5308E">
              <w:rPr>
                <w:rFonts w:ascii="Verdana" w:hAnsi="Verdana" w:eastAsia="Times New Roman" w:cs="Times New Roman"/>
                <w:color w:val="000000"/>
                <w:sz w:val="18"/>
                <w:szCs w:val="18"/>
                <w:lang w:eastAsia="nl-NL"/>
              </w:rPr>
              <w:t>WKO-BES</w:t>
            </w:r>
            <w:r w:rsidRPr="00C5308E" w:rsidR="000844CD">
              <w:rPr>
                <w:rFonts w:ascii="Verdana" w:hAnsi="Verdana" w:eastAsia="Times New Roman" w:cs="Times New Roman"/>
                <w:color w:val="000000"/>
                <w:sz w:val="18"/>
                <w:szCs w:val="18"/>
                <w:lang w:eastAsia="nl-NL"/>
              </w:rPr>
              <w:t>)</w:t>
            </w:r>
            <w:r w:rsidRPr="00C5308E">
              <w:rPr>
                <w:rFonts w:ascii="Verdana" w:hAnsi="Verdana" w:eastAsia="Times New Roman" w:cs="Times New Roman"/>
                <w:color w:val="000000"/>
                <w:sz w:val="18"/>
                <w:szCs w:val="18"/>
                <w:lang w:eastAsia="nl-NL"/>
              </w:rPr>
              <w:t xml:space="preserve">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3B19CF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FDF652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83876A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92C339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FC402A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DA739A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050ED1D9"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3EEA66DD"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Implementatie asbestrichtlijn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178FE8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9CA785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778350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997B5B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C24368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44DBB1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4ABD171F"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249534AC"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Arbeidsmarkinfrastructuur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B125ED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ACDF67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A75E7B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84703D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76B16F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25CBCA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5D8F598F"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32CE7A9"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Registers Kinderopvang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CC031B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43FDB7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0D482F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3B0D98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295F8C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E765B0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4E3BEEC1"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F6BB55D"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Subsidie vroegsignalering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21998A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B01759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209DE0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F9886A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9722D5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C41AAA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4ABBB901"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6C433D26" w14:textId="77777777">
            <w:pPr>
              <w:spacing w:after="0" w:line="240" w:lineRule="auto"/>
              <w:jc w:val="right"/>
              <w:rPr>
                <w:rFonts w:ascii="Verdana" w:hAnsi="Verdana" w:eastAsia="Times New Roman" w:cs="Times New Roman"/>
                <w:color w:val="000000"/>
                <w:sz w:val="18"/>
                <w:szCs w:val="18"/>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A8DCF3E"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D5461DA"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93ACA5B"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F71B696"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87674CE"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36BD449" w14:textId="77777777">
            <w:pPr>
              <w:spacing w:after="0" w:line="240" w:lineRule="auto"/>
              <w:rPr>
                <w:rFonts w:ascii="Times New Roman" w:hAnsi="Times New Roman" w:eastAsia="Times New Roman" w:cs="Times New Roman"/>
                <w:sz w:val="20"/>
                <w:szCs w:val="20"/>
                <w:lang w:eastAsia="nl-NL"/>
              </w:rPr>
            </w:pPr>
          </w:p>
        </w:tc>
      </w:tr>
      <w:tr w:rsidRPr="00C5308E" w:rsidR="009F30FF" w:rsidTr="00571199" w14:paraId="151EA1AB" w14:textId="77777777">
        <w:trPr>
          <w:trHeight w:val="217"/>
        </w:trPr>
        <w:tc>
          <w:tcPr>
            <w:tcW w:w="5350" w:type="dxa"/>
            <w:tcBorders>
              <w:top w:val="nil"/>
              <w:left w:val="nil"/>
              <w:bottom w:val="nil"/>
              <w:right w:val="nil"/>
            </w:tcBorders>
            <w:shd w:val="clear" w:color="auto" w:fill="auto"/>
            <w:noWrap/>
            <w:hideMark/>
          </w:tcPr>
          <w:p w:rsidRPr="00C5308E" w:rsidR="009F30FF" w:rsidP="00571199" w:rsidRDefault="009F30FF" w14:paraId="1EB535F4"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Ombuigingen</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8E39C45" w14:textId="77777777">
            <w:pPr>
              <w:spacing w:after="0" w:line="240" w:lineRule="auto"/>
              <w:rPr>
                <w:rFonts w:ascii="Verdana" w:hAnsi="Verdana" w:eastAsia="Times New Roman" w:cs="Times New Roman"/>
                <w:b/>
                <w:bCs/>
                <w:color w:val="000000"/>
                <w:sz w:val="16"/>
                <w:szCs w:val="16"/>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EEED99C"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C1F07A4"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D7513D6"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F87034A" w14:textId="77777777">
            <w:pPr>
              <w:spacing w:after="0" w:line="240" w:lineRule="auto"/>
              <w:rPr>
                <w:rFonts w:ascii="Times New Roman" w:hAnsi="Times New Roman" w:eastAsia="Times New Roman" w:cs="Times New Roman"/>
                <w:sz w:val="20"/>
                <w:szCs w:val="20"/>
                <w:lang w:eastAsia="nl-NL"/>
              </w:rPr>
            </w:pP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995DBD0" w14:textId="77777777">
            <w:pPr>
              <w:spacing w:after="0" w:line="240" w:lineRule="auto"/>
              <w:rPr>
                <w:rFonts w:ascii="Times New Roman" w:hAnsi="Times New Roman" w:eastAsia="Times New Roman" w:cs="Times New Roman"/>
                <w:sz w:val="20"/>
                <w:szCs w:val="20"/>
                <w:lang w:eastAsia="nl-NL"/>
              </w:rPr>
            </w:pPr>
          </w:p>
        </w:tc>
      </w:tr>
      <w:tr w:rsidRPr="00C5308E" w:rsidR="009F30FF" w:rsidTr="00571199" w14:paraId="732A9AA7"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32CCE33"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Uitstel Participatiewet in balans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8EF536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05F0D8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-8</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995D02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3601EA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9857B8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0E1028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6B3EA79F"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47BFFE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Onderuitputting re-integratiebudget UWV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415889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926588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F202CE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0679AA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1A4880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003577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664D7F0B"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5DB17E97"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Niet halen banenafspraak overheid overige departementen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D523C3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6DC461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B79F15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02C82A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69D17A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3A183E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39060C33"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460FB232"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SLIM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33402E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D60307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E30D35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228D00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2C270F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873AEC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3B92D3C6"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380EC191"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ingroeipad kinderopvang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924A4A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DCC7C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8DF3C52"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719F06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92783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BFAB23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08A305CC"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0AD321D5"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Dekking vanuit artikel 11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0C5A61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982C08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82045D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9244AA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-4</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2050EB0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B55E0E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r>
      <w:tr w:rsidRPr="00C5308E" w:rsidR="009F30FF" w:rsidTr="00571199" w14:paraId="0917907C"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712215D5"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Uitvoeringskosten Stroomlijning keten derdenbeslag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3AC8B7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4D6EE3B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223BA8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FB6AF7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E7668C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F9F9B5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7F3E3A64"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680E8EC8"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Vertraging nieuwe ziekten voor TSB-regeling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1886F2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A1D764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17502BD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9AF602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807973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641394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0D3BF80A" w14:textId="77777777">
        <w:trPr>
          <w:trHeight w:val="217"/>
        </w:trPr>
        <w:tc>
          <w:tcPr>
            <w:tcW w:w="5350" w:type="dxa"/>
            <w:tcBorders>
              <w:top w:val="nil"/>
              <w:left w:val="nil"/>
              <w:bottom w:val="nil"/>
              <w:right w:val="nil"/>
            </w:tcBorders>
            <w:shd w:val="clear" w:color="auto" w:fill="auto"/>
            <w:noWrap/>
            <w:vAlign w:val="bottom"/>
            <w:hideMark/>
          </w:tcPr>
          <w:p w:rsidRPr="00C5308E" w:rsidR="009F30FF" w:rsidP="00571199" w:rsidRDefault="009F30FF" w14:paraId="11530EFC"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Afschaffing Belastingrente bij Toeslagen </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A72886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56E6B8D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-13</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6C4F0F5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-12</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300D4026"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0762B1D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36" w:type="dxa"/>
            <w:tcBorders>
              <w:top w:val="nil"/>
              <w:left w:val="nil"/>
              <w:bottom w:val="nil"/>
              <w:right w:val="nil"/>
            </w:tcBorders>
            <w:shd w:val="clear" w:color="auto" w:fill="auto"/>
            <w:noWrap/>
            <w:vAlign w:val="bottom"/>
            <w:hideMark/>
          </w:tcPr>
          <w:p w:rsidRPr="00C5308E" w:rsidR="009F30FF" w:rsidP="00571199" w:rsidRDefault="009F30FF" w14:paraId="704E771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r>
    </w:tbl>
    <w:p w:rsidRPr="00C5308E" w:rsidR="009F30FF" w:rsidP="009F30FF" w:rsidRDefault="009F30FF" w14:paraId="50A75825" w14:textId="77777777">
      <w:pPr>
        <w:spacing w:after="0" w:line="240" w:lineRule="auto"/>
        <w:rPr>
          <w:rFonts w:ascii="Verdana" w:hAnsi="Verdana"/>
          <w:sz w:val="18"/>
          <w:szCs w:val="18"/>
        </w:rPr>
      </w:pPr>
    </w:p>
    <w:p w:rsidRPr="00C5308E" w:rsidR="009F30FF" w:rsidP="009F30FF" w:rsidRDefault="009F30FF" w14:paraId="3EED6C57" w14:textId="77777777">
      <w:pPr>
        <w:spacing w:after="0" w:line="240" w:lineRule="auto"/>
        <w:rPr>
          <w:rFonts w:ascii="Aptos Narrow" w:hAnsi="Aptos Narrow" w:eastAsia="Times New Roman" w:cs="Times New Roman"/>
          <w:color w:val="000000"/>
          <w:lang w:eastAsia="nl-NL"/>
        </w:rPr>
      </w:pPr>
      <w:r w:rsidRPr="00C5308E">
        <w:rPr>
          <w:rFonts w:ascii="Verdana" w:hAnsi="Verdana"/>
          <w:sz w:val="18"/>
          <w:szCs w:val="18"/>
        </w:rPr>
        <w:t>Mutaties Overige intensiveringen en ombuigingen hoofdstuk 40:</w:t>
      </w:r>
    </w:p>
    <w:p w:rsidRPr="00C5308E" w:rsidR="009F30FF" w:rsidP="009F30FF" w:rsidRDefault="009F30FF" w14:paraId="35622AD6" w14:textId="77777777">
      <w:pPr>
        <w:spacing w:after="0" w:line="240" w:lineRule="auto"/>
        <w:rPr>
          <w:rFonts w:ascii="Aptos Narrow" w:hAnsi="Aptos Narrow" w:eastAsia="Times New Roman" w:cs="Times New Roman"/>
          <w:color w:val="000000"/>
          <w:lang w:eastAsia="nl-NL"/>
        </w:rPr>
      </w:pPr>
    </w:p>
    <w:tbl>
      <w:tblPr>
        <w:tblW w:w="9168" w:type="dxa"/>
        <w:tblCellMar>
          <w:left w:w="70" w:type="dxa"/>
          <w:right w:w="70" w:type="dxa"/>
        </w:tblCellMar>
        <w:tblLook w:val="04A0" w:firstRow="1" w:lastRow="0" w:firstColumn="1" w:lastColumn="0" w:noHBand="0" w:noVBand="1"/>
      </w:tblPr>
      <w:tblGrid>
        <w:gridCol w:w="5310"/>
        <w:gridCol w:w="652"/>
        <w:gridCol w:w="652"/>
        <w:gridCol w:w="652"/>
        <w:gridCol w:w="652"/>
        <w:gridCol w:w="652"/>
        <w:gridCol w:w="652"/>
      </w:tblGrid>
      <w:tr w:rsidRPr="00C5308E" w:rsidR="009F30FF" w:rsidTr="00571199" w14:paraId="5BA0002B" w14:textId="77777777">
        <w:trPr>
          <w:trHeight w:val="269"/>
        </w:trPr>
        <w:tc>
          <w:tcPr>
            <w:tcW w:w="5310" w:type="dxa"/>
            <w:tcBorders>
              <w:top w:val="nil"/>
              <w:left w:val="nil"/>
              <w:bottom w:val="single" w:color="auto" w:sz="4" w:space="0"/>
              <w:right w:val="nil"/>
            </w:tcBorders>
            <w:shd w:val="clear" w:color="auto" w:fill="auto"/>
            <w:noWrap/>
            <w:hideMark/>
          </w:tcPr>
          <w:p w:rsidRPr="00C5308E" w:rsidR="009F30FF" w:rsidP="00571199" w:rsidRDefault="009F30FF" w14:paraId="1212166E" w14:textId="77777777">
            <w:pPr>
              <w:spacing w:after="0" w:line="240" w:lineRule="auto"/>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(x € mln.)</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5AF346C3"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2025</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41EE87A6"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2026</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76D6B8DA"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2027</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267E8353"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2028</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5E80D201"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2029</w:t>
            </w:r>
          </w:p>
        </w:tc>
        <w:tc>
          <w:tcPr>
            <w:tcW w:w="643" w:type="dxa"/>
            <w:tcBorders>
              <w:top w:val="nil"/>
              <w:left w:val="nil"/>
              <w:bottom w:val="single" w:color="auto" w:sz="4" w:space="0"/>
              <w:right w:val="nil"/>
            </w:tcBorders>
            <w:shd w:val="clear" w:color="auto" w:fill="auto"/>
            <w:noWrap/>
            <w:hideMark/>
          </w:tcPr>
          <w:p w:rsidRPr="00C5308E" w:rsidR="009F30FF" w:rsidP="00571199" w:rsidRDefault="009F30FF" w14:paraId="0F055BD0" w14:textId="77777777">
            <w:pPr>
              <w:spacing w:after="0" w:line="240" w:lineRule="auto"/>
              <w:jc w:val="right"/>
              <w:rPr>
                <w:rFonts w:ascii="Verdana" w:hAnsi="Verdana" w:eastAsia="Times New Roman" w:cs="Times New Roman"/>
                <w:b/>
                <w:bCs/>
                <w:color w:val="000000"/>
                <w:sz w:val="18"/>
                <w:szCs w:val="18"/>
                <w:lang w:eastAsia="nl-NL"/>
              </w:rPr>
            </w:pPr>
            <w:r w:rsidRPr="00C5308E">
              <w:rPr>
                <w:rFonts w:ascii="Verdana" w:hAnsi="Verdana" w:eastAsia="Times New Roman" w:cs="Times New Roman"/>
                <w:b/>
                <w:bCs/>
                <w:color w:val="000000"/>
                <w:sz w:val="18"/>
                <w:szCs w:val="18"/>
                <w:lang w:eastAsia="nl-NL"/>
              </w:rPr>
              <w:t>2030</w:t>
            </w:r>
          </w:p>
        </w:tc>
      </w:tr>
      <w:tr w:rsidRPr="00C5308E" w:rsidR="009F30FF" w:rsidTr="00571199" w14:paraId="7DC323C9" w14:textId="77777777">
        <w:trPr>
          <w:trHeight w:val="269"/>
        </w:trPr>
        <w:tc>
          <w:tcPr>
            <w:tcW w:w="5310" w:type="dxa"/>
            <w:tcBorders>
              <w:top w:val="nil"/>
              <w:left w:val="nil"/>
              <w:bottom w:val="nil"/>
              <w:right w:val="nil"/>
            </w:tcBorders>
            <w:shd w:val="clear" w:color="auto" w:fill="auto"/>
            <w:noWrap/>
            <w:hideMark/>
          </w:tcPr>
          <w:p w:rsidRPr="00C5308E" w:rsidR="009F30FF" w:rsidP="00571199" w:rsidRDefault="009F30FF" w14:paraId="24336803"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Intensiveringen</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329EE44" w14:textId="77777777">
            <w:pPr>
              <w:spacing w:after="0" w:line="240" w:lineRule="auto"/>
              <w:rPr>
                <w:rFonts w:ascii="Verdana" w:hAnsi="Verdana" w:eastAsia="Times New Roman" w:cs="Times New Roman"/>
                <w:b/>
                <w:bCs/>
                <w:color w:val="000000"/>
                <w:sz w:val="16"/>
                <w:szCs w:val="16"/>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AA682DD"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0F74229"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8B1EB9E"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CA90C9B"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C55419E" w14:textId="77777777">
            <w:pPr>
              <w:spacing w:after="0" w:line="240" w:lineRule="auto"/>
              <w:rPr>
                <w:rFonts w:ascii="Times New Roman" w:hAnsi="Times New Roman" w:eastAsia="Times New Roman" w:cs="Times New Roman"/>
                <w:sz w:val="20"/>
                <w:szCs w:val="20"/>
                <w:lang w:eastAsia="nl-NL"/>
              </w:rPr>
            </w:pPr>
          </w:p>
        </w:tc>
      </w:tr>
      <w:tr w:rsidRPr="00C5308E" w:rsidR="009F30FF" w:rsidTr="00571199" w14:paraId="165FA401"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4240CA9C" w14:textId="28592F29">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Hogere gebruikerskosten Basisregistratiepersoonsregister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AA98E6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6</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5C9B79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694634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5B1BC0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E87A14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442EBE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085ACF08"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4C3EDD" w14:paraId="6E23739B" w14:textId="584E588C">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V</w:t>
            </w:r>
            <w:r w:rsidRPr="00C5308E" w:rsidR="009F30FF">
              <w:rPr>
                <w:rFonts w:ascii="Verdana" w:hAnsi="Verdana" w:eastAsia="Times New Roman" w:cs="Times New Roman"/>
                <w:color w:val="000000"/>
                <w:sz w:val="18"/>
                <w:szCs w:val="18"/>
                <w:lang w:eastAsia="nl-NL"/>
              </w:rPr>
              <w:t xml:space="preserve">ereenvoudiging verlofstelsel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116F8D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9545F5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4DA584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6</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779AD8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202F90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719158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9</w:t>
            </w:r>
          </w:p>
        </w:tc>
      </w:tr>
      <w:tr w:rsidRPr="00C5308E" w:rsidR="009F30FF" w:rsidTr="00571199" w14:paraId="69963ABE"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1EC51F3B" w14:textId="50A7D6F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Tussentijdse maatregelenbesluit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B4BCC3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75E5184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70E1BA5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EB614A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A428F4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767E628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6C87C2EB"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43586E4E" w14:textId="49A7E3A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Overige beleidsmatige uitvoeringskosten</w:t>
            </w:r>
            <w:r w:rsidRPr="00C5308E" w:rsidR="00903729">
              <w:rPr>
                <w:rFonts w:ascii="Verdana" w:hAnsi="Verdana" w:eastAsia="Times New Roman" w:cs="Times New Roman"/>
                <w:color w:val="000000"/>
                <w:sz w:val="18"/>
                <w:szCs w:val="18"/>
                <w:lang w:eastAsia="nl-NL"/>
              </w:rPr>
              <w:t xml:space="preserve">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328C73A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3</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13E059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36A557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315D929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DCE8FD0"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870054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77288ED8"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2F4DA5D0" w14:textId="48D54825">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Vertraging nieuw werkgeverschap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0DEDA8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0724F3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C552F6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3B08F82F"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225F48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5227D2A"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r>
      <w:tr w:rsidRPr="00C5308E" w:rsidR="009F30FF" w:rsidTr="00571199" w14:paraId="77C3341F"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69FCE575" w14:textId="393DA269">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Alle overige posten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5FBB669"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491AC1E"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384C9CD"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383E7B37"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009BA3B"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03A4DB1"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w:t>
            </w:r>
          </w:p>
        </w:tc>
      </w:tr>
      <w:tr w:rsidRPr="00C5308E" w:rsidR="009F30FF" w:rsidTr="00571199" w14:paraId="6C7BA61D"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16B38BA4" w14:textId="77777777">
            <w:pPr>
              <w:spacing w:after="0" w:line="240" w:lineRule="auto"/>
              <w:jc w:val="right"/>
              <w:rPr>
                <w:rFonts w:ascii="Verdana" w:hAnsi="Verdana" w:eastAsia="Times New Roman" w:cs="Times New Roman"/>
                <w:color w:val="000000"/>
                <w:sz w:val="18"/>
                <w:szCs w:val="18"/>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100C828"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60B5524"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BCDF8CE"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37CEDB0E"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5B66C93"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26FF7A1" w14:textId="77777777">
            <w:pPr>
              <w:spacing w:after="0" w:line="240" w:lineRule="auto"/>
              <w:rPr>
                <w:rFonts w:ascii="Times New Roman" w:hAnsi="Times New Roman" w:eastAsia="Times New Roman" w:cs="Times New Roman"/>
                <w:sz w:val="20"/>
                <w:szCs w:val="20"/>
                <w:lang w:eastAsia="nl-NL"/>
              </w:rPr>
            </w:pPr>
          </w:p>
        </w:tc>
      </w:tr>
      <w:tr w:rsidRPr="00C5308E" w:rsidR="009F30FF" w:rsidTr="00571199" w14:paraId="68753572" w14:textId="77777777">
        <w:trPr>
          <w:trHeight w:val="269"/>
        </w:trPr>
        <w:tc>
          <w:tcPr>
            <w:tcW w:w="5310" w:type="dxa"/>
            <w:tcBorders>
              <w:top w:val="nil"/>
              <w:left w:val="nil"/>
              <w:bottom w:val="nil"/>
              <w:right w:val="nil"/>
            </w:tcBorders>
            <w:shd w:val="clear" w:color="auto" w:fill="auto"/>
            <w:noWrap/>
            <w:hideMark/>
          </w:tcPr>
          <w:p w:rsidRPr="00C5308E" w:rsidR="009F30FF" w:rsidP="00571199" w:rsidRDefault="009F30FF" w14:paraId="5EA0A370" w14:textId="77777777">
            <w:pPr>
              <w:spacing w:after="0" w:line="240" w:lineRule="auto"/>
              <w:rPr>
                <w:rFonts w:ascii="Verdana" w:hAnsi="Verdana" w:eastAsia="Times New Roman" w:cs="Times New Roman"/>
                <w:b/>
                <w:bCs/>
                <w:color w:val="000000"/>
                <w:sz w:val="16"/>
                <w:szCs w:val="16"/>
                <w:lang w:eastAsia="nl-NL"/>
              </w:rPr>
            </w:pPr>
            <w:r w:rsidRPr="00C5308E">
              <w:rPr>
                <w:rFonts w:ascii="Verdana" w:hAnsi="Verdana" w:eastAsia="Times New Roman" w:cs="Times New Roman"/>
                <w:b/>
                <w:bCs/>
                <w:color w:val="000000"/>
                <w:sz w:val="16"/>
                <w:szCs w:val="16"/>
                <w:lang w:eastAsia="nl-NL"/>
              </w:rPr>
              <w:t>Ombuigingen</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3AAF819" w14:textId="77777777">
            <w:pPr>
              <w:spacing w:after="0" w:line="240" w:lineRule="auto"/>
              <w:rPr>
                <w:rFonts w:ascii="Verdana" w:hAnsi="Verdana" w:eastAsia="Times New Roman" w:cs="Times New Roman"/>
                <w:b/>
                <w:bCs/>
                <w:color w:val="000000"/>
                <w:sz w:val="16"/>
                <w:szCs w:val="16"/>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60FCACF3"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883C642"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259C5F7"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90C7576" w14:textId="77777777">
            <w:pPr>
              <w:spacing w:after="0" w:line="240" w:lineRule="auto"/>
              <w:rPr>
                <w:rFonts w:ascii="Times New Roman" w:hAnsi="Times New Roman" w:eastAsia="Times New Roman" w:cs="Times New Roman"/>
                <w:sz w:val="20"/>
                <w:szCs w:val="20"/>
                <w:lang w:eastAsia="nl-NL"/>
              </w:rPr>
            </w:pP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E031CD0" w14:textId="77777777">
            <w:pPr>
              <w:spacing w:after="0" w:line="240" w:lineRule="auto"/>
              <w:rPr>
                <w:rFonts w:ascii="Times New Roman" w:hAnsi="Times New Roman" w:eastAsia="Times New Roman" w:cs="Times New Roman"/>
                <w:sz w:val="20"/>
                <w:szCs w:val="20"/>
                <w:lang w:eastAsia="nl-NL"/>
              </w:rPr>
            </w:pPr>
          </w:p>
        </w:tc>
      </w:tr>
      <w:tr w:rsidRPr="00C5308E" w:rsidR="009F30FF" w:rsidTr="00571199" w14:paraId="72E73026" w14:textId="77777777">
        <w:trPr>
          <w:trHeight w:val="269"/>
        </w:trPr>
        <w:tc>
          <w:tcPr>
            <w:tcW w:w="5310" w:type="dxa"/>
            <w:tcBorders>
              <w:top w:val="nil"/>
              <w:left w:val="nil"/>
              <w:bottom w:val="nil"/>
              <w:right w:val="nil"/>
            </w:tcBorders>
            <w:shd w:val="clear" w:color="auto" w:fill="auto"/>
            <w:noWrap/>
            <w:vAlign w:val="bottom"/>
            <w:hideMark/>
          </w:tcPr>
          <w:p w:rsidRPr="00C5308E" w:rsidR="009F30FF" w:rsidP="00571199" w:rsidRDefault="009F30FF" w14:paraId="7390471A" w14:textId="77777777">
            <w:pPr>
              <w:spacing w:after="0" w:line="240" w:lineRule="auto"/>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 xml:space="preserve"> Niet ingezette AP-middelen </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0104B7D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2D0D95A3"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0</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7D326295"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-2</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10FCE7B4"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-5</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5151A01C"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-7</w:t>
            </w:r>
          </w:p>
        </w:tc>
        <w:tc>
          <w:tcPr>
            <w:tcW w:w="643" w:type="dxa"/>
            <w:tcBorders>
              <w:top w:val="nil"/>
              <w:left w:val="nil"/>
              <w:bottom w:val="nil"/>
              <w:right w:val="nil"/>
            </w:tcBorders>
            <w:shd w:val="clear" w:color="auto" w:fill="auto"/>
            <w:noWrap/>
            <w:vAlign w:val="bottom"/>
            <w:hideMark/>
          </w:tcPr>
          <w:p w:rsidRPr="00C5308E" w:rsidR="009F30FF" w:rsidP="00571199" w:rsidRDefault="009F30FF" w14:paraId="43782318" w14:textId="77777777">
            <w:pPr>
              <w:spacing w:after="0" w:line="240" w:lineRule="auto"/>
              <w:jc w:val="right"/>
              <w:rPr>
                <w:rFonts w:ascii="Verdana" w:hAnsi="Verdana" w:eastAsia="Times New Roman" w:cs="Times New Roman"/>
                <w:color w:val="000000"/>
                <w:sz w:val="18"/>
                <w:szCs w:val="18"/>
                <w:lang w:eastAsia="nl-NL"/>
              </w:rPr>
            </w:pPr>
            <w:r w:rsidRPr="00C5308E">
              <w:rPr>
                <w:rFonts w:ascii="Verdana" w:hAnsi="Verdana" w:eastAsia="Times New Roman" w:cs="Times New Roman"/>
                <w:color w:val="000000"/>
                <w:sz w:val="18"/>
                <w:szCs w:val="18"/>
                <w:lang w:eastAsia="nl-NL"/>
              </w:rPr>
              <w:t>-10</w:t>
            </w:r>
          </w:p>
        </w:tc>
      </w:tr>
    </w:tbl>
    <w:p w:rsidR="009F30FF" w:rsidP="009F30FF" w:rsidRDefault="009F30FF" w14:paraId="2A2F193E" w14:textId="77777777">
      <w:pPr>
        <w:spacing w:after="0" w:line="240" w:lineRule="auto"/>
        <w:contextualSpacing/>
        <w:rPr>
          <w:rFonts w:ascii="Verdana" w:hAnsi="Verdana"/>
          <w:bCs/>
          <w:sz w:val="18"/>
          <w:szCs w:val="18"/>
        </w:rPr>
      </w:pPr>
    </w:p>
    <w:p w:rsidR="00972542" w:rsidP="009F30FF" w:rsidRDefault="00972542" w14:paraId="212263C5" w14:textId="77777777">
      <w:pPr>
        <w:spacing w:after="0" w:line="240" w:lineRule="auto"/>
        <w:contextualSpacing/>
        <w:rPr>
          <w:rFonts w:ascii="Verdana" w:hAnsi="Verdana"/>
          <w:bCs/>
          <w:sz w:val="18"/>
          <w:szCs w:val="18"/>
        </w:rPr>
      </w:pPr>
    </w:p>
    <w:p w:rsidRPr="00C5308E" w:rsidR="00972542" w:rsidP="009F30FF" w:rsidRDefault="00972542" w14:paraId="0641B603" w14:textId="77777777">
      <w:pPr>
        <w:spacing w:after="0" w:line="240" w:lineRule="auto"/>
        <w:contextualSpacing/>
        <w:rPr>
          <w:rFonts w:ascii="Verdana" w:hAnsi="Verdana"/>
          <w:bCs/>
          <w:sz w:val="18"/>
          <w:szCs w:val="18"/>
        </w:rPr>
      </w:pPr>
    </w:p>
    <w:p w:rsidRPr="00C5308E" w:rsidR="00E97B61" w:rsidP="00D87753" w:rsidRDefault="00E97B61" w14:paraId="43A34F6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140</w:t>
      </w:r>
    </w:p>
    <w:p w:rsidRPr="00C5308E" w:rsidR="00E97B61" w:rsidP="00D87753" w:rsidRDefault="00E97B61" w14:paraId="6B2AD074" w14:textId="77777777">
      <w:pPr>
        <w:spacing w:after="0" w:line="240" w:lineRule="auto"/>
        <w:contextualSpacing/>
        <w:rPr>
          <w:rFonts w:ascii="Verdana" w:hAnsi="Verdana"/>
          <w:bCs/>
          <w:sz w:val="18"/>
          <w:szCs w:val="18"/>
        </w:rPr>
      </w:pPr>
      <w:r w:rsidRPr="00C5308E">
        <w:rPr>
          <w:rFonts w:ascii="Verdana" w:hAnsi="Verdana"/>
          <w:bCs/>
          <w:sz w:val="18"/>
          <w:szCs w:val="18"/>
        </w:rPr>
        <w:t>Hoe kan het UWV een premiegefinancierde bijdrage leveren aan de taakstelling? Wat betekent dit precies? Hoe werkt dat?</w:t>
      </w:r>
    </w:p>
    <w:p w:rsidRPr="00C5308E" w:rsidR="00E97B61" w:rsidP="00D87753" w:rsidRDefault="00E97B61" w14:paraId="648BD365" w14:textId="77777777">
      <w:pPr>
        <w:spacing w:after="0" w:line="240" w:lineRule="auto"/>
        <w:contextualSpacing/>
        <w:rPr>
          <w:rFonts w:ascii="Verdana" w:hAnsi="Verdana"/>
          <w:bCs/>
          <w:sz w:val="18"/>
          <w:szCs w:val="18"/>
          <w:u w:val="single"/>
        </w:rPr>
      </w:pPr>
    </w:p>
    <w:p w:rsidRPr="00C5308E" w:rsidR="00E97B61" w:rsidP="00D87753" w:rsidRDefault="00E97B61" w14:paraId="6339C13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140</w:t>
      </w:r>
    </w:p>
    <w:p w:rsidRPr="00C5308E" w:rsidR="00E97B61" w:rsidP="00D87753" w:rsidRDefault="00E97B61" w14:paraId="39B5B6DE" w14:textId="77777777">
      <w:pPr>
        <w:spacing w:after="0" w:line="240" w:lineRule="auto"/>
        <w:contextualSpacing/>
        <w:rPr>
          <w:rFonts w:ascii="Verdana" w:hAnsi="Verdana"/>
          <w:bCs/>
          <w:sz w:val="18"/>
          <w:szCs w:val="18"/>
        </w:rPr>
      </w:pPr>
      <w:r w:rsidRPr="00C5308E">
        <w:rPr>
          <w:rFonts w:ascii="Verdana" w:hAnsi="Verdana"/>
          <w:bCs/>
          <w:sz w:val="18"/>
          <w:szCs w:val="18"/>
        </w:rPr>
        <w:t>De taakstelling ziet toe op het totale uitvoeringsbudget van UWV. Het uitvoeringsbudget van UWV is opgebouwd uit een rijksgefinancierd deel en een premiegefinancierd deel. Het door het rijk gefinancierde deel maakt SZW jaarlijks over naar UWV en heeft betrekking op de begrotingsgefinancierde activiteiten van UWV (bijvoorbeeld de Wajong, IOW, NOW). Het premiegefinancierde deel van de uitvoeringskosten boekt UWV ten laste van de betreffende fondsen en heeft betrekking op de premiegefinancierde regelingen die UWV uitvoert (bijvoorbeeld de WW, WIA, ZW). De taakstelling is naar rato verdeeld over de rijks- en premiegefinancierde uitvoeringsbudgetten van UWV. Het invullen van de taakstelling kan UWV dus doen door te besparen op de uitvoeringskosten van zowel de begrotingsgefinancierde als de premiegefinancierde regelingen.</w:t>
      </w:r>
    </w:p>
    <w:p w:rsidRPr="00C5308E" w:rsidR="00E97B61" w:rsidP="00D87753" w:rsidRDefault="00E97B61" w14:paraId="1C24798F" w14:textId="77777777">
      <w:pPr>
        <w:spacing w:after="0" w:line="240" w:lineRule="auto"/>
        <w:contextualSpacing/>
        <w:rPr>
          <w:rFonts w:ascii="Verdana" w:hAnsi="Verdana"/>
          <w:bCs/>
          <w:sz w:val="18"/>
          <w:szCs w:val="18"/>
        </w:rPr>
      </w:pPr>
    </w:p>
    <w:p w:rsidRPr="00C5308E" w:rsidR="0076594D" w:rsidP="00D87753" w:rsidRDefault="0076594D" w14:paraId="4F000CA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141</w:t>
      </w:r>
    </w:p>
    <w:p w:rsidRPr="00C5308E" w:rsidR="0076594D" w:rsidP="00D87753" w:rsidRDefault="0076594D" w14:paraId="4FF3380A" w14:textId="77777777">
      <w:pPr>
        <w:spacing w:after="0" w:line="240" w:lineRule="auto"/>
        <w:contextualSpacing/>
        <w:rPr>
          <w:rFonts w:ascii="Verdana" w:hAnsi="Verdana"/>
          <w:bCs/>
          <w:sz w:val="18"/>
          <w:szCs w:val="18"/>
        </w:rPr>
      </w:pPr>
      <w:r w:rsidRPr="00C5308E">
        <w:rPr>
          <w:rFonts w:ascii="Verdana" w:hAnsi="Verdana"/>
          <w:bCs/>
          <w:sz w:val="18"/>
          <w:szCs w:val="18"/>
        </w:rPr>
        <w:t>Welke maatregelen worden er genomen op het gebied van de WIA, onder andere op het gebied van sociaal-medisch beoordelen?</w:t>
      </w:r>
    </w:p>
    <w:p w:rsidRPr="00C5308E" w:rsidR="0076594D" w:rsidP="00D87753" w:rsidRDefault="0076594D" w14:paraId="40B9C6C0" w14:textId="77777777">
      <w:pPr>
        <w:spacing w:after="0" w:line="240" w:lineRule="auto"/>
        <w:contextualSpacing/>
        <w:rPr>
          <w:rFonts w:ascii="Verdana" w:hAnsi="Verdana"/>
          <w:bCs/>
          <w:sz w:val="18"/>
          <w:szCs w:val="18"/>
        </w:rPr>
      </w:pPr>
    </w:p>
    <w:p w:rsidRPr="00C5308E" w:rsidR="0076594D" w:rsidP="00D87753" w:rsidRDefault="0076594D" w14:paraId="320A9BE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141</w:t>
      </w:r>
    </w:p>
    <w:p w:rsidRPr="00C5308E" w:rsidR="0051019F" w:rsidP="0051019F" w:rsidRDefault="0051019F" w14:paraId="0D574400" w14:textId="77777777">
      <w:pPr>
        <w:spacing w:after="0" w:line="240" w:lineRule="auto"/>
        <w:rPr>
          <w:rFonts w:ascii="Verdana" w:hAnsi="Verdana"/>
          <w:sz w:val="18"/>
          <w:szCs w:val="18"/>
        </w:rPr>
      </w:pPr>
      <w:r w:rsidRPr="00C5308E">
        <w:rPr>
          <w:rFonts w:ascii="Verdana" w:hAnsi="Verdana"/>
          <w:sz w:val="18"/>
          <w:szCs w:val="18"/>
        </w:rPr>
        <w:t>Hieronder volgt een overzicht van alle maatregelen waartoe het kabinet heeft besloten omtrent de WIA. De reeksen betreffen voornamelijk totaalreeksen tenzij anders aangegeven. Deze reeksen bevatten dus ook weglekeffecten op bijvoorbeeld de bijstand, de TW en uitvoeringskosten. Over de grootste beleidswijzigingen wordt uw Kamer binnenkort apart geïnformeerd. Daarnaast ontvangt uw Kamer voor de zomer een brief over herstelacties bij het UWV. In die brief wordt ook ingegaan op onderstaande reservering naar aanleiding van maatmanloonindexatiefouten, waarover u eerder via Kamerstukken II, 2024/2025, 25 883, nr. 520 op de hoogte bent gebracht.</w:t>
      </w:r>
    </w:p>
    <w:p w:rsidRPr="00C5308E" w:rsidR="0051019F" w:rsidP="0051019F" w:rsidRDefault="0051019F" w14:paraId="67D87B7B" w14:textId="77777777">
      <w:pPr>
        <w:spacing w:after="0" w:line="240" w:lineRule="auto"/>
        <w:rPr>
          <w:rFonts w:ascii="Verdana" w:hAnsi="Verdana"/>
          <w:sz w:val="18"/>
          <w:szCs w:val="18"/>
        </w:rPr>
      </w:pPr>
    </w:p>
    <w:p w:rsidRPr="00FE7425" w:rsidR="0051019F" w:rsidP="0051019F" w:rsidRDefault="0051019F" w14:paraId="77060276" w14:textId="6DC8E0F9">
      <w:pPr>
        <w:spacing w:after="0" w:line="240" w:lineRule="auto"/>
        <w:ind w:left="708" w:hanging="708"/>
        <w:rPr>
          <w:rFonts w:ascii="Verdana" w:hAnsi="Verdana"/>
          <w:i/>
          <w:iCs/>
          <w:sz w:val="18"/>
          <w:szCs w:val="18"/>
        </w:rPr>
      </w:pPr>
      <w:r w:rsidRPr="00FE7425">
        <w:rPr>
          <w:rFonts w:ascii="Verdana" w:hAnsi="Verdana"/>
          <w:i/>
          <w:iCs/>
          <w:sz w:val="18"/>
          <w:szCs w:val="18"/>
        </w:rPr>
        <w:t>Tabel: maatregelen met betrekking tot de WIA</w:t>
      </w:r>
    </w:p>
    <w:p w:rsidRPr="00C5308E" w:rsidR="0051019F" w:rsidP="0051019F" w:rsidRDefault="0051019F" w14:paraId="3C994E78" w14:textId="77777777">
      <w:pPr>
        <w:spacing w:after="0" w:line="240" w:lineRule="auto"/>
        <w:rPr>
          <w:rFonts w:ascii="Verdana" w:hAnsi="Verdana"/>
          <w:sz w:val="18"/>
          <w:szCs w:val="18"/>
        </w:rPr>
      </w:pPr>
    </w:p>
    <w:tbl>
      <w:tblPr>
        <w:tblW w:w="9185"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765"/>
        <w:gridCol w:w="680"/>
      </w:tblGrid>
      <w:tr w:rsidRPr="00C5308E" w:rsidR="0051019F" w:rsidTr="00AC5FA8" w14:paraId="1268AB84" w14:textId="77777777">
        <w:trPr>
          <w:trHeight w:val="240"/>
        </w:trPr>
        <w:tc>
          <w:tcPr>
            <w:tcW w:w="3828" w:type="dxa"/>
            <w:tcBorders>
              <w:top w:val="nil"/>
              <w:left w:val="nil"/>
              <w:bottom w:val="single" w:color="auto" w:sz="8" w:space="0"/>
              <w:right w:val="nil"/>
            </w:tcBorders>
            <w:noWrap/>
            <w:vAlign w:val="bottom"/>
            <w:hideMark/>
          </w:tcPr>
          <w:p w:rsidRPr="00C5308E" w:rsidR="0051019F" w:rsidP="00AC5FA8" w:rsidRDefault="0051019F" w14:paraId="6064371F" w14:textId="77777777">
            <w:pPr>
              <w:spacing w:after="0" w:line="240" w:lineRule="auto"/>
              <w:rPr>
                <w:rFonts w:ascii="Verdana" w:hAnsi="Verdana"/>
                <w:b/>
                <w:bCs/>
                <w:sz w:val="18"/>
                <w:szCs w:val="18"/>
              </w:rPr>
            </w:pPr>
            <w:r w:rsidRPr="00C5308E">
              <w:rPr>
                <w:rFonts w:ascii="Verdana" w:hAnsi="Verdana"/>
                <w:b/>
                <w:bCs/>
                <w:sz w:val="18"/>
                <w:szCs w:val="18"/>
              </w:rPr>
              <w:t> x € 1 mln.</w:t>
            </w:r>
          </w:p>
        </w:tc>
        <w:tc>
          <w:tcPr>
            <w:tcW w:w="652" w:type="dxa"/>
            <w:tcBorders>
              <w:top w:val="nil"/>
              <w:left w:val="nil"/>
              <w:bottom w:val="single" w:color="auto" w:sz="8" w:space="0"/>
              <w:right w:val="nil"/>
            </w:tcBorders>
            <w:noWrap/>
            <w:vAlign w:val="bottom"/>
            <w:hideMark/>
          </w:tcPr>
          <w:p w:rsidRPr="00C5308E" w:rsidR="0051019F" w:rsidP="00AC5FA8" w:rsidRDefault="0051019F" w14:paraId="7FA37ED1" w14:textId="77777777">
            <w:pPr>
              <w:spacing w:after="0" w:line="240" w:lineRule="auto"/>
              <w:rPr>
                <w:rFonts w:ascii="Verdana" w:hAnsi="Verdana"/>
                <w:b/>
                <w:bCs/>
                <w:sz w:val="18"/>
                <w:szCs w:val="18"/>
              </w:rPr>
            </w:pPr>
            <w:r w:rsidRPr="00C5308E">
              <w:rPr>
                <w:rFonts w:ascii="Verdana" w:hAnsi="Verdana"/>
                <w:b/>
                <w:bCs/>
                <w:sz w:val="18"/>
                <w:szCs w:val="18"/>
              </w:rPr>
              <w:t>2025</w:t>
            </w:r>
          </w:p>
        </w:tc>
        <w:tc>
          <w:tcPr>
            <w:tcW w:w="652" w:type="dxa"/>
            <w:tcBorders>
              <w:top w:val="nil"/>
              <w:left w:val="nil"/>
              <w:bottom w:val="single" w:color="auto" w:sz="8" w:space="0"/>
              <w:right w:val="nil"/>
            </w:tcBorders>
            <w:noWrap/>
            <w:vAlign w:val="bottom"/>
            <w:hideMark/>
          </w:tcPr>
          <w:p w:rsidRPr="00C5308E" w:rsidR="0051019F" w:rsidP="00AC5FA8" w:rsidRDefault="0051019F" w14:paraId="3E4520F8" w14:textId="77777777">
            <w:pPr>
              <w:spacing w:after="0" w:line="240" w:lineRule="auto"/>
              <w:rPr>
                <w:rFonts w:ascii="Verdana" w:hAnsi="Verdana"/>
                <w:b/>
                <w:bCs/>
                <w:sz w:val="18"/>
                <w:szCs w:val="18"/>
              </w:rPr>
            </w:pPr>
            <w:r w:rsidRPr="00C5308E">
              <w:rPr>
                <w:rFonts w:ascii="Verdana" w:hAnsi="Verdana"/>
                <w:b/>
                <w:bCs/>
                <w:sz w:val="18"/>
                <w:szCs w:val="18"/>
              </w:rPr>
              <w:t>2026</w:t>
            </w:r>
          </w:p>
        </w:tc>
        <w:tc>
          <w:tcPr>
            <w:tcW w:w="652" w:type="dxa"/>
            <w:tcBorders>
              <w:top w:val="nil"/>
              <w:left w:val="nil"/>
              <w:bottom w:val="single" w:color="auto" w:sz="8" w:space="0"/>
              <w:right w:val="nil"/>
            </w:tcBorders>
            <w:noWrap/>
            <w:vAlign w:val="bottom"/>
            <w:hideMark/>
          </w:tcPr>
          <w:p w:rsidRPr="00C5308E" w:rsidR="0051019F" w:rsidP="00AC5FA8" w:rsidRDefault="0051019F" w14:paraId="7D0EAC79" w14:textId="77777777">
            <w:pPr>
              <w:spacing w:after="0" w:line="240" w:lineRule="auto"/>
              <w:rPr>
                <w:rFonts w:ascii="Verdana" w:hAnsi="Verdana"/>
                <w:b/>
                <w:bCs/>
                <w:sz w:val="18"/>
                <w:szCs w:val="18"/>
              </w:rPr>
            </w:pPr>
            <w:r w:rsidRPr="00C5308E">
              <w:rPr>
                <w:rFonts w:ascii="Verdana" w:hAnsi="Verdana"/>
                <w:b/>
                <w:bCs/>
                <w:sz w:val="18"/>
                <w:szCs w:val="18"/>
              </w:rPr>
              <w:t>2027</w:t>
            </w:r>
          </w:p>
        </w:tc>
        <w:tc>
          <w:tcPr>
            <w:tcW w:w="652" w:type="dxa"/>
            <w:tcBorders>
              <w:top w:val="nil"/>
              <w:left w:val="nil"/>
              <w:bottom w:val="single" w:color="auto" w:sz="8" w:space="0"/>
              <w:right w:val="nil"/>
            </w:tcBorders>
            <w:noWrap/>
            <w:vAlign w:val="bottom"/>
            <w:hideMark/>
          </w:tcPr>
          <w:p w:rsidRPr="00C5308E" w:rsidR="0051019F" w:rsidP="00AC5FA8" w:rsidRDefault="0051019F" w14:paraId="36FB8AC1" w14:textId="77777777">
            <w:pPr>
              <w:spacing w:after="0" w:line="240" w:lineRule="auto"/>
              <w:rPr>
                <w:rFonts w:ascii="Verdana" w:hAnsi="Verdana"/>
                <w:b/>
                <w:bCs/>
                <w:sz w:val="18"/>
                <w:szCs w:val="18"/>
              </w:rPr>
            </w:pPr>
            <w:r w:rsidRPr="00C5308E">
              <w:rPr>
                <w:rFonts w:ascii="Verdana" w:hAnsi="Verdana"/>
                <w:b/>
                <w:bCs/>
                <w:sz w:val="18"/>
                <w:szCs w:val="18"/>
              </w:rPr>
              <w:t>2028</w:t>
            </w:r>
          </w:p>
        </w:tc>
        <w:tc>
          <w:tcPr>
            <w:tcW w:w="652" w:type="dxa"/>
            <w:tcBorders>
              <w:top w:val="nil"/>
              <w:left w:val="nil"/>
              <w:bottom w:val="single" w:color="auto" w:sz="8" w:space="0"/>
              <w:right w:val="nil"/>
            </w:tcBorders>
            <w:noWrap/>
            <w:vAlign w:val="bottom"/>
            <w:hideMark/>
          </w:tcPr>
          <w:p w:rsidRPr="00C5308E" w:rsidR="0051019F" w:rsidP="00AC5FA8" w:rsidRDefault="0051019F" w14:paraId="6B06DE0F" w14:textId="77777777">
            <w:pPr>
              <w:spacing w:after="0" w:line="240" w:lineRule="auto"/>
              <w:rPr>
                <w:rFonts w:ascii="Verdana" w:hAnsi="Verdana"/>
                <w:b/>
                <w:bCs/>
                <w:sz w:val="18"/>
                <w:szCs w:val="18"/>
              </w:rPr>
            </w:pPr>
            <w:r w:rsidRPr="00C5308E">
              <w:rPr>
                <w:rFonts w:ascii="Verdana" w:hAnsi="Verdana"/>
                <w:b/>
                <w:bCs/>
                <w:sz w:val="18"/>
                <w:szCs w:val="18"/>
              </w:rPr>
              <w:t>2029</w:t>
            </w:r>
          </w:p>
        </w:tc>
        <w:tc>
          <w:tcPr>
            <w:tcW w:w="652" w:type="dxa"/>
            <w:tcBorders>
              <w:top w:val="nil"/>
              <w:left w:val="nil"/>
              <w:bottom w:val="single" w:color="auto" w:sz="8" w:space="0"/>
              <w:right w:val="nil"/>
            </w:tcBorders>
            <w:noWrap/>
            <w:vAlign w:val="bottom"/>
            <w:hideMark/>
          </w:tcPr>
          <w:p w:rsidRPr="00C5308E" w:rsidR="0051019F" w:rsidP="00AC5FA8" w:rsidRDefault="0051019F" w14:paraId="0181DE63" w14:textId="77777777">
            <w:pPr>
              <w:spacing w:after="0" w:line="240" w:lineRule="auto"/>
              <w:rPr>
                <w:rFonts w:ascii="Verdana" w:hAnsi="Verdana"/>
                <w:b/>
                <w:bCs/>
                <w:sz w:val="18"/>
                <w:szCs w:val="18"/>
              </w:rPr>
            </w:pPr>
            <w:r w:rsidRPr="00C5308E">
              <w:rPr>
                <w:rFonts w:ascii="Verdana" w:hAnsi="Verdana"/>
                <w:b/>
                <w:bCs/>
                <w:sz w:val="18"/>
                <w:szCs w:val="18"/>
              </w:rPr>
              <w:t>2030</w:t>
            </w:r>
          </w:p>
        </w:tc>
        <w:tc>
          <w:tcPr>
            <w:tcW w:w="765" w:type="dxa"/>
            <w:tcBorders>
              <w:top w:val="nil"/>
              <w:left w:val="nil"/>
              <w:bottom w:val="single" w:color="auto" w:sz="8" w:space="0"/>
              <w:right w:val="nil"/>
            </w:tcBorders>
            <w:noWrap/>
            <w:vAlign w:val="bottom"/>
            <w:hideMark/>
          </w:tcPr>
          <w:p w:rsidRPr="00C5308E" w:rsidR="0051019F" w:rsidP="00AC5FA8" w:rsidRDefault="0051019F" w14:paraId="6E3D3608" w14:textId="77777777">
            <w:pPr>
              <w:spacing w:after="0" w:line="240" w:lineRule="auto"/>
              <w:rPr>
                <w:rFonts w:ascii="Verdana" w:hAnsi="Verdana"/>
                <w:b/>
                <w:bCs/>
                <w:sz w:val="18"/>
                <w:szCs w:val="18"/>
              </w:rPr>
            </w:pPr>
            <w:r w:rsidRPr="00C5308E">
              <w:rPr>
                <w:rFonts w:ascii="Verdana" w:hAnsi="Verdana"/>
                <w:b/>
                <w:bCs/>
                <w:sz w:val="18"/>
                <w:szCs w:val="18"/>
              </w:rPr>
              <w:t>Cum</w:t>
            </w:r>
          </w:p>
        </w:tc>
        <w:tc>
          <w:tcPr>
            <w:tcW w:w="680" w:type="dxa"/>
            <w:tcBorders>
              <w:top w:val="nil"/>
              <w:left w:val="nil"/>
              <w:bottom w:val="single" w:color="auto" w:sz="8" w:space="0"/>
              <w:right w:val="nil"/>
            </w:tcBorders>
            <w:noWrap/>
            <w:vAlign w:val="bottom"/>
            <w:hideMark/>
          </w:tcPr>
          <w:p w:rsidRPr="00C5308E" w:rsidR="0051019F" w:rsidP="00AC5FA8" w:rsidRDefault="0051019F" w14:paraId="3D4EC858" w14:textId="77777777">
            <w:pPr>
              <w:spacing w:after="0" w:line="240" w:lineRule="auto"/>
              <w:rPr>
                <w:rFonts w:ascii="Verdana" w:hAnsi="Verdana"/>
                <w:b/>
                <w:bCs/>
                <w:sz w:val="18"/>
                <w:szCs w:val="18"/>
              </w:rPr>
            </w:pPr>
            <w:r w:rsidRPr="00C5308E">
              <w:rPr>
                <w:rFonts w:ascii="Verdana" w:hAnsi="Verdana"/>
                <w:b/>
                <w:bCs/>
                <w:sz w:val="18"/>
                <w:szCs w:val="18"/>
              </w:rPr>
              <w:t>Struc</w:t>
            </w:r>
          </w:p>
        </w:tc>
      </w:tr>
      <w:tr w:rsidRPr="00C5308E" w:rsidR="0051019F" w:rsidTr="00AC5FA8" w14:paraId="6AFD3B50" w14:textId="77777777">
        <w:trPr>
          <w:trHeight w:val="230"/>
        </w:trPr>
        <w:tc>
          <w:tcPr>
            <w:tcW w:w="3828" w:type="dxa"/>
            <w:noWrap/>
            <w:vAlign w:val="bottom"/>
            <w:hideMark/>
          </w:tcPr>
          <w:p w:rsidRPr="00C5308E" w:rsidR="0051019F" w:rsidP="00AC5FA8" w:rsidRDefault="0051019F" w14:paraId="5488AEBC" w14:textId="77777777">
            <w:pPr>
              <w:spacing w:after="0" w:line="240" w:lineRule="auto"/>
              <w:rPr>
                <w:rFonts w:ascii="Verdana" w:hAnsi="Verdana"/>
                <w:b/>
                <w:bCs/>
                <w:sz w:val="18"/>
                <w:szCs w:val="18"/>
              </w:rPr>
            </w:pPr>
            <w:r w:rsidRPr="00C5308E">
              <w:rPr>
                <w:rFonts w:ascii="Verdana" w:hAnsi="Verdana"/>
                <w:b/>
                <w:bCs/>
                <w:sz w:val="18"/>
                <w:szCs w:val="18"/>
              </w:rPr>
              <w:t>Herstelacties</w:t>
            </w:r>
          </w:p>
        </w:tc>
        <w:tc>
          <w:tcPr>
            <w:tcW w:w="652" w:type="dxa"/>
            <w:noWrap/>
            <w:vAlign w:val="bottom"/>
            <w:hideMark/>
          </w:tcPr>
          <w:p w:rsidRPr="00C5308E" w:rsidR="0051019F" w:rsidP="00AC5FA8" w:rsidRDefault="0051019F" w14:paraId="1AA43C97" w14:textId="77777777">
            <w:pPr>
              <w:spacing w:after="0" w:line="240" w:lineRule="auto"/>
              <w:rPr>
                <w:rFonts w:ascii="Verdana" w:hAnsi="Verdana"/>
                <w:b/>
                <w:bCs/>
                <w:sz w:val="18"/>
                <w:szCs w:val="18"/>
              </w:rPr>
            </w:pPr>
          </w:p>
        </w:tc>
        <w:tc>
          <w:tcPr>
            <w:tcW w:w="652" w:type="dxa"/>
            <w:noWrap/>
            <w:vAlign w:val="bottom"/>
            <w:hideMark/>
          </w:tcPr>
          <w:p w:rsidRPr="00C5308E" w:rsidR="0051019F" w:rsidP="00AC5FA8" w:rsidRDefault="0051019F" w14:paraId="29B51B9D"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23F116B3"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7300A17F"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7A40887C"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18C0E6EC" w14:textId="77777777">
            <w:pPr>
              <w:spacing w:after="0" w:line="240" w:lineRule="auto"/>
              <w:rPr>
                <w:rFonts w:ascii="Verdana" w:hAnsi="Verdana"/>
                <w:sz w:val="18"/>
                <w:szCs w:val="18"/>
              </w:rPr>
            </w:pPr>
          </w:p>
        </w:tc>
        <w:tc>
          <w:tcPr>
            <w:tcW w:w="765" w:type="dxa"/>
            <w:noWrap/>
            <w:vAlign w:val="bottom"/>
            <w:hideMark/>
          </w:tcPr>
          <w:p w:rsidRPr="00C5308E" w:rsidR="0051019F" w:rsidP="00AC5FA8" w:rsidRDefault="0051019F" w14:paraId="3B67B889" w14:textId="77777777">
            <w:pPr>
              <w:spacing w:after="0" w:line="240" w:lineRule="auto"/>
              <w:rPr>
                <w:rFonts w:ascii="Verdana" w:hAnsi="Verdana"/>
                <w:sz w:val="18"/>
                <w:szCs w:val="18"/>
              </w:rPr>
            </w:pPr>
          </w:p>
        </w:tc>
        <w:tc>
          <w:tcPr>
            <w:tcW w:w="680" w:type="dxa"/>
            <w:noWrap/>
            <w:vAlign w:val="bottom"/>
            <w:hideMark/>
          </w:tcPr>
          <w:p w:rsidRPr="00C5308E" w:rsidR="0051019F" w:rsidP="00AC5FA8" w:rsidRDefault="0051019F" w14:paraId="151F4094" w14:textId="77777777">
            <w:pPr>
              <w:spacing w:after="0" w:line="240" w:lineRule="auto"/>
              <w:rPr>
                <w:rFonts w:ascii="Verdana" w:hAnsi="Verdana"/>
                <w:sz w:val="18"/>
                <w:szCs w:val="18"/>
              </w:rPr>
            </w:pPr>
          </w:p>
        </w:tc>
      </w:tr>
      <w:tr w:rsidRPr="00C5308E" w:rsidR="0051019F" w:rsidTr="00AC5FA8" w14:paraId="56C0D3FB" w14:textId="77777777">
        <w:trPr>
          <w:trHeight w:val="230"/>
        </w:trPr>
        <w:tc>
          <w:tcPr>
            <w:tcW w:w="3828" w:type="dxa"/>
            <w:noWrap/>
            <w:vAlign w:val="bottom"/>
            <w:hideMark/>
          </w:tcPr>
          <w:p w:rsidRPr="00C5308E" w:rsidR="0051019F" w:rsidP="00AC5FA8" w:rsidRDefault="0051019F" w14:paraId="0FD96C31" w14:textId="77777777">
            <w:pPr>
              <w:spacing w:after="0" w:line="240" w:lineRule="auto"/>
              <w:rPr>
                <w:rFonts w:ascii="Verdana" w:hAnsi="Verdana"/>
                <w:sz w:val="18"/>
                <w:szCs w:val="18"/>
              </w:rPr>
            </w:pPr>
            <w:r w:rsidRPr="00C5308E">
              <w:rPr>
                <w:rFonts w:ascii="Verdana" w:hAnsi="Verdana"/>
                <w:sz w:val="18"/>
                <w:szCs w:val="18"/>
              </w:rPr>
              <w:t>Herstelactie WIA-dagloon</w:t>
            </w:r>
          </w:p>
        </w:tc>
        <w:tc>
          <w:tcPr>
            <w:tcW w:w="652" w:type="dxa"/>
            <w:noWrap/>
            <w:vAlign w:val="bottom"/>
            <w:hideMark/>
          </w:tcPr>
          <w:p w:rsidRPr="00C5308E" w:rsidR="0051019F" w:rsidP="00AC5FA8" w:rsidRDefault="0051019F" w14:paraId="23185EA8" w14:textId="77777777">
            <w:pPr>
              <w:spacing w:after="0" w:line="240" w:lineRule="auto"/>
              <w:rPr>
                <w:rFonts w:ascii="Verdana" w:hAnsi="Verdana"/>
                <w:sz w:val="18"/>
                <w:szCs w:val="18"/>
              </w:rPr>
            </w:pPr>
            <w:r w:rsidRPr="00C5308E">
              <w:rPr>
                <w:rFonts w:ascii="Verdana" w:hAnsi="Verdana"/>
                <w:sz w:val="18"/>
                <w:szCs w:val="18"/>
              </w:rPr>
              <w:t>26</w:t>
            </w:r>
          </w:p>
        </w:tc>
        <w:tc>
          <w:tcPr>
            <w:tcW w:w="652" w:type="dxa"/>
            <w:noWrap/>
            <w:vAlign w:val="bottom"/>
            <w:hideMark/>
          </w:tcPr>
          <w:p w:rsidRPr="00C5308E" w:rsidR="0051019F" w:rsidP="00AC5FA8" w:rsidRDefault="0051019F" w14:paraId="78F4181D" w14:textId="77777777">
            <w:pPr>
              <w:spacing w:after="0" w:line="240" w:lineRule="auto"/>
              <w:rPr>
                <w:rFonts w:ascii="Verdana" w:hAnsi="Verdana"/>
                <w:sz w:val="18"/>
                <w:szCs w:val="18"/>
              </w:rPr>
            </w:pPr>
            <w:r w:rsidRPr="00C5308E">
              <w:rPr>
                <w:rFonts w:ascii="Verdana" w:hAnsi="Verdana"/>
                <w:sz w:val="18"/>
                <w:szCs w:val="18"/>
              </w:rPr>
              <w:t>59</w:t>
            </w:r>
          </w:p>
        </w:tc>
        <w:tc>
          <w:tcPr>
            <w:tcW w:w="652" w:type="dxa"/>
            <w:noWrap/>
            <w:vAlign w:val="bottom"/>
            <w:hideMark/>
          </w:tcPr>
          <w:p w:rsidRPr="00C5308E" w:rsidR="0051019F" w:rsidP="00AC5FA8" w:rsidRDefault="0051019F" w14:paraId="474DFC82"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51019F" w:rsidP="00AC5FA8" w:rsidRDefault="0051019F" w14:paraId="15DCD754"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51019F" w:rsidP="00AC5FA8" w:rsidRDefault="0051019F" w14:paraId="543D6BA9"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51019F" w:rsidP="00AC5FA8" w:rsidRDefault="0051019F" w14:paraId="53580A6F" w14:textId="77777777">
            <w:pPr>
              <w:spacing w:after="0" w:line="240" w:lineRule="auto"/>
              <w:rPr>
                <w:rFonts w:ascii="Verdana" w:hAnsi="Verdana"/>
                <w:sz w:val="18"/>
                <w:szCs w:val="18"/>
              </w:rPr>
            </w:pPr>
            <w:r w:rsidRPr="00C5308E">
              <w:rPr>
                <w:rFonts w:ascii="Verdana" w:hAnsi="Verdana"/>
                <w:sz w:val="18"/>
                <w:szCs w:val="18"/>
              </w:rPr>
              <w:t>0</w:t>
            </w:r>
          </w:p>
        </w:tc>
        <w:tc>
          <w:tcPr>
            <w:tcW w:w="765" w:type="dxa"/>
            <w:noWrap/>
            <w:vAlign w:val="bottom"/>
            <w:hideMark/>
          </w:tcPr>
          <w:p w:rsidRPr="00C5308E" w:rsidR="0051019F" w:rsidP="00AC5FA8" w:rsidRDefault="0051019F" w14:paraId="73952E92" w14:textId="77777777">
            <w:pPr>
              <w:spacing w:after="0" w:line="240" w:lineRule="auto"/>
              <w:rPr>
                <w:rFonts w:ascii="Verdana" w:hAnsi="Verdana"/>
                <w:sz w:val="18"/>
                <w:szCs w:val="18"/>
              </w:rPr>
            </w:pPr>
            <w:r w:rsidRPr="00C5308E">
              <w:rPr>
                <w:rFonts w:ascii="Verdana" w:hAnsi="Verdana"/>
                <w:sz w:val="18"/>
                <w:szCs w:val="18"/>
              </w:rPr>
              <w:t>120</w:t>
            </w:r>
          </w:p>
        </w:tc>
        <w:tc>
          <w:tcPr>
            <w:tcW w:w="680" w:type="dxa"/>
            <w:noWrap/>
            <w:vAlign w:val="bottom"/>
            <w:hideMark/>
          </w:tcPr>
          <w:p w:rsidRPr="00C5308E" w:rsidR="0051019F" w:rsidP="00AC5FA8" w:rsidRDefault="0051019F" w14:paraId="3D28869C" w14:textId="77777777">
            <w:pPr>
              <w:spacing w:after="0" w:line="240" w:lineRule="auto"/>
              <w:rPr>
                <w:rFonts w:ascii="Verdana" w:hAnsi="Verdana"/>
                <w:sz w:val="18"/>
                <w:szCs w:val="18"/>
              </w:rPr>
            </w:pPr>
            <w:r w:rsidRPr="00C5308E">
              <w:rPr>
                <w:rFonts w:ascii="Verdana" w:hAnsi="Verdana"/>
                <w:sz w:val="18"/>
                <w:szCs w:val="18"/>
              </w:rPr>
              <w:t>0</w:t>
            </w:r>
          </w:p>
        </w:tc>
      </w:tr>
      <w:tr w:rsidRPr="00C5308E" w:rsidR="0051019F" w:rsidTr="00AC5FA8" w14:paraId="14B000CB" w14:textId="77777777">
        <w:trPr>
          <w:trHeight w:val="230"/>
        </w:trPr>
        <w:tc>
          <w:tcPr>
            <w:tcW w:w="3828" w:type="dxa"/>
            <w:noWrap/>
            <w:vAlign w:val="bottom"/>
          </w:tcPr>
          <w:p w:rsidRPr="00C5308E" w:rsidR="0051019F" w:rsidP="00AC5FA8" w:rsidRDefault="0051019F" w14:paraId="3E911EB3" w14:textId="77777777">
            <w:pPr>
              <w:spacing w:after="0" w:line="240" w:lineRule="auto"/>
              <w:rPr>
                <w:rFonts w:ascii="Verdana" w:hAnsi="Verdana"/>
                <w:sz w:val="18"/>
                <w:szCs w:val="18"/>
              </w:rPr>
            </w:pPr>
            <w:r w:rsidRPr="00C5308E">
              <w:rPr>
                <w:rFonts w:ascii="Verdana" w:hAnsi="Verdana"/>
                <w:sz w:val="18"/>
                <w:szCs w:val="18"/>
              </w:rPr>
              <w:t>Herstelactie WIA-indexatie</w:t>
            </w:r>
          </w:p>
        </w:tc>
        <w:tc>
          <w:tcPr>
            <w:tcW w:w="652" w:type="dxa"/>
            <w:noWrap/>
          </w:tcPr>
          <w:p w:rsidRPr="00C5308E" w:rsidR="0051019F" w:rsidP="00AC5FA8" w:rsidRDefault="0051019F" w14:paraId="60537CB0"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tcPr>
          <w:p w:rsidRPr="00C5308E" w:rsidR="0051019F" w:rsidP="00AC5FA8" w:rsidRDefault="0051019F" w14:paraId="7DE34699" w14:textId="77777777">
            <w:pPr>
              <w:spacing w:after="0" w:line="240" w:lineRule="auto"/>
              <w:rPr>
                <w:rFonts w:ascii="Verdana" w:hAnsi="Verdana"/>
                <w:sz w:val="18"/>
                <w:szCs w:val="18"/>
              </w:rPr>
            </w:pPr>
            <w:r w:rsidRPr="00C5308E">
              <w:rPr>
                <w:rFonts w:ascii="Verdana" w:hAnsi="Verdana"/>
                <w:sz w:val="18"/>
                <w:szCs w:val="18"/>
              </w:rPr>
              <w:t>3</w:t>
            </w:r>
          </w:p>
        </w:tc>
        <w:tc>
          <w:tcPr>
            <w:tcW w:w="652" w:type="dxa"/>
            <w:noWrap/>
          </w:tcPr>
          <w:p w:rsidRPr="00C5308E" w:rsidR="0051019F" w:rsidP="00AC5FA8" w:rsidRDefault="0051019F" w14:paraId="1318538C"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tcPr>
          <w:p w:rsidRPr="00C5308E" w:rsidR="0051019F" w:rsidP="00AC5FA8" w:rsidRDefault="0051019F" w14:paraId="2749CDFE"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51019F" w:rsidP="00AC5FA8" w:rsidRDefault="0051019F" w14:paraId="55706296"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51019F" w:rsidP="00AC5FA8" w:rsidRDefault="0051019F" w14:paraId="5383021D" w14:textId="77777777">
            <w:pPr>
              <w:spacing w:after="0" w:line="240" w:lineRule="auto"/>
              <w:rPr>
                <w:rFonts w:ascii="Verdana" w:hAnsi="Verdana"/>
                <w:sz w:val="18"/>
                <w:szCs w:val="18"/>
              </w:rPr>
            </w:pPr>
            <w:r w:rsidRPr="00C5308E">
              <w:rPr>
                <w:rFonts w:ascii="Verdana" w:hAnsi="Verdana"/>
                <w:sz w:val="18"/>
                <w:szCs w:val="18"/>
              </w:rPr>
              <w:t>0</w:t>
            </w:r>
          </w:p>
        </w:tc>
        <w:tc>
          <w:tcPr>
            <w:tcW w:w="765" w:type="dxa"/>
            <w:noWrap/>
            <w:vAlign w:val="bottom"/>
          </w:tcPr>
          <w:p w:rsidRPr="00C5308E" w:rsidR="0051019F" w:rsidP="00AC5FA8" w:rsidRDefault="0051019F" w14:paraId="63F4E268" w14:textId="77777777">
            <w:pPr>
              <w:spacing w:after="0" w:line="240" w:lineRule="auto"/>
              <w:rPr>
                <w:rFonts w:ascii="Verdana" w:hAnsi="Verdana"/>
                <w:sz w:val="18"/>
                <w:szCs w:val="18"/>
              </w:rPr>
            </w:pPr>
            <w:r w:rsidRPr="00C5308E">
              <w:rPr>
                <w:rFonts w:ascii="Verdana" w:hAnsi="Verdana"/>
                <w:sz w:val="18"/>
                <w:szCs w:val="18"/>
              </w:rPr>
              <w:t>6</w:t>
            </w:r>
          </w:p>
        </w:tc>
        <w:tc>
          <w:tcPr>
            <w:tcW w:w="680" w:type="dxa"/>
            <w:noWrap/>
            <w:vAlign w:val="bottom"/>
          </w:tcPr>
          <w:p w:rsidRPr="00C5308E" w:rsidR="0051019F" w:rsidP="00AC5FA8" w:rsidRDefault="0051019F" w14:paraId="449EA1BF" w14:textId="77777777">
            <w:pPr>
              <w:spacing w:after="0" w:line="240" w:lineRule="auto"/>
              <w:rPr>
                <w:rFonts w:ascii="Verdana" w:hAnsi="Verdana"/>
                <w:sz w:val="18"/>
                <w:szCs w:val="18"/>
              </w:rPr>
            </w:pPr>
            <w:r w:rsidRPr="00C5308E">
              <w:rPr>
                <w:rFonts w:ascii="Verdana" w:hAnsi="Verdana"/>
                <w:sz w:val="18"/>
                <w:szCs w:val="18"/>
              </w:rPr>
              <w:t>0</w:t>
            </w:r>
          </w:p>
        </w:tc>
      </w:tr>
      <w:tr w:rsidRPr="00C5308E" w:rsidR="0051019F" w:rsidTr="00AC5FA8" w14:paraId="1F405C92" w14:textId="77777777">
        <w:trPr>
          <w:trHeight w:val="230"/>
        </w:trPr>
        <w:tc>
          <w:tcPr>
            <w:tcW w:w="3828" w:type="dxa"/>
            <w:noWrap/>
            <w:vAlign w:val="bottom"/>
          </w:tcPr>
          <w:p w:rsidRPr="00C5308E" w:rsidR="0051019F" w:rsidP="00AC5FA8" w:rsidRDefault="0051019F" w14:paraId="3F1B2E82" w14:textId="77777777">
            <w:pPr>
              <w:spacing w:after="0" w:line="240" w:lineRule="auto"/>
              <w:rPr>
                <w:rFonts w:ascii="Verdana" w:hAnsi="Verdana"/>
                <w:sz w:val="18"/>
                <w:szCs w:val="18"/>
              </w:rPr>
            </w:pPr>
            <w:r w:rsidRPr="00C5308E">
              <w:rPr>
                <w:rFonts w:ascii="Verdana" w:hAnsi="Verdana"/>
                <w:sz w:val="18"/>
                <w:szCs w:val="18"/>
              </w:rPr>
              <w:t>Reservering maatmanloonindexatie</w:t>
            </w:r>
          </w:p>
        </w:tc>
        <w:tc>
          <w:tcPr>
            <w:tcW w:w="652" w:type="dxa"/>
            <w:noWrap/>
            <w:vAlign w:val="bottom"/>
          </w:tcPr>
          <w:p w:rsidRPr="00C5308E" w:rsidR="0051019F" w:rsidP="00AC5FA8" w:rsidRDefault="0051019F" w14:paraId="10D40500"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tcPr>
          <w:p w:rsidRPr="00C5308E" w:rsidR="0051019F" w:rsidP="00AC5FA8" w:rsidRDefault="0051019F" w14:paraId="30D08753"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51019F" w:rsidP="00AC5FA8" w:rsidRDefault="0051019F" w14:paraId="4AE44914"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51019F" w:rsidP="00AC5FA8" w:rsidRDefault="0051019F" w14:paraId="32D45A82"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51019F" w:rsidP="00AC5FA8" w:rsidRDefault="0051019F" w14:paraId="17A109B1"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tcPr>
          <w:p w:rsidRPr="00C5308E" w:rsidR="0051019F" w:rsidP="00AC5FA8" w:rsidRDefault="0051019F" w14:paraId="17FD8453" w14:textId="77777777">
            <w:pPr>
              <w:spacing w:after="0" w:line="240" w:lineRule="auto"/>
              <w:rPr>
                <w:rFonts w:ascii="Verdana" w:hAnsi="Verdana"/>
                <w:sz w:val="18"/>
                <w:szCs w:val="18"/>
              </w:rPr>
            </w:pPr>
            <w:r w:rsidRPr="00C5308E">
              <w:rPr>
                <w:rFonts w:ascii="Verdana" w:hAnsi="Verdana"/>
                <w:sz w:val="18"/>
                <w:szCs w:val="18"/>
              </w:rPr>
              <w:t>1</w:t>
            </w:r>
          </w:p>
        </w:tc>
        <w:tc>
          <w:tcPr>
            <w:tcW w:w="765" w:type="dxa"/>
            <w:noWrap/>
            <w:vAlign w:val="bottom"/>
          </w:tcPr>
          <w:p w:rsidRPr="00C5308E" w:rsidR="0051019F" w:rsidP="00AC5FA8" w:rsidRDefault="0051019F" w14:paraId="73CA2064" w14:textId="77777777">
            <w:pPr>
              <w:spacing w:after="0" w:line="240" w:lineRule="auto"/>
              <w:rPr>
                <w:rFonts w:ascii="Verdana" w:hAnsi="Verdana"/>
                <w:sz w:val="18"/>
                <w:szCs w:val="18"/>
              </w:rPr>
            </w:pPr>
            <w:r w:rsidRPr="00C5308E">
              <w:rPr>
                <w:rFonts w:ascii="Verdana" w:hAnsi="Verdana"/>
                <w:sz w:val="18"/>
                <w:szCs w:val="18"/>
              </w:rPr>
              <w:t>7</w:t>
            </w:r>
          </w:p>
        </w:tc>
        <w:tc>
          <w:tcPr>
            <w:tcW w:w="680" w:type="dxa"/>
            <w:noWrap/>
            <w:vAlign w:val="bottom"/>
          </w:tcPr>
          <w:p w:rsidRPr="00C5308E" w:rsidR="0051019F" w:rsidP="00AC5FA8" w:rsidRDefault="0051019F" w14:paraId="2C499E08" w14:textId="77777777">
            <w:pPr>
              <w:spacing w:after="0" w:line="240" w:lineRule="auto"/>
              <w:rPr>
                <w:rFonts w:ascii="Verdana" w:hAnsi="Verdana"/>
                <w:sz w:val="18"/>
                <w:szCs w:val="18"/>
              </w:rPr>
            </w:pPr>
            <w:r w:rsidRPr="00C5308E">
              <w:rPr>
                <w:rFonts w:ascii="Verdana" w:hAnsi="Verdana"/>
                <w:sz w:val="18"/>
                <w:szCs w:val="18"/>
              </w:rPr>
              <w:t>0</w:t>
            </w:r>
          </w:p>
        </w:tc>
      </w:tr>
      <w:tr w:rsidRPr="00C5308E" w:rsidR="0051019F" w:rsidTr="00AC5FA8" w14:paraId="6CBD9B01" w14:textId="77777777">
        <w:trPr>
          <w:trHeight w:val="230"/>
        </w:trPr>
        <w:tc>
          <w:tcPr>
            <w:tcW w:w="3828" w:type="dxa"/>
            <w:noWrap/>
            <w:vAlign w:val="bottom"/>
          </w:tcPr>
          <w:p w:rsidRPr="00C5308E" w:rsidR="0051019F" w:rsidP="00AC5FA8" w:rsidRDefault="0051019F" w14:paraId="032C0158" w14:textId="77777777">
            <w:pPr>
              <w:spacing w:after="0" w:line="240" w:lineRule="auto"/>
              <w:rPr>
                <w:rFonts w:ascii="Verdana" w:hAnsi="Verdana"/>
                <w:b/>
                <w:bCs/>
                <w:sz w:val="18"/>
                <w:szCs w:val="18"/>
              </w:rPr>
            </w:pPr>
            <w:r w:rsidRPr="00C5308E">
              <w:rPr>
                <w:rFonts w:ascii="Verdana" w:hAnsi="Verdana"/>
                <w:b/>
                <w:bCs/>
                <w:sz w:val="18"/>
                <w:szCs w:val="18"/>
              </w:rPr>
              <w:t>Sociaal-medisch beoordelen</w:t>
            </w:r>
          </w:p>
        </w:tc>
        <w:tc>
          <w:tcPr>
            <w:tcW w:w="652" w:type="dxa"/>
            <w:noWrap/>
            <w:vAlign w:val="bottom"/>
          </w:tcPr>
          <w:p w:rsidRPr="00C5308E" w:rsidR="0051019F" w:rsidP="00AC5FA8" w:rsidRDefault="0051019F" w14:paraId="4A3C3834"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0344F551"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0783E76A"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6A518FD2"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5607529B"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71F8E15E" w14:textId="77777777">
            <w:pPr>
              <w:spacing w:after="0" w:line="240" w:lineRule="auto"/>
              <w:rPr>
                <w:rFonts w:ascii="Verdana" w:hAnsi="Verdana"/>
                <w:sz w:val="18"/>
                <w:szCs w:val="18"/>
              </w:rPr>
            </w:pPr>
          </w:p>
        </w:tc>
        <w:tc>
          <w:tcPr>
            <w:tcW w:w="765" w:type="dxa"/>
            <w:noWrap/>
            <w:vAlign w:val="bottom"/>
          </w:tcPr>
          <w:p w:rsidRPr="00C5308E" w:rsidR="0051019F" w:rsidP="00AC5FA8" w:rsidRDefault="0051019F" w14:paraId="73EAC3EA" w14:textId="77777777">
            <w:pPr>
              <w:spacing w:after="0" w:line="240" w:lineRule="auto"/>
              <w:rPr>
                <w:rFonts w:ascii="Verdana" w:hAnsi="Verdana"/>
                <w:sz w:val="18"/>
                <w:szCs w:val="18"/>
              </w:rPr>
            </w:pPr>
          </w:p>
        </w:tc>
        <w:tc>
          <w:tcPr>
            <w:tcW w:w="680" w:type="dxa"/>
            <w:noWrap/>
            <w:vAlign w:val="bottom"/>
          </w:tcPr>
          <w:p w:rsidRPr="00C5308E" w:rsidR="0051019F" w:rsidP="00AC5FA8" w:rsidRDefault="0051019F" w14:paraId="106AD016" w14:textId="77777777">
            <w:pPr>
              <w:spacing w:after="0" w:line="240" w:lineRule="auto"/>
              <w:rPr>
                <w:rFonts w:ascii="Verdana" w:hAnsi="Verdana"/>
                <w:sz w:val="18"/>
                <w:szCs w:val="18"/>
              </w:rPr>
            </w:pPr>
          </w:p>
        </w:tc>
      </w:tr>
      <w:tr w:rsidRPr="00C5308E" w:rsidR="0051019F" w:rsidTr="00AC5FA8" w14:paraId="75280E4C" w14:textId="77777777">
        <w:trPr>
          <w:trHeight w:val="230"/>
        </w:trPr>
        <w:tc>
          <w:tcPr>
            <w:tcW w:w="3828" w:type="dxa"/>
            <w:noWrap/>
            <w:vAlign w:val="bottom"/>
            <w:hideMark/>
          </w:tcPr>
          <w:p w:rsidRPr="00C5308E" w:rsidR="0051019F" w:rsidP="00AC5FA8" w:rsidRDefault="0051019F" w14:paraId="40F06C5A" w14:textId="77777777">
            <w:pPr>
              <w:spacing w:after="0" w:line="240" w:lineRule="auto"/>
              <w:rPr>
                <w:rFonts w:ascii="Verdana" w:hAnsi="Verdana"/>
                <w:sz w:val="18"/>
                <w:szCs w:val="18"/>
              </w:rPr>
            </w:pPr>
            <w:r w:rsidRPr="00C5308E">
              <w:rPr>
                <w:rFonts w:ascii="Verdana" w:hAnsi="Verdana"/>
                <w:sz w:val="18"/>
                <w:szCs w:val="18"/>
              </w:rPr>
              <w:t>60-plusmaatregel</w:t>
            </w:r>
          </w:p>
        </w:tc>
        <w:tc>
          <w:tcPr>
            <w:tcW w:w="652" w:type="dxa"/>
            <w:noWrap/>
            <w:vAlign w:val="bottom"/>
            <w:hideMark/>
          </w:tcPr>
          <w:p w:rsidRPr="00C5308E" w:rsidR="0051019F" w:rsidP="00AC5FA8" w:rsidRDefault="0051019F" w14:paraId="62797D41"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vAlign w:val="bottom"/>
            <w:hideMark/>
          </w:tcPr>
          <w:p w:rsidRPr="00C5308E" w:rsidR="0051019F" w:rsidP="00AC5FA8" w:rsidRDefault="0051019F" w14:paraId="69C7082B" w14:textId="77777777">
            <w:pPr>
              <w:spacing w:after="0" w:line="240" w:lineRule="auto"/>
              <w:rPr>
                <w:rFonts w:ascii="Verdana" w:hAnsi="Verdana"/>
                <w:sz w:val="18"/>
                <w:szCs w:val="18"/>
              </w:rPr>
            </w:pPr>
            <w:r w:rsidRPr="00C5308E">
              <w:rPr>
                <w:rFonts w:ascii="Verdana" w:hAnsi="Verdana"/>
                <w:sz w:val="18"/>
                <w:szCs w:val="18"/>
              </w:rPr>
              <w:t>9</w:t>
            </w:r>
          </w:p>
        </w:tc>
        <w:tc>
          <w:tcPr>
            <w:tcW w:w="652" w:type="dxa"/>
            <w:noWrap/>
            <w:vAlign w:val="bottom"/>
            <w:hideMark/>
          </w:tcPr>
          <w:p w:rsidRPr="00C5308E" w:rsidR="0051019F" w:rsidP="00AC5FA8" w:rsidRDefault="0051019F" w14:paraId="1391467F" w14:textId="77777777">
            <w:pPr>
              <w:spacing w:after="0" w:line="240" w:lineRule="auto"/>
              <w:rPr>
                <w:rFonts w:ascii="Verdana" w:hAnsi="Verdana"/>
                <w:sz w:val="18"/>
                <w:szCs w:val="18"/>
              </w:rPr>
            </w:pPr>
            <w:r w:rsidRPr="00C5308E">
              <w:rPr>
                <w:rFonts w:ascii="Verdana" w:hAnsi="Verdana"/>
                <w:sz w:val="18"/>
                <w:szCs w:val="18"/>
              </w:rPr>
              <w:t>24</w:t>
            </w:r>
          </w:p>
        </w:tc>
        <w:tc>
          <w:tcPr>
            <w:tcW w:w="652" w:type="dxa"/>
            <w:noWrap/>
            <w:vAlign w:val="bottom"/>
            <w:hideMark/>
          </w:tcPr>
          <w:p w:rsidRPr="00C5308E" w:rsidR="0051019F" w:rsidP="00AC5FA8" w:rsidRDefault="0051019F" w14:paraId="474A26B1" w14:textId="77777777">
            <w:pPr>
              <w:spacing w:after="0" w:line="240" w:lineRule="auto"/>
              <w:rPr>
                <w:rFonts w:ascii="Verdana" w:hAnsi="Verdana"/>
                <w:sz w:val="18"/>
                <w:szCs w:val="18"/>
              </w:rPr>
            </w:pPr>
            <w:r w:rsidRPr="00C5308E">
              <w:rPr>
                <w:rFonts w:ascii="Verdana" w:hAnsi="Verdana"/>
                <w:sz w:val="18"/>
                <w:szCs w:val="18"/>
              </w:rPr>
              <w:t>47</w:t>
            </w:r>
          </w:p>
        </w:tc>
        <w:tc>
          <w:tcPr>
            <w:tcW w:w="652" w:type="dxa"/>
            <w:noWrap/>
            <w:vAlign w:val="bottom"/>
            <w:hideMark/>
          </w:tcPr>
          <w:p w:rsidRPr="00C5308E" w:rsidR="0051019F" w:rsidP="00AC5FA8" w:rsidRDefault="0051019F" w14:paraId="02BB22C1" w14:textId="77777777">
            <w:pPr>
              <w:spacing w:after="0" w:line="240" w:lineRule="auto"/>
              <w:rPr>
                <w:rFonts w:ascii="Verdana" w:hAnsi="Verdana"/>
                <w:sz w:val="18"/>
                <w:szCs w:val="18"/>
              </w:rPr>
            </w:pPr>
            <w:r w:rsidRPr="00C5308E">
              <w:rPr>
                <w:rFonts w:ascii="Verdana" w:hAnsi="Verdana"/>
                <w:sz w:val="18"/>
                <w:szCs w:val="18"/>
              </w:rPr>
              <w:t>61</w:t>
            </w:r>
          </w:p>
        </w:tc>
        <w:tc>
          <w:tcPr>
            <w:tcW w:w="652" w:type="dxa"/>
            <w:noWrap/>
            <w:vAlign w:val="bottom"/>
            <w:hideMark/>
          </w:tcPr>
          <w:p w:rsidRPr="00C5308E" w:rsidR="0051019F" w:rsidP="00AC5FA8" w:rsidRDefault="0051019F" w14:paraId="60310068" w14:textId="77777777">
            <w:pPr>
              <w:spacing w:after="0" w:line="240" w:lineRule="auto"/>
              <w:rPr>
                <w:rFonts w:ascii="Verdana" w:hAnsi="Verdana"/>
                <w:sz w:val="18"/>
                <w:szCs w:val="18"/>
              </w:rPr>
            </w:pPr>
            <w:r w:rsidRPr="00C5308E">
              <w:rPr>
                <w:rFonts w:ascii="Verdana" w:hAnsi="Verdana"/>
                <w:sz w:val="18"/>
                <w:szCs w:val="18"/>
              </w:rPr>
              <w:t>54</w:t>
            </w:r>
          </w:p>
        </w:tc>
        <w:tc>
          <w:tcPr>
            <w:tcW w:w="765" w:type="dxa"/>
            <w:noWrap/>
            <w:vAlign w:val="bottom"/>
            <w:hideMark/>
          </w:tcPr>
          <w:p w:rsidRPr="00C5308E" w:rsidR="0051019F" w:rsidP="00AC5FA8" w:rsidRDefault="0051019F" w14:paraId="52E97BC3" w14:textId="77777777">
            <w:pPr>
              <w:spacing w:after="0" w:line="240" w:lineRule="auto"/>
              <w:rPr>
                <w:rFonts w:ascii="Verdana" w:hAnsi="Verdana"/>
                <w:sz w:val="18"/>
                <w:szCs w:val="18"/>
              </w:rPr>
            </w:pPr>
            <w:r w:rsidRPr="00C5308E">
              <w:rPr>
                <w:rFonts w:ascii="Verdana" w:hAnsi="Verdana"/>
                <w:sz w:val="18"/>
                <w:szCs w:val="18"/>
              </w:rPr>
              <w:t>197</w:t>
            </w:r>
          </w:p>
        </w:tc>
        <w:tc>
          <w:tcPr>
            <w:tcW w:w="680" w:type="dxa"/>
            <w:noWrap/>
            <w:vAlign w:val="bottom"/>
            <w:hideMark/>
          </w:tcPr>
          <w:p w:rsidRPr="00C5308E" w:rsidR="0051019F" w:rsidP="00AC5FA8" w:rsidRDefault="0051019F" w14:paraId="623DBA7C" w14:textId="77777777">
            <w:pPr>
              <w:spacing w:after="0" w:line="240" w:lineRule="auto"/>
              <w:rPr>
                <w:rFonts w:ascii="Verdana" w:hAnsi="Verdana"/>
                <w:sz w:val="18"/>
                <w:szCs w:val="18"/>
              </w:rPr>
            </w:pPr>
            <w:r w:rsidRPr="00C5308E">
              <w:rPr>
                <w:rFonts w:ascii="Verdana" w:hAnsi="Verdana"/>
                <w:sz w:val="18"/>
                <w:szCs w:val="18"/>
              </w:rPr>
              <w:t>0</w:t>
            </w:r>
          </w:p>
        </w:tc>
      </w:tr>
      <w:tr w:rsidRPr="00C5308E" w:rsidR="0051019F" w:rsidTr="00AC5FA8" w14:paraId="2FEF42D7" w14:textId="77777777">
        <w:trPr>
          <w:trHeight w:val="230"/>
        </w:trPr>
        <w:tc>
          <w:tcPr>
            <w:tcW w:w="3828" w:type="dxa"/>
            <w:noWrap/>
            <w:vAlign w:val="bottom"/>
            <w:hideMark/>
          </w:tcPr>
          <w:p w:rsidRPr="00C5308E" w:rsidR="0051019F" w:rsidP="00AC5FA8" w:rsidRDefault="0051019F" w14:paraId="1CB95EFD" w14:textId="77777777">
            <w:pPr>
              <w:spacing w:after="0" w:line="240" w:lineRule="auto"/>
              <w:rPr>
                <w:rFonts w:ascii="Verdana" w:hAnsi="Verdana"/>
                <w:sz w:val="18"/>
                <w:szCs w:val="18"/>
              </w:rPr>
            </w:pPr>
            <w:r w:rsidRPr="00C5308E">
              <w:rPr>
                <w:rFonts w:ascii="Verdana" w:hAnsi="Verdana"/>
                <w:sz w:val="18"/>
                <w:szCs w:val="18"/>
              </w:rPr>
              <w:t>Uitvoeringskosten SMC</w:t>
            </w:r>
          </w:p>
        </w:tc>
        <w:tc>
          <w:tcPr>
            <w:tcW w:w="652" w:type="dxa"/>
            <w:noWrap/>
            <w:vAlign w:val="bottom"/>
            <w:hideMark/>
          </w:tcPr>
          <w:p w:rsidRPr="00C5308E" w:rsidR="0051019F" w:rsidP="00AC5FA8" w:rsidRDefault="0051019F" w14:paraId="0E7DE09C" w14:textId="77777777">
            <w:pPr>
              <w:spacing w:after="0" w:line="240" w:lineRule="auto"/>
              <w:rPr>
                <w:rFonts w:ascii="Verdana" w:hAnsi="Verdana"/>
                <w:sz w:val="18"/>
                <w:szCs w:val="18"/>
              </w:rPr>
            </w:pPr>
            <w:r w:rsidRPr="00C5308E">
              <w:rPr>
                <w:rFonts w:ascii="Verdana" w:hAnsi="Verdana"/>
                <w:sz w:val="18"/>
                <w:szCs w:val="18"/>
              </w:rPr>
              <w:t>30</w:t>
            </w:r>
          </w:p>
        </w:tc>
        <w:tc>
          <w:tcPr>
            <w:tcW w:w="652" w:type="dxa"/>
            <w:noWrap/>
            <w:vAlign w:val="bottom"/>
            <w:hideMark/>
          </w:tcPr>
          <w:p w:rsidRPr="00C5308E" w:rsidR="0051019F" w:rsidP="00AC5FA8" w:rsidRDefault="0051019F" w14:paraId="0E1E8C34" w14:textId="77777777">
            <w:pPr>
              <w:spacing w:after="0" w:line="240" w:lineRule="auto"/>
              <w:rPr>
                <w:rFonts w:ascii="Verdana" w:hAnsi="Verdana"/>
                <w:sz w:val="18"/>
                <w:szCs w:val="18"/>
              </w:rPr>
            </w:pPr>
            <w:r w:rsidRPr="00C5308E">
              <w:rPr>
                <w:rFonts w:ascii="Verdana" w:hAnsi="Verdana"/>
                <w:sz w:val="18"/>
                <w:szCs w:val="18"/>
              </w:rPr>
              <w:t>34</w:t>
            </w:r>
          </w:p>
        </w:tc>
        <w:tc>
          <w:tcPr>
            <w:tcW w:w="652" w:type="dxa"/>
            <w:noWrap/>
            <w:vAlign w:val="bottom"/>
            <w:hideMark/>
          </w:tcPr>
          <w:p w:rsidRPr="00C5308E" w:rsidR="0051019F" w:rsidP="00AC5FA8" w:rsidRDefault="0051019F" w14:paraId="44F55DF7"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51019F" w:rsidP="00AC5FA8" w:rsidRDefault="0051019F" w14:paraId="1422939E"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51019F" w:rsidP="00AC5FA8" w:rsidRDefault="0051019F" w14:paraId="0D85C16F" w14:textId="77777777">
            <w:pPr>
              <w:spacing w:after="0" w:line="240" w:lineRule="auto"/>
              <w:rPr>
                <w:rFonts w:ascii="Verdana" w:hAnsi="Verdana"/>
                <w:sz w:val="18"/>
                <w:szCs w:val="18"/>
              </w:rPr>
            </w:pPr>
            <w:r w:rsidRPr="00C5308E">
              <w:rPr>
                <w:rFonts w:ascii="Verdana" w:hAnsi="Verdana"/>
                <w:sz w:val="18"/>
                <w:szCs w:val="18"/>
              </w:rPr>
              <w:t>36</w:t>
            </w:r>
          </w:p>
        </w:tc>
        <w:tc>
          <w:tcPr>
            <w:tcW w:w="652" w:type="dxa"/>
            <w:noWrap/>
            <w:vAlign w:val="bottom"/>
            <w:hideMark/>
          </w:tcPr>
          <w:p w:rsidRPr="00C5308E" w:rsidR="0051019F" w:rsidP="00AC5FA8" w:rsidRDefault="0051019F" w14:paraId="5F5A792B" w14:textId="77777777">
            <w:pPr>
              <w:spacing w:after="0" w:line="240" w:lineRule="auto"/>
              <w:rPr>
                <w:rFonts w:ascii="Verdana" w:hAnsi="Verdana"/>
                <w:sz w:val="18"/>
                <w:szCs w:val="18"/>
              </w:rPr>
            </w:pPr>
            <w:r w:rsidRPr="00C5308E">
              <w:rPr>
                <w:rFonts w:ascii="Verdana" w:hAnsi="Verdana"/>
                <w:sz w:val="18"/>
                <w:szCs w:val="18"/>
              </w:rPr>
              <w:t>36</w:t>
            </w:r>
          </w:p>
        </w:tc>
        <w:tc>
          <w:tcPr>
            <w:tcW w:w="765" w:type="dxa"/>
            <w:noWrap/>
            <w:vAlign w:val="bottom"/>
            <w:hideMark/>
          </w:tcPr>
          <w:p w:rsidRPr="00C5308E" w:rsidR="0051019F" w:rsidP="00AC5FA8" w:rsidRDefault="0051019F" w14:paraId="2CE74927" w14:textId="77777777">
            <w:pPr>
              <w:spacing w:after="0" w:line="240" w:lineRule="auto"/>
              <w:rPr>
                <w:rFonts w:ascii="Verdana" w:hAnsi="Verdana"/>
                <w:sz w:val="18"/>
                <w:szCs w:val="18"/>
              </w:rPr>
            </w:pPr>
            <w:r w:rsidRPr="00C5308E">
              <w:rPr>
                <w:rFonts w:ascii="Verdana" w:hAnsi="Verdana"/>
                <w:sz w:val="18"/>
                <w:szCs w:val="18"/>
              </w:rPr>
              <w:t>208</w:t>
            </w:r>
          </w:p>
        </w:tc>
        <w:tc>
          <w:tcPr>
            <w:tcW w:w="680" w:type="dxa"/>
            <w:noWrap/>
            <w:vAlign w:val="bottom"/>
            <w:hideMark/>
          </w:tcPr>
          <w:p w:rsidRPr="00C5308E" w:rsidR="0051019F" w:rsidP="00AC5FA8" w:rsidRDefault="0051019F" w14:paraId="3FEE318A" w14:textId="77777777">
            <w:pPr>
              <w:spacing w:after="0" w:line="240" w:lineRule="auto"/>
              <w:rPr>
                <w:rFonts w:ascii="Verdana" w:hAnsi="Verdana"/>
                <w:sz w:val="18"/>
                <w:szCs w:val="18"/>
              </w:rPr>
            </w:pPr>
            <w:r w:rsidRPr="00C5308E">
              <w:rPr>
                <w:rFonts w:ascii="Verdana" w:hAnsi="Verdana"/>
                <w:sz w:val="18"/>
                <w:szCs w:val="18"/>
              </w:rPr>
              <w:t>36</w:t>
            </w:r>
          </w:p>
        </w:tc>
      </w:tr>
      <w:tr w:rsidRPr="00C5308E" w:rsidR="0051019F" w:rsidTr="00AC5FA8" w14:paraId="17C35C7B" w14:textId="77777777">
        <w:trPr>
          <w:trHeight w:val="230"/>
        </w:trPr>
        <w:tc>
          <w:tcPr>
            <w:tcW w:w="3828" w:type="dxa"/>
            <w:noWrap/>
            <w:vAlign w:val="bottom"/>
            <w:hideMark/>
          </w:tcPr>
          <w:p w:rsidRPr="00C5308E" w:rsidR="0051019F" w:rsidP="00AC5FA8" w:rsidRDefault="0051019F" w14:paraId="08E4056E" w14:textId="77777777">
            <w:pPr>
              <w:spacing w:after="0" w:line="240" w:lineRule="auto"/>
              <w:rPr>
                <w:rFonts w:ascii="Verdana" w:hAnsi="Verdana"/>
                <w:sz w:val="18"/>
                <w:szCs w:val="18"/>
              </w:rPr>
            </w:pPr>
            <w:r w:rsidRPr="00C5308E">
              <w:rPr>
                <w:rFonts w:ascii="Verdana" w:hAnsi="Verdana"/>
                <w:sz w:val="18"/>
                <w:szCs w:val="18"/>
              </w:rPr>
              <w:t>Kwijtschelden voorschotten</w:t>
            </w:r>
          </w:p>
        </w:tc>
        <w:tc>
          <w:tcPr>
            <w:tcW w:w="652" w:type="dxa"/>
            <w:noWrap/>
            <w:vAlign w:val="bottom"/>
            <w:hideMark/>
          </w:tcPr>
          <w:p w:rsidRPr="00C5308E" w:rsidR="0051019F" w:rsidP="00AC5FA8" w:rsidRDefault="0051019F" w14:paraId="2EB0FFD7"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51019F" w:rsidP="00AC5FA8" w:rsidRDefault="0051019F" w14:paraId="57539B65" w14:textId="77777777">
            <w:pPr>
              <w:spacing w:after="0" w:line="240" w:lineRule="auto"/>
              <w:rPr>
                <w:rFonts w:ascii="Verdana" w:hAnsi="Verdana"/>
                <w:sz w:val="18"/>
                <w:szCs w:val="18"/>
              </w:rPr>
            </w:pPr>
            <w:r w:rsidRPr="00C5308E">
              <w:rPr>
                <w:rFonts w:ascii="Verdana" w:hAnsi="Verdana"/>
                <w:sz w:val="18"/>
                <w:szCs w:val="18"/>
              </w:rPr>
              <w:t>31</w:t>
            </w:r>
          </w:p>
        </w:tc>
        <w:tc>
          <w:tcPr>
            <w:tcW w:w="652" w:type="dxa"/>
            <w:noWrap/>
            <w:vAlign w:val="bottom"/>
            <w:hideMark/>
          </w:tcPr>
          <w:p w:rsidRPr="00C5308E" w:rsidR="0051019F" w:rsidP="00AC5FA8" w:rsidRDefault="0051019F" w14:paraId="3D7D45B0" w14:textId="77777777">
            <w:pPr>
              <w:spacing w:after="0" w:line="240" w:lineRule="auto"/>
              <w:rPr>
                <w:rFonts w:ascii="Verdana" w:hAnsi="Verdana"/>
                <w:sz w:val="18"/>
                <w:szCs w:val="18"/>
              </w:rPr>
            </w:pPr>
            <w:r w:rsidRPr="00C5308E">
              <w:rPr>
                <w:rFonts w:ascii="Verdana" w:hAnsi="Verdana"/>
                <w:sz w:val="18"/>
                <w:szCs w:val="18"/>
              </w:rPr>
              <w:t>33</w:t>
            </w:r>
          </w:p>
        </w:tc>
        <w:tc>
          <w:tcPr>
            <w:tcW w:w="652" w:type="dxa"/>
            <w:noWrap/>
            <w:vAlign w:val="bottom"/>
            <w:hideMark/>
          </w:tcPr>
          <w:p w:rsidRPr="00C5308E" w:rsidR="0051019F" w:rsidP="00AC5FA8" w:rsidRDefault="0051019F" w14:paraId="09E73C2B" w14:textId="77777777">
            <w:pPr>
              <w:spacing w:after="0" w:line="240" w:lineRule="auto"/>
              <w:rPr>
                <w:rFonts w:ascii="Verdana" w:hAnsi="Verdana"/>
                <w:sz w:val="18"/>
                <w:szCs w:val="18"/>
              </w:rPr>
            </w:pPr>
            <w:r w:rsidRPr="00C5308E">
              <w:rPr>
                <w:rFonts w:ascii="Verdana" w:hAnsi="Verdana"/>
                <w:sz w:val="18"/>
                <w:szCs w:val="18"/>
              </w:rPr>
              <w:t>50</w:t>
            </w:r>
          </w:p>
        </w:tc>
        <w:tc>
          <w:tcPr>
            <w:tcW w:w="652" w:type="dxa"/>
            <w:noWrap/>
            <w:vAlign w:val="bottom"/>
            <w:hideMark/>
          </w:tcPr>
          <w:p w:rsidRPr="00C5308E" w:rsidR="0051019F" w:rsidP="00AC5FA8" w:rsidRDefault="0051019F" w14:paraId="06FBFF30" w14:textId="77777777">
            <w:pPr>
              <w:spacing w:after="0" w:line="240" w:lineRule="auto"/>
              <w:rPr>
                <w:rFonts w:ascii="Verdana" w:hAnsi="Verdana"/>
                <w:sz w:val="18"/>
                <w:szCs w:val="18"/>
              </w:rPr>
            </w:pPr>
            <w:r w:rsidRPr="00C5308E">
              <w:rPr>
                <w:rFonts w:ascii="Verdana" w:hAnsi="Verdana"/>
                <w:sz w:val="18"/>
                <w:szCs w:val="18"/>
              </w:rPr>
              <w:t>71</w:t>
            </w:r>
          </w:p>
        </w:tc>
        <w:tc>
          <w:tcPr>
            <w:tcW w:w="652" w:type="dxa"/>
            <w:noWrap/>
            <w:vAlign w:val="bottom"/>
            <w:hideMark/>
          </w:tcPr>
          <w:p w:rsidRPr="00C5308E" w:rsidR="0051019F" w:rsidP="00AC5FA8" w:rsidRDefault="0051019F" w14:paraId="0C798572" w14:textId="77777777">
            <w:pPr>
              <w:spacing w:after="0" w:line="240" w:lineRule="auto"/>
              <w:rPr>
                <w:rFonts w:ascii="Verdana" w:hAnsi="Verdana"/>
                <w:sz w:val="18"/>
                <w:szCs w:val="18"/>
              </w:rPr>
            </w:pPr>
            <w:r w:rsidRPr="00C5308E">
              <w:rPr>
                <w:rFonts w:ascii="Verdana" w:hAnsi="Verdana"/>
                <w:sz w:val="18"/>
                <w:szCs w:val="18"/>
              </w:rPr>
              <w:t>93</w:t>
            </w:r>
          </w:p>
        </w:tc>
        <w:tc>
          <w:tcPr>
            <w:tcW w:w="765" w:type="dxa"/>
            <w:noWrap/>
            <w:vAlign w:val="bottom"/>
            <w:hideMark/>
          </w:tcPr>
          <w:p w:rsidRPr="00C5308E" w:rsidR="0051019F" w:rsidP="00AC5FA8" w:rsidRDefault="0051019F" w14:paraId="2D0111F3" w14:textId="77777777">
            <w:pPr>
              <w:spacing w:after="0" w:line="240" w:lineRule="auto"/>
              <w:rPr>
                <w:rFonts w:ascii="Verdana" w:hAnsi="Verdana"/>
                <w:sz w:val="18"/>
                <w:szCs w:val="18"/>
              </w:rPr>
            </w:pPr>
            <w:r w:rsidRPr="00C5308E">
              <w:rPr>
                <w:rFonts w:ascii="Verdana" w:hAnsi="Verdana"/>
                <w:sz w:val="18"/>
                <w:szCs w:val="18"/>
              </w:rPr>
              <w:t>278</w:t>
            </w:r>
          </w:p>
        </w:tc>
        <w:tc>
          <w:tcPr>
            <w:tcW w:w="680" w:type="dxa"/>
            <w:noWrap/>
            <w:vAlign w:val="bottom"/>
            <w:hideMark/>
          </w:tcPr>
          <w:p w:rsidRPr="00C5308E" w:rsidR="0051019F" w:rsidP="00AC5FA8" w:rsidRDefault="0051019F" w14:paraId="1D1A5F36" w14:textId="77777777">
            <w:pPr>
              <w:spacing w:after="0" w:line="240" w:lineRule="auto"/>
              <w:rPr>
                <w:rFonts w:ascii="Verdana" w:hAnsi="Verdana"/>
                <w:sz w:val="18"/>
                <w:szCs w:val="18"/>
              </w:rPr>
            </w:pPr>
            <w:r w:rsidRPr="00C5308E">
              <w:rPr>
                <w:rFonts w:ascii="Verdana" w:hAnsi="Verdana"/>
                <w:sz w:val="18"/>
                <w:szCs w:val="18"/>
              </w:rPr>
              <w:t>93</w:t>
            </w:r>
          </w:p>
        </w:tc>
      </w:tr>
      <w:tr w:rsidRPr="00C5308E" w:rsidR="0051019F" w:rsidTr="00AC5FA8" w14:paraId="6BA1DC02" w14:textId="77777777">
        <w:trPr>
          <w:trHeight w:val="230"/>
        </w:trPr>
        <w:tc>
          <w:tcPr>
            <w:tcW w:w="3828" w:type="dxa"/>
            <w:noWrap/>
            <w:vAlign w:val="bottom"/>
            <w:hideMark/>
          </w:tcPr>
          <w:p w:rsidRPr="00C5308E" w:rsidR="0051019F" w:rsidP="00AC5FA8" w:rsidRDefault="0051019F" w14:paraId="3CBFA790" w14:textId="77777777">
            <w:pPr>
              <w:spacing w:after="0" w:line="240" w:lineRule="auto"/>
              <w:rPr>
                <w:rFonts w:ascii="Verdana" w:hAnsi="Verdana"/>
                <w:b/>
                <w:bCs/>
                <w:sz w:val="18"/>
                <w:szCs w:val="18"/>
              </w:rPr>
            </w:pPr>
            <w:r w:rsidRPr="00C5308E">
              <w:rPr>
                <w:rFonts w:ascii="Verdana" w:hAnsi="Verdana"/>
                <w:b/>
                <w:bCs/>
                <w:sz w:val="18"/>
                <w:szCs w:val="18"/>
              </w:rPr>
              <w:t>OCTAS</w:t>
            </w:r>
          </w:p>
        </w:tc>
        <w:tc>
          <w:tcPr>
            <w:tcW w:w="652" w:type="dxa"/>
            <w:noWrap/>
            <w:vAlign w:val="bottom"/>
            <w:hideMark/>
          </w:tcPr>
          <w:p w:rsidRPr="00C5308E" w:rsidR="0051019F" w:rsidP="00AC5FA8" w:rsidRDefault="0051019F" w14:paraId="1F8C00BA" w14:textId="77777777">
            <w:pPr>
              <w:spacing w:after="0" w:line="240" w:lineRule="auto"/>
              <w:rPr>
                <w:rFonts w:ascii="Verdana" w:hAnsi="Verdana"/>
                <w:b/>
                <w:bCs/>
                <w:sz w:val="18"/>
                <w:szCs w:val="18"/>
              </w:rPr>
            </w:pPr>
          </w:p>
        </w:tc>
        <w:tc>
          <w:tcPr>
            <w:tcW w:w="652" w:type="dxa"/>
            <w:noWrap/>
            <w:vAlign w:val="bottom"/>
            <w:hideMark/>
          </w:tcPr>
          <w:p w:rsidRPr="00C5308E" w:rsidR="0051019F" w:rsidP="00AC5FA8" w:rsidRDefault="0051019F" w14:paraId="5904A900"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22D43F24"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43870F43"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2F61463F" w14:textId="77777777">
            <w:pPr>
              <w:spacing w:after="0" w:line="240" w:lineRule="auto"/>
              <w:rPr>
                <w:rFonts w:ascii="Verdana" w:hAnsi="Verdana"/>
                <w:sz w:val="18"/>
                <w:szCs w:val="18"/>
              </w:rPr>
            </w:pPr>
          </w:p>
        </w:tc>
        <w:tc>
          <w:tcPr>
            <w:tcW w:w="652" w:type="dxa"/>
            <w:noWrap/>
            <w:vAlign w:val="bottom"/>
            <w:hideMark/>
          </w:tcPr>
          <w:p w:rsidRPr="00C5308E" w:rsidR="0051019F" w:rsidP="00AC5FA8" w:rsidRDefault="0051019F" w14:paraId="41D0AE9C" w14:textId="77777777">
            <w:pPr>
              <w:spacing w:after="0" w:line="240" w:lineRule="auto"/>
              <w:rPr>
                <w:rFonts w:ascii="Verdana" w:hAnsi="Verdana"/>
                <w:sz w:val="18"/>
                <w:szCs w:val="18"/>
              </w:rPr>
            </w:pPr>
          </w:p>
        </w:tc>
        <w:tc>
          <w:tcPr>
            <w:tcW w:w="765" w:type="dxa"/>
            <w:noWrap/>
            <w:vAlign w:val="bottom"/>
            <w:hideMark/>
          </w:tcPr>
          <w:p w:rsidRPr="00C5308E" w:rsidR="0051019F" w:rsidP="00AC5FA8" w:rsidRDefault="0051019F" w14:paraId="7DC77AB3" w14:textId="77777777">
            <w:pPr>
              <w:spacing w:after="0" w:line="240" w:lineRule="auto"/>
              <w:rPr>
                <w:rFonts w:ascii="Verdana" w:hAnsi="Verdana"/>
                <w:sz w:val="18"/>
                <w:szCs w:val="18"/>
              </w:rPr>
            </w:pPr>
          </w:p>
        </w:tc>
        <w:tc>
          <w:tcPr>
            <w:tcW w:w="680" w:type="dxa"/>
            <w:noWrap/>
            <w:vAlign w:val="bottom"/>
            <w:hideMark/>
          </w:tcPr>
          <w:p w:rsidRPr="00C5308E" w:rsidR="0051019F" w:rsidP="00AC5FA8" w:rsidRDefault="0051019F" w14:paraId="68BB11AC" w14:textId="77777777">
            <w:pPr>
              <w:spacing w:after="0" w:line="240" w:lineRule="auto"/>
              <w:rPr>
                <w:rFonts w:ascii="Verdana" w:hAnsi="Verdana"/>
                <w:sz w:val="18"/>
                <w:szCs w:val="18"/>
              </w:rPr>
            </w:pPr>
          </w:p>
        </w:tc>
      </w:tr>
      <w:tr w:rsidRPr="00C5308E" w:rsidR="0051019F" w:rsidTr="00AC5FA8" w14:paraId="529E7E96" w14:textId="77777777">
        <w:trPr>
          <w:trHeight w:val="230"/>
        </w:trPr>
        <w:tc>
          <w:tcPr>
            <w:tcW w:w="3828" w:type="dxa"/>
            <w:noWrap/>
            <w:vAlign w:val="bottom"/>
            <w:hideMark/>
          </w:tcPr>
          <w:p w:rsidRPr="00C5308E" w:rsidR="0051019F" w:rsidP="00AC5FA8" w:rsidRDefault="0051019F" w14:paraId="3B82217A" w14:textId="77777777">
            <w:pPr>
              <w:spacing w:after="0" w:line="240" w:lineRule="auto"/>
              <w:rPr>
                <w:rFonts w:ascii="Verdana" w:hAnsi="Verdana"/>
                <w:sz w:val="18"/>
                <w:szCs w:val="18"/>
              </w:rPr>
            </w:pPr>
            <w:r w:rsidRPr="00C5308E">
              <w:rPr>
                <w:rFonts w:ascii="Verdana" w:hAnsi="Verdana"/>
                <w:sz w:val="18"/>
                <w:szCs w:val="18"/>
              </w:rPr>
              <w:t>Praktisch beoordelen</w:t>
            </w:r>
          </w:p>
        </w:tc>
        <w:tc>
          <w:tcPr>
            <w:tcW w:w="652" w:type="dxa"/>
            <w:noWrap/>
            <w:vAlign w:val="bottom"/>
            <w:hideMark/>
          </w:tcPr>
          <w:p w:rsidRPr="00C5308E" w:rsidR="0051019F" w:rsidP="00AC5FA8" w:rsidRDefault="0051019F" w14:paraId="0A4B1CC4"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51019F" w:rsidP="00AC5FA8" w:rsidRDefault="0051019F" w14:paraId="7E9B3DB4"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hideMark/>
          </w:tcPr>
          <w:p w:rsidRPr="00C5308E" w:rsidR="0051019F" w:rsidP="00AC5FA8" w:rsidRDefault="0051019F" w14:paraId="249B0C91" w14:textId="77777777">
            <w:pPr>
              <w:spacing w:after="0" w:line="240" w:lineRule="auto"/>
              <w:rPr>
                <w:rFonts w:ascii="Verdana" w:hAnsi="Verdana"/>
                <w:sz w:val="18"/>
                <w:szCs w:val="18"/>
              </w:rPr>
            </w:pPr>
            <w:r w:rsidRPr="00C5308E">
              <w:rPr>
                <w:rFonts w:ascii="Verdana" w:hAnsi="Verdana"/>
                <w:sz w:val="18"/>
                <w:szCs w:val="18"/>
              </w:rPr>
              <w:t>1</w:t>
            </w:r>
          </w:p>
        </w:tc>
        <w:tc>
          <w:tcPr>
            <w:tcW w:w="652" w:type="dxa"/>
            <w:noWrap/>
            <w:vAlign w:val="bottom"/>
            <w:hideMark/>
          </w:tcPr>
          <w:p w:rsidRPr="00C5308E" w:rsidR="0051019F" w:rsidP="00AC5FA8" w:rsidRDefault="0051019F" w14:paraId="6B3DD8FC" w14:textId="77777777">
            <w:pPr>
              <w:spacing w:after="0" w:line="240" w:lineRule="auto"/>
              <w:rPr>
                <w:rFonts w:ascii="Verdana" w:hAnsi="Verdana"/>
                <w:sz w:val="18"/>
                <w:szCs w:val="18"/>
              </w:rPr>
            </w:pPr>
            <w:r w:rsidRPr="00C5308E">
              <w:rPr>
                <w:rFonts w:ascii="Verdana" w:hAnsi="Verdana"/>
                <w:sz w:val="18"/>
                <w:szCs w:val="18"/>
              </w:rPr>
              <w:t>3</w:t>
            </w:r>
          </w:p>
        </w:tc>
        <w:tc>
          <w:tcPr>
            <w:tcW w:w="652" w:type="dxa"/>
            <w:noWrap/>
            <w:vAlign w:val="bottom"/>
            <w:hideMark/>
          </w:tcPr>
          <w:p w:rsidRPr="00C5308E" w:rsidR="0051019F" w:rsidP="00AC5FA8" w:rsidRDefault="0051019F" w14:paraId="3EBA323C" w14:textId="77777777">
            <w:pPr>
              <w:spacing w:after="0" w:line="240" w:lineRule="auto"/>
              <w:rPr>
                <w:rFonts w:ascii="Verdana" w:hAnsi="Verdana"/>
                <w:sz w:val="18"/>
                <w:szCs w:val="18"/>
              </w:rPr>
            </w:pPr>
            <w:r w:rsidRPr="00C5308E">
              <w:rPr>
                <w:rFonts w:ascii="Verdana" w:hAnsi="Verdana"/>
                <w:sz w:val="18"/>
                <w:szCs w:val="18"/>
              </w:rPr>
              <w:t>6</w:t>
            </w:r>
          </w:p>
        </w:tc>
        <w:tc>
          <w:tcPr>
            <w:tcW w:w="652" w:type="dxa"/>
            <w:noWrap/>
            <w:vAlign w:val="bottom"/>
            <w:hideMark/>
          </w:tcPr>
          <w:p w:rsidRPr="00C5308E" w:rsidR="0051019F" w:rsidP="00AC5FA8" w:rsidRDefault="0051019F" w14:paraId="0825F6DA" w14:textId="77777777">
            <w:pPr>
              <w:spacing w:after="0" w:line="240" w:lineRule="auto"/>
              <w:rPr>
                <w:rFonts w:ascii="Verdana" w:hAnsi="Verdana"/>
                <w:sz w:val="18"/>
                <w:szCs w:val="18"/>
              </w:rPr>
            </w:pPr>
            <w:r w:rsidRPr="00C5308E">
              <w:rPr>
                <w:rFonts w:ascii="Verdana" w:hAnsi="Verdana"/>
                <w:sz w:val="18"/>
                <w:szCs w:val="18"/>
              </w:rPr>
              <w:t>9</w:t>
            </w:r>
          </w:p>
        </w:tc>
        <w:tc>
          <w:tcPr>
            <w:tcW w:w="765" w:type="dxa"/>
            <w:noWrap/>
            <w:vAlign w:val="bottom"/>
            <w:hideMark/>
          </w:tcPr>
          <w:p w:rsidRPr="00C5308E" w:rsidR="0051019F" w:rsidP="00AC5FA8" w:rsidRDefault="0051019F" w14:paraId="337BAE83" w14:textId="77777777">
            <w:pPr>
              <w:spacing w:after="0" w:line="240" w:lineRule="auto"/>
              <w:rPr>
                <w:rFonts w:ascii="Verdana" w:hAnsi="Verdana"/>
                <w:sz w:val="18"/>
                <w:szCs w:val="18"/>
              </w:rPr>
            </w:pPr>
            <w:r w:rsidRPr="00C5308E">
              <w:rPr>
                <w:rFonts w:ascii="Verdana" w:hAnsi="Verdana"/>
                <w:sz w:val="18"/>
                <w:szCs w:val="18"/>
              </w:rPr>
              <w:t>19</w:t>
            </w:r>
          </w:p>
        </w:tc>
        <w:tc>
          <w:tcPr>
            <w:tcW w:w="680" w:type="dxa"/>
            <w:noWrap/>
            <w:vAlign w:val="bottom"/>
            <w:hideMark/>
          </w:tcPr>
          <w:p w:rsidRPr="00C5308E" w:rsidR="0051019F" w:rsidP="00AC5FA8" w:rsidRDefault="0051019F" w14:paraId="2AE29C9A" w14:textId="77777777">
            <w:pPr>
              <w:spacing w:after="0" w:line="240" w:lineRule="auto"/>
              <w:rPr>
                <w:rFonts w:ascii="Verdana" w:hAnsi="Verdana"/>
                <w:sz w:val="18"/>
                <w:szCs w:val="18"/>
              </w:rPr>
            </w:pPr>
            <w:r w:rsidRPr="00C5308E">
              <w:rPr>
                <w:rFonts w:ascii="Verdana" w:hAnsi="Verdana"/>
                <w:sz w:val="18"/>
                <w:szCs w:val="18"/>
              </w:rPr>
              <w:t>47</w:t>
            </w:r>
          </w:p>
        </w:tc>
      </w:tr>
      <w:tr w:rsidRPr="00C5308E" w:rsidR="0051019F" w:rsidTr="00AC5FA8" w14:paraId="3AD3CB6B" w14:textId="77777777">
        <w:trPr>
          <w:trHeight w:val="230"/>
        </w:trPr>
        <w:tc>
          <w:tcPr>
            <w:tcW w:w="3828" w:type="dxa"/>
            <w:noWrap/>
          </w:tcPr>
          <w:p w:rsidRPr="00C5308E" w:rsidR="0051019F" w:rsidP="00AC5FA8" w:rsidRDefault="0051019F" w14:paraId="256B14A3" w14:textId="77777777">
            <w:pPr>
              <w:spacing w:after="0" w:line="240" w:lineRule="auto"/>
              <w:rPr>
                <w:rFonts w:ascii="Verdana" w:hAnsi="Verdana"/>
                <w:sz w:val="18"/>
                <w:szCs w:val="18"/>
              </w:rPr>
            </w:pPr>
            <w:r w:rsidRPr="00C5308E">
              <w:rPr>
                <w:rFonts w:ascii="Verdana" w:hAnsi="Verdana"/>
                <w:sz w:val="18"/>
                <w:szCs w:val="18"/>
              </w:rPr>
              <w:t>RIV-toets</w:t>
            </w:r>
          </w:p>
        </w:tc>
        <w:tc>
          <w:tcPr>
            <w:tcW w:w="652" w:type="dxa"/>
            <w:noWrap/>
          </w:tcPr>
          <w:p w:rsidRPr="00C5308E" w:rsidR="0051019F" w:rsidP="00AC5FA8" w:rsidRDefault="0051019F" w14:paraId="18038A62"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51019F" w:rsidP="00AC5FA8" w:rsidRDefault="0051019F" w14:paraId="5AE08AEC"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51019F" w:rsidP="00AC5FA8" w:rsidRDefault="0051019F" w14:paraId="733E57D9"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51019F" w:rsidP="00AC5FA8" w:rsidRDefault="0051019F" w14:paraId="39BD110D"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tcPr>
          <w:p w:rsidRPr="00C5308E" w:rsidR="0051019F" w:rsidP="00AC5FA8" w:rsidRDefault="0051019F" w14:paraId="2543E4E2" w14:textId="77777777">
            <w:pPr>
              <w:spacing w:after="0" w:line="240" w:lineRule="auto"/>
              <w:rPr>
                <w:rFonts w:ascii="Verdana" w:hAnsi="Verdana"/>
                <w:sz w:val="18"/>
                <w:szCs w:val="18"/>
              </w:rPr>
            </w:pPr>
            <w:r w:rsidRPr="00C5308E">
              <w:rPr>
                <w:rFonts w:ascii="Verdana" w:hAnsi="Verdana"/>
                <w:sz w:val="18"/>
                <w:szCs w:val="18"/>
              </w:rPr>
              <w:t>2</w:t>
            </w:r>
          </w:p>
        </w:tc>
        <w:tc>
          <w:tcPr>
            <w:tcW w:w="652" w:type="dxa"/>
            <w:noWrap/>
          </w:tcPr>
          <w:p w:rsidRPr="00C5308E" w:rsidR="0051019F" w:rsidP="00AC5FA8" w:rsidRDefault="0051019F" w14:paraId="38B07EAE" w14:textId="77777777">
            <w:pPr>
              <w:spacing w:after="0" w:line="240" w:lineRule="auto"/>
              <w:rPr>
                <w:rFonts w:ascii="Verdana" w:hAnsi="Verdana"/>
                <w:sz w:val="18"/>
                <w:szCs w:val="18"/>
              </w:rPr>
            </w:pPr>
            <w:r w:rsidRPr="00C5308E">
              <w:rPr>
                <w:rFonts w:ascii="Verdana" w:hAnsi="Verdana"/>
                <w:sz w:val="18"/>
                <w:szCs w:val="18"/>
              </w:rPr>
              <w:t>6</w:t>
            </w:r>
          </w:p>
        </w:tc>
        <w:tc>
          <w:tcPr>
            <w:tcW w:w="765" w:type="dxa"/>
            <w:noWrap/>
          </w:tcPr>
          <w:p w:rsidRPr="00C5308E" w:rsidR="0051019F" w:rsidP="00AC5FA8" w:rsidRDefault="0051019F" w14:paraId="65F8A51C" w14:textId="77777777">
            <w:pPr>
              <w:spacing w:after="0" w:line="240" w:lineRule="auto"/>
              <w:rPr>
                <w:rFonts w:ascii="Verdana" w:hAnsi="Verdana"/>
                <w:sz w:val="18"/>
                <w:szCs w:val="18"/>
              </w:rPr>
            </w:pPr>
            <w:r w:rsidRPr="00C5308E">
              <w:rPr>
                <w:rFonts w:ascii="Verdana" w:hAnsi="Verdana"/>
                <w:sz w:val="18"/>
                <w:szCs w:val="18"/>
              </w:rPr>
              <w:t>8</w:t>
            </w:r>
          </w:p>
        </w:tc>
        <w:tc>
          <w:tcPr>
            <w:tcW w:w="680" w:type="dxa"/>
            <w:noWrap/>
          </w:tcPr>
          <w:p w:rsidRPr="00C5308E" w:rsidR="0051019F" w:rsidP="00AC5FA8" w:rsidRDefault="0051019F" w14:paraId="0EE32374" w14:textId="77777777">
            <w:pPr>
              <w:spacing w:after="0" w:line="240" w:lineRule="auto"/>
              <w:rPr>
                <w:rFonts w:ascii="Verdana" w:hAnsi="Verdana"/>
                <w:sz w:val="18"/>
                <w:szCs w:val="18"/>
              </w:rPr>
            </w:pPr>
            <w:r w:rsidRPr="00C5308E">
              <w:rPr>
                <w:rFonts w:ascii="Verdana" w:hAnsi="Verdana"/>
                <w:sz w:val="18"/>
                <w:szCs w:val="18"/>
              </w:rPr>
              <w:t>150</w:t>
            </w:r>
          </w:p>
        </w:tc>
      </w:tr>
      <w:tr w:rsidRPr="00C5308E" w:rsidR="0051019F" w:rsidTr="00AC5FA8" w14:paraId="0559816B" w14:textId="77777777">
        <w:trPr>
          <w:trHeight w:val="230"/>
        </w:trPr>
        <w:tc>
          <w:tcPr>
            <w:tcW w:w="3828" w:type="dxa"/>
            <w:noWrap/>
            <w:vAlign w:val="bottom"/>
          </w:tcPr>
          <w:p w:rsidRPr="00C5308E" w:rsidR="0051019F" w:rsidP="00AC5FA8" w:rsidRDefault="0051019F" w14:paraId="6A2F9D23" w14:textId="77777777">
            <w:pPr>
              <w:spacing w:after="0" w:line="240" w:lineRule="auto"/>
              <w:rPr>
                <w:rFonts w:ascii="Verdana" w:hAnsi="Verdana"/>
                <w:b/>
                <w:bCs/>
                <w:sz w:val="18"/>
                <w:szCs w:val="18"/>
              </w:rPr>
            </w:pPr>
            <w:r w:rsidRPr="00C5308E">
              <w:rPr>
                <w:rFonts w:ascii="Verdana" w:hAnsi="Verdana"/>
                <w:b/>
                <w:bCs/>
                <w:sz w:val="18"/>
                <w:szCs w:val="18"/>
              </w:rPr>
              <w:t>Overig</w:t>
            </w:r>
          </w:p>
        </w:tc>
        <w:tc>
          <w:tcPr>
            <w:tcW w:w="652" w:type="dxa"/>
            <w:noWrap/>
            <w:vAlign w:val="bottom"/>
          </w:tcPr>
          <w:p w:rsidRPr="00C5308E" w:rsidR="0051019F" w:rsidP="00AC5FA8" w:rsidRDefault="0051019F" w14:paraId="3FAC3CAE"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4DA0A771"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274477CA"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08B43CC7"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058C6135" w14:textId="77777777">
            <w:pPr>
              <w:spacing w:after="0" w:line="240" w:lineRule="auto"/>
              <w:rPr>
                <w:rFonts w:ascii="Verdana" w:hAnsi="Verdana"/>
                <w:sz w:val="18"/>
                <w:szCs w:val="18"/>
              </w:rPr>
            </w:pPr>
          </w:p>
        </w:tc>
        <w:tc>
          <w:tcPr>
            <w:tcW w:w="652" w:type="dxa"/>
            <w:noWrap/>
            <w:vAlign w:val="bottom"/>
          </w:tcPr>
          <w:p w:rsidRPr="00C5308E" w:rsidR="0051019F" w:rsidP="00AC5FA8" w:rsidRDefault="0051019F" w14:paraId="7579E998" w14:textId="77777777">
            <w:pPr>
              <w:spacing w:after="0" w:line="240" w:lineRule="auto"/>
              <w:rPr>
                <w:rFonts w:ascii="Verdana" w:hAnsi="Verdana"/>
                <w:sz w:val="18"/>
                <w:szCs w:val="18"/>
              </w:rPr>
            </w:pPr>
          </w:p>
        </w:tc>
        <w:tc>
          <w:tcPr>
            <w:tcW w:w="765" w:type="dxa"/>
            <w:noWrap/>
            <w:vAlign w:val="bottom"/>
          </w:tcPr>
          <w:p w:rsidRPr="00C5308E" w:rsidR="0051019F" w:rsidP="00AC5FA8" w:rsidRDefault="0051019F" w14:paraId="61036706" w14:textId="77777777">
            <w:pPr>
              <w:spacing w:after="0" w:line="240" w:lineRule="auto"/>
              <w:rPr>
                <w:rFonts w:ascii="Verdana" w:hAnsi="Verdana"/>
                <w:sz w:val="18"/>
                <w:szCs w:val="18"/>
              </w:rPr>
            </w:pPr>
          </w:p>
        </w:tc>
        <w:tc>
          <w:tcPr>
            <w:tcW w:w="680" w:type="dxa"/>
            <w:noWrap/>
            <w:vAlign w:val="bottom"/>
          </w:tcPr>
          <w:p w:rsidRPr="00C5308E" w:rsidR="0051019F" w:rsidP="00AC5FA8" w:rsidRDefault="0051019F" w14:paraId="5A94464B" w14:textId="77777777">
            <w:pPr>
              <w:spacing w:after="0" w:line="240" w:lineRule="auto"/>
              <w:rPr>
                <w:rFonts w:ascii="Verdana" w:hAnsi="Verdana"/>
                <w:sz w:val="18"/>
                <w:szCs w:val="18"/>
              </w:rPr>
            </w:pPr>
          </w:p>
        </w:tc>
      </w:tr>
      <w:tr w:rsidRPr="00C5308E" w:rsidR="0051019F" w:rsidTr="00AC5FA8" w14:paraId="5D5AF69C" w14:textId="77777777">
        <w:trPr>
          <w:trHeight w:val="230"/>
        </w:trPr>
        <w:tc>
          <w:tcPr>
            <w:tcW w:w="3828" w:type="dxa"/>
            <w:noWrap/>
            <w:vAlign w:val="bottom"/>
          </w:tcPr>
          <w:p w:rsidRPr="00C5308E" w:rsidR="0051019F" w:rsidP="00AC5FA8" w:rsidRDefault="0051019F" w14:paraId="55C69500" w14:textId="77777777">
            <w:pPr>
              <w:spacing w:after="0" w:line="240" w:lineRule="auto"/>
              <w:rPr>
                <w:rFonts w:ascii="Verdana" w:hAnsi="Verdana"/>
                <w:sz w:val="18"/>
                <w:szCs w:val="18"/>
              </w:rPr>
            </w:pPr>
            <w:r w:rsidRPr="00C5308E">
              <w:rPr>
                <w:rFonts w:ascii="Verdana" w:hAnsi="Verdana"/>
                <w:sz w:val="18"/>
                <w:szCs w:val="18"/>
              </w:rPr>
              <w:t>Duurverkorting LGU WGA*</w:t>
            </w:r>
          </w:p>
        </w:tc>
        <w:tc>
          <w:tcPr>
            <w:tcW w:w="652" w:type="dxa"/>
            <w:noWrap/>
            <w:vAlign w:val="bottom"/>
          </w:tcPr>
          <w:p w:rsidRPr="00C5308E" w:rsidR="0051019F" w:rsidP="00AC5FA8" w:rsidRDefault="0051019F" w14:paraId="3E4F0481"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51019F" w:rsidP="00AC5FA8" w:rsidRDefault="0051019F" w14:paraId="786CAB17"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51019F" w:rsidP="00AC5FA8" w:rsidRDefault="0051019F" w14:paraId="7BEC9693" w14:textId="77777777">
            <w:pPr>
              <w:spacing w:after="0" w:line="240" w:lineRule="auto"/>
              <w:rPr>
                <w:rFonts w:ascii="Verdana" w:hAnsi="Verdana"/>
                <w:sz w:val="18"/>
                <w:szCs w:val="18"/>
              </w:rPr>
            </w:pPr>
            <w:r w:rsidRPr="00C5308E">
              <w:rPr>
                <w:rFonts w:ascii="Verdana" w:hAnsi="Verdana"/>
                <w:sz w:val="18"/>
                <w:szCs w:val="18"/>
              </w:rPr>
              <w:t>0</w:t>
            </w:r>
          </w:p>
        </w:tc>
        <w:tc>
          <w:tcPr>
            <w:tcW w:w="652" w:type="dxa"/>
            <w:noWrap/>
            <w:vAlign w:val="bottom"/>
          </w:tcPr>
          <w:p w:rsidRPr="00C5308E" w:rsidR="0051019F" w:rsidP="00AC5FA8" w:rsidRDefault="0051019F" w14:paraId="3E59841B" w14:textId="77777777">
            <w:pPr>
              <w:spacing w:after="0" w:line="240" w:lineRule="auto"/>
              <w:rPr>
                <w:rFonts w:ascii="Verdana" w:hAnsi="Verdana"/>
                <w:sz w:val="18"/>
                <w:szCs w:val="18"/>
              </w:rPr>
            </w:pPr>
            <w:r w:rsidRPr="00C5308E">
              <w:rPr>
                <w:rFonts w:ascii="Verdana" w:hAnsi="Verdana"/>
                <w:sz w:val="18"/>
                <w:szCs w:val="18"/>
              </w:rPr>
              <w:t>-14</w:t>
            </w:r>
          </w:p>
        </w:tc>
        <w:tc>
          <w:tcPr>
            <w:tcW w:w="652" w:type="dxa"/>
            <w:noWrap/>
            <w:vAlign w:val="bottom"/>
          </w:tcPr>
          <w:p w:rsidRPr="00C5308E" w:rsidR="0051019F" w:rsidP="00AC5FA8" w:rsidRDefault="0051019F" w14:paraId="0B2DDFA5" w14:textId="77777777">
            <w:pPr>
              <w:spacing w:after="0" w:line="240" w:lineRule="auto"/>
              <w:rPr>
                <w:rFonts w:ascii="Verdana" w:hAnsi="Verdana"/>
                <w:sz w:val="18"/>
                <w:szCs w:val="18"/>
              </w:rPr>
            </w:pPr>
            <w:r w:rsidRPr="00C5308E">
              <w:rPr>
                <w:rFonts w:ascii="Verdana" w:hAnsi="Verdana"/>
                <w:sz w:val="18"/>
                <w:szCs w:val="18"/>
              </w:rPr>
              <w:t>-55</w:t>
            </w:r>
          </w:p>
        </w:tc>
        <w:tc>
          <w:tcPr>
            <w:tcW w:w="652" w:type="dxa"/>
            <w:noWrap/>
            <w:vAlign w:val="bottom"/>
          </w:tcPr>
          <w:p w:rsidRPr="00C5308E" w:rsidR="0051019F" w:rsidP="00AC5FA8" w:rsidRDefault="0051019F" w14:paraId="79E97CA1" w14:textId="77777777">
            <w:pPr>
              <w:spacing w:after="0" w:line="240" w:lineRule="auto"/>
              <w:rPr>
                <w:rFonts w:ascii="Verdana" w:hAnsi="Verdana"/>
                <w:sz w:val="18"/>
                <w:szCs w:val="18"/>
              </w:rPr>
            </w:pPr>
            <w:r w:rsidRPr="00C5308E">
              <w:rPr>
                <w:rFonts w:ascii="Verdana" w:hAnsi="Verdana"/>
                <w:sz w:val="18"/>
                <w:szCs w:val="18"/>
              </w:rPr>
              <w:t>-55</w:t>
            </w:r>
          </w:p>
        </w:tc>
        <w:tc>
          <w:tcPr>
            <w:tcW w:w="765" w:type="dxa"/>
            <w:noWrap/>
            <w:vAlign w:val="bottom"/>
          </w:tcPr>
          <w:p w:rsidRPr="00C5308E" w:rsidR="0051019F" w:rsidP="00AC5FA8" w:rsidRDefault="0051019F" w14:paraId="0D5F1577" w14:textId="77777777">
            <w:pPr>
              <w:spacing w:after="0" w:line="240" w:lineRule="auto"/>
              <w:rPr>
                <w:rFonts w:ascii="Verdana" w:hAnsi="Verdana"/>
                <w:sz w:val="18"/>
                <w:szCs w:val="18"/>
              </w:rPr>
            </w:pPr>
            <w:r w:rsidRPr="00C5308E">
              <w:rPr>
                <w:rFonts w:ascii="Verdana" w:hAnsi="Verdana"/>
                <w:sz w:val="18"/>
                <w:szCs w:val="18"/>
              </w:rPr>
              <w:t>-125</w:t>
            </w:r>
          </w:p>
        </w:tc>
        <w:tc>
          <w:tcPr>
            <w:tcW w:w="680" w:type="dxa"/>
            <w:noWrap/>
            <w:vAlign w:val="bottom"/>
          </w:tcPr>
          <w:p w:rsidRPr="00C5308E" w:rsidR="0051019F" w:rsidP="00AC5FA8" w:rsidRDefault="0051019F" w14:paraId="13C73C24" w14:textId="77777777">
            <w:pPr>
              <w:spacing w:after="0" w:line="240" w:lineRule="auto"/>
              <w:rPr>
                <w:rFonts w:ascii="Verdana" w:hAnsi="Verdana"/>
                <w:sz w:val="18"/>
                <w:szCs w:val="18"/>
              </w:rPr>
            </w:pPr>
            <w:r w:rsidRPr="00C5308E">
              <w:rPr>
                <w:rFonts w:ascii="Verdana" w:hAnsi="Verdana"/>
                <w:sz w:val="18"/>
                <w:szCs w:val="18"/>
              </w:rPr>
              <w:t>-45</w:t>
            </w:r>
          </w:p>
        </w:tc>
      </w:tr>
      <w:tr w:rsidRPr="00C5308E" w:rsidR="0051019F" w:rsidTr="00AC5FA8" w14:paraId="0B849DA3" w14:textId="77777777">
        <w:trPr>
          <w:trHeight w:val="230"/>
        </w:trPr>
        <w:tc>
          <w:tcPr>
            <w:tcW w:w="3828" w:type="dxa"/>
            <w:noWrap/>
          </w:tcPr>
          <w:p w:rsidRPr="00C5308E" w:rsidR="0051019F" w:rsidP="00AC5FA8" w:rsidRDefault="0051019F" w14:paraId="05B3AE18" w14:textId="77777777">
            <w:pPr>
              <w:spacing w:after="0" w:line="240" w:lineRule="auto"/>
              <w:rPr>
                <w:rFonts w:ascii="Verdana" w:hAnsi="Verdana"/>
                <w:sz w:val="18"/>
                <w:szCs w:val="18"/>
              </w:rPr>
            </w:pPr>
            <w:r w:rsidRPr="00C5308E">
              <w:rPr>
                <w:rFonts w:ascii="Verdana" w:hAnsi="Verdana"/>
                <w:sz w:val="18"/>
                <w:szCs w:val="18"/>
              </w:rPr>
              <w:t>Loonloze tijdvakken</w:t>
            </w:r>
          </w:p>
        </w:tc>
        <w:tc>
          <w:tcPr>
            <w:tcW w:w="652" w:type="dxa"/>
            <w:noWrap/>
          </w:tcPr>
          <w:p w:rsidRPr="00C5308E" w:rsidR="0051019F" w:rsidP="00AC5FA8" w:rsidRDefault="0051019F" w14:paraId="592A8604" w14:textId="77777777">
            <w:pPr>
              <w:spacing w:after="0" w:line="240" w:lineRule="auto"/>
              <w:rPr>
                <w:rFonts w:ascii="Verdana" w:hAnsi="Verdana"/>
                <w:sz w:val="18"/>
                <w:szCs w:val="18"/>
              </w:rPr>
            </w:pPr>
            <w:r w:rsidRPr="00C5308E">
              <w:rPr>
                <w:rFonts w:ascii="Verdana" w:hAnsi="Verdana"/>
                <w:sz w:val="18"/>
                <w:szCs w:val="18"/>
              </w:rPr>
              <w:t>-35</w:t>
            </w:r>
          </w:p>
        </w:tc>
        <w:tc>
          <w:tcPr>
            <w:tcW w:w="652" w:type="dxa"/>
            <w:noWrap/>
          </w:tcPr>
          <w:p w:rsidRPr="00C5308E" w:rsidR="0051019F" w:rsidP="00AC5FA8" w:rsidRDefault="0051019F" w14:paraId="4F64233D" w14:textId="77777777">
            <w:pPr>
              <w:spacing w:after="0" w:line="240" w:lineRule="auto"/>
              <w:rPr>
                <w:rFonts w:ascii="Verdana" w:hAnsi="Verdana"/>
                <w:sz w:val="18"/>
                <w:szCs w:val="18"/>
              </w:rPr>
            </w:pPr>
            <w:r w:rsidRPr="00C5308E">
              <w:rPr>
                <w:rFonts w:ascii="Verdana" w:hAnsi="Verdana"/>
                <w:sz w:val="18"/>
                <w:szCs w:val="18"/>
              </w:rPr>
              <w:t>101</w:t>
            </w:r>
          </w:p>
        </w:tc>
        <w:tc>
          <w:tcPr>
            <w:tcW w:w="652" w:type="dxa"/>
            <w:noWrap/>
          </w:tcPr>
          <w:p w:rsidRPr="00C5308E" w:rsidR="0051019F" w:rsidP="00AC5FA8" w:rsidRDefault="0051019F" w14:paraId="4FA8C88E" w14:textId="77777777">
            <w:pPr>
              <w:spacing w:after="0" w:line="240" w:lineRule="auto"/>
              <w:rPr>
                <w:rFonts w:ascii="Verdana" w:hAnsi="Verdana"/>
                <w:sz w:val="18"/>
                <w:szCs w:val="18"/>
              </w:rPr>
            </w:pPr>
            <w:r w:rsidRPr="00C5308E">
              <w:rPr>
                <w:rFonts w:ascii="Verdana" w:hAnsi="Verdana"/>
                <w:sz w:val="18"/>
                <w:szCs w:val="18"/>
              </w:rPr>
              <w:t>106</w:t>
            </w:r>
          </w:p>
        </w:tc>
        <w:tc>
          <w:tcPr>
            <w:tcW w:w="652" w:type="dxa"/>
            <w:noWrap/>
          </w:tcPr>
          <w:p w:rsidRPr="00C5308E" w:rsidR="0051019F" w:rsidP="00AC5FA8" w:rsidRDefault="0051019F" w14:paraId="1922D0EC" w14:textId="77777777">
            <w:pPr>
              <w:spacing w:after="0" w:line="240" w:lineRule="auto"/>
              <w:rPr>
                <w:rFonts w:ascii="Verdana" w:hAnsi="Verdana"/>
                <w:sz w:val="18"/>
                <w:szCs w:val="18"/>
              </w:rPr>
            </w:pPr>
            <w:r w:rsidRPr="00C5308E">
              <w:rPr>
                <w:rFonts w:ascii="Verdana" w:hAnsi="Verdana"/>
                <w:sz w:val="18"/>
                <w:szCs w:val="18"/>
              </w:rPr>
              <w:t>59</w:t>
            </w:r>
          </w:p>
        </w:tc>
        <w:tc>
          <w:tcPr>
            <w:tcW w:w="652" w:type="dxa"/>
            <w:noWrap/>
          </w:tcPr>
          <w:p w:rsidRPr="00C5308E" w:rsidR="0051019F" w:rsidP="00AC5FA8" w:rsidRDefault="0051019F" w14:paraId="67B59F56" w14:textId="77777777">
            <w:pPr>
              <w:spacing w:after="0" w:line="240" w:lineRule="auto"/>
              <w:rPr>
                <w:rFonts w:ascii="Verdana" w:hAnsi="Verdana"/>
                <w:sz w:val="18"/>
                <w:szCs w:val="18"/>
              </w:rPr>
            </w:pPr>
            <w:r w:rsidRPr="00C5308E">
              <w:rPr>
                <w:rFonts w:ascii="Verdana" w:hAnsi="Verdana"/>
                <w:sz w:val="18"/>
                <w:szCs w:val="18"/>
              </w:rPr>
              <w:t>62</w:t>
            </w:r>
          </w:p>
        </w:tc>
        <w:tc>
          <w:tcPr>
            <w:tcW w:w="652" w:type="dxa"/>
            <w:noWrap/>
          </w:tcPr>
          <w:p w:rsidRPr="00C5308E" w:rsidR="0051019F" w:rsidP="00AC5FA8" w:rsidRDefault="0051019F" w14:paraId="3DAE8986" w14:textId="77777777">
            <w:pPr>
              <w:spacing w:after="0" w:line="240" w:lineRule="auto"/>
              <w:rPr>
                <w:rFonts w:ascii="Verdana" w:hAnsi="Verdana"/>
                <w:sz w:val="18"/>
                <w:szCs w:val="18"/>
              </w:rPr>
            </w:pPr>
            <w:r w:rsidRPr="00C5308E">
              <w:rPr>
                <w:rFonts w:ascii="Verdana" w:hAnsi="Verdana"/>
                <w:sz w:val="18"/>
                <w:szCs w:val="18"/>
              </w:rPr>
              <w:t>66</w:t>
            </w:r>
          </w:p>
        </w:tc>
        <w:tc>
          <w:tcPr>
            <w:tcW w:w="765" w:type="dxa"/>
            <w:noWrap/>
          </w:tcPr>
          <w:p w:rsidRPr="00C5308E" w:rsidR="0051019F" w:rsidP="00AC5FA8" w:rsidRDefault="0051019F" w14:paraId="6BDEA701" w14:textId="77777777">
            <w:pPr>
              <w:spacing w:after="0" w:line="240" w:lineRule="auto"/>
              <w:rPr>
                <w:rFonts w:ascii="Verdana" w:hAnsi="Verdana"/>
                <w:sz w:val="18"/>
                <w:szCs w:val="18"/>
              </w:rPr>
            </w:pPr>
            <w:r w:rsidRPr="00C5308E">
              <w:rPr>
                <w:rFonts w:ascii="Verdana" w:hAnsi="Verdana"/>
                <w:sz w:val="18"/>
                <w:szCs w:val="18"/>
              </w:rPr>
              <w:t>358</w:t>
            </w:r>
          </w:p>
        </w:tc>
        <w:tc>
          <w:tcPr>
            <w:tcW w:w="680" w:type="dxa"/>
            <w:noWrap/>
          </w:tcPr>
          <w:p w:rsidRPr="00C5308E" w:rsidR="0051019F" w:rsidP="00AC5FA8" w:rsidRDefault="0051019F" w14:paraId="57B9BC96" w14:textId="77777777">
            <w:pPr>
              <w:spacing w:after="0" w:line="240" w:lineRule="auto"/>
              <w:rPr>
                <w:rFonts w:ascii="Verdana" w:hAnsi="Verdana"/>
                <w:sz w:val="18"/>
                <w:szCs w:val="18"/>
              </w:rPr>
            </w:pPr>
            <w:r w:rsidRPr="00C5308E">
              <w:rPr>
                <w:rFonts w:ascii="Verdana" w:hAnsi="Verdana"/>
                <w:sz w:val="18"/>
                <w:szCs w:val="18"/>
              </w:rPr>
              <w:t>91</w:t>
            </w:r>
          </w:p>
        </w:tc>
      </w:tr>
      <w:tr w:rsidRPr="00C5308E" w:rsidR="0051019F" w:rsidTr="00AC5FA8" w14:paraId="3788E57A" w14:textId="77777777">
        <w:trPr>
          <w:trHeight w:val="240"/>
        </w:trPr>
        <w:tc>
          <w:tcPr>
            <w:tcW w:w="3828" w:type="dxa"/>
            <w:tcBorders>
              <w:top w:val="nil"/>
              <w:left w:val="nil"/>
              <w:right w:val="nil"/>
            </w:tcBorders>
            <w:noWrap/>
            <w:hideMark/>
          </w:tcPr>
          <w:p w:rsidRPr="00C5308E" w:rsidR="0051019F" w:rsidP="00AC5FA8" w:rsidRDefault="0051019F" w14:paraId="79A03334" w14:textId="77777777">
            <w:pPr>
              <w:spacing w:after="0" w:line="240" w:lineRule="auto"/>
              <w:rPr>
                <w:rFonts w:ascii="Verdana" w:hAnsi="Verdana"/>
                <w:sz w:val="18"/>
                <w:szCs w:val="18"/>
              </w:rPr>
            </w:pPr>
            <w:r w:rsidRPr="00C5308E">
              <w:rPr>
                <w:rFonts w:ascii="Verdana" w:hAnsi="Verdana"/>
                <w:sz w:val="18"/>
                <w:szCs w:val="18"/>
              </w:rPr>
              <w:t>Uitstel aangepast AO-criterium bij LKS</w:t>
            </w:r>
          </w:p>
        </w:tc>
        <w:tc>
          <w:tcPr>
            <w:tcW w:w="652" w:type="dxa"/>
            <w:tcBorders>
              <w:top w:val="nil"/>
              <w:left w:val="nil"/>
              <w:right w:val="nil"/>
            </w:tcBorders>
            <w:noWrap/>
          </w:tcPr>
          <w:p w:rsidRPr="00C5308E" w:rsidR="0051019F" w:rsidP="00AC5FA8" w:rsidRDefault="0051019F" w14:paraId="11D94C8D"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top w:val="nil"/>
              <w:left w:val="nil"/>
              <w:right w:val="nil"/>
            </w:tcBorders>
            <w:noWrap/>
          </w:tcPr>
          <w:p w:rsidRPr="00C5308E" w:rsidR="0051019F" w:rsidP="00AC5FA8" w:rsidRDefault="0051019F" w14:paraId="585A7E09"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51019F" w:rsidP="00AC5FA8" w:rsidRDefault="0051019F" w14:paraId="22A1FDAE"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51019F" w:rsidP="00AC5FA8" w:rsidRDefault="0051019F" w14:paraId="3B8DD0F5"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51019F" w:rsidP="00AC5FA8" w:rsidRDefault="0051019F" w14:paraId="4A960B30" w14:textId="77777777">
            <w:pPr>
              <w:spacing w:after="0" w:line="240" w:lineRule="auto"/>
              <w:rPr>
                <w:rFonts w:ascii="Verdana" w:hAnsi="Verdana"/>
                <w:sz w:val="18"/>
                <w:szCs w:val="18"/>
              </w:rPr>
            </w:pPr>
            <w:r w:rsidRPr="00C5308E">
              <w:rPr>
                <w:rFonts w:ascii="Verdana" w:hAnsi="Verdana"/>
                <w:sz w:val="18"/>
                <w:szCs w:val="18"/>
              </w:rPr>
              <w:t>1</w:t>
            </w:r>
          </w:p>
        </w:tc>
        <w:tc>
          <w:tcPr>
            <w:tcW w:w="652" w:type="dxa"/>
            <w:tcBorders>
              <w:top w:val="nil"/>
              <w:left w:val="nil"/>
              <w:right w:val="nil"/>
            </w:tcBorders>
            <w:noWrap/>
          </w:tcPr>
          <w:p w:rsidRPr="00C5308E" w:rsidR="0051019F" w:rsidP="00AC5FA8" w:rsidRDefault="0051019F" w14:paraId="79381583" w14:textId="77777777">
            <w:pPr>
              <w:spacing w:after="0" w:line="240" w:lineRule="auto"/>
              <w:rPr>
                <w:rFonts w:ascii="Verdana" w:hAnsi="Verdana"/>
                <w:sz w:val="18"/>
                <w:szCs w:val="18"/>
              </w:rPr>
            </w:pPr>
            <w:r w:rsidRPr="00C5308E">
              <w:rPr>
                <w:rFonts w:ascii="Verdana" w:hAnsi="Verdana"/>
                <w:sz w:val="18"/>
                <w:szCs w:val="18"/>
              </w:rPr>
              <w:t>1</w:t>
            </w:r>
          </w:p>
        </w:tc>
        <w:tc>
          <w:tcPr>
            <w:tcW w:w="765" w:type="dxa"/>
            <w:tcBorders>
              <w:top w:val="nil"/>
              <w:left w:val="nil"/>
              <w:right w:val="nil"/>
            </w:tcBorders>
            <w:noWrap/>
          </w:tcPr>
          <w:p w:rsidRPr="00C5308E" w:rsidR="0051019F" w:rsidP="00AC5FA8" w:rsidRDefault="0051019F" w14:paraId="779E4410" w14:textId="77777777">
            <w:pPr>
              <w:spacing w:after="0" w:line="240" w:lineRule="auto"/>
              <w:rPr>
                <w:rFonts w:ascii="Verdana" w:hAnsi="Verdana"/>
                <w:sz w:val="18"/>
                <w:szCs w:val="18"/>
              </w:rPr>
            </w:pPr>
            <w:r w:rsidRPr="00C5308E">
              <w:rPr>
                <w:rFonts w:ascii="Verdana" w:hAnsi="Verdana"/>
                <w:sz w:val="18"/>
                <w:szCs w:val="18"/>
              </w:rPr>
              <w:t>4</w:t>
            </w:r>
          </w:p>
        </w:tc>
        <w:tc>
          <w:tcPr>
            <w:tcW w:w="680" w:type="dxa"/>
            <w:tcBorders>
              <w:top w:val="nil"/>
              <w:left w:val="nil"/>
              <w:right w:val="nil"/>
            </w:tcBorders>
            <w:noWrap/>
          </w:tcPr>
          <w:p w:rsidRPr="00C5308E" w:rsidR="0051019F" w:rsidP="00AC5FA8" w:rsidRDefault="0051019F" w14:paraId="0DA61539" w14:textId="77777777">
            <w:pPr>
              <w:spacing w:after="0" w:line="240" w:lineRule="auto"/>
              <w:rPr>
                <w:rFonts w:ascii="Verdana" w:hAnsi="Verdana"/>
                <w:sz w:val="18"/>
                <w:szCs w:val="18"/>
              </w:rPr>
            </w:pPr>
            <w:r w:rsidRPr="00C5308E">
              <w:rPr>
                <w:rFonts w:ascii="Verdana" w:hAnsi="Verdana"/>
                <w:sz w:val="18"/>
                <w:szCs w:val="18"/>
              </w:rPr>
              <w:t>0</w:t>
            </w:r>
          </w:p>
        </w:tc>
      </w:tr>
      <w:tr w:rsidRPr="00C5308E" w:rsidR="0051019F" w:rsidTr="00AC5FA8" w14:paraId="0961A6A2" w14:textId="77777777">
        <w:trPr>
          <w:trHeight w:val="240"/>
        </w:trPr>
        <w:tc>
          <w:tcPr>
            <w:tcW w:w="3828" w:type="dxa"/>
            <w:tcBorders>
              <w:left w:val="nil"/>
              <w:bottom w:val="single" w:color="auto" w:sz="8" w:space="0"/>
              <w:right w:val="nil"/>
            </w:tcBorders>
            <w:noWrap/>
          </w:tcPr>
          <w:p w:rsidRPr="00C5308E" w:rsidR="0051019F" w:rsidP="00AC5FA8" w:rsidRDefault="0051019F" w14:paraId="19D854E3" w14:textId="77777777">
            <w:pPr>
              <w:spacing w:after="0" w:line="240" w:lineRule="auto"/>
              <w:rPr>
                <w:rFonts w:ascii="Verdana" w:hAnsi="Verdana"/>
                <w:sz w:val="18"/>
                <w:szCs w:val="18"/>
              </w:rPr>
            </w:pPr>
            <w:r w:rsidRPr="00C5308E">
              <w:rPr>
                <w:rFonts w:ascii="Verdana" w:hAnsi="Verdana"/>
                <w:sz w:val="18"/>
                <w:szCs w:val="18"/>
              </w:rPr>
              <w:t>Herziene Opvangrichtlijn**</w:t>
            </w:r>
          </w:p>
        </w:tc>
        <w:tc>
          <w:tcPr>
            <w:tcW w:w="652" w:type="dxa"/>
            <w:tcBorders>
              <w:left w:val="nil"/>
              <w:bottom w:val="single" w:color="auto" w:sz="8" w:space="0"/>
              <w:right w:val="nil"/>
            </w:tcBorders>
            <w:noWrap/>
          </w:tcPr>
          <w:p w:rsidRPr="00C5308E" w:rsidR="0051019F" w:rsidP="00AC5FA8" w:rsidRDefault="0051019F" w14:paraId="1B3D3A98"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51019F" w:rsidP="00AC5FA8" w:rsidRDefault="0051019F" w14:paraId="16FDA08E"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51019F" w:rsidP="00AC5FA8" w:rsidRDefault="0051019F" w14:paraId="1B051811"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51019F" w:rsidP="00AC5FA8" w:rsidRDefault="0051019F" w14:paraId="2D790BA9"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51019F" w:rsidP="00AC5FA8" w:rsidRDefault="0051019F" w14:paraId="17C110D0" w14:textId="77777777">
            <w:pPr>
              <w:spacing w:after="0" w:line="240" w:lineRule="auto"/>
              <w:rPr>
                <w:rFonts w:ascii="Verdana" w:hAnsi="Verdana"/>
                <w:sz w:val="18"/>
                <w:szCs w:val="18"/>
              </w:rPr>
            </w:pPr>
            <w:r w:rsidRPr="00C5308E">
              <w:rPr>
                <w:rFonts w:ascii="Verdana" w:hAnsi="Verdana"/>
                <w:sz w:val="18"/>
                <w:szCs w:val="18"/>
              </w:rPr>
              <w:t>0</w:t>
            </w:r>
          </w:p>
        </w:tc>
        <w:tc>
          <w:tcPr>
            <w:tcW w:w="652" w:type="dxa"/>
            <w:tcBorders>
              <w:left w:val="nil"/>
              <w:bottom w:val="single" w:color="auto" w:sz="8" w:space="0"/>
              <w:right w:val="nil"/>
            </w:tcBorders>
            <w:noWrap/>
          </w:tcPr>
          <w:p w:rsidRPr="00C5308E" w:rsidR="0051019F" w:rsidP="00AC5FA8" w:rsidRDefault="0051019F" w14:paraId="64AEBACD" w14:textId="77777777">
            <w:pPr>
              <w:spacing w:after="0" w:line="240" w:lineRule="auto"/>
              <w:rPr>
                <w:rFonts w:ascii="Verdana" w:hAnsi="Verdana"/>
                <w:sz w:val="18"/>
                <w:szCs w:val="18"/>
              </w:rPr>
            </w:pPr>
            <w:r w:rsidRPr="00C5308E">
              <w:rPr>
                <w:rFonts w:ascii="Verdana" w:hAnsi="Verdana"/>
                <w:sz w:val="18"/>
                <w:szCs w:val="18"/>
              </w:rPr>
              <w:t>1</w:t>
            </w:r>
          </w:p>
        </w:tc>
        <w:tc>
          <w:tcPr>
            <w:tcW w:w="765" w:type="dxa"/>
            <w:tcBorders>
              <w:left w:val="nil"/>
              <w:bottom w:val="single" w:color="auto" w:sz="8" w:space="0"/>
              <w:right w:val="nil"/>
            </w:tcBorders>
            <w:noWrap/>
          </w:tcPr>
          <w:p w:rsidRPr="00C5308E" w:rsidR="0051019F" w:rsidP="00AC5FA8" w:rsidRDefault="0051019F" w14:paraId="1E413001" w14:textId="77777777">
            <w:pPr>
              <w:spacing w:after="0" w:line="240" w:lineRule="auto"/>
              <w:rPr>
                <w:rFonts w:ascii="Verdana" w:hAnsi="Verdana"/>
                <w:sz w:val="18"/>
                <w:szCs w:val="18"/>
              </w:rPr>
            </w:pPr>
            <w:r w:rsidRPr="00C5308E">
              <w:rPr>
                <w:rFonts w:ascii="Verdana" w:hAnsi="Verdana"/>
                <w:sz w:val="18"/>
                <w:szCs w:val="18"/>
              </w:rPr>
              <w:t>1</w:t>
            </w:r>
          </w:p>
        </w:tc>
        <w:tc>
          <w:tcPr>
            <w:tcW w:w="680" w:type="dxa"/>
            <w:tcBorders>
              <w:left w:val="nil"/>
              <w:bottom w:val="single" w:color="auto" w:sz="8" w:space="0"/>
              <w:right w:val="nil"/>
            </w:tcBorders>
            <w:noWrap/>
          </w:tcPr>
          <w:p w:rsidRPr="00C5308E" w:rsidR="0051019F" w:rsidP="00AC5FA8" w:rsidRDefault="0051019F" w14:paraId="45DB4E8F" w14:textId="77777777">
            <w:pPr>
              <w:spacing w:after="0" w:line="240" w:lineRule="auto"/>
              <w:rPr>
                <w:rFonts w:ascii="Verdana" w:hAnsi="Verdana"/>
                <w:sz w:val="18"/>
                <w:szCs w:val="18"/>
              </w:rPr>
            </w:pPr>
            <w:r w:rsidRPr="00C5308E">
              <w:rPr>
                <w:rFonts w:ascii="Verdana" w:hAnsi="Verdana"/>
                <w:sz w:val="18"/>
                <w:szCs w:val="18"/>
              </w:rPr>
              <w:t>1</w:t>
            </w:r>
          </w:p>
        </w:tc>
      </w:tr>
      <w:tr w:rsidRPr="00C5308E" w:rsidR="0051019F" w:rsidTr="00AC5FA8" w14:paraId="1FF136D5" w14:textId="77777777">
        <w:trPr>
          <w:trHeight w:val="240"/>
        </w:trPr>
        <w:tc>
          <w:tcPr>
            <w:tcW w:w="3828" w:type="dxa"/>
            <w:tcBorders>
              <w:top w:val="nil"/>
              <w:left w:val="nil"/>
              <w:bottom w:val="single" w:color="auto" w:sz="8" w:space="0"/>
              <w:right w:val="nil"/>
            </w:tcBorders>
            <w:noWrap/>
            <w:vAlign w:val="bottom"/>
            <w:hideMark/>
          </w:tcPr>
          <w:p w:rsidRPr="00C5308E" w:rsidR="0051019F" w:rsidP="00AC5FA8" w:rsidRDefault="0051019F" w14:paraId="024250CC" w14:textId="77777777">
            <w:pPr>
              <w:spacing w:after="0" w:line="240" w:lineRule="auto"/>
              <w:rPr>
                <w:rFonts w:ascii="Verdana" w:hAnsi="Verdana"/>
                <w:b/>
                <w:bCs/>
                <w:sz w:val="18"/>
                <w:szCs w:val="18"/>
              </w:rPr>
            </w:pPr>
            <w:r w:rsidRPr="00C5308E">
              <w:rPr>
                <w:rFonts w:ascii="Verdana" w:hAnsi="Verdana"/>
                <w:b/>
                <w:bCs/>
                <w:sz w:val="18"/>
                <w:szCs w:val="18"/>
              </w:rPr>
              <w:t>Totaal</w:t>
            </w:r>
          </w:p>
        </w:tc>
        <w:tc>
          <w:tcPr>
            <w:tcW w:w="652" w:type="dxa"/>
            <w:tcBorders>
              <w:top w:val="nil"/>
              <w:left w:val="nil"/>
              <w:bottom w:val="single" w:color="auto" w:sz="8" w:space="0"/>
              <w:right w:val="nil"/>
            </w:tcBorders>
            <w:noWrap/>
            <w:vAlign w:val="bottom"/>
          </w:tcPr>
          <w:p w:rsidRPr="00C5308E" w:rsidR="0051019F" w:rsidP="00AC5FA8" w:rsidRDefault="0051019F" w14:paraId="45226193" w14:textId="77777777">
            <w:pPr>
              <w:spacing w:after="0" w:line="240" w:lineRule="auto"/>
              <w:rPr>
                <w:rFonts w:ascii="Verdana" w:hAnsi="Verdana"/>
                <w:b/>
                <w:bCs/>
                <w:sz w:val="18"/>
                <w:szCs w:val="18"/>
              </w:rPr>
            </w:pPr>
            <w:r w:rsidRPr="00C5308E">
              <w:rPr>
                <w:rFonts w:ascii="Verdana" w:hAnsi="Verdana"/>
                <w:b/>
                <w:bCs/>
                <w:sz w:val="18"/>
                <w:szCs w:val="18"/>
              </w:rPr>
              <w:t>27</w:t>
            </w:r>
          </w:p>
        </w:tc>
        <w:tc>
          <w:tcPr>
            <w:tcW w:w="652" w:type="dxa"/>
            <w:tcBorders>
              <w:top w:val="nil"/>
              <w:left w:val="nil"/>
              <w:bottom w:val="single" w:color="auto" w:sz="8" w:space="0"/>
              <w:right w:val="nil"/>
            </w:tcBorders>
            <w:noWrap/>
            <w:vAlign w:val="bottom"/>
          </w:tcPr>
          <w:p w:rsidRPr="00C5308E" w:rsidR="0051019F" w:rsidP="00AC5FA8" w:rsidRDefault="0051019F" w14:paraId="53061879" w14:textId="77777777">
            <w:pPr>
              <w:spacing w:after="0" w:line="240" w:lineRule="auto"/>
              <w:rPr>
                <w:rFonts w:ascii="Verdana" w:hAnsi="Verdana"/>
                <w:b/>
                <w:bCs/>
                <w:sz w:val="18"/>
                <w:szCs w:val="18"/>
              </w:rPr>
            </w:pPr>
            <w:r w:rsidRPr="00C5308E">
              <w:rPr>
                <w:rFonts w:ascii="Verdana" w:hAnsi="Verdana"/>
                <w:b/>
                <w:bCs/>
                <w:sz w:val="18"/>
                <w:szCs w:val="18"/>
              </w:rPr>
              <w:t>238</w:t>
            </w:r>
          </w:p>
        </w:tc>
        <w:tc>
          <w:tcPr>
            <w:tcW w:w="652" w:type="dxa"/>
            <w:tcBorders>
              <w:top w:val="nil"/>
              <w:left w:val="nil"/>
              <w:bottom w:val="single" w:color="auto" w:sz="8" w:space="0"/>
              <w:right w:val="nil"/>
            </w:tcBorders>
            <w:noWrap/>
            <w:vAlign w:val="bottom"/>
          </w:tcPr>
          <w:p w:rsidRPr="00C5308E" w:rsidR="0051019F" w:rsidP="00AC5FA8" w:rsidRDefault="0051019F" w14:paraId="2BE5C328" w14:textId="77777777">
            <w:pPr>
              <w:spacing w:after="0" w:line="240" w:lineRule="auto"/>
              <w:rPr>
                <w:rFonts w:ascii="Verdana" w:hAnsi="Verdana"/>
                <w:b/>
                <w:bCs/>
                <w:sz w:val="18"/>
                <w:szCs w:val="18"/>
              </w:rPr>
            </w:pPr>
            <w:r w:rsidRPr="00C5308E">
              <w:rPr>
                <w:rFonts w:ascii="Verdana" w:hAnsi="Verdana"/>
                <w:b/>
                <w:bCs/>
                <w:sz w:val="18"/>
                <w:szCs w:val="18"/>
              </w:rPr>
              <w:t>240</w:t>
            </w:r>
          </w:p>
        </w:tc>
        <w:tc>
          <w:tcPr>
            <w:tcW w:w="652" w:type="dxa"/>
            <w:tcBorders>
              <w:top w:val="nil"/>
              <w:left w:val="nil"/>
              <w:bottom w:val="single" w:color="auto" w:sz="8" w:space="0"/>
              <w:right w:val="nil"/>
            </w:tcBorders>
            <w:noWrap/>
            <w:vAlign w:val="bottom"/>
          </w:tcPr>
          <w:p w:rsidRPr="00C5308E" w:rsidR="0051019F" w:rsidP="00AC5FA8" w:rsidRDefault="0051019F" w14:paraId="287CB045" w14:textId="77777777">
            <w:pPr>
              <w:spacing w:after="0" w:line="240" w:lineRule="auto"/>
              <w:rPr>
                <w:rFonts w:ascii="Verdana" w:hAnsi="Verdana"/>
                <w:b/>
                <w:bCs/>
                <w:sz w:val="18"/>
                <w:szCs w:val="18"/>
              </w:rPr>
            </w:pPr>
            <w:r w:rsidRPr="00C5308E">
              <w:rPr>
                <w:rFonts w:ascii="Verdana" w:hAnsi="Verdana"/>
                <w:b/>
                <w:bCs/>
                <w:sz w:val="18"/>
                <w:szCs w:val="18"/>
              </w:rPr>
              <w:t>182</w:t>
            </w:r>
          </w:p>
        </w:tc>
        <w:tc>
          <w:tcPr>
            <w:tcW w:w="652" w:type="dxa"/>
            <w:tcBorders>
              <w:top w:val="nil"/>
              <w:left w:val="nil"/>
              <w:bottom w:val="single" w:color="auto" w:sz="8" w:space="0"/>
              <w:right w:val="nil"/>
            </w:tcBorders>
            <w:noWrap/>
            <w:vAlign w:val="bottom"/>
          </w:tcPr>
          <w:p w:rsidRPr="00C5308E" w:rsidR="0051019F" w:rsidP="00AC5FA8" w:rsidRDefault="0051019F" w14:paraId="52831FA1" w14:textId="77777777">
            <w:pPr>
              <w:spacing w:after="0" w:line="240" w:lineRule="auto"/>
              <w:rPr>
                <w:rFonts w:ascii="Verdana" w:hAnsi="Verdana"/>
                <w:b/>
                <w:bCs/>
                <w:sz w:val="18"/>
                <w:szCs w:val="18"/>
              </w:rPr>
            </w:pPr>
            <w:r w:rsidRPr="00C5308E">
              <w:rPr>
                <w:rFonts w:ascii="Verdana" w:hAnsi="Verdana"/>
                <w:b/>
                <w:bCs/>
                <w:sz w:val="18"/>
                <w:szCs w:val="18"/>
              </w:rPr>
              <w:t>184</w:t>
            </w:r>
          </w:p>
        </w:tc>
        <w:tc>
          <w:tcPr>
            <w:tcW w:w="652" w:type="dxa"/>
            <w:tcBorders>
              <w:top w:val="nil"/>
              <w:left w:val="nil"/>
              <w:bottom w:val="single" w:color="auto" w:sz="8" w:space="0"/>
              <w:right w:val="nil"/>
            </w:tcBorders>
            <w:noWrap/>
            <w:vAlign w:val="bottom"/>
          </w:tcPr>
          <w:p w:rsidRPr="00C5308E" w:rsidR="0051019F" w:rsidP="00AC5FA8" w:rsidRDefault="0051019F" w14:paraId="0B615828" w14:textId="77777777">
            <w:pPr>
              <w:spacing w:after="0" w:line="240" w:lineRule="auto"/>
              <w:rPr>
                <w:rFonts w:ascii="Verdana" w:hAnsi="Verdana"/>
                <w:b/>
                <w:bCs/>
                <w:sz w:val="18"/>
                <w:szCs w:val="18"/>
              </w:rPr>
            </w:pPr>
            <w:r w:rsidRPr="00C5308E">
              <w:rPr>
                <w:rFonts w:ascii="Verdana" w:hAnsi="Verdana"/>
                <w:b/>
                <w:bCs/>
                <w:sz w:val="18"/>
                <w:szCs w:val="18"/>
              </w:rPr>
              <w:t>211</w:t>
            </w:r>
          </w:p>
        </w:tc>
        <w:tc>
          <w:tcPr>
            <w:tcW w:w="765" w:type="dxa"/>
            <w:tcBorders>
              <w:top w:val="nil"/>
              <w:left w:val="nil"/>
              <w:bottom w:val="single" w:color="auto" w:sz="8" w:space="0"/>
              <w:right w:val="nil"/>
            </w:tcBorders>
            <w:noWrap/>
            <w:vAlign w:val="bottom"/>
          </w:tcPr>
          <w:p w:rsidRPr="00C5308E" w:rsidR="0051019F" w:rsidP="00AC5FA8" w:rsidRDefault="0051019F" w14:paraId="307FA2E4" w14:textId="77777777">
            <w:pPr>
              <w:spacing w:after="0" w:line="240" w:lineRule="auto"/>
              <w:rPr>
                <w:rFonts w:ascii="Verdana" w:hAnsi="Verdana"/>
                <w:b/>
                <w:bCs/>
                <w:sz w:val="18"/>
                <w:szCs w:val="18"/>
              </w:rPr>
            </w:pPr>
            <w:r w:rsidRPr="00C5308E">
              <w:rPr>
                <w:rFonts w:ascii="Verdana" w:hAnsi="Verdana"/>
                <w:b/>
                <w:bCs/>
                <w:sz w:val="18"/>
                <w:szCs w:val="18"/>
              </w:rPr>
              <w:t>1.081</w:t>
            </w:r>
          </w:p>
        </w:tc>
        <w:tc>
          <w:tcPr>
            <w:tcW w:w="680" w:type="dxa"/>
            <w:tcBorders>
              <w:top w:val="nil"/>
              <w:left w:val="nil"/>
              <w:bottom w:val="single" w:color="auto" w:sz="8" w:space="0"/>
              <w:right w:val="nil"/>
            </w:tcBorders>
            <w:noWrap/>
            <w:vAlign w:val="bottom"/>
          </w:tcPr>
          <w:p w:rsidRPr="00C5308E" w:rsidR="0051019F" w:rsidP="00AC5FA8" w:rsidRDefault="0051019F" w14:paraId="2B98CCB0" w14:textId="77777777">
            <w:pPr>
              <w:spacing w:after="0" w:line="240" w:lineRule="auto"/>
              <w:rPr>
                <w:rFonts w:ascii="Verdana" w:hAnsi="Verdana"/>
                <w:b/>
                <w:bCs/>
                <w:sz w:val="18"/>
                <w:szCs w:val="18"/>
              </w:rPr>
            </w:pPr>
            <w:r w:rsidRPr="00C5308E">
              <w:rPr>
                <w:rFonts w:ascii="Verdana" w:hAnsi="Verdana"/>
                <w:b/>
                <w:bCs/>
                <w:sz w:val="18"/>
                <w:szCs w:val="18"/>
              </w:rPr>
              <w:t>374</w:t>
            </w:r>
          </w:p>
        </w:tc>
      </w:tr>
    </w:tbl>
    <w:p w:rsidRPr="00C5308E" w:rsidR="0051019F" w:rsidP="0051019F" w:rsidRDefault="0051019F" w14:paraId="03D15A61" w14:textId="77777777">
      <w:pPr>
        <w:spacing w:after="0" w:line="240" w:lineRule="auto"/>
        <w:rPr>
          <w:rFonts w:ascii="Verdana" w:hAnsi="Verdana"/>
          <w:sz w:val="16"/>
          <w:szCs w:val="16"/>
        </w:rPr>
      </w:pPr>
      <w:r w:rsidRPr="00C5308E">
        <w:rPr>
          <w:rFonts w:ascii="Verdana" w:hAnsi="Verdana"/>
          <w:sz w:val="16"/>
          <w:szCs w:val="16"/>
        </w:rPr>
        <w:t>* Betreft enkel het effect op de WGA plus de doorwerking daarvan op de TW.</w:t>
      </w:r>
    </w:p>
    <w:p w:rsidRPr="00C5308E" w:rsidR="0051019F" w:rsidP="0051019F" w:rsidRDefault="0051019F" w14:paraId="1184FC47" w14:textId="77777777">
      <w:pPr>
        <w:spacing w:after="0" w:line="240" w:lineRule="auto"/>
        <w:rPr>
          <w:rFonts w:ascii="Verdana" w:hAnsi="Verdana"/>
          <w:sz w:val="16"/>
          <w:szCs w:val="16"/>
        </w:rPr>
      </w:pPr>
      <w:r w:rsidRPr="00C5308E">
        <w:rPr>
          <w:rFonts w:ascii="Verdana" w:hAnsi="Verdana"/>
          <w:sz w:val="16"/>
          <w:szCs w:val="16"/>
        </w:rPr>
        <w:t>** Betreft enkel het effect op de WGA.</w:t>
      </w:r>
    </w:p>
    <w:p w:rsidRPr="00C5308E" w:rsidR="0051019F" w:rsidP="0051019F" w:rsidRDefault="0051019F" w14:paraId="35CEFCBF" w14:textId="77777777">
      <w:pPr>
        <w:spacing w:after="0" w:line="240" w:lineRule="auto"/>
        <w:rPr>
          <w:rFonts w:ascii="Verdana" w:hAnsi="Verdana"/>
          <w:sz w:val="18"/>
          <w:szCs w:val="18"/>
        </w:rPr>
      </w:pPr>
    </w:p>
    <w:p w:rsidRPr="00C5308E" w:rsidR="0051019F" w:rsidP="0051019F" w:rsidRDefault="0051019F" w14:paraId="60C2F3C4" w14:textId="77777777">
      <w:pPr>
        <w:spacing w:after="0" w:line="240" w:lineRule="auto"/>
        <w:rPr>
          <w:rFonts w:ascii="Verdana" w:hAnsi="Verdana"/>
          <w:sz w:val="18"/>
          <w:szCs w:val="18"/>
        </w:rPr>
      </w:pPr>
    </w:p>
    <w:p w:rsidRPr="00C5308E" w:rsidR="0051019F" w:rsidP="0051019F" w:rsidRDefault="0051019F" w14:paraId="320E91E0"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Herstelactie WIA-dagloon: </w:t>
      </w:r>
      <w:r w:rsidRPr="00C5308E">
        <w:rPr>
          <w:rFonts w:ascii="Verdana" w:hAnsi="Verdana"/>
          <w:sz w:val="18"/>
          <w:szCs w:val="18"/>
        </w:rPr>
        <w:t>UWV heeft in de periode 2020–2024 fouten gemaakt bij de vaststelling van het dagloon van WIA-uitkeringen. Deze fouten worden de komende jaren hersteld, wat extra WIA-uitgaven tot gevolg heeft. Voor het herstel zet UWV een organisatie op.</w:t>
      </w:r>
    </w:p>
    <w:p w:rsidRPr="00C5308E" w:rsidR="0051019F" w:rsidP="0051019F" w:rsidRDefault="0051019F" w14:paraId="73FF18E3" w14:textId="77777777">
      <w:pPr>
        <w:numPr>
          <w:ilvl w:val="0"/>
          <w:numId w:val="4"/>
        </w:numPr>
        <w:spacing w:after="0" w:line="240" w:lineRule="auto"/>
        <w:rPr>
          <w:rFonts w:ascii="Verdana" w:hAnsi="Verdana"/>
          <w:sz w:val="18"/>
          <w:szCs w:val="18"/>
        </w:rPr>
      </w:pPr>
      <w:r w:rsidRPr="00C5308E">
        <w:rPr>
          <w:rFonts w:ascii="Verdana" w:hAnsi="Verdana"/>
          <w:b/>
          <w:bCs/>
          <w:sz w:val="18"/>
          <w:szCs w:val="18"/>
        </w:rPr>
        <w:t>Herstelactie WIA-indexatie:</w:t>
      </w:r>
      <w:r w:rsidRPr="00C5308E">
        <w:rPr>
          <w:rFonts w:ascii="Verdana" w:hAnsi="Verdana"/>
          <w:sz w:val="18"/>
          <w:szCs w:val="18"/>
        </w:rPr>
        <w:t xml:space="preserve"> in de periode 2006-2022 heeft de indexatie bij de toekenning van nieuwe WIA-uitkeringen in een deel van de gevallen onjuist plaatsgevonden. Dit wordt de komende jaren hersteld.</w:t>
      </w:r>
    </w:p>
    <w:p w:rsidRPr="00C5308E" w:rsidR="0051019F" w:rsidP="0051019F" w:rsidRDefault="0051019F" w14:paraId="1C6AA67E" w14:textId="77777777">
      <w:pPr>
        <w:numPr>
          <w:ilvl w:val="0"/>
          <w:numId w:val="4"/>
        </w:numPr>
        <w:spacing w:after="0" w:line="240" w:lineRule="auto"/>
        <w:rPr>
          <w:rFonts w:ascii="Verdana" w:hAnsi="Verdana"/>
          <w:sz w:val="18"/>
          <w:szCs w:val="18"/>
        </w:rPr>
      </w:pPr>
      <w:r w:rsidRPr="00C5308E">
        <w:rPr>
          <w:rFonts w:ascii="Verdana" w:hAnsi="Verdana"/>
          <w:b/>
          <w:bCs/>
          <w:sz w:val="18"/>
          <w:szCs w:val="18"/>
        </w:rPr>
        <w:t>Reservering maatmanloonindexatie:</w:t>
      </w:r>
      <w:r w:rsidRPr="00C5308E">
        <w:rPr>
          <w:rFonts w:ascii="Verdana" w:hAnsi="Verdana"/>
          <w:sz w:val="18"/>
          <w:szCs w:val="18"/>
        </w:rPr>
        <w:t xml:space="preserve"> UWV is erachter gekomen dat het vanaf november 2023 bij de berekening van het maatmanloon een te laag indexatiepercentage gehanteerd </w:t>
      </w:r>
      <w:r w:rsidRPr="00C5308E">
        <w:rPr>
          <w:rFonts w:ascii="Verdana" w:hAnsi="Verdana"/>
          <w:sz w:val="18"/>
          <w:szCs w:val="18"/>
        </w:rPr>
        <w:lastRenderedPageBreak/>
        <w:t>heeft. In afwachting van verder onderzoek wordt een reservering genomen voor eventueel herstel.</w:t>
      </w:r>
    </w:p>
    <w:p w:rsidRPr="00C5308E" w:rsidR="0051019F" w:rsidP="0051019F" w:rsidRDefault="0051019F" w14:paraId="4281E426" w14:textId="77777777">
      <w:pPr>
        <w:numPr>
          <w:ilvl w:val="0"/>
          <w:numId w:val="4"/>
        </w:numPr>
        <w:spacing w:after="0" w:line="240" w:lineRule="auto"/>
        <w:rPr>
          <w:rFonts w:ascii="Verdana" w:hAnsi="Verdana"/>
          <w:sz w:val="18"/>
          <w:szCs w:val="18"/>
        </w:rPr>
      </w:pPr>
      <w:r w:rsidRPr="00C5308E">
        <w:rPr>
          <w:rFonts w:ascii="Verdana" w:hAnsi="Verdana"/>
          <w:b/>
          <w:bCs/>
          <w:sz w:val="18"/>
          <w:szCs w:val="18"/>
        </w:rPr>
        <w:t>60-plusmaatregel:</w:t>
      </w:r>
      <w:r w:rsidRPr="00C5308E">
        <w:rPr>
          <w:rFonts w:ascii="Verdana" w:hAnsi="Verdana"/>
          <w:sz w:val="18"/>
          <w:szCs w:val="18"/>
        </w:rPr>
        <w:t xml:space="preserve"> om de mismatch bij sociaal-medisch beoordelen te verkleinen is het streven om vanaf september 2025 de vereenvoudigde claimbeoordeling voor 60-plussers voort te zetten voor een periode van 2 jaar.</w:t>
      </w:r>
    </w:p>
    <w:p w:rsidRPr="00C5308E" w:rsidR="0051019F" w:rsidP="0051019F" w:rsidRDefault="0051019F" w14:paraId="0C1A5E60" w14:textId="77777777">
      <w:pPr>
        <w:numPr>
          <w:ilvl w:val="0"/>
          <w:numId w:val="4"/>
        </w:numPr>
        <w:spacing w:after="0" w:line="240" w:lineRule="auto"/>
        <w:rPr>
          <w:rFonts w:ascii="Verdana" w:hAnsi="Verdana"/>
          <w:sz w:val="18"/>
          <w:szCs w:val="18"/>
        </w:rPr>
      </w:pPr>
      <w:r w:rsidRPr="00C5308E">
        <w:rPr>
          <w:rFonts w:ascii="Verdana" w:hAnsi="Verdana"/>
          <w:b/>
          <w:bCs/>
          <w:sz w:val="18"/>
          <w:szCs w:val="18"/>
        </w:rPr>
        <w:t>Uitvoeringskosten Sociaal-Medische Centra (SMC):</w:t>
      </w:r>
      <w:r w:rsidRPr="00C5308E">
        <w:rPr>
          <w:rFonts w:ascii="Verdana" w:hAnsi="Verdana"/>
          <w:sz w:val="18"/>
          <w:szCs w:val="18"/>
        </w:rPr>
        <w:t xml:space="preserve"> 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 Hierover zijn prestatieafspraken gemaakt met het UWV. Als de effecten uitblijven of tegenvallen zal de bestemming van deze middelen opnieuw worden bezien.</w:t>
      </w:r>
    </w:p>
    <w:p w:rsidRPr="00C5308E" w:rsidR="0051019F" w:rsidP="0051019F" w:rsidRDefault="0051019F" w14:paraId="6AA330CF" w14:textId="77777777">
      <w:pPr>
        <w:numPr>
          <w:ilvl w:val="0"/>
          <w:numId w:val="4"/>
        </w:numPr>
        <w:spacing w:after="0" w:line="240" w:lineRule="auto"/>
        <w:rPr>
          <w:rFonts w:ascii="Verdana" w:hAnsi="Verdana"/>
          <w:sz w:val="18"/>
          <w:szCs w:val="18"/>
        </w:rPr>
      </w:pPr>
      <w:r w:rsidRPr="00C5308E">
        <w:rPr>
          <w:rFonts w:ascii="Verdana" w:hAnsi="Verdana"/>
          <w:b/>
          <w:bCs/>
          <w:sz w:val="18"/>
          <w:szCs w:val="18"/>
        </w:rPr>
        <w:t>Kwijtschelden voorschotten:</w:t>
      </w:r>
      <w:r w:rsidRPr="00C5308E">
        <w:rPr>
          <w:rFonts w:ascii="Verdana" w:hAnsi="Verdana"/>
          <w:sz w:val="18"/>
          <w:szCs w:val="18"/>
        </w:rPr>
        <w:t xml:space="preserve"> 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Dit beleid wordt structureel en binnenwettelijk gemaakt, zodat het beleid voorspelbaar wordt voor langdurig zieke werknemers.</w:t>
      </w:r>
    </w:p>
    <w:p w:rsidRPr="00C5308E" w:rsidR="0051019F" w:rsidP="0051019F" w:rsidRDefault="0051019F" w14:paraId="11946E49"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Praktisch beoordelen: </w:t>
      </w:r>
      <w:r w:rsidRPr="00C5308E">
        <w:rPr>
          <w:rFonts w:ascii="Verdana" w:hAnsi="Verdana"/>
          <w:sz w:val="18"/>
          <w:szCs w:val="18"/>
        </w:rPr>
        <w:t>het kabinet heeft € 197 miljoen structureel vrijgemaakt voor structurele verbeteringen in het arbeidsongeschiktheidsstelsel. Hiermee kunnen twee maatregelen worden gefinancierd. De eerste is het structureel maken van de maatregel praktisch beoordelen, waarbij het arbeidsongeschiktheidspercentage van iemand die werkt bij een WIA-aanvraag wordt bepaald aan de hand van het inkomen dat met dat werk verdiend wordt.</w:t>
      </w:r>
    </w:p>
    <w:p w:rsidRPr="00C5308E" w:rsidR="0051019F" w:rsidP="0051019F" w:rsidRDefault="0051019F" w14:paraId="0657AE61"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Medisch advies van de bedrijfsarts leidend maken bij het re-integratieverslag (RIV): </w:t>
      </w:r>
      <w:r w:rsidRPr="00C5308E">
        <w:rPr>
          <w:rFonts w:ascii="Verdana" w:hAnsi="Verdana"/>
          <w:sz w:val="18"/>
          <w:szCs w:val="18"/>
        </w:rPr>
        <w:t>de tweede maatregel is het leidend maken van het medisch advies van de bedrijfsarts over de belastbaarheid van de zieke werknemer bij de toets op de re-integratie inspanningen door UWV. Hierdoor zal de verzekeringsarts dit advies bij deze toets niet langer beoordelen waardoor loonsancties op basis van een medisch verschil van inzicht tussen de bedrijfsarts en de verzekeringsarts niet meer mogelijk zijn. De sociaal-medische claimbeoordeling voor het recht op een WIA-uitkering blijft (onveranderd) uitgevoerd worden door de verzekeringsarts van UWV.</w:t>
      </w:r>
    </w:p>
    <w:p w:rsidRPr="00C5308E" w:rsidR="0051019F" w:rsidP="0051019F" w:rsidRDefault="0051019F" w14:paraId="6CC97A21" w14:textId="77777777">
      <w:pPr>
        <w:numPr>
          <w:ilvl w:val="0"/>
          <w:numId w:val="4"/>
        </w:numPr>
        <w:spacing w:after="0" w:line="240" w:lineRule="auto"/>
        <w:rPr>
          <w:rFonts w:ascii="Verdana" w:hAnsi="Verdana"/>
          <w:b/>
          <w:bCs/>
          <w:sz w:val="18"/>
          <w:szCs w:val="18"/>
        </w:rPr>
      </w:pPr>
      <w:r w:rsidRPr="00C5308E">
        <w:rPr>
          <w:rFonts w:ascii="Verdana" w:hAnsi="Verdana"/>
          <w:b/>
          <w:bCs/>
          <w:sz w:val="18"/>
          <w:szCs w:val="18"/>
        </w:rPr>
        <w:t>Duurverkorting loongerelateerde uitkering (LGU) in de Werkhervatting Gedeeltelijk Arbeidsgeschikten (WGA):</w:t>
      </w:r>
      <w:r w:rsidRPr="00C5308E">
        <w:rPr>
          <w:rFonts w:ascii="Verdana" w:hAnsi="Verdana"/>
          <w:sz w:val="18"/>
          <w:szCs w:val="18"/>
        </w:rPr>
        <w:t xml:space="preserve"> voor de LGU van de WGA en de Werkloosheidswet (WW) is omwille van vereenvoudiging ervoor gekozen om de hoogte en duur van de twee uitkeringen te harmoniseren. In het Hoofdlijnenakkoord is gekozen voor een besparing op de WW. Hier wordt invulling aan gegeven met een inkorting van de maximale WW-uitkeringsduur, wat ook leidt tot een inkorting van de maximale uitkeringsduur van de loongerelateerde WGA-uitkering. WGA-gerechtigden ontvangen daardoor eerder een loonaanvullingsuitkering of vervolguitkering.</w:t>
      </w:r>
    </w:p>
    <w:p w:rsidRPr="00C5308E" w:rsidR="00767C37" w:rsidP="00767C37" w:rsidRDefault="0051019F" w14:paraId="62EF56DB" w14:textId="19532984">
      <w:pPr>
        <w:numPr>
          <w:ilvl w:val="0"/>
          <w:numId w:val="4"/>
        </w:numPr>
        <w:spacing w:after="0" w:line="240" w:lineRule="auto"/>
        <w:rPr>
          <w:rFonts w:ascii="Verdana" w:hAnsi="Verdana"/>
          <w:sz w:val="18"/>
          <w:szCs w:val="18"/>
        </w:rPr>
      </w:pPr>
      <w:r w:rsidRPr="00C5308E">
        <w:rPr>
          <w:rFonts w:ascii="Verdana" w:hAnsi="Verdana"/>
          <w:b/>
          <w:bCs/>
          <w:sz w:val="18"/>
          <w:szCs w:val="18"/>
        </w:rPr>
        <w:t>Loonloze tijdvakken:</w:t>
      </w:r>
      <w:r w:rsidRPr="00C5308E">
        <w:rPr>
          <w:rFonts w:ascii="Verdana" w:hAnsi="Verdana"/>
          <w:sz w:val="18"/>
          <w:szCs w:val="18"/>
        </w:rPr>
        <w:t xml:space="preserve"> </w:t>
      </w:r>
      <w:r w:rsidRPr="00C5308E" w:rsidR="00767C37">
        <w:rPr>
          <w:rFonts w:ascii="Verdana" w:hAnsi="Verdana"/>
          <w:sz w:val="18"/>
          <w:szCs w:val="18"/>
        </w:rPr>
        <w:t>De Centrale Raad van Beroep heeft op 30 juli 2024 een uitspraak gedaan omtrent de WIA-dagloonvaststelling waarbij sprake is van zogenoemde loonloze tijdvakken. Deze uitspraak gaat verder dan een eerdere uitspraak van 29 november 2023 waar reeds middelen voor gereserveerd waren. Nu is aanvullend budget vrijgemaakt voor het opvolgen van de laatste uitspraak.</w:t>
      </w:r>
    </w:p>
    <w:p w:rsidRPr="00C5308E" w:rsidR="0051019F" w:rsidP="00B31641" w:rsidRDefault="0051019F" w14:paraId="4874ACCF"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Uitstel aangepast arbeidsongeschiktheidscriterium bij loonkostensubsidie (LKS): </w:t>
      </w:r>
      <w:r w:rsidRPr="00C5308E">
        <w:rPr>
          <w:rFonts w:ascii="Verdana" w:hAnsi="Verdana"/>
          <w:sz w:val="18"/>
          <w:szCs w:val="18"/>
        </w:rPr>
        <w:t>de invoering van een aangepast arbeidsongeschiktheidscriterium voor mensen die werken met loonkostensubsidie wordt met een jaar uitgesteld, van 1 januari 2026 naar 1 januari 2027.</w:t>
      </w:r>
    </w:p>
    <w:p w:rsidRPr="00C5308E" w:rsidR="0051019F" w:rsidP="0051019F" w:rsidRDefault="0051019F" w14:paraId="3F16551F" w14:textId="77777777">
      <w:pPr>
        <w:numPr>
          <w:ilvl w:val="0"/>
          <w:numId w:val="4"/>
        </w:numPr>
        <w:spacing w:after="0" w:line="240" w:lineRule="auto"/>
        <w:rPr>
          <w:rFonts w:ascii="Verdana" w:hAnsi="Verdana"/>
          <w:sz w:val="18"/>
          <w:szCs w:val="18"/>
        </w:rPr>
      </w:pPr>
      <w:r w:rsidRPr="00C5308E">
        <w:rPr>
          <w:rFonts w:ascii="Verdana" w:hAnsi="Verdana"/>
          <w:b/>
          <w:bCs/>
          <w:sz w:val="18"/>
          <w:szCs w:val="18"/>
        </w:rPr>
        <w:t xml:space="preserve">Herziene Opvangrichtlijn: </w:t>
      </w:r>
      <w:r w:rsidRPr="00C5308E">
        <w:rPr>
          <w:rFonts w:ascii="Verdana" w:hAnsi="Verdana"/>
          <w:sz w:val="18"/>
          <w:szCs w:val="18"/>
        </w:rPr>
        <w:t>als onderdeel van het Migratiepact is de Opvangrichtlijn herzien. Implementatie in nationale wetgeving moet in juni 2026 gereed zijn. De herziening ziet onder andere op het uitsluiten van de toegang tot de arbeidsmarkt voor een aantal categorieën asielzoekers van wie de asielaanvraag in de versnelde behandelingsprocedure zit. Daarnaast nodigt de herziene opvangrichtlijn lidstaten uit om de wachttermijn voor toetreding tot de arbeidsmarkt voor kansrijke asielzoekers te verkorten naar 3 maanden. SZW zet hierop in, in lijn met de ambitie uit het regeerakkoord om asielzoekers te stimuleren te werken. Dit leidt tot indirecte kosten voor werknemersregelingen en volksverzekeringen.</w:t>
      </w:r>
    </w:p>
    <w:p w:rsidRPr="00C5308E" w:rsidR="0076594D" w:rsidP="00D87753" w:rsidRDefault="0076594D" w14:paraId="7F67D1A5" w14:textId="77777777">
      <w:pPr>
        <w:spacing w:after="0" w:line="240" w:lineRule="auto"/>
        <w:contextualSpacing/>
        <w:rPr>
          <w:rFonts w:ascii="Verdana" w:hAnsi="Verdana"/>
          <w:bCs/>
          <w:sz w:val="18"/>
          <w:szCs w:val="18"/>
        </w:rPr>
      </w:pPr>
    </w:p>
    <w:p w:rsidRPr="00C5308E" w:rsidR="009D4CE1" w:rsidP="00D87753" w:rsidRDefault="009D4CE1" w14:paraId="7951E18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142</w:t>
      </w:r>
    </w:p>
    <w:p w:rsidRPr="00C5308E" w:rsidR="009D4CE1" w:rsidP="00D87753" w:rsidRDefault="009D4CE1" w14:paraId="5546B6F0" w14:textId="77777777">
      <w:pPr>
        <w:spacing w:after="0" w:line="240" w:lineRule="auto"/>
        <w:contextualSpacing/>
        <w:rPr>
          <w:rFonts w:ascii="Verdana" w:hAnsi="Verdana"/>
          <w:bCs/>
          <w:sz w:val="18"/>
          <w:szCs w:val="18"/>
        </w:rPr>
      </w:pPr>
      <w:r w:rsidRPr="00C5308E">
        <w:rPr>
          <w:rFonts w:ascii="Verdana" w:hAnsi="Verdana"/>
          <w:bCs/>
          <w:sz w:val="18"/>
          <w:szCs w:val="18"/>
        </w:rPr>
        <w:t>Wat is het verwachte effect van de invoering van de vereenvoudigde beoordeling voor 60-plussers vanaf 1 september 2025 op de WIA-instroom?</w:t>
      </w:r>
    </w:p>
    <w:p w:rsidRPr="00C5308E" w:rsidR="009D4CE1" w:rsidP="00D87753" w:rsidRDefault="009D4CE1" w14:paraId="14E50881" w14:textId="77777777">
      <w:pPr>
        <w:spacing w:after="0" w:line="240" w:lineRule="auto"/>
        <w:contextualSpacing/>
        <w:rPr>
          <w:rFonts w:ascii="Verdana" w:hAnsi="Verdana"/>
          <w:bCs/>
          <w:sz w:val="18"/>
          <w:szCs w:val="18"/>
        </w:rPr>
      </w:pPr>
    </w:p>
    <w:p w:rsidRPr="00C5308E" w:rsidR="009D4CE1" w:rsidP="00D87753" w:rsidRDefault="009D4CE1" w14:paraId="3184053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142</w:t>
      </w:r>
    </w:p>
    <w:p w:rsidRPr="00C5308E" w:rsidR="009D4CE1" w:rsidP="00D87753" w:rsidRDefault="009D4CE1" w14:paraId="30CA0732" w14:textId="0C8C705D">
      <w:pPr>
        <w:spacing w:after="0" w:line="240" w:lineRule="auto"/>
        <w:contextualSpacing/>
        <w:rPr>
          <w:rFonts w:ascii="Verdana" w:hAnsi="Verdana"/>
          <w:bCs/>
          <w:sz w:val="18"/>
          <w:szCs w:val="18"/>
        </w:rPr>
      </w:pPr>
      <w:r w:rsidRPr="00C5308E">
        <w:rPr>
          <w:rFonts w:ascii="Verdana" w:hAnsi="Verdana"/>
          <w:bCs/>
          <w:sz w:val="18"/>
          <w:szCs w:val="18"/>
        </w:rPr>
        <w:t xml:space="preserve">Als gevolg van de vereenvoudigde beoordeling voor 60-plussers krijgt een deel van de 60-plussers een beoordeling met een uitkomst die afwijkt van de reguliere WIA-claimbeoordeling. De verwachting is dat er per jaar dat de maatregel </w:t>
      </w:r>
      <w:r w:rsidRPr="00C5308E" w:rsidR="007B00C8">
        <w:rPr>
          <w:rFonts w:ascii="Verdana" w:hAnsi="Verdana"/>
          <w:bCs/>
          <w:sz w:val="18"/>
          <w:szCs w:val="18"/>
        </w:rPr>
        <w:t xml:space="preserve">geldt </w:t>
      </w:r>
      <w:r w:rsidRPr="00C5308E">
        <w:rPr>
          <w:rFonts w:ascii="Verdana" w:hAnsi="Verdana"/>
          <w:bCs/>
          <w:sz w:val="18"/>
          <w:szCs w:val="18"/>
        </w:rPr>
        <w:t>ongeveer 2.400 60-plussers extra de WIA in zullen stromen. Doordat de maatregel met 2 jaar wordt verlengd gaat het dus om ongeveer 4.800 mensen.</w:t>
      </w:r>
    </w:p>
    <w:p w:rsidRPr="00C5308E" w:rsidR="009D4CE1" w:rsidP="00D87753" w:rsidRDefault="009D4CE1" w14:paraId="090E74D3" w14:textId="77777777">
      <w:pPr>
        <w:spacing w:after="0" w:line="240" w:lineRule="auto"/>
        <w:contextualSpacing/>
        <w:rPr>
          <w:rFonts w:ascii="Verdana" w:hAnsi="Verdana"/>
          <w:bCs/>
          <w:sz w:val="18"/>
          <w:szCs w:val="18"/>
        </w:rPr>
      </w:pPr>
    </w:p>
    <w:p w:rsidRPr="00C5308E" w:rsidR="009D4CE1" w:rsidP="00D87753" w:rsidRDefault="009D4CE1" w14:paraId="2CA48E0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143</w:t>
      </w:r>
    </w:p>
    <w:p w:rsidRPr="00C5308E" w:rsidR="009D4CE1" w:rsidP="00D87753" w:rsidRDefault="009D4CE1" w14:paraId="3FE8FB0E" w14:textId="77777777">
      <w:pPr>
        <w:spacing w:after="0" w:line="240" w:lineRule="auto"/>
        <w:contextualSpacing/>
        <w:rPr>
          <w:rFonts w:ascii="Verdana" w:hAnsi="Verdana"/>
          <w:bCs/>
          <w:sz w:val="18"/>
          <w:szCs w:val="18"/>
        </w:rPr>
      </w:pPr>
      <w:r w:rsidRPr="00C5308E">
        <w:rPr>
          <w:rFonts w:ascii="Verdana" w:hAnsi="Verdana"/>
          <w:bCs/>
          <w:sz w:val="18"/>
          <w:szCs w:val="18"/>
        </w:rPr>
        <w:t>Wat is het verwachte effect van de invoering van de vereenvoudigde beoordeling voor 60-plussers vanaf 1 september 2025 op de wachtlijsten bij het UWV?</w:t>
      </w:r>
    </w:p>
    <w:p w:rsidRPr="00C5308E" w:rsidR="009D4CE1" w:rsidP="00D87753" w:rsidRDefault="009D4CE1" w14:paraId="67F42C7D" w14:textId="77777777">
      <w:pPr>
        <w:spacing w:after="0" w:line="240" w:lineRule="auto"/>
        <w:contextualSpacing/>
        <w:rPr>
          <w:rFonts w:ascii="Verdana" w:hAnsi="Verdana"/>
          <w:bCs/>
          <w:sz w:val="18"/>
          <w:szCs w:val="18"/>
        </w:rPr>
      </w:pPr>
    </w:p>
    <w:p w:rsidRPr="00C5308E" w:rsidR="009D4CE1" w:rsidP="00D87753" w:rsidRDefault="009D4CE1" w14:paraId="1D5BA08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143</w:t>
      </w:r>
    </w:p>
    <w:p w:rsidRPr="00C5308E" w:rsidR="009D4CE1" w:rsidP="00D87753" w:rsidRDefault="009D4CE1" w14:paraId="5F2A7B8A" w14:textId="77777777">
      <w:pPr>
        <w:spacing w:after="0" w:line="240" w:lineRule="auto"/>
        <w:contextualSpacing/>
        <w:rPr>
          <w:rFonts w:ascii="Verdana" w:hAnsi="Verdana"/>
          <w:bCs/>
          <w:sz w:val="18"/>
          <w:szCs w:val="18"/>
        </w:rPr>
      </w:pPr>
      <w:r w:rsidRPr="00C5308E">
        <w:rPr>
          <w:rFonts w:ascii="Verdana" w:hAnsi="Verdana"/>
          <w:bCs/>
          <w:sz w:val="18"/>
          <w:szCs w:val="18"/>
        </w:rPr>
        <w:t>Naar verwachting zorgt de 60-plusmaatregel ervoor dat UWV per jaar ongeveer 10.000 extra beoordelingen kan doen. Dit komt doordat de beoordeling gedaan wordt met meer inzet van de arbeidsdeskundige en geen of minder inzet van de verzekeringsarts. Doordat de maatregel met 2 jaar wordt verlengd gaat het dus om ongeveer 20.000 extra beoordelingen.</w:t>
      </w:r>
    </w:p>
    <w:p w:rsidRPr="00C5308E" w:rsidR="009D4CE1" w:rsidP="00D87753" w:rsidRDefault="009D4CE1" w14:paraId="1F020C74" w14:textId="77777777">
      <w:pPr>
        <w:spacing w:after="0" w:line="240" w:lineRule="auto"/>
        <w:contextualSpacing/>
        <w:rPr>
          <w:rFonts w:ascii="Verdana" w:hAnsi="Verdana"/>
          <w:bCs/>
          <w:sz w:val="18"/>
          <w:szCs w:val="18"/>
        </w:rPr>
      </w:pPr>
    </w:p>
    <w:p w:rsidRPr="00C5308E" w:rsidR="009D4CE1" w:rsidP="00D87753" w:rsidRDefault="009D4CE1" w14:paraId="477FC24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144</w:t>
      </w:r>
    </w:p>
    <w:p w:rsidRPr="00C5308E" w:rsidR="009D4CE1" w:rsidP="00D87753" w:rsidRDefault="009D4CE1" w14:paraId="0B4C9B19" w14:textId="77777777">
      <w:pPr>
        <w:spacing w:after="0" w:line="240" w:lineRule="auto"/>
        <w:contextualSpacing/>
        <w:rPr>
          <w:rFonts w:ascii="Verdana" w:hAnsi="Verdana"/>
          <w:bCs/>
          <w:sz w:val="18"/>
          <w:szCs w:val="18"/>
        </w:rPr>
      </w:pPr>
      <w:r w:rsidRPr="00C5308E">
        <w:rPr>
          <w:rFonts w:ascii="Verdana" w:hAnsi="Verdana"/>
          <w:bCs/>
          <w:sz w:val="18"/>
          <w:szCs w:val="18"/>
        </w:rPr>
        <w:t>Op welke wijze wordt de vereenvoudigde beoordeling voor 60-plussers vanaf 1 september 2025 wettelijk gezien geregeld?</w:t>
      </w:r>
    </w:p>
    <w:p w:rsidRPr="00C5308E" w:rsidR="009D4CE1" w:rsidP="00D87753" w:rsidRDefault="009D4CE1" w14:paraId="14E6D33E" w14:textId="77777777">
      <w:pPr>
        <w:spacing w:after="0" w:line="240" w:lineRule="auto"/>
        <w:contextualSpacing/>
        <w:rPr>
          <w:rFonts w:ascii="Verdana" w:hAnsi="Verdana"/>
          <w:bCs/>
          <w:sz w:val="18"/>
          <w:szCs w:val="18"/>
        </w:rPr>
      </w:pPr>
    </w:p>
    <w:p w:rsidRPr="00C5308E" w:rsidR="009D4CE1" w:rsidP="00D87753" w:rsidRDefault="009D4CE1" w14:paraId="7642BE1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144</w:t>
      </w:r>
    </w:p>
    <w:p w:rsidRPr="00C5308E" w:rsidR="009D4CE1" w:rsidP="00D87753" w:rsidRDefault="009D4CE1" w14:paraId="7983B758" w14:textId="245F350A">
      <w:pPr>
        <w:spacing w:after="0" w:line="240" w:lineRule="auto"/>
        <w:contextualSpacing/>
        <w:rPr>
          <w:rFonts w:ascii="Verdana" w:hAnsi="Verdana"/>
          <w:bCs/>
          <w:sz w:val="18"/>
          <w:szCs w:val="18"/>
        </w:rPr>
      </w:pPr>
      <w:r w:rsidRPr="00C5308E">
        <w:rPr>
          <w:rFonts w:ascii="Verdana" w:hAnsi="Verdana"/>
          <w:bCs/>
          <w:sz w:val="18"/>
          <w:szCs w:val="18"/>
        </w:rPr>
        <w:t xml:space="preserve">De vereenvoudigde beoordeling voor 60-plussers is een buitenwettelijke maatregel. Een belangrijk uitgangspunt hierbij is dat niemand erdoor benadeeld wordt. Daarnaast is een belangrijk uitgangspunt dat de vereenvoudigde beoordeling alleen wordt toegepast als werkgever en werknemer daarvoor akkoord hebben gegeven. Werkgever en werknemer kunnen dus ook vragen om een reguliere beoordeling. Tot slot blijft de waarborg die de wet biedt, namelijk de mogelijkheid om bezwaar te maken tegen de beslissing van UWV, onveranderd beschikbaar voor de mensen die </w:t>
      </w:r>
      <w:r w:rsidRPr="00C5308E" w:rsidR="00A55C58">
        <w:rPr>
          <w:rFonts w:ascii="Verdana" w:hAnsi="Verdana"/>
          <w:bCs/>
          <w:sz w:val="18"/>
          <w:szCs w:val="18"/>
        </w:rPr>
        <w:t>akkoord zijn met</w:t>
      </w:r>
      <w:r w:rsidRPr="00C5308E">
        <w:rPr>
          <w:rFonts w:ascii="Verdana" w:hAnsi="Verdana"/>
          <w:bCs/>
          <w:sz w:val="18"/>
          <w:szCs w:val="18"/>
        </w:rPr>
        <w:t xml:space="preserve"> de vereenvoudigde beoordeling.</w:t>
      </w:r>
    </w:p>
    <w:p w:rsidRPr="00C5308E" w:rsidR="009D4CE1" w:rsidP="00D87753" w:rsidRDefault="009D4CE1" w14:paraId="2C97680F" w14:textId="77777777">
      <w:pPr>
        <w:spacing w:after="0" w:line="240" w:lineRule="auto"/>
        <w:contextualSpacing/>
        <w:rPr>
          <w:rFonts w:ascii="Verdana" w:hAnsi="Verdana"/>
          <w:bCs/>
          <w:sz w:val="18"/>
          <w:szCs w:val="18"/>
        </w:rPr>
      </w:pPr>
    </w:p>
    <w:p w:rsidRPr="00C5308E" w:rsidR="009D4CE1" w:rsidP="00D87753" w:rsidRDefault="009D4CE1" w14:paraId="2BA828D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145</w:t>
      </w:r>
    </w:p>
    <w:p w:rsidRPr="00C5308E" w:rsidR="009D4CE1" w:rsidP="00D87753" w:rsidRDefault="009D4CE1" w14:paraId="6D32CB11" w14:textId="77777777">
      <w:pPr>
        <w:spacing w:after="0" w:line="240" w:lineRule="auto"/>
        <w:contextualSpacing/>
        <w:rPr>
          <w:rFonts w:ascii="Verdana" w:hAnsi="Verdana"/>
          <w:bCs/>
          <w:sz w:val="18"/>
          <w:szCs w:val="18"/>
        </w:rPr>
      </w:pPr>
      <w:r w:rsidRPr="00C5308E">
        <w:rPr>
          <w:rFonts w:ascii="Verdana" w:hAnsi="Verdana"/>
          <w:bCs/>
          <w:sz w:val="18"/>
          <w:szCs w:val="18"/>
        </w:rPr>
        <w:t>Wat wordt bedoeld met het structureel en binnenwettelijk maken van het kwijtscheldingsbeleid van WIA-voorschotten?</w:t>
      </w:r>
    </w:p>
    <w:p w:rsidRPr="00C5308E" w:rsidR="009D4CE1" w:rsidP="00D87753" w:rsidRDefault="009D4CE1" w14:paraId="50A52FA7" w14:textId="77777777">
      <w:pPr>
        <w:spacing w:after="0" w:line="240" w:lineRule="auto"/>
        <w:contextualSpacing/>
        <w:rPr>
          <w:rFonts w:ascii="Verdana" w:hAnsi="Verdana"/>
          <w:bCs/>
          <w:sz w:val="18"/>
          <w:szCs w:val="18"/>
        </w:rPr>
      </w:pPr>
    </w:p>
    <w:p w:rsidRPr="00C5308E" w:rsidR="009D4CE1" w:rsidP="00D87753" w:rsidRDefault="009D4CE1" w14:paraId="6C2209D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145</w:t>
      </w:r>
    </w:p>
    <w:p w:rsidRPr="00C5308E" w:rsidR="009D4CE1" w:rsidP="00D87753" w:rsidRDefault="009D4CE1" w14:paraId="70E02D5B" w14:textId="77777777">
      <w:pPr>
        <w:spacing w:after="0" w:line="240" w:lineRule="auto"/>
        <w:contextualSpacing/>
        <w:rPr>
          <w:rFonts w:ascii="Verdana" w:hAnsi="Verdana"/>
          <w:bCs/>
          <w:sz w:val="18"/>
          <w:szCs w:val="18"/>
        </w:rPr>
      </w:pPr>
      <w:r w:rsidRPr="00C5308E">
        <w:rPr>
          <w:rFonts w:ascii="Verdana" w:hAnsi="Verdana"/>
          <w:bCs/>
          <w:sz w:val="18"/>
          <w:szCs w:val="18"/>
        </w:rPr>
        <w:t>Het kwijtscheldbeleid WIA-voorschotten is telkens aangekondigd voor de beperkte duur van één jaar. Het betreft buitenwettelijk begunstigend beleid, waar geen wettelijke grondslag voor is. In de Voorjaarsnota 2024 is het beleid aangekondigd tot en met 31 december 2025 (Kamerstukken II 2023/24, 36550, nr. 1). De minister van SZW vindt het wenselijk het kwijtscheldbeleid WIA-voorschotten voor langere duur toe te passen en hiervoor een wettelijke grondslag te creëren. Dit geeft mensen meer zekerheid. Deze wettelijke grondslag wordt de komende periode uitgewerkt.</w:t>
      </w:r>
    </w:p>
    <w:p w:rsidRPr="00C5308E" w:rsidR="009D4CE1" w:rsidP="00D87753" w:rsidRDefault="009D4CE1" w14:paraId="2059AF56" w14:textId="77777777">
      <w:pPr>
        <w:spacing w:after="0" w:line="240" w:lineRule="auto"/>
        <w:contextualSpacing/>
        <w:rPr>
          <w:rFonts w:ascii="Verdana" w:hAnsi="Verdana"/>
          <w:bCs/>
          <w:sz w:val="18"/>
          <w:szCs w:val="18"/>
        </w:rPr>
      </w:pPr>
    </w:p>
    <w:p w:rsidRPr="00C5308E" w:rsidR="009D4CE1" w:rsidP="00D87753" w:rsidRDefault="009D4CE1" w14:paraId="355802E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146</w:t>
      </w:r>
    </w:p>
    <w:p w:rsidRPr="00C5308E" w:rsidR="009D4CE1" w:rsidP="00D87753" w:rsidRDefault="009D4CE1" w14:paraId="0C73A99E" w14:textId="77777777">
      <w:pPr>
        <w:spacing w:after="0" w:line="240" w:lineRule="auto"/>
        <w:contextualSpacing/>
        <w:rPr>
          <w:rFonts w:ascii="Verdana" w:hAnsi="Verdana"/>
          <w:bCs/>
          <w:sz w:val="18"/>
          <w:szCs w:val="18"/>
        </w:rPr>
      </w:pPr>
      <w:r w:rsidRPr="00C5308E">
        <w:rPr>
          <w:rFonts w:ascii="Verdana" w:hAnsi="Verdana"/>
          <w:bCs/>
          <w:sz w:val="18"/>
          <w:szCs w:val="18"/>
        </w:rPr>
        <w:t>Hoeveel sociaal-medische beoordelingen worden jaarlijks bespaard door de toepassing van de vereenvoudigde claimbeoordeling voor 60-plussers?</w:t>
      </w:r>
    </w:p>
    <w:p w:rsidRPr="00C5308E" w:rsidR="009D4CE1" w:rsidP="00D87753" w:rsidRDefault="009D4CE1" w14:paraId="4C3EBC22" w14:textId="77777777">
      <w:pPr>
        <w:spacing w:after="0" w:line="240" w:lineRule="auto"/>
        <w:contextualSpacing/>
        <w:rPr>
          <w:rFonts w:ascii="Verdana" w:hAnsi="Verdana"/>
          <w:bCs/>
          <w:sz w:val="18"/>
          <w:szCs w:val="18"/>
        </w:rPr>
      </w:pPr>
    </w:p>
    <w:p w:rsidRPr="00C5308E" w:rsidR="009D4CE1" w:rsidP="00D87753" w:rsidRDefault="009D4CE1" w14:paraId="1DC444D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146</w:t>
      </w:r>
    </w:p>
    <w:p w:rsidRPr="00C5308E" w:rsidR="009D4CE1" w:rsidP="00D87753" w:rsidRDefault="009D4CE1" w14:paraId="238CB82F" w14:textId="77777777">
      <w:pPr>
        <w:spacing w:after="0" w:line="240" w:lineRule="auto"/>
        <w:contextualSpacing/>
        <w:rPr>
          <w:rFonts w:ascii="Verdana" w:hAnsi="Verdana"/>
          <w:bCs/>
          <w:sz w:val="18"/>
          <w:szCs w:val="18"/>
        </w:rPr>
      </w:pPr>
      <w:r w:rsidRPr="00C5308E">
        <w:rPr>
          <w:rFonts w:ascii="Verdana" w:hAnsi="Verdana"/>
          <w:bCs/>
          <w:sz w:val="18"/>
          <w:szCs w:val="18"/>
        </w:rPr>
        <w:t>Naar verwachting zorgt de 60-plusmaatregel ervoor dat UWV per jaar ongeveer 10.000 extra beoordelingen kan doen. Dit komt doordat de beoordeling gedaan wordt met meer inzet van de arbeidsdeskundige en geen of minder inzet van de verzekeringsarts. Doordat de maatregel met 2 jaar wordt verlengd gaat het dus om ongeveer 20.000 extra beoordelingen.</w:t>
      </w:r>
    </w:p>
    <w:p w:rsidRPr="00C5308E" w:rsidR="009D4CE1" w:rsidP="00D87753" w:rsidRDefault="009D4CE1" w14:paraId="379DA1E1" w14:textId="77777777">
      <w:pPr>
        <w:spacing w:after="0" w:line="240" w:lineRule="auto"/>
        <w:contextualSpacing/>
        <w:rPr>
          <w:rFonts w:ascii="Verdana" w:hAnsi="Verdana"/>
          <w:bCs/>
          <w:sz w:val="18"/>
          <w:szCs w:val="18"/>
        </w:rPr>
      </w:pPr>
    </w:p>
    <w:p w:rsidRPr="00C5308E" w:rsidR="009D4CE1" w:rsidP="00D87753" w:rsidRDefault="009D4CE1" w14:paraId="2E07089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147</w:t>
      </w:r>
    </w:p>
    <w:p w:rsidRPr="00C5308E" w:rsidR="009D4CE1" w:rsidP="00D87753" w:rsidRDefault="009D4CE1" w14:paraId="5EE204D6" w14:textId="77777777">
      <w:pPr>
        <w:spacing w:after="0" w:line="240" w:lineRule="auto"/>
        <w:contextualSpacing/>
        <w:rPr>
          <w:rFonts w:ascii="Verdana" w:hAnsi="Verdana"/>
          <w:bCs/>
          <w:sz w:val="18"/>
          <w:szCs w:val="18"/>
        </w:rPr>
      </w:pPr>
      <w:r w:rsidRPr="00C5308E">
        <w:rPr>
          <w:rFonts w:ascii="Verdana" w:hAnsi="Verdana"/>
          <w:bCs/>
          <w:sz w:val="18"/>
          <w:szCs w:val="18"/>
        </w:rPr>
        <w:t>Wat is het verwachte effect op de andere wachttijden door de toepassing van de vereenvoudigde claimbeoordeling voor 60-plussers?</w:t>
      </w:r>
    </w:p>
    <w:p w:rsidRPr="00C5308E" w:rsidR="009D4CE1" w:rsidP="00D87753" w:rsidRDefault="009D4CE1" w14:paraId="1FE0807A" w14:textId="77777777">
      <w:pPr>
        <w:spacing w:after="0" w:line="240" w:lineRule="auto"/>
        <w:contextualSpacing/>
        <w:rPr>
          <w:rFonts w:ascii="Verdana" w:hAnsi="Verdana"/>
          <w:bCs/>
          <w:sz w:val="18"/>
          <w:szCs w:val="18"/>
        </w:rPr>
      </w:pPr>
    </w:p>
    <w:p w:rsidRPr="00C5308E" w:rsidR="009D4CE1" w:rsidP="00D87753" w:rsidRDefault="009D4CE1" w14:paraId="02AD900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147</w:t>
      </w:r>
    </w:p>
    <w:p w:rsidR="009D4CE1" w:rsidP="00D87753" w:rsidRDefault="009D4CE1" w14:paraId="577B2FDD" w14:textId="77777777">
      <w:pPr>
        <w:spacing w:after="0" w:line="240" w:lineRule="auto"/>
        <w:contextualSpacing/>
        <w:rPr>
          <w:rFonts w:ascii="Verdana" w:hAnsi="Verdana"/>
          <w:bCs/>
          <w:sz w:val="18"/>
          <w:szCs w:val="18"/>
        </w:rPr>
      </w:pPr>
      <w:r w:rsidRPr="00C5308E">
        <w:rPr>
          <w:rFonts w:ascii="Verdana" w:hAnsi="Verdana"/>
          <w:bCs/>
          <w:sz w:val="18"/>
          <w:szCs w:val="18"/>
        </w:rPr>
        <w:t>De verwachting is dat de 60-plusmaatregel op zichzelf staand een positief effect heeft op de achterstanden en op de wachttijden bij de WIA-claimbeoordeling. Of de maatregel ook een positief effect heeft op de wachttijden van andere sociaal-medische beoordelingen die UWV verricht is niet goed in te schatten en te meten, omdat er daarbij verschillende effecten door elkaar spelen.</w:t>
      </w:r>
    </w:p>
    <w:p w:rsidRPr="00C5308E" w:rsidR="00972542" w:rsidP="00D87753" w:rsidRDefault="00972542" w14:paraId="180211AE" w14:textId="77777777">
      <w:pPr>
        <w:spacing w:after="0" w:line="240" w:lineRule="auto"/>
        <w:contextualSpacing/>
        <w:rPr>
          <w:rFonts w:ascii="Verdana" w:hAnsi="Verdana"/>
          <w:bCs/>
          <w:sz w:val="18"/>
          <w:szCs w:val="18"/>
        </w:rPr>
      </w:pPr>
    </w:p>
    <w:p w:rsidRPr="00C5308E" w:rsidR="009D4CE1" w:rsidP="00D87753" w:rsidRDefault="009D4CE1" w14:paraId="6B9AD5C0" w14:textId="77777777">
      <w:pPr>
        <w:spacing w:after="0" w:line="240" w:lineRule="auto"/>
        <w:contextualSpacing/>
        <w:rPr>
          <w:rFonts w:ascii="Verdana" w:hAnsi="Verdana"/>
          <w:bCs/>
          <w:sz w:val="18"/>
          <w:szCs w:val="18"/>
        </w:rPr>
      </w:pPr>
    </w:p>
    <w:p w:rsidRPr="00C5308E" w:rsidR="009D4CE1" w:rsidP="00D87753" w:rsidRDefault="009D4CE1" w14:paraId="1FB403A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148</w:t>
      </w:r>
    </w:p>
    <w:p w:rsidRPr="00C5308E" w:rsidR="009D4CE1" w:rsidP="00D87753" w:rsidRDefault="009D4CE1" w14:paraId="57FD29A2" w14:textId="77777777">
      <w:pPr>
        <w:spacing w:after="0" w:line="240" w:lineRule="auto"/>
        <w:contextualSpacing/>
        <w:rPr>
          <w:rFonts w:ascii="Verdana" w:hAnsi="Verdana"/>
          <w:bCs/>
          <w:sz w:val="18"/>
          <w:szCs w:val="18"/>
        </w:rPr>
      </w:pPr>
      <w:r w:rsidRPr="00C5308E">
        <w:rPr>
          <w:rFonts w:ascii="Verdana" w:hAnsi="Verdana"/>
          <w:bCs/>
          <w:sz w:val="18"/>
          <w:szCs w:val="18"/>
        </w:rPr>
        <w:t>Welke concrete maatregelen worden genomen om het aantal dwangsombetalingen, na te laat beslissen, structureel terug te dringen, en hoe verhoudt dit zich tot de stijgende uitvoeringslasten bij het UWV, waaronder de WIA-herstelacties?</w:t>
      </w:r>
    </w:p>
    <w:p w:rsidRPr="00C5308E" w:rsidR="009D4CE1" w:rsidP="00D87753" w:rsidRDefault="009D4CE1" w14:paraId="26331162" w14:textId="77777777">
      <w:pPr>
        <w:spacing w:after="0" w:line="240" w:lineRule="auto"/>
        <w:contextualSpacing/>
        <w:rPr>
          <w:rFonts w:ascii="Verdana" w:hAnsi="Verdana"/>
          <w:bCs/>
          <w:sz w:val="18"/>
          <w:szCs w:val="18"/>
        </w:rPr>
      </w:pPr>
    </w:p>
    <w:p w:rsidRPr="00C5308E" w:rsidR="009D4CE1" w:rsidP="00D87753" w:rsidRDefault="009D4CE1" w14:paraId="102E94C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148</w:t>
      </w:r>
    </w:p>
    <w:p w:rsidRPr="00C5308E" w:rsidR="009D4CE1" w:rsidP="00D87753" w:rsidRDefault="009D4CE1" w14:paraId="660F38CA" w14:textId="77777777">
      <w:pPr>
        <w:spacing w:after="0" w:line="240" w:lineRule="auto"/>
        <w:contextualSpacing/>
        <w:rPr>
          <w:rFonts w:ascii="Verdana" w:hAnsi="Verdana"/>
          <w:bCs/>
          <w:sz w:val="18"/>
          <w:szCs w:val="18"/>
        </w:rPr>
      </w:pPr>
      <w:r w:rsidRPr="00C5308E">
        <w:rPr>
          <w:rFonts w:ascii="Verdana" w:hAnsi="Verdana"/>
          <w:bCs/>
          <w:sz w:val="18"/>
          <w:szCs w:val="18"/>
        </w:rPr>
        <w:t xml:space="preserve">Door middel van een verkenning worden opties in kaart gebracht om het verbeuren van dwangsommen in de WIA te beperken. Nadat de verkenning is afgerond, zal de minister van SZW een besluit nemen over eventuele maatregelen. </w:t>
      </w:r>
    </w:p>
    <w:p w:rsidRPr="00C5308E" w:rsidR="009D4CE1" w:rsidP="00D87753" w:rsidRDefault="009D4CE1" w14:paraId="5059CA55" w14:textId="77777777">
      <w:pPr>
        <w:spacing w:after="0" w:line="240" w:lineRule="auto"/>
        <w:contextualSpacing/>
        <w:rPr>
          <w:rFonts w:ascii="Verdana" w:hAnsi="Verdana"/>
          <w:bCs/>
          <w:sz w:val="18"/>
          <w:szCs w:val="18"/>
        </w:rPr>
      </w:pPr>
    </w:p>
    <w:p w:rsidRPr="00C5308E" w:rsidR="005D5669" w:rsidP="00D87753" w:rsidRDefault="005D5669" w14:paraId="7B12B71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149</w:t>
      </w:r>
    </w:p>
    <w:p w:rsidRPr="00C5308E" w:rsidR="005D5669" w:rsidP="00D87753" w:rsidRDefault="005D5669" w14:paraId="1807831E" w14:textId="77777777">
      <w:pPr>
        <w:spacing w:after="0" w:line="240" w:lineRule="auto"/>
        <w:contextualSpacing/>
        <w:rPr>
          <w:rFonts w:ascii="Verdana" w:hAnsi="Verdana"/>
          <w:bCs/>
          <w:sz w:val="18"/>
          <w:szCs w:val="18"/>
        </w:rPr>
      </w:pPr>
      <w:r w:rsidRPr="00C5308E">
        <w:rPr>
          <w:rFonts w:ascii="Verdana" w:hAnsi="Verdana"/>
          <w:bCs/>
          <w:sz w:val="18"/>
          <w:szCs w:val="18"/>
        </w:rPr>
        <w:t>Waarom worden nieuwe ziektes gefaseerd aan de Tegemoetkoming Stoffengerelateerde Beroepsziekten (TSB) toegevoegd? Waarom heeft dit vertraging opgelopen?</w:t>
      </w:r>
    </w:p>
    <w:p w:rsidRPr="00C5308E" w:rsidR="005D5669" w:rsidP="00D87753" w:rsidRDefault="005D5669" w14:paraId="733DD68F" w14:textId="77777777">
      <w:pPr>
        <w:spacing w:after="0" w:line="240" w:lineRule="auto"/>
        <w:contextualSpacing/>
        <w:rPr>
          <w:rFonts w:ascii="Verdana" w:hAnsi="Verdana"/>
          <w:bCs/>
          <w:sz w:val="18"/>
          <w:szCs w:val="18"/>
        </w:rPr>
      </w:pPr>
    </w:p>
    <w:p w:rsidRPr="00C5308E" w:rsidR="005D5669" w:rsidP="00D87753" w:rsidRDefault="005D5669" w14:paraId="265D22C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149</w:t>
      </w:r>
    </w:p>
    <w:p w:rsidRPr="00C5308E" w:rsidR="005D5669" w:rsidP="00D87753" w:rsidRDefault="005D5669" w14:paraId="5E0C5627" w14:textId="77777777">
      <w:pPr>
        <w:spacing w:after="0" w:line="240" w:lineRule="auto"/>
        <w:contextualSpacing/>
        <w:rPr>
          <w:rFonts w:ascii="Verdana" w:hAnsi="Verdana"/>
          <w:bCs/>
          <w:sz w:val="18"/>
          <w:szCs w:val="18"/>
        </w:rPr>
      </w:pPr>
      <w:r w:rsidRPr="00C5308E">
        <w:rPr>
          <w:rFonts w:ascii="Verdana" w:hAnsi="Verdana"/>
          <w:bCs/>
          <w:sz w:val="18"/>
          <w:szCs w:val="18"/>
        </w:rPr>
        <w:t>Beroepsziekten worden aan de regeling toegevoegd als voldaan is aan een aantal praktische randvoorwaarden, waaronder:</w:t>
      </w:r>
    </w:p>
    <w:p w:rsidRPr="00C5308E" w:rsidR="005D5669" w:rsidP="00D87753" w:rsidRDefault="005D5669" w14:paraId="1A520DE8" w14:textId="77777777">
      <w:pPr>
        <w:pStyle w:val="Lijstalinea"/>
        <w:numPr>
          <w:ilvl w:val="0"/>
          <w:numId w:val="5"/>
        </w:numPr>
        <w:spacing w:after="0" w:line="240" w:lineRule="auto"/>
        <w:rPr>
          <w:bCs/>
          <w:szCs w:val="18"/>
          <w:lang w:val="nl-NL"/>
        </w:rPr>
      </w:pPr>
      <w:r w:rsidRPr="00C5308E">
        <w:rPr>
          <w:bCs/>
          <w:szCs w:val="18"/>
          <w:lang w:val="nl-NL"/>
        </w:rPr>
        <w:t xml:space="preserve">de verwachte aantallen aanvragen moeten door de uitvoerders van de TSB binnen een redelijke termijn kunnen worden verwerkt; </w:t>
      </w:r>
    </w:p>
    <w:p w:rsidRPr="00C5308E" w:rsidR="005D5669" w:rsidP="00D87753" w:rsidRDefault="005D5669" w14:paraId="58EC3ACC" w14:textId="77777777">
      <w:pPr>
        <w:numPr>
          <w:ilvl w:val="0"/>
          <w:numId w:val="5"/>
        </w:numPr>
        <w:spacing w:after="0" w:line="240" w:lineRule="auto"/>
        <w:contextualSpacing/>
        <w:rPr>
          <w:rFonts w:ascii="Verdana" w:hAnsi="Verdana"/>
          <w:bCs/>
          <w:sz w:val="18"/>
          <w:szCs w:val="18"/>
        </w:rPr>
      </w:pPr>
      <w:r w:rsidRPr="00C5308E">
        <w:rPr>
          <w:rFonts w:ascii="Verdana" w:hAnsi="Verdana"/>
          <w:bCs/>
          <w:sz w:val="18"/>
          <w:szCs w:val="18"/>
        </w:rPr>
        <w:t>er moet een protocol voor het Deskundigenpanel beschikbaar zijn voor het beoordelen van een stoffengerelateerde beroepsziekte op individueel niveau;</w:t>
      </w:r>
    </w:p>
    <w:p w:rsidRPr="00C5308E" w:rsidR="005D5669" w:rsidP="00D87753" w:rsidRDefault="005D5669" w14:paraId="799882D1" w14:textId="77777777">
      <w:pPr>
        <w:numPr>
          <w:ilvl w:val="0"/>
          <w:numId w:val="5"/>
        </w:numPr>
        <w:spacing w:after="0" w:line="240" w:lineRule="auto"/>
        <w:contextualSpacing/>
        <w:rPr>
          <w:rFonts w:ascii="Verdana" w:hAnsi="Verdana"/>
          <w:bCs/>
          <w:sz w:val="18"/>
          <w:szCs w:val="18"/>
        </w:rPr>
      </w:pPr>
      <w:r w:rsidRPr="00C5308E">
        <w:rPr>
          <w:rFonts w:ascii="Verdana" w:hAnsi="Verdana"/>
          <w:bCs/>
          <w:sz w:val="18"/>
          <w:szCs w:val="18"/>
        </w:rPr>
        <w:t>er moeten voldoende medische en arbeidshygiënische experts beschikbaar en opgeleid zijn voor het Deskundigenpanel.</w:t>
      </w:r>
    </w:p>
    <w:p w:rsidRPr="00C5308E" w:rsidR="005D5669" w:rsidP="00D87753" w:rsidRDefault="005D5669" w14:paraId="6ADF7C8A" w14:textId="77777777">
      <w:pPr>
        <w:spacing w:after="0" w:line="240" w:lineRule="auto"/>
        <w:contextualSpacing/>
        <w:rPr>
          <w:rFonts w:ascii="Verdana" w:hAnsi="Verdana"/>
          <w:bCs/>
          <w:sz w:val="18"/>
          <w:szCs w:val="18"/>
        </w:rPr>
      </w:pPr>
      <w:r w:rsidRPr="00C5308E">
        <w:rPr>
          <w:rFonts w:ascii="Verdana" w:hAnsi="Verdana"/>
          <w:bCs/>
          <w:sz w:val="18"/>
          <w:szCs w:val="18"/>
        </w:rPr>
        <w:t xml:space="preserve">Hierdoor is het praktisch niet uitvoerbaar om sneller of tegelijkertijd een groot aantal ziekten aan de regeling toe te voegen. </w:t>
      </w:r>
    </w:p>
    <w:p w:rsidRPr="00C5308E" w:rsidR="005D5669" w:rsidP="00D87753" w:rsidRDefault="005D5669" w14:paraId="1AB9BAA3" w14:textId="77777777">
      <w:pPr>
        <w:spacing w:after="0" w:line="240" w:lineRule="auto"/>
        <w:contextualSpacing/>
        <w:rPr>
          <w:rFonts w:ascii="Verdana" w:hAnsi="Verdana"/>
          <w:bCs/>
          <w:sz w:val="18"/>
          <w:szCs w:val="18"/>
        </w:rPr>
      </w:pPr>
    </w:p>
    <w:p w:rsidRPr="00C5308E" w:rsidR="005D5669" w:rsidP="0051019F" w:rsidRDefault="005D5669" w14:paraId="6239C678" w14:textId="01E6A9B5">
      <w:pPr>
        <w:pStyle w:val="Voetnoottekst"/>
        <w:rPr>
          <w:bCs/>
          <w:sz w:val="18"/>
          <w:szCs w:val="18"/>
        </w:rPr>
      </w:pPr>
      <w:r w:rsidRPr="00C5308E">
        <w:rPr>
          <w:bCs/>
          <w:sz w:val="18"/>
          <w:szCs w:val="18"/>
        </w:rPr>
        <w:t>In 2024 heeft geen uitbreiding van de regeling plaatsgevonden. Reden hiervoor is dat de regeling nog niet liep zoals beoogd (zie ook de brief van 19 december 2024</w:t>
      </w:r>
      <w:r w:rsidRPr="00C5308E" w:rsidR="0051019F">
        <w:rPr>
          <w:bCs/>
          <w:sz w:val="18"/>
          <w:szCs w:val="18"/>
        </w:rPr>
        <w:t xml:space="preserve">; </w:t>
      </w:r>
      <w:r w:rsidRPr="00C5308E" w:rsidR="0051019F">
        <w:rPr>
          <w:sz w:val="18"/>
          <w:szCs w:val="18"/>
        </w:rPr>
        <w:t>Kamerstukken</w:t>
      </w:r>
      <w:r w:rsidRPr="00C5308E" w:rsidR="00851D38">
        <w:rPr>
          <w:sz w:val="18"/>
          <w:szCs w:val="18"/>
        </w:rPr>
        <w:t xml:space="preserve"> II</w:t>
      </w:r>
      <w:r w:rsidRPr="00C5308E" w:rsidR="0051019F">
        <w:rPr>
          <w:sz w:val="18"/>
          <w:szCs w:val="18"/>
        </w:rPr>
        <w:t>, 2024</w:t>
      </w:r>
      <w:r w:rsidRPr="00C5308E" w:rsidR="00851D38">
        <w:rPr>
          <w:sz w:val="18"/>
          <w:szCs w:val="18"/>
        </w:rPr>
        <w:t>/</w:t>
      </w:r>
      <w:r w:rsidRPr="00C5308E" w:rsidR="0051019F">
        <w:rPr>
          <w:sz w:val="18"/>
          <w:szCs w:val="18"/>
        </w:rPr>
        <w:t>2025, 25883 nr. 518)</w:t>
      </w:r>
      <w:r w:rsidRPr="00C5308E">
        <w:rPr>
          <w:bCs/>
          <w:sz w:val="18"/>
          <w:szCs w:val="18"/>
        </w:rPr>
        <w:t>. Het aantal aanvragen is veel lager en het aantal afwijzingen veel hoger dan voor de invoering was voorzien. Er is daarom in 2024 samen met de ketenpartners ingezet op verbetering van (de uitvoering van) de TSB, en daarna de regeling</w:t>
      </w:r>
      <w:r w:rsidRPr="00C5308E" w:rsidR="002C1D7A">
        <w:rPr>
          <w:bCs/>
          <w:sz w:val="18"/>
          <w:szCs w:val="18"/>
        </w:rPr>
        <w:t xml:space="preserve"> pas</w:t>
      </w:r>
      <w:r w:rsidRPr="00C5308E">
        <w:rPr>
          <w:bCs/>
          <w:sz w:val="18"/>
          <w:szCs w:val="18"/>
        </w:rPr>
        <w:t xml:space="preserve"> verder uit te breiden</w:t>
      </w:r>
      <w:r w:rsidRPr="00C5308E" w:rsidR="002C1D7A">
        <w:rPr>
          <w:bCs/>
          <w:sz w:val="18"/>
          <w:szCs w:val="18"/>
        </w:rPr>
        <w:t>.</w:t>
      </w:r>
      <w:r w:rsidRPr="00C5308E">
        <w:rPr>
          <w:bCs/>
          <w:sz w:val="18"/>
          <w:szCs w:val="18"/>
        </w:rPr>
        <w:t xml:space="preserve"> Per 1 juli 2025 wordt de regeling uitgebreid met 3 nieuwe beroepsziekten.</w:t>
      </w:r>
    </w:p>
    <w:p w:rsidRPr="00C5308E" w:rsidR="005D5669" w:rsidP="00D87753" w:rsidRDefault="005D5669" w14:paraId="5D7FDFD4" w14:textId="77777777">
      <w:pPr>
        <w:spacing w:after="0" w:line="240" w:lineRule="auto"/>
        <w:contextualSpacing/>
        <w:rPr>
          <w:rFonts w:ascii="Verdana" w:hAnsi="Verdana"/>
          <w:bCs/>
          <w:sz w:val="18"/>
          <w:szCs w:val="18"/>
        </w:rPr>
      </w:pPr>
      <w:r w:rsidRPr="00C5308E">
        <w:rPr>
          <w:rFonts w:ascii="Verdana" w:hAnsi="Verdana"/>
          <w:bCs/>
          <w:sz w:val="18"/>
          <w:szCs w:val="18"/>
        </w:rPr>
        <w:t xml:space="preserve">In de komende jaren zullen geleidelijk meer beroepsziekten aan de regeling worden toegevoegd. </w:t>
      </w:r>
    </w:p>
    <w:p w:rsidRPr="00C5308E" w:rsidR="005D5669" w:rsidP="00D87753" w:rsidRDefault="005D5669" w14:paraId="10A1F92A" w14:textId="77777777">
      <w:pPr>
        <w:spacing w:after="0" w:line="240" w:lineRule="auto"/>
        <w:contextualSpacing/>
        <w:rPr>
          <w:rFonts w:ascii="Verdana" w:hAnsi="Verdana"/>
          <w:bCs/>
          <w:sz w:val="18"/>
          <w:szCs w:val="18"/>
        </w:rPr>
      </w:pPr>
    </w:p>
    <w:p w:rsidRPr="00C5308E" w:rsidR="00720C2B" w:rsidP="00D87753" w:rsidRDefault="00720C2B" w14:paraId="1011074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150</w:t>
      </w:r>
    </w:p>
    <w:p w:rsidRPr="00C5308E" w:rsidR="00720C2B" w:rsidP="00D87753" w:rsidRDefault="00720C2B" w14:paraId="7850E3C4" w14:textId="77777777">
      <w:pPr>
        <w:spacing w:after="0" w:line="240" w:lineRule="auto"/>
        <w:contextualSpacing/>
        <w:rPr>
          <w:rFonts w:ascii="Verdana" w:hAnsi="Verdana"/>
          <w:bCs/>
          <w:sz w:val="18"/>
          <w:szCs w:val="18"/>
        </w:rPr>
      </w:pPr>
      <w:r w:rsidRPr="00C5308E">
        <w:rPr>
          <w:rFonts w:ascii="Verdana" w:hAnsi="Verdana"/>
          <w:bCs/>
          <w:sz w:val="18"/>
          <w:szCs w:val="18"/>
        </w:rPr>
        <w:t>Wat gebeurt er met de middelen die per saldo bezuinigd zijn op de kinderopvang? Waar worden deze middelen voor ingezet?</w:t>
      </w:r>
    </w:p>
    <w:p w:rsidRPr="00C5308E" w:rsidR="00720C2B" w:rsidP="00D87753" w:rsidRDefault="00720C2B" w14:paraId="523EC027" w14:textId="77777777">
      <w:pPr>
        <w:spacing w:after="0" w:line="240" w:lineRule="auto"/>
        <w:contextualSpacing/>
        <w:rPr>
          <w:rFonts w:ascii="Verdana" w:hAnsi="Verdana"/>
          <w:bCs/>
          <w:sz w:val="18"/>
          <w:szCs w:val="18"/>
        </w:rPr>
      </w:pPr>
    </w:p>
    <w:p w:rsidRPr="00C5308E" w:rsidR="00720C2B" w:rsidP="00D87753" w:rsidRDefault="00720C2B" w14:paraId="4C5E6C0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150</w:t>
      </w:r>
    </w:p>
    <w:p w:rsidRPr="00C5308E" w:rsidR="00720C2B" w:rsidP="00D87753" w:rsidRDefault="00720C2B" w14:paraId="5D6292BE" w14:textId="77777777">
      <w:pPr>
        <w:spacing w:after="0" w:line="240" w:lineRule="auto"/>
        <w:contextualSpacing/>
        <w:rPr>
          <w:rFonts w:ascii="Verdana" w:hAnsi="Verdana"/>
          <w:bCs/>
          <w:sz w:val="18"/>
          <w:szCs w:val="18"/>
        </w:rPr>
      </w:pPr>
      <w:r w:rsidRPr="00C5308E">
        <w:rPr>
          <w:rFonts w:ascii="Verdana" w:hAnsi="Verdana"/>
          <w:bCs/>
          <w:sz w:val="18"/>
          <w:szCs w:val="18"/>
        </w:rPr>
        <w:t>Die middelen die vrij zijn gekomen door het uitstellen van het nieuwe financieringsstelsel kinderopvang zijn ingezet om de problematiek op de SZW-begroting in algemene zin van dekking te voorzien. Dit is niet toe te wijzen aan een specifieke tegenvaller of beleidsdossier.</w:t>
      </w:r>
    </w:p>
    <w:p w:rsidRPr="00C5308E" w:rsidR="00720C2B" w:rsidP="00D87753" w:rsidRDefault="00720C2B" w14:paraId="5C8EF01B" w14:textId="77777777">
      <w:pPr>
        <w:spacing w:after="0" w:line="240" w:lineRule="auto"/>
        <w:contextualSpacing/>
        <w:rPr>
          <w:rFonts w:ascii="Verdana" w:hAnsi="Verdana"/>
          <w:bCs/>
          <w:sz w:val="18"/>
          <w:szCs w:val="18"/>
        </w:rPr>
      </w:pPr>
    </w:p>
    <w:p w:rsidRPr="00C5308E" w:rsidR="002B60A2" w:rsidP="00D87753" w:rsidRDefault="002B60A2" w14:paraId="4978A78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151</w:t>
      </w:r>
    </w:p>
    <w:p w:rsidRPr="00C5308E" w:rsidR="002B60A2" w:rsidP="00D87753" w:rsidRDefault="002B60A2" w14:paraId="34C0B918" w14:textId="77777777">
      <w:pPr>
        <w:spacing w:after="0" w:line="240" w:lineRule="auto"/>
        <w:contextualSpacing/>
        <w:rPr>
          <w:rFonts w:ascii="Verdana" w:hAnsi="Verdana"/>
          <w:bCs/>
          <w:sz w:val="18"/>
          <w:szCs w:val="18"/>
          <w:u w:val="single"/>
        </w:rPr>
      </w:pPr>
      <w:r w:rsidRPr="00C5308E">
        <w:rPr>
          <w:rFonts w:ascii="Verdana" w:hAnsi="Verdana"/>
          <w:bCs/>
          <w:sz w:val="18"/>
          <w:szCs w:val="18"/>
        </w:rPr>
        <w:t>Wat zit er in de bedragen die genoemd worden bij de laatste bullet over kinderopvang? Is dit het saldo van de beleidsmutaties, of zit hier ook endogene ontwikkeling in?</w:t>
      </w:r>
    </w:p>
    <w:p w:rsidRPr="00C5308E" w:rsidR="002B60A2" w:rsidP="00D87753" w:rsidRDefault="002B60A2" w14:paraId="6089A4A2" w14:textId="77777777">
      <w:pPr>
        <w:spacing w:after="0" w:line="240" w:lineRule="auto"/>
        <w:contextualSpacing/>
        <w:rPr>
          <w:rFonts w:ascii="Verdana" w:hAnsi="Verdana"/>
          <w:bCs/>
          <w:sz w:val="18"/>
          <w:szCs w:val="18"/>
        </w:rPr>
      </w:pPr>
    </w:p>
    <w:p w:rsidRPr="00C5308E" w:rsidR="002B60A2" w:rsidP="00D87753" w:rsidRDefault="002B60A2" w14:paraId="1B7DCFAB" w14:textId="77777777">
      <w:pPr>
        <w:spacing w:after="0" w:line="240" w:lineRule="auto"/>
        <w:contextualSpacing/>
        <w:rPr>
          <w:rFonts w:ascii="Verdana" w:hAnsi="Verdana"/>
          <w:bCs/>
          <w:sz w:val="18"/>
          <w:szCs w:val="18"/>
        </w:rPr>
      </w:pPr>
      <w:r w:rsidRPr="00C5308E">
        <w:rPr>
          <w:rFonts w:ascii="Verdana" w:hAnsi="Verdana"/>
          <w:bCs/>
          <w:sz w:val="18"/>
          <w:szCs w:val="18"/>
          <w:u w:val="single"/>
        </w:rPr>
        <w:t>Antwoord 151</w:t>
      </w:r>
    </w:p>
    <w:p w:rsidRPr="00C5308E" w:rsidR="002B60A2" w:rsidP="00D87753" w:rsidRDefault="002B60A2" w14:paraId="44948D6A"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bedragen in de laatste bullet over kinderopvang in de toelichting op de mutaties op artikel 7 zijn een optelsom van beleidsmatige mutaties en de endogene ontwikkeling (ramingsbijstellingen, oftewel mee- en tegenvallers). </w:t>
      </w:r>
    </w:p>
    <w:p w:rsidRPr="00C5308E" w:rsidR="002B60A2" w:rsidP="00D87753" w:rsidRDefault="002B60A2" w14:paraId="1202017D" w14:textId="77777777">
      <w:pPr>
        <w:spacing w:after="0" w:line="240" w:lineRule="auto"/>
        <w:contextualSpacing/>
        <w:rPr>
          <w:rFonts w:ascii="Verdana" w:hAnsi="Verdana"/>
          <w:bCs/>
          <w:sz w:val="18"/>
          <w:szCs w:val="18"/>
        </w:rPr>
      </w:pPr>
    </w:p>
    <w:tbl>
      <w:tblPr>
        <w:tblW w:w="9186" w:type="dxa"/>
        <w:tblLayout w:type="fixed"/>
        <w:tblCellMar>
          <w:left w:w="70" w:type="dxa"/>
          <w:right w:w="70" w:type="dxa"/>
        </w:tblCellMar>
        <w:tblLook w:val="04A0" w:firstRow="1" w:lastRow="0" w:firstColumn="1" w:lastColumn="0" w:noHBand="0" w:noVBand="1"/>
      </w:tblPr>
      <w:tblGrid>
        <w:gridCol w:w="3402"/>
        <w:gridCol w:w="964"/>
        <w:gridCol w:w="964"/>
        <w:gridCol w:w="964"/>
        <w:gridCol w:w="964"/>
        <w:gridCol w:w="964"/>
        <w:gridCol w:w="964"/>
      </w:tblGrid>
      <w:tr w:rsidRPr="00C5308E" w:rsidR="002B60A2" w:rsidTr="003C75FE" w14:paraId="119782B5" w14:textId="77777777">
        <w:trPr>
          <w:trHeight w:val="290"/>
        </w:trPr>
        <w:tc>
          <w:tcPr>
            <w:tcW w:w="3402"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71FFD40D" w14:textId="13D39400">
            <w:pPr>
              <w:spacing w:after="0" w:line="240" w:lineRule="auto"/>
              <w:contextualSpacing/>
              <w:rPr>
                <w:rFonts w:ascii="Verdana" w:hAnsi="Verdana" w:eastAsia="Times New Roman" w:cs="Calibri"/>
                <w:bCs/>
                <w:i/>
                <w:iCs/>
                <w:color w:val="000000"/>
                <w:sz w:val="18"/>
                <w:szCs w:val="18"/>
                <w:lang w:eastAsia="nl-NL"/>
              </w:rPr>
            </w:pPr>
            <w:r w:rsidRPr="00C5308E">
              <w:rPr>
                <w:rFonts w:ascii="Verdana" w:hAnsi="Verdana" w:eastAsia="Times New Roman" w:cs="Calibri"/>
                <w:bCs/>
                <w:i/>
                <w:iCs/>
                <w:color w:val="000000"/>
                <w:sz w:val="18"/>
                <w:szCs w:val="18"/>
                <w:lang w:eastAsia="nl-NL"/>
              </w:rPr>
              <w:t>Bedragen x € 1 m</w:t>
            </w:r>
            <w:r w:rsidRPr="00C5308E" w:rsidR="0051019F">
              <w:rPr>
                <w:rFonts w:ascii="Verdana" w:hAnsi="Verdana" w:eastAsia="Times New Roman" w:cs="Calibri"/>
                <w:bCs/>
                <w:i/>
                <w:iCs/>
                <w:color w:val="000000"/>
                <w:sz w:val="18"/>
                <w:szCs w:val="18"/>
                <w:lang w:eastAsia="nl-NL"/>
              </w:rPr>
              <w:t>ln.</w:t>
            </w:r>
          </w:p>
        </w:tc>
        <w:tc>
          <w:tcPr>
            <w:tcW w:w="964"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7E76E70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2025</w:t>
            </w:r>
          </w:p>
        </w:tc>
        <w:tc>
          <w:tcPr>
            <w:tcW w:w="964"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328A4F4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2026</w:t>
            </w:r>
          </w:p>
        </w:tc>
        <w:tc>
          <w:tcPr>
            <w:tcW w:w="964"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7F0F951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964"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13D7150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c>
          <w:tcPr>
            <w:tcW w:w="964" w:type="dxa"/>
            <w:tcBorders>
              <w:top w:val="single" w:color="auto" w:sz="4" w:space="0"/>
              <w:left w:val="nil"/>
              <w:bottom w:val="single" w:color="auto" w:sz="4" w:space="0"/>
              <w:right w:val="nil"/>
            </w:tcBorders>
            <w:shd w:val="clear" w:color="000000" w:fill="E7E6E6"/>
            <w:noWrap/>
            <w:vAlign w:val="center"/>
            <w:hideMark/>
          </w:tcPr>
          <w:p w:rsidRPr="00C5308E" w:rsidR="002B60A2" w:rsidP="00D87753" w:rsidRDefault="002B60A2" w14:paraId="3D4DA13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2029</w:t>
            </w:r>
          </w:p>
        </w:tc>
        <w:tc>
          <w:tcPr>
            <w:tcW w:w="964" w:type="dxa"/>
            <w:tcBorders>
              <w:top w:val="single" w:color="auto" w:sz="4" w:space="0"/>
              <w:left w:val="nil"/>
              <w:bottom w:val="single" w:color="auto" w:sz="4" w:space="0"/>
              <w:right w:val="nil"/>
            </w:tcBorders>
            <w:shd w:val="clear" w:color="000000" w:fill="E7E6E6"/>
            <w:vAlign w:val="center"/>
          </w:tcPr>
          <w:p w:rsidRPr="00C5308E" w:rsidR="002B60A2" w:rsidP="00D87753" w:rsidRDefault="002B60A2" w14:paraId="662E198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2030</w:t>
            </w:r>
          </w:p>
        </w:tc>
      </w:tr>
      <w:tr w:rsidRPr="00C5308E" w:rsidR="002B60A2" w:rsidTr="003C75FE" w14:paraId="4B0B71F6" w14:textId="77777777">
        <w:trPr>
          <w:trHeight w:val="290"/>
        </w:trPr>
        <w:tc>
          <w:tcPr>
            <w:tcW w:w="3402" w:type="dxa"/>
            <w:tcBorders>
              <w:top w:val="nil"/>
              <w:left w:val="nil"/>
              <w:bottom w:val="nil"/>
              <w:right w:val="nil"/>
            </w:tcBorders>
            <w:shd w:val="clear" w:color="auto" w:fill="auto"/>
            <w:noWrap/>
            <w:vAlign w:val="bottom"/>
            <w:hideMark/>
          </w:tcPr>
          <w:p w:rsidRPr="00C5308E" w:rsidR="002B60A2" w:rsidP="00D87753" w:rsidRDefault="002B60A2" w14:paraId="7C7E019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Ramingsbijstellingen (‘endogeen’)</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0910D62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33,6</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65F4623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-200,1</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6B68E63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419,7</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3253DC9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268,4</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5641566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173,4</w:t>
            </w:r>
          </w:p>
        </w:tc>
        <w:tc>
          <w:tcPr>
            <w:tcW w:w="964" w:type="dxa"/>
            <w:tcBorders>
              <w:top w:val="nil"/>
              <w:left w:val="nil"/>
              <w:bottom w:val="nil"/>
              <w:right w:val="nil"/>
            </w:tcBorders>
            <w:vAlign w:val="center"/>
          </w:tcPr>
          <w:p w:rsidRPr="00C5308E" w:rsidR="002B60A2" w:rsidP="00D87753" w:rsidRDefault="002B60A2" w14:paraId="239CA24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163,7</w:t>
            </w:r>
          </w:p>
        </w:tc>
      </w:tr>
      <w:tr w:rsidRPr="00C5308E" w:rsidR="002B60A2" w:rsidTr="003C75FE" w14:paraId="0624E788" w14:textId="77777777">
        <w:trPr>
          <w:trHeight w:val="290"/>
        </w:trPr>
        <w:tc>
          <w:tcPr>
            <w:tcW w:w="3402" w:type="dxa"/>
            <w:tcBorders>
              <w:top w:val="nil"/>
              <w:left w:val="nil"/>
              <w:bottom w:val="nil"/>
              <w:right w:val="nil"/>
            </w:tcBorders>
            <w:shd w:val="clear" w:color="auto" w:fill="auto"/>
            <w:noWrap/>
            <w:vAlign w:val="bottom"/>
            <w:hideMark/>
          </w:tcPr>
          <w:p w:rsidRPr="00C5308E" w:rsidR="002B60A2" w:rsidP="00D87753" w:rsidRDefault="002B60A2" w14:paraId="111FCC3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Beleidsmatige mutaties</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0BEA891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18,3</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3F99FDC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-571,8</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11A9FE5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-1.193,4</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418ED57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-608,5</w:t>
            </w:r>
          </w:p>
        </w:tc>
        <w:tc>
          <w:tcPr>
            <w:tcW w:w="964" w:type="dxa"/>
            <w:tcBorders>
              <w:top w:val="nil"/>
              <w:left w:val="nil"/>
              <w:bottom w:val="nil"/>
              <w:right w:val="nil"/>
            </w:tcBorders>
            <w:shd w:val="clear" w:color="auto" w:fill="auto"/>
            <w:noWrap/>
            <w:vAlign w:val="center"/>
            <w:hideMark/>
          </w:tcPr>
          <w:p w:rsidRPr="00C5308E" w:rsidR="002B60A2" w:rsidP="00D87753" w:rsidRDefault="002B60A2" w14:paraId="1F9F7D1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-290,4</w:t>
            </w:r>
          </w:p>
        </w:tc>
        <w:tc>
          <w:tcPr>
            <w:tcW w:w="964" w:type="dxa"/>
            <w:tcBorders>
              <w:top w:val="nil"/>
              <w:left w:val="nil"/>
              <w:bottom w:val="nil"/>
              <w:right w:val="nil"/>
            </w:tcBorders>
            <w:vAlign w:val="center"/>
          </w:tcPr>
          <w:p w:rsidRPr="00C5308E" w:rsidR="002B60A2" w:rsidP="00D87753" w:rsidRDefault="002B60A2" w14:paraId="448D91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99,8</w:t>
            </w:r>
          </w:p>
        </w:tc>
      </w:tr>
      <w:tr w:rsidRPr="00C5308E" w:rsidR="002B60A2" w:rsidTr="003C75FE" w14:paraId="3DB5B21E" w14:textId="77777777">
        <w:trPr>
          <w:trHeight w:val="290"/>
        </w:trPr>
        <w:tc>
          <w:tcPr>
            <w:tcW w:w="3402" w:type="dxa"/>
            <w:tcBorders>
              <w:top w:val="single" w:color="auto" w:sz="4" w:space="0"/>
              <w:left w:val="nil"/>
              <w:bottom w:val="single" w:color="auto" w:sz="4" w:space="0"/>
              <w:right w:val="nil"/>
            </w:tcBorders>
            <w:shd w:val="clear" w:color="000000" w:fill="FFE29F"/>
            <w:noWrap/>
            <w:vAlign w:val="bottom"/>
            <w:hideMark/>
          </w:tcPr>
          <w:p w:rsidRPr="00C5308E" w:rsidR="002B60A2" w:rsidP="00D87753" w:rsidRDefault="002B60A2" w14:paraId="50D2EE2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Totaal</w:t>
            </w:r>
          </w:p>
        </w:tc>
        <w:tc>
          <w:tcPr>
            <w:tcW w:w="964" w:type="dxa"/>
            <w:tcBorders>
              <w:top w:val="single" w:color="auto" w:sz="4" w:space="0"/>
              <w:left w:val="nil"/>
              <w:bottom w:val="single" w:color="auto" w:sz="4" w:space="0"/>
              <w:right w:val="nil"/>
            </w:tcBorders>
            <w:shd w:val="clear" w:color="000000" w:fill="FFE29F"/>
            <w:noWrap/>
            <w:vAlign w:val="center"/>
            <w:hideMark/>
          </w:tcPr>
          <w:p w:rsidRPr="00C5308E" w:rsidR="002B60A2" w:rsidP="00D87753" w:rsidRDefault="002B60A2" w14:paraId="4706116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51,9</w:t>
            </w:r>
          </w:p>
        </w:tc>
        <w:tc>
          <w:tcPr>
            <w:tcW w:w="964" w:type="dxa"/>
            <w:tcBorders>
              <w:top w:val="single" w:color="auto" w:sz="4" w:space="0"/>
              <w:left w:val="nil"/>
              <w:bottom w:val="single" w:color="auto" w:sz="4" w:space="0"/>
              <w:right w:val="nil"/>
            </w:tcBorders>
            <w:shd w:val="clear" w:color="000000" w:fill="FFE29F"/>
            <w:noWrap/>
            <w:vAlign w:val="center"/>
            <w:hideMark/>
          </w:tcPr>
          <w:p w:rsidRPr="00C5308E" w:rsidR="002B60A2" w:rsidP="00D87753" w:rsidRDefault="002B60A2" w14:paraId="4ED7473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-771,9</w:t>
            </w:r>
          </w:p>
        </w:tc>
        <w:tc>
          <w:tcPr>
            <w:tcW w:w="964" w:type="dxa"/>
            <w:tcBorders>
              <w:top w:val="single" w:color="auto" w:sz="4" w:space="0"/>
              <w:left w:val="nil"/>
              <w:bottom w:val="single" w:color="auto" w:sz="4" w:space="0"/>
              <w:right w:val="nil"/>
            </w:tcBorders>
            <w:shd w:val="clear" w:color="000000" w:fill="FFE29F"/>
            <w:noWrap/>
            <w:vAlign w:val="center"/>
            <w:hideMark/>
          </w:tcPr>
          <w:p w:rsidRPr="00C5308E" w:rsidR="002B60A2" w:rsidP="00D87753" w:rsidRDefault="002B60A2" w14:paraId="33D48AF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-773,7</w:t>
            </w:r>
          </w:p>
        </w:tc>
        <w:tc>
          <w:tcPr>
            <w:tcW w:w="964" w:type="dxa"/>
            <w:tcBorders>
              <w:top w:val="single" w:color="auto" w:sz="4" w:space="0"/>
              <w:left w:val="nil"/>
              <w:bottom w:val="single" w:color="auto" w:sz="4" w:space="0"/>
              <w:right w:val="nil"/>
            </w:tcBorders>
            <w:shd w:val="clear" w:color="000000" w:fill="FFE29F"/>
            <w:noWrap/>
            <w:vAlign w:val="center"/>
            <w:hideMark/>
          </w:tcPr>
          <w:p w:rsidRPr="00C5308E" w:rsidR="002B60A2" w:rsidP="00D87753" w:rsidRDefault="002B60A2" w14:paraId="7BE3C1C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-340,1</w:t>
            </w:r>
          </w:p>
        </w:tc>
        <w:tc>
          <w:tcPr>
            <w:tcW w:w="964" w:type="dxa"/>
            <w:tcBorders>
              <w:top w:val="single" w:color="auto" w:sz="4" w:space="0"/>
              <w:left w:val="nil"/>
              <w:bottom w:val="single" w:color="auto" w:sz="4" w:space="0"/>
              <w:right w:val="nil"/>
            </w:tcBorders>
            <w:shd w:val="clear" w:color="000000" w:fill="FFE29F"/>
            <w:noWrap/>
            <w:vAlign w:val="center"/>
            <w:hideMark/>
          </w:tcPr>
          <w:p w:rsidRPr="00C5308E" w:rsidR="002B60A2" w:rsidP="00D87753" w:rsidRDefault="002B60A2" w14:paraId="6B8CE06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463,8</w:t>
            </w:r>
          </w:p>
        </w:tc>
        <w:tc>
          <w:tcPr>
            <w:tcW w:w="964" w:type="dxa"/>
            <w:tcBorders>
              <w:top w:val="single" w:color="auto" w:sz="4" w:space="0"/>
              <w:left w:val="nil"/>
              <w:bottom w:val="single" w:color="auto" w:sz="4" w:space="0"/>
              <w:right w:val="nil"/>
            </w:tcBorders>
            <w:shd w:val="clear" w:color="000000" w:fill="FFE29F"/>
            <w:vAlign w:val="center"/>
          </w:tcPr>
          <w:p w:rsidRPr="00C5308E" w:rsidR="002B60A2" w:rsidP="00D87753" w:rsidRDefault="002B60A2" w14:paraId="1689C0C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263,5</w:t>
            </w:r>
          </w:p>
        </w:tc>
      </w:tr>
    </w:tbl>
    <w:p w:rsidRPr="00C5308E" w:rsidR="002B60A2" w:rsidP="00D87753" w:rsidRDefault="002B60A2" w14:paraId="7E7EED3B" w14:textId="77777777">
      <w:pPr>
        <w:spacing w:after="0" w:line="240" w:lineRule="auto"/>
        <w:contextualSpacing/>
        <w:rPr>
          <w:rFonts w:ascii="Verdana" w:hAnsi="Verdana"/>
          <w:bCs/>
          <w:sz w:val="18"/>
          <w:szCs w:val="18"/>
        </w:rPr>
      </w:pPr>
    </w:p>
    <w:p w:rsidRPr="00C5308E" w:rsidR="002B60A2" w:rsidP="00D87753" w:rsidRDefault="002B60A2" w14:paraId="665FE372" w14:textId="77777777">
      <w:pPr>
        <w:spacing w:after="0" w:line="240" w:lineRule="auto"/>
        <w:contextualSpacing/>
        <w:rPr>
          <w:rFonts w:ascii="Verdana" w:hAnsi="Verdana"/>
          <w:bCs/>
          <w:sz w:val="18"/>
          <w:szCs w:val="18"/>
        </w:rPr>
      </w:pPr>
      <w:r w:rsidRPr="00C5308E">
        <w:rPr>
          <w:rFonts w:ascii="Verdana" w:hAnsi="Verdana"/>
          <w:bCs/>
          <w:sz w:val="18"/>
          <w:szCs w:val="18"/>
        </w:rPr>
        <w:t>In de tekst van artikel 7 van de 1</w:t>
      </w:r>
      <w:r w:rsidRPr="00C5308E">
        <w:rPr>
          <w:rFonts w:ascii="Verdana" w:hAnsi="Verdana"/>
          <w:bCs/>
          <w:sz w:val="18"/>
          <w:szCs w:val="18"/>
          <w:vertAlign w:val="superscript"/>
        </w:rPr>
        <w:t>e</w:t>
      </w:r>
      <w:r w:rsidRPr="00C5308E">
        <w:rPr>
          <w:rFonts w:ascii="Verdana" w:hAnsi="Verdana"/>
          <w:bCs/>
          <w:sz w:val="18"/>
          <w:szCs w:val="18"/>
        </w:rPr>
        <w:t xml:space="preserve"> suppletoire begroting zijn de belangrijkste mutaties puntsgewijs en kwalitatief toegelicht. De beleidsmatige mutaties hebben betrekking op de invoering van het nieuwe kinderopvangstelsel per 2029 en het bijbehorende ingroeipad. Zie voor een toelichting op de beleidsmatige mutaties ook het antwoord op vraag 73.</w:t>
      </w:r>
    </w:p>
    <w:p w:rsidRPr="00C5308E" w:rsidR="00D639F0" w:rsidP="00D87753" w:rsidRDefault="00D639F0" w14:paraId="6BC19BB4" w14:textId="77777777">
      <w:pPr>
        <w:spacing w:after="0" w:line="240" w:lineRule="auto"/>
        <w:contextualSpacing/>
        <w:rPr>
          <w:rFonts w:ascii="Verdana" w:hAnsi="Verdana"/>
          <w:bCs/>
          <w:sz w:val="18"/>
          <w:szCs w:val="18"/>
        </w:rPr>
      </w:pPr>
    </w:p>
    <w:p w:rsidRPr="00C5308E" w:rsidR="005D5669" w:rsidP="00D87753" w:rsidRDefault="005D5669" w14:paraId="04530CB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152</w:t>
      </w:r>
    </w:p>
    <w:p w:rsidRPr="00C5308E" w:rsidR="005D5669" w:rsidP="00D87753" w:rsidRDefault="005D5669" w14:paraId="011B70A5" w14:textId="77777777">
      <w:pPr>
        <w:spacing w:after="0" w:line="240" w:lineRule="auto"/>
        <w:contextualSpacing/>
        <w:rPr>
          <w:rFonts w:ascii="Verdana" w:hAnsi="Verdana"/>
          <w:bCs/>
          <w:sz w:val="18"/>
          <w:szCs w:val="18"/>
        </w:rPr>
      </w:pPr>
      <w:r w:rsidRPr="00C5308E">
        <w:rPr>
          <w:rFonts w:ascii="Verdana" w:hAnsi="Verdana"/>
          <w:bCs/>
          <w:sz w:val="18"/>
          <w:szCs w:val="18"/>
        </w:rPr>
        <w:t>Hoeveel vakbonden met minder dan 500 leden zijn er in Nederland?</w:t>
      </w:r>
    </w:p>
    <w:p w:rsidRPr="00C5308E" w:rsidR="005D5669" w:rsidP="00D87753" w:rsidRDefault="005D5669" w14:paraId="14BD2B35" w14:textId="77777777">
      <w:pPr>
        <w:spacing w:after="0" w:line="240" w:lineRule="auto"/>
        <w:contextualSpacing/>
        <w:rPr>
          <w:rFonts w:ascii="Verdana" w:hAnsi="Verdana"/>
          <w:bCs/>
          <w:sz w:val="18"/>
          <w:szCs w:val="18"/>
        </w:rPr>
      </w:pPr>
    </w:p>
    <w:p w:rsidRPr="00C5308E" w:rsidR="005D5669" w:rsidP="00D87753" w:rsidRDefault="005D5669" w14:paraId="382F4BC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152</w:t>
      </w:r>
    </w:p>
    <w:p w:rsidRPr="00C5308E" w:rsidR="005D5669" w:rsidP="00D87753" w:rsidRDefault="005D5669" w14:paraId="0979CC46" w14:textId="77777777">
      <w:pPr>
        <w:spacing w:after="0" w:line="240" w:lineRule="auto"/>
        <w:contextualSpacing/>
        <w:rPr>
          <w:rFonts w:ascii="Verdana" w:hAnsi="Verdana"/>
          <w:bCs/>
          <w:sz w:val="18"/>
          <w:szCs w:val="18"/>
        </w:rPr>
      </w:pPr>
      <w:r w:rsidRPr="00C5308E">
        <w:rPr>
          <w:rFonts w:ascii="Verdana" w:hAnsi="Verdana"/>
          <w:bCs/>
          <w:sz w:val="18"/>
          <w:szCs w:val="18"/>
        </w:rPr>
        <w:t xml:space="preserve">Het CBS publiceert iedere twee jaar het aantal vakbondsleden per vakcentrale en vakvereniging: </w:t>
      </w:r>
      <w:hyperlink w:history="1" w:anchor="/CBS/nl/dataset/80598ned/table" r:id="rId12">
        <w:r w:rsidRPr="00C5308E">
          <w:rPr>
            <w:rStyle w:val="Hyperlink"/>
            <w:rFonts w:ascii="Verdana" w:hAnsi="Verdana"/>
            <w:bCs/>
            <w:sz w:val="18"/>
            <w:szCs w:val="18"/>
          </w:rPr>
          <w:t>https://opendata.cbs.nl/statline/?dl=1332C#/CBS/nl/dataset/80598ned/table</w:t>
        </w:r>
      </w:hyperlink>
      <w:r w:rsidRPr="00C5308E">
        <w:rPr>
          <w:rFonts w:ascii="Verdana" w:hAnsi="Verdana"/>
          <w:bCs/>
          <w:sz w:val="18"/>
          <w:szCs w:val="18"/>
        </w:rPr>
        <w:t>.</w:t>
      </w:r>
    </w:p>
    <w:p w:rsidRPr="00C5308E" w:rsidR="005D5669" w:rsidP="00D87753" w:rsidRDefault="005D5669" w14:paraId="209E4830" w14:textId="77777777">
      <w:pPr>
        <w:spacing w:after="0" w:line="240" w:lineRule="auto"/>
        <w:contextualSpacing/>
        <w:rPr>
          <w:rFonts w:ascii="Verdana" w:hAnsi="Verdana"/>
          <w:bCs/>
          <w:sz w:val="18"/>
          <w:szCs w:val="18"/>
        </w:rPr>
      </w:pPr>
      <w:r w:rsidRPr="00C5308E">
        <w:rPr>
          <w:rFonts w:ascii="Verdana" w:hAnsi="Verdana"/>
          <w:bCs/>
          <w:sz w:val="18"/>
          <w:szCs w:val="18"/>
        </w:rPr>
        <w:t>In deze statistiek staan totaalcijfers, cijfers per aangesloten vakbond zijn niet bekend. Het is daarom voor SZW niet bekend hoeveel vakbonden er zijn met minder dan 500 leden.</w:t>
      </w:r>
    </w:p>
    <w:p w:rsidRPr="00C5308E" w:rsidR="005D5669" w:rsidP="00D87753" w:rsidRDefault="005D5669" w14:paraId="73441A19" w14:textId="77777777">
      <w:pPr>
        <w:spacing w:after="0" w:line="240" w:lineRule="auto"/>
        <w:contextualSpacing/>
        <w:rPr>
          <w:rFonts w:ascii="Verdana" w:hAnsi="Verdana"/>
          <w:bCs/>
          <w:sz w:val="18"/>
          <w:szCs w:val="18"/>
        </w:rPr>
      </w:pPr>
    </w:p>
    <w:p w:rsidRPr="00C5308E" w:rsidR="005D5669" w:rsidP="00D87753" w:rsidRDefault="005D5669" w14:paraId="6D0C690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153</w:t>
      </w:r>
    </w:p>
    <w:p w:rsidRPr="00C5308E" w:rsidR="005D5669" w:rsidP="00D87753" w:rsidRDefault="005D5669" w14:paraId="10271169" w14:textId="77777777">
      <w:pPr>
        <w:spacing w:after="0" w:line="240" w:lineRule="auto"/>
        <w:contextualSpacing/>
        <w:rPr>
          <w:rFonts w:ascii="Verdana" w:hAnsi="Verdana"/>
          <w:bCs/>
          <w:sz w:val="18"/>
          <w:szCs w:val="18"/>
        </w:rPr>
      </w:pPr>
      <w:r w:rsidRPr="00C5308E">
        <w:rPr>
          <w:rFonts w:ascii="Verdana" w:hAnsi="Verdana"/>
          <w:bCs/>
          <w:sz w:val="18"/>
          <w:szCs w:val="18"/>
        </w:rPr>
        <w:t>Voor hoeveel werknemers gelden collectieve arbeidsovereenkomsten (cao's) die afgesloten zijn door vakbonden met minder dan 500 leden? Kunt u dit per cao weergeven?</w:t>
      </w:r>
    </w:p>
    <w:p w:rsidRPr="00C5308E" w:rsidR="005D5669" w:rsidP="00D87753" w:rsidRDefault="005D5669" w14:paraId="45D39C05" w14:textId="77777777">
      <w:pPr>
        <w:spacing w:after="0" w:line="240" w:lineRule="auto"/>
        <w:contextualSpacing/>
        <w:rPr>
          <w:rFonts w:ascii="Verdana" w:hAnsi="Verdana"/>
          <w:bCs/>
          <w:sz w:val="18"/>
          <w:szCs w:val="18"/>
        </w:rPr>
      </w:pPr>
    </w:p>
    <w:p w:rsidRPr="00C5308E" w:rsidR="005D5669" w:rsidP="00D87753" w:rsidRDefault="005D5669" w14:paraId="6215527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153</w:t>
      </w:r>
    </w:p>
    <w:p w:rsidRPr="00C5308E" w:rsidR="005D5669" w:rsidP="00D87753" w:rsidRDefault="005D5669" w14:paraId="67099996" w14:textId="77777777">
      <w:pPr>
        <w:spacing w:after="0" w:line="240" w:lineRule="auto"/>
        <w:contextualSpacing/>
        <w:rPr>
          <w:rFonts w:ascii="Verdana" w:hAnsi="Verdana"/>
          <w:bCs/>
          <w:sz w:val="18"/>
          <w:szCs w:val="18"/>
          <w:u w:val="single"/>
        </w:rPr>
      </w:pPr>
      <w:r w:rsidRPr="00C5308E">
        <w:rPr>
          <w:rFonts w:ascii="Verdana" w:hAnsi="Verdana"/>
          <w:bCs/>
          <w:sz w:val="18"/>
          <w:szCs w:val="18"/>
        </w:rPr>
        <w:t>SZW beschikt niet over aantallen vakbondsleden op cao-niveau en kan daarom deze vraag niet beantwoorden.</w:t>
      </w:r>
    </w:p>
    <w:p w:rsidRPr="00C5308E" w:rsidR="005D5669" w:rsidP="00D87753" w:rsidRDefault="005D5669" w14:paraId="1836AB37" w14:textId="77777777">
      <w:pPr>
        <w:spacing w:after="0" w:line="240" w:lineRule="auto"/>
        <w:contextualSpacing/>
        <w:rPr>
          <w:rFonts w:ascii="Verdana" w:hAnsi="Verdana"/>
          <w:bCs/>
          <w:sz w:val="18"/>
          <w:szCs w:val="18"/>
        </w:rPr>
      </w:pPr>
    </w:p>
    <w:p w:rsidRPr="00C5308E" w:rsidR="005D5669" w:rsidP="00D87753" w:rsidRDefault="005D5669" w14:paraId="6F4BBD4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154</w:t>
      </w:r>
    </w:p>
    <w:p w:rsidRPr="00C5308E" w:rsidR="005D5669" w:rsidP="00D87753" w:rsidRDefault="005D5669" w14:paraId="47A8F734" w14:textId="77777777">
      <w:pPr>
        <w:spacing w:after="0" w:line="240" w:lineRule="auto"/>
        <w:contextualSpacing/>
        <w:rPr>
          <w:rFonts w:ascii="Verdana" w:hAnsi="Verdana"/>
          <w:bCs/>
          <w:sz w:val="18"/>
          <w:szCs w:val="18"/>
        </w:rPr>
      </w:pPr>
      <w:r w:rsidRPr="00C5308E">
        <w:rPr>
          <w:rFonts w:ascii="Verdana" w:hAnsi="Verdana"/>
          <w:bCs/>
          <w:sz w:val="18"/>
          <w:szCs w:val="18"/>
        </w:rPr>
        <w:t>Hoe verhoudt het naar boven bijstellen van de uitvoeringskosten UWV zich tot de bezuiniging uit HLA en vanuit het amendement Bontenbal c.s.?</w:t>
      </w:r>
    </w:p>
    <w:p w:rsidRPr="00C5308E" w:rsidR="005D5669" w:rsidP="00D87753" w:rsidRDefault="005D5669" w14:paraId="3820588A" w14:textId="77777777">
      <w:pPr>
        <w:spacing w:after="0" w:line="240" w:lineRule="auto"/>
        <w:contextualSpacing/>
        <w:rPr>
          <w:rFonts w:ascii="Verdana" w:hAnsi="Verdana"/>
          <w:bCs/>
          <w:sz w:val="18"/>
          <w:szCs w:val="18"/>
          <w:u w:val="single"/>
        </w:rPr>
      </w:pPr>
    </w:p>
    <w:p w:rsidRPr="00C5308E" w:rsidR="005D5669" w:rsidP="00D87753" w:rsidRDefault="005D5669" w14:paraId="4BF1670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154</w:t>
      </w:r>
    </w:p>
    <w:p w:rsidRPr="00C5308E" w:rsidR="005D5669" w:rsidP="00D87753" w:rsidRDefault="005D5669" w14:paraId="070A1033" w14:textId="41F6F567">
      <w:pPr>
        <w:spacing w:after="0" w:line="240" w:lineRule="auto"/>
        <w:contextualSpacing/>
        <w:rPr>
          <w:rFonts w:ascii="Verdana" w:hAnsi="Verdana"/>
          <w:bCs/>
          <w:sz w:val="18"/>
          <w:szCs w:val="18"/>
        </w:rPr>
      </w:pPr>
      <w:r w:rsidRPr="00C5308E">
        <w:rPr>
          <w:rFonts w:ascii="Verdana" w:hAnsi="Verdana"/>
          <w:bCs/>
          <w:sz w:val="18"/>
          <w:szCs w:val="18"/>
        </w:rPr>
        <w:t>De per saldo stijging van de uitvoeringskosten UWV is met name het gevolg van</w:t>
      </w:r>
      <w:r w:rsidRPr="00C5308E" w:rsidR="002C1D7A">
        <w:rPr>
          <w:rFonts w:ascii="Verdana" w:hAnsi="Verdana"/>
          <w:bCs/>
          <w:sz w:val="18"/>
          <w:szCs w:val="18"/>
        </w:rPr>
        <w:t xml:space="preserve"> het toekennen van extra middelen voor de</w:t>
      </w:r>
      <w:r w:rsidRPr="00C5308E">
        <w:rPr>
          <w:rFonts w:ascii="Verdana" w:hAnsi="Verdana"/>
          <w:bCs/>
          <w:sz w:val="18"/>
          <w:szCs w:val="18"/>
        </w:rPr>
        <w:t xml:space="preserve"> uitvoeringskosten voor de WIA herstelactie dagloon en middelen voor aanvullende capaciteit bij het sociaal-medisch beoordelen. Deze stijging van de uitvoeringskosten was niet in beeld op het moment dat de grondslag voor de taakstellingen is bepaald en is dus ook niet in de grondslag van het UWV meegenomen. </w:t>
      </w:r>
    </w:p>
    <w:p w:rsidRPr="00C5308E" w:rsidR="005D5669" w:rsidP="00D87753" w:rsidRDefault="005D5669" w14:paraId="261E3108" w14:textId="77777777">
      <w:pPr>
        <w:spacing w:after="0" w:line="240" w:lineRule="auto"/>
        <w:contextualSpacing/>
        <w:rPr>
          <w:rFonts w:ascii="Verdana" w:hAnsi="Verdana"/>
          <w:bCs/>
          <w:sz w:val="18"/>
          <w:szCs w:val="18"/>
        </w:rPr>
      </w:pPr>
    </w:p>
    <w:p w:rsidRPr="00C5308E" w:rsidR="005D5669" w:rsidP="00D87753" w:rsidRDefault="005D5669" w14:paraId="2E51CC8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155</w:t>
      </w:r>
    </w:p>
    <w:p w:rsidRPr="00C5308E" w:rsidR="005D5669" w:rsidP="00D87753" w:rsidRDefault="005D5669" w14:paraId="13203CE0" w14:textId="77777777">
      <w:pPr>
        <w:spacing w:after="0" w:line="240" w:lineRule="auto"/>
        <w:contextualSpacing/>
        <w:rPr>
          <w:rFonts w:ascii="Verdana" w:hAnsi="Verdana"/>
          <w:bCs/>
          <w:sz w:val="18"/>
          <w:szCs w:val="18"/>
        </w:rPr>
      </w:pPr>
      <w:r w:rsidRPr="00C5308E">
        <w:rPr>
          <w:rFonts w:ascii="Verdana" w:hAnsi="Verdana"/>
          <w:bCs/>
          <w:sz w:val="18"/>
          <w:szCs w:val="18"/>
        </w:rPr>
        <w:t>Hoe werkt de systematiek rondom posten waar de term nominaal bij staat?</w:t>
      </w:r>
    </w:p>
    <w:p w:rsidRPr="00C5308E" w:rsidR="005D5669" w:rsidP="00D87753" w:rsidRDefault="005D5669" w14:paraId="56CC0B15" w14:textId="77777777">
      <w:pPr>
        <w:spacing w:after="0" w:line="240" w:lineRule="auto"/>
        <w:contextualSpacing/>
        <w:rPr>
          <w:rFonts w:ascii="Verdana" w:hAnsi="Verdana"/>
          <w:bCs/>
          <w:sz w:val="18"/>
          <w:szCs w:val="18"/>
        </w:rPr>
      </w:pPr>
    </w:p>
    <w:p w:rsidRPr="00C5308E" w:rsidR="005D5669" w:rsidP="00D87753" w:rsidRDefault="005D5669" w14:paraId="6CD1F6D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155</w:t>
      </w:r>
    </w:p>
    <w:p w:rsidRPr="00C5308E" w:rsidR="005D5669" w:rsidP="00D87753" w:rsidRDefault="005D5669" w14:paraId="4DF6E075" w14:textId="77777777">
      <w:pPr>
        <w:spacing w:after="0" w:line="240" w:lineRule="auto"/>
        <w:contextualSpacing/>
        <w:rPr>
          <w:rFonts w:ascii="Verdana" w:hAnsi="Verdana"/>
          <w:bCs/>
          <w:sz w:val="18"/>
          <w:szCs w:val="18"/>
        </w:rPr>
      </w:pPr>
      <w:r w:rsidRPr="00C5308E">
        <w:rPr>
          <w:rFonts w:ascii="Verdana" w:hAnsi="Verdana"/>
          <w:bCs/>
          <w:sz w:val="18"/>
          <w:szCs w:val="18"/>
        </w:rPr>
        <w:t>De uitgaven van de verschillende uitkeringsregelingen staan in de eerste suppletoire begroting allemaal in een constant prijspeil. Dat wil zeggen dat daarin geen rekening wordt gehouden met toekomstige indexaties van de uitkeringsbedragen. Het constante prijspeil wordt gebruikt op de gehele Rijksbegroting en zorgt ervoor dat de uitgaven van verschillende departementen met elkaar vergeleken kunnen worden.</w:t>
      </w:r>
    </w:p>
    <w:p w:rsidRPr="00C5308E" w:rsidR="005D5669" w:rsidP="00D87753" w:rsidRDefault="005D5669" w14:paraId="130DC03F" w14:textId="77777777">
      <w:pPr>
        <w:spacing w:after="0" w:line="240" w:lineRule="auto"/>
        <w:contextualSpacing/>
        <w:rPr>
          <w:rFonts w:ascii="Verdana" w:hAnsi="Verdana"/>
          <w:bCs/>
          <w:sz w:val="18"/>
          <w:szCs w:val="18"/>
        </w:rPr>
      </w:pPr>
    </w:p>
    <w:p w:rsidRPr="00C5308E" w:rsidR="005D5669" w:rsidP="00D87753" w:rsidRDefault="005D5669" w14:paraId="1194FF44" w14:textId="77777777">
      <w:pPr>
        <w:spacing w:after="0" w:line="240" w:lineRule="auto"/>
        <w:contextualSpacing/>
        <w:rPr>
          <w:rFonts w:ascii="Verdana" w:hAnsi="Verdana"/>
          <w:bCs/>
          <w:sz w:val="18"/>
          <w:szCs w:val="18"/>
        </w:rPr>
      </w:pPr>
      <w:r w:rsidRPr="00C5308E">
        <w:rPr>
          <w:rFonts w:ascii="Verdana" w:hAnsi="Verdana"/>
          <w:bCs/>
          <w:sz w:val="18"/>
          <w:szCs w:val="18"/>
        </w:rPr>
        <w:t>In werkelijkheid worden (de meeste) uitkeringsbedragen wel geïndexeerd. Daarvoor heeft elke uitkeringsregeling een post ‘nominaal’. Op deze begrotingspost staan de middelen gereserveerd om de verschillende uitkeringsregelingen in de toekomst te kunnen indexeren. Eén keer in het jaar wordt de gehele Rijksbegroting geïndexeerd en worden de benodigde middelen daarvoor overgeheveld van de post nominaal naar het begrotingsartikel van de betreffende uitkeringsregeling. Dit gebeurt bij de Miljoenennota. In de komende Miljoenennota worden de uitgaven op de Rijksbegroting geïndexeerd naar prijspeil 2025.</w:t>
      </w:r>
    </w:p>
    <w:p w:rsidRPr="00C5308E" w:rsidR="005D5669" w:rsidP="00D87753" w:rsidRDefault="005D5669" w14:paraId="1C118708" w14:textId="77777777">
      <w:pPr>
        <w:spacing w:after="0" w:line="240" w:lineRule="auto"/>
        <w:contextualSpacing/>
        <w:rPr>
          <w:rFonts w:ascii="Verdana" w:hAnsi="Verdana"/>
          <w:bCs/>
          <w:sz w:val="18"/>
          <w:szCs w:val="18"/>
        </w:rPr>
      </w:pPr>
    </w:p>
    <w:p w:rsidRPr="00C5308E" w:rsidR="005D5669" w:rsidP="00D87753" w:rsidRDefault="005D5669" w14:paraId="677601A4" w14:textId="77777777">
      <w:pPr>
        <w:spacing w:after="0" w:line="240" w:lineRule="auto"/>
        <w:contextualSpacing/>
        <w:rPr>
          <w:rFonts w:ascii="Verdana" w:hAnsi="Verdana"/>
          <w:bCs/>
          <w:sz w:val="18"/>
          <w:szCs w:val="18"/>
        </w:rPr>
      </w:pPr>
      <w:r w:rsidRPr="00C5308E">
        <w:rPr>
          <w:rFonts w:ascii="Verdana" w:hAnsi="Verdana"/>
          <w:bCs/>
          <w:sz w:val="18"/>
          <w:szCs w:val="18"/>
        </w:rPr>
        <w:t>De post nominaal kan vanwege twee redenen worden aangepast:</w:t>
      </w:r>
    </w:p>
    <w:p w:rsidRPr="00C5308E" w:rsidR="005D5669" w:rsidP="00D87753" w:rsidRDefault="005D5669" w14:paraId="3529D236" w14:textId="77777777">
      <w:pPr>
        <w:pStyle w:val="Lijstalinea"/>
        <w:numPr>
          <w:ilvl w:val="0"/>
          <w:numId w:val="6"/>
        </w:numPr>
        <w:spacing w:after="0" w:line="240" w:lineRule="auto"/>
        <w:rPr>
          <w:bCs/>
          <w:szCs w:val="18"/>
          <w:lang w:val="nl-NL"/>
        </w:rPr>
      </w:pPr>
      <w:r w:rsidRPr="00C5308E">
        <w:rPr>
          <w:bCs/>
          <w:szCs w:val="18"/>
          <w:lang w:val="nl-NL"/>
        </w:rPr>
        <w:t>Als het uitgavenniveau van de onderliggende uitkeringsregeling wijzigt, dan leidt dit tot een aanpassing van de benodigde middelen om de uitkeringsregeling in de toekomst te kunnen indexeren. Dit noemen we een grondslageffect.</w:t>
      </w:r>
    </w:p>
    <w:p w:rsidRPr="00C5308E" w:rsidR="005D5669" w:rsidP="00D87753" w:rsidRDefault="005D5669" w14:paraId="20722F18" w14:textId="77777777">
      <w:pPr>
        <w:pStyle w:val="Lijstalinea"/>
        <w:numPr>
          <w:ilvl w:val="0"/>
          <w:numId w:val="6"/>
        </w:numPr>
        <w:spacing w:after="0" w:line="240" w:lineRule="auto"/>
        <w:rPr>
          <w:bCs/>
          <w:szCs w:val="18"/>
          <w:lang w:val="nl-NL"/>
        </w:rPr>
      </w:pPr>
      <w:r w:rsidRPr="00C5308E">
        <w:rPr>
          <w:bCs/>
          <w:szCs w:val="18"/>
          <w:lang w:val="nl-NL"/>
        </w:rPr>
        <w:t>Als het verwachte indexatiepercentage van de uitkeringsregeling wijzigt. Dit gebeurt bijvoorbeeld als het CPB met een nieuwe raming komt voor de toekomstige inflatie of contractloonontwikkeling.</w:t>
      </w:r>
    </w:p>
    <w:p w:rsidRPr="00C5308E" w:rsidR="005D5669" w:rsidP="00D87753" w:rsidRDefault="005D5669" w14:paraId="7FEC7BAE" w14:textId="77777777">
      <w:pPr>
        <w:spacing w:after="0" w:line="240" w:lineRule="auto"/>
        <w:contextualSpacing/>
        <w:rPr>
          <w:rFonts w:ascii="Verdana" w:hAnsi="Verdana"/>
          <w:bCs/>
          <w:sz w:val="18"/>
          <w:szCs w:val="18"/>
        </w:rPr>
      </w:pPr>
    </w:p>
    <w:p w:rsidRPr="00C5308E" w:rsidR="005D5669" w:rsidP="00D87753" w:rsidRDefault="005D5669" w14:paraId="18C86B4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156</w:t>
      </w:r>
    </w:p>
    <w:p w:rsidRPr="00C5308E" w:rsidR="005D5669" w:rsidP="00D87753" w:rsidRDefault="005D5669" w14:paraId="5BC82EC6" w14:textId="77777777">
      <w:pPr>
        <w:spacing w:after="0" w:line="240" w:lineRule="auto"/>
        <w:contextualSpacing/>
        <w:rPr>
          <w:rFonts w:ascii="Verdana" w:hAnsi="Verdana"/>
          <w:bCs/>
          <w:sz w:val="18"/>
          <w:szCs w:val="18"/>
        </w:rPr>
      </w:pPr>
      <w:r w:rsidRPr="00C5308E">
        <w:rPr>
          <w:rFonts w:ascii="Verdana" w:hAnsi="Verdana"/>
          <w:bCs/>
          <w:sz w:val="18"/>
          <w:szCs w:val="18"/>
        </w:rPr>
        <w:t>Kunt u gesplitst aangeven voor het UWV wat de bezuinigingen zijn bij het UWV als gevolg van respectievelijk de taakstelling uit het HLA en het amendement Bontenbal c.s. en waar in de uitvoering deze bezuinigingen terechtkomen? Kunt u aangeven wat het UWV erbij krijgt, uitgesplitst naar geld voor uitvoeringskosten en geld voor herstelmaatregelen, uitgesplitst naar hersteloperatie (indexatie-fouten, dagloonfouten en de uitspraken van de Centrale Raad van Beroep (CRvB))? Kunt u daarbij uitleggen hoe dit optelt tot 200 miljoen zoals aangegeven op pagina 17 van de Voorjaarsnota?</w:t>
      </w:r>
    </w:p>
    <w:p w:rsidR="005D5669" w:rsidP="00D87753" w:rsidRDefault="005D5669" w14:paraId="29B753AC" w14:textId="77777777">
      <w:pPr>
        <w:spacing w:after="0" w:line="240" w:lineRule="auto"/>
        <w:contextualSpacing/>
        <w:rPr>
          <w:rFonts w:ascii="Verdana" w:hAnsi="Verdana"/>
          <w:bCs/>
          <w:sz w:val="18"/>
          <w:szCs w:val="18"/>
          <w:u w:val="single"/>
        </w:rPr>
      </w:pPr>
    </w:p>
    <w:p w:rsidRPr="00C5308E" w:rsidR="00972542" w:rsidP="00D87753" w:rsidRDefault="00972542" w14:paraId="4B00DF43" w14:textId="77777777">
      <w:pPr>
        <w:spacing w:after="0" w:line="240" w:lineRule="auto"/>
        <w:contextualSpacing/>
        <w:rPr>
          <w:rFonts w:ascii="Verdana" w:hAnsi="Verdana"/>
          <w:bCs/>
          <w:sz w:val="18"/>
          <w:szCs w:val="18"/>
          <w:u w:val="single"/>
        </w:rPr>
      </w:pPr>
    </w:p>
    <w:p w:rsidRPr="00C5308E" w:rsidR="005D5669" w:rsidP="00D87753" w:rsidRDefault="005D5669" w14:paraId="7911BCF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156</w:t>
      </w:r>
    </w:p>
    <w:p w:rsidRPr="00C5308E" w:rsidR="005D5669" w:rsidP="00D87753" w:rsidRDefault="005D5669" w14:paraId="388BDEAC" w14:textId="3BE35EBA">
      <w:pPr>
        <w:spacing w:after="0" w:line="240" w:lineRule="auto"/>
        <w:contextualSpacing/>
        <w:rPr>
          <w:rFonts w:ascii="Verdana" w:hAnsi="Verdana"/>
          <w:bCs/>
          <w:sz w:val="18"/>
          <w:szCs w:val="18"/>
        </w:rPr>
      </w:pPr>
      <w:r w:rsidRPr="00C5308E">
        <w:rPr>
          <w:rFonts w:ascii="Verdana" w:hAnsi="Verdana"/>
          <w:bCs/>
          <w:sz w:val="18"/>
          <w:szCs w:val="18"/>
        </w:rPr>
        <w:t>De bezuinigingen als gevolg van de taakstelling uit het HLA en het amendement Bonte</w:t>
      </w:r>
      <w:r w:rsidR="009922E4">
        <w:rPr>
          <w:rFonts w:ascii="Verdana" w:hAnsi="Verdana"/>
          <w:bCs/>
          <w:sz w:val="18"/>
          <w:szCs w:val="18"/>
        </w:rPr>
        <w:t>n</w:t>
      </w:r>
      <w:r w:rsidRPr="00C5308E">
        <w:rPr>
          <w:rFonts w:ascii="Verdana" w:hAnsi="Verdana"/>
          <w:bCs/>
          <w:sz w:val="18"/>
          <w:szCs w:val="18"/>
        </w:rPr>
        <w:t xml:space="preserve">bal c.s. tellen op tot € 75 miljoen structureel. Over de invulling van deze bezuinigingen loopt het gesprek met UWV. </w:t>
      </w:r>
    </w:p>
    <w:p w:rsidRPr="00C5308E" w:rsidR="005D5669" w:rsidP="00D87753" w:rsidRDefault="005D5669" w14:paraId="68EA3F21" w14:textId="77777777">
      <w:pPr>
        <w:spacing w:after="0" w:line="240" w:lineRule="auto"/>
        <w:contextualSpacing/>
        <w:rPr>
          <w:rFonts w:ascii="Verdana" w:hAnsi="Verdana"/>
          <w:bCs/>
          <w:sz w:val="18"/>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76"/>
        <w:gridCol w:w="674"/>
        <w:gridCol w:w="674"/>
        <w:gridCol w:w="674"/>
        <w:gridCol w:w="674"/>
        <w:gridCol w:w="674"/>
        <w:gridCol w:w="674"/>
        <w:gridCol w:w="695"/>
      </w:tblGrid>
      <w:tr w:rsidRPr="00C5308E" w:rsidR="005D5669" w:rsidTr="003C75FE" w14:paraId="49BD05B8" w14:textId="77777777">
        <w:tc>
          <w:tcPr>
            <w:tcW w:w="0" w:type="auto"/>
            <w:tcBorders>
              <w:bottom w:val="single" w:color="auto" w:sz="4" w:space="0"/>
            </w:tcBorders>
          </w:tcPr>
          <w:p w:rsidRPr="00C5308E" w:rsidR="005D5669" w:rsidP="00D87753" w:rsidRDefault="005D5669" w14:paraId="7D84BC3C" w14:textId="5B3384E0">
            <w:pPr>
              <w:contextualSpacing/>
              <w:rPr>
                <w:rFonts w:ascii="Verdana" w:hAnsi="Verdana"/>
                <w:bCs/>
                <w:sz w:val="18"/>
                <w:szCs w:val="18"/>
              </w:rPr>
            </w:pPr>
            <w:r w:rsidRPr="00C5308E">
              <w:rPr>
                <w:rFonts w:ascii="Verdana" w:hAnsi="Verdana"/>
                <w:bCs/>
                <w:sz w:val="18"/>
                <w:szCs w:val="18"/>
              </w:rPr>
              <w:t>x € 1 m</w:t>
            </w:r>
            <w:r w:rsidRPr="00C5308E" w:rsidR="0051019F">
              <w:rPr>
                <w:rFonts w:ascii="Verdana" w:hAnsi="Verdana"/>
                <w:bCs/>
                <w:sz w:val="18"/>
                <w:szCs w:val="18"/>
              </w:rPr>
              <w:t>ln.</w:t>
            </w:r>
          </w:p>
        </w:tc>
        <w:tc>
          <w:tcPr>
            <w:tcW w:w="0" w:type="auto"/>
            <w:tcBorders>
              <w:bottom w:val="single" w:color="auto" w:sz="4" w:space="0"/>
            </w:tcBorders>
          </w:tcPr>
          <w:p w:rsidRPr="00C5308E" w:rsidR="005D5669" w:rsidP="00D87753" w:rsidRDefault="005D5669" w14:paraId="68365589" w14:textId="77777777">
            <w:pPr>
              <w:contextualSpacing/>
              <w:jc w:val="right"/>
              <w:rPr>
                <w:rFonts w:ascii="Verdana" w:hAnsi="Verdana"/>
                <w:bCs/>
                <w:sz w:val="18"/>
                <w:szCs w:val="18"/>
              </w:rPr>
            </w:pPr>
            <w:r w:rsidRPr="00C5308E">
              <w:rPr>
                <w:rFonts w:ascii="Verdana" w:hAnsi="Verdana"/>
                <w:bCs/>
                <w:sz w:val="18"/>
                <w:szCs w:val="18"/>
              </w:rPr>
              <w:t>2025</w:t>
            </w:r>
          </w:p>
        </w:tc>
        <w:tc>
          <w:tcPr>
            <w:tcW w:w="0" w:type="auto"/>
            <w:tcBorders>
              <w:bottom w:val="single" w:color="auto" w:sz="4" w:space="0"/>
            </w:tcBorders>
          </w:tcPr>
          <w:p w:rsidRPr="00C5308E" w:rsidR="005D5669" w:rsidP="00D87753" w:rsidRDefault="005D5669" w14:paraId="077C5FD6" w14:textId="77777777">
            <w:pPr>
              <w:contextualSpacing/>
              <w:jc w:val="right"/>
              <w:rPr>
                <w:rFonts w:ascii="Verdana" w:hAnsi="Verdana"/>
                <w:bCs/>
                <w:sz w:val="18"/>
                <w:szCs w:val="18"/>
              </w:rPr>
            </w:pPr>
            <w:r w:rsidRPr="00C5308E">
              <w:rPr>
                <w:rFonts w:ascii="Verdana" w:hAnsi="Verdana"/>
                <w:bCs/>
                <w:sz w:val="18"/>
                <w:szCs w:val="18"/>
              </w:rPr>
              <w:t>2026</w:t>
            </w:r>
          </w:p>
        </w:tc>
        <w:tc>
          <w:tcPr>
            <w:tcW w:w="0" w:type="auto"/>
            <w:tcBorders>
              <w:bottom w:val="single" w:color="auto" w:sz="4" w:space="0"/>
            </w:tcBorders>
          </w:tcPr>
          <w:p w:rsidRPr="00C5308E" w:rsidR="005D5669" w:rsidP="00D87753" w:rsidRDefault="005D5669" w14:paraId="497539E8" w14:textId="77777777">
            <w:pPr>
              <w:contextualSpacing/>
              <w:jc w:val="right"/>
              <w:rPr>
                <w:rFonts w:ascii="Verdana" w:hAnsi="Verdana"/>
                <w:bCs/>
                <w:sz w:val="18"/>
                <w:szCs w:val="18"/>
              </w:rPr>
            </w:pPr>
            <w:r w:rsidRPr="00C5308E">
              <w:rPr>
                <w:rFonts w:ascii="Verdana" w:hAnsi="Verdana"/>
                <w:bCs/>
                <w:sz w:val="18"/>
                <w:szCs w:val="18"/>
              </w:rPr>
              <w:t>2027</w:t>
            </w:r>
          </w:p>
        </w:tc>
        <w:tc>
          <w:tcPr>
            <w:tcW w:w="0" w:type="auto"/>
            <w:tcBorders>
              <w:bottom w:val="single" w:color="auto" w:sz="4" w:space="0"/>
            </w:tcBorders>
          </w:tcPr>
          <w:p w:rsidRPr="00C5308E" w:rsidR="005D5669" w:rsidP="00D87753" w:rsidRDefault="005D5669" w14:paraId="313B56B8" w14:textId="77777777">
            <w:pPr>
              <w:contextualSpacing/>
              <w:jc w:val="right"/>
              <w:rPr>
                <w:rFonts w:ascii="Verdana" w:hAnsi="Verdana"/>
                <w:bCs/>
                <w:sz w:val="18"/>
                <w:szCs w:val="18"/>
              </w:rPr>
            </w:pPr>
            <w:r w:rsidRPr="00C5308E">
              <w:rPr>
                <w:rFonts w:ascii="Verdana" w:hAnsi="Verdana"/>
                <w:bCs/>
                <w:sz w:val="18"/>
                <w:szCs w:val="18"/>
              </w:rPr>
              <w:t>2028</w:t>
            </w:r>
          </w:p>
        </w:tc>
        <w:tc>
          <w:tcPr>
            <w:tcW w:w="0" w:type="auto"/>
            <w:tcBorders>
              <w:bottom w:val="single" w:color="auto" w:sz="4" w:space="0"/>
            </w:tcBorders>
          </w:tcPr>
          <w:p w:rsidRPr="00C5308E" w:rsidR="005D5669" w:rsidP="00D87753" w:rsidRDefault="005D5669" w14:paraId="4C7A97BA" w14:textId="77777777">
            <w:pPr>
              <w:contextualSpacing/>
              <w:jc w:val="right"/>
              <w:rPr>
                <w:rFonts w:ascii="Verdana" w:hAnsi="Verdana"/>
                <w:bCs/>
                <w:sz w:val="18"/>
                <w:szCs w:val="18"/>
              </w:rPr>
            </w:pPr>
            <w:r w:rsidRPr="00C5308E">
              <w:rPr>
                <w:rFonts w:ascii="Verdana" w:hAnsi="Verdana"/>
                <w:bCs/>
                <w:sz w:val="18"/>
                <w:szCs w:val="18"/>
              </w:rPr>
              <w:t>2029</w:t>
            </w:r>
          </w:p>
        </w:tc>
        <w:tc>
          <w:tcPr>
            <w:tcW w:w="0" w:type="auto"/>
            <w:tcBorders>
              <w:bottom w:val="single" w:color="auto" w:sz="4" w:space="0"/>
            </w:tcBorders>
          </w:tcPr>
          <w:p w:rsidRPr="00C5308E" w:rsidR="005D5669" w:rsidP="00D87753" w:rsidRDefault="005D5669" w14:paraId="161B8DF8" w14:textId="77777777">
            <w:pPr>
              <w:contextualSpacing/>
              <w:jc w:val="right"/>
              <w:rPr>
                <w:rFonts w:ascii="Verdana" w:hAnsi="Verdana"/>
                <w:bCs/>
                <w:sz w:val="18"/>
                <w:szCs w:val="18"/>
              </w:rPr>
            </w:pPr>
            <w:r w:rsidRPr="00C5308E">
              <w:rPr>
                <w:rFonts w:ascii="Verdana" w:hAnsi="Verdana"/>
                <w:bCs/>
                <w:sz w:val="18"/>
                <w:szCs w:val="18"/>
              </w:rPr>
              <w:t>2030</w:t>
            </w:r>
          </w:p>
        </w:tc>
        <w:tc>
          <w:tcPr>
            <w:tcW w:w="0" w:type="auto"/>
            <w:tcBorders>
              <w:bottom w:val="single" w:color="auto" w:sz="4" w:space="0"/>
            </w:tcBorders>
          </w:tcPr>
          <w:p w:rsidRPr="00C5308E" w:rsidR="005D5669" w:rsidP="00D87753" w:rsidRDefault="005D5669" w14:paraId="3A221CF0" w14:textId="77777777">
            <w:pPr>
              <w:contextualSpacing/>
              <w:jc w:val="right"/>
              <w:rPr>
                <w:rFonts w:ascii="Verdana" w:hAnsi="Verdana"/>
                <w:bCs/>
                <w:sz w:val="18"/>
                <w:szCs w:val="18"/>
              </w:rPr>
            </w:pPr>
            <w:r w:rsidRPr="00C5308E">
              <w:rPr>
                <w:rFonts w:ascii="Verdana" w:hAnsi="Verdana"/>
                <w:bCs/>
                <w:sz w:val="18"/>
                <w:szCs w:val="18"/>
              </w:rPr>
              <w:t>Struc</w:t>
            </w:r>
          </w:p>
        </w:tc>
      </w:tr>
      <w:tr w:rsidRPr="00C5308E" w:rsidR="005D5669" w:rsidTr="003C75FE" w14:paraId="53DC7065" w14:textId="77777777">
        <w:tc>
          <w:tcPr>
            <w:tcW w:w="0" w:type="auto"/>
            <w:tcBorders>
              <w:top w:val="single" w:color="auto" w:sz="4" w:space="0"/>
            </w:tcBorders>
          </w:tcPr>
          <w:p w:rsidRPr="00C5308E" w:rsidR="005D5669" w:rsidP="00D87753" w:rsidRDefault="005D5669" w14:paraId="73913836" w14:textId="77777777">
            <w:pPr>
              <w:contextualSpacing/>
              <w:rPr>
                <w:rFonts w:ascii="Verdana" w:hAnsi="Verdana"/>
                <w:bCs/>
                <w:sz w:val="18"/>
                <w:szCs w:val="18"/>
              </w:rPr>
            </w:pPr>
            <w:r w:rsidRPr="00C5308E">
              <w:rPr>
                <w:rFonts w:ascii="Verdana" w:hAnsi="Verdana"/>
                <w:bCs/>
                <w:sz w:val="18"/>
                <w:szCs w:val="18"/>
              </w:rPr>
              <w:t>Taakstelling HLA</w:t>
            </w:r>
          </w:p>
        </w:tc>
        <w:tc>
          <w:tcPr>
            <w:tcW w:w="0" w:type="auto"/>
            <w:tcBorders>
              <w:top w:val="single" w:color="auto" w:sz="4" w:space="0"/>
            </w:tcBorders>
          </w:tcPr>
          <w:p w:rsidRPr="00C5308E" w:rsidR="005D5669" w:rsidP="00D87753" w:rsidRDefault="005D5669" w14:paraId="25265DB0" w14:textId="77777777">
            <w:pPr>
              <w:contextualSpacing/>
              <w:jc w:val="right"/>
              <w:rPr>
                <w:rFonts w:ascii="Verdana" w:hAnsi="Verdana"/>
                <w:bCs/>
                <w:sz w:val="18"/>
                <w:szCs w:val="18"/>
              </w:rPr>
            </w:pPr>
          </w:p>
        </w:tc>
        <w:tc>
          <w:tcPr>
            <w:tcW w:w="0" w:type="auto"/>
            <w:tcBorders>
              <w:top w:val="single" w:color="auto" w:sz="4" w:space="0"/>
            </w:tcBorders>
          </w:tcPr>
          <w:p w:rsidRPr="00C5308E" w:rsidR="005D5669" w:rsidP="00D87753" w:rsidRDefault="005D5669" w14:paraId="4BE4FC55" w14:textId="77777777">
            <w:pPr>
              <w:contextualSpacing/>
              <w:jc w:val="right"/>
              <w:rPr>
                <w:rFonts w:ascii="Verdana" w:hAnsi="Verdana"/>
                <w:bCs/>
                <w:sz w:val="18"/>
                <w:szCs w:val="18"/>
              </w:rPr>
            </w:pPr>
            <w:r w:rsidRPr="00C5308E">
              <w:rPr>
                <w:rFonts w:ascii="Verdana" w:hAnsi="Verdana"/>
                <w:bCs/>
                <w:sz w:val="18"/>
                <w:szCs w:val="18"/>
              </w:rPr>
              <w:t>11,7</w:t>
            </w:r>
          </w:p>
        </w:tc>
        <w:tc>
          <w:tcPr>
            <w:tcW w:w="0" w:type="auto"/>
            <w:tcBorders>
              <w:top w:val="single" w:color="auto" w:sz="4" w:space="0"/>
            </w:tcBorders>
          </w:tcPr>
          <w:p w:rsidRPr="00C5308E" w:rsidR="005D5669" w:rsidP="00D87753" w:rsidRDefault="005D5669" w14:paraId="2AB12917" w14:textId="77777777">
            <w:pPr>
              <w:contextualSpacing/>
              <w:jc w:val="right"/>
              <w:rPr>
                <w:rFonts w:ascii="Verdana" w:hAnsi="Verdana"/>
                <w:bCs/>
                <w:sz w:val="18"/>
                <w:szCs w:val="18"/>
              </w:rPr>
            </w:pPr>
            <w:r w:rsidRPr="00C5308E">
              <w:rPr>
                <w:rFonts w:ascii="Verdana" w:hAnsi="Verdana"/>
                <w:bCs/>
                <w:sz w:val="18"/>
                <w:szCs w:val="18"/>
              </w:rPr>
              <w:t>23,8</w:t>
            </w:r>
          </w:p>
        </w:tc>
        <w:tc>
          <w:tcPr>
            <w:tcW w:w="0" w:type="auto"/>
            <w:tcBorders>
              <w:top w:val="single" w:color="auto" w:sz="4" w:space="0"/>
            </w:tcBorders>
          </w:tcPr>
          <w:p w:rsidRPr="00C5308E" w:rsidR="005D5669" w:rsidP="00D87753" w:rsidRDefault="005D5669" w14:paraId="69821385" w14:textId="77777777">
            <w:pPr>
              <w:contextualSpacing/>
              <w:jc w:val="right"/>
              <w:rPr>
                <w:rFonts w:ascii="Verdana" w:hAnsi="Verdana"/>
                <w:bCs/>
                <w:sz w:val="18"/>
                <w:szCs w:val="18"/>
              </w:rPr>
            </w:pPr>
            <w:r w:rsidRPr="00C5308E">
              <w:rPr>
                <w:rFonts w:ascii="Verdana" w:hAnsi="Verdana"/>
                <w:bCs/>
                <w:sz w:val="18"/>
                <w:szCs w:val="18"/>
              </w:rPr>
              <w:t>36,3</w:t>
            </w:r>
          </w:p>
        </w:tc>
        <w:tc>
          <w:tcPr>
            <w:tcW w:w="0" w:type="auto"/>
            <w:tcBorders>
              <w:top w:val="single" w:color="auto" w:sz="4" w:space="0"/>
            </w:tcBorders>
          </w:tcPr>
          <w:p w:rsidRPr="00C5308E" w:rsidR="005D5669" w:rsidP="00D87753" w:rsidRDefault="005D5669" w14:paraId="3E33D00D" w14:textId="77777777">
            <w:pPr>
              <w:contextualSpacing/>
              <w:jc w:val="right"/>
              <w:rPr>
                <w:rFonts w:ascii="Verdana" w:hAnsi="Verdana"/>
                <w:bCs/>
                <w:sz w:val="18"/>
                <w:szCs w:val="18"/>
              </w:rPr>
            </w:pPr>
            <w:r w:rsidRPr="00C5308E">
              <w:rPr>
                <w:rFonts w:ascii="Verdana" w:hAnsi="Verdana"/>
                <w:bCs/>
                <w:sz w:val="18"/>
                <w:szCs w:val="18"/>
              </w:rPr>
              <w:t>48,7</w:t>
            </w:r>
          </w:p>
        </w:tc>
        <w:tc>
          <w:tcPr>
            <w:tcW w:w="0" w:type="auto"/>
            <w:tcBorders>
              <w:top w:val="single" w:color="auto" w:sz="4" w:space="0"/>
            </w:tcBorders>
          </w:tcPr>
          <w:p w:rsidRPr="00C5308E" w:rsidR="005D5669" w:rsidP="00D87753" w:rsidRDefault="005D5669" w14:paraId="64C14A6D" w14:textId="77777777">
            <w:pPr>
              <w:contextualSpacing/>
              <w:jc w:val="right"/>
              <w:rPr>
                <w:rFonts w:ascii="Verdana" w:hAnsi="Verdana"/>
                <w:bCs/>
                <w:sz w:val="18"/>
                <w:szCs w:val="18"/>
              </w:rPr>
            </w:pPr>
            <w:r w:rsidRPr="00C5308E">
              <w:rPr>
                <w:rFonts w:ascii="Verdana" w:hAnsi="Verdana"/>
                <w:bCs/>
                <w:sz w:val="18"/>
                <w:szCs w:val="18"/>
              </w:rPr>
              <w:t>48,7</w:t>
            </w:r>
          </w:p>
        </w:tc>
        <w:tc>
          <w:tcPr>
            <w:tcW w:w="0" w:type="auto"/>
            <w:tcBorders>
              <w:top w:val="single" w:color="auto" w:sz="4" w:space="0"/>
            </w:tcBorders>
          </w:tcPr>
          <w:p w:rsidRPr="00C5308E" w:rsidR="005D5669" w:rsidP="00D87753" w:rsidRDefault="005D5669" w14:paraId="66513147" w14:textId="77777777">
            <w:pPr>
              <w:contextualSpacing/>
              <w:jc w:val="right"/>
              <w:rPr>
                <w:rFonts w:ascii="Verdana" w:hAnsi="Verdana"/>
                <w:bCs/>
                <w:sz w:val="18"/>
                <w:szCs w:val="18"/>
              </w:rPr>
            </w:pPr>
            <w:r w:rsidRPr="00C5308E">
              <w:rPr>
                <w:rFonts w:ascii="Verdana" w:hAnsi="Verdana"/>
                <w:bCs/>
                <w:sz w:val="18"/>
                <w:szCs w:val="18"/>
              </w:rPr>
              <w:t>48,7</w:t>
            </w:r>
          </w:p>
        </w:tc>
      </w:tr>
      <w:tr w:rsidRPr="00C5308E" w:rsidR="005D5669" w:rsidTr="003C75FE" w14:paraId="462F8562" w14:textId="77777777">
        <w:tc>
          <w:tcPr>
            <w:tcW w:w="0" w:type="auto"/>
          </w:tcPr>
          <w:p w:rsidRPr="00C5308E" w:rsidR="005D5669" w:rsidP="00D87753" w:rsidRDefault="005D5669" w14:paraId="4AD0B958" w14:textId="1CB5D67F">
            <w:pPr>
              <w:contextualSpacing/>
              <w:rPr>
                <w:rFonts w:ascii="Verdana" w:hAnsi="Verdana"/>
                <w:bCs/>
                <w:sz w:val="18"/>
                <w:szCs w:val="18"/>
              </w:rPr>
            </w:pPr>
            <w:r w:rsidRPr="00C5308E">
              <w:rPr>
                <w:rFonts w:ascii="Verdana" w:hAnsi="Verdana"/>
                <w:bCs/>
                <w:sz w:val="18"/>
                <w:szCs w:val="18"/>
              </w:rPr>
              <w:t>Amendement Bonte</w:t>
            </w:r>
            <w:r w:rsidR="009922E4">
              <w:rPr>
                <w:rFonts w:ascii="Verdana" w:hAnsi="Verdana"/>
                <w:bCs/>
                <w:sz w:val="18"/>
                <w:szCs w:val="18"/>
              </w:rPr>
              <w:t>n</w:t>
            </w:r>
            <w:r w:rsidRPr="00C5308E">
              <w:rPr>
                <w:rFonts w:ascii="Verdana" w:hAnsi="Verdana"/>
                <w:bCs/>
                <w:sz w:val="18"/>
                <w:szCs w:val="18"/>
              </w:rPr>
              <w:t>bal c.s.</w:t>
            </w:r>
          </w:p>
        </w:tc>
        <w:tc>
          <w:tcPr>
            <w:tcW w:w="0" w:type="auto"/>
          </w:tcPr>
          <w:p w:rsidRPr="00C5308E" w:rsidR="005D5669" w:rsidP="00D87753" w:rsidRDefault="005D5669" w14:paraId="446338F7"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2D8D26F6"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1B1C6CEF"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2C8BBDD4"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07FE3FEA"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3FE6BBF0"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11C4CE6A" w14:textId="77777777">
            <w:pPr>
              <w:contextualSpacing/>
              <w:jc w:val="right"/>
              <w:rPr>
                <w:rFonts w:ascii="Verdana" w:hAnsi="Verdana"/>
                <w:bCs/>
                <w:sz w:val="18"/>
                <w:szCs w:val="18"/>
              </w:rPr>
            </w:pPr>
            <w:r w:rsidRPr="00C5308E">
              <w:rPr>
                <w:rFonts w:ascii="Verdana" w:hAnsi="Verdana"/>
                <w:bCs/>
                <w:sz w:val="18"/>
                <w:szCs w:val="18"/>
              </w:rPr>
              <w:t>26,6</w:t>
            </w:r>
          </w:p>
        </w:tc>
      </w:tr>
      <w:tr w:rsidRPr="00C5308E" w:rsidR="005D5669" w:rsidTr="003C75FE" w14:paraId="7FDB6217" w14:textId="77777777">
        <w:tc>
          <w:tcPr>
            <w:tcW w:w="0" w:type="auto"/>
          </w:tcPr>
          <w:p w:rsidRPr="00C5308E" w:rsidR="005D5669" w:rsidP="00D87753" w:rsidRDefault="005D5669" w14:paraId="281CE861" w14:textId="77777777">
            <w:pPr>
              <w:contextualSpacing/>
              <w:rPr>
                <w:rFonts w:ascii="Verdana" w:hAnsi="Verdana"/>
                <w:bCs/>
                <w:sz w:val="18"/>
                <w:szCs w:val="18"/>
              </w:rPr>
            </w:pPr>
            <w:r w:rsidRPr="00C5308E">
              <w:rPr>
                <w:rFonts w:ascii="Verdana" w:hAnsi="Verdana"/>
                <w:bCs/>
                <w:sz w:val="18"/>
                <w:szCs w:val="18"/>
              </w:rPr>
              <w:t xml:space="preserve">Totaal </w:t>
            </w:r>
          </w:p>
        </w:tc>
        <w:tc>
          <w:tcPr>
            <w:tcW w:w="0" w:type="auto"/>
          </w:tcPr>
          <w:p w:rsidRPr="00C5308E" w:rsidR="005D5669" w:rsidP="00D87753" w:rsidRDefault="005D5669" w14:paraId="780B9AAA" w14:textId="77777777">
            <w:pPr>
              <w:contextualSpacing/>
              <w:jc w:val="right"/>
              <w:rPr>
                <w:rFonts w:ascii="Verdana" w:hAnsi="Verdana"/>
                <w:bCs/>
                <w:sz w:val="18"/>
                <w:szCs w:val="18"/>
              </w:rPr>
            </w:pPr>
            <w:r w:rsidRPr="00C5308E">
              <w:rPr>
                <w:rFonts w:ascii="Verdana" w:hAnsi="Verdana"/>
                <w:bCs/>
                <w:sz w:val="18"/>
                <w:szCs w:val="18"/>
              </w:rPr>
              <w:t>26,6</w:t>
            </w:r>
          </w:p>
        </w:tc>
        <w:tc>
          <w:tcPr>
            <w:tcW w:w="0" w:type="auto"/>
          </w:tcPr>
          <w:p w:rsidRPr="00C5308E" w:rsidR="005D5669" w:rsidP="00D87753" w:rsidRDefault="005D5669" w14:paraId="70396C42" w14:textId="77777777">
            <w:pPr>
              <w:contextualSpacing/>
              <w:jc w:val="right"/>
              <w:rPr>
                <w:rFonts w:ascii="Verdana" w:hAnsi="Verdana"/>
                <w:bCs/>
                <w:sz w:val="18"/>
                <w:szCs w:val="18"/>
              </w:rPr>
            </w:pPr>
            <w:r w:rsidRPr="00C5308E">
              <w:rPr>
                <w:rFonts w:ascii="Verdana" w:hAnsi="Verdana"/>
                <w:bCs/>
                <w:sz w:val="18"/>
                <w:szCs w:val="18"/>
              </w:rPr>
              <w:t>38,3</w:t>
            </w:r>
          </w:p>
        </w:tc>
        <w:tc>
          <w:tcPr>
            <w:tcW w:w="0" w:type="auto"/>
          </w:tcPr>
          <w:p w:rsidRPr="00C5308E" w:rsidR="005D5669" w:rsidP="00D87753" w:rsidRDefault="005D5669" w14:paraId="65FB0D98" w14:textId="77777777">
            <w:pPr>
              <w:contextualSpacing/>
              <w:jc w:val="right"/>
              <w:rPr>
                <w:rFonts w:ascii="Verdana" w:hAnsi="Verdana"/>
                <w:bCs/>
                <w:sz w:val="18"/>
                <w:szCs w:val="18"/>
              </w:rPr>
            </w:pPr>
            <w:r w:rsidRPr="00C5308E">
              <w:rPr>
                <w:rFonts w:ascii="Verdana" w:hAnsi="Verdana"/>
                <w:bCs/>
                <w:sz w:val="18"/>
                <w:szCs w:val="18"/>
              </w:rPr>
              <w:t>50,5</w:t>
            </w:r>
          </w:p>
        </w:tc>
        <w:tc>
          <w:tcPr>
            <w:tcW w:w="0" w:type="auto"/>
          </w:tcPr>
          <w:p w:rsidRPr="00C5308E" w:rsidR="005D5669" w:rsidP="00D87753" w:rsidRDefault="005D5669" w14:paraId="6B457687" w14:textId="77777777">
            <w:pPr>
              <w:contextualSpacing/>
              <w:jc w:val="right"/>
              <w:rPr>
                <w:rFonts w:ascii="Verdana" w:hAnsi="Verdana"/>
                <w:bCs/>
                <w:sz w:val="18"/>
                <w:szCs w:val="18"/>
              </w:rPr>
            </w:pPr>
            <w:r w:rsidRPr="00C5308E">
              <w:rPr>
                <w:rFonts w:ascii="Verdana" w:hAnsi="Verdana"/>
                <w:bCs/>
                <w:sz w:val="18"/>
                <w:szCs w:val="18"/>
              </w:rPr>
              <w:t>62,9</w:t>
            </w:r>
          </w:p>
        </w:tc>
        <w:tc>
          <w:tcPr>
            <w:tcW w:w="0" w:type="auto"/>
          </w:tcPr>
          <w:p w:rsidRPr="00C5308E" w:rsidR="005D5669" w:rsidP="00D87753" w:rsidRDefault="005D5669" w14:paraId="62E111FA" w14:textId="77777777">
            <w:pPr>
              <w:contextualSpacing/>
              <w:jc w:val="right"/>
              <w:rPr>
                <w:rFonts w:ascii="Verdana" w:hAnsi="Verdana"/>
                <w:bCs/>
                <w:sz w:val="18"/>
                <w:szCs w:val="18"/>
              </w:rPr>
            </w:pPr>
            <w:r w:rsidRPr="00C5308E">
              <w:rPr>
                <w:rFonts w:ascii="Verdana" w:hAnsi="Verdana"/>
                <w:bCs/>
                <w:sz w:val="18"/>
                <w:szCs w:val="18"/>
              </w:rPr>
              <w:t>75,3</w:t>
            </w:r>
          </w:p>
        </w:tc>
        <w:tc>
          <w:tcPr>
            <w:tcW w:w="0" w:type="auto"/>
          </w:tcPr>
          <w:p w:rsidRPr="00C5308E" w:rsidR="005D5669" w:rsidP="00D87753" w:rsidRDefault="005D5669" w14:paraId="6F7B8440" w14:textId="77777777">
            <w:pPr>
              <w:contextualSpacing/>
              <w:jc w:val="right"/>
              <w:rPr>
                <w:rFonts w:ascii="Verdana" w:hAnsi="Verdana"/>
                <w:bCs/>
                <w:sz w:val="18"/>
                <w:szCs w:val="18"/>
              </w:rPr>
            </w:pPr>
            <w:r w:rsidRPr="00C5308E">
              <w:rPr>
                <w:rFonts w:ascii="Verdana" w:hAnsi="Verdana"/>
                <w:bCs/>
                <w:sz w:val="18"/>
                <w:szCs w:val="18"/>
              </w:rPr>
              <w:t>75,3</w:t>
            </w:r>
          </w:p>
        </w:tc>
        <w:tc>
          <w:tcPr>
            <w:tcW w:w="0" w:type="auto"/>
          </w:tcPr>
          <w:p w:rsidRPr="00C5308E" w:rsidR="005D5669" w:rsidP="00D87753" w:rsidRDefault="005D5669" w14:paraId="708D82AF" w14:textId="77777777">
            <w:pPr>
              <w:contextualSpacing/>
              <w:jc w:val="right"/>
              <w:rPr>
                <w:rFonts w:ascii="Verdana" w:hAnsi="Verdana"/>
                <w:bCs/>
                <w:sz w:val="18"/>
                <w:szCs w:val="18"/>
              </w:rPr>
            </w:pPr>
            <w:r w:rsidRPr="00C5308E">
              <w:rPr>
                <w:rFonts w:ascii="Verdana" w:hAnsi="Verdana"/>
                <w:bCs/>
                <w:sz w:val="18"/>
                <w:szCs w:val="18"/>
              </w:rPr>
              <w:t>75,3</w:t>
            </w:r>
          </w:p>
        </w:tc>
      </w:tr>
    </w:tbl>
    <w:p w:rsidRPr="00C5308E" w:rsidR="005D5669" w:rsidP="00D87753" w:rsidRDefault="005D5669" w14:paraId="1E4F0990" w14:textId="77777777">
      <w:pPr>
        <w:spacing w:after="0" w:line="240" w:lineRule="auto"/>
        <w:contextualSpacing/>
        <w:rPr>
          <w:rFonts w:ascii="Verdana" w:hAnsi="Verdana"/>
          <w:bCs/>
          <w:sz w:val="18"/>
          <w:szCs w:val="18"/>
        </w:rPr>
      </w:pPr>
    </w:p>
    <w:p w:rsidRPr="00C5308E" w:rsidR="005D5669" w:rsidP="00D87753" w:rsidRDefault="005D5669" w14:paraId="592EA0DE" w14:textId="77777777">
      <w:pPr>
        <w:spacing w:after="0" w:line="240" w:lineRule="auto"/>
        <w:contextualSpacing/>
        <w:rPr>
          <w:rFonts w:ascii="Verdana" w:hAnsi="Verdana"/>
          <w:bCs/>
          <w:sz w:val="18"/>
          <w:szCs w:val="18"/>
        </w:rPr>
      </w:pPr>
      <w:r w:rsidRPr="00C5308E">
        <w:rPr>
          <w:rFonts w:ascii="Verdana" w:hAnsi="Verdana"/>
          <w:bCs/>
          <w:sz w:val="18"/>
          <w:szCs w:val="18"/>
        </w:rPr>
        <w:t>De middelen voor de WIA-(herstel)maatregelen, zoals weergegeven op pagina 17 van de Voorjaarsnota, hebben betrekking op zowel uitkeringslasten als uitvoeringskosten. De uitvoeringskosten hebben betrekking op de herstelactie WIA-dagloon, de CRvB-uitspraak loonloze tijdvakken van 30 juli 2024 en extra uitvoeringskosten om de druk op het sociaal-medisch beoordelen bij UWV te verlichten. De uitvoeringskosten worden verder uitgesplitst in het antwoord op vraag 60.</w:t>
      </w:r>
    </w:p>
    <w:p w:rsidRPr="00C5308E" w:rsidR="005D5669" w:rsidP="00D87753" w:rsidRDefault="005D5669" w14:paraId="6CDE5065" w14:textId="0155597D">
      <w:pPr>
        <w:spacing w:after="0" w:line="240" w:lineRule="auto"/>
        <w:contextualSpacing/>
        <w:rPr>
          <w:rFonts w:ascii="Verdana" w:hAnsi="Verdana"/>
          <w:bCs/>
          <w:sz w:val="18"/>
          <w:szCs w:val="18"/>
        </w:rPr>
      </w:pPr>
    </w:p>
    <w:tbl>
      <w:tblPr>
        <w:tblW w:w="0" w:type="auto"/>
        <w:tblCellMar>
          <w:left w:w="70" w:type="dxa"/>
          <w:right w:w="70" w:type="dxa"/>
        </w:tblCellMar>
        <w:tblLook w:val="04A0" w:firstRow="1" w:lastRow="0" w:firstColumn="1" w:lastColumn="0" w:noHBand="0" w:noVBand="1"/>
      </w:tblPr>
      <w:tblGrid>
        <w:gridCol w:w="3836"/>
        <w:gridCol w:w="598"/>
        <w:gridCol w:w="598"/>
        <w:gridCol w:w="598"/>
        <w:gridCol w:w="598"/>
        <w:gridCol w:w="598"/>
        <w:gridCol w:w="598"/>
        <w:gridCol w:w="619"/>
      </w:tblGrid>
      <w:tr w:rsidRPr="00C5308E" w:rsidR="005D5669" w:rsidTr="003C75FE" w14:paraId="731FA254" w14:textId="77777777">
        <w:trPr>
          <w:trHeight w:val="230"/>
        </w:trPr>
        <w:tc>
          <w:tcPr>
            <w:tcW w:w="0" w:type="auto"/>
            <w:tcBorders>
              <w:bottom w:val="single" w:color="auto" w:sz="4" w:space="0"/>
            </w:tcBorders>
            <w:shd w:val="clear" w:color="auto" w:fill="auto"/>
            <w:vAlign w:val="center"/>
            <w:hideMark/>
          </w:tcPr>
          <w:p w:rsidRPr="00C5308E" w:rsidR="005D5669" w:rsidP="00D87753" w:rsidRDefault="005D5669" w14:paraId="27BF142D" w14:textId="320EE26F">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w:t>
            </w:r>
            <w:r w:rsidRPr="00C5308E">
              <w:rPr>
                <w:rFonts w:ascii="Verdana" w:hAnsi="Verdana"/>
                <w:bCs/>
                <w:sz w:val="18"/>
                <w:szCs w:val="18"/>
              </w:rPr>
              <w:t>x € 1 m</w:t>
            </w:r>
            <w:r w:rsidRPr="00C5308E" w:rsidR="0051019F">
              <w:rPr>
                <w:rFonts w:ascii="Verdana" w:hAnsi="Verdana"/>
                <w:bCs/>
                <w:sz w:val="18"/>
                <w:szCs w:val="18"/>
              </w:rPr>
              <w:t>ln.</w:t>
            </w:r>
          </w:p>
        </w:tc>
        <w:tc>
          <w:tcPr>
            <w:tcW w:w="0" w:type="auto"/>
            <w:tcBorders>
              <w:bottom w:val="single" w:color="auto" w:sz="4" w:space="0"/>
            </w:tcBorders>
            <w:shd w:val="clear" w:color="auto" w:fill="auto"/>
            <w:vAlign w:val="center"/>
            <w:hideMark/>
          </w:tcPr>
          <w:p w:rsidRPr="00C5308E" w:rsidR="005D5669" w:rsidP="00D87753" w:rsidRDefault="005D5669" w14:paraId="6875C1F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2025</w:t>
            </w:r>
          </w:p>
        </w:tc>
        <w:tc>
          <w:tcPr>
            <w:tcW w:w="0" w:type="auto"/>
            <w:tcBorders>
              <w:bottom w:val="single" w:color="auto" w:sz="4" w:space="0"/>
            </w:tcBorders>
            <w:shd w:val="clear" w:color="auto" w:fill="auto"/>
            <w:vAlign w:val="center"/>
            <w:hideMark/>
          </w:tcPr>
          <w:p w:rsidRPr="00C5308E" w:rsidR="005D5669" w:rsidP="00D87753" w:rsidRDefault="005D5669" w14:paraId="089EDC6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2026</w:t>
            </w:r>
          </w:p>
        </w:tc>
        <w:tc>
          <w:tcPr>
            <w:tcW w:w="0" w:type="auto"/>
            <w:tcBorders>
              <w:bottom w:val="single" w:color="auto" w:sz="4" w:space="0"/>
            </w:tcBorders>
            <w:shd w:val="clear" w:color="auto" w:fill="auto"/>
            <w:vAlign w:val="center"/>
            <w:hideMark/>
          </w:tcPr>
          <w:p w:rsidRPr="00C5308E" w:rsidR="005D5669" w:rsidP="00D87753" w:rsidRDefault="005D5669" w14:paraId="517918D4"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2027</w:t>
            </w:r>
          </w:p>
        </w:tc>
        <w:tc>
          <w:tcPr>
            <w:tcW w:w="0" w:type="auto"/>
            <w:tcBorders>
              <w:bottom w:val="single" w:color="auto" w:sz="4" w:space="0"/>
            </w:tcBorders>
            <w:shd w:val="clear" w:color="auto" w:fill="auto"/>
            <w:vAlign w:val="center"/>
            <w:hideMark/>
          </w:tcPr>
          <w:p w:rsidRPr="00C5308E" w:rsidR="005D5669" w:rsidP="00D87753" w:rsidRDefault="005D5669" w14:paraId="2DBA619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2028</w:t>
            </w:r>
          </w:p>
        </w:tc>
        <w:tc>
          <w:tcPr>
            <w:tcW w:w="0" w:type="auto"/>
            <w:tcBorders>
              <w:bottom w:val="single" w:color="auto" w:sz="4" w:space="0"/>
            </w:tcBorders>
            <w:shd w:val="clear" w:color="auto" w:fill="auto"/>
            <w:vAlign w:val="center"/>
            <w:hideMark/>
          </w:tcPr>
          <w:p w:rsidRPr="00C5308E" w:rsidR="005D5669" w:rsidP="00D87753" w:rsidRDefault="005D5669" w14:paraId="623DEEBC"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2029</w:t>
            </w:r>
          </w:p>
        </w:tc>
        <w:tc>
          <w:tcPr>
            <w:tcW w:w="0" w:type="auto"/>
            <w:tcBorders>
              <w:bottom w:val="single" w:color="auto" w:sz="4" w:space="0"/>
            </w:tcBorders>
            <w:shd w:val="clear" w:color="auto" w:fill="auto"/>
            <w:vAlign w:val="center"/>
            <w:hideMark/>
          </w:tcPr>
          <w:p w:rsidRPr="00C5308E" w:rsidR="005D5669" w:rsidP="00D87753" w:rsidRDefault="005D5669" w14:paraId="7CFC942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2030</w:t>
            </w:r>
          </w:p>
        </w:tc>
        <w:tc>
          <w:tcPr>
            <w:tcW w:w="0" w:type="auto"/>
            <w:tcBorders>
              <w:bottom w:val="single" w:color="auto" w:sz="4" w:space="0"/>
            </w:tcBorders>
          </w:tcPr>
          <w:p w:rsidRPr="00C5308E" w:rsidR="005D5669" w:rsidP="00D87753" w:rsidRDefault="005D5669" w14:paraId="00CDD2E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Struc</w:t>
            </w:r>
          </w:p>
        </w:tc>
      </w:tr>
      <w:tr w:rsidRPr="00C5308E" w:rsidR="005D5669" w:rsidTr="003C75FE" w14:paraId="04E5F6A2" w14:textId="77777777">
        <w:trPr>
          <w:trHeight w:val="230"/>
        </w:trPr>
        <w:tc>
          <w:tcPr>
            <w:tcW w:w="0" w:type="auto"/>
            <w:tcBorders>
              <w:top w:val="single" w:color="auto" w:sz="4" w:space="0"/>
            </w:tcBorders>
            <w:shd w:val="clear" w:color="auto" w:fill="auto"/>
            <w:vAlign w:val="center"/>
            <w:hideMark/>
          </w:tcPr>
          <w:p w:rsidRPr="00C5308E" w:rsidR="005D5669" w:rsidP="00D87753" w:rsidRDefault="005D5669" w14:paraId="1FA3713F"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Uitvoeringskosten</w:t>
            </w:r>
          </w:p>
        </w:tc>
        <w:tc>
          <w:tcPr>
            <w:tcW w:w="0" w:type="auto"/>
            <w:tcBorders>
              <w:top w:val="single" w:color="auto" w:sz="4" w:space="0"/>
            </w:tcBorders>
            <w:shd w:val="clear" w:color="auto" w:fill="auto"/>
            <w:vAlign w:val="center"/>
            <w:hideMark/>
          </w:tcPr>
          <w:p w:rsidRPr="00C5308E" w:rsidR="005D5669" w:rsidP="00D87753" w:rsidRDefault="005D5669" w14:paraId="5C3C3F2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42</w:t>
            </w:r>
          </w:p>
        </w:tc>
        <w:tc>
          <w:tcPr>
            <w:tcW w:w="0" w:type="auto"/>
            <w:tcBorders>
              <w:top w:val="single" w:color="auto" w:sz="4" w:space="0"/>
            </w:tcBorders>
            <w:shd w:val="clear" w:color="auto" w:fill="auto"/>
            <w:vAlign w:val="center"/>
            <w:hideMark/>
          </w:tcPr>
          <w:p w:rsidRPr="00C5308E" w:rsidR="005D5669" w:rsidP="00D87753" w:rsidRDefault="005D5669" w14:paraId="0E4F76A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68</w:t>
            </w:r>
          </w:p>
        </w:tc>
        <w:tc>
          <w:tcPr>
            <w:tcW w:w="0" w:type="auto"/>
            <w:tcBorders>
              <w:top w:val="single" w:color="auto" w:sz="4" w:space="0"/>
            </w:tcBorders>
            <w:shd w:val="clear" w:color="auto" w:fill="auto"/>
            <w:vAlign w:val="center"/>
            <w:hideMark/>
          </w:tcPr>
          <w:p w:rsidRPr="00C5308E" w:rsidR="005D5669" w:rsidP="00D87753" w:rsidRDefault="005D5669" w14:paraId="198813C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53</w:t>
            </w:r>
          </w:p>
        </w:tc>
        <w:tc>
          <w:tcPr>
            <w:tcW w:w="0" w:type="auto"/>
            <w:tcBorders>
              <w:top w:val="single" w:color="auto" w:sz="4" w:space="0"/>
            </w:tcBorders>
            <w:shd w:val="clear" w:color="auto" w:fill="auto"/>
            <w:vAlign w:val="center"/>
            <w:hideMark/>
          </w:tcPr>
          <w:p w:rsidRPr="00C5308E" w:rsidR="005D5669" w:rsidP="00D87753" w:rsidRDefault="005D5669" w14:paraId="146B7FB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w:t>
            </w:r>
          </w:p>
        </w:tc>
        <w:tc>
          <w:tcPr>
            <w:tcW w:w="0" w:type="auto"/>
            <w:tcBorders>
              <w:top w:val="single" w:color="auto" w:sz="4" w:space="0"/>
            </w:tcBorders>
            <w:shd w:val="clear" w:color="auto" w:fill="auto"/>
            <w:vAlign w:val="center"/>
            <w:hideMark/>
          </w:tcPr>
          <w:p w:rsidRPr="00C5308E" w:rsidR="005D5669" w:rsidP="00D87753" w:rsidRDefault="005D5669" w14:paraId="7B0FD284"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w:t>
            </w:r>
          </w:p>
        </w:tc>
        <w:tc>
          <w:tcPr>
            <w:tcW w:w="0" w:type="auto"/>
            <w:tcBorders>
              <w:top w:val="single" w:color="auto" w:sz="4" w:space="0"/>
            </w:tcBorders>
            <w:shd w:val="clear" w:color="auto" w:fill="auto"/>
            <w:vAlign w:val="center"/>
            <w:hideMark/>
          </w:tcPr>
          <w:p w:rsidRPr="00C5308E" w:rsidR="005D5669" w:rsidP="00D87753" w:rsidRDefault="005D5669" w14:paraId="290C0AE4"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w:t>
            </w:r>
          </w:p>
        </w:tc>
        <w:tc>
          <w:tcPr>
            <w:tcW w:w="0" w:type="auto"/>
            <w:tcBorders>
              <w:top w:val="single" w:color="auto" w:sz="4" w:space="0"/>
            </w:tcBorders>
          </w:tcPr>
          <w:p w:rsidRPr="00C5308E" w:rsidR="005D5669" w:rsidP="00D87753" w:rsidRDefault="005D5669" w14:paraId="4E0A86E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36</w:t>
            </w:r>
          </w:p>
        </w:tc>
      </w:tr>
      <w:tr w:rsidRPr="00C5308E" w:rsidR="005D5669" w:rsidTr="003C75FE" w14:paraId="40B56D3D" w14:textId="77777777">
        <w:trPr>
          <w:trHeight w:val="460"/>
        </w:trPr>
        <w:tc>
          <w:tcPr>
            <w:tcW w:w="0" w:type="auto"/>
            <w:shd w:val="clear" w:color="auto" w:fill="auto"/>
            <w:vAlign w:val="center"/>
            <w:hideMark/>
          </w:tcPr>
          <w:p w:rsidRPr="00C5308E" w:rsidR="005D5669" w:rsidP="00D87753" w:rsidRDefault="005D5669" w14:paraId="05334680"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Vereenvoudigde beoordeling 60-plussers</w:t>
            </w:r>
          </w:p>
        </w:tc>
        <w:tc>
          <w:tcPr>
            <w:tcW w:w="0" w:type="auto"/>
            <w:shd w:val="clear" w:color="auto" w:fill="auto"/>
            <w:noWrap/>
            <w:vAlign w:val="center"/>
            <w:hideMark/>
          </w:tcPr>
          <w:p w:rsidRPr="00C5308E" w:rsidR="005D5669" w:rsidP="00D87753" w:rsidRDefault="005D5669" w14:paraId="1B243EF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w:t>
            </w:r>
          </w:p>
        </w:tc>
        <w:tc>
          <w:tcPr>
            <w:tcW w:w="0" w:type="auto"/>
            <w:shd w:val="clear" w:color="auto" w:fill="auto"/>
            <w:noWrap/>
            <w:vAlign w:val="center"/>
            <w:hideMark/>
          </w:tcPr>
          <w:p w:rsidRPr="00C5308E" w:rsidR="005D5669" w:rsidP="00D87753" w:rsidRDefault="005D5669" w14:paraId="589078D9"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10</w:t>
            </w:r>
          </w:p>
        </w:tc>
        <w:tc>
          <w:tcPr>
            <w:tcW w:w="0" w:type="auto"/>
            <w:shd w:val="clear" w:color="auto" w:fill="auto"/>
            <w:noWrap/>
            <w:vAlign w:val="center"/>
            <w:hideMark/>
          </w:tcPr>
          <w:p w:rsidRPr="00C5308E" w:rsidR="005D5669" w:rsidP="00D87753" w:rsidRDefault="005D5669" w14:paraId="397904FC"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24</w:t>
            </w:r>
          </w:p>
        </w:tc>
        <w:tc>
          <w:tcPr>
            <w:tcW w:w="0" w:type="auto"/>
            <w:shd w:val="clear" w:color="auto" w:fill="auto"/>
            <w:noWrap/>
            <w:vAlign w:val="center"/>
            <w:hideMark/>
          </w:tcPr>
          <w:p w:rsidRPr="00C5308E" w:rsidR="005D5669" w:rsidP="00D87753" w:rsidRDefault="005D5669" w14:paraId="72C0FD74"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47</w:t>
            </w:r>
          </w:p>
        </w:tc>
        <w:tc>
          <w:tcPr>
            <w:tcW w:w="0" w:type="auto"/>
            <w:shd w:val="clear" w:color="auto" w:fill="auto"/>
            <w:noWrap/>
            <w:vAlign w:val="center"/>
            <w:hideMark/>
          </w:tcPr>
          <w:p w:rsidRPr="00C5308E" w:rsidR="005D5669" w:rsidP="00D87753" w:rsidRDefault="005D5669" w14:paraId="70C83709"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61</w:t>
            </w:r>
          </w:p>
        </w:tc>
        <w:tc>
          <w:tcPr>
            <w:tcW w:w="0" w:type="auto"/>
            <w:shd w:val="clear" w:color="auto" w:fill="auto"/>
            <w:noWrap/>
            <w:vAlign w:val="center"/>
            <w:hideMark/>
          </w:tcPr>
          <w:p w:rsidRPr="00C5308E" w:rsidR="005D5669" w:rsidP="00D87753" w:rsidRDefault="005D5669" w14:paraId="4BF443B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54</w:t>
            </w:r>
          </w:p>
        </w:tc>
        <w:tc>
          <w:tcPr>
            <w:tcW w:w="0" w:type="auto"/>
            <w:vAlign w:val="center"/>
          </w:tcPr>
          <w:p w:rsidRPr="00C5308E" w:rsidR="005D5669" w:rsidP="00D87753" w:rsidRDefault="005D5669" w14:paraId="74D594A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0 </w:t>
            </w:r>
          </w:p>
        </w:tc>
      </w:tr>
      <w:tr w:rsidRPr="00C5308E" w:rsidR="005D5669" w:rsidTr="003C75FE" w14:paraId="3B85454E" w14:textId="77777777">
        <w:trPr>
          <w:trHeight w:val="230"/>
        </w:trPr>
        <w:tc>
          <w:tcPr>
            <w:tcW w:w="0" w:type="auto"/>
            <w:shd w:val="clear" w:color="auto" w:fill="auto"/>
            <w:vAlign w:val="center"/>
            <w:hideMark/>
          </w:tcPr>
          <w:p w:rsidRPr="00C5308E" w:rsidR="005D5669" w:rsidP="00D87753" w:rsidRDefault="005D5669" w14:paraId="0B2CA696"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 xml:space="preserve">Kwijtschelden voorschotten </w:t>
            </w:r>
          </w:p>
        </w:tc>
        <w:tc>
          <w:tcPr>
            <w:tcW w:w="0" w:type="auto"/>
            <w:shd w:val="clear" w:color="auto" w:fill="auto"/>
            <w:noWrap/>
            <w:vAlign w:val="center"/>
            <w:hideMark/>
          </w:tcPr>
          <w:p w:rsidRPr="00C5308E" w:rsidR="005D5669" w:rsidP="00D87753" w:rsidRDefault="005D5669" w14:paraId="4AFF91C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w:t>
            </w:r>
          </w:p>
        </w:tc>
        <w:tc>
          <w:tcPr>
            <w:tcW w:w="0" w:type="auto"/>
            <w:shd w:val="clear" w:color="auto" w:fill="auto"/>
            <w:noWrap/>
            <w:vAlign w:val="center"/>
            <w:hideMark/>
          </w:tcPr>
          <w:p w:rsidRPr="00C5308E" w:rsidR="005D5669" w:rsidP="00D87753" w:rsidRDefault="005D5669" w14:paraId="4988252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31</w:t>
            </w:r>
          </w:p>
        </w:tc>
        <w:tc>
          <w:tcPr>
            <w:tcW w:w="0" w:type="auto"/>
            <w:shd w:val="clear" w:color="auto" w:fill="auto"/>
            <w:noWrap/>
            <w:vAlign w:val="center"/>
            <w:hideMark/>
          </w:tcPr>
          <w:p w:rsidRPr="00C5308E" w:rsidR="005D5669" w:rsidP="00D87753" w:rsidRDefault="005D5669" w14:paraId="070558C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33</w:t>
            </w:r>
          </w:p>
        </w:tc>
        <w:tc>
          <w:tcPr>
            <w:tcW w:w="0" w:type="auto"/>
            <w:shd w:val="clear" w:color="auto" w:fill="auto"/>
            <w:noWrap/>
            <w:vAlign w:val="center"/>
            <w:hideMark/>
          </w:tcPr>
          <w:p w:rsidRPr="00C5308E" w:rsidR="005D5669" w:rsidP="00D87753" w:rsidRDefault="005D5669" w14:paraId="732B927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50</w:t>
            </w:r>
          </w:p>
        </w:tc>
        <w:tc>
          <w:tcPr>
            <w:tcW w:w="0" w:type="auto"/>
            <w:shd w:val="clear" w:color="auto" w:fill="auto"/>
            <w:noWrap/>
            <w:vAlign w:val="center"/>
            <w:hideMark/>
          </w:tcPr>
          <w:p w:rsidRPr="00C5308E" w:rsidR="005D5669" w:rsidP="00D87753" w:rsidRDefault="005D5669" w14:paraId="699E1C8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71</w:t>
            </w:r>
          </w:p>
        </w:tc>
        <w:tc>
          <w:tcPr>
            <w:tcW w:w="0" w:type="auto"/>
            <w:shd w:val="clear" w:color="auto" w:fill="auto"/>
            <w:noWrap/>
            <w:vAlign w:val="center"/>
            <w:hideMark/>
          </w:tcPr>
          <w:p w:rsidRPr="00C5308E" w:rsidR="005D5669" w:rsidP="00D87753" w:rsidRDefault="005D5669" w14:paraId="71B9E78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93</w:t>
            </w:r>
          </w:p>
        </w:tc>
        <w:tc>
          <w:tcPr>
            <w:tcW w:w="0" w:type="auto"/>
            <w:vAlign w:val="center"/>
          </w:tcPr>
          <w:p w:rsidRPr="00C5308E" w:rsidR="005D5669" w:rsidP="00D87753" w:rsidRDefault="005D5669" w14:paraId="03F3D02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93</w:t>
            </w:r>
          </w:p>
        </w:tc>
      </w:tr>
      <w:tr w:rsidRPr="00C5308E" w:rsidR="005D5669" w:rsidTr="003C75FE" w14:paraId="236020DA" w14:textId="77777777">
        <w:trPr>
          <w:trHeight w:val="230"/>
        </w:trPr>
        <w:tc>
          <w:tcPr>
            <w:tcW w:w="0" w:type="auto"/>
            <w:shd w:val="clear" w:color="auto" w:fill="auto"/>
            <w:vAlign w:val="center"/>
            <w:hideMark/>
          </w:tcPr>
          <w:p w:rsidRPr="00C5308E" w:rsidR="005D5669" w:rsidP="00D87753" w:rsidRDefault="005D5669" w14:paraId="02C092B6"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WIA herstelactie indexatie</w:t>
            </w:r>
          </w:p>
        </w:tc>
        <w:tc>
          <w:tcPr>
            <w:tcW w:w="0" w:type="auto"/>
            <w:shd w:val="clear" w:color="auto" w:fill="auto"/>
            <w:noWrap/>
            <w:vAlign w:val="center"/>
            <w:hideMark/>
          </w:tcPr>
          <w:p w:rsidRPr="00C5308E" w:rsidR="005D5669" w:rsidP="00D87753" w:rsidRDefault="005D5669" w14:paraId="30C90DA2"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shd w:val="clear" w:color="auto" w:fill="auto"/>
            <w:noWrap/>
            <w:vAlign w:val="center"/>
            <w:hideMark/>
          </w:tcPr>
          <w:p w:rsidRPr="00C5308E" w:rsidR="005D5669" w:rsidP="00D87753" w:rsidRDefault="005D5669" w14:paraId="2C1CDE9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3</w:t>
            </w:r>
          </w:p>
        </w:tc>
        <w:tc>
          <w:tcPr>
            <w:tcW w:w="0" w:type="auto"/>
            <w:shd w:val="clear" w:color="auto" w:fill="auto"/>
            <w:noWrap/>
            <w:vAlign w:val="center"/>
            <w:hideMark/>
          </w:tcPr>
          <w:p w:rsidRPr="00C5308E" w:rsidR="005D5669" w:rsidP="00D87753" w:rsidRDefault="005D5669" w14:paraId="6A931B9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w:t>
            </w:r>
          </w:p>
        </w:tc>
        <w:tc>
          <w:tcPr>
            <w:tcW w:w="0" w:type="auto"/>
            <w:shd w:val="clear" w:color="auto" w:fill="auto"/>
            <w:vAlign w:val="center"/>
            <w:hideMark/>
          </w:tcPr>
          <w:p w:rsidRPr="00C5308E" w:rsidR="005D5669" w:rsidP="00D87753" w:rsidRDefault="005D5669" w14:paraId="2895810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cs="Calibri"/>
                <w:bCs/>
                <w:color w:val="000000"/>
                <w:sz w:val="18"/>
                <w:szCs w:val="18"/>
              </w:rPr>
              <w:t>0 </w:t>
            </w:r>
          </w:p>
        </w:tc>
        <w:tc>
          <w:tcPr>
            <w:tcW w:w="0" w:type="auto"/>
            <w:shd w:val="clear" w:color="auto" w:fill="auto"/>
            <w:vAlign w:val="center"/>
            <w:hideMark/>
          </w:tcPr>
          <w:p w:rsidRPr="00C5308E" w:rsidR="005D5669" w:rsidP="00D87753" w:rsidRDefault="005D5669" w14:paraId="0A841DAD" w14:textId="77777777">
            <w:pPr>
              <w:spacing w:after="0" w:line="240" w:lineRule="auto"/>
              <w:contextualSpacing/>
              <w:jc w:val="right"/>
              <w:rPr>
                <w:rFonts w:ascii="Verdana" w:hAnsi="Verdana" w:eastAsia="Times New Roman" w:cs="Times New Roman"/>
                <w:bCs/>
                <w:sz w:val="18"/>
                <w:szCs w:val="18"/>
                <w:lang w:eastAsia="nl-NL"/>
              </w:rPr>
            </w:pPr>
            <w:r w:rsidRPr="00C5308E">
              <w:rPr>
                <w:rFonts w:ascii="Verdana" w:hAnsi="Verdana" w:cs="Calibri"/>
                <w:bCs/>
                <w:color w:val="000000"/>
                <w:sz w:val="18"/>
                <w:szCs w:val="18"/>
              </w:rPr>
              <w:t>0 </w:t>
            </w:r>
          </w:p>
        </w:tc>
        <w:tc>
          <w:tcPr>
            <w:tcW w:w="0" w:type="auto"/>
            <w:shd w:val="clear" w:color="auto" w:fill="auto"/>
            <w:vAlign w:val="center"/>
            <w:hideMark/>
          </w:tcPr>
          <w:p w:rsidRPr="00C5308E" w:rsidR="005D5669" w:rsidP="00D87753" w:rsidRDefault="005D5669" w14:paraId="09731C70" w14:textId="77777777">
            <w:pPr>
              <w:spacing w:after="0" w:line="240" w:lineRule="auto"/>
              <w:contextualSpacing/>
              <w:jc w:val="right"/>
              <w:rPr>
                <w:rFonts w:ascii="Verdana" w:hAnsi="Verdana" w:eastAsia="Times New Roman" w:cs="Times New Roman"/>
                <w:bCs/>
                <w:sz w:val="18"/>
                <w:szCs w:val="18"/>
                <w:lang w:eastAsia="nl-NL"/>
              </w:rPr>
            </w:pPr>
            <w:r w:rsidRPr="00C5308E">
              <w:rPr>
                <w:rFonts w:ascii="Verdana" w:hAnsi="Verdana" w:cs="Calibri"/>
                <w:bCs/>
                <w:color w:val="000000"/>
                <w:sz w:val="18"/>
                <w:szCs w:val="18"/>
              </w:rPr>
              <w:t>0 </w:t>
            </w:r>
          </w:p>
        </w:tc>
        <w:tc>
          <w:tcPr>
            <w:tcW w:w="0" w:type="auto"/>
            <w:vAlign w:val="center"/>
          </w:tcPr>
          <w:p w:rsidRPr="00C5308E" w:rsidR="005D5669" w:rsidP="00D87753" w:rsidRDefault="005D5669" w14:paraId="2016BD12" w14:textId="77777777">
            <w:pPr>
              <w:spacing w:after="0" w:line="240" w:lineRule="auto"/>
              <w:contextualSpacing/>
              <w:jc w:val="right"/>
              <w:rPr>
                <w:rFonts w:ascii="Verdana" w:hAnsi="Verdana" w:eastAsia="Times New Roman" w:cs="Times New Roman"/>
                <w:bCs/>
                <w:sz w:val="18"/>
                <w:szCs w:val="18"/>
                <w:lang w:eastAsia="nl-NL"/>
              </w:rPr>
            </w:pPr>
            <w:r w:rsidRPr="00C5308E">
              <w:rPr>
                <w:rFonts w:ascii="Verdana" w:hAnsi="Verdana"/>
                <w:bCs/>
                <w:color w:val="000000"/>
                <w:sz w:val="18"/>
                <w:szCs w:val="18"/>
              </w:rPr>
              <w:t>0 </w:t>
            </w:r>
          </w:p>
        </w:tc>
      </w:tr>
      <w:tr w:rsidRPr="00C5308E" w:rsidR="005D5669" w:rsidTr="003C75FE" w14:paraId="1F7422C7" w14:textId="77777777">
        <w:trPr>
          <w:trHeight w:val="230"/>
        </w:trPr>
        <w:tc>
          <w:tcPr>
            <w:tcW w:w="0" w:type="auto"/>
            <w:shd w:val="clear" w:color="auto" w:fill="auto"/>
            <w:noWrap/>
            <w:vAlign w:val="bottom"/>
            <w:hideMark/>
          </w:tcPr>
          <w:p w:rsidRPr="00C5308E" w:rsidR="005D5669" w:rsidP="00D87753" w:rsidRDefault="005D5669" w14:paraId="39D8FF59"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Reservering fout indexatie maatmanloon</w:t>
            </w:r>
          </w:p>
        </w:tc>
        <w:tc>
          <w:tcPr>
            <w:tcW w:w="0" w:type="auto"/>
            <w:shd w:val="clear" w:color="auto" w:fill="auto"/>
            <w:noWrap/>
            <w:vAlign w:val="center"/>
            <w:hideMark/>
          </w:tcPr>
          <w:p w:rsidRPr="00C5308E" w:rsidR="005D5669" w:rsidP="00D87753" w:rsidRDefault="005D5669" w14:paraId="54C8BCFE"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w:t>
            </w:r>
          </w:p>
        </w:tc>
        <w:tc>
          <w:tcPr>
            <w:tcW w:w="0" w:type="auto"/>
            <w:shd w:val="clear" w:color="auto" w:fill="auto"/>
            <w:noWrap/>
            <w:vAlign w:val="center"/>
            <w:hideMark/>
          </w:tcPr>
          <w:p w:rsidRPr="00C5308E" w:rsidR="005D5669" w:rsidP="00D87753" w:rsidRDefault="005D5669" w14:paraId="340736F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shd w:val="clear" w:color="auto" w:fill="auto"/>
            <w:noWrap/>
            <w:vAlign w:val="center"/>
            <w:hideMark/>
          </w:tcPr>
          <w:p w:rsidRPr="00C5308E" w:rsidR="005D5669" w:rsidP="00D87753" w:rsidRDefault="005D5669" w14:paraId="13D366CA"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shd w:val="clear" w:color="auto" w:fill="auto"/>
            <w:noWrap/>
            <w:vAlign w:val="center"/>
            <w:hideMark/>
          </w:tcPr>
          <w:p w:rsidRPr="00C5308E" w:rsidR="005D5669" w:rsidP="00D87753" w:rsidRDefault="005D5669" w14:paraId="301AFF7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shd w:val="clear" w:color="auto" w:fill="auto"/>
            <w:noWrap/>
            <w:vAlign w:val="center"/>
            <w:hideMark/>
          </w:tcPr>
          <w:p w:rsidRPr="00C5308E" w:rsidR="005D5669" w:rsidP="00D87753" w:rsidRDefault="005D5669" w14:paraId="16C6646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shd w:val="clear" w:color="auto" w:fill="auto"/>
            <w:noWrap/>
            <w:vAlign w:val="center"/>
            <w:hideMark/>
          </w:tcPr>
          <w:p w:rsidRPr="00C5308E" w:rsidR="005D5669" w:rsidP="00D87753" w:rsidRDefault="005D5669" w14:paraId="5406686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c>
          <w:tcPr>
            <w:tcW w:w="0" w:type="auto"/>
            <w:vAlign w:val="center"/>
          </w:tcPr>
          <w:p w:rsidRPr="00C5308E" w:rsidR="005D5669" w:rsidP="00D87753" w:rsidRDefault="005D5669" w14:paraId="14E139D3"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w:t>
            </w:r>
          </w:p>
        </w:tc>
      </w:tr>
      <w:tr w:rsidRPr="00C5308E" w:rsidR="005D5669" w:rsidTr="003C75FE" w14:paraId="1E010317" w14:textId="77777777">
        <w:trPr>
          <w:trHeight w:val="230"/>
        </w:trPr>
        <w:tc>
          <w:tcPr>
            <w:tcW w:w="0" w:type="auto"/>
            <w:shd w:val="clear" w:color="auto" w:fill="auto"/>
            <w:vAlign w:val="center"/>
            <w:hideMark/>
          </w:tcPr>
          <w:p w:rsidRPr="00C5308E" w:rsidR="005D5669" w:rsidP="00D87753" w:rsidRDefault="005D5669" w14:paraId="4566FEF0"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WIA herstelactie dagloon</w:t>
            </w:r>
          </w:p>
        </w:tc>
        <w:tc>
          <w:tcPr>
            <w:tcW w:w="0" w:type="auto"/>
            <w:shd w:val="clear" w:color="auto" w:fill="auto"/>
            <w:noWrap/>
            <w:vAlign w:val="center"/>
            <w:hideMark/>
          </w:tcPr>
          <w:p w:rsidRPr="00C5308E" w:rsidR="005D5669" w:rsidP="00D87753" w:rsidRDefault="005D5669" w14:paraId="1B4F247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13</w:t>
            </w:r>
          </w:p>
        </w:tc>
        <w:tc>
          <w:tcPr>
            <w:tcW w:w="0" w:type="auto"/>
            <w:shd w:val="clear" w:color="auto" w:fill="auto"/>
            <w:noWrap/>
            <w:vAlign w:val="center"/>
            <w:hideMark/>
          </w:tcPr>
          <w:p w:rsidRPr="00C5308E" w:rsidR="005D5669" w:rsidP="00D87753" w:rsidRDefault="005D5669" w14:paraId="4635C21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32</w:t>
            </w:r>
          </w:p>
        </w:tc>
        <w:tc>
          <w:tcPr>
            <w:tcW w:w="0" w:type="auto"/>
            <w:shd w:val="clear" w:color="auto" w:fill="auto"/>
            <w:noWrap/>
            <w:vAlign w:val="center"/>
            <w:hideMark/>
          </w:tcPr>
          <w:p w:rsidRPr="00C5308E" w:rsidR="005D5669" w:rsidP="00D87753" w:rsidRDefault="005D5669" w14:paraId="1762D6CD"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23</w:t>
            </w:r>
          </w:p>
        </w:tc>
        <w:tc>
          <w:tcPr>
            <w:tcW w:w="0" w:type="auto"/>
            <w:shd w:val="clear" w:color="auto" w:fill="auto"/>
            <w:noWrap/>
            <w:vAlign w:val="center"/>
            <w:hideMark/>
          </w:tcPr>
          <w:p w:rsidRPr="00C5308E" w:rsidR="005D5669" w:rsidP="00D87753" w:rsidRDefault="005D5669" w14:paraId="45D73B08"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w:t>
            </w:r>
          </w:p>
        </w:tc>
        <w:tc>
          <w:tcPr>
            <w:tcW w:w="0" w:type="auto"/>
            <w:shd w:val="clear" w:color="auto" w:fill="auto"/>
            <w:noWrap/>
            <w:vAlign w:val="center"/>
            <w:hideMark/>
          </w:tcPr>
          <w:p w:rsidRPr="00C5308E" w:rsidR="005D5669" w:rsidP="00D87753" w:rsidRDefault="005D5669" w14:paraId="6D008376"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w:t>
            </w:r>
          </w:p>
        </w:tc>
        <w:tc>
          <w:tcPr>
            <w:tcW w:w="0" w:type="auto"/>
            <w:shd w:val="clear" w:color="auto" w:fill="auto"/>
            <w:noWrap/>
            <w:vAlign w:val="center"/>
            <w:hideMark/>
          </w:tcPr>
          <w:p w:rsidRPr="00C5308E" w:rsidR="005D5669" w:rsidP="00D87753" w:rsidRDefault="005D5669" w14:paraId="47C032BD"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w:t>
            </w:r>
          </w:p>
        </w:tc>
        <w:tc>
          <w:tcPr>
            <w:tcW w:w="0" w:type="auto"/>
            <w:vAlign w:val="center"/>
          </w:tcPr>
          <w:p w:rsidRPr="00C5308E" w:rsidR="005D5669" w:rsidP="00D87753" w:rsidRDefault="005D5669" w14:paraId="336753A7"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0</w:t>
            </w:r>
          </w:p>
        </w:tc>
      </w:tr>
      <w:tr w:rsidRPr="00C5308E" w:rsidR="005D5669" w:rsidTr="003C75FE" w14:paraId="13820F1B" w14:textId="77777777">
        <w:trPr>
          <w:trHeight w:val="230"/>
        </w:trPr>
        <w:tc>
          <w:tcPr>
            <w:tcW w:w="0" w:type="auto"/>
            <w:shd w:val="clear" w:color="auto" w:fill="auto"/>
            <w:vAlign w:val="center"/>
            <w:hideMark/>
          </w:tcPr>
          <w:p w:rsidRPr="00C5308E" w:rsidR="005D5669" w:rsidP="00D87753" w:rsidRDefault="005D5669" w14:paraId="27E03F88"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CRvB uitspraak loonloze tijdvakken</w:t>
            </w:r>
          </w:p>
        </w:tc>
        <w:tc>
          <w:tcPr>
            <w:tcW w:w="0" w:type="auto"/>
            <w:shd w:val="clear" w:color="auto" w:fill="auto"/>
            <w:noWrap/>
            <w:vAlign w:val="center"/>
            <w:hideMark/>
          </w:tcPr>
          <w:p w:rsidRPr="00C5308E" w:rsidR="005D5669" w:rsidP="00D87753" w:rsidRDefault="005D5669" w14:paraId="60F2046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-35</w:t>
            </w:r>
          </w:p>
        </w:tc>
        <w:tc>
          <w:tcPr>
            <w:tcW w:w="0" w:type="auto"/>
            <w:shd w:val="clear" w:color="auto" w:fill="auto"/>
            <w:noWrap/>
            <w:vAlign w:val="center"/>
            <w:hideMark/>
          </w:tcPr>
          <w:p w:rsidRPr="00C5308E" w:rsidR="005D5669" w:rsidP="00D87753" w:rsidRDefault="005D5669" w14:paraId="3F9F752D" w14:textId="3516F7DD">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94</w:t>
            </w:r>
          </w:p>
        </w:tc>
        <w:tc>
          <w:tcPr>
            <w:tcW w:w="0" w:type="auto"/>
            <w:shd w:val="clear" w:color="auto" w:fill="auto"/>
            <w:noWrap/>
            <w:vAlign w:val="center"/>
            <w:hideMark/>
          </w:tcPr>
          <w:p w:rsidRPr="00C5308E" w:rsidR="005D5669" w:rsidP="00D87753" w:rsidRDefault="005D5669" w14:paraId="635F1B0F"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102</w:t>
            </w:r>
          </w:p>
        </w:tc>
        <w:tc>
          <w:tcPr>
            <w:tcW w:w="0" w:type="auto"/>
            <w:shd w:val="clear" w:color="auto" w:fill="auto"/>
            <w:noWrap/>
            <w:vAlign w:val="center"/>
            <w:hideMark/>
          </w:tcPr>
          <w:p w:rsidRPr="00C5308E" w:rsidR="005D5669" w:rsidP="00D87753" w:rsidRDefault="005D5669" w14:paraId="529DF4E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59</w:t>
            </w:r>
          </w:p>
        </w:tc>
        <w:tc>
          <w:tcPr>
            <w:tcW w:w="0" w:type="auto"/>
            <w:shd w:val="clear" w:color="auto" w:fill="auto"/>
            <w:noWrap/>
            <w:vAlign w:val="center"/>
            <w:hideMark/>
          </w:tcPr>
          <w:p w:rsidRPr="00C5308E" w:rsidR="005D5669" w:rsidP="00D87753" w:rsidRDefault="005D5669" w14:paraId="10C81AD5"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62</w:t>
            </w:r>
          </w:p>
        </w:tc>
        <w:tc>
          <w:tcPr>
            <w:tcW w:w="0" w:type="auto"/>
            <w:shd w:val="clear" w:color="auto" w:fill="auto"/>
            <w:noWrap/>
            <w:vAlign w:val="center"/>
            <w:hideMark/>
          </w:tcPr>
          <w:p w:rsidRPr="00C5308E" w:rsidR="005D5669" w:rsidP="00D87753" w:rsidRDefault="005D5669" w14:paraId="67BA0E9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66</w:t>
            </w:r>
          </w:p>
        </w:tc>
        <w:tc>
          <w:tcPr>
            <w:tcW w:w="0" w:type="auto"/>
            <w:vAlign w:val="center"/>
          </w:tcPr>
          <w:p w:rsidRPr="00C5308E" w:rsidR="005D5669" w:rsidP="00D87753" w:rsidRDefault="005D5669" w14:paraId="67CF371C"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91</w:t>
            </w:r>
          </w:p>
        </w:tc>
      </w:tr>
      <w:tr w:rsidRPr="00C5308E" w:rsidR="005D5669" w:rsidTr="003C75FE" w14:paraId="075BCF8D" w14:textId="77777777">
        <w:trPr>
          <w:trHeight w:val="230"/>
        </w:trPr>
        <w:tc>
          <w:tcPr>
            <w:tcW w:w="0" w:type="auto"/>
            <w:shd w:val="clear" w:color="auto" w:fill="auto"/>
            <w:vAlign w:val="center"/>
          </w:tcPr>
          <w:p w:rsidRPr="00C5308E" w:rsidR="005D5669" w:rsidP="00D87753" w:rsidRDefault="005D5669" w14:paraId="7F8A41CA" w14:textId="77777777">
            <w:pPr>
              <w:spacing w:after="0" w:line="240" w:lineRule="auto"/>
              <w:contextualSpacing/>
              <w:rPr>
                <w:rFonts w:ascii="Verdana" w:hAnsi="Verdana" w:eastAsia="Times New Roman" w:cs="Times New Roman"/>
                <w:bCs/>
                <w:color w:val="000000"/>
                <w:sz w:val="18"/>
                <w:szCs w:val="18"/>
                <w:lang w:eastAsia="nl-NL"/>
              </w:rPr>
            </w:pPr>
            <w:r w:rsidRPr="00C5308E">
              <w:rPr>
                <w:rFonts w:ascii="Verdana" w:hAnsi="Verdana" w:eastAsia="Times New Roman" w:cs="Times New Roman"/>
                <w:bCs/>
                <w:color w:val="000000"/>
                <w:sz w:val="18"/>
                <w:szCs w:val="18"/>
                <w:lang w:eastAsia="nl-NL"/>
              </w:rPr>
              <w:t>Totaal</w:t>
            </w:r>
          </w:p>
        </w:tc>
        <w:tc>
          <w:tcPr>
            <w:tcW w:w="0" w:type="auto"/>
            <w:shd w:val="clear" w:color="auto" w:fill="auto"/>
            <w:noWrap/>
            <w:vAlign w:val="center"/>
          </w:tcPr>
          <w:p w:rsidRPr="00C5308E" w:rsidR="005D5669" w:rsidP="00D87753" w:rsidRDefault="005D5669" w14:paraId="760AF16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26</w:t>
            </w:r>
          </w:p>
        </w:tc>
        <w:tc>
          <w:tcPr>
            <w:tcW w:w="0" w:type="auto"/>
            <w:shd w:val="clear" w:color="auto" w:fill="auto"/>
            <w:noWrap/>
            <w:vAlign w:val="center"/>
          </w:tcPr>
          <w:p w:rsidRPr="00C5308E" w:rsidR="005D5669" w:rsidP="00D87753" w:rsidRDefault="005D5669" w14:paraId="1CDC8CA3"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144</w:t>
            </w:r>
          </w:p>
        </w:tc>
        <w:tc>
          <w:tcPr>
            <w:tcW w:w="0" w:type="auto"/>
            <w:shd w:val="clear" w:color="auto" w:fill="auto"/>
            <w:noWrap/>
            <w:vAlign w:val="center"/>
          </w:tcPr>
          <w:p w:rsidRPr="00C5308E" w:rsidR="005D5669" w:rsidP="00D87753" w:rsidRDefault="005D5669" w14:paraId="540BF8F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238</w:t>
            </w:r>
          </w:p>
        </w:tc>
        <w:tc>
          <w:tcPr>
            <w:tcW w:w="0" w:type="auto"/>
            <w:shd w:val="clear" w:color="auto" w:fill="auto"/>
            <w:noWrap/>
            <w:vAlign w:val="center"/>
          </w:tcPr>
          <w:p w:rsidRPr="00C5308E" w:rsidR="005D5669" w:rsidP="00D87753" w:rsidRDefault="005D5669" w14:paraId="6A5A2A7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192</w:t>
            </w:r>
          </w:p>
        </w:tc>
        <w:tc>
          <w:tcPr>
            <w:tcW w:w="0" w:type="auto"/>
            <w:shd w:val="clear" w:color="auto" w:fill="auto"/>
            <w:noWrap/>
            <w:vAlign w:val="center"/>
          </w:tcPr>
          <w:p w:rsidRPr="00C5308E" w:rsidR="005D5669" w:rsidP="00D87753" w:rsidRDefault="005D5669" w14:paraId="201AF251"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230</w:t>
            </w:r>
          </w:p>
        </w:tc>
        <w:tc>
          <w:tcPr>
            <w:tcW w:w="0" w:type="auto"/>
            <w:shd w:val="clear" w:color="auto" w:fill="auto"/>
            <w:noWrap/>
            <w:vAlign w:val="center"/>
          </w:tcPr>
          <w:p w:rsidRPr="00C5308E" w:rsidR="005D5669" w:rsidP="00D87753" w:rsidRDefault="005D5669" w14:paraId="44CEC8EB"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249</w:t>
            </w:r>
          </w:p>
        </w:tc>
        <w:tc>
          <w:tcPr>
            <w:tcW w:w="0" w:type="auto"/>
            <w:vAlign w:val="center"/>
          </w:tcPr>
          <w:p w:rsidRPr="00C5308E" w:rsidR="005D5669" w:rsidP="00D87753" w:rsidRDefault="005D5669" w14:paraId="4BFEC1C0" w14:textId="77777777">
            <w:pPr>
              <w:spacing w:after="0" w:line="240" w:lineRule="auto"/>
              <w:contextualSpacing/>
              <w:jc w:val="right"/>
              <w:rPr>
                <w:rFonts w:ascii="Verdana" w:hAnsi="Verdana" w:eastAsia="Times New Roman" w:cs="Times New Roman"/>
                <w:bCs/>
                <w:color w:val="000000"/>
                <w:sz w:val="18"/>
                <w:szCs w:val="18"/>
                <w:lang w:eastAsia="nl-NL"/>
              </w:rPr>
            </w:pPr>
            <w:r w:rsidRPr="00C5308E">
              <w:rPr>
                <w:rFonts w:ascii="Verdana" w:hAnsi="Verdana"/>
                <w:bCs/>
                <w:color w:val="000000"/>
                <w:sz w:val="18"/>
                <w:szCs w:val="18"/>
              </w:rPr>
              <w:t>221</w:t>
            </w:r>
          </w:p>
        </w:tc>
      </w:tr>
    </w:tbl>
    <w:p w:rsidRPr="00C5308E" w:rsidR="005D5669" w:rsidP="00D87753" w:rsidRDefault="005D5669" w14:paraId="4D177AA2" w14:textId="77777777">
      <w:pPr>
        <w:spacing w:after="0" w:line="240" w:lineRule="auto"/>
        <w:contextualSpacing/>
        <w:rPr>
          <w:rFonts w:ascii="Verdana" w:hAnsi="Verdana"/>
          <w:bCs/>
          <w:sz w:val="18"/>
          <w:szCs w:val="18"/>
        </w:rPr>
      </w:pPr>
    </w:p>
    <w:p w:rsidRPr="00C5308E" w:rsidR="00D639F0" w:rsidP="00D87753" w:rsidRDefault="00D639F0" w14:paraId="65E4B88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157</w:t>
      </w:r>
    </w:p>
    <w:p w:rsidRPr="00C5308E" w:rsidR="00D639F0" w:rsidP="00D87753" w:rsidRDefault="00D639F0" w14:paraId="1286F40C" w14:textId="77777777">
      <w:pPr>
        <w:spacing w:after="0" w:line="240" w:lineRule="auto"/>
        <w:contextualSpacing/>
        <w:rPr>
          <w:rFonts w:ascii="Verdana" w:hAnsi="Verdana"/>
          <w:bCs/>
          <w:sz w:val="18"/>
          <w:szCs w:val="18"/>
        </w:rPr>
      </w:pPr>
      <w:r w:rsidRPr="00C5308E">
        <w:rPr>
          <w:rFonts w:ascii="Verdana" w:hAnsi="Verdana"/>
          <w:bCs/>
          <w:sz w:val="18"/>
          <w:szCs w:val="18"/>
        </w:rPr>
        <w:t>Is de volledige loon- en prijsontwikkeling (LPO) uitgekeerd? Zo nee, waarvoor is een deel van de LPO ingezet?</w:t>
      </w:r>
    </w:p>
    <w:p w:rsidRPr="00C5308E" w:rsidR="00D639F0" w:rsidP="00D87753" w:rsidRDefault="00D639F0" w14:paraId="5E4D3943" w14:textId="77777777">
      <w:pPr>
        <w:spacing w:after="0" w:line="240" w:lineRule="auto"/>
        <w:contextualSpacing/>
        <w:rPr>
          <w:rFonts w:ascii="Verdana" w:hAnsi="Verdana"/>
          <w:bCs/>
          <w:sz w:val="18"/>
          <w:szCs w:val="18"/>
        </w:rPr>
      </w:pPr>
    </w:p>
    <w:p w:rsidRPr="00C5308E" w:rsidR="00D639F0" w:rsidP="00D87753" w:rsidRDefault="00D639F0" w14:paraId="539AB56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157</w:t>
      </w:r>
    </w:p>
    <w:p w:rsidRPr="00C5308E" w:rsidR="00D639F0" w:rsidP="00D87753" w:rsidRDefault="00D639F0" w14:paraId="712EFAA0" w14:textId="77777777">
      <w:pPr>
        <w:spacing w:after="0" w:line="240" w:lineRule="auto"/>
        <w:contextualSpacing/>
        <w:rPr>
          <w:rFonts w:ascii="Verdana" w:hAnsi="Verdana"/>
          <w:bCs/>
          <w:sz w:val="18"/>
          <w:szCs w:val="18"/>
        </w:rPr>
      </w:pPr>
      <w:r w:rsidRPr="00C5308E">
        <w:rPr>
          <w:rFonts w:ascii="Verdana" w:hAnsi="Verdana"/>
          <w:bCs/>
          <w:sz w:val="18"/>
          <w:szCs w:val="18"/>
        </w:rPr>
        <w:t>De ontvangen LPO (€ 79 miljoen) is niet volledig uitgekeerd. We hebben de LPO wel uitgekeerd aan de apparaatsbudgetten onder andere als compensatie voor de kosten van de cao en aan andere budgetten waar er sprake is van tariefstijging en aan structurele subsidies.</w:t>
      </w:r>
    </w:p>
    <w:p w:rsidRPr="00C5308E" w:rsidR="00D639F0" w:rsidP="00D87753" w:rsidRDefault="00D639F0" w14:paraId="3251B8C6" w14:textId="18E542B0">
      <w:pPr>
        <w:spacing w:after="0" w:line="240" w:lineRule="auto"/>
        <w:contextualSpacing/>
        <w:rPr>
          <w:rFonts w:ascii="Verdana" w:hAnsi="Verdana"/>
          <w:bCs/>
          <w:sz w:val="18"/>
          <w:szCs w:val="18"/>
        </w:rPr>
      </w:pPr>
      <w:r w:rsidRPr="00C5308E">
        <w:rPr>
          <w:rFonts w:ascii="Verdana" w:hAnsi="Verdana"/>
          <w:bCs/>
          <w:sz w:val="18"/>
          <w:szCs w:val="18"/>
        </w:rPr>
        <w:t>Een deel ervan is ingezet als dekking in de voorjaarsbesluitvorming (€ 7 miljoen) en een deel is ingezet als dekking van de taakstelling OCW</w:t>
      </w:r>
      <w:r w:rsidR="001E57BB">
        <w:rPr>
          <w:rFonts w:ascii="Verdana" w:hAnsi="Verdana"/>
          <w:bCs/>
          <w:sz w:val="18"/>
          <w:szCs w:val="18"/>
        </w:rPr>
        <w:t xml:space="preserve"> (dekking amendement Bontenbal c.s.)</w:t>
      </w:r>
      <w:r w:rsidRPr="00C5308E">
        <w:rPr>
          <w:rFonts w:ascii="Verdana" w:hAnsi="Verdana"/>
          <w:bCs/>
          <w:sz w:val="18"/>
          <w:szCs w:val="18"/>
        </w:rPr>
        <w:t xml:space="preserve"> (€ 4 miljoen).</w:t>
      </w:r>
    </w:p>
    <w:p w:rsidRPr="00C5308E" w:rsidR="009D4CE1" w:rsidP="00D87753" w:rsidRDefault="009D4CE1" w14:paraId="19D4735B" w14:textId="77777777">
      <w:pPr>
        <w:spacing w:after="0" w:line="240" w:lineRule="auto"/>
        <w:contextualSpacing/>
        <w:rPr>
          <w:rFonts w:ascii="Verdana" w:hAnsi="Verdana"/>
          <w:bCs/>
          <w:sz w:val="18"/>
          <w:szCs w:val="18"/>
          <w:u w:val="single"/>
        </w:rPr>
      </w:pPr>
    </w:p>
    <w:p w:rsidRPr="00C5308E" w:rsidR="009D4CE1" w:rsidP="00D87753" w:rsidRDefault="009D4CE1" w14:paraId="1F15607A" w14:textId="366D4A9E">
      <w:pPr>
        <w:spacing w:after="0" w:line="240" w:lineRule="auto"/>
        <w:contextualSpacing/>
        <w:rPr>
          <w:rFonts w:ascii="Verdana" w:hAnsi="Verdana"/>
          <w:bCs/>
          <w:sz w:val="18"/>
          <w:szCs w:val="18"/>
          <w:u w:val="single"/>
        </w:rPr>
      </w:pPr>
      <w:r w:rsidRPr="00C5308E">
        <w:rPr>
          <w:rFonts w:ascii="Verdana" w:hAnsi="Verdana"/>
          <w:bCs/>
          <w:sz w:val="18"/>
          <w:szCs w:val="18"/>
          <w:u w:val="single"/>
        </w:rPr>
        <w:t>Vraag 158</w:t>
      </w:r>
    </w:p>
    <w:p w:rsidRPr="00C5308E" w:rsidR="009D4CE1" w:rsidP="00D87753" w:rsidRDefault="009D4CE1" w14:paraId="1222D9B4" w14:textId="77777777">
      <w:pPr>
        <w:spacing w:after="0" w:line="240" w:lineRule="auto"/>
        <w:contextualSpacing/>
        <w:rPr>
          <w:rFonts w:ascii="Verdana" w:hAnsi="Verdana"/>
          <w:bCs/>
          <w:sz w:val="18"/>
          <w:szCs w:val="18"/>
        </w:rPr>
      </w:pPr>
      <w:r w:rsidRPr="00C5308E">
        <w:rPr>
          <w:rFonts w:ascii="Verdana" w:hAnsi="Verdana"/>
          <w:bCs/>
          <w:sz w:val="18"/>
          <w:szCs w:val="18"/>
        </w:rPr>
        <w:t>Waarom komt € 2,3 miljoen van de middelen voor de tijdelijke WIA-maatregel 'praktisch beoordelen' niet tot besteding? Wat gebeurt er met deze middelen, komen deze vrij ter besteding?</w:t>
      </w:r>
    </w:p>
    <w:p w:rsidRPr="00C5308E" w:rsidR="009D4CE1" w:rsidP="00D87753" w:rsidRDefault="009D4CE1" w14:paraId="5E067667" w14:textId="77777777">
      <w:pPr>
        <w:spacing w:after="0" w:line="240" w:lineRule="auto"/>
        <w:contextualSpacing/>
        <w:rPr>
          <w:rFonts w:ascii="Verdana" w:hAnsi="Verdana"/>
          <w:bCs/>
          <w:sz w:val="18"/>
          <w:szCs w:val="18"/>
        </w:rPr>
      </w:pPr>
    </w:p>
    <w:p w:rsidRPr="00C5308E" w:rsidR="009D4CE1" w:rsidP="00D87753" w:rsidRDefault="009D4CE1" w14:paraId="38F9271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158</w:t>
      </w:r>
    </w:p>
    <w:p w:rsidRPr="00C5308E" w:rsidR="009D4CE1" w:rsidP="00D87753" w:rsidRDefault="009D4CE1" w14:paraId="495E20E8" w14:textId="77777777">
      <w:pPr>
        <w:spacing w:after="0" w:line="240" w:lineRule="auto"/>
        <w:contextualSpacing/>
        <w:rPr>
          <w:rFonts w:ascii="Verdana" w:hAnsi="Verdana"/>
          <w:bCs/>
          <w:sz w:val="18"/>
          <w:szCs w:val="18"/>
        </w:rPr>
      </w:pPr>
      <w:r w:rsidRPr="00C5308E">
        <w:rPr>
          <w:rFonts w:ascii="Verdana" w:hAnsi="Verdana"/>
          <w:bCs/>
          <w:sz w:val="18"/>
          <w:szCs w:val="18"/>
        </w:rPr>
        <w:t>Bij het wetstraject van de tijdelijke WIA-maatregel praktisch beoordelen was de inschatting gemaakt dat de maatregel mogelijk meer bezwaar- en beroepszaken tot gevolg zou hebben. Om deze beroepszaken te financieren was € 2,3 miljoen gereserveerd. Nu de maatregel vanaf juli 2024 loopt, blijkt dat de maatregel niet tot meer bezwaar- en beroepszaken leidt en dus zijn de middelen niet meer nodig voor dit doel. De middelen zijn daarom ingezet om andere problematiek op de SZW-begroting van dekking te voorzien. Dit is niet toe te wijzen aan een specifieke tegenvaller of beleidsdossier.</w:t>
      </w:r>
    </w:p>
    <w:p w:rsidRPr="00C5308E" w:rsidR="00D639F0" w:rsidP="00D87753" w:rsidRDefault="00D639F0" w14:paraId="124B1802" w14:textId="77777777">
      <w:pPr>
        <w:spacing w:after="0" w:line="240" w:lineRule="auto"/>
        <w:contextualSpacing/>
        <w:rPr>
          <w:rFonts w:ascii="Verdana" w:hAnsi="Verdana"/>
          <w:bCs/>
          <w:sz w:val="18"/>
          <w:szCs w:val="18"/>
        </w:rPr>
      </w:pPr>
    </w:p>
    <w:p w:rsidRPr="00C5308E" w:rsidR="005D5669" w:rsidP="00D87753" w:rsidRDefault="005D5669" w14:paraId="5FFE866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159</w:t>
      </w:r>
    </w:p>
    <w:p w:rsidRPr="00C5308E" w:rsidR="005D5669" w:rsidP="00D87753" w:rsidRDefault="005D5669" w14:paraId="42771C6C" w14:textId="77777777">
      <w:pPr>
        <w:spacing w:after="0" w:line="240" w:lineRule="auto"/>
        <w:contextualSpacing/>
        <w:rPr>
          <w:rFonts w:ascii="Verdana" w:hAnsi="Verdana"/>
          <w:bCs/>
          <w:sz w:val="18"/>
          <w:szCs w:val="18"/>
        </w:rPr>
      </w:pPr>
      <w:r w:rsidRPr="00C5308E">
        <w:rPr>
          <w:rFonts w:ascii="Verdana" w:hAnsi="Verdana"/>
          <w:bCs/>
          <w:sz w:val="18"/>
          <w:szCs w:val="18"/>
        </w:rPr>
        <w:t>Waarom wordt de € 8,8 miljoen die was gereserveerd voor de implementatie van het rapport Roemer niet besteed? Waar was deze voor bedoeld? Wat gebeurt er met deze middelen, komen deze vrij ter besteding? Komt dit geld alsnog ten goede van de implementatie van rapport Roemer? Zo ja, in welke vorm?</w:t>
      </w:r>
    </w:p>
    <w:p w:rsidRPr="00C5308E" w:rsidR="005D5669" w:rsidP="00D87753" w:rsidRDefault="005D5669" w14:paraId="6E8A3080" w14:textId="77777777">
      <w:pPr>
        <w:spacing w:after="0" w:line="240" w:lineRule="auto"/>
        <w:contextualSpacing/>
        <w:rPr>
          <w:rFonts w:ascii="Verdana" w:hAnsi="Verdana"/>
          <w:bCs/>
          <w:sz w:val="18"/>
          <w:szCs w:val="18"/>
        </w:rPr>
      </w:pPr>
    </w:p>
    <w:p w:rsidRPr="00C5308E" w:rsidR="005D5669" w:rsidP="00D87753" w:rsidRDefault="005D5669" w14:paraId="4673937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159</w:t>
      </w:r>
    </w:p>
    <w:p w:rsidRPr="00C5308E" w:rsidR="005D5669" w:rsidP="00D87753" w:rsidRDefault="005D5669" w14:paraId="5AED0489" w14:textId="77777777">
      <w:pPr>
        <w:spacing w:after="0" w:line="240" w:lineRule="auto"/>
        <w:contextualSpacing/>
        <w:rPr>
          <w:rFonts w:ascii="Verdana" w:hAnsi="Verdana"/>
          <w:bCs/>
          <w:sz w:val="18"/>
          <w:szCs w:val="18"/>
        </w:rPr>
      </w:pPr>
      <w:r w:rsidRPr="00C5308E">
        <w:rPr>
          <w:rFonts w:ascii="Verdana" w:hAnsi="Verdana"/>
          <w:bCs/>
          <w:sz w:val="18"/>
          <w:szCs w:val="18"/>
        </w:rPr>
        <w:t xml:space="preserve">In de uitvoering van de aanbevelingen van het Aanjaagteam Bescherming Arbeidsmigranten ontstaan soms wijzigingen in de uitvoering en/of vertraging op trajecten. Dat heeft soms ook financiële consequenties, waarbij middelen soms later ingezet worden en/of dat uitvoeringskosten lager of hoger uitvallen. Uw Kamer is regelmatig over wijzigingen geïnformeerd. Hoewel dergelijke </w:t>
      </w:r>
      <w:r w:rsidRPr="00C5308E">
        <w:rPr>
          <w:rFonts w:ascii="Verdana" w:hAnsi="Verdana"/>
          <w:bCs/>
          <w:sz w:val="18"/>
          <w:szCs w:val="18"/>
        </w:rPr>
        <w:lastRenderedPageBreak/>
        <w:t>wijzigingen eventueel leiden tot mindere financiële uitgaven, voert het kabinet onverminderd de aanbevelingen van het Aanjaagteam uit zoals oorspronkelijk voorzien.</w:t>
      </w:r>
    </w:p>
    <w:p w:rsidRPr="00C5308E" w:rsidR="005D5669" w:rsidP="00D87753" w:rsidRDefault="005D5669" w14:paraId="51D3E079" w14:textId="77777777">
      <w:pPr>
        <w:spacing w:after="0" w:line="240" w:lineRule="auto"/>
        <w:contextualSpacing/>
        <w:rPr>
          <w:rFonts w:ascii="Verdana" w:hAnsi="Verdana"/>
          <w:bCs/>
          <w:sz w:val="18"/>
          <w:szCs w:val="18"/>
        </w:rPr>
      </w:pPr>
    </w:p>
    <w:p w:rsidRPr="00C5308E" w:rsidR="005D5669" w:rsidP="00D87753" w:rsidRDefault="005D5669" w14:paraId="48576097" w14:textId="7CD055B4">
      <w:pPr>
        <w:spacing w:after="0" w:line="240" w:lineRule="auto"/>
        <w:contextualSpacing/>
        <w:rPr>
          <w:rFonts w:ascii="Verdana" w:hAnsi="Verdana"/>
          <w:bCs/>
          <w:sz w:val="18"/>
          <w:szCs w:val="18"/>
        </w:rPr>
      </w:pPr>
      <w:r w:rsidRPr="00C5308E">
        <w:rPr>
          <w:rFonts w:ascii="Verdana" w:hAnsi="Verdana"/>
          <w:bCs/>
          <w:sz w:val="18"/>
          <w:szCs w:val="18"/>
        </w:rPr>
        <w:t>De € 8,8 miljoen onderbesteding in 2025 zit hem voornamelijk op twee onderdelen. Het eerste onderdeel betreft de aanbeveling van het Aanjaagteam om een arbeidscommissie in te stellen. Uw Kamer heeft op 20 november 2023 een brief ontvangen waarin is aangegeven dat niet gekozen is voor een nieuw zelfstandig bestuursorgaan, maar voor een invulling waarbij in alle regio’s goede informatie, hulp en ondersteuning wordt ontwikkeld, inclusief betere toegang tot het recht</w:t>
      </w:r>
      <w:r w:rsidRPr="00C5308E" w:rsidR="0051019F">
        <w:rPr>
          <w:rFonts w:ascii="Verdana" w:hAnsi="Verdana"/>
          <w:bCs/>
          <w:sz w:val="18"/>
          <w:szCs w:val="18"/>
        </w:rPr>
        <w:t xml:space="preserve"> (</w:t>
      </w:r>
      <w:r w:rsidRPr="00C5308E" w:rsidR="0051019F">
        <w:t>Kamerstukken II 2023/24, 29 544, nr. 1223)</w:t>
      </w:r>
      <w:r w:rsidRPr="00C5308E">
        <w:rPr>
          <w:rFonts w:ascii="Verdana" w:hAnsi="Verdana"/>
          <w:bCs/>
          <w:sz w:val="18"/>
          <w:szCs w:val="18"/>
        </w:rPr>
        <w:t>. Omdat besloten is deze aanbeveling op een andere wijze in te vullen zijn er incidenteel minder middelen nodig. Er was in 2025 rekening gehouden met een budget van 22 miljoen voor dit onderdeel, voornamelijk vanwege de opstartkosten van een (groot) zelfstandig orgaan. De verandering in uitvoering brengt met zich mee dat de uitvoering dit jaar 15 miljoen zal kosten. Daarmee blijft een incidenteel bedrag van ongeveer 7 miljoen over.</w:t>
      </w:r>
    </w:p>
    <w:p w:rsidRPr="00C5308E" w:rsidR="005D5669" w:rsidP="00D87753" w:rsidRDefault="005D5669" w14:paraId="5B216A81" w14:textId="77777777">
      <w:pPr>
        <w:spacing w:after="0" w:line="240" w:lineRule="auto"/>
        <w:contextualSpacing/>
        <w:rPr>
          <w:rFonts w:ascii="Verdana" w:hAnsi="Verdana"/>
          <w:bCs/>
          <w:sz w:val="18"/>
          <w:szCs w:val="18"/>
        </w:rPr>
      </w:pPr>
    </w:p>
    <w:p w:rsidRPr="00C5308E" w:rsidR="005D5669" w:rsidP="00D87753" w:rsidRDefault="005D5669" w14:paraId="2BFFB50D" w14:textId="77777777">
      <w:pPr>
        <w:spacing w:after="0" w:line="240" w:lineRule="auto"/>
        <w:contextualSpacing/>
        <w:rPr>
          <w:rFonts w:ascii="Verdana" w:hAnsi="Verdana"/>
          <w:bCs/>
          <w:sz w:val="18"/>
          <w:szCs w:val="18"/>
        </w:rPr>
      </w:pPr>
      <w:r w:rsidRPr="00C5308E">
        <w:rPr>
          <w:rFonts w:ascii="Verdana" w:hAnsi="Verdana"/>
          <w:bCs/>
          <w:sz w:val="18"/>
          <w:szCs w:val="18"/>
        </w:rPr>
        <w:t>Daarnaast heeft de Belastingdienst aangegeven op dit moment nog geen gebruik te willen maken van middelen die gereserveerd staan ten behoeve van de uitvoering van aanbeveling rondom grensoverschrijdend toezicht. De Belastingdienst neemt deel aan het team Aanpak Misstanden Uitzendbureaus internationaal (AMU-I), samen met de Arbeidsinspectie, SVB en UWV. Zij doet dit echter voorlopig nog met bestaande mensen en middelen en beziet op dit moment nog in hoeverre er noodzaak bestaat om het eigen team uit te breiden. Een bedrag van € 1,5 miljoen komt hierdoor op dit moment nog niet tot besteding.</w:t>
      </w:r>
    </w:p>
    <w:p w:rsidRPr="00C5308E" w:rsidR="005D5669" w:rsidP="00D87753" w:rsidRDefault="005D5669" w14:paraId="0BD17391" w14:textId="77777777">
      <w:pPr>
        <w:spacing w:after="0" w:line="240" w:lineRule="auto"/>
        <w:contextualSpacing/>
        <w:rPr>
          <w:rFonts w:ascii="Verdana" w:hAnsi="Verdana"/>
          <w:bCs/>
          <w:sz w:val="18"/>
          <w:szCs w:val="18"/>
        </w:rPr>
      </w:pPr>
    </w:p>
    <w:p w:rsidRPr="00C5308E" w:rsidR="005D5669" w:rsidP="00D87753" w:rsidRDefault="005D5669" w14:paraId="7D4B2BDB" w14:textId="77777777">
      <w:pPr>
        <w:spacing w:after="0" w:line="240" w:lineRule="auto"/>
        <w:contextualSpacing/>
        <w:rPr>
          <w:rFonts w:ascii="Verdana" w:hAnsi="Verdana"/>
          <w:bCs/>
          <w:sz w:val="18"/>
          <w:szCs w:val="18"/>
        </w:rPr>
      </w:pPr>
      <w:r w:rsidRPr="00C5308E">
        <w:rPr>
          <w:rFonts w:ascii="Verdana" w:hAnsi="Verdana"/>
          <w:bCs/>
          <w:sz w:val="18"/>
          <w:szCs w:val="18"/>
        </w:rPr>
        <w:t>De middelen die niet tot besteding komen, zijn in de voorjaarsbesluitvorming ingezet als dekking binnen de SZW-begroting. Dit is niet toe te wijzen aan een specifieke tegenvaller of beleidsdossier.</w:t>
      </w:r>
    </w:p>
    <w:p w:rsidRPr="00C5308E" w:rsidR="005D5669" w:rsidP="00D87753" w:rsidRDefault="005D5669" w14:paraId="6EC6E9A6" w14:textId="77777777">
      <w:pPr>
        <w:spacing w:after="0" w:line="240" w:lineRule="auto"/>
        <w:contextualSpacing/>
        <w:rPr>
          <w:rFonts w:ascii="Verdana" w:hAnsi="Verdana"/>
          <w:bCs/>
          <w:sz w:val="18"/>
          <w:szCs w:val="18"/>
        </w:rPr>
      </w:pPr>
    </w:p>
    <w:p w:rsidRPr="00C5308E" w:rsidR="00D831A0" w:rsidP="00D87753" w:rsidRDefault="00D831A0" w14:paraId="477FE53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160</w:t>
      </w:r>
    </w:p>
    <w:p w:rsidRPr="00C5308E" w:rsidR="00D831A0" w:rsidP="00D87753" w:rsidRDefault="00D831A0" w14:paraId="108A41E2" w14:textId="77777777">
      <w:pPr>
        <w:spacing w:after="0" w:line="240" w:lineRule="auto"/>
        <w:contextualSpacing/>
        <w:rPr>
          <w:rFonts w:ascii="Verdana" w:hAnsi="Verdana"/>
          <w:bCs/>
          <w:sz w:val="18"/>
          <w:szCs w:val="18"/>
        </w:rPr>
      </w:pPr>
      <w:r w:rsidRPr="00C5308E">
        <w:rPr>
          <w:rFonts w:ascii="Verdana" w:hAnsi="Verdana"/>
          <w:bCs/>
          <w:sz w:val="18"/>
          <w:szCs w:val="18"/>
        </w:rPr>
        <w:t>Hoeveel eigenrisicodragers zijn er? Hoeveel werknemers zijn in Nederland in dienst bij een eigenrisicodrager? Hoe verhoudt de omvang van re-integratie van eigenrisicodragers zich tot re-integratie bij het UWV?</w:t>
      </w:r>
    </w:p>
    <w:p w:rsidRPr="00C5308E" w:rsidR="00D831A0" w:rsidP="00D87753" w:rsidRDefault="00D831A0" w14:paraId="230E4415" w14:textId="77777777">
      <w:pPr>
        <w:spacing w:after="0" w:line="240" w:lineRule="auto"/>
        <w:contextualSpacing/>
        <w:rPr>
          <w:rFonts w:ascii="Verdana" w:hAnsi="Verdana"/>
          <w:bCs/>
          <w:sz w:val="18"/>
          <w:szCs w:val="18"/>
        </w:rPr>
      </w:pPr>
    </w:p>
    <w:p w:rsidRPr="00C5308E" w:rsidR="00D831A0" w:rsidP="00D87753" w:rsidRDefault="00D831A0" w14:paraId="7556B05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160</w:t>
      </w:r>
    </w:p>
    <w:p w:rsidRPr="00C5308E" w:rsidR="00D831A0" w:rsidP="00D87753" w:rsidRDefault="00D831A0" w14:paraId="19B719B3"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werkgevers kunnen in principe op twee momenten in het jaar eigenrisicodrager worden, namelijk op 1 januari en op 1 juli. De meest recente cijfers over het eigenrisicodragerschap zijn daarom van 1 januari jl. Op 1 januari 2025 waren er 12.061 eigenrisicodragers voor de Werkhervatting Gedeeltelijk Arbeidsgeschikten (WGA) en 12.062 eigenrisicodragers voor de Ziektewet (ZW). </w:t>
      </w:r>
    </w:p>
    <w:p w:rsidRPr="00C5308E" w:rsidR="00D831A0" w:rsidP="00D87753" w:rsidRDefault="00D831A0" w14:paraId="2061AEB0" w14:textId="77777777">
      <w:pPr>
        <w:spacing w:after="0" w:line="240" w:lineRule="auto"/>
        <w:contextualSpacing/>
        <w:rPr>
          <w:rFonts w:ascii="Verdana" w:hAnsi="Verdana"/>
          <w:bCs/>
          <w:sz w:val="18"/>
          <w:szCs w:val="18"/>
        </w:rPr>
      </w:pPr>
    </w:p>
    <w:p w:rsidRPr="00C5308E" w:rsidR="00D831A0" w:rsidP="00D87753" w:rsidRDefault="00D831A0" w14:paraId="5E77546D" w14:textId="77777777">
      <w:pPr>
        <w:spacing w:after="0" w:line="240" w:lineRule="auto"/>
        <w:contextualSpacing/>
        <w:rPr>
          <w:rFonts w:ascii="Verdana" w:hAnsi="Verdana"/>
          <w:bCs/>
          <w:sz w:val="18"/>
          <w:szCs w:val="18"/>
          <w:u w:val="single"/>
        </w:rPr>
      </w:pPr>
      <w:r w:rsidRPr="00C5308E">
        <w:rPr>
          <w:rFonts w:ascii="Verdana" w:hAnsi="Verdana"/>
          <w:bCs/>
          <w:sz w:val="18"/>
          <w:szCs w:val="18"/>
        </w:rPr>
        <w:t xml:space="preserve">De exacte cijfers van het aantal werknemers die in Nederland in dienst zijn bij een eigenrisicodrager zijn niet bekend. De loonsommen van de eigenrisicodragers zijn wel bekend. De eigenrisicodragers voor de WGA omvatten 39% van de totale loonsom van alle werkgevers en bij de ZW eigenrisicodragers is dat 50%. </w:t>
      </w:r>
    </w:p>
    <w:p w:rsidRPr="00C5308E" w:rsidR="00D831A0" w:rsidP="00D87753" w:rsidRDefault="00D831A0" w14:paraId="22EEC62C" w14:textId="77777777">
      <w:pPr>
        <w:spacing w:after="0" w:line="240" w:lineRule="auto"/>
        <w:contextualSpacing/>
        <w:rPr>
          <w:rFonts w:ascii="Verdana" w:hAnsi="Verdana"/>
          <w:bCs/>
          <w:sz w:val="18"/>
          <w:szCs w:val="18"/>
          <w:u w:val="single"/>
        </w:rPr>
      </w:pPr>
    </w:p>
    <w:p w:rsidRPr="00C5308E" w:rsidR="00D831A0" w:rsidP="00D87753" w:rsidRDefault="00D831A0" w14:paraId="3D354107" w14:textId="77777777">
      <w:pPr>
        <w:spacing w:after="0" w:line="240" w:lineRule="auto"/>
        <w:contextualSpacing/>
        <w:rPr>
          <w:rFonts w:ascii="Verdana" w:hAnsi="Verdana"/>
          <w:bCs/>
          <w:sz w:val="18"/>
          <w:szCs w:val="18"/>
        </w:rPr>
      </w:pPr>
      <w:r w:rsidRPr="00C5308E">
        <w:rPr>
          <w:rFonts w:ascii="Verdana" w:hAnsi="Verdana"/>
          <w:bCs/>
          <w:sz w:val="18"/>
          <w:szCs w:val="18"/>
        </w:rPr>
        <w:t xml:space="preserve">In 2024 zijn er 55.792 nieuwe WIA-uitkeringen (voorlopig) toegekend. Hierbij kwamen 11.325 (voorlopig) toegekende WIA-uitkeringen voor rekening van de WGA eigenrisicodrager en 44.467 voor rekening van publiek verzekerde werkgevers. De (voorlopig) toegekende WIA-uitkeringen staan redelijk in verhouding met het aantal personen dat gere-integreerd wordt door eigenrisicodragers en publiek verzekerde werkgevers. De voorgaande uitsplitsing is niet mogelijk voor de Ziektewet. De financieringsstromen van de eigenrisicodragers voor de Ziektewet voorlopen namelijk niet via UWV. De nieuwe toegekende uitkeringen van de Ziektewet zijn daardoor minder inzichtelijk. </w:t>
      </w:r>
    </w:p>
    <w:p w:rsidRPr="00C5308E" w:rsidR="00D831A0" w:rsidP="00D87753" w:rsidRDefault="00D831A0" w14:paraId="07BBB79E" w14:textId="77777777">
      <w:pPr>
        <w:spacing w:after="0" w:line="240" w:lineRule="auto"/>
        <w:contextualSpacing/>
        <w:rPr>
          <w:rFonts w:ascii="Verdana" w:hAnsi="Verdana"/>
          <w:bCs/>
          <w:sz w:val="18"/>
          <w:szCs w:val="18"/>
        </w:rPr>
      </w:pPr>
    </w:p>
    <w:p w:rsidRPr="00C5308E" w:rsidR="005D5669" w:rsidP="00D87753" w:rsidRDefault="005D5669" w14:paraId="7846360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161</w:t>
      </w:r>
    </w:p>
    <w:p w:rsidRPr="00C5308E" w:rsidR="005D5669" w:rsidP="00D87753" w:rsidRDefault="005D5669" w14:paraId="389431FE" w14:textId="77777777">
      <w:pPr>
        <w:spacing w:after="0" w:line="240" w:lineRule="auto"/>
        <w:contextualSpacing/>
        <w:rPr>
          <w:rFonts w:ascii="Verdana" w:hAnsi="Verdana"/>
          <w:bCs/>
          <w:sz w:val="18"/>
          <w:szCs w:val="18"/>
        </w:rPr>
      </w:pPr>
      <w:bookmarkStart w:name="_Hlk198883823" w:id="10"/>
      <w:r w:rsidRPr="00C5308E">
        <w:rPr>
          <w:rFonts w:ascii="Verdana" w:hAnsi="Verdana"/>
          <w:bCs/>
          <w:sz w:val="18"/>
          <w:szCs w:val="18"/>
        </w:rPr>
        <w:t>Uit de Voorjaarsnota volgt € 0,3 miljard in 2025 voor uitvoeringsinformatie SZW, inclusief WIA-maatregelen, kan de regering uitleggen waarom deze uitvoeringskosten stijgen, en welke stappen worden genomen om de efficiëntie van de uitvoering van sociale verzekeringsprogramma’s te verbeteren?</w:t>
      </w:r>
    </w:p>
    <w:bookmarkEnd w:id="10"/>
    <w:p w:rsidRPr="00C5308E" w:rsidR="005D5669" w:rsidP="00D87753" w:rsidRDefault="005D5669" w14:paraId="284EA9A1" w14:textId="77777777">
      <w:pPr>
        <w:spacing w:after="0" w:line="240" w:lineRule="auto"/>
        <w:contextualSpacing/>
        <w:rPr>
          <w:rFonts w:ascii="Verdana" w:hAnsi="Verdana"/>
          <w:bCs/>
          <w:sz w:val="18"/>
          <w:szCs w:val="18"/>
        </w:rPr>
      </w:pPr>
    </w:p>
    <w:p w:rsidRPr="00C5308E" w:rsidR="005D5669" w:rsidP="00D87753" w:rsidRDefault="005D5669" w14:paraId="6CCE3C7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161</w:t>
      </w:r>
    </w:p>
    <w:p w:rsidRPr="00C5308E" w:rsidR="005D5669" w:rsidP="00D87753" w:rsidRDefault="005D5669" w14:paraId="3EF34753" w14:textId="77777777">
      <w:pPr>
        <w:spacing w:after="0" w:line="240" w:lineRule="auto"/>
        <w:contextualSpacing/>
        <w:rPr>
          <w:rFonts w:ascii="Verdana" w:hAnsi="Verdana"/>
          <w:bCs/>
          <w:sz w:val="18"/>
          <w:szCs w:val="18"/>
        </w:rPr>
      </w:pPr>
      <w:r w:rsidRPr="00C5308E">
        <w:rPr>
          <w:rFonts w:ascii="Verdana" w:hAnsi="Verdana"/>
          <w:bCs/>
          <w:sz w:val="18"/>
          <w:szCs w:val="18"/>
        </w:rPr>
        <w:t xml:space="preserve">Naar aanleiding van de meest recente uitvoeringsinformatie van de verschillende uitvoeringsorganisaties, waaronder UWV, SVB en Dienst Toeslagen, zijn de regelingen op de SZW-begroting bijgesteld. In 2025 hebben deze bijstellingen geleid tot een tegenvaller van € 0,3 miljard. </w:t>
      </w:r>
    </w:p>
    <w:p w:rsidRPr="00C5308E" w:rsidR="005D5669" w:rsidP="00D87753" w:rsidRDefault="005D5669" w14:paraId="160412BF" w14:textId="77777777">
      <w:pPr>
        <w:spacing w:after="0" w:line="240" w:lineRule="auto"/>
        <w:contextualSpacing/>
        <w:rPr>
          <w:rFonts w:ascii="Verdana" w:hAnsi="Verdana"/>
          <w:bCs/>
          <w:sz w:val="18"/>
          <w:szCs w:val="18"/>
        </w:rPr>
      </w:pPr>
    </w:p>
    <w:p w:rsidRPr="00C5308E" w:rsidR="005D5669" w:rsidP="00D87753" w:rsidRDefault="005D5669" w14:paraId="354FE9D3" w14:textId="77777777">
      <w:pPr>
        <w:spacing w:after="0" w:line="240" w:lineRule="auto"/>
        <w:contextualSpacing/>
        <w:rPr>
          <w:rFonts w:ascii="Verdana" w:hAnsi="Verdana"/>
          <w:bCs/>
          <w:sz w:val="18"/>
          <w:szCs w:val="18"/>
        </w:rPr>
      </w:pPr>
      <w:r w:rsidRPr="00C5308E">
        <w:rPr>
          <w:rFonts w:ascii="Verdana" w:hAnsi="Verdana"/>
          <w:bCs/>
          <w:sz w:val="18"/>
          <w:szCs w:val="18"/>
        </w:rPr>
        <w:lastRenderedPageBreak/>
        <w:t>De tegenvaller op basis van uitvoeringsinformatie wordt voor een groot deel veroorzaakt door een tegenvaller op de Wet werk en inkomen naar arbeidsvermogen (WIA). De voornaamste oorzaak hiervan is dat uit de realisaties van 2024 blijkt dat er meer mensen een WIA-uitkering hebben gekregen dan eerder verwacht. Deze hogere instroom wordt voornamelijk verklaard door long-covid en psychische aandoeningen. Daarnaast draagt de Ziektewet (ZW) ook bij aan de tegenvaller op basis van uitvoeringsinformatie. Dit komt door een toename van de instroom in de ZW.</w:t>
      </w:r>
    </w:p>
    <w:p w:rsidRPr="00C5308E" w:rsidR="005D5669" w:rsidP="00D87753" w:rsidRDefault="005D5669" w14:paraId="55CA2595" w14:textId="77777777">
      <w:pPr>
        <w:spacing w:after="0" w:line="240" w:lineRule="auto"/>
        <w:contextualSpacing/>
        <w:rPr>
          <w:rFonts w:ascii="Verdana" w:hAnsi="Verdana"/>
          <w:bCs/>
          <w:sz w:val="18"/>
          <w:szCs w:val="18"/>
        </w:rPr>
      </w:pPr>
    </w:p>
    <w:p w:rsidRPr="00C5308E" w:rsidR="005D5669" w:rsidP="00D87753" w:rsidRDefault="005D5669" w14:paraId="4710AE7A" w14:textId="77777777">
      <w:pPr>
        <w:spacing w:after="0" w:line="240" w:lineRule="auto"/>
        <w:contextualSpacing/>
        <w:rPr>
          <w:rFonts w:ascii="Verdana" w:hAnsi="Verdana"/>
          <w:bCs/>
          <w:sz w:val="18"/>
          <w:szCs w:val="18"/>
        </w:rPr>
      </w:pPr>
      <w:r w:rsidRPr="00C5308E">
        <w:rPr>
          <w:rFonts w:ascii="Verdana" w:hAnsi="Verdana"/>
          <w:bCs/>
          <w:sz w:val="18"/>
          <w:szCs w:val="18"/>
        </w:rPr>
        <w:t>Het is belangrijk om te benadrukken dat deze bijstelling het gevolg is van recente informatie over de ontwikkeling van het aantal gerechtigden en de uitkeringslasten, en daarmee niet direct samenhangt met de uitvoeringskosten of de efficiëntie van de uitvoeringsorganisaties.</w:t>
      </w:r>
    </w:p>
    <w:p w:rsidRPr="00C5308E" w:rsidR="005D5669" w:rsidP="00D87753" w:rsidRDefault="005D5669" w14:paraId="660266FE" w14:textId="77777777">
      <w:pPr>
        <w:spacing w:after="0" w:line="240" w:lineRule="auto"/>
        <w:contextualSpacing/>
        <w:rPr>
          <w:rFonts w:ascii="Verdana" w:hAnsi="Verdana"/>
          <w:bCs/>
          <w:sz w:val="18"/>
          <w:szCs w:val="18"/>
        </w:rPr>
      </w:pPr>
    </w:p>
    <w:p w:rsidRPr="00C5308E" w:rsidR="005D5669" w:rsidP="00D87753" w:rsidRDefault="005D5669" w14:paraId="053614F7" w14:textId="77777777">
      <w:pPr>
        <w:spacing w:after="0" w:line="240" w:lineRule="auto"/>
        <w:contextualSpacing/>
        <w:rPr>
          <w:rFonts w:ascii="Verdana" w:hAnsi="Verdana"/>
          <w:bCs/>
          <w:sz w:val="18"/>
          <w:szCs w:val="18"/>
        </w:rPr>
      </w:pPr>
      <w:r w:rsidRPr="00C5308E">
        <w:rPr>
          <w:rFonts w:ascii="Verdana" w:hAnsi="Verdana"/>
          <w:bCs/>
          <w:sz w:val="18"/>
          <w:szCs w:val="18"/>
        </w:rPr>
        <w:t>Tegelijkertijd worden wel degelijk stappen gezet om de uitvoering van sociale zekerheidsregelingen efficiënter te maken. Zo zet UWV in op het verbeteren van digitale ondersteuning voor medewerkers. UWV-breed is kwartaalsturing ingericht, om verbeteringen sneller en efficiënter door te kunnen voeren. Op het gebied van sociaal-medisch beoordelen is UWV bezig met organisatieveranderingen. Hierover informeer ik uw Kamer voor de zomer.</w:t>
      </w:r>
    </w:p>
    <w:p w:rsidRPr="00C5308E" w:rsidR="005D5669" w:rsidP="00D87753" w:rsidRDefault="005D5669" w14:paraId="1F7E7F8B" w14:textId="77777777">
      <w:pPr>
        <w:spacing w:after="0" w:line="240" w:lineRule="auto"/>
        <w:contextualSpacing/>
        <w:rPr>
          <w:rFonts w:ascii="Verdana" w:hAnsi="Verdana"/>
          <w:bCs/>
          <w:sz w:val="18"/>
          <w:szCs w:val="18"/>
        </w:rPr>
      </w:pPr>
    </w:p>
    <w:p w:rsidRPr="00C5308E" w:rsidR="009D4CE1" w:rsidP="00D87753" w:rsidRDefault="009D4CE1" w14:paraId="1D3E1C1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162</w:t>
      </w:r>
    </w:p>
    <w:p w:rsidRPr="00C5308E" w:rsidR="009D4CE1" w:rsidP="00D87753" w:rsidRDefault="009D4CE1" w14:paraId="72C88AD9" w14:textId="77777777">
      <w:pPr>
        <w:spacing w:after="0" w:line="240" w:lineRule="auto"/>
        <w:contextualSpacing/>
        <w:rPr>
          <w:rFonts w:ascii="Verdana" w:hAnsi="Verdana"/>
          <w:bCs/>
          <w:sz w:val="18"/>
          <w:szCs w:val="18"/>
        </w:rPr>
      </w:pPr>
      <w:r w:rsidRPr="00C5308E">
        <w:rPr>
          <w:rFonts w:ascii="Verdana" w:hAnsi="Verdana"/>
          <w:bCs/>
          <w:sz w:val="18"/>
          <w:szCs w:val="18"/>
        </w:rPr>
        <w:t>Op welke manier is het gereserveerde bedrag voor de hersteloperatie UWV vastgesteld, aangezien de omvang hiervan nog niet bekend is?</w:t>
      </w:r>
    </w:p>
    <w:p w:rsidRPr="00C5308E" w:rsidR="009D4CE1" w:rsidP="00D87753" w:rsidRDefault="009D4CE1" w14:paraId="1283A7A3" w14:textId="77777777">
      <w:pPr>
        <w:spacing w:after="0" w:line="240" w:lineRule="auto"/>
        <w:contextualSpacing/>
        <w:rPr>
          <w:rFonts w:ascii="Verdana" w:hAnsi="Verdana"/>
          <w:bCs/>
          <w:sz w:val="18"/>
          <w:szCs w:val="18"/>
        </w:rPr>
      </w:pPr>
    </w:p>
    <w:p w:rsidRPr="00C5308E" w:rsidR="009D4CE1" w:rsidP="00D87753" w:rsidRDefault="009D4CE1" w14:paraId="5FC2D4F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162</w:t>
      </w:r>
    </w:p>
    <w:p w:rsidRPr="00C5308E" w:rsidR="009D4CE1" w:rsidP="00D87753" w:rsidRDefault="009D4CE1" w14:paraId="507186EF" w14:textId="77777777">
      <w:pPr>
        <w:spacing w:after="0" w:line="240" w:lineRule="auto"/>
        <w:contextualSpacing/>
        <w:rPr>
          <w:rFonts w:ascii="Verdana" w:hAnsi="Verdana"/>
          <w:bCs/>
          <w:sz w:val="18"/>
          <w:szCs w:val="18"/>
        </w:rPr>
      </w:pPr>
      <w:r w:rsidRPr="00C5308E">
        <w:rPr>
          <w:rFonts w:ascii="Verdana" w:hAnsi="Verdana"/>
          <w:bCs/>
          <w:sz w:val="18"/>
          <w:szCs w:val="18"/>
        </w:rPr>
        <w:t>De precieze omvang van de hersteloperatie WIA daglonen is inderdaad nog niet bekend. Desalniettemin heeft UWV ten behoeve van de UWV-jaarverantwoording een inschatting gemaakt van het totaalbedrag dat nabetaald zal worden. Dit heeft UWV gedaan op basis van verschillende bronnen. Ook de Algemene Rekenkamer heeft in haar onderzoek naar de WIA dagloonfouten naar deze raming gekeken.</w:t>
      </w:r>
    </w:p>
    <w:p w:rsidRPr="00C5308E" w:rsidR="009D4CE1" w:rsidP="00D87753" w:rsidRDefault="009D4CE1" w14:paraId="2E52724A" w14:textId="77777777">
      <w:pPr>
        <w:spacing w:after="0" w:line="240" w:lineRule="auto"/>
        <w:contextualSpacing/>
        <w:rPr>
          <w:rFonts w:ascii="Verdana" w:hAnsi="Verdana"/>
          <w:bCs/>
          <w:sz w:val="18"/>
          <w:szCs w:val="18"/>
        </w:rPr>
      </w:pPr>
    </w:p>
    <w:p w:rsidRPr="00C5308E" w:rsidR="009D4CE1" w:rsidP="00D87753" w:rsidRDefault="009D4CE1" w14:paraId="2BF75734" w14:textId="77777777">
      <w:pPr>
        <w:spacing w:after="0" w:line="240" w:lineRule="auto"/>
        <w:contextualSpacing/>
        <w:rPr>
          <w:rFonts w:ascii="Verdana" w:hAnsi="Verdana"/>
          <w:bCs/>
          <w:sz w:val="18"/>
          <w:szCs w:val="18"/>
        </w:rPr>
      </w:pPr>
      <w:r w:rsidRPr="00C5308E">
        <w:rPr>
          <w:rFonts w:ascii="Verdana" w:hAnsi="Verdana"/>
          <w:bCs/>
          <w:sz w:val="18"/>
          <w:szCs w:val="18"/>
        </w:rPr>
        <w:t>De inschatting van UWV is als basis gebruikt voor de raming die SZW deze voorjaarsbesluitvorming heeft gebruikt. In de raming van SZW is enerzijds rekening gehouden met het bedrag dat nabetaald zal worden en anderzijds met de uitvoeringskosten die UWV zal maken bij de hersteloperatie.</w:t>
      </w:r>
    </w:p>
    <w:p w:rsidRPr="00C5308E" w:rsidR="009D4CE1" w:rsidP="00D87753" w:rsidRDefault="009D4CE1" w14:paraId="4AD922F5" w14:textId="77777777">
      <w:pPr>
        <w:spacing w:after="0" w:line="240" w:lineRule="auto"/>
        <w:contextualSpacing/>
        <w:rPr>
          <w:rFonts w:ascii="Verdana" w:hAnsi="Verdana"/>
          <w:bCs/>
          <w:sz w:val="18"/>
          <w:szCs w:val="18"/>
        </w:rPr>
      </w:pPr>
    </w:p>
    <w:p w:rsidRPr="00C5308E" w:rsidR="00CC30C7" w:rsidP="00D87753" w:rsidRDefault="00CC30C7" w14:paraId="4F9BDBD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163</w:t>
      </w:r>
    </w:p>
    <w:p w:rsidRPr="00C5308E" w:rsidR="00CC30C7" w:rsidP="00D87753" w:rsidRDefault="00CC30C7" w14:paraId="294EBB0D" w14:textId="77777777">
      <w:pPr>
        <w:spacing w:after="0" w:line="240" w:lineRule="auto"/>
        <w:contextualSpacing/>
        <w:rPr>
          <w:rFonts w:ascii="Verdana" w:hAnsi="Verdana"/>
          <w:bCs/>
          <w:sz w:val="18"/>
          <w:szCs w:val="18"/>
        </w:rPr>
      </w:pPr>
      <w:r w:rsidRPr="00C5308E">
        <w:rPr>
          <w:rFonts w:ascii="Verdana" w:hAnsi="Verdana"/>
          <w:bCs/>
          <w:sz w:val="18"/>
          <w:szCs w:val="18"/>
        </w:rPr>
        <w:t>Wat zijn de kosten voor het doelmatig uitvoeren van het OCTAS-rapport?</w:t>
      </w:r>
    </w:p>
    <w:p w:rsidRPr="00C5308E" w:rsidR="00CC30C7" w:rsidP="00D87753" w:rsidRDefault="00CC30C7" w14:paraId="4C6AAEAC" w14:textId="77777777">
      <w:pPr>
        <w:spacing w:after="0" w:line="240" w:lineRule="auto"/>
        <w:contextualSpacing/>
        <w:rPr>
          <w:rFonts w:ascii="Verdana" w:hAnsi="Verdana"/>
          <w:bCs/>
          <w:sz w:val="18"/>
          <w:szCs w:val="18"/>
        </w:rPr>
      </w:pPr>
    </w:p>
    <w:p w:rsidRPr="00C5308E" w:rsidR="00CC30C7" w:rsidP="00D87753" w:rsidRDefault="00CC30C7" w14:paraId="33BBEB3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163</w:t>
      </w:r>
    </w:p>
    <w:p w:rsidRPr="00C5308E" w:rsidR="00CC30C7" w:rsidP="00D87753" w:rsidRDefault="00CC30C7" w14:paraId="4B3BFBBE" w14:textId="77777777">
      <w:pPr>
        <w:spacing w:after="0" w:line="240" w:lineRule="auto"/>
        <w:contextualSpacing/>
        <w:rPr>
          <w:rFonts w:ascii="Verdana" w:hAnsi="Verdana"/>
          <w:bCs/>
          <w:sz w:val="18"/>
          <w:szCs w:val="18"/>
        </w:rPr>
      </w:pPr>
      <w:r w:rsidRPr="00C5308E">
        <w:rPr>
          <w:rFonts w:ascii="Verdana" w:hAnsi="Verdana"/>
          <w:bCs/>
          <w:sz w:val="18"/>
          <w:szCs w:val="18"/>
        </w:rPr>
        <w:t xml:space="preserve">In het OCTAS-eindrapport worden drie verschillende varianten geschetst. De varianten “Werk staat voorop” en “Basis voor werkenden” zijn niet in voldoende mate uitgewerkt om hier een kosteninschatting voor te kunnen geven. </w:t>
      </w:r>
    </w:p>
    <w:p w:rsidRPr="00C5308E" w:rsidR="00CC30C7" w:rsidP="00D87753" w:rsidRDefault="00CC30C7" w14:paraId="57358289" w14:textId="77777777">
      <w:pPr>
        <w:spacing w:after="0" w:line="240" w:lineRule="auto"/>
        <w:contextualSpacing/>
        <w:rPr>
          <w:rFonts w:ascii="Verdana" w:hAnsi="Verdana"/>
          <w:bCs/>
          <w:sz w:val="18"/>
          <w:szCs w:val="18"/>
        </w:rPr>
      </w:pPr>
    </w:p>
    <w:p w:rsidRPr="00C5308E" w:rsidR="00CC30C7" w:rsidP="00D87753" w:rsidRDefault="00CC30C7" w14:paraId="3ADDABCB"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variant “Huidig stelsel beter” is het afgelopen jaar door het ministerie verder uitgewerkt. Het invoeren van alle maatregelen uit deze variant zorgt voor een verwachte structurele toename van de lasten van ongeveer € 700 miljoen. Hierbij dient opgemerkt te worden dat niet voor alle maatregelen ramingen gemaakt konden worden. Ook geldt voor sommige maatregelen dat er in de uitwerkingen keuzes zijn gemaakt die tot gevolg hebben dat de maatregelen betaalbaarder zijn. </w:t>
      </w:r>
    </w:p>
    <w:p w:rsidRPr="00C5308E" w:rsidR="00CC30C7" w:rsidP="00D87753" w:rsidRDefault="00CC30C7" w14:paraId="65146568" w14:textId="77777777">
      <w:pPr>
        <w:spacing w:after="0" w:line="240" w:lineRule="auto"/>
        <w:contextualSpacing/>
        <w:rPr>
          <w:rFonts w:ascii="Verdana" w:hAnsi="Verdana"/>
          <w:bCs/>
          <w:sz w:val="18"/>
          <w:szCs w:val="18"/>
        </w:rPr>
      </w:pPr>
    </w:p>
    <w:p w:rsidRPr="00C5308E" w:rsidR="00CC30C7" w:rsidP="00D87753" w:rsidRDefault="00CC30C7" w14:paraId="5A833EBD" w14:textId="77777777">
      <w:pPr>
        <w:spacing w:after="0" w:line="240" w:lineRule="auto"/>
        <w:contextualSpacing/>
        <w:rPr>
          <w:rFonts w:ascii="Verdana" w:hAnsi="Verdana"/>
          <w:bCs/>
          <w:sz w:val="18"/>
          <w:szCs w:val="18"/>
        </w:rPr>
      </w:pPr>
      <w:r w:rsidRPr="00C5308E">
        <w:rPr>
          <w:rFonts w:ascii="Verdana" w:hAnsi="Verdana"/>
          <w:bCs/>
          <w:sz w:val="18"/>
          <w:szCs w:val="18"/>
        </w:rPr>
        <w:t xml:space="preserve">Voor een doelmatige uitvoering van het OCTAS-rapport is het van belang of het doel is om alle hardheden geheel weg te nemen of dat het doel is om de geconstateerde hardheden te verzachten. Afhankelijk van de keuze kunnen de kosten lager of hoger uitvallen. </w:t>
      </w:r>
    </w:p>
    <w:p w:rsidRPr="00C5308E" w:rsidR="00D831A0" w:rsidP="00D87753" w:rsidRDefault="00D831A0" w14:paraId="21C22CC7" w14:textId="77777777">
      <w:pPr>
        <w:spacing w:after="0" w:line="240" w:lineRule="auto"/>
        <w:contextualSpacing/>
        <w:rPr>
          <w:rFonts w:ascii="Verdana" w:hAnsi="Verdana"/>
          <w:bCs/>
          <w:sz w:val="18"/>
          <w:szCs w:val="18"/>
        </w:rPr>
      </w:pPr>
    </w:p>
    <w:p w:rsidRPr="00C5308E" w:rsidR="00D831A0" w:rsidP="00D87753" w:rsidRDefault="00D831A0" w14:paraId="313C937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164</w:t>
      </w:r>
    </w:p>
    <w:p w:rsidRPr="00C5308E" w:rsidR="00D831A0" w:rsidP="00D87753" w:rsidRDefault="00D831A0" w14:paraId="7BF195B7" w14:textId="77777777">
      <w:pPr>
        <w:spacing w:after="0" w:line="240" w:lineRule="auto"/>
        <w:contextualSpacing/>
        <w:rPr>
          <w:rFonts w:ascii="Verdana" w:hAnsi="Verdana"/>
          <w:bCs/>
          <w:sz w:val="18"/>
          <w:szCs w:val="18"/>
        </w:rPr>
      </w:pPr>
      <w:r w:rsidRPr="00C5308E">
        <w:rPr>
          <w:rFonts w:ascii="Verdana" w:hAnsi="Verdana"/>
          <w:bCs/>
          <w:sz w:val="18"/>
          <w:szCs w:val="18"/>
        </w:rPr>
        <w:t>Waarom is er gekozen voor een structureel bedrag van € 197 miljoen omtrent OCTAS en waar is dat op gebaseerd?</w:t>
      </w:r>
    </w:p>
    <w:p w:rsidRPr="00C5308E" w:rsidR="00D831A0" w:rsidP="00D87753" w:rsidRDefault="00D831A0" w14:paraId="4D769C60" w14:textId="77777777">
      <w:pPr>
        <w:spacing w:after="0" w:line="240" w:lineRule="auto"/>
        <w:contextualSpacing/>
        <w:rPr>
          <w:rFonts w:ascii="Verdana" w:hAnsi="Verdana"/>
          <w:bCs/>
          <w:sz w:val="18"/>
          <w:szCs w:val="18"/>
        </w:rPr>
      </w:pPr>
    </w:p>
    <w:p w:rsidRPr="00C5308E" w:rsidR="00D831A0" w:rsidP="00D87753" w:rsidRDefault="00D831A0" w14:paraId="5A59EE8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164</w:t>
      </w:r>
    </w:p>
    <w:p w:rsidRPr="00C5308E" w:rsidR="00D831A0" w:rsidP="00D87753" w:rsidRDefault="00D831A0" w14:paraId="4721BC11" w14:textId="77777777">
      <w:pPr>
        <w:spacing w:after="0" w:line="240" w:lineRule="auto"/>
        <w:contextualSpacing/>
        <w:rPr>
          <w:rFonts w:ascii="Verdana" w:hAnsi="Verdana"/>
          <w:bCs/>
          <w:sz w:val="18"/>
          <w:szCs w:val="18"/>
        </w:rPr>
      </w:pPr>
      <w:r w:rsidRPr="00C5308E">
        <w:rPr>
          <w:rFonts w:ascii="Verdana" w:hAnsi="Verdana"/>
          <w:bCs/>
          <w:sz w:val="18"/>
          <w:szCs w:val="18"/>
        </w:rPr>
        <w:t>Het kabinet heeft bij de voorjaarsnota € 197 miljoen structureel vrijgemaakt voor structurele verbeteringen van het arbeidsongeschiktheidsstelsel. Dit is gebaseerd op beleidsmaatregelen waar de Tweede Kamer via een kamerbrief binnenkort nader over wordt geïnformeerd.</w:t>
      </w:r>
    </w:p>
    <w:p w:rsidRPr="00C5308E" w:rsidR="00D831A0" w:rsidP="00D87753" w:rsidRDefault="00D831A0" w14:paraId="726181EC" w14:textId="77777777">
      <w:pPr>
        <w:spacing w:after="0" w:line="240" w:lineRule="auto"/>
        <w:contextualSpacing/>
        <w:rPr>
          <w:rFonts w:ascii="Verdana" w:hAnsi="Verdana"/>
          <w:bCs/>
          <w:sz w:val="18"/>
          <w:szCs w:val="18"/>
        </w:rPr>
      </w:pPr>
    </w:p>
    <w:p w:rsidRPr="00C5308E" w:rsidR="009E40FF" w:rsidP="00D87753" w:rsidRDefault="009E40FF" w14:paraId="5C17EB4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165</w:t>
      </w:r>
    </w:p>
    <w:p w:rsidRPr="00C5308E" w:rsidR="009E40FF" w:rsidP="00D87753" w:rsidRDefault="009E40FF" w14:paraId="1CAA047F" w14:textId="77777777">
      <w:pPr>
        <w:spacing w:after="0" w:line="240" w:lineRule="auto"/>
        <w:contextualSpacing/>
        <w:rPr>
          <w:rFonts w:ascii="Verdana" w:hAnsi="Verdana"/>
          <w:bCs/>
          <w:sz w:val="18"/>
          <w:szCs w:val="18"/>
        </w:rPr>
      </w:pPr>
      <w:r w:rsidRPr="00C5308E">
        <w:rPr>
          <w:rFonts w:ascii="Verdana" w:hAnsi="Verdana"/>
          <w:bCs/>
          <w:sz w:val="18"/>
          <w:szCs w:val="18"/>
        </w:rPr>
        <w:t>Hoeveel financiële ruimte blijft er over van de envelop Groepen in de knel na de verschillende intensiveringen?</w:t>
      </w:r>
    </w:p>
    <w:p w:rsidRPr="00C5308E" w:rsidR="009E40FF" w:rsidP="00D87753" w:rsidRDefault="009E40FF" w14:paraId="417B3FB9" w14:textId="77777777">
      <w:pPr>
        <w:spacing w:after="0" w:line="240" w:lineRule="auto"/>
        <w:contextualSpacing/>
        <w:rPr>
          <w:rFonts w:ascii="Verdana" w:hAnsi="Verdana"/>
          <w:bCs/>
          <w:sz w:val="18"/>
          <w:szCs w:val="18"/>
        </w:rPr>
      </w:pPr>
    </w:p>
    <w:p w:rsidRPr="00C5308E" w:rsidR="009E40FF" w:rsidP="00D87753" w:rsidRDefault="009E40FF" w14:paraId="30486FE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165</w:t>
      </w:r>
    </w:p>
    <w:p w:rsidRPr="00C5308E" w:rsidR="009E40FF" w:rsidP="00D87753" w:rsidRDefault="009E40FF" w14:paraId="65F9C6A2" w14:textId="77777777">
      <w:pPr>
        <w:spacing w:after="0" w:line="240" w:lineRule="auto"/>
        <w:contextualSpacing/>
        <w:rPr>
          <w:rFonts w:ascii="Verdana" w:hAnsi="Verdana"/>
          <w:bCs/>
          <w:sz w:val="18"/>
          <w:szCs w:val="18"/>
        </w:rPr>
      </w:pPr>
      <w:r w:rsidRPr="00C5308E">
        <w:rPr>
          <w:rFonts w:ascii="Verdana" w:hAnsi="Verdana"/>
          <w:bCs/>
          <w:sz w:val="18"/>
          <w:szCs w:val="18"/>
        </w:rPr>
        <w:t>Na de voorgenomen intensiveringen uit de Voorjaarsnota blijft er geen financiële ruimte meer over in de envelop Groepen in de knel. De volledige envelop is bestemd bij de voorjaarsbesluitvorming.</w:t>
      </w:r>
    </w:p>
    <w:p w:rsidRPr="00C5308E" w:rsidR="000243CF" w:rsidP="00D87753" w:rsidRDefault="000243CF" w14:paraId="338D1894" w14:textId="77777777">
      <w:pPr>
        <w:spacing w:after="0" w:line="240" w:lineRule="auto"/>
        <w:contextualSpacing/>
        <w:rPr>
          <w:rFonts w:ascii="Verdana" w:hAnsi="Verdana"/>
          <w:bCs/>
          <w:sz w:val="18"/>
          <w:szCs w:val="18"/>
        </w:rPr>
      </w:pPr>
    </w:p>
    <w:p w:rsidRPr="00C5308E" w:rsidR="009E40FF" w:rsidP="00D87753" w:rsidRDefault="009E40FF" w14:paraId="041DA5C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166</w:t>
      </w:r>
    </w:p>
    <w:p w:rsidRPr="00C5308E" w:rsidR="009E40FF" w:rsidP="00D87753" w:rsidRDefault="009E40FF" w14:paraId="006E04B0" w14:textId="77777777">
      <w:pPr>
        <w:spacing w:after="0" w:line="240" w:lineRule="auto"/>
        <w:contextualSpacing/>
        <w:rPr>
          <w:rFonts w:ascii="Verdana" w:hAnsi="Verdana"/>
          <w:bCs/>
          <w:sz w:val="18"/>
          <w:szCs w:val="18"/>
        </w:rPr>
      </w:pPr>
      <w:r w:rsidRPr="00C5308E">
        <w:rPr>
          <w:rFonts w:ascii="Verdana" w:hAnsi="Verdana"/>
          <w:bCs/>
          <w:sz w:val="18"/>
          <w:szCs w:val="18"/>
        </w:rPr>
        <w:t>Wat is het gevolg van het afromen van de envelop Groepen in de knel voor het oorspronkelijke doel van de enveloppe, zoals OCTAS, Participatiewet en de Toeslagenwet?</w:t>
      </w:r>
    </w:p>
    <w:p w:rsidRPr="00C5308E" w:rsidR="009E40FF" w:rsidP="00D87753" w:rsidRDefault="009E40FF" w14:paraId="17B6804C" w14:textId="77777777">
      <w:pPr>
        <w:spacing w:after="0" w:line="240" w:lineRule="auto"/>
        <w:contextualSpacing/>
        <w:rPr>
          <w:rFonts w:ascii="Verdana" w:hAnsi="Verdana"/>
          <w:bCs/>
          <w:sz w:val="18"/>
          <w:szCs w:val="18"/>
        </w:rPr>
      </w:pPr>
    </w:p>
    <w:p w:rsidRPr="00C5308E" w:rsidR="009E40FF" w:rsidP="00D87753" w:rsidRDefault="009E40FF" w14:paraId="4F64AB7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166</w:t>
      </w:r>
    </w:p>
    <w:p w:rsidRPr="00C5308E" w:rsidR="009E40FF" w:rsidP="00D87753" w:rsidRDefault="009E40FF" w14:paraId="6412E0FD" w14:textId="77777777">
      <w:pPr>
        <w:spacing w:after="0" w:line="240" w:lineRule="auto"/>
        <w:contextualSpacing/>
        <w:rPr>
          <w:rFonts w:ascii="Verdana" w:hAnsi="Verdana"/>
          <w:bCs/>
          <w:sz w:val="18"/>
          <w:szCs w:val="18"/>
        </w:rPr>
      </w:pPr>
      <w:r w:rsidRPr="00C5308E">
        <w:rPr>
          <w:rFonts w:ascii="Verdana" w:hAnsi="Verdana"/>
          <w:bCs/>
          <w:sz w:val="18"/>
          <w:szCs w:val="18"/>
        </w:rPr>
        <w:t>Met de middelen uit de envelop Groepen in de knel biedt het kabinet meer ondersteuning aan kwetsbare groepen. Daarom zet het kabinet de middelen uit de envelop Groepen in de knel in op maatregelen die hieraan een bijdrage leveren. Zo wordt het minimumjeugdloon verhoogd, de financiering van beschut werk verbeterd, worden afgewezen Wajongeren in de Participatiewet ondersteund in de ontwikkeling van arbeidsvermogen en wordt de Toeslagenwet vereenvoudigd. Onder andere deze maatregelen dragen bij aan het oorspronkelijke doel van de envelop. Er zijn daarnaast nog veel terreinen die aandacht vragen van het kabinet. Daarom heeft het kabinet in de voorjaarsbesluitvorming keuzes moeten maken en onder meer besloten om een deel van de middelen uit de envelop af te romen.</w:t>
      </w:r>
    </w:p>
    <w:p w:rsidRPr="00C5308E" w:rsidR="000243CF" w:rsidP="00D87753" w:rsidRDefault="000243CF" w14:paraId="6078C7E7" w14:textId="77777777">
      <w:pPr>
        <w:spacing w:after="0" w:line="240" w:lineRule="auto"/>
        <w:contextualSpacing/>
        <w:rPr>
          <w:rFonts w:ascii="Verdana" w:hAnsi="Verdana"/>
          <w:bCs/>
          <w:sz w:val="18"/>
          <w:szCs w:val="18"/>
        </w:rPr>
      </w:pPr>
    </w:p>
    <w:p w:rsidRPr="00C5308E" w:rsidR="00527AB7" w:rsidP="00D87753" w:rsidRDefault="00527AB7" w14:paraId="0DC7B1C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167</w:t>
      </w:r>
    </w:p>
    <w:p w:rsidRPr="00C5308E" w:rsidR="00527AB7" w:rsidP="00D87753" w:rsidRDefault="00527AB7" w14:paraId="40FB6513"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10.000 extra banen te realiseren binnen de werk-ontwikkelbedrijven?</w:t>
      </w:r>
    </w:p>
    <w:p w:rsidRPr="00C5308E" w:rsidR="00527AB7" w:rsidP="00D87753" w:rsidRDefault="00527AB7" w14:paraId="07615E93" w14:textId="77777777">
      <w:pPr>
        <w:spacing w:after="0" w:line="240" w:lineRule="auto"/>
        <w:contextualSpacing/>
        <w:rPr>
          <w:rFonts w:ascii="Verdana" w:hAnsi="Verdana"/>
          <w:bCs/>
          <w:sz w:val="18"/>
          <w:szCs w:val="18"/>
        </w:rPr>
      </w:pPr>
    </w:p>
    <w:p w:rsidRPr="00C5308E" w:rsidR="00527AB7" w:rsidP="00D87753" w:rsidRDefault="00527AB7" w14:paraId="3D75EA9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167</w:t>
      </w:r>
    </w:p>
    <w:p w:rsidRPr="00C5308E" w:rsidR="00527AB7" w:rsidP="00D87753" w:rsidRDefault="00527AB7" w14:paraId="6FB69898" w14:textId="77777777">
      <w:pPr>
        <w:spacing w:line="240" w:lineRule="auto"/>
        <w:contextualSpacing/>
        <w:rPr>
          <w:rFonts w:ascii="Verdana" w:hAnsi="Verdana"/>
          <w:bCs/>
          <w:sz w:val="18"/>
          <w:szCs w:val="18"/>
        </w:rPr>
      </w:pPr>
      <w:r w:rsidRPr="00C5308E">
        <w:rPr>
          <w:rFonts w:ascii="Verdana" w:hAnsi="Verdana"/>
          <w:bCs/>
          <w:sz w:val="18"/>
          <w:szCs w:val="18"/>
        </w:rPr>
        <w:t>Het antwoord op deze vraag is sterk afhankelijk van op wat voor banen de vraag precies ziet.</w:t>
      </w:r>
    </w:p>
    <w:p w:rsidRPr="00C5308E" w:rsidR="00527AB7" w:rsidP="00D87753" w:rsidRDefault="00527AB7" w14:paraId="4B090052" w14:textId="77777777">
      <w:pPr>
        <w:spacing w:line="240" w:lineRule="auto"/>
        <w:contextualSpacing/>
        <w:rPr>
          <w:rFonts w:ascii="Verdana" w:hAnsi="Verdana"/>
          <w:bCs/>
          <w:sz w:val="18"/>
          <w:szCs w:val="18"/>
        </w:rPr>
      </w:pPr>
      <w:r w:rsidRPr="00C5308E">
        <w:rPr>
          <w:rFonts w:ascii="Verdana" w:hAnsi="Verdana"/>
          <w:bCs/>
          <w:sz w:val="18"/>
          <w:szCs w:val="18"/>
        </w:rPr>
        <w:t xml:space="preserve">In het onderstaande antwoord gaan we uit van 10.000 extra banen beschut werk, waardoor in 2048 (als beschut werk volledig is ingegroeid) 40.300 beschutte werkplekken, i.p.v. de nu geraamde 30.300 beschutte werkplekken, worden gerealiseerd. </w:t>
      </w:r>
    </w:p>
    <w:p w:rsidRPr="00C5308E" w:rsidR="00527AB7" w:rsidP="00D87753" w:rsidRDefault="00527AB7" w14:paraId="335E226E" w14:textId="77777777">
      <w:pPr>
        <w:spacing w:line="240" w:lineRule="auto"/>
        <w:contextualSpacing/>
        <w:rPr>
          <w:rFonts w:ascii="Verdana" w:hAnsi="Verdana"/>
          <w:bCs/>
          <w:sz w:val="18"/>
          <w:szCs w:val="18"/>
        </w:rPr>
      </w:pPr>
      <w:r w:rsidRPr="00C5308E">
        <w:rPr>
          <w:rFonts w:ascii="Verdana" w:hAnsi="Verdana"/>
          <w:bCs/>
          <w:sz w:val="18"/>
          <w:szCs w:val="18"/>
        </w:rPr>
        <w:t xml:space="preserve">Op basis van de huidige financiering en een geleidelijke ingroei kom je dan uit op een inschatting van de extra kosten van zo’n € 8,5 miljoen in 2026 oplopend naar zo’n € 300 miljoen in 2048 o.b.v. enerzijds de middelen die nu binnen de rijksbijdrage beschut werk verstrekt worden aan gemeenten en anderzijds de middelen voor loonkostensubsidie o.b.v. een forfaitair bedrag voor beschut werk. </w:t>
      </w:r>
    </w:p>
    <w:p w:rsidRPr="00C5308E" w:rsidR="00527AB7" w:rsidP="00D87753" w:rsidRDefault="00527AB7" w14:paraId="085E696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168</w:t>
      </w:r>
    </w:p>
    <w:p w:rsidRPr="00C5308E" w:rsidR="00527AB7" w:rsidP="00D87753" w:rsidRDefault="00527AB7" w14:paraId="28FD6204"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20.000 extra banen te realiseren binnen de werk-ontwikkelbedrijven?</w:t>
      </w:r>
    </w:p>
    <w:p w:rsidRPr="00C5308E" w:rsidR="00527AB7" w:rsidP="00D87753" w:rsidRDefault="00527AB7" w14:paraId="1BA5FAA3" w14:textId="77777777">
      <w:pPr>
        <w:spacing w:after="0" w:line="240" w:lineRule="auto"/>
        <w:contextualSpacing/>
        <w:rPr>
          <w:rFonts w:ascii="Verdana" w:hAnsi="Verdana"/>
          <w:bCs/>
          <w:sz w:val="18"/>
          <w:szCs w:val="18"/>
        </w:rPr>
      </w:pPr>
    </w:p>
    <w:p w:rsidRPr="00C5308E" w:rsidR="00527AB7" w:rsidP="00D87753" w:rsidRDefault="00527AB7" w14:paraId="498D081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168</w:t>
      </w:r>
    </w:p>
    <w:p w:rsidRPr="00C5308E" w:rsidR="00527AB7" w:rsidP="00D87753" w:rsidRDefault="00527AB7" w14:paraId="427D5CFC" w14:textId="77777777">
      <w:pPr>
        <w:spacing w:line="240" w:lineRule="auto"/>
        <w:contextualSpacing/>
        <w:rPr>
          <w:rFonts w:ascii="Verdana" w:hAnsi="Verdana"/>
          <w:bCs/>
          <w:sz w:val="18"/>
          <w:szCs w:val="18"/>
        </w:rPr>
      </w:pPr>
      <w:r w:rsidRPr="00C5308E">
        <w:rPr>
          <w:rFonts w:ascii="Verdana" w:hAnsi="Verdana"/>
          <w:bCs/>
          <w:sz w:val="18"/>
          <w:szCs w:val="18"/>
        </w:rPr>
        <w:t>Het antwoord op deze vraag is sterk afhankelijk van op wat voor banen de vraag precies ziet.</w:t>
      </w:r>
    </w:p>
    <w:p w:rsidRPr="00C5308E" w:rsidR="00527AB7" w:rsidP="00D87753" w:rsidRDefault="00527AB7" w14:paraId="5E651393" w14:textId="77777777">
      <w:pPr>
        <w:spacing w:line="240" w:lineRule="auto"/>
        <w:contextualSpacing/>
        <w:rPr>
          <w:rFonts w:ascii="Verdana" w:hAnsi="Verdana"/>
          <w:bCs/>
          <w:sz w:val="18"/>
          <w:szCs w:val="18"/>
        </w:rPr>
      </w:pPr>
      <w:r w:rsidRPr="00C5308E">
        <w:rPr>
          <w:rFonts w:ascii="Verdana" w:hAnsi="Verdana"/>
          <w:bCs/>
          <w:sz w:val="18"/>
          <w:szCs w:val="18"/>
        </w:rPr>
        <w:t xml:space="preserve">In het onderstaande antwoord gaan we uit van 20.000 extra banen beschut werk, waardoor in 2048 (als beschut werk volledig is ingegroeid) 50.300 beschutte werkplekken, i.p.v. de nu geraamde 30.300 beschutte werkplekken, worden gerealiseerd. </w:t>
      </w:r>
    </w:p>
    <w:p w:rsidRPr="00C5308E" w:rsidR="00527AB7" w:rsidP="00D87753" w:rsidRDefault="00527AB7" w14:paraId="66ACDB0C" w14:textId="14413D2D">
      <w:pPr>
        <w:spacing w:line="240" w:lineRule="auto"/>
        <w:contextualSpacing/>
        <w:rPr>
          <w:rFonts w:ascii="Verdana" w:hAnsi="Verdana"/>
          <w:bCs/>
          <w:sz w:val="18"/>
          <w:szCs w:val="18"/>
        </w:rPr>
      </w:pPr>
      <w:r w:rsidRPr="00C5308E">
        <w:rPr>
          <w:rFonts w:ascii="Verdana" w:hAnsi="Verdana"/>
          <w:bCs/>
          <w:sz w:val="18"/>
          <w:szCs w:val="18"/>
        </w:rPr>
        <w:t>Op basis van de huidige financiering en een geleidelijke ingroei kom je dan uit op een inschatting van de extra kosten van zo’n € 17 miljoen in 2026 oplopend naar zo’n € 600 miljoen.</w:t>
      </w:r>
    </w:p>
    <w:p w:rsidRPr="00C5308E" w:rsidR="00250847" w:rsidP="00D87753" w:rsidRDefault="00250847" w14:paraId="10F3D26F" w14:textId="77777777">
      <w:pPr>
        <w:spacing w:after="0" w:line="240" w:lineRule="auto"/>
        <w:contextualSpacing/>
        <w:rPr>
          <w:rFonts w:ascii="Verdana" w:hAnsi="Verdana"/>
          <w:bCs/>
          <w:sz w:val="18"/>
          <w:szCs w:val="18"/>
          <w:u w:val="single"/>
        </w:rPr>
      </w:pPr>
    </w:p>
    <w:p w:rsidRPr="00C5308E" w:rsidR="00527AB7" w:rsidP="00D87753" w:rsidRDefault="00527AB7" w14:paraId="1CAA5836" w14:textId="43DD041E">
      <w:pPr>
        <w:spacing w:after="0" w:line="240" w:lineRule="auto"/>
        <w:contextualSpacing/>
        <w:rPr>
          <w:rFonts w:ascii="Verdana" w:hAnsi="Verdana"/>
          <w:bCs/>
          <w:sz w:val="18"/>
          <w:szCs w:val="18"/>
          <w:u w:val="single"/>
        </w:rPr>
      </w:pPr>
      <w:r w:rsidRPr="00C5308E">
        <w:rPr>
          <w:rFonts w:ascii="Verdana" w:hAnsi="Verdana"/>
          <w:bCs/>
          <w:sz w:val="18"/>
          <w:szCs w:val="18"/>
          <w:u w:val="single"/>
        </w:rPr>
        <w:t>Vraag 169</w:t>
      </w:r>
    </w:p>
    <w:p w:rsidRPr="00C5308E" w:rsidR="00527AB7" w:rsidP="00D87753" w:rsidRDefault="00527AB7" w14:paraId="4E06C604"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30.000 extra banen te realiseren binnen de werk-ontwikkelbedrijven?</w:t>
      </w:r>
    </w:p>
    <w:p w:rsidRPr="00C5308E" w:rsidR="00527AB7" w:rsidP="00D87753" w:rsidRDefault="00527AB7" w14:paraId="74E75C58" w14:textId="77777777">
      <w:pPr>
        <w:spacing w:after="0" w:line="240" w:lineRule="auto"/>
        <w:contextualSpacing/>
        <w:rPr>
          <w:rFonts w:ascii="Verdana" w:hAnsi="Verdana"/>
          <w:bCs/>
          <w:sz w:val="18"/>
          <w:szCs w:val="18"/>
        </w:rPr>
      </w:pPr>
    </w:p>
    <w:p w:rsidRPr="00C5308E" w:rsidR="00527AB7" w:rsidP="00D87753" w:rsidRDefault="00527AB7" w14:paraId="6ACE947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169</w:t>
      </w:r>
    </w:p>
    <w:p w:rsidRPr="00C5308E" w:rsidR="00527AB7" w:rsidP="00D87753" w:rsidRDefault="00527AB7" w14:paraId="122202FB" w14:textId="77777777">
      <w:pPr>
        <w:spacing w:line="240" w:lineRule="auto"/>
        <w:contextualSpacing/>
        <w:rPr>
          <w:rFonts w:ascii="Verdana" w:hAnsi="Verdana"/>
          <w:bCs/>
          <w:sz w:val="18"/>
          <w:szCs w:val="18"/>
        </w:rPr>
      </w:pPr>
      <w:r w:rsidRPr="00C5308E">
        <w:rPr>
          <w:rFonts w:ascii="Verdana" w:hAnsi="Verdana"/>
          <w:bCs/>
          <w:sz w:val="18"/>
          <w:szCs w:val="18"/>
        </w:rPr>
        <w:t>Het antwoord op deze vraag is sterk afhankelijk van op wat voor banen de vraag precies ziet.</w:t>
      </w:r>
    </w:p>
    <w:p w:rsidRPr="00C5308E" w:rsidR="00527AB7" w:rsidP="00D87753" w:rsidRDefault="00527AB7" w14:paraId="3DD90CC2" w14:textId="77777777">
      <w:pPr>
        <w:spacing w:line="240" w:lineRule="auto"/>
        <w:contextualSpacing/>
        <w:rPr>
          <w:rFonts w:ascii="Verdana" w:hAnsi="Verdana"/>
          <w:bCs/>
          <w:sz w:val="18"/>
          <w:szCs w:val="18"/>
        </w:rPr>
      </w:pPr>
      <w:r w:rsidRPr="00C5308E">
        <w:rPr>
          <w:rFonts w:ascii="Verdana" w:hAnsi="Verdana"/>
          <w:bCs/>
          <w:sz w:val="18"/>
          <w:szCs w:val="18"/>
        </w:rPr>
        <w:t xml:space="preserve">In het onderstaande antwoord gaan we uit van 30.000 extra banen beschut werk, waardoor in 2048 (als beschut werk volledig is ingegroeid) 60.300 beschutte werkplekken, i.p.v. de nu geraamde 30.300 beschutte werkplekken, worden gerealiseerd. </w:t>
      </w:r>
    </w:p>
    <w:p w:rsidRPr="00C5308E" w:rsidR="00527AB7" w:rsidP="00D87753" w:rsidRDefault="00527AB7" w14:paraId="4ACB4372" w14:textId="77777777">
      <w:pPr>
        <w:spacing w:line="240" w:lineRule="auto"/>
        <w:contextualSpacing/>
        <w:rPr>
          <w:rFonts w:ascii="Verdana" w:hAnsi="Verdana"/>
          <w:bCs/>
          <w:sz w:val="18"/>
          <w:szCs w:val="18"/>
        </w:rPr>
      </w:pPr>
      <w:r w:rsidRPr="00C5308E">
        <w:rPr>
          <w:rFonts w:ascii="Verdana" w:hAnsi="Verdana"/>
          <w:bCs/>
          <w:sz w:val="18"/>
          <w:szCs w:val="18"/>
        </w:rPr>
        <w:t xml:space="preserve">Op basis van de huidige financiering en een geleidelijke ingroei kom je dan uit op een inschatting van de extra kosten van zo’n € 26 miljoen in 2026 oplopend naar zo’n € 900 miljoen in 2048 o.b.v. enerzijds de middelen die nu binnen de rijksbijdrage beschut werk verstrekt wordt aan gemeenten en anderzijds de middelen voor loonkostensubsidie o.b.v. een forfaitair bedrag voor beschut werk. </w:t>
      </w:r>
    </w:p>
    <w:p w:rsidRPr="00C5308E" w:rsidR="00250847" w:rsidP="00D87753" w:rsidRDefault="00250847" w14:paraId="525245F5" w14:textId="77777777">
      <w:pPr>
        <w:spacing w:after="0" w:line="240" w:lineRule="auto"/>
        <w:contextualSpacing/>
        <w:rPr>
          <w:rFonts w:ascii="Verdana" w:hAnsi="Verdana"/>
          <w:bCs/>
          <w:sz w:val="18"/>
          <w:szCs w:val="18"/>
          <w:u w:val="single"/>
        </w:rPr>
      </w:pPr>
    </w:p>
    <w:p w:rsidRPr="00C5308E" w:rsidR="00527AB7" w:rsidP="00D87753" w:rsidRDefault="00527AB7" w14:paraId="7FF139BA" w14:textId="74DCB680">
      <w:pPr>
        <w:spacing w:after="0" w:line="240" w:lineRule="auto"/>
        <w:contextualSpacing/>
        <w:rPr>
          <w:rFonts w:ascii="Verdana" w:hAnsi="Verdana"/>
          <w:bCs/>
          <w:sz w:val="18"/>
          <w:szCs w:val="18"/>
          <w:u w:val="single"/>
        </w:rPr>
      </w:pPr>
      <w:r w:rsidRPr="00C5308E">
        <w:rPr>
          <w:rFonts w:ascii="Verdana" w:hAnsi="Verdana"/>
          <w:bCs/>
          <w:sz w:val="18"/>
          <w:szCs w:val="18"/>
          <w:u w:val="single"/>
        </w:rPr>
        <w:t>Vraag 170</w:t>
      </w:r>
    </w:p>
    <w:p w:rsidRPr="00C5308E" w:rsidR="00527AB7" w:rsidP="00D87753" w:rsidRDefault="00527AB7" w14:paraId="644094C5"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40.000 extra banen te realiseren binnen de werk-ontwikkelbedrijven?</w:t>
      </w:r>
    </w:p>
    <w:p w:rsidRPr="00C5308E" w:rsidR="00527AB7" w:rsidP="00D87753" w:rsidRDefault="00527AB7" w14:paraId="1C9841AE" w14:textId="77777777">
      <w:pPr>
        <w:spacing w:after="0" w:line="240" w:lineRule="auto"/>
        <w:contextualSpacing/>
        <w:rPr>
          <w:rFonts w:ascii="Verdana" w:hAnsi="Verdana"/>
          <w:bCs/>
          <w:sz w:val="18"/>
          <w:szCs w:val="18"/>
        </w:rPr>
      </w:pPr>
    </w:p>
    <w:p w:rsidRPr="00C5308E" w:rsidR="00527AB7" w:rsidP="00D87753" w:rsidRDefault="00527AB7" w14:paraId="181C6A3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170</w:t>
      </w:r>
    </w:p>
    <w:p w:rsidRPr="00C5308E" w:rsidR="00527AB7" w:rsidP="00D87753" w:rsidRDefault="00527AB7" w14:paraId="15233D5C" w14:textId="77777777">
      <w:pPr>
        <w:spacing w:line="240" w:lineRule="auto"/>
        <w:contextualSpacing/>
        <w:rPr>
          <w:rFonts w:ascii="Verdana" w:hAnsi="Verdana"/>
          <w:bCs/>
          <w:sz w:val="18"/>
          <w:szCs w:val="18"/>
        </w:rPr>
      </w:pPr>
      <w:r w:rsidRPr="00C5308E">
        <w:rPr>
          <w:rFonts w:ascii="Verdana" w:hAnsi="Verdana"/>
          <w:bCs/>
          <w:sz w:val="18"/>
          <w:szCs w:val="18"/>
        </w:rPr>
        <w:t>Het antwoord op deze vraag is sterk afhankelijk van op wat voor banen de vraag precies ziet.</w:t>
      </w:r>
    </w:p>
    <w:p w:rsidRPr="00C5308E" w:rsidR="00527AB7" w:rsidP="00D87753" w:rsidRDefault="00527AB7" w14:paraId="03F5BE8E" w14:textId="77777777">
      <w:pPr>
        <w:spacing w:line="240" w:lineRule="auto"/>
        <w:contextualSpacing/>
        <w:rPr>
          <w:rFonts w:ascii="Verdana" w:hAnsi="Verdana"/>
          <w:bCs/>
          <w:sz w:val="18"/>
          <w:szCs w:val="18"/>
        </w:rPr>
      </w:pPr>
      <w:r w:rsidRPr="00C5308E">
        <w:rPr>
          <w:rFonts w:ascii="Verdana" w:hAnsi="Verdana"/>
          <w:bCs/>
          <w:sz w:val="18"/>
          <w:szCs w:val="18"/>
        </w:rPr>
        <w:t xml:space="preserve">In het onderstaande antwoord gaan we uit van 40.000 extra banen beschut werk, waardoor in 2048 (als beschut werk volledig is ingegroeid) 70.300 beschutte werkplekken, i.p.v. de nu geraamde 30.300 beschutte werkplekken, worden gerealiseerd. </w:t>
      </w:r>
    </w:p>
    <w:p w:rsidRPr="00C5308E" w:rsidR="00527AB7" w:rsidP="00D87753" w:rsidRDefault="00527AB7" w14:paraId="059BEFAF" w14:textId="77777777">
      <w:pPr>
        <w:spacing w:line="240" w:lineRule="auto"/>
        <w:contextualSpacing/>
        <w:rPr>
          <w:rFonts w:ascii="Verdana" w:hAnsi="Verdana"/>
          <w:bCs/>
          <w:sz w:val="18"/>
          <w:szCs w:val="18"/>
        </w:rPr>
      </w:pPr>
      <w:r w:rsidRPr="00C5308E">
        <w:rPr>
          <w:rFonts w:ascii="Verdana" w:hAnsi="Verdana"/>
          <w:bCs/>
          <w:sz w:val="18"/>
          <w:szCs w:val="18"/>
        </w:rPr>
        <w:lastRenderedPageBreak/>
        <w:t xml:space="preserve">Op basis van de huidige financiering en een geleidelijke ingroei kom je dan uit op een inschatting van de extra kosten van zo’n € 34 miljoen in 2026 oplopend naar zo’n € 1.200 miljoen in 2048 o.b.v. enerzijds de middelen die nu binnen de rijksbijdrage beschut werk verstrekt wordt aan gemeenten en anderzijds de middelen voor loonkostensubsidie o.b.v. een forfaitair bedrag voor beschut werk. </w:t>
      </w:r>
    </w:p>
    <w:p w:rsidRPr="00C5308E" w:rsidR="00250847" w:rsidP="00D87753" w:rsidRDefault="00250847" w14:paraId="34A14FEA" w14:textId="77777777">
      <w:pPr>
        <w:spacing w:after="0" w:line="240" w:lineRule="auto"/>
        <w:contextualSpacing/>
        <w:rPr>
          <w:rFonts w:ascii="Verdana" w:hAnsi="Verdana"/>
          <w:bCs/>
          <w:sz w:val="18"/>
          <w:szCs w:val="18"/>
          <w:u w:val="single"/>
        </w:rPr>
      </w:pPr>
    </w:p>
    <w:p w:rsidRPr="00C5308E" w:rsidR="00527AB7" w:rsidP="00D87753" w:rsidRDefault="00527AB7" w14:paraId="75E95DBE" w14:textId="3952B2C7">
      <w:pPr>
        <w:spacing w:after="0" w:line="240" w:lineRule="auto"/>
        <w:contextualSpacing/>
        <w:rPr>
          <w:rFonts w:ascii="Verdana" w:hAnsi="Verdana"/>
          <w:bCs/>
          <w:sz w:val="18"/>
          <w:szCs w:val="18"/>
          <w:u w:val="single"/>
        </w:rPr>
      </w:pPr>
      <w:r w:rsidRPr="00C5308E">
        <w:rPr>
          <w:rFonts w:ascii="Verdana" w:hAnsi="Verdana"/>
          <w:bCs/>
          <w:sz w:val="18"/>
          <w:szCs w:val="18"/>
          <w:u w:val="single"/>
        </w:rPr>
        <w:t>Vraag 171</w:t>
      </w:r>
    </w:p>
    <w:p w:rsidRPr="00C5308E" w:rsidR="00527AB7" w:rsidP="00D87753" w:rsidRDefault="00527AB7" w14:paraId="14BE3976"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50.000 extra banen te realiseren binnen de werk-ontwikkelbedrijven?</w:t>
      </w:r>
    </w:p>
    <w:p w:rsidRPr="00C5308E" w:rsidR="00527AB7" w:rsidP="00D87753" w:rsidRDefault="00527AB7" w14:paraId="60AF2C05" w14:textId="77777777">
      <w:pPr>
        <w:spacing w:after="0" w:line="240" w:lineRule="auto"/>
        <w:contextualSpacing/>
        <w:rPr>
          <w:rFonts w:ascii="Verdana" w:hAnsi="Verdana"/>
          <w:bCs/>
          <w:sz w:val="18"/>
          <w:szCs w:val="18"/>
        </w:rPr>
      </w:pPr>
    </w:p>
    <w:p w:rsidRPr="00C5308E" w:rsidR="00527AB7" w:rsidP="00D87753" w:rsidRDefault="00527AB7" w14:paraId="3B38B8F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171</w:t>
      </w:r>
    </w:p>
    <w:p w:rsidRPr="00C5308E" w:rsidR="00527AB7" w:rsidP="00D87753" w:rsidRDefault="00527AB7" w14:paraId="0A1C02CB" w14:textId="77777777">
      <w:pPr>
        <w:spacing w:line="240" w:lineRule="auto"/>
        <w:contextualSpacing/>
        <w:rPr>
          <w:rFonts w:ascii="Verdana" w:hAnsi="Verdana"/>
          <w:bCs/>
          <w:sz w:val="18"/>
          <w:szCs w:val="18"/>
        </w:rPr>
      </w:pPr>
      <w:r w:rsidRPr="00C5308E">
        <w:rPr>
          <w:rFonts w:ascii="Verdana" w:hAnsi="Verdana"/>
          <w:bCs/>
          <w:sz w:val="18"/>
          <w:szCs w:val="18"/>
        </w:rPr>
        <w:t>Het antwoord op deze vraag is sterk afhankelijk van op wat voor banen de vraag precies ziet.</w:t>
      </w:r>
    </w:p>
    <w:p w:rsidRPr="00C5308E" w:rsidR="00527AB7" w:rsidP="00D87753" w:rsidRDefault="00527AB7" w14:paraId="6FA3E848" w14:textId="77777777">
      <w:pPr>
        <w:spacing w:line="240" w:lineRule="auto"/>
        <w:contextualSpacing/>
        <w:rPr>
          <w:rFonts w:ascii="Verdana" w:hAnsi="Verdana"/>
          <w:bCs/>
          <w:sz w:val="18"/>
          <w:szCs w:val="18"/>
        </w:rPr>
      </w:pPr>
      <w:r w:rsidRPr="00C5308E">
        <w:rPr>
          <w:rFonts w:ascii="Verdana" w:hAnsi="Verdana"/>
          <w:bCs/>
          <w:sz w:val="18"/>
          <w:szCs w:val="18"/>
        </w:rPr>
        <w:t xml:space="preserve">In het onderstaande antwoord gaan we uit van 50.000 extra banen beschut werk, waardoor in 2048 (als beschut werk volledig is ingegroeid) 80.300 beschutte werkplekken, i.p.v. de nu geraamde 30.300 beschutte werkplekken, worden gerealiseerd. </w:t>
      </w:r>
    </w:p>
    <w:p w:rsidRPr="00C5308E" w:rsidR="00527AB7" w:rsidP="00D87753" w:rsidRDefault="00527AB7" w14:paraId="7E12F762" w14:textId="77777777">
      <w:pPr>
        <w:spacing w:line="240" w:lineRule="auto"/>
        <w:contextualSpacing/>
        <w:rPr>
          <w:rFonts w:ascii="Verdana" w:hAnsi="Verdana"/>
          <w:bCs/>
          <w:sz w:val="18"/>
          <w:szCs w:val="18"/>
        </w:rPr>
      </w:pPr>
      <w:r w:rsidRPr="00C5308E">
        <w:rPr>
          <w:rFonts w:ascii="Verdana" w:hAnsi="Verdana"/>
          <w:bCs/>
          <w:sz w:val="18"/>
          <w:szCs w:val="18"/>
        </w:rPr>
        <w:t xml:space="preserve">Op basis van de huidige financiering en een geleidelijke ingroei kom je dan uit op een inschatting van de extra kosten van zo’n € 43 miljoen in 2026 oplopend naar zo’n € 1.500 miljoen in 2048 o.b.v. enerzijds de middelen die nu binnen de rijksbijdrage beschut werk verstrekt wordt aan gemeenten en anderzijds de middelen voor loonkostensubsidie o.b.v. een forfaitair bedrag voor beschut werk. </w:t>
      </w:r>
    </w:p>
    <w:p w:rsidRPr="00C5308E" w:rsidR="00250847" w:rsidP="00D87753" w:rsidRDefault="00250847" w14:paraId="71A1F2A4" w14:textId="77777777">
      <w:pPr>
        <w:spacing w:after="0" w:line="240" w:lineRule="auto"/>
        <w:contextualSpacing/>
        <w:rPr>
          <w:rFonts w:ascii="Verdana" w:hAnsi="Verdana"/>
          <w:bCs/>
          <w:sz w:val="18"/>
          <w:szCs w:val="18"/>
          <w:u w:val="single"/>
        </w:rPr>
      </w:pPr>
    </w:p>
    <w:p w:rsidRPr="00C5308E" w:rsidR="00527AB7" w:rsidP="00D87753" w:rsidRDefault="00527AB7" w14:paraId="6F609DC3" w14:textId="2B8392C2">
      <w:pPr>
        <w:spacing w:after="0" w:line="240" w:lineRule="auto"/>
        <w:contextualSpacing/>
        <w:rPr>
          <w:rFonts w:ascii="Verdana" w:hAnsi="Verdana"/>
          <w:bCs/>
          <w:sz w:val="18"/>
          <w:szCs w:val="18"/>
          <w:u w:val="single"/>
        </w:rPr>
      </w:pPr>
      <w:r w:rsidRPr="00C5308E">
        <w:rPr>
          <w:rFonts w:ascii="Verdana" w:hAnsi="Verdana"/>
          <w:bCs/>
          <w:sz w:val="18"/>
          <w:szCs w:val="18"/>
          <w:u w:val="single"/>
        </w:rPr>
        <w:t>Vraag 172</w:t>
      </w:r>
    </w:p>
    <w:p w:rsidRPr="00C5308E" w:rsidR="00527AB7" w:rsidP="00D87753" w:rsidRDefault="00527AB7" w14:paraId="6891469C" w14:textId="77777777">
      <w:pPr>
        <w:spacing w:after="0" w:line="240" w:lineRule="auto"/>
        <w:contextualSpacing/>
        <w:rPr>
          <w:rFonts w:ascii="Verdana" w:hAnsi="Verdana"/>
          <w:bCs/>
          <w:sz w:val="18"/>
          <w:szCs w:val="18"/>
        </w:rPr>
      </w:pPr>
      <w:r w:rsidRPr="00C5308E">
        <w:rPr>
          <w:rFonts w:ascii="Verdana" w:hAnsi="Verdana"/>
          <w:bCs/>
          <w:sz w:val="18"/>
          <w:szCs w:val="18"/>
        </w:rPr>
        <w:t>Is het mogelijk om 40.000 extra banen te realiseren door middel van het breder inzetten van de loonkostensubsidie en het bundelen van budgetten bij gemeenten? Zo ja, hoe ziet die berekening er dan uit?</w:t>
      </w:r>
    </w:p>
    <w:p w:rsidRPr="00C5308E" w:rsidR="00527AB7" w:rsidP="00D87753" w:rsidRDefault="00527AB7" w14:paraId="284EC9C8" w14:textId="77777777">
      <w:pPr>
        <w:spacing w:after="0" w:line="240" w:lineRule="auto"/>
        <w:contextualSpacing/>
        <w:rPr>
          <w:rFonts w:ascii="Verdana" w:hAnsi="Verdana"/>
          <w:bCs/>
          <w:sz w:val="18"/>
          <w:szCs w:val="18"/>
        </w:rPr>
      </w:pPr>
    </w:p>
    <w:p w:rsidRPr="00C5308E" w:rsidR="00527AB7" w:rsidP="00D87753" w:rsidRDefault="00527AB7" w14:paraId="719FC1D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172</w:t>
      </w:r>
    </w:p>
    <w:p w:rsidRPr="00C5308E" w:rsidR="00527AB7" w:rsidP="00D87753" w:rsidRDefault="00527AB7" w14:paraId="18DC3A30" w14:textId="26773DB8">
      <w:pPr>
        <w:spacing w:line="240" w:lineRule="auto"/>
        <w:contextualSpacing/>
        <w:rPr>
          <w:rFonts w:ascii="Verdana" w:hAnsi="Verdana"/>
          <w:bCs/>
          <w:sz w:val="18"/>
          <w:szCs w:val="18"/>
        </w:rPr>
      </w:pPr>
      <w:r w:rsidRPr="00C5308E">
        <w:rPr>
          <w:rFonts w:ascii="Verdana" w:hAnsi="Verdana"/>
          <w:bCs/>
          <w:sz w:val="18"/>
          <w:szCs w:val="18"/>
        </w:rPr>
        <w:t>Het is niet mogelijk om budgetneutraal 40.000 extra banen met loonkostensubsidie te realiseren; extra banen brengen extra uitgaven aan loonkostensubsidies en ondersteuningsmiddelen met zich mee</w:t>
      </w:r>
      <w:r w:rsidRPr="00C5308E" w:rsidR="00661995">
        <w:rPr>
          <w:rFonts w:ascii="Verdana" w:hAnsi="Verdana"/>
          <w:bCs/>
          <w:sz w:val="18"/>
          <w:szCs w:val="18"/>
        </w:rPr>
        <w:t>.</w:t>
      </w:r>
    </w:p>
    <w:p w:rsidRPr="00C5308E" w:rsidR="00250847" w:rsidP="00D87753" w:rsidRDefault="00250847" w14:paraId="60CD7AE7" w14:textId="77777777">
      <w:pPr>
        <w:spacing w:after="0" w:line="240" w:lineRule="auto"/>
        <w:contextualSpacing/>
        <w:rPr>
          <w:rFonts w:ascii="Verdana" w:hAnsi="Verdana"/>
          <w:bCs/>
          <w:sz w:val="18"/>
          <w:szCs w:val="18"/>
          <w:u w:val="single"/>
        </w:rPr>
      </w:pPr>
    </w:p>
    <w:p w:rsidRPr="00C5308E" w:rsidR="00844C2E" w:rsidP="00D87753" w:rsidRDefault="00844C2E" w14:paraId="2D82A2D2" w14:textId="6CE6796F">
      <w:pPr>
        <w:spacing w:after="0" w:line="240" w:lineRule="auto"/>
        <w:contextualSpacing/>
        <w:rPr>
          <w:rFonts w:ascii="Verdana" w:hAnsi="Verdana"/>
          <w:bCs/>
          <w:sz w:val="18"/>
          <w:szCs w:val="18"/>
          <w:u w:val="single"/>
        </w:rPr>
      </w:pPr>
      <w:r w:rsidRPr="00C5308E">
        <w:rPr>
          <w:rFonts w:ascii="Verdana" w:hAnsi="Verdana"/>
          <w:bCs/>
          <w:sz w:val="18"/>
          <w:szCs w:val="18"/>
          <w:u w:val="single"/>
        </w:rPr>
        <w:t>Vraag 173</w:t>
      </w:r>
    </w:p>
    <w:p w:rsidRPr="00C5308E" w:rsidR="00844C2E" w:rsidP="00D87753" w:rsidRDefault="00844C2E" w14:paraId="07AD0E76" w14:textId="77777777">
      <w:pPr>
        <w:spacing w:after="0" w:line="240" w:lineRule="auto"/>
        <w:contextualSpacing/>
        <w:rPr>
          <w:rFonts w:ascii="Verdana" w:hAnsi="Verdana"/>
          <w:bCs/>
          <w:sz w:val="18"/>
          <w:szCs w:val="18"/>
        </w:rPr>
      </w:pPr>
      <w:r w:rsidRPr="00C5308E">
        <w:rPr>
          <w:rFonts w:ascii="Verdana" w:hAnsi="Verdana"/>
          <w:bCs/>
          <w:sz w:val="18"/>
          <w:szCs w:val="18"/>
        </w:rPr>
        <w:t>Wat is het financiële tekort voor gemeenten voor het bekostigen van de plekken in de werk-ontwikkelbedrijven op basis van de Wet sociale werkvoorziening en de Participatiewet?</w:t>
      </w:r>
    </w:p>
    <w:p w:rsidRPr="00C5308E" w:rsidR="00844C2E" w:rsidP="00D87753" w:rsidRDefault="00844C2E" w14:paraId="151072E0" w14:textId="77777777">
      <w:pPr>
        <w:spacing w:after="0" w:line="240" w:lineRule="auto"/>
        <w:contextualSpacing/>
        <w:rPr>
          <w:rFonts w:ascii="Verdana" w:hAnsi="Verdana"/>
          <w:bCs/>
          <w:sz w:val="18"/>
          <w:szCs w:val="18"/>
        </w:rPr>
      </w:pPr>
    </w:p>
    <w:p w:rsidRPr="00C5308E" w:rsidR="00844C2E" w:rsidP="00D87753" w:rsidRDefault="00844C2E" w14:paraId="3313C31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173</w:t>
      </w:r>
    </w:p>
    <w:p w:rsidRPr="00C5308E" w:rsidR="00844C2E" w:rsidP="00D87753" w:rsidRDefault="00844C2E" w14:paraId="182FCFF4" w14:textId="02BF4793">
      <w:pPr>
        <w:spacing w:line="240" w:lineRule="auto"/>
        <w:contextualSpacing/>
        <w:rPr>
          <w:rFonts w:ascii="Verdana" w:hAnsi="Verdana"/>
          <w:bCs/>
          <w:sz w:val="18"/>
          <w:szCs w:val="18"/>
        </w:rPr>
      </w:pPr>
      <w:r w:rsidRPr="00C5308E">
        <w:rPr>
          <w:rFonts w:ascii="Verdana" w:hAnsi="Verdana"/>
          <w:bCs/>
          <w:sz w:val="18"/>
          <w:szCs w:val="18"/>
        </w:rPr>
        <w:t xml:space="preserve">Er is geen precies inzicht in hoeverre gemeenten t.a.v. hun werk-ontwikkelbedrijven financieel tekortkomen of dat zij juist overschotten realiseren. Dit zal ook per gemeente/regio verschillen en is mede afhankelijk van de (breedte van de) taken die gemeenten bij een werk-ontwikkelbedrijf hebben belegd en de bedrijfsvoering van de bedrijven, zoals de werksoorten en het al dan niet detacheren van mensen bij reguliere werkgevers. </w:t>
      </w:r>
    </w:p>
    <w:p w:rsidRPr="00C5308E" w:rsidR="00844C2E" w:rsidP="00D87753" w:rsidRDefault="00844C2E" w14:paraId="7D497683" w14:textId="7F29972F">
      <w:pPr>
        <w:spacing w:line="240" w:lineRule="auto"/>
        <w:contextualSpacing/>
        <w:rPr>
          <w:rFonts w:ascii="Verdana" w:hAnsi="Verdana"/>
          <w:bCs/>
          <w:sz w:val="18"/>
          <w:szCs w:val="18"/>
        </w:rPr>
      </w:pPr>
      <w:r w:rsidRPr="00C5308E">
        <w:rPr>
          <w:rFonts w:ascii="Verdana" w:hAnsi="Verdana"/>
          <w:bCs/>
          <w:sz w:val="18"/>
          <w:szCs w:val="18"/>
        </w:rPr>
        <w:t xml:space="preserve">De afgelopen jaren is onder meer onderzoek gedaan naar de kosten en uitvoering van beschut werk (een van de taken die werk-ontwikkelbedrijven uitvoeren). Naar aanleiding daarvan heeft het kabinet zowel in 2024 als in 2025 besloten extra budget toe te kennen aan gemeenten. In 2024 is de Rijksbijdrage beschut werk met € 2.157 per plek opgehoogd. Bij de </w:t>
      </w:r>
      <w:r w:rsidRPr="00C5308E" w:rsidR="00E706BE">
        <w:rPr>
          <w:rFonts w:ascii="Verdana" w:hAnsi="Verdana"/>
          <w:bCs/>
          <w:sz w:val="18"/>
          <w:szCs w:val="18"/>
        </w:rPr>
        <w:t>V</w:t>
      </w:r>
      <w:r w:rsidRPr="00C5308E">
        <w:rPr>
          <w:rFonts w:ascii="Verdana" w:hAnsi="Verdana"/>
          <w:bCs/>
          <w:sz w:val="18"/>
          <w:szCs w:val="18"/>
        </w:rPr>
        <w:t>oorjaarsnota 2025 is besloten om een forfaitaire loonkostensubsidie voor beschut werk in te voeren. Daarmee komt er per plek opnieuw bijna € 3.000 extra beschikbaar. In eerste instantie wordt dit toegevoegd aan de Rijksbijdrage beschut werk. Na aanpassing van de wet zal dit extra budget via het budget voor bijstand en loonkostensubsidies beschikbaar komen.</w:t>
      </w:r>
    </w:p>
    <w:p w:rsidRPr="00C5308E" w:rsidR="00844C2E" w:rsidP="00D87753" w:rsidRDefault="00844C2E" w14:paraId="06548C9C" w14:textId="77777777">
      <w:pPr>
        <w:spacing w:line="240" w:lineRule="auto"/>
        <w:contextualSpacing/>
        <w:rPr>
          <w:rFonts w:ascii="Verdana" w:hAnsi="Verdana"/>
          <w:bCs/>
          <w:sz w:val="18"/>
          <w:szCs w:val="18"/>
        </w:rPr>
      </w:pPr>
      <w:r w:rsidRPr="00C5308E">
        <w:rPr>
          <w:rFonts w:ascii="Verdana" w:hAnsi="Verdana"/>
          <w:bCs/>
          <w:sz w:val="18"/>
          <w:szCs w:val="18"/>
        </w:rPr>
        <w:t>Uit onderzoek blijkt daarnaast ook dat de verschillen tussen werk-ontwikkelbedrijven groot zijn. Zowel in hoe ze georganiseerd zijn als in hun financiële resultaten. Ook is er in veel regio’s nog geen duidelijke toekomstvisie vastgesteld. Dit beperkt de transitie en transformatie van de werk-ontwikkelbedrijven. Om dit te stimuleren is er vanuit het Rijk voor een periode van 10 jaar een impulsbudget beschikbaar gesteld, met daaraan gekoppeld onder meer een ondersteuningsprogramma.</w:t>
      </w:r>
    </w:p>
    <w:p w:rsidRPr="00C5308E" w:rsidR="00527AB7" w:rsidP="00D87753" w:rsidRDefault="00844C2E" w14:paraId="79F6D7F4" w14:textId="74A2EA73">
      <w:pPr>
        <w:spacing w:after="0" w:line="240" w:lineRule="auto"/>
        <w:contextualSpacing/>
        <w:rPr>
          <w:rFonts w:ascii="Verdana" w:hAnsi="Verdana"/>
          <w:bCs/>
          <w:sz w:val="18"/>
          <w:szCs w:val="18"/>
        </w:rPr>
      </w:pPr>
      <w:r w:rsidRPr="00C5308E">
        <w:rPr>
          <w:rFonts w:ascii="Verdana" w:hAnsi="Verdana"/>
          <w:bCs/>
          <w:sz w:val="18"/>
          <w:szCs w:val="18"/>
        </w:rPr>
        <w:t>Het budget voor de Wsw biedt elk jaar meer financiële ruimte (per werkplek), doordat de uitstroom van Wsw-ers aanzienlijk sneller verloopt dan waar in de raming en daarmee in het budget rekening mee is gehouden. Hierdoor is het niet de verwachting dat er tekorten zijn op het Wsw-budget. Maar ook dit zal per gemeente/regio verschillen.</w:t>
      </w:r>
    </w:p>
    <w:p w:rsidRPr="00C5308E" w:rsidR="00527AB7" w:rsidP="00D87753" w:rsidRDefault="00527AB7" w14:paraId="029AF5A6" w14:textId="77777777">
      <w:pPr>
        <w:spacing w:after="0" w:line="240" w:lineRule="auto"/>
        <w:contextualSpacing/>
        <w:rPr>
          <w:rFonts w:ascii="Verdana" w:hAnsi="Verdana"/>
          <w:bCs/>
          <w:sz w:val="18"/>
          <w:szCs w:val="18"/>
        </w:rPr>
      </w:pPr>
    </w:p>
    <w:p w:rsidRPr="00C5308E" w:rsidR="00844C2E" w:rsidP="00D87753" w:rsidRDefault="00844C2E" w14:paraId="696E915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174</w:t>
      </w:r>
    </w:p>
    <w:p w:rsidR="00844C2E" w:rsidP="00D87753" w:rsidRDefault="00844C2E" w14:paraId="51C9A89E" w14:textId="77777777">
      <w:pPr>
        <w:spacing w:line="240" w:lineRule="auto"/>
        <w:contextualSpacing/>
        <w:rPr>
          <w:rFonts w:ascii="Verdana" w:hAnsi="Verdana"/>
          <w:bCs/>
          <w:sz w:val="18"/>
          <w:szCs w:val="18"/>
        </w:rPr>
      </w:pPr>
      <w:r w:rsidRPr="00C5308E">
        <w:rPr>
          <w:rFonts w:ascii="Verdana" w:hAnsi="Verdana"/>
          <w:bCs/>
          <w:sz w:val="18"/>
          <w:szCs w:val="18"/>
        </w:rPr>
        <w:t>Hoeveel kost het om alle deelnemers van de werk-ontwikkelbedrijven onder de cao Sociale Werkvoorziening te laten vallen en de cao Aan de Slag! te laten vervallen?</w:t>
      </w:r>
    </w:p>
    <w:p w:rsidRPr="00C5308E" w:rsidR="00972542" w:rsidP="00D87753" w:rsidRDefault="00972542" w14:paraId="412CE5C8" w14:textId="77777777">
      <w:pPr>
        <w:spacing w:line="240" w:lineRule="auto"/>
        <w:contextualSpacing/>
        <w:rPr>
          <w:rFonts w:ascii="Verdana" w:hAnsi="Verdana"/>
          <w:bCs/>
          <w:sz w:val="18"/>
          <w:szCs w:val="18"/>
        </w:rPr>
      </w:pPr>
    </w:p>
    <w:p w:rsidRPr="00C5308E" w:rsidR="00844C2E" w:rsidP="00D87753" w:rsidRDefault="00844C2E" w14:paraId="40568738" w14:textId="77777777">
      <w:pPr>
        <w:spacing w:after="0" w:line="240" w:lineRule="auto"/>
        <w:contextualSpacing/>
        <w:rPr>
          <w:rFonts w:ascii="Verdana" w:hAnsi="Verdana"/>
          <w:bCs/>
          <w:sz w:val="18"/>
          <w:szCs w:val="18"/>
        </w:rPr>
      </w:pPr>
    </w:p>
    <w:p w:rsidRPr="00C5308E" w:rsidR="00844C2E" w:rsidP="00D87753" w:rsidRDefault="00844C2E" w14:paraId="528E56A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174</w:t>
      </w:r>
    </w:p>
    <w:p w:rsidRPr="00C5308E" w:rsidR="00844C2E" w:rsidP="00D87753" w:rsidRDefault="00844C2E" w14:paraId="399FCA78" w14:textId="77777777">
      <w:pPr>
        <w:spacing w:line="240" w:lineRule="auto"/>
        <w:contextualSpacing/>
        <w:rPr>
          <w:rFonts w:ascii="Verdana" w:hAnsi="Verdana"/>
          <w:bCs/>
          <w:sz w:val="18"/>
          <w:szCs w:val="18"/>
        </w:rPr>
      </w:pPr>
      <w:r w:rsidRPr="00C5308E">
        <w:rPr>
          <w:rFonts w:ascii="Verdana" w:hAnsi="Verdana"/>
          <w:bCs/>
          <w:sz w:val="18"/>
          <w:szCs w:val="18"/>
        </w:rPr>
        <w:t xml:space="preserve">Sociale partners gaan over het afsluiten van de cao’s. Daarbij bepalen sociale partners ook voor welke groepen zij welke cao afsluiten. Het kabinet heeft geen invloed op boven gestelde voorstel waarin de cao Aan de Slag vervangen wordt door de cao SW. </w:t>
      </w:r>
    </w:p>
    <w:p w:rsidRPr="00C5308E" w:rsidR="00844C2E" w:rsidP="00D87753" w:rsidRDefault="00844C2E" w14:paraId="42272A19" w14:textId="7C2A2DEA">
      <w:pPr>
        <w:spacing w:line="240" w:lineRule="auto"/>
        <w:contextualSpacing/>
        <w:rPr>
          <w:rFonts w:ascii="Verdana" w:hAnsi="Verdana"/>
          <w:bCs/>
          <w:sz w:val="18"/>
          <w:szCs w:val="18"/>
        </w:rPr>
      </w:pPr>
      <w:r w:rsidRPr="00C5308E">
        <w:rPr>
          <w:rFonts w:ascii="Verdana" w:hAnsi="Verdana"/>
          <w:bCs/>
          <w:sz w:val="18"/>
          <w:szCs w:val="18"/>
        </w:rPr>
        <w:t xml:space="preserve">Het is niet eenvoudig antwoord te geven op de vraag hoeveel de cao SW meer kost dan de cao Aan de Slag. Dit hangt namelijk sterk af van de schaal waar medewerkers vanuit de cao Aan de Slag in terechtkomen als zij overgaan naar de cao SW. Binnen de cao SW zijn schalen die redelijk vergelijkbaar zijn met de schalen in de cao Aan de Slag, maar ook schalen waarin medewerkers een aanzienlijk hoger loon (tot wel € 5.979) verdienen. </w:t>
      </w:r>
    </w:p>
    <w:p w:rsidRPr="00C5308E" w:rsidR="00844C2E" w:rsidP="00D87753" w:rsidRDefault="00844C2E" w14:paraId="7386C603" w14:textId="77777777">
      <w:pPr>
        <w:spacing w:line="240" w:lineRule="auto"/>
        <w:contextualSpacing/>
        <w:rPr>
          <w:rFonts w:ascii="Verdana" w:hAnsi="Verdana"/>
          <w:bCs/>
          <w:sz w:val="18"/>
          <w:szCs w:val="18"/>
        </w:rPr>
      </w:pPr>
      <w:r w:rsidRPr="00C5308E">
        <w:rPr>
          <w:rFonts w:ascii="Verdana" w:hAnsi="Verdana"/>
          <w:bCs/>
          <w:sz w:val="18"/>
          <w:szCs w:val="18"/>
        </w:rPr>
        <w:t xml:space="preserve">Naast (mogelijk) loon, is de eindejaarsuitkering een ander belangrijk verschil tussen de beide cao’s. In de cao Aan de Slag is geen eindejaarsuitkering opgenomen. In de cao SW is een eindejaarsuitkering van 3,75% opgenomen. </w:t>
      </w:r>
    </w:p>
    <w:p w:rsidRPr="00C5308E" w:rsidR="00844C2E" w:rsidP="00D87753" w:rsidRDefault="00844C2E" w14:paraId="1467657E" w14:textId="77777777">
      <w:pPr>
        <w:spacing w:line="240" w:lineRule="auto"/>
        <w:contextualSpacing/>
        <w:rPr>
          <w:rFonts w:ascii="Verdana" w:hAnsi="Verdana"/>
          <w:bCs/>
          <w:sz w:val="18"/>
          <w:szCs w:val="18"/>
        </w:rPr>
      </w:pPr>
      <w:r w:rsidRPr="00C5308E">
        <w:rPr>
          <w:rFonts w:ascii="Verdana" w:hAnsi="Verdana"/>
          <w:bCs/>
          <w:sz w:val="18"/>
          <w:szCs w:val="18"/>
        </w:rPr>
        <w:t xml:space="preserve">De kosten voor de cao Aan de Slag vallen daarmee in ieder geval 3,75% hoger uit wanneer deze cao vervangen wordt door de cao SW. </w:t>
      </w:r>
    </w:p>
    <w:p w:rsidRPr="00C5308E" w:rsidR="00844C2E" w:rsidP="00D87753" w:rsidRDefault="00844C2E" w14:paraId="2263CAFA" w14:textId="77777777">
      <w:pPr>
        <w:spacing w:after="0" w:line="240" w:lineRule="auto"/>
        <w:contextualSpacing/>
        <w:rPr>
          <w:rFonts w:ascii="Verdana" w:hAnsi="Verdana"/>
          <w:bCs/>
          <w:sz w:val="18"/>
          <w:szCs w:val="18"/>
        </w:rPr>
      </w:pPr>
    </w:p>
    <w:p w:rsidRPr="00C5308E" w:rsidR="009D4CE1" w:rsidP="00D87753" w:rsidRDefault="009D4CE1" w14:paraId="391B8AB2" w14:textId="77777777">
      <w:pPr>
        <w:spacing w:after="0" w:line="240" w:lineRule="auto"/>
        <w:contextualSpacing/>
        <w:rPr>
          <w:rFonts w:ascii="Verdana" w:hAnsi="Verdana"/>
          <w:bCs/>
          <w:sz w:val="18"/>
          <w:szCs w:val="18"/>
          <w:u w:val="single"/>
        </w:rPr>
      </w:pPr>
      <w:bookmarkStart w:name="_Hlk199152038" w:id="11"/>
      <w:r w:rsidRPr="00C5308E">
        <w:rPr>
          <w:rFonts w:ascii="Verdana" w:hAnsi="Verdana"/>
          <w:bCs/>
          <w:sz w:val="18"/>
          <w:szCs w:val="18"/>
          <w:u w:val="single"/>
        </w:rPr>
        <w:t>Vraag 175</w:t>
      </w:r>
    </w:p>
    <w:p w:rsidRPr="00C5308E" w:rsidR="009D4CE1" w:rsidP="00D87753" w:rsidRDefault="009D4CE1" w14:paraId="70A491F2" w14:textId="77777777">
      <w:pPr>
        <w:spacing w:after="0" w:line="240" w:lineRule="auto"/>
        <w:contextualSpacing/>
        <w:rPr>
          <w:rFonts w:ascii="Verdana" w:hAnsi="Verdana"/>
          <w:bCs/>
          <w:sz w:val="18"/>
          <w:szCs w:val="18"/>
        </w:rPr>
      </w:pPr>
      <w:r w:rsidRPr="00C5308E">
        <w:rPr>
          <w:rFonts w:ascii="Verdana" w:hAnsi="Verdana"/>
          <w:bCs/>
          <w:sz w:val="18"/>
          <w:szCs w:val="18"/>
        </w:rPr>
        <w:t>Hoeveel mensen wachten op dit moment op een keuring bij een keuringsarts van het UWV? Is dit aantal hoger of lager dan een jaar geleden?</w:t>
      </w:r>
    </w:p>
    <w:p w:rsidRPr="00C5308E" w:rsidR="009D4CE1" w:rsidP="00D87753" w:rsidRDefault="009D4CE1" w14:paraId="747FF576" w14:textId="77777777">
      <w:pPr>
        <w:spacing w:after="0" w:line="240" w:lineRule="auto"/>
        <w:contextualSpacing/>
        <w:rPr>
          <w:rFonts w:ascii="Verdana" w:hAnsi="Verdana"/>
          <w:bCs/>
          <w:sz w:val="18"/>
          <w:szCs w:val="18"/>
        </w:rPr>
      </w:pPr>
    </w:p>
    <w:p w:rsidRPr="00C5308E" w:rsidR="009D4CE1" w:rsidP="00D87753" w:rsidRDefault="009D4CE1" w14:paraId="6BF8962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175</w:t>
      </w:r>
    </w:p>
    <w:p w:rsidRPr="00C5308E" w:rsidR="009D4CE1" w:rsidP="00D87753" w:rsidRDefault="009D4CE1" w14:paraId="3AA4E109" w14:textId="7999DC89">
      <w:pPr>
        <w:spacing w:after="0" w:line="240" w:lineRule="auto"/>
        <w:contextualSpacing/>
        <w:rPr>
          <w:rFonts w:ascii="Verdana" w:hAnsi="Verdana"/>
          <w:bCs/>
          <w:sz w:val="18"/>
          <w:szCs w:val="18"/>
        </w:rPr>
      </w:pPr>
      <w:r w:rsidRPr="00C5308E">
        <w:rPr>
          <w:rFonts w:ascii="Verdana" w:hAnsi="Verdana"/>
          <w:bCs/>
          <w:sz w:val="18"/>
          <w:szCs w:val="18"/>
        </w:rPr>
        <w:t>Sinds april 2024 is er een stijging van het aantal WIA aanvragen. Deze stijging heeft niet alleen een effect op het aantal wachtende cliënten op een WIA-beoordeling. Ook het aantal wachtende cliënten op een herbeoordeling en Wajong-beoordeling neemt hierdoor toe.</w:t>
      </w:r>
    </w:p>
    <w:p w:rsidRPr="00C5308E" w:rsidR="009D4CE1" w:rsidP="00D87753" w:rsidRDefault="009D4CE1" w14:paraId="6259D6C8" w14:textId="77777777">
      <w:pPr>
        <w:spacing w:after="0" w:line="240" w:lineRule="auto"/>
        <w:contextualSpacing/>
        <w:rPr>
          <w:rFonts w:ascii="Verdana" w:hAnsi="Verdana"/>
          <w:bCs/>
          <w:sz w:val="18"/>
          <w:szCs w:val="18"/>
        </w:rPr>
      </w:pPr>
    </w:p>
    <w:p w:rsidRPr="00C5308E" w:rsidR="009D4CE1" w:rsidP="00D87753" w:rsidRDefault="009D4CE1" w14:paraId="2B919F8F" w14:textId="24567835">
      <w:pPr>
        <w:spacing w:after="0" w:line="240" w:lineRule="auto"/>
        <w:contextualSpacing/>
        <w:rPr>
          <w:rFonts w:ascii="Verdana" w:hAnsi="Verdana"/>
          <w:bCs/>
          <w:sz w:val="18"/>
          <w:szCs w:val="18"/>
        </w:rPr>
      </w:pPr>
      <w:r w:rsidRPr="00C5308E">
        <w:rPr>
          <w:rFonts w:ascii="Verdana" w:hAnsi="Verdana"/>
          <w:bCs/>
          <w:sz w:val="18"/>
          <w:szCs w:val="18"/>
        </w:rPr>
        <w:t>Eind april 2025 wachten bijna 33 duizend mensen op een WIA-beoordeling; dat zijn er bijna 6 duizend meer dan eind april 2024. Van deze 33 duizend mensen wachten e</w:t>
      </w:r>
      <w:r w:rsidRPr="00C5308E" w:rsidR="00E706BE">
        <w:rPr>
          <w:rFonts w:ascii="Verdana" w:hAnsi="Verdana"/>
          <w:bCs/>
          <w:sz w:val="18"/>
          <w:szCs w:val="18"/>
        </w:rPr>
        <w:t>r</w:t>
      </w:r>
      <w:r w:rsidRPr="00C5308E">
        <w:rPr>
          <w:rFonts w:ascii="Verdana" w:hAnsi="Verdana"/>
          <w:bCs/>
          <w:sz w:val="18"/>
          <w:szCs w:val="18"/>
        </w:rPr>
        <w:t xml:space="preserve"> 18 duizend langer dan de geldende beslistermijn van 8 weken; vorig jaar waren dat er 14 duizend. Ook wachten er bijna 29 duizend mensen op een herbeoordeling (zowel professioneel als vraaggestuurd) tegenover ruim 23 duizend vorig jaar. Eind april wachten er 2.300 mensen op een Wajong-beoordeling, waarvan er bijna 700 langer wachten dan de beslistermijn. Vorig jaar wachtten er 2000 mensen op een Wajong beoordeling waarvan bijna 500 langer dan de beslistermijn. </w:t>
      </w:r>
    </w:p>
    <w:bookmarkEnd w:id="11"/>
    <w:p w:rsidRPr="00C5308E" w:rsidR="009D4CE1" w:rsidP="00D87753" w:rsidRDefault="009D4CE1" w14:paraId="55C75CD5" w14:textId="77777777">
      <w:pPr>
        <w:spacing w:after="0" w:line="240" w:lineRule="auto"/>
        <w:contextualSpacing/>
        <w:rPr>
          <w:rFonts w:ascii="Verdana" w:hAnsi="Verdana"/>
          <w:bCs/>
          <w:sz w:val="18"/>
          <w:szCs w:val="18"/>
        </w:rPr>
      </w:pPr>
    </w:p>
    <w:p w:rsidRPr="00C5308E" w:rsidR="009D4CE1" w:rsidP="00D87753" w:rsidRDefault="009D4CE1" w14:paraId="18BD3811" w14:textId="77777777">
      <w:pPr>
        <w:spacing w:after="0" w:line="240" w:lineRule="auto"/>
        <w:contextualSpacing/>
        <w:rPr>
          <w:rFonts w:ascii="Verdana" w:hAnsi="Verdana"/>
          <w:bCs/>
          <w:sz w:val="18"/>
          <w:szCs w:val="18"/>
          <w:u w:val="single"/>
        </w:rPr>
      </w:pPr>
      <w:bookmarkStart w:name="_Hlk199152048" w:id="12"/>
      <w:r w:rsidRPr="00C5308E">
        <w:rPr>
          <w:rFonts w:ascii="Verdana" w:hAnsi="Verdana"/>
          <w:bCs/>
          <w:sz w:val="18"/>
          <w:szCs w:val="18"/>
          <w:u w:val="single"/>
        </w:rPr>
        <w:t>Vraag 176</w:t>
      </w:r>
    </w:p>
    <w:p w:rsidRPr="00C5308E" w:rsidR="009D4CE1" w:rsidP="00D87753" w:rsidRDefault="009D4CE1" w14:paraId="2E1C9BB3" w14:textId="77777777">
      <w:pPr>
        <w:spacing w:after="0" w:line="240" w:lineRule="auto"/>
        <w:contextualSpacing/>
        <w:rPr>
          <w:rFonts w:ascii="Verdana" w:hAnsi="Verdana"/>
          <w:bCs/>
          <w:sz w:val="18"/>
          <w:szCs w:val="18"/>
        </w:rPr>
      </w:pPr>
      <w:r w:rsidRPr="00C5308E">
        <w:rPr>
          <w:rFonts w:ascii="Verdana" w:hAnsi="Verdana"/>
          <w:bCs/>
          <w:sz w:val="18"/>
          <w:szCs w:val="18"/>
        </w:rPr>
        <w:t>Hoeveel bezwaren liggen er op dit moment tegen een keuring van een keuringsarts?</w:t>
      </w:r>
    </w:p>
    <w:p w:rsidRPr="00C5308E" w:rsidR="009D4CE1" w:rsidP="00D87753" w:rsidRDefault="009D4CE1" w14:paraId="1A8DEC5C" w14:textId="77777777">
      <w:pPr>
        <w:spacing w:after="0" w:line="240" w:lineRule="auto"/>
        <w:contextualSpacing/>
        <w:rPr>
          <w:rFonts w:ascii="Verdana" w:hAnsi="Verdana"/>
          <w:bCs/>
          <w:sz w:val="18"/>
          <w:szCs w:val="18"/>
        </w:rPr>
      </w:pPr>
    </w:p>
    <w:p w:rsidRPr="00C5308E" w:rsidR="009D4CE1" w:rsidP="00D87753" w:rsidRDefault="009D4CE1" w14:paraId="51B1401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176</w:t>
      </w:r>
    </w:p>
    <w:p w:rsidRPr="00C5308E" w:rsidR="009D4CE1" w:rsidP="00D87753" w:rsidRDefault="009D4CE1" w14:paraId="17F494D0" w14:textId="77777777">
      <w:pPr>
        <w:spacing w:after="0" w:line="240" w:lineRule="auto"/>
        <w:contextualSpacing/>
        <w:rPr>
          <w:rFonts w:ascii="Verdana" w:hAnsi="Verdana"/>
          <w:bCs/>
          <w:sz w:val="18"/>
          <w:szCs w:val="18"/>
        </w:rPr>
      </w:pPr>
      <w:r w:rsidRPr="00C5308E">
        <w:rPr>
          <w:rFonts w:ascii="Verdana" w:hAnsi="Verdana"/>
          <w:bCs/>
          <w:sz w:val="18"/>
          <w:szCs w:val="18"/>
        </w:rPr>
        <w:t>Op dit moment liggen er ruim 19 duizend medische bezwaarzaken.</w:t>
      </w:r>
      <w:bookmarkEnd w:id="12"/>
    </w:p>
    <w:p w:rsidRPr="00C5308E" w:rsidR="009D4CE1" w:rsidP="00D87753" w:rsidRDefault="009D4CE1" w14:paraId="0A9796BE" w14:textId="77777777">
      <w:pPr>
        <w:spacing w:after="0" w:line="240" w:lineRule="auto"/>
        <w:contextualSpacing/>
        <w:rPr>
          <w:rFonts w:ascii="Verdana" w:hAnsi="Verdana"/>
          <w:bCs/>
          <w:sz w:val="18"/>
          <w:szCs w:val="18"/>
        </w:rPr>
      </w:pPr>
    </w:p>
    <w:p w:rsidRPr="00C5308E" w:rsidR="00EB30B0" w:rsidP="00D87753" w:rsidRDefault="00EB30B0" w14:paraId="297B4C7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177</w:t>
      </w:r>
    </w:p>
    <w:p w:rsidRPr="00C5308E" w:rsidR="00EB30B0" w:rsidP="00D87753" w:rsidRDefault="00EB30B0" w14:paraId="7A326F49" w14:textId="77777777">
      <w:pPr>
        <w:spacing w:line="240" w:lineRule="auto"/>
        <w:contextualSpacing/>
        <w:rPr>
          <w:rFonts w:ascii="Verdana" w:hAnsi="Verdana"/>
          <w:bCs/>
          <w:sz w:val="18"/>
          <w:szCs w:val="18"/>
        </w:rPr>
      </w:pPr>
      <w:r w:rsidRPr="00C5308E">
        <w:rPr>
          <w:rFonts w:ascii="Verdana" w:hAnsi="Verdana"/>
          <w:bCs/>
          <w:sz w:val="18"/>
          <w:szCs w:val="18"/>
        </w:rPr>
        <w:t>Wat is de maandelijkse achteruitgang voor werknemers met een arbeidsbeperking, uitgaande van minimumloon en parttime werk door het ingevoerde Belastingplan? Wat is er financieel voor nodig om deze achteruitgang op te lossen? Welke oplossingen zijn er om financiële achteruitgang te compenseren?</w:t>
      </w:r>
    </w:p>
    <w:p w:rsidRPr="00C5308E" w:rsidR="00EB30B0" w:rsidP="00D87753" w:rsidRDefault="00EB30B0" w14:paraId="7BE44AD6" w14:textId="77777777">
      <w:pPr>
        <w:spacing w:line="240" w:lineRule="auto"/>
        <w:contextualSpacing/>
        <w:rPr>
          <w:rFonts w:ascii="Verdana" w:hAnsi="Verdana"/>
          <w:bCs/>
          <w:sz w:val="18"/>
          <w:szCs w:val="18"/>
        </w:rPr>
      </w:pPr>
    </w:p>
    <w:p w:rsidRPr="00C5308E" w:rsidR="00EB30B0" w:rsidP="00D87753" w:rsidRDefault="00EB30B0" w14:paraId="0017F5B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177</w:t>
      </w:r>
    </w:p>
    <w:p w:rsidRPr="00C5308E" w:rsidR="00EB30B0" w:rsidP="00D87753" w:rsidRDefault="00EB30B0" w14:paraId="323B598F" w14:textId="28D075BD">
      <w:pPr>
        <w:spacing w:line="240" w:lineRule="auto"/>
        <w:contextualSpacing/>
        <w:rPr>
          <w:rFonts w:ascii="Verdana" w:hAnsi="Verdana"/>
          <w:bCs/>
          <w:sz w:val="18"/>
          <w:szCs w:val="18"/>
        </w:rPr>
      </w:pPr>
      <w:r w:rsidRPr="00C5308E">
        <w:rPr>
          <w:rFonts w:ascii="Verdana" w:hAnsi="Verdana"/>
          <w:bCs/>
          <w:sz w:val="18"/>
          <w:szCs w:val="18"/>
        </w:rPr>
        <w:t xml:space="preserve">Het is goed om te benadrukken dat er in het Belastingplan geen maatregelen zaten die anders uitpakken voor werknemers met een arbeidsbeperking dan voor werknemers zonder arbeidsbeperking. Met het Belastingplan is de maximale algemene heffingskorting (AHK) verlaagd. Daarnaast is het tarief in de eerste schijf van box 1 verlaagd. Voor mensen met een inkomen vanaf ongeveer € 26.000 weegt het voordeel van het lagere schijftarief op tegen het nadeel van de lagere AHK. De groep belastingplichtigen met een inkomen lager dan € 26.000 ondervindt per saldo nadeel van de maatregelen. Dit nadeel is groter naarmate het inkomen lager is, en bedraagt maximaal ongeveer € 185 per jaar, ofwel ongeveer € 15 per maand. </w:t>
      </w:r>
    </w:p>
    <w:p w:rsidRPr="00C5308E" w:rsidR="00EB30B0" w:rsidP="00D87753" w:rsidRDefault="00EB30B0" w14:paraId="29E78D22" w14:textId="604198BE">
      <w:pPr>
        <w:spacing w:line="240" w:lineRule="auto"/>
        <w:contextualSpacing/>
        <w:rPr>
          <w:rFonts w:ascii="Verdana" w:hAnsi="Verdana"/>
          <w:bCs/>
          <w:sz w:val="18"/>
          <w:szCs w:val="18"/>
        </w:rPr>
      </w:pPr>
      <w:r w:rsidRPr="00C5308E">
        <w:rPr>
          <w:rFonts w:ascii="Verdana" w:hAnsi="Verdana"/>
          <w:bCs/>
          <w:sz w:val="18"/>
          <w:szCs w:val="18"/>
        </w:rPr>
        <w:t xml:space="preserve">Los van de maatregelen uit het Belastingplan geldt dat mensen nadeel kunnen ondervinden als er geen loonstijging heeft plaatsgevonden. Dit geldt voor een deel van de medewerkers bij sociaal ontwikkelbedrijven die in 2025 in sommige gevallen (40%) een lager netto-inkomen hebben dan in 2024. Dit werkt met name door in de hoogte van de arbeidskorting. De grenzen in de arbeidskorting worden jaarlijks geïndexeerd. Als het inkomen constant blijft van het ene op het andere jaar, dan daalt het recht op arbeidskorting als je in het opbouwtraject van de arbeidskorting zit. Dit effect is het sterkst tussen ongeveer € 12.000 en € 26.000. Het nadeel kan oplopen tot maximaal ongeveer € 32 per maand. Dit is echter geen gevolg van maatregelen uit het Belastingplan. </w:t>
      </w:r>
    </w:p>
    <w:p w:rsidRPr="00C5308E" w:rsidR="00EB30B0" w:rsidP="00D87753" w:rsidRDefault="00EB30B0" w14:paraId="331E0BB9" w14:textId="06CCB2AA">
      <w:pPr>
        <w:spacing w:line="240" w:lineRule="auto"/>
        <w:contextualSpacing/>
        <w:rPr>
          <w:rFonts w:ascii="Verdana" w:hAnsi="Verdana"/>
          <w:bCs/>
          <w:sz w:val="18"/>
          <w:szCs w:val="18"/>
        </w:rPr>
      </w:pPr>
      <w:bookmarkStart w:name="_Hlk199145340" w:id="13"/>
      <w:r w:rsidRPr="00C5308E">
        <w:rPr>
          <w:rFonts w:ascii="Verdana" w:hAnsi="Verdana"/>
          <w:bCs/>
          <w:sz w:val="18"/>
          <w:szCs w:val="18"/>
        </w:rPr>
        <w:t xml:space="preserve">Daar staat tegenover dat per 2025 ook de huurtoeslag en het kindgebonden budget verhoogd zijn. Of de betreffende werknemers hiervan profiteren hangt af van de individuele situatie. Het is dan </w:t>
      </w:r>
      <w:r w:rsidRPr="00C5308E">
        <w:rPr>
          <w:rFonts w:ascii="Verdana" w:hAnsi="Verdana"/>
          <w:bCs/>
          <w:sz w:val="18"/>
          <w:szCs w:val="18"/>
        </w:rPr>
        <w:lastRenderedPageBreak/>
        <w:t xml:space="preserve">ook niet eenduidig te zeggen hoeveel ervoor nodig is om </w:t>
      </w:r>
      <w:r w:rsidRPr="00C5308E" w:rsidR="00C468F0">
        <w:rPr>
          <w:rFonts w:ascii="Verdana" w:hAnsi="Verdana"/>
          <w:bCs/>
          <w:sz w:val="18"/>
          <w:szCs w:val="18"/>
        </w:rPr>
        <w:t>een</w:t>
      </w:r>
      <w:r w:rsidRPr="00C5308E">
        <w:rPr>
          <w:rFonts w:ascii="Verdana" w:hAnsi="Verdana"/>
          <w:bCs/>
          <w:sz w:val="18"/>
          <w:szCs w:val="18"/>
        </w:rPr>
        <w:t xml:space="preserve"> eventuele achteruitgang te compenseren. Daarnaast ontvangen mensen met een inkomen onder het sociaal minimum een aanvulling tot het sociaal minimum. De groep die een nadeel ondervindt, zou het meest gebaat zijn geweest bij een verhoging van het</w:t>
      </w:r>
      <w:r w:rsidRPr="00C5308E" w:rsidR="00C468F0">
        <w:rPr>
          <w:rFonts w:ascii="Verdana" w:hAnsi="Verdana"/>
          <w:bCs/>
          <w:sz w:val="18"/>
          <w:szCs w:val="18"/>
        </w:rPr>
        <w:t xml:space="preserve"> cao</w:t>
      </w:r>
      <w:r w:rsidRPr="00C5308E">
        <w:rPr>
          <w:rFonts w:ascii="Verdana" w:hAnsi="Verdana"/>
          <w:bCs/>
          <w:sz w:val="18"/>
          <w:szCs w:val="18"/>
        </w:rPr>
        <w:t xml:space="preserve">-loon. </w:t>
      </w:r>
    </w:p>
    <w:bookmarkEnd w:id="13"/>
    <w:p w:rsidRPr="00560DA6" w:rsidR="0052736B" w:rsidP="0052736B" w:rsidRDefault="0052736B" w14:paraId="7BE2C85B" w14:textId="66792880">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250847" w:rsidP="00D87753" w:rsidRDefault="00250847" w14:paraId="43C90E82" w14:textId="77777777">
      <w:pPr>
        <w:spacing w:after="0" w:line="240" w:lineRule="auto"/>
        <w:contextualSpacing/>
        <w:rPr>
          <w:rFonts w:ascii="Verdana" w:hAnsi="Verdana"/>
          <w:bCs/>
          <w:sz w:val="18"/>
          <w:szCs w:val="18"/>
          <w:u w:val="single"/>
        </w:rPr>
      </w:pPr>
    </w:p>
    <w:p w:rsidRPr="00C5308E" w:rsidR="00EB30B0" w:rsidP="00D87753" w:rsidRDefault="00EB30B0" w14:paraId="0170E946" w14:textId="45F0D931">
      <w:pPr>
        <w:spacing w:after="0" w:line="240" w:lineRule="auto"/>
        <w:contextualSpacing/>
        <w:rPr>
          <w:rFonts w:ascii="Verdana" w:hAnsi="Verdana"/>
          <w:bCs/>
          <w:sz w:val="18"/>
          <w:szCs w:val="18"/>
          <w:u w:val="single"/>
        </w:rPr>
      </w:pPr>
      <w:r w:rsidRPr="00C5308E">
        <w:rPr>
          <w:rFonts w:ascii="Verdana" w:hAnsi="Verdana"/>
          <w:bCs/>
          <w:sz w:val="18"/>
          <w:szCs w:val="18"/>
          <w:u w:val="single"/>
        </w:rPr>
        <w:t>Vraag 178</w:t>
      </w:r>
    </w:p>
    <w:p w:rsidRPr="00C5308E" w:rsidR="00EB30B0" w:rsidP="00D87753" w:rsidRDefault="00EB30B0" w14:paraId="63B1C665" w14:textId="77777777">
      <w:pPr>
        <w:spacing w:line="240" w:lineRule="auto"/>
        <w:contextualSpacing/>
        <w:rPr>
          <w:rFonts w:ascii="Verdana" w:hAnsi="Verdana"/>
          <w:bCs/>
          <w:sz w:val="18"/>
          <w:szCs w:val="18"/>
        </w:rPr>
      </w:pPr>
      <w:r w:rsidRPr="00C5308E">
        <w:rPr>
          <w:rFonts w:ascii="Verdana" w:hAnsi="Verdana"/>
          <w:bCs/>
          <w:sz w:val="18"/>
          <w:szCs w:val="18"/>
        </w:rPr>
        <w:t>Wat is de achteruitgang voor medewerkers in hun vakantiegeld door het ingevoerde Belastingplan? Wat is er financieel voor nodig om deze achteruitgang op te lossen? Welke oplossingen zijn er om financiële achteruitgang te compenseren?</w:t>
      </w:r>
    </w:p>
    <w:p w:rsidRPr="00C5308E" w:rsidR="00250847" w:rsidP="00D87753" w:rsidRDefault="00250847" w14:paraId="51E841C9" w14:textId="77777777">
      <w:pPr>
        <w:spacing w:after="0" w:line="240" w:lineRule="auto"/>
        <w:contextualSpacing/>
        <w:rPr>
          <w:rFonts w:ascii="Verdana" w:hAnsi="Verdana"/>
          <w:bCs/>
          <w:sz w:val="18"/>
          <w:szCs w:val="18"/>
          <w:u w:val="single"/>
        </w:rPr>
      </w:pPr>
    </w:p>
    <w:p w:rsidRPr="00C5308E" w:rsidR="00EB30B0" w:rsidP="00D87753" w:rsidRDefault="00EB30B0" w14:paraId="3614F1BA" w14:textId="3E90BE7B">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178</w:t>
      </w:r>
    </w:p>
    <w:p w:rsidRPr="00C5308E" w:rsidR="00EB30B0" w:rsidP="00D87753" w:rsidRDefault="00EB30B0" w14:paraId="5C8A3420" w14:textId="77777777">
      <w:pPr>
        <w:spacing w:line="240" w:lineRule="auto"/>
        <w:contextualSpacing/>
        <w:rPr>
          <w:rFonts w:ascii="Verdana" w:hAnsi="Verdana"/>
          <w:bCs/>
          <w:sz w:val="18"/>
          <w:szCs w:val="18"/>
        </w:rPr>
      </w:pPr>
      <w:bookmarkStart w:name="_Hlk199164568" w:id="14"/>
      <w:r w:rsidRPr="00C5308E">
        <w:rPr>
          <w:rFonts w:ascii="Verdana" w:hAnsi="Verdana"/>
          <w:bCs/>
          <w:sz w:val="18"/>
          <w:szCs w:val="18"/>
        </w:rPr>
        <w:t xml:space="preserve">Het vakantiegeld is onderdeel van het inkomen dat belast wordt in box 1. Het Belastingplan heeft dan ook geen ander effect op het vakantiegeld dan op het reguliere looninkomen. In de loonheffing wordt het vakantiegeld voor iedereen belast volgens de tabel bijzondere beloningen. Voor het inhoudingspercentage in die tabel is de marginale belastingdruk van belang. Het Belastingplan zorgt voor beperkte wijzigingen in de marginale belastingdruk. Het tarief in de eerste schijf is verlaagd met ruim één procentpunt, dat resulteert in een lager inhoudingspercentage. Daarnaast is het tarief in de tweede schijf met ongeveer 0,5 procentpunt verhoogd en is de afbouw van de AHK steiler geworden door het verschuiven van het afbouwpunt. Dit zorgt voor een wat hoger inhoudingspercentage. </w:t>
      </w:r>
    </w:p>
    <w:p w:rsidRPr="00C5308E" w:rsidR="00EB30B0" w:rsidP="00D87753" w:rsidRDefault="00EB30B0" w14:paraId="0E9B6CFF" w14:textId="6B55477A">
      <w:pPr>
        <w:spacing w:line="240" w:lineRule="auto"/>
        <w:contextualSpacing/>
        <w:rPr>
          <w:rFonts w:ascii="Verdana" w:hAnsi="Verdana"/>
          <w:bCs/>
          <w:sz w:val="18"/>
          <w:szCs w:val="18"/>
        </w:rPr>
      </w:pPr>
      <w:r w:rsidRPr="00C5308E">
        <w:rPr>
          <w:rFonts w:ascii="Verdana" w:hAnsi="Verdana"/>
          <w:bCs/>
          <w:sz w:val="18"/>
          <w:szCs w:val="18"/>
        </w:rPr>
        <w:t>Zoals elk jaar speelt indexatie van de inkomensgrenzen in de tabel bijzondere beloningen ook nog een rol. Als het inkomen van een belastingplichtige constant blijft, dan kan dat inkomen in 2025 net in een andere schijf van de tabel bijzondere beloningen vallen dan dat in 2024 het geval was. Hierdoor kan een hoger of lager inhoudingspercentage gaan gelden. Dit is echter geen gevolg van het Belastingplan.</w:t>
      </w:r>
      <w:bookmarkEnd w:id="14"/>
    </w:p>
    <w:p w:rsidRPr="00560DA6" w:rsidR="0052736B" w:rsidP="0052736B" w:rsidRDefault="0052736B" w14:paraId="14D6BCD9" w14:textId="59B23A01">
      <w:pPr>
        <w:spacing w:after="0" w:line="240" w:lineRule="auto"/>
        <w:contextualSpacing/>
        <w:rPr>
          <w:rFonts w:ascii="Verdana" w:hAnsi="Verdana"/>
          <w:bCs/>
          <w:sz w:val="18"/>
          <w:szCs w:val="18"/>
        </w:rPr>
      </w:pPr>
      <w:r w:rsidRPr="00560DA6">
        <w:rPr>
          <w:rFonts w:ascii="Verdana" w:hAnsi="Verdana"/>
          <w:bCs/>
          <w:sz w:val="18"/>
          <w:szCs w:val="18"/>
        </w:rPr>
        <w:t xml:space="preserve">Deze vraag is door het ministerie van Financiën beantwoord, voor vervolgvragen verwijzen wij u graag naar </w:t>
      </w:r>
      <w:r w:rsidRPr="00560DA6" w:rsidR="00F52087">
        <w:rPr>
          <w:rFonts w:ascii="Verdana" w:hAnsi="Verdana"/>
          <w:bCs/>
          <w:sz w:val="18"/>
          <w:szCs w:val="18"/>
        </w:rPr>
        <w:t>de minister van Financiën</w:t>
      </w:r>
      <w:r w:rsidRPr="00560DA6">
        <w:rPr>
          <w:rFonts w:ascii="Verdana" w:hAnsi="Verdana"/>
          <w:bCs/>
          <w:sz w:val="18"/>
          <w:szCs w:val="18"/>
        </w:rPr>
        <w:t>.</w:t>
      </w:r>
    </w:p>
    <w:p w:rsidRPr="00C5308E" w:rsidR="00CB044F" w:rsidP="00D87753" w:rsidRDefault="00CB044F" w14:paraId="40348230" w14:textId="77777777">
      <w:pPr>
        <w:spacing w:after="0" w:line="240" w:lineRule="auto"/>
        <w:contextualSpacing/>
        <w:rPr>
          <w:rFonts w:ascii="Verdana" w:hAnsi="Verdana"/>
          <w:bCs/>
          <w:sz w:val="18"/>
          <w:szCs w:val="18"/>
        </w:rPr>
      </w:pPr>
    </w:p>
    <w:p w:rsidRPr="00C5308E" w:rsidR="00E97B61" w:rsidP="00D87753" w:rsidRDefault="00E97B61" w14:paraId="5CA7DBD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179</w:t>
      </w:r>
    </w:p>
    <w:p w:rsidRPr="00C5308E" w:rsidR="00E97B61" w:rsidP="00D87753" w:rsidRDefault="00E97B61" w14:paraId="2EAA0F9D"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het minimumloon te verhogen met 10% vanaf 1 januari 2026?</w:t>
      </w:r>
    </w:p>
    <w:p w:rsidRPr="00C5308E" w:rsidR="00E97B61" w:rsidP="00D87753" w:rsidRDefault="00E97B61" w14:paraId="4D25D692" w14:textId="77777777">
      <w:pPr>
        <w:spacing w:after="0" w:line="240" w:lineRule="auto"/>
        <w:contextualSpacing/>
        <w:rPr>
          <w:rFonts w:ascii="Verdana" w:hAnsi="Verdana"/>
          <w:bCs/>
          <w:sz w:val="18"/>
          <w:szCs w:val="18"/>
        </w:rPr>
      </w:pPr>
    </w:p>
    <w:p w:rsidRPr="00C5308E" w:rsidR="00E97B61" w:rsidP="00D87753" w:rsidRDefault="00E97B61" w14:paraId="3FA5856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179</w:t>
      </w:r>
    </w:p>
    <w:p w:rsidRPr="00C5308E" w:rsidR="00E97B61" w:rsidP="00D87753" w:rsidRDefault="00E97B61" w14:paraId="4BFB2BD0" w14:textId="77777777">
      <w:pPr>
        <w:spacing w:after="0" w:line="240" w:lineRule="auto"/>
        <w:contextualSpacing/>
        <w:rPr>
          <w:rFonts w:ascii="Verdana" w:hAnsi="Verdana"/>
          <w:bCs/>
          <w:sz w:val="18"/>
          <w:szCs w:val="18"/>
        </w:rPr>
      </w:pPr>
      <w:r w:rsidRPr="00C5308E">
        <w:rPr>
          <w:rFonts w:ascii="Verdana" w:hAnsi="Verdana"/>
          <w:bCs/>
          <w:sz w:val="18"/>
          <w:szCs w:val="18"/>
        </w:rPr>
        <w:t>Een bijzondere verhoging van het wettelijk minimumloon per 1 januari 2026 is niet meer uitvoerbaar. Een verhoging van het minimumloon vergt een wetswijziging. Dit kost normaliter anderhalf tot twee jaar. Rekening houdend met de duur van een wetstraject kan het minimumloon per 1 januari 2027 worden verhoogd.</w:t>
      </w:r>
    </w:p>
    <w:p w:rsidRPr="00C5308E" w:rsidR="00E97B61" w:rsidP="00D87753" w:rsidRDefault="00E97B61" w14:paraId="7DCCA645" w14:textId="77777777">
      <w:pPr>
        <w:spacing w:after="0" w:line="240" w:lineRule="auto"/>
        <w:contextualSpacing/>
        <w:rPr>
          <w:rFonts w:ascii="Verdana" w:hAnsi="Verdana"/>
          <w:bCs/>
          <w:sz w:val="18"/>
          <w:szCs w:val="18"/>
        </w:rPr>
      </w:pPr>
    </w:p>
    <w:p w:rsidRPr="00C5308E" w:rsidR="00E97B61" w:rsidP="00D87753" w:rsidRDefault="00E97B61" w14:paraId="2F13B1DC" w14:textId="77777777">
      <w:pPr>
        <w:spacing w:after="0" w:line="240" w:lineRule="auto"/>
        <w:contextualSpacing/>
        <w:rPr>
          <w:rFonts w:ascii="Verdana" w:hAnsi="Verdana"/>
          <w:bCs/>
          <w:sz w:val="18"/>
          <w:szCs w:val="18"/>
        </w:rPr>
      </w:pPr>
      <w:r w:rsidRPr="00C5308E">
        <w:rPr>
          <w:rFonts w:ascii="Verdana" w:hAnsi="Verdana"/>
          <w:bCs/>
          <w:sz w:val="18"/>
          <w:szCs w:val="18"/>
        </w:rPr>
        <w:t>Een bijzondere verhoging van het wettelijk minimumloon met 10% kost structureel ongeveer € 8,3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C5308E" w:rsidR="00CB044F" w:rsidP="00D87753" w:rsidRDefault="00CB044F" w14:paraId="25569798" w14:textId="77777777">
      <w:pPr>
        <w:spacing w:after="0" w:line="240" w:lineRule="auto"/>
        <w:contextualSpacing/>
        <w:rPr>
          <w:rFonts w:ascii="Verdana" w:hAnsi="Verdana"/>
          <w:bCs/>
          <w:sz w:val="18"/>
          <w:szCs w:val="18"/>
        </w:rPr>
      </w:pPr>
    </w:p>
    <w:p w:rsidRPr="00C5308E" w:rsidR="00CB044F" w:rsidP="00D87753" w:rsidRDefault="00CB044F" w14:paraId="36B10CA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180</w:t>
      </w:r>
    </w:p>
    <w:p w:rsidRPr="00C5308E" w:rsidR="00CB044F" w:rsidP="00D87753" w:rsidRDefault="00CB044F" w14:paraId="413F9140"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de reële koopkracht uitgesplitst in 2026, 2027 en 2028 van het verhogen van het minimumloon met 10%, daarbij de verschillende inflatiescenario’s, tenminste bevattende een aanhoudende jaargemiddelde inflatie van 2%, 5%, 7,5% en 10%, in acht nemend?</w:t>
      </w:r>
    </w:p>
    <w:p w:rsidRPr="00C5308E" w:rsidR="00CB044F" w:rsidP="00D87753" w:rsidRDefault="00CB044F" w14:paraId="203ADB49" w14:textId="77777777">
      <w:pPr>
        <w:spacing w:after="0" w:line="240" w:lineRule="auto"/>
        <w:contextualSpacing/>
        <w:rPr>
          <w:rFonts w:ascii="Verdana" w:hAnsi="Verdana"/>
          <w:bCs/>
          <w:sz w:val="18"/>
          <w:szCs w:val="18"/>
          <w:u w:val="single"/>
        </w:rPr>
      </w:pPr>
    </w:p>
    <w:p w:rsidRPr="00C5308E" w:rsidR="00CB044F" w:rsidP="00D87753" w:rsidRDefault="00CB044F" w14:paraId="0CFB4F79" w14:textId="77777777">
      <w:pPr>
        <w:spacing w:after="0" w:line="240" w:lineRule="auto"/>
        <w:contextualSpacing/>
        <w:rPr>
          <w:rFonts w:ascii="Verdana" w:hAnsi="Verdana"/>
          <w:bCs/>
          <w:sz w:val="18"/>
          <w:szCs w:val="18"/>
          <w:u w:val="single"/>
        </w:rPr>
      </w:pPr>
      <w:bookmarkStart w:name="_Hlk199175047" w:id="15"/>
      <w:r w:rsidRPr="00C5308E">
        <w:rPr>
          <w:rFonts w:ascii="Verdana" w:hAnsi="Verdana"/>
          <w:bCs/>
          <w:sz w:val="18"/>
          <w:szCs w:val="18"/>
          <w:u w:val="single"/>
        </w:rPr>
        <w:t>Antwoord 180</w:t>
      </w:r>
    </w:p>
    <w:bookmarkEnd w:id="15"/>
    <w:p w:rsidRPr="00C5308E" w:rsidR="00CB044F" w:rsidP="00D87753" w:rsidRDefault="00CB044F" w14:paraId="2024812B" w14:textId="2B5380A7">
      <w:pPr>
        <w:spacing w:after="0" w:line="240" w:lineRule="auto"/>
        <w:contextualSpacing/>
        <w:rPr>
          <w:rFonts w:ascii="Verdana" w:hAnsi="Verdana"/>
          <w:bCs/>
          <w:sz w:val="18"/>
          <w:szCs w:val="18"/>
        </w:rPr>
      </w:pPr>
      <w:r w:rsidRPr="00C5308E">
        <w:rPr>
          <w:rFonts w:ascii="Verdana" w:hAnsi="Verdana"/>
          <w:bCs/>
          <w:sz w:val="18"/>
          <w:szCs w:val="18"/>
        </w:rPr>
        <w:t xml:space="preserve">Een bijzondere verhoging van het wettelijk minimumloon per 1 januari 2026 is niet meer uitvoerbaar. Een verhoging van het minimumloon vergt een wetswijziging. Dit kost normaliter anderhalf tot twee jaar. Rekening houdend met de duur van een wetstraject kan het minimumloon </w:t>
      </w:r>
      <w:r w:rsidRPr="00C5308E" w:rsidR="00C468F0">
        <w:rPr>
          <w:rFonts w:ascii="Verdana" w:hAnsi="Verdana"/>
          <w:bCs/>
          <w:sz w:val="18"/>
          <w:szCs w:val="18"/>
        </w:rPr>
        <w:t xml:space="preserve">op zijn vroegst </w:t>
      </w:r>
      <w:r w:rsidRPr="00C5308E">
        <w:rPr>
          <w:rFonts w:ascii="Verdana" w:hAnsi="Verdana"/>
          <w:bCs/>
          <w:sz w:val="18"/>
          <w:szCs w:val="18"/>
        </w:rPr>
        <w:t>per 1 januari 2027 worden verhoogd.</w:t>
      </w:r>
    </w:p>
    <w:p w:rsidRPr="00C5308E" w:rsidR="00CB044F" w:rsidP="00D87753" w:rsidRDefault="00CB044F" w14:paraId="337C088B" w14:textId="77777777">
      <w:pPr>
        <w:spacing w:after="0" w:line="240" w:lineRule="auto"/>
        <w:contextualSpacing/>
        <w:rPr>
          <w:rFonts w:ascii="Verdana" w:hAnsi="Verdana"/>
          <w:bCs/>
          <w:sz w:val="18"/>
          <w:szCs w:val="18"/>
        </w:rPr>
      </w:pPr>
    </w:p>
    <w:p w:rsidRPr="00C5308E" w:rsidR="00CB044F" w:rsidP="00D87753" w:rsidRDefault="00CB044F" w14:paraId="38607FA2" w14:textId="77777777">
      <w:pPr>
        <w:spacing w:after="0" w:line="240" w:lineRule="auto"/>
        <w:contextualSpacing/>
        <w:rPr>
          <w:rFonts w:ascii="Verdana" w:hAnsi="Verdana"/>
          <w:bCs/>
          <w:sz w:val="18"/>
          <w:szCs w:val="18"/>
        </w:rPr>
      </w:pPr>
      <w:r w:rsidRPr="00C5308E">
        <w:rPr>
          <w:rFonts w:ascii="Verdana" w:hAnsi="Verdana"/>
          <w:bCs/>
          <w:sz w:val="18"/>
          <w:szCs w:val="18"/>
        </w:rPr>
        <w:t xml:space="preserve">Onderstaande tabel toont een indicatie van de inkomenseffecten van een bijzondere verhoging van het wettelijk minimumloon met 10%,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w:t>
      </w:r>
      <w:r w:rsidRPr="00C5308E">
        <w:rPr>
          <w:rFonts w:ascii="Verdana" w:hAnsi="Verdana"/>
          <w:bCs/>
          <w:sz w:val="18"/>
          <w:szCs w:val="18"/>
        </w:rPr>
        <w:lastRenderedPageBreak/>
        <w:t>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C5308E" w:rsidR="00CB044F" w:rsidP="00D87753" w:rsidRDefault="00CB044F" w14:paraId="690D3A19" w14:textId="77777777">
      <w:pPr>
        <w:spacing w:after="0" w:line="240" w:lineRule="auto"/>
        <w:contextualSpacing/>
        <w:rPr>
          <w:rFonts w:ascii="Verdana" w:hAnsi="Verdana"/>
          <w:bCs/>
          <w:sz w:val="18"/>
          <w:szCs w:val="18"/>
        </w:rPr>
      </w:pPr>
    </w:p>
    <w:p w:rsidRPr="00C5308E" w:rsidR="00CB044F" w:rsidP="00D87753" w:rsidRDefault="00CB044F" w14:paraId="3B7ABF87" w14:textId="77777777">
      <w:pPr>
        <w:spacing w:after="0" w:line="240" w:lineRule="auto"/>
        <w:contextualSpacing/>
        <w:rPr>
          <w:rFonts w:ascii="Verdana" w:hAnsi="Verdana"/>
          <w:bCs/>
          <w:sz w:val="18"/>
          <w:szCs w:val="18"/>
        </w:rPr>
      </w:pPr>
      <w:r w:rsidRPr="00C5308E">
        <w:rPr>
          <w:rFonts w:ascii="Verdana" w:hAnsi="Verdana"/>
          <w:bCs/>
          <w:sz w:val="18"/>
          <w:szCs w:val="18"/>
        </w:rPr>
        <w:t>De maatregel heeft een mediaan inkomenseffect van 1,2% voor alle Nederlandse huishoudens. Het positieve inkomenseffect zit met name bij de laagste inkomensgroepen (5,2% en 3,6%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doorsnee werkende gaat er 0,8% op vooruit, maar vooral voor werkenden op en net boven het WML ligt de inkomensvooruitgang hoger.</w:t>
      </w:r>
    </w:p>
    <w:p w:rsidRPr="00C5308E" w:rsidR="00CB044F" w:rsidP="00D87753" w:rsidRDefault="00CB044F" w14:paraId="6F126DD7" w14:textId="77777777">
      <w:pPr>
        <w:spacing w:after="0" w:line="240" w:lineRule="auto"/>
        <w:contextualSpacing/>
        <w:rPr>
          <w:rFonts w:ascii="Verdana" w:hAnsi="Verdana"/>
          <w:bCs/>
          <w:sz w:val="18"/>
          <w:szCs w:val="18"/>
        </w:rPr>
      </w:pPr>
    </w:p>
    <w:p w:rsidRPr="00C5308E" w:rsidR="00CB044F" w:rsidP="00D87753" w:rsidRDefault="00CB044F" w14:paraId="310CBC1B" w14:textId="1D012FCB">
      <w:pPr>
        <w:spacing w:after="0" w:line="240" w:lineRule="auto"/>
        <w:contextualSpacing/>
        <w:rPr>
          <w:rFonts w:ascii="Verdana" w:hAnsi="Verdana"/>
          <w:bCs/>
          <w:sz w:val="18"/>
          <w:szCs w:val="18"/>
        </w:rPr>
      </w:pPr>
      <w:r w:rsidRPr="00C5308E">
        <w:rPr>
          <w:rFonts w:ascii="Verdana" w:hAnsi="Verdana"/>
          <w:bCs/>
          <w:sz w:val="18"/>
          <w:szCs w:val="18"/>
        </w:rPr>
        <w:t>Tabel: Inkomenseffect bijzondere verhoging WML met 10% per 1 januari 2027</w:t>
      </w:r>
      <w:r w:rsidR="0096314B">
        <w:rPr>
          <w:rStyle w:val="Voetnootmarkering"/>
          <w:rFonts w:ascii="Verdana" w:hAnsi="Verdana"/>
          <w:bCs/>
          <w:sz w:val="18"/>
          <w:szCs w:val="18"/>
        </w:rPr>
        <w:footnoteReference w:id="39"/>
      </w:r>
    </w:p>
    <w:p w:rsidRPr="00C5308E" w:rsidR="00CB044F" w:rsidP="00D87753" w:rsidRDefault="00CB044F" w14:paraId="509919F8" w14:textId="77777777">
      <w:pPr>
        <w:spacing w:after="0" w:line="240" w:lineRule="auto"/>
        <w:contextualSpacing/>
        <w:rPr>
          <w:rFonts w:ascii="Verdana" w:hAnsi="Verdana"/>
          <w:bCs/>
          <w:sz w:val="18"/>
          <w:szCs w:val="18"/>
          <w:u w:val="single"/>
        </w:rPr>
      </w:pPr>
    </w:p>
    <w:tbl>
      <w:tblPr>
        <w:tblW w:w="4231" w:type="dxa"/>
        <w:tblCellMar>
          <w:left w:w="70" w:type="dxa"/>
          <w:right w:w="70" w:type="dxa"/>
        </w:tblCellMar>
        <w:tblLook w:val="04A0" w:firstRow="1" w:lastRow="0" w:firstColumn="1" w:lastColumn="0" w:noHBand="0" w:noVBand="1"/>
      </w:tblPr>
      <w:tblGrid>
        <w:gridCol w:w="3148"/>
        <w:gridCol w:w="1083"/>
      </w:tblGrid>
      <w:tr w:rsidRPr="00C5308E" w:rsidR="00CB044F" w:rsidTr="003C75FE" w14:paraId="3993E3C5" w14:textId="77777777">
        <w:trPr>
          <w:trHeight w:val="417"/>
        </w:trPr>
        <w:tc>
          <w:tcPr>
            <w:tcW w:w="3148"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1C8627D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Inkomensgroep</w:t>
            </w:r>
          </w:p>
        </w:tc>
        <w:tc>
          <w:tcPr>
            <w:tcW w:w="1083"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61B360C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Iedereen</w:t>
            </w:r>
          </w:p>
        </w:tc>
      </w:tr>
      <w:tr w:rsidRPr="00C5308E" w:rsidR="00CB044F" w:rsidTr="003C75FE" w14:paraId="28C090CD" w14:textId="77777777">
        <w:trPr>
          <w:trHeight w:val="269"/>
        </w:trPr>
        <w:tc>
          <w:tcPr>
            <w:tcW w:w="3148" w:type="dxa"/>
            <w:tcBorders>
              <w:top w:val="nil"/>
              <w:left w:val="nil"/>
              <w:bottom w:val="nil"/>
              <w:right w:val="nil"/>
            </w:tcBorders>
            <w:shd w:val="clear" w:color="auto" w:fill="auto"/>
            <w:vAlign w:val="bottom"/>
            <w:hideMark/>
          </w:tcPr>
          <w:p w:rsidRPr="00C5308E" w:rsidR="00CB044F" w:rsidP="00D87753" w:rsidRDefault="00CB044F" w14:paraId="7995C89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1e (&lt;=106% WML)</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023E3D4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5,2%</w:t>
            </w:r>
          </w:p>
        </w:tc>
      </w:tr>
      <w:tr w:rsidRPr="00C5308E" w:rsidR="00CB044F" w:rsidTr="003C75FE" w14:paraId="19C2D535" w14:textId="77777777">
        <w:trPr>
          <w:trHeight w:val="269"/>
        </w:trPr>
        <w:tc>
          <w:tcPr>
            <w:tcW w:w="3148" w:type="dxa"/>
            <w:tcBorders>
              <w:top w:val="nil"/>
              <w:left w:val="nil"/>
              <w:bottom w:val="nil"/>
              <w:right w:val="nil"/>
            </w:tcBorders>
            <w:shd w:val="clear" w:color="auto" w:fill="auto"/>
            <w:vAlign w:val="bottom"/>
            <w:hideMark/>
          </w:tcPr>
          <w:p w:rsidRPr="00C5308E" w:rsidR="00CB044F" w:rsidP="00D87753" w:rsidRDefault="00CB044F" w14:paraId="7E7FC61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2e (106-173% WML)</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06DE507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3,6%</w:t>
            </w:r>
          </w:p>
        </w:tc>
      </w:tr>
      <w:tr w:rsidRPr="00C5308E" w:rsidR="00CB044F" w:rsidTr="003C75FE" w14:paraId="5A9CF79F" w14:textId="77777777">
        <w:trPr>
          <w:trHeight w:val="269"/>
        </w:trPr>
        <w:tc>
          <w:tcPr>
            <w:tcW w:w="3148" w:type="dxa"/>
            <w:tcBorders>
              <w:top w:val="nil"/>
              <w:left w:val="nil"/>
              <w:bottom w:val="nil"/>
              <w:right w:val="nil"/>
            </w:tcBorders>
            <w:shd w:val="clear" w:color="auto" w:fill="auto"/>
            <w:vAlign w:val="bottom"/>
            <w:hideMark/>
          </w:tcPr>
          <w:p w:rsidRPr="00C5308E" w:rsidR="00CB044F" w:rsidP="00D87753" w:rsidRDefault="00CB044F" w14:paraId="627A072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3e (173-257% WML)</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7E71462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1,7%</w:t>
            </w:r>
          </w:p>
        </w:tc>
      </w:tr>
      <w:tr w:rsidRPr="00C5308E" w:rsidR="00CB044F" w:rsidTr="003C75FE" w14:paraId="64398E59" w14:textId="77777777">
        <w:trPr>
          <w:trHeight w:val="269"/>
        </w:trPr>
        <w:tc>
          <w:tcPr>
            <w:tcW w:w="3148" w:type="dxa"/>
            <w:tcBorders>
              <w:top w:val="nil"/>
              <w:left w:val="nil"/>
              <w:bottom w:val="nil"/>
              <w:right w:val="nil"/>
            </w:tcBorders>
            <w:shd w:val="clear" w:color="auto" w:fill="auto"/>
            <w:vAlign w:val="bottom"/>
            <w:hideMark/>
          </w:tcPr>
          <w:p w:rsidRPr="00C5308E" w:rsidR="00CB044F" w:rsidP="00D87753" w:rsidRDefault="00CB044F" w14:paraId="52D4641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4e (257-380% WML)</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3911356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0,9%</w:t>
            </w:r>
          </w:p>
        </w:tc>
      </w:tr>
      <w:tr w:rsidRPr="00C5308E" w:rsidR="00CB044F" w:rsidTr="003C75FE" w14:paraId="43863530" w14:textId="77777777">
        <w:trPr>
          <w:trHeight w:val="269"/>
        </w:trPr>
        <w:tc>
          <w:tcPr>
            <w:tcW w:w="3148" w:type="dxa"/>
            <w:tcBorders>
              <w:top w:val="nil"/>
              <w:left w:val="nil"/>
              <w:bottom w:val="nil"/>
              <w:right w:val="nil"/>
            </w:tcBorders>
            <w:shd w:val="clear" w:color="auto" w:fill="auto"/>
            <w:vAlign w:val="bottom"/>
            <w:hideMark/>
          </w:tcPr>
          <w:p w:rsidRPr="00C5308E" w:rsidR="00CB044F" w:rsidP="00D87753" w:rsidRDefault="00CB044F" w14:paraId="0F16CA7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5e (&gt;380% WML)</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7861304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0,3%</w:t>
            </w:r>
          </w:p>
        </w:tc>
      </w:tr>
      <w:tr w:rsidRPr="00C5308E" w:rsidR="00CB044F" w:rsidTr="003C75FE" w14:paraId="6833752F"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0EB3562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10FD806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595A3662"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19238BC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Inkomensbron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03B5326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22BF2264"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74E53F9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Werkenden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19C4821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0,8%</w:t>
            </w:r>
          </w:p>
        </w:tc>
      </w:tr>
      <w:tr w:rsidRPr="00C5308E" w:rsidR="00CB044F" w:rsidTr="003C75FE" w14:paraId="6EE69C7D"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19972A1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Uitkeringsgerechtigden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5736DDC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5,5%</w:t>
            </w:r>
          </w:p>
        </w:tc>
      </w:tr>
      <w:tr w:rsidRPr="00C5308E" w:rsidR="00CB044F" w:rsidTr="003C75FE" w14:paraId="5594D543"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200E640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Gepensioneerden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631FC9F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4,3%</w:t>
            </w:r>
          </w:p>
        </w:tc>
      </w:tr>
      <w:tr w:rsidRPr="00C5308E" w:rsidR="00CB044F" w:rsidTr="003C75FE" w14:paraId="5BF37936"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49C649D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570AFF5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00BFFCCB"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267DF21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Huishoudtype</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48BC742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2398C949"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6051B35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Tweeverdieners</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3958ED6A"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1,4%</w:t>
            </w:r>
          </w:p>
        </w:tc>
      </w:tr>
      <w:tr w:rsidRPr="00C5308E" w:rsidR="00CB044F" w:rsidTr="003C75FE" w14:paraId="60337DB1"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376EBDD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Alleenstaanden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2E752C5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2,9%</w:t>
            </w:r>
          </w:p>
        </w:tc>
      </w:tr>
      <w:tr w:rsidRPr="00C5308E" w:rsidR="00CB044F" w:rsidTr="003C75FE" w14:paraId="2E485512"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3269D8F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Alleenverdieners</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21B4C07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CB044F" w:rsidTr="003C75FE" w14:paraId="3FC2C098"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27F4641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65B083F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425E0B68"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2D634D5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559B502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43C7177F"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2CE8739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met kinderen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6CA652E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0,9%</w:t>
            </w:r>
          </w:p>
        </w:tc>
      </w:tr>
      <w:tr w:rsidRPr="00C5308E" w:rsidR="00CB044F" w:rsidTr="003C75FE" w14:paraId="497CCBEB" w14:textId="77777777">
        <w:trPr>
          <w:trHeight w:val="269"/>
        </w:trPr>
        <w:tc>
          <w:tcPr>
            <w:tcW w:w="3148" w:type="dxa"/>
            <w:tcBorders>
              <w:top w:val="nil"/>
              <w:left w:val="nil"/>
              <w:bottom w:val="nil"/>
              <w:right w:val="nil"/>
            </w:tcBorders>
            <w:shd w:val="clear" w:color="000000" w:fill="FFFFFF"/>
            <w:noWrap/>
            <w:vAlign w:val="bottom"/>
            <w:hideMark/>
          </w:tcPr>
          <w:p w:rsidRPr="00C5308E" w:rsidR="00CB044F" w:rsidP="00D87753" w:rsidRDefault="00CB044F" w14:paraId="47DD4A2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zonder kinderen</w:t>
            </w:r>
          </w:p>
        </w:tc>
        <w:tc>
          <w:tcPr>
            <w:tcW w:w="1083" w:type="dxa"/>
            <w:tcBorders>
              <w:top w:val="nil"/>
              <w:left w:val="nil"/>
              <w:bottom w:val="nil"/>
              <w:right w:val="nil"/>
            </w:tcBorders>
            <w:shd w:val="clear" w:color="000000" w:fill="FFFFFF"/>
            <w:noWrap/>
            <w:vAlign w:val="bottom"/>
            <w:hideMark/>
          </w:tcPr>
          <w:p w:rsidRPr="00C5308E" w:rsidR="00CB044F" w:rsidP="00D87753" w:rsidRDefault="00CB044F" w14:paraId="0F72FDB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CB044F" w:rsidTr="003C75FE" w14:paraId="102EFFFD" w14:textId="77777777">
        <w:trPr>
          <w:trHeight w:val="269"/>
        </w:trPr>
        <w:tc>
          <w:tcPr>
            <w:tcW w:w="3148"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53A7E02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83"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6A4FBDB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04690A13" w14:textId="77777777">
        <w:trPr>
          <w:trHeight w:val="282"/>
        </w:trPr>
        <w:tc>
          <w:tcPr>
            <w:tcW w:w="3148"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761F37D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 huishoudens</w:t>
            </w:r>
          </w:p>
        </w:tc>
        <w:tc>
          <w:tcPr>
            <w:tcW w:w="1083"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26AE366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1,9%</w:t>
            </w:r>
          </w:p>
        </w:tc>
      </w:tr>
    </w:tbl>
    <w:p w:rsidRPr="00C5308E" w:rsidR="00CB044F" w:rsidP="00D87753" w:rsidRDefault="00CB044F" w14:paraId="34FFCC75" w14:textId="77777777">
      <w:pPr>
        <w:spacing w:line="240" w:lineRule="auto"/>
        <w:contextualSpacing/>
        <w:rPr>
          <w:rFonts w:ascii="Verdana" w:hAnsi="Verdana"/>
          <w:bCs/>
          <w:sz w:val="18"/>
          <w:szCs w:val="18"/>
          <w:u w:val="single"/>
        </w:rPr>
      </w:pPr>
    </w:p>
    <w:p w:rsidRPr="00C5308E" w:rsidR="00CB044F" w:rsidP="00D87753" w:rsidRDefault="00CB044F" w14:paraId="5453795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181</w:t>
      </w:r>
    </w:p>
    <w:p w:rsidRPr="00C5308E" w:rsidR="00CB044F" w:rsidP="00D87753" w:rsidRDefault="00CB044F" w14:paraId="2162304F"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armoede bij een verhoging van 10% van het wettelijk minimumloon?</w:t>
      </w:r>
    </w:p>
    <w:p w:rsidRPr="00C5308E" w:rsidR="00CB044F" w:rsidP="00D87753" w:rsidRDefault="00CB044F" w14:paraId="4EE4014B" w14:textId="77777777">
      <w:pPr>
        <w:spacing w:after="0" w:line="240" w:lineRule="auto"/>
        <w:contextualSpacing/>
        <w:rPr>
          <w:rFonts w:ascii="Verdana" w:hAnsi="Verdana"/>
          <w:bCs/>
          <w:sz w:val="18"/>
          <w:szCs w:val="18"/>
        </w:rPr>
      </w:pPr>
    </w:p>
    <w:p w:rsidRPr="00C5308E" w:rsidR="00CB044F" w:rsidP="00D87753" w:rsidRDefault="00CB044F" w14:paraId="1C1275B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181</w:t>
      </w:r>
    </w:p>
    <w:p w:rsidRPr="00C5308E" w:rsidR="00CB044F" w:rsidP="00D87753" w:rsidRDefault="00CB044F" w14:paraId="0B3B7ED3"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het risico op armoede onder personen (ex-ante) in 2027 en 2028 in het basispad (CEP 2025), en bij verhoging van het WML met 10% per 1 januari 2027. De armoede neemt naar verwachting met 0,4%-punt af.</w:t>
      </w:r>
    </w:p>
    <w:p w:rsidRPr="00C5308E" w:rsidR="00CB044F" w:rsidP="00D87753" w:rsidRDefault="00CB044F" w14:paraId="047D09BF" w14:textId="77777777">
      <w:pPr>
        <w:spacing w:after="0" w:line="240" w:lineRule="auto"/>
        <w:contextualSpacing/>
        <w:rPr>
          <w:rFonts w:ascii="Verdana" w:hAnsi="Verdana"/>
          <w:bCs/>
          <w:sz w:val="18"/>
          <w:szCs w:val="18"/>
        </w:rPr>
      </w:pPr>
    </w:p>
    <w:p w:rsidRPr="00C5308E" w:rsidR="00CB044F" w:rsidP="00D87753" w:rsidRDefault="00CB044F" w14:paraId="4BEB947E" w14:textId="77777777">
      <w:pPr>
        <w:spacing w:after="0" w:line="240" w:lineRule="auto"/>
        <w:contextualSpacing/>
        <w:rPr>
          <w:rFonts w:ascii="Verdana" w:hAnsi="Verdana"/>
          <w:bCs/>
          <w:sz w:val="18"/>
          <w:szCs w:val="18"/>
        </w:rPr>
      </w:pPr>
      <w:r w:rsidRPr="00C5308E">
        <w:rPr>
          <w:rFonts w:ascii="Verdana" w:hAnsi="Verdana"/>
          <w:bCs/>
          <w:sz w:val="18"/>
          <w:szCs w:val="18"/>
        </w:rPr>
        <w:t>Tabel: armoede onder personen (%)</w:t>
      </w:r>
    </w:p>
    <w:tbl>
      <w:tblPr>
        <w:tblW w:w="5244" w:type="dxa"/>
        <w:tblCellMar>
          <w:left w:w="70" w:type="dxa"/>
          <w:right w:w="70" w:type="dxa"/>
        </w:tblCellMar>
        <w:tblLook w:val="04A0" w:firstRow="1" w:lastRow="0" w:firstColumn="1" w:lastColumn="0" w:noHBand="0" w:noVBand="1"/>
      </w:tblPr>
      <w:tblGrid>
        <w:gridCol w:w="3080"/>
        <w:gridCol w:w="1082"/>
        <w:gridCol w:w="1082"/>
      </w:tblGrid>
      <w:tr w:rsidRPr="00C5308E" w:rsidR="00CB044F" w:rsidTr="003C75FE" w14:paraId="5D9F5984"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27AC70C7" w14:textId="77777777">
            <w:pPr>
              <w:spacing w:after="0" w:line="240" w:lineRule="auto"/>
              <w:contextualSpacing/>
              <w:rPr>
                <w:rFonts w:ascii="Verdana" w:hAnsi="Verdana" w:eastAsia="Times New Roman" w:cs="Calibri"/>
                <w:bCs/>
                <w:color w:val="000000"/>
                <w:sz w:val="18"/>
                <w:szCs w:val="18"/>
                <w:lang w:eastAsia="nl-NL"/>
              </w:rPr>
            </w:pPr>
          </w:p>
        </w:tc>
        <w:tc>
          <w:tcPr>
            <w:tcW w:w="1082" w:type="dxa"/>
            <w:tcBorders>
              <w:top w:val="single" w:color="auto" w:sz="8" w:space="0"/>
              <w:left w:val="nil"/>
              <w:bottom w:val="single" w:color="auto" w:sz="8" w:space="0"/>
              <w:right w:val="nil"/>
            </w:tcBorders>
            <w:shd w:val="clear" w:color="000000" w:fill="FFFFFF"/>
            <w:noWrap/>
            <w:vAlign w:val="bottom"/>
          </w:tcPr>
          <w:p w:rsidRPr="00C5308E" w:rsidR="00CB044F" w:rsidP="00D87753" w:rsidRDefault="00CB044F" w14:paraId="1D6F555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82" w:type="dxa"/>
            <w:tcBorders>
              <w:top w:val="single" w:color="auto" w:sz="8" w:space="0"/>
              <w:left w:val="nil"/>
              <w:bottom w:val="single" w:color="auto" w:sz="8" w:space="0"/>
              <w:right w:val="nil"/>
            </w:tcBorders>
            <w:shd w:val="clear" w:color="000000" w:fill="FFFFFF"/>
          </w:tcPr>
          <w:p w:rsidRPr="00C5308E" w:rsidR="00CB044F" w:rsidP="00D87753" w:rsidRDefault="00CB044F" w14:paraId="5328C1C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r>
      <w:tr w:rsidRPr="00C5308E" w:rsidR="00CB044F" w:rsidTr="003C75FE" w14:paraId="75EEC231"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453A15D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Basispad</w:t>
            </w:r>
          </w:p>
        </w:tc>
        <w:tc>
          <w:tcPr>
            <w:tcW w:w="1082" w:type="dxa"/>
            <w:tcBorders>
              <w:top w:val="nil"/>
              <w:left w:val="nil"/>
              <w:bottom w:val="nil"/>
              <w:right w:val="nil"/>
            </w:tcBorders>
            <w:shd w:val="clear" w:color="000000" w:fill="FFFFFF"/>
            <w:noWrap/>
            <w:vAlign w:val="bottom"/>
          </w:tcPr>
          <w:p w:rsidRPr="00C5308E" w:rsidR="00CB044F" w:rsidP="00D87753" w:rsidRDefault="00CB044F" w14:paraId="6063A5E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w:t>
            </w:r>
          </w:p>
        </w:tc>
        <w:tc>
          <w:tcPr>
            <w:tcW w:w="1082" w:type="dxa"/>
            <w:tcBorders>
              <w:top w:val="nil"/>
              <w:left w:val="nil"/>
              <w:bottom w:val="nil"/>
              <w:right w:val="nil"/>
            </w:tcBorders>
            <w:shd w:val="clear" w:color="000000" w:fill="FFFFFF"/>
          </w:tcPr>
          <w:p w:rsidRPr="00C5308E" w:rsidR="00CB044F" w:rsidP="00D87753" w:rsidRDefault="00CB044F" w14:paraId="69DF6FFE"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3BD8598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2,7%</w:t>
            </w:r>
          </w:p>
        </w:tc>
      </w:tr>
      <w:tr w:rsidRPr="00C5308E" w:rsidR="00CB044F" w:rsidTr="003C75FE" w14:paraId="49620A9E"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639CB63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Bijzondere verhoging WML 10%</w:t>
            </w:r>
          </w:p>
        </w:tc>
        <w:tc>
          <w:tcPr>
            <w:tcW w:w="1082" w:type="dxa"/>
            <w:tcBorders>
              <w:top w:val="nil"/>
              <w:left w:val="nil"/>
              <w:bottom w:val="nil"/>
              <w:right w:val="nil"/>
            </w:tcBorders>
            <w:shd w:val="clear" w:color="000000" w:fill="FFFFFF"/>
            <w:noWrap/>
            <w:vAlign w:val="bottom"/>
          </w:tcPr>
          <w:p w:rsidRPr="00C5308E" w:rsidR="00CB044F" w:rsidP="00D87753" w:rsidRDefault="00CB044F" w14:paraId="0E06D20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c>
          <w:tcPr>
            <w:tcW w:w="1082" w:type="dxa"/>
            <w:tcBorders>
              <w:top w:val="nil"/>
              <w:left w:val="nil"/>
              <w:bottom w:val="nil"/>
              <w:right w:val="nil"/>
            </w:tcBorders>
            <w:shd w:val="clear" w:color="000000" w:fill="FFFFFF"/>
          </w:tcPr>
          <w:p w:rsidRPr="00C5308E" w:rsidR="00CB044F" w:rsidP="00D87753" w:rsidRDefault="00CB044F" w14:paraId="36B3B739"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2788E2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2,3%</w:t>
            </w:r>
          </w:p>
        </w:tc>
      </w:tr>
    </w:tbl>
    <w:p w:rsidRPr="00C5308E" w:rsidR="00CB044F" w:rsidP="00D87753" w:rsidRDefault="00CB044F" w14:paraId="513E25A4" w14:textId="77777777">
      <w:pPr>
        <w:spacing w:after="0" w:line="240" w:lineRule="auto"/>
        <w:contextualSpacing/>
        <w:rPr>
          <w:rFonts w:ascii="Verdana" w:hAnsi="Verdana"/>
          <w:bCs/>
          <w:sz w:val="18"/>
          <w:szCs w:val="18"/>
        </w:rPr>
      </w:pPr>
    </w:p>
    <w:p w:rsidRPr="00C5308E" w:rsidR="00E97B61" w:rsidP="00D87753" w:rsidRDefault="00E97B61" w14:paraId="1BF6CC2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182</w:t>
      </w:r>
    </w:p>
    <w:p w:rsidRPr="00C5308E" w:rsidR="00E97B61" w:rsidP="00D87753" w:rsidRDefault="00E97B61" w14:paraId="6602D247"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het minimumloon te verhogen naar € 16 per uur vanaf 1 januari 2026??</w:t>
      </w:r>
    </w:p>
    <w:p w:rsidRPr="00C5308E" w:rsidR="00E97B61" w:rsidP="00D87753" w:rsidRDefault="00E97B61" w14:paraId="1549CD08" w14:textId="77777777">
      <w:pPr>
        <w:spacing w:after="0" w:line="240" w:lineRule="auto"/>
        <w:contextualSpacing/>
        <w:rPr>
          <w:rFonts w:ascii="Verdana" w:hAnsi="Verdana"/>
          <w:bCs/>
          <w:sz w:val="18"/>
          <w:szCs w:val="18"/>
        </w:rPr>
      </w:pPr>
    </w:p>
    <w:p w:rsidRPr="00C5308E" w:rsidR="00E97B61" w:rsidP="00D87753" w:rsidRDefault="00E97B61" w14:paraId="4B4B5A3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182</w:t>
      </w:r>
    </w:p>
    <w:p w:rsidRPr="00C5308E" w:rsidR="00E97B61" w:rsidP="00D87753" w:rsidRDefault="00E97B61" w14:paraId="24D0AD33" w14:textId="77777777">
      <w:pPr>
        <w:spacing w:after="0" w:line="240" w:lineRule="auto"/>
        <w:contextualSpacing/>
        <w:rPr>
          <w:rFonts w:ascii="Verdana" w:hAnsi="Verdana"/>
          <w:bCs/>
          <w:sz w:val="18"/>
          <w:szCs w:val="18"/>
        </w:rPr>
      </w:pPr>
      <w:r w:rsidRPr="00C5308E">
        <w:rPr>
          <w:rFonts w:ascii="Verdana" w:hAnsi="Verdana"/>
          <w:bCs/>
          <w:sz w:val="18"/>
          <w:szCs w:val="18"/>
        </w:rPr>
        <w:t>Een bijzondere verhoging van het wettelijk minimumloon per 1 januari 2026 is niet meer uitvoerbaar. Een verhoging van het minimumloon vergt een wetswijziging. Dit kost normaliter anderhalf tot twee jaar. Rekening houdend met de duur van een wetstraject kan het minimumloon per 1 januari 2027 worden verhoogd.</w:t>
      </w:r>
    </w:p>
    <w:p w:rsidRPr="00C5308E" w:rsidR="00E97B61" w:rsidP="00D87753" w:rsidRDefault="00E97B61" w14:paraId="7491405C" w14:textId="77777777">
      <w:pPr>
        <w:spacing w:after="0" w:line="240" w:lineRule="auto"/>
        <w:contextualSpacing/>
        <w:rPr>
          <w:rFonts w:ascii="Verdana" w:hAnsi="Verdana"/>
          <w:bCs/>
          <w:sz w:val="18"/>
          <w:szCs w:val="18"/>
        </w:rPr>
      </w:pPr>
    </w:p>
    <w:p w:rsidRPr="00C5308E" w:rsidR="00E97B61" w:rsidP="00D87753" w:rsidRDefault="00E97B61" w14:paraId="035F0A87" w14:textId="428C8167">
      <w:pPr>
        <w:spacing w:after="0" w:line="240" w:lineRule="auto"/>
        <w:contextualSpacing/>
        <w:rPr>
          <w:rFonts w:ascii="Verdana" w:hAnsi="Verdana"/>
          <w:bCs/>
          <w:sz w:val="18"/>
          <w:szCs w:val="18"/>
        </w:rPr>
      </w:pPr>
      <w:r w:rsidRPr="00C5308E">
        <w:rPr>
          <w:rFonts w:ascii="Verdana" w:hAnsi="Verdana"/>
          <w:bCs/>
          <w:sz w:val="18"/>
          <w:szCs w:val="18"/>
        </w:rPr>
        <w:t>Volgens de huidige inzichten is per 1 januari 2027 een bijzondere verhoging van het minimumloon van 5,0% benodigd om uit te komen op een minimumuurloon van</w:t>
      </w:r>
      <w:r w:rsidRPr="00C5308E" w:rsidR="00EF1671">
        <w:rPr>
          <w:rFonts w:ascii="Verdana" w:hAnsi="Verdana"/>
          <w:bCs/>
          <w:sz w:val="18"/>
          <w:szCs w:val="18"/>
        </w:rPr>
        <w:t xml:space="preserve">€ </w:t>
      </w:r>
      <w:r w:rsidRPr="00C5308E">
        <w:rPr>
          <w:rFonts w:ascii="Verdana" w:hAnsi="Verdana"/>
          <w:bCs/>
          <w:sz w:val="18"/>
          <w:szCs w:val="18"/>
        </w:rPr>
        <w:t>16</w:t>
      </w:r>
      <w:r w:rsidRPr="00C5308E" w:rsidR="00EF1671">
        <w:rPr>
          <w:rFonts w:ascii="Verdana" w:hAnsi="Verdana"/>
          <w:bCs/>
          <w:sz w:val="18"/>
          <w:szCs w:val="18"/>
        </w:rPr>
        <w:t>,-</w:t>
      </w:r>
      <w:r w:rsidRPr="00C5308E">
        <w:rPr>
          <w:rFonts w:ascii="Verdana" w:hAnsi="Verdana"/>
          <w:bCs/>
          <w:sz w:val="18"/>
          <w:szCs w:val="18"/>
        </w:rPr>
        <w:t>. Als de reguliere indexatie van het minimumloon in de komende jaren anders uitvalt dan nu verwacht, dan wijzigt het benodigde stijgingspercentage om uit te komen op een minimumuurloon van</w:t>
      </w:r>
      <w:r w:rsidRPr="00C5308E" w:rsidR="00EF1671">
        <w:rPr>
          <w:rFonts w:ascii="Verdana" w:hAnsi="Verdana"/>
          <w:bCs/>
          <w:sz w:val="18"/>
          <w:szCs w:val="18"/>
        </w:rPr>
        <w:t xml:space="preserve"> €</w:t>
      </w:r>
      <w:r w:rsidRPr="00C5308E">
        <w:rPr>
          <w:rFonts w:ascii="Verdana" w:hAnsi="Verdana"/>
          <w:bCs/>
          <w:sz w:val="18"/>
          <w:szCs w:val="18"/>
        </w:rPr>
        <w:t xml:space="preserve"> 16</w:t>
      </w:r>
      <w:r w:rsidRPr="00C5308E" w:rsidR="00EF1671">
        <w:rPr>
          <w:rFonts w:ascii="Verdana" w:hAnsi="Verdana"/>
          <w:bCs/>
          <w:sz w:val="18"/>
          <w:szCs w:val="18"/>
        </w:rPr>
        <w:t>,-</w:t>
      </w:r>
      <w:r w:rsidRPr="00C5308E">
        <w:rPr>
          <w:rFonts w:ascii="Verdana" w:hAnsi="Verdana"/>
          <w:bCs/>
          <w:sz w:val="18"/>
          <w:szCs w:val="18"/>
        </w:rPr>
        <w:t>.</w:t>
      </w:r>
    </w:p>
    <w:p w:rsidRPr="00C5308E" w:rsidR="00E97B61" w:rsidP="00D87753" w:rsidRDefault="00E97B61" w14:paraId="70238F51" w14:textId="77777777">
      <w:pPr>
        <w:spacing w:after="0" w:line="240" w:lineRule="auto"/>
        <w:contextualSpacing/>
        <w:rPr>
          <w:rFonts w:ascii="Verdana" w:hAnsi="Verdana"/>
          <w:bCs/>
          <w:sz w:val="18"/>
          <w:szCs w:val="18"/>
        </w:rPr>
      </w:pPr>
    </w:p>
    <w:p w:rsidRPr="00C5308E" w:rsidR="00E97B61" w:rsidP="00D87753" w:rsidRDefault="00E97B61" w14:paraId="1F3E120F" w14:textId="77777777">
      <w:pPr>
        <w:spacing w:after="0" w:line="240" w:lineRule="auto"/>
        <w:contextualSpacing/>
        <w:rPr>
          <w:rFonts w:ascii="Verdana" w:hAnsi="Verdana"/>
          <w:bCs/>
          <w:sz w:val="18"/>
          <w:szCs w:val="18"/>
        </w:rPr>
      </w:pPr>
      <w:r w:rsidRPr="00C5308E">
        <w:rPr>
          <w:rFonts w:ascii="Verdana" w:hAnsi="Verdana"/>
          <w:bCs/>
          <w:sz w:val="18"/>
          <w:szCs w:val="18"/>
        </w:rPr>
        <w:t>Een bijzondere verhoging van het wettelijk minimumloon met 5,0% kost structureel ongeveer € 4,1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C5308E" w:rsidR="00E97B61" w:rsidP="00D87753" w:rsidRDefault="00E97B61" w14:paraId="0B963187" w14:textId="77777777">
      <w:pPr>
        <w:spacing w:after="0" w:line="240" w:lineRule="auto"/>
        <w:contextualSpacing/>
        <w:rPr>
          <w:rFonts w:ascii="Verdana" w:hAnsi="Verdana"/>
          <w:bCs/>
          <w:sz w:val="18"/>
          <w:szCs w:val="18"/>
        </w:rPr>
      </w:pPr>
    </w:p>
    <w:p w:rsidRPr="00C5308E" w:rsidR="00CB044F" w:rsidP="00D87753" w:rsidRDefault="00CB044F" w14:paraId="180CAC4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183</w:t>
      </w:r>
    </w:p>
    <w:p w:rsidRPr="00C5308E" w:rsidR="00CB044F" w:rsidP="00D87753" w:rsidRDefault="00CB044F" w14:paraId="393AC3F0" w14:textId="77777777">
      <w:pPr>
        <w:spacing w:after="0" w:line="240" w:lineRule="auto"/>
        <w:contextualSpacing/>
        <w:rPr>
          <w:rFonts w:ascii="Verdana" w:hAnsi="Verdana"/>
          <w:bCs/>
          <w:sz w:val="18"/>
          <w:szCs w:val="18"/>
          <w:u w:val="single"/>
        </w:rPr>
      </w:pPr>
      <w:r w:rsidRPr="00C5308E">
        <w:rPr>
          <w:rFonts w:ascii="Verdana" w:hAnsi="Verdana"/>
          <w:bCs/>
          <w:sz w:val="18"/>
          <w:szCs w:val="18"/>
        </w:rPr>
        <w:t>Wat is het effect op de reële koopkracht uitgesplitst in 2026, 2027 en 2028 van het verhogen van het minimumloon naar € 16 per uur met daarbij in achtneming van verschillende inflatiescenario’s, tenminste bevattende een aanhoudende jaargemiddelde inflatie van 2%, 5%, 7,5% en 10%?</w:t>
      </w:r>
    </w:p>
    <w:p w:rsidRPr="00C5308E" w:rsidR="00CB044F" w:rsidP="00D87753" w:rsidRDefault="00CB044F" w14:paraId="1E7BB059" w14:textId="77777777">
      <w:pPr>
        <w:spacing w:after="0" w:line="240" w:lineRule="auto"/>
        <w:contextualSpacing/>
        <w:rPr>
          <w:rFonts w:ascii="Verdana" w:hAnsi="Verdana"/>
          <w:bCs/>
          <w:sz w:val="18"/>
          <w:szCs w:val="18"/>
          <w:u w:val="single"/>
        </w:rPr>
      </w:pPr>
    </w:p>
    <w:p w:rsidRPr="00C5308E" w:rsidR="00CB044F" w:rsidP="00D87753" w:rsidRDefault="00CB044F" w14:paraId="0A28F7D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183</w:t>
      </w:r>
    </w:p>
    <w:p w:rsidRPr="00C5308E" w:rsidR="00CB044F" w:rsidP="00D87753" w:rsidRDefault="00CB044F" w14:paraId="60B98F3B" w14:textId="5B217F83">
      <w:pPr>
        <w:spacing w:after="0" w:line="240" w:lineRule="auto"/>
        <w:contextualSpacing/>
        <w:rPr>
          <w:rFonts w:ascii="Verdana" w:hAnsi="Verdana"/>
          <w:bCs/>
          <w:sz w:val="18"/>
          <w:szCs w:val="18"/>
        </w:rPr>
      </w:pPr>
      <w:r w:rsidRPr="00C5308E">
        <w:rPr>
          <w:rFonts w:ascii="Verdana" w:hAnsi="Verdana"/>
          <w:bCs/>
          <w:sz w:val="18"/>
          <w:szCs w:val="18"/>
        </w:rPr>
        <w:t xml:space="preserve">Een bijzondere verhoging van het wettelijk minimumloon per 1 januari 2026 is niet meer uitvoerbaar. Een verhoging van het minimumloon vergt een wetswijziging. Dit kost normaliter anderhalf tot twee jaar. Rekening houdend met de duur van een wetstraject kan het minimumloon </w:t>
      </w:r>
      <w:r w:rsidRPr="00C5308E" w:rsidR="00C468F0">
        <w:rPr>
          <w:rFonts w:ascii="Verdana" w:hAnsi="Verdana"/>
          <w:bCs/>
          <w:sz w:val="18"/>
          <w:szCs w:val="18"/>
        </w:rPr>
        <w:t xml:space="preserve">op zijn vroegst </w:t>
      </w:r>
      <w:r w:rsidRPr="00C5308E">
        <w:rPr>
          <w:rFonts w:ascii="Verdana" w:hAnsi="Verdana"/>
          <w:bCs/>
          <w:sz w:val="18"/>
          <w:szCs w:val="18"/>
        </w:rPr>
        <w:t>per 1 januari 2027 worden verhoogd. Volgens de huidige inzichten is per 1 januari 2027 een bijzondere verhoging van het minimumloon van 5,0% benodigd om uit te komen op een minimumuurloon van € 16</w:t>
      </w:r>
      <w:r w:rsidRPr="00C5308E" w:rsidR="00962B3B">
        <w:rPr>
          <w:rFonts w:ascii="Verdana" w:hAnsi="Verdana"/>
          <w:bCs/>
          <w:sz w:val="18"/>
          <w:szCs w:val="18"/>
        </w:rPr>
        <w:t>,-</w:t>
      </w:r>
      <w:r w:rsidRPr="00C5308E">
        <w:rPr>
          <w:rFonts w:ascii="Verdana" w:hAnsi="Verdana"/>
          <w:bCs/>
          <w:sz w:val="18"/>
          <w:szCs w:val="18"/>
        </w:rPr>
        <w:t>. Als de reguliere indexatie van het minimumloon in de komende jaren anders uitvalt dan nu verwacht, dan wijzigt het benodigde stijgingspercentage om uit te komen op een minimumuurloon van € 16</w:t>
      </w:r>
      <w:r w:rsidRPr="00C5308E" w:rsidR="00962B3B">
        <w:rPr>
          <w:rFonts w:ascii="Verdana" w:hAnsi="Verdana"/>
          <w:bCs/>
          <w:sz w:val="18"/>
          <w:szCs w:val="18"/>
        </w:rPr>
        <w:t>,-</w:t>
      </w:r>
      <w:r w:rsidRPr="00C5308E">
        <w:rPr>
          <w:rFonts w:ascii="Verdana" w:hAnsi="Verdana"/>
          <w:bCs/>
          <w:sz w:val="18"/>
          <w:szCs w:val="18"/>
        </w:rPr>
        <w:t>.</w:t>
      </w:r>
    </w:p>
    <w:p w:rsidRPr="00C5308E" w:rsidR="00CB044F" w:rsidP="00D87753" w:rsidRDefault="00CB044F" w14:paraId="49B8C23E" w14:textId="77777777">
      <w:pPr>
        <w:spacing w:after="0" w:line="240" w:lineRule="auto"/>
        <w:contextualSpacing/>
        <w:rPr>
          <w:rFonts w:ascii="Verdana" w:hAnsi="Verdana"/>
          <w:bCs/>
          <w:sz w:val="18"/>
          <w:szCs w:val="18"/>
        </w:rPr>
      </w:pPr>
    </w:p>
    <w:p w:rsidRPr="00C5308E" w:rsidR="00CB044F" w:rsidP="00D87753" w:rsidRDefault="00CB044F" w14:paraId="5000AF5F"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een indicatie van de inkomenseffecten van een bijzondere verhoging van het wettelijk minimumloon met 5%,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C5308E" w:rsidR="00CB044F" w:rsidP="00D87753" w:rsidRDefault="00CB044F" w14:paraId="4554AA1A" w14:textId="77777777">
      <w:pPr>
        <w:spacing w:after="0" w:line="240" w:lineRule="auto"/>
        <w:contextualSpacing/>
        <w:rPr>
          <w:rFonts w:ascii="Verdana" w:hAnsi="Verdana"/>
          <w:bCs/>
          <w:sz w:val="18"/>
          <w:szCs w:val="18"/>
        </w:rPr>
      </w:pPr>
    </w:p>
    <w:p w:rsidRPr="00C5308E" w:rsidR="00CB044F" w:rsidP="00D87753" w:rsidRDefault="00CB044F" w14:paraId="5C0E7213" w14:textId="77777777">
      <w:pPr>
        <w:spacing w:after="0" w:line="240" w:lineRule="auto"/>
        <w:contextualSpacing/>
        <w:rPr>
          <w:rFonts w:ascii="Verdana" w:hAnsi="Verdana"/>
          <w:bCs/>
          <w:sz w:val="18"/>
          <w:szCs w:val="18"/>
        </w:rPr>
      </w:pPr>
      <w:r w:rsidRPr="00C5308E">
        <w:rPr>
          <w:rFonts w:ascii="Verdana" w:hAnsi="Verdana"/>
          <w:bCs/>
          <w:sz w:val="18"/>
          <w:szCs w:val="18"/>
        </w:rPr>
        <w:t>De maatregel heeft een mediaan inkomenseffect van 0,8% voor alle Nederlandse huishoudens. Het positieve inkomenseffect zit met name bij de laagste inkomensgroepen (2,5% en 1,6%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doorsnee werkende gaat er 0,3% op vooruit, maar vooral voor werkenden op en net boven het WML ligt de inkomensvooruitgang hoger.</w:t>
      </w:r>
    </w:p>
    <w:p w:rsidRPr="00C5308E" w:rsidR="00CB044F" w:rsidP="00D87753" w:rsidRDefault="00CB044F" w14:paraId="313B1972" w14:textId="77777777">
      <w:pPr>
        <w:pStyle w:val="Lijstalinea"/>
        <w:spacing w:line="240" w:lineRule="auto"/>
        <w:ind w:left="0"/>
        <w:rPr>
          <w:bCs/>
          <w:szCs w:val="18"/>
          <w:lang w:val="nl-NL"/>
        </w:rPr>
      </w:pPr>
    </w:p>
    <w:p w:rsidRPr="00C5308E" w:rsidR="00CB044F" w:rsidP="00D87753" w:rsidRDefault="00CB044F" w14:paraId="434BFC63" w14:textId="41568037">
      <w:pPr>
        <w:spacing w:after="0" w:line="240" w:lineRule="auto"/>
        <w:contextualSpacing/>
        <w:rPr>
          <w:rFonts w:ascii="Verdana" w:hAnsi="Verdana"/>
          <w:bCs/>
          <w:sz w:val="18"/>
          <w:szCs w:val="18"/>
        </w:rPr>
      </w:pPr>
      <w:r w:rsidRPr="00C5308E">
        <w:rPr>
          <w:rFonts w:ascii="Verdana" w:hAnsi="Verdana"/>
          <w:bCs/>
          <w:sz w:val="18"/>
          <w:szCs w:val="18"/>
        </w:rPr>
        <w:t>Tabel: Inkomenseffect bijzondere verhoging WML met 5% per 1 januari 2027</w:t>
      </w:r>
      <w:r w:rsidR="0096314B">
        <w:rPr>
          <w:rStyle w:val="Voetnootmarkering"/>
          <w:rFonts w:ascii="Verdana" w:hAnsi="Verdana"/>
          <w:bCs/>
          <w:sz w:val="18"/>
          <w:szCs w:val="18"/>
        </w:rPr>
        <w:footnoteReference w:id="40"/>
      </w:r>
    </w:p>
    <w:tbl>
      <w:tblPr>
        <w:tblW w:w="4265" w:type="dxa"/>
        <w:tblCellMar>
          <w:left w:w="70" w:type="dxa"/>
          <w:right w:w="70" w:type="dxa"/>
        </w:tblCellMar>
        <w:tblLook w:val="04A0" w:firstRow="1" w:lastRow="0" w:firstColumn="1" w:lastColumn="0" w:noHBand="0" w:noVBand="1"/>
      </w:tblPr>
      <w:tblGrid>
        <w:gridCol w:w="3174"/>
        <w:gridCol w:w="1091"/>
      </w:tblGrid>
      <w:tr w:rsidRPr="00C5308E" w:rsidR="00CB044F" w:rsidTr="003C75FE" w14:paraId="3D423394" w14:textId="77777777">
        <w:trPr>
          <w:trHeight w:val="392"/>
        </w:trPr>
        <w:tc>
          <w:tcPr>
            <w:tcW w:w="3174"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551E30D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Inkomensgroep</w:t>
            </w:r>
          </w:p>
        </w:tc>
        <w:tc>
          <w:tcPr>
            <w:tcW w:w="1091"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0245726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Iedereen</w:t>
            </w:r>
          </w:p>
        </w:tc>
      </w:tr>
      <w:tr w:rsidRPr="00C5308E" w:rsidR="00CB044F" w:rsidTr="003C75FE" w14:paraId="0B68EAAD" w14:textId="77777777">
        <w:trPr>
          <w:trHeight w:val="253"/>
        </w:trPr>
        <w:tc>
          <w:tcPr>
            <w:tcW w:w="3174" w:type="dxa"/>
            <w:tcBorders>
              <w:top w:val="nil"/>
              <w:left w:val="nil"/>
              <w:bottom w:val="nil"/>
              <w:right w:val="nil"/>
            </w:tcBorders>
            <w:shd w:val="clear" w:color="auto" w:fill="auto"/>
            <w:vAlign w:val="bottom"/>
            <w:hideMark/>
          </w:tcPr>
          <w:p w:rsidRPr="00C5308E" w:rsidR="00CB044F" w:rsidP="00D87753" w:rsidRDefault="00CB044F" w14:paraId="2FC1990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1e (&lt;=106% WML)</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31184702"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w:t>
            </w:r>
          </w:p>
        </w:tc>
      </w:tr>
      <w:tr w:rsidRPr="00C5308E" w:rsidR="00CB044F" w:rsidTr="003C75FE" w14:paraId="430968C7" w14:textId="77777777">
        <w:trPr>
          <w:trHeight w:val="253"/>
        </w:trPr>
        <w:tc>
          <w:tcPr>
            <w:tcW w:w="3174" w:type="dxa"/>
            <w:tcBorders>
              <w:top w:val="nil"/>
              <w:left w:val="nil"/>
              <w:bottom w:val="nil"/>
              <w:right w:val="nil"/>
            </w:tcBorders>
            <w:shd w:val="clear" w:color="auto" w:fill="auto"/>
            <w:vAlign w:val="bottom"/>
            <w:hideMark/>
          </w:tcPr>
          <w:p w:rsidRPr="00C5308E" w:rsidR="00CB044F" w:rsidP="00D87753" w:rsidRDefault="00CB044F" w14:paraId="52FFA53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2e (106-173% WML)</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347336C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1,6%</w:t>
            </w:r>
          </w:p>
        </w:tc>
      </w:tr>
      <w:tr w:rsidRPr="00C5308E" w:rsidR="00CB044F" w:rsidTr="003C75FE" w14:paraId="5E386132" w14:textId="77777777">
        <w:trPr>
          <w:trHeight w:val="253"/>
        </w:trPr>
        <w:tc>
          <w:tcPr>
            <w:tcW w:w="3174" w:type="dxa"/>
            <w:tcBorders>
              <w:top w:val="nil"/>
              <w:left w:val="nil"/>
              <w:bottom w:val="nil"/>
              <w:right w:val="nil"/>
            </w:tcBorders>
            <w:shd w:val="clear" w:color="auto" w:fill="auto"/>
            <w:vAlign w:val="bottom"/>
            <w:hideMark/>
          </w:tcPr>
          <w:p w:rsidRPr="00C5308E" w:rsidR="00CB044F" w:rsidP="00D87753" w:rsidRDefault="00CB044F" w14:paraId="5B05772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3e (173-257% WML)</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7BB808D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0,6%</w:t>
            </w:r>
          </w:p>
        </w:tc>
      </w:tr>
      <w:tr w:rsidRPr="00C5308E" w:rsidR="00CB044F" w:rsidTr="003C75FE" w14:paraId="720E4EA0" w14:textId="77777777">
        <w:trPr>
          <w:trHeight w:val="253"/>
        </w:trPr>
        <w:tc>
          <w:tcPr>
            <w:tcW w:w="3174" w:type="dxa"/>
            <w:tcBorders>
              <w:top w:val="nil"/>
              <w:left w:val="nil"/>
              <w:bottom w:val="nil"/>
              <w:right w:val="nil"/>
            </w:tcBorders>
            <w:shd w:val="clear" w:color="auto" w:fill="auto"/>
            <w:vAlign w:val="bottom"/>
            <w:hideMark/>
          </w:tcPr>
          <w:p w:rsidRPr="00C5308E" w:rsidR="00CB044F" w:rsidP="00D87753" w:rsidRDefault="00CB044F" w14:paraId="33F59873"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lastRenderedPageBreak/>
              <w:t>4e (257-380% WML)</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6FE6531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0,3%</w:t>
            </w:r>
          </w:p>
        </w:tc>
      </w:tr>
      <w:tr w:rsidRPr="00C5308E" w:rsidR="00CB044F" w:rsidTr="003C75FE" w14:paraId="497AF263" w14:textId="77777777">
        <w:trPr>
          <w:trHeight w:val="253"/>
        </w:trPr>
        <w:tc>
          <w:tcPr>
            <w:tcW w:w="3174" w:type="dxa"/>
            <w:tcBorders>
              <w:top w:val="nil"/>
              <w:left w:val="nil"/>
              <w:bottom w:val="nil"/>
              <w:right w:val="nil"/>
            </w:tcBorders>
            <w:shd w:val="clear" w:color="auto" w:fill="auto"/>
            <w:vAlign w:val="bottom"/>
            <w:hideMark/>
          </w:tcPr>
          <w:p w:rsidRPr="00C5308E" w:rsidR="00CB044F" w:rsidP="00D87753" w:rsidRDefault="00CB044F" w14:paraId="29EB560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5e (&gt;380% WML)</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444FEE6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0,1%</w:t>
            </w:r>
          </w:p>
        </w:tc>
      </w:tr>
      <w:tr w:rsidRPr="00C5308E" w:rsidR="00CB044F" w:rsidTr="003C75FE" w14:paraId="6D47B707"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0CB1A68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164EEF8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76ACCEA0"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73456F17"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Inkomensbron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49C3C6C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6C64A74A"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5E7FBB4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Werkenden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65403CA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0,3%</w:t>
            </w:r>
          </w:p>
        </w:tc>
      </w:tr>
      <w:tr w:rsidRPr="00C5308E" w:rsidR="00CB044F" w:rsidTr="003C75FE" w14:paraId="38CAA0BF"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6C72B80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Uitkeringsgerechtigden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080B691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2,7%</w:t>
            </w:r>
          </w:p>
        </w:tc>
      </w:tr>
      <w:tr w:rsidRPr="00C5308E" w:rsidR="00CB044F" w:rsidTr="003C75FE" w14:paraId="2F7BED7B"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5085849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Gepensioneerden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2D3D9B4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w:t>
            </w:r>
          </w:p>
        </w:tc>
      </w:tr>
      <w:tr w:rsidRPr="00C5308E" w:rsidR="00CB044F" w:rsidTr="003C75FE" w14:paraId="1F23886E"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405261F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3385629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6AB8377F"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3135B46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Huishoudtype</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7457E34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17E68C7D"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3835EF4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Tweeverdieners</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082894F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0,5%</w:t>
            </w:r>
          </w:p>
        </w:tc>
      </w:tr>
      <w:tr w:rsidRPr="00C5308E" w:rsidR="00CB044F" w:rsidTr="003C75FE" w14:paraId="22E4E5A0"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02A84DF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Alleenstaanden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0DC392D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1,2%</w:t>
            </w:r>
          </w:p>
        </w:tc>
      </w:tr>
      <w:tr w:rsidRPr="00C5308E" w:rsidR="00CB044F" w:rsidTr="003C75FE" w14:paraId="4A43B0C1"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4249F95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Alleenverdieners</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2AEFBD7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0,5%</w:t>
            </w:r>
          </w:p>
        </w:tc>
      </w:tr>
      <w:tr w:rsidRPr="00C5308E" w:rsidR="00CB044F" w:rsidTr="003C75FE" w14:paraId="587F6F2C"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21E0BCF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45BF572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75682919"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2BD8DC6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398D1B9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15D653BF"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37FD9B9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met kinderen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1746E54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0,3%</w:t>
            </w:r>
          </w:p>
        </w:tc>
      </w:tr>
      <w:tr w:rsidRPr="00C5308E" w:rsidR="00CB044F" w:rsidTr="003C75FE" w14:paraId="62BB2ECF" w14:textId="77777777">
        <w:trPr>
          <w:trHeight w:val="253"/>
        </w:trPr>
        <w:tc>
          <w:tcPr>
            <w:tcW w:w="3174" w:type="dxa"/>
            <w:tcBorders>
              <w:top w:val="nil"/>
              <w:left w:val="nil"/>
              <w:bottom w:val="nil"/>
              <w:right w:val="nil"/>
            </w:tcBorders>
            <w:shd w:val="clear" w:color="000000" w:fill="FFFFFF"/>
            <w:noWrap/>
            <w:vAlign w:val="bottom"/>
            <w:hideMark/>
          </w:tcPr>
          <w:p w:rsidRPr="00C5308E" w:rsidR="00CB044F" w:rsidP="00D87753" w:rsidRDefault="00CB044F" w14:paraId="5A578B6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zonder kinderen</w:t>
            </w:r>
          </w:p>
        </w:tc>
        <w:tc>
          <w:tcPr>
            <w:tcW w:w="1091" w:type="dxa"/>
            <w:tcBorders>
              <w:top w:val="nil"/>
              <w:left w:val="nil"/>
              <w:bottom w:val="nil"/>
              <w:right w:val="nil"/>
            </w:tcBorders>
            <w:shd w:val="clear" w:color="000000" w:fill="FFFFFF"/>
            <w:noWrap/>
            <w:vAlign w:val="bottom"/>
            <w:hideMark/>
          </w:tcPr>
          <w:p w:rsidRPr="00C5308E" w:rsidR="00CB044F" w:rsidP="00D87753" w:rsidRDefault="00CB044F" w14:paraId="6B8B86B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0,3%</w:t>
            </w:r>
          </w:p>
        </w:tc>
      </w:tr>
      <w:tr w:rsidRPr="00C5308E" w:rsidR="00CB044F" w:rsidTr="003C75FE" w14:paraId="4ACBA49A" w14:textId="77777777">
        <w:trPr>
          <w:trHeight w:val="253"/>
        </w:trPr>
        <w:tc>
          <w:tcPr>
            <w:tcW w:w="3174"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41FF947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91"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04EE735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3C063003" w14:textId="77777777">
        <w:trPr>
          <w:trHeight w:val="265"/>
        </w:trPr>
        <w:tc>
          <w:tcPr>
            <w:tcW w:w="3174"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0176732D"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 huishoudens</w:t>
            </w:r>
          </w:p>
        </w:tc>
        <w:tc>
          <w:tcPr>
            <w:tcW w:w="1091"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382D46E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0,8%</w:t>
            </w:r>
          </w:p>
        </w:tc>
      </w:tr>
    </w:tbl>
    <w:p w:rsidRPr="00C5308E" w:rsidR="00CB044F" w:rsidP="00D87753" w:rsidRDefault="00CB044F" w14:paraId="6B1395C7" w14:textId="77777777">
      <w:pPr>
        <w:spacing w:after="0" w:line="240" w:lineRule="auto"/>
        <w:contextualSpacing/>
        <w:rPr>
          <w:rFonts w:ascii="Verdana" w:hAnsi="Verdana"/>
          <w:bCs/>
          <w:sz w:val="18"/>
          <w:szCs w:val="18"/>
          <w:u w:val="single"/>
        </w:rPr>
      </w:pPr>
    </w:p>
    <w:p w:rsidRPr="00C5308E" w:rsidR="00CB044F" w:rsidP="00D87753" w:rsidRDefault="00CB044F" w14:paraId="6965D95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184</w:t>
      </w:r>
    </w:p>
    <w:p w:rsidRPr="00C5308E" w:rsidR="00CB044F" w:rsidP="00D87753" w:rsidRDefault="00CB044F" w14:paraId="034FEE19"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armoede bij een verhoging van het wettelijk minimumloon naar € 16 per uur?</w:t>
      </w:r>
    </w:p>
    <w:p w:rsidRPr="00C5308E" w:rsidR="00CB044F" w:rsidP="00D87753" w:rsidRDefault="00CB044F" w14:paraId="2C6DE27D" w14:textId="77777777">
      <w:pPr>
        <w:spacing w:after="0" w:line="240" w:lineRule="auto"/>
        <w:contextualSpacing/>
        <w:rPr>
          <w:rFonts w:ascii="Verdana" w:hAnsi="Verdana"/>
          <w:bCs/>
          <w:sz w:val="18"/>
          <w:szCs w:val="18"/>
        </w:rPr>
      </w:pPr>
    </w:p>
    <w:p w:rsidRPr="00C5308E" w:rsidR="00CB044F" w:rsidP="00D87753" w:rsidRDefault="00CB044F" w14:paraId="0E96B21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184</w:t>
      </w:r>
    </w:p>
    <w:p w:rsidRPr="00C5308E" w:rsidR="00CB044F" w:rsidP="00D87753" w:rsidRDefault="00CB044F" w14:paraId="463B4E03"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het risico op armoede onder personen (ex-ante) in 2027 en 2028 in het basispad (CEP 2025), en bij verhoging van het WML met 5% (€ 16 per uur) per 1 januari 2027. De armoede neemt naar verwachting met 0,2%-punt af.</w:t>
      </w:r>
    </w:p>
    <w:p w:rsidRPr="00C5308E" w:rsidR="00CB044F" w:rsidP="00D87753" w:rsidRDefault="00CB044F" w14:paraId="6C2C9643" w14:textId="77777777">
      <w:pPr>
        <w:spacing w:after="0" w:line="240" w:lineRule="auto"/>
        <w:contextualSpacing/>
        <w:rPr>
          <w:rFonts w:ascii="Verdana" w:hAnsi="Verdana"/>
          <w:bCs/>
          <w:sz w:val="18"/>
          <w:szCs w:val="18"/>
        </w:rPr>
      </w:pPr>
    </w:p>
    <w:p w:rsidRPr="00C5308E" w:rsidR="00CB044F" w:rsidP="00D87753" w:rsidRDefault="00CB044F" w14:paraId="058D8BFE" w14:textId="77777777">
      <w:pPr>
        <w:spacing w:after="0" w:line="240" w:lineRule="auto"/>
        <w:contextualSpacing/>
        <w:rPr>
          <w:rFonts w:ascii="Verdana" w:hAnsi="Verdana"/>
          <w:bCs/>
          <w:sz w:val="18"/>
          <w:szCs w:val="18"/>
        </w:rPr>
      </w:pPr>
      <w:r w:rsidRPr="00C5308E">
        <w:rPr>
          <w:rFonts w:ascii="Verdana" w:hAnsi="Verdana"/>
          <w:bCs/>
          <w:sz w:val="18"/>
          <w:szCs w:val="18"/>
        </w:rPr>
        <w:t>Tabel: armoede onder personen (%)</w:t>
      </w:r>
    </w:p>
    <w:p w:rsidRPr="00C5308E" w:rsidR="00CB044F" w:rsidP="00D87753" w:rsidRDefault="00CB044F" w14:paraId="2240484C" w14:textId="77777777">
      <w:pPr>
        <w:spacing w:after="0" w:line="240" w:lineRule="auto"/>
        <w:contextualSpacing/>
        <w:rPr>
          <w:rFonts w:ascii="Verdana" w:hAnsi="Verdana"/>
          <w:bCs/>
          <w:sz w:val="18"/>
          <w:szCs w:val="18"/>
        </w:rPr>
      </w:pPr>
    </w:p>
    <w:tbl>
      <w:tblPr>
        <w:tblW w:w="5244" w:type="dxa"/>
        <w:tblCellMar>
          <w:left w:w="70" w:type="dxa"/>
          <w:right w:w="70" w:type="dxa"/>
        </w:tblCellMar>
        <w:tblLook w:val="04A0" w:firstRow="1" w:lastRow="0" w:firstColumn="1" w:lastColumn="0" w:noHBand="0" w:noVBand="1"/>
      </w:tblPr>
      <w:tblGrid>
        <w:gridCol w:w="3080"/>
        <w:gridCol w:w="1082"/>
        <w:gridCol w:w="1082"/>
      </w:tblGrid>
      <w:tr w:rsidRPr="00C5308E" w:rsidR="00CB044F" w:rsidTr="003C75FE" w14:paraId="14244EC2"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172247D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xml:space="preserve">Armoede onder personen </w:t>
            </w:r>
          </w:p>
        </w:tc>
        <w:tc>
          <w:tcPr>
            <w:tcW w:w="1082" w:type="dxa"/>
            <w:tcBorders>
              <w:top w:val="single" w:color="auto" w:sz="8" w:space="0"/>
              <w:left w:val="nil"/>
              <w:bottom w:val="single" w:color="auto" w:sz="8" w:space="0"/>
              <w:right w:val="nil"/>
            </w:tcBorders>
            <w:shd w:val="clear" w:color="000000" w:fill="FFFFFF"/>
            <w:noWrap/>
            <w:vAlign w:val="bottom"/>
          </w:tcPr>
          <w:p w:rsidRPr="00C5308E" w:rsidR="00CB044F" w:rsidP="00D87753" w:rsidRDefault="00CB044F" w14:paraId="192B518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82" w:type="dxa"/>
            <w:tcBorders>
              <w:top w:val="single" w:color="auto" w:sz="8" w:space="0"/>
              <w:left w:val="nil"/>
              <w:bottom w:val="single" w:color="auto" w:sz="8" w:space="0"/>
              <w:right w:val="nil"/>
            </w:tcBorders>
            <w:shd w:val="clear" w:color="000000" w:fill="FFFFFF"/>
          </w:tcPr>
          <w:p w:rsidRPr="00C5308E" w:rsidR="00CB044F" w:rsidP="00D87753" w:rsidRDefault="00CB044F" w14:paraId="2DE3B85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r>
      <w:tr w:rsidRPr="00C5308E" w:rsidR="00CB044F" w:rsidTr="003C75FE" w14:paraId="1AEFC75A"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4FEE17D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Basispad</w:t>
            </w:r>
          </w:p>
        </w:tc>
        <w:tc>
          <w:tcPr>
            <w:tcW w:w="1082" w:type="dxa"/>
            <w:tcBorders>
              <w:top w:val="nil"/>
              <w:left w:val="nil"/>
              <w:bottom w:val="nil"/>
              <w:right w:val="nil"/>
            </w:tcBorders>
            <w:shd w:val="clear" w:color="000000" w:fill="FFFFFF"/>
            <w:noWrap/>
            <w:vAlign w:val="bottom"/>
          </w:tcPr>
          <w:p w:rsidRPr="00C5308E" w:rsidR="00CB044F" w:rsidP="00D87753" w:rsidRDefault="00CB044F" w14:paraId="7C15186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w:t>
            </w:r>
          </w:p>
        </w:tc>
        <w:tc>
          <w:tcPr>
            <w:tcW w:w="1082" w:type="dxa"/>
            <w:tcBorders>
              <w:top w:val="nil"/>
              <w:left w:val="nil"/>
              <w:bottom w:val="nil"/>
              <w:right w:val="nil"/>
            </w:tcBorders>
            <w:shd w:val="clear" w:color="000000" w:fill="FFFFFF"/>
          </w:tcPr>
          <w:p w:rsidRPr="00C5308E" w:rsidR="00CB044F" w:rsidP="00D87753" w:rsidRDefault="00CB044F" w14:paraId="5056E377"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30612C5D"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2,7%</w:t>
            </w:r>
          </w:p>
        </w:tc>
      </w:tr>
      <w:tr w:rsidRPr="00C5308E" w:rsidR="00CB044F" w:rsidTr="003C75FE" w14:paraId="566A4CD9"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7BBF79D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Bijzondere verhoging WML 5%</w:t>
            </w:r>
          </w:p>
        </w:tc>
        <w:tc>
          <w:tcPr>
            <w:tcW w:w="1082" w:type="dxa"/>
            <w:tcBorders>
              <w:top w:val="nil"/>
              <w:left w:val="nil"/>
              <w:bottom w:val="nil"/>
              <w:right w:val="nil"/>
            </w:tcBorders>
            <w:shd w:val="clear" w:color="000000" w:fill="FFFFFF"/>
            <w:noWrap/>
            <w:vAlign w:val="bottom"/>
          </w:tcPr>
          <w:p w:rsidRPr="00C5308E" w:rsidR="00CB044F" w:rsidP="00D87753" w:rsidRDefault="00CB044F" w14:paraId="7BB15AF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2,6%</w:t>
            </w:r>
          </w:p>
        </w:tc>
        <w:tc>
          <w:tcPr>
            <w:tcW w:w="1082" w:type="dxa"/>
            <w:tcBorders>
              <w:top w:val="nil"/>
              <w:left w:val="nil"/>
              <w:bottom w:val="nil"/>
              <w:right w:val="nil"/>
            </w:tcBorders>
            <w:shd w:val="clear" w:color="000000" w:fill="FFFFFF"/>
          </w:tcPr>
          <w:p w:rsidRPr="00C5308E" w:rsidR="00CB044F" w:rsidP="00D87753" w:rsidRDefault="00CB044F" w14:paraId="5DFC4C63"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330B5FE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w:t>
            </w:r>
          </w:p>
        </w:tc>
      </w:tr>
    </w:tbl>
    <w:p w:rsidRPr="00C5308E" w:rsidR="00CB044F" w:rsidP="00D87753" w:rsidRDefault="00CB044F" w14:paraId="1523C36B" w14:textId="77777777">
      <w:pPr>
        <w:spacing w:after="0" w:line="240" w:lineRule="auto"/>
        <w:contextualSpacing/>
        <w:rPr>
          <w:rFonts w:ascii="Verdana" w:hAnsi="Verdana"/>
          <w:bCs/>
          <w:sz w:val="18"/>
          <w:szCs w:val="18"/>
        </w:rPr>
      </w:pPr>
    </w:p>
    <w:p w:rsidRPr="00C5308E" w:rsidR="00E97B61" w:rsidP="00D87753" w:rsidRDefault="00E97B61" w14:paraId="24286A3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185</w:t>
      </w:r>
    </w:p>
    <w:p w:rsidRPr="00C5308E" w:rsidR="00E97B61" w:rsidP="00D87753" w:rsidRDefault="00E97B61" w14:paraId="3D7F2C93"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het minimumloon te verhogen naar € 18 per uur vanaf 1 januari 2026?</w:t>
      </w:r>
    </w:p>
    <w:p w:rsidRPr="00C5308E" w:rsidR="00E97B61" w:rsidP="00D87753" w:rsidRDefault="00E97B61" w14:paraId="52DDDB84" w14:textId="77777777">
      <w:pPr>
        <w:spacing w:after="0" w:line="240" w:lineRule="auto"/>
        <w:contextualSpacing/>
        <w:rPr>
          <w:rFonts w:ascii="Verdana" w:hAnsi="Verdana"/>
          <w:bCs/>
          <w:sz w:val="18"/>
          <w:szCs w:val="18"/>
        </w:rPr>
      </w:pPr>
    </w:p>
    <w:p w:rsidRPr="00C5308E" w:rsidR="00E97B61" w:rsidP="00D87753" w:rsidRDefault="00E97B61" w14:paraId="243B482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185</w:t>
      </w:r>
    </w:p>
    <w:p w:rsidRPr="00C5308E" w:rsidR="00E97B61" w:rsidP="00D87753" w:rsidRDefault="00E97B61" w14:paraId="114C8512" w14:textId="25F745A8">
      <w:pPr>
        <w:spacing w:after="0" w:line="240" w:lineRule="auto"/>
        <w:contextualSpacing/>
        <w:rPr>
          <w:rFonts w:ascii="Verdana" w:hAnsi="Verdana"/>
          <w:bCs/>
          <w:sz w:val="18"/>
          <w:szCs w:val="18"/>
        </w:rPr>
      </w:pPr>
      <w:r w:rsidRPr="00C5308E">
        <w:rPr>
          <w:rFonts w:ascii="Verdana" w:hAnsi="Verdana"/>
          <w:bCs/>
          <w:sz w:val="18"/>
          <w:szCs w:val="18"/>
        </w:rPr>
        <w:t xml:space="preserve">Een bijzondere verhoging van het wettelijk minimumloon per 1 januari 2026 is niet meer uitvoerbaar. Een verhoging van het minimumloon vergt een wetswijziging. Dit kost normaliter anderhalf tot twee jaar. Rekening houdend met de duur van een wetstraject kan het minimumloon </w:t>
      </w:r>
      <w:r w:rsidRPr="00C5308E" w:rsidR="00C468F0">
        <w:rPr>
          <w:rFonts w:ascii="Verdana" w:hAnsi="Verdana"/>
          <w:bCs/>
          <w:sz w:val="18"/>
          <w:szCs w:val="18"/>
        </w:rPr>
        <w:t xml:space="preserve">op zijn vroegst </w:t>
      </w:r>
      <w:r w:rsidRPr="00C5308E">
        <w:rPr>
          <w:rFonts w:ascii="Verdana" w:hAnsi="Verdana"/>
          <w:bCs/>
          <w:sz w:val="18"/>
          <w:szCs w:val="18"/>
        </w:rPr>
        <w:t>per 1 januari 2027 worden verhoogd.</w:t>
      </w:r>
    </w:p>
    <w:p w:rsidRPr="00C5308E" w:rsidR="00E97B61" w:rsidP="00D87753" w:rsidRDefault="00E97B61" w14:paraId="3F99C926" w14:textId="77777777">
      <w:pPr>
        <w:spacing w:after="0" w:line="240" w:lineRule="auto"/>
        <w:contextualSpacing/>
        <w:rPr>
          <w:rFonts w:ascii="Verdana" w:hAnsi="Verdana"/>
          <w:bCs/>
          <w:sz w:val="18"/>
          <w:szCs w:val="18"/>
        </w:rPr>
      </w:pPr>
    </w:p>
    <w:p w:rsidRPr="00C5308E" w:rsidR="00E97B61" w:rsidP="00D87753" w:rsidRDefault="00E97B61" w14:paraId="09C686D5" w14:textId="683FCA1E">
      <w:pPr>
        <w:spacing w:after="0" w:line="240" w:lineRule="auto"/>
        <w:contextualSpacing/>
        <w:rPr>
          <w:rFonts w:ascii="Verdana" w:hAnsi="Verdana"/>
          <w:bCs/>
          <w:sz w:val="18"/>
          <w:szCs w:val="18"/>
        </w:rPr>
      </w:pPr>
      <w:r w:rsidRPr="00C5308E">
        <w:rPr>
          <w:rFonts w:ascii="Verdana" w:hAnsi="Verdana"/>
          <w:bCs/>
          <w:sz w:val="18"/>
          <w:szCs w:val="18"/>
        </w:rPr>
        <w:t xml:space="preserve">Volgens de huidige inzichten is per 1 januari 2027 een bijzondere verhoging van het minimumloon van 18,3% benodigd om uit te komen op een minimumuurloon van </w:t>
      </w:r>
      <w:r w:rsidRPr="00C5308E" w:rsidR="00EF1671">
        <w:rPr>
          <w:rFonts w:ascii="Verdana" w:hAnsi="Verdana"/>
          <w:bCs/>
          <w:sz w:val="18"/>
          <w:szCs w:val="18"/>
        </w:rPr>
        <w:t xml:space="preserve">€ </w:t>
      </w:r>
      <w:r w:rsidRPr="00C5308E">
        <w:rPr>
          <w:rFonts w:ascii="Verdana" w:hAnsi="Verdana"/>
          <w:bCs/>
          <w:sz w:val="18"/>
          <w:szCs w:val="18"/>
        </w:rPr>
        <w:t>18</w:t>
      </w:r>
      <w:r w:rsidRPr="00C5308E" w:rsidR="00EF1671">
        <w:rPr>
          <w:rFonts w:ascii="Verdana" w:hAnsi="Verdana"/>
          <w:bCs/>
          <w:sz w:val="18"/>
          <w:szCs w:val="18"/>
        </w:rPr>
        <w:t>,-</w:t>
      </w:r>
      <w:r w:rsidRPr="00C5308E">
        <w:rPr>
          <w:rFonts w:ascii="Verdana" w:hAnsi="Verdana"/>
          <w:bCs/>
          <w:sz w:val="18"/>
          <w:szCs w:val="18"/>
        </w:rPr>
        <w:t xml:space="preserve">. Als de reguliere indexatie van het minimumloon in de komende jaren anders uitvalt dan nu verwacht, dan wijzigt het benodigde stijgingspercentage om uit te komen op een minimumuurloon van </w:t>
      </w:r>
      <w:r w:rsidRPr="00C5308E" w:rsidR="00EF1671">
        <w:rPr>
          <w:rFonts w:ascii="Verdana" w:hAnsi="Verdana"/>
          <w:bCs/>
          <w:sz w:val="18"/>
          <w:szCs w:val="18"/>
        </w:rPr>
        <w:t xml:space="preserve">€ </w:t>
      </w:r>
      <w:r w:rsidRPr="00C5308E">
        <w:rPr>
          <w:rFonts w:ascii="Verdana" w:hAnsi="Verdana"/>
          <w:bCs/>
          <w:sz w:val="18"/>
          <w:szCs w:val="18"/>
        </w:rPr>
        <w:t>18</w:t>
      </w:r>
      <w:r w:rsidRPr="00C5308E" w:rsidR="00EF1671">
        <w:rPr>
          <w:rFonts w:ascii="Verdana" w:hAnsi="Verdana"/>
          <w:bCs/>
          <w:sz w:val="18"/>
          <w:szCs w:val="18"/>
        </w:rPr>
        <w:t>,-</w:t>
      </w:r>
      <w:r w:rsidRPr="00C5308E">
        <w:rPr>
          <w:rFonts w:ascii="Verdana" w:hAnsi="Verdana"/>
          <w:bCs/>
          <w:sz w:val="18"/>
          <w:szCs w:val="18"/>
        </w:rPr>
        <w:t>.</w:t>
      </w:r>
    </w:p>
    <w:p w:rsidRPr="00C5308E" w:rsidR="00E97B61" w:rsidP="00D87753" w:rsidRDefault="00E97B61" w14:paraId="202F4C8F" w14:textId="77777777">
      <w:pPr>
        <w:spacing w:after="0" w:line="240" w:lineRule="auto"/>
        <w:contextualSpacing/>
        <w:rPr>
          <w:rFonts w:ascii="Verdana" w:hAnsi="Verdana"/>
          <w:bCs/>
          <w:sz w:val="18"/>
          <w:szCs w:val="18"/>
        </w:rPr>
      </w:pPr>
    </w:p>
    <w:p w:rsidRPr="00C5308E" w:rsidR="00E97B61" w:rsidP="00D87753" w:rsidRDefault="00E97B61" w14:paraId="5198BFBF" w14:textId="77777777">
      <w:pPr>
        <w:spacing w:after="0" w:line="240" w:lineRule="auto"/>
        <w:contextualSpacing/>
        <w:rPr>
          <w:rFonts w:ascii="Verdana" w:hAnsi="Verdana"/>
          <w:bCs/>
          <w:sz w:val="18"/>
          <w:szCs w:val="18"/>
        </w:rPr>
      </w:pPr>
      <w:r w:rsidRPr="00C5308E">
        <w:rPr>
          <w:rFonts w:ascii="Verdana" w:hAnsi="Verdana"/>
          <w:bCs/>
          <w:sz w:val="18"/>
          <w:szCs w:val="18"/>
        </w:rPr>
        <w:t>Een bijzondere verhoging van het wettelijk minimumloon met 18,3% kost structureel ongeveer € 15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C5308E" w:rsidR="00E97B61" w:rsidP="00D87753" w:rsidRDefault="00E97B61" w14:paraId="3B617092" w14:textId="77777777">
      <w:pPr>
        <w:spacing w:after="0" w:line="240" w:lineRule="auto"/>
        <w:contextualSpacing/>
        <w:rPr>
          <w:rFonts w:ascii="Verdana" w:hAnsi="Verdana"/>
          <w:bCs/>
          <w:sz w:val="18"/>
          <w:szCs w:val="18"/>
        </w:rPr>
      </w:pPr>
    </w:p>
    <w:p w:rsidRPr="00C5308E" w:rsidR="00CB044F" w:rsidP="00D87753" w:rsidRDefault="00CB044F" w14:paraId="52E29D4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186</w:t>
      </w:r>
    </w:p>
    <w:p w:rsidRPr="00C5308E" w:rsidR="00CB044F" w:rsidP="00D87753" w:rsidRDefault="00CB044F" w14:paraId="5AB7FA37"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de reële koopkracht uitgesplitst in 2026, 2027 en 2028 van het verhogen van het minimumloon naar € 18 per uur met daarbij in achtneming van verschillende inflatiescenario’s, tenminste bevattende een aanhoudende jaargemiddelde inflatie van 2%, 5%, 7,5% en 10%?</w:t>
      </w:r>
    </w:p>
    <w:p w:rsidRPr="00C5308E" w:rsidR="00CB044F" w:rsidP="00D87753" w:rsidRDefault="00CB044F" w14:paraId="5F06F8E1" w14:textId="77777777">
      <w:pPr>
        <w:spacing w:after="0" w:line="240" w:lineRule="auto"/>
        <w:contextualSpacing/>
        <w:rPr>
          <w:rFonts w:ascii="Verdana" w:hAnsi="Verdana"/>
          <w:bCs/>
          <w:sz w:val="18"/>
          <w:szCs w:val="18"/>
          <w:u w:val="single"/>
        </w:rPr>
      </w:pPr>
    </w:p>
    <w:p w:rsidRPr="00C5308E" w:rsidR="00CB044F" w:rsidP="00D87753" w:rsidRDefault="00CB044F" w14:paraId="2986B4F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186</w:t>
      </w:r>
    </w:p>
    <w:p w:rsidRPr="00C5308E" w:rsidR="00CB044F" w:rsidP="00D87753" w:rsidRDefault="00CB044F" w14:paraId="2FD950C8" w14:textId="0168F844">
      <w:pPr>
        <w:spacing w:after="0" w:line="240" w:lineRule="auto"/>
        <w:contextualSpacing/>
        <w:rPr>
          <w:rFonts w:ascii="Verdana" w:hAnsi="Verdana"/>
          <w:bCs/>
          <w:sz w:val="18"/>
          <w:szCs w:val="18"/>
        </w:rPr>
      </w:pPr>
      <w:r w:rsidRPr="00C5308E">
        <w:rPr>
          <w:rFonts w:ascii="Verdana" w:hAnsi="Verdana"/>
          <w:bCs/>
          <w:sz w:val="18"/>
          <w:szCs w:val="18"/>
        </w:rPr>
        <w:t xml:space="preserve">Een bijzondere verhoging van het wettelijk minimumloon per 1 januari 2026 is niet meer uitvoerbaar. Een verhoging van het minimumloon vergt een wetswijziging. Dit kost normaliter anderhalf tot twee jaar. Rekening houdend met de duur van een wetstraject kan het minimumloon </w:t>
      </w:r>
      <w:r w:rsidRPr="00C5308E" w:rsidR="00954A34">
        <w:rPr>
          <w:rFonts w:ascii="Verdana" w:hAnsi="Verdana"/>
          <w:bCs/>
          <w:sz w:val="18"/>
          <w:szCs w:val="18"/>
        </w:rPr>
        <w:t xml:space="preserve">op zijn vroegst </w:t>
      </w:r>
      <w:r w:rsidRPr="00C5308E">
        <w:rPr>
          <w:rFonts w:ascii="Verdana" w:hAnsi="Verdana"/>
          <w:bCs/>
          <w:sz w:val="18"/>
          <w:szCs w:val="18"/>
        </w:rPr>
        <w:t>per 1 januari 2027 worden verhoogd.</w:t>
      </w:r>
    </w:p>
    <w:p w:rsidRPr="00C5308E" w:rsidR="00CB044F" w:rsidP="00D87753" w:rsidRDefault="00CB044F" w14:paraId="3EFCD575" w14:textId="77777777">
      <w:pPr>
        <w:spacing w:after="0" w:line="240" w:lineRule="auto"/>
        <w:contextualSpacing/>
        <w:rPr>
          <w:rFonts w:ascii="Verdana" w:hAnsi="Verdana"/>
          <w:bCs/>
          <w:sz w:val="18"/>
          <w:szCs w:val="18"/>
        </w:rPr>
      </w:pPr>
    </w:p>
    <w:p w:rsidRPr="00C5308E" w:rsidR="00CB044F" w:rsidP="00D87753" w:rsidRDefault="00CB044F" w14:paraId="0495CA51" w14:textId="3DBCA891">
      <w:pPr>
        <w:spacing w:after="0" w:line="240" w:lineRule="auto"/>
        <w:contextualSpacing/>
        <w:rPr>
          <w:rFonts w:ascii="Verdana" w:hAnsi="Verdana"/>
          <w:bCs/>
          <w:sz w:val="18"/>
          <w:szCs w:val="18"/>
        </w:rPr>
      </w:pPr>
      <w:r w:rsidRPr="00C5308E">
        <w:rPr>
          <w:rFonts w:ascii="Verdana" w:hAnsi="Verdana"/>
          <w:bCs/>
          <w:sz w:val="18"/>
          <w:szCs w:val="18"/>
        </w:rPr>
        <w:t>Volgens de huidige inzichten is per 1 januari 2027 een bijzondere verhoging van het minimumloon van 18,3% benodigd om uit te komen op een minimumuurloon van € 18. Als de reguliere indexatie van het minimumloon in de komende jaren anders uitvalt dan nu verwacht, dan wijzigt het benodigde stijgingspercentage om uit te komen op een minimumuurloon van € 18</w:t>
      </w:r>
      <w:r w:rsidRPr="00C5308E" w:rsidR="00962B3B">
        <w:rPr>
          <w:rFonts w:ascii="Verdana" w:hAnsi="Verdana"/>
          <w:bCs/>
          <w:sz w:val="18"/>
          <w:szCs w:val="18"/>
        </w:rPr>
        <w:t>,-</w:t>
      </w:r>
      <w:r w:rsidRPr="00C5308E">
        <w:rPr>
          <w:rFonts w:ascii="Verdana" w:hAnsi="Verdana"/>
          <w:bCs/>
          <w:sz w:val="18"/>
          <w:szCs w:val="18"/>
        </w:rPr>
        <w:t>.</w:t>
      </w:r>
    </w:p>
    <w:p w:rsidRPr="00C5308E" w:rsidR="00CB044F" w:rsidP="00D87753" w:rsidRDefault="00CB044F" w14:paraId="017F2C9E" w14:textId="77777777">
      <w:pPr>
        <w:spacing w:after="0" w:line="240" w:lineRule="auto"/>
        <w:contextualSpacing/>
        <w:rPr>
          <w:rFonts w:ascii="Verdana" w:hAnsi="Verdana"/>
          <w:bCs/>
          <w:sz w:val="18"/>
          <w:szCs w:val="18"/>
        </w:rPr>
      </w:pPr>
    </w:p>
    <w:p w:rsidRPr="00C5308E" w:rsidR="00CB044F" w:rsidP="00D87753" w:rsidRDefault="00CB044F" w14:paraId="06DF5CCE"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een indicatie van de inkomenseffecten van een bijzondere verhoging van het wettelijk minimumloon met 18,3%,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C5308E" w:rsidR="00CB044F" w:rsidP="00D87753" w:rsidRDefault="00CB044F" w14:paraId="41F7EF2D" w14:textId="77777777">
      <w:pPr>
        <w:spacing w:after="0" w:line="240" w:lineRule="auto"/>
        <w:contextualSpacing/>
        <w:rPr>
          <w:rFonts w:ascii="Verdana" w:hAnsi="Verdana"/>
          <w:bCs/>
          <w:sz w:val="18"/>
          <w:szCs w:val="18"/>
        </w:rPr>
      </w:pPr>
    </w:p>
    <w:p w:rsidRPr="00C5308E" w:rsidR="00CB044F" w:rsidP="00D87753" w:rsidRDefault="00CB044F" w14:paraId="5F9F7A5C" w14:textId="77777777">
      <w:pPr>
        <w:spacing w:after="0" w:line="240" w:lineRule="auto"/>
        <w:contextualSpacing/>
        <w:rPr>
          <w:rFonts w:ascii="Verdana" w:hAnsi="Verdana"/>
          <w:bCs/>
          <w:sz w:val="18"/>
          <w:szCs w:val="18"/>
        </w:rPr>
      </w:pPr>
      <w:r w:rsidRPr="00C5308E">
        <w:rPr>
          <w:rFonts w:ascii="Verdana" w:hAnsi="Verdana"/>
          <w:bCs/>
          <w:sz w:val="18"/>
          <w:szCs w:val="18"/>
        </w:rPr>
        <w:t>De maatregel heeft een mediaan inkomenseffect van 4,4% voor alle Nederlandse huishoudens. Het positieve inkomenseffect zit met name bij de laagste inkomensgroepen (9,6% en 7,4%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doorsnee werkende gaat er 2,0% op vooruit, maar vooral voor werkenden op en net boven het WML ligt de inkomensvooruitgang hoger.</w:t>
      </w:r>
    </w:p>
    <w:p w:rsidRPr="00C5308E" w:rsidR="00CB044F" w:rsidP="00D87753" w:rsidRDefault="00CB044F" w14:paraId="0425F7E3" w14:textId="77777777">
      <w:pPr>
        <w:spacing w:after="0" w:line="240" w:lineRule="auto"/>
        <w:contextualSpacing/>
        <w:rPr>
          <w:rFonts w:ascii="Verdana" w:hAnsi="Verdana"/>
          <w:bCs/>
          <w:sz w:val="18"/>
          <w:szCs w:val="18"/>
        </w:rPr>
      </w:pPr>
    </w:p>
    <w:p w:rsidRPr="00C5308E" w:rsidR="00CB044F" w:rsidP="00D87753" w:rsidRDefault="00CB044F" w14:paraId="3FA3787C" w14:textId="128E84CD">
      <w:pPr>
        <w:spacing w:after="0" w:line="240" w:lineRule="auto"/>
        <w:contextualSpacing/>
        <w:rPr>
          <w:rFonts w:ascii="Verdana" w:hAnsi="Verdana"/>
          <w:bCs/>
          <w:sz w:val="18"/>
          <w:szCs w:val="18"/>
        </w:rPr>
      </w:pPr>
      <w:r w:rsidRPr="00C5308E">
        <w:rPr>
          <w:rFonts w:ascii="Verdana" w:hAnsi="Verdana"/>
          <w:bCs/>
          <w:sz w:val="18"/>
          <w:szCs w:val="18"/>
        </w:rPr>
        <w:t>Tabel: Inkomenseffect bijzondere verhoging WML met 18,3% per 1 januari 2027</w:t>
      </w:r>
      <w:r w:rsidR="0096314B">
        <w:rPr>
          <w:rStyle w:val="Voetnootmarkering"/>
          <w:rFonts w:ascii="Verdana" w:hAnsi="Verdana"/>
          <w:bCs/>
          <w:sz w:val="18"/>
          <w:szCs w:val="18"/>
        </w:rPr>
        <w:footnoteReference w:id="41"/>
      </w:r>
    </w:p>
    <w:tbl>
      <w:tblPr>
        <w:tblW w:w="4208" w:type="dxa"/>
        <w:tblCellMar>
          <w:left w:w="70" w:type="dxa"/>
          <w:right w:w="70" w:type="dxa"/>
        </w:tblCellMar>
        <w:tblLook w:val="04A0" w:firstRow="1" w:lastRow="0" w:firstColumn="1" w:lastColumn="0" w:noHBand="0" w:noVBand="1"/>
      </w:tblPr>
      <w:tblGrid>
        <w:gridCol w:w="3131"/>
        <w:gridCol w:w="1077"/>
      </w:tblGrid>
      <w:tr w:rsidRPr="00C5308E" w:rsidR="00CB044F" w:rsidTr="003C75FE" w14:paraId="42DCF163" w14:textId="77777777">
        <w:trPr>
          <w:trHeight w:val="383"/>
        </w:trPr>
        <w:tc>
          <w:tcPr>
            <w:tcW w:w="3131"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7D520FA6"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Inkomensgroep</w:t>
            </w:r>
          </w:p>
        </w:tc>
        <w:tc>
          <w:tcPr>
            <w:tcW w:w="1077"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502F550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Iedereen</w:t>
            </w:r>
          </w:p>
        </w:tc>
      </w:tr>
      <w:tr w:rsidRPr="00C5308E" w:rsidR="00CB044F" w:rsidTr="003C75FE" w14:paraId="0AADED6B" w14:textId="77777777">
        <w:trPr>
          <w:trHeight w:val="247"/>
        </w:trPr>
        <w:tc>
          <w:tcPr>
            <w:tcW w:w="3131" w:type="dxa"/>
            <w:tcBorders>
              <w:top w:val="nil"/>
              <w:left w:val="nil"/>
              <w:bottom w:val="nil"/>
              <w:right w:val="nil"/>
            </w:tcBorders>
            <w:shd w:val="clear" w:color="auto" w:fill="auto"/>
            <w:vAlign w:val="bottom"/>
            <w:hideMark/>
          </w:tcPr>
          <w:p w:rsidRPr="00C5308E" w:rsidR="00CB044F" w:rsidP="00D87753" w:rsidRDefault="00CB044F" w14:paraId="31253DA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1e (&lt;=106% WML)</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7CBA1B15"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9,6%</w:t>
            </w:r>
          </w:p>
        </w:tc>
      </w:tr>
      <w:tr w:rsidRPr="00C5308E" w:rsidR="00CB044F" w:rsidTr="003C75FE" w14:paraId="73E567AF" w14:textId="77777777">
        <w:trPr>
          <w:trHeight w:val="247"/>
        </w:trPr>
        <w:tc>
          <w:tcPr>
            <w:tcW w:w="3131" w:type="dxa"/>
            <w:tcBorders>
              <w:top w:val="nil"/>
              <w:left w:val="nil"/>
              <w:bottom w:val="nil"/>
              <w:right w:val="nil"/>
            </w:tcBorders>
            <w:shd w:val="clear" w:color="auto" w:fill="auto"/>
            <w:vAlign w:val="bottom"/>
            <w:hideMark/>
          </w:tcPr>
          <w:p w:rsidRPr="00C5308E" w:rsidR="00CB044F" w:rsidP="00D87753" w:rsidRDefault="00CB044F" w14:paraId="4D79CDD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2e (106-173% WML)</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54DB15EF"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7,4%</w:t>
            </w:r>
          </w:p>
        </w:tc>
      </w:tr>
      <w:tr w:rsidRPr="00C5308E" w:rsidR="00CB044F" w:rsidTr="003C75FE" w14:paraId="635FB1C1" w14:textId="77777777">
        <w:trPr>
          <w:trHeight w:val="247"/>
        </w:trPr>
        <w:tc>
          <w:tcPr>
            <w:tcW w:w="3131" w:type="dxa"/>
            <w:tcBorders>
              <w:top w:val="nil"/>
              <w:left w:val="nil"/>
              <w:bottom w:val="nil"/>
              <w:right w:val="nil"/>
            </w:tcBorders>
            <w:shd w:val="clear" w:color="auto" w:fill="auto"/>
            <w:vAlign w:val="bottom"/>
            <w:hideMark/>
          </w:tcPr>
          <w:p w:rsidRPr="00C5308E" w:rsidR="00CB044F" w:rsidP="00D87753" w:rsidRDefault="00CB044F" w14:paraId="42C79A1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3e (173-257% WML)</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7E6E2A74"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3,6%</w:t>
            </w:r>
          </w:p>
        </w:tc>
      </w:tr>
      <w:tr w:rsidRPr="00C5308E" w:rsidR="00CB044F" w:rsidTr="003C75FE" w14:paraId="3EE11965" w14:textId="77777777">
        <w:trPr>
          <w:trHeight w:val="247"/>
        </w:trPr>
        <w:tc>
          <w:tcPr>
            <w:tcW w:w="3131" w:type="dxa"/>
            <w:tcBorders>
              <w:top w:val="nil"/>
              <w:left w:val="nil"/>
              <w:bottom w:val="nil"/>
              <w:right w:val="nil"/>
            </w:tcBorders>
            <w:shd w:val="clear" w:color="auto" w:fill="auto"/>
            <w:vAlign w:val="bottom"/>
            <w:hideMark/>
          </w:tcPr>
          <w:p w:rsidRPr="00C5308E" w:rsidR="00CB044F" w:rsidP="00D87753" w:rsidRDefault="00CB044F" w14:paraId="69331EA4"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4e (257-380% WML)</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692B582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2,4%</w:t>
            </w:r>
          </w:p>
        </w:tc>
      </w:tr>
      <w:tr w:rsidRPr="00C5308E" w:rsidR="00CB044F" w:rsidTr="003C75FE" w14:paraId="37B8764D" w14:textId="77777777">
        <w:trPr>
          <w:trHeight w:val="247"/>
        </w:trPr>
        <w:tc>
          <w:tcPr>
            <w:tcW w:w="3131" w:type="dxa"/>
            <w:tcBorders>
              <w:top w:val="nil"/>
              <w:left w:val="nil"/>
              <w:bottom w:val="nil"/>
              <w:right w:val="nil"/>
            </w:tcBorders>
            <w:shd w:val="clear" w:color="auto" w:fill="auto"/>
            <w:vAlign w:val="bottom"/>
            <w:hideMark/>
          </w:tcPr>
          <w:p w:rsidRPr="00C5308E" w:rsidR="00CB044F" w:rsidP="00D87753" w:rsidRDefault="00CB044F" w14:paraId="5C9819FF"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5e (&gt;380% WML)</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522A317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0,7%</w:t>
            </w:r>
          </w:p>
        </w:tc>
      </w:tr>
      <w:tr w:rsidRPr="00C5308E" w:rsidR="00CB044F" w:rsidTr="003C75FE" w14:paraId="2A979857"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3A9F3A2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0987676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49C1FA1C"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14BC0FFC"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Inkomensbron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0DBDE9E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080718DD"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31A4E5C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Werkenden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1E10DD5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w:t>
            </w:r>
          </w:p>
        </w:tc>
      </w:tr>
      <w:tr w:rsidRPr="00C5308E" w:rsidR="00CB044F" w:rsidTr="003C75FE" w14:paraId="789CE00C"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13517EC0"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Uitkeringsgerechtigden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38784286"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10,2%</w:t>
            </w:r>
          </w:p>
        </w:tc>
      </w:tr>
      <w:tr w:rsidRPr="00C5308E" w:rsidR="00CB044F" w:rsidTr="003C75FE" w14:paraId="33D82728"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354C369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Gepensioneerden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47D790B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7,7%</w:t>
            </w:r>
          </w:p>
        </w:tc>
      </w:tr>
      <w:tr w:rsidRPr="00C5308E" w:rsidR="00CB044F" w:rsidTr="003C75FE" w14:paraId="6BA2D326"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0662FF7A"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1EEFABE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324C40D2"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608B39E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Huishoudtype</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58398911"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37505DAF"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325F847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Tweeverdieners</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156AA53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3,5%</w:t>
            </w:r>
          </w:p>
        </w:tc>
      </w:tr>
      <w:tr w:rsidRPr="00C5308E" w:rsidR="00CB044F" w:rsidTr="003C75FE" w14:paraId="69E0E895"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2126D95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Alleenstaanden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6A6CC57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6,3%</w:t>
            </w:r>
          </w:p>
        </w:tc>
      </w:tr>
      <w:tr w:rsidRPr="00C5308E" w:rsidR="00CB044F" w:rsidTr="003C75FE" w14:paraId="39DF2420"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7447815B"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Alleenverdieners</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763A691B"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2,5%</w:t>
            </w:r>
          </w:p>
        </w:tc>
      </w:tr>
      <w:tr w:rsidRPr="00C5308E" w:rsidR="00CB044F" w:rsidTr="003C75FE" w14:paraId="164D0FAD"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4079A81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1631F9E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1B7569E2"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255F23E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Kinderen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4DF06C3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7E438F2B"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026BB10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met kinderen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7873670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2,2%</w:t>
            </w:r>
          </w:p>
        </w:tc>
      </w:tr>
      <w:tr w:rsidRPr="00C5308E" w:rsidR="00CB044F" w:rsidTr="003C75FE" w14:paraId="32A53140" w14:textId="77777777">
        <w:trPr>
          <w:trHeight w:val="247"/>
        </w:trPr>
        <w:tc>
          <w:tcPr>
            <w:tcW w:w="3131" w:type="dxa"/>
            <w:tcBorders>
              <w:top w:val="nil"/>
              <w:left w:val="nil"/>
              <w:bottom w:val="nil"/>
              <w:right w:val="nil"/>
            </w:tcBorders>
            <w:shd w:val="clear" w:color="000000" w:fill="FFFFFF"/>
            <w:noWrap/>
            <w:vAlign w:val="bottom"/>
            <w:hideMark/>
          </w:tcPr>
          <w:p w:rsidRPr="00C5308E" w:rsidR="00CB044F" w:rsidP="00D87753" w:rsidRDefault="00CB044F" w14:paraId="00D8547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Huishoudens zonder kinderen</w:t>
            </w:r>
          </w:p>
        </w:tc>
        <w:tc>
          <w:tcPr>
            <w:tcW w:w="1077" w:type="dxa"/>
            <w:tcBorders>
              <w:top w:val="nil"/>
              <w:left w:val="nil"/>
              <w:bottom w:val="nil"/>
              <w:right w:val="nil"/>
            </w:tcBorders>
            <w:shd w:val="clear" w:color="000000" w:fill="FFFFFF"/>
            <w:noWrap/>
            <w:vAlign w:val="bottom"/>
            <w:hideMark/>
          </w:tcPr>
          <w:p w:rsidRPr="00C5308E" w:rsidR="00CB044F" w:rsidP="00D87753" w:rsidRDefault="00CB044F" w14:paraId="062E2099"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3,0%</w:t>
            </w:r>
          </w:p>
        </w:tc>
      </w:tr>
      <w:tr w:rsidRPr="00C5308E" w:rsidR="00CB044F" w:rsidTr="003C75FE" w14:paraId="2205ABBC" w14:textId="77777777">
        <w:trPr>
          <w:trHeight w:val="247"/>
        </w:trPr>
        <w:tc>
          <w:tcPr>
            <w:tcW w:w="3131"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065F34E9"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c>
          <w:tcPr>
            <w:tcW w:w="1077" w:type="dxa"/>
            <w:tcBorders>
              <w:top w:val="nil"/>
              <w:left w:val="nil"/>
              <w:bottom w:val="single" w:color="auto" w:sz="4" w:space="0"/>
              <w:right w:val="nil"/>
            </w:tcBorders>
            <w:shd w:val="clear" w:color="000000" w:fill="FFFFFF"/>
            <w:noWrap/>
            <w:vAlign w:val="bottom"/>
            <w:hideMark/>
          </w:tcPr>
          <w:p w:rsidRPr="00C5308E" w:rsidR="00CB044F" w:rsidP="00D87753" w:rsidRDefault="00CB044F" w14:paraId="0D7D7BD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w:t>
            </w:r>
          </w:p>
        </w:tc>
      </w:tr>
      <w:tr w:rsidRPr="00C5308E" w:rsidR="00CB044F" w:rsidTr="003C75FE" w14:paraId="350FC3BC" w14:textId="77777777">
        <w:trPr>
          <w:trHeight w:val="259"/>
        </w:trPr>
        <w:tc>
          <w:tcPr>
            <w:tcW w:w="3131"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4E9A1058"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Alle huishoudens</w:t>
            </w:r>
          </w:p>
        </w:tc>
        <w:tc>
          <w:tcPr>
            <w:tcW w:w="1077" w:type="dxa"/>
            <w:tcBorders>
              <w:top w:val="nil"/>
              <w:left w:val="nil"/>
              <w:bottom w:val="single" w:color="auto" w:sz="8" w:space="0"/>
              <w:right w:val="nil"/>
            </w:tcBorders>
            <w:shd w:val="clear" w:color="000000" w:fill="FFFFFF"/>
            <w:noWrap/>
            <w:vAlign w:val="bottom"/>
            <w:hideMark/>
          </w:tcPr>
          <w:p w:rsidRPr="00C5308E" w:rsidR="00CB044F" w:rsidP="00D87753" w:rsidRDefault="00CB044F" w14:paraId="0771D547"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4,4%</w:t>
            </w:r>
          </w:p>
        </w:tc>
      </w:tr>
    </w:tbl>
    <w:p w:rsidRPr="00C5308E" w:rsidR="00CB044F" w:rsidP="00D87753" w:rsidRDefault="00CB044F" w14:paraId="1E919A8C" w14:textId="77777777">
      <w:pPr>
        <w:spacing w:after="0" w:line="240" w:lineRule="auto"/>
        <w:contextualSpacing/>
        <w:rPr>
          <w:rFonts w:ascii="Verdana" w:hAnsi="Verdana"/>
          <w:bCs/>
          <w:sz w:val="18"/>
          <w:szCs w:val="18"/>
        </w:rPr>
      </w:pPr>
    </w:p>
    <w:p w:rsidRPr="00C5308E" w:rsidR="00CB044F" w:rsidP="00D87753" w:rsidRDefault="00CB044F" w14:paraId="547F5BF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187</w:t>
      </w:r>
    </w:p>
    <w:p w:rsidRPr="00C5308E" w:rsidR="00CB044F" w:rsidP="00D87753" w:rsidRDefault="00CB044F" w14:paraId="34F7C4DC" w14:textId="77777777">
      <w:pPr>
        <w:spacing w:after="0" w:line="240" w:lineRule="auto"/>
        <w:contextualSpacing/>
        <w:rPr>
          <w:rFonts w:ascii="Verdana" w:hAnsi="Verdana"/>
          <w:bCs/>
          <w:sz w:val="18"/>
          <w:szCs w:val="18"/>
        </w:rPr>
      </w:pPr>
      <w:r w:rsidRPr="00C5308E">
        <w:rPr>
          <w:rFonts w:ascii="Verdana" w:hAnsi="Verdana"/>
          <w:bCs/>
          <w:sz w:val="18"/>
          <w:szCs w:val="18"/>
        </w:rPr>
        <w:lastRenderedPageBreak/>
        <w:t>Wat is het effect op armoede bij een verhoging van het wettelijk minimumloon naar € 18 per uur?</w:t>
      </w:r>
    </w:p>
    <w:p w:rsidRPr="00C5308E" w:rsidR="00CB044F" w:rsidP="00D87753" w:rsidRDefault="00CB044F" w14:paraId="2047F342" w14:textId="77777777">
      <w:pPr>
        <w:spacing w:after="0" w:line="240" w:lineRule="auto"/>
        <w:contextualSpacing/>
        <w:rPr>
          <w:rFonts w:ascii="Verdana" w:hAnsi="Verdana"/>
          <w:bCs/>
          <w:sz w:val="18"/>
          <w:szCs w:val="18"/>
        </w:rPr>
      </w:pPr>
    </w:p>
    <w:p w:rsidRPr="00C5308E" w:rsidR="00CB044F" w:rsidP="00D87753" w:rsidRDefault="00CB044F" w14:paraId="034BDB7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187</w:t>
      </w:r>
    </w:p>
    <w:p w:rsidRPr="00C5308E" w:rsidR="00CB044F" w:rsidP="00D87753" w:rsidRDefault="00CB044F" w14:paraId="102EDEFD" w14:textId="77777777">
      <w:pPr>
        <w:spacing w:after="0" w:line="240" w:lineRule="auto"/>
        <w:contextualSpacing/>
        <w:rPr>
          <w:rFonts w:ascii="Verdana" w:hAnsi="Verdana"/>
          <w:bCs/>
          <w:sz w:val="18"/>
          <w:szCs w:val="18"/>
        </w:rPr>
      </w:pPr>
      <w:r w:rsidRPr="00C5308E">
        <w:rPr>
          <w:rFonts w:ascii="Verdana" w:hAnsi="Verdana"/>
          <w:bCs/>
          <w:sz w:val="18"/>
          <w:szCs w:val="18"/>
        </w:rPr>
        <w:t>Onderstaande tabel toont het risico op armoede onder personen (ex-ante) in 2027 en 2028 in het basispad (CEP 2025), en bij verhoging van het WML met 18,3% (€ 18 per uur) per 1 januari 2027. De armoede neemt naar verwachting met 0,6%-punt af in 2028.</w:t>
      </w:r>
    </w:p>
    <w:p w:rsidRPr="00C5308E" w:rsidR="00CB044F" w:rsidP="00D87753" w:rsidRDefault="00CB044F" w14:paraId="712D4E53" w14:textId="77777777">
      <w:pPr>
        <w:spacing w:after="0" w:line="240" w:lineRule="auto"/>
        <w:contextualSpacing/>
        <w:rPr>
          <w:rFonts w:ascii="Verdana" w:hAnsi="Verdana"/>
          <w:bCs/>
          <w:sz w:val="18"/>
          <w:szCs w:val="18"/>
        </w:rPr>
      </w:pPr>
    </w:p>
    <w:p w:rsidRPr="00C5308E" w:rsidR="00CB044F" w:rsidP="00D87753" w:rsidRDefault="00CB044F" w14:paraId="7222C2C1" w14:textId="77777777">
      <w:pPr>
        <w:spacing w:after="0" w:line="240" w:lineRule="auto"/>
        <w:contextualSpacing/>
        <w:rPr>
          <w:rFonts w:ascii="Verdana" w:hAnsi="Verdana"/>
          <w:bCs/>
          <w:sz w:val="18"/>
          <w:szCs w:val="18"/>
        </w:rPr>
      </w:pPr>
      <w:r w:rsidRPr="00C5308E">
        <w:rPr>
          <w:rFonts w:ascii="Verdana" w:hAnsi="Verdana"/>
          <w:bCs/>
          <w:sz w:val="18"/>
          <w:szCs w:val="18"/>
        </w:rPr>
        <w:t>Tabel: armoede onder personen (%)</w:t>
      </w:r>
    </w:p>
    <w:p w:rsidRPr="00C5308E" w:rsidR="00CB044F" w:rsidP="00D87753" w:rsidRDefault="00CB044F" w14:paraId="3A966903" w14:textId="77777777">
      <w:pPr>
        <w:spacing w:after="0" w:line="240" w:lineRule="auto"/>
        <w:contextualSpacing/>
        <w:rPr>
          <w:rFonts w:ascii="Verdana" w:hAnsi="Verdana"/>
          <w:bCs/>
          <w:sz w:val="18"/>
          <w:szCs w:val="18"/>
        </w:rPr>
      </w:pPr>
    </w:p>
    <w:tbl>
      <w:tblPr>
        <w:tblW w:w="5244" w:type="dxa"/>
        <w:tblCellMar>
          <w:left w:w="70" w:type="dxa"/>
          <w:right w:w="70" w:type="dxa"/>
        </w:tblCellMar>
        <w:tblLook w:val="04A0" w:firstRow="1" w:lastRow="0" w:firstColumn="1" w:lastColumn="0" w:noHBand="0" w:noVBand="1"/>
      </w:tblPr>
      <w:tblGrid>
        <w:gridCol w:w="3080"/>
        <w:gridCol w:w="1082"/>
        <w:gridCol w:w="1082"/>
      </w:tblGrid>
      <w:tr w:rsidRPr="00C5308E" w:rsidR="00CB044F" w:rsidTr="003C75FE" w14:paraId="74D3074F"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C5308E" w:rsidR="00CB044F" w:rsidP="00D87753" w:rsidRDefault="00CB044F" w14:paraId="37477E85"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 xml:space="preserve">Armoede onder personen </w:t>
            </w:r>
          </w:p>
        </w:tc>
        <w:tc>
          <w:tcPr>
            <w:tcW w:w="1082" w:type="dxa"/>
            <w:tcBorders>
              <w:top w:val="single" w:color="auto" w:sz="8" w:space="0"/>
              <w:left w:val="nil"/>
              <w:bottom w:val="single" w:color="auto" w:sz="8" w:space="0"/>
              <w:right w:val="nil"/>
            </w:tcBorders>
            <w:shd w:val="clear" w:color="000000" w:fill="FFFFFF"/>
            <w:noWrap/>
            <w:vAlign w:val="bottom"/>
          </w:tcPr>
          <w:p w:rsidRPr="00C5308E" w:rsidR="00CB044F" w:rsidP="00D87753" w:rsidRDefault="00CB044F" w14:paraId="4CCD7368"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2027</w:t>
            </w:r>
          </w:p>
        </w:tc>
        <w:tc>
          <w:tcPr>
            <w:tcW w:w="1082" w:type="dxa"/>
            <w:tcBorders>
              <w:top w:val="single" w:color="auto" w:sz="8" w:space="0"/>
              <w:left w:val="nil"/>
              <w:bottom w:val="single" w:color="auto" w:sz="8" w:space="0"/>
              <w:right w:val="nil"/>
            </w:tcBorders>
            <w:shd w:val="clear" w:color="000000" w:fill="FFFFFF"/>
          </w:tcPr>
          <w:p w:rsidRPr="00C5308E" w:rsidR="00CB044F" w:rsidP="00D87753" w:rsidRDefault="00CB044F" w14:paraId="00D13460"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2028</w:t>
            </w:r>
          </w:p>
        </w:tc>
      </w:tr>
      <w:tr w:rsidRPr="00C5308E" w:rsidR="00CB044F" w:rsidTr="003C75FE" w14:paraId="64039891"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5ECC69FE"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Basispad</w:t>
            </w:r>
          </w:p>
        </w:tc>
        <w:tc>
          <w:tcPr>
            <w:tcW w:w="1082" w:type="dxa"/>
            <w:tcBorders>
              <w:top w:val="nil"/>
              <w:left w:val="nil"/>
              <w:bottom w:val="nil"/>
              <w:right w:val="nil"/>
            </w:tcBorders>
            <w:shd w:val="clear" w:color="000000" w:fill="FFFFFF"/>
            <w:noWrap/>
            <w:vAlign w:val="bottom"/>
          </w:tcPr>
          <w:p w:rsidRPr="00C5308E" w:rsidR="00CB044F" w:rsidP="00D87753" w:rsidRDefault="00CB044F" w14:paraId="630B2A3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2,8%</w:t>
            </w:r>
          </w:p>
        </w:tc>
        <w:tc>
          <w:tcPr>
            <w:tcW w:w="1082" w:type="dxa"/>
            <w:tcBorders>
              <w:top w:val="nil"/>
              <w:left w:val="nil"/>
              <w:bottom w:val="nil"/>
              <w:right w:val="nil"/>
            </w:tcBorders>
            <w:shd w:val="clear" w:color="000000" w:fill="FFFFFF"/>
          </w:tcPr>
          <w:p w:rsidRPr="00C5308E" w:rsidR="00CB044F" w:rsidP="00D87753" w:rsidRDefault="00CB044F" w14:paraId="3E602E64"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0AE09011"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2,7%</w:t>
            </w:r>
          </w:p>
        </w:tc>
      </w:tr>
      <w:tr w:rsidRPr="00C5308E" w:rsidR="00CB044F" w:rsidTr="003C75FE" w14:paraId="4431B07A" w14:textId="77777777">
        <w:trPr>
          <w:trHeight w:val="300"/>
        </w:trPr>
        <w:tc>
          <w:tcPr>
            <w:tcW w:w="3080" w:type="dxa"/>
            <w:tcBorders>
              <w:top w:val="nil"/>
              <w:left w:val="nil"/>
              <w:bottom w:val="nil"/>
              <w:right w:val="nil"/>
            </w:tcBorders>
            <w:shd w:val="clear" w:color="auto" w:fill="auto"/>
            <w:vAlign w:val="bottom"/>
            <w:hideMark/>
          </w:tcPr>
          <w:p w:rsidRPr="00C5308E" w:rsidR="00CB044F" w:rsidP="00D87753" w:rsidRDefault="00CB044F" w14:paraId="7900DBF2" w14:textId="77777777">
            <w:pPr>
              <w:spacing w:after="0" w:line="240" w:lineRule="auto"/>
              <w:contextualSpacing/>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Bijzondere verhoging WML 18,3%</w:t>
            </w:r>
          </w:p>
        </w:tc>
        <w:tc>
          <w:tcPr>
            <w:tcW w:w="1082" w:type="dxa"/>
            <w:tcBorders>
              <w:top w:val="nil"/>
              <w:left w:val="nil"/>
              <w:bottom w:val="nil"/>
              <w:right w:val="nil"/>
            </w:tcBorders>
            <w:shd w:val="clear" w:color="000000" w:fill="FFFFFF"/>
            <w:noWrap/>
            <w:vAlign w:val="bottom"/>
          </w:tcPr>
          <w:p w:rsidRPr="00C5308E" w:rsidR="00CB044F" w:rsidP="00D87753" w:rsidRDefault="00CB044F" w14:paraId="3102DAFC"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w:t>
            </w:r>
          </w:p>
        </w:tc>
        <w:tc>
          <w:tcPr>
            <w:tcW w:w="1082" w:type="dxa"/>
            <w:tcBorders>
              <w:top w:val="nil"/>
              <w:left w:val="nil"/>
              <w:bottom w:val="nil"/>
              <w:right w:val="nil"/>
            </w:tcBorders>
            <w:shd w:val="clear" w:color="000000" w:fill="FFFFFF"/>
          </w:tcPr>
          <w:p w:rsidRPr="00C5308E" w:rsidR="00CB044F" w:rsidP="00D87753" w:rsidRDefault="00CB044F" w14:paraId="5597C9FD" w14:textId="77777777">
            <w:pPr>
              <w:spacing w:after="0" w:line="240" w:lineRule="auto"/>
              <w:contextualSpacing/>
              <w:jc w:val="right"/>
              <w:rPr>
                <w:rFonts w:ascii="Verdana" w:hAnsi="Verdana" w:eastAsia="Times New Roman" w:cs="Calibri"/>
                <w:bCs/>
                <w:color w:val="000000"/>
                <w:sz w:val="18"/>
                <w:szCs w:val="18"/>
                <w:lang w:eastAsia="nl-NL"/>
              </w:rPr>
            </w:pPr>
          </w:p>
          <w:p w:rsidRPr="00C5308E" w:rsidR="00CB044F" w:rsidP="00D87753" w:rsidRDefault="00CB044F" w14:paraId="3B2CE3F3" w14:textId="77777777">
            <w:pPr>
              <w:spacing w:after="0" w:line="240" w:lineRule="auto"/>
              <w:contextualSpacing/>
              <w:jc w:val="right"/>
              <w:rPr>
                <w:rFonts w:ascii="Verdana" w:hAnsi="Verdana" w:eastAsia="Times New Roman" w:cs="Calibri"/>
                <w:bCs/>
                <w:color w:val="000000"/>
                <w:sz w:val="18"/>
                <w:szCs w:val="18"/>
                <w:lang w:eastAsia="nl-NL"/>
              </w:rPr>
            </w:pPr>
            <w:r w:rsidRPr="00C5308E">
              <w:rPr>
                <w:rFonts w:ascii="Verdana" w:hAnsi="Verdana" w:eastAsia="Times New Roman" w:cs="Calibri"/>
                <w:bCs/>
                <w:color w:val="000000"/>
                <w:sz w:val="18"/>
                <w:szCs w:val="18"/>
                <w:lang w:eastAsia="nl-NL"/>
              </w:rPr>
              <w:t>2,1%</w:t>
            </w:r>
          </w:p>
        </w:tc>
      </w:tr>
    </w:tbl>
    <w:p w:rsidRPr="00C5308E" w:rsidR="00CB044F" w:rsidP="00D87753" w:rsidRDefault="00CB044F" w14:paraId="3F12EF9E" w14:textId="77777777">
      <w:pPr>
        <w:spacing w:after="0" w:line="240" w:lineRule="auto"/>
        <w:contextualSpacing/>
        <w:rPr>
          <w:rFonts w:ascii="Verdana" w:hAnsi="Verdana"/>
          <w:bCs/>
          <w:sz w:val="18"/>
          <w:szCs w:val="18"/>
        </w:rPr>
      </w:pPr>
    </w:p>
    <w:p w:rsidRPr="00C5308E" w:rsidR="00E97B61" w:rsidP="00D87753" w:rsidRDefault="00E97B61" w14:paraId="4576386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188</w:t>
      </w:r>
    </w:p>
    <w:p w:rsidRPr="00C5308E" w:rsidR="00E97B61" w:rsidP="00D87753" w:rsidRDefault="00E97B61" w14:paraId="635EE178" w14:textId="77777777">
      <w:pPr>
        <w:spacing w:after="0" w:line="240" w:lineRule="auto"/>
        <w:contextualSpacing/>
        <w:rPr>
          <w:rFonts w:ascii="Verdana" w:hAnsi="Verdana"/>
          <w:bCs/>
          <w:sz w:val="18"/>
          <w:szCs w:val="18"/>
        </w:rPr>
      </w:pPr>
      <w:r w:rsidRPr="00C5308E">
        <w:rPr>
          <w:rFonts w:ascii="Verdana" w:hAnsi="Verdana"/>
          <w:bCs/>
          <w:sz w:val="18"/>
          <w:szCs w:val="18"/>
        </w:rPr>
        <w:t>Hoeveel kost het om het minimumjeugdloon volledig af te schaffen vanaf 1 januari 2026?</w:t>
      </w:r>
    </w:p>
    <w:p w:rsidRPr="00C5308E" w:rsidR="00E97B61" w:rsidP="00D87753" w:rsidRDefault="00E97B61" w14:paraId="49FCA3D1" w14:textId="77777777">
      <w:pPr>
        <w:spacing w:after="0" w:line="240" w:lineRule="auto"/>
        <w:contextualSpacing/>
        <w:rPr>
          <w:rFonts w:ascii="Verdana" w:hAnsi="Verdana"/>
          <w:bCs/>
          <w:sz w:val="18"/>
          <w:szCs w:val="18"/>
        </w:rPr>
      </w:pPr>
    </w:p>
    <w:p w:rsidRPr="00C5308E" w:rsidR="00E97B61" w:rsidP="00D87753" w:rsidRDefault="00E97B61" w14:paraId="7C255FF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188</w:t>
      </w:r>
    </w:p>
    <w:p w:rsidRPr="00C5308E" w:rsidR="00E97B61" w:rsidP="00D87753" w:rsidRDefault="00E97B61" w14:paraId="40E06FA9" w14:textId="086F5B5B">
      <w:pPr>
        <w:spacing w:after="0" w:line="240" w:lineRule="auto"/>
        <w:contextualSpacing/>
        <w:rPr>
          <w:rFonts w:ascii="Verdana" w:hAnsi="Verdana"/>
          <w:bCs/>
          <w:sz w:val="18"/>
          <w:szCs w:val="18"/>
        </w:rPr>
      </w:pPr>
      <w:bookmarkStart w:name="_Hlk198908341" w:id="16"/>
      <w:r w:rsidRPr="00C5308E">
        <w:rPr>
          <w:rFonts w:ascii="Verdana" w:hAnsi="Verdana"/>
          <w:bCs/>
          <w:sz w:val="18"/>
          <w:szCs w:val="18"/>
        </w:rPr>
        <w:t>Het afschaffen van het minimumjeugdloon per 1 januari 2026 is niet meer uitvoerbaar, omdat dit</w:t>
      </w:r>
      <w:r w:rsidRPr="00C5308E" w:rsidR="00661995">
        <w:rPr>
          <w:rFonts w:ascii="Verdana" w:hAnsi="Verdana"/>
          <w:bCs/>
          <w:sz w:val="18"/>
          <w:szCs w:val="18"/>
        </w:rPr>
        <w:t xml:space="preserve"> </w:t>
      </w:r>
      <w:r w:rsidRPr="00C5308E">
        <w:rPr>
          <w:rFonts w:ascii="Verdana" w:hAnsi="Verdana"/>
          <w:bCs/>
          <w:sz w:val="18"/>
          <w:szCs w:val="18"/>
        </w:rPr>
        <w:t>een wetswijziging vergt. Dit kost normaliter anderhalf tot twee jaar. Rekening houdend met de duur van een wetstraject kan het minimumjeugdloon</w:t>
      </w:r>
      <w:r w:rsidRPr="00C5308E" w:rsidR="00954A34">
        <w:rPr>
          <w:rFonts w:ascii="Verdana" w:hAnsi="Verdana"/>
          <w:bCs/>
          <w:sz w:val="18"/>
          <w:szCs w:val="18"/>
        </w:rPr>
        <w:t xml:space="preserve"> op zijn vroegst</w:t>
      </w:r>
      <w:r w:rsidRPr="00C5308E">
        <w:rPr>
          <w:rFonts w:ascii="Verdana" w:hAnsi="Verdana"/>
          <w:bCs/>
          <w:sz w:val="18"/>
          <w:szCs w:val="18"/>
        </w:rPr>
        <w:t xml:space="preserve"> per 1 januari 2027 worden afgeschaft.</w:t>
      </w:r>
    </w:p>
    <w:bookmarkEnd w:id="16"/>
    <w:p w:rsidRPr="00C5308E" w:rsidR="00E97B61" w:rsidP="00D87753" w:rsidRDefault="00E97B61" w14:paraId="7D287EE2" w14:textId="77777777">
      <w:pPr>
        <w:spacing w:after="0" w:line="240" w:lineRule="auto"/>
        <w:contextualSpacing/>
        <w:rPr>
          <w:rFonts w:ascii="Verdana" w:hAnsi="Verdana"/>
          <w:bCs/>
          <w:sz w:val="18"/>
          <w:szCs w:val="18"/>
        </w:rPr>
      </w:pPr>
    </w:p>
    <w:p w:rsidRPr="00C5308E" w:rsidR="00E97B61" w:rsidP="00D87753" w:rsidRDefault="00E97B61" w14:paraId="159891CD" w14:textId="77777777">
      <w:pPr>
        <w:spacing w:after="0" w:line="240" w:lineRule="auto"/>
        <w:contextualSpacing/>
        <w:rPr>
          <w:rFonts w:ascii="Verdana" w:hAnsi="Verdana"/>
          <w:bCs/>
          <w:sz w:val="18"/>
          <w:szCs w:val="18"/>
        </w:rPr>
      </w:pPr>
      <w:r w:rsidRPr="00C5308E">
        <w:rPr>
          <w:rFonts w:ascii="Verdana" w:hAnsi="Verdana"/>
          <w:bCs/>
          <w:sz w:val="18"/>
          <w:szCs w:val="18"/>
        </w:rPr>
        <w:t>De verwachte kosten van het afschaffen van het minimumjeugdloon voor alle leeftijden zijn structureel ongeveer € 130 miljoen per jaar. Deze kosten bestaan uit hogere uitgaven aan de Wajong (alleen voor 18-, 19- en 20-jarigen) en loonkostensubsidie.</w:t>
      </w:r>
    </w:p>
    <w:p w:rsidRPr="00C5308E" w:rsidR="00E97B61" w:rsidP="00D87753" w:rsidRDefault="00E97B61" w14:paraId="191E15F4" w14:textId="77777777">
      <w:pPr>
        <w:spacing w:after="0" w:line="240" w:lineRule="auto"/>
        <w:contextualSpacing/>
        <w:rPr>
          <w:rFonts w:ascii="Verdana" w:hAnsi="Verdana"/>
          <w:bCs/>
          <w:sz w:val="18"/>
          <w:szCs w:val="18"/>
          <w:u w:val="single"/>
        </w:rPr>
      </w:pPr>
    </w:p>
    <w:p w:rsidRPr="00C5308E" w:rsidR="00EB30B0" w:rsidP="00D87753" w:rsidRDefault="00EB30B0" w14:paraId="1246C47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189</w:t>
      </w:r>
    </w:p>
    <w:p w:rsidRPr="00C5308E" w:rsidR="00EB30B0" w:rsidP="00D87753" w:rsidRDefault="00EB30B0" w14:paraId="3FEB5E12"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de reële koopkracht uitgesplitst in 2026, 2027 en 2028 van het afschaffen van het minimumjeugdloonloon met daarbij in achtneming van verschillende inflatiescenario’s, tenminste bevattende een aanhoudende jaargemiddelde inflatie van 2%, 5%, 7,5% en 10% uitgesplitst in voltijd en deeltijd jongeren?</w:t>
      </w:r>
    </w:p>
    <w:p w:rsidRPr="00C5308E" w:rsidR="00EB30B0" w:rsidP="00D87753" w:rsidRDefault="00EB30B0" w14:paraId="4384C0C4" w14:textId="77777777">
      <w:pPr>
        <w:spacing w:after="0" w:line="240" w:lineRule="auto"/>
        <w:contextualSpacing/>
        <w:rPr>
          <w:rFonts w:ascii="Verdana" w:hAnsi="Verdana"/>
          <w:bCs/>
          <w:sz w:val="18"/>
          <w:szCs w:val="18"/>
        </w:rPr>
      </w:pPr>
    </w:p>
    <w:p w:rsidRPr="00C5308E" w:rsidR="00EB30B0" w:rsidP="00D87753" w:rsidRDefault="00EB30B0" w14:paraId="56E3EC1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189</w:t>
      </w:r>
    </w:p>
    <w:p w:rsidRPr="00C5308E" w:rsidR="00EB30B0" w:rsidP="00D87753" w:rsidRDefault="00EB30B0" w14:paraId="00E4A30C" w14:textId="77777777">
      <w:pPr>
        <w:spacing w:after="0" w:line="240" w:lineRule="auto"/>
        <w:contextualSpacing/>
        <w:rPr>
          <w:rFonts w:ascii="Verdana" w:hAnsi="Verdana"/>
          <w:bCs/>
          <w:sz w:val="18"/>
          <w:szCs w:val="18"/>
        </w:rPr>
      </w:pPr>
      <w:r w:rsidRPr="00C5308E">
        <w:rPr>
          <w:rFonts w:ascii="Verdana" w:hAnsi="Verdana"/>
          <w:bCs/>
          <w:sz w:val="18"/>
          <w:szCs w:val="18"/>
        </w:rPr>
        <w:t>Het is niet mogelijk om de effecten op de koopkrachtontwikkeling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leiden en de uitkomsten kunnen een vertekend beeld geven. Het minimumjeugdloon wordt per 1 januari 2027 per algemene maatregel van bestuur (AMvB) aangepast. In nota van toelichting wordt ingegaan op de gevolgen van de verhoging waaronder de inkomenseffecten.</w:t>
      </w:r>
    </w:p>
    <w:p w:rsidRPr="00C5308E" w:rsidR="00EB30B0" w:rsidP="00D87753" w:rsidRDefault="00EB30B0" w14:paraId="20E6FAD5" w14:textId="77777777">
      <w:pPr>
        <w:spacing w:after="0" w:line="240" w:lineRule="auto"/>
        <w:contextualSpacing/>
        <w:rPr>
          <w:rFonts w:ascii="Verdana" w:hAnsi="Verdana"/>
          <w:bCs/>
          <w:sz w:val="18"/>
          <w:szCs w:val="18"/>
          <w:u w:val="single"/>
        </w:rPr>
      </w:pPr>
    </w:p>
    <w:p w:rsidRPr="00C5308E" w:rsidR="00EB30B0" w:rsidP="00D87753" w:rsidRDefault="00EB30B0" w14:paraId="46F6B20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190</w:t>
      </w:r>
    </w:p>
    <w:p w:rsidRPr="00C5308E" w:rsidR="00EB30B0" w:rsidP="00D87753" w:rsidRDefault="00EB30B0" w14:paraId="01182F6E"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armoede bij het afschaffen van het minimumjeugdloon?</w:t>
      </w:r>
    </w:p>
    <w:p w:rsidRPr="00C5308E" w:rsidR="00EB30B0" w:rsidP="00D87753" w:rsidRDefault="00EB30B0" w14:paraId="17E038A0" w14:textId="77777777">
      <w:pPr>
        <w:spacing w:after="0" w:line="240" w:lineRule="auto"/>
        <w:contextualSpacing/>
        <w:rPr>
          <w:rFonts w:ascii="Verdana" w:hAnsi="Verdana"/>
          <w:bCs/>
          <w:sz w:val="18"/>
          <w:szCs w:val="18"/>
        </w:rPr>
      </w:pPr>
    </w:p>
    <w:p w:rsidRPr="00C5308E" w:rsidR="00EB30B0" w:rsidP="00D87753" w:rsidRDefault="00EB30B0" w14:paraId="0FE9054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190</w:t>
      </w:r>
    </w:p>
    <w:p w:rsidRPr="00C5308E" w:rsidR="00EB30B0" w:rsidP="00D87753" w:rsidRDefault="00EB30B0" w14:paraId="797D42A2" w14:textId="77777777">
      <w:pPr>
        <w:spacing w:after="0" w:line="240" w:lineRule="auto"/>
        <w:contextualSpacing/>
        <w:rPr>
          <w:rFonts w:ascii="Verdana" w:hAnsi="Verdana"/>
          <w:bCs/>
          <w:sz w:val="18"/>
          <w:szCs w:val="18"/>
        </w:rPr>
      </w:pPr>
      <w:r w:rsidRPr="00C5308E">
        <w:rPr>
          <w:rFonts w:ascii="Verdana" w:hAnsi="Verdana"/>
          <w:bCs/>
          <w:sz w:val="18"/>
          <w:szCs w:val="18"/>
        </w:rPr>
        <w:t>Het is niet mogelijk om de effecten op de armoede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leiden en de uitkomsten kunnen een vertekend beeld geven. Het minimumjeugdloon wordt per 1 januari 2027 per algemene maatregel van bestuur (AMvB) aangepast. In nota van toelichting wordt ingegaan op de gevolgen van de verhoging waaronder de inkomenseffecten.</w:t>
      </w:r>
    </w:p>
    <w:p w:rsidRPr="00C5308E" w:rsidR="00EB30B0" w:rsidP="00D87753" w:rsidRDefault="00EB30B0" w14:paraId="192D3483" w14:textId="77777777">
      <w:pPr>
        <w:spacing w:after="0" w:line="240" w:lineRule="auto"/>
        <w:contextualSpacing/>
        <w:rPr>
          <w:rFonts w:ascii="Verdana" w:hAnsi="Verdana"/>
          <w:bCs/>
          <w:sz w:val="18"/>
          <w:szCs w:val="18"/>
          <w:u w:val="single"/>
        </w:rPr>
      </w:pPr>
    </w:p>
    <w:p w:rsidRPr="00C5308E" w:rsidR="00EB30B0" w:rsidP="00D87753" w:rsidRDefault="00EB30B0" w14:paraId="162E98E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191</w:t>
      </w:r>
    </w:p>
    <w:p w:rsidRPr="00C5308E" w:rsidR="00EB30B0" w:rsidP="00D87753" w:rsidRDefault="00EB30B0" w14:paraId="14AC7790" w14:textId="77777777">
      <w:pPr>
        <w:spacing w:after="0" w:line="240" w:lineRule="auto"/>
        <w:contextualSpacing/>
        <w:rPr>
          <w:rFonts w:ascii="Verdana" w:hAnsi="Verdana"/>
          <w:bCs/>
          <w:sz w:val="18"/>
          <w:szCs w:val="18"/>
        </w:rPr>
      </w:pPr>
      <w:r w:rsidRPr="00C5308E">
        <w:rPr>
          <w:rFonts w:ascii="Verdana" w:hAnsi="Verdana"/>
          <w:bCs/>
          <w:sz w:val="18"/>
          <w:szCs w:val="18"/>
        </w:rPr>
        <w:t>Wat is het effect op kinderarmoede bij het afschaffen van het minimumjeugdloon?</w:t>
      </w:r>
    </w:p>
    <w:p w:rsidRPr="00C5308E" w:rsidR="00EB30B0" w:rsidP="00D87753" w:rsidRDefault="00EB30B0" w14:paraId="37739825" w14:textId="77777777">
      <w:pPr>
        <w:spacing w:after="0" w:line="240" w:lineRule="auto"/>
        <w:contextualSpacing/>
        <w:rPr>
          <w:rFonts w:ascii="Verdana" w:hAnsi="Verdana"/>
          <w:bCs/>
          <w:sz w:val="18"/>
          <w:szCs w:val="18"/>
        </w:rPr>
      </w:pPr>
    </w:p>
    <w:p w:rsidRPr="00C5308E" w:rsidR="00EB30B0" w:rsidP="00D87753" w:rsidRDefault="00EB30B0" w14:paraId="68A08C3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191</w:t>
      </w:r>
    </w:p>
    <w:p w:rsidRPr="00C5308E" w:rsidR="00EB30B0" w:rsidP="00D87753" w:rsidRDefault="00EB30B0" w14:paraId="722F4250" w14:textId="77777777">
      <w:pPr>
        <w:spacing w:after="0" w:line="240" w:lineRule="auto"/>
        <w:contextualSpacing/>
        <w:rPr>
          <w:rFonts w:ascii="Verdana" w:hAnsi="Verdana"/>
          <w:bCs/>
          <w:sz w:val="18"/>
          <w:szCs w:val="18"/>
        </w:rPr>
      </w:pPr>
      <w:r w:rsidRPr="00C5308E">
        <w:rPr>
          <w:rFonts w:ascii="Verdana" w:hAnsi="Verdana"/>
          <w:bCs/>
          <w:sz w:val="18"/>
          <w:szCs w:val="18"/>
        </w:rPr>
        <w:t xml:space="preserve">Het is niet mogelijk om de effecten op de kinderarmoede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w:t>
      </w:r>
      <w:r w:rsidRPr="00C5308E">
        <w:rPr>
          <w:rFonts w:ascii="Verdana" w:hAnsi="Verdana"/>
          <w:bCs/>
          <w:sz w:val="18"/>
          <w:szCs w:val="18"/>
        </w:rPr>
        <w:lastRenderedPageBreak/>
        <w:t>leiden en de uitkomsten kunnen een vertekend beeld geven. Het minimumjeugdloon wordt per 1 januari 2027 per algemene maatregel van bestuur (AMvB) aangepast. In nota van toelichting wordt ingegaan op de gevolgen van de verhoging waaronder de inkomenseffecten.</w:t>
      </w:r>
    </w:p>
    <w:p w:rsidRPr="00C5308E" w:rsidR="00EB30B0" w:rsidP="00D87753" w:rsidRDefault="00EB30B0" w14:paraId="0A4863F0" w14:textId="77777777">
      <w:pPr>
        <w:spacing w:after="0" w:line="240" w:lineRule="auto"/>
        <w:contextualSpacing/>
        <w:rPr>
          <w:rFonts w:ascii="Verdana" w:hAnsi="Verdana"/>
          <w:bCs/>
          <w:sz w:val="18"/>
          <w:szCs w:val="18"/>
          <w:u w:val="single"/>
        </w:rPr>
      </w:pPr>
    </w:p>
    <w:p w:rsidRPr="00C5308E" w:rsidR="005D5669" w:rsidP="00D87753" w:rsidRDefault="005D5669" w14:paraId="4F51CD5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192</w:t>
      </w:r>
    </w:p>
    <w:p w:rsidRPr="00C5308E" w:rsidR="005D5669" w:rsidP="00D87753" w:rsidRDefault="005D5669" w14:paraId="103F2A2C" w14:textId="77777777">
      <w:pPr>
        <w:spacing w:after="0" w:line="240" w:lineRule="auto"/>
        <w:contextualSpacing/>
        <w:rPr>
          <w:rFonts w:ascii="Verdana" w:hAnsi="Verdana"/>
          <w:bCs/>
          <w:sz w:val="18"/>
          <w:szCs w:val="18"/>
        </w:rPr>
      </w:pPr>
      <w:r w:rsidRPr="00C5308E">
        <w:rPr>
          <w:rFonts w:ascii="Verdana" w:hAnsi="Verdana"/>
          <w:bCs/>
          <w:sz w:val="18"/>
          <w:szCs w:val="18"/>
        </w:rPr>
        <w:t>Hoeveel arbeidsmigranten leven er op dit moment in Nederland? Kan dit worden gespecificeerd per land van herkomst?</w:t>
      </w:r>
    </w:p>
    <w:p w:rsidRPr="00C5308E" w:rsidR="005D5669" w:rsidP="00D87753" w:rsidRDefault="005D5669" w14:paraId="624189DD" w14:textId="77777777">
      <w:pPr>
        <w:spacing w:after="0" w:line="240" w:lineRule="auto"/>
        <w:contextualSpacing/>
        <w:rPr>
          <w:rFonts w:ascii="Verdana" w:hAnsi="Verdana"/>
          <w:bCs/>
          <w:sz w:val="18"/>
          <w:szCs w:val="18"/>
        </w:rPr>
      </w:pPr>
    </w:p>
    <w:p w:rsidRPr="00C5308E" w:rsidR="005D5669" w:rsidP="00D87753" w:rsidRDefault="005D5669" w14:paraId="0752BFC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192</w:t>
      </w:r>
    </w:p>
    <w:p w:rsidRPr="00C5308E" w:rsidR="005D5669" w:rsidP="00D87753" w:rsidRDefault="005D5669" w14:paraId="0C92E1C6" w14:textId="4D6BBB54">
      <w:pPr>
        <w:spacing w:after="0" w:line="240" w:lineRule="auto"/>
        <w:contextualSpacing/>
        <w:rPr>
          <w:rFonts w:ascii="Verdana" w:hAnsi="Verdana"/>
          <w:bCs/>
          <w:sz w:val="18"/>
          <w:szCs w:val="18"/>
        </w:rPr>
      </w:pPr>
      <w:r w:rsidRPr="00C5308E">
        <w:rPr>
          <w:rFonts w:ascii="Verdana" w:hAnsi="Verdana"/>
          <w:bCs/>
          <w:sz w:val="18"/>
          <w:szCs w:val="18"/>
        </w:rPr>
        <w:t xml:space="preserve">Het CBS Dashboard Arbeidsmigratie geeft inzicht in hoeveel personen van buiten de EU/EFTA en hoeveel personen met een EU/EFTA nationaliteit met het migratiemotief arbeid in Nederland werken. Voor migranten van buiten de EU/EFTA is dit op basis </w:t>
      </w:r>
      <w:bookmarkStart w:name="_Hlk199150691" w:id="17"/>
      <w:r w:rsidRPr="00C5308E">
        <w:rPr>
          <w:rFonts w:ascii="Verdana" w:hAnsi="Verdana"/>
          <w:bCs/>
          <w:sz w:val="18"/>
          <w:szCs w:val="18"/>
        </w:rPr>
        <w:t>van migratiejaren 1999 tot en met 2023</w:t>
      </w:r>
      <w:bookmarkEnd w:id="17"/>
      <w:r w:rsidRPr="00C5308E">
        <w:rPr>
          <w:rFonts w:ascii="Verdana" w:hAnsi="Verdana"/>
          <w:bCs/>
          <w:sz w:val="18"/>
          <w:szCs w:val="18"/>
        </w:rPr>
        <w:t>. Voor EU/EFTA-migranten is dit op basis van migratiejaren 1999 tot en met 2022. Hierbij is arbeidsmigratie dus gedefinieerd als personen die vanwege werk naar Nederland zijn gekomen. Aangezien de gegevens teruggaan tot 1999 zijn in de cijfers ook personen opgenomen die al een lange tijd in Nederland kunnen wonen. Op 31 december 2022 zijn er volgens dit dashboard 182.395 arbeidsmigranten en 62.400 gezinsmigranten die meekwamen met arbeidsmigranten uit de EU/EFTA in Nederland.</w:t>
      </w:r>
      <w:r w:rsidR="0096314B">
        <w:rPr>
          <w:rStyle w:val="Voetnootmarkering"/>
          <w:rFonts w:ascii="Verdana" w:hAnsi="Verdana"/>
          <w:bCs/>
          <w:sz w:val="18"/>
          <w:szCs w:val="18"/>
        </w:rPr>
        <w:footnoteReference w:id="42"/>
      </w:r>
      <w:r w:rsidRPr="00C5308E">
        <w:rPr>
          <w:rFonts w:ascii="Verdana" w:hAnsi="Verdana"/>
          <w:bCs/>
          <w:sz w:val="18"/>
          <w:szCs w:val="18"/>
        </w:rPr>
        <w:t xml:space="preserve"> Op 31 december 2023 zijn er in Nederland volgens dit dashboard 122.680 arbeidsmigranten (waaronder 103.235 kennismigranten) en 91.225 gezinsmigranten die meekwamen met arbeidsmigranten uit derde landen in Nederland aanwezig. Bovenstaande cijfers betreffen alleen personen die als ingezetene staan ingeschreven in de Basisregistratie Personen (BRP). Personen die wel in de polisadministratie van het UWV voorkomen als werknemer, maar enkel als niet-ingezetene in het Register Niet-Ingezetenen (RNI) van de BRP geregistreerd staan, worden niet meegenomen in deze standcijfers. Dit kunnen bijvoorbeeld seizoens- of grenswerkers zijn. Ook personen die noch zijn ingeschreven in het bevolkingsregister, noch voorkomen in de polisadministratie van UWV, zijn niet meegenomen in bovenstaande cijfers. Dit kunnen bijvoorbeeld gedetacheerde werknemers zijn die hun loon in het buitenland ontvangen en daarom niet in de polisadministratie voorkomen. </w:t>
      </w:r>
    </w:p>
    <w:p w:rsidRPr="00C5308E" w:rsidR="005D5669" w:rsidP="00D87753" w:rsidRDefault="005D5669" w14:paraId="79EC252B" w14:textId="77777777">
      <w:pPr>
        <w:spacing w:after="0" w:line="240" w:lineRule="auto"/>
        <w:contextualSpacing/>
        <w:rPr>
          <w:rFonts w:ascii="Verdana" w:hAnsi="Verdana"/>
          <w:bCs/>
          <w:sz w:val="18"/>
          <w:szCs w:val="18"/>
        </w:rPr>
      </w:pPr>
    </w:p>
    <w:p w:rsidRPr="00C5308E" w:rsidR="005D5669" w:rsidP="00D87753" w:rsidRDefault="005D5669" w14:paraId="735AE452" w14:textId="77777777">
      <w:pPr>
        <w:spacing w:after="0" w:line="240" w:lineRule="auto"/>
        <w:contextualSpacing/>
        <w:rPr>
          <w:rFonts w:ascii="Verdana" w:hAnsi="Verdana"/>
          <w:bCs/>
          <w:sz w:val="18"/>
          <w:szCs w:val="18"/>
        </w:rPr>
      </w:pPr>
      <w:r w:rsidRPr="00C5308E">
        <w:rPr>
          <w:rFonts w:ascii="Verdana" w:hAnsi="Verdana"/>
          <w:bCs/>
          <w:sz w:val="18"/>
          <w:szCs w:val="18"/>
        </w:rPr>
        <w:t>Het Dashboard biedt geen uitsplitsing naar land van herkomst, maar wel naar nationaliteit op het moment van immigratie. In onderstaande tabel worden de top 10 nationaliteiten weergegeven voor niet-EU/EFTA migranten en EU/EFTA-migranten met het migratiemotief arbeid.</w:t>
      </w:r>
    </w:p>
    <w:p w:rsidRPr="00C5308E" w:rsidR="005D5669" w:rsidP="00D87753" w:rsidRDefault="005D5669" w14:paraId="00F607D1" w14:textId="77777777">
      <w:pPr>
        <w:spacing w:after="0" w:line="240" w:lineRule="auto"/>
        <w:contextualSpacing/>
        <w:rPr>
          <w:rFonts w:ascii="Verdana" w:hAnsi="Verdana"/>
          <w:bCs/>
          <w:sz w:val="18"/>
          <w:szCs w:val="18"/>
        </w:rPr>
      </w:pPr>
    </w:p>
    <w:p w:rsidRPr="00C5308E" w:rsidR="005D5669" w:rsidP="00D87753" w:rsidRDefault="005D5669" w14:paraId="7996914C" w14:textId="65594B85">
      <w:pPr>
        <w:spacing w:after="0" w:line="240" w:lineRule="auto"/>
        <w:contextualSpacing/>
        <w:rPr>
          <w:rFonts w:ascii="Verdana" w:hAnsi="Verdana"/>
          <w:bCs/>
          <w:i/>
          <w:iCs/>
          <w:sz w:val="18"/>
          <w:szCs w:val="18"/>
        </w:rPr>
      </w:pPr>
      <w:bookmarkStart w:name="_Hlk199151692" w:id="18"/>
      <w:r w:rsidRPr="00C5308E">
        <w:rPr>
          <w:rFonts w:ascii="Verdana" w:hAnsi="Verdana"/>
          <w:bCs/>
          <w:i/>
          <w:iCs/>
          <w:sz w:val="18"/>
          <w:szCs w:val="18"/>
        </w:rPr>
        <w:t xml:space="preserve">Aantal arbeidsmigranten van buiten de EU-EFTA in Nederland naar </w:t>
      </w:r>
      <w:bookmarkEnd w:id="18"/>
      <w:r w:rsidRPr="00C5308E">
        <w:rPr>
          <w:rFonts w:ascii="Verdana" w:hAnsi="Verdana"/>
          <w:bCs/>
          <w:i/>
          <w:iCs/>
          <w:sz w:val="18"/>
          <w:szCs w:val="18"/>
        </w:rPr>
        <w:t>nationaliteit op 31 december 2023</w:t>
      </w:r>
      <w:r w:rsidR="0096314B">
        <w:rPr>
          <w:rStyle w:val="Voetnootmarkering"/>
          <w:rFonts w:ascii="Verdana" w:hAnsi="Verdana"/>
          <w:bCs/>
          <w:i/>
          <w:iCs/>
          <w:sz w:val="18"/>
          <w:szCs w:val="18"/>
        </w:rPr>
        <w:footnoteReference w:id="43"/>
      </w:r>
      <w:r w:rsidRPr="00C5308E">
        <w:rPr>
          <w:rFonts w:ascii="Verdana" w:hAnsi="Verdana"/>
          <w:bCs/>
          <w:i/>
          <w:iCs/>
          <w:sz w:val="18"/>
          <w:szCs w:val="18"/>
        </w:rPr>
        <w:t xml:space="preserve"> </w:t>
      </w:r>
    </w:p>
    <w:tbl>
      <w:tblPr>
        <w:tblStyle w:val="Tabelraster"/>
        <w:tblW w:w="0" w:type="auto"/>
        <w:tblLook w:val="04A0" w:firstRow="1" w:lastRow="0" w:firstColumn="1" w:lastColumn="0" w:noHBand="0" w:noVBand="1"/>
      </w:tblPr>
      <w:tblGrid>
        <w:gridCol w:w="4531"/>
        <w:gridCol w:w="4531"/>
      </w:tblGrid>
      <w:tr w:rsidRPr="00C5308E" w:rsidR="005D5669" w:rsidTr="003C75FE" w14:paraId="5921F421" w14:textId="77777777">
        <w:tc>
          <w:tcPr>
            <w:tcW w:w="4531" w:type="dxa"/>
          </w:tcPr>
          <w:p w:rsidRPr="00C5308E" w:rsidR="005D5669" w:rsidP="00D87753" w:rsidRDefault="005D5669" w14:paraId="20510F8B" w14:textId="77777777">
            <w:pPr>
              <w:contextualSpacing/>
              <w:rPr>
                <w:rFonts w:ascii="Verdana" w:hAnsi="Verdana"/>
                <w:bCs/>
                <w:sz w:val="18"/>
                <w:szCs w:val="18"/>
              </w:rPr>
            </w:pPr>
            <w:r w:rsidRPr="00C5308E">
              <w:rPr>
                <w:rFonts w:ascii="Verdana" w:hAnsi="Verdana"/>
                <w:bCs/>
                <w:sz w:val="18"/>
                <w:szCs w:val="18"/>
              </w:rPr>
              <w:t>Nationaliteit</w:t>
            </w:r>
          </w:p>
        </w:tc>
        <w:tc>
          <w:tcPr>
            <w:tcW w:w="4531" w:type="dxa"/>
          </w:tcPr>
          <w:p w:rsidRPr="00C5308E" w:rsidR="005D5669" w:rsidP="00D87753" w:rsidRDefault="005D5669" w14:paraId="60CDFAF8" w14:textId="77777777">
            <w:pPr>
              <w:contextualSpacing/>
              <w:rPr>
                <w:rFonts w:ascii="Verdana" w:hAnsi="Verdana"/>
                <w:bCs/>
                <w:sz w:val="18"/>
                <w:szCs w:val="18"/>
              </w:rPr>
            </w:pPr>
            <w:r w:rsidRPr="00C5308E">
              <w:rPr>
                <w:rFonts w:ascii="Verdana" w:hAnsi="Verdana"/>
                <w:bCs/>
                <w:sz w:val="18"/>
                <w:szCs w:val="18"/>
              </w:rPr>
              <w:t>Aantal personen</w:t>
            </w:r>
          </w:p>
        </w:tc>
      </w:tr>
      <w:tr w:rsidRPr="00C5308E" w:rsidR="005D5669" w:rsidTr="003C75FE" w14:paraId="3C1862FC" w14:textId="77777777">
        <w:tc>
          <w:tcPr>
            <w:tcW w:w="4531" w:type="dxa"/>
            <w:vAlign w:val="bottom"/>
          </w:tcPr>
          <w:p w:rsidRPr="00C5308E" w:rsidR="005D5669" w:rsidP="00D87753" w:rsidRDefault="005D5669" w14:paraId="069F6F62" w14:textId="77777777">
            <w:pPr>
              <w:contextualSpacing/>
              <w:rPr>
                <w:rFonts w:ascii="Verdana" w:hAnsi="Verdana"/>
                <w:bCs/>
                <w:sz w:val="18"/>
                <w:szCs w:val="18"/>
              </w:rPr>
            </w:pPr>
            <w:r w:rsidRPr="00C5308E">
              <w:rPr>
                <w:rFonts w:ascii="Verdana" w:hAnsi="Verdana"/>
                <w:bCs/>
                <w:color w:val="000000"/>
                <w:sz w:val="18"/>
                <w:szCs w:val="18"/>
              </w:rPr>
              <w:t>Indiaas</w:t>
            </w:r>
          </w:p>
        </w:tc>
        <w:tc>
          <w:tcPr>
            <w:tcW w:w="4531" w:type="dxa"/>
            <w:vAlign w:val="bottom"/>
          </w:tcPr>
          <w:p w:rsidRPr="00C5308E" w:rsidR="005D5669" w:rsidP="00D87753" w:rsidRDefault="005D5669" w14:paraId="2D80AA77" w14:textId="77777777">
            <w:pPr>
              <w:contextualSpacing/>
              <w:rPr>
                <w:rFonts w:ascii="Verdana" w:hAnsi="Verdana"/>
                <w:bCs/>
                <w:sz w:val="18"/>
                <w:szCs w:val="18"/>
              </w:rPr>
            </w:pPr>
            <w:r w:rsidRPr="00C5308E">
              <w:rPr>
                <w:rFonts w:ascii="Verdana" w:hAnsi="Verdana"/>
                <w:bCs/>
                <w:color w:val="000000"/>
                <w:sz w:val="18"/>
                <w:szCs w:val="18"/>
              </w:rPr>
              <w:t>26285</w:t>
            </w:r>
          </w:p>
        </w:tc>
      </w:tr>
      <w:tr w:rsidRPr="00C5308E" w:rsidR="005D5669" w:rsidTr="003C75FE" w14:paraId="38C89AD5" w14:textId="77777777">
        <w:tc>
          <w:tcPr>
            <w:tcW w:w="4531" w:type="dxa"/>
            <w:vAlign w:val="bottom"/>
          </w:tcPr>
          <w:p w:rsidRPr="00C5308E" w:rsidR="005D5669" w:rsidP="00D87753" w:rsidRDefault="005D5669" w14:paraId="0E9A2987" w14:textId="77777777">
            <w:pPr>
              <w:contextualSpacing/>
              <w:rPr>
                <w:rFonts w:ascii="Verdana" w:hAnsi="Verdana"/>
                <w:bCs/>
                <w:sz w:val="18"/>
                <w:szCs w:val="18"/>
              </w:rPr>
            </w:pPr>
            <w:r w:rsidRPr="00C5308E">
              <w:rPr>
                <w:rFonts w:ascii="Verdana" w:hAnsi="Verdana"/>
                <w:bCs/>
                <w:color w:val="000000"/>
                <w:sz w:val="18"/>
                <w:szCs w:val="18"/>
              </w:rPr>
              <w:t>Overige nationaliteiten</w:t>
            </w:r>
          </w:p>
        </w:tc>
        <w:tc>
          <w:tcPr>
            <w:tcW w:w="4531" w:type="dxa"/>
            <w:vAlign w:val="bottom"/>
          </w:tcPr>
          <w:p w:rsidRPr="00C5308E" w:rsidR="005D5669" w:rsidP="00D87753" w:rsidRDefault="005D5669" w14:paraId="4B37DA90" w14:textId="77777777">
            <w:pPr>
              <w:contextualSpacing/>
              <w:rPr>
                <w:rFonts w:ascii="Verdana" w:hAnsi="Verdana"/>
                <w:bCs/>
                <w:sz w:val="18"/>
                <w:szCs w:val="18"/>
              </w:rPr>
            </w:pPr>
            <w:r w:rsidRPr="00C5308E">
              <w:rPr>
                <w:rFonts w:ascii="Verdana" w:hAnsi="Verdana"/>
                <w:bCs/>
                <w:color w:val="000000"/>
                <w:sz w:val="18"/>
                <w:szCs w:val="18"/>
              </w:rPr>
              <w:t>21740</w:t>
            </w:r>
          </w:p>
        </w:tc>
      </w:tr>
      <w:tr w:rsidRPr="00C5308E" w:rsidR="005D5669" w:rsidTr="003C75FE" w14:paraId="193195F8" w14:textId="77777777">
        <w:tc>
          <w:tcPr>
            <w:tcW w:w="4531" w:type="dxa"/>
            <w:vAlign w:val="bottom"/>
          </w:tcPr>
          <w:p w:rsidRPr="00C5308E" w:rsidR="005D5669" w:rsidP="00D87753" w:rsidRDefault="005D5669" w14:paraId="02E8B307" w14:textId="77777777">
            <w:pPr>
              <w:contextualSpacing/>
              <w:rPr>
                <w:rFonts w:ascii="Verdana" w:hAnsi="Verdana"/>
                <w:bCs/>
                <w:sz w:val="18"/>
                <w:szCs w:val="18"/>
              </w:rPr>
            </w:pPr>
            <w:r w:rsidRPr="00C5308E">
              <w:rPr>
                <w:rFonts w:ascii="Verdana" w:hAnsi="Verdana"/>
                <w:bCs/>
                <w:color w:val="000000"/>
                <w:sz w:val="18"/>
                <w:szCs w:val="18"/>
              </w:rPr>
              <w:t>Chinees</w:t>
            </w:r>
          </w:p>
        </w:tc>
        <w:tc>
          <w:tcPr>
            <w:tcW w:w="4531" w:type="dxa"/>
            <w:vAlign w:val="bottom"/>
          </w:tcPr>
          <w:p w:rsidRPr="00C5308E" w:rsidR="005D5669" w:rsidP="00D87753" w:rsidRDefault="005D5669" w14:paraId="3428B842" w14:textId="77777777">
            <w:pPr>
              <w:contextualSpacing/>
              <w:rPr>
                <w:rFonts w:ascii="Verdana" w:hAnsi="Verdana"/>
                <w:bCs/>
                <w:sz w:val="18"/>
                <w:szCs w:val="18"/>
              </w:rPr>
            </w:pPr>
            <w:r w:rsidRPr="00C5308E">
              <w:rPr>
                <w:rFonts w:ascii="Verdana" w:hAnsi="Verdana"/>
                <w:bCs/>
                <w:color w:val="000000"/>
                <w:sz w:val="18"/>
                <w:szCs w:val="18"/>
              </w:rPr>
              <w:t>13765</w:t>
            </w:r>
          </w:p>
        </w:tc>
      </w:tr>
      <w:tr w:rsidRPr="00C5308E" w:rsidR="005D5669" w:rsidTr="003C75FE" w14:paraId="1D7D0D86" w14:textId="77777777">
        <w:tc>
          <w:tcPr>
            <w:tcW w:w="4531" w:type="dxa"/>
            <w:vAlign w:val="bottom"/>
          </w:tcPr>
          <w:p w:rsidRPr="00C5308E" w:rsidR="005D5669" w:rsidP="00D87753" w:rsidRDefault="005D5669" w14:paraId="1E531B58" w14:textId="77777777">
            <w:pPr>
              <w:contextualSpacing/>
              <w:rPr>
                <w:rFonts w:ascii="Verdana" w:hAnsi="Verdana"/>
                <w:bCs/>
                <w:sz w:val="18"/>
                <w:szCs w:val="18"/>
              </w:rPr>
            </w:pPr>
            <w:r w:rsidRPr="00C5308E">
              <w:rPr>
                <w:rFonts w:ascii="Verdana" w:hAnsi="Verdana"/>
                <w:bCs/>
                <w:color w:val="000000"/>
                <w:sz w:val="18"/>
                <w:szCs w:val="18"/>
              </w:rPr>
              <w:t>Turks</w:t>
            </w:r>
          </w:p>
        </w:tc>
        <w:tc>
          <w:tcPr>
            <w:tcW w:w="4531" w:type="dxa"/>
            <w:vAlign w:val="bottom"/>
          </w:tcPr>
          <w:p w:rsidRPr="00C5308E" w:rsidR="005D5669" w:rsidP="00D87753" w:rsidRDefault="005D5669" w14:paraId="754CC70C" w14:textId="77777777">
            <w:pPr>
              <w:contextualSpacing/>
              <w:rPr>
                <w:rFonts w:ascii="Verdana" w:hAnsi="Verdana"/>
                <w:bCs/>
                <w:sz w:val="18"/>
                <w:szCs w:val="18"/>
              </w:rPr>
            </w:pPr>
            <w:r w:rsidRPr="00C5308E">
              <w:rPr>
                <w:rFonts w:ascii="Verdana" w:hAnsi="Verdana"/>
                <w:bCs/>
                <w:color w:val="000000"/>
                <w:sz w:val="18"/>
                <w:szCs w:val="18"/>
              </w:rPr>
              <w:t>12395</w:t>
            </w:r>
          </w:p>
        </w:tc>
      </w:tr>
      <w:tr w:rsidRPr="00C5308E" w:rsidR="005D5669" w:rsidTr="003C75FE" w14:paraId="040BA023" w14:textId="77777777">
        <w:tc>
          <w:tcPr>
            <w:tcW w:w="4531" w:type="dxa"/>
            <w:vAlign w:val="bottom"/>
          </w:tcPr>
          <w:p w:rsidRPr="00C5308E" w:rsidR="005D5669" w:rsidP="00D87753" w:rsidRDefault="005D5669" w14:paraId="617C9263" w14:textId="77777777">
            <w:pPr>
              <w:contextualSpacing/>
              <w:rPr>
                <w:rFonts w:ascii="Verdana" w:hAnsi="Verdana"/>
                <w:bCs/>
                <w:sz w:val="18"/>
                <w:szCs w:val="18"/>
              </w:rPr>
            </w:pPr>
            <w:r w:rsidRPr="00C5308E">
              <w:rPr>
                <w:rFonts w:ascii="Verdana" w:hAnsi="Verdana"/>
                <w:bCs/>
                <w:color w:val="000000"/>
                <w:sz w:val="18"/>
                <w:szCs w:val="18"/>
              </w:rPr>
              <w:t>Amerikaans</w:t>
            </w:r>
          </w:p>
        </w:tc>
        <w:tc>
          <w:tcPr>
            <w:tcW w:w="4531" w:type="dxa"/>
            <w:vAlign w:val="bottom"/>
          </w:tcPr>
          <w:p w:rsidRPr="00C5308E" w:rsidR="005D5669" w:rsidP="00D87753" w:rsidRDefault="005D5669" w14:paraId="0308CF76" w14:textId="77777777">
            <w:pPr>
              <w:contextualSpacing/>
              <w:rPr>
                <w:rFonts w:ascii="Verdana" w:hAnsi="Verdana"/>
                <w:bCs/>
                <w:sz w:val="18"/>
                <w:szCs w:val="18"/>
              </w:rPr>
            </w:pPr>
            <w:r w:rsidRPr="00C5308E">
              <w:rPr>
                <w:rFonts w:ascii="Verdana" w:hAnsi="Verdana"/>
                <w:bCs/>
                <w:color w:val="000000"/>
                <w:sz w:val="18"/>
                <w:szCs w:val="18"/>
              </w:rPr>
              <w:t>8435</w:t>
            </w:r>
          </w:p>
        </w:tc>
      </w:tr>
      <w:tr w:rsidRPr="00C5308E" w:rsidR="005D5669" w:rsidTr="003C75FE" w14:paraId="0CFB1FCE" w14:textId="77777777">
        <w:tc>
          <w:tcPr>
            <w:tcW w:w="4531" w:type="dxa"/>
            <w:vAlign w:val="bottom"/>
          </w:tcPr>
          <w:p w:rsidRPr="00C5308E" w:rsidR="005D5669" w:rsidP="00D87753" w:rsidRDefault="005D5669" w14:paraId="4D0B1005" w14:textId="77777777">
            <w:pPr>
              <w:contextualSpacing/>
              <w:rPr>
                <w:rFonts w:ascii="Verdana" w:hAnsi="Verdana"/>
                <w:bCs/>
                <w:sz w:val="18"/>
                <w:szCs w:val="18"/>
              </w:rPr>
            </w:pPr>
            <w:r w:rsidRPr="00C5308E">
              <w:rPr>
                <w:rFonts w:ascii="Verdana" w:hAnsi="Verdana"/>
                <w:bCs/>
                <w:color w:val="000000"/>
                <w:sz w:val="18"/>
                <w:szCs w:val="18"/>
              </w:rPr>
              <w:t>Russisch</w:t>
            </w:r>
          </w:p>
        </w:tc>
        <w:tc>
          <w:tcPr>
            <w:tcW w:w="4531" w:type="dxa"/>
            <w:vAlign w:val="bottom"/>
          </w:tcPr>
          <w:p w:rsidRPr="00C5308E" w:rsidR="005D5669" w:rsidP="00D87753" w:rsidRDefault="005D5669" w14:paraId="3C726E38" w14:textId="77777777">
            <w:pPr>
              <w:contextualSpacing/>
              <w:rPr>
                <w:rFonts w:ascii="Verdana" w:hAnsi="Verdana"/>
                <w:bCs/>
                <w:sz w:val="18"/>
                <w:szCs w:val="18"/>
              </w:rPr>
            </w:pPr>
            <w:r w:rsidRPr="00C5308E">
              <w:rPr>
                <w:rFonts w:ascii="Verdana" w:hAnsi="Verdana"/>
                <w:bCs/>
                <w:color w:val="000000"/>
                <w:sz w:val="18"/>
                <w:szCs w:val="18"/>
              </w:rPr>
              <w:t>7715</w:t>
            </w:r>
          </w:p>
        </w:tc>
      </w:tr>
      <w:tr w:rsidRPr="00C5308E" w:rsidR="005D5669" w:rsidTr="003C75FE" w14:paraId="0D81C15E" w14:textId="77777777">
        <w:tc>
          <w:tcPr>
            <w:tcW w:w="4531" w:type="dxa"/>
            <w:vAlign w:val="bottom"/>
          </w:tcPr>
          <w:p w:rsidRPr="00C5308E" w:rsidR="005D5669" w:rsidP="00D87753" w:rsidRDefault="005D5669" w14:paraId="18FFE3ED" w14:textId="77777777">
            <w:pPr>
              <w:contextualSpacing/>
              <w:rPr>
                <w:rFonts w:ascii="Verdana" w:hAnsi="Verdana"/>
                <w:bCs/>
                <w:sz w:val="18"/>
                <w:szCs w:val="18"/>
              </w:rPr>
            </w:pPr>
            <w:r w:rsidRPr="00C5308E">
              <w:rPr>
                <w:rFonts w:ascii="Verdana" w:hAnsi="Verdana"/>
                <w:bCs/>
                <w:color w:val="000000"/>
                <w:sz w:val="18"/>
                <w:szCs w:val="18"/>
              </w:rPr>
              <w:t>Zuid-Afrikaans</w:t>
            </w:r>
          </w:p>
        </w:tc>
        <w:tc>
          <w:tcPr>
            <w:tcW w:w="4531" w:type="dxa"/>
            <w:vAlign w:val="bottom"/>
          </w:tcPr>
          <w:p w:rsidRPr="00C5308E" w:rsidR="005D5669" w:rsidP="00D87753" w:rsidRDefault="005D5669" w14:paraId="2BD7B684" w14:textId="77777777">
            <w:pPr>
              <w:contextualSpacing/>
              <w:rPr>
                <w:rFonts w:ascii="Verdana" w:hAnsi="Verdana"/>
                <w:bCs/>
                <w:sz w:val="18"/>
                <w:szCs w:val="18"/>
              </w:rPr>
            </w:pPr>
            <w:r w:rsidRPr="00C5308E">
              <w:rPr>
                <w:rFonts w:ascii="Verdana" w:hAnsi="Verdana"/>
                <w:bCs/>
                <w:color w:val="000000"/>
                <w:sz w:val="18"/>
                <w:szCs w:val="18"/>
              </w:rPr>
              <w:t>6780</w:t>
            </w:r>
          </w:p>
        </w:tc>
      </w:tr>
      <w:tr w:rsidRPr="00C5308E" w:rsidR="005D5669" w:rsidTr="003C75FE" w14:paraId="552026D2" w14:textId="77777777">
        <w:tc>
          <w:tcPr>
            <w:tcW w:w="4531" w:type="dxa"/>
            <w:vAlign w:val="bottom"/>
          </w:tcPr>
          <w:p w:rsidRPr="00C5308E" w:rsidR="005D5669" w:rsidP="00D87753" w:rsidRDefault="005D5669" w14:paraId="45E3FDB4" w14:textId="77777777">
            <w:pPr>
              <w:contextualSpacing/>
              <w:rPr>
                <w:rFonts w:ascii="Verdana" w:hAnsi="Verdana"/>
                <w:bCs/>
                <w:sz w:val="18"/>
                <w:szCs w:val="18"/>
              </w:rPr>
            </w:pPr>
            <w:r w:rsidRPr="00C5308E">
              <w:rPr>
                <w:rFonts w:ascii="Verdana" w:hAnsi="Verdana"/>
                <w:bCs/>
                <w:color w:val="000000"/>
                <w:sz w:val="18"/>
                <w:szCs w:val="18"/>
              </w:rPr>
              <w:t>Braziliaans</w:t>
            </w:r>
          </w:p>
        </w:tc>
        <w:tc>
          <w:tcPr>
            <w:tcW w:w="4531" w:type="dxa"/>
            <w:vAlign w:val="bottom"/>
          </w:tcPr>
          <w:p w:rsidRPr="00C5308E" w:rsidR="005D5669" w:rsidP="00D87753" w:rsidRDefault="005D5669" w14:paraId="5688B1F7" w14:textId="77777777">
            <w:pPr>
              <w:contextualSpacing/>
              <w:rPr>
                <w:rFonts w:ascii="Verdana" w:hAnsi="Verdana"/>
                <w:bCs/>
                <w:sz w:val="18"/>
                <w:szCs w:val="18"/>
              </w:rPr>
            </w:pPr>
            <w:r w:rsidRPr="00C5308E">
              <w:rPr>
                <w:rFonts w:ascii="Verdana" w:hAnsi="Verdana"/>
                <w:bCs/>
                <w:color w:val="000000"/>
                <w:sz w:val="18"/>
                <w:szCs w:val="18"/>
              </w:rPr>
              <w:t>4375</w:t>
            </w:r>
          </w:p>
        </w:tc>
      </w:tr>
      <w:tr w:rsidRPr="00C5308E" w:rsidR="005D5669" w:rsidTr="003C75FE" w14:paraId="6A7E7650" w14:textId="77777777">
        <w:tc>
          <w:tcPr>
            <w:tcW w:w="4531" w:type="dxa"/>
            <w:vAlign w:val="bottom"/>
          </w:tcPr>
          <w:p w:rsidRPr="00C5308E" w:rsidR="005D5669" w:rsidP="00D87753" w:rsidRDefault="005D5669" w14:paraId="4D7E3B2D" w14:textId="77777777">
            <w:pPr>
              <w:contextualSpacing/>
              <w:rPr>
                <w:rFonts w:ascii="Verdana" w:hAnsi="Verdana"/>
                <w:bCs/>
                <w:sz w:val="18"/>
                <w:szCs w:val="18"/>
              </w:rPr>
            </w:pPr>
            <w:r w:rsidRPr="00C5308E">
              <w:rPr>
                <w:rFonts w:ascii="Verdana" w:hAnsi="Verdana"/>
                <w:bCs/>
                <w:color w:val="000000"/>
                <w:sz w:val="18"/>
                <w:szCs w:val="18"/>
              </w:rPr>
              <w:t>Iraans</w:t>
            </w:r>
          </w:p>
        </w:tc>
        <w:tc>
          <w:tcPr>
            <w:tcW w:w="4531" w:type="dxa"/>
            <w:vAlign w:val="bottom"/>
          </w:tcPr>
          <w:p w:rsidRPr="00C5308E" w:rsidR="005D5669" w:rsidP="00D87753" w:rsidRDefault="005D5669" w14:paraId="7EB114F8" w14:textId="77777777">
            <w:pPr>
              <w:contextualSpacing/>
              <w:rPr>
                <w:rFonts w:ascii="Verdana" w:hAnsi="Verdana"/>
                <w:bCs/>
                <w:sz w:val="18"/>
                <w:szCs w:val="18"/>
              </w:rPr>
            </w:pPr>
            <w:r w:rsidRPr="00C5308E">
              <w:rPr>
                <w:rFonts w:ascii="Verdana" w:hAnsi="Verdana"/>
                <w:bCs/>
                <w:color w:val="000000"/>
                <w:sz w:val="18"/>
                <w:szCs w:val="18"/>
              </w:rPr>
              <w:t>4105</w:t>
            </w:r>
          </w:p>
        </w:tc>
      </w:tr>
      <w:tr w:rsidRPr="00C5308E" w:rsidR="005D5669" w:rsidTr="003C75FE" w14:paraId="66E71C8F" w14:textId="77777777">
        <w:tc>
          <w:tcPr>
            <w:tcW w:w="4531" w:type="dxa"/>
            <w:vAlign w:val="bottom"/>
          </w:tcPr>
          <w:p w:rsidRPr="00C5308E" w:rsidR="005D5669" w:rsidP="00D87753" w:rsidRDefault="005D5669" w14:paraId="108DBD99" w14:textId="77777777">
            <w:pPr>
              <w:contextualSpacing/>
              <w:rPr>
                <w:rFonts w:ascii="Verdana" w:hAnsi="Verdana"/>
                <w:bCs/>
                <w:sz w:val="18"/>
                <w:szCs w:val="18"/>
              </w:rPr>
            </w:pPr>
            <w:r w:rsidRPr="00C5308E">
              <w:rPr>
                <w:rFonts w:ascii="Verdana" w:hAnsi="Verdana"/>
                <w:bCs/>
                <w:color w:val="000000"/>
                <w:sz w:val="18"/>
                <w:szCs w:val="18"/>
              </w:rPr>
              <w:t>Brits</w:t>
            </w:r>
          </w:p>
        </w:tc>
        <w:tc>
          <w:tcPr>
            <w:tcW w:w="4531" w:type="dxa"/>
            <w:vAlign w:val="bottom"/>
          </w:tcPr>
          <w:p w:rsidRPr="00C5308E" w:rsidR="005D5669" w:rsidP="00D87753" w:rsidRDefault="005D5669" w14:paraId="28AF4497" w14:textId="77777777">
            <w:pPr>
              <w:contextualSpacing/>
              <w:rPr>
                <w:rFonts w:ascii="Verdana" w:hAnsi="Verdana"/>
                <w:bCs/>
                <w:sz w:val="18"/>
                <w:szCs w:val="18"/>
              </w:rPr>
            </w:pPr>
            <w:r w:rsidRPr="00C5308E">
              <w:rPr>
                <w:rFonts w:ascii="Verdana" w:hAnsi="Verdana"/>
                <w:bCs/>
                <w:color w:val="000000"/>
                <w:sz w:val="18"/>
                <w:szCs w:val="18"/>
              </w:rPr>
              <w:t>3515</w:t>
            </w:r>
          </w:p>
        </w:tc>
      </w:tr>
    </w:tbl>
    <w:p w:rsidRPr="00C5308E" w:rsidR="005D5669" w:rsidP="00D87753" w:rsidRDefault="005D5669" w14:paraId="4B3F93A2" w14:textId="77777777">
      <w:pPr>
        <w:spacing w:after="0" w:line="240" w:lineRule="auto"/>
        <w:contextualSpacing/>
        <w:rPr>
          <w:rFonts w:ascii="Verdana" w:hAnsi="Verdana"/>
          <w:bCs/>
          <w:sz w:val="18"/>
          <w:szCs w:val="18"/>
        </w:rPr>
      </w:pPr>
    </w:p>
    <w:p w:rsidRPr="00C5308E" w:rsidR="005D5669" w:rsidP="00D87753" w:rsidRDefault="005D5669" w14:paraId="610F8717" w14:textId="13E02E9E">
      <w:pPr>
        <w:spacing w:after="0" w:line="240" w:lineRule="auto"/>
        <w:contextualSpacing/>
        <w:rPr>
          <w:rFonts w:ascii="Verdana" w:hAnsi="Verdana"/>
          <w:bCs/>
          <w:sz w:val="18"/>
          <w:szCs w:val="18"/>
        </w:rPr>
      </w:pPr>
      <w:r w:rsidRPr="00C5308E">
        <w:rPr>
          <w:rFonts w:ascii="Verdana" w:hAnsi="Verdana"/>
          <w:bCs/>
          <w:i/>
          <w:iCs/>
          <w:sz w:val="18"/>
          <w:szCs w:val="18"/>
        </w:rPr>
        <w:t>Aantal EU/EFTA-arbeidsmigranten in Nederland naar nationaliteit op 31 december 2022</w:t>
      </w:r>
      <w:r w:rsidR="0096314B">
        <w:rPr>
          <w:rStyle w:val="Voetnootmarkering"/>
          <w:rFonts w:ascii="Verdana" w:hAnsi="Verdana"/>
          <w:bCs/>
          <w:i/>
          <w:iCs/>
          <w:sz w:val="18"/>
          <w:szCs w:val="18"/>
        </w:rPr>
        <w:footnoteReference w:id="44"/>
      </w:r>
    </w:p>
    <w:tbl>
      <w:tblPr>
        <w:tblStyle w:val="Tabelraster"/>
        <w:tblW w:w="0" w:type="auto"/>
        <w:tblLook w:val="04A0" w:firstRow="1" w:lastRow="0" w:firstColumn="1" w:lastColumn="0" w:noHBand="0" w:noVBand="1"/>
      </w:tblPr>
      <w:tblGrid>
        <w:gridCol w:w="4531"/>
        <w:gridCol w:w="4531"/>
      </w:tblGrid>
      <w:tr w:rsidRPr="00C5308E" w:rsidR="005D5669" w:rsidTr="003C75FE" w14:paraId="65FDA86F" w14:textId="77777777">
        <w:tc>
          <w:tcPr>
            <w:tcW w:w="4531" w:type="dxa"/>
          </w:tcPr>
          <w:p w:rsidRPr="00C5308E" w:rsidR="005D5669" w:rsidP="00D87753" w:rsidRDefault="005D5669" w14:paraId="2BBE6402" w14:textId="77777777">
            <w:pPr>
              <w:contextualSpacing/>
              <w:rPr>
                <w:rFonts w:ascii="Verdana" w:hAnsi="Verdana"/>
                <w:bCs/>
                <w:sz w:val="18"/>
                <w:szCs w:val="18"/>
              </w:rPr>
            </w:pPr>
            <w:r w:rsidRPr="00C5308E">
              <w:rPr>
                <w:rFonts w:ascii="Verdana" w:hAnsi="Verdana"/>
                <w:bCs/>
                <w:sz w:val="18"/>
                <w:szCs w:val="18"/>
              </w:rPr>
              <w:t>Nationaliteit</w:t>
            </w:r>
          </w:p>
        </w:tc>
        <w:tc>
          <w:tcPr>
            <w:tcW w:w="4531" w:type="dxa"/>
          </w:tcPr>
          <w:p w:rsidRPr="00C5308E" w:rsidR="005D5669" w:rsidP="00D87753" w:rsidRDefault="005D5669" w14:paraId="420F74B9" w14:textId="77777777">
            <w:pPr>
              <w:contextualSpacing/>
              <w:rPr>
                <w:rFonts w:ascii="Verdana" w:hAnsi="Verdana"/>
                <w:bCs/>
                <w:sz w:val="18"/>
                <w:szCs w:val="18"/>
              </w:rPr>
            </w:pPr>
            <w:r w:rsidRPr="00C5308E">
              <w:rPr>
                <w:rFonts w:ascii="Verdana" w:hAnsi="Verdana"/>
                <w:bCs/>
                <w:sz w:val="18"/>
                <w:szCs w:val="18"/>
              </w:rPr>
              <w:t>Aantal personen</w:t>
            </w:r>
          </w:p>
        </w:tc>
      </w:tr>
      <w:tr w:rsidRPr="00C5308E" w:rsidR="005D5669" w:rsidTr="003C75FE" w14:paraId="76E6174B" w14:textId="77777777">
        <w:tc>
          <w:tcPr>
            <w:tcW w:w="4531" w:type="dxa"/>
            <w:vAlign w:val="bottom"/>
          </w:tcPr>
          <w:p w:rsidRPr="00C5308E" w:rsidR="005D5669" w:rsidP="00D87753" w:rsidRDefault="005D5669" w14:paraId="4F339240" w14:textId="77777777">
            <w:pPr>
              <w:contextualSpacing/>
              <w:rPr>
                <w:rFonts w:ascii="Verdana" w:hAnsi="Verdana"/>
                <w:bCs/>
                <w:sz w:val="18"/>
                <w:szCs w:val="18"/>
              </w:rPr>
            </w:pPr>
            <w:r w:rsidRPr="00C5308E">
              <w:rPr>
                <w:rFonts w:ascii="Verdana" w:hAnsi="Verdana"/>
                <w:bCs/>
                <w:color w:val="000000"/>
                <w:sz w:val="18"/>
                <w:szCs w:val="18"/>
              </w:rPr>
              <w:t>Pools</w:t>
            </w:r>
          </w:p>
        </w:tc>
        <w:tc>
          <w:tcPr>
            <w:tcW w:w="4531" w:type="dxa"/>
            <w:vAlign w:val="bottom"/>
          </w:tcPr>
          <w:p w:rsidRPr="00C5308E" w:rsidR="005D5669" w:rsidP="00D87753" w:rsidRDefault="005D5669" w14:paraId="087E789F" w14:textId="77777777">
            <w:pPr>
              <w:contextualSpacing/>
              <w:rPr>
                <w:rFonts w:ascii="Verdana" w:hAnsi="Verdana"/>
                <w:bCs/>
                <w:sz w:val="18"/>
                <w:szCs w:val="18"/>
              </w:rPr>
            </w:pPr>
            <w:r w:rsidRPr="00C5308E">
              <w:rPr>
                <w:rFonts w:ascii="Verdana" w:hAnsi="Verdana"/>
                <w:bCs/>
                <w:color w:val="000000"/>
                <w:sz w:val="18"/>
                <w:szCs w:val="18"/>
              </w:rPr>
              <w:t>47710</w:t>
            </w:r>
          </w:p>
        </w:tc>
      </w:tr>
      <w:tr w:rsidRPr="00C5308E" w:rsidR="005D5669" w:rsidTr="003C75FE" w14:paraId="2EC14A60" w14:textId="77777777">
        <w:tc>
          <w:tcPr>
            <w:tcW w:w="4531" w:type="dxa"/>
            <w:vAlign w:val="bottom"/>
          </w:tcPr>
          <w:p w:rsidRPr="00C5308E" w:rsidR="005D5669" w:rsidP="00D87753" w:rsidRDefault="005D5669" w14:paraId="7418868A" w14:textId="77777777">
            <w:pPr>
              <w:contextualSpacing/>
              <w:rPr>
                <w:rFonts w:ascii="Verdana" w:hAnsi="Verdana"/>
                <w:bCs/>
                <w:sz w:val="18"/>
                <w:szCs w:val="18"/>
              </w:rPr>
            </w:pPr>
            <w:r w:rsidRPr="00C5308E">
              <w:rPr>
                <w:rFonts w:ascii="Verdana" w:hAnsi="Verdana"/>
                <w:bCs/>
                <w:color w:val="000000"/>
                <w:sz w:val="18"/>
                <w:szCs w:val="18"/>
              </w:rPr>
              <w:t>Italiaans</w:t>
            </w:r>
          </w:p>
        </w:tc>
        <w:tc>
          <w:tcPr>
            <w:tcW w:w="4531" w:type="dxa"/>
            <w:vAlign w:val="bottom"/>
          </w:tcPr>
          <w:p w:rsidRPr="00C5308E" w:rsidR="005D5669" w:rsidP="00D87753" w:rsidRDefault="005D5669" w14:paraId="6BEE445B" w14:textId="77777777">
            <w:pPr>
              <w:contextualSpacing/>
              <w:rPr>
                <w:rFonts w:ascii="Verdana" w:hAnsi="Verdana"/>
                <w:bCs/>
                <w:sz w:val="18"/>
                <w:szCs w:val="18"/>
              </w:rPr>
            </w:pPr>
            <w:r w:rsidRPr="00C5308E">
              <w:rPr>
                <w:rFonts w:ascii="Verdana" w:hAnsi="Verdana"/>
                <w:bCs/>
                <w:color w:val="000000"/>
                <w:sz w:val="18"/>
                <w:szCs w:val="18"/>
              </w:rPr>
              <w:t>17550</w:t>
            </w:r>
          </w:p>
        </w:tc>
      </w:tr>
      <w:tr w:rsidRPr="00C5308E" w:rsidR="005D5669" w:rsidTr="003C75FE" w14:paraId="1359CEED" w14:textId="77777777">
        <w:tc>
          <w:tcPr>
            <w:tcW w:w="4531" w:type="dxa"/>
            <w:vAlign w:val="bottom"/>
          </w:tcPr>
          <w:p w:rsidRPr="00C5308E" w:rsidR="005D5669" w:rsidP="00D87753" w:rsidRDefault="005D5669" w14:paraId="484F0D55" w14:textId="77777777">
            <w:pPr>
              <w:contextualSpacing/>
              <w:rPr>
                <w:rFonts w:ascii="Verdana" w:hAnsi="Verdana"/>
                <w:bCs/>
                <w:sz w:val="18"/>
                <w:szCs w:val="18"/>
              </w:rPr>
            </w:pPr>
            <w:r w:rsidRPr="00C5308E">
              <w:rPr>
                <w:rFonts w:ascii="Verdana" w:hAnsi="Verdana"/>
                <w:bCs/>
                <w:color w:val="000000"/>
                <w:sz w:val="18"/>
                <w:szCs w:val="18"/>
              </w:rPr>
              <w:t>Roemeens</w:t>
            </w:r>
          </w:p>
        </w:tc>
        <w:tc>
          <w:tcPr>
            <w:tcW w:w="4531" w:type="dxa"/>
            <w:vAlign w:val="bottom"/>
          </w:tcPr>
          <w:p w:rsidRPr="00C5308E" w:rsidR="005D5669" w:rsidP="00D87753" w:rsidRDefault="005D5669" w14:paraId="1BBF4229" w14:textId="77777777">
            <w:pPr>
              <w:contextualSpacing/>
              <w:rPr>
                <w:rFonts w:ascii="Verdana" w:hAnsi="Verdana"/>
                <w:bCs/>
                <w:sz w:val="18"/>
                <w:szCs w:val="18"/>
              </w:rPr>
            </w:pPr>
            <w:r w:rsidRPr="00C5308E">
              <w:rPr>
                <w:rFonts w:ascii="Verdana" w:hAnsi="Verdana"/>
                <w:bCs/>
                <w:color w:val="000000"/>
                <w:sz w:val="18"/>
                <w:szCs w:val="18"/>
              </w:rPr>
              <w:t>15790</w:t>
            </w:r>
          </w:p>
        </w:tc>
      </w:tr>
      <w:tr w:rsidRPr="00C5308E" w:rsidR="005D5669" w:rsidTr="003C75FE" w14:paraId="23DF2635" w14:textId="77777777">
        <w:tc>
          <w:tcPr>
            <w:tcW w:w="4531" w:type="dxa"/>
            <w:vAlign w:val="bottom"/>
          </w:tcPr>
          <w:p w:rsidRPr="00C5308E" w:rsidR="005D5669" w:rsidP="00D87753" w:rsidRDefault="005D5669" w14:paraId="77641E21" w14:textId="77777777">
            <w:pPr>
              <w:contextualSpacing/>
              <w:rPr>
                <w:rFonts w:ascii="Verdana" w:hAnsi="Verdana"/>
                <w:bCs/>
                <w:sz w:val="18"/>
                <w:szCs w:val="18"/>
              </w:rPr>
            </w:pPr>
            <w:r w:rsidRPr="00C5308E">
              <w:rPr>
                <w:rFonts w:ascii="Verdana" w:hAnsi="Verdana"/>
                <w:bCs/>
                <w:color w:val="000000"/>
                <w:sz w:val="18"/>
                <w:szCs w:val="18"/>
              </w:rPr>
              <w:t>Spaans</w:t>
            </w:r>
          </w:p>
        </w:tc>
        <w:tc>
          <w:tcPr>
            <w:tcW w:w="4531" w:type="dxa"/>
            <w:vAlign w:val="bottom"/>
          </w:tcPr>
          <w:p w:rsidRPr="00C5308E" w:rsidR="005D5669" w:rsidP="00D87753" w:rsidRDefault="005D5669" w14:paraId="56E4D57E" w14:textId="77777777">
            <w:pPr>
              <w:contextualSpacing/>
              <w:rPr>
                <w:rFonts w:ascii="Verdana" w:hAnsi="Verdana"/>
                <w:bCs/>
                <w:sz w:val="18"/>
                <w:szCs w:val="18"/>
              </w:rPr>
            </w:pPr>
            <w:r w:rsidRPr="00C5308E">
              <w:rPr>
                <w:rFonts w:ascii="Verdana" w:hAnsi="Verdana"/>
                <w:bCs/>
                <w:color w:val="000000"/>
                <w:sz w:val="18"/>
                <w:szCs w:val="18"/>
              </w:rPr>
              <w:t>13900</w:t>
            </w:r>
          </w:p>
        </w:tc>
      </w:tr>
      <w:tr w:rsidRPr="00C5308E" w:rsidR="005D5669" w:rsidTr="003C75FE" w14:paraId="6F728C9E" w14:textId="77777777">
        <w:tc>
          <w:tcPr>
            <w:tcW w:w="4531" w:type="dxa"/>
            <w:vAlign w:val="bottom"/>
          </w:tcPr>
          <w:p w:rsidRPr="00C5308E" w:rsidR="005D5669" w:rsidP="00D87753" w:rsidRDefault="005D5669" w14:paraId="42C97427" w14:textId="77777777">
            <w:pPr>
              <w:contextualSpacing/>
              <w:rPr>
                <w:rFonts w:ascii="Verdana" w:hAnsi="Verdana"/>
                <w:bCs/>
                <w:sz w:val="18"/>
                <w:szCs w:val="18"/>
              </w:rPr>
            </w:pPr>
            <w:r w:rsidRPr="00C5308E">
              <w:rPr>
                <w:rFonts w:ascii="Verdana" w:hAnsi="Verdana"/>
                <w:bCs/>
                <w:color w:val="000000"/>
                <w:sz w:val="18"/>
                <w:szCs w:val="18"/>
              </w:rPr>
              <w:t>Bulgaars</w:t>
            </w:r>
          </w:p>
        </w:tc>
        <w:tc>
          <w:tcPr>
            <w:tcW w:w="4531" w:type="dxa"/>
            <w:vAlign w:val="bottom"/>
          </w:tcPr>
          <w:p w:rsidRPr="00C5308E" w:rsidR="005D5669" w:rsidP="00D87753" w:rsidRDefault="005D5669" w14:paraId="4579DF26" w14:textId="77777777">
            <w:pPr>
              <w:contextualSpacing/>
              <w:rPr>
                <w:rFonts w:ascii="Verdana" w:hAnsi="Verdana"/>
                <w:bCs/>
                <w:sz w:val="18"/>
                <w:szCs w:val="18"/>
              </w:rPr>
            </w:pPr>
            <w:r w:rsidRPr="00C5308E">
              <w:rPr>
                <w:rFonts w:ascii="Verdana" w:hAnsi="Verdana"/>
                <w:bCs/>
                <w:color w:val="000000"/>
                <w:sz w:val="18"/>
                <w:szCs w:val="18"/>
              </w:rPr>
              <w:t>13475</w:t>
            </w:r>
          </w:p>
        </w:tc>
      </w:tr>
      <w:tr w:rsidRPr="00C5308E" w:rsidR="005D5669" w:rsidTr="003C75FE" w14:paraId="77D05737" w14:textId="77777777">
        <w:tc>
          <w:tcPr>
            <w:tcW w:w="4531" w:type="dxa"/>
            <w:vAlign w:val="bottom"/>
          </w:tcPr>
          <w:p w:rsidRPr="00C5308E" w:rsidR="005D5669" w:rsidP="00D87753" w:rsidRDefault="005D5669" w14:paraId="1889851C" w14:textId="77777777">
            <w:pPr>
              <w:contextualSpacing/>
              <w:rPr>
                <w:rFonts w:ascii="Verdana" w:hAnsi="Verdana"/>
                <w:bCs/>
                <w:sz w:val="18"/>
                <w:szCs w:val="18"/>
              </w:rPr>
            </w:pPr>
            <w:r w:rsidRPr="00C5308E">
              <w:rPr>
                <w:rFonts w:ascii="Verdana" w:hAnsi="Verdana"/>
                <w:bCs/>
                <w:color w:val="000000"/>
                <w:sz w:val="18"/>
                <w:szCs w:val="18"/>
              </w:rPr>
              <w:t>Duits</w:t>
            </w:r>
          </w:p>
        </w:tc>
        <w:tc>
          <w:tcPr>
            <w:tcW w:w="4531" w:type="dxa"/>
            <w:vAlign w:val="bottom"/>
          </w:tcPr>
          <w:p w:rsidRPr="00C5308E" w:rsidR="005D5669" w:rsidP="00D87753" w:rsidRDefault="005D5669" w14:paraId="6EC43273" w14:textId="77777777">
            <w:pPr>
              <w:contextualSpacing/>
              <w:rPr>
                <w:rFonts w:ascii="Verdana" w:hAnsi="Verdana"/>
                <w:bCs/>
                <w:sz w:val="18"/>
                <w:szCs w:val="18"/>
              </w:rPr>
            </w:pPr>
            <w:r w:rsidRPr="00C5308E">
              <w:rPr>
                <w:rFonts w:ascii="Verdana" w:hAnsi="Verdana"/>
                <w:bCs/>
                <w:color w:val="000000"/>
                <w:sz w:val="18"/>
                <w:szCs w:val="18"/>
              </w:rPr>
              <w:t>12995</w:t>
            </w:r>
          </w:p>
        </w:tc>
      </w:tr>
      <w:tr w:rsidRPr="00C5308E" w:rsidR="005D5669" w:rsidTr="003C75FE" w14:paraId="21A24D36" w14:textId="77777777">
        <w:tc>
          <w:tcPr>
            <w:tcW w:w="4531" w:type="dxa"/>
            <w:vAlign w:val="bottom"/>
          </w:tcPr>
          <w:p w:rsidRPr="00C5308E" w:rsidR="005D5669" w:rsidP="00D87753" w:rsidRDefault="005D5669" w14:paraId="0EAED97C" w14:textId="77777777">
            <w:pPr>
              <w:contextualSpacing/>
              <w:rPr>
                <w:rFonts w:ascii="Verdana" w:hAnsi="Verdana"/>
                <w:bCs/>
                <w:sz w:val="18"/>
                <w:szCs w:val="18"/>
              </w:rPr>
            </w:pPr>
            <w:r w:rsidRPr="00C5308E">
              <w:rPr>
                <w:rFonts w:ascii="Verdana" w:hAnsi="Verdana"/>
                <w:bCs/>
                <w:color w:val="000000"/>
                <w:sz w:val="18"/>
                <w:szCs w:val="18"/>
              </w:rPr>
              <w:t>Portugees</w:t>
            </w:r>
          </w:p>
        </w:tc>
        <w:tc>
          <w:tcPr>
            <w:tcW w:w="4531" w:type="dxa"/>
            <w:vAlign w:val="bottom"/>
          </w:tcPr>
          <w:p w:rsidRPr="00C5308E" w:rsidR="005D5669" w:rsidP="00D87753" w:rsidRDefault="005D5669" w14:paraId="64DA314D" w14:textId="77777777">
            <w:pPr>
              <w:contextualSpacing/>
              <w:rPr>
                <w:rFonts w:ascii="Verdana" w:hAnsi="Verdana"/>
                <w:bCs/>
                <w:sz w:val="18"/>
                <w:szCs w:val="18"/>
              </w:rPr>
            </w:pPr>
            <w:r w:rsidRPr="00C5308E">
              <w:rPr>
                <w:rFonts w:ascii="Verdana" w:hAnsi="Verdana"/>
                <w:bCs/>
                <w:color w:val="000000"/>
                <w:sz w:val="18"/>
                <w:szCs w:val="18"/>
              </w:rPr>
              <w:t>10080</w:t>
            </w:r>
          </w:p>
        </w:tc>
      </w:tr>
      <w:tr w:rsidRPr="00C5308E" w:rsidR="005D5669" w:rsidTr="003C75FE" w14:paraId="11E56C84" w14:textId="77777777">
        <w:tc>
          <w:tcPr>
            <w:tcW w:w="4531" w:type="dxa"/>
            <w:vAlign w:val="bottom"/>
          </w:tcPr>
          <w:p w:rsidRPr="00C5308E" w:rsidR="005D5669" w:rsidP="00D87753" w:rsidRDefault="005D5669" w14:paraId="6A78DC38" w14:textId="77777777">
            <w:pPr>
              <w:contextualSpacing/>
              <w:rPr>
                <w:rFonts w:ascii="Verdana" w:hAnsi="Verdana"/>
                <w:bCs/>
                <w:sz w:val="18"/>
                <w:szCs w:val="18"/>
              </w:rPr>
            </w:pPr>
            <w:r w:rsidRPr="00C5308E">
              <w:rPr>
                <w:rFonts w:ascii="Verdana" w:hAnsi="Verdana"/>
                <w:bCs/>
                <w:color w:val="000000"/>
                <w:sz w:val="18"/>
                <w:szCs w:val="18"/>
              </w:rPr>
              <w:t>Grieks</w:t>
            </w:r>
          </w:p>
        </w:tc>
        <w:tc>
          <w:tcPr>
            <w:tcW w:w="4531" w:type="dxa"/>
            <w:vAlign w:val="bottom"/>
          </w:tcPr>
          <w:p w:rsidRPr="00C5308E" w:rsidR="005D5669" w:rsidP="00D87753" w:rsidRDefault="005D5669" w14:paraId="39A534C0" w14:textId="77777777">
            <w:pPr>
              <w:contextualSpacing/>
              <w:rPr>
                <w:rFonts w:ascii="Verdana" w:hAnsi="Verdana"/>
                <w:bCs/>
                <w:sz w:val="18"/>
                <w:szCs w:val="18"/>
              </w:rPr>
            </w:pPr>
            <w:r w:rsidRPr="00C5308E">
              <w:rPr>
                <w:rFonts w:ascii="Verdana" w:hAnsi="Verdana"/>
                <w:bCs/>
                <w:color w:val="000000"/>
                <w:sz w:val="18"/>
                <w:szCs w:val="18"/>
              </w:rPr>
              <w:t>9295</w:t>
            </w:r>
          </w:p>
        </w:tc>
      </w:tr>
      <w:tr w:rsidRPr="00C5308E" w:rsidR="005D5669" w:rsidTr="003C75FE" w14:paraId="101B471A" w14:textId="77777777">
        <w:tc>
          <w:tcPr>
            <w:tcW w:w="4531" w:type="dxa"/>
            <w:vAlign w:val="bottom"/>
          </w:tcPr>
          <w:p w:rsidRPr="00C5308E" w:rsidR="005D5669" w:rsidP="00D87753" w:rsidRDefault="005D5669" w14:paraId="2980B15D" w14:textId="77777777">
            <w:pPr>
              <w:contextualSpacing/>
              <w:rPr>
                <w:rFonts w:ascii="Verdana" w:hAnsi="Verdana"/>
                <w:bCs/>
                <w:sz w:val="18"/>
                <w:szCs w:val="18"/>
              </w:rPr>
            </w:pPr>
            <w:r w:rsidRPr="00C5308E">
              <w:rPr>
                <w:rFonts w:ascii="Verdana" w:hAnsi="Verdana"/>
                <w:bCs/>
                <w:color w:val="000000"/>
                <w:sz w:val="18"/>
                <w:szCs w:val="18"/>
              </w:rPr>
              <w:t>Frans</w:t>
            </w:r>
          </w:p>
        </w:tc>
        <w:tc>
          <w:tcPr>
            <w:tcW w:w="4531" w:type="dxa"/>
            <w:vAlign w:val="bottom"/>
          </w:tcPr>
          <w:p w:rsidRPr="00C5308E" w:rsidR="005D5669" w:rsidP="00D87753" w:rsidRDefault="005D5669" w14:paraId="4920F31C" w14:textId="77777777">
            <w:pPr>
              <w:contextualSpacing/>
              <w:rPr>
                <w:rFonts w:ascii="Verdana" w:hAnsi="Verdana"/>
                <w:bCs/>
                <w:sz w:val="18"/>
                <w:szCs w:val="18"/>
              </w:rPr>
            </w:pPr>
            <w:r w:rsidRPr="00C5308E">
              <w:rPr>
                <w:rFonts w:ascii="Verdana" w:hAnsi="Verdana"/>
                <w:bCs/>
                <w:color w:val="000000"/>
                <w:sz w:val="18"/>
                <w:szCs w:val="18"/>
              </w:rPr>
              <w:t>9205</w:t>
            </w:r>
          </w:p>
        </w:tc>
      </w:tr>
      <w:tr w:rsidRPr="00C5308E" w:rsidR="005D5669" w:rsidTr="003C75FE" w14:paraId="02A3626D" w14:textId="77777777">
        <w:tc>
          <w:tcPr>
            <w:tcW w:w="4531" w:type="dxa"/>
            <w:vAlign w:val="bottom"/>
          </w:tcPr>
          <w:p w:rsidRPr="00C5308E" w:rsidR="005D5669" w:rsidP="00D87753" w:rsidRDefault="005D5669" w14:paraId="01836054" w14:textId="77777777">
            <w:pPr>
              <w:contextualSpacing/>
              <w:rPr>
                <w:rFonts w:ascii="Verdana" w:hAnsi="Verdana"/>
                <w:bCs/>
                <w:sz w:val="18"/>
                <w:szCs w:val="18"/>
              </w:rPr>
            </w:pPr>
            <w:r w:rsidRPr="00C5308E">
              <w:rPr>
                <w:rFonts w:ascii="Verdana" w:hAnsi="Verdana"/>
                <w:bCs/>
                <w:color w:val="000000"/>
                <w:sz w:val="18"/>
                <w:szCs w:val="18"/>
              </w:rPr>
              <w:lastRenderedPageBreak/>
              <w:t>Overige landen</w:t>
            </w:r>
          </w:p>
        </w:tc>
        <w:tc>
          <w:tcPr>
            <w:tcW w:w="4531" w:type="dxa"/>
            <w:vAlign w:val="bottom"/>
          </w:tcPr>
          <w:p w:rsidRPr="00C5308E" w:rsidR="005D5669" w:rsidP="00D87753" w:rsidRDefault="005D5669" w14:paraId="28132C9E" w14:textId="77777777">
            <w:pPr>
              <w:contextualSpacing/>
              <w:rPr>
                <w:rFonts w:ascii="Verdana" w:hAnsi="Verdana"/>
                <w:bCs/>
                <w:sz w:val="18"/>
                <w:szCs w:val="18"/>
              </w:rPr>
            </w:pPr>
            <w:r w:rsidRPr="00C5308E">
              <w:rPr>
                <w:rFonts w:ascii="Verdana" w:hAnsi="Verdana"/>
                <w:bCs/>
                <w:color w:val="000000"/>
                <w:sz w:val="18"/>
                <w:szCs w:val="18"/>
              </w:rPr>
              <w:t>7770</w:t>
            </w:r>
          </w:p>
        </w:tc>
      </w:tr>
    </w:tbl>
    <w:p w:rsidRPr="00C5308E" w:rsidR="005D5669" w:rsidP="00D87753" w:rsidRDefault="005D5669" w14:paraId="510390FA" w14:textId="77777777">
      <w:pPr>
        <w:spacing w:after="0" w:line="240" w:lineRule="auto"/>
        <w:contextualSpacing/>
        <w:rPr>
          <w:rFonts w:ascii="Verdana" w:hAnsi="Verdana"/>
          <w:bCs/>
          <w:sz w:val="18"/>
          <w:szCs w:val="18"/>
        </w:rPr>
      </w:pPr>
    </w:p>
    <w:p w:rsidRPr="00C5308E" w:rsidR="005D5669" w:rsidP="00D87753" w:rsidRDefault="005D5669" w14:paraId="2DE4D0F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193</w:t>
      </w:r>
    </w:p>
    <w:p w:rsidRPr="00C5308E" w:rsidR="005D5669" w:rsidP="00D87753" w:rsidRDefault="005D5669" w14:paraId="3E307449" w14:textId="77777777">
      <w:pPr>
        <w:spacing w:after="0" w:line="240" w:lineRule="auto"/>
        <w:contextualSpacing/>
        <w:rPr>
          <w:rFonts w:ascii="Verdana" w:hAnsi="Verdana"/>
          <w:bCs/>
          <w:sz w:val="18"/>
          <w:szCs w:val="18"/>
        </w:rPr>
      </w:pPr>
      <w:r w:rsidRPr="00C5308E">
        <w:rPr>
          <w:rFonts w:ascii="Verdana" w:hAnsi="Verdana"/>
          <w:bCs/>
          <w:sz w:val="18"/>
          <w:szCs w:val="18"/>
        </w:rPr>
        <w:t>Kan worden gespecificeerd hoe lang arbeidsmigranten per land van herkomst in Nederland verblijven?</w:t>
      </w:r>
    </w:p>
    <w:p w:rsidRPr="00C5308E" w:rsidR="005D5669" w:rsidP="00D87753" w:rsidRDefault="005D5669" w14:paraId="63E9D9FA" w14:textId="77777777">
      <w:pPr>
        <w:spacing w:after="0" w:line="240" w:lineRule="auto"/>
        <w:contextualSpacing/>
        <w:rPr>
          <w:rFonts w:ascii="Verdana" w:hAnsi="Verdana"/>
          <w:bCs/>
          <w:sz w:val="18"/>
          <w:szCs w:val="18"/>
        </w:rPr>
      </w:pPr>
    </w:p>
    <w:p w:rsidRPr="00C5308E" w:rsidR="005D5669" w:rsidP="00D87753" w:rsidRDefault="005D5669" w14:paraId="1D5C344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193</w:t>
      </w:r>
    </w:p>
    <w:p w:rsidRPr="00C5308E" w:rsidR="005D5669" w:rsidP="00D87753" w:rsidRDefault="005D5669" w14:paraId="754E1CD8" w14:textId="7316D504">
      <w:pPr>
        <w:spacing w:after="0" w:line="240" w:lineRule="auto"/>
        <w:contextualSpacing/>
        <w:rPr>
          <w:rFonts w:ascii="Verdana" w:hAnsi="Verdana"/>
          <w:bCs/>
          <w:sz w:val="18"/>
          <w:szCs w:val="18"/>
        </w:rPr>
      </w:pPr>
      <w:r w:rsidRPr="00C5308E">
        <w:rPr>
          <w:rFonts w:ascii="Verdana" w:hAnsi="Verdana"/>
          <w:bCs/>
          <w:sz w:val="18"/>
          <w:szCs w:val="18"/>
        </w:rPr>
        <w:t xml:space="preserve">Het percentage vertrokken arbeidsmigranten naar verblijfsduur en nationaliteit is beschikbaar via het Dashboard Migratiemotieven. </w:t>
      </w:r>
      <w:r w:rsidRPr="00C5308E" w:rsidR="00D829EB">
        <w:rPr>
          <w:rFonts w:ascii="Verdana" w:hAnsi="Verdana"/>
          <w:bCs/>
          <w:sz w:val="18"/>
          <w:szCs w:val="18"/>
        </w:rPr>
        <w:t>Onderstaande figuren</w:t>
      </w:r>
      <w:r w:rsidRPr="00C5308E">
        <w:rPr>
          <w:rFonts w:ascii="Verdana" w:hAnsi="Verdana"/>
          <w:bCs/>
          <w:sz w:val="18"/>
          <w:szCs w:val="18"/>
        </w:rPr>
        <w:t xml:space="preserve"> geven het respectievelijke aandeel vertrokken arbeidsmigranten vanuit niet-EU/EFTA en EU/EFTA naar verblijfsjaren, uitgesplitst voor de meest voorkomende nationaliteiten van de groep arbeidsmigranten die eind 2023 (niet-EU/EFTA) en 2022 (EU/EFTA) in Nederland aanwezig waren (zie ook vraag 192) en de totale populatie arbeidsmigranten. Voor de beantwoording van deze vraag is gekeken naar een vroeger instroomcohort (2013-2016 voor niet-EU/EFTA en 2012-2015 voor EU/EFTA) om de vertrekpercentages op een langere termijn van 7 verblijfsjaren te kunnen volgen. In het antwoord op vraag 194 wordt ook gekeken naar de vertrekpercentages van recentere instroomcohorten. In het Dashboard Migratiemotieven zijn enkel arbeidsmigranten meegenomen die zich als ingezetene hebben ingeschreven in de BRP. Dit geeft mogelijk een vertekend beeld van de werkelijke verblijfsduur van de totale groep personen die met migratiemotief arbeid naar Nederland komt, in het bijzonder voor personen uit Midden-en Oost Europa, omdat personen die zich hebben geregistreerd als niet-ingezetenen met een veelal kortere verblijfsduur hierdoor niet meegenomen zijn in de vertrekcijfers. </w:t>
      </w:r>
    </w:p>
    <w:p w:rsidRPr="00C5308E" w:rsidR="005D5669" w:rsidP="00D87753" w:rsidRDefault="005D5669" w14:paraId="50B58C3E" w14:textId="77777777">
      <w:pPr>
        <w:spacing w:after="0" w:line="240" w:lineRule="auto"/>
        <w:contextualSpacing/>
        <w:rPr>
          <w:rFonts w:ascii="Verdana" w:hAnsi="Verdana"/>
          <w:bCs/>
          <w:sz w:val="18"/>
          <w:szCs w:val="18"/>
        </w:rPr>
      </w:pPr>
    </w:p>
    <w:p w:rsidRPr="00C5308E" w:rsidR="005D5669" w:rsidP="00D87753" w:rsidRDefault="005D5669" w14:paraId="5FD21770" w14:textId="71C9AAF3">
      <w:pPr>
        <w:spacing w:after="0" w:line="240" w:lineRule="auto"/>
        <w:contextualSpacing/>
        <w:rPr>
          <w:rFonts w:ascii="Verdana" w:hAnsi="Verdana"/>
          <w:bCs/>
          <w:sz w:val="18"/>
          <w:szCs w:val="18"/>
        </w:rPr>
      </w:pPr>
      <w:r w:rsidRPr="00C5308E">
        <w:rPr>
          <w:rFonts w:ascii="Verdana" w:hAnsi="Verdana"/>
          <w:bCs/>
          <w:sz w:val="18"/>
          <w:szCs w:val="18"/>
        </w:rPr>
        <w:t>De verblijfsduur van arbeidsmigranten hangt zowel samen met het instroomcohort, als met de nationaliteit. Zo is na 5 jaar 63% van de totale populatie aan arbeidsmigranten van buiten de EU/EFTA die tussen 2013-2016 naar Nederland kwam reeds vertrokken. Voor Turkse arbeidsmigranten ligt dit percentage op 45% en voor Amerikaanse arbeidsmigranten op 74%. Van de arbeidsmigranten met een EU/EFTA nationaliteit die in 2012-2015 naar Nederland kwamen is na 5 jaar 67% reeds vertrokken. Voor Italiaanse arbeidsmigranten ligt dit percentage op 59% en voor Poolse arbeidsmigranten op 69%. Bij de interpretatie van verschillen in verblijfsduur tussen nationaliteiten is relevant om te benoemen dat de grootte van de populaties voor de verschillende nationaliteiten sterk uiteenlopen.</w:t>
      </w:r>
    </w:p>
    <w:p w:rsidRPr="00C5308E" w:rsidR="005D5669" w:rsidP="00D87753" w:rsidRDefault="005D5669" w14:paraId="19DA19A1" w14:textId="77777777">
      <w:pPr>
        <w:spacing w:after="0" w:line="240" w:lineRule="auto"/>
        <w:contextualSpacing/>
        <w:rPr>
          <w:rFonts w:ascii="Verdana" w:hAnsi="Verdana"/>
          <w:bCs/>
          <w:sz w:val="18"/>
          <w:szCs w:val="18"/>
        </w:rPr>
      </w:pPr>
    </w:p>
    <w:p w:rsidRPr="00C5308E" w:rsidR="005D5669" w:rsidP="00D87753" w:rsidRDefault="005D5669" w14:paraId="5F15E537" w14:textId="4DF6F1F7">
      <w:pPr>
        <w:spacing w:after="0" w:line="240" w:lineRule="auto"/>
        <w:contextualSpacing/>
        <w:rPr>
          <w:rFonts w:ascii="Verdana" w:hAnsi="Verdana"/>
          <w:bCs/>
          <w:i/>
          <w:iCs/>
          <w:sz w:val="18"/>
          <w:szCs w:val="18"/>
        </w:rPr>
      </w:pPr>
      <w:r w:rsidRPr="00C5308E">
        <w:rPr>
          <w:rFonts w:ascii="Verdana" w:hAnsi="Verdana"/>
          <w:bCs/>
          <w:i/>
          <w:iCs/>
          <w:sz w:val="18"/>
          <w:szCs w:val="18"/>
        </w:rPr>
        <w:t xml:space="preserve">Figuur </w:t>
      </w:r>
      <w:r w:rsidRPr="00C5308E" w:rsidR="00D829EB">
        <w:rPr>
          <w:rFonts w:ascii="Verdana" w:hAnsi="Verdana"/>
          <w:bCs/>
          <w:i/>
          <w:iCs/>
          <w:sz w:val="18"/>
          <w:szCs w:val="18"/>
        </w:rPr>
        <w:t xml:space="preserve"> Aandeel vertrokken arbeidsmigranten niet-EU/EFTA</w:t>
      </w:r>
    </w:p>
    <w:p w:rsidRPr="00C5308E" w:rsidR="005D5669" w:rsidP="00D87753" w:rsidRDefault="005D5669" w14:paraId="660763DE" w14:textId="77777777">
      <w:pPr>
        <w:spacing w:after="0" w:line="240" w:lineRule="auto"/>
        <w:contextualSpacing/>
        <w:rPr>
          <w:rFonts w:ascii="Verdana" w:hAnsi="Verdana"/>
          <w:bCs/>
          <w:sz w:val="18"/>
          <w:szCs w:val="18"/>
        </w:rPr>
      </w:pPr>
      <w:r w:rsidRPr="00C5308E">
        <w:rPr>
          <w:rFonts w:ascii="Verdana" w:hAnsi="Verdana"/>
          <w:bCs/>
          <w:noProof/>
          <w:sz w:val="18"/>
          <w:szCs w:val="18"/>
        </w:rPr>
        <w:drawing>
          <wp:inline distT="0" distB="0" distL="0" distR="0" wp14:anchorId="16D8BB3D" wp14:editId="2AA05372">
            <wp:extent cx="4896203" cy="3709359"/>
            <wp:effectExtent l="0" t="0" r="0" b="5715"/>
            <wp:docPr id="65905679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9027" cy="3734226"/>
                    </a:xfrm>
                    <a:prstGeom prst="rect">
                      <a:avLst/>
                    </a:prstGeom>
                    <a:noFill/>
                  </pic:spPr>
                </pic:pic>
              </a:graphicData>
            </a:graphic>
          </wp:inline>
        </w:drawing>
      </w:r>
    </w:p>
    <w:p w:rsidRPr="00C5308E" w:rsidR="005D5669" w:rsidP="00D87753" w:rsidRDefault="005D5669" w14:paraId="448F2346" w14:textId="77777777">
      <w:pPr>
        <w:spacing w:after="0" w:line="240" w:lineRule="auto"/>
        <w:contextualSpacing/>
        <w:rPr>
          <w:rFonts w:ascii="Verdana" w:hAnsi="Verdana"/>
          <w:bCs/>
          <w:sz w:val="18"/>
          <w:szCs w:val="18"/>
        </w:rPr>
      </w:pPr>
    </w:p>
    <w:p w:rsidRPr="00C5308E" w:rsidR="005D5669" w:rsidP="00D87753" w:rsidRDefault="005D5669" w14:paraId="5C1CCDDF" w14:textId="77777777">
      <w:pPr>
        <w:spacing w:after="0" w:line="240" w:lineRule="auto"/>
        <w:contextualSpacing/>
        <w:rPr>
          <w:rFonts w:ascii="Verdana" w:hAnsi="Verdana"/>
          <w:bCs/>
          <w:sz w:val="18"/>
          <w:szCs w:val="18"/>
        </w:rPr>
      </w:pPr>
    </w:p>
    <w:p w:rsidRPr="00C5308E" w:rsidR="005D5669" w:rsidP="00D87753" w:rsidRDefault="005D5669" w14:paraId="5812CD82" w14:textId="15AD5FC8">
      <w:pPr>
        <w:spacing w:after="0" w:line="240" w:lineRule="auto"/>
        <w:contextualSpacing/>
        <w:rPr>
          <w:rFonts w:ascii="Verdana" w:hAnsi="Verdana"/>
          <w:bCs/>
          <w:i/>
          <w:iCs/>
          <w:sz w:val="18"/>
          <w:szCs w:val="18"/>
        </w:rPr>
      </w:pPr>
      <w:r w:rsidRPr="00C5308E">
        <w:rPr>
          <w:rFonts w:ascii="Verdana" w:hAnsi="Verdana"/>
          <w:bCs/>
          <w:i/>
          <w:iCs/>
          <w:sz w:val="18"/>
          <w:szCs w:val="18"/>
        </w:rPr>
        <w:t xml:space="preserve">Figuur </w:t>
      </w:r>
      <w:r w:rsidRPr="00C5308E" w:rsidR="003D0897">
        <w:rPr>
          <w:rFonts w:ascii="Verdana" w:hAnsi="Verdana"/>
          <w:bCs/>
          <w:i/>
          <w:iCs/>
          <w:sz w:val="18"/>
          <w:szCs w:val="18"/>
        </w:rPr>
        <w:t>Aandeel vertrokken arbeidsmigranten EU/EFTA</w:t>
      </w:r>
    </w:p>
    <w:p w:rsidRPr="00C5308E" w:rsidR="005D5669" w:rsidP="00D87753" w:rsidRDefault="005D5669" w14:paraId="6462EAD6" w14:textId="77777777">
      <w:pPr>
        <w:spacing w:after="0" w:line="240" w:lineRule="auto"/>
        <w:contextualSpacing/>
        <w:rPr>
          <w:rFonts w:ascii="Verdana" w:hAnsi="Verdana"/>
          <w:bCs/>
          <w:i/>
          <w:iCs/>
          <w:sz w:val="18"/>
          <w:szCs w:val="18"/>
        </w:rPr>
      </w:pPr>
      <w:r w:rsidRPr="00C5308E">
        <w:rPr>
          <w:rFonts w:ascii="Verdana" w:hAnsi="Verdana"/>
          <w:bCs/>
          <w:i/>
          <w:iCs/>
          <w:noProof/>
          <w:sz w:val="18"/>
          <w:szCs w:val="18"/>
        </w:rPr>
        <w:lastRenderedPageBreak/>
        <w:drawing>
          <wp:inline distT="0" distB="0" distL="0" distR="0" wp14:anchorId="29CA6F46" wp14:editId="77D111AF">
            <wp:extent cx="4912203" cy="3933645"/>
            <wp:effectExtent l="0" t="0" r="3175" b="0"/>
            <wp:docPr id="41379592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5430" cy="3960253"/>
                    </a:xfrm>
                    <a:prstGeom prst="rect">
                      <a:avLst/>
                    </a:prstGeom>
                    <a:noFill/>
                  </pic:spPr>
                </pic:pic>
              </a:graphicData>
            </a:graphic>
          </wp:inline>
        </w:drawing>
      </w:r>
    </w:p>
    <w:p w:rsidRPr="00C5308E" w:rsidR="00250847" w:rsidP="00250847" w:rsidRDefault="00250847" w14:paraId="65787349" w14:textId="77777777">
      <w:pPr>
        <w:spacing w:after="0" w:line="240" w:lineRule="auto"/>
        <w:contextualSpacing/>
        <w:rPr>
          <w:rFonts w:ascii="Verdana" w:hAnsi="Verdana"/>
          <w:bCs/>
          <w:sz w:val="18"/>
          <w:szCs w:val="18"/>
          <w:u w:val="single"/>
        </w:rPr>
      </w:pPr>
    </w:p>
    <w:p w:rsidRPr="00C5308E" w:rsidR="00250847" w:rsidP="00250847" w:rsidRDefault="00250847" w14:paraId="58EB96C1" w14:textId="4D3870D4">
      <w:pPr>
        <w:spacing w:after="0" w:line="240" w:lineRule="auto"/>
        <w:contextualSpacing/>
        <w:rPr>
          <w:rFonts w:ascii="Verdana" w:hAnsi="Verdana"/>
          <w:bCs/>
          <w:sz w:val="18"/>
          <w:szCs w:val="18"/>
          <w:u w:val="single"/>
        </w:rPr>
      </w:pPr>
      <w:r w:rsidRPr="00C5308E">
        <w:rPr>
          <w:rFonts w:ascii="Verdana" w:hAnsi="Verdana"/>
          <w:bCs/>
          <w:sz w:val="18"/>
          <w:szCs w:val="18"/>
          <w:u w:val="single"/>
        </w:rPr>
        <w:t>Vraag 194</w:t>
      </w:r>
    </w:p>
    <w:p w:rsidRPr="00C5308E" w:rsidR="00250847" w:rsidP="00D87753" w:rsidRDefault="00250847" w14:paraId="28A180FF" w14:textId="5D87206A">
      <w:pPr>
        <w:spacing w:after="0" w:line="240" w:lineRule="auto"/>
        <w:contextualSpacing/>
        <w:rPr>
          <w:rFonts w:ascii="Verdana" w:hAnsi="Verdana"/>
          <w:bCs/>
          <w:sz w:val="18"/>
          <w:szCs w:val="18"/>
          <w:u w:val="single"/>
        </w:rPr>
      </w:pPr>
      <w:r w:rsidRPr="00C5308E">
        <w:rPr>
          <w:rFonts w:ascii="Verdana" w:hAnsi="Verdana"/>
          <w:bCs/>
          <w:sz w:val="18"/>
          <w:szCs w:val="18"/>
        </w:rPr>
        <w:t>Wat is de gemiddelde verblijfsduur van arbeidsmigranten in Nederland?</w:t>
      </w:r>
    </w:p>
    <w:p w:rsidRPr="00C5308E" w:rsidR="00250847" w:rsidP="00D87753" w:rsidRDefault="00250847" w14:paraId="337BE871" w14:textId="77777777">
      <w:pPr>
        <w:spacing w:after="0" w:line="240" w:lineRule="auto"/>
        <w:contextualSpacing/>
        <w:rPr>
          <w:rFonts w:ascii="Verdana" w:hAnsi="Verdana"/>
          <w:bCs/>
          <w:sz w:val="18"/>
          <w:szCs w:val="18"/>
          <w:u w:val="single"/>
        </w:rPr>
      </w:pPr>
    </w:p>
    <w:p w:rsidRPr="00C5308E" w:rsidR="00250847" w:rsidP="00250847" w:rsidRDefault="00250847" w14:paraId="02D73C8E" w14:textId="6124E672">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194</w:t>
      </w:r>
    </w:p>
    <w:p w:rsidRPr="00C5308E" w:rsidR="00390448" w:rsidP="00390448" w:rsidRDefault="00390448" w14:paraId="4B08A1D8" w14:textId="77777777">
      <w:pPr>
        <w:spacing w:after="0" w:line="240" w:lineRule="auto"/>
        <w:rPr>
          <w:rFonts w:ascii="Verdana" w:hAnsi="Verdana"/>
          <w:sz w:val="18"/>
          <w:szCs w:val="18"/>
        </w:rPr>
      </w:pPr>
      <w:r w:rsidRPr="00C5308E">
        <w:rPr>
          <w:rFonts w:ascii="Verdana" w:hAnsi="Verdana"/>
          <w:sz w:val="18"/>
          <w:szCs w:val="18"/>
        </w:rPr>
        <w:t>Het Dashboard Migratiemotieven biedt inzicht in het aandeel arbeidsmigranten dat vertrokken is x aantal jaren na immigratie.</w:t>
      </w:r>
      <w:r w:rsidRPr="00C5308E">
        <w:rPr>
          <w:rStyle w:val="Voetnootmarkering"/>
          <w:rFonts w:ascii="Verdana" w:hAnsi="Verdana"/>
          <w:sz w:val="18"/>
          <w:szCs w:val="18"/>
        </w:rPr>
        <w:footnoteReference w:id="45"/>
      </w:r>
      <w:r w:rsidRPr="00C5308E">
        <w:rPr>
          <w:rFonts w:ascii="Verdana" w:hAnsi="Verdana"/>
          <w:sz w:val="18"/>
          <w:szCs w:val="18"/>
        </w:rPr>
        <w:t xml:space="preserve"> Om de uiteindelijke gemiddelde verblijfsduur van de populatie arbeidsmigranten te berekenen zou naar de gehele lifespan gekeken moeten worden, doordat de arbeidsmigranten die nog in Nederland zijn (nog) geen eind verblijfsdatum kennen. </w:t>
      </w:r>
    </w:p>
    <w:p w:rsidRPr="00C5308E" w:rsidR="00390448" w:rsidP="00390448" w:rsidRDefault="00390448" w14:paraId="2535A8B9" w14:textId="77777777">
      <w:pPr>
        <w:spacing w:after="0" w:line="240" w:lineRule="auto"/>
        <w:rPr>
          <w:rFonts w:ascii="Verdana" w:hAnsi="Verdana"/>
          <w:sz w:val="18"/>
          <w:szCs w:val="18"/>
        </w:rPr>
      </w:pPr>
    </w:p>
    <w:p w:rsidRPr="00C5308E" w:rsidR="00390448" w:rsidP="00390448" w:rsidRDefault="00390448" w14:paraId="16967F1A" w14:textId="37404756">
      <w:pPr>
        <w:spacing w:after="0" w:line="240" w:lineRule="auto"/>
        <w:rPr>
          <w:rFonts w:ascii="Verdana" w:hAnsi="Verdana"/>
          <w:sz w:val="18"/>
          <w:szCs w:val="18"/>
        </w:rPr>
      </w:pPr>
      <w:r w:rsidRPr="00C5308E">
        <w:rPr>
          <w:rFonts w:ascii="Verdana" w:hAnsi="Verdana"/>
          <w:sz w:val="18"/>
          <w:szCs w:val="18"/>
        </w:rPr>
        <w:t xml:space="preserve">De verblijfsduur van arbeidsmigranten hangt bovendien samen met hun instroomcohort, waarbij de verblijfsduur van vroegere instroomcohorten niet meer representatief hoeft te zijn voor de verblijfsduur van recente cohorten. </w:t>
      </w:r>
      <w:r w:rsidRPr="00C5308E" w:rsidR="00D829EB">
        <w:rPr>
          <w:rFonts w:ascii="Verdana" w:hAnsi="Verdana"/>
          <w:sz w:val="18"/>
          <w:szCs w:val="18"/>
        </w:rPr>
        <w:t>Onderstaande figuur</w:t>
      </w:r>
      <w:r w:rsidRPr="00C5308E">
        <w:rPr>
          <w:rFonts w:ascii="Verdana" w:hAnsi="Verdana"/>
          <w:sz w:val="18"/>
          <w:szCs w:val="18"/>
        </w:rPr>
        <w:t xml:space="preserve"> illustreert de vertrekpercentages voor arbeidsmigranten met nationaliteiten van binnen en buiten de EU/EFTA voor verschillende instroomcohorten en jaren na immigratie. Zo is van de 8.855 arbeidsmigranten die in 2012 naar Nederland migreerden met een nationaliteit van buiten de EU/EFTA na 4 jaar 61% vertrokken, waar dit vertrekpercentage voor de 19.910 niet-EU/EFTA arbeidsmigranten die in 2019 naar Nederland migreerden op 44% ligt. Van de arbeidsmigranten met een EU/EFTA-nationaliteit die in 2012 migreerden is 1 jaar na immigratie 28% vertrokken. Voor het instroomcohort in 2019 ligt dit vertrekpercentage 1 jaar na immigratie op 32%. De berekende vertrekcijfers nemen enkel ingezetenen in de BRP mee en missen daarmee een deel van de populatie arbeidsmigranten.</w:t>
      </w:r>
    </w:p>
    <w:p w:rsidRPr="00C5308E" w:rsidR="00390448" w:rsidP="00390448" w:rsidRDefault="00390448" w14:paraId="2696BD46" w14:textId="77777777">
      <w:pPr>
        <w:spacing w:after="0" w:line="240" w:lineRule="auto"/>
        <w:rPr>
          <w:rFonts w:ascii="Verdana" w:hAnsi="Verdana"/>
          <w:b/>
          <w:bCs/>
          <w:sz w:val="18"/>
          <w:szCs w:val="18"/>
        </w:rPr>
      </w:pPr>
    </w:p>
    <w:p w:rsidRPr="00C5308E" w:rsidR="00390448" w:rsidP="00390448" w:rsidRDefault="00390448" w14:paraId="7FE7DC13" w14:textId="37FD7341">
      <w:pPr>
        <w:spacing w:after="0" w:line="240" w:lineRule="auto"/>
        <w:rPr>
          <w:rFonts w:ascii="Verdana" w:hAnsi="Verdana"/>
          <w:sz w:val="18"/>
          <w:szCs w:val="18"/>
        </w:rPr>
      </w:pPr>
      <w:r w:rsidRPr="00C5308E">
        <w:rPr>
          <w:rFonts w:ascii="Verdana" w:hAnsi="Verdana"/>
          <w:sz w:val="18"/>
          <w:szCs w:val="18"/>
        </w:rPr>
        <w:t>Figuur  Aandeel vertrokken arbeidsmigranten naar jaren na immigratie, nationaliteit en instroomcohort</w:t>
      </w:r>
    </w:p>
    <w:p w:rsidRPr="00C5308E" w:rsidR="00390448" w:rsidP="00390448" w:rsidRDefault="00390448" w14:paraId="7CF2C733" w14:textId="77777777">
      <w:pPr>
        <w:spacing w:after="0" w:line="240" w:lineRule="auto"/>
        <w:rPr>
          <w:rFonts w:ascii="Verdana" w:hAnsi="Verdana"/>
          <w:sz w:val="18"/>
          <w:szCs w:val="18"/>
        </w:rPr>
      </w:pPr>
      <w:r w:rsidRPr="00C5308E">
        <w:rPr>
          <w:rFonts w:ascii="Verdana" w:hAnsi="Verdana"/>
          <w:noProof/>
          <w:sz w:val="18"/>
          <w:szCs w:val="18"/>
        </w:rPr>
        <w:lastRenderedPageBreak/>
        <w:drawing>
          <wp:inline distT="0" distB="0" distL="0" distR="0" wp14:anchorId="51D1B2F5" wp14:editId="74CB3C90">
            <wp:extent cx="5485902" cy="3815032"/>
            <wp:effectExtent l="0" t="0" r="635" b="0"/>
            <wp:docPr id="7080509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1380" cy="3832750"/>
                    </a:xfrm>
                    <a:prstGeom prst="rect">
                      <a:avLst/>
                    </a:prstGeom>
                    <a:noFill/>
                  </pic:spPr>
                </pic:pic>
              </a:graphicData>
            </a:graphic>
          </wp:inline>
        </w:drawing>
      </w:r>
    </w:p>
    <w:p w:rsidRPr="00C5308E" w:rsidR="00250847" w:rsidP="00250847" w:rsidRDefault="00250847" w14:paraId="058A694B" w14:textId="77777777">
      <w:pPr>
        <w:spacing w:after="0" w:line="240" w:lineRule="auto"/>
        <w:contextualSpacing/>
        <w:rPr>
          <w:rFonts w:ascii="Verdana" w:hAnsi="Verdana"/>
          <w:bCs/>
          <w:sz w:val="18"/>
          <w:szCs w:val="18"/>
          <w:u w:val="single"/>
        </w:rPr>
      </w:pPr>
    </w:p>
    <w:p w:rsidRPr="00C5308E" w:rsidR="005D5669" w:rsidP="00D87753" w:rsidRDefault="005D5669" w14:paraId="64E1E9E9" w14:textId="56DE9160">
      <w:pPr>
        <w:spacing w:after="0" w:line="240" w:lineRule="auto"/>
        <w:contextualSpacing/>
        <w:rPr>
          <w:rFonts w:ascii="Verdana" w:hAnsi="Verdana"/>
          <w:bCs/>
          <w:sz w:val="18"/>
          <w:szCs w:val="18"/>
          <w:u w:val="single"/>
        </w:rPr>
      </w:pPr>
      <w:r w:rsidRPr="00C5308E">
        <w:rPr>
          <w:rFonts w:ascii="Verdana" w:hAnsi="Verdana"/>
          <w:bCs/>
          <w:sz w:val="18"/>
          <w:szCs w:val="18"/>
          <w:u w:val="single"/>
        </w:rPr>
        <w:t>Vraag 195</w:t>
      </w:r>
    </w:p>
    <w:p w:rsidRPr="00C5308E" w:rsidR="005D5669" w:rsidP="00D87753" w:rsidRDefault="005D5669" w14:paraId="49D772ED" w14:textId="77777777">
      <w:pPr>
        <w:spacing w:after="0" w:line="240" w:lineRule="auto"/>
        <w:contextualSpacing/>
        <w:rPr>
          <w:rFonts w:ascii="Verdana" w:hAnsi="Verdana"/>
          <w:bCs/>
          <w:sz w:val="18"/>
          <w:szCs w:val="18"/>
        </w:rPr>
      </w:pPr>
      <w:r w:rsidRPr="00C5308E">
        <w:rPr>
          <w:rFonts w:ascii="Verdana" w:hAnsi="Verdana"/>
          <w:bCs/>
          <w:sz w:val="18"/>
          <w:szCs w:val="18"/>
        </w:rPr>
        <w:t>Hoeveel arbeidsmigranten leven er op straat in Nederland?</w:t>
      </w:r>
    </w:p>
    <w:p w:rsidRPr="00C5308E" w:rsidR="005D5669" w:rsidP="00D87753" w:rsidRDefault="005D5669" w14:paraId="6960BB6C" w14:textId="77777777">
      <w:pPr>
        <w:spacing w:after="0" w:line="240" w:lineRule="auto"/>
        <w:contextualSpacing/>
        <w:rPr>
          <w:rFonts w:ascii="Verdana" w:hAnsi="Verdana"/>
          <w:bCs/>
          <w:sz w:val="18"/>
          <w:szCs w:val="18"/>
        </w:rPr>
      </w:pPr>
    </w:p>
    <w:p w:rsidRPr="00C5308E" w:rsidR="005D5669" w:rsidP="00D87753" w:rsidRDefault="005D5669" w14:paraId="3F030975"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195</w:t>
      </w:r>
    </w:p>
    <w:p w:rsidRPr="00C5308E" w:rsidR="005D5669" w:rsidP="00D87753" w:rsidRDefault="005D5669" w14:paraId="728EA491" w14:textId="77777777">
      <w:pPr>
        <w:spacing w:after="0" w:line="240" w:lineRule="auto"/>
        <w:contextualSpacing/>
        <w:rPr>
          <w:rFonts w:ascii="Verdana" w:hAnsi="Verdana"/>
          <w:bCs/>
          <w:sz w:val="18"/>
          <w:szCs w:val="18"/>
        </w:rPr>
      </w:pPr>
      <w:r w:rsidRPr="00C5308E">
        <w:rPr>
          <w:rFonts w:ascii="Verdana" w:hAnsi="Verdana"/>
          <w:bCs/>
          <w:sz w:val="18"/>
          <w:szCs w:val="18"/>
        </w:rPr>
        <w:t xml:space="preserve">De monitoring van het aantal dakloze arbeidsmigranten is zeer complex. </w:t>
      </w:r>
    </w:p>
    <w:p w:rsidRPr="00C5308E" w:rsidR="00250847" w:rsidP="00D87753" w:rsidRDefault="00250847" w14:paraId="7564793A" w14:textId="77777777">
      <w:pPr>
        <w:spacing w:after="0" w:line="240" w:lineRule="auto"/>
        <w:contextualSpacing/>
        <w:rPr>
          <w:rFonts w:ascii="Verdana" w:hAnsi="Verdana"/>
          <w:bCs/>
          <w:sz w:val="18"/>
          <w:szCs w:val="18"/>
        </w:rPr>
      </w:pPr>
    </w:p>
    <w:p w:rsidRPr="00C5308E" w:rsidR="005D5669" w:rsidP="00D87753" w:rsidRDefault="005D5669" w14:paraId="3BDC9B17" w14:textId="137E753E">
      <w:pPr>
        <w:spacing w:after="0" w:line="240" w:lineRule="auto"/>
        <w:contextualSpacing/>
        <w:rPr>
          <w:rFonts w:ascii="Verdana" w:hAnsi="Verdana"/>
          <w:bCs/>
          <w:sz w:val="18"/>
          <w:szCs w:val="18"/>
        </w:rPr>
      </w:pPr>
      <w:r w:rsidRPr="00C5308E">
        <w:rPr>
          <w:rFonts w:ascii="Verdana" w:hAnsi="Verdana"/>
          <w:bCs/>
          <w:sz w:val="18"/>
          <w:szCs w:val="18"/>
        </w:rPr>
        <w:t>In het Plan van Aanpak kwetsbare dakloze EU-burgers (september 2022) zijn schattingen opgenomen van het aantal dakloze EU-burgers omdat het precieze aantal dakloze EU-burgers in Nederland niet bekend is (het betreft hier niet-Nederlandse dakloze mensen). Het Rode Kruis schatte dat in 2021 in Nederland zo’n 2.500 tot 3.000 EU-burgers dakloos waren (Rode Kruis, Valente, Dokters van de Wereld, 2021). Stichting Barka geeft aan dat zij in 2021 in heel Nederland binnen al hun projecten ongeveer 3.100 kwetsbare EU-burgers hebben ontmoet, waarvan 70% dakloos was (2.170). Volgens vakbond CNV en het Leger des Heils zijn er naar schatting 10.000 dakloze arbeidsmigranten in Nederland en is ongeveer 60% van alle mensen die op straat leven arbeidsmigrant (NOS, 2025).</w:t>
      </w:r>
      <w:r w:rsidRPr="00C5308E">
        <w:rPr>
          <w:rStyle w:val="Voetnootmarkering"/>
          <w:rFonts w:ascii="Verdana" w:hAnsi="Verdana"/>
          <w:bCs/>
          <w:sz w:val="18"/>
          <w:szCs w:val="18"/>
        </w:rPr>
        <w:footnoteReference w:id="46"/>
      </w:r>
      <w:r w:rsidRPr="00C5308E">
        <w:rPr>
          <w:rFonts w:ascii="Verdana" w:hAnsi="Verdana"/>
          <w:bCs/>
          <w:sz w:val="18"/>
          <w:szCs w:val="18"/>
        </w:rPr>
        <w:t xml:space="preserve"> Volgens schattingen van CBS (2025) is bijna de helft van de dakloze mensen geboren in een ander land dan Nederland; hierbij is niet gerapporteerd hoeveel van hen arbeidsmigrant is.</w:t>
      </w:r>
    </w:p>
    <w:p w:rsidRPr="00C5308E" w:rsidR="005D5669" w:rsidP="00D87753" w:rsidRDefault="005D5669" w14:paraId="193688B1" w14:textId="77777777">
      <w:pPr>
        <w:spacing w:after="0" w:line="240" w:lineRule="auto"/>
        <w:contextualSpacing/>
        <w:rPr>
          <w:rFonts w:ascii="Verdana" w:hAnsi="Verdana"/>
          <w:bCs/>
          <w:sz w:val="18"/>
          <w:szCs w:val="18"/>
        </w:rPr>
      </w:pPr>
    </w:p>
    <w:p w:rsidRPr="00C5308E" w:rsidR="005D5669" w:rsidP="00D87753" w:rsidRDefault="005D5669" w14:paraId="5C269EC7" w14:textId="768B5F14">
      <w:pPr>
        <w:spacing w:after="0" w:line="240" w:lineRule="auto"/>
        <w:contextualSpacing/>
        <w:rPr>
          <w:rFonts w:ascii="Verdana" w:hAnsi="Verdana"/>
          <w:bCs/>
          <w:sz w:val="18"/>
          <w:szCs w:val="18"/>
        </w:rPr>
      </w:pPr>
      <w:r w:rsidRPr="00C5308E">
        <w:rPr>
          <w:rFonts w:ascii="Verdana" w:hAnsi="Verdana"/>
          <w:bCs/>
          <w:sz w:val="18"/>
          <w:szCs w:val="18"/>
        </w:rPr>
        <w:t xml:space="preserve">Om meer inzicht te krijgen in de omvang en samenstelling van de groep dak- en thuisloze mensen in Nederland, zijn het Kansfonds en Hogeschool Utrecht gestart met een nieuwe telling middels de </w:t>
      </w:r>
      <w:r w:rsidRPr="00C5308E" w:rsidR="003D0897">
        <w:rPr>
          <w:rFonts w:ascii="Verdana" w:hAnsi="Verdana"/>
          <w:bCs/>
          <w:sz w:val="18"/>
          <w:szCs w:val="18"/>
        </w:rPr>
        <w:t>European Typology of Homelessness and Housing Exclusion (</w:t>
      </w:r>
      <w:r w:rsidRPr="00C5308E">
        <w:rPr>
          <w:rFonts w:ascii="Verdana" w:hAnsi="Verdana"/>
          <w:bCs/>
          <w:sz w:val="18"/>
          <w:szCs w:val="18"/>
        </w:rPr>
        <w:t>ETHOS</w:t>
      </w:r>
      <w:r w:rsidRPr="00C5308E" w:rsidR="003D0897">
        <w:rPr>
          <w:rFonts w:ascii="Verdana" w:hAnsi="Verdana"/>
          <w:bCs/>
          <w:sz w:val="18"/>
          <w:szCs w:val="18"/>
        </w:rPr>
        <w:t>)</w:t>
      </w:r>
      <w:r w:rsidRPr="00C5308E">
        <w:rPr>
          <w:rFonts w:ascii="Verdana" w:hAnsi="Verdana"/>
          <w:bCs/>
          <w:sz w:val="18"/>
          <w:szCs w:val="18"/>
        </w:rPr>
        <w:t xml:space="preserve"> Light-methode</w:t>
      </w:r>
      <w:r w:rsidRPr="00C5308E" w:rsidR="00550FA8">
        <w:rPr>
          <w:rStyle w:val="Voetnootmarkering"/>
          <w:rFonts w:ascii="Verdana" w:hAnsi="Verdana"/>
          <w:bCs/>
          <w:sz w:val="18"/>
          <w:szCs w:val="18"/>
        </w:rPr>
        <w:footnoteReference w:id="47"/>
      </w:r>
      <w:r w:rsidRPr="00C5308E">
        <w:rPr>
          <w:rFonts w:ascii="Verdana" w:hAnsi="Verdana"/>
          <w:bCs/>
          <w:sz w:val="18"/>
          <w:szCs w:val="18"/>
        </w:rPr>
        <w:t xml:space="preserve">. Hierbij worden op één dag (peildatum) alle dakloze mensen in een bepaalde regio in kaart gebracht. In 2023 is in twee regio’s geteld, in 2024 in zes regio’s en in 2025 in negen regio’s. Volgens de rapportage van de ETHOS-telling van 2024 was 35% van de mensen die op straat verbleven EU-burger met een niet-Nederlandse nationaliteit; het overgrote deel van hen was arbeidsmigrant. Aanvullend kwalitatief onderzoek laat zien dat geen van de zes regio’s goed zicht heeft op dak- en thuisloosheid bij arbeidsmigranten, waardoor de werkelijke aantallen vermoedelijk hoger liggen. Door de komende jaren in steeds meer regio’s gebruik te maken van dit type telling, hopen we ook </w:t>
      </w:r>
      <w:r w:rsidRPr="00C5308E">
        <w:rPr>
          <w:rFonts w:ascii="Verdana" w:hAnsi="Verdana"/>
          <w:bCs/>
          <w:sz w:val="18"/>
          <w:szCs w:val="18"/>
        </w:rPr>
        <w:lastRenderedPageBreak/>
        <w:t>beter zicht te krijgen op de omvang van de groep dakloze arbeidsmigranten en waar zij verblijven. Aangezien er nog niet in elke Nederlandse regio ETHOS-tellingen hebben plaatsgevonden, kan er uit de rapportages op moment van schrijven nog geen landelijk cijfer worden opgemaakt.</w:t>
      </w:r>
    </w:p>
    <w:p w:rsidRPr="00C5308E" w:rsidR="00E97B61" w:rsidP="00D87753" w:rsidRDefault="00E97B61" w14:paraId="0A4CF596" w14:textId="77777777">
      <w:pPr>
        <w:spacing w:after="0" w:line="240" w:lineRule="auto"/>
        <w:contextualSpacing/>
        <w:rPr>
          <w:rFonts w:ascii="Verdana" w:hAnsi="Verdana"/>
          <w:bCs/>
          <w:sz w:val="18"/>
          <w:szCs w:val="18"/>
        </w:rPr>
      </w:pPr>
    </w:p>
    <w:p w:rsidRPr="00C5308E" w:rsidR="00544B65" w:rsidP="00D87753" w:rsidRDefault="00544B65" w14:paraId="14A3835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196</w:t>
      </w:r>
    </w:p>
    <w:p w:rsidRPr="00C5308E" w:rsidR="00544B65" w:rsidP="00D87753" w:rsidRDefault="00544B65" w14:paraId="5FF2E0F2" w14:textId="77777777">
      <w:pPr>
        <w:spacing w:after="0" w:line="240" w:lineRule="auto"/>
        <w:contextualSpacing/>
        <w:rPr>
          <w:rFonts w:ascii="Verdana" w:hAnsi="Verdana"/>
          <w:bCs/>
          <w:sz w:val="18"/>
          <w:szCs w:val="18"/>
        </w:rPr>
      </w:pPr>
      <w:r w:rsidRPr="00C5308E">
        <w:rPr>
          <w:rFonts w:ascii="Verdana" w:hAnsi="Verdana"/>
          <w:bCs/>
          <w:sz w:val="18"/>
          <w:szCs w:val="18"/>
        </w:rPr>
        <w:t>Hoeveel procent van de dakloze arbeidsmigranten keert gemiddeld terug naar hun land van herkomst?</w:t>
      </w:r>
    </w:p>
    <w:p w:rsidRPr="00C5308E" w:rsidR="00544B65" w:rsidP="00D87753" w:rsidRDefault="00544B65" w14:paraId="03AC882C" w14:textId="77777777">
      <w:pPr>
        <w:spacing w:after="0" w:line="240" w:lineRule="auto"/>
        <w:contextualSpacing/>
        <w:rPr>
          <w:rFonts w:ascii="Verdana" w:hAnsi="Verdana"/>
          <w:bCs/>
          <w:sz w:val="18"/>
          <w:szCs w:val="18"/>
        </w:rPr>
      </w:pPr>
    </w:p>
    <w:p w:rsidRPr="00C5308E" w:rsidR="00544B65" w:rsidP="00D87753" w:rsidRDefault="00544B65" w14:paraId="608E10A6" w14:textId="7FA43DB9">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196</w:t>
      </w:r>
    </w:p>
    <w:p w:rsidRPr="00C5308E" w:rsidR="00544B65" w:rsidP="00D87753" w:rsidRDefault="00544B65" w14:paraId="45219E73" w14:textId="77777777">
      <w:pPr>
        <w:spacing w:after="0" w:line="240" w:lineRule="auto"/>
        <w:contextualSpacing/>
        <w:rPr>
          <w:rFonts w:ascii="Verdana" w:hAnsi="Verdana"/>
          <w:bCs/>
          <w:sz w:val="18"/>
          <w:szCs w:val="18"/>
        </w:rPr>
      </w:pPr>
      <w:r w:rsidRPr="00C5308E">
        <w:rPr>
          <w:rFonts w:ascii="Verdana" w:hAnsi="Verdana"/>
          <w:bCs/>
          <w:sz w:val="18"/>
          <w:szCs w:val="18"/>
        </w:rPr>
        <w:t>Op dit moment hebben we op 6 locaties in Nederland opvang voor niet-rechthebbende EU-burgers. Op die locaties wordt ingezet om personen duurzaam terug aan het werk te helpen of te begeleiden terug naar land van herkomst. In 2024 is uit een evaluatie van deze opvang gebleken dat gemiddeld 62% positief uitstroomt. Daarmee wordt bedoeld ofwel duurzaam terug aan het werk, ofwel terug naar land van herkomst. De overige 38% is terug op straat beland of verbleef nog in de opvang. In bijlage C van deze evaluatie zijn per stad de resultaten op een rij gezet.</w:t>
      </w:r>
      <w:r w:rsidRPr="00C5308E">
        <w:rPr>
          <w:rStyle w:val="Voetnootmarkering"/>
          <w:rFonts w:ascii="Verdana" w:hAnsi="Verdana"/>
          <w:bCs/>
          <w:sz w:val="18"/>
          <w:szCs w:val="18"/>
        </w:rPr>
        <w:footnoteReference w:id="48"/>
      </w:r>
    </w:p>
    <w:p w:rsidRPr="00C5308E" w:rsidR="00544B65" w:rsidP="00D87753" w:rsidRDefault="00544B65" w14:paraId="35C87C11" w14:textId="77777777">
      <w:pPr>
        <w:spacing w:after="0" w:line="240" w:lineRule="auto"/>
        <w:contextualSpacing/>
        <w:rPr>
          <w:rFonts w:ascii="Verdana" w:hAnsi="Verdana"/>
          <w:bCs/>
          <w:sz w:val="18"/>
          <w:szCs w:val="18"/>
        </w:rPr>
      </w:pPr>
    </w:p>
    <w:p w:rsidRPr="00C5308E" w:rsidR="00544B65" w:rsidP="00D87753" w:rsidRDefault="00544B65" w14:paraId="674C6D4B" w14:textId="72DF04AA">
      <w:pPr>
        <w:spacing w:after="0" w:line="240" w:lineRule="auto"/>
        <w:contextualSpacing/>
        <w:rPr>
          <w:rFonts w:ascii="Verdana" w:hAnsi="Verdana"/>
          <w:bCs/>
          <w:sz w:val="18"/>
          <w:szCs w:val="18"/>
        </w:rPr>
      </w:pPr>
      <w:r w:rsidRPr="00C5308E">
        <w:rPr>
          <w:rFonts w:ascii="Verdana" w:hAnsi="Verdana"/>
          <w:bCs/>
          <w:sz w:val="18"/>
          <w:szCs w:val="18"/>
        </w:rPr>
        <w:t>Op 8 mei heeft het kabinet bekend gemaakt dat deze vorm van opvang voor de jaren 2026 t/m 2028 doorgezet zal worden</w:t>
      </w:r>
      <w:r w:rsidRPr="00C5308E" w:rsidR="00CF47B6">
        <w:rPr>
          <w:rFonts w:ascii="Verdana" w:hAnsi="Verdana"/>
          <w:bCs/>
          <w:sz w:val="18"/>
          <w:szCs w:val="18"/>
        </w:rPr>
        <w:t xml:space="preserve"> (</w:t>
      </w:r>
      <w:r w:rsidRPr="00C5308E" w:rsidR="00CF47B6">
        <w:t>Kamerstukken II, 2024/25, 29 325, nr. 190)</w:t>
      </w:r>
      <w:r w:rsidRPr="00C5308E">
        <w:rPr>
          <w:rFonts w:ascii="Verdana" w:hAnsi="Verdana"/>
          <w:bCs/>
          <w:sz w:val="18"/>
          <w:szCs w:val="18"/>
        </w:rPr>
        <w:t>. Er zal daarbij ook monitoring opgezet worden om bij te houden hoeveel personen terug naar land van herkomst of naar duurzaam nieuw werk begeleid worden.</w:t>
      </w:r>
    </w:p>
    <w:p w:rsidRPr="00C5308E" w:rsidR="00544B65" w:rsidP="00D87753" w:rsidRDefault="00544B65" w14:paraId="7A09BD45" w14:textId="77777777">
      <w:pPr>
        <w:spacing w:after="0" w:line="240" w:lineRule="auto"/>
        <w:contextualSpacing/>
        <w:rPr>
          <w:rFonts w:ascii="Verdana" w:hAnsi="Verdana"/>
          <w:bCs/>
          <w:sz w:val="18"/>
          <w:szCs w:val="18"/>
          <w:u w:val="single"/>
        </w:rPr>
      </w:pPr>
    </w:p>
    <w:p w:rsidRPr="00C5308E" w:rsidR="00544B65" w:rsidP="00D87753" w:rsidRDefault="00544B65" w14:paraId="0CF0B4D0"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197</w:t>
      </w:r>
    </w:p>
    <w:p w:rsidRPr="00C5308E" w:rsidR="00544B65" w:rsidP="00D87753" w:rsidRDefault="00544B65" w14:paraId="09554537" w14:textId="77777777">
      <w:pPr>
        <w:spacing w:after="0" w:line="240" w:lineRule="auto"/>
        <w:contextualSpacing/>
        <w:rPr>
          <w:rFonts w:ascii="Verdana" w:hAnsi="Verdana"/>
          <w:bCs/>
          <w:sz w:val="18"/>
          <w:szCs w:val="18"/>
        </w:rPr>
      </w:pPr>
      <w:r w:rsidRPr="00C5308E">
        <w:rPr>
          <w:rFonts w:ascii="Verdana" w:hAnsi="Verdana"/>
          <w:bCs/>
          <w:sz w:val="18"/>
          <w:szCs w:val="18"/>
        </w:rPr>
        <w:t>Hoeveel procent van de dakloze arbeidsmigranten wordt begeleid naar duurzaam nieuw werk in Nederland?</w:t>
      </w:r>
    </w:p>
    <w:p w:rsidRPr="00C5308E" w:rsidR="00544B65" w:rsidP="00D87753" w:rsidRDefault="00544B65" w14:paraId="274D048E" w14:textId="77777777">
      <w:pPr>
        <w:spacing w:after="0" w:line="240" w:lineRule="auto"/>
        <w:contextualSpacing/>
        <w:rPr>
          <w:rFonts w:ascii="Verdana" w:hAnsi="Verdana"/>
          <w:bCs/>
          <w:sz w:val="18"/>
          <w:szCs w:val="18"/>
        </w:rPr>
      </w:pPr>
    </w:p>
    <w:p w:rsidRPr="00C5308E" w:rsidR="00544B65" w:rsidP="00D87753" w:rsidRDefault="00544B65" w14:paraId="50B4908E" w14:textId="03559698">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197</w:t>
      </w:r>
    </w:p>
    <w:p w:rsidRPr="00C5308E" w:rsidR="00544B65" w:rsidP="00D87753" w:rsidRDefault="00544B65" w14:paraId="3A1A70AD" w14:textId="77777777">
      <w:pPr>
        <w:spacing w:after="0" w:line="240" w:lineRule="auto"/>
        <w:contextualSpacing/>
        <w:rPr>
          <w:rFonts w:ascii="Verdana" w:hAnsi="Verdana"/>
          <w:bCs/>
          <w:sz w:val="18"/>
          <w:szCs w:val="18"/>
        </w:rPr>
      </w:pPr>
      <w:r w:rsidRPr="00C5308E">
        <w:rPr>
          <w:rFonts w:ascii="Verdana" w:hAnsi="Verdana"/>
          <w:bCs/>
          <w:sz w:val="18"/>
          <w:szCs w:val="18"/>
        </w:rPr>
        <w:t>Op dit moment hebben we op 6 locaties in Nederland opvang voor niet-rechthebbende EU-burgers. Op die locaties wordt ingezet om personen duurzaam terug aan het werk te helpen of te begeleiden terug naar land van herkomst. In 2024 is uit een evaluatie van deze opvang gebleken dat gemiddeld 62% positief uitstroomt. Daarmee wordt bedoeld ofwel duurzaam terug aan het werk, ofwel terug naar land van herkomst. De overige 38% is terug op straat beland of verbleef nog in de opvang. In bijlage C van deze evaluatie zijn per stad de resultaten op een rij gezet.</w:t>
      </w:r>
      <w:r w:rsidRPr="00C5308E">
        <w:rPr>
          <w:rStyle w:val="Voetnootmarkering"/>
          <w:rFonts w:ascii="Verdana" w:hAnsi="Verdana"/>
          <w:bCs/>
          <w:sz w:val="18"/>
          <w:szCs w:val="18"/>
        </w:rPr>
        <w:footnoteReference w:id="49"/>
      </w:r>
    </w:p>
    <w:p w:rsidRPr="00C5308E" w:rsidR="00544B65" w:rsidP="00D87753" w:rsidRDefault="00544B65" w14:paraId="23617591" w14:textId="77777777">
      <w:pPr>
        <w:spacing w:after="0" w:line="240" w:lineRule="auto"/>
        <w:contextualSpacing/>
        <w:rPr>
          <w:rFonts w:ascii="Verdana" w:hAnsi="Verdana"/>
          <w:bCs/>
          <w:sz w:val="18"/>
          <w:szCs w:val="18"/>
        </w:rPr>
      </w:pPr>
    </w:p>
    <w:p w:rsidRPr="00C5308E" w:rsidR="00544B65" w:rsidP="00D87753" w:rsidRDefault="00544B65" w14:paraId="6CE7F18C" w14:textId="60EB6398">
      <w:pPr>
        <w:spacing w:after="0" w:line="240" w:lineRule="auto"/>
        <w:contextualSpacing/>
        <w:rPr>
          <w:rFonts w:ascii="Verdana" w:hAnsi="Verdana"/>
          <w:bCs/>
          <w:sz w:val="18"/>
          <w:szCs w:val="18"/>
        </w:rPr>
      </w:pPr>
      <w:r w:rsidRPr="00C5308E">
        <w:rPr>
          <w:rFonts w:ascii="Verdana" w:hAnsi="Verdana"/>
          <w:bCs/>
          <w:sz w:val="18"/>
          <w:szCs w:val="18"/>
        </w:rPr>
        <w:t>Op 8 mei heeft het kabinet bekend gemaakt dat deze vorm van opvang voor de jaren 2026 t/m 2028 doorgezet zal worden</w:t>
      </w:r>
      <w:r w:rsidRPr="00C5308E" w:rsidR="00CF47B6">
        <w:rPr>
          <w:rFonts w:ascii="Verdana" w:hAnsi="Verdana"/>
          <w:bCs/>
          <w:sz w:val="18"/>
          <w:szCs w:val="18"/>
        </w:rPr>
        <w:t xml:space="preserve"> (</w:t>
      </w:r>
      <w:r w:rsidRPr="00C5308E" w:rsidR="00CF47B6">
        <w:rPr>
          <w:rFonts w:ascii="Verdana" w:hAnsi="Verdana"/>
          <w:sz w:val="18"/>
          <w:szCs w:val="18"/>
        </w:rPr>
        <w:t>Kamerstukken II, 2024/25, 29 325, nr. 190)</w:t>
      </w:r>
      <w:r w:rsidRPr="00C5308E">
        <w:rPr>
          <w:rFonts w:ascii="Verdana" w:hAnsi="Verdana"/>
          <w:bCs/>
          <w:sz w:val="18"/>
          <w:szCs w:val="18"/>
        </w:rPr>
        <w:t>. Er zal daarbij ook monitoring opgezet worden om bij te houden hoeveel personen terug naar land van herkomst of naar duurzaam nieuw werk begeleid worden.</w:t>
      </w:r>
    </w:p>
    <w:p w:rsidRPr="00C5308E" w:rsidR="00544B65" w:rsidP="00D87753" w:rsidRDefault="00544B65" w14:paraId="192A78B4" w14:textId="77777777">
      <w:pPr>
        <w:spacing w:after="0" w:line="240" w:lineRule="auto"/>
        <w:contextualSpacing/>
        <w:rPr>
          <w:rFonts w:ascii="Verdana" w:hAnsi="Verdana"/>
          <w:bCs/>
          <w:sz w:val="18"/>
          <w:szCs w:val="18"/>
          <w:u w:val="single"/>
        </w:rPr>
      </w:pPr>
    </w:p>
    <w:p w:rsidRPr="00C5308E" w:rsidR="00844C2E" w:rsidP="00D87753" w:rsidRDefault="00844C2E" w14:paraId="29B77AE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198</w:t>
      </w:r>
    </w:p>
    <w:p w:rsidRPr="00C5308E" w:rsidR="00844C2E" w:rsidP="00D87753" w:rsidRDefault="00844C2E" w14:paraId="7EF1C588" w14:textId="77777777">
      <w:pPr>
        <w:spacing w:line="240" w:lineRule="auto"/>
        <w:contextualSpacing/>
        <w:rPr>
          <w:rFonts w:ascii="Verdana" w:hAnsi="Verdana"/>
          <w:bCs/>
          <w:sz w:val="18"/>
          <w:szCs w:val="18"/>
        </w:rPr>
      </w:pPr>
      <w:r w:rsidRPr="00C5308E">
        <w:rPr>
          <w:rFonts w:ascii="Verdana" w:hAnsi="Verdana"/>
          <w:bCs/>
          <w:sz w:val="18"/>
          <w:szCs w:val="18"/>
        </w:rPr>
        <w:t>Hoeveel banen zouden er gecreëerd kunnen worden binnen de Banenafspraak door aanbestedingswetgeving te laten focussen op werk-ontwikkelbedrijven?</w:t>
      </w:r>
    </w:p>
    <w:p w:rsidRPr="00C5308E" w:rsidR="00844C2E" w:rsidP="00D87753" w:rsidRDefault="00844C2E" w14:paraId="1C33E14D" w14:textId="77777777">
      <w:pPr>
        <w:spacing w:after="0" w:line="240" w:lineRule="auto"/>
        <w:contextualSpacing/>
        <w:rPr>
          <w:rFonts w:ascii="Verdana" w:hAnsi="Verdana"/>
          <w:bCs/>
          <w:sz w:val="18"/>
          <w:szCs w:val="18"/>
        </w:rPr>
      </w:pPr>
    </w:p>
    <w:p w:rsidRPr="00C5308E" w:rsidR="00844C2E" w:rsidP="00D87753" w:rsidRDefault="00844C2E" w14:paraId="0D571A3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198</w:t>
      </w:r>
    </w:p>
    <w:p w:rsidRPr="00C5308E" w:rsidR="00844C2E" w:rsidP="00D87753" w:rsidRDefault="00844C2E" w14:paraId="6195A89D" w14:textId="77777777">
      <w:pPr>
        <w:spacing w:line="240" w:lineRule="auto"/>
        <w:contextualSpacing/>
        <w:rPr>
          <w:rFonts w:ascii="Verdana" w:hAnsi="Verdana"/>
          <w:bCs/>
          <w:sz w:val="18"/>
          <w:szCs w:val="18"/>
        </w:rPr>
      </w:pPr>
      <w:r w:rsidRPr="00C5308E">
        <w:rPr>
          <w:rFonts w:ascii="Verdana" w:hAnsi="Verdana"/>
          <w:bCs/>
          <w:sz w:val="18"/>
          <w:szCs w:val="18"/>
        </w:rPr>
        <w:t>De Aanbestedingswet biedt publieke opdrachtgevers ruimte om bij inkoop maatschappelijke doelen mee te wegen, zoals het creëren van werk voor mensen met een arbeidsbeperking. Dit kan bijdragen aan extra banen binnen de Banenafspraak.</w:t>
      </w:r>
    </w:p>
    <w:p w:rsidRPr="00C5308E" w:rsidR="00844C2E" w:rsidP="00D87753" w:rsidRDefault="00844C2E" w14:paraId="457279CF" w14:textId="77777777">
      <w:pPr>
        <w:spacing w:line="240" w:lineRule="auto"/>
        <w:contextualSpacing/>
        <w:rPr>
          <w:rFonts w:ascii="Verdana" w:hAnsi="Verdana"/>
          <w:bCs/>
          <w:sz w:val="18"/>
          <w:szCs w:val="18"/>
        </w:rPr>
      </w:pPr>
      <w:r w:rsidRPr="00C5308E">
        <w:rPr>
          <w:rFonts w:ascii="Verdana" w:hAnsi="Verdana"/>
          <w:bCs/>
          <w:sz w:val="18"/>
          <w:szCs w:val="18"/>
        </w:rPr>
        <w:t xml:space="preserve">De aanbestedingswetgeving is bedoeld om een gelijk speelveld te creëren voor ondernemers die op een overheidsopdracht willen inschrijven. De feitelijke werkgelegenheidseffecten van overheidsopdrachten waar de aanbestedingswetgeving op van toepassing is, zijn afhankelijk van veel verschillende factoren. Bijvoorbeeld van hoe gemeenten en andere opdrachtgevers deze ruimte benutten en de aard en omvang van de opdrachten. Het is om die reden niet mogelijk om een inschatting te geven van het aantal banen dat kan worden gecreëerd door aanbestedingswetgeving te laten focussen op sociaal ontwikkelbedrijven. </w:t>
      </w:r>
    </w:p>
    <w:p w:rsidRPr="00C5308E" w:rsidR="00544B65" w:rsidP="00D87753" w:rsidRDefault="00544B65" w14:paraId="47FECA4B" w14:textId="77777777">
      <w:pPr>
        <w:spacing w:after="0" w:line="240" w:lineRule="auto"/>
        <w:contextualSpacing/>
        <w:rPr>
          <w:rFonts w:ascii="Verdana" w:hAnsi="Verdana"/>
          <w:bCs/>
          <w:sz w:val="18"/>
          <w:szCs w:val="18"/>
        </w:rPr>
      </w:pPr>
    </w:p>
    <w:p w:rsidRPr="00C5308E" w:rsidR="009E40FF" w:rsidP="00D87753" w:rsidRDefault="009E40FF" w14:paraId="0FB8A96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199</w:t>
      </w:r>
    </w:p>
    <w:p w:rsidRPr="00C5308E" w:rsidR="009E40FF" w:rsidP="00D87753" w:rsidRDefault="009E40FF" w14:paraId="3A46E47A" w14:textId="77777777">
      <w:pPr>
        <w:spacing w:after="0" w:line="240" w:lineRule="auto"/>
        <w:contextualSpacing/>
        <w:rPr>
          <w:rFonts w:ascii="Verdana" w:hAnsi="Verdana"/>
          <w:bCs/>
          <w:sz w:val="18"/>
          <w:szCs w:val="18"/>
        </w:rPr>
      </w:pPr>
      <w:r w:rsidRPr="00C5308E">
        <w:rPr>
          <w:rFonts w:ascii="Verdana" w:hAnsi="Verdana"/>
          <w:bCs/>
          <w:sz w:val="18"/>
          <w:szCs w:val="18"/>
        </w:rPr>
        <w:t>Voor welke ‘budgettaire problemen’ wordt de envelop Groepen in de knel afgeroomd?</w:t>
      </w:r>
    </w:p>
    <w:p w:rsidR="009E40FF" w:rsidP="00D87753" w:rsidRDefault="009E40FF" w14:paraId="4CB7E7EC" w14:textId="77777777">
      <w:pPr>
        <w:spacing w:after="0" w:line="240" w:lineRule="auto"/>
        <w:contextualSpacing/>
        <w:rPr>
          <w:rFonts w:ascii="Verdana" w:hAnsi="Verdana"/>
          <w:bCs/>
          <w:sz w:val="18"/>
          <w:szCs w:val="18"/>
        </w:rPr>
      </w:pPr>
    </w:p>
    <w:p w:rsidR="00972542" w:rsidP="00D87753" w:rsidRDefault="00972542" w14:paraId="7F1A089A" w14:textId="77777777">
      <w:pPr>
        <w:spacing w:after="0" w:line="240" w:lineRule="auto"/>
        <w:contextualSpacing/>
        <w:rPr>
          <w:rFonts w:ascii="Verdana" w:hAnsi="Verdana"/>
          <w:bCs/>
          <w:sz w:val="18"/>
          <w:szCs w:val="18"/>
        </w:rPr>
      </w:pPr>
    </w:p>
    <w:p w:rsidRPr="00C5308E" w:rsidR="00972542" w:rsidP="00D87753" w:rsidRDefault="00972542" w14:paraId="4C199F96" w14:textId="77777777">
      <w:pPr>
        <w:spacing w:after="0" w:line="240" w:lineRule="auto"/>
        <w:contextualSpacing/>
        <w:rPr>
          <w:rFonts w:ascii="Verdana" w:hAnsi="Verdana"/>
          <w:bCs/>
          <w:sz w:val="18"/>
          <w:szCs w:val="18"/>
        </w:rPr>
      </w:pPr>
    </w:p>
    <w:p w:rsidRPr="00C5308E" w:rsidR="009E40FF" w:rsidP="00D87753" w:rsidRDefault="009E40FF" w14:paraId="46492D2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Antwoord 199</w:t>
      </w:r>
    </w:p>
    <w:p w:rsidRPr="00C5308E" w:rsidR="009E40FF" w:rsidP="00D87753" w:rsidRDefault="009E40FF" w14:paraId="005580D8" w14:textId="77777777">
      <w:pPr>
        <w:spacing w:after="0" w:line="240" w:lineRule="auto"/>
        <w:contextualSpacing/>
        <w:rPr>
          <w:rFonts w:ascii="Verdana" w:hAnsi="Verdana"/>
          <w:bCs/>
          <w:sz w:val="18"/>
          <w:szCs w:val="18"/>
        </w:rPr>
      </w:pPr>
      <w:r w:rsidRPr="00C5308E">
        <w:rPr>
          <w:rFonts w:ascii="Verdana" w:hAnsi="Verdana"/>
          <w:bCs/>
          <w:sz w:val="18"/>
          <w:szCs w:val="18"/>
        </w:rPr>
        <w:t>Tijdens de voorjaarsbesluitvorming heeft een integrale afweging plaatsgevonden van inkomsten en uitgaven. Gezien het kabinet vasthoudt aan de begrotingsregels en principes van trendmatig begrotingsbeleid, moeten extra uitgaven gedekt worden met ombuigingen. Daarbij heeft het kabinet de keuze gemaakt om een gedeelte van de middelen uit de envelop Groepen in de knel af te romen. Daar stond niet een ander budgettair dossier 1-op-1 tegenover.</w:t>
      </w:r>
    </w:p>
    <w:p w:rsidRPr="00C5308E" w:rsidR="000243CF" w:rsidP="00D87753" w:rsidRDefault="000243CF" w14:paraId="1E18C68F" w14:textId="77777777">
      <w:pPr>
        <w:spacing w:after="0" w:line="240" w:lineRule="auto"/>
        <w:contextualSpacing/>
        <w:rPr>
          <w:rFonts w:ascii="Verdana" w:hAnsi="Verdana"/>
          <w:bCs/>
          <w:sz w:val="18"/>
          <w:szCs w:val="18"/>
        </w:rPr>
      </w:pPr>
    </w:p>
    <w:p w:rsidRPr="00C5308E" w:rsidR="009E40FF" w:rsidP="00D87753" w:rsidRDefault="009E40FF" w14:paraId="6066053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200</w:t>
      </w:r>
    </w:p>
    <w:p w:rsidRPr="00C5308E" w:rsidR="009E40FF" w:rsidP="00D87753" w:rsidRDefault="009E40FF" w14:paraId="44E31301" w14:textId="77777777">
      <w:pPr>
        <w:spacing w:after="0" w:line="240" w:lineRule="auto"/>
        <w:contextualSpacing/>
        <w:rPr>
          <w:rFonts w:ascii="Verdana" w:hAnsi="Verdana"/>
          <w:bCs/>
          <w:sz w:val="18"/>
          <w:szCs w:val="18"/>
        </w:rPr>
      </w:pPr>
      <w:r w:rsidRPr="00C5308E">
        <w:rPr>
          <w:rFonts w:ascii="Verdana" w:hAnsi="Verdana"/>
          <w:bCs/>
          <w:sz w:val="18"/>
          <w:szCs w:val="18"/>
        </w:rPr>
        <w:t>Klopt het dat de afroming van Groepen in de knel tot gevolg heeft dat er in 2025 nog € 19 miljoen beschikbaar is voor vroegsignalering?</w:t>
      </w:r>
    </w:p>
    <w:p w:rsidRPr="00C5308E" w:rsidR="009E40FF" w:rsidP="00D87753" w:rsidRDefault="009E40FF" w14:paraId="565CE926" w14:textId="77777777">
      <w:pPr>
        <w:spacing w:after="0" w:line="240" w:lineRule="auto"/>
        <w:contextualSpacing/>
        <w:rPr>
          <w:rFonts w:ascii="Verdana" w:hAnsi="Verdana"/>
          <w:bCs/>
          <w:sz w:val="18"/>
          <w:szCs w:val="18"/>
        </w:rPr>
      </w:pPr>
    </w:p>
    <w:p w:rsidRPr="00C5308E" w:rsidR="009E40FF" w:rsidP="00D87753" w:rsidRDefault="009E40FF" w14:paraId="4569443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200</w:t>
      </w:r>
    </w:p>
    <w:p w:rsidRPr="00C5308E" w:rsidR="009E40FF" w:rsidP="00D87753" w:rsidRDefault="009E40FF" w14:paraId="726A39DB" w14:textId="77777777">
      <w:pPr>
        <w:spacing w:after="0" w:line="240" w:lineRule="auto"/>
        <w:contextualSpacing/>
        <w:rPr>
          <w:rFonts w:ascii="Verdana" w:hAnsi="Verdana"/>
          <w:bCs/>
          <w:sz w:val="18"/>
          <w:szCs w:val="18"/>
        </w:rPr>
      </w:pPr>
      <w:r w:rsidRPr="00C5308E">
        <w:rPr>
          <w:rFonts w:ascii="Verdana" w:hAnsi="Verdana"/>
          <w:bCs/>
          <w:sz w:val="18"/>
          <w:szCs w:val="18"/>
        </w:rPr>
        <w:t>De afroming van de middelen uit de envelop Groepen in de knel heeft geen gevolgen voor de middelen voor vroegsignalering in 2025. In 2025 is er € 20 miljoen beschikbaar voor vroegsignalering, waarvan € 19 miljoen reeds is overgemaakt naar het Gemeentefonds en € 1 miljoen wordt ingezet voor de subsidie Data Delen Armoede Schulden (DDAS). Hiermee komen periodiek en geautomatiseerd gegevens beschikbaar. Dit inzicht in de resultaten van dienstverlening rondom armoede en schulden draagt bij aan het eerder signaleren van (problematische) schulden.</w:t>
      </w:r>
    </w:p>
    <w:p w:rsidRPr="00C5308E" w:rsidR="009E40FF" w:rsidP="00D87753" w:rsidRDefault="009E40FF" w14:paraId="2133556C" w14:textId="77777777">
      <w:pPr>
        <w:spacing w:after="0" w:line="240" w:lineRule="auto"/>
        <w:contextualSpacing/>
        <w:rPr>
          <w:rFonts w:ascii="Verdana" w:hAnsi="Verdana"/>
          <w:bCs/>
          <w:sz w:val="18"/>
          <w:szCs w:val="18"/>
        </w:rPr>
      </w:pPr>
    </w:p>
    <w:p w:rsidRPr="00C5308E" w:rsidR="009E40FF" w:rsidP="00D87753" w:rsidRDefault="009E40FF" w14:paraId="701D74F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201</w:t>
      </w:r>
    </w:p>
    <w:p w:rsidRPr="00C5308E" w:rsidR="009E40FF" w:rsidP="00D87753" w:rsidRDefault="009E40FF" w14:paraId="351C94C6" w14:textId="77777777">
      <w:pPr>
        <w:spacing w:after="0" w:line="240" w:lineRule="auto"/>
        <w:contextualSpacing/>
        <w:rPr>
          <w:rFonts w:ascii="Verdana" w:hAnsi="Verdana"/>
          <w:bCs/>
          <w:sz w:val="18"/>
          <w:szCs w:val="18"/>
        </w:rPr>
      </w:pPr>
      <w:r w:rsidRPr="00C5308E">
        <w:rPr>
          <w:rFonts w:ascii="Verdana" w:hAnsi="Verdana"/>
          <w:bCs/>
          <w:sz w:val="18"/>
          <w:szCs w:val="18"/>
        </w:rPr>
        <w:t>Klopt het dat de afroming van Groepen in de knel tot gevolg heeft dat er vanaf 2026 geen structurele middelen meer beschikbaar zijn voor vroegsignalering?</w:t>
      </w:r>
    </w:p>
    <w:p w:rsidRPr="00C5308E" w:rsidR="009E40FF" w:rsidP="00D87753" w:rsidRDefault="009E40FF" w14:paraId="24844B92" w14:textId="77777777">
      <w:pPr>
        <w:spacing w:after="0" w:line="240" w:lineRule="auto"/>
        <w:contextualSpacing/>
        <w:rPr>
          <w:rFonts w:ascii="Verdana" w:hAnsi="Verdana"/>
          <w:bCs/>
          <w:sz w:val="18"/>
          <w:szCs w:val="18"/>
        </w:rPr>
      </w:pPr>
    </w:p>
    <w:p w:rsidRPr="00C5308E" w:rsidR="009E40FF" w:rsidP="00D87753" w:rsidRDefault="009E40FF" w14:paraId="0253D92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201</w:t>
      </w:r>
    </w:p>
    <w:p w:rsidRPr="00C5308E" w:rsidR="009E40FF" w:rsidP="00D87753" w:rsidRDefault="009E40FF" w14:paraId="65BDD6EC" w14:textId="77777777">
      <w:pPr>
        <w:spacing w:after="0" w:line="240" w:lineRule="auto"/>
        <w:contextualSpacing/>
        <w:rPr>
          <w:rFonts w:ascii="Verdana" w:hAnsi="Verdana"/>
          <w:bCs/>
          <w:sz w:val="18"/>
          <w:szCs w:val="18"/>
        </w:rPr>
      </w:pPr>
      <w:r w:rsidRPr="00C5308E">
        <w:rPr>
          <w:rFonts w:ascii="Verdana" w:hAnsi="Verdana"/>
          <w:bCs/>
          <w:sz w:val="18"/>
          <w:szCs w:val="18"/>
        </w:rPr>
        <w:t>De afroming van de middelen uit de envelop Groepen in de knel heeft geen gevolgen voor de middelen voor vroegsignalering in 2025 t/m 2028. De afroming leidt er wel toe dat er vanaf 2029 geen structurele middelen meer beschikbaar zijn voor vroegsignalering.</w:t>
      </w:r>
    </w:p>
    <w:p w:rsidRPr="00C5308E" w:rsidR="000243CF" w:rsidP="00D87753" w:rsidRDefault="000243CF" w14:paraId="3BEC9392" w14:textId="77777777">
      <w:pPr>
        <w:spacing w:after="0" w:line="240" w:lineRule="auto"/>
        <w:contextualSpacing/>
        <w:rPr>
          <w:rFonts w:ascii="Verdana" w:hAnsi="Verdana"/>
          <w:bCs/>
          <w:sz w:val="18"/>
          <w:szCs w:val="18"/>
        </w:rPr>
      </w:pPr>
    </w:p>
    <w:p w:rsidRPr="00C5308E" w:rsidR="00894A8A" w:rsidP="00D87753" w:rsidRDefault="00894A8A" w14:paraId="01A9ACB2"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202</w:t>
      </w:r>
    </w:p>
    <w:p w:rsidRPr="00C5308E" w:rsidR="00894A8A" w:rsidP="00D87753" w:rsidRDefault="00894A8A" w14:paraId="6552EB6C" w14:textId="77777777">
      <w:pPr>
        <w:spacing w:after="0" w:line="240" w:lineRule="auto"/>
        <w:contextualSpacing/>
        <w:rPr>
          <w:rFonts w:ascii="Verdana" w:hAnsi="Verdana"/>
          <w:bCs/>
          <w:sz w:val="18"/>
          <w:szCs w:val="18"/>
        </w:rPr>
      </w:pPr>
      <w:r w:rsidRPr="00C5308E">
        <w:rPr>
          <w:rFonts w:ascii="Verdana" w:hAnsi="Verdana"/>
          <w:bCs/>
          <w:sz w:val="18"/>
          <w:szCs w:val="18"/>
        </w:rPr>
        <w:t>Hoeveel fte zijn overheidswerkgevers tekortgeschoten in de uitvoering van de banenafspraak in 2025?</w:t>
      </w:r>
    </w:p>
    <w:p w:rsidRPr="00C5308E" w:rsidR="00894A8A" w:rsidP="00D87753" w:rsidRDefault="00894A8A" w14:paraId="391E885F" w14:textId="77777777">
      <w:pPr>
        <w:spacing w:after="0" w:line="240" w:lineRule="auto"/>
        <w:contextualSpacing/>
        <w:rPr>
          <w:rFonts w:ascii="Verdana" w:hAnsi="Verdana"/>
          <w:bCs/>
          <w:sz w:val="18"/>
          <w:szCs w:val="18"/>
        </w:rPr>
      </w:pPr>
    </w:p>
    <w:p w:rsidRPr="00C5308E" w:rsidR="00894A8A" w:rsidP="00D87753" w:rsidRDefault="00894A8A" w14:paraId="6362664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202</w:t>
      </w:r>
    </w:p>
    <w:p w:rsidRPr="00C5308E" w:rsidR="000243CF" w:rsidP="00D87753" w:rsidRDefault="00894A8A" w14:paraId="1B4269B6" w14:textId="50FB5DE1">
      <w:pPr>
        <w:spacing w:after="0" w:line="240" w:lineRule="auto"/>
        <w:contextualSpacing/>
        <w:rPr>
          <w:rFonts w:ascii="Verdana" w:hAnsi="Verdana"/>
          <w:bCs/>
          <w:sz w:val="18"/>
          <w:szCs w:val="18"/>
        </w:rPr>
      </w:pPr>
      <w:r w:rsidRPr="00C5308E">
        <w:rPr>
          <w:rFonts w:ascii="Verdana" w:hAnsi="Verdana"/>
          <w:bCs/>
          <w:sz w:val="18"/>
          <w:szCs w:val="18"/>
        </w:rPr>
        <w:t xml:space="preserve">Er zijn nog geen cijfers bekend over het jaar 2025. </w:t>
      </w:r>
      <w:bookmarkStart w:name="_Hlk199259762" w:id="19"/>
      <w:r w:rsidRPr="00C5308E">
        <w:rPr>
          <w:rFonts w:ascii="Verdana" w:hAnsi="Verdana"/>
          <w:bCs/>
          <w:sz w:val="18"/>
          <w:szCs w:val="18"/>
        </w:rPr>
        <w:t xml:space="preserve">Voor 2024 geldt dat er nog geen definitieve cijfers zijn. De definitieve cijfers worden in juli bekend en zullen dan ook per brief aan uw Kamer aangeboden worden. </w:t>
      </w:r>
      <w:bookmarkEnd w:id="19"/>
      <w:r w:rsidRPr="00C5308E">
        <w:rPr>
          <w:rFonts w:ascii="Verdana" w:hAnsi="Verdana"/>
          <w:bCs/>
          <w:sz w:val="18"/>
          <w:szCs w:val="18"/>
        </w:rPr>
        <w:t>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representatief onderzoek door SEO Economisch Onderzoek. Omdat dit onderzoek een doorlooptijd kent van enkele maanden zijn de definitieve cijfers over 2024 pas begin juli beschikbaar.</w:t>
      </w:r>
    </w:p>
    <w:p w:rsidRPr="00C5308E" w:rsidR="00894A8A" w:rsidP="00D87753" w:rsidRDefault="00894A8A" w14:paraId="4553B3D6" w14:textId="77777777">
      <w:pPr>
        <w:spacing w:after="0" w:line="240" w:lineRule="auto"/>
        <w:contextualSpacing/>
        <w:rPr>
          <w:rFonts w:ascii="Verdana" w:hAnsi="Verdana"/>
          <w:bCs/>
          <w:sz w:val="18"/>
          <w:szCs w:val="18"/>
        </w:rPr>
      </w:pPr>
    </w:p>
    <w:p w:rsidRPr="00C5308E" w:rsidR="00894A8A" w:rsidP="00D87753" w:rsidRDefault="00894A8A" w14:paraId="4271DDC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203</w:t>
      </w:r>
    </w:p>
    <w:p w:rsidRPr="00C5308E" w:rsidR="00894A8A" w:rsidP="00D87753" w:rsidRDefault="00894A8A" w14:paraId="25565EB5" w14:textId="77777777">
      <w:pPr>
        <w:spacing w:after="0" w:line="240" w:lineRule="auto"/>
        <w:contextualSpacing/>
        <w:rPr>
          <w:rFonts w:ascii="Verdana" w:hAnsi="Verdana"/>
          <w:bCs/>
          <w:sz w:val="18"/>
          <w:szCs w:val="18"/>
        </w:rPr>
      </w:pPr>
      <w:r w:rsidRPr="00C5308E">
        <w:rPr>
          <w:rFonts w:ascii="Verdana" w:hAnsi="Verdana"/>
          <w:bCs/>
          <w:sz w:val="18"/>
          <w:szCs w:val="18"/>
        </w:rPr>
        <w:t>Hoeveel fte zijn marktwerkgevers tekortgeschoten in de uitvoering van de banenafspraak in 2025?</w:t>
      </w:r>
    </w:p>
    <w:p w:rsidRPr="00C5308E" w:rsidR="00894A8A" w:rsidP="00D87753" w:rsidRDefault="00894A8A" w14:paraId="7D7C14CD" w14:textId="77777777">
      <w:pPr>
        <w:spacing w:after="0" w:line="240" w:lineRule="auto"/>
        <w:contextualSpacing/>
        <w:rPr>
          <w:rFonts w:ascii="Verdana" w:hAnsi="Verdana"/>
          <w:bCs/>
          <w:sz w:val="18"/>
          <w:szCs w:val="18"/>
        </w:rPr>
      </w:pPr>
    </w:p>
    <w:p w:rsidRPr="00C5308E" w:rsidR="00894A8A" w:rsidP="00D87753" w:rsidRDefault="00894A8A" w14:paraId="1C36EE8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203</w:t>
      </w:r>
    </w:p>
    <w:p w:rsidRPr="00C5308E" w:rsidR="00894A8A" w:rsidP="00D87753" w:rsidRDefault="00894A8A" w14:paraId="0269031E" w14:textId="77777777">
      <w:pPr>
        <w:spacing w:after="0" w:line="240" w:lineRule="auto"/>
        <w:contextualSpacing/>
        <w:rPr>
          <w:rFonts w:ascii="Verdana" w:hAnsi="Verdana"/>
          <w:bCs/>
          <w:sz w:val="18"/>
          <w:szCs w:val="18"/>
        </w:rPr>
      </w:pPr>
      <w:r w:rsidRPr="00C5308E">
        <w:rPr>
          <w:rFonts w:ascii="Verdana" w:hAnsi="Verdana"/>
          <w:bCs/>
          <w:sz w:val="18"/>
          <w:szCs w:val="18"/>
        </w:rPr>
        <w:t xml:space="preserve">Er zijn nog geen cijfers bekend over het jaar 2025. Voor 2024 geldt dat er nog geen definitieve cijfers zijn. De definitieve cijfers worden in juli bekend en zullen dan ook per brief aan uw Kamer aangeboden worden. 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w:t>
      </w:r>
      <w:r w:rsidRPr="00C5308E">
        <w:rPr>
          <w:rFonts w:ascii="Verdana" w:hAnsi="Verdana"/>
          <w:bCs/>
          <w:sz w:val="18"/>
          <w:szCs w:val="18"/>
        </w:rPr>
        <w:lastRenderedPageBreak/>
        <w:t xml:space="preserve">representatief onderzoek door SEO Economisch Onderzoek. Omdat dit onderzoek een doorlooptijd kent van enkele maanden zijn de definitieve cijfers over 2024 pas begin juli beschikbaar. </w:t>
      </w:r>
    </w:p>
    <w:p w:rsidRPr="00C5308E" w:rsidR="00894A8A" w:rsidP="00D87753" w:rsidRDefault="00894A8A" w14:paraId="30B59DC2" w14:textId="77777777">
      <w:pPr>
        <w:spacing w:after="0" w:line="240" w:lineRule="auto"/>
        <w:contextualSpacing/>
        <w:rPr>
          <w:rFonts w:ascii="Verdana" w:hAnsi="Verdana"/>
          <w:bCs/>
          <w:sz w:val="18"/>
          <w:szCs w:val="18"/>
        </w:rPr>
      </w:pPr>
    </w:p>
    <w:p w:rsidRPr="00C5308E" w:rsidR="00894A8A" w:rsidP="00D87753" w:rsidRDefault="00894A8A" w14:paraId="067DDE5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204</w:t>
      </w:r>
    </w:p>
    <w:p w:rsidRPr="00C5308E" w:rsidR="00894A8A" w:rsidP="00D87753" w:rsidRDefault="00894A8A" w14:paraId="25C85554" w14:textId="77777777">
      <w:pPr>
        <w:spacing w:after="0" w:line="240" w:lineRule="auto"/>
        <w:contextualSpacing/>
        <w:rPr>
          <w:rFonts w:ascii="Verdana" w:hAnsi="Verdana"/>
          <w:bCs/>
          <w:sz w:val="18"/>
          <w:szCs w:val="18"/>
        </w:rPr>
      </w:pPr>
      <w:r w:rsidRPr="00C5308E">
        <w:rPr>
          <w:rFonts w:ascii="Verdana" w:hAnsi="Verdana"/>
          <w:bCs/>
          <w:sz w:val="18"/>
          <w:szCs w:val="18"/>
        </w:rPr>
        <w:t>Hoeveel banen zijn er gerealiseerd in de sector overheid per 1 januari 2025?</w:t>
      </w:r>
    </w:p>
    <w:p w:rsidRPr="00C5308E" w:rsidR="00894A8A" w:rsidP="00D87753" w:rsidRDefault="00894A8A" w14:paraId="117E2C32" w14:textId="77777777">
      <w:pPr>
        <w:spacing w:after="0" w:line="240" w:lineRule="auto"/>
        <w:contextualSpacing/>
        <w:rPr>
          <w:rFonts w:ascii="Verdana" w:hAnsi="Verdana"/>
          <w:bCs/>
          <w:sz w:val="18"/>
          <w:szCs w:val="18"/>
        </w:rPr>
      </w:pPr>
    </w:p>
    <w:p w:rsidRPr="00C5308E" w:rsidR="00894A8A" w:rsidP="00D87753" w:rsidRDefault="00894A8A" w14:paraId="307221E1"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204</w:t>
      </w:r>
    </w:p>
    <w:p w:rsidRPr="00C5308E" w:rsidR="00894A8A" w:rsidP="00D87753" w:rsidRDefault="00894A8A" w14:paraId="258A728E" w14:textId="77777777">
      <w:pPr>
        <w:spacing w:after="0" w:line="240" w:lineRule="auto"/>
        <w:contextualSpacing/>
        <w:rPr>
          <w:rFonts w:ascii="Verdana" w:hAnsi="Verdana"/>
          <w:bCs/>
          <w:sz w:val="18"/>
          <w:szCs w:val="18"/>
        </w:rPr>
      </w:pPr>
      <w:r w:rsidRPr="00C5308E">
        <w:rPr>
          <w:rFonts w:ascii="Verdana" w:hAnsi="Verdana"/>
          <w:bCs/>
          <w:sz w:val="18"/>
          <w:szCs w:val="18"/>
        </w:rPr>
        <w:t xml:space="preserve">Er zijn nog geen cijfers bekend over het jaar 2025. Voor 2024 geldt dat er nog geen definitieve cijfers zijn. De definitieve cijfers worden in juli bekend en zullen dan ook per brief aan uw Kamer aangeboden worden. 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representatief onderzoek door SEO Economisch Onderzoek. Omdat dit onderzoek een doorlooptijd kent van enkele maanden zijn de definitieve cijfers over 2024 pas begin juli beschikbaar. </w:t>
      </w:r>
    </w:p>
    <w:p w:rsidRPr="00C5308E" w:rsidR="00894A8A" w:rsidP="00D87753" w:rsidRDefault="00894A8A" w14:paraId="12314056" w14:textId="77777777">
      <w:pPr>
        <w:spacing w:after="0" w:line="240" w:lineRule="auto"/>
        <w:contextualSpacing/>
        <w:rPr>
          <w:rFonts w:ascii="Verdana" w:hAnsi="Verdana"/>
          <w:bCs/>
          <w:sz w:val="18"/>
          <w:szCs w:val="18"/>
        </w:rPr>
      </w:pPr>
    </w:p>
    <w:p w:rsidRPr="00C5308E" w:rsidR="00894A8A" w:rsidP="00D87753" w:rsidRDefault="00894A8A" w14:paraId="5AFD57D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205</w:t>
      </w:r>
    </w:p>
    <w:p w:rsidRPr="00C5308E" w:rsidR="00894A8A" w:rsidP="00D87753" w:rsidRDefault="00894A8A" w14:paraId="441FCA2B" w14:textId="77777777">
      <w:pPr>
        <w:spacing w:after="0" w:line="240" w:lineRule="auto"/>
        <w:contextualSpacing/>
        <w:rPr>
          <w:rFonts w:ascii="Verdana" w:hAnsi="Verdana"/>
          <w:bCs/>
          <w:sz w:val="18"/>
          <w:szCs w:val="18"/>
        </w:rPr>
      </w:pPr>
      <w:r w:rsidRPr="00C5308E">
        <w:rPr>
          <w:rFonts w:ascii="Verdana" w:hAnsi="Verdana"/>
          <w:bCs/>
          <w:sz w:val="18"/>
          <w:szCs w:val="18"/>
        </w:rPr>
        <w:t>Hoeveel van de ingevulde banen in het kader van de banenafspraak zijn tijdelijke functies (korter dan 1 jaar)?</w:t>
      </w:r>
    </w:p>
    <w:p w:rsidRPr="00C5308E" w:rsidR="00894A8A" w:rsidP="00D87753" w:rsidRDefault="00894A8A" w14:paraId="129B9F27" w14:textId="77777777">
      <w:pPr>
        <w:spacing w:after="0" w:line="240" w:lineRule="auto"/>
        <w:contextualSpacing/>
        <w:rPr>
          <w:rFonts w:ascii="Verdana" w:hAnsi="Verdana"/>
          <w:bCs/>
          <w:sz w:val="18"/>
          <w:szCs w:val="18"/>
        </w:rPr>
      </w:pPr>
    </w:p>
    <w:p w:rsidRPr="00C5308E" w:rsidR="00894A8A" w:rsidP="00D87753" w:rsidRDefault="00894A8A" w14:paraId="7735523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205</w:t>
      </w:r>
    </w:p>
    <w:p w:rsidRPr="00C5308E" w:rsidR="00894A8A" w:rsidP="00D87753" w:rsidRDefault="00894A8A" w14:paraId="53A0DB68" w14:textId="545867A7">
      <w:pPr>
        <w:spacing w:after="0" w:line="240" w:lineRule="auto"/>
        <w:contextualSpacing/>
        <w:rPr>
          <w:rFonts w:ascii="Verdana" w:hAnsi="Verdana"/>
          <w:bCs/>
          <w:sz w:val="18"/>
          <w:szCs w:val="18"/>
        </w:rPr>
      </w:pPr>
      <w:r w:rsidRPr="00C5308E">
        <w:rPr>
          <w:rFonts w:ascii="Verdana" w:hAnsi="Verdana"/>
          <w:bCs/>
          <w:sz w:val="18"/>
          <w:szCs w:val="18"/>
        </w:rPr>
        <w:t>UWV onderzoekt jaarlijks de duurzaamheid van het werk in de banenafspraak. Het meest recente onderzoek</w:t>
      </w:r>
      <w:r w:rsidRPr="00C5308E" w:rsidR="00CF47B6">
        <w:rPr>
          <w:rFonts w:ascii="Verdana" w:hAnsi="Verdana"/>
          <w:bCs/>
          <w:sz w:val="18"/>
          <w:szCs w:val="18"/>
        </w:rPr>
        <w:t xml:space="preserve"> (</w:t>
      </w:r>
      <w:r w:rsidRPr="00C5308E" w:rsidR="00CF47B6">
        <w:rPr>
          <w:rFonts w:ascii="Verdana" w:hAnsi="Verdana"/>
          <w:sz w:val="18"/>
          <w:szCs w:val="18"/>
        </w:rPr>
        <w:t>Kamerstukken II 2024/2025, 34 352, nr. 331)</w:t>
      </w:r>
      <w:r w:rsidRPr="00C5308E">
        <w:rPr>
          <w:rFonts w:ascii="Verdana" w:hAnsi="Verdana"/>
          <w:bCs/>
          <w:sz w:val="18"/>
          <w:szCs w:val="18"/>
        </w:rPr>
        <w:t xml:space="preserve"> gaat over de jaren 2022-2023. Het onderzoek kijkt naar een aantal aspecten waarmee de duurzaamheid van werk kan worden gemeten, zoals het aandeel vaste contracten en het baanbehoud van mensen. Uit het onderzoek blijkt dat de duurzaamheid van het werk de afgelopen jaren stabiel is gebleven. Per kwartaal (start in kwartaal Q4 2021 t/m Q3 2022) zijn gemiddeld 7.481 personen met één of meerdere banen gestart. Gemiddeld is twee derde (66%) van deze personen een jaar later nog steeds aan het werk. Uit het onderzoek blijkt tevens dat het aantal verloonde uren in contracten voor bepaalde tijd is gedaald (-243.000) terwijl het aantal verloonde uren voor onbepaalde tijd is toegenomen (+331.000). Hierdoor is het aandeel verloonde uren voor onbepaalde tijd in 2022 licht gestegen naar 62%. </w:t>
      </w:r>
    </w:p>
    <w:p w:rsidRPr="00C5308E" w:rsidR="00A24B3E" w:rsidP="00D87753" w:rsidRDefault="00A24B3E" w14:paraId="7E4177A8" w14:textId="77777777">
      <w:pPr>
        <w:spacing w:after="0" w:line="240" w:lineRule="auto"/>
        <w:contextualSpacing/>
        <w:rPr>
          <w:rFonts w:ascii="Verdana" w:hAnsi="Verdana"/>
          <w:bCs/>
          <w:sz w:val="18"/>
          <w:szCs w:val="18"/>
          <w:u w:val="single"/>
        </w:rPr>
      </w:pPr>
    </w:p>
    <w:p w:rsidRPr="00C5308E" w:rsidR="00A24B3E" w:rsidP="00D87753" w:rsidRDefault="00A24B3E" w14:paraId="5DF8DCCC" w14:textId="0FDBCC83">
      <w:pPr>
        <w:spacing w:after="0" w:line="240" w:lineRule="auto"/>
        <w:contextualSpacing/>
        <w:rPr>
          <w:rFonts w:ascii="Verdana" w:hAnsi="Verdana"/>
          <w:bCs/>
          <w:sz w:val="18"/>
          <w:szCs w:val="18"/>
          <w:u w:val="single"/>
        </w:rPr>
      </w:pPr>
      <w:r w:rsidRPr="00C5308E">
        <w:rPr>
          <w:rFonts w:ascii="Verdana" w:hAnsi="Verdana"/>
          <w:bCs/>
          <w:sz w:val="18"/>
          <w:szCs w:val="18"/>
          <w:u w:val="single"/>
        </w:rPr>
        <w:t>Vraag 206</w:t>
      </w:r>
    </w:p>
    <w:p w:rsidRPr="00C5308E" w:rsidR="00A24B3E" w:rsidP="00D87753" w:rsidRDefault="00A24B3E" w14:paraId="2F3B7339" w14:textId="77777777">
      <w:pPr>
        <w:spacing w:after="0" w:line="240" w:lineRule="auto"/>
        <w:contextualSpacing/>
        <w:rPr>
          <w:rFonts w:ascii="Verdana" w:hAnsi="Verdana"/>
          <w:bCs/>
          <w:sz w:val="18"/>
          <w:szCs w:val="18"/>
        </w:rPr>
      </w:pPr>
      <w:r w:rsidRPr="00C5308E">
        <w:rPr>
          <w:rFonts w:ascii="Verdana" w:hAnsi="Verdana"/>
          <w:bCs/>
          <w:sz w:val="18"/>
          <w:szCs w:val="18"/>
        </w:rPr>
        <w:t>Wanneer wordt verwacht dat de banenafspraak voor zowel overheids- als marktwerkgevers wordt gehaald?</w:t>
      </w:r>
    </w:p>
    <w:p w:rsidRPr="00C5308E" w:rsidR="00A24B3E" w:rsidP="00D87753" w:rsidRDefault="00A24B3E" w14:paraId="16C027E1" w14:textId="77777777">
      <w:pPr>
        <w:spacing w:after="0" w:line="240" w:lineRule="auto"/>
        <w:contextualSpacing/>
        <w:rPr>
          <w:rFonts w:ascii="Verdana" w:hAnsi="Verdana"/>
          <w:bCs/>
          <w:sz w:val="18"/>
          <w:szCs w:val="18"/>
        </w:rPr>
      </w:pPr>
    </w:p>
    <w:p w:rsidRPr="00C5308E" w:rsidR="00A24B3E" w:rsidP="00D87753" w:rsidRDefault="00A24B3E" w14:paraId="64C691D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206</w:t>
      </w:r>
    </w:p>
    <w:p w:rsidRPr="00C5308E" w:rsidR="00A24B3E" w:rsidP="00D87753" w:rsidRDefault="00A24B3E" w14:paraId="30D6D528" w14:textId="77777777">
      <w:pPr>
        <w:spacing w:after="0" w:line="240" w:lineRule="auto"/>
        <w:contextualSpacing/>
        <w:rPr>
          <w:rFonts w:ascii="Verdana" w:hAnsi="Verdana"/>
          <w:bCs/>
          <w:sz w:val="18"/>
          <w:szCs w:val="18"/>
        </w:rPr>
      </w:pPr>
      <w:r w:rsidRPr="00C5308E">
        <w:rPr>
          <w:rFonts w:ascii="Verdana" w:hAnsi="Verdana"/>
          <w:bCs/>
          <w:sz w:val="18"/>
          <w:szCs w:val="18"/>
        </w:rPr>
        <w:t xml:space="preserve">Het aantal gerealiseerde banen binnen de banenafspraak stagneert in zowel de overheid- als de marktsector. Daarom is het nodig dat er een impuls wordt gegeven aan de huidige banenafspraak en tegelijkertijd een visie wordt ontwikkeld voor de langere termijn. Op beide terreinen worden stappen gezet. Over de ontwikkeling van de langetermijnvisie wordt Uw Kamer voor het zomerreces geïnformeerd. En om de banenafspraak op de kortere termijn een impuls te geven heeft Uw Kamer recent een wetsvoorstel aangenomen met maatregelen om de banenafspraak te verbeteren en zo nieuwe energie te brengen in de banenafspraak. De samenwerking tussen de markt- en overheidssectoren wordt bijvoorbeeld makkelijker gemaakt door het onderscheid tussen deze sectoren op termijn op te heffen. Het maakt dan niet meer uit waar iemand werkt maar dát iemand werkt. Ook komt er een werkende quotumregeling die ingezet kan worden als stok achter de deur en beloont deze regeling werkgevers extra die meer banen realiseren. Tot slot zorgt het wetsvoorstel voor duurzame en eenvoudigere ondersteuning van werkgevers door het loonkostenvoordeel banenafspraak structureel te maken. Tegelijkertijd werkt het kabinet aan een wetsvoorstel voor het verder verbreden van de doelgroep banenafspraak. Het kabinet is ervan overtuigd dat deze maatregelen zullen leiden tot de realisatie van meer banen voor de doelgroep banenafspraak. </w:t>
      </w:r>
    </w:p>
    <w:p w:rsidRPr="00C5308E" w:rsidR="00894A8A" w:rsidP="00D87753" w:rsidRDefault="00894A8A" w14:paraId="16AF37D3" w14:textId="77777777">
      <w:pPr>
        <w:spacing w:after="0" w:line="240" w:lineRule="auto"/>
        <w:contextualSpacing/>
        <w:rPr>
          <w:rFonts w:ascii="Verdana" w:hAnsi="Verdana"/>
          <w:bCs/>
          <w:sz w:val="18"/>
          <w:szCs w:val="18"/>
        </w:rPr>
      </w:pPr>
    </w:p>
    <w:p w:rsidRPr="00C5308E" w:rsidR="00720C2B" w:rsidP="00D87753" w:rsidRDefault="00720C2B" w14:paraId="44FFF76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207</w:t>
      </w:r>
    </w:p>
    <w:p w:rsidRPr="00C5308E" w:rsidR="00720C2B" w:rsidP="00D87753" w:rsidRDefault="00720C2B" w14:paraId="2AC4015E" w14:textId="77777777">
      <w:pPr>
        <w:spacing w:after="0" w:line="240" w:lineRule="auto"/>
        <w:contextualSpacing/>
        <w:rPr>
          <w:rFonts w:ascii="Verdana" w:hAnsi="Verdana"/>
          <w:bCs/>
          <w:sz w:val="18"/>
          <w:szCs w:val="18"/>
        </w:rPr>
      </w:pPr>
      <w:r w:rsidRPr="00C5308E">
        <w:rPr>
          <w:rFonts w:ascii="Verdana" w:hAnsi="Verdana"/>
          <w:bCs/>
          <w:sz w:val="18"/>
          <w:szCs w:val="18"/>
        </w:rPr>
        <w:t xml:space="preserve">Op welke gronden concludeert de regering dat er 'geen objectief criterium bestaat’ om arbeidsongeschikte zzp’ers gunstiger te behandelen dan andere voormalige overbruggingsregeling (OBR)-gerechtigden? Wat is de juridische onderbouwing van de stelling dat een eenmalige </w:t>
      </w:r>
      <w:r w:rsidRPr="00C5308E">
        <w:rPr>
          <w:rFonts w:ascii="Verdana" w:hAnsi="Verdana"/>
          <w:bCs/>
          <w:sz w:val="18"/>
          <w:szCs w:val="18"/>
        </w:rPr>
        <w:lastRenderedPageBreak/>
        <w:t>tegemoetkoming aan deze groep zou leiden tot precedentwerking? Waarvoor worden de gereserveerde middelen nu exact ingezet, en op basis van welke prioritering?</w:t>
      </w:r>
    </w:p>
    <w:p w:rsidRPr="00C5308E" w:rsidR="00720C2B" w:rsidP="00D87753" w:rsidRDefault="00720C2B" w14:paraId="3C7534C9" w14:textId="77777777">
      <w:pPr>
        <w:spacing w:after="0" w:line="240" w:lineRule="auto"/>
        <w:contextualSpacing/>
        <w:rPr>
          <w:rFonts w:ascii="Verdana" w:hAnsi="Verdana"/>
          <w:bCs/>
          <w:sz w:val="18"/>
          <w:szCs w:val="18"/>
        </w:rPr>
      </w:pPr>
    </w:p>
    <w:p w:rsidRPr="00C5308E" w:rsidR="00720C2B" w:rsidP="00D87753" w:rsidRDefault="00720C2B" w14:paraId="7776E15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207</w:t>
      </w:r>
    </w:p>
    <w:p w:rsidRPr="00C5308E" w:rsidR="00720C2B" w:rsidP="00D87753" w:rsidRDefault="00720C2B" w14:paraId="2A0961F7" w14:textId="54FD2BD7">
      <w:pPr>
        <w:spacing w:after="0" w:line="240" w:lineRule="auto"/>
        <w:contextualSpacing/>
        <w:rPr>
          <w:rFonts w:ascii="Verdana" w:hAnsi="Verdana"/>
          <w:bCs/>
          <w:sz w:val="18"/>
          <w:szCs w:val="18"/>
        </w:rPr>
      </w:pPr>
      <w:r w:rsidRPr="00C5308E">
        <w:rPr>
          <w:rFonts w:ascii="Verdana" w:hAnsi="Verdana"/>
          <w:bCs/>
          <w:sz w:val="18"/>
          <w:szCs w:val="18"/>
        </w:rPr>
        <w:t>In de SZW</w:t>
      </w:r>
      <w:r w:rsidRPr="00C5308E" w:rsidR="003E2E04">
        <w:rPr>
          <w:rFonts w:ascii="Verdana" w:hAnsi="Verdana"/>
          <w:bCs/>
          <w:sz w:val="18"/>
          <w:szCs w:val="18"/>
        </w:rPr>
        <w:t>-</w:t>
      </w:r>
      <w:r w:rsidRPr="00C5308E">
        <w:rPr>
          <w:rFonts w:ascii="Verdana" w:hAnsi="Verdana"/>
          <w:bCs/>
          <w:sz w:val="18"/>
          <w:szCs w:val="18"/>
        </w:rPr>
        <w:t>begroting was naar aanleiding van de aangenomen motie van Kent</w:t>
      </w:r>
      <w:r w:rsidRPr="00C5308E" w:rsidR="00CF47B6">
        <w:rPr>
          <w:rFonts w:ascii="Verdana" w:hAnsi="Verdana"/>
          <w:bCs/>
          <w:sz w:val="18"/>
          <w:szCs w:val="18"/>
        </w:rPr>
        <w:t xml:space="preserve"> (Kamerstukken II, 2023/2024, 32 043, nr. 635)</w:t>
      </w:r>
      <w:r w:rsidRPr="00C5308E">
        <w:rPr>
          <w:rFonts w:ascii="Verdana" w:hAnsi="Verdana"/>
          <w:bCs/>
          <w:sz w:val="18"/>
          <w:szCs w:val="18"/>
        </w:rPr>
        <w:t xml:space="preserve"> een reservering getroffen van € 24,5 miljoen in 2025 voor een mogelijke tegemoetkoming voor een groep arbeidsongeschikte zzp'ers. De motie riep op een regeling te treffen voor de groep zelfstandigen die per 1 januari 2013 een private arbeidsongeschiktheidsuitkering (AOV) ontvangt en door de verhoging van de AOW-leeftijd een gat heeft tussen de duur van de verzekering en de ingang van de AOW. Met de Kamerbrief van 15 april jl.</w:t>
      </w:r>
      <w:r w:rsidRPr="00C5308E" w:rsidR="003E2E04">
        <w:rPr>
          <w:rFonts w:ascii="Verdana" w:hAnsi="Verdana"/>
          <w:bCs/>
          <w:sz w:val="18"/>
          <w:szCs w:val="18"/>
        </w:rPr>
        <w:t xml:space="preserve"> </w:t>
      </w:r>
      <w:r w:rsidRPr="00C5308E" w:rsidR="00CF47B6">
        <w:rPr>
          <w:rFonts w:ascii="Verdana" w:hAnsi="Verdana"/>
          <w:bCs/>
          <w:sz w:val="18"/>
          <w:szCs w:val="18"/>
        </w:rPr>
        <w:t>(</w:t>
      </w:r>
      <w:r w:rsidRPr="00C5308E" w:rsidR="00CF47B6">
        <w:rPr>
          <w:rFonts w:ascii="Verdana" w:hAnsi="Verdana"/>
          <w:sz w:val="18"/>
          <w:szCs w:val="18"/>
        </w:rPr>
        <w:t xml:space="preserve">Kamerstukken II, </w:t>
      </w:r>
      <w:r w:rsidRPr="00C5308E" w:rsidR="00CF47B6">
        <w:rPr>
          <w:rFonts w:ascii="Verdana" w:hAnsi="Verdana"/>
          <w:bCs/>
          <w:sz w:val="18"/>
          <w:szCs w:val="18"/>
        </w:rPr>
        <w:t>2024/2025, 32043, nr. 683)</w:t>
      </w:r>
      <w:r w:rsidRPr="00C5308E">
        <w:rPr>
          <w:rFonts w:ascii="Verdana" w:hAnsi="Verdana"/>
          <w:bCs/>
          <w:sz w:val="18"/>
          <w:szCs w:val="18"/>
        </w:rPr>
        <w:t xml:space="preserve"> heb ik uw Kamer geïnformeerd </w:t>
      </w:r>
      <w:r w:rsidRPr="00C5308E" w:rsidR="003E2E04">
        <w:rPr>
          <w:rFonts w:ascii="Verdana" w:hAnsi="Verdana"/>
          <w:bCs/>
          <w:sz w:val="18"/>
          <w:szCs w:val="18"/>
        </w:rPr>
        <w:t xml:space="preserve">dat </w:t>
      </w:r>
      <w:r w:rsidRPr="00C5308E">
        <w:rPr>
          <w:rFonts w:ascii="Verdana" w:hAnsi="Verdana"/>
          <w:bCs/>
          <w:sz w:val="18"/>
          <w:szCs w:val="18"/>
        </w:rPr>
        <w:t>de betreffende groep niet met een eenmalige passende regeling tegemoetgekomen kan worden zonder precedentwerking, zoals de motie vraagt. Ik verwijs u naar de Kamerbrief voor de toelichting hierop. Hierin wordt de complete analyse uiteengezet en de onderbouwing gegeven voor deze afweging. De gereserveerde middelen zijn gebruikt om de problematiek op de SZW-begroting van dekking te voorzien. Dit is niet toe te wijzen aan een specifieke tegenvaller of beleidsdossier.</w:t>
      </w:r>
    </w:p>
    <w:p w:rsidRPr="00C5308E" w:rsidR="00544B65" w:rsidP="00D87753" w:rsidRDefault="00544B65" w14:paraId="017CCD11" w14:textId="77777777">
      <w:pPr>
        <w:spacing w:after="0" w:line="240" w:lineRule="auto"/>
        <w:contextualSpacing/>
        <w:rPr>
          <w:rFonts w:ascii="Verdana" w:hAnsi="Verdana"/>
          <w:bCs/>
          <w:sz w:val="18"/>
          <w:szCs w:val="18"/>
        </w:rPr>
      </w:pPr>
    </w:p>
    <w:p w:rsidRPr="00C5308E" w:rsidR="00544B65" w:rsidP="00D87753" w:rsidRDefault="00544B65" w14:paraId="0A801DA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208</w:t>
      </w:r>
    </w:p>
    <w:p w:rsidRPr="00C5308E" w:rsidR="00544B65" w:rsidP="00D87753" w:rsidRDefault="00544B65" w14:paraId="6FFEE55C" w14:textId="77777777">
      <w:pPr>
        <w:spacing w:after="0" w:line="240" w:lineRule="auto"/>
        <w:contextualSpacing/>
        <w:rPr>
          <w:rFonts w:ascii="Verdana" w:hAnsi="Verdana"/>
          <w:bCs/>
          <w:sz w:val="18"/>
          <w:szCs w:val="18"/>
        </w:rPr>
      </w:pPr>
      <w:r w:rsidRPr="00C5308E">
        <w:rPr>
          <w:rFonts w:ascii="Verdana" w:hAnsi="Verdana"/>
          <w:bCs/>
          <w:sz w:val="18"/>
          <w:szCs w:val="18"/>
        </w:rPr>
        <w:t>Hoeveel middelen uit de Maatwerkregeling Duurzame Inzetbaarheid en Eerder Uittreden (MDIEU)-regeling zijn tot nu toe besteed aan Regeling Vervroegde Uittreding (RVU)-doeleinden (eerder uittreden) versus duurzame inzetbaarheid?</w:t>
      </w:r>
    </w:p>
    <w:p w:rsidRPr="00C5308E" w:rsidR="00544B65" w:rsidP="00D87753" w:rsidRDefault="00544B65" w14:paraId="20B1FC20" w14:textId="77777777">
      <w:pPr>
        <w:spacing w:after="0" w:line="240" w:lineRule="auto"/>
        <w:contextualSpacing/>
        <w:rPr>
          <w:rFonts w:ascii="Verdana" w:hAnsi="Verdana"/>
          <w:bCs/>
          <w:sz w:val="18"/>
          <w:szCs w:val="18"/>
        </w:rPr>
      </w:pPr>
    </w:p>
    <w:p w:rsidRPr="00C5308E" w:rsidR="00544B65" w:rsidP="00D87753" w:rsidRDefault="00544B65" w14:paraId="67221B48"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208</w:t>
      </w:r>
    </w:p>
    <w:p w:rsidRPr="00C5308E" w:rsidR="00544B65" w:rsidP="00D87753" w:rsidRDefault="00544B65" w14:paraId="227D9A2F" w14:textId="77777777">
      <w:pPr>
        <w:spacing w:after="0" w:line="240" w:lineRule="auto"/>
        <w:contextualSpacing/>
        <w:rPr>
          <w:rFonts w:ascii="Verdana" w:hAnsi="Verdana"/>
          <w:bCs/>
          <w:sz w:val="18"/>
          <w:szCs w:val="18"/>
        </w:rPr>
      </w:pPr>
      <w:r w:rsidRPr="00C5308E">
        <w:rPr>
          <w:rFonts w:ascii="Verdana" w:hAnsi="Verdana"/>
          <w:bCs/>
          <w:sz w:val="18"/>
          <w:szCs w:val="18"/>
        </w:rPr>
        <w:t xml:space="preserve">Van de tot nu toe betaalde subsidie en nog openstaande subsidieverplichtingen voor duurzame inzetbaarheid en eerder uittreden, is zo’n 45% bestemd voor RVU’s en 55% voor duurzame inzetbaarheid. Elke subsidieaanvraag moet activiteiten rond duurzame inzetbaarheid bevatten, waarvan de werkgever zelf 50% betaalt. Subsidie voor RVU kan onderdeel uitmaken van de aanvraag, maar dat hoeft niet. Bij de projecten van sectorale samenwerkingsverbanden bevat bijna de helft ook een component eerder uittreden, naast duurzame inzetbaarheid. Bij individuele bedrijven is dit minder dan twintig procent, in het laatste tijdvak minder dan tien procent. Van elke subsidieaanvraag moet ten minste 25% van de aangevraagde subsidie naar duurzame inzetbaarheid gaan. </w:t>
      </w:r>
    </w:p>
    <w:p w:rsidRPr="00C5308E" w:rsidR="00544B65" w:rsidP="00D87753" w:rsidRDefault="00544B65" w14:paraId="4790CEAC" w14:textId="60B01D7E">
      <w:pPr>
        <w:spacing w:after="0" w:line="240" w:lineRule="auto"/>
        <w:contextualSpacing/>
        <w:rPr>
          <w:rFonts w:ascii="Verdana" w:hAnsi="Verdana"/>
          <w:bCs/>
          <w:sz w:val="18"/>
          <w:szCs w:val="18"/>
        </w:rPr>
      </w:pPr>
      <w:r w:rsidRPr="00C5308E">
        <w:rPr>
          <w:rFonts w:ascii="Verdana" w:hAnsi="Verdana"/>
          <w:bCs/>
          <w:sz w:val="18"/>
          <w:szCs w:val="18"/>
        </w:rPr>
        <w:t xml:space="preserve">Het is niet mogelijk om nog nieuwe subsidie aan te vragen. De eindafrekening van het grootste deel van de subsidie moet nog plaatsvinden en de financiële eindstand is pas eind 2026/begin 2027 bekend. </w:t>
      </w:r>
    </w:p>
    <w:p w:rsidRPr="00C5308E" w:rsidR="00544B65" w:rsidP="00D87753" w:rsidRDefault="00544B65" w14:paraId="71D60D91" w14:textId="77777777">
      <w:pPr>
        <w:spacing w:after="0" w:line="240" w:lineRule="auto"/>
        <w:contextualSpacing/>
        <w:rPr>
          <w:rFonts w:ascii="Verdana" w:hAnsi="Verdana"/>
          <w:bCs/>
          <w:sz w:val="18"/>
          <w:szCs w:val="18"/>
        </w:rPr>
      </w:pPr>
    </w:p>
    <w:p w:rsidRPr="00C5308E" w:rsidR="00544B65" w:rsidP="00D87753" w:rsidRDefault="00544B65" w14:paraId="63EEE65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209</w:t>
      </w:r>
    </w:p>
    <w:p w:rsidRPr="00C5308E" w:rsidR="00544B65" w:rsidP="00D87753" w:rsidRDefault="00544B65" w14:paraId="5F08760B" w14:textId="77777777">
      <w:pPr>
        <w:spacing w:after="0" w:line="240" w:lineRule="auto"/>
        <w:contextualSpacing/>
        <w:rPr>
          <w:rFonts w:ascii="Verdana" w:hAnsi="Verdana"/>
          <w:bCs/>
          <w:sz w:val="18"/>
          <w:szCs w:val="18"/>
        </w:rPr>
      </w:pPr>
      <w:r w:rsidRPr="00C5308E">
        <w:rPr>
          <w:rFonts w:ascii="Verdana" w:hAnsi="Verdana"/>
          <w:bCs/>
          <w:sz w:val="18"/>
          <w:szCs w:val="18"/>
        </w:rPr>
        <w:t>Hoeveel middelen uit de MDIEU-regeling zijn tot nu toe besteed aan RVU-doeleinden (eerder uittreden) versus duurzame inzetbaarheid?</w:t>
      </w:r>
    </w:p>
    <w:p w:rsidRPr="00C5308E" w:rsidR="00544B65" w:rsidP="00D87753" w:rsidRDefault="00544B65" w14:paraId="62A5724A" w14:textId="77777777">
      <w:pPr>
        <w:spacing w:after="0" w:line="240" w:lineRule="auto"/>
        <w:contextualSpacing/>
        <w:rPr>
          <w:rFonts w:ascii="Verdana" w:hAnsi="Verdana"/>
          <w:bCs/>
          <w:sz w:val="18"/>
          <w:szCs w:val="18"/>
        </w:rPr>
      </w:pPr>
    </w:p>
    <w:p w:rsidRPr="00C5308E" w:rsidR="00544B65" w:rsidP="00D87753" w:rsidRDefault="00544B65" w14:paraId="001E691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209</w:t>
      </w:r>
    </w:p>
    <w:p w:rsidRPr="00C5308E" w:rsidR="00544B65" w:rsidP="00D87753" w:rsidRDefault="00544B65" w14:paraId="29B3240D" w14:textId="77777777">
      <w:pPr>
        <w:spacing w:after="0" w:line="240" w:lineRule="auto"/>
        <w:contextualSpacing/>
        <w:rPr>
          <w:rFonts w:ascii="Verdana" w:hAnsi="Verdana"/>
          <w:bCs/>
          <w:sz w:val="18"/>
          <w:szCs w:val="18"/>
        </w:rPr>
      </w:pPr>
      <w:r w:rsidRPr="00C5308E">
        <w:rPr>
          <w:rFonts w:ascii="Verdana" w:hAnsi="Verdana"/>
          <w:bCs/>
          <w:sz w:val="18"/>
          <w:szCs w:val="18"/>
        </w:rPr>
        <w:t xml:space="preserve">Van de tot nu toe betaalde subsidie en nog openstaande subsidieverplichtingen voor duurzame inzetbaarheid en eerder uittreden, is zo’n 45% bestemd voor RVU’s en 55% voor duurzame inzetbaarheid. Elke subsidieaanvraag moet activiteiten rond duurzame inzetbaarheid bevatten, waarvan de werkgever zelf 50% betaalt. Subsidie voor RVU kan onderdeel uitmaken van de aanvraag, maar dat hoeft niet. Bij de projecten van sectorale samenwerkingsverbanden bevat bijna de helft ook een component eerder uittreden, naast duurzame inzetbaarheid. Bij individuele bedrijven is dit minder dan twintig procent, in het laatste tijdvak minder dan tien procent. Van elke subsidieaanvraag moet ten minste 25% van de aangevraagde subsidie naar duurzame inzetbaarheid gaan. </w:t>
      </w:r>
    </w:p>
    <w:p w:rsidRPr="00C5308E" w:rsidR="00544B65" w:rsidP="00D87753" w:rsidRDefault="00544B65" w14:paraId="587AC823" w14:textId="40C36E30">
      <w:pPr>
        <w:spacing w:after="0" w:line="240" w:lineRule="auto"/>
        <w:contextualSpacing/>
        <w:rPr>
          <w:rFonts w:ascii="Verdana" w:hAnsi="Verdana"/>
          <w:bCs/>
          <w:sz w:val="18"/>
          <w:szCs w:val="18"/>
        </w:rPr>
      </w:pPr>
      <w:r w:rsidRPr="00C5308E">
        <w:rPr>
          <w:rFonts w:ascii="Verdana" w:hAnsi="Verdana"/>
          <w:bCs/>
          <w:sz w:val="18"/>
          <w:szCs w:val="18"/>
        </w:rPr>
        <w:t>Het is niet mogelijk om nog nieuwe subsidie aan te vragen. De eindafrekening van het grootste deel van de subsidie moet nog plaatsvinden en de financiële eindstand is pas eind 2026/begin 2027 bekend.</w:t>
      </w:r>
    </w:p>
    <w:p w:rsidRPr="00C5308E" w:rsidR="0009286A" w:rsidP="00D87753" w:rsidRDefault="0009286A" w14:paraId="3948BD36" w14:textId="77777777">
      <w:pPr>
        <w:spacing w:after="0" w:line="240" w:lineRule="auto"/>
        <w:contextualSpacing/>
        <w:rPr>
          <w:rFonts w:ascii="Verdana" w:hAnsi="Verdana"/>
          <w:bCs/>
          <w:sz w:val="18"/>
          <w:szCs w:val="18"/>
        </w:rPr>
      </w:pPr>
    </w:p>
    <w:p w:rsidRPr="00C5308E" w:rsidR="0009286A" w:rsidP="00D87753" w:rsidRDefault="0009286A" w14:paraId="5724941A" w14:textId="7EB100D3">
      <w:pPr>
        <w:spacing w:after="0" w:line="240" w:lineRule="auto"/>
        <w:contextualSpacing/>
        <w:rPr>
          <w:rFonts w:ascii="Verdana" w:hAnsi="Verdana"/>
          <w:bCs/>
          <w:sz w:val="18"/>
          <w:szCs w:val="18"/>
          <w:u w:val="single"/>
        </w:rPr>
      </w:pPr>
      <w:r w:rsidRPr="00C5308E">
        <w:rPr>
          <w:rFonts w:ascii="Verdana" w:hAnsi="Verdana"/>
          <w:bCs/>
          <w:sz w:val="18"/>
          <w:szCs w:val="18"/>
          <w:u w:val="single"/>
        </w:rPr>
        <w:t>Vraag 210</w:t>
      </w:r>
    </w:p>
    <w:p w:rsidRPr="00C5308E" w:rsidR="0009286A" w:rsidP="00D87753" w:rsidRDefault="0009286A" w14:paraId="48353A27" w14:textId="41EF50CA">
      <w:pPr>
        <w:spacing w:after="0" w:line="240" w:lineRule="auto"/>
        <w:contextualSpacing/>
        <w:rPr>
          <w:rFonts w:ascii="Verdana" w:hAnsi="Verdana"/>
          <w:bCs/>
          <w:sz w:val="18"/>
          <w:szCs w:val="18"/>
        </w:rPr>
      </w:pPr>
      <w:r w:rsidRPr="00C5308E">
        <w:rPr>
          <w:rFonts w:ascii="Verdana" w:hAnsi="Verdana"/>
          <w:bCs/>
          <w:sz w:val="18"/>
          <w:szCs w:val="18"/>
        </w:rPr>
        <w:t>Wat is de rol van voedselprijzen in de hoogte van kinderarmoede?</w:t>
      </w:r>
    </w:p>
    <w:p w:rsidRPr="00C5308E" w:rsidR="0009286A" w:rsidP="00D87753" w:rsidRDefault="0009286A" w14:paraId="2E77D7D2" w14:textId="77777777">
      <w:pPr>
        <w:spacing w:after="0" w:line="240" w:lineRule="auto"/>
        <w:contextualSpacing/>
        <w:rPr>
          <w:rFonts w:ascii="Verdana" w:hAnsi="Verdana"/>
          <w:bCs/>
          <w:sz w:val="18"/>
          <w:szCs w:val="18"/>
        </w:rPr>
      </w:pPr>
    </w:p>
    <w:p w:rsidRPr="00C5308E" w:rsidR="0009286A" w:rsidP="00D87753" w:rsidRDefault="0009286A" w14:paraId="3D04CBF3" w14:textId="784F9935">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210</w:t>
      </w:r>
    </w:p>
    <w:p w:rsidRPr="00C5308E" w:rsidR="0009286A" w:rsidP="00D87753" w:rsidRDefault="0009286A" w14:paraId="597CEE78" w14:textId="77777777">
      <w:pPr>
        <w:spacing w:line="240" w:lineRule="auto"/>
        <w:contextualSpacing/>
        <w:rPr>
          <w:rFonts w:ascii="Verdana" w:hAnsi="Verdana"/>
          <w:bCs/>
          <w:sz w:val="18"/>
          <w:szCs w:val="18"/>
        </w:rPr>
      </w:pPr>
      <w:r w:rsidRPr="00C5308E">
        <w:rPr>
          <w:rFonts w:ascii="Verdana" w:hAnsi="Verdana"/>
          <w:bCs/>
          <w:sz w:val="18"/>
          <w:szCs w:val="18"/>
        </w:rPr>
        <w:t xml:space="preserve">Het is niet bekend welke rol voedselprijzen spelen in de hoogte van kinderarmoede. Er is een groep mensen die hulp nodig heeft om te kunnen voorzien in basale levensbehoeften, zoals voedsel. Uit onderzoek van het Nibud in 2024 kwam naar voren dat 32% van de huishoudens moeite heeft met rondkomen. 80% van degenen die moeite hebben met rondkomen, heeft moeite met betalen van boodschappen. Iets meer dan een derde van de deelnemende respondenten aan het onderzoek maakte deel uit van een huishouden met kinderen. De voornaamste reden die mensen aangaven </w:t>
      </w:r>
      <w:r w:rsidRPr="00C5308E">
        <w:rPr>
          <w:rFonts w:ascii="Verdana" w:hAnsi="Verdana"/>
          <w:bCs/>
          <w:sz w:val="18"/>
          <w:szCs w:val="18"/>
        </w:rPr>
        <w:lastRenderedPageBreak/>
        <w:t xml:space="preserve">waardoor ze moeilijk konden rondkomen is het stijgen van uitgaven in combinatie met gelijkblijvende (of dalende) inkomsten. </w:t>
      </w:r>
    </w:p>
    <w:p w:rsidRPr="00C5308E" w:rsidR="0009286A" w:rsidP="00D87753" w:rsidRDefault="0009286A" w14:paraId="28D55E3E" w14:textId="2466F358">
      <w:pPr>
        <w:spacing w:line="240" w:lineRule="auto"/>
        <w:contextualSpacing/>
        <w:rPr>
          <w:rFonts w:ascii="Verdana" w:hAnsi="Verdana"/>
          <w:bCs/>
          <w:sz w:val="18"/>
          <w:szCs w:val="18"/>
        </w:rPr>
      </w:pPr>
      <w:r w:rsidRPr="00C5308E">
        <w:rPr>
          <w:rFonts w:ascii="Verdana" w:hAnsi="Verdana"/>
          <w:bCs/>
          <w:sz w:val="18"/>
          <w:szCs w:val="18"/>
        </w:rPr>
        <w:t xml:space="preserve">Volgens onderzoek van het Nederlandse Rode Kruis leven er momenteel 450.000 mensen in (verborgen) voedselnood. Het ministerie van SZW ondersteunt verschillende partijen die voedsel- en noodhulp verstrekken. Het gaat hierbij onder andere om de Voedselbanken Nederland, het Nederlandse Rode Kruis, de Stichting Urgente Noden Nederland en het Armoedefonds. Tot slot krijgen dagelijks 350.000 leerlingen een extra maaltijd via het programma schoolmaaltijden. </w:t>
      </w:r>
    </w:p>
    <w:p w:rsidRPr="00C5308E" w:rsidR="0035330E" w:rsidP="00D87753" w:rsidRDefault="0035330E" w14:paraId="27B54566" w14:textId="77777777">
      <w:pPr>
        <w:spacing w:after="0" w:line="240" w:lineRule="auto"/>
        <w:contextualSpacing/>
        <w:rPr>
          <w:rFonts w:ascii="Verdana" w:hAnsi="Verdana"/>
          <w:bCs/>
          <w:sz w:val="18"/>
          <w:szCs w:val="18"/>
          <w:u w:val="single"/>
        </w:rPr>
      </w:pPr>
    </w:p>
    <w:p w:rsidRPr="00C5308E" w:rsidR="0009286A" w:rsidP="00D87753" w:rsidRDefault="0009286A" w14:paraId="42A7947E" w14:textId="1D53822A">
      <w:pPr>
        <w:spacing w:after="0" w:line="240" w:lineRule="auto"/>
        <w:contextualSpacing/>
        <w:rPr>
          <w:rFonts w:ascii="Verdana" w:hAnsi="Verdana"/>
          <w:bCs/>
          <w:sz w:val="18"/>
          <w:szCs w:val="18"/>
          <w:u w:val="single"/>
        </w:rPr>
      </w:pPr>
      <w:r w:rsidRPr="00C5308E">
        <w:rPr>
          <w:rFonts w:ascii="Verdana" w:hAnsi="Verdana"/>
          <w:bCs/>
          <w:sz w:val="18"/>
          <w:szCs w:val="18"/>
          <w:u w:val="single"/>
        </w:rPr>
        <w:t>Vraag 211</w:t>
      </w:r>
    </w:p>
    <w:p w:rsidRPr="00C5308E" w:rsidR="0009286A" w:rsidP="00D87753" w:rsidRDefault="0009286A" w14:paraId="31F883F6" w14:textId="612F211E">
      <w:pPr>
        <w:spacing w:line="240" w:lineRule="auto"/>
        <w:contextualSpacing/>
        <w:rPr>
          <w:rFonts w:ascii="Verdana" w:hAnsi="Verdana"/>
          <w:bCs/>
          <w:sz w:val="18"/>
          <w:szCs w:val="18"/>
        </w:rPr>
      </w:pPr>
      <w:r w:rsidRPr="00C5308E">
        <w:rPr>
          <w:rFonts w:ascii="Verdana" w:hAnsi="Verdana"/>
          <w:bCs/>
          <w:sz w:val="18"/>
          <w:szCs w:val="18"/>
        </w:rPr>
        <w:t xml:space="preserve">Wat is de rol van de hoogte van de huren in de mate van kinderarmoede? </w:t>
      </w:r>
    </w:p>
    <w:p w:rsidRPr="00C5308E" w:rsidR="0009286A" w:rsidP="00D87753" w:rsidRDefault="0009286A" w14:paraId="25EB3435" w14:textId="77777777">
      <w:pPr>
        <w:spacing w:after="0" w:line="240" w:lineRule="auto"/>
        <w:contextualSpacing/>
        <w:rPr>
          <w:rFonts w:ascii="Verdana" w:hAnsi="Verdana"/>
          <w:bCs/>
          <w:sz w:val="18"/>
          <w:szCs w:val="18"/>
        </w:rPr>
      </w:pPr>
    </w:p>
    <w:p w:rsidRPr="00C5308E" w:rsidR="0009286A" w:rsidP="00D87753" w:rsidRDefault="0009286A" w14:paraId="4B3EA5CD" w14:textId="0274325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211</w:t>
      </w:r>
    </w:p>
    <w:p w:rsidRPr="00C5308E" w:rsidR="0009286A" w:rsidP="00D87753" w:rsidRDefault="0009286A" w14:paraId="621D7446" w14:textId="5C5A7B87">
      <w:pPr>
        <w:spacing w:line="240" w:lineRule="auto"/>
        <w:contextualSpacing/>
        <w:rPr>
          <w:rFonts w:ascii="Verdana" w:hAnsi="Verdana"/>
          <w:bCs/>
          <w:sz w:val="18"/>
          <w:szCs w:val="18"/>
        </w:rPr>
      </w:pPr>
      <w:r w:rsidRPr="00C5308E">
        <w:rPr>
          <w:rFonts w:ascii="Verdana" w:hAnsi="Verdana"/>
          <w:bCs/>
          <w:sz w:val="18"/>
          <w:szCs w:val="18"/>
        </w:rPr>
        <w:t xml:space="preserve">Het is niet bekend welke rol huren spelen in de hoogte van kinderarmoede. Uit onderzoek van het Nibud in 2024 kwam naar voren dat 32% van de huishoudens moeite heeft met rondkomen. Huurders behoren tot de groepen die beduidend meer dan gemiddeld moeite hebben met rondkomen (48% van de huishoudens die moeite hebben met rondkomen wonen in een huurwoning). 37% van hen geeft aan dat zij moeilijk kunnen rondkomen door hoge vaste lasten. Iets meer dan een derde van de deelnemende respondenten aan het onderzoek maakte deel uit van een huishouden met kinderen. </w:t>
      </w:r>
    </w:p>
    <w:p w:rsidRPr="00C5308E" w:rsidR="0035330E" w:rsidP="00D87753" w:rsidRDefault="0035330E" w14:paraId="628B83FE" w14:textId="77777777">
      <w:pPr>
        <w:spacing w:after="0" w:line="240" w:lineRule="auto"/>
        <w:contextualSpacing/>
        <w:rPr>
          <w:rFonts w:ascii="Verdana" w:hAnsi="Verdana"/>
          <w:bCs/>
          <w:sz w:val="18"/>
          <w:szCs w:val="18"/>
          <w:u w:val="single"/>
        </w:rPr>
      </w:pPr>
    </w:p>
    <w:p w:rsidRPr="00C5308E" w:rsidR="00CB6D84" w:rsidP="00D87753" w:rsidRDefault="00CB6D84" w14:paraId="0D005E06" w14:textId="5B8A4525">
      <w:pPr>
        <w:spacing w:after="0" w:line="240" w:lineRule="auto"/>
        <w:contextualSpacing/>
        <w:rPr>
          <w:rFonts w:ascii="Verdana" w:hAnsi="Verdana"/>
          <w:bCs/>
          <w:sz w:val="18"/>
          <w:szCs w:val="18"/>
          <w:u w:val="single"/>
        </w:rPr>
      </w:pPr>
      <w:r w:rsidRPr="00C5308E">
        <w:rPr>
          <w:rFonts w:ascii="Verdana" w:hAnsi="Verdana"/>
          <w:bCs/>
          <w:sz w:val="18"/>
          <w:szCs w:val="18"/>
          <w:u w:val="single"/>
        </w:rPr>
        <w:t>Vraag 212</w:t>
      </w:r>
    </w:p>
    <w:p w:rsidRPr="00C5308E" w:rsidR="00CB6D84" w:rsidP="00D87753" w:rsidRDefault="00CB6D84" w14:paraId="462D798A" w14:textId="77777777">
      <w:pPr>
        <w:spacing w:line="240" w:lineRule="auto"/>
        <w:contextualSpacing/>
        <w:rPr>
          <w:rFonts w:ascii="Verdana" w:hAnsi="Verdana"/>
          <w:bCs/>
          <w:sz w:val="18"/>
          <w:szCs w:val="18"/>
        </w:rPr>
      </w:pPr>
      <w:r w:rsidRPr="00C5308E">
        <w:rPr>
          <w:rFonts w:ascii="Verdana" w:hAnsi="Verdana"/>
          <w:bCs/>
          <w:sz w:val="18"/>
          <w:szCs w:val="18"/>
        </w:rPr>
        <w:t>In hoeverre is er sprake van een gebrek aan dagelijkse inname van calorieën, honger, onder kinderen? Hoe wordt dit gemeten?</w:t>
      </w:r>
    </w:p>
    <w:p w:rsidRPr="00C5308E" w:rsidR="00CB6D84" w:rsidP="00D87753" w:rsidRDefault="00CB6D84" w14:paraId="0F7C8D37" w14:textId="77777777">
      <w:pPr>
        <w:spacing w:after="0" w:line="240" w:lineRule="auto"/>
        <w:contextualSpacing/>
        <w:rPr>
          <w:rFonts w:ascii="Verdana" w:hAnsi="Verdana"/>
          <w:bCs/>
          <w:sz w:val="18"/>
          <w:szCs w:val="18"/>
        </w:rPr>
      </w:pPr>
    </w:p>
    <w:p w:rsidRPr="00C5308E" w:rsidR="00CB6D84" w:rsidP="00D87753" w:rsidRDefault="00CB6D84" w14:paraId="38423F83" w14:textId="6946690C">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212</w:t>
      </w:r>
    </w:p>
    <w:p w:rsidRPr="00C5308E" w:rsidR="00CB6D84" w:rsidP="00D87753" w:rsidRDefault="00CB6D84" w14:paraId="7BCA69F7" w14:textId="7FF59209">
      <w:pPr>
        <w:spacing w:after="0" w:line="240" w:lineRule="auto"/>
        <w:contextualSpacing/>
        <w:rPr>
          <w:rFonts w:ascii="Verdana" w:hAnsi="Verdana"/>
          <w:bCs/>
          <w:sz w:val="18"/>
          <w:szCs w:val="18"/>
        </w:rPr>
      </w:pPr>
      <w:r w:rsidRPr="00C5308E">
        <w:rPr>
          <w:rFonts w:ascii="Verdana" w:hAnsi="Verdana"/>
          <w:bCs/>
          <w:sz w:val="18"/>
          <w:szCs w:val="18"/>
        </w:rPr>
        <w:t>Het RIVM voert in opdracht van VWS voedingsstatusonderzoek uit. Op basis van voeding</w:t>
      </w:r>
      <w:r w:rsidRPr="00C5308E" w:rsidR="001F313E">
        <w:rPr>
          <w:rFonts w:ascii="Verdana" w:hAnsi="Verdana"/>
          <w:bCs/>
          <w:sz w:val="18"/>
          <w:szCs w:val="18"/>
        </w:rPr>
        <w:t>s</w:t>
      </w:r>
      <w:r w:rsidRPr="00C5308E">
        <w:rPr>
          <w:rFonts w:ascii="Verdana" w:hAnsi="Verdana"/>
          <w:bCs/>
          <w:sz w:val="18"/>
          <w:szCs w:val="18"/>
        </w:rPr>
        <w:t xml:space="preserve">statusonderzoek kan aan de hand van bloed of urinemonsters worden beoordeeld wat de hoeveelheid voedingsstoffen (vitamines en mineralen) in het lichaam is. Mede op basis van de bevindingen uit de </w:t>
      </w:r>
      <w:r w:rsidRPr="00C5308E" w:rsidR="001F313E">
        <w:rPr>
          <w:rFonts w:ascii="Verdana" w:hAnsi="Verdana"/>
          <w:bCs/>
          <w:sz w:val="18"/>
          <w:szCs w:val="18"/>
        </w:rPr>
        <w:t>Voedselconsumptiepeiling (</w:t>
      </w:r>
      <w:r w:rsidRPr="00C5308E">
        <w:rPr>
          <w:rFonts w:ascii="Verdana" w:hAnsi="Verdana"/>
          <w:bCs/>
          <w:sz w:val="18"/>
          <w:szCs w:val="18"/>
        </w:rPr>
        <w:t>VCP</w:t>
      </w:r>
      <w:r w:rsidRPr="00C5308E" w:rsidR="001F313E">
        <w:rPr>
          <w:rFonts w:ascii="Verdana" w:hAnsi="Verdana"/>
          <w:bCs/>
          <w:sz w:val="18"/>
          <w:szCs w:val="18"/>
        </w:rPr>
        <w:t>)</w:t>
      </w:r>
      <w:r w:rsidRPr="00C5308E">
        <w:rPr>
          <w:rFonts w:ascii="Verdana" w:hAnsi="Verdana"/>
          <w:bCs/>
          <w:sz w:val="18"/>
          <w:szCs w:val="18"/>
        </w:rPr>
        <w:t xml:space="preserve"> bepaalt het RIVM welke micronutriënten worden onderzocht om de voedingsstatus te bepalen, waarbij indien opportuun bepaalde leeftijdsgroepen worden uitgelicht.</w:t>
      </w:r>
    </w:p>
    <w:p w:rsidRPr="00C5308E" w:rsidR="00CB6D84" w:rsidP="00D87753" w:rsidRDefault="00CB6D84" w14:paraId="1F501E98" w14:textId="6362882C">
      <w:pPr>
        <w:spacing w:after="0" w:line="240" w:lineRule="auto"/>
        <w:contextualSpacing/>
        <w:rPr>
          <w:rFonts w:ascii="Verdana" w:hAnsi="Verdana"/>
          <w:bCs/>
          <w:sz w:val="18"/>
          <w:szCs w:val="18"/>
        </w:rPr>
      </w:pPr>
      <w:r w:rsidRPr="00C5308E">
        <w:rPr>
          <w:rFonts w:ascii="Verdana" w:hAnsi="Verdana"/>
          <w:bCs/>
          <w:sz w:val="18"/>
          <w:szCs w:val="18"/>
        </w:rPr>
        <w:t xml:space="preserve">Het RIVM voert in opdracht van VWS ook de VCP uit. In de VCP staat wat kinderen eten verdeeld over de diverse leeftijdscategorieën. Dit geeft een indicatie van de inname van voedingsmiddelen. Op basis van de VCP lijkt de inname van een aantal vitamines en mineralen laag te zijn (ijzer bij meisjes tussen 14-17 jaar, vitamine A en C bij jongens en meisjes tussen 14-17 jaar). Deze gegevens worden meegenomen in de afweging tbv de meerjarige programmering van het voedingsstatusonderzoek. Voor verdere specificering van de kcal inname bij kinderen, verwijs ik naar de website van de VCP </w:t>
      </w:r>
      <w:hyperlink w:history="1" r:id="rId16">
        <w:r w:rsidRPr="00C5308E">
          <w:rPr>
            <w:rStyle w:val="Hyperlink"/>
            <w:rFonts w:ascii="Verdana" w:hAnsi="Verdana"/>
            <w:bCs/>
            <w:sz w:val="18"/>
            <w:szCs w:val="18"/>
          </w:rPr>
          <w:t>Consumptie alle voedingsmiddelengroepen | Wat eet Nederland</w:t>
        </w:r>
      </w:hyperlink>
      <w:r w:rsidRPr="00C5308E">
        <w:rPr>
          <w:rFonts w:ascii="Verdana" w:hAnsi="Verdana"/>
          <w:bCs/>
          <w:sz w:val="18"/>
          <w:szCs w:val="18"/>
        </w:rPr>
        <w:t>.</w:t>
      </w:r>
    </w:p>
    <w:p w:rsidRPr="00C5308E" w:rsidR="00CB6D84" w:rsidP="00D87753" w:rsidRDefault="00CB6D84" w14:paraId="5FB27C6B" w14:textId="2E7608F5">
      <w:pPr>
        <w:spacing w:after="0" w:line="240" w:lineRule="auto"/>
        <w:contextualSpacing/>
        <w:rPr>
          <w:rFonts w:ascii="Verdana" w:hAnsi="Verdana"/>
          <w:bCs/>
          <w:sz w:val="18"/>
          <w:szCs w:val="18"/>
        </w:rPr>
      </w:pPr>
      <w:r w:rsidRPr="00C5308E">
        <w:rPr>
          <w:rFonts w:ascii="Verdana" w:hAnsi="Verdana"/>
          <w:bCs/>
          <w:sz w:val="18"/>
          <w:szCs w:val="18"/>
        </w:rPr>
        <w:t>De JGZ helpt ouders/opvoeders bij het gezond opvoeden en laten opgroeien van hun kinderen en vervult een belangrijke rol in het signaleren en registreren van risico’s. Ze voorzien in advies, voorlichting en ondersteuning bij gezond opgroeien en opvoeden.</w:t>
      </w:r>
    </w:p>
    <w:p w:rsidRPr="00560DA6" w:rsidR="0052736B" w:rsidP="0052736B" w:rsidRDefault="0052736B" w14:paraId="24659098" w14:textId="77777777">
      <w:pPr>
        <w:spacing w:after="0" w:line="240" w:lineRule="auto"/>
        <w:contextualSpacing/>
        <w:rPr>
          <w:rFonts w:ascii="Verdana" w:hAnsi="Verdana"/>
          <w:bCs/>
          <w:sz w:val="18"/>
          <w:szCs w:val="18"/>
        </w:rPr>
      </w:pPr>
      <w:r w:rsidRPr="00560DA6">
        <w:rPr>
          <w:rFonts w:ascii="Verdana" w:hAnsi="Verdana"/>
          <w:bCs/>
          <w:sz w:val="18"/>
          <w:szCs w:val="18"/>
        </w:rPr>
        <w:t>Deze vraag is door het ministerie van VWS beantwoord, voor vervolgvragen verwijzen wij u graag naar de minister van VWS.</w:t>
      </w:r>
    </w:p>
    <w:p w:rsidRPr="00C5308E" w:rsidR="00560DA6" w:rsidP="00D87753" w:rsidRDefault="00560DA6" w14:paraId="295E325C" w14:textId="77777777">
      <w:pPr>
        <w:spacing w:after="0" w:line="240" w:lineRule="auto"/>
        <w:contextualSpacing/>
        <w:rPr>
          <w:rFonts w:ascii="Verdana" w:hAnsi="Verdana"/>
          <w:bCs/>
          <w:sz w:val="18"/>
          <w:szCs w:val="18"/>
          <w:u w:val="single"/>
        </w:rPr>
      </w:pPr>
    </w:p>
    <w:p w:rsidRPr="00C5308E" w:rsidR="00CB6D84" w:rsidP="00D87753" w:rsidRDefault="00CB6D84" w14:paraId="7B9882A3" w14:textId="389EC65E">
      <w:pPr>
        <w:spacing w:after="0" w:line="240" w:lineRule="auto"/>
        <w:contextualSpacing/>
        <w:rPr>
          <w:rFonts w:ascii="Verdana" w:hAnsi="Verdana"/>
          <w:bCs/>
          <w:sz w:val="18"/>
          <w:szCs w:val="18"/>
          <w:u w:val="single"/>
        </w:rPr>
      </w:pPr>
      <w:r w:rsidRPr="00C5308E">
        <w:rPr>
          <w:rFonts w:ascii="Verdana" w:hAnsi="Verdana"/>
          <w:bCs/>
          <w:sz w:val="18"/>
          <w:szCs w:val="18"/>
          <w:u w:val="single"/>
        </w:rPr>
        <w:t>Vraag 213</w:t>
      </w:r>
    </w:p>
    <w:p w:rsidRPr="00C5308E" w:rsidR="00CB6D84" w:rsidP="00D87753" w:rsidRDefault="00CB6D84" w14:paraId="27A119ED" w14:textId="592AC92A">
      <w:pPr>
        <w:spacing w:after="0" w:line="240" w:lineRule="auto"/>
        <w:contextualSpacing/>
        <w:rPr>
          <w:rFonts w:ascii="Verdana" w:hAnsi="Verdana"/>
          <w:bCs/>
          <w:sz w:val="18"/>
          <w:szCs w:val="18"/>
        </w:rPr>
      </w:pPr>
      <w:r w:rsidRPr="00C5308E">
        <w:rPr>
          <w:rFonts w:ascii="Verdana" w:hAnsi="Verdana"/>
          <w:bCs/>
          <w:sz w:val="18"/>
          <w:szCs w:val="18"/>
        </w:rPr>
        <w:t>In hoeverre is er sprake van een gebrek aan dagelijkse inname van macro- en micronutriënten onder kinderen? Hoe wordt dit gemeten?</w:t>
      </w:r>
    </w:p>
    <w:p w:rsidRPr="00C5308E" w:rsidR="00CB6D84" w:rsidP="00D87753" w:rsidRDefault="00CB6D84" w14:paraId="2CFADC8F" w14:textId="77777777">
      <w:pPr>
        <w:spacing w:after="0" w:line="240" w:lineRule="auto"/>
        <w:contextualSpacing/>
        <w:rPr>
          <w:rFonts w:ascii="Verdana" w:hAnsi="Verdana"/>
          <w:bCs/>
          <w:sz w:val="18"/>
          <w:szCs w:val="18"/>
        </w:rPr>
      </w:pPr>
    </w:p>
    <w:p w:rsidRPr="00C5308E" w:rsidR="00CB6D84" w:rsidP="00D87753" w:rsidRDefault="00CB6D84" w14:paraId="6A6C62AD" w14:textId="36B6BC1E">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213</w:t>
      </w:r>
    </w:p>
    <w:p w:rsidRPr="00C5308E" w:rsidR="00CB6D84" w:rsidP="00D87753" w:rsidRDefault="00CB6D84" w14:paraId="5B126EEC" w14:textId="560EDF11">
      <w:pPr>
        <w:spacing w:after="0" w:line="240" w:lineRule="auto"/>
        <w:contextualSpacing/>
        <w:rPr>
          <w:rFonts w:ascii="Verdana" w:hAnsi="Verdana"/>
          <w:bCs/>
          <w:sz w:val="18"/>
          <w:szCs w:val="18"/>
        </w:rPr>
      </w:pPr>
      <w:r w:rsidRPr="00C5308E">
        <w:rPr>
          <w:rFonts w:ascii="Verdana" w:hAnsi="Verdana"/>
          <w:bCs/>
          <w:sz w:val="18"/>
          <w:szCs w:val="18"/>
        </w:rPr>
        <w:t>Het RIVM voert in opdracht van VWS voedingsstatusonderzoek uit. Op basis van voeding</w:t>
      </w:r>
      <w:r w:rsidRPr="00C5308E" w:rsidR="001F313E">
        <w:rPr>
          <w:rFonts w:ascii="Verdana" w:hAnsi="Verdana"/>
          <w:bCs/>
          <w:sz w:val="18"/>
          <w:szCs w:val="18"/>
        </w:rPr>
        <w:t>s</w:t>
      </w:r>
      <w:r w:rsidRPr="00C5308E">
        <w:rPr>
          <w:rFonts w:ascii="Verdana" w:hAnsi="Verdana"/>
          <w:bCs/>
          <w:sz w:val="18"/>
          <w:szCs w:val="18"/>
        </w:rPr>
        <w:t xml:space="preserve">statusonderzoek kan aan de hand van bloed of urinemonsters worden beoordeeld wat de hoeveelheid voedingsstoffen (vitamines en mineralen) in het lichaam is. Mede op basis van de bevindingen uit de </w:t>
      </w:r>
      <w:r w:rsidRPr="00C5308E" w:rsidR="001F313E">
        <w:rPr>
          <w:rFonts w:ascii="Verdana" w:hAnsi="Verdana"/>
          <w:bCs/>
          <w:sz w:val="18"/>
          <w:szCs w:val="18"/>
        </w:rPr>
        <w:t xml:space="preserve">Voedselconsumptiepeiling (VCP) </w:t>
      </w:r>
      <w:r w:rsidRPr="00C5308E">
        <w:rPr>
          <w:rFonts w:ascii="Verdana" w:hAnsi="Verdana"/>
          <w:bCs/>
          <w:sz w:val="18"/>
          <w:szCs w:val="18"/>
        </w:rPr>
        <w:t xml:space="preserve"> bepaalt het RIVM welke micronutriënten worden onderzocht om de voedingsstatus te bepalen, waarbij indien opportuun bepaalde leeftijdsgroepen worden uitgelicht.</w:t>
      </w:r>
    </w:p>
    <w:p w:rsidRPr="00C5308E" w:rsidR="00CB6D84" w:rsidP="00D87753" w:rsidRDefault="00CB6D84" w14:paraId="6D363909" w14:textId="28FC4EE4">
      <w:pPr>
        <w:spacing w:after="0" w:line="240" w:lineRule="auto"/>
        <w:contextualSpacing/>
        <w:rPr>
          <w:rFonts w:ascii="Verdana" w:hAnsi="Verdana"/>
          <w:bCs/>
          <w:sz w:val="18"/>
          <w:szCs w:val="18"/>
        </w:rPr>
      </w:pPr>
      <w:r w:rsidRPr="00C5308E">
        <w:rPr>
          <w:rFonts w:ascii="Verdana" w:hAnsi="Verdana"/>
          <w:bCs/>
          <w:sz w:val="18"/>
          <w:szCs w:val="18"/>
        </w:rPr>
        <w:t xml:space="preserve">Het RIVM voert in opdracht van VWS ook de VCP uit. In de VCP staat wat kinderen eten verdeeld over de diverse leeftijdscategorieën. Dit geeft een indicatie van de inname van voedingsmiddelen. Op basis van de VCP lijkt de inname van een aantal vitamines en mineralen laag te zijn (ijzer bij meisjes tussen 14-17 jaar, vitamine A en C bij jongens en meisjes tussen 14-17 jaar). Deze gegevens worden meegenomen in de afweging tbv de meerjarige programmering van het voedingsstatusonderzoek. Voor verdere specificering van de kcal inname bij kinderen, verwijs ik naar de website van de VCP </w:t>
      </w:r>
      <w:hyperlink w:history="1" r:id="rId17">
        <w:r w:rsidRPr="00C5308E">
          <w:rPr>
            <w:rStyle w:val="Hyperlink"/>
            <w:rFonts w:ascii="Verdana" w:hAnsi="Verdana"/>
            <w:bCs/>
            <w:sz w:val="18"/>
            <w:szCs w:val="18"/>
          </w:rPr>
          <w:t>Consumptie alle voedingsmiddelengroepen | Wat eet Nederland</w:t>
        </w:r>
      </w:hyperlink>
      <w:r w:rsidRPr="00C5308E">
        <w:rPr>
          <w:rFonts w:ascii="Verdana" w:hAnsi="Verdana"/>
          <w:bCs/>
          <w:sz w:val="18"/>
          <w:szCs w:val="18"/>
        </w:rPr>
        <w:t>.</w:t>
      </w:r>
    </w:p>
    <w:p w:rsidRPr="00C5308E" w:rsidR="00CB6D84" w:rsidP="00D87753" w:rsidRDefault="00CB6D84" w14:paraId="5436FE49" w14:textId="01427447">
      <w:pPr>
        <w:spacing w:after="0" w:line="240" w:lineRule="auto"/>
        <w:contextualSpacing/>
        <w:rPr>
          <w:rFonts w:ascii="Verdana" w:hAnsi="Verdana"/>
          <w:bCs/>
          <w:sz w:val="18"/>
          <w:szCs w:val="18"/>
        </w:rPr>
      </w:pPr>
      <w:r w:rsidRPr="00C5308E">
        <w:rPr>
          <w:rFonts w:ascii="Verdana" w:hAnsi="Verdana"/>
          <w:bCs/>
          <w:sz w:val="18"/>
          <w:szCs w:val="18"/>
        </w:rPr>
        <w:lastRenderedPageBreak/>
        <w:t>De JGZ helpt ouders/opvoeders bij het gezond opvoeden en laten opgroeien van hun kinderen en vervult een belangrijke rol in het signaleren en registreren van risico’s. Ze voorzien in advies, voorlichting en ondersteuning bij gezond opgroeien en opvoeden. </w:t>
      </w:r>
    </w:p>
    <w:p w:rsidRPr="00560DA6" w:rsidR="0052736B" w:rsidP="0052736B" w:rsidRDefault="0052736B" w14:paraId="2D750FB0" w14:textId="77777777">
      <w:pPr>
        <w:spacing w:after="0" w:line="240" w:lineRule="auto"/>
        <w:contextualSpacing/>
        <w:rPr>
          <w:rFonts w:ascii="Verdana" w:hAnsi="Verdana"/>
          <w:bCs/>
          <w:sz w:val="18"/>
          <w:szCs w:val="18"/>
        </w:rPr>
      </w:pPr>
      <w:r w:rsidRPr="00560DA6">
        <w:rPr>
          <w:rFonts w:ascii="Verdana" w:hAnsi="Verdana"/>
          <w:bCs/>
          <w:sz w:val="18"/>
          <w:szCs w:val="18"/>
        </w:rPr>
        <w:t>Deze vraag is door het ministerie van VWS beantwoord, voor vervolgvragen verwijzen wij u graag naar de minister van VWS.</w:t>
      </w:r>
    </w:p>
    <w:p w:rsidRPr="00C5308E" w:rsidR="00CB6D84" w:rsidP="00D87753" w:rsidRDefault="00CB6D84" w14:paraId="4252BFE5" w14:textId="77777777">
      <w:pPr>
        <w:spacing w:after="0" w:line="240" w:lineRule="auto"/>
        <w:contextualSpacing/>
        <w:rPr>
          <w:rFonts w:ascii="Verdana" w:hAnsi="Verdana"/>
          <w:bCs/>
          <w:sz w:val="18"/>
          <w:szCs w:val="18"/>
          <w:u w:val="single"/>
        </w:rPr>
      </w:pPr>
    </w:p>
    <w:p w:rsidRPr="00C5308E" w:rsidR="0009286A" w:rsidP="00D87753" w:rsidRDefault="0009286A" w14:paraId="2B094EDB" w14:textId="34222ABD">
      <w:pPr>
        <w:spacing w:after="0" w:line="240" w:lineRule="auto"/>
        <w:contextualSpacing/>
        <w:rPr>
          <w:rFonts w:ascii="Verdana" w:hAnsi="Verdana"/>
          <w:bCs/>
          <w:sz w:val="18"/>
          <w:szCs w:val="18"/>
          <w:u w:val="single"/>
        </w:rPr>
      </w:pPr>
      <w:r w:rsidRPr="00C5308E">
        <w:rPr>
          <w:rFonts w:ascii="Verdana" w:hAnsi="Verdana"/>
          <w:bCs/>
          <w:sz w:val="18"/>
          <w:szCs w:val="18"/>
          <w:u w:val="single"/>
        </w:rPr>
        <w:t>Vraag 214</w:t>
      </w:r>
    </w:p>
    <w:p w:rsidRPr="00C5308E" w:rsidR="0009286A" w:rsidP="00D87753" w:rsidRDefault="0009286A" w14:paraId="3A473D6A" w14:textId="77777777">
      <w:pPr>
        <w:spacing w:line="240" w:lineRule="auto"/>
        <w:contextualSpacing/>
        <w:rPr>
          <w:rFonts w:ascii="Verdana" w:hAnsi="Verdana"/>
          <w:bCs/>
          <w:sz w:val="18"/>
          <w:szCs w:val="18"/>
        </w:rPr>
      </w:pPr>
      <w:r w:rsidRPr="00C5308E">
        <w:rPr>
          <w:rFonts w:ascii="Verdana" w:hAnsi="Verdana"/>
          <w:bCs/>
          <w:sz w:val="18"/>
          <w:szCs w:val="18"/>
        </w:rPr>
        <w:t xml:space="preserve">Welke feiten, cijfers en rapporten zijn er bekend over de relatie tussen vervoersarmoede en kinderarmoede? </w:t>
      </w:r>
    </w:p>
    <w:p w:rsidRPr="00C5308E" w:rsidR="0009286A" w:rsidP="00D87753" w:rsidRDefault="0009286A" w14:paraId="1C10A234" w14:textId="77777777">
      <w:pPr>
        <w:spacing w:after="0" w:line="240" w:lineRule="auto"/>
        <w:contextualSpacing/>
        <w:rPr>
          <w:rFonts w:ascii="Verdana" w:hAnsi="Verdana"/>
          <w:bCs/>
          <w:sz w:val="18"/>
          <w:szCs w:val="18"/>
        </w:rPr>
      </w:pPr>
    </w:p>
    <w:p w:rsidRPr="00C5308E" w:rsidR="0009286A" w:rsidP="00D87753" w:rsidRDefault="0009286A" w14:paraId="452B72D1" w14:textId="1B9469D8">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214</w:t>
      </w:r>
    </w:p>
    <w:p w:rsidRPr="00C5308E" w:rsidR="0009286A" w:rsidP="00D87753" w:rsidRDefault="0009286A" w14:paraId="2A2A795D" w14:textId="77777777">
      <w:pPr>
        <w:spacing w:line="240" w:lineRule="auto"/>
        <w:contextualSpacing/>
        <w:rPr>
          <w:rFonts w:ascii="Verdana" w:hAnsi="Verdana"/>
          <w:bCs/>
          <w:sz w:val="18"/>
          <w:szCs w:val="18"/>
        </w:rPr>
      </w:pPr>
      <w:r w:rsidRPr="00C5308E">
        <w:rPr>
          <w:rFonts w:ascii="Verdana" w:hAnsi="Verdana"/>
          <w:bCs/>
          <w:sz w:val="18"/>
          <w:szCs w:val="18"/>
        </w:rPr>
        <w:t>Het is niet bekend wat de relatie is tussen vervoersarmoede en kinderarmoede. Wel blijkt uit gesprekken met jongeren die opgroeien in gezinnen met een laag inkomen dat zij vaak betaalbaarheidsproblemen ervaren op het vlak van mobiliteit. De vorm en mate van problematiek verschilt tussen stedelijke en landelijke gebieden. Gemeenten en diverse fondsen ontvangen middelen om kinderen te ondersteunen. Deze middelen kunnen ingezet worden om vervoersarmoede onder kinderen terug te dringen.</w:t>
      </w:r>
    </w:p>
    <w:p w:rsidRPr="00C5308E" w:rsidR="0035330E" w:rsidP="00D87753" w:rsidRDefault="0035330E" w14:paraId="1AC0CC02" w14:textId="77777777">
      <w:pPr>
        <w:spacing w:after="0" w:line="240" w:lineRule="auto"/>
        <w:contextualSpacing/>
        <w:rPr>
          <w:rFonts w:ascii="Verdana" w:hAnsi="Verdana"/>
          <w:bCs/>
          <w:sz w:val="18"/>
          <w:szCs w:val="18"/>
          <w:u w:val="single"/>
        </w:rPr>
      </w:pPr>
    </w:p>
    <w:p w:rsidRPr="00C5308E" w:rsidR="00CB6D84" w:rsidP="00D87753" w:rsidRDefault="00CB6D84" w14:paraId="429F7DC8" w14:textId="7034201C">
      <w:pPr>
        <w:spacing w:after="0" w:line="240" w:lineRule="auto"/>
        <w:contextualSpacing/>
        <w:rPr>
          <w:rFonts w:ascii="Verdana" w:hAnsi="Verdana"/>
          <w:bCs/>
          <w:sz w:val="18"/>
          <w:szCs w:val="18"/>
          <w:u w:val="single"/>
        </w:rPr>
      </w:pPr>
      <w:r w:rsidRPr="00C5308E">
        <w:rPr>
          <w:rFonts w:ascii="Verdana" w:hAnsi="Verdana"/>
          <w:bCs/>
          <w:sz w:val="18"/>
          <w:szCs w:val="18"/>
          <w:u w:val="single"/>
        </w:rPr>
        <w:t>Vraag 215</w:t>
      </w:r>
    </w:p>
    <w:p w:rsidRPr="00C5308E" w:rsidR="00CB6D84" w:rsidP="00D87753" w:rsidRDefault="00CB6D84" w14:paraId="24D55A66" w14:textId="67265635">
      <w:pPr>
        <w:spacing w:after="0" w:line="240" w:lineRule="auto"/>
        <w:contextualSpacing/>
        <w:rPr>
          <w:rFonts w:ascii="Verdana" w:hAnsi="Verdana"/>
          <w:bCs/>
          <w:sz w:val="18"/>
          <w:szCs w:val="18"/>
        </w:rPr>
      </w:pPr>
      <w:r w:rsidRPr="00C5308E">
        <w:rPr>
          <w:rFonts w:ascii="Verdana" w:hAnsi="Verdana"/>
          <w:bCs/>
          <w:sz w:val="18"/>
          <w:szCs w:val="18"/>
        </w:rPr>
        <w:t>Welke feiten, cijfers en rapporten zijn er bekend over de relatie tussen de hoogte van medische kosten, zoals tandheelkunde, en kinderarmoede?</w:t>
      </w:r>
    </w:p>
    <w:p w:rsidRPr="00C5308E" w:rsidR="00CB6D84" w:rsidP="00D87753" w:rsidRDefault="00CB6D84" w14:paraId="25ADF070" w14:textId="77777777">
      <w:pPr>
        <w:spacing w:after="0" w:line="240" w:lineRule="auto"/>
        <w:contextualSpacing/>
        <w:rPr>
          <w:rFonts w:ascii="Verdana" w:hAnsi="Verdana"/>
          <w:bCs/>
          <w:sz w:val="18"/>
          <w:szCs w:val="18"/>
        </w:rPr>
      </w:pPr>
    </w:p>
    <w:p w:rsidRPr="00C5308E" w:rsidR="00CB6D84" w:rsidP="00D87753" w:rsidRDefault="00CB6D84" w14:paraId="27F9C59C" w14:textId="6ACF3148">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w:t>
      </w:r>
      <w:r w:rsidRPr="00C5308E" w:rsidR="0035330E">
        <w:rPr>
          <w:rFonts w:ascii="Verdana" w:hAnsi="Verdana"/>
          <w:bCs/>
          <w:sz w:val="18"/>
          <w:szCs w:val="18"/>
          <w:u w:val="single"/>
        </w:rPr>
        <w:t>5</w:t>
      </w:r>
    </w:p>
    <w:p w:rsidRPr="00C5308E" w:rsidR="00CB6D84" w:rsidP="00D87753" w:rsidRDefault="00CB6D84" w14:paraId="7B428970" w14:textId="6C7B4C87">
      <w:pPr>
        <w:spacing w:line="240" w:lineRule="auto"/>
        <w:contextualSpacing/>
        <w:rPr>
          <w:rFonts w:ascii="Verdana" w:hAnsi="Verdana"/>
          <w:bCs/>
          <w:sz w:val="18"/>
          <w:szCs w:val="18"/>
        </w:rPr>
      </w:pPr>
      <w:r w:rsidRPr="00C5308E">
        <w:rPr>
          <w:rFonts w:ascii="Verdana" w:hAnsi="Verdana"/>
          <w:bCs/>
          <w:sz w:val="18"/>
          <w:szCs w:val="18"/>
        </w:rPr>
        <w:t xml:space="preserve">Het is niet bekend wat de relatie is tussen de hoogte van medische kosten, zoals tandheelkunde, en kinderarmoede. </w:t>
      </w:r>
    </w:p>
    <w:p w:rsidRPr="00560DA6" w:rsidR="0052736B" w:rsidP="0052736B" w:rsidRDefault="0052736B" w14:paraId="3F7A88E4" w14:textId="77777777">
      <w:pPr>
        <w:spacing w:after="0" w:line="240" w:lineRule="auto"/>
        <w:contextualSpacing/>
        <w:rPr>
          <w:rFonts w:ascii="Verdana" w:hAnsi="Verdana"/>
          <w:bCs/>
          <w:sz w:val="18"/>
          <w:szCs w:val="18"/>
        </w:rPr>
      </w:pPr>
      <w:r w:rsidRPr="00560DA6">
        <w:rPr>
          <w:rFonts w:ascii="Verdana" w:hAnsi="Verdana"/>
          <w:bCs/>
          <w:sz w:val="18"/>
          <w:szCs w:val="18"/>
        </w:rPr>
        <w:t>Deze vraag is door het ministerie van VWS beantwoord, voor vervolgvragen verwijzen wij u graag naar de minister van VWS.</w:t>
      </w:r>
    </w:p>
    <w:p w:rsidRPr="00C5308E" w:rsidR="0035330E" w:rsidP="00D87753" w:rsidRDefault="0035330E" w14:paraId="5B9B8CEE" w14:textId="77777777">
      <w:pPr>
        <w:spacing w:after="0" w:line="240" w:lineRule="auto"/>
        <w:contextualSpacing/>
        <w:rPr>
          <w:rFonts w:ascii="Verdana" w:hAnsi="Verdana"/>
          <w:bCs/>
          <w:sz w:val="18"/>
          <w:szCs w:val="18"/>
          <w:u w:val="single"/>
        </w:rPr>
      </w:pPr>
    </w:p>
    <w:p w:rsidRPr="00C5308E" w:rsidR="00762949" w:rsidP="00D87753" w:rsidRDefault="00762949" w14:paraId="6B3DC131" w14:textId="29A28A2C">
      <w:pPr>
        <w:spacing w:after="0" w:line="240" w:lineRule="auto"/>
        <w:contextualSpacing/>
        <w:rPr>
          <w:rFonts w:ascii="Verdana" w:hAnsi="Verdana"/>
          <w:bCs/>
          <w:sz w:val="18"/>
          <w:szCs w:val="18"/>
          <w:u w:val="single"/>
        </w:rPr>
      </w:pPr>
      <w:r w:rsidRPr="00C5308E">
        <w:rPr>
          <w:rFonts w:ascii="Verdana" w:hAnsi="Verdana"/>
          <w:bCs/>
          <w:sz w:val="18"/>
          <w:szCs w:val="18"/>
          <w:u w:val="single"/>
        </w:rPr>
        <w:t>Vraag 216</w:t>
      </w:r>
    </w:p>
    <w:p w:rsidRPr="00C5308E" w:rsidR="00762949" w:rsidP="00D87753" w:rsidRDefault="00762949" w14:paraId="3B2977A0" w14:textId="77777777">
      <w:pPr>
        <w:spacing w:after="0" w:line="240" w:lineRule="auto"/>
        <w:contextualSpacing/>
        <w:rPr>
          <w:rFonts w:ascii="Verdana" w:hAnsi="Verdana"/>
          <w:bCs/>
          <w:sz w:val="18"/>
          <w:szCs w:val="18"/>
        </w:rPr>
      </w:pPr>
      <w:r w:rsidRPr="00C5308E">
        <w:rPr>
          <w:rFonts w:ascii="Verdana" w:hAnsi="Verdana"/>
          <w:bCs/>
          <w:sz w:val="18"/>
          <w:szCs w:val="18"/>
        </w:rPr>
        <w:t>Hoeveel mensen hebben op dit moment een inkomen binnen 130% van het sociaal minimum?</w:t>
      </w:r>
    </w:p>
    <w:p w:rsidRPr="00C5308E" w:rsidR="00762949" w:rsidP="00D87753" w:rsidRDefault="00762949" w14:paraId="40DF14A9" w14:textId="77777777">
      <w:pPr>
        <w:spacing w:after="0" w:line="240" w:lineRule="auto"/>
        <w:contextualSpacing/>
        <w:rPr>
          <w:rFonts w:ascii="Verdana" w:hAnsi="Verdana"/>
          <w:bCs/>
          <w:sz w:val="18"/>
          <w:szCs w:val="18"/>
          <w:u w:val="single"/>
        </w:rPr>
      </w:pPr>
    </w:p>
    <w:p w:rsidRPr="00C5308E" w:rsidR="00762949" w:rsidP="00D87753" w:rsidRDefault="00762949" w14:paraId="4928619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216</w:t>
      </w:r>
    </w:p>
    <w:p w:rsidRPr="00C5308E" w:rsidR="00762949" w:rsidP="00D87753" w:rsidRDefault="00762949" w14:paraId="2D341780" w14:textId="77777777">
      <w:pPr>
        <w:spacing w:after="0" w:line="240" w:lineRule="auto"/>
        <w:contextualSpacing/>
        <w:rPr>
          <w:rFonts w:ascii="Verdana" w:hAnsi="Verdana"/>
          <w:bCs/>
          <w:sz w:val="18"/>
          <w:szCs w:val="18"/>
        </w:rPr>
      </w:pPr>
      <w:r w:rsidRPr="00C5308E">
        <w:rPr>
          <w:rFonts w:ascii="Verdana" w:hAnsi="Verdana"/>
          <w:bCs/>
          <w:sz w:val="18"/>
          <w:szCs w:val="18"/>
        </w:rPr>
        <w:t>Volgens CBS Statline</w:t>
      </w:r>
      <w:hyperlink w:history="1"/>
      <w:r w:rsidRPr="00C5308E">
        <w:rPr>
          <w:rFonts w:ascii="Verdana" w:hAnsi="Verdana"/>
          <w:bCs/>
          <w:sz w:val="18"/>
          <w:szCs w:val="18"/>
        </w:rPr>
        <w:t xml:space="preserve"> hebben circa 1,1 miljoen huishoudens een inkomen tot 130% van het sociaal minimum. Dat zijn circa 1,7 miljoen personen. Deze data zijn gebaseerd op voorlopige cijfers voor 2022.</w:t>
      </w:r>
      <w:r w:rsidRPr="00C5308E">
        <w:rPr>
          <w:rStyle w:val="Voetnootmarkering"/>
          <w:rFonts w:ascii="Verdana" w:hAnsi="Verdana"/>
          <w:bCs/>
          <w:sz w:val="18"/>
          <w:szCs w:val="18"/>
        </w:rPr>
        <w:footnoteReference w:id="50"/>
      </w:r>
      <w:r w:rsidRPr="00C5308E">
        <w:rPr>
          <w:rFonts w:ascii="Verdana" w:hAnsi="Verdana"/>
          <w:bCs/>
          <w:sz w:val="18"/>
          <w:szCs w:val="18"/>
        </w:rPr>
        <w:t xml:space="preserve"> Tevens gaat dit om personen en huishoudens die langer dan 1 jaar in deze inkomenspositie verkeren.</w:t>
      </w:r>
    </w:p>
    <w:p w:rsidRPr="00C5308E" w:rsidR="00762949" w:rsidP="00D87753" w:rsidRDefault="00762949" w14:paraId="56D2F716" w14:textId="77777777">
      <w:pPr>
        <w:spacing w:after="0" w:line="240" w:lineRule="auto"/>
        <w:contextualSpacing/>
        <w:rPr>
          <w:rFonts w:ascii="Verdana" w:hAnsi="Verdana"/>
          <w:bCs/>
          <w:sz w:val="18"/>
          <w:szCs w:val="18"/>
          <w:u w:val="single"/>
        </w:rPr>
      </w:pPr>
    </w:p>
    <w:p w:rsidRPr="00C5308E" w:rsidR="00762949" w:rsidP="00D87753" w:rsidRDefault="00762949" w14:paraId="10A29FBE" w14:textId="1C7F32F7">
      <w:pPr>
        <w:spacing w:after="0" w:line="240" w:lineRule="auto"/>
        <w:contextualSpacing/>
        <w:rPr>
          <w:rFonts w:ascii="Verdana" w:hAnsi="Verdana"/>
          <w:bCs/>
          <w:sz w:val="18"/>
          <w:szCs w:val="18"/>
          <w:u w:val="single"/>
        </w:rPr>
      </w:pPr>
      <w:r w:rsidRPr="00C5308E">
        <w:rPr>
          <w:rFonts w:ascii="Verdana" w:hAnsi="Verdana"/>
          <w:bCs/>
          <w:sz w:val="18"/>
          <w:szCs w:val="18"/>
          <w:u w:val="single"/>
        </w:rPr>
        <w:t>Vraag 217</w:t>
      </w:r>
    </w:p>
    <w:p w:rsidRPr="00C5308E" w:rsidR="00762949" w:rsidP="00D87753" w:rsidRDefault="00762949" w14:paraId="49D6F3C5" w14:textId="77777777">
      <w:pPr>
        <w:spacing w:after="0" w:line="240" w:lineRule="auto"/>
        <w:contextualSpacing/>
        <w:rPr>
          <w:rFonts w:ascii="Verdana" w:hAnsi="Verdana"/>
          <w:bCs/>
          <w:sz w:val="18"/>
          <w:szCs w:val="18"/>
        </w:rPr>
      </w:pPr>
      <w:r w:rsidRPr="00C5308E">
        <w:rPr>
          <w:rFonts w:ascii="Verdana" w:hAnsi="Verdana"/>
          <w:bCs/>
          <w:sz w:val="18"/>
          <w:szCs w:val="18"/>
        </w:rPr>
        <w:t>Kan er worden gespecificeerd per contractvorm of uitkering welke mensen een inkomen hebben onder 130% van het sociaal minimum?</w:t>
      </w:r>
    </w:p>
    <w:p w:rsidRPr="00C5308E" w:rsidR="00762949" w:rsidP="00D87753" w:rsidRDefault="00762949" w14:paraId="5652ABCD" w14:textId="77777777">
      <w:pPr>
        <w:spacing w:after="0" w:line="240" w:lineRule="auto"/>
        <w:contextualSpacing/>
        <w:rPr>
          <w:rFonts w:ascii="Verdana" w:hAnsi="Verdana"/>
          <w:bCs/>
          <w:sz w:val="18"/>
          <w:szCs w:val="18"/>
          <w:u w:val="single"/>
        </w:rPr>
      </w:pPr>
    </w:p>
    <w:p w:rsidRPr="00C5308E" w:rsidR="00762949" w:rsidP="00D87753" w:rsidRDefault="00762949" w14:paraId="3C95AC24"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217</w:t>
      </w:r>
    </w:p>
    <w:p w:rsidRPr="00C5308E" w:rsidR="00762949" w:rsidP="00D87753" w:rsidRDefault="00762949" w14:paraId="54F9C4A8" w14:textId="77777777">
      <w:pPr>
        <w:spacing w:after="0" w:line="240" w:lineRule="auto"/>
        <w:contextualSpacing/>
        <w:rPr>
          <w:rFonts w:ascii="Verdana" w:hAnsi="Verdana"/>
          <w:bCs/>
          <w:sz w:val="18"/>
          <w:szCs w:val="18"/>
        </w:rPr>
      </w:pPr>
      <w:r w:rsidRPr="00C5308E">
        <w:rPr>
          <w:rFonts w:ascii="Verdana" w:hAnsi="Verdana"/>
          <w:bCs/>
          <w:sz w:val="18"/>
          <w:szCs w:val="18"/>
        </w:rPr>
        <w:t>Volgens CBS Statline horen circa 261.000 personen in 2022 tot een huishouden met een inkomen tot 130% sociaal minimum met een hoofdinkomen van de contractvorm ‘werknemer’. In 2022 horen 133.000 personen tot een huishouden met een inkomen tot 130% sociaal minimum met een hoofdinkomen van de contractvorm ‘zelfstandige’.</w:t>
      </w:r>
      <w:r w:rsidRPr="00C5308E">
        <w:rPr>
          <w:rStyle w:val="Voetnootmarkering"/>
          <w:rFonts w:ascii="Verdana" w:hAnsi="Verdana"/>
          <w:bCs/>
          <w:sz w:val="18"/>
          <w:szCs w:val="18"/>
        </w:rPr>
        <w:footnoteReference w:id="51"/>
      </w:r>
      <w:r w:rsidRPr="00C5308E">
        <w:rPr>
          <w:rFonts w:ascii="Verdana" w:hAnsi="Verdana"/>
          <w:bCs/>
          <w:sz w:val="18"/>
          <w:szCs w:val="18"/>
        </w:rPr>
        <w:t xml:space="preserve"> Een nadere uitsplitsing in contractvormen is niet te maken.</w:t>
      </w:r>
    </w:p>
    <w:p w:rsidRPr="00C5308E" w:rsidR="00762949" w:rsidP="00D87753" w:rsidRDefault="00762949" w14:paraId="0CFA4A3C" w14:textId="77777777">
      <w:pPr>
        <w:spacing w:after="0" w:line="240" w:lineRule="auto"/>
        <w:contextualSpacing/>
        <w:rPr>
          <w:rFonts w:ascii="Verdana" w:hAnsi="Verdana"/>
          <w:bCs/>
          <w:sz w:val="18"/>
          <w:szCs w:val="18"/>
        </w:rPr>
      </w:pPr>
    </w:p>
    <w:p w:rsidRPr="00C5308E" w:rsidR="00762949" w:rsidP="00D87753" w:rsidRDefault="00762949" w14:paraId="78FE942B" w14:textId="009DAB24">
      <w:pPr>
        <w:spacing w:after="0" w:line="240" w:lineRule="auto"/>
        <w:contextualSpacing/>
        <w:rPr>
          <w:rFonts w:ascii="Verdana" w:hAnsi="Verdana"/>
          <w:bCs/>
          <w:sz w:val="18"/>
          <w:szCs w:val="18"/>
        </w:rPr>
      </w:pPr>
      <w:r w:rsidRPr="00C5308E">
        <w:rPr>
          <w:rFonts w:ascii="Verdana" w:hAnsi="Verdana"/>
          <w:bCs/>
          <w:sz w:val="18"/>
          <w:szCs w:val="18"/>
        </w:rPr>
        <w:t xml:space="preserve">Circa 1,4 miljoen mensen horen in 2022 bij een huishouden, waarin de hoofdinkomensbron een werkloosheidsuitkering, een arbeidsongeschiktheidsuitkering, een pensioen of een bijstandsuitkering is. </w:t>
      </w:r>
    </w:p>
    <w:p w:rsidR="00762949" w:rsidP="00D87753" w:rsidRDefault="00762949" w14:paraId="5987348C" w14:textId="77777777">
      <w:pPr>
        <w:spacing w:after="0" w:line="240" w:lineRule="auto"/>
        <w:contextualSpacing/>
        <w:rPr>
          <w:rFonts w:ascii="Verdana" w:hAnsi="Verdana"/>
          <w:bCs/>
          <w:sz w:val="18"/>
          <w:szCs w:val="18"/>
        </w:rPr>
      </w:pPr>
    </w:p>
    <w:p w:rsidR="00972542" w:rsidP="00D87753" w:rsidRDefault="00972542" w14:paraId="12017A0B" w14:textId="77777777">
      <w:pPr>
        <w:spacing w:after="0" w:line="240" w:lineRule="auto"/>
        <w:contextualSpacing/>
        <w:rPr>
          <w:rFonts w:ascii="Verdana" w:hAnsi="Verdana"/>
          <w:bCs/>
          <w:sz w:val="18"/>
          <w:szCs w:val="18"/>
        </w:rPr>
      </w:pPr>
    </w:p>
    <w:p w:rsidR="00972542" w:rsidP="00D87753" w:rsidRDefault="00972542" w14:paraId="52FC5927" w14:textId="77777777">
      <w:pPr>
        <w:spacing w:after="0" w:line="240" w:lineRule="auto"/>
        <w:contextualSpacing/>
        <w:rPr>
          <w:rFonts w:ascii="Verdana" w:hAnsi="Verdana"/>
          <w:bCs/>
          <w:sz w:val="18"/>
          <w:szCs w:val="18"/>
        </w:rPr>
      </w:pPr>
    </w:p>
    <w:p w:rsidR="00972542" w:rsidP="00D87753" w:rsidRDefault="00972542" w14:paraId="131AD4E9" w14:textId="77777777">
      <w:pPr>
        <w:spacing w:after="0" w:line="240" w:lineRule="auto"/>
        <w:contextualSpacing/>
        <w:rPr>
          <w:rFonts w:ascii="Verdana" w:hAnsi="Verdana"/>
          <w:bCs/>
          <w:sz w:val="18"/>
          <w:szCs w:val="18"/>
        </w:rPr>
      </w:pPr>
    </w:p>
    <w:p w:rsidR="00972542" w:rsidP="00D87753" w:rsidRDefault="00972542" w14:paraId="0A8E0C99" w14:textId="77777777">
      <w:pPr>
        <w:spacing w:after="0" w:line="240" w:lineRule="auto"/>
        <w:contextualSpacing/>
        <w:rPr>
          <w:rFonts w:ascii="Verdana" w:hAnsi="Verdana"/>
          <w:bCs/>
          <w:sz w:val="18"/>
          <w:szCs w:val="18"/>
        </w:rPr>
      </w:pPr>
    </w:p>
    <w:p w:rsidR="00972542" w:rsidP="00D87753" w:rsidRDefault="00972542" w14:paraId="5C27A72E" w14:textId="77777777">
      <w:pPr>
        <w:spacing w:after="0" w:line="240" w:lineRule="auto"/>
        <w:contextualSpacing/>
        <w:rPr>
          <w:rFonts w:ascii="Verdana" w:hAnsi="Verdana"/>
          <w:bCs/>
          <w:sz w:val="18"/>
          <w:szCs w:val="18"/>
        </w:rPr>
      </w:pPr>
    </w:p>
    <w:p w:rsidR="00972542" w:rsidP="00D87753" w:rsidRDefault="00972542" w14:paraId="1EC0406B" w14:textId="77777777">
      <w:pPr>
        <w:spacing w:after="0" w:line="240" w:lineRule="auto"/>
        <w:contextualSpacing/>
        <w:rPr>
          <w:rFonts w:ascii="Verdana" w:hAnsi="Verdana"/>
          <w:bCs/>
          <w:sz w:val="18"/>
          <w:szCs w:val="18"/>
        </w:rPr>
      </w:pPr>
    </w:p>
    <w:p w:rsidRPr="00C5308E" w:rsidR="00972542" w:rsidP="00D87753" w:rsidRDefault="00972542" w14:paraId="0C1ABA37" w14:textId="77777777">
      <w:pPr>
        <w:spacing w:after="0" w:line="240" w:lineRule="auto"/>
        <w:contextualSpacing/>
        <w:rPr>
          <w:rFonts w:ascii="Verdana" w:hAnsi="Verdana"/>
          <w:bCs/>
          <w:sz w:val="18"/>
          <w:szCs w:val="18"/>
        </w:rPr>
      </w:pPr>
    </w:p>
    <w:p w:rsidRPr="00C5308E" w:rsidR="00762949" w:rsidP="00D87753" w:rsidRDefault="00762949" w14:paraId="76932D4C"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Vraag 218</w:t>
      </w:r>
    </w:p>
    <w:p w:rsidR="00762949" w:rsidP="00D87753" w:rsidRDefault="00762949" w14:paraId="073DC090" w14:textId="77777777">
      <w:pPr>
        <w:spacing w:after="0" w:line="240" w:lineRule="auto"/>
        <w:contextualSpacing/>
        <w:rPr>
          <w:rFonts w:ascii="Verdana" w:hAnsi="Verdana"/>
          <w:bCs/>
          <w:sz w:val="18"/>
          <w:szCs w:val="18"/>
        </w:rPr>
      </w:pPr>
      <w:r w:rsidRPr="00C5308E">
        <w:rPr>
          <w:rFonts w:ascii="Verdana" w:hAnsi="Verdana"/>
          <w:bCs/>
          <w:sz w:val="18"/>
          <w:szCs w:val="18"/>
        </w:rPr>
        <w:t>Hoeveel kinderen groeien op dit moment op binnen een inkomen van 130% van het sociaal minimum?</w:t>
      </w:r>
    </w:p>
    <w:p w:rsidRPr="00C5308E" w:rsidR="00762949" w:rsidP="00D87753" w:rsidRDefault="00762949" w14:paraId="67110E61" w14:textId="77777777">
      <w:pPr>
        <w:spacing w:after="0" w:line="240" w:lineRule="auto"/>
        <w:contextualSpacing/>
        <w:rPr>
          <w:rFonts w:ascii="Verdana" w:hAnsi="Verdana"/>
          <w:bCs/>
          <w:sz w:val="18"/>
          <w:szCs w:val="18"/>
          <w:u w:val="single"/>
        </w:rPr>
      </w:pPr>
    </w:p>
    <w:p w:rsidRPr="00C5308E" w:rsidR="00762949" w:rsidP="00D87753" w:rsidRDefault="00762949" w14:paraId="146196A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218</w:t>
      </w:r>
    </w:p>
    <w:p w:rsidRPr="00C5308E" w:rsidR="00762949" w:rsidP="00D87753" w:rsidRDefault="00762949" w14:paraId="7EDE32DA" w14:textId="6D737007">
      <w:pPr>
        <w:spacing w:after="0" w:line="240" w:lineRule="auto"/>
        <w:contextualSpacing/>
        <w:rPr>
          <w:rFonts w:ascii="Verdana" w:hAnsi="Verdana"/>
          <w:bCs/>
          <w:sz w:val="18"/>
          <w:szCs w:val="18"/>
        </w:rPr>
      </w:pPr>
      <w:r w:rsidRPr="00C5308E">
        <w:rPr>
          <w:rFonts w:ascii="Verdana" w:hAnsi="Verdana"/>
          <w:bCs/>
          <w:sz w:val="18"/>
          <w:szCs w:val="18"/>
        </w:rPr>
        <w:t>Volgens CBS Statline horen circa 323.000 minderjarige kinderen tot een huishouden met een inkomen tot 130% sociaal minimum in 2022.</w:t>
      </w:r>
      <w:r w:rsidRPr="00C5308E">
        <w:rPr>
          <w:rStyle w:val="Voetnootmarkering"/>
          <w:rFonts w:ascii="Verdana" w:hAnsi="Verdana"/>
          <w:bCs/>
          <w:sz w:val="18"/>
          <w:szCs w:val="18"/>
        </w:rPr>
        <w:footnoteReference w:id="52"/>
      </w:r>
    </w:p>
    <w:p w:rsidRPr="00C5308E" w:rsidR="00762949" w:rsidP="00D87753" w:rsidRDefault="00762949" w14:paraId="015D625D" w14:textId="77777777">
      <w:pPr>
        <w:spacing w:after="0" w:line="240" w:lineRule="auto"/>
        <w:contextualSpacing/>
        <w:rPr>
          <w:rFonts w:ascii="Verdana" w:hAnsi="Verdana"/>
          <w:bCs/>
          <w:sz w:val="18"/>
          <w:szCs w:val="18"/>
        </w:rPr>
      </w:pPr>
    </w:p>
    <w:p w:rsidRPr="00C5308E" w:rsidR="00762949" w:rsidP="00D87753" w:rsidRDefault="00762949" w14:paraId="06AC21BB"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219</w:t>
      </w:r>
    </w:p>
    <w:p w:rsidRPr="00C5308E" w:rsidR="00762949" w:rsidP="00D87753" w:rsidRDefault="00762949" w14:paraId="1496A6AD" w14:textId="77777777">
      <w:pPr>
        <w:spacing w:after="0" w:line="240" w:lineRule="auto"/>
        <w:contextualSpacing/>
        <w:rPr>
          <w:rFonts w:ascii="Verdana" w:hAnsi="Verdana"/>
          <w:bCs/>
          <w:sz w:val="18"/>
          <w:szCs w:val="18"/>
        </w:rPr>
      </w:pPr>
      <w:r w:rsidRPr="00C5308E">
        <w:rPr>
          <w:rFonts w:ascii="Verdana" w:hAnsi="Verdana"/>
          <w:bCs/>
          <w:sz w:val="18"/>
          <w:szCs w:val="18"/>
        </w:rPr>
        <w:t>Hoeveel 50-plussers hebben een inkomen van 130% van het sociaal minimum?</w:t>
      </w:r>
    </w:p>
    <w:p w:rsidRPr="00C5308E" w:rsidR="00762949" w:rsidP="00D87753" w:rsidRDefault="00762949" w14:paraId="728506F9" w14:textId="77777777">
      <w:pPr>
        <w:spacing w:after="0" w:line="240" w:lineRule="auto"/>
        <w:contextualSpacing/>
        <w:rPr>
          <w:rFonts w:ascii="Verdana" w:hAnsi="Verdana"/>
          <w:bCs/>
          <w:sz w:val="18"/>
          <w:szCs w:val="18"/>
          <w:u w:val="single"/>
        </w:rPr>
      </w:pPr>
    </w:p>
    <w:p w:rsidRPr="00C5308E" w:rsidR="00762949" w:rsidP="00D87753" w:rsidRDefault="00762949" w14:paraId="74696D46"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219</w:t>
      </w:r>
    </w:p>
    <w:p w:rsidRPr="00C5308E" w:rsidR="00762949" w:rsidP="00D87753" w:rsidRDefault="00762949" w14:paraId="0B920926" w14:textId="77777777">
      <w:pPr>
        <w:spacing w:after="0" w:line="240" w:lineRule="auto"/>
        <w:contextualSpacing/>
        <w:rPr>
          <w:rFonts w:ascii="Verdana" w:hAnsi="Verdana"/>
          <w:bCs/>
          <w:sz w:val="18"/>
          <w:szCs w:val="18"/>
        </w:rPr>
      </w:pPr>
      <w:r w:rsidRPr="00C5308E">
        <w:rPr>
          <w:rFonts w:ascii="Verdana" w:hAnsi="Verdana"/>
          <w:bCs/>
          <w:sz w:val="18"/>
          <w:szCs w:val="18"/>
        </w:rPr>
        <w:t>Volgens CBS Statline horen circa 1,1 miljoen personen in 2022 tot een huishouden met een inkomen tot 130% sociaal minimum waarin de hoofdkostwinner ouder is dan 45 jaar.</w:t>
      </w:r>
      <w:r w:rsidRPr="00C5308E">
        <w:rPr>
          <w:rStyle w:val="Voetnootmarkering"/>
          <w:rFonts w:ascii="Verdana" w:hAnsi="Verdana"/>
          <w:bCs/>
          <w:sz w:val="18"/>
          <w:szCs w:val="18"/>
        </w:rPr>
        <w:footnoteReference w:id="53"/>
      </w:r>
      <w:r w:rsidRPr="00C5308E">
        <w:rPr>
          <w:rFonts w:ascii="Verdana" w:hAnsi="Verdana"/>
          <w:bCs/>
          <w:sz w:val="18"/>
          <w:szCs w:val="18"/>
        </w:rPr>
        <w:t xml:space="preserve"> In de CBS-tabel staat de leeftijd van 50 jaar niet apart weergegeven.</w:t>
      </w:r>
    </w:p>
    <w:p w:rsidRPr="00C5308E" w:rsidR="00762949" w:rsidP="00D87753" w:rsidRDefault="00762949" w14:paraId="6875B4F6" w14:textId="77777777">
      <w:pPr>
        <w:spacing w:after="0" w:line="240" w:lineRule="auto"/>
        <w:contextualSpacing/>
        <w:rPr>
          <w:rFonts w:ascii="Verdana" w:hAnsi="Verdana"/>
          <w:bCs/>
          <w:sz w:val="18"/>
          <w:szCs w:val="18"/>
        </w:rPr>
      </w:pPr>
    </w:p>
    <w:p w:rsidRPr="00C5308E" w:rsidR="00762949" w:rsidP="00D87753" w:rsidRDefault="00762949" w14:paraId="400A515F"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220</w:t>
      </w:r>
    </w:p>
    <w:p w:rsidRPr="00C5308E" w:rsidR="00762949" w:rsidP="00D87753" w:rsidRDefault="00762949" w14:paraId="66E07FD4" w14:textId="77777777">
      <w:pPr>
        <w:spacing w:after="0" w:line="240" w:lineRule="auto"/>
        <w:contextualSpacing/>
        <w:rPr>
          <w:rFonts w:ascii="Verdana" w:hAnsi="Verdana"/>
          <w:bCs/>
          <w:sz w:val="18"/>
          <w:szCs w:val="18"/>
        </w:rPr>
      </w:pPr>
      <w:r w:rsidRPr="00C5308E">
        <w:rPr>
          <w:rFonts w:ascii="Verdana" w:hAnsi="Verdana"/>
          <w:bCs/>
          <w:sz w:val="18"/>
          <w:szCs w:val="18"/>
        </w:rPr>
        <w:t>Hoeveel 65-plussers hebben een inkomen van 130% van het sociaal minimum?</w:t>
      </w:r>
    </w:p>
    <w:p w:rsidRPr="00C5308E" w:rsidR="00762949" w:rsidP="00D87753" w:rsidRDefault="00762949" w14:paraId="4D94CB72" w14:textId="77777777">
      <w:pPr>
        <w:spacing w:after="0" w:line="240" w:lineRule="auto"/>
        <w:contextualSpacing/>
        <w:rPr>
          <w:rFonts w:ascii="Verdana" w:hAnsi="Verdana"/>
          <w:bCs/>
          <w:sz w:val="18"/>
          <w:szCs w:val="18"/>
          <w:u w:val="single"/>
        </w:rPr>
      </w:pPr>
    </w:p>
    <w:p w:rsidRPr="00C5308E" w:rsidR="00762949" w:rsidP="00D87753" w:rsidRDefault="00762949" w14:paraId="604DAFAD"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220</w:t>
      </w:r>
    </w:p>
    <w:p w:rsidRPr="00C5308E" w:rsidR="00762949" w:rsidP="00D87753" w:rsidRDefault="00762949" w14:paraId="1F5962D5" w14:textId="4740F036">
      <w:pPr>
        <w:spacing w:after="0" w:line="240" w:lineRule="auto"/>
        <w:contextualSpacing/>
        <w:rPr>
          <w:rFonts w:ascii="Verdana" w:hAnsi="Verdana"/>
          <w:bCs/>
          <w:sz w:val="18"/>
          <w:szCs w:val="18"/>
        </w:rPr>
      </w:pPr>
      <w:r w:rsidRPr="00C5308E">
        <w:rPr>
          <w:rFonts w:ascii="Verdana" w:hAnsi="Verdana"/>
          <w:bCs/>
          <w:sz w:val="18"/>
          <w:szCs w:val="18"/>
        </w:rPr>
        <w:t>Volgens CBS Statline horen in 2022 circa 613.000</w:t>
      </w:r>
      <w:r w:rsidRPr="00C5308E" w:rsidR="001F313E">
        <w:rPr>
          <w:rFonts w:ascii="Verdana" w:hAnsi="Verdana"/>
          <w:bCs/>
          <w:sz w:val="18"/>
          <w:szCs w:val="18"/>
        </w:rPr>
        <w:t xml:space="preserve"> </w:t>
      </w:r>
      <w:r w:rsidRPr="00C5308E">
        <w:rPr>
          <w:rFonts w:ascii="Verdana" w:hAnsi="Verdana"/>
          <w:bCs/>
          <w:sz w:val="18"/>
          <w:szCs w:val="18"/>
        </w:rPr>
        <w:t>personen tot een huishouden met een inkomen tot 130% sociaal minimum waarin de hoofdkostwinner 65 jaar of ouder is.</w:t>
      </w:r>
      <w:r w:rsidRPr="00C5308E">
        <w:rPr>
          <w:rStyle w:val="Voetnootmarkering"/>
          <w:rFonts w:ascii="Verdana" w:hAnsi="Verdana"/>
          <w:bCs/>
          <w:sz w:val="18"/>
          <w:szCs w:val="18"/>
        </w:rPr>
        <w:footnoteReference w:id="54"/>
      </w:r>
    </w:p>
    <w:p w:rsidRPr="00C5308E" w:rsidR="00544B65" w:rsidP="00D87753" w:rsidRDefault="00544B65" w14:paraId="164B5B01" w14:textId="77777777">
      <w:pPr>
        <w:spacing w:after="0" w:line="240" w:lineRule="auto"/>
        <w:contextualSpacing/>
        <w:rPr>
          <w:rFonts w:ascii="Verdana" w:hAnsi="Verdana"/>
          <w:bCs/>
          <w:sz w:val="18"/>
          <w:szCs w:val="18"/>
        </w:rPr>
      </w:pPr>
    </w:p>
    <w:p w:rsidRPr="00C5308E" w:rsidR="00043304" w:rsidP="00D87753" w:rsidRDefault="00043304" w14:paraId="4C1B199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221</w:t>
      </w:r>
    </w:p>
    <w:p w:rsidRPr="00C5308E" w:rsidR="00043304" w:rsidP="00D87753" w:rsidRDefault="00043304" w14:paraId="46B1D6F4" w14:textId="77777777">
      <w:pPr>
        <w:spacing w:after="0" w:line="240" w:lineRule="auto"/>
        <w:contextualSpacing/>
        <w:rPr>
          <w:rFonts w:ascii="Verdana" w:hAnsi="Verdana"/>
          <w:bCs/>
          <w:sz w:val="18"/>
          <w:szCs w:val="18"/>
          <w:u w:val="single"/>
        </w:rPr>
      </w:pPr>
      <w:r w:rsidRPr="00C5308E">
        <w:rPr>
          <w:rFonts w:ascii="Verdana" w:hAnsi="Verdana"/>
          <w:bCs/>
          <w:sz w:val="18"/>
          <w:szCs w:val="18"/>
        </w:rPr>
        <w:t>Hoeveel mensen die gebruik maken van de Inkomensvoorziening Oudere en gedeeltelĳk Arbeidsongeschikte werkloze Werknemers (IOAW) hebben een inkomen van 130% van het sociaal minimum?</w:t>
      </w:r>
    </w:p>
    <w:p w:rsidRPr="00C5308E" w:rsidR="00043304" w:rsidP="00D87753" w:rsidRDefault="00043304" w14:paraId="2F901659" w14:textId="77777777">
      <w:pPr>
        <w:spacing w:after="0" w:line="240" w:lineRule="auto"/>
        <w:contextualSpacing/>
        <w:rPr>
          <w:rFonts w:ascii="Verdana" w:hAnsi="Verdana"/>
          <w:bCs/>
          <w:sz w:val="18"/>
          <w:szCs w:val="18"/>
          <w:u w:val="single"/>
        </w:rPr>
      </w:pPr>
    </w:p>
    <w:p w:rsidRPr="00C5308E" w:rsidR="00043304" w:rsidP="00D87753" w:rsidRDefault="00043304" w14:paraId="45B627A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221</w:t>
      </w:r>
    </w:p>
    <w:p w:rsidRPr="00C5308E" w:rsidR="00043304" w:rsidP="00D87753" w:rsidRDefault="00043304" w14:paraId="781C0AE8" w14:textId="77777777">
      <w:pPr>
        <w:spacing w:after="0" w:line="240" w:lineRule="auto"/>
        <w:contextualSpacing/>
        <w:rPr>
          <w:rFonts w:ascii="Verdana" w:hAnsi="Verdana"/>
          <w:bCs/>
          <w:sz w:val="18"/>
          <w:szCs w:val="18"/>
        </w:rPr>
      </w:pPr>
      <w:r w:rsidRPr="00C5308E">
        <w:rPr>
          <w:rFonts w:ascii="Verdana" w:hAnsi="Verdana"/>
          <w:bCs/>
          <w:sz w:val="18"/>
          <w:szCs w:val="18"/>
        </w:rPr>
        <w:t>De IOAW-uitkering zorgt voor een inkomen op het bijstandsniveau. In tegenstelling tot de bijstand wordt het vermogen bij de IOAW buiten beschouwing gehouden. Inkomen uit arbeid en overig inkomen worden wel verrekend met de uitkering, dit geldt ook voor het inkomen van een eventuele partner. Bepaalde inkomsten, zoals alimentatie, huurtoeslag en zorgtoeslag, worden niet verrekend waardoor iemand met een IOAW-uitkering op 130% van het sociaal minimum kan uitkomen. Op dit moment maken er circa 9.500 huishoudens gebruik van een IOAW-uitkering. Naar verwachting gaat het hierbij maar om een beperkt aantal mensen met een inkomen van 130% van het sociaal minimum. Het is echter niet bekend om welk gedeelte het precies gaat.</w:t>
      </w:r>
    </w:p>
    <w:p w:rsidRPr="00C5308E" w:rsidR="00A24B3E" w:rsidP="00D87753" w:rsidRDefault="00A24B3E" w14:paraId="2056045E" w14:textId="77777777">
      <w:pPr>
        <w:spacing w:after="0" w:line="240" w:lineRule="auto"/>
        <w:contextualSpacing/>
        <w:rPr>
          <w:rFonts w:ascii="Verdana" w:hAnsi="Verdana"/>
          <w:bCs/>
          <w:sz w:val="18"/>
          <w:szCs w:val="18"/>
        </w:rPr>
      </w:pPr>
    </w:p>
    <w:p w:rsidRPr="00C5308E" w:rsidR="00762949" w:rsidP="00D87753" w:rsidRDefault="00762949" w14:paraId="19FEE7A9"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222</w:t>
      </w:r>
    </w:p>
    <w:p w:rsidRPr="00C5308E" w:rsidR="00762949" w:rsidP="00D87753" w:rsidRDefault="00762949" w14:paraId="630A0D11" w14:textId="77777777">
      <w:pPr>
        <w:spacing w:after="0" w:line="240" w:lineRule="auto"/>
        <w:contextualSpacing/>
        <w:rPr>
          <w:rFonts w:ascii="Verdana" w:hAnsi="Verdana"/>
          <w:bCs/>
          <w:sz w:val="18"/>
          <w:szCs w:val="18"/>
        </w:rPr>
      </w:pPr>
      <w:r w:rsidRPr="00C5308E">
        <w:rPr>
          <w:rFonts w:ascii="Verdana" w:hAnsi="Verdana"/>
          <w:bCs/>
          <w:sz w:val="18"/>
          <w:szCs w:val="18"/>
        </w:rPr>
        <w:t>Hoeveel zzp’ers hebben een inkomen van 130% van het sociaal minimum?</w:t>
      </w:r>
    </w:p>
    <w:p w:rsidRPr="00C5308E" w:rsidR="00762949" w:rsidP="00D87753" w:rsidRDefault="00762949" w14:paraId="13A43ABE" w14:textId="77777777">
      <w:pPr>
        <w:spacing w:after="0" w:line="240" w:lineRule="auto"/>
        <w:contextualSpacing/>
        <w:rPr>
          <w:rFonts w:ascii="Verdana" w:hAnsi="Verdana"/>
          <w:bCs/>
          <w:sz w:val="18"/>
          <w:szCs w:val="18"/>
          <w:u w:val="single"/>
        </w:rPr>
      </w:pPr>
    </w:p>
    <w:p w:rsidRPr="00C5308E" w:rsidR="00762949" w:rsidP="00D87753" w:rsidRDefault="00762949" w14:paraId="1E6E3E47"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222</w:t>
      </w:r>
    </w:p>
    <w:p w:rsidRPr="00C5308E" w:rsidR="00762949" w:rsidP="00D87753" w:rsidRDefault="00762949" w14:paraId="0657E690" w14:textId="77777777">
      <w:pPr>
        <w:spacing w:after="0" w:line="240" w:lineRule="auto"/>
        <w:contextualSpacing/>
        <w:rPr>
          <w:rFonts w:ascii="Verdana" w:hAnsi="Verdana"/>
          <w:bCs/>
          <w:sz w:val="18"/>
          <w:szCs w:val="18"/>
        </w:rPr>
      </w:pPr>
      <w:r w:rsidRPr="00C5308E">
        <w:rPr>
          <w:rFonts w:ascii="Verdana" w:hAnsi="Verdana"/>
          <w:bCs/>
          <w:sz w:val="18"/>
          <w:szCs w:val="18"/>
        </w:rPr>
        <w:t>Volgens CBS Statline horen 133.000 personen in 2022 bij een huishouden met een inkomen tot 130% sociaal minimum met een hoofdinkomensbron als zelfstandige. Zzp’ers staan niet in de CBS Statline, omdat zelfstandigen, die wel in de tabel staan, mogelijk mensen in dienst kunnen hebben.</w:t>
      </w:r>
      <w:r w:rsidRPr="00C5308E">
        <w:rPr>
          <w:rStyle w:val="Voetnootmarkering"/>
          <w:rFonts w:ascii="Verdana" w:hAnsi="Verdana"/>
          <w:bCs/>
          <w:sz w:val="18"/>
          <w:szCs w:val="18"/>
        </w:rPr>
        <w:footnoteReference w:id="55"/>
      </w:r>
    </w:p>
    <w:p w:rsidRPr="00C5308E" w:rsidR="00762949" w:rsidP="00D87753" w:rsidRDefault="00762949" w14:paraId="3099DEA3" w14:textId="77777777">
      <w:pPr>
        <w:spacing w:after="0" w:line="240" w:lineRule="auto"/>
        <w:contextualSpacing/>
        <w:rPr>
          <w:rFonts w:ascii="Verdana" w:hAnsi="Verdana"/>
          <w:bCs/>
          <w:sz w:val="18"/>
          <w:szCs w:val="18"/>
        </w:rPr>
      </w:pPr>
    </w:p>
    <w:p w:rsidRPr="00C5308E" w:rsidR="00762949" w:rsidP="00D87753" w:rsidRDefault="00762949" w14:paraId="6C730DCE"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Vraag 223</w:t>
      </w:r>
    </w:p>
    <w:p w:rsidRPr="00C5308E" w:rsidR="00762949" w:rsidP="00D87753" w:rsidRDefault="00762949" w14:paraId="14E57859" w14:textId="77777777">
      <w:pPr>
        <w:spacing w:after="0" w:line="240" w:lineRule="auto"/>
        <w:contextualSpacing/>
        <w:rPr>
          <w:rFonts w:ascii="Verdana" w:hAnsi="Verdana"/>
          <w:bCs/>
          <w:sz w:val="18"/>
          <w:szCs w:val="18"/>
        </w:rPr>
      </w:pPr>
      <w:r w:rsidRPr="00C5308E">
        <w:rPr>
          <w:rFonts w:ascii="Verdana" w:hAnsi="Verdana"/>
          <w:bCs/>
          <w:sz w:val="18"/>
          <w:szCs w:val="18"/>
        </w:rPr>
        <w:t>Hoeveel studenten hebben een inkomen van 130% van het sociaal minimum?</w:t>
      </w:r>
    </w:p>
    <w:p w:rsidRPr="00C5308E" w:rsidR="00762949" w:rsidP="00D87753" w:rsidRDefault="00762949" w14:paraId="4246A002" w14:textId="77777777">
      <w:pPr>
        <w:spacing w:after="0" w:line="240" w:lineRule="auto"/>
        <w:contextualSpacing/>
        <w:rPr>
          <w:rFonts w:ascii="Verdana" w:hAnsi="Verdana"/>
          <w:bCs/>
          <w:sz w:val="18"/>
          <w:szCs w:val="18"/>
          <w:u w:val="single"/>
        </w:rPr>
      </w:pPr>
    </w:p>
    <w:p w:rsidRPr="00C5308E" w:rsidR="00762949" w:rsidP="00D87753" w:rsidRDefault="00762949" w14:paraId="2A7556FA"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223</w:t>
      </w:r>
    </w:p>
    <w:p w:rsidRPr="00C5308E" w:rsidR="00762949" w:rsidP="00D87753" w:rsidRDefault="00762949" w14:paraId="72967E06" w14:textId="4C6F657A">
      <w:pPr>
        <w:spacing w:after="0" w:line="240" w:lineRule="auto"/>
        <w:contextualSpacing/>
        <w:rPr>
          <w:rFonts w:ascii="Verdana" w:hAnsi="Verdana"/>
          <w:bCs/>
          <w:sz w:val="18"/>
          <w:szCs w:val="18"/>
        </w:rPr>
      </w:pPr>
      <w:r w:rsidRPr="00C5308E">
        <w:rPr>
          <w:rFonts w:ascii="Verdana" w:hAnsi="Verdana"/>
          <w:bCs/>
          <w:sz w:val="18"/>
          <w:szCs w:val="18"/>
        </w:rPr>
        <w:t>Deze cijfers zijn niet beschikbaar. De data van het CBS gaat over personen behorend bij huishoudens met een inkomen tot 130% sociaal minimum.</w:t>
      </w:r>
      <w:r w:rsidRPr="00C5308E">
        <w:rPr>
          <w:rStyle w:val="Voetnootmarkering"/>
          <w:rFonts w:ascii="Verdana" w:hAnsi="Verdana"/>
          <w:bCs/>
          <w:sz w:val="18"/>
          <w:szCs w:val="18"/>
        </w:rPr>
        <w:footnoteReference w:id="56"/>
      </w:r>
      <w:r w:rsidRPr="00C5308E">
        <w:rPr>
          <w:rFonts w:ascii="Verdana" w:hAnsi="Verdana"/>
          <w:bCs/>
          <w:sz w:val="18"/>
          <w:szCs w:val="18"/>
        </w:rPr>
        <w:t xml:space="preserve"> Het inkomen geldt dus op </w:t>
      </w:r>
      <w:r w:rsidRPr="00C5308E">
        <w:rPr>
          <w:rFonts w:ascii="Verdana" w:hAnsi="Verdana"/>
          <w:bCs/>
          <w:sz w:val="18"/>
          <w:szCs w:val="18"/>
        </w:rPr>
        <w:lastRenderedPageBreak/>
        <w:t xml:space="preserve">huishoudniveau. De woonsituatie van studenten is divers. Ze kunnen thuiswonend zijn of zelfstandig wonen, maar ook een kamer huren. </w:t>
      </w:r>
    </w:p>
    <w:p w:rsidRPr="00C5308E" w:rsidR="00972542" w:rsidP="00D87753" w:rsidRDefault="00972542" w14:paraId="2105536E" w14:textId="77777777">
      <w:pPr>
        <w:spacing w:after="0" w:line="240" w:lineRule="auto"/>
        <w:contextualSpacing/>
        <w:rPr>
          <w:rFonts w:ascii="Verdana" w:hAnsi="Verdana"/>
          <w:bCs/>
          <w:sz w:val="18"/>
          <w:szCs w:val="18"/>
        </w:rPr>
      </w:pPr>
    </w:p>
    <w:p w:rsidRPr="00C5308E" w:rsidR="0035330E" w:rsidP="0035330E" w:rsidRDefault="0035330E" w14:paraId="21D01D29" w14:textId="48DA7486">
      <w:pPr>
        <w:spacing w:after="0" w:line="240" w:lineRule="auto"/>
        <w:contextualSpacing/>
        <w:rPr>
          <w:rFonts w:ascii="Verdana" w:hAnsi="Verdana"/>
          <w:bCs/>
          <w:sz w:val="18"/>
          <w:szCs w:val="18"/>
          <w:u w:val="single"/>
        </w:rPr>
      </w:pPr>
      <w:r w:rsidRPr="00C5308E">
        <w:rPr>
          <w:rFonts w:ascii="Verdana" w:hAnsi="Verdana"/>
          <w:bCs/>
          <w:sz w:val="18"/>
          <w:szCs w:val="18"/>
          <w:u w:val="single"/>
        </w:rPr>
        <w:t>Vraag 224</w:t>
      </w:r>
    </w:p>
    <w:p w:rsidRPr="00C5308E" w:rsidR="0035330E" w:rsidP="0035330E" w:rsidRDefault="0035330E" w14:paraId="14430F1F" w14:textId="264A7C06">
      <w:pPr>
        <w:spacing w:after="0" w:line="240" w:lineRule="auto"/>
        <w:contextualSpacing/>
        <w:rPr>
          <w:rFonts w:ascii="Verdana" w:hAnsi="Verdana"/>
          <w:bCs/>
          <w:sz w:val="18"/>
          <w:szCs w:val="18"/>
        </w:rPr>
      </w:pPr>
      <w:r w:rsidRPr="00C5308E">
        <w:rPr>
          <w:rFonts w:ascii="Verdana" w:hAnsi="Verdana"/>
          <w:bCs/>
          <w:sz w:val="18"/>
          <w:szCs w:val="18"/>
        </w:rPr>
        <w:t>Op welke manier worden lopende rechten (mensen die al in de WW zitten bij inwerkingtreding) bij de duurverkorting van de WW naar 18 maanden beschermd of aangepast?</w:t>
      </w:r>
    </w:p>
    <w:p w:rsidRPr="00C5308E" w:rsidR="0035330E" w:rsidP="0035330E" w:rsidRDefault="0035330E" w14:paraId="0AFE3437" w14:textId="77777777">
      <w:pPr>
        <w:spacing w:after="0" w:line="240" w:lineRule="auto"/>
        <w:contextualSpacing/>
        <w:rPr>
          <w:rFonts w:ascii="Verdana" w:hAnsi="Verdana"/>
          <w:bCs/>
          <w:sz w:val="18"/>
          <w:szCs w:val="18"/>
          <w:u w:val="single"/>
        </w:rPr>
      </w:pPr>
    </w:p>
    <w:p w:rsidRPr="00C5308E" w:rsidR="0035330E" w:rsidP="0035330E" w:rsidRDefault="0035330E" w14:paraId="6BA7E5BC" w14:textId="20BE9DE0">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224</w:t>
      </w:r>
    </w:p>
    <w:p w:rsidRPr="00C5308E" w:rsidR="0035330E" w:rsidP="0035330E" w:rsidRDefault="00C806B5" w14:paraId="7791B10D" w14:textId="1DAF769E">
      <w:pPr>
        <w:spacing w:after="0" w:line="240" w:lineRule="auto"/>
        <w:contextualSpacing/>
        <w:rPr>
          <w:rFonts w:ascii="Verdana" w:hAnsi="Verdana"/>
          <w:bCs/>
          <w:sz w:val="18"/>
          <w:szCs w:val="18"/>
        </w:rPr>
      </w:pPr>
      <w:r w:rsidRPr="006342D0">
        <w:rPr>
          <w:rFonts w:ascii="Verdana" w:hAnsi="Verdana"/>
          <w:sz w:val="18"/>
          <w:szCs w:val="18"/>
        </w:rPr>
        <w:t xml:space="preserve">Op dit moment wordt het wetsvoorstel voor de WW-duurverkorting nader uitgewerkt. </w:t>
      </w:r>
      <w:r>
        <w:rPr>
          <w:rFonts w:ascii="Verdana" w:hAnsi="Verdana"/>
          <w:sz w:val="18"/>
          <w:szCs w:val="18"/>
        </w:rPr>
        <w:t>De memorie van toelichting behorende bij het wetsvoorstel zal nader in gaan op het overgangsrecht.</w:t>
      </w:r>
      <w:r w:rsidDel="006342D0">
        <w:rPr>
          <w:rFonts w:ascii="Verdana" w:hAnsi="Verdana"/>
          <w:sz w:val="18"/>
          <w:szCs w:val="18"/>
        </w:rPr>
        <w:t xml:space="preserve"> </w:t>
      </w:r>
    </w:p>
    <w:p w:rsidRPr="00C5308E" w:rsidR="0035330E" w:rsidP="0035330E" w:rsidRDefault="0035330E" w14:paraId="7504C24F" w14:textId="79BDE6B9">
      <w:pPr>
        <w:spacing w:after="0" w:line="240" w:lineRule="auto"/>
        <w:contextualSpacing/>
        <w:rPr>
          <w:rFonts w:ascii="Verdana" w:hAnsi="Verdana"/>
          <w:bCs/>
          <w:sz w:val="18"/>
          <w:szCs w:val="18"/>
          <w:u w:val="single"/>
        </w:rPr>
      </w:pPr>
      <w:r w:rsidRPr="00C5308E">
        <w:rPr>
          <w:rFonts w:ascii="Verdana" w:hAnsi="Verdana"/>
          <w:bCs/>
          <w:sz w:val="18"/>
          <w:szCs w:val="18"/>
          <w:u w:val="single"/>
        </w:rPr>
        <w:t>Vraag 225</w:t>
      </w:r>
    </w:p>
    <w:p w:rsidRPr="00C5308E" w:rsidR="0035330E" w:rsidP="0035330E" w:rsidRDefault="0035330E" w14:paraId="418B66B9" w14:textId="6403BE65">
      <w:pPr>
        <w:spacing w:after="0" w:line="240" w:lineRule="auto"/>
        <w:contextualSpacing/>
        <w:rPr>
          <w:rFonts w:ascii="Verdana" w:hAnsi="Verdana"/>
          <w:bCs/>
          <w:sz w:val="18"/>
          <w:szCs w:val="18"/>
        </w:rPr>
      </w:pPr>
      <w:r w:rsidRPr="00C5308E">
        <w:rPr>
          <w:rFonts w:ascii="Verdana" w:hAnsi="Verdana"/>
          <w:bCs/>
          <w:sz w:val="18"/>
          <w:szCs w:val="18"/>
        </w:rPr>
        <w:t>Hoeveel mensen ontvingen in 2024 een WW-uitkering die langer duurde dan 18 maanden?</w:t>
      </w:r>
    </w:p>
    <w:p w:rsidRPr="00C5308E" w:rsidR="0035330E" w:rsidP="0035330E" w:rsidRDefault="0035330E" w14:paraId="29C437BE" w14:textId="77777777">
      <w:pPr>
        <w:spacing w:after="0" w:line="240" w:lineRule="auto"/>
        <w:contextualSpacing/>
        <w:rPr>
          <w:rFonts w:ascii="Verdana" w:hAnsi="Verdana"/>
          <w:bCs/>
          <w:sz w:val="18"/>
          <w:szCs w:val="18"/>
          <w:u w:val="single"/>
        </w:rPr>
      </w:pPr>
    </w:p>
    <w:p w:rsidRPr="00C5308E" w:rsidR="0035330E" w:rsidP="0035330E" w:rsidRDefault="0035330E" w14:paraId="1BF09223" w14:textId="47CE1995">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225</w:t>
      </w:r>
    </w:p>
    <w:p w:rsidRPr="00C5308E" w:rsidR="0035330E" w:rsidP="0035330E" w:rsidRDefault="00C806B5" w14:paraId="28AC4CA3" w14:textId="452FD360">
      <w:pPr>
        <w:spacing w:after="0" w:line="240" w:lineRule="auto"/>
        <w:contextualSpacing/>
        <w:rPr>
          <w:rFonts w:ascii="Verdana" w:hAnsi="Verdana"/>
          <w:bCs/>
          <w:sz w:val="18"/>
          <w:szCs w:val="18"/>
        </w:rPr>
      </w:pPr>
      <w:r>
        <w:rPr>
          <w:rFonts w:ascii="Verdana" w:hAnsi="Verdana"/>
          <w:sz w:val="18"/>
          <w:szCs w:val="18"/>
        </w:rPr>
        <w:t xml:space="preserve">In 2024 waren er 24.000 personen met een WW-uitkering die de grens van 18 maanden looptijd in dat jaar passeerden. </w:t>
      </w:r>
    </w:p>
    <w:p w:rsidR="00AA6F4E" w:rsidP="0035330E" w:rsidRDefault="00AA6F4E" w14:paraId="024DA16A" w14:textId="77777777">
      <w:pPr>
        <w:spacing w:after="0" w:line="240" w:lineRule="auto"/>
        <w:contextualSpacing/>
        <w:rPr>
          <w:rFonts w:ascii="Verdana" w:hAnsi="Verdana"/>
          <w:bCs/>
          <w:sz w:val="18"/>
          <w:szCs w:val="18"/>
          <w:u w:val="single"/>
        </w:rPr>
      </w:pPr>
    </w:p>
    <w:p w:rsidRPr="00C5308E" w:rsidR="0035330E" w:rsidP="0035330E" w:rsidRDefault="0035330E" w14:paraId="6111F2CE" w14:textId="1EF0432C">
      <w:pPr>
        <w:spacing w:after="0" w:line="240" w:lineRule="auto"/>
        <w:contextualSpacing/>
        <w:rPr>
          <w:rFonts w:ascii="Verdana" w:hAnsi="Verdana"/>
          <w:bCs/>
          <w:sz w:val="18"/>
          <w:szCs w:val="18"/>
          <w:u w:val="single"/>
        </w:rPr>
      </w:pPr>
      <w:r w:rsidRPr="00C5308E">
        <w:rPr>
          <w:rFonts w:ascii="Verdana" w:hAnsi="Verdana"/>
          <w:bCs/>
          <w:sz w:val="18"/>
          <w:szCs w:val="18"/>
          <w:u w:val="single"/>
        </w:rPr>
        <w:t>Vraag 226</w:t>
      </w:r>
    </w:p>
    <w:p w:rsidRPr="00C5308E" w:rsidR="0035330E" w:rsidP="0035330E" w:rsidRDefault="0035330E" w14:paraId="7DDFC415" w14:textId="4297F8C0">
      <w:pPr>
        <w:spacing w:after="0" w:line="240" w:lineRule="auto"/>
        <w:contextualSpacing/>
        <w:rPr>
          <w:rFonts w:ascii="Verdana" w:hAnsi="Verdana"/>
          <w:bCs/>
          <w:sz w:val="18"/>
          <w:szCs w:val="18"/>
        </w:rPr>
      </w:pPr>
      <w:r w:rsidRPr="00C5308E">
        <w:rPr>
          <w:rFonts w:ascii="Verdana" w:hAnsi="Verdana"/>
          <w:bCs/>
          <w:sz w:val="18"/>
          <w:szCs w:val="18"/>
        </w:rPr>
        <w:t>Is er onderzocht of een kortere WW-duur leidt tot snellere arbeidsparticipatie of re-integratie, en zo ja, wat waren de uitkomsten?</w:t>
      </w:r>
    </w:p>
    <w:p w:rsidRPr="00C5308E" w:rsidR="0035330E" w:rsidP="0035330E" w:rsidRDefault="0035330E" w14:paraId="2CCCB06E" w14:textId="77777777">
      <w:pPr>
        <w:spacing w:after="0" w:line="240" w:lineRule="auto"/>
        <w:contextualSpacing/>
        <w:rPr>
          <w:rFonts w:ascii="Verdana" w:hAnsi="Verdana"/>
          <w:bCs/>
          <w:sz w:val="18"/>
          <w:szCs w:val="18"/>
          <w:u w:val="single"/>
        </w:rPr>
      </w:pPr>
    </w:p>
    <w:p w:rsidRPr="00C5308E" w:rsidR="0035330E" w:rsidP="0035330E" w:rsidRDefault="0035330E" w14:paraId="0C725A6F" w14:textId="690C472B">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226</w:t>
      </w:r>
    </w:p>
    <w:p w:rsidRPr="00C5308E" w:rsidR="0035330E" w:rsidP="0035330E" w:rsidRDefault="00C806B5" w14:paraId="1C4368A3" w14:textId="0FA459FF">
      <w:pPr>
        <w:spacing w:after="0" w:line="240" w:lineRule="auto"/>
        <w:contextualSpacing/>
        <w:rPr>
          <w:rFonts w:ascii="Verdana" w:hAnsi="Verdana"/>
          <w:bCs/>
          <w:sz w:val="18"/>
          <w:szCs w:val="18"/>
        </w:rPr>
      </w:pPr>
      <w:r w:rsidRPr="00882A4B">
        <w:rPr>
          <w:rFonts w:ascii="Verdana" w:hAnsi="Verdana"/>
          <w:sz w:val="18"/>
          <w:szCs w:val="18"/>
        </w:rPr>
        <w:t>De WW-duurverkorting van 38 maanden naar 24 maanden die met de Wet werk en zekerheid in 2016 is gerealiseerd, is recent door onderzoeksbureau Significant APE geëvalueerd. Uw Kamer ontvangt voor het zomerreces een bri</w:t>
      </w:r>
      <w:r w:rsidRPr="00357318">
        <w:rPr>
          <w:rFonts w:ascii="Verdana" w:hAnsi="Verdana"/>
          <w:sz w:val="18"/>
          <w:szCs w:val="18"/>
        </w:rPr>
        <w:t>ef over de WW-maatregel. In deze kamerbrief licht ik ook de uitkomsten van dit onderzoek toe en ontvangt u daarbij het rapport.</w:t>
      </w:r>
    </w:p>
    <w:p w:rsidR="00AA6F4E" w:rsidP="0035330E" w:rsidRDefault="00AA6F4E" w14:paraId="65F5BA12" w14:textId="77777777">
      <w:pPr>
        <w:spacing w:after="0" w:line="240" w:lineRule="auto"/>
        <w:contextualSpacing/>
        <w:rPr>
          <w:rFonts w:ascii="Verdana" w:hAnsi="Verdana"/>
          <w:bCs/>
          <w:sz w:val="18"/>
          <w:szCs w:val="18"/>
          <w:u w:val="single"/>
        </w:rPr>
      </w:pPr>
    </w:p>
    <w:p w:rsidRPr="00C5308E" w:rsidR="0035330E" w:rsidP="0035330E" w:rsidRDefault="0035330E" w14:paraId="214763C0" w14:textId="59993792">
      <w:pPr>
        <w:spacing w:after="0" w:line="240" w:lineRule="auto"/>
        <w:contextualSpacing/>
        <w:rPr>
          <w:rFonts w:ascii="Verdana" w:hAnsi="Verdana"/>
          <w:bCs/>
          <w:sz w:val="18"/>
          <w:szCs w:val="18"/>
          <w:u w:val="single"/>
        </w:rPr>
      </w:pPr>
      <w:r w:rsidRPr="00C5308E">
        <w:rPr>
          <w:rFonts w:ascii="Verdana" w:hAnsi="Verdana"/>
          <w:bCs/>
          <w:sz w:val="18"/>
          <w:szCs w:val="18"/>
          <w:u w:val="single"/>
        </w:rPr>
        <w:t>Vraag 227</w:t>
      </w:r>
    </w:p>
    <w:p w:rsidRPr="00C5308E" w:rsidR="0035330E" w:rsidP="0035330E" w:rsidRDefault="0035330E" w14:paraId="54B02230" w14:textId="6B3D88BE">
      <w:pPr>
        <w:spacing w:after="0" w:line="240" w:lineRule="auto"/>
        <w:contextualSpacing/>
        <w:rPr>
          <w:rFonts w:ascii="Verdana" w:hAnsi="Verdana"/>
          <w:bCs/>
          <w:sz w:val="18"/>
          <w:szCs w:val="18"/>
        </w:rPr>
      </w:pPr>
      <w:r w:rsidRPr="00C5308E">
        <w:rPr>
          <w:rFonts w:ascii="Verdana" w:hAnsi="Verdana"/>
          <w:bCs/>
          <w:sz w:val="18"/>
          <w:szCs w:val="18"/>
        </w:rPr>
        <w:t>Zijn er specifieke doelgroepen (zoals ouderen of mensen in sectoren met hoge werkloosheidrisico's) die onevenredig worden geraakt door deze verkorting?</w:t>
      </w:r>
    </w:p>
    <w:p w:rsidRPr="00C5308E" w:rsidR="0035330E" w:rsidP="0035330E" w:rsidRDefault="0035330E" w14:paraId="7020910A" w14:textId="77777777">
      <w:pPr>
        <w:spacing w:after="0" w:line="240" w:lineRule="auto"/>
        <w:contextualSpacing/>
        <w:rPr>
          <w:rFonts w:ascii="Verdana" w:hAnsi="Verdana"/>
          <w:bCs/>
          <w:sz w:val="18"/>
          <w:szCs w:val="18"/>
          <w:u w:val="single"/>
        </w:rPr>
      </w:pPr>
    </w:p>
    <w:p w:rsidRPr="00C5308E" w:rsidR="0035330E" w:rsidP="0035330E" w:rsidRDefault="0035330E" w14:paraId="041C6E6C" w14:textId="597404DD">
      <w:pPr>
        <w:spacing w:after="0" w:line="240" w:lineRule="auto"/>
        <w:contextualSpacing/>
        <w:rPr>
          <w:rFonts w:ascii="Verdana" w:hAnsi="Verdana"/>
          <w:bCs/>
          <w:sz w:val="18"/>
          <w:szCs w:val="18"/>
          <w:u w:val="single"/>
        </w:rPr>
      </w:pPr>
      <w:r w:rsidRPr="00C5308E">
        <w:rPr>
          <w:rFonts w:ascii="Verdana" w:hAnsi="Verdana"/>
          <w:bCs/>
          <w:sz w:val="18"/>
          <w:szCs w:val="18"/>
          <w:u w:val="single"/>
        </w:rPr>
        <w:t>Antwoord 227</w:t>
      </w:r>
    </w:p>
    <w:p w:rsidR="00C806B5" w:rsidP="00C806B5" w:rsidRDefault="00C806B5" w14:paraId="609AB5BB" w14:textId="77777777">
      <w:pPr>
        <w:spacing w:after="0" w:line="240" w:lineRule="auto"/>
        <w:rPr>
          <w:rFonts w:ascii="Verdana" w:hAnsi="Verdana"/>
          <w:sz w:val="18"/>
          <w:szCs w:val="18"/>
        </w:rPr>
      </w:pPr>
      <w:r>
        <w:rPr>
          <w:rFonts w:ascii="Verdana" w:hAnsi="Verdana"/>
          <w:sz w:val="18"/>
          <w:szCs w:val="18"/>
        </w:rPr>
        <w:t>Overwegend zijn het</w:t>
      </w:r>
      <w:r w:rsidRPr="003B3B97">
        <w:rPr>
          <w:rFonts w:ascii="Verdana" w:hAnsi="Verdana"/>
          <w:sz w:val="18"/>
          <w:szCs w:val="18"/>
        </w:rPr>
        <w:t xml:space="preserve"> relatief oudere werknemers die langer dan 18 maanden gebruik maken van een WW-uitkering.</w:t>
      </w:r>
      <w:r>
        <w:rPr>
          <w:rFonts w:ascii="Verdana" w:hAnsi="Verdana"/>
          <w:sz w:val="18"/>
          <w:szCs w:val="18"/>
        </w:rPr>
        <w:t xml:space="preserve"> Dit heeft twee redenen. Ten eerste is het voor ouderen relatief lastiger om een nieuwe baan te vinden. Ten tweede hebben deze werknemers</w:t>
      </w:r>
      <w:r w:rsidRPr="003B3B97">
        <w:rPr>
          <w:rFonts w:ascii="Verdana" w:hAnsi="Verdana"/>
          <w:sz w:val="18"/>
          <w:szCs w:val="18"/>
        </w:rPr>
        <w:t xml:space="preserve"> voldoende arbeidsverleden opgebouwd om een uitkeringsrecht van meer dan 18 maanden te krijgen. </w:t>
      </w:r>
      <w:r>
        <w:rPr>
          <w:rFonts w:ascii="Verdana" w:hAnsi="Verdana"/>
          <w:sz w:val="18"/>
          <w:szCs w:val="18"/>
        </w:rPr>
        <w:t>Voor de eerste 10 jaar arbeidsverleden wordt een maand WW-recht toegekend, voor de jaren arbeidsverleden daarna een halve maand. Om recht te hebben op een WW-uitkering van 18 maanden is derhalve een arbeidsverleden van 26 jaar vereist. Het zijn niet alleen 55-plussers zijn die te maken krijgen met de duurverkorting. 39% van de werknemers die het betreft zijn werknemers onder de 55 jaar. Uiteindelijk zal de impact die de duurverkorting op een individu heeft sterk afhangen van de arbeidsmarktpositie van deze werknemer</w:t>
      </w:r>
    </w:p>
    <w:p w:rsidR="00C806B5" w:rsidP="00C806B5" w:rsidRDefault="00C806B5" w14:paraId="2A3AAD70" w14:textId="77777777">
      <w:pPr>
        <w:spacing w:after="0" w:line="240" w:lineRule="auto"/>
        <w:rPr>
          <w:rFonts w:ascii="Verdana" w:hAnsi="Verdana"/>
          <w:sz w:val="18"/>
          <w:szCs w:val="18"/>
        </w:rPr>
      </w:pPr>
    </w:p>
    <w:p w:rsidR="00C806B5" w:rsidP="00C806B5" w:rsidRDefault="00C806B5" w14:paraId="281C67BF" w14:textId="77777777">
      <w:pPr>
        <w:spacing w:after="0" w:line="240" w:lineRule="auto"/>
        <w:rPr>
          <w:rFonts w:ascii="Verdana" w:hAnsi="Verdana"/>
          <w:sz w:val="18"/>
          <w:szCs w:val="18"/>
        </w:rPr>
      </w:pPr>
      <w:r>
        <w:rPr>
          <w:rFonts w:ascii="Verdana" w:hAnsi="Verdana"/>
          <w:sz w:val="18"/>
          <w:szCs w:val="18"/>
        </w:rPr>
        <w:t>Werknemers die werkzaam zijn in een sector met een hoog werkloosheidsrisico worden sneller werkloos en krijgen dus ook eerder met de duurverkorting te maken. In de tabel hieronder is een verdeling weergegeven van de circa 24.000 personen met een WW-uitkering die in 2024 de grens van 18 maanden looptijd van de uitkering passeerden naar sector van instroom in de WW.</w:t>
      </w:r>
    </w:p>
    <w:p w:rsidR="00972542" w:rsidRDefault="00972542" w14:paraId="64C4DDDB" w14:textId="786688FF">
      <w:pPr>
        <w:rPr>
          <w:rFonts w:ascii="Verdana" w:hAnsi="Verdana"/>
          <w:sz w:val="18"/>
          <w:szCs w:val="18"/>
        </w:rPr>
      </w:pPr>
      <w:r>
        <w:rPr>
          <w:rFonts w:ascii="Verdana" w:hAnsi="Verdana"/>
          <w:sz w:val="18"/>
          <w:szCs w:val="18"/>
        </w:rPr>
        <w:br w:type="page"/>
      </w:r>
    </w:p>
    <w:p w:rsidRPr="00600DD4" w:rsidR="00C806B5" w:rsidP="00C806B5" w:rsidRDefault="00C806B5" w14:paraId="6F8001BB" w14:textId="77777777">
      <w:pPr>
        <w:spacing w:after="0" w:line="240" w:lineRule="auto"/>
        <w:rPr>
          <w:rFonts w:ascii="Verdana" w:hAnsi="Verdana"/>
          <w:b/>
          <w:bCs/>
          <w:sz w:val="18"/>
          <w:szCs w:val="18"/>
          <w:u w:val="single"/>
        </w:rPr>
      </w:pPr>
      <w:r w:rsidRPr="004D6E9F">
        <w:rPr>
          <w:rFonts w:ascii="Verdana" w:hAnsi="Verdana"/>
          <w:b/>
          <w:bCs/>
          <w:sz w:val="18"/>
          <w:szCs w:val="18"/>
          <w:u w:val="single"/>
        </w:rPr>
        <w:lastRenderedPageBreak/>
        <w:t>Werkzame sector vóór instroom in de WW van personen met een WW-uitkering die de grens van 18 maanden looptijd passeert in 2024.*</w:t>
      </w:r>
    </w:p>
    <w:p w:rsidRPr="00600DD4" w:rsidR="00C806B5" w:rsidP="00C806B5" w:rsidRDefault="00C806B5" w14:paraId="1CCF67B6"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4531"/>
        <w:gridCol w:w="4531"/>
      </w:tblGrid>
      <w:tr w:rsidRPr="004D6E9F" w:rsidR="00C806B5" w:rsidTr="00DE3575" w14:paraId="0EB59FA8" w14:textId="77777777">
        <w:tc>
          <w:tcPr>
            <w:tcW w:w="4531" w:type="dxa"/>
          </w:tcPr>
          <w:p w:rsidRPr="004D6E9F" w:rsidR="00C806B5" w:rsidP="00DE3575" w:rsidRDefault="00C806B5" w14:paraId="5BCA5F7F" w14:textId="77777777">
            <w:pPr>
              <w:rPr>
                <w:b/>
                <w:bCs/>
                <w:szCs w:val="18"/>
              </w:rPr>
            </w:pPr>
            <w:r w:rsidRPr="004D6E9F">
              <w:rPr>
                <w:b/>
                <w:bCs/>
                <w:szCs w:val="18"/>
              </w:rPr>
              <w:t>Sector</w:t>
            </w:r>
          </w:p>
        </w:tc>
        <w:tc>
          <w:tcPr>
            <w:tcW w:w="4531" w:type="dxa"/>
          </w:tcPr>
          <w:p w:rsidRPr="004D6E9F" w:rsidR="00C806B5" w:rsidP="00DE3575" w:rsidRDefault="00C806B5" w14:paraId="7DBE75AE" w14:textId="77777777">
            <w:pPr>
              <w:rPr>
                <w:b/>
                <w:bCs/>
                <w:szCs w:val="18"/>
              </w:rPr>
            </w:pPr>
            <w:r w:rsidRPr="004D6E9F">
              <w:rPr>
                <w:b/>
                <w:bCs/>
                <w:szCs w:val="18"/>
              </w:rPr>
              <w:t>Aandeel</w:t>
            </w:r>
          </w:p>
        </w:tc>
      </w:tr>
      <w:tr w:rsidRPr="004D6E9F" w:rsidR="00C806B5" w:rsidTr="00DE3575" w14:paraId="240759FA" w14:textId="77777777">
        <w:tc>
          <w:tcPr>
            <w:tcW w:w="4531" w:type="dxa"/>
          </w:tcPr>
          <w:p w:rsidRPr="004D6E9F" w:rsidR="00C806B5" w:rsidP="00DE3575" w:rsidRDefault="00C806B5" w14:paraId="68BAA4DB" w14:textId="77777777">
            <w:pPr>
              <w:rPr>
                <w:szCs w:val="18"/>
              </w:rPr>
            </w:pPr>
            <w:r w:rsidRPr="004D6E9F">
              <w:rPr>
                <w:szCs w:val="18"/>
              </w:rPr>
              <w:t>Landbouw, Visserij en Voeding</w:t>
            </w:r>
          </w:p>
        </w:tc>
        <w:tc>
          <w:tcPr>
            <w:tcW w:w="4531" w:type="dxa"/>
          </w:tcPr>
          <w:p w:rsidRPr="004D6E9F" w:rsidR="00C806B5" w:rsidP="00DE3575" w:rsidRDefault="00C806B5" w14:paraId="5B534192" w14:textId="77777777">
            <w:pPr>
              <w:rPr>
                <w:szCs w:val="18"/>
              </w:rPr>
            </w:pPr>
            <w:r w:rsidRPr="004D6E9F">
              <w:rPr>
                <w:szCs w:val="18"/>
              </w:rPr>
              <w:t>4%</w:t>
            </w:r>
          </w:p>
        </w:tc>
      </w:tr>
      <w:tr w:rsidRPr="004D6E9F" w:rsidR="00C806B5" w:rsidTr="00DE3575" w14:paraId="1DC580AD" w14:textId="77777777">
        <w:tc>
          <w:tcPr>
            <w:tcW w:w="4531" w:type="dxa"/>
          </w:tcPr>
          <w:p w:rsidRPr="004D6E9F" w:rsidR="00C806B5" w:rsidP="00DE3575" w:rsidRDefault="00C806B5" w14:paraId="4913A0CA" w14:textId="77777777">
            <w:pPr>
              <w:rPr>
                <w:szCs w:val="18"/>
              </w:rPr>
            </w:pPr>
            <w:r w:rsidRPr="004D6E9F">
              <w:rPr>
                <w:szCs w:val="18"/>
              </w:rPr>
              <w:t>Bouw en hout</w:t>
            </w:r>
          </w:p>
        </w:tc>
        <w:tc>
          <w:tcPr>
            <w:tcW w:w="4531" w:type="dxa"/>
          </w:tcPr>
          <w:p w:rsidRPr="004D6E9F" w:rsidR="00C806B5" w:rsidP="00DE3575" w:rsidRDefault="00C806B5" w14:paraId="110C3E7A" w14:textId="77777777">
            <w:pPr>
              <w:rPr>
                <w:szCs w:val="18"/>
              </w:rPr>
            </w:pPr>
            <w:r w:rsidRPr="004D6E9F">
              <w:rPr>
                <w:szCs w:val="18"/>
              </w:rPr>
              <w:t>2%</w:t>
            </w:r>
          </w:p>
        </w:tc>
      </w:tr>
      <w:tr w:rsidRPr="004D6E9F" w:rsidR="00C806B5" w:rsidTr="00DE3575" w14:paraId="121B718C" w14:textId="77777777">
        <w:tc>
          <w:tcPr>
            <w:tcW w:w="4531" w:type="dxa"/>
          </w:tcPr>
          <w:p w:rsidRPr="004D6E9F" w:rsidR="00C806B5" w:rsidP="00DE3575" w:rsidRDefault="00C806B5" w14:paraId="3CE622B9" w14:textId="77777777">
            <w:pPr>
              <w:rPr>
                <w:szCs w:val="18"/>
              </w:rPr>
            </w:pPr>
            <w:r w:rsidRPr="004D6E9F">
              <w:rPr>
                <w:szCs w:val="18"/>
              </w:rPr>
              <w:t>Industrie</w:t>
            </w:r>
          </w:p>
        </w:tc>
        <w:tc>
          <w:tcPr>
            <w:tcW w:w="4531" w:type="dxa"/>
          </w:tcPr>
          <w:p w:rsidRPr="004D6E9F" w:rsidR="00C806B5" w:rsidP="00DE3575" w:rsidRDefault="00C806B5" w14:paraId="63CEDDAF" w14:textId="77777777">
            <w:pPr>
              <w:rPr>
                <w:szCs w:val="18"/>
              </w:rPr>
            </w:pPr>
            <w:r w:rsidRPr="004D6E9F">
              <w:rPr>
                <w:szCs w:val="18"/>
              </w:rPr>
              <w:t>11%</w:t>
            </w:r>
          </w:p>
        </w:tc>
      </w:tr>
      <w:tr w:rsidRPr="004D6E9F" w:rsidR="00C806B5" w:rsidTr="00DE3575" w14:paraId="565732D9" w14:textId="77777777">
        <w:tc>
          <w:tcPr>
            <w:tcW w:w="4531" w:type="dxa"/>
          </w:tcPr>
          <w:p w:rsidRPr="004D6E9F" w:rsidR="00C806B5" w:rsidP="00DE3575" w:rsidRDefault="00C806B5" w14:paraId="41DFBBB6" w14:textId="77777777">
            <w:pPr>
              <w:rPr>
                <w:szCs w:val="18"/>
              </w:rPr>
            </w:pPr>
            <w:r w:rsidRPr="004D6E9F">
              <w:rPr>
                <w:szCs w:val="18"/>
              </w:rPr>
              <w:t>Winkelbedrijf en groothandel</w:t>
            </w:r>
          </w:p>
        </w:tc>
        <w:tc>
          <w:tcPr>
            <w:tcW w:w="4531" w:type="dxa"/>
          </w:tcPr>
          <w:p w:rsidRPr="004D6E9F" w:rsidR="00C806B5" w:rsidP="00DE3575" w:rsidRDefault="00C806B5" w14:paraId="3F310345" w14:textId="77777777">
            <w:pPr>
              <w:rPr>
                <w:szCs w:val="18"/>
              </w:rPr>
            </w:pPr>
            <w:r w:rsidRPr="004D6E9F">
              <w:rPr>
                <w:szCs w:val="18"/>
              </w:rPr>
              <w:t>15%</w:t>
            </w:r>
          </w:p>
        </w:tc>
      </w:tr>
      <w:tr w:rsidRPr="004D6E9F" w:rsidR="00C806B5" w:rsidTr="00DE3575" w14:paraId="3B82DA28" w14:textId="77777777">
        <w:tc>
          <w:tcPr>
            <w:tcW w:w="4531" w:type="dxa"/>
          </w:tcPr>
          <w:p w:rsidRPr="004D6E9F" w:rsidR="00C806B5" w:rsidP="00DE3575" w:rsidRDefault="00C806B5" w14:paraId="6A46A54B" w14:textId="77777777">
            <w:pPr>
              <w:rPr>
                <w:szCs w:val="18"/>
              </w:rPr>
            </w:pPr>
            <w:r w:rsidRPr="004D6E9F">
              <w:rPr>
                <w:szCs w:val="18"/>
              </w:rPr>
              <w:t>Transport</w:t>
            </w:r>
          </w:p>
        </w:tc>
        <w:tc>
          <w:tcPr>
            <w:tcW w:w="4531" w:type="dxa"/>
          </w:tcPr>
          <w:p w:rsidRPr="004D6E9F" w:rsidR="00C806B5" w:rsidP="00DE3575" w:rsidRDefault="00C806B5" w14:paraId="33400EC1" w14:textId="77777777">
            <w:pPr>
              <w:rPr>
                <w:szCs w:val="18"/>
              </w:rPr>
            </w:pPr>
            <w:r w:rsidRPr="004D6E9F">
              <w:rPr>
                <w:szCs w:val="18"/>
              </w:rPr>
              <w:t>4%</w:t>
            </w:r>
          </w:p>
        </w:tc>
      </w:tr>
      <w:tr w:rsidRPr="004D6E9F" w:rsidR="00C806B5" w:rsidTr="00DE3575" w14:paraId="2686A280" w14:textId="77777777">
        <w:tc>
          <w:tcPr>
            <w:tcW w:w="4531" w:type="dxa"/>
          </w:tcPr>
          <w:p w:rsidRPr="004D6E9F" w:rsidR="00C806B5" w:rsidP="00DE3575" w:rsidRDefault="00C806B5" w14:paraId="25F7F46B" w14:textId="77777777">
            <w:pPr>
              <w:rPr>
                <w:szCs w:val="18"/>
              </w:rPr>
            </w:pPr>
            <w:r w:rsidRPr="004D6E9F">
              <w:rPr>
                <w:szCs w:val="18"/>
              </w:rPr>
              <w:t>Gezondheid</w:t>
            </w:r>
          </w:p>
        </w:tc>
        <w:tc>
          <w:tcPr>
            <w:tcW w:w="4531" w:type="dxa"/>
          </w:tcPr>
          <w:p w:rsidRPr="004D6E9F" w:rsidR="00C806B5" w:rsidP="00DE3575" w:rsidRDefault="00C806B5" w14:paraId="34687614" w14:textId="77777777">
            <w:pPr>
              <w:rPr>
                <w:szCs w:val="18"/>
              </w:rPr>
            </w:pPr>
            <w:r w:rsidRPr="004D6E9F">
              <w:rPr>
                <w:szCs w:val="18"/>
              </w:rPr>
              <w:t>15%</w:t>
            </w:r>
          </w:p>
        </w:tc>
      </w:tr>
      <w:tr w:rsidRPr="004D6E9F" w:rsidR="00C806B5" w:rsidTr="00DE3575" w14:paraId="7A22BF5D" w14:textId="77777777">
        <w:tc>
          <w:tcPr>
            <w:tcW w:w="4531" w:type="dxa"/>
          </w:tcPr>
          <w:p w:rsidRPr="004D6E9F" w:rsidR="00C806B5" w:rsidP="00DE3575" w:rsidRDefault="00C806B5" w14:paraId="1614DC0C" w14:textId="77777777">
            <w:pPr>
              <w:rPr>
                <w:szCs w:val="18"/>
              </w:rPr>
            </w:pPr>
            <w:r w:rsidRPr="004D6E9F">
              <w:rPr>
                <w:szCs w:val="18"/>
              </w:rPr>
              <w:t>Overheid onderwijs</w:t>
            </w:r>
          </w:p>
        </w:tc>
        <w:tc>
          <w:tcPr>
            <w:tcW w:w="4531" w:type="dxa"/>
          </w:tcPr>
          <w:p w:rsidRPr="004D6E9F" w:rsidR="00C806B5" w:rsidP="00DE3575" w:rsidRDefault="00C806B5" w14:paraId="394A8024" w14:textId="77777777">
            <w:pPr>
              <w:rPr>
                <w:szCs w:val="18"/>
              </w:rPr>
            </w:pPr>
            <w:r w:rsidRPr="004D6E9F">
              <w:rPr>
                <w:szCs w:val="18"/>
              </w:rPr>
              <w:t>4%</w:t>
            </w:r>
          </w:p>
        </w:tc>
      </w:tr>
      <w:tr w:rsidRPr="004D6E9F" w:rsidR="00C806B5" w:rsidTr="00DE3575" w14:paraId="517D6F68" w14:textId="77777777">
        <w:tc>
          <w:tcPr>
            <w:tcW w:w="4531" w:type="dxa"/>
          </w:tcPr>
          <w:p w:rsidRPr="004D6E9F" w:rsidR="00C806B5" w:rsidP="00DE3575" w:rsidRDefault="00C806B5" w14:paraId="22144E45" w14:textId="77777777">
            <w:pPr>
              <w:rPr>
                <w:szCs w:val="18"/>
              </w:rPr>
            </w:pPr>
            <w:r w:rsidRPr="004D6E9F">
              <w:rPr>
                <w:szCs w:val="18"/>
              </w:rPr>
              <w:t>Overheid overig</w:t>
            </w:r>
          </w:p>
        </w:tc>
        <w:tc>
          <w:tcPr>
            <w:tcW w:w="4531" w:type="dxa"/>
          </w:tcPr>
          <w:p w:rsidRPr="004D6E9F" w:rsidR="00C806B5" w:rsidP="00DE3575" w:rsidRDefault="00C806B5" w14:paraId="000B6DBC" w14:textId="77777777">
            <w:pPr>
              <w:rPr>
                <w:szCs w:val="18"/>
              </w:rPr>
            </w:pPr>
            <w:r w:rsidRPr="004D6E9F">
              <w:rPr>
                <w:szCs w:val="18"/>
              </w:rPr>
              <w:t>2%</w:t>
            </w:r>
          </w:p>
        </w:tc>
      </w:tr>
      <w:tr w:rsidRPr="004D6E9F" w:rsidR="00C806B5" w:rsidTr="00DE3575" w14:paraId="2CF54696" w14:textId="77777777">
        <w:tc>
          <w:tcPr>
            <w:tcW w:w="4531" w:type="dxa"/>
          </w:tcPr>
          <w:p w:rsidRPr="004D6E9F" w:rsidR="00C806B5" w:rsidP="00DE3575" w:rsidRDefault="00C806B5" w14:paraId="5427C5C5" w14:textId="77777777">
            <w:pPr>
              <w:rPr>
                <w:szCs w:val="18"/>
              </w:rPr>
            </w:pPr>
            <w:r w:rsidRPr="004D6E9F">
              <w:rPr>
                <w:szCs w:val="18"/>
              </w:rPr>
              <w:t>Financieel en diensten</w:t>
            </w:r>
          </w:p>
        </w:tc>
        <w:tc>
          <w:tcPr>
            <w:tcW w:w="4531" w:type="dxa"/>
          </w:tcPr>
          <w:p w:rsidRPr="004D6E9F" w:rsidR="00C806B5" w:rsidP="00DE3575" w:rsidRDefault="00C806B5" w14:paraId="14DAE7A4" w14:textId="77777777">
            <w:pPr>
              <w:rPr>
                <w:szCs w:val="18"/>
              </w:rPr>
            </w:pPr>
            <w:r w:rsidRPr="004D6E9F">
              <w:rPr>
                <w:szCs w:val="18"/>
              </w:rPr>
              <w:t>21%</w:t>
            </w:r>
          </w:p>
        </w:tc>
      </w:tr>
      <w:tr w:rsidRPr="004D6E9F" w:rsidR="00C806B5" w:rsidTr="00DE3575" w14:paraId="3749FD6F" w14:textId="77777777">
        <w:tc>
          <w:tcPr>
            <w:tcW w:w="4531" w:type="dxa"/>
          </w:tcPr>
          <w:p w:rsidRPr="004D6E9F" w:rsidR="00C806B5" w:rsidP="00DE3575" w:rsidRDefault="00C806B5" w14:paraId="58A1B152" w14:textId="77777777">
            <w:pPr>
              <w:rPr>
                <w:szCs w:val="18"/>
              </w:rPr>
            </w:pPr>
            <w:r w:rsidRPr="004D6E9F">
              <w:rPr>
                <w:szCs w:val="18"/>
              </w:rPr>
              <w:t>Uitzend</w:t>
            </w:r>
          </w:p>
        </w:tc>
        <w:tc>
          <w:tcPr>
            <w:tcW w:w="4531" w:type="dxa"/>
          </w:tcPr>
          <w:p w:rsidRPr="004D6E9F" w:rsidR="00C806B5" w:rsidP="00DE3575" w:rsidRDefault="00C806B5" w14:paraId="4E1C85E8" w14:textId="77777777">
            <w:pPr>
              <w:rPr>
                <w:szCs w:val="18"/>
              </w:rPr>
            </w:pPr>
            <w:r w:rsidRPr="004D6E9F">
              <w:rPr>
                <w:szCs w:val="18"/>
              </w:rPr>
              <w:t>13%</w:t>
            </w:r>
          </w:p>
        </w:tc>
      </w:tr>
      <w:tr w:rsidRPr="004D6E9F" w:rsidR="00C806B5" w:rsidTr="00DE3575" w14:paraId="2DEBF5EF" w14:textId="77777777">
        <w:tc>
          <w:tcPr>
            <w:tcW w:w="4531" w:type="dxa"/>
          </w:tcPr>
          <w:p w:rsidRPr="004D6E9F" w:rsidR="00C806B5" w:rsidP="00DE3575" w:rsidRDefault="00C806B5" w14:paraId="2C8C513C" w14:textId="77777777">
            <w:pPr>
              <w:rPr>
                <w:szCs w:val="18"/>
              </w:rPr>
            </w:pPr>
            <w:r w:rsidRPr="004D6E9F">
              <w:rPr>
                <w:szCs w:val="18"/>
              </w:rPr>
              <w:t>Overig bedrijf en beroep</w:t>
            </w:r>
          </w:p>
        </w:tc>
        <w:tc>
          <w:tcPr>
            <w:tcW w:w="4531" w:type="dxa"/>
          </w:tcPr>
          <w:p w:rsidRPr="004D6E9F" w:rsidR="00C806B5" w:rsidP="00DE3575" w:rsidRDefault="00C806B5" w14:paraId="1E153055" w14:textId="77777777">
            <w:pPr>
              <w:rPr>
                <w:szCs w:val="18"/>
              </w:rPr>
            </w:pPr>
            <w:r w:rsidRPr="004D6E9F">
              <w:rPr>
                <w:szCs w:val="18"/>
              </w:rPr>
              <w:t>7%</w:t>
            </w:r>
          </w:p>
        </w:tc>
      </w:tr>
      <w:tr w:rsidRPr="004D6E9F" w:rsidR="00C806B5" w:rsidTr="00DE3575" w14:paraId="67EAEFC6" w14:textId="77777777">
        <w:tc>
          <w:tcPr>
            <w:tcW w:w="4531" w:type="dxa"/>
          </w:tcPr>
          <w:p w:rsidRPr="004D6E9F" w:rsidR="00C806B5" w:rsidP="00DE3575" w:rsidRDefault="00C806B5" w14:paraId="5046AF7C" w14:textId="77777777">
            <w:pPr>
              <w:rPr>
                <w:szCs w:val="18"/>
              </w:rPr>
            </w:pPr>
            <w:r w:rsidRPr="004D6E9F">
              <w:rPr>
                <w:szCs w:val="18"/>
              </w:rPr>
              <w:t>Overig</w:t>
            </w:r>
          </w:p>
        </w:tc>
        <w:tc>
          <w:tcPr>
            <w:tcW w:w="4531" w:type="dxa"/>
          </w:tcPr>
          <w:p w:rsidRPr="004D6E9F" w:rsidR="00C806B5" w:rsidP="00DE3575" w:rsidRDefault="00C806B5" w14:paraId="42C703D6" w14:textId="77777777">
            <w:pPr>
              <w:rPr>
                <w:szCs w:val="18"/>
              </w:rPr>
            </w:pPr>
            <w:r w:rsidRPr="004D6E9F">
              <w:rPr>
                <w:szCs w:val="18"/>
              </w:rPr>
              <w:t>0%</w:t>
            </w:r>
          </w:p>
        </w:tc>
      </w:tr>
    </w:tbl>
    <w:p w:rsidRPr="00C5308E" w:rsidR="0035330E" w:rsidP="00C806B5" w:rsidRDefault="00C806B5" w14:paraId="79CF5045" w14:textId="128370C2">
      <w:pPr>
        <w:spacing w:after="0" w:line="240" w:lineRule="auto"/>
        <w:contextualSpacing/>
        <w:rPr>
          <w:rFonts w:ascii="Verdana" w:hAnsi="Verdana"/>
          <w:bCs/>
          <w:sz w:val="18"/>
          <w:szCs w:val="18"/>
        </w:rPr>
      </w:pPr>
      <w:r w:rsidRPr="00BA1787">
        <w:rPr>
          <w:rFonts w:ascii="Verdana" w:hAnsi="Verdana"/>
          <w:i/>
          <w:iCs/>
          <w:sz w:val="16"/>
          <w:szCs w:val="16"/>
        </w:rPr>
        <w:t xml:space="preserve">* Cijfers tellen niet volledig op tot 100% door afrondingsverschillen. </w:t>
      </w:r>
    </w:p>
    <w:sectPr w:rsidRPr="00C5308E" w:rsidR="0035330E" w:rsidSect="00652DF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38A1" w14:textId="77777777" w:rsidR="005A366D" w:rsidRDefault="005A366D" w:rsidP="00DF7D23">
      <w:pPr>
        <w:spacing w:after="0" w:line="240" w:lineRule="auto"/>
      </w:pPr>
      <w:r>
        <w:separator/>
      </w:r>
    </w:p>
  </w:endnote>
  <w:endnote w:type="continuationSeparator" w:id="0">
    <w:p w14:paraId="75C963D8" w14:textId="77777777" w:rsidR="005A366D" w:rsidRDefault="005A366D" w:rsidP="00DF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976A" w14:textId="77777777" w:rsidR="00E2546C" w:rsidRDefault="00E254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6269" w14:textId="77777777" w:rsidR="00E2546C" w:rsidRDefault="00E254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4B8" w14:textId="77777777" w:rsidR="00E2546C" w:rsidRDefault="00E254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472E" w14:textId="77777777" w:rsidR="005A366D" w:rsidRDefault="005A366D" w:rsidP="00DF7D23">
      <w:pPr>
        <w:spacing w:after="0" w:line="240" w:lineRule="auto"/>
      </w:pPr>
      <w:r>
        <w:separator/>
      </w:r>
    </w:p>
  </w:footnote>
  <w:footnote w:type="continuationSeparator" w:id="0">
    <w:p w14:paraId="39E07488" w14:textId="77777777" w:rsidR="005A366D" w:rsidRDefault="005A366D" w:rsidP="00DF7D23">
      <w:pPr>
        <w:spacing w:after="0" w:line="240" w:lineRule="auto"/>
      </w:pPr>
      <w:r>
        <w:continuationSeparator/>
      </w:r>
    </w:p>
  </w:footnote>
  <w:footnote w:id="1">
    <w:p w14:paraId="39C4261B" w14:textId="77777777" w:rsidR="009E40FF" w:rsidRPr="004C0310" w:rsidRDefault="009E40FF" w:rsidP="009E40FF">
      <w:pPr>
        <w:pStyle w:val="Voetnoottekst"/>
        <w:rPr>
          <w:sz w:val="16"/>
          <w:szCs w:val="16"/>
        </w:rPr>
      </w:pPr>
      <w:r w:rsidRPr="004C0310">
        <w:rPr>
          <w:rStyle w:val="Voetnootmarkering"/>
          <w:sz w:val="16"/>
          <w:szCs w:val="16"/>
        </w:rPr>
        <w:footnoteRef/>
      </w:r>
      <w:r w:rsidRPr="004C0310">
        <w:rPr>
          <w:sz w:val="16"/>
          <w:szCs w:val="16"/>
        </w:rPr>
        <w:t xml:space="preserve"> Per abuis is in de brief opgenomen dat dit gaat om een verlaging van de subsidie. Het gaat echter om een gedeeltelijke verlenging van de subsidie en daarmee verlaging van het vaste elektratarief. </w:t>
      </w:r>
    </w:p>
  </w:footnote>
  <w:footnote w:id="2">
    <w:p w14:paraId="7EC50D18" w14:textId="1D653911" w:rsidR="0031642E" w:rsidRPr="009B531C" w:rsidRDefault="0031642E" w:rsidP="0031642E">
      <w:pPr>
        <w:spacing w:after="0" w:line="240" w:lineRule="auto"/>
        <w:contextualSpacing/>
        <w:rPr>
          <w:rFonts w:ascii="Verdana" w:hAnsi="Verdana"/>
          <w:bCs/>
          <w:sz w:val="18"/>
          <w:szCs w:val="18"/>
          <w:u w:val="single"/>
        </w:rPr>
      </w:pPr>
      <w:r>
        <w:rPr>
          <w:rStyle w:val="Voetnootmarkering"/>
        </w:rPr>
        <w:footnoteRef/>
      </w:r>
      <w:r>
        <w:t xml:space="preserve"> </w:t>
      </w:r>
      <w:r w:rsidRPr="0031642E">
        <w:rPr>
          <w:rFonts w:ascii="Verdana" w:hAnsi="Verdana"/>
          <w:bCs/>
          <w:sz w:val="16"/>
          <w:szCs w:val="16"/>
        </w:rPr>
        <w:t>Een persoon die voor eigen rekening of risico arbeid verricht in een eigen bedrijf of praktijk (zelfstandig ondernemer) of als directeur-grootaandeelhouder (dga), geen personeel in dienst heeft en vooral eigen arbeid of diensten aanbiedt. Overige zelfstandigen worden ook tot de zzp-eigen arbeid gerekend. Als een persoon meer dan één baan of werkkring heeft, dan wordt uitgegaan van de baan of werkkring waaraan de meeste tijd wordt besteed</w:t>
      </w:r>
      <w:r w:rsidRPr="0031642E">
        <w:rPr>
          <w:rFonts w:ascii="Verdana" w:hAnsi="Verdana"/>
          <w:bCs/>
          <w:sz w:val="16"/>
          <w:szCs w:val="16"/>
          <w:u w:val="single"/>
        </w:rPr>
        <w:t>.</w:t>
      </w:r>
    </w:p>
    <w:p w14:paraId="56349CD7" w14:textId="689453F1" w:rsidR="0031642E" w:rsidRDefault="0031642E">
      <w:pPr>
        <w:pStyle w:val="Voetnoottekst"/>
      </w:pPr>
    </w:p>
  </w:footnote>
  <w:footnote w:id="3">
    <w:p w14:paraId="15BD9989" w14:textId="77777777" w:rsidR="0096314B" w:rsidRPr="00C5308E" w:rsidRDefault="0096314B" w:rsidP="0096314B">
      <w:pPr>
        <w:spacing w:after="0" w:line="240" w:lineRule="auto"/>
        <w:contextualSpacing/>
        <w:rPr>
          <w:rFonts w:ascii="Verdana" w:hAnsi="Verdana"/>
          <w:bCs/>
          <w:sz w:val="16"/>
          <w:szCs w:val="16"/>
        </w:rPr>
      </w:pPr>
      <w:r>
        <w:rPr>
          <w:rStyle w:val="Voetnootmarkering"/>
        </w:rPr>
        <w:footnoteRef/>
      </w:r>
      <w:r>
        <w:t xml:space="preserve"> </w:t>
      </w:r>
      <w:r w:rsidRPr="00C5308E">
        <w:rPr>
          <w:rFonts w:ascii="Verdana" w:hAnsi="Verdana"/>
          <w:bCs/>
          <w:sz w:val="16"/>
          <w:szCs w:val="16"/>
        </w:rPr>
        <w:t>Bron: CBS Statline: Werkzame beroepsbevolking; bedrijf. Geraadpleegd op 24-05-2025.</w:t>
      </w:r>
    </w:p>
    <w:p w14:paraId="4583C85A" w14:textId="0BEA2F82" w:rsidR="0096314B" w:rsidRDefault="0096314B" w:rsidP="0096314B">
      <w:pPr>
        <w:spacing w:after="0" w:line="240" w:lineRule="auto"/>
        <w:contextualSpacing/>
      </w:pPr>
      <w:r w:rsidRPr="00C5308E">
        <w:rPr>
          <w:rFonts w:ascii="Verdana" w:hAnsi="Verdana"/>
          <w:bCs/>
          <w:sz w:val="16"/>
          <w:szCs w:val="16"/>
        </w:rPr>
        <w:t>Bron: TNO: Zelfstandigen Enquête Arbeid 2023- Resultaten in Vogelvlucht.</w:t>
      </w:r>
    </w:p>
  </w:footnote>
  <w:footnote w:id="4">
    <w:p w14:paraId="5DB09174" w14:textId="77777777" w:rsidR="007D71BC" w:rsidRPr="007D71BC" w:rsidRDefault="007D71BC" w:rsidP="007D71BC">
      <w:pPr>
        <w:spacing w:after="0" w:line="240" w:lineRule="auto"/>
        <w:contextualSpacing/>
        <w:rPr>
          <w:rFonts w:ascii="Verdana" w:hAnsi="Verdana"/>
          <w:bCs/>
          <w:sz w:val="16"/>
          <w:szCs w:val="16"/>
        </w:rPr>
      </w:pPr>
      <w:r>
        <w:rPr>
          <w:rStyle w:val="Voetnootmarkering"/>
        </w:rPr>
        <w:footnoteRef/>
      </w:r>
      <w:r>
        <w:t xml:space="preserve"> </w:t>
      </w:r>
      <w:r w:rsidRPr="007D71BC">
        <w:rPr>
          <w:rFonts w:ascii="Verdana" w:hAnsi="Verdana"/>
          <w:bCs/>
          <w:sz w:val="16"/>
          <w:szCs w:val="16"/>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w:t>
      </w:r>
    </w:p>
    <w:p w14:paraId="64AA6D4F" w14:textId="59C8EF7F" w:rsidR="007D71BC" w:rsidRDefault="007D71BC">
      <w:pPr>
        <w:pStyle w:val="Voetnoottekst"/>
      </w:pPr>
    </w:p>
  </w:footnote>
  <w:footnote w:id="5">
    <w:p w14:paraId="0298B462" w14:textId="77777777" w:rsidR="007D71BC" w:rsidRPr="007D71BC" w:rsidRDefault="007D71BC" w:rsidP="007D71BC">
      <w:pPr>
        <w:spacing w:after="0" w:line="240" w:lineRule="auto"/>
        <w:contextualSpacing/>
        <w:rPr>
          <w:rFonts w:ascii="Verdana" w:hAnsi="Verdana"/>
          <w:bCs/>
          <w:sz w:val="16"/>
          <w:szCs w:val="16"/>
        </w:rPr>
      </w:pPr>
      <w:r>
        <w:rPr>
          <w:rStyle w:val="Voetnootmarkering"/>
        </w:rPr>
        <w:footnoteRef/>
      </w:r>
      <w:r>
        <w:t xml:space="preserve"> </w:t>
      </w:r>
      <w:r w:rsidRPr="007D71BC">
        <w:rPr>
          <w:rFonts w:ascii="Verdana" w:hAnsi="Verdana"/>
          <w:bCs/>
          <w:sz w:val="16"/>
          <w:szCs w:val="16"/>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w:t>
      </w:r>
    </w:p>
    <w:p w14:paraId="0A78E023" w14:textId="374CC235" w:rsidR="007D71BC" w:rsidRPr="007D71BC" w:rsidRDefault="007D71BC">
      <w:pPr>
        <w:pStyle w:val="Voetnoottekst"/>
        <w:rPr>
          <w:sz w:val="16"/>
          <w:szCs w:val="16"/>
        </w:rPr>
      </w:pPr>
    </w:p>
  </w:footnote>
  <w:footnote w:id="6">
    <w:p w14:paraId="45E0E753" w14:textId="48D03337" w:rsidR="0096314B" w:rsidRPr="0096314B" w:rsidRDefault="0096314B" w:rsidP="0096314B">
      <w:pPr>
        <w:spacing w:after="0" w:line="240" w:lineRule="auto"/>
        <w:contextualSpacing/>
        <w:rPr>
          <w:rFonts w:ascii="Verdana" w:hAnsi="Verdana"/>
          <w:bCs/>
          <w:sz w:val="18"/>
          <w:szCs w:val="18"/>
        </w:rPr>
      </w:pPr>
      <w:r>
        <w:rPr>
          <w:rStyle w:val="Voetnootmarkering"/>
        </w:rPr>
        <w:footnoteRef/>
      </w:r>
      <w:r>
        <w:t xml:space="preserve"> </w:t>
      </w:r>
      <w:r w:rsidRPr="00C5308E">
        <w:rPr>
          <w:rFonts w:ascii="Verdana" w:hAnsi="Verdana"/>
          <w:bCs/>
          <w:sz w:val="16"/>
          <w:szCs w:val="16"/>
        </w:rPr>
        <w:t>Bron: CBS Statline: Zelfstandigen; persoonskenmerken en bedrijfstak (SBI 2008). Geraadpleegd op 24-05-2025.</w:t>
      </w:r>
    </w:p>
  </w:footnote>
  <w:footnote w:id="7">
    <w:p w14:paraId="00773C6F" w14:textId="78C8C23A" w:rsidR="0096314B" w:rsidRPr="0096314B" w:rsidRDefault="0096314B" w:rsidP="0096314B">
      <w:pPr>
        <w:spacing w:after="0" w:line="240" w:lineRule="auto"/>
        <w:contextualSpacing/>
        <w:rPr>
          <w:rFonts w:ascii="Verdana" w:hAnsi="Verdana"/>
          <w:bCs/>
          <w:sz w:val="18"/>
          <w:szCs w:val="18"/>
        </w:rPr>
      </w:pPr>
      <w:r>
        <w:rPr>
          <w:rStyle w:val="Voetnootmarkering"/>
        </w:rPr>
        <w:footnoteRef/>
      </w:r>
      <w:r>
        <w:t xml:space="preserve"> </w:t>
      </w:r>
      <w:r w:rsidRPr="00C5308E">
        <w:rPr>
          <w:rFonts w:ascii="Verdana" w:hAnsi="Verdana"/>
          <w:bCs/>
          <w:sz w:val="16"/>
          <w:szCs w:val="16"/>
        </w:rPr>
        <w:t xml:space="preserve">Bron: TNO: Zelfstandigen Enquête Arbeid 2023- Resultaten in Vogelvlucht. </w:t>
      </w:r>
    </w:p>
    <w:p w14:paraId="63A61031" w14:textId="795624A5" w:rsidR="0096314B" w:rsidRDefault="0096314B">
      <w:pPr>
        <w:pStyle w:val="Voetnoottekst"/>
      </w:pPr>
    </w:p>
  </w:footnote>
  <w:footnote w:id="8">
    <w:p w14:paraId="7B2ECE63" w14:textId="77777777" w:rsidR="00DF7D23" w:rsidRPr="007D71BC" w:rsidRDefault="00DF7D23" w:rsidP="00DF7D23">
      <w:pPr>
        <w:pStyle w:val="Voetnoottekst"/>
        <w:rPr>
          <w:sz w:val="16"/>
          <w:szCs w:val="16"/>
        </w:rPr>
      </w:pPr>
      <w:r w:rsidRPr="007D71BC">
        <w:rPr>
          <w:rStyle w:val="Voetnootmarkering"/>
          <w:sz w:val="16"/>
          <w:szCs w:val="16"/>
        </w:rPr>
        <w:footnoteRef/>
      </w:r>
      <w:r w:rsidRPr="007D71BC">
        <w:rPr>
          <w:sz w:val="16"/>
          <w:szCs w:val="16"/>
        </w:rPr>
        <w:t xml:space="preserve"> CBS en TNO, Zelfstandigen Enquête Arbeid 2023 (ZEA)</w:t>
      </w:r>
    </w:p>
  </w:footnote>
  <w:footnote w:id="9">
    <w:p w14:paraId="3FFAB6A0" w14:textId="394F0360" w:rsidR="00A92A59" w:rsidRDefault="00A92A59">
      <w:pPr>
        <w:pStyle w:val="Voetnoottekst"/>
      </w:pPr>
      <w:r>
        <w:rPr>
          <w:rStyle w:val="Voetnootmarkering"/>
        </w:rPr>
        <w:footnoteRef/>
      </w:r>
      <w:r>
        <w:t xml:space="preserve"> </w:t>
      </w:r>
      <w:r w:rsidRPr="007D71BC">
        <w:rPr>
          <w:sz w:val="16"/>
          <w:szCs w:val="16"/>
        </w:rPr>
        <w:t>CBS, Werknemers zonder pensioen 2022</w:t>
      </w:r>
    </w:p>
  </w:footnote>
  <w:footnote w:id="10">
    <w:p w14:paraId="3A5F9322" w14:textId="526C7818" w:rsidR="00A92A59" w:rsidRDefault="00A92A59">
      <w:pPr>
        <w:pStyle w:val="Voetnoottekst"/>
      </w:pPr>
      <w:r>
        <w:rPr>
          <w:rStyle w:val="Voetnootmarkering"/>
        </w:rPr>
        <w:footnoteRef/>
      </w:r>
      <w:r>
        <w:t xml:space="preserve"> </w:t>
      </w:r>
      <w:r w:rsidRPr="007D71BC">
        <w:rPr>
          <w:sz w:val="16"/>
          <w:szCs w:val="16"/>
        </w:rPr>
        <w:t>DNB, Werkenden zonder pensioenopbouw</w:t>
      </w:r>
    </w:p>
  </w:footnote>
  <w:footnote w:id="11">
    <w:p w14:paraId="5403AC22" w14:textId="71E07F2D" w:rsidR="00A64929" w:rsidRDefault="00A64929">
      <w:pPr>
        <w:pStyle w:val="Voetnoottekst"/>
      </w:pPr>
      <w:r w:rsidRPr="007D71BC">
        <w:rPr>
          <w:rStyle w:val="Voetnootmarkering"/>
          <w:sz w:val="16"/>
          <w:szCs w:val="16"/>
        </w:rPr>
        <w:footnoteRef/>
      </w:r>
      <w:r w:rsidRPr="007D71BC">
        <w:rPr>
          <w:sz w:val="16"/>
          <w:szCs w:val="16"/>
        </w:rPr>
        <w:t xml:space="preserve"> IBO Pensioenopbouw in balans</w:t>
      </w:r>
    </w:p>
  </w:footnote>
  <w:footnote w:id="12">
    <w:p w14:paraId="5438B458" w14:textId="2B90316A" w:rsidR="00F607B3" w:rsidRPr="00F607B3" w:rsidRDefault="00F607B3">
      <w:pPr>
        <w:pStyle w:val="Voetnoottekst"/>
        <w:rPr>
          <w:sz w:val="16"/>
          <w:szCs w:val="16"/>
        </w:rPr>
      </w:pPr>
      <w:r w:rsidRPr="00F607B3">
        <w:rPr>
          <w:rStyle w:val="Voetnootmarkering"/>
          <w:sz w:val="16"/>
          <w:szCs w:val="16"/>
        </w:rPr>
        <w:footnoteRef/>
      </w:r>
      <w:r w:rsidRPr="00F607B3">
        <w:rPr>
          <w:sz w:val="16"/>
          <w:szCs w:val="16"/>
        </w:rPr>
        <w:t xml:space="preserve"> Een fictieve dienstbetrekking is een arbeidsverhouding die </w:t>
      </w:r>
      <w:r w:rsidRPr="00F607B3">
        <w:rPr>
          <w:i/>
          <w:iCs/>
          <w:sz w:val="16"/>
          <w:szCs w:val="16"/>
        </w:rPr>
        <w:t xml:space="preserve">niet </w:t>
      </w:r>
      <w:r w:rsidRPr="00F607B3">
        <w:rPr>
          <w:sz w:val="16"/>
          <w:szCs w:val="16"/>
        </w:rPr>
        <w:t xml:space="preserve">voldoet aan alle kenmerken van een arbeidsovereenkomst (loon, persoonlijke arbeid en gezag), maar voor de loonbelasting en/of de werknemersverzekeringen </w:t>
      </w:r>
      <w:r w:rsidRPr="00F607B3">
        <w:rPr>
          <w:i/>
          <w:iCs/>
          <w:sz w:val="16"/>
          <w:szCs w:val="16"/>
        </w:rPr>
        <w:t>wel</w:t>
      </w:r>
      <w:r w:rsidRPr="00F607B3">
        <w:rPr>
          <w:sz w:val="16"/>
          <w:szCs w:val="16"/>
        </w:rPr>
        <w:t xml:space="preserve"> als een dienstbetrekking wordt beschouwd. Voorbeelden zijn onder andere de fictieve dienstbetrekking voor tussenkomst, sexwerk, thuiswerk, gelijkgestelden en voor leerlingen en stagiairs.</w:t>
      </w:r>
    </w:p>
  </w:footnote>
  <w:footnote w:id="13">
    <w:p w14:paraId="40D8F2B3" w14:textId="77777777" w:rsidR="003A3DFD" w:rsidRPr="00C70414" w:rsidRDefault="003A3DFD" w:rsidP="003A3DFD">
      <w:pPr>
        <w:pStyle w:val="Voetnoottekst"/>
        <w:rPr>
          <w:sz w:val="16"/>
          <w:szCs w:val="16"/>
        </w:rPr>
      </w:pPr>
      <w:r w:rsidRPr="00C70414">
        <w:rPr>
          <w:rStyle w:val="Voetnootmarkering"/>
          <w:sz w:val="16"/>
          <w:szCs w:val="16"/>
        </w:rPr>
        <w:footnoteRef/>
      </w:r>
      <w:r w:rsidRPr="00C70414">
        <w:rPr>
          <w:sz w:val="16"/>
          <w:szCs w:val="16"/>
        </w:rPr>
        <w:t xml:space="preserve"> Stb. 2016, 45. Deze wet is op 1 mei 2016 in werking getreden bij besluit van 8 april 2016, Stb. 2016,166.</w:t>
      </w:r>
    </w:p>
  </w:footnote>
  <w:footnote w:id="14">
    <w:p w14:paraId="63AB35FC" w14:textId="77777777" w:rsidR="00173FB1" w:rsidRPr="00C70414" w:rsidRDefault="00173FB1" w:rsidP="00173FB1">
      <w:pPr>
        <w:pStyle w:val="Voetnoottekst"/>
        <w:rPr>
          <w:sz w:val="16"/>
          <w:szCs w:val="16"/>
        </w:rPr>
      </w:pPr>
      <w:r w:rsidRPr="00C70414">
        <w:rPr>
          <w:rStyle w:val="Voetnootmarkering"/>
          <w:sz w:val="16"/>
          <w:szCs w:val="16"/>
        </w:rPr>
        <w:footnoteRef/>
      </w:r>
      <w:r w:rsidRPr="00C70414">
        <w:rPr>
          <w:sz w:val="16"/>
          <w:szCs w:val="16"/>
        </w:rPr>
        <w:t xml:space="preserve"> Wet van 20 december 2001, Stb. 2001, 695</w:t>
      </w:r>
    </w:p>
  </w:footnote>
  <w:footnote w:id="15">
    <w:p w14:paraId="3A42F098" w14:textId="77777777" w:rsidR="00173FB1" w:rsidRPr="00C70414" w:rsidRDefault="00173FB1" w:rsidP="00173FB1">
      <w:pPr>
        <w:pStyle w:val="Voetnoottekst"/>
        <w:rPr>
          <w:sz w:val="16"/>
          <w:szCs w:val="16"/>
        </w:rPr>
      </w:pPr>
      <w:r w:rsidRPr="00C70414">
        <w:rPr>
          <w:rStyle w:val="Voetnootmarkering"/>
          <w:sz w:val="16"/>
          <w:szCs w:val="16"/>
        </w:rPr>
        <w:footnoteRef/>
      </w:r>
      <w:r w:rsidRPr="00C70414">
        <w:rPr>
          <w:sz w:val="16"/>
          <w:szCs w:val="16"/>
        </w:rPr>
        <w:t xml:space="preserve"> Staatsblad 2004, 720 en Staatsblad 2004, 72</w:t>
      </w:r>
    </w:p>
  </w:footnote>
  <w:footnote w:id="16">
    <w:p w14:paraId="3514CE36" w14:textId="77777777" w:rsidR="00173FB1" w:rsidRPr="00C70414" w:rsidRDefault="00173FB1" w:rsidP="00173FB1">
      <w:pPr>
        <w:pStyle w:val="Voetnoottekst"/>
        <w:rPr>
          <w:sz w:val="16"/>
          <w:szCs w:val="16"/>
        </w:rPr>
      </w:pPr>
      <w:r w:rsidRPr="00C70414">
        <w:rPr>
          <w:rStyle w:val="Voetnootmarkering"/>
          <w:sz w:val="16"/>
          <w:szCs w:val="16"/>
        </w:rPr>
        <w:footnoteRef/>
      </w:r>
      <w:r w:rsidRPr="00C70414">
        <w:rPr>
          <w:sz w:val="16"/>
          <w:szCs w:val="16"/>
        </w:rPr>
        <w:t xml:space="preserve"> Stb. 2016, 45. Deze wet is op 1 mei 2016 in werking getreden bij besluit van 8 april 2016, Stb. 2016,166.</w:t>
      </w:r>
    </w:p>
  </w:footnote>
  <w:footnote w:id="17">
    <w:p w14:paraId="117C68DF" w14:textId="77777777" w:rsidR="00173FB1" w:rsidRPr="00C70414" w:rsidRDefault="00173FB1" w:rsidP="00173FB1">
      <w:pPr>
        <w:pStyle w:val="Voetnoottekst"/>
        <w:rPr>
          <w:sz w:val="16"/>
          <w:szCs w:val="16"/>
        </w:rPr>
      </w:pPr>
      <w:r w:rsidRPr="00C70414">
        <w:rPr>
          <w:rStyle w:val="Voetnootmarkering"/>
          <w:sz w:val="16"/>
          <w:szCs w:val="16"/>
        </w:rPr>
        <w:footnoteRef/>
      </w:r>
      <w:r w:rsidRPr="00C70414">
        <w:rPr>
          <w:sz w:val="16"/>
          <w:szCs w:val="16"/>
        </w:rPr>
        <w:t xml:space="preserve"> Zie Commissie Modelovereenkomsten Eindrapport, november 2016.</w:t>
      </w:r>
    </w:p>
  </w:footnote>
  <w:footnote w:id="18">
    <w:p w14:paraId="6CCFFACA" w14:textId="77777777" w:rsidR="00173FB1" w:rsidRPr="00C70414" w:rsidRDefault="00173FB1" w:rsidP="00173FB1">
      <w:pPr>
        <w:pStyle w:val="Voetnoottekst"/>
        <w:rPr>
          <w:sz w:val="16"/>
          <w:szCs w:val="16"/>
        </w:rPr>
      </w:pPr>
      <w:r w:rsidRPr="00C70414">
        <w:rPr>
          <w:rStyle w:val="Voetnootmarkering"/>
          <w:sz w:val="16"/>
          <w:szCs w:val="16"/>
        </w:rPr>
        <w:footnoteRef/>
      </w:r>
      <w:r w:rsidRPr="00C70414">
        <w:rPr>
          <w:sz w:val="16"/>
          <w:szCs w:val="16"/>
        </w:rPr>
        <w:t xml:space="preserve"> Hoge Raad 24 maart 2023, ECLI:NL:HR:2023:443</w:t>
      </w:r>
    </w:p>
  </w:footnote>
  <w:footnote w:id="19">
    <w:p w14:paraId="01D5180A" w14:textId="77777777" w:rsidR="00173FB1" w:rsidRPr="0081421D" w:rsidRDefault="00173FB1" w:rsidP="00173FB1">
      <w:pPr>
        <w:pStyle w:val="Voetnoottekst"/>
        <w:rPr>
          <w:sz w:val="13"/>
          <w:szCs w:val="13"/>
        </w:rPr>
      </w:pPr>
      <w:r w:rsidRPr="00C70414">
        <w:rPr>
          <w:rStyle w:val="Voetnootmarkering"/>
          <w:sz w:val="16"/>
          <w:szCs w:val="16"/>
        </w:rPr>
        <w:footnoteRef/>
      </w:r>
      <w:r w:rsidRPr="00C70414">
        <w:rPr>
          <w:sz w:val="16"/>
          <w:szCs w:val="16"/>
        </w:rPr>
        <w:t xml:space="preserve"> Kamerbrief opheffen handhavingsmoratorium van 6 september 2024</w:t>
      </w:r>
    </w:p>
  </w:footnote>
  <w:footnote w:id="20">
    <w:p w14:paraId="6073E845" w14:textId="1A9F399F"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Sociaal-Economische Raad. Zekerheid voor mensen, een wendbare economie en herstel van de samenleving (2021). </w:t>
      </w:r>
    </w:p>
  </w:footnote>
  <w:footnote w:id="21">
    <w:p w14:paraId="59A278E7" w14:textId="6972424E"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Coalitieakkoord 'Omzien naar elkaar, vooruitkijken naar de toekomst', Coalitieakkoord tussen VVD, D66, CDA en ChristenUnie. Het akkoord is op 15 december 2021 gepresenteerd. </w:t>
      </w:r>
    </w:p>
  </w:footnote>
  <w:footnote w:id="22">
    <w:p w14:paraId="7D9E5C1A"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Regeerprogramma. Uitwerking van het hoofdlijnenakkoord ‘hoop, lef en trots’ tussen PVV, VVD, NSC en BBB. Het akkoord is op 13 september 2024 gepresenteerd.</w:t>
      </w:r>
    </w:p>
  </w:footnote>
  <w:footnote w:id="23">
    <w:p w14:paraId="1F75570E" w14:textId="12CB3E10" w:rsidR="003A3DFD" w:rsidRPr="000429CB"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https://data.consilium.europa.eu/doc/document/ST-10172-2019-INIT/nl/pdf (2019)</w:t>
      </w:r>
      <w:r w:rsidR="00FE4028">
        <w:rPr>
          <w:sz w:val="16"/>
          <w:szCs w:val="16"/>
        </w:rPr>
        <w:t>.</w:t>
      </w:r>
      <w:r w:rsidRPr="00F1770A">
        <w:rPr>
          <w:sz w:val="16"/>
          <w:szCs w:val="16"/>
        </w:rPr>
        <w:t xml:space="preserve"> https://data.consilium.europa.eu/doc/document/ST-9766-2022-INIT/nl/pdf (2022)</w:t>
      </w:r>
      <w:r w:rsidR="00FE4028">
        <w:rPr>
          <w:sz w:val="16"/>
          <w:szCs w:val="16"/>
        </w:rPr>
        <w:t>.</w:t>
      </w:r>
      <w:r w:rsidRPr="00F1770A">
        <w:rPr>
          <w:sz w:val="16"/>
          <w:szCs w:val="16"/>
        </w:rPr>
        <w:t xml:space="preserve"> </w:t>
      </w:r>
    </w:p>
  </w:footnote>
  <w:footnote w:id="24">
    <w:p w14:paraId="6071621C" w14:textId="77777777" w:rsidR="003A3DFD" w:rsidRPr="000429CB" w:rsidRDefault="003A3DFD" w:rsidP="003A3DFD">
      <w:pPr>
        <w:pStyle w:val="Voetnoottekst"/>
        <w:rPr>
          <w:sz w:val="16"/>
          <w:szCs w:val="16"/>
          <w:lang w:val="en-US"/>
        </w:rPr>
      </w:pPr>
      <w:r w:rsidRPr="000429CB">
        <w:rPr>
          <w:rStyle w:val="Voetnootmarkering"/>
          <w:sz w:val="16"/>
          <w:szCs w:val="16"/>
        </w:rPr>
        <w:footnoteRef/>
      </w:r>
      <w:r w:rsidRPr="000429CB">
        <w:rPr>
          <w:sz w:val="16"/>
          <w:szCs w:val="16"/>
          <w:lang w:val="en-US"/>
        </w:rPr>
        <w:t xml:space="preserve"> OECD, Input to the Netherlands Independent Commission on the Regulation of Work (2019).</w:t>
      </w:r>
    </w:p>
  </w:footnote>
  <w:footnote w:id="25">
    <w:p w14:paraId="78CDBE6F" w14:textId="77777777" w:rsidR="003A3DFD" w:rsidRDefault="003A3DFD" w:rsidP="003A3DFD">
      <w:pPr>
        <w:pStyle w:val="Voetnoottekst"/>
      </w:pPr>
      <w:r w:rsidRPr="000429CB">
        <w:rPr>
          <w:rStyle w:val="Voetnootmarkering"/>
          <w:sz w:val="16"/>
          <w:szCs w:val="16"/>
        </w:rPr>
        <w:footnoteRef/>
      </w:r>
      <w:r w:rsidRPr="000429CB">
        <w:rPr>
          <w:sz w:val="16"/>
          <w:szCs w:val="16"/>
        </w:rPr>
        <w:t xml:space="preserve"> WRR, Het betere werk. De nieuwe maatschappelijke opdracht (2020).</w:t>
      </w:r>
    </w:p>
  </w:footnote>
  <w:footnote w:id="26">
    <w:p w14:paraId="5DE4DCF1" w14:textId="78FAEBDF" w:rsidR="003A3DFD" w:rsidRPr="000429CB" w:rsidRDefault="003A3DFD" w:rsidP="003A3DFD">
      <w:pPr>
        <w:pStyle w:val="Voetnoottekst"/>
        <w:rPr>
          <w:sz w:val="16"/>
          <w:szCs w:val="16"/>
        </w:rPr>
      </w:pPr>
      <w:r w:rsidRPr="000429CB">
        <w:rPr>
          <w:rStyle w:val="Voetnootmarkering"/>
          <w:sz w:val="16"/>
          <w:szCs w:val="16"/>
        </w:rPr>
        <w:footnoteRef/>
      </w:r>
      <w:r w:rsidRPr="000429CB">
        <w:rPr>
          <w:sz w:val="16"/>
          <w:szCs w:val="16"/>
        </w:rPr>
        <w:t xml:space="preserve"> https://data.consilium.europa.eu/doc/document/ST-10172-2019-INIT/nl/pdf (2019), https://data.consilium.europa.eu/doc/document/ST-9766-2022-INIT/nl/pdf (2022)</w:t>
      </w:r>
    </w:p>
  </w:footnote>
  <w:footnote w:id="27">
    <w:p w14:paraId="7C552208" w14:textId="77777777" w:rsidR="003A3DFD" w:rsidRPr="000D1643" w:rsidRDefault="003A3DFD" w:rsidP="003A3DFD">
      <w:pPr>
        <w:pStyle w:val="Voetnoottekst"/>
        <w:rPr>
          <w:sz w:val="16"/>
          <w:szCs w:val="16"/>
        </w:rPr>
      </w:pPr>
      <w:r w:rsidRPr="000D1643">
        <w:rPr>
          <w:rStyle w:val="Voetnootmarkering"/>
          <w:sz w:val="16"/>
          <w:szCs w:val="16"/>
        </w:rPr>
        <w:footnoteRef/>
      </w:r>
      <w:r w:rsidRPr="000D1643">
        <w:rPr>
          <w:sz w:val="16"/>
          <w:szCs w:val="16"/>
        </w:rPr>
        <w:t xml:space="preserve"> CBS Statline. </w:t>
      </w:r>
      <w:hyperlink r:id="rId1" w:history="1">
        <w:r w:rsidRPr="000D1643">
          <w:rPr>
            <w:rStyle w:val="Hyperlink"/>
            <w:sz w:val="16"/>
            <w:szCs w:val="16"/>
          </w:rPr>
          <w:t>Is elders in de EU het aandeel zzp’ers zo hoog als in Nederland? | CBS</w:t>
        </w:r>
      </w:hyperlink>
    </w:p>
  </w:footnote>
  <w:footnote w:id="28">
    <w:p w14:paraId="055601F0" w14:textId="77777777" w:rsidR="003A3DFD" w:rsidRPr="00E1217C" w:rsidRDefault="003A3DFD" w:rsidP="003A3DFD">
      <w:pPr>
        <w:pStyle w:val="Voetnoottekst"/>
        <w:rPr>
          <w:sz w:val="16"/>
          <w:szCs w:val="16"/>
        </w:rPr>
      </w:pPr>
      <w:r w:rsidRPr="00E1217C">
        <w:rPr>
          <w:rStyle w:val="Voetnootmarkering"/>
          <w:sz w:val="16"/>
          <w:szCs w:val="16"/>
        </w:rPr>
        <w:footnoteRef/>
      </w:r>
      <w:r w:rsidRPr="00E1217C">
        <w:rPr>
          <w:sz w:val="16"/>
          <w:szCs w:val="16"/>
        </w:rPr>
        <w:t xml:space="preserve"> Ipsos I&amp;O, </w:t>
      </w:r>
      <w:r w:rsidRPr="00E1217C">
        <w:rPr>
          <w:i/>
          <w:iCs/>
          <w:sz w:val="16"/>
          <w:szCs w:val="16"/>
        </w:rPr>
        <w:t>Monitor schijnzelfstandigheid 1-meting</w:t>
      </w:r>
      <w:r w:rsidRPr="00E1217C">
        <w:rPr>
          <w:sz w:val="16"/>
          <w:szCs w:val="16"/>
        </w:rPr>
        <w:t>, 28 februari 2025, p. 47.</w:t>
      </w:r>
    </w:p>
  </w:footnote>
  <w:footnote w:id="29">
    <w:p w14:paraId="4F9507AA" w14:textId="77777777" w:rsidR="003A3DFD" w:rsidRDefault="003A3DFD" w:rsidP="003A3DFD">
      <w:pPr>
        <w:pStyle w:val="Voetnoottekst"/>
      </w:pPr>
      <w:r>
        <w:rPr>
          <w:rStyle w:val="Voetnootmarkering"/>
        </w:rPr>
        <w:footnoteRef/>
      </w:r>
      <w:r>
        <w:t xml:space="preserve"> </w:t>
      </w:r>
      <w:r w:rsidRPr="00E1217C">
        <w:rPr>
          <w:sz w:val="16"/>
          <w:szCs w:val="16"/>
        </w:rPr>
        <w:t xml:space="preserve">Ipsos I&amp;O, </w:t>
      </w:r>
      <w:r w:rsidRPr="00E1217C">
        <w:rPr>
          <w:i/>
          <w:iCs/>
          <w:sz w:val="16"/>
          <w:szCs w:val="16"/>
        </w:rPr>
        <w:t>Monitor schijnzelfstandigheid 1-meting</w:t>
      </w:r>
      <w:r w:rsidRPr="00E1217C">
        <w:rPr>
          <w:sz w:val="16"/>
          <w:szCs w:val="16"/>
        </w:rPr>
        <w:t>, 28 februari 2025, p. 4</w:t>
      </w:r>
      <w:r>
        <w:rPr>
          <w:sz w:val="16"/>
          <w:szCs w:val="16"/>
        </w:rPr>
        <w:t>8.</w:t>
      </w:r>
    </w:p>
  </w:footnote>
  <w:footnote w:id="30">
    <w:p w14:paraId="5556F6F2" w14:textId="22193F53" w:rsidR="0096314B" w:rsidRPr="0096314B" w:rsidRDefault="0096314B" w:rsidP="0096314B">
      <w:pPr>
        <w:spacing w:after="0" w:line="240" w:lineRule="auto"/>
        <w:contextualSpacing/>
        <w:rPr>
          <w:rFonts w:ascii="Verdana" w:hAnsi="Verdana"/>
          <w:bCs/>
          <w:sz w:val="18"/>
          <w:szCs w:val="18"/>
        </w:rPr>
      </w:pPr>
      <w:r>
        <w:rPr>
          <w:rStyle w:val="Voetnootmarkering"/>
        </w:rPr>
        <w:footnoteRef/>
      </w:r>
      <w:r>
        <w:t xml:space="preserve"> </w:t>
      </w:r>
      <w:r w:rsidRPr="00C5308E">
        <w:rPr>
          <w:rFonts w:ascii="Verdana" w:hAnsi="Verdana"/>
          <w:bCs/>
          <w:sz w:val="16"/>
          <w:szCs w:val="16"/>
        </w:rPr>
        <w:t xml:space="preserve">Bronnen: </w:t>
      </w:r>
    </w:p>
    <w:p w14:paraId="044C7C95" w14:textId="77777777" w:rsidR="0096314B" w:rsidRPr="00C5308E" w:rsidRDefault="0096314B" w:rsidP="0096314B">
      <w:pPr>
        <w:spacing w:after="0" w:line="240" w:lineRule="auto"/>
        <w:contextualSpacing/>
        <w:rPr>
          <w:rFonts w:ascii="Verdana" w:hAnsi="Verdana"/>
          <w:bCs/>
          <w:sz w:val="16"/>
          <w:szCs w:val="16"/>
        </w:rPr>
      </w:pPr>
      <w:r w:rsidRPr="00C5308E">
        <w:rPr>
          <w:rFonts w:ascii="Verdana" w:hAnsi="Verdana"/>
          <w:bCs/>
          <w:sz w:val="16"/>
          <w:szCs w:val="16"/>
        </w:rPr>
        <w:t xml:space="preserve">KVK, onderzoek impact van handhaving op schijnzelfstandigheid, geraadpleegd op 23 mei 2025 </w:t>
      </w:r>
    </w:p>
    <w:p w14:paraId="05540B5E" w14:textId="77777777" w:rsidR="0096314B" w:rsidRPr="00C5308E" w:rsidRDefault="0096314B" w:rsidP="0096314B">
      <w:pPr>
        <w:spacing w:after="0" w:line="240" w:lineRule="auto"/>
        <w:contextualSpacing/>
        <w:rPr>
          <w:rFonts w:ascii="Verdana" w:hAnsi="Verdana"/>
          <w:bCs/>
          <w:sz w:val="16"/>
          <w:szCs w:val="16"/>
        </w:rPr>
      </w:pPr>
      <w:r w:rsidRPr="00C5308E">
        <w:rPr>
          <w:rFonts w:ascii="Verdana" w:hAnsi="Verdana"/>
          <w:bCs/>
          <w:sz w:val="16"/>
          <w:szCs w:val="16"/>
        </w:rPr>
        <w:t>KVK, zzp monitor april 2025, geraadpleegd op 23 mei 2025</w:t>
      </w:r>
    </w:p>
    <w:p w14:paraId="0444C136" w14:textId="77777777" w:rsidR="0096314B" w:rsidRPr="00C5308E" w:rsidRDefault="0096314B" w:rsidP="0096314B">
      <w:pPr>
        <w:spacing w:after="0" w:line="240" w:lineRule="auto"/>
        <w:contextualSpacing/>
        <w:rPr>
          <w:rFonts w:ascii="Verdana" w:hAnsi="Verdana"/>
          <w:bCs/>
          <w:sz w:val="16"/>
          <w:szCs w:val="16"/>
        </w:rPr>
      </w:pPr>
      <w:r w:rsidRPr="00C5308E">
        <w:rPr>
          <w:rFonts w:ascii="Verdana" w:hAnsi="Verdana"/>
          <w:bCs/>
          <w:sz w:val="16"/>
          <w:szCs w:val="16"/>
        </w:rPr>
        <w:t>CBS, afname aantal zzp’ers na jarenlange stijging, geraadpleegd op 26 mei 2025</w:t>
      </w:r>
    </w:p>
    <w:p w14:paraId="18292C55" w14:textId="5CB4E099" w:rsidR="0096314B" w:rsidRDefault="0096314B">
      <w:pPr>
        <w:pStyle w:val="Voetnoottekst"/>
      </w:pPr>
    </w:p>
  </w:footnote>
  <w:footnote w:id="31">
    <w:p w14:paraId="491B9B0B"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CBS, conjunctuur-enquête, uitkomsten extra vragen januari 2025.</w:t>
      </w:r>
    </w:p>
  </w:footnote>
  <w:footnote w:id="32">
    <w:p w14:paraId="4317BF1A"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KVK, Impact van handhaving op schijnzelfstandigheid, 6 mei 2025.</w:t>
      </w:r>
    </w:p>
  </w:footnote>
  <w:footnote w:id="33">
    <w:p w14:paraId="010B1494"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AWVN ledenonderzoek. </w:t>
      </w:r>
      <w:r w:rsidRPr="00F1770A">
        <w:rPr>
          <w:i/>
          <w:iCs/>
          <w:sz w:val="16"/>
          <w:szCs w:val="16"/>
        </w:rPr>
        <w:t xml:space="preserve">Inzet zzp in de knel?, </w:t>
      </w:r>
      <w:r w:rsidRPr="00F1770A">
        <w:rPr>
          <w:sz w:val="16"/>
          <w:szCs w:val="16"/>
        </w:rPr>
        <w:t>13 februari 2025.</w:t>
      </w:r>
    </w:p>
  </w:footnote>
  <w:footnote w:id="34">
    <w:p w14:paraId="212113DC"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KVK, ZZP-monitor april 2025, 6 mei 2025.</w:t>
      </w:r>
    </w:p>
  </w:footnote>
  <w:footnote w:id="35">
    <w:p w14:paraId="0D03AB34" w14:textId="77777777" w:rsidR="003A3DFD" w:rsidRPr="00F1770A" w:rsidRDefault="003A3DFD" w:rsidP="003A3DFD">
      <w:pPr>
        <w:pStyle w:val="Voetnoottekst"/>
        <w:rPr>
          <w:sz w:val="16"/>
          <w:szCs w:val="16"/>
        </w:rPr>
      </w:pPr>
      <w:r w:rsidRPr="00F1770A">
        <w:rPr>
          <w:rStyle w:val="Voetnootmarkering"/>
          <w:sz w:val="16"/>
          <w:szCs w:val="16"/>
        </w:rPr>
        <w:footnoteRef/>
      </w:r>
      <w:r w:rsidRPr="00F1770A">
        <w:rPr>
          <w:sz w:val="16"/>
          <w:szCs w:val="16"/>
        </w:rPr>
        <w:t xml:space="preserve"> CBS, Afname aantal zzp’ers na jarenlange stijging, 8 mei 2025. </w:t>
      </w:r>
    </w:p>
  </w:footnote>
  <w:footnote w:id="36">
    <w:p w14:paraId="153F8ADF" w14:textId="77777777" w:rsidR="00894A8A" w:rsidRPr="00F1770A" w:rsidRDefault="00894A8A" w:rsidP="00894A8A">
      <w:pPr>
        <w:pStyle w:val="Voetnoottekst"/>
        <w:rPr>
          <w:sz w:val="16"/>
          <w:szCs w:val="16"/>
        </w:rPr>
      </w:pPr>
      <w:r w:rsidRPr="00F1770A">
        <w:rPr>
          <w:rStyle w:val="Voetnootmarkering"/>
          <w:sz w:val="16"/>
          <w:szCs w:val="16"/>
        </w:rPr>
        <w:footnoteRef/>
      </w:r>
      <w:r w:rsidRPr="00F1770A">
        <w:rPr>
          <w:sz w:val="16"/>
          <w:szCs w:val="16"/>
        </w:rPr>
        <w:t xml:space="preserve"> De primaire sector houdt zich bezig met het verkrijgen van grondstoffen en het produceren van voedsel.</w:t>
      </w:r>
    </w:p>
  </w:footnote>
  <w:footnote w:id="37">
    <w:p w14:paraId="41BF461B" w14:textId="77777777" w:rsidR="00894A8A" w:rsidRPr="00F1770A" w:rsidRDefault="00894A8A" w:rsidP="00894A8A">
      <w:pPr>
        <w:pStyle w:val="Voetnoottekst"/>
        <w:rPr>
          <w:sz w:val="16"/>
          <w:szCs w:val="16"/>
        </w:rPr>
      </w:pPr>
      <w:r w:rsidRPr="00F1770A">
        <w:rPr>
          <w:rStyle w:val="Voetnootmarkering"/>
          <w:sz w:val="16"/>
          <w:szCs w:val="16"/>
        </w:rPr>
        <w:footnoteRef/>
      </w:r>
      <w:r w:rsidRPr="00F1770A">
        <w:rPr>
          <w:sz w:val="16"/>
          <w:szCs w:val="16"/>
        </w:rPr>
        <w:t xml:space="preserve"> Ipsos I&amp;O, </w:t>
      </w:r>
      <w:r w:rsidRPr="00F1770A">
        <w:rPr>
          <w:i/>
          <w:iCs/>
          <w:sz w:val="16"/>
          <w:szCs w:val="16"/>
        </w:rPr>
        <w:t>Monitor schijnzelfstandigheid 1-meting</w:t>
      </w:r>
      <w:r w:rsidRPr="00F1770A">
        <w:rPr>
          <w:sz w:val="16"/>
          <w:szCs w:val="16"/>
        </w:rPr>
        <w:t>, 28 februari 2025, p. 45.</w:t>
      </w:r>
    </w:p>
  </w:footnote>
  <w:footnote w:id="38">
    <w:p w14:paraId="424A4C21" w14:textId="77777777" w:rsidR="00720C2B" w:rsidRPr="00B504A7" w:rsidRDefault="00720C2B" w:rsidP="00720C2B">
      <w:pPr>
        <w:pStyle w:val="Voetnoottekst"/>
        <w:rPr>
          <w:sz w:val="16"/>
          <w:szCs w:val="16"/>
        </w:rPr>
      </w:pPr>
      <w:r w:rsidRPr="00B504A7">
        <w:rPr>
          <w:rStyle w:val="Voetnootmarkering"/>
          <w:sz w:val="16"/>
          <w:szCs w:val="16"/>
        </w:rPr>
        <w:footnoteRef/>
      </w:r>
      <w:r w:rsidRPr="00B504A7">
        <w:rPr>
          <w:sz w:val="16"/>
          <w:szCs w:val="16"/>
        </w:rPr>
        <w:t xml:space="preserve"> Bron: Jaarverslag UWV 2024 en Jaarverslag UWV 2023</w:t>
      </w:r>
    </w:p>
  </w:footnote>
  <w:footnote w:id="39">
    <w:p w14:paraId="5A471310" w14:textId="77777777" w:rsidR="0096314B" w:rsidRPr="0096314B" w:rsidRDefault="0096314B" w:rsidP="0096314B">
      <w:pPr>
        <w:spacing w:after="0" w:line="240" w:lineRule="auto"/>
        <w:contextualSpacing/>
        <w:rPr>
          <w:rFonts w:ascii="Verdana" w:hAnsi="Verdana"/>
          <w:bCs/>
          <w:sz w:val="16"/>
          <w:szCs w:val="16"/>
        </w:rPr>
      </w:pPr>
      <w:r>
        <w:rPr>
          <w:rStyle w:val="Voetnootmarkering"/>
        </w:rPr>
        <w:footnoteRef/>
      </w:r>
      <w:r>
        <w:t xml:space="preserve"> </w:t>
      </w:r>
      <w:r w:rsidRPr="0096314B">
        <w:rPr>
          <w:rFonts w:ascii="Verdana" w:hAnsi="Verdana"/>
          <w:bCs/>
          <w:sz w:val="16"/>
          <w:szCs w:val="16"/>
        </w:rPr>
        <w:t>Bron: berekeningen SZW</w:t>
      </w:r>
    </w:p>
    <w:p w14:paraId="51935164" w14:textId="73B337BB" w:rsidR="0096314B" w:rsidRDefault="0096314B">
      <w:pPr>
        <w:pStyle w:val="Voetnoottekst"/>
      </w:pPr>
    </w:p>
  </w:footnote>
  <w:footnote w:id="40">
    <w:p w14:paraId="5C395082" w14:textId="77777777" w:rsidR="0096314B" w:rsidRPr="00C5308E" w:rsidRDefault="0096314B" w:rsidP="0096314B">
      <w:pPr>
        <w:spacing w:after="0" w:line="240" w:lineRule="auto"/>
        <w:contextualSpacing/>
        <w:rPr>
          <w:rFonts w:ascii="Verdana" w:hAnsi="Verdana"/>
          <w:bCs/>
          <w:sz w:val="18"/>
          <w:szCs w:val="18"/>
        </w:rPr>
      </w:pPr>
      <w:r>
        <w:rPr>
          <w:rStyle w:val="Voetnootmarkering"/>
        </w:rPr>
        <w:footnoteRef/>
      </w:r>
      <w:r>
        <w:t xml:space="preserve"> </w:t>
      </w:r>
      <w:r w:rsidRPr="0096314B">
        <w:rPr>
          <w:rFonts w:ascii="Verdana" w:hAnsi="Verdana"/>
          <w:bCs/>
          <w:sz w:val="16"/>
          <w:szCs w:val="16"/>
        </w:rPr>
        <w:t>Bron: SZW-berekeningen</w:t>
      </w:r>
    </w:p>
    <w:p w14:paraId="2E81A2D6" w14:textId="1DD26A63" w:rsidR="0096314B" w:rsidRDefault="0096314B">
      <w:pPr>
        <w:pStyle w:val="Voetnoottekst"/>
      </w:pPr>
    </w:p>
  </w:footnote>
  <w:footnote w:id="41">
    <w:p w14:paraId="57A8E90A" w14:textId="77777777" w:rsidR="0096314B" w:rsidRPr="00C5308E" w:rsidRDefault="0096314B" w:rsidP="0096314B">
      <w:pPr>
        <w:spacing w:after="0" w:line="240" w:lineRule="auto"/>
        <w:contextualSpacing/>
        <w:rPr>
          <w:rFonts w:ascii="Verdana" w:hAnsi="Verdana"/>
          <w:bCs/>
          <w:sz w:val="18"/>
          <w:szCs w:val="18"/>
        </w:rPr>
      </w:pPr>
      <w:r>
        <w:rPr>
          <w:rStyle w:val="Voetnootmarkering"/>
        </w:rPr>
        <w:footnoteRef/>
      </w:r>
      <w:r>
        <w:t xml:space="preserve"> </w:t>
      </w:r>
      <w:r w:rsidRPr="0096314B">
        <w:rPr>
          <w:rFonts w:ascii="Verdana" w:hAnsi="Verdana"/>
          <w:bCs/>
          <w:sz w:val="16"/>
          <w:szCs w:val="16"/>
        </w:rPr>
        <w:t>Bron: SZW-berekeningen</w:t>
      </w:r>
    </w:p>
    <w:p w14:paraId="00897575" w14:textId="06011823" w:rsidR="0096314B" w:rsidRDefault="0096314B">
      <w:pPr>
        <w:pStyle w:val="Voetnoottekst"/>
      </w:pPr>
    </w:p>
  </w:footnote>
  <w:footnote w:id="42">
    <w:p w14:paraId="38FE63C7" w14:textId="5633913F" w:rsidR="0096314B" w:rsidRDefault="0096314B">
      <w:pPr>
        <w:pStyle w:val="Voetnoottekst"/>
      </w:pPr>
      <w:r>
        <w:rPr>
          <w:rStyle w:val="Voetnootmarkering"/>
        </w:rPr>
        <w:footnoteRef/>
      </w:r>
      <w:r>
        <w:t xml:space="preserve"> </w:t>
      </w:r>
      <w:r w:rsidRPr="0096314B">
        <w:rPr>
          <w:bCs/>
          <w:sz w:val="16"/>
          <w:szCs w:val="16"/>
        </w:rPr>
        <w:t xml:space="preserve">Bron: </w:t>
      </w:r>
      <w:hyperlink r:id="rId2" w:history="1">
        <w:r w:rsidRPr="0096314B">
          <w:rPr>
            <w:rStyle w:val="Hyperlink"/>
            <w:bCs/>
            <w:sz w:val="16"/>
            <w:szCs w:val="16"/>
          </w:rPr>
          <w:t>CBS Dashboard Migratiemotieven</w:t>
        </w:r>
      </w:hyperlink>
    </w:p>
  </w:footnote>
  <w:footnote w:id="43">
    <w:p w14:paraId="2DB32A39" w14:textId="0C7AE91F" w:rsidR="0096314B" w:rsidRDefault="0096314B">
      <w:pPr>
        <w:pStyle w:val="Voetnoottekst"/>
      </w:pPr>
      <w:r>
        <w:rPr>
          <w:rStyle w:val="Voetnootmarkering"/>
        </w:rPr>
        <w:footnoteRef/>
      </w:r>
      <w:r>
        <w:t xml:space="preserve"> </w:t>
      </w:r>
      <w:r w:rsidRPr="0096314B">
        <w:rPr>
          <w:bCs/>
          <w:sz w:val="16"/>
          <w:szCs w:val="16"/>
        </w:rPr>
        <w:t xml:space="preserve">Bron: </w:t>
      </w:r>
      <w:hyperlink r:id="rId3" w:history="1">
        <w:r w:rsidRPr="0096314B">
          <w:rPr>
            <w:rStyle w:val="Hyperlink"/>
            <w:bCs/>
            <w:sz w:val="16"/>
            <w:szCs w:val="16"/>
          </w:rPr>
          <w:t>CBS Dashboard Migratiemotieven</w:t>
        </w:r>
      </w:hyperlink>
    </w:p>
  </w:footnote>
  <w:footnote w:id="44">
    <w:p w14:paraId="1731D48B" w14:textId="3BE775CA" w:rsidR="0096314B" w:rsidRDefault="0096314B">
      <w:pPr>
        <w:pStyle w:val="Voetnoottekst"/>
      </w:pPr>
      <w:r>
        <w:rPr>
          <w:rStyle w:val="Voetnootmarkering"/>
        </w:rPr>
        <w:footnoteRef/>
      </w:r>
      <w:r>
        <w:t xml:space="preserve"> </w:t>
      </w:r>
      <w:r w:rsidRPr="0096314B">
        <w:rPr>
          <w:bCs/>
          <w:sz w:val="16"/>
          <w:szCs w:val="16"/>
        </w:rPr>
        <w:t xml:space="preserve">Bron: </w:t>
      </w:r>
      <w:hyperlink r:id="rId4" w:history="1">
        <w:r w:rsidRPr="0096314B">
          <w:rPr>
            <w:rStyle w:val="Hyperlink"/>
            <w:bCs/>
            <w:sz w:val="16"/>
            <w:szCs w:val="16"/>
          </w:rPr>
          <w:t>CBS Dashboard Migratiemotieven</w:t>
        </w:r>
      </w:hyperlink>
    </w:p>
  </w:footnote>
  <w:footnote w:id="45">
    <w:p w14:paraId="33DF5F2B" w14:textId="77777777" w:rsidR="00390448" w:rsidRPr="006E5955" w:rsidRDefault="00390448" w:rsidP="00390448">
      <w:pPr>
        <w:pStyle w:val="Voetnoottekst"/>
        <w:rPr>
          <w:sz w:val="18"/>
          <w:szCs w:val="18"/>
        </w:rPr>
      </w:pPr>
      <w:r w:rsidRPr="006E5955">
        <w:rPr>
          <w:rStyle w:val="Voetnootmarkering"/>
          <w:sz w:val="18"/>
          <w:szCs w:val="18"/>
        </w:rPr>
        <w:footnoteRef/>
      </w:r>
      <w:r w:rsidRPr="006E5955">
        <w:rPr>
          <w:sz w:val="18"/>
          <w:szCs w:val="18"/>
        </w:rPr>
        <w:t xml:space="preserve"> </w:t>
      </w:r>
      <w:r w:rsidRPr="00CF47B6">
        <w:rPr>
          <w:sz w:val="16"/>
          <w:szCs w:val="16"/>
        </w:rPr>
        <w:t>Hierbij wordt geen tijdsspecificatie gemaakt binnen een verblijfsjaar. Als een arbeidsmigrant na 1 verblijfsjaar niet meer aanwezig is in Nederland, kan dit dus duiden op een verblijfsduur van 1-12 maanden. Dit compliceert het berekenen van de exacte gemiddelde verblijfsduur.</w:t>
      </w:r>
    </w:p>
  </w:footnote>
  <w:footnote w:id="46">
    <w:p w14:paraId="50A62623" w14:textId="77777777" w:rsidR="005D5669" w:rsidRPr="00CF47B6" w:rsidRDefault="005D5669" w:rsidP="005D5669">
      <w:pPr>
        <w:pStyle w:val="Voetnoottekst"/>
        <w:rPr>
          <w:sz w:val="16"/>
          <w:szCs w:val="16"/>
        </w:rPr>
      </w:pPr>
      <w:r w:rsidRPr="00CF47B6">
        <w:rPr>
          <w:rStyle w:val="Voetnootmarkering"/>
          <w:sz w:val="16"/>
          <w:szCs w:val="16"/>
        </w:rPr>
        <w:footnoteRef/>
      </w:r>
      <w:r w:rsidRPr="00CF47B6">
        <w:rPr>
          <w:sz w:val="16"/>
          <w:szCs w:val="16"/>
        </w:rPr>
        <w:t xml:space="preserve"> </w:t>
      </w:r>
      <w:hyperlink r:id="rId5" w:history="1">
        <w:r w:rsidRPr="00CF47B6">
          <w:rPr>
            <w:rStyle w:val="Hyperlink"/>
            <w:sz w:val="16"/>
            <w:szCs w:val="16"/>
          </w:rPr>
          <w:t>https://nos.nl/artikel/2554839-meer-daklozen-zijn-arbeidsmigrant-cnv-en-leger-des-heils-willen-nieuwe-aanpak</w:t>
        </w:r>
      </w:hyperlink>
      <w:r w:rsidRPr="00CF47B6">
        <w:rPr>
          <w:sz w:val="16"/>
          <w:szCs w:val="16"/>
        </w:rPr>
        <w:t>, 7 februari 2025</w:t>
      </w:r>
    </w:p>
  </w:footnote>
  <w:footnote w:id="47">
    <w:p w14:paraId="5BCB82C4" w14:textId="63623C34" w:rsidR="00550FA8" w:rsidRPr="00550FA8" w:rsidRDefault="00550FA8">
      <w:pPr>
        <w:pStyle w:val="Voetnoottekst"/>
      </w:pPr>
      <w:r w:rsidRPr="00C5308E">
        <w:rPr>
          <w:sz w:val="16"/>
          <w:szCs w:val="16"/>
          <w:vertAlign w:val="superscript"/>
        </w:rPr>
        <w:footnoteRef/>
      </w:r>
      <w:r w:rsidRPr="00C5308E">
        <w:rPr>
          <w:sz w:val="16"/>
          <w:szCs w:val="16"/>
        </w:rPr>
        <w:t xml:space="preserve"> Deze methode, ontwikkeld door de KU Leuven, is gebaseerd op de bredere ETHOS-definitie, die dakloosheid definieert als een gebrek aan volwaardige huisvesting. ETHOS Light focust specifiek op het identificeren van mensen die buiten de zichtbare dakloosheid vallen, zoals mensen die bijvoorbeeld als zelfredzaam worden beschouwd, maar toch in een situatie van dak- en thuisloosheid verkeren.</w:t>
      </w:r>
    </w:p>
  </w:footnote>
  <w:footnote w:id="48">
    <w:p w14:paraId="62AEF6E7" w14:textId="77777777" w:rsidR="00544B65" w:rsidRPr="00CF47B6" w:rsidRDefault="00544B65" w:rsidP="00544B65">
      <w:pPr>
        <w:pStyle w:val="Voetnoottekst"/>
        <w:rPr>
          <w:sz w:val="16"/>
          <w:szCs w:val="16"/>
        </w:rPr>
      </w:pPr>
      <w:r w:rsidRPr="00CF47B6">
        <w:rPr>
          <w:rStyle w:val="Voetnootmarkering"/>
          <w:sz w:val="16"/>
          <w:szCs w:val="16"/>
        </w:rPr>
        <w:footnoteRef/>
      </w:r>
      <w:r w:rsidRPr="00CF47B6">
        <w:rPr>
          <w:sz w:val="16"/>
          <w:szCs w:val="16"/>
        </w:rPr>
        <w:t xml:space="preserve"> </w:t>
      </w:r>
      <w:hyperlink r:id="rId6" w:history="1">
        <w:r w:rsidRPr="00CF47B6">
          <w:rPr>
            <w:rStyle w:val="Hyperlink"/>
            <w:sz w:val="16"/>
            <w:szCs w:val="16"/>
          </w:rPr>
          <w:t>https://significant.nl/wp-content/uploads/2024/12/Rapport-Evaluatie-pilot-kortdurende-opvang-dakloze-EU-burgers-definitief-.pdf</w:t>
        </w:r>
      </w:hyperlink>
      <w:r w:rsidRPr="00CF47B6">
        <w:rPr>
          <w:sz w:val="16"/>
          <w:szCs w:val="16"/>
        </w:rPr>
        <w:t xml:space="preserve">. </w:t>
      </w:r>
    </w:p>
  </w:footnote>
  <w:footnote w:id="49">
    <w:p w14:paraId="0D655A26" w14:textId="77777777" w:rsidR="00544B65" w:rsidRDefault="00544B65" w:rsidP="00544B65">
      <w:pPr>
        <w:pStyle w:val="Voetnoottekst"/>
      </w:pPr>
      <w:r w:rsidRPr="00CF47B6">
        <w:rPr>
          <w:rStyle w:val="Voetnootmarkering"/>
          <w:sz w:val="16"/>
          <w:szCs w:val="16"/>
        </w:rPr>
        <w:footnoteRef/>
      </w:r>
      <w:r w:rsidRPr="00CF47B6">
        <w:rPr>
          <w:sz w:val="16"/>
          <w:szCs w:val="16"/>
        </w:rPr>
        <w:t xml:space="preserve"> </w:t>
      </w:r>
      <w:hyperlink r:id="rId7" w:history="1">
        <w:r w:rsidRPr="00CF47B6">
          <w:rPr>
            <w:rStyle w:val="Hyperlink"/>
            <w:sz w:val="16"/>
            <w:szCs w:val="16"/>
          </w:rPr>
          <w:t>https://significant.nl/wp-content/uploads/2024/12/Rapport-Evaluatie-pilot-kortdurende-opvang-dakloze-EU-burgers-definitief-.pdf</w:t>
        </w:r>
      </w:hyperlink>
      <w:r w:rsidRPr="00CF47B6">
        <w:rPr>
          <w:sz w:val="16"/>
          <w:szCs w:val="16"/>
        </w:rPr>
        <w:t>.</w:t>
      </w:r>
      <w:r>
        <w:t xml:space="preserve"> </w:t>
      </w:r>
    </w:p>
  </w:footnote>
  <w:footnote w:id="50">
    <w:p w14:paraId="42764DD6" w14:textId="77777777" w:rsidR="00762949" w:rsidRPr="00CF47B6" w:rsidRDefault="00762949" w:rsidP="00762949">
      <w:pPr>
        <w:pStyle w:val="Voetnoottekst"/>
        <w:rPr>
          <w:sz w:val="16"/>
          <w:szCs w:val="16"/>
        </w:rPr>
      </w:pPr>
      <w:r w:rsidRPr="00CF47B6">
        <w:rPr>
          <w:rStyle w:val="Voetnootmarkering"/>
          <w:sz w:val="16"/>
          <w:szCs w:val="16"/>
        </w:rPr>
        <w:footnoteRef/>
      </w:r>
      <w:r w:rsidRPr="00CF47B6">
        <w:rPr>
          <w:sz w:val="16"/>
          <w:szCs w:val="16"/>
        </w:rPr>
        <w:t xml:space="preserve"> CBS, Statline, geraadpleegd op 26-05-2025. </w:t>
      </w:r>
      <w:hyperlink r:id="rId8" w:anchor="/CBS/nl/dataset/85678NED/table?dl=C1295" w:history="1">
        <w:r w:rsidRPr="00CF47B6">
          <w:rPr>
            <w:rStyle w:val="Hyperlink"/>
            <w:sz w:val="16"/>
            <w:szCs w:val="16"/>
          </w:rPr>
          <w:t>https://opendata.cbs.nl/statline/#/CBS/nl/dataset/85678NED/table?dl=C1295</w:t>
        </w:r>
      </w:hyperlink>
    </w:p>
  </w:footnote>
  <w:footnote w:id="51">
    <w:p w14:paraId="32F7D3AC" w14:textId="77777777" w:rsidR="00762949" w:rsidRPr="00CF47B6" w:rsidRDefault="00762949" w:rsidP="00762949">
      <w:pPr>
        <w:pStyle w:val="Voetnoottekst"/>
        <w:rPr>
          <w:sz w:val="16"/>
          <w:szCs w:val="16"/>
        </w:rPr>
      </w:pPr>
      <w:r w:rsidRPr="00CF47B6">
        <w:rPr>
          <w:rStyle w:val="Voetnootmarkering"/>
          <w:sz w:val="16"/>
          <w:szCs w:val="16"/>
        </w:rPr>
        <w:footnoteRef/>
      </w:r>
      <w:r w:rsidRPr="00CF47B6">
        <w:rPr>
          <w:sz w:val="16"/>
          <w:szCs w:val="16"/>
        </w:rPr>
        <w:t xml:space="preserve"> CBS, Statline, geraadpleegd op 26-05-2025. </w:t>
      </w:r>
      <w:hyperlink r:id="rId9" w:anchor="/CBS/nl/dataset/85678NED/table?dl=C1295" w:history="1">
        <w:r w:rsidRPr="00CF47B6">
          <w:rPr>
            <w:rStyle w:val="Hyperlink"/>
            <w:sz w:val="16"/>
            <w:szCs w:val="16"/>
          </w:rPr>
          <w:t>https://opendata.cbs.nl/statline/#/CBS/nl/dataset/85678NED/table?dl=C1295</w:t>
        </w:r>
      </w:hyperlink>
    </w:p>
  </w:footnote>
  <w:footnote w:id="52">
    <w:p w14:paraId="2D51C464" w14:textId="77777777" w:rsidR="00762949" w:rsidRDefault="00762949" w:rsidP="00762949">
      <w:pPr>
        <w:pStyle w:val="Voetnoottekst"/>
      </w:pPr>
      <w:r w:rsidRPr="00CF47B6">
        <w:rPr>
          <w:rStyle w:val="Voetnootmarkering"/>
          <w:sz w:val="16"/>
          <w:szCs w:val="16"/>
        </w:rPr>
        <w:footnoteRef/>
      </w:r>
      <w:r w:rsidRPr="00CF47B6">
        <w:rPr>
          <w:sz w:val="16"/>
          <w:szCs w:val="16"/>
        </w:rPr>
        <w:t xml:space="preserve"> CBS, Statline, geraadpleegd op 26-05-2025. </w:t>
      </w:r>
      <w:hyperlink r:id="rId10" w:anchor="/CBS/nl/dataset/85678NED/table?dl=C1295" w:history="1">
        <w:r w:rsidRPr="00CF47B6">
          <w:rPr>
            <w:rStyle w:val="Hyperlink"/>
            <w:sz w:val="16"/>
            <w:szCs w:val="16"/>
          </w:rPr>
          <w:t>https://opendata.cbs.nl/statline/#/CBS/nl/dataset/85678NED/table?dl=C1295</w:t>
        </w:r>
      </w:hyperlink>
    </w:p>
  </w:footnote>
  <w:footnote w:id="53">
    <w:p w14:paraId="7C75ADE0" w14:textId="77777777" w:rsidR="00762949" w:rsidRPr="00A82F35" w:rsidRDefault="00762949" w:rsidP="00762949">
      <w:pPr>
        <w:pStyle w:val="Voetnoottekst"/>
        <w:rPr>
          <w:sz w:val="16"/>
          <w:szCs w:val="16"/>
        </w:rPr>
      </w:pPr>
      <w:r w:rsidRPr="00A82F35">
        <w:rPr>
          <w:rStyle w:val="Voetnootmarkering"/>
          <w:sz w:val="16"/>
          <w:szCs w:val="16"/>
        </w:rPr>
        <w:footnoteRef/>
      </w:r>
      <w:r w:rsidRPr="00A82F35">
        <w:rPr>
          <w:sz w:val="16"/>
          <w:szCs w:val="16"/>
        </w:rPr>
        <w:t xml:space="preserve"> CBS, Statline, geraadpleegd op 26-05-2025. </w:t>
      </w:r>
      <w:hyperlink r:id="rId11" w:anchor="/CBS/nl/dataset/85678NED/table?dl=C1295" w:history="1">
        <w:r w:rsidRPr="00A82F35">
          <w:rPr>
            <w:rStyle w:val="Hyperlink"/>
            <w:sz w:val="16"/>
            <w:szCs w:val="16"/>
          </w:rPr>
          <w:t>https://opendata.cbs.nl/statline/#/CBS/nl/dataset/85678NED/table?dl=C1295</w:t>
        </w:r>
      </w:hyperlink>
    </w:p>
  </w:footnote>
  <w:footnote w:id="54">
    <w:p w14:paraId="433136D5" w14:textId="77777777" w:rsidR="00762949" w:rsidRPr="00A82F35" w:rsidRDefault="00762949" w:rsidP="00762949">
      <w:pPr>
        <w:pStyle w:val="Voetnoottekst"/>
        <w:rPr>
          <w:sz w:val="16"/>
          <w:szCs w:val="16"/>
        </w:rPr>
      </w:pPr>
      <w:r w:rsidRPr="00A82F35">
        <w:rPr>
          <w:rStyle w:val="Voetnootmarkering"/>
          <w:sz w:val="16"/>
          <w:szCs w:val="16"/>
        </w:rPr>
        <w:footnoteRef/>
      </w:r>
      <w:r w:rsidRPr="00A82F35">
        <w:rPr>
          <w:sz w:val="16"/>
          <w:szCs w:val="16"/>
        </w:rPr>
        <w:t xml:space="preserve"> CBS, Statline, geraadpleegd op 26-05-2025. </w:t>
      </w:r>
      <w:hyperlink r:id="rId12" w:anchor="/CBS/nl/dataset/85678NED/table?dl=C1295" w:history="1">
        <w:r w:rsidRPr="00A82F35">
          <w:rPr>
            <w:rStyle w:val="Hyperlink"/>
            <w:sz w:val="16"/>
            <w:szCs w:val="16"/>
          </w:rPr>
          <w:t>https://opendata.cbs.nl/statline/#/CBS/nl/dataset/85678NED/table?dl=C1295</w:t>
        </w:r>
      </w:hyperlink>
    </w:p>
  </w:footnote>
  <w:footnote w:id="55">
    <w:p w14:paraId="08C3837F" w14:textId="77777777" w:rsidR="00762949" w:rsidRPr="00A82F35" w:rsidRDefault="00762949" w:rsidP="00762949">
      <w:pPr>
        <w:pStyle w:val="Voetnoottekst"/>
        <w:rPr>
          <w:sz w:val="16"/>
          <w:szCs w:val="16"/>
        </w:rPr>
      </w:pPr>
      <w:r w:rsidRPr="00A82F35">
        <w:rPr>
          <w:rStyle w:val="Voetnootmarkering"/>
          <w:sz w:val="16"/>
          <w:szCs w:val="16"/>
        </w:rPr>
        <w:footnoteRef/>
      </w:r>
      <w:r w:rsidRPr="00A82F35">
        <w:rPr>
          <w:sz w:val="16"/>
          <w:szCs w:val="16"/>
        </w:rPr>
        <w:t xml:space="preserve"> CBS, Statline, geraadpleegd op 26-05-2025. </w:t>
      </w:r>
      <w:hyperlink r:id="rId13" w:anchor="/CBS/nl/dataset/85678NED/table?dl=C1295" w:history="1">
        <w:r w:rsidRPr="00A82F35">
          <w:rPr>
            <w:rStyle w:val="Hyperlink"/>
            <w:sz w:val="16"/>
            <w:szCs w:val="16"/>
          </w:rPr>
          <w:t>https://opendata.cbs.nl/statline/#/CBS/nl/dataset/85678NED/table?dl=C1295</w:t>
        </w:r>
      </w:hyperlink>
    </w:p>
  </w:footnote>
  <w:footnote w:id="56">
    <w:p w14:paraId="116480D7" w14:textId="77777777" w:rsidR="00762949" w:rsidRPr="00A82F35" w:rsidRDefault="00762949" w:rsidP="00762949">
      <w:pPr>
        <w:pStyle w:val="Voetnoottekst"/>
        <w:rPr>
          <w:sz w:val="16"/>
          <w:szCs w:val="16"/>
        </w:rPr>
      </w:pPr>
      <w:r w:rsidRPr="00A82F35">
        <w:rPr>
          <w:rStyle w:val="Voetnootmarkering"/>
          <w:sz w:val="16"/>
          <w:szCs w:val="16"/>
        </w:rPr>
        <w:footnoteRef/>
      </w:r>
      <w:r w:rsidRPr="00A82F35">
        <w:rPr>
          <w:sz w:val="16"/>
          <w:szCs w:val="16"/>
        </w:rPr>
        <w:t xml:space="preserve"> CBS, Statline, geraadpleegd op 26-05-2025. </w:t>
      </w:r>
      <w:hyperlink r:id="rId14" w:anchor="/CBS/nl/dataset/85678NED/table?dl=C1295" w:history="1">
        <w:r w:rsidRPr="00A82F35">
          <w:rPr>
            <w:rStyle w:val="Hyperlink"/>
            <w:sz w:val="16"/>
            <w:szCs w:val="16"/>
          </w:rPr>
          <w:t>https://opendata.cbs.nl/statline/#/CBS/nl/dataset/85678NED/table?dl=C1295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960D" w14:textId="77777777" w:rsidR="00E2546C" w:rsidRDefault="00E254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FF48" w14:textId="77777777" w:rsidR="00E2546C" w:rsidRDefault="00E254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AB83" w14:textId="77777777" w:rsidR="00E2546C" w:rsidRDefault="00E254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61A9"/>
    <w:multiLevelType w:val="hybridMultilevel"/>
    <w:tmpl w:val="3C4C86F6"/>
    <w:lvl w:ilvl="0" w:tplc="F702C13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35859"/>
    <w:multiLevelType w:val="hybridMultilevel"/>
    <w:tmpl w:val="2B9E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990A97"/>
    <w:multiLevelType w:val="hybridMultilevel"/>
    <w:tmpl w:val="E3828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5A6D00"/>
    <w:multiLevelType w:val="hybridMultilevel"/>
    <w:tmpl w:val="9F2261EA"/>
    <w:lvl w:ilvl="0" w:tplc="A81EF89A">
      <w:start w:val="1"/>
      <w:numFmt w:val="decimal"/>
      <w:lvlText w:val="%1."/>
      <w:lvlJc w:val="left"/>
      <w:pPr>
        <w:ind w:left="360" w:hanging="360"/>
      </w:pPr>
      <w:rPr>
        <w:rFonts w:ascii="Verdana" w:eastAsiaTheme="minorHAnsi" w:hAnsi="Verdana" w:cstheme="minorBi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30450341"/>
    <w:multiLevelType w:val="hybridMultilevel"/>
    <w:tmpl w:val="606212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46670BB"/>
    <w:multiLevelType w:val="hybridMultilevel"/>
    <w:tmpl w:val="1618D844"/>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8AC6808"/>
    <w:multiLevelType w:val="hybridMultilevel"/>
    <w:tmpl w:val="B91E6962"/>
    <w:lvl w:ilvl="0" w:tplc="3982B99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CC68D8"/>
    <w:multiLevelType w:val="hybridMultilevel"/>
    <w:tmpl w:val="E4FE9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177C69"/>
    <w:multiLevelType w:val="hybridMultilevel"/>
    <w:tmpl w:val="1BE807EE"/>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BB657D0"/>
    <w:multiLevelType w:val="hybridMultilevel"/>
    <w:tmpl w:val="0E5C2846"/>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18359D1"/>
    <w:multiLevelType w:val="hybridMultilevel"/>
    <w:tmpl w:val="BB3A13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9D6251F"/>
    <w:multiLevelType w:val="multilevel"/>
    <w:tmpl w:val="79D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C11B5"/>
    <w:multiLevelType w:val="hybridMultilevel"/>
    <w:tmpl w:val="EBCA5228"/>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54042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966240">
    <w:abstractNumId w:val="2"/>
  </w:num>
  <w:num w:numId="3" w16cid:durableId="1576089117">
    <w:abstractNumId w:val="1"/>
  </w:num>
  <w:num w:numId="4" w16cid:durableId="1163163558">
    <w:abstractNumId w:val="11"/>
  </w:num>
  <w:num w:numId="5" w16cid:durableId="1863668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79451">
    <w:abstractNumId w:val="4"/>
  </w:num>
  <w:num w:numId="7" w16cid:durableId="236789202">
    <w:abstractNumId w:val="7"/>
  </w:num>
  <w:num w:numId="8" w16cid:durableId="961114255">
    <w:abstractNumId w:val="6"/>
  </w:num>
  <w:num w:numId="9" w16cid:durableId="1538620096">
    <w:abstractNumId w:val="12"/>
  </w:num>
  <w:num w:numId="10" w16cid:durableId="445470874">
    <w:abstractNumId w:val="9"/>
  </w:num>
  <w:num w:numId="11" w16cid:durableId="225067597">
    <w:abstractNumId w:val="5"/>
  </w:num>
  <w:num w:numId="12" w16cid:durableId="571082636">
    <w:abstractNumId w:val="8"/>
  </w:num>
  <w:num w:numId="13" w16cid:durableId="47992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52"/>
    <w:rsid w:val="00001B14"/>
    <w:rsid w:val="000243CF"/>
    <w:rsid w:val="00042035"/>
    <w:rsid w:val="00042552"/>
    <w:rsid w:val="00042FA8"/>
    <w:rsid w:val="00043304"/>
    <w:rsid w:val="00053DE3"/>
    <w:rsid w:val="000844CD"/>
    <w:rsid w:val="00085AD3"/>
    <w:rsid w:val="0009286A"/>
    <w:rsid w:val="00096FAF"/>
    <w:rsid w:val="00097A32"/>
    <w:rsid w:val="000B30D8"/>
    <w:rsid w:val="000C0A5F"/>
    <w:rsid w:val="000D1273"/>
    <w:rsid w:val="000D13CD"/>
    <w:rsid w:val="000D2531"/>
    <w:rsid w:val="0010401E"/>
    <w:rsid w:val="00111F3C"/>
    <w:rsid w:val="00125E25"/>
    <w:rsid w:val="00156485"/>
    <w:rsid w:val="001575E2"/>
    <w:rsid w:val="0015771E"/>
    <w:rsid w:val="00165517"/>
    <w:rsid w:val="00173FB1"/>
    <w:rsid w:val="00186884"/>
    <w:rsid w:val="00193086"/>
    <w:rsid w:val="001B2A29"/>
    <w:rsid w:val="001B54C1"/>
    <w:rsid w:val="001E57BB"/>
    <w:rsid w:val="001F313E"/>
    <w:rsid w:val="00210E72"/>
    <w:rsid w:val="0022367C"/>
    <w:rsid w:val="002361A3"/>
    <w:rsid w:val="00250847"/>
    <w:rsid w:val="002509E1"/>
    <w:rsid w:val="00253900"/>
    <w:rsid w:val="002706EC"/>
    <w:rsid w:val="00271333"/>
    <w:rsid w:val="002B60A2"/>
    <w:rsid w:val="002C1AAE"/>
    <w:rsid w:val="002C1D7A"/>
    <w:rsid w:val="002C3C87"/>
    <w:rsid w:val="002F773F"/>
    <w:rsid w:val="0031642E"/>
    <w:rsid w:val="003262B4"/>
    <w:rsid w:val="0035330E"/>
    <w:rsid w:val="00375CA7"/>
    <w:rsid w:val="0038088A"/>
    <w:rsid w:val="00383AF2"/>
    <w:rsid w:val="00390448"/>
    <w:rsid w:val="003A3DFD"/>
    <w:rsid w:val="003C0271"/>
    <w:rsid w:val="003D0897"/>
    <w:rsid w:val="003E2E04"/>
    <w:rsid w:val="0041230B"/>
    <w:rsid w:val="004259B3"/>
    <w:rsid w:val="004612A6"/>
    <w:rsid w:val="0046268F"/>
    <w:rsid w:val="004657F2"/>
    <w:rsid w:val="00467E77"/>
    <w:rsid w:val="004B01C7"/>
    <w:rsid w:val="004C0310"/>
    <w:rsid w:val="004C3EDD"/>
    <w:rsid w:val="004E3C41"/>
    <w:rsid w:val="004E439F"/>
    <w:rsid w:val="004E640D"/>
    <w:rsid w:val="004F6B19"/>
    <w:rsid w:val="004F722A"/>
    <w:rsid w:val="0051019F"/>
    <w:rsid w:val="0052736B"/>
    <w:rsid w:val="00527AB7"/>
    <w:rsid w:val="00541F15"/>
    <w:rsid w:val="00544B65"/>
    <w:rsid w:val="00550FA8"/>
    <w:rsid w:val="0056088B"/>
    <w:rsid w:val="00560DA6"/>
    <w:rsid w:val="00574FF4"/>
    <w:rsid w:val="005A366D"/>
    <w:rsid w:val="005D03FA"/>
    <w:rsid w:val="005D5669"/>
    <w:rsid w:val="005D62D3"/>
    <w:rsid w:val="005E036E"/>
    <w:rsid w:val="005F5D60"/>
    <w:rsid w:val="005F7610"/>
    <w:rsid w:val="0060126B"/>
    <w:rsid w:val="00645534"/>
    <w:rsid w:val="00652DF9"/>
    <w:rsid w:val="00661995"/>
    <w:rsid w:val="00675F51"/>
    <w:rsid w:val="0069784D"/>
    <w:rsid w:val="006A3155"/>
    <w:rsid w:val="006C660C"/>
    <w:rsid w:val="006C7A03"/>
    <w:rsid w:val="006D7D8E"/>
    <w:rsid w:val="00712F84"/>
    <w:rsid w:val="00720C2B"/>
    <w:rsid w:val="00744CAF"/>
    <w:rsid w:val="00762949"/>
    <w:rsid w:val="0076594D"/>
    <w:rsid w:val="00767C37"/>
    <w:rsid w:val="00783E4D"/>
    <w:rsid w:val="00792D99"/>
    <w:rsid w:val="007A3F2C"/>
    <w:rsid w:val="007B00C8"/>
    <w:rsid w:val="007D363E"/>
    <w:rsid w:val="007D707D"/>
    <w:rsid w:val="007D71BC"/>
    <w:rsid w:val="007E203F"/>
    <w:rsid w:val="007E64F0"/>
    <w:rsid w:val="007F2D9D"/>
    <w:rsid w:val="00832854"/>
    <w:rsid w:val="00844C2E"/>
    <w:rsid w:val="00851D38"/>
    <w:rsid w:val="00894A8A"/>
    <w:rsid w:val="008A52FA"/>
    <w:rsid w:val="008B6CC1"/>
    <w:rsid w:val="008D3CD2"/>
    <w:rsid w:val="008D4612"/>
    <w:rsid w:val="008E5CA1"/>
    <w:rsid w:val="008F1B85"/>
    <w:rsid w:val="00903729"/>
    <w:rsid w:val="00931E47"/>
    <w:rsid w:val="00941E09"/>
    <w:rsid w:val="00954A34"/>
    <w:rsid w:val="0095543B"/>
    <w:rsid w:val="00962B3B"/>
    <w:rsid w:val="0096314B"/>
    <w:rsid w:val="00967758"/>
    <w:rsid w:val="00972542"/>
    <w:rsid w:val="009835CB"/>
    <w:rsid w:val="009922E4"/>
    <w:rsid w:val="009B531C"/>
    <w:rsid w:val="009D4CE1"/>
    <w:rsid w:val="009D7D7E"/>
    <w:rsid w:val="009E36E0"/>
    <w:rsid w:val="009E3782"/>
    <w:rsid w:val="009E40FF"/>
    <w:rsid w:val="009E5906"/>
    <w:rsid w:val="009E5C06"/>
    <w:rsid w:val="009F30FF"/>
    <w:rsid w:val="00A14CFA"/>
    <w:rsid w:val="00A24B3E"/>
    <w:rsid w:val="00A55C58"/>
    <w:rsid w:val="00A64929"/>
    <w:rsid w:val="00A82F35"/>
    <w:rsid w:val="00A92A59"/>
    <w:rsid w:val="00AA2210"/>
    <w:rsid w:val="00AA6F4E"/>
    <w:rsid w:val="00AE27E7"/>
    <w:rsid w:val="00AF27DC"/>
    <w:rsid w:val="00AF49CE"/>
    <w:rsid w:val="00B100E3"/>
    <w:rsid w:val="00B21C1E"/>
    <w:rsid w:val="00B235CA"/>
    <w:rsid w:val="00B421CC"/>
    <w:rsid w:val="00B504A7"/>
    <w:rsid w:val="00B54054"/>
    <w:rsid w:val="00B72D0B"/>
    <w:rsid w:val="00BA1787"/>
    <w:rsid w:val="00C468F0"/>
    <w:rsid w:val="00C5308E"/>
    <w:rsid w:val="00C66300"/>
    <w:rsid w:val="00C70414"/>
    <w:rsid w:val="00C806B5"/>
    <w:rsid w:val="00C826D6"/>
    <w:rsid w:val="00C908FE"/>
    <w:rsid w:val="00CB044F"/>
    <w:rsid w:val="00CB2E0A"/>
    <w:rsid w:val="00CB6D84"/>
    <w:rsid w:val="00CC30C7"/>
    <w:rsid w:val="00CC731B"/>
    <w:rsid w:val="00CF47B6"/>
    <w:rsid w:val="00D117F7"/>
    <w:rsid w:val="00D4306D"/>
    <w:rsid w:val="00D639F0"/>
    <w:rsid w:val="00D77A11"/>
    <w:rsid w:val="00D829EB"/>
    <w:rsid w:val="00D831A0"/>
    <w:rsid w:val="00D87753"/>
    <w:rsid w:val="00D87A64"/>
    <w:rsid w:val="00DB6B43"/>
    <w:rsid w:val="00DC381F"/>
    <w:rsid w:val="00DC620C"/>
    <w:rsid w:val="00DF7D23"/>
    <w:rsid w:val="00E03C6A"/>
    <w:rsid w:val="00E2546C"/>
    <w:rsid w:val="00E448CD"/>
    <w:rsid w:val="00E66BBB"/>
    <w:rsid w:val="00E706BE"/>
    <w:rsid w:val="00E87CF3"/>
    <w:rsid w:val="00E92536"/>
    <w:rsid w:val="00E97B61"/>
    <w:rsid w:val="00EB30B0"/>
    <w:rsid w:val="00EF1671"/>
    <w:rsid w:val="00F1532D"/>
    <w:rsid w:val="00F15CC0"/>
    <w:rsid w:val="00F1770A"/>
    <w:rsid w:val="00F467E5"/>
    <w:rsid w:val="00F52087"/>
    <w:rsid w:val="00F607B3"/>
    <w:rsid w:val="00F725C6"/>
    <w:rsid w:val="00F7696D"/>
    <w:rsid w:val="00F848D5"/>
    <w:rsid w:val="00FB0D7D"/>
    <w:rsid w:val="00FB242D"/>
    <w:rsid w:val="00FB2F52"/>
    <w:rsid w:val="00FB4061"/>
    <w:rsid w:val="00FC491B"/>
    <w:rsid w:val="00FD7351"/>
    <w:rsid w:val="00FE2EE4"/>
    <w:rsid w:val="00FE4028"/>
    <w:rsid w:val="00FE7425"/>
    <w:rsid w:val="00FF0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B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25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439F"/>
    <w:rPr>
      <w:color w:val="0563C1" w:themeColor="hyperlink"/>
      <w:u w:val="single"/>
    </w:rPr>
  </w:style>
  <w:style w:type="character" w:styleId="Onopgelostemelding">
    <w:name w:val="Unresolved Mention"/>
    <w:basedOn w:val="Standaardalinea-lettertype"/>
    <w:uiPriority w:val="99"/>
    <w:semiHidden/>
    <w:unhideWhenUsed/>
    <w:rsid w:val="004E439F"/>
    <w:rPr>
      <w:color w:val="605E5C"/>
      <w:shd w:val="clear" w:color="auto" w:fill="E1DFDD"/>
    </w:rPr>
  </w:style>
  <w:style w:type="paragraph" w:styleId="Geenafstand">
    <w:name w:val="No Spacing"/>
    <w:uiPriority w:val="1"/>
    <w:qFormat/>
    <w:rsid w:val="00156485"/>
    <w:pPr>
      <w:spacing w:after="0" w:line="240" w:lineRule="auto"/>
    </w:pPr>
  </w:style>
  <w:style w:type="table" w:styleId="Tabelraster">
    <w:name w:val="Table Grid"/>
    <w:basedOn w:val="Standaardtabel"/>
    <w:uiPriority w:val="39"/>
    <w:rsid w:val="007E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DF7D23"/>
    <w:pPr>
      <w:spacing w:after="0" w:line="240" w:lineRule="auto"/>
    </w:pPr>
    <w:rPr>
      <w:rFonts w:ascii="Verdana" w:hAnsi="Verdana"/>
      <w:kern w:val="2"/>
      <w:sz w:val="20"/>
      <w:szCs w:val="20"/>
      <w14:ligatures w14:val="standardContextual"/>
    </w:rPr>
  </w:style>
  <w:style w:type="character" w:customStyle="1" w:styleId="VoetnoottekstChar">
    <w:name w:val="Voetnoottekst Char"/>
    <w:basedOn w:val="Standaardalinea-lettertype"/>
    <w:link w:val="Voetnoottekst"/>
    <w:uiPriority w:val="99"/>
    <w:rsid w:val="00DF7D23"/>
    <w:rPr>
      <w:rFonts w:ascii="Verdana" w:hAnsi="Verdana"/>
      <w:kern w:val="2"/>
      <w:sz w:val="20"/>
      <w:szCs w:val="20"/>
      <w14:ligatures w14:val="standardContextual"/>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DF7D23"/>
    <w:rPr>
      <w:vertAlign w:val="superscript"/>
    </w:rPr>
  </w:style>
  <w:style w:type="character" w:styleId="Verwijzingopmerking">
    <w:name w:val="annotation reference"/>
    <w:basedOn w:val="Standaardalinea-lettertype"/>
    <w:uiPriority w:val="99"/>
    <w:semiHidden/>
    <w:unhideWhenUsed/>
    <w:rsid w:val="00FB0D7D"/>
    <w:rPr>
      <w:sz w:val="16"/>
      <w:szCs w:val="16"/>
    </w:rPr>
  </w:style>
  <w:style w:type="paragraph" w:styleId="Tekstopmerking">
    <w:name w:val="annotation text"/>
    <w:basedOn w:val="Standaard"/>
    <w:link w:val="TekstopmerkingChar"/>
    <w:uiPriority w:val="99"/>
    <w:unhideWhenUsed/>
    <w:rsid w:val="00FB0D7D"/>
    <w:pPr>
      <w:spacing w:line="240" w:lineRule="auto"/>
    </w:pPr>
    <w:rPr>
      <w:sz w:val="20"/>
      <w:szCs w:val="20"/>
    </w:rPr>
  </w:style>
  <w:style w:type="character" w:customStyle="1" w:styleId="TekstopmerkingChar">
    <w:name w:val="Tekst opmerking Char"/>
    <w:basedOn w:val="Standaardalinea-lettertype"/>
    <w:link w:val="Tekstopmerking"/>
    <w:uiPriority w:val="99"/>
    <w:rsid w:val="00FB0D7D"/>
    <w:rPr>
      <w:sz w:val="20"/>
      <w:szCs w:val="20"/>
    </w:rPr>
  </w:style>
  <w:style w:type="paragraph" w:styleId="Lijstalinea">
    <w:name w:val="List Paragraph"/>
    <w:basedOn w:val="Standaard"/>
    <w:uiPriority w:val="34"/>
    <w:qFormat/>
    <w:rsid w:val="009835CB"/>
    <w:pPr>
      <w:ind w:left="720"/>
      <w:contextualSpacing/>
    </w:pPr>
    <w:rPr>
      <w:rFonts w:ascii="Verdana" w:hAnsi="Verdana"/>
      <w:sz w:val="18"/>
      <w:lang w:val="en-US"/>
    </w:rPr>
  </w:style>
  <w:style w:type="paragraph" w:customStyle="1" w:styleId="Default">
    <w:name w:val="Default"/>
    <w:rsid w:val="008D3CD2"/>
    <w:pPr>
      <w:autoSpaceDE w:val="0"/>
      <w:autoSpaceDN w:val="0"/>
      <w:adjustRightInd w:val="0"/>
      <w:spacing w:after="0" w:line="240" w:lineRule="auto"/>
    </w:pPr>
    <w:rPr>
      <w:rFonts w:ascii="Verdana" w:eastAsia="Times New Roman" w:hAnsi="Verdana" w:cs="Verdana"/>
      <w:color w:val="000000"/>
      <w:sz w:val="24"/>
      <w:szCs w:val="24"/>
      <w:lang w:eastAsia="nl-NL"/>
    </w:rPr>
  </w:style>
  <w:style w:type="table" w:customStyle="1" w:styleId="Rastertabel4-Accent11">
    <w:name w:val="Rastertabel 4 - Accent 11"/>
    <w:basedOn w:val="Standaardtabel"/>
    <w:next w:val="Rastertabel4-Accent1"/>
    <w:uiPriority w:val="49"/>
    <w:rsid w:val="00B72D0B"/>
    <w:pPr>
      <w:spacing w:after="0" w:line="240" w:lineRule="auto"/>
    </w:pPr>
    <w:rPr>
      <w:rFonts w:ascii="Verdana" w:hAnsi="Verdana"/>
      <w:kern w:val="2"/>
      <w:sz w:val="18"/>
      <w:lang w:val="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1">
    <w:name w:val="Grid Table 4 Accent 1"/>
    <w:basedOn w:val="Standaardtabel"/>
    <w:uiPriority w:val="49"/>
    <w:rsid w:val="00B72D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zonderopmaak">
    <w:name w:val="Plain Text"/>
    <w:basedOn w:val="Standaard"/>
    <w:link w:val="TekstzonderopmaakChar"/>
    <w:uiPriority w:val="99"/>
    <w:unhideWhenUsed/>
    <w:rsid w:val="00720C2B"/>
    <w:pPr>
      <w:spacing w:after="0" w:line="240" w:lineRule="auto"/>
    </w:pPr>
    <w:rPr>
      <w:rFonts w:ascii="Consolas" w:eastAsia="Calibri" w:hAnsi="Consolas" w:cs="Times New Roman"/>
      <w:sz w:val="21"/>
      <w:szCs w:val="21"/>
    </w:rPr>
  </w:style>
  <w:style w:type="character" w:customStyle="1" w:styleId="TekstzonderopmaakChar">
    <w:name w:val="Tekst zonder opmaak Char"/>
    <w:basedOn w:val="Standaardalinea-lettertype"/>
    <w:link w:val="Tekstzonderopmaak"/>
    <w:uiPriority w:val="99"/>
    <w:rsid w:val="00720C2B"/>
    <w:rPr>
      <w:rFonts w:ascii="Consolas" w:eastAsia="Calibri" w:hAnsi="Consolas" w:cs="Times New Roman"/>
      <w:sz w:val="21"/>
      <w:szCs w:val="21"/>
    </w:rPr>
  </w:style>
  <w:style w:type="table" w:styleId="Lijsttabel3-Accent6">
    <w:name w:val="List Table 3 Accent 6"/>
    <w:basedOn w:val="Standaardtabel"/>
    <w:uiPriority w:val="48"/>
    <w:rsid w:val="00720C2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Accent5">
    <w:name w:val="List Table 4 Accent 5"/>
    <w:basedOn w:val="Standaardtabel"/>
    <w:uiPriority w:val="49"/>
    <w:rsid w:val="00720C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1licht">
    <w:name w:val="Grid Table 1 Light"/>
    <w:basedOn w:val="Standaardtabel"/>
    <w:uiPriority w:val="46"/>
    <w:rsid w:val="0084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EB30B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B5405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F722A"/>
    <w:rPr>
      <w:b/>
      <w:bCs/>
    </w:rPr>
  </w:style>
  <w:style w:type="character" w:customStyle="1" w:styleId="OnderwerpvanopmerkingChar">
    <w:name w:val="Onderwerp van opmerking Char"/>
    <w:basedOn w:val="TekstopmerkingChar"/>
    <w:link w:val="Onderwerpvanopmerking"/>
    <w:uiPriority w:val="99"/>
    <w:semiHidden/>
    <w:rsid w:val="004F722A"/>
    <w:rPr>
      <w:b/>
      <w:bCs/>
      <w:sz w:val="20"/>
      <w:szCs w:val="20"/>
    </w:rPr>
  </w:style>
  <w:style w:type="paragraph" w:styleId="Koptekst">
    <w:name w:val="header"/>
    <w:basedOn w:val="Standaard"/>
    <w:link w:val="KoptekstChar"/>
    <w:uiPriority w:val="99"/>
    <w:unhideWhenUsed/>
    <w:rsid w:val="00E254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46C"/>
  </w:style>
  <w:style w:type="paragraph" w:styleId="Voettekst">
    <w:name w:val="footer"/>
    <w:basedOn w:val="Standaard"/>
    <w:link w:val="VoettekstChar"/>
    <w:uiPriority w:val="99"/>
    <w:unhideWhenUsed/>
    <w:rsid w:val="00E254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5655">
      <w:bodyDiv w:val="1"/>
      <w:marLeft w:val="0"/>
      <w:marRight w:val="0"/>
      <w:marTop w:val="0"/>
      <w:marBottom w:val="0"/>
      <w:divBdr>
        <w:top w:val="none" w:sz="0" w:space="0" w:color="auto"/>
        <w:left w:val="none" w:sz="0" w:space="0" w:color="auto"/>
        <w:bottom w:val="none" w:sz="0" w:space="0" w:color="auto"/>
        <w:right w:val="none" w:sz="0" w:space="0" w:color="auto"/>
      </w:divBdr>
    </w:div>
    <w:div w:id="233593610">
      <w:bodyDiv w:val="1"/>
      <w:marLeft w:val="0"/>
      <w:marRight w:val="0"/>
      <w:marTop w:val="0"/>
      <w:marBottom w:val="0"/>
      <w:divBdr>
        <w:top w:val="none" w:sz="0" w:space="0" w:color="auto"/>
        <w:left w:val="none" w:sz="0" w:space="0" w:color="auto"/>
        <w:bottom w:val="none" w:sz="0" w:space="0" w:color="auto"/>
        <w:right w:val="none" w:sz="0" w:space="0" w:color="auto"/>
      </w:divBdr>
    </w:div>
    <w:div w:id="238564032">
      <w:bodyDiv w:val="1"/>
      <w:marLeft w:val="0"/>
      <w:marRight w:val="0"/>
      <w:marTop w:val="0"/>
      <w:marBottom w:val="0"/>
      <w:divBdr>
        <w:top w:val="none" w:sz="0" w:space="0" w:color="auto"/>
        <w:left w:val="none" w:sz="0" w:space="0" w:color="auto"/>
        <w:bottom w:val="none" w:sz="0" w:space="0" w:color="auto"/>
        <w:right w:val="none" w:sz="0" w:space="0" w:color="auto"/>
      </w:divBdr>
    </w:div>
    <w:div w:id="395857106">
      <w:bodyDiv w:val="1"/>
      <w:marLeft w:val="0"/>
      <w:marRight w:val="0"/>
      <w:marTop w:val="0"/>
      <w:marBottom w:val="0"/>
      <w:divBdr>
        <w:top w:val="none" w:sz="0" w:space="0" w:color="auto"/>
        <w:left w:val="none" w:sz="0" w:space="0" w:color="auto"/>
        <w:bottom w:val="none" w:sz="0" w:space="0" w:color="auto"/>
        <w:right w:val="none" w:sz="0" w:space="0" w:color="auto"/>
      </w:divBdr>
    </w:div>
    <w:div w:id="447510724">
      <w:bodyDiv w:val="1"/>
      <w:marLeft w:val="0"/>
      <w:marRight w:val="0"/>
      <w:marTop w:val="0"/>
      <w:marBottom w:val="0"/>
      <w:divBdr>
        <w:top w:val="none" w:sz="0" w:space="0" w:color="auto"/>
        <w:left w:val="none" w:sz="0" w:space="0" w:color="auto"/>
        <w:bottom w:val="none" w:sz="0" w:space="0" w:color="auto"/>
        <w:right w:val="none" w:sz="0" w:space="0" w:color="auto"/>
      </w:divBdr>
    </w:div>
    <w:div w:id="608704982">
      <w:bodyDiv w:val="1"/>
      <w:marLeft w:val="0"/>
      <w:marRight w:val="0"/>
      <w:marTop w:val="0"/>
      <w:marBottom w:val="0"/>
      <w:divBdr>
        <w:top w:val="none" w:sz="0" w:space="0" w:color="auto"/>
        <w:left w:val="none" w:sz="0" w:space="0" w:color="auto"/>
        <w:bottom w:val="none" w:sz="0" w:space="0" w:color="auto"/>
        <w:right w:val="none" w:sz="0" w:space="0" w:color="auto"/>
      </w:divBdr>
    </w:div>
    <w:div w:id="629409125">
      <w:bodyDiv w:val="1"/>
      <w:marLeft w:val="0"/>
      <w:marRight w:val="0"/>
      <w:marTop w:val="0"/>
      <w:marBottom w:val="0"/>
      <w:divBdr>
        <w:top w:val="none" w:sz="0" w:space="0" w:color="auto"/>
        <w:left w:val="none" w:sz="0" w:space="0" w:color="auto"/>
        <w:bottom w:val="none" w:sz="0" w:space="0" w:color="auto"/>
        <w:right w:val="none" w:sz="0" w:space="0" w:color="auto"/>
      </w:divBdr>
    </w:div>
    <w:div w:id="769357333">
      <w:bodyDiv w:val="1"/>
      <w:marLeft w:val="0"/>
      <w:marRight w:val="0"/>
      <w:marTop w:val="0"/>
      <w:marBottom w:val="0"/>
      <w:divBdr>
        <w:top w:val="none" w:sz="0" w:space="0" w:color="auto"/>
        <w:left w:val="none" w:sz="0" w:space="0" w:color="auto"/>
        <w:bottom w:val="none" w:sz="0" w:space="0" w:color="auto"/>
        <w:right w:val="none" w:sz="0" w:space="0" w:color="auto"/>
      </w:divBdr>
    </w:div>
    <w:div w:id="1014114237">
      <w:bodyDiv w:val="1"/>
      <w:marLeft w:val="0"/>
      <w:marRight w:val="0"/>
      <w:marTop w:val="0"/>
      <w:marBottom w:val="0"/>
      <w:divBdr>
        <w:top w:val="none" w:sz="0" w:space="0" w:color="auto"/>
        <w:left w:val="none" w:sz="0" w:space="0" w:color="auto"/>
        <w:bottom w:val="none" w:sz="0" w:space="0" w:color="auto"/>
        <w:right w:val="none" w:sz="0" w:space="0" w:color="auto"/>
      </w:divBdr>
    </w:div>
    <w:div w:id="1036588929">
      <w:bodyDiv w:val="1"/>
      <w:marLeft w:val="0"/>
      <w:marRight w:val="0"/>
      <w:marTop w:val="0"/>
      <w:marBottom w:val="0"/>
      <w:divBdr>
        <w:top w:val="none" w:sz="0" w:space="0" w:color="auto"/>
        <w:left w:val="none" w:sz="0" w:space="0" w:color="auto"/>
        <w:bottom w:val="none" w:sz="0" w:space="0" w:color="auto"/>
        <w:right w:val="none" w:sz="0" w:space="0" w:color="auto"/>
      </w:divBdr>
    </w:div>
    <w:div w:id="1043217766">
      <w:bodyDiv w:val="1"/>
      <w:marLeft w:val="0"/>
      <w:marRight w:val="0"/>
      <w:marTop w:val="0"/>
      <w:marBottom w:val="0"/>
      <w:divBdr>
        <w:top w:val="none" w:sz="0" w:space="0" w:color="auto"/>
        <w:left w:val="none" w:sz="0" w:space="0" w:color="auto"/>
        <w:bottom w:val="none" w:sz="0" w:space="0" w:color="auto"/>
        <w:right w:val="none" w:sz="0" w:space="0" w:color="auto"/>
      </w:divBdr>
    </w:div>
    <w:div w:id="1201553341">
      <w:bodyDiv w:val="1"/>
      <w:marLeft w:val="0"/>
      <w:marRight w:val="0"/>
      <w:marTop w:val="0"/>
      <w:marBottom w:val="0"/>
      <w:divBdr>
        <w:top w:val="none" w:sz="0" w:space="0" w:color="auto"/>
        <w:left w:val="none" w:sz="0" w:space="0" w:color="auto"/>
        <w:bottom w:val="none" w:sz="0" w:space="0" w:color="auto"/>
        <w:right w:val="none" w:sz="0" w:space="0" w:color="auto"/>
      </w:divBdr>
    </w:div>
    <w:div w:id="1235315058">
      <w:bodyDiv w:val="1"/>
      <w:marLeft w:val="0"/>
      <w:marRight w:val="0"/>
      <w:marTop w:val="0"/>
      <w:marBottom w:val="0"/>
      <w:divBdr>
        <w:top w:val="none" w:sz="0" w:space="0" w:color="auto"/>
        <w:left w:val="none" w:sz="0" w:space="0" w:color="auto"/>
        <w:bottom w:val="none" w:sz="0" w:space="0" w:color="auto"/>
        <w:right w:val="none" w:sz="0" w:space="0" w:color="auto"/>
      </w:divBdr>
    </w:div>
    <w:div w:id="1402826578">
      <w:bodyDiv w:val="1"/>
      <w:marLeft w:val="0"/>
      <w:marRight w:val="0"/>
      <w:marTop w:val="0"/>
      <w:marBottom w:val="0"/>
      <w:divBdr>
        <w:top w:val="none" w:sz="0" w:space="0" w:color="auto"/>
        <w:left w:val="none" w:sz="0" w:space="0" w:color="auto"/>
        <w:bottom w:val="none" w:sz="0" w:space="0" w:color="auto"/>
        <w:right w:val="none" w:sz="0" w:space="0" w:color="auto"/>
      </w:divBdr>
    </w:div>
    <w:div w:id="1522426269">
      <w:bodyDiv w:val="1"/>
      <w:marLeft w:val="0"/>
      <w:marRight w:val="0"/>
      <w:marTop w:val="0"/>
      <w:marBottom w:val="0"/>
      <w:divBdr>
        <w:top w:val="none" w:sz="0" w:space="0" w:color="auto"/>
        <w:left w:val="none" w:sz="0" w:space="0" w:color="auto"/>
        <w:bottom w:val="none" w:sz="0" w:space="0" w:color="auto"/>
        <w:right w:val="none" w:sz="0" w:space="0" w:color="auto"/>
      </w:divBdr>
    </w:div>
    <w:div w:id="1626346362">
      <w:bodyDiv w:val="1"/>
      <w:marLeft w:val="0"/>
      <w:marRight w:val="0"/>
      <w:marTop w:val="0"/>
      <w:marBottom w:val="0"/>
      <w:divBdr>
        <w:top w:val="none" w:sz="0" w:space="0" w:color="auto"/>
        <w:left w:val="none" w:sz="0" w:space="0" w:color="auto"/>
        <w:bottom w:val="none" w:sz="0" w:space="0" w:color="auto"/>
        <w:right w:val="none" w:sz="0" w:space="0" w:color="auto"/>
      </w:divBdr>
    </w:div>
    <w:div w:id="1972981431">
      <w:bodyDiv w:val="1"/>
      <w:marLeft w:val="0"/>
      <w:marRight w:val="0"/>
      <w:marTop w:val="0"/>
      <w:marBottom w:val="0"/>
      <w:divBdr>
        <w:top w:val="none" w:sz="0" w:space="0" w:color="auto"/>
        <w:left w:val="none" w:sz="0" w:space="0" w:color="auto"/>
        <w:bottom w:val="none" w:sz="0" w:space="0" w:color="auto"/>
        <w:right w:val="none" w:sz="0" w:space="0" w:color="auto"/>
      </w:divBdr>
    </w:div>
    <w:div w:id="2051953528">
      <w:bodyDiv w:val="1"/>
      <w:marLeft w:val="0"/>
      <w:marRight w:val="0"/>
      <w:marTop w:val="0"/>
      <w:marBottom w:val="0"/>
      <w:divBdr>
        <w:top w:val="none" w:sz="0" w:space="0" w:color="auto"/>
        <w:left w:val="none" w:sz="0" w:space="0" w:color="auto"/>
        <w:bottom w:val="none" w:sz="0" w:space="0" w:color="auto"/>
        <w:right w:val="none" w:sz="0" w:space="0" w:color="auto"/>
      </w:divBdr>
    </w:div>
    <w:div w:id="20541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pendata.cbs.nl/statline/" TargetMode="Externa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opendata.cbs.nl/statline/?dl=1332C" TargetMode="External" Id="rId12" /><Relationship Type="http://schemas.openxmlformats.org/officeDocument/2006/relationships/hyperlink" Target="https://www.wateetnederland.nl/resultaten/voedingsmiddelen/alle-voedingsmiddelengroepen"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wateetnederland.nl/resultaten/voedingsmiddelen/alle-voedingsmiddelengroepen"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image" Target="media/image2.emf"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footer" Target="footer3.xml" Id="rId23" /><Relationship Type="http://schemas.openxmlformats.org/officeDocument/2006/relationships/image" Target="media/image1.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chart" Target="charts/chart1.xml" Id="rId9" /><Relationship Type="http://schemas.openxmlformats.org/officeDocument/2006/relationships/image" Target="media/image4.png"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13" Type="http://schemas.openxmlformats.org/officeDocument/2006/relationships/hyperlink" Target="https://opendata.cbs.nl/statline/" TargetMode="External"/><Relationship Id="rId3" Type="http://schemas.openxmlformats.org/officeDocument/2006/relationships/hyperlink" Target="https://dashboards.cbs.nl/v5/Migratiemotieven/" TargetMode="External"/><Relationship Id="rId7" Type="http://schemas.openxmlformats.org/officeDocument/2006/relationships/hyperlink" Target="https://significant.nl/wp-content/uploads/2024/12/Rapport-Evaluatie-pilot-kortdurende-opvang-dakloze-EU-burgers-definitief-.pdf" TargetMode="External"/><Relationship Id="rId12" Type="http://schemas.openxmlformats.org/officeDocument/2006/relationships/hyperlink" Target="https://opendata.cbs.nl/statline/" TargetMode="External"/><Relationship Id="rId2" Type="http://schemas.openxmlformats.org/officeDocument/2006/relationships/hyperlink" Target="https://dashboards.cbs.nl/v5/Migratiemotieven/" TargetMode="External"/><Relationship Id="rId1" Type="http://schemas.openxmlformats.org/officeDocument/2006/relationships/hyperlink" Target="https://www.cbs.nl/nl-nl/dossier/dossier-zzp/is-elders-in-de-eu-het-aandeel-zzp-ers-zo-hoog-als-in-nederland-" TargetMode="External"/><Relationship Id="rId6" Type="http://schemas.openxmlformats.org/officeDocument/2006/relationships/hyperlink" Target="https://significant.nl/wp-content/uploads/2024/12/Rapport-Evaluatie-pilot-kortdurende-opvang-dakloze-EU-burgers-definitief-.pdf" TargetMode="External"/><Relationship Id="rId11" Type="http://schemas.openxmlformats.org/officeDocument/2006/relationships/hyperlink" Target="https://opendata.cbs.nl/statline/" TargetMode="External"/><Relationship Id="rId5" Type="http://schemas.openxmlformats.org/officeDocument/2006/relationships/hyperlink" Target="https://nos.nl/artikel/2554839-meer-daklozen-zijn-arbeidsmigrant-cnv-en-leger-des-heils-willen-nieuwe-aanpak" TargetMode="External"/><Relationship Id="rId10" Type="http://schemas.openxmlformats.org/officeDocument/2006/relationships/hyperlink" Target="https://opendata.cbs.nl/statline/" TargetMode="External"/><Relationship Id="rId4" Type="http://schemas.openxmlformats.org/officeDocument/2006/relationships/hyperlink" Target="https://dashboards.cbs.nl/v5/Migratiemotieven/" TargetMode="External"/><Relationship Id="rId9" Type="http://schemas.openxmlformats.org/officeDocument/2006/relationships/hyperlink" Target="https://opendata.cbs.nl/statline/" TargetMode="External"/><Relationship Id="rId14" Type="http://schemas.openxmlformats.org/officeDocument/2006/relationships/hyperlink" Target="https://opendata.cbs.nl/statlin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verzamelde-bijlagen-CEP2025-26-februari-2025_2%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aantal</a:t>
            </a:r>
            <a:r>
              <a:rPr lang="nl-NL" baseline="0"/>
              <a:t> zelfstandigen x 1000</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olidFill>
              <a:round/>
            </a:ln>
            <a:effectLst/>
          </c:spPr>
          <c:marker>
            <c:symbol val="none"/>
          </c:marker>
          <c:cat>
            <c:numRef>
              <c:f>Bijlage_10!$AB$4:$BE$4</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Bijlage_10!$AB$18:$BE$18</c:f>
              <c:numCache>
                <c:formatCode>0</c:formatCode>
                <c:ptCount val="30"/>
                <c:pt idx="0">
                  <c:v>1320</c:v>
                </c:pt>
                <c:pt idx="1">
                  <c:v>1330</c:v>
                </c:pt>
                <c:pt idx="2">
                  <c:v>1353</c:v>
                </c:pt>
                <c:pt idx="3">
                  <c:v>1317</c:v>
                </c:pt>
                <c:pt idx="4">
                  <c:v>1298</c:v>
                </c:pt>
                <c:pt idx="5">
                  <c:v>1267</c:v>
                </c:pt>
                <c:pt idx="6">
                  <c:v>1259</c:v>
                </c:pt>
                <c:pt idx="7">
                  <c:v>1264</c:v>
                </c:pt>
                <c:pt idx="8">
                  <c:v>1251</c:v>
                </c:pt>
                <c:pt idx="9">
                  <c:v>1267</c:v>
                </c:pt>
                <c:pt idx="10">
                  <c:v>1288</c:v>
                </c:pt>
                <c:pt idx="11">
                  <c:v>1336</c:v>
                </c:pt>
                <c:pt idx="12">
                  <c:v>1380</c:v>
                </c:pt>
                <c:pt idx="13">
                  <c:v>1390</c:v>
                </c:pt>
                <c:pt idx="14">
                  <c:v>1387</c:v>
                </c:pt>
                <c:pt idx="15">
                  <c:v>1388</c:v>
                </c:pt>
                <c:pt idx="16">
                  <c:v>1412</c:v>
                </c:pt>
                <c:pt idx="17">
                  <c:v>1435</c:v>
                </c:pt>
                <c:pt idx="18">
                  <c:v>1442</c:v>
                </c:pt>
                <c:pt idx="19">
                  <c:v>1472</c:v>
                </c:pt>
                <c:pt idx="20">
                  <c:v>1480</c:v>
                </c:pt>
                <c:pt idx="21">
                  <c:v>1500</c:v>
                </c:pt>
                <c:pt idx="22">
                  <c:v>1519</c:v>
                </c:pt>
                <c:pt idx="23">
                  <c:v>1546</c:v>
                </c:pt>
                <c:pt idx="24">
                  <c:v>1580</c:v>
                </c:pt>
                <c:pt idx="25">
                  <c:v>1588</c:v>
                </c:pt>
                <c:pt idx="26">
                  <c:v>1634</c:v>
                </c:pt>
                <c:pt idx="27">
                  <c:v>1727</c:v>
                </c:pt>
                <c:pt idx="28">
                  <c:v>1781</c:v>
                </c:pt>
                <c:pt idx="29">
                  <c:v>1820</c:v>
                </c:pt>
              </c:numCache>
            </c:numRef>
          </c:val>
          <c:smooth val="0"/>
          <c:extLst>
            <c:ext xmlns:c16="http://schemas.microsoft.com/office/drawing/2014/chart" uri="{C3380CC4-5D6E-409C-BE32-E72D297353CC}">
              <c16:uniqueId val="{00000000-BEAD-4E29-B94F-71FF705FA33D}"/>
            </c:ext>
          </c:extLst>
        </c:ser>
        <c:dLbls>
          <c:showLegendKey val="0"/>
          <c:showVal val="0"/>
          <c:showCatName val="0"/>
          <c:showSerName val="0"/>
          <c:showPercent val="0"/>
          <c:showBubbleSize val="0"/>
        </c:dLbls>
        <c:smooth val="0"/>
        <c:axId val="281973264"/>
        <c:axId val="281967984"/>
      </c:lineChart>
      <c:catAx>
        <c:axId val="28197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1967984"/>
        <c:crosses val="autoZero"/>
        <c:auto val="1"/>
        <c:lblAlgn val="ctr"/>
        <c:lblOffset val="100"/>
        <c:noMultiLvlLbl val="0"/>
      </c:catAx>
      <c:valAx>
        <c:axId val="281967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1973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40932</ap:Words>
  <ap:Characters>225129</ap:Characters>
  <ap:DocSecurity>0</ap:DocSecurity>
  <ap:Lines>1876</ap:Lines>
  <ap:Paragraphs>531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2025-06-03T13:33:00.0000000Z</dcterms:created>
  <dcterms:modified xsi:type="dcterms:W3CDTF">2025-06-05T13:03:00.0000000Z</dcterms:modified>
  <version/>
  <category/>
</coreProperties>
</file>