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2025Z11633</w:t>
        <w:br/>
      </w:r>
      <w:proofErr w:type="spellEnd"/>
    </w:p>
    <w:p>
      <w:pPr>
        <w:pStyle w:val="Normal"/>
        <w:rPr>
          <w:b w:val="1"/>
          <w:bCs w:val="1"/>
        </w:rPr>
      </w:pPr>
      <w:r w:rsidR="250AE766">
        <w:rPr>
          <w:b w:val="0"/>
          <w:bCs w:val="0"/>
        </w:rPr>
        <w:t>(ingezonden 10 juni 2025)</w:t>
        <w:br/>
      </w:r>
    </w:p>
    <w:p>
      <w:r>
        <w:t xml:space="preserve">Vragen van het lid Van Nispen (SP) aan de staatssecretaris van Justitie en Veiligheid over de aanstaande Tussenevaluatie Wet herziening partneralimentatie en de nog altijd bestaande ongelijkheid op de arbeidsmarkt tussen vrouwen en mannen</w:t>
      </w:r>
      <w:r>
        <w:br/>
      </w:r>
    </w:p>
    <w:p>
      <w:r>
        <w:t xml:space="preserve"> </w:t>
      </w:r>
      <w:r>
        <w:br/>
      </w:r>
    </w:p>
    <w:p>
      <w:pPr>
        <w:pStyle w:val="ListParagraph"/>
        <w:numPr>
          <w:ilvl w:val="0"/>
          <w:numId w:val="100480390"/>
        </w:numPr>
        <w:ind w:left="360"/>
      </w:pPr>
      <w:r>
        <w:t>Bent u bekend met de recente cijfers die aantonen dat de arbeidsmarktpositie van vrouwen achterblijft bij die van mannen? 1)</w:t>
      </w:r>
      <w:r>
        <w:br/>
      </w:r>
    </w:p>
    <w:p>
      <w:pPr>
        <w:pStyle w:val="ListParagraph"/>
        <w:numPr>
          <w:ilvl w:val="0"/>
          <w:numId w:val="100480390"/>
        </w:numPr>
        <w:ind w:left="360"/>
      </w:pPr>
      <w:r>
        <w:t>Bent u tevens bekend met de cijfers van het Centraal Bureau voor de Statistiek (CBS) die aantonen dat dit in nog grotere mate geldt voor vrouwen met een chronische ziekte of beperking, oudere vrouwen en vrouwen met een migratieachtergrond, die over het algemeen minder makkelijk toegang hebben tot de arbeidsmarkt? 2)</w:t>
      </w:r>
      <w:r>
        <w:br/>
      </w:r>
    </w:p>
    <w:p>
      <w:pPr>
        <w:pStyle w:val="ListParagraph"/>
        <w:numPr>
          <w:ilvl w:val="0"/>
          <w:numId w:val="100480390"/>
        </w:numPr>
        <w:ind w:left="360"/>
      </w:pPr>
      <w:r>
        <w:t>Kunt u toelichten op welke wijze deze cijfers en trends worden meegewogen in de aankomende tussenevaluatie van de Wet herziening partneralimentatie?</w:t>
      </w:r>
      <w:r>
        <w:br/>
      </w:r>
    </w:p>
    <w:p>
      <w:pPr>
        <w:pStyle w:val="ListParagraph"/>
        <w:numPr>
          <w:ilvl w:val="0"/>
          <w:numId w:val="100480390"/>
        </w:numPr>
        <w:ind w:left="360"/>
      </w:pPr>
      <w:r>
        <w:t>Deelt u de opvatting dat de verkorting van de alimentatieduur het risico vergroot dat vrouwen structureel financieel benadeeld worden?</w:t>
      </w:r>
      <w:r>
        <w:br/>
      </w:r>
    </w:p>
    <w:p>
      <w:pPr>
        <w:pStyle w:val="ListParagraph"/>
        <w:numPr>
          <w:ilvl w:val="0"/>
          <w:numId w:val="100480390"/>
        </w:numPr>
        <w:ind w:left="360"/>
      </w:pPr>
      <w:r>
        <w:t>Heeft u inzicht in hoeveel gescheiden vrouwen na afloop van de alimentatietermijn afhankelijk worden van overheidsvoorzieningen? Zo nee, hoe gaat dat inzicht verkregen worden?</w:t>
      </w:r>
      <w:r>
        <w:br/>
      </w:r>
    </w:p>
    <w:p>
      <w:pPr>
        <w:pStyle w:val="ListParagraph"/>
        <w:numPr>
          <w:ilvl w:val="0"/>
          <w:numId w:val="100480390"/>
        </w:numPr>
        <w:ind w:left="360"/>
      </w:pPr>
      <w:r>
        <w:t>Deelt u de zorg dat door de verkorting van de alimentatieduur het risico ontstaat dat de minder welvarende partner onvoldoende tijd krijgt om deze achterstand in te lopen en een beroep moet doen op sociale voorzieningen zoals de bijstand en dus overheidsmiddelen?</w:t>
      </w:r>
      <w:r>
        <w:br/>
      </w:r>
    </w:p>
    <w:p>
      <w:pPr>
        <w:pStyle w:val="ListParagraph"/>
        <w:numPr>
          <w:ilvl w:val="0"/>
          <w:numId w:val="100480390"/>
        </w:numPr>
        <w:ind w:left="360"/>
      </w:pPr>
      <w:r>
        <w:t>Deelt u de opvatting dat dit een ongewenste ontwikkeling is vanuit het perspectief van publieke uitgaven en lasten?</w:t>
      </w:r>
      <w:r>
        <w:br/>
      </w:r>
    </w:p>
    <w:p>
      <w:pPr>
        <w:pStyle w:val="ListParagraph"/>
        <w:numPr>
          <w:ilvl w:val="0"/>
          <w:numId w:val="100480390"/>
        </w:numPr>
        <w:ind w:left="360"/>
      </w:pPr>
      <w:r>
        <w:t>Kunt u toelichten op welke wijze in de tussenevaluatie wordt onderzocht of de verkorte alimentatietermijn leidt tot hogere instroom in de bijstand?</w:t>
      </w:r>
      <w:r>
        <w:br/>
      </w:r>
    </w:p>
    <w:p>
      <w:pPr>
        <w:pStyle w:val="ListParagraph"/>
        <w:numPr>
          <w:ilvl w:val="0"/>
          <w:numId w:val="100480390"/>
        </w:numPr>
        <w:ind w:left="360"/>
      </w:pPr>
      <w:r>
        <w:t>Wordt binnen de evaluatie ook onderzocht of partners na het huwelijk de achterstand op de arbeidsmarkt daadwerkelijk hebben kunnen inhalen?</w:t>
      </w:r>
      <w:r>
        <w:br/>
      </w:r>
    </w:p>
    <w:p>
      <w:pPr>
        <w:pStyle w:val="ListParagraph"/>
        <w:numPr>
          <w:ilvl w:val="0"/>
          <w:numId w:val="100480390"/>
        </w:numPr>
        <w:ind w:left="360"/>
      </w:pPr>
      <w:r>
        <w:t>Heeft u inzicht in de sociaaleconomische gevolgen van het ontbreken van co-ouderschap voor de financiële zelfstandigheid van vrouwen?</w:t>
      </w:r>
      <w:r>
        <w:br/>
      </w:r>
    </w:p>
    <w:p>
      <w:pPr>
        <w:pStyle w:val="ListParagraph"/>
        <w:numPr>
          <w:ilvl w:val="0"/>
          <w:numId w:val="100480390"/>
        </w:numPr>
        <w:ind w:left="360"/>
      </w:pPr>
      <w:r>
        <w:t>Deelt u de mening dat bij de evaluatie van de Wet herziening partneralimentatie aandacht moet worden besteed aan de vraag of de werkelijkheid reflecteert met het uitgangspunt dat co-ouderschap de norm is? Hoe vaak worden hiervan afwijkende afspraken gemaakt? Als die gegevens er niet zijn,  hoe zullen die worden verkregen?</w:t>
      </w:r>
      <w:r>
        <w:br/>
      </w:r>
    </w:p>
    <w:p>
      <w:pPr>
        <w:pStyle w:val="ListParagraph"/>
        <w:numPr>
          <w:ilvl w:val="0"/>
          <w:numId w:val="100480390"/>
        </w:numPr>
        <w:ind w:left="360"/>
      </w:pPr>
      <w:r>
        <w:t>Weet u op welke wijze bij de evaluatie aandacht zal worden besteed aan de effectiviteit van de in wet opgenomen afwijkende afspraken in het tegengaan van onrechtvaardige uitkomsten? Zo nee, hoe zal dat inzicht verkregen worden?</w:t>
      </w:r>
      <w:r>
        <w:br/>
      </w:r>
    </w:p>
    <w:p>
      <w:pPr>
        <w:pStyle w:val="ListParagraph"/>
        <w:numPr>
          <w:ilvl w:val="0"/>
          <w:numId w:val="100480390"/>
        </w:numPr>
        <w:ind w:left="360"/>
      </w:pPr>
      <w:r>
        <w:t>Heeft u inzicht in de sociaaleconomische gevolgen voor ongehuwde partners met kinderen, ongehuwde samenwonenden waarvan één partner mantelzorg verleent en andere vormen van ongelijke verdeelde zorgtaken na relatiebeëindiging?</w:t>
      </w:r>
      <w:r>
        <w:br/>
      </w:r>
    </w:p>
    <w:p>
      <w:pPr>
        <w:pStyle w:val="ListParagraph"/>
        <w:numPr>
          <w:ilvl w:val="0"/>
          <w:numId w:val="100480390"/>
        </w:numPr>
        <w:ind w:left="360"/>
      </w:pPr>
      <w:r>
        <w:t>Op welke wijze wordt deze groeiende groep ongehuwden betrokken bij de tussenevaluatie van de wet?</w:t>
      </w:r>
      <w:r>
        <w:br/>
      </w:r>
    </w:p>
    <w:p>
      <w:pPr>
        <w:pStyle w:val="ListParagraph"/>
        <w:numPr>
          <w:ilvl w:val="0"/>
          <w:numId w:val="100480390"/>
        </w:numPr>
        <w:ind w:left="360"/>
      </w:pPr>
      <w:r>
        <w:t>Bent u bereid om, als de tussenevaluatie daar aanleiding toe geeft, de hardheidsclausule te herzien en te overwegen om een ruimer toetsingskader te hanteren zodat meer groepen daaronder zouden kunnen vallen, hetgeen ook een wens is van bureau Clara Wichmann? 3) Zo nee, waarom niet?</w:t>
      </w:r>
      <w:r>
        <w:br/>
      </w:r>
    </w:p>
    <w:p>
      <w:r>
        <w:t xml:space="preserve"> </w:t>
      </w:r>
      <w:r>
        <w:br/>
      </w:r>
    </w:p>
    <w:p>
      <w:r>
        <w:t xml:space="preserve">1) CBS, Emancipatiemonitor 2024 (longreads.cbs.nl/emancipatiemonitor-2024/werken-en-zorgen/).</w:t>
      </w:r>
      <w:r>
        <w:br/>
      </w:r>
    </w:p>
    <w:p>
      <w:r>
        <w:t xml:space="preserve">2) CBS, Arbeidsdeelname; migratieachtergrond, 2003-2022 (opendata.cbs.nl/#/CBS/nl/dataset/82809NED/table).</w:t>
      </w:r>
      <w:r>
        <w:br/>
      </w:r>
    </w:p>
    <w:p>
      <w:r>
        <w:t xml:space="preserve">3) Bureau Clara Wichmann, 28 mei 2025, Oproep voor kandidaten strategische procedure Wet herziening partneralimentatie (clara-wichmann.nl/nieuws/oproep-voor-kandidaten-strategische-procedure-wet-herziening-partneralimentatie/).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