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431E4" w:rsidR="00494710" w:rsidP="00C431E4" w:rsidRDefault="00C431E4" w14:paraId="25BD2245" w14:textId="403D1ACA">
      <w:pPr>
        <w:spacing w:after="0" w:line="240" w:lineRule="auto"/>
        <w:rPr>
          <w:rFonts w:ascii="Verdana" w:hAnsi="Verdana"/>
          <w:b/>
          <w:bCs/>
          <w:sz w:val="18"/>
          <w:szCs w:val="18"/>
        </w:rPr>
      </w:pPr>
      <w:r w:rsidRPr="00C431E4">
        <w:rPr>
          <w:rFonts w:ascii="Verdana" w:hAnsi="Verdana"/>
          <w:b/>
          <w:bCs/>
          <w:sz w:val="18"/>
          <w:szCs w:val="18"/>
        </w:rPr>
        <w:t xml:space="preserve">Vragen bij </w:t>
      </w:r>
      <w:proofErr w:type="spellStart"/>
      <w:r w:rsidRPr="00C431E4">
        <w:rPr>
          <w:rFonts w:ascii="Verdana" w:hAnsi="Verdana"/>
          <w:b/>
          <w:bCs/>
          <w:sz w:val="18"/>
          <w:szCs w:val="18"/>
        </w:rPr>
        <w:t>slotwet</w:t>
      </w:r>
      <w:proofErr w:type="spellEnd"/>
      <w:r w:rsidRPr="00C431E4">
        <w:rPr>
          <w:rFonts w:ascii="Verdana" w:hAnsi="Verdana"/>
          <w:b/>
          <w:bCs/>
          <w:sz w:val="18"/>
          <w:szCs w:val="18"/>
        </w:rPr>
        <w:t xml:space="preserve"> ministerie van Sociale Zaken en Werkgelegenheid 2024</w:t>
      </w:r>
    </w:p>
    <w:p w:rsidR="00C431E4" w:rsidP="00C431E4" w:rsidRDefault="00C431E4" w14:paraId="5193943E" w14:textId="77777777">
      <w:pPr>
        <w:spacing w:after="0" w:line="240" w:lineRule="auto"/>
        <w:rPr>
          <w:rFonts w:ascii="Verdana" w:hAnsi="Verdana"/>
          <w:sz w:val="18"/>
          <w:szCs w:val="18"/>
        </w:rPr>
      </w:pPr>
    </w:p>
    <w:p w:rsidR="004E0D58" w:rsidP="00092F83" w:rsidRDefault="004E0D58" w14:paraId="6B2EE743" w14:textId="77777777">
      <w:pPr>
        <w:spacing w:after="0" w:line="240" w:lineRule="auto"/>
        <w:rPr>
          <w:rFonts w:ascii="Verdana" w:hAnsi="Verdana"/>
          <w:sz w:val="18"/>
          <w:szCs w:val="18"/>
          <w:u w:val="single"/>
        </w:rPr>
      </w:pPr>
    </w:p>
    <w:p w:rsidRPr="00092F83" w:rsidR="00092F83" w:rsidP="00092F83" w:rsidRDefault="00092F83" w14:paraId="6C05CC1F" w14:textId="6842F146">
      <w:pPr>
        <w:spacing w:after="0" w:line="240" w:lineRule="auto"/>
        <w:rPr>
          <w:rFonts w:ascii="Verdana" w:hAnsi="Verdana"/>
          <w:sz w:val="18"/>
          <w:szCs w:val="18"/>
          <w:u w:val="single"/>
        </w:rPr>
      </w:pPr>
      <w:r w:rsidRPr="00092F83">
        <w:rPr>
          <w:rFonts w:ascii="Verdana" w:hAnsi="Verdana"/>
          <w:sz w:val="18"/>
          <w:szCs w:val="18"/>
          <w:u w:val="single"/>
        </w:rPr>
        <w:t xml:space="preserve">Vraag 1 </w:t>
      </w:r>
    </w:p>
    <w:p w:rsidRPr="00092F83" w:rsidR="00092F83" w:rsidP="00092F83" w:rsidRDefault="00092F83" w14:paraId="3574BD1F" w14:textId="77777777">
      <w:pPr>
        <w:spacing w:after="0" w:line="240" w:lineRule="auto"/>
        <w:rPr>
          <w:rFonts w:ascii="Verdana" w:hAnsi="Verdana"/>
          <w:sz w:val="18"/>
          <w:szCs w:val="18"/>
        </w:rPr>
      </w:pPr>
      <w:r w:rsidRPr="00092F83">
        <w:rPr>
          <w:rFonts w:ascii="Verdana" w:hAnsi="Verdana"/>
          <w:sz w:val="18"/>
          <w:szCs w:val="18"/>
        </w:rPr>
        <w:t>Hoeveel miljoen euro aan verplichtingen zal naar verwachting alsnog worden aangegaan doordat de beoordelingen van aanvragen voor Maatwerkregeling Duurzame Inzetbaarheid en Eerder Uittreden (MDIEU) in 2025 worden voortgezet?</w:t>
      </w:r>
    </w:p>
    <w:p w:rsidRPr="00092F83" w:rsidR="00092F83" w:rsidP="00092F83" w:rsidRDefault="00092F83" w14:paraId="5A880B7A" w14:textId="77777777">
      <w:pPr>
        <w:spacing w:after="0" w:line="240" w:lineRule="auto"/>
        <w:rPr>
          <w:rFonts w:ascii="Verdana" w:hAnsi="Verdana"/>
          <w:sz w:val="18"/>
          <w:szCs w:val="18"/>
        </w:rPr>
      </w:pPr>
    </w:p>
    <w:p w:rsidRPr="00092F83" w:rsidR="00092F83" w:rsidP="00092F83" w:rsidRDefault="00092F83" w14:paraId="302D3085" w14:textId="77777777">
      <w:pPr>
        <w:spacing w:after="0" w:line="240" w:lineRule="auto"/>
        <w:rPr>
          <w:rFonts w:ascii="Verdana" w:hAnsi="Verdana"/>
          <w:sz w:val="18"/>
          <w:szCs w:val="18"/>
          <w:u w:val="single"/>
        </w:rPr>
      </w:pPr>
      <w:r w:rsidRPr="00092F83">
        <w:rPr>
          <w:rFonts w:ascii="Verdana" w:hAnsi="Verdana"/>
          <w:sz w:val="18"/>
          <w:szCs w:val="18"/>
          <w:u w:val="single"/>
        </w:rPr>
        <w:t xml:space="preserve">Antwoord 1 </w:t>
      </w:r>
    </w:p>
    <w:p w:rsidRPr="00092F83" w:rsidR="00092F83" w:rsidP="00092F83" w:rsidRDefault="00092F83" w14:paraId="50AB390E" w14:textId="77777777">
      <w:pPr>
        <w:spacing w:after="0" w:line="240" w:lineRule="auto"/>
        <w:rPr>
          <w:rFonts w:ascii="Verdana" w:hAnsi="Verdana"/>
          <w:sz w:val="18"/>
          <w:szCs w:val="18"/>
        </w:rPr>
      </w:pPr>
      <w:r w:rsidRPr="00092F83">
        <w:rPr>
          <w:rFonts w:ascii="Verdana" w:hAnsi="Verdana"/>
          <w:sz w:val="18"/>
          <w:szCs w:val="18"/>
        </w:rPr>
        <w:t>De beoordeling van aanvragen uit het laatste aanvraagtijdvak voor individuele bedrijven binnen de MDIEU is doorgelopen in 2025. Dit tijdvak is ruim overvraagd, dus aanvragen worden behandeld totdat het subsidieplafond van € 100 miljoen is bereikt. Van dit tijdvak zal naar verwachting ongeveer € 70 miljoen aan verplichtingen worden aangegaan in 2025.</w:t>
      </w:r>
    </w:p>
    <w:p w:rsidR="00C431E4" w:rsidP="00092F83" w:rsidRDefault="00C431E4" w14:paraId="28B25FB0" w14:textId="77777777">
      <w:pPr>
        <w:spacing w:after="0" w:line="240" w:lineRule="auto"/>
        <w:rPr>
          <w:rFonts w:ascii="Verdana" w:hAnsi="Verdana"/>
          <w:sz w:val="18"/>
          <w:szCs w:val="18"/>
        </w:rPr>
      </w:pPr>
    </w:p>
    <w:p w:rsidRPr="00092F83" w:rsidR="00092F83" w:rsidP="00092F83" w:rsidRDefault="00092F83" w14:paraId="1D5B8A08" w14:textId="77777777">
      <w:pPr>
        <w:spacing w:after="0" w:line="240" w:lineRule="auto"/>
        <w:rPr>
          <w:rFonts w:ascii="Verdana" w:hAnsi="Verdana"/>
          <w:sz w:val="18"/>
          <w:szCs w:val="18"/>
          <w:u w:val="single"/>
        </w:rPr>
      </w:pPr>
      <w:r w:rsidRPr="00092F83">
        <w:rPr>
          <w:rFonts w:ascii="Verdana" w:hAnsi="Verdana"/>
          <w:sz w:val="18"/>
          <w:szCs w:val="18"/>
          <w:u w:val="single"/>
        </w:rPr>
        <w:t xml:space="preserve">Vraag 2 </w:t>
      </w:r>
    </w:p>
    <w:p w:rsidRPr="00092F83" w:rsidR="00092F83" w:rsidP="00092F83" w:rsidRDefault="00092F83" w14:paraId="5BCB0994" w14:textId="77777777">
      <w:pPr>
        <w:spacing w:after="0" w:line="240" w:lineRule="auto"/>
        <w:rPr>
          <w:rFonts w:ascii="Verdana" w:hAnsi="Verdana"/>
          <w:sz w:val="18"/>
          <w:szCs w:val="18"/>
        </w:rPr>
      </w:pPr>
      <w:r w:rsidRPr="00092F83">
        <w:rPr>
          <w:rFonts w:ascii="Verdana" w:hAnsi="Verdana"/>
          <w:sz w:val="18"/>
          <w:szCs w:val="18"/>
        </w:rPr>
        <w:t>Wat is de bestemming voor de € 24,5 miljoen op het verplichtingenbudget van de subsidie Stimuleringsregeling leren en ontwikkelen in mkb-ondernemingen (SLIM)?</w:t>
      </w:r>
    </w:p>
    <w:p w:rsidRPr="00092F83" w:rsidR="00092F83" w:rsidP="00092F83" w:rsidRDefault="00092F83" w14:paraId="173B6735" w14:textId="77777777">
      <w:pPr>
        <w:spacing w:after="0" w:line="240" w:lineRule="auto"/>
        <w:rPr>
          <w:rFonts w:ascii="Verdana" w:hAnsi="Verdana"/>
          <w:sz w:val="18"/>
          <w:szCs w:val="18"/>
        </w:rPr>
      </w:pPr>
    </w:p>
    <w:p w:rsidRPr="00092F83" w:rsidR="00092F83" w:rsidP="00092F83" w:rsidRDefault="00092F83" w14:paraId="5CF31A11" w14:textId="77777777">
      <w:pPr>
        <w:spacing w:after="0" w:line="240" w:lineRule="auto"/>
        <w:rPr>
          <w:rFonts w:ascii="Verdana" w:hAnsi="Verdana"/>
          <w:sz w:val="18"/>
          <w:szCs w:val="18"/>
          <w:u w:val="single"/>
        </w:rPr>
      </w:pPr>
      <w:r w:rsidRPr="00092F83">
        <w:rPr>
          <w:rFonts w:ascii="Verdana" w:hAnsi="Verdana"/>
          <w:sz w:val="18"/>
          <w:szCs w:val="18"/>
          <w:u w:val="single"/>
        </w:rPr>
        <w:t>Antwoord 2</w:t>
      </w:r>
    </w:p>
    <w:p w:rsidRPr="00092F83" w:rsidR="00092F83" w:rsidP="00092F83" w:rsidRDefault="00092F83" w14:paraId="753BF8C1" w14:textId="77777777">
      <w:pPr>
        <w:spacing w:after="0" w:line="240" w:lineRule="auto"/>
        <w:rPr>
          <w:rFonts w:ascii="Verdana" w:hAnsi="Verdana"/>
          <w:sz w:val="18"/>
          <w:szCs w:val="18"/>
        </w:rPr>
      </w:pPr>
      <w:r w:rsidRPr="00092F83">
        <w:rPr>
          <w:rFonts w:ascii="Verdana" w:hAnsi="Verdana"/>
          <w:sz w:val="18"/>
          <w:szCs w:val="18"/>
        </w:rPr>
        <w:t xml:space="preserve">De </w:t>
      </w:r>
      <w:proofErr w:type="spellStart"/>
      <w:r w:rsidRPr="00092F83">
        <w:rPr>
          <w:rFonts w:ascii="Verdana" w:hAnsi="Verdana"/>
          <w:sz w:val="18"/>
          <w:szCs w:val="18"/>
        </w:rPr>
        <w:t>onderuitputting</w:t>
      </w:r>
      <w:proofErr w:type="spellEnd"/>
      <w:r w:rsidRPr="00092F83">
        <w:rPr>
          <w:rFonts w:ascii="Verdana" w:hAnsi="Verdana"/>
          <w:sz w:val="18"/>
          <w:szCs w:val="18"/>
        </w:rPr>
        <w:t xml:space="preserve"> van € 24,5 miljoen op het verplichtingenbudget van de subsidie </w:t>
      </w:r>
      <w:proofErr w:type="spellStart"/>
      <w:r w:rsidRPr="00092F83">
        <w:rPr>
          <w:rFonts w:ascii="Verdana" w:hAnsi="Verdana"/>
          <w:sz w:val="18"/>
          <w:szCs w:val="18"/>
        </w:rPr>
        <w:t>Stimuleringregeling</w:t>
      </w:r>
      <w:proofErr w:type="spellEnd"/>
      <w:r w:rsidRPr="00092F83">
        <w:rPr>
          <w:rFonts w:ascii="Verdana" w:hAnsi="Verdana"/>
          <w:sz w:val="18"/>
          <w:szCs w:val="18"/>
        </w:rPr>
        <w:t xml:space="preserve"> LLO in MKB (SLIM) is veroorzaakt doordat er per abuis te veel verplichtingenbudget gereserveerd was voor de regeling in 2024. Dit staat los van kasuitgaven in 2024.</w:t>
      </w:r>
    </w:p>
    <w:p w:rsidRPr="00092F83" w:rsidR="00092F83" w:rsidP="00092F83" w:rsidRDefault="00092F83" w14:paraId="0D7ADE50" w14:textId="77777777">
      <w:pPr>
        <w:spacing w:after="0" w:line="240" w:lineRule="auto"/>
        <w:rPr>
          <w:rFonts w:ascii="Verdana" w:hAnsi="Verdana"/>
          <w:sz w:val="18"/>
          <w:szCs w:val="18"/>
          <w:u w:val="single"/>
        </w:rPr>
      </w:pPr>
    </w:p>
    <w:p w:rsidRPr="00042552" w:rsidR="00E84A5A" w:rsidP="00E84A5A" w:rsidRDefault="00E84A5A" w14:paraId="5EBD310F" w14:textId="77777777">
      <w:pPr>
        <w:spacing w:after="0" w:line="240" w:lineRule="auto"/>
        <w:rPr>
          <w:rFonts w:ascii="Verdana" w:hAnsi="Verdana"/>
          <w:sz w:val="18"/>
          <w:szCs w:val="18"/>
          <w:u w:val="single"/>
        </w:rPr>
      </w:pPr>
      <w:r w:rsidRPr="00042552">
        <w:rPr>
          <w:rFonts w:ascii="Verdana" w:hAnsi="Verdana"/>
          <w:sz w:val="18"/>
          <w:szCs w:val="18"/>
          <w:u w:val="single"/>
        </w:rPr>
        <w:t xml:space="preserve">Vraag </w:t>
      </w:r>
      <w:r>
        <w:rPr>
          <w:rFonts w:ascii="Verdana" w:hAnsi="Verdana"/>
          <w:sz w:val="18"/>
          <w:szCs w:val="18"/>
          <w:u w:val="single"/>
        </w:rPr>
        <w:t>3</w:t>
      </w:r>
    </w:p>
    <w:p w:rsidRPr="00042552" w:rsidR="00E84A5A" w:rsidP="00E84A5A" w:rsidRDefault="00E84A5A" w14:paraId="1B0FF953" w14:textId="77777777">
      <w:pPr>
        <w:spacing w:after="0" w:line="240" w:lineRule="auto"/>
        <w:rPr>
          <w:rFonts w:ascii="Verdana" w:hAnsi="Verdana"/>
          <w:sz w:val="18"/>
          <w:szCs w:val="18"/>
        </w:rPr>
      </w:pPr>
      <w:r w:rsidRPr="0005173E">
        <w:rPr>
          <w:rFonts w:ascii="Verdana" w:hAnsi="Verdana"/>
          <w:sz w:val="18"/>
          <w:szCs w:val="18"/>
        </w:rPr>
        <w:t>Er is € 11,9 miljoen minder uitgegeven dan bij de Najaarsnota werd geraamd, dus kan gespecificeerd en verklaard worden waar dit verschil tussen raming en uitgaven precies vandaan komt?</w:t>
      </w:r>
    </w:p>
    <w:p w:rsidR="00E84A5A" w:rsidP="00E84A5A" w:rsidRDefault="00E84A5A" w14:paraId="4EDC95B5" w14:textId="77777777">
      <w:pPr>
        <w:spacing w:after="0" w:line="240" w:lineRule="auto"/>
        <w:rPr>
          <w:rFonts w:ascii="Verdana" w:hAnsi="Verdana"/>
          <w:sz w:val="18"/>
          <w:szCs w:val="18"/>
          <w:u w:val="single"/>
        </w:rPr>
      </w:pPr>
    </w:p>
    <w:p w:rsidRPr="00042552" w:rsidR="00E84A5A" w:rsidP="00E84A5A" w:rsidRDefault="00E84A5A" w14:paraId="7F680F33" w14:textId="77777777">
      <w:pPr>
        <w:spacing w:after="0" w:line="240" w:lineRule="auto"/>
        <w:rPr>
          <w:rFonts w:ascii="Verdana" w:hAnsi="Verdana"/>
          <w:sz w:val="18"/>
          <w:szCs w:val="18"/>
          <w:u w:val="single"/>
        </w:rPr>
      </w:pPr>
      <w:r w:rsidRPr="00042552">
        <w:rPr>
          <w:rFonts w:ascii="Verdana" w:hAnsi="Verdana"/>
          <w:sz w:val="18"/>
          <w:szCs w:val="18"/>
          <w:u w:val="single"/>
        </w:rPr>
        <w:t xml:space="preserve">Antwoord </w:t>
      </w:r>
      <w:r>
        <w:rPr>
          <w:rFonts w:ascii="Verdana" w:hAnsi="Verdana"/>
          <w:sz w:val="18"/>
          <w:szCs w:val="18"/>
          <w:u w:val="single"/>
        </w:rPr>
        <w:t>3</w:t>
      </w:r>
    </w:p>
    <w:p w:rsidR="00E84A5A" w:rsidP="00E84A5A" w:rsidRDefault="00E84A5A" w14:paraId="561C1E8C" w14:textId="77777777">
      <w:pPr>
        <w:spacing w:after="0" w:line="240" w:lineRule="auto"/>
        <w:rPr>
          <w:rFonts w:ascii="Verdana" w:hAnsi="Verdana"/>
          <w:sz w:val="18"/>
          <w:szCs w:val="18"/>
        </w:rPr>
      </w:pPr>
      <w:r>
        <w:rPr>
          <w:rFonts w:ascii="Verdana" w:hAnsi="Verdana"/>
          <w:sz w:val="18"/>
          <w:szCs w:val="18"/>
        </w:rPr>
        <w:t xml:space="preserve">Onder beleidsartikel 2 ‘Bijstand, Participatiewet en Toeslagenwet’ van de SZW-begroting vallen verschillende soorten uitgaven. Het totaal aan uitgaven in 2024 was € 8,5 miljard. Ten opzichte van de Najaarsnota zijn de uitgaven van artikel 2 € 11,9 miljoen lager uitgevallen. Dit komt met name doordat de uitgaven bij het opdrachtenbudget en het subsidiebudget lager zijn uitgevallen. De grootste verschillen (&gt; € 1 miljoen) worden in dit antwoord toegelicht. Zo is er € 2,6 miljoen minder uitgegeven aan opdrachten doordat een aantal onderzoeken vertraagd zijn en enkele werkzaamheden van het CBS in 2025 worden uitgevoerd. Daarnaast was er € 1,5 miljoen aan </w:t>
      </w:r>
      <w:proofErr w:type="spellStart"/>
      <w:r>
        <w:rPr>
          <w:rFonts w:ascii="Verdana" w:hAnsi="Verdana"/>
          <w:sz w:val="18"/>
          <w:szCs w:val="18"/>
        </w:rPr>
        <w:t>onderuitputting</w:t>
      </w:r>
      <w:proofErr w:type="spellEnd"/>
      <w:r>
        <w:rPr>
          <w:rFonts w:ascii="Verdana" w:hAnsi="Verdana"/>
          <w:sz w:val="18"/>
          <w:szCs w:val="18"/>
        </w:rPr>
        <w:t xml:space="preserve"> bij de subsidieregeling Financiële Educatie en € 1 miljoen aan </w:t>
      </w:r>
      <w:proofErr w:type="spellStart"/>
      <w:r>
        <w:rPr>
          <w:rFonts w:ascii="Verdana" w:hAnsi="Verdana"/>
          <w:sz w:val="18"/>
          <w:szCs w:val="18"/>
        </w:rPr>
        <w:t>onderuitputting</w:t>
      </w:r>
      <w:proofErr w:type="spellEnd"/>
      <w:r>
        <w:rPr>
          <w:rFonts w:ascii="Verdana" w:hAnsi="Verdana"/>
          <w:sz w:val="18"/>
          <w:szCs w:val="18"/>
        </w:rPr>
        <w:t xml:space="preserve"> bij subsidies voor preventieprojecten. Ook is er € 1,4 miljoen minder uitgegeven aan het algemene subsidiebudget van artikel 2 omdat de betalingen zijn doorgeschoven van 2024 naar 2025. Verder kwamen er minder studenten in aanmerking voor de eenmalige tegemoetkoming energietoeslag studenten (TEKS) dan door DUO werd verwacht bij de Najaarsnota, waardoor de uitgaven hiervoor € 1,4 miljoen lager zijn uitgevallen. Ten slotte zijn diverse betalingen (€ 1,3 miljoen) aan het Ministerie van Financiën met betrekking tot audit- en certificeringswerkzaamheden in verband met het Europees Sociaal Fonds (ESF) doorgeschoven van 2024 naar 2025.</w:t>
      </w:r>
    </w:p>
    <w:p w:rsidRPr="00092F83" w:rsidR="00092F83" w:rsidP="00092F83" w:rsidRDefault="00092F83" w14:paraId="72BED0C2" w14:textId="77777777">
      <w:pPr>
        <w:spacing w:after="0" w:line="240" w:lineRule="auto"/>
        <w:rPr>
          <w:rFonts w:ascii="Verdana" w:hAnsi="Verdana"/>
          <w:sz w:val="18"/>
          <w:szCs w:val="18"/>
        </w:rPr>
      </w:pPr>
    </w:p>
    <w:p w:rsidRPr="0052763A" w:rsidR="0052763A" w:rsidP="0052763A" w:rsidRDefault="0052763A" w14:paraId="6CE84FDC" w14:textId="77777777">
      <w:pPr>
        <w:spacing w:after="0" w:line="240" w:lineRule="auto"/>
        <w:contextualSpacing/>
        <w:rPr>
          <w:rFonts w:ascii="Verdana" w:hAnsi="Verdana"/>
          <w:sz w:val="18"/>
          <w:szCs w:val="18"/>
          <w:u w:val="single"/>
        </w:rPr>
      </w:pPr>
      <w:r w:rsidRPr="0052763A">
        <w:rPr>
          <w:rFonts w:ascii="Verdana" w:hAnsi="Verdana"/>
          <w:sz w:val="18"/>
          <w:szCs w:val="18"/>
          <w:u w:val="single"/>
        </w:rPr>
        <w:t>Vraag 4</w:t>
      </w:r>
    </w:p>
    <w:p w:rsidRPr="0052763A" w:rsidR="0052763A" w:rsidP="0052763A" w:rsidRDefault="0052763A" w14:paraId="274C9300" w14:textId="77777777">
      <w:pPr>
        <w:spacing w:after="0" w:line="240" w:lineRule="auto"/>
        <w:contextualSpacing/>
        <w:rPr>
          <w:rFonts w:ascii="Verdana" w:hAnsi="Verdana"/>
          <w:sz w:val="18"/>
          <w:szCs w:val="18"/>
        </w:rPr>
      </w:pPr>
      <w:r w:rsidRPr="0052763A">
        <w:rPr>
          <w:rFonts w:ascii="Verdana" w:hAnsi="Verdana"/>
          <w:sz w:val="18"/>
          <w:szCs w:val="18"/>
        </w:rPr>
        <w:t>Hoeveel IPS-trajecten zijn er tot nu toe gestart?</w:t>
      </w:r>
    </w:p>
    <w:p w:rsidRPr="0052763A" w:rsidR="0052763A" w:rsidP="0052763A" w:rsidRDefault="0052763A" w14:paraId="3FB02604" w14:textId="77777777">
      <w:pPr>
        <w:spacing w:after="0" w:line="240" w:lineRule="auto"/>
        <w:contextualSpacing/>
        <w:rPr>
          <w:rFonts w:ascii="Verdana" w:hAnsi="Verdana"/>
          <w:sz w:val="18"/>
          <w:szCs w:val="18"/>
        </w:rPr>
      </w:pPr>
    </w:p>
    <w:p w:rsidRPr="0052763A" w:rsidR="0052763A" w:rsidP="0052763A" w:rsidRDefault="0052763A" w14:paraId="63AF3813" w14:textId="77777777">
      <w:pPr>
        <w:spacing w:after="0" w:line="240" w:lineRule="auto"/>
        <w:contextualSpacing/>
        <w:rPr>
          <w:rFonts w:ascii="Verdana" w:hAnsi="Verdana"/>
          <w:sz w:val="18"/>
          <w:szCs w:val="18"/>
          <w:u w:val="single"/>
        </w:rPr>
      </w:pPr>
      <w:r w:rsidRPr="0052763A">
        <w:rPr>
          <w:rFonts w:ascii="Verdana" w:hAnsi="Verdana"/>
          <w:sz w:val="18"/>
          <w:szCs w:val="18"/>
          <w:u w:val="single"/>
        </w:rPr>
        <w:t>Antwoord 4</w:t>
      </w:r>
    </w:p>
    <w:p w:rsidRPr="0052763A" w:rsidR="0052763A" w:rsidP="0052763A" w:rsidRDefault="0052763A" w14:paraId="54071BD3" w14:textId="77777777">
      <w:pPr>
        <w:spacing w:after="0" w:line="240" w:lineRule="auto"/>
        <w:contextualSpacing/>
        <w:rPr>
          <w:rFonts w:ascii="Verdana" w:hAnsi="Verdana"/>
          <w:sz w:val="18"/>
          <w:szCs w:val="18"/>
        </w:rPr>
      </w:pPr>
      <w:r w:rsidRPr="0052763A">
        <w:rPr>
          <w:rFonts w:ascii="Verdana" w:hAnsi="Verdana"/>
          <w:sz w:val="18"/>
          <w:szCs w:val="18"/>
        </w:rPr>
        <w:t>In 2023 zijn vanuit de gemeentelijke doelgroep 796 trajecten gestart, in 2024 918 en in 2025 tot en met april 320.</w:t>
      </w:r>
    </w:p>
    <w:p w:rsidR="0052763A" w:rsidP="0052763A" w:rsidRDefault="0052763A" w14:paraId="374BAAE8" w14:textId="77777777">
      <w:pPr>
        <w:spacing w:after="0" w:line="240" w:lineRule="auto"/>
        <w:rPr>
          <w:rFonts w:ascii="Verdana" w:hAnsi="Verdana"/>
          <w:sz w:val="18"/>
          <w:szCs w:val="18"/>
        </w:rPr>
      </w:pPr>
    </w:p>
    <w:p w:rsidRPr="0052763A" w:rsidR="0052763A" w:rsidP="0052763A" w:rsidRDefault="0052763A" w14:paraId="652E08F1" w14:textId="77777777">
      <w:pPr>
        <w:spacing w:after="0" w:line="240" w:lineRule="auto"/>
        <w:rPr>
          <w:rFonts w:ascii="Verdana" w:hAnsi="Verdana"/>
          <w:sz w:val="18"/>
          <w:szCs w:val="18"/>
          <w:u w:val="single"/>
        </w:rPr>
      </w:pPr>
      <w:r w:rsidRPr="0052763A">
        <w:rPr>
          <w:rFonts w:ascii="Verdana" w:hAnsi="Verdana"/>
          <w:sz w:val="18"/>
          <w:szCs w:val="18"/>
          <w:u w:val="single"/>
        </w:rPr>
        <w:t>Vraag 5</w:t>
      </w:r>
    </w:p>
    <w:p w:rsidRPr="0052763A" w:rsidR="0052763A" w:rsidP="0052763A" w:rsidRDefault="0052763A" w14:paraId="3219F439" w14:textId="77777777">
      <w:pPr>
        <w:spacing w:after="0" w:line="240" w:lineRule="auto"/>
        <w:rPr>
          <w:rFonts w:ascii="Verdana" w:hAnsi="Verdana"/>
          <w:sz w:val="18"/>
          <w:szCs w:val="18"/>
        </w:rPr>
      </w:pPr>
      <w:r w:rsidRPr="0052763A">
        <w:rPr>
          <w:rFonts w:ascii="Verdana" w:hAnsi="Verdana"/>
          <w:sz w:val="18"/>
          <w:szCs w:val="18"/>
        </w:rPr>
        <w:t xml:space="preserve">Hoeveel procent van het </w:t>
      </w:r>
      <w:proofErr w:type="spellStart"/>
      <w:r w:rsidRPr="0052763A">
        <w:rPr>
          <w:rFonts w:ascii="Verdana" w:hAnsi="Verdana"/>
          <w:sz w:val="18"/>
          <w:szCs w:val="18"/>
        </w:rPr>
        <w:t>ontschot</w:t>
      </w:r>
      <w:proofErr w:type="spellEnd"/>
      <w:r w:rsidRPr="0052763A">
        <w:rPr>
          <w:rFonts w:ascii="Verdana" w:hAnsi="Verdana"/>
          <w:sz w:val="18"/>
          <w:szCs w:val="18"/>
        </w:rPr>
        <w:t xml:space="preserve"> budget hebben de dertien overige regio’s benut?</w:t>
      </w:r>
    </w:p>
    <w:p w:rsidRPr="0052763A" w:rsidR="0052763A" w:rsidP="0052763A" w:rsidRDefault="0052763A" w14:paraId="28BAED0D" w14:textId="77777777">
      <w:pPr>
        <w:spacing w:after="0" w:line="240" w:lineRule="auto"/>
        <w:rPr>
          <w:rFonts w:ascii="Verdana" w:hAnsi="Verdana"/>
          <w:sz w:val="18"/>
          <w:szCs w:val="18"/>
        </w:rPr>
      </w:pPr>
    </w:p>
    <w:p w:rsidRPr="0052763A" w:rsidR="0052763A" w:rsidP="0052763A" w:rsidRDefault="0052763A" w14:paraId="2624C3FF" w14:textId="77777777">
      <w:pPr>
        <w:spacing w:after="0" w:line="240" w:lineRule="auto"/>
        <w:rPr>
          <w:rFonts w:ascii="Verdana" w:hAnsi="Verdana"/>
          <w:sz w:val="18"/>
          <w:szCs w:val="18"/>
          <w:u w:val="single"/>
        </w:rPr>
      </w:pPr>
      <w:r w:rsidRPr="0052763A">
        <w:rPr>
          <w:rFonts w:ascii="Verdana" w:hAnsi="Verdana"/>
          <w:sz w:val="18"/>
          <w:szCs w:val="18"/>
          <w:u w:val="single"/>
        </w:rPr>
        <w:t>Antwoord 5</w:t>
      </w:r>
    </w:p>
    <w:p w:rsidR="0052763A" w:rsidP="0052763A" w:rsidRDefault="0052763A" w14:paraId="7082CE37" w14:textId="6B7FD0EC">
      <w:pPr>
        <w:spacing w:after="0" w:line="240" w:lineRule="auto"/>
        <w:rPr>
          <w:rFonts w:ascii="Verdana" w:hAnsi="Verdana"/>
          <w:sz w:val="18"/>
          <w:szCs w:val="18"/>
        </w:rPr>
      </w:pPr>
      <w:r w:rsidRPr="0052763A">
        <w:rPr>
          <w:rFonts w:ascii="Verdana" w:hAnsi="Verdana"/>
          <w:sz w:val="18"/>
          <w:szCs w:val="18"/>
        </w:rPr>
        <w:t xml:space="preserve">De dertien regio’s die minder dan 90% van het </w:t>
      </w:r>
      <w:proofErr w:type="spellStart"/>
      <w:r w:rsidRPr="0052763A">
        <w:rPr>
          <w:rFonts w:ascii="Verdana" w:hAnsi="Verdana"/>
          <w:sz w:val="18"/>
          <w:szCs w:val="18"/>
        </w:rPr>
        <w:t>ontschot</w:t>
      </w:r>
      <w:proofErr w:type="spellEnd"/>
      <w:r w:rsidRPr="0052763A">
        <w:rPr>
          <w:rFonts w:ascii="Verdana" w:hAnsi="Verdana"/>
          <w:sz w:val="18"/>
          <w:szCs w:val="18"/>
        </w:rPr>
        <w:t xml:space="preserve"> budget hebben benut, hebben gemiddeld 75% benut, waarbij de benutting varieert tussen de 55% en 89%. Zie Kassiersverslag 2024, als onderdeel van het Jaarverslag UWV 2024, voor een overzicht van de realisaties per regio (bijlage bij Kamerstukken II 2024/25, 26 448, nr. 844).  </w:t>
      </w:r>
    </w:p>
    <w:p w:rsidR="0052763A" w:rsidP="0052763A" w:rsidRDefault="0052763A" w14:paraId="523AD96C" w14:textId="77777777">
      <w:pPr>
        <w:spacing w:after="0" w:line="240" w:lineRule="auto"/>
        <w:rPr>
          <w:rFonts w:ascii="Verdana" w:hAnsi="Verdana"/>
          <w:sz w:val="18"/>
          <w:szCs w:val="18"/>
        </w:rPr>
      </w:pPr>
    </w:p>
    <w:p w:rsidR="007E5653" w:rsidP="00E84A5A" w:rsidRDefault="007E5653" w14:paraId="6EF8C8E3" w14:textId="77777777">
      <w:pPr>
        <w:spacing w:after="0" w:line="240" w:lineRule="auto"/>
        <w:rPr>
          <w:rFonts w:ascii="Verdana" w:hAnsi="Verdana"/>
          <w:sz w:val="18"/>
          <w:szCs w:val="18"/>
          <w:u w:val="single"/>
        </w:rPr>
      </w:pPr>
    </w:p>
    <w:p w:rsidR="007E5653" w:rsidP="00E84A5A" w:rsidRDefault="007E5653" w14:paraId="7885883F" w14:textId="77777777">
      <w:pPr>
        <w:spacing w:after="0" w:line="240" w:lineRule="auto"/>
        <w:rPr>
          <w:rFonts w:ascii="Verdana" w:hAnsi="Verdana"/>
          <w:sz w:val="18"/>
          <w:szCs w:val="18"/>
          <w:u w:val="single"/>
        </w:rPr>
      </w:pPr>
    </w:p>
    <w:p w:rsidRPr="00F943AC" w:rsidR="00E84A5A" w:rsidP="00E84A5A" w:rsidRDefault="00E84A5A" w14:paraId="5A509B6A" w14:textId="593F9D61">
      <w:pPr>
        <w:spacing w:after="0" w:line="240" w:lineRule="auto"/>
        <w:rPr>
          <w:rFonts w:ascii="Verdana" w:hAnsi="Verdana"/>
          <w:sz w:val="18"/>
          <w:szCs w:val="18"/>
          <w:u w:val="single"/>
        </w:rPr>
      </w:pPr>
      <w:r w:rsidRPr="00F943AC">
        <w:rPr>
          <w:rFonts w:ascii="Verdana" w:hAnsi="Verdana"/>
          <w:sz w:val="18"/>
          <w:szCs w:val="18"/>
          <w:u w:val="single"/>
        </w:rPr>
        <w:lastRenderedPageBreak/>
        <w:t>Vraag 6</w:t>
      </w:r>
    </w:p>
    <w:p w:rsidRPr="00F943AC" w:rsidR="00E84A5A" w:rsidP="00E84A5A" w:rsidRDefault="00E84A5A" w14:paraId="61670F2B" w14:textId="77777777">
      <w:pPr>
        <w:spacing w:after="0" w:line="240" w:lineRule="auto"/>
        <w:rPr>
          <w:rFonts w:ascii="Verdana" w:hAnsi="Verdana"/>
          <w:sz w:val="18"/>
          <w:szCs w:val="18"/>
        </w:rPr>
      </w:pPr>
      <w:r w:rsidRPr="00F943AC">
        <w:rPr>
          <w:rFonts w:ascii="Verdana" w:hAnsi="Verdana"/>
          <w:sz w:val="18"/>
          <w:szCs w:val="18"/>
        </w:rPr>
        <w:t>Er is € 51,3 miljoen minder uitgegeven aan kinderopvang dan bij de Najaarsnota werd geraamd, dus kan gespecificeerd worden aan welke posten minder geld is uitgegeven dan geraamd? Wat is hiervoor de verklaring?</w:t>
      </w:r>
    </w:p>
    <w:p w:rsidRPr="00F943AC" w:rsidR="00E84A5A" w:rsidP="00E84A5A" w:rsidRDefault="00E84A5A" w14:paraId="49BDC068" w14:textId="77777777">
      <w:pPr>
        <w:spacing w:after="0" w:line="240" w:lineRule="auto"/>
        <w:rPr>
          <w:rFonts w:ascii="Verdana" w:hAnsi="Verdana"/>
          <w:sz w:val="18"/>
          <w:szCs w:val="18"/>
        </w:rPr>
      </w:pPr>
    </w:p>
    <w:p w:rsidRPr="00F943AC" w:rsidR="00E84A5A" w:rsidP="00E84A5A" w:rsidRDefault="00E84A5A" w14:paraId="0F8B432E" w14:textId="77777777">
      <w:pPr>
        <w:spacing w:after="0" w:line="240" w:lineRule="auto"/>
        <w:rPr>
          <w:rFonts w:ascii="Verdana" w:hAnsi="Verdana"/>
          <w:sz w:val="18"/>
          <w:szCs w:val="18"/>
        </w:rPr>
      </w:pPr>
      <w:r w:rsidRPr="00F943AC">
        <w:rPr>
          <w:rFonts w:ascii="Verdana" w:hAnsi="Verdana"/>
          <w:sz w:val="18"/>
          <w:szCs w:val="18"/>
          <w:u w:val="single"/>
        </w:rPr>
        <w:t>Antwoord 6</w:t>
      </w:r>
    </w:p>
    <w:p w:rsidRPr="00F943AC" w:rsidR="00E84A5A" w:rsidP="00E84A5A" w:rsidRDefault="00E84A5A" w14:paraId="6C9CF6AD" w14:textId="2206DF56">
      <w:pPr>
        <w:spacing w:after="0" w:line="240" w:lineRule="auto"/>
        <w:rPr>
          <w:rFonts w:ascii="Verdana" w:hAnsi="Verdana"/>
          <w:sz w:val="18"/>
          <w:szCs w:val="18"/>
        </w:rPr>
      </w:pPr>
      <w:r w:rsidRPr="00F943AC">
        <w:rPr>
          <w:rFonts w:ascii="Verdana" w:hAnsi="Verdana"/>
          <w:sz w:val="18"/>
          <w:szCs w:val="18"/>
        </w:rPr>
        <w:t>De uitgaven aan kinderopvang die op begrotingsartikel 7 worden verantwoord bestaan voor het grootste gedeelte (bij Najaarsnota 98,9%) uit kinderopvangtoeslag. De resterende 1,1% bestaat uit de posten Subsidies, Opdrachten, Bekostiging, Bijdrage aan agentschappen en Bijdrage aan medeoverheden. Een uitsplitsing is gemaakt in tabel 20 van de 2</w:t>
      </w:r>
      <w:r w:rsidRPr="00F943AC">
        <w:rPr>
          <w:rFonts w:ascii="Verdana" w:hAnsi="Verdana"/>
          <w:sz w:val="18"/>
          <w:szCs w:val="18"/>
          <w:vertAlign w:val="superscript"/>
        </w:rPr>
        <w:t>e</w:t>
      </w:r>
      <w:r w:rsidRPr="00F943AC">
        <w:rPr>
          <w:rFonts w:ascii="Verdana" w:hAnsi="Verdana"/>
          <w:sz w:val="18"/>
          <w:szCs w:val="18"/>
        </w:rPr>
        <w:t xml:space="preserve"> suppletoire kinderopvang begroting SZW 2024. Uiteindelijk zijn de uitgaven aan kinderopvang in 2024 € 51,3 miljoen lager uitgekomen dan bij Najaarsnota was verwacht. Er is met name minder geld uitgegeven aan kinderopvangtoeslag (€ 48,3 miljoen minder). Zoals in de toelichting in de </w:t>
      </w:r>
      <w:proofErr w:type="spellStart"/>
      <w:r w:rsidRPr="00F943AC">
        <w:rPr>
          <w:rFonts w:ascii="Verdana" w:hAnsi="Verdana"/>
          <w:sz w:val="18"/>
          <w:szCs w:val="18"/>
        </w:rPr>
        <w:t>Slotwet</w:t>
      </w:r>
      <w:proofErr w:type="spellEnd"/>
      <w:r w:rsidRPr="00F943AC">
        <w:rPr>
          <w:rFonts w:ascii="Verdana" w:hAnsi="Verdana"/>
          <w:sz w:val="18"/>
          <w:szCs w:val="18"/>
        </w:rPr>
        <w:t xml:space="preserve"> 2024 is vermeld, wordt het verschil grotendeels verklaard door lagere voorschotten en minder nabetalingen. Daarnaast is er onder andere € 2,5 miljoen minder uitgegeven aan opdrachten (tot deze post behoort ook onderzoek) en € 1,1 miljoen minder aan bijdrage aan agentschappen (DUO).</w:t>
      </w:r>
    </w:p>
    <w:p w:rsidRPr="0052763A" w:rsidR="00E84A5A" w:rsidP="0052763A" w:rsidRDefault="00E84A5A" w14:paraId="4F5DBE0B" w14:textId="77777777">
      <w:pPr>
        <w:spacing w:after="0" w:line="240" w:lineRule="auto"/>
        <w:rPr>
          <w:rFonts w:ascii="Verdana" w:hAnsi="Verdana"/>
          <w:sz w:val="18"/>
          <w:szCs w:val="18"/>
        </w:rPr>
      </w:pPr>
    </w:p>
    <w:sectPr w:rsidRPr="0052763A" w:rsidR="00E84A5A">
      <w:headerReference w:type="even" r:id="rId6"/>
      <w:headerReference w:type="default" r:id="rId7"/>
      <w:footerReference w:type="even" r:id="rId8"/>
      <w:footerReference w:type="default" r:id="rId9"/>
      <w:headerReference w:type="first" r:id="rId10"/>
      <w:footerReference w:type="first" r:id="rId11"/>
      <w:pgSz w:w="11906" w:h="16838"/>
      <w:pgMar w:top="1417" w:right="1417" w:bottom="1417" w:left="1417"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B26344" w14:textId="77777777" w:rsidR="00FB7E98" w:rsidRDefault="00FB7E98" w:rsidP="00C431E4">
      <w:pPr>
        <w:spacing w:after="0" w:line="240" w:lineRule="auto"/>
      </w:pPr>
      <w:r>
        <w:separator/>
      </w:r>
    </w:p>
  </w:endnote>
  <w:endnote w:type="continuationSeparator" w:id="0">
    <w:p w14:paraId="4BC837E0" w14:textId="77777777" w:rsidR="00FB7E98" w:rsidRDefault="00FB7E98" w:rsidP="00C431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D37A3" w14:textId="77777777" w:rsidR="00670964" w:rsidRDefault="00670964">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9086785"/>
      <w:docPartObj>
        <w:docPartGallery w:val="Page Numbers (Bottom of Page)"/>
        <w:docPartUnique/>
      </w:docPartObj>
    </w:sdtPr>
    <w:sdtEndPr>
      <w:rPr>
        <w:rFonts w:ascii="Verdana" w:hAnsi="Verdana"/>
        <w:sz w:val="18"/>
        <w:szCs w:val="18"/>
      </w:rPr>
    </w:sdtEndPr>
    <w:sdtContent>
      <w:p w14:paraId="5E4B6447" w14:textId="407FCE03" w:rsidR="00C431E4" w:rsidRPr="00C431E4" w:rsidRDefault="00C431E4">
        <w:pPr>
          <w:pStyle w:val="Voettekst"/>
          <w:jc w:val="right"/>
          <w:rPr>
            <w:rFonts w:ascii="Verdana" w:hAnsi="Verdana"/>
            <w:sz w:val="18"/>
            <w:szCs w:val="18"/>
          </w:rPr>
        </w:pPr>
        <w:r w:rsidRPr="00C431E4">
          <w:rPr>
            <w:rFonts w:ascii="Verdana" w:hAnsi="Verdana"/>
            <w:sz w:val="18"/>
            <w:szCs w:val="18"/>
          </w:rPr>
          <w:fldChar w:fldCharType="begin"/>
        </w:r>
        <w:r w:rsidRPr="00C431E4">
          <w:rPr>
            <w:rFonts w:ascii="Verdana" w:hAnsi="Verdana"/>
            <w:sz w:val="18"/>
            <w:szCs w:val="18"/>
          </w:rPr>
          <w:instrText>PAGE   \* MERGEFORMAT</w:instrText>
        </w:r>
        <w:r w:rsidRPr="00C431E4">
          <w:rPr>
            <w:rFonts w:ascii="Verdana" w:hAnsi="Verdana"/>
            <w:sz w:val="18"/>
            <w:szCs w:val="18"/>
          </w:rPr>
          <w:fldChar w:fldCharType="separate"/>
        </w:r>
        <w:r w:rsidRPr="00C431E4">
          <w:rPr>
            <w:rFonts w:ascii="Verdana" w:hAnsi="Verdana"/>
            <w:sz w:val="18"/>
            <w:szCs w:val="18"/>
          </w:rPr>
          <w:t>2</w:t>
        </w:r>
        <w:r w:rsidRPr="00C431E4">
          <w:rPr>
            <w:rFonts w:ascii="Verdana" w:hAnsi="Verdana"/>
            <w:sz w:val="18"/>
            <w:szCs w:val="18"/>
          </w:rPr>
          <w:fldChar w:fldCharType="end"/>
        </w:r>
      </w:p>
    </w:sdtContent>
  </w:sdt>
  <w:p w14:paraId="40E3CE89" w14:textId="77777777" w:rsidR="00C431E4" w:rsidRDefault="00C431E4">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13152C" w14:textId="77777777" w:rsidR="00670964" w:rsidRDefault="0067096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1ED449" w14:textId="77777777" w:rsidR="00FB7E98" w:rsidRDefault="00FB7E98" w:rsidP="00C431E4">
      <w:pPr>
        <w:spacing w:after="0" w:line="240" w:lineRule="auto"/>
      </w:pPr>
      <w:r>
        <w:separator/>
      </w:r>
    </w:p>
  </w:footnote>
  <w:footnote w:type="continuationSeparator" w:id="0">
    <w:p w14:paraId="2D363A56" w14:textId="77777777" w:rsidR="00FB7E98" w:rsidRDefault="00FB7E98" w:rsidP="00C431E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51D5A" w14:textId="77777777" w:rsidR="00670964" w:rsidRDefault="00670964">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749DF" w14:textId="77777777" w:rsidR="00670964" w:rsidRDefault="00670964">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32F974" w14:textId="77777777" w:rsidR="00670964" w:rsidRDefault="00670964">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31E4"/>
    <w:rsid w:val="00055ED2"/>
    <w:rsid w:val="00092F83"/>
    <w:rsid w:val="00165517"/>
    <w:rsid w:val="002429C0"/>
    <w:rsid w:val="00253900"/>
    <w:rsid w:val="004259F9"/>
    <w:rsid w:val="00494710"/>
    <w:rsid w:val="004B0102"/>
    <w:rsid w:val="004E0D58"/>
    <w:rsid w:val="0052763A"/>
    <w:rsid w:val="00670964"/>
    <w:rsid w:val="007772E4"/>
    <w:rsid w:val="007A47CD"/>
    <w:rsid w:val="007E5653"/>
    <w:rsid w:val="007F4B2B"/>
    <w:rsid w:val="00822D47"/>
    <w:rsid w:val="00835FD1"/>
    <w:rsid w:val="0089039E"/>
    <w:rsid w:val="009B6F95"/>
    <w:rsid w:val="00A634B2"/>
    <w:rsid w:val="00AA2210"/>
    <w:rsid w:val="00AB6568"/>
    <w:rsid w:val="00AC1A53"/>
    <w:rsid w:val="00B421CC"/>
    <w:rsid w:val="00C431E4"/>
    <w:rsid w:val="00E503D0"/>
    <w:rsid w:val="00E84A5A"/>
    <w:rsid w:val="00F91D47"/>
    <w:rsid w:val="00FB7E9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05B8E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431E4"/>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Kop2">
    <w:name w:val="heading 2"/>
    <w:basedOn w:val="Standaard"/>
    <w:next w:val="Standaard"/>
    <w:link w:val="Kop2Char"/>
    <w:uiPriority w:val="9"/>
    <w:semiHidden/>
    <w:unhideWhenUsed/>
    <w:qFormat/>
    <w:rsid w:val="00C431E4"/>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Kop3">
    <w:name w:val="heading 3"/>
    <w:basedOn w:val="Standaard"/>
    <w:next w:val="Standaard"/>
    <w:link w:val="Kop3Char"/>
    <w:uiPriority w:val="9"/>
    <w:semiHidden/>
    <w:unhideWhenUsed/>
    <w:qFormat/>
    <w:rsid w:val="00C431E4"/>
    <w:pPr>
      <w:keepNext/>
      <w:keepLines/>
      <w:spacing w:before="160" w:after="80"/>
      <w:outlineLvl w:val="2"/>
    </w:pPr>
    <w:rPr>
      <w:rFonts w:eastAsiaTheme="majorEastAsia" w:cstheme="majorBidi"/>
      <w:color w:val="2E74B5" w:themeColor="accent1" w:themeShade="BF"/>
      <w:sz w:val="28"/>
      <w:szCs w:val="28"/>
    </w:rPr>
  </w:style>
  <w:style w:type="paragraph" w:styleId="Kop4">
    <w:name w:val="heading 4"/>
    <w:basedOn w:val="Standaard"/>
    <w:next w:val="Standaard"/>
    <w:link w:val="Kop4Char"/>
    <w:uiPriority w:val="9"/>
    <w:semiHidden/>
    <w:unhideWhenUsed/>
    <w:qFormat/>
    <w:rsid w:val="00C431E4"/>
    <w:pPr>
      <w:keepNext/>
      <w:keepLines/>
      <w:spacing w:before="80" w:after="40"/>
      <w:outlineLvl w:val="3"/>
    </w:pPr>
    <w:rPr>
      <w:rFonts w:eastAsiaTheme="majorEastAsia" w:cstheme="majorBidi"/>
      <w:i/>
      <w:iCs/>
      <w:color w:val="2E74B5" w:themeColor="accent1" w:themeShade="BF"/>
    </w:rPr>
  </w:style>
  <w:style w:type="paragraph" w:styleId="Kop5">
    <w:name w:val="heading 5"/>
    <w:basedOn w:val="Standaard"/>
    <w:next w:val="Standaard"/>
    <w:link w:val="Kop5Char"/>
    <w:uiPriority w:val="9"/>
    <w:semiHidden/>
    <w:unhideWhenUsed/>
    <w:qFormat/>
    <w:rsid w:val="00C431E4"/>
    <w:pPr>
      <w:keepNext/>
      <w:keepLines/>
      <w:spacing w:before="80" w:after="40"/>
      <w:outlineLvl w:val="4"/>
    </w:pPr>
    <w:rPr>
      <w:rFonts w:eastAsiaTheme="majorEastAsia" w:cstheme="majorBidi"/>
      <w:color w:val="2E74B5" w:themeColor="accent1" w:themeShade="BF"/>
    </w:rPr>
  </w:style>
  <w:style w:type="paragraph" w:styleId="Kop6">
    <w:name w:val="heading 6"/>
    <w:basedOn w:val="Standaard"/>
    <w:next w:val="Standaard"/>
    <w:link w:val="Kop6Char"/>
    <w:uiPriority w:val="9"/>
    <w:semiHidden/>
    <w:unhideWhenUsed/>
    <w:qFormat/>
    <w:rsid w:val="00C431E4"/>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431E4"/>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431E4"/>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431E4"/>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431E4"/>
    <w:rPr>
      <w:rFonts w:asciiTheme="majorHAnsi" w:eastAsiaTheme="majorEastAsia" w:hAnsiTheme="majorHAnsi" w:cstheme="majorBidi"/>
      <w:color w:val="2E74B5" w:themeColor="accent1" w:themeShade="BF"/>
      <w:sz w:val="40"/>
      <w:szCs w:val="40"/>
    </w:rPr>
  </w:style>
  <w:style w:type="character" w:customStyle="1" w:styleId="Kop2Char">
    <w:name w:val="Kop 2 Char"/>
    <w:basedOn w:val="Standaardalinea-lettertype"/>
    <w:link w:val="Kop2"/>
    <w:uiPriority w:val="9"/>
    <w:semiHidden/>
    <w:rsid w:val="00C431E4"/>
    <w:rPr>
      <w:rFonts w:asciiTheme="majorHAnsi" w:eastAsiaTheme="majorEastAsia" w:hAnsiTheme="majorHAnsi" w:cstheme="majorBidi"/>
      <w:color w:val="2E74B5" w:themeColor="accent1" w:themeShade="BF"/>
      <w:sz w:val="32"/>
      <w:szCs w:val="32"/>
    </w:rPr>
  </w:style>
  <w:style w:type="character" w:customStyle="1" w:styleId="Kop3Char">
    <w:name w:val="Kop 3 Char"/>
    <w:basedOn w:val="Standaardalinea-lettertype"/>
    <w:link w:val="Kop3"/>
    <w:uiPriority w:val="9"/>
    <w:semiHidden/>
    <w:rsid w:val="00C431E4"/>
    <w:rPr>
      <w:rFonts w:eastAsiaTheme="majorEastAsia" w:cstheme="majorBidi"/>
      <w:color w:val="2E74B5" w:themeColor="accent1" w:themeShade="BF"/>
      <w:sz w:val="28"/>
      <w:szCs w:val="28"/>
    </w:rPr>
  </w:style>
  <w:style w:type="character" w:customStyle="1" w:styleId="Kop4Char">
    <w:name w:val="Kop 4 Char"/>
    <w:basedOn w:val="Standaardalinea-lettertype"/>
    <w:link w:val="Kop4"/>
    <w:uiPriority w:val="9"/>
    <w:semiHidden/>
    <w:rsid w:val="00C431E4"/>
    <w:rPr>
      <w:rFonts w:eastAsiaTheme="majorEastAsia" w:cstheme="majorBidi"/>
      <w:i/>
      <w:iCs/>
      <w:color w:val="2E74B5" w:themeColor="accent1" w:themeShade="BF"/>
    </w:rPr>
  </w:style>
  <w:style w:type="character" w:customStyle="1" w:styleId="Kop5Char">
    <w:name w:val="Kop 5 Char"/>
    <w:basedOn w:val="Standaardalinea-lettertype"/>
    <w:link w:val="Kop5"/>
    <w:uiPriority w:val="9"/>
    <w:semiHidden/>
    <w:rsid w:val="00C431E4"/>
    <w:rPr>
      <w:rFonts w:eastAsiaTheme="majorEastAsia" w:cstheme="majorBidi"/>
      <w:color w:val="2E74B5" w:themeColor="accent1" w:themeShade="BF"/>
    </w:rPr>
  </w:style>
  <w:style w:type="character" w:customStyle="1" w:styleId="Kop6Char">
    <w:name w:val="Kop 6 Char"/>
    <w:basedOn w:val="Standaardalinea-lettertype"/>
    <w:link w:val="Kop6"/>
    <w:uiPriority w:val="9"/>
    <w:semiHidden/>
    <w:rsid w:val="00C431E4"/>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431E4"/>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431E4"/>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431E4"/>
    <w:rPr>
      <w:rFonts w:eastAsiaTheme="majorEastAsia" w:cstheme="majorBidi"/>
      <w:color w:val="272727" w:themeColor="text1" w:themeTint="D8"/>
    </w:rPr>
  </w:style>
  <w:style w:type="paragraph" w:styleId="Titel">
    <w:name w:val="Title"/>
    <w:basedOn w:val="Standaard"/>
    <w:next w:val="Standaard"/>
    <w:link w:val="TitelChar"/>
    <w:uiPriority w:val="10"/>
    <w:qFormat/>
    <w:rsid w:val="00C431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431E4"/>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431E4"/>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431E4"/>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431E4"/>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431E4"/>
    <w:rPr>
      <w:i/>
      <w:iCs/>
      <w:color w:val="404040" w:themeColor="text1" w:themeTint="BF"/>
    </w:rPr>
  </w:style>
  <w:style w:type="paragraph" w:styleId="Lijstalinea">
    <w:name w:val="List Paragraph"/>
    <w:basedOn w:val="Standaard"/>
    <w:uiPriority w:val="34"/>
    <w:qFormat/>
    <w:rsid w:val="00C431E4"/>
    <w:pPr>
      <w:ind w:left="720"/>
      <w:contextualSpacing/>
    </w:pPr>
  </w:style>
  <w:style w:type="character" w:styleId="Intensievebenadrukking">
    <w:name w:val="Intense Emphasis"/>
    <w:basedOn w:val="Standaardalinea-lettertype"/>
    <w:uiPriority w:val="21"/>
    <w:qFormat/>
    <w:rsid w:val="00C431E4"/>
    <w:rPr>
      <w:i/>
      <w:iCs/>
      <w:color w:val="2E74B5" w:themeColor="accent1" w:themeShade="BF"/>
    </w:rPr>
  </w:style>
  <w:style w:type="paragraph" w:styleId="Duidelijkcitaat">
    <w:name w:val="Intense Quote"/>
    <w:basedOn w:val="Standaard"/>
    <w:next w:val="Standaard"/>
    <w:link w:val="DuidelijkcitaatChar"/>
    <w:uiPriority w:val="30"/>
    <w:qFormat/>
    <w:rsid w:val="00C431E4"/>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DuidelijkcitaatChar">
    <w:name w:val="Duidelijk citaat Char"/>
    <w:basedOn w:val="Standaardalinea-lettertype"/>
    <w:link w:val="Duidelijkcitaat"/>
    <w:uiPriority w:val="30"/>
    <w:rsid w:val="00C431E4"/>
    <w:rPr>
      <w:i/>
      <w:iCs/>
      <w:color w:val="2E74B5" w:themeColor="accent1" w:themeShade="BF"/>
    </w:rPr>
  </w:style>
  <w:style w:type="character" w:styleId="Intensieveverwijzing">
    <w:name w:val="Intense Reference"/>
    <w:basedOn w:val="Standaardalinea-lettertype"/>
    <w:uiPriority w:val="32"/>
    <w:qFormat/>
    <w:rsid w:val="00C431E4"/>
    <w:rPr>
      <w:b/>
      <w:bCs/>
      <w:smallCaps/>
      <w:color w:val="2E74B5" w:themeColor="accent1" w:themeShade="BF"/>
      <w:spacing w:val="5"/>
    </w:rPr>
  </w:style>
  <w:style w:type="paragraph" w:styleId="Koptekst">
    <w:name w:val="header"/>
    <w:basedOn w:val="Standaard"/>
    <w:link w:val="KoptekstChar"/>
    <w:uiPriority w:val="99"/>
    <w:unhideWhenUsed/>
    <w:rsid w:val="00C431E4"/>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C431E4"/>
  </w:style>
  <w:style w:type="paragraph" w:styleId="Voettekst">
    <w:name w:val="footer"/>
    <w:basedOn w:val="Standaard"/>
    <w:link w:val="VoettekstChar"/>
    <w:uiPriority w:val="99"/>
    <w:unhideWhenUsed/>
    <w:rsid w:val="00C431E4"/>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C431E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690</ap:Words>
  <ap:Characters>3799</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4481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2025-06-10T12:52:00.0000000Z</dcterms:created>
  <dcterms:modified xsi:type="dcterms:W3CDTF">2025-06-10T12:52:00.0000000Z</dcterms:modified>
  <version/>
  <category/>
</coreProperties>
</file>