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2625E" w14:paraId="641F473A" w14:textId="77777777">
      <w:pPr>
        <w:autoSpaceDE w:val="0"/>
        <w:autoSpaceDN w:val="0"/>
        <w:adjustRightInd w:val="0"/>
        <w:spacing w:before="0" w:after="0"/>
        <w:ind w:left="1416" w:hanging="1371"/>
        <w:rPr>
          <w:b/>
          <w:bCs/>
          <w:sz w:val="23"/>
          <w:szCs w:val="23"/>
        </w:rPr>
      </w:pPr>
      <w:r>
        <w:rPr>
          <w:b/>
          <w:bCs/>
          <w:sz w:val="23"/>
          <w:szCs w:val="23"/>
        </w:rPr>
        <w:t>36740-IV</w:t>
      </w:r>
      <w:r>
        <w:rPr>
          <w:b/>
          <w:bCs/>
          <w:sz w:val="23"/>
          <w:szCs w:val="23"/>
        </w:rPr>
        <w:tab/>
      </w:r>
      <w:r>
        <w:rPr>
          <w:b/>
          <w:bCs/>
          <w:sz w:val="23"/>
          <w:szCs w:val="23"/>
        </w:rPr>
        <w:t>Slotwet</w:t>
      </w:r>
      <w:r>
        <w:rPr>
          <w:b/>
          <w:bCs/>
          <w:sz w:val="23"/>
          <w:szCs w:val="23"/>
        </w:rPr>
        <w:t xml:space="preserve"> Koninkrijksrelaties en het BES-fonds 2024</w:t>
      </w:r>
    </w:p>
    <w:p w:rsidR="00B2625E" w14:paraId="1EFC6E30" w14:textId="77777777">
      <w:pPr>
        <w:autoSpaceDE w:val="0"/>
        <w:autoSpaceDN w:val="0"/>
        <w:adjustRightInd w:val="0"/>
        <w:spacing w:before="0" w:after="0"/>
        <w:ind w:left="1416" w:hanging="1371"/>
        <w:rPr>
          <w:b/>
        </w:rPr>
      </w:pPr>
    </w:p>
    <w:p w:rsidR="00B2625E" w14:paraId="551BF36A" w14:textId="77777777">
      <w:pPr>
        <w:rPr>
          <w:b/>
        </w:rPr>
      </w:pPr>
      <w:r>
        <w:rPr>
          <w:b/>
        </w:rPr>
        <w:t xml:space="preserve">nr. </w:t>
      </w:r>
      <w:r>
        <w:rPr>
          <w:b/>
        </w:rPr>
        <w:tab/>
      </w:r>
      <w:r>
        <w:rPr>
          <w:b/>
        </w:rPr>
        <w:tab/>
        <w:t>Lijst van vragen en antwoorden</w:t>
      </w:r>
    </w:p>
    <w:p w:rsidR="00B2625E" w14:paraId="2C560A64" w14:textId="77777777">
      <w:r>
        <w:tab/>
      </w:r>
      <w:r>
        <w:tab/>
      </w:r>
    </w:p>
    <w:p w:rsidR="00B2625E" w14:paraId="7BD972D8" w14:textId="77777777">
      <w:pPr>
        <w:ind w:left="702" w:firstLine="708"/>
        <w:rPr>
          <w:i/>
        </w:rPr>
      </w:pPr>
      <w:r>
        <w:t xml:space="preserve">Vastgesteld </w:t>
      </w:r>
      <w:r>
        <w:rPr>
          <w:i/>
        </w:rPr>
        <w:t>(wordt door griffie ingevuld als antwoorden er zijn)</w:t>
      </w:r>
    </w:p>
    <w:p w:rsidR="00B2625E" w:rsidP="009A37D1" w14:paraId="6017C479" w14:textId="25166743">
      <w:pPr>
        <w:ind w:left="1410"/>
      </w:pPr>
      <w:r>
        <w:t xml:space="preserve">De vaste commissie voor </w:t>
      </w:r>
      <w:r w:rsidR="009A37D1">
        <w:t xml:space="preserve">Koninkrijksrelaties </w:t>
      </w:r>
      <w:r>
        <w:t xml:space="preserve">heeft een aantal vragen voorgelegd aan de </w:t>
      </w:r>
      <w:r w:rsidR="009A37D1">
        <w:t>staatssecretaris van Binnenlandse Zaken en Koninkrijksrelaties</w:t>
      </w:r>
      <w:r>
        <w:t xml:space="preserve"> over de </w:t>
      </w:r>
      <w:r>
        <w:rPr>
          <w:b/>
        </w:rPr>
        <w:t>Slotwet</w:t>
      </w:r>
      <w:r>
        <w:rPr>
          <w:b/>
        </w:rPr>
        <w:t xml:space="preserve"> Koninkrijksrelaties en het BES-fonds 2024</w:t>
      </w:r>
      <w:r>
        <w:t xml:space="preserve"> (</w:t>
      </w:r>
      <w:r>
        <w:rPr>
          <w:b/>
        </w:rPr>
        <w:t>36740-IV</w:t>
      </w:r>
      <w:r>
        <w:t xml:space="preserve">, nr. </w:t>
      </w:r>
      <w:r>
        <w:rPr>
          <w:b/>
        </w:rPr>
        <w:t>3-4</w:t>
      </w:r>
      <w:r>
        <w:t>).</w:t>
      </w:r>
    </w:p>
    <w:p w:rsidR="00B2625E" w14:paraId="0AD9477A" w14:textId="1800D5B6">
      <w:pPr>
        <w:ind w:left="1410"/>
      </w:pPr>
      <w:r>
        <w:t xml:space="preserve">De daarop door de </w:t>
      </w:r>
      <w:r w:rsidR="009A37D1">
        <w:t>staatssecretaris</w:t>
      </w:r>
      <w:r>
        <w:t xml:space="preserve"> gegeven antwoorden zijn hierbij afgedrukt.</w:t>
      </w:r>
    </w:p>
    <w:p w:rsidR="00B2625E" w14:paraId="4C97CDEA" w14:textId="77777777">
      <w:pPr>
        <w:spacing w:before="0" w:after="0"/>
      </w:pPr>
    </w:p>
    <w:p w:rsidR="00B2625E" w14:paraId="76C3657E" w14:textId="77777777">
      <w:pPr>
        <w:spacing w:before="0" w:after="0"/>
        <w:ind w:left="703" w:firstLine="709"/>
      </w:pPr>
      <w:r>
        <w:t xml:space="preserve">Voorzitter van de commissie, </w:t>
      </w:r>
    </w:p>
    <w:p w:rsidR="00B2625E" w14:paraId="41198AA9" w14:textId="5257D663">
      <w:pPr>
        <w:spacing w:before="0" w:after="0"/>
      </w:pPr>
      <w:r>
        <w:tab/>
      </w:r>
      <w:r>
        <w:tab/>
      </w:r>
      <w:r w:rsidR="009A37D1">
        <w:t>Olger van Dijk</w:t>
      </w:r>
    </w:p>
    <w:p w:rsidR="00B2625E" w14:paraId="0BE940DA" w14:textId="77777777">
      <w:pPr>
        <w:spacing w:before="0" w:after="0"/>
      </w:pPr>
      <w:r>
        <w:tab/>
      </w:r>
      <w:r>
        <w:tab/>
      </w:r>
    </w:p>
    <w:p w:rsidR="00B2625E" w14:paraId="0E699B4D" w14:textId="77777777">
      <w:pPr>
        <w:spacing w:before="0" w:after="0"/>
      </w:pPr>
      <w:r>
        <w:tab/>
      </w:r>
      <w:r>
        <w:tab/>
        <w:t>Griffier van de commissie,</w:t>
      </w:r>
    </w:p>
    <w:p w:rsidR="00B2625E" w14:paraId="0477A3FB" w14:textId="15BC01C2">
      <w:pPr>
        <w:spacing w:before="0" w:after="0"/>
      </w:pPr>
      <w:r>
        <w:tab/>
      </w:r>
      <w:r>
        <w:tab/>
      </w:r>
      <w:r w:rsidR="009A37D1">
        <w:t>Meijers</w:t>
      </w:r>
    </w:p>
    <w:p w:rsidR="00B2625E" w14:paraId="7CDA80D6" w14:textId="77777777"/>
    <w:tbl>
      <w:tblPr>
        <w:tblW w:w="9497" w:type="dxa"/>
        <w:tblLayout w:type="fixed"/>
        <w:tblCellMar>
          <w:left w:w="0" w:type="dxa"/>
          <w:right w:w="0" w:type="dxa"/>
        </w:tblCellMar>
        <w:tblLook w:val="0000"/>
      </w:tblPr>
      <w:tblGrid>
        <w:gridCol w:w="567"/>
        <w:gridCol w:w="6521"/>
        <w:gridCol w:w="850"/>
        <w:gridCol w:w="992"/>
        <w:gridCol w:w="567"/>
      </w:tblGrid>
      <w:tr w:rsidTr="00691744" w14:paraId="58712110" w14:textId="77777777">
        <w:tblPrEx>
          <w:tblW w:w="9497" w:type="dxa"/>
          <w:tblLayout w:type="fixed"/>
          <w:tblCellMar>
            <w:left w:w="0" w:type="dxa"/>
            <w:right w:w="0" w:type="dxa"/>
          </w:tblCellMar>
          <w:tblLook w:val="0000"/>
        </w:tblPrEx>
        <w:trPr>
          <w:cantSplit/>
        </w:trPr>
        <w:tc>
          <w:tcPr>
            <w:tcW w:w="567" w:type="dxa"/>
          </w:tcPr>
          <w:p w:rsidR="00B2625E" w14:paraId="658D9BD5" w14:textId="77777777">
            <w:bookmarkStart w:name="bmkStartTabel" w:id="0"/>
            <w:bookmarkEnd w:id="0"/>
            <w:r>
              <w:t>Nr</w:t>
            </w:r>
          </w:p>
        </w:tc>
        <w:tc>
          <w:tcPr>
            <w:tcW w:w="6521" w:type="dxa"/>
          </w:tcPr>
          <w:p w:rsidR="00B2625E" w14:paraId="04A03198" w14:textId="77777777">
            <w:r>
              <w:t>Vraag</w:t>
            </w:r>
          </w:p>
        </w:tc>
        <w:tc>
          <w:tcPr>
            <w:tcW w:w="850" w:type="dxa"/>
          </w:tcPr>
          <w:p w:rsidR="00B2625E" w14:paraId="109B4753" w14:textId="77777777">
            <w:pPr>
              <w:jc w:val="right"/>
            </w:pPr>
            <w:r>
              <w:t>Bijlage</w:t>
            </w:r>
          </w:p>
        </w:tc>
        <w:tc>
          <w:tcPr>
            <w:tcW w:w="992" w:type="dxa"/>
          </w:tcPr>
          <w:p w:rsidR="00B2625E" w:rsidP="00E7153D" w14:paraId="300BE9FC" w14:textId="77777777">
            <w:pPr>
              <w:jc w:val="right"/>
            </w:pPr>
            <w:r>
              <w:t>Blz. (van)</w:t>
            </w:r>
          </w:p>
        </w:tc>
        <w:tc>
          <w:tcPr>
            <w:tcW w:w="567" w:type="dxa"/>
          </w:tcPr>
          <w:p w:rsidR="00B2625E" w:rsidP="00E7153D" w14:paraId="541C302D" w14:textId="77777777">
            <w:pPr>
              <w:jc w:val="center"/>
            </w:pPr>
            <w:r>
              <w:t>t/m</w:t>
            </w:r>
          </w:p>
        </w:tc>
      </w:tr>
      <w:tr w:rsidTr="00691744" w14:paraId="455D0836" w14:textId="77777777">
        <w:tblPrEx>
          <w:tblW w:w="9497" w:type="dxa"/>
          <w:tblLayout w:type="fixed"/>
          <w:tblCellMar>
            <w:left w:w="0" w:type="dxa"/>
            <w:right w:w="0" w:type="dxa"/>
          </w:tblCellMar>
          <w:tblLook w:val="0000"/>
        </w:tblPrEx>
        <w:tc>
          <w:tcPr>
            <w:tcW w:w="567" w:type="dxa"/>
          </w:tcPr>
          <w:p w:rsidR="00B2625E" w14:paraId="070E402D" w14:textId="77777777">
            <w:r>
              <w:t>1</w:t>
            </w:r>
          </w:p>
        </w:tc>
        <w:tc>
          <w:tcPr>
            <w:tcW w:w="6521" w:type="dxa"/>
          </w:tcPr>
          <w:p w:rsidR="00B2625E" w14:paraId="05100B22" w14:textId="1B956B87">
            <w:r>
              <w:t>Wat is de reden van het minder verstrekken van subsidies en opdrachten aan derde partijen door de Tijdelijke Werkorganisatie (TWO)?</w:t>
            </w:r>
          </w:p>
          <w:p w:rsidR="00B2625E" w:rsidP="0F821D28" w14:paraId="591F598B" w14:textId="77777777"/>
          <w:p w:rsidR="00C70506" w:rsidP="0F821D28" w14:paraId="07A95A58" w14:textId="77777777">
            <w:r>
              <w:t>Antwoord:</w:t>
            </w:r>
          </w:p>
          <w:p w:rsidR="00C70506" w:rsidP="0F821D28" w14:paraId="48C0BE43" w14:textId="6B974857">
            <w:r>
              <w:t>Het jaar 2024 was in alle drie de Landen in bestuurlijke zin een onrustig jaar, gekenmerkt door regeringswissels, verkiezingen of de aanloop daar naartoe. Hierdoor kon besluitvorming, over met name nieuw beleid, niet plaatsvinden en konden geplande subsidies niet worden verstrekt. Daarnaast zijn facturen van eerder verstrekte opdrachten niet meer tijdig ingediend om nog in 2024 te kunnen verwerken en betalen.    </w:t>
            </w:r>
          </w:p>
        </w:tc>
        <w:tc>
          <w:tcPr>
            <w:tcW w:w="850" w:type="dxa"/>
          </w:tcPr>
          <w:p w:rsidR="00B2625E" w14:paraId="254FE7DC" w14:textId="77777777">
            <w:pPr>
              <w:jc w:val="right"/>
            </w:pPr>
          </w:p>
        </w:tc>
        <w:tc>
          <w:tcPr>
            <w:tcW w:w="992" w:type="dxa"/>
          </w:tcPr>
          <w:p w:rsidR="00B2625E" w14:paraId="057E9C65" w14:textId="77777777">
            <w:pPr>
              <w:jc w:val="right"/>
            </w:pPr>
            <w:r>
              <w:t>4</w:t>
            </w:r>
          </w:p>
        </w:tc>
        <w:tc>
          <w:tcPr>
            <w:tcW w:w="567" w:type="dxa"/>
          </w:tcPr>
          <w:p w:rsidR="00B2625E" w14:paraId="65428E61" w14:textId="77777777">
            <w:pPr>
              <w:jc w:val="right"/>
            </w:pPr>
            <w:r>
              <w:t xml:space="preserve"> </w:t>
            </w:r>
          </w:p>
        </w:tc>
      </w:tr>
      <w:tr w:rsidTr="00691744" w14:paraId="720B3A65" w14:textId="77777777">
        <w:tblPrEx>
          <w:tblW w:w="9497" w:type="dxa"/>
          <w:tblLayout w:type="fixed"/>
          <w:tblCellMar>
            <w:left w:w="0" w:type="dxa"/>
            <w:right w:w="0" w:type="dxa"/>
          </w:tblCellMar>
          <w:tblLook w:val="0000"/>
        </w:tblPrEx>
        <w:tc>
          <w:tcPr>
            <w:tcW w:w="567" w:type="dxa"/>
          </w:tcPr>
          <w:p w:rsidR="00B2625E" w14:paraId="1D10EBD1" w14:textId="77777777">
            <w:r>
              <w:t>2</w:t>
            </w:r>
          </w:p>
        </w:tc>
        <w:tc>
          <w:tcPr>
            <w:tcW w:w="6521" w:type="dxa"/>
          </w:tcPr>
          <w:p w:rsidR="00B2625E" w14:paraId="4E09FDFD" w14:textId="1BE75931">
            <w:r>
              <w:t>Wat is de reden van herfinanciering tegen nieuwe leningsvoorwaarden voor Curaçao en Aruba?</w:t>
            </w:r>
          </w:p>
          <w:p w:rsidR="00C70506" w:rsidP="0F821D28" w14:paraId="0EBABF04" w14:textId="77777777">
            <w:pPr>
              <w:rPr>
                <w:highlight w:val="yellow"/>
              </w:rPr>
            </w:pPr>
          </w:p>
          <w:p w:rsidR="00C70506" w:rsidP="0F821D28" w14:paraId="5E914DF2" w14:textId="77777777">
            <w:r w:rsidRPr="00C70506">
              <w:t>Antwoord:</w:t>
            </w:r>
          </w:p>
          <w:p w:rsidR="00EE78AE" w:rsidP="00FC4B1F" w14:paraId="3085F6ED" w14:textId="03888466">
            <w:r>
              <w:t xml:space="preserve">Dit betreft de COVID-leningen die Nederland aan Curaçao en Aruba heeft verstrekt om de gevolgen van de coronapandemie op te vangen. De nieuwe leningsvoorwaarden volgen uit afspraken die </w:t>
            </w:r>
            <w:r w:rsidR="00C81F8E">
              <w:t xml:space="preserve">destijds </w:t>
            </w:r>
            <w:r>
              <w:t>zijn gemaakt met Curaçao en Aruba</w:t>
            </w:r>
            <w:r w:rsidR="00C2673D">
              <w:t>.</w:t>
            </w:r>
          </w:p>
          <w:p w:rsidR="00FC4B1F" w:rsidP="00FC4B1F" w14:paraId="4BE6C06B" w14:textId="270030A7">
            <w:r>
              <w:t xml:space="preserve">Met </w:t>
            </w:r>
            <w:r>
              <w:t xml:space="preserve">Aruba </w:t>
            </w:r>
            <w:r>
              <w:t xml:space="preserve">is afgesproken dat zij </w:t>
            </w:r>
            <w:r w:rsidRPr="00C81F8E">
              <w:t>akkoord moe</w:t>
            </w:r>
            <w:r>
              <w:t>s</w:t>
            </w:r>
            <w:r w:rsidRPr="00C81F8E">
              <w:t>ten gaan met een Rijkswet, waarin het financieel toezicht duurzaam wordt geregeld.</w:t>
            </w:r>
            <w:r>
              <w:t xml:space="preserve"> Toen dit bestuurlijk akkoord was gesloten, is </w:t>
            </w:r>
            <w:r w:rsidR="00114C87">
              <w:t xml:space="preserve">de lening </w:t>
            </w:r>
            <w:r>
              <w:t xml:space="preserve">geherfinancierd </w:t>
            </w:r>
            <w:r>
              <w:t>tegen een rente van 5,1%, in plaats van de oorspronkelijke 6,9%</w:t>
            </w:r>
            <w:r w:rsidR="00CE2978">
              <w:t>.</w:t>
            </w:r>
          </w:p>
          <w:p w:rsidR="00C70506" w:rsidP="0F821D28" w14:paraId="2D336F7E" w14:textId="332ADB1E">
            <w:pPr>
              <w:rPr>
                <w:highlight w:val="yellow"/>
              </w:rPr>
            </w:pPr>
            <w:r>
              <w:t xml:space="preserve">Met </w:t>
            </w:r>
            <w:r w:rsidR="00FC4B1F">
              <w:t>Curaçao</w:t>
            </w:r>
            <w:r w:rsidR="00CE2978">
              <w:t xml:space="preserve"> is </w:t>
            </w:r>
            <w:r>
              <w:t xml:space="preserve">afgesproken dat </w:t>
            </w:r>
            <w:r w:rsidRPr="00C81F8E">
              <w:t>er een bestuurlijk akkoord moe</w:t>
            </w:r>
            <w:r>
              <w:t>s</w:t>
            </w:r>
            <w:r w:rsidRPr="00C81F8E">
              <w:t xml:space="preserve">t liggen over een financieel realistisch reddingsplan voor pensioenverzekeraar </w:t>
            </w:r>
            <w:r w:rsidRPr="00C81F8E">
              <w:t>Ennia</w:t>
            </w:r>
            <w:r w:rsidRPr="00C81F8E">
              <w:t>. Deze pensioenverzekeraar kampt</w:t>
            </w:r>
            <w:r>
              <w:t xml:space="preserve">e </w:t>
            </w:r>
            <w:r w:rsidRPr="00C81F8E">
              <w:t>met een enorm vermogenstekort</w:t>
            </w:r>
            <w:r>
              <w:t>. Toen dit bestuurlijk akkoord was gesloten, is</w:t>
            </w:r>
            <w:r w:rsidRPr="00C81F8E">
              <w:t xml:space="preserve"> </w:t>
            </w:r>
            <w:r w:rsidR="00472464">
              <w:t xml:space="preserve">de </w:t>
            </w:r>
            <w:r w:rsidR="00FC4B1F">
              <w:t>lening geherfinancierd tegen een rente van 3,4%, in plaats van de oorspronkelijke 5,1%</w:t>
            </w:r>
            <w:r w:rsidR="00CE2978">
              <w:t>.</w:t>
            </w:r>
          </w:p>
        </w:tc>
        <w:tc>
          <w:tcPr>
            <w:tcW w:w="850" w:type="dxa"/>
          </w:tcPr>
          <w:p w:rsidR="00B2625E" w14:paraId="294901F4" w14:textId="77777777">
            <w:pPr>
              <w:jc w:val="right"/>
            </w:pPr>
          </w:p>
        </w:tc>
        <w:tc>
          <w:tcPr>
            <w:tcW w:w="992" w:type="dxa"/>
          </w:tcPr>
          <w:p w:rsidR="00B2625E" w14:paraId="70DCA48F" w14:textId="77777777">
            <w:pPr>
              <w:jc w:val="right"/>
            </w:pPr>
            <w:r>
              <w:t>4</w:t>
            </w:r>
          </w:p>
        </w:tc>
        <w:tc>
          <w:tcPr>
            <w:tcW w:w="567" w:type="dxa"/>
          </w:tcPr>
          <w:p w:rsidR="00B2625E" w14:paraId="5BA2079F" w14:textId="77777777">
            <w:pPr>
              <w:jc w:val="right"/>
            </w:pPr>
            <w:r>
              <w:t xml:space="preserve"> </w:t>
            </w:r>
          </w:p>
        </w:tc>
      </w:tr>
    </w:tbl>
    <w:p w:rsidR="00B2625E" w14:paraId="33CC3A84" w14:textId="77777777"/>
    <w:sectPr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270D9F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429DCC97" w14:textId="77777777">
    <w:pPr>
      <w:pStyle w:val="Footer"/>
    </w:pPr>
    <w:r>
      <w:t xml:space="preserve">Totaallijst feitelijke vragen </w:t>
    </w:r>
    <w:r>
      <w:t>Slotwet</w:t>
    </w:r>
    <w:r>
      <w:t xml:space="preserve"> Koninkrijksrelaties en het BES-fonds 2024 (36740-IV-3-4)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C2673D">
      <w:fldChar w:fldCharType="begin"/>
    </w:r>
    <w:r w:rsidR="00C2673D">
      <w:instrText xml:space="preserve"> NUMPAGES   \* MERGEFORMAT </w:instrText>
    </w:r>
    <w:r w:rsidR="00C2673D">
      <w:fldChar w:fldCharType="separate"/>
    </w:r>
    <w:r>
      <w:t>1</w:t>
    </w:r>
    <w:r w:rsidR="00C2673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343A09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11E1CB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058E52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625E" w14:paraId="3D54749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74FF"/>
    <w:rsid w:val="000A3342"/>
    <w:rsid w:val="000D3A1A"/>
    <w:rsid w:val="00114C87"/>
    <w:rsid w:val="0014160E"/>
    <w:rsid w:val="0017270B"/>
    <w:rsid w:val="001856D0"/>
    <w:rsid w:val="001A47AF"/>
    <w:rsid w:val="001A56AB"/>
    <w:rsid w:val="001A707B"/>
    <w:rsid w:val="001B79FB"/>
    <w:rsid w:val="001C7D3B"/>
    <w:rsid w:val="002D3340"/>
    <w:rsid w:val="003035A8"/>
    <w:rsid w:val="0031211F"/>
    <w:rsid w:val="00331E48"/>
    <w:rsid w:val="00350A5A"/>
    <w:rsid w:val="003648E8"/>
    <w:rsid w:val="003D44DD"/>
    <w:rsid w:val="003E314B"/>
    <w:rsid w:val="003F7D61"/>
    <w:rsid w:val="004567F9"/>
    <w:rsid w:val="00472464"/>
    <w:rsid w:val="00476A23"/>
    <w:rsid w:val="005543A7"/>
    <w:rsid w:val="005732A2"/>
    <w:rsid w:val="005C4ECF"/>
    <w:rsid w:val="005E6A9E"/>
    <w:rsid w:val="00691744"/>
    <w:rsid w:val="006A2AFC"/>
    <w:rsid w:val="00743881"/>
    <w:rsid w:val="00761967"/>
    <w:rsid w:val="00767202"/>
    <w:rsid w:val="008678A3"/>
    <w:rsid w:val="008800F7"/>
    <w:rsid w:val="00894624"/>
    <w:rsid w:val="008B526D"/>
    <w:rsid w:val="008E3B0E"/>
    <w:rsid w:val="008F2E40"/>
    <w:rsid w:val="009A37D1"/>
    <w:rsid w:val="009F38B6"/>
    <w:rsid w:val="009F667E"/>
    <w:rsid w:val="00A0291D"/>
    <w:rsid w:val="00A237BB"/>
    <w:rsid w:val="00A66135"/>
    <w:rsid w:val="00A77C3E"/>
    <w:rsid w:val="00AF0E05"/>
    <w:rsid w:val="00B012FC"/>
    <w:rsid w:val="00B2625E"/>
    <w:rsid w:val="00B808E1"/>
    <w:rsid w:val="00B915EC"/>
    <w:rsid w:val="00B91F15"/>
    <w:rsid w:val="00BF4B0E"/>
    <w:rsid w:val="00C2673D"/>
    <w:rsid w:val="00C70506"/>
    <w:rsid w:val="00C81F8E"/>
    <w:rsid w:val="00CA114B"/>
    <w:rsid w:val="00CE2978"/>
    <w:rsid w:val="00D222F4"/>
    <w:rsid w:val="00DB154B"/>
    <w:rsid w:val="00E26187"/>
    <w:rsid w:val="00E7153D"/>
    <w:rsid w:val="00EE78AE"/>
    <w:rsid w:val="00EF0DD0"/>
    <w:rsid w:val="00F97E3A"/>
    <w:rsid w:val="00FC4B1F"/>
    <w:rsid w:val="0F821D2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EBFFF64"/>
  <w15:docId w15:val="{8F5DDC5E-59DF-4D07-B999-F3D96528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2D3340"/>
    <w:rPr>
      <w:sz w:val="16"/>
      <w:szCs w:val="16"/>
    </w:rPr>
  </w:style>
  <w:style w:type="paragraph" w:styleId="CommentText">
    <w:name w:val="annotation text"/>
    <w:basedOn w:val="Normal"/>
    <w:link w:val="TekstopmerkingChar"/>
    <w:uiPriority w:val="99"/>
    <w:unhideWhenUsed/>
    <w:rsid w:val="002D3340"/>
  </w:style>
  <w:style w:type="character" w:customStyle="1" w:styleId="TekstopmerkingChar">
    <w:name w:val="Tekst opmerking Char"/>
    <w:basedOn w:val="DefaultParagraphFont"/>
    <w:link w:val="CommentText"/>
    <w:uiPriority w:val="99"/>
    <w:rsid w:val="002D3340"/>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2D3340"/>
    <w:rPr>
      <w:b/>
      <w:bCs/>
    </w:rPr>
  </w:style>
  <w:style w:type="character" w:customStyle="1" w:styleId="OnderwerpvanopmerkingChar">
    <w:name w:val="Onderwerp van opmerking Char"/>
    <w:basedOn w:val="TekstopmerkingChar"/>
    <w:link w:val="CommentSubject"/>
    <w:uiPriority w:val="99"/>
    <w:semiHidden/>
    <w:rsid w:val="002D3340"/>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2D3340"/>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325</ap:Words>
  <ap:Characters>1792</ap:Characters>
  <ap:DocSecurity>0</ap:DocSecurity>
  <ap:Lines>14</ap:Lines>
  <ap:Paragraphs>4</ap:Paragraphs>
  <ap:ScaleCrop>false</ap:ScaleCrop>
  <ap:LinksUpToDate>false</ap:LinksUpToDate>
  <ap:CharactersWithSpaces>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2025-06-04T14:30:00.0000000Z</dcterms:created>
  <dcterms:modified xsi:type="dcterms:W3CDTF">2025-06-05T10:44:00.0000000Z</dcterms:modified>
  <dc:creator/>
  <lastModifiedBy/>
  <dc:description>------------------------</dc:description>
  <dc:subject/>
  <keywords/>
  <version/>
  <category/>
</coreProperties>
</file>