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2025Z11865</w:t>
        <w:br/>
      </w:r>
      <w:proofErr w:type="spellEnd"/>
    </w:p>
    <w:p>
      <w:pPr>
        <w:pStyle w:val="Normal"/>
        <w:rPr>
          <w:b w:val="1"/>
          <w:bCs w:val="1"/>
        </w:rPr>
      </w:pPr>
      <w:r w:rsidR="250AE766">
        <w:rPr>
          <w:b w:val="0"/>
          <w:bCs w:val="0"/>
        </w:rPr>
        <w:t>(ingezonden 11 juni 2025)</w:t>
        <w:br/>
      </w:r>
    </w:p>
    <w:p>
      <w:r>
        <w:t xml:space="preserve">Vraag van het lid Van Houwelingen (FVD) aan de minister van Defensie over de NAVO-doelstellingen, de Resilience Objectives.</w:t>
      </w:r>
      <w:r>
        <w:br/>
      </w:r>
    </w:p>
    <w:p>
      <w:r>
        <w:t xml:space="preserve"> </w:t>
      </w:r>
      <w:r>
        <w:br/>
      </w:r>
    </w:p>
    <w:p>
      <w:r>
        <w:t xml:space="preserve">1. Zijn er wellicht ook ministeries die in het geheel niet, dus op geen enkele wijze, betrokken of aangehaakt zijn bij het bereiken van de (geheime en voor de regering politiek bindende) 'Resilience Objectives' van de NAVO? Zo ja, welke ministeries zijn dit?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