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98C" w:rsidRDefault="00026493" w14:paraId="0CB053DB" w14:textId="369F2EA0">
      <w:pPr>
        <w:rPr>
          <w:b/>
          <w:bCs/>
        </w:rPr>
      </w:pPr>
      <w:r w:rsidRPr="00026493">
        <w:rPr>
          <w:b/>
          <w:bCs/>
        </w:rPr>
        <w:t>Geannoteerde</w:t>
      </w:r>
      <w:r w:rsidR="00C26017">
        <w:rPr>
          <w:b/>
          <w:bCs/>
        </w:rPr>
        <w:t xml:space="preserve"> a</w:t>
      </w:r>
      <w:r w:rsidRPr="00026493">
        <w:rPr>
          <w:b/>
          <w:bCs/>
        </w:rPr>
        <w:t xml:space="preserve">genda voor de Raad </w:t>
      </w:r>
      <w:r w:rsidR="00BC6E65">
        <w:rPr>
          <w:b/>
          <w:bCs/>
        </w:rPr>
        <w:t xml:space="preserve">Algemene </w:t>
      </w:r>
      <w:r>
        <w:rPr>
          <w:b/>
          <w:bCs/>
        </w:rPr>
        <w:t xml:space="preserve">Zaken 24 juni </w:t>
      </w:r>
      <w:r w:rsidR="00433508">
        <w:rPr>
          <w:b/>
          <w:bCs/>
        </w:rPr>
        <w:t>2025</w:t>
      </w:r>
    </w:p>
    <w:p w:rsidR="00A6797F" w:rsidP="007C4550" w:rsidRDefault="00A6797F" w14:paraId="16DC26EF" w14:textId="0C14AAD2">
      <w:pPr>
        <w:tabs>
          <w:tab w:val="left" w:pos="2025"/>
        </w:tabs>
      </w:pPr>
      <w:r w:rsidRPr="00A6797F">
        <w:t>Op dinsdag 2</w:t>
      </w:r>
      <w:r w:rsidR="00B252E2">
        <w:t>4</w:t>
      </w:r>
      <w:r w:rsidRPr="00A6797F">
        <w:t> juni a.s. vindt in Luxemburg de Raad Algemene Zaken (RAZ) plaats. Op</w:t>
      </w:r>
      <w:r w:rsidR="00FD0A5E">
        <w:t xml:space="preserve"> </w:t>
      </w:r>
      <w:r w:rsidRPr="00A6797F">
        <w:t>de agenda staan vooralsnog de voorbereiding van de Europese Raad (ER) van 2</w:t>
      </w:r>
      <w:r w:rsidR="00B252E2">
        <w:t>6</w:t>
      </w:r>
      <w:r w:rsidRPr="00A6797F">
        <w:t>-2</w:t>
      </w:r>
      <w:r w:rsidR="00B252E2">
        <w:t>7</w:t>
      </w:r>
      <w:r w:rsidRPr="00A6797F">
        <w:t> juni,</w:t>
      </w:r>
      <w:r w:rsidR="00FD0A5E">
        <w:t xml:space="preserve"> </w:t>
      </w:r>
      <w:r w:rsidR="00B252E2">
        <w:t xml:space="preserve">het Europees Semester 2025 en </w:t>
      </w:r>
      <w:r w:rsidR="00433508">
        <w:t xml:space="preserve">de </w:t>
      </w:r>
      <w:r w:rsidR="00B252E2">
        <w:t>jaarlijks</w:t>
      </w:r>
      <w:r w:rsidR="00763EA8">
        <w:t>e</w:t>
      </w:r>
      <w:r w:rsidR="00B252E2">
        <w:t xml:space="preserve"> rechtsstaatsdialoog</w:t>
      </w:r>
      <w:r w:rsidRPr="00A6797F">
        <w:t xml:space="preserve">. </w:t>
      </w:r>
      <w:r w:rsidR="007C5C6A">
        <w:t>M</w:t>
      </w:r>
      <w:r w:rsidR="00E63742">
        <w:t>et</w:t>
      </w:r>
      <w:r w:rsidR="007C5C6A">
        <w:t xml:space="preserve"> deze </w:t>
      </w:r>
      <w:r w:rsidR="00C26017">
        <w:t>g</w:t>
      </w:r>
      <w:r w:rsidR="007C5C6A">
        <w:t xml:space="preserve">eannoteerde </w:t>
      </w:r>
      <w:r w:rsidR="00C26017">
        <w:t>a</w:t>
      </w:r>
      <w:r w:rsidR="007C5C6A">
        <w:t xml:space="preserve">genda wordt uw Kamer tevens </w:t>
      </w:r>
      <w:r w:rsidR="000D6933">
        <w:t>geïnformeerd</w:t>
      </w:r>
      <w:r w:rsidR="007C5C6A">
        <w:t xml:space="preserve"> over het </w:t>
      </w:r>
      <w:r w:rsidRPr="007C4550" w:rsidR="007C5C6A">
        <w:t xml:space="preserve">EU-toetredingsproces </w:t>
      </w:r>
      <w:r w:rsidR="00E63742">
        <w:t xml:space="preserve">van kandidaat-lidstaat </w:t>
      </w:r>
      <w:r w:rsidRPr="007C4550" w:rsidR="007C5C6A">
        <w:t>Montenegro.</w:t>
      </w:r>
      <w:r w:rsidRPr="00A6797F" w:rsidR="007C5C6A">
        <w:t xml:space="preserve"> </w:t>
      </w:r>
      <w:r w:rsidR="00E63742">
        <w:t xml:space="preserve">De Commissie beveelt aan 1 hoofdstuk (“openbare aanbestedingen”) onder voorbehoud te sluiten. </w:t>
      </w:r>
      <w:r w:rsidRPr="00A6797F">
        <w:t xml:space="preserve">De </w:t>
      </w:r>
      <w:r w:rsidR="00334B1E">
        <w:t>m</w:t>
      </w:r>
      <w:r w:rsidRPr="00A6797F">
        <w:t>inister van Buitenlandse</w:t>
      </w:r>
      <w:r w:rsidR="00FD0A5E">
        <w:t xml:space="preserve"> </w:t>
      </w:r>
      <w:r w:rsidRPr="00A6797F">
        <w:t xml:space="preserve">Zaken </w:t>
      </w:r>
      <w:r w:rsidR="00E63742">
        <w:t xml:space="preserve">zal niet aan deze RAZ kunnen deelnemen </w:t>
      </w:r>
      <w:r w:rsidR="00B4789C">
        <w:t>vanwege de NAVO-top</w:t>
      </w:r>
      <w:r w:rsidR="00FD0A5E">
        <w:t xml:space="preserve"> </w:t>
      </w:r>
      <w:r w:rsidR="000524D9">
        <w:t xml:space="preserve">die </w:t>
      </w:r>
      <w:r w:rsidR="00FD0A5E">
        <w:t xml:space="preserve">op 24 en 25 juni </w:t>
      </w:r>
      <w:r w:rsidR="000524D9">
        <w:t>zal plaatsvinden</w:t>
      </w:r>
      <w:r w:rsidR="009D380C">
        <w:t xml:space="preserve"> </w:t>
      </w:r>
      <w:r w:rsidR="00FD0A5E">
        <w:t>in Den Haag</w:t>
      </w:r>
      <w:r w:rsidRPr="00A6797F">
        <w:t>.</w:t>
      </w:r>
      <w:r w:rsidR="00B252E2">
        <w:t xml:space="preserve"> </w:t>
      </w:r>
      <w:r w:rsidRPr="00B4789C" w:rsidR="00B4789C">
        <w:t>De Permanente Vertegenwoordiger van Nederland bij de Europese Unie zal</w:t>
      </w:r>
      <w:r w:rsidR="00FD0A5E">
        <w:t xml:space="preserve"> </w:t>
      </w:r>
      <w:r w:rsidRPr="00B4789C" w:rsidR="00B4789C">
        <w:t>Nederland vertegenwoordigen.</w:t>
      </w:r>
    </w:p>
    <w:p w:rsidRPr="00E02FB9" w:rsidR="006349AB" w:rsidP="007C4550" w:rsidRDefault="009D380C" w14:paraId="4991DD8A" w14:textId="2EF221C7">
      <w:pPr>
        <w:spacing w:after="0"/>
        <w:rPr>
          <w:b/>
        </w:rPr>
      </w:pPr>
      <w:r w:rsidRPr="00E02FB9">
        <w:rPr>
          <w:b/>
        </w:rPr>
        <w:t>Voorbereiding Europese Raad</w:t>
      </w:r>
    </w:p>
    <w:p w:rsidRPr="007C4550" w:rsidR="00FD0A5E" w:rsidRDefault="009D380C" w14:paraId="2F0C6056" w14:textId="24122ADD">
      <w:r>
        <w:t>De Raad zal de ER van 26 en 27 juni aanstaande voorbereiden.</w:t>
      </w:r>
      <w:r w:rsidR="00237164">
        <w:t xml:space="preserve"> </w:t>
      </w:r>
      <w:r w:rsidRPr="00237164" w:rsidR="00237164">
        <w:t>Op de agenda</w:t>
      </w:r>
      <w:r w:rsidR="00237164">
        <w:t xml:space="preserve"> van de ER</w:t>
      </w:r>
      <w:r w:rsidRPr="00237164" w:rsidR="00237164">
        <w:t xml:space="preserve"> staan momenteel de Russische agressie tegen Oekraïne, de situatie in het Midden-Oosten, Europese veiligheid en defensie, EU in de wereld, concurrentievermogen en migratie.</w:t>
      </w:r>
      <w:r>
        <w:t xml:space="preserve"> </w:t>
      </w:r>
      <w:r w:rsidRPr="00E02FB9" w:rsidR="00334B1E">
        <w:t>D</w:t>
      </w:r>
      <w:r w:rsidRPr="00E02FB9" w:rsidR="007F0B7E">
        <w:t>e inzet van het demissionaire kabinet is toegelicht in de geannoteerde agenda van de ER</w:t>
      </w:r>
      <w:r w:rsidRPr="007F0B7E" w:rsidR="007F0B7E">
        <w:rPr>
          <w:i/>
          <w:iCs/>
        </w:rPr>
        <w:t>.</w:t>
      </w:r>
      <w:r w:rsidR="007F0B7E">
        <w:rPr>
          <w:i/>
          <w:iCs/>
        </w:rPr>
        <w:t xml:space="preserve"> </w:t>
      </w:r>
      <w:r w:rsidRPr="00334B1E" w:rsidR="00334B1E">
        <w:t>Nederland zal</w:t>
      </w:r>
      <w:r w:rsidR="00C91D6E">
        <w:t>,</w:t>
      </w:r>
      <w:r w:rsidRPr="00334B1E" w:rsidR="00334B1E">
        <w:t xml:space="preserve"> </w:t>
      </w:r>
      <w:r w:rsidRPr="00334B1E" w:rsidR="00ED673C">
        <w:t>waar opportuun</w:t>
      </w:r>
      <w:r w:rsidR="00C91D6E">
        <w:t>,</w:t>
      </w:r>
      <w:r w:rsidRPr="00334B1E" w:rsidR="00ED673C">
        <w:t xml:space="preserve"> </w:t>
      </w:r>
      <w:r w:rsidRPr="00334B1E" w:rsidR="00334B1E">
        <w:t>conform de in de geannoteerde agenda geformuleerde inzet interveniëren</w:t>
      </w:r>
      <w:r w:rsidRPr="00ED673C" w:rsidR="00ED673C">
        <w:t xml:space="preserve"> </w:t>
      </w:r>
      <w:r w:rsidRPr="00334B1E" w:rsidR="00ED673C">
        <w:t>tijdens de Raad</w:t>
      </w:r>
      <w:r w:rsidRPr="00334B1E" w:rsidR="00334B1E">
        <w:t xml:space="preserve">. </w:t>
      </w:r>
    </w:p>
    <w:p w:rsidR="006349AB" w:rsidP="007C4550" w:rsidRDefault="006349AB" w14:paraId="143CAE9B" w14:textId="799EED43">
      <w:pPr>
        <w:spacing w:after="0"/>
        <w:rPr>
          <w:b/>
          <w:bCs/>
        </w:rPr>
      </w:pPr>
      <w:r>
        <w:rPr>
          <w:b/>
          <w:bCs/>
        </w:rPr>
        <w:t>R</w:t>
      </w:r>
      <w:r w:rsidR="00E63742">
        <w:rPr>
          <w:b/>
          <w:bCs/>
        </w:rPr>
        <w:t>echtsstaat</w:t>
      </w:r>
      <w:r>
        <w:rPr>
          <w:b/>
          <w:bCs/>
        </w:rPr>
        <w:t xml:space="preserve">dialoog </w:t>
      </w:r>
    </w:p>
    <w:p w:rsidR="006244DA" w:rsidP="007C4550" w:rsidRDefault="006244DA" w14:paraId="16AA88F6" w14:textId="0F42F21A">
      <w:pPr>
        <w:spacing w:after="0"/>
        <w:rPr>
          <w:rFonts w:ascii="Calibri" w:hAnsi="Calibri" w:cs="Calibri"/>
        </w:rPr>
      </w:pPr>
      <w:r w:rsidRPr="00BF2CAF">
        <w:rPr>
          <w:rFonts w:ascii="Calibri" w:hAnsi="Calibri" w:cs="Calibri"/>
        </w:rPr>
        <w:t xml:space="preserve">Tijdens de Raad wordt </w:t>
      </w:r>
      <w:r w:rsidRPr="006244DA">
        <w:rPr>
          <w:rFonts w:ascii="Calibri" w:hAnsi="Calibri" w:cs="Calibri"/>
        </w:rPr>
        <w:t xml:space="preserve">opnieuw een </w:t>
      </w:r>
      <w:proofErr w:type="spellStart"/>
      <w:r w:rsidRPr="006244DA">
        <w:rPr>
          <w:rFonts w:ascii="Calibri" w:hAnsi="Calibri" w:cs="Calibri"/>
        </w:rPr>
        <w:t>landenspecifieke</w:t>
      </w:r>
      <w:proofErr w:type="spellEnd"/>
      <w:r w:rsidRPr="006244DA">
        <w:rPr>
          <w:rFonts w:ascii="Calibri" w:hAnsi="Calibri" w:cs="Calibri"/>
        </w:rPr>
        <w:t xml:space="preserve"> dialoog gevoerd, dit maal over Finland. </w:t>
      </w:r>
      <w:r w:rsidRPr="006244DA">
        <w:t>In het verslag van de RAZ van 27 mei jl.</w:t>
      </w:r>
      <w:r w:rsidR="008160DE">
        <w:rPr>
          <w:rStyle w:val="FootnoteReference"/>
        </w:rPr>
        <w:footnoteReference w:id="2"/>
      </w:r>
      <w:r w:rsidRPr="006244DA">
        <w:t xml:space="preserve"> is de Kamer geïnformeerd dat de</w:t>
      </w:r>
      <w:r w:rsidR="00E63742">
        <w:t>ze</w:t>
      </w:r>
      <w:r w:rsidRPr="006244DA">
        <w:t xml:space="preserve"> dialoog </w:t>
      </w:r>
      <w:r w:rsidR="007707E9">
        <w:t>is</w:t>
      </w:r>
      <w:r w:rsidRPr="006244DA">
        <w:t xml:space="preserve"> verplaatst naar de RAZ van juni a.s. in verband met tijdsgebrek.</w:t>
      </w:r>
      <w:r w:rsidR="00CC2290">
        <w:t xml:space="preserve"> </w:t>
      </w:r>
    </w:p>
    <w:p w:rsidR="0058308D" w:rsidP="007C4550" w:rsidRDefault="0058308D" w14:paraId="7F4FBC2F" w14:textId="77777777">
      <w:pPr>
        <w:spacing w:after="0"/>
        <w:rPr>
          <w:rFonts w:ascii="Calibri" w:hAnsi="Calibri" w:cs="Calibri"/>
        </w:rPr>
      </w:pPr>
    </w:p>
    <w:p w:rsidRPr="00BF2CAF" w:rsidR="0058308D" w:rsidP="0058308D" w:rsidRDefault="0058308D" w14:paraId="50C847D0" w14:textId="77777777">
      <w:pPr>
        <w:spacing w:after="0"/>
        <w:rPr>
          <w:rFonts w:ascii="Calibri" w:hAnsi="Calibri" w:cs="Calibri"/>
        </w:rPr>
      </w:pPr>
      <w:r>
        <w:rPr>
          <w:rFonts w:ascii="Calibri" w:hAnsi="Calibri" w:cs="Calibri"/>
        </w:rPr>
        <w:t>Het</w:t>
      </w:r>
      <w:r w:rsidRPr="00BF2CAF">
        <w:rPr>
          <w:rFonts w:ascii="Calibri" w:hAnsi="Calibri" w:cs="Calibri"/>
        </w:rPr>
        <w:t xml:space="preserve"> landenhoofdstuk </w:t>
      </w:r>
      <w:r>
        <w:rPr>
          <w:rFonts w:ascii="Calibri" w:hAnsi="Calibri" w:cs="Calibri"/>
        </w:rPr>
        <w:t xml:space="preserve">over Finland </w:t>
      </w:r>
      <w:r w:rsidRPr="00BF2CAF">
        <w:rPr>
          <w:rFonts w:ascii="Calibri" w:hAnsi="Calibri" w:cs="Calibri"/>
        </w:rPr>
        <w:t>van het Commissierechtsstaatrapport 2024 vor</w:t>
      </w:r>
      <w:r>
        <w:rPr>
          <w:rFonts w:ascii="Calibri" w:hAnsi="Calibri" w:cs="Calibri"/>
        </w:rPr>
        <w:t>mt</w:t>
      </w:r>
      <w:r w:rsidRPr="00BF2CAF">
        <w:rPr>
          <w:rFonts w:ascii="Calibri" w:hAnsi="Calibri" w:cs="Calibri"/>
        </w:rPr>
        <w:t xml:space="preserve"> de basis voor deze dialoog. Uw Kamer ontving op 13 september 2024 de kabinetsreactie op het horizontale deel van het rechtsstaatrapport 2024, en op 21 oktober 2024 de kabinetsappreciatie van het Nederlandse landenhoofdstuk van het Commissierechtsstaatrapport 2024.</w:t>
      </w:r>
      <w:r w:rsidRPr="00BF2CAF">
        <w:rPr>
          <w:rStyle w:val="FootnoteReference"/>
          <w:rFonts w:ascii="Calibri" w:hAnsi="Calibri" w:cs="Calibri"/>
        </w:rPr>
        <w:footnoteReference w:id="3"/>
      </w:r>
      <w:r w:rsidRPr="00BF2CAF">
        <w:rPr>
          <w:rFonts w:ascii="Calibri" w:hAnsi="Calibri" w:cs="Calibri"/>
        </w:rPr>
        <w:t xml:space="preserve"> </w:t>
      </w:r>
    </w:p>
    <w:p w:rsidRPr="00BF2CAF" w:rsidR="0058308D" w:rsidDel="1F2978DB" w:rsidP="0058308D" w:rsidRDefault="0058308D" w14:paraId="2E77DD5E" w14:textId="77777777">
      <w:pPr>
        <w:spacing w:after="0"/>
        <w:rPr>
          <w:rFonts w:ascii="Calibri" w:hAnsi="Calibri" w:cs="Calibri"/>
        </w:rPr>
      </w:pPr>
    </w:p>
    <w:p w:rsidR="0058308D" w:rsidP="0058308D" w:rsidRDefault="0058308D" w14:paraId="47741AB7" w14:textId="40C92A15">
      <w:pPr>
        <w:spacing w:after="0"/>
        <w:rPr>
          <w:rFonts w:ascii="Calibri" w:hAnsi="Calibri" w:cs="Calibri"/>
        </w:rPr>
      </w:pPr>
      <w:r w:rsidRPr="00BF2CAF">
        <w:rPr>
          <w:rFonts w:ascii="Calibri" w:hAnsi="Calibri" w:cs="Calibri"/>
        </w:rPr>
        <w:t xml:space="preserve">Het kabinet acht de </w:t>
      </w:r>
      <w:proofErr w:type="spellStart"/>
      <w:r w:rsidRPr="00BF2CAF">
        <w:rPr>
          <w:rFonts w:ascii="Calibri" w:hAnsi="Calibri" w:cs="Calibri"/>
        </w:rPr>
        <w:t>landenspecifieke</w:t>
      </w:r>
      <w:proofErr w:type="spellEnd"/>
      <w:r w:rsidRPr="00BF2CAF">
        <w:rPr>
          <w:rFonts w:ascii="Calibri" w:hAnsi="Calibri" w:cs="Calibri"/>
        </w:rPr>
        <w:t xml:space="preserve"> rechtsstaatsdialoog een waardevol onderdeel van het EU-rechtsstaatinstrumentarium. Naast de mogelijkheid om problemen en uitdagingen in een vroeg stadium te bespreken, vormen de dialogen een uitwisseling van ervaringen en </w:t>
      </w:r>
      <w:r w:rsidRPr="00061EFA">
        <w:rPr>
          <w:rFonts w:ascii="Calibri" w:hAnsi="Calibri" w:cs="Calibri"/>
          <w:i/>
          <w:iCs/>
        </w:rPr>
        <w:t xml:space="preserve">best </w:t>
      </w:r>
      <w:proofErr w:type="spellStart"/>
      <w:r w:rsidRPr="00061EFA">
        <w:rPr>
          <w:rFonts w:ascii="Calibri" w:hAnsi="Calibri" w:cs="Calibri"/>
          <w:i/>
          <w:iCs/>
        </w:rPr>
        <w:t>practices</w:t>
      </w:r>
      <w:proofErr w:type="spellEnd"/>
      <w:r w:rsidRPr="00061EFA">
        <w:rPr>
          <w:rFonts w:ascii="Calibri" w:hAnsi="Calibri" w:cs="Calibri"/>
        </w:rPr>
        <w:t xml:space="preserve"> </w:t>
      </w:r>
      <w:r w:rsidRPr="00BF2CAF">
        <w:rPr>
          <w:rFonts w:ascii="Calibri" w:hAnsi="Calibri" w:cs="Calibri"/>
        </w:rPr>
        <w:t>ten behoeve van bescherming en versterking van de rechtsstaat in de Unie en haar lidstaten. Het kabinet kan zich in algemene zin vinden in de constateringen van</w:t>
      </w:r>
      <w:r>
        <w:rPr>
          <w:rFonts w:ascii="Calibri" w:hAnsi="Calibri" w:cs="Calibri"/>
        </w:rPr>
        <w:t xml:space="preserve"> de</w:t>
      </w:r>
      <w:r w:rsidRPr="00BF2CAF">
        <w:rPr>
          <w:rFonts w:ascii="Calibri" w:hAnsi="Calibri" w:cs="Calibri"/>
        </w:rPr>
        <w:t xml:space="preserve"> Commissie in </w:t>
      </w:r>
      <w:r>
        <w:rPr>
          <w:rFonts w:ascii="Calibri" w:hAnsi="Calibri" w:cs="Calibri"/>
        </w:rPr>
        <w:t>het</w:t>
      </w:r>
      <w:r w:rsidRPr="00BF2CAF">
        <w:rPr>
          <w:rFonts w:ascii="Calibri" w:hAnsi="Calibri" w:cs="Calibri"/>
        </w:rPr>
        <w:t xml:space="preserve"> geagendeerde landenhoofdstuk</w:t>
      </w:r>
      <w:r w:rsidR="006F19DA">
        <w:rPr>
          <w:rFonts w:ascii="Calibri" w:hAnsi="Calibri" w:cs="Calibri"/>
        </w:rPr>
        <w:t xml:space="preserve">. In de gezamenlijke interventie van Nederland en Luxemburg zullen </w:t>
      </w:r>
      <w:r w:rsidRPr="00BF2CAF">
        <w:rPr>
          <w:rFonts w:ascii="Calibri" w:hAnsi="Calibri" w:cs="Calibri"/>
        </w:rPr>
        <w:t xml:space="preserve">zowel de positieve stappen van </w:t>
      </w:r>
      <w:r>
        <w:rPr>
          <w:rFonts w:ascii="Calibri" w:hAnsi="Calibri" w:cs="Calibri"/>
        </w:rPr>
        <w:t>Finland</w:t>
      </w:r>
      <w:r w:rsidRPr="00BF2CAF">
        <w:rPr>
          <w:rFonts w:ascii="Calibri" w:hAnsi="Calibri" w:cs="Calibri"/>
        </w:rPr>
        <w:t xml:space="preserve"> als zorgen worden benoemd. Hierop </w:t>
      </w:r>
      <w:r>
        <w:rPr>
          <w:rFonts w:ascii="Calibri" w:hAnsi="Calibri" w:cs="Calibri"/>
        </w:rPr>
        <w:t>zal</w:t>
      </w:r>
      <w:r w:rsidRPr="00BF2CAF">
        <w:rPr>
          <w:rFonts w:ascii="Calibri" w:hAnsi="Calibri" w:cs="Calibri"/>
        </w:rPr>
        <w:t xml:space="preserve"> </w:t>
      </w:r>
      <w:r>
        <w:rPr>
          <w:rFonts w:ascii="Calibri" w:hAnsi="Calibri" w:cs="Calibri"/>
        </w:rPr>
        <w:t xml:space="preserve">Finland </w:t>
      </w:r>
      <w:r w:rsidRPr="00BF2CAF">
        <w:rPr>
          <w:rFonts w:ascii="Calibri" w:hAnsi="Calibri" w:cs="Calibri"/>
        </w:rPr>
        <w:t>worden bevraagd.</w:t>
      </w:r>
    </w:p>
    <w:p w:rsidRPr="006244DA" w:rsidR="0058308D" w:rsidP="0058308D" w:rsidRDefault="0058308D" w14:paraId="4C31C7D4" w14:textId="77777777">
      <w:pPr>
        <w:spacing w:after="0"/>
        <w:rPr>
          <w:rFonts w:ascii="Calibri" w:hAnsi="Calibri" w:cs="Calibri"/>
        </w:rPr>
      </w:pPr>
    </w:p>
    <w:p w:rsidRPr="00BF2CAF" w:rsidR="0058308D" w:rsidP="0058308D" w:rsidRDefault="0058308D" w14:paraId="2CCBF8B1" w14:textId="77777777">
      <w:pPr>
        <w:spacing w:after="0"/>
        <w:rPr>
          <w:rFonts w:ascii="Calibri" w:hAnsi="Calibri" w:cs="Calibri"/>
        </w:rPr>
      </w:pPr>
      <w:r w:rsidRPr="00BF2CAF">
        <w:rPr>
          <w:rFonts w:ascii="Calibri" w:hAnsi="Calibri" w:cs="Calibri"/>
          <w:i/>
          <w:iCs/>
        </w:rPr>
        <w:t>Finland</w:t>
      </w:r>
      <w:r w:rsidRPr="00BF2CAF">
        <w:rPr>
          <w:rFonts w:ascii="Calibri" w:hAnsi="Calibri" w:cs="Calibri"/>
          <w:i/>
          <w:iCs/>
        </w:rPr>
        <w:br/>
      </w:r>
      <w:r w:rsidRPr="00BF2CAF">
        <w:rPr>
          <w:rFonts w:ascii="Calibri" w:hAnsi="Calibri" w:cs="Calibri"/>
        </w:rPr>
        <w:t xml:space="preserve">De Commissie constateert dat het vertrouwen in de onafhankelijkheid van het Finse justitiële systeem hoog is, en dat het efficiënt en transparant opereert. Gelet op de aanbevelingen uit het rechtsstaatrapport van 2023, constateert de Commissie dat er onder andere voortgang is geboekt bij de beperking van de zogenaamde ‘draaideur-toewijzingen’ van voormalig bewindspersonen. Ook is er in 2024 een meerjarig anti-corruptieplan in werking getreden. </w:t>
      </w:r>
    </w:p>
    <w:p w:rsidRPr="00BF2CAF" w:rsidR="0058308D" w:rsidP="0058308D" w:rsidRDefault="0058308D" w14:paraId="28106EA0" w14:textId="77777777">
      <w:pPr>
        <w:spacing w:after="0"/>
        <w:rPr>
          <w:rFonts w:ascii="Calibri" w:hAnsi="Calibri" w:cs="Calibri"/>
          <w:i/>
          <w:iCs/>
        </w:rPr>
      </w:pPr>
    </w:p>
    <w:p w:rsidRPr="00BF2CAF" w:rsidR="0058308D" w:rsidP="0058308D" w:rsidRDefault="0058308D" w14:paraId="1970BF2D" w14:textId="77777777">
      <w:pPr>
        <w:spacing w:after="0"/>
        <w:rPr>
          <w:rFonts w:ascii="Calibri" w:hAnsi="Calibri" w:cs="Calibri"/>
        </w:rPr>
      </w:pPr>
      <w:r w:rsidRPr="00BF2CAF">
        <w:rPr>
          <w:rFonts w:ascii="Calibri" w:hAnsi="Calibri" w:cs="Calibri"/>
        </w:rPr>
        <w:t xml:space="preserve">Ondanks investeringen in onder andere een agentschap voor betere juridische bijstand, doet de Commissie de aanbeveling om de onafhankelijkheid van het justitiële systeem te vergroten en om de </w:t>
      </w:r>
      <w:r w:rsidRPr="00BF2CAF">
        <w:rPr>
          <w:rFonts w:ascii="Calibri" w:hAnsi="Calibri" w:cs="Calibri"/>
        </w:rPr>
        <w:lastRenderedPageBreak/>
        <w:t>rol van lekenrechters te versterken. Daarnaast raadt de Commissie Finland aan om wetgeving aan te nemen om omkoping (met name uit het buitenland) te voorkomen.</w:t>
      </w:r>
    </w:p>
    <w:p w:rsidR="00ED673C" w:rsidP="007C4550" w:rsidRDefault="00ED673C" w14:paraId="527812B2" w14:textId="77777777">
      <w:pPr>
        <w:spacing w:after="0"/>
        <w:rPr>
          <w:b/>
          <w:bCs/>
        </w:rPr>
      </w:pPr>
    </w:p>
    <w:p w:rsidR="006349AB" w:rsidP="007C4550" w:rsidRDefault="006349AB" w14:paraId="31A6340F" w14:textId="715E8743">
      <w:pPr>
        <w:spacing w:after="0"/>
        <w:rPr>
          <w:b/>
          <w:bCs/>
        </w:rPr>
      </w:pPr>
      <w:r>
        <w:rPr>
          <w:b/>
          <w:bCs/>
        </w:rPr>
        <w:t>Europees Semester</w:t>
      </w:r>
    </w:p>
    <w:p w:rsidR="006349AB" w:rsidP="006349AB" w:rsidRDefault="000E1C27" w14:paraId="3FB209D0" w14:textId="31D29307">
      <w:r w:rsidRPr="007C4550">
        <w:t>Tijdens de Raad zal de Commissie het lentepakket presenteren</w:t>
      </w:r>
      <w:r w:rsidR="0028102D">
        <w:t>, dat de Commissie o</w:t>
      </w:r>
      <w:r w:rsidRPr="007C4550">
        <w:t xml:space="preserve">p 4 juni jl. in het kader van het Europees Semester </w:t>
      </w:r>
      <w:r w:rsidR="0028102D">
        <w:t xml:space="preserve">heeft </w:t>
      </w:r>
      <w:r w:rsidRPr="007C4550">
        <w:t>gepubliceerd. Het Europees Semester is het jaarlijkse proces waarin EU-lidstaten hun economisch</w:t>
      </w:r>
      <w:r w:rsidR="00C83BA7">
        <w:t xml:space="preserve"> en budgettair </w:t>
      </w:r>
      <w:r w:rsidRPr="007C4550">
        <w:t xml:space="preserve">beleid coördineren. Dit lentepakket valt binnen de 2025 Semestercyclus en volgt op het herfstpakket dat is gepubliceerd in december 2024. Via de </w:t>
      </w:r>
      <w:r w:rsidR="00C26017">
        <w:t>g</w:t>
      </w:r>
      <w:r w:rsidRPr="007C4550">
        <w:t xml:space="preserve">eannoteerde </w:t>
      </w:r>
      <w:r w:rsidR="00C26017">
        <w:t>a</w:t>
      </w:r>
      <w:r w:rsidRPr="007C4550">
        <w:t xml:space="preserve">genda Eurogroep en </w:t>
      </w:r>
      <w:proofErr w:type="spellStart"/>
      <w:r w:rsidRPr="007C4550">
        <w:t>Ecofinraad</w:t>
      </w:r>
      <w:proofErr w:type="spellEnd"/>
      <w:r w:rsidR="00061EFA">
        <w:t xml:space="preserve"> van 20 juni </w:t>
      </w:r>
      <w:r w:rsidRPr="007C4550">
        <w:t xml:space="preserve">zal de Kamer worden geïnformeerd over de kabinetsappreciatie van het lentepakket. </w:t>
      </w:r>
    </w:p>
    <w:p w:rsidRPr="00F3127A" w:rsidR="00F3127A" w:rsidP="00F3127A" w:rsidRDefault="00F3127A" w14:paraId="37ABD6BE" w14:textId="08F51135">
      <w:pPr>
        <w:spacing w:after="0"/>
        <w:rPr>
          <w:b/>
          <w:bCs/>
        </w:rPr>
      </w:pPr>
      <w:r w:rsidRPr="00F3127A">
        <w:rPr>
          <w:b/>
          <w:bCs/>
        </w:rPr>
        <w:t>EU-toetredingsproces Montenegro: onder voorbehoud sluiten hoofdstuk 5</w:t>
      </w:r>
      <w:r w:rsidR="00B05CB6">
        <w:rPr>
          <w:b/>
          <w:bCs/>
        </w:rPr>
        <w:t xml:space="preserve"> </w:t>
      </w:r>
    </w:p>
    <w:p w:rsidRPr="00F3127A" w:rsidR="00F3127A" w:rsidP="00F3127A" w:rsidRDefault="00F3127A" w14:paraId="565A1B20" w14:textId="77777777">
      <w:pPr>
        <w:spacing w:after="0"/>
      </w:pPr>
      <w:r w:rsidRPr="00F3127A">
        <w:t xml:space="preserve">De Europese Commissie heeft aanbevolen om hoofdstuk 5 (openbare aanbestedingen) in de toetredingsonderhandelingen met Montenegro onder voorbehoud te sluiten. De Commissie stelt vast dat Montenegro aan alle beleidsinhoudelijke </w:t>
      </w:r>
      <w:proofErr w:type="spellStart"/>
      <w:r w:rsidRPr="00F3127A">
        <w:rPr>
          <w:i/>
          <w:iCs/>
        </w:rPr>
        <w:t>closing</w:t>
      </w:r>
      <w:proofErr w:type="spellEnd"/>
      <w:r w:rsidRPr="00F3127A">
        <w:rPr>
          <w:i/>
          <w:iCs/>
        </w:rPr>
        <w:t xml:space="preserve"> benchmarks </w:t>
      </w:r>
      <w:r w:rsidRPr="00F3127A">
        <w:t xml:space="preserve">heeft voldaan. Deze zien onder andere op wet- en regelgeving en overname van het </w:t>
      </w:r>
      <w:proofErr w:type="spellStart"/>
      <w:r w:rsidRPr="00F3127A">
        <w:rPr>
          <w:i/>
          <w:iCs/>
        </w:rPr>
        <w:t>acquis</w:t>
      </w:r>
      <w:proofErr w:type="spellEnd"/>
      <w:r w:rsidRPr="00F3127A">
        <w:t xml:space="preserve">, administratieve en institutionele capaciteiten, en een transparant systeem van aanbestedingen met effectieve maatregelen om fraude, belangenverstrengeling en corruptie te bestrijden. Nederland verwelkomt de oproep van de Commissie tot verdere versterking van anti-corruptie maatregelen, o.a. gerelateerd aan openbare aanbestedingen. Tijdens de behandeling heeft Nederland ingezet op het belang van deugdelijke implementatie van doorgevoerde hervormingen en blijvende monitoring door de Commissie, ook na voorlopige sluiting van dit hoofdstuk. </w:t>
      </w:r>
    </w:p>
    <w:p w:rsidRPr="00F3127A" w:rsidR="00F3127A" w:rsidP="00F3127A" w:rsidRDefault="00F3127A" w14:paraId="15566AAE" w14:textId="77777777">
      <w:pPr>
        <w:spacing w:after="0"/>
      </w:pPr>
    </w:p>
    <w:p w:rsidR="008B0456" w:rsidP="00F3127A" w:rsidRDefault="00F3127A" w14:paraId="557AEE00" w14:textId="50991DAE">
      <w:pPr>
        <w:spacing w:after="0"/>
      </w:pPr>
      <w:r w:rsidRPr="00F3127A">
        <w:t xml:space="preserve">Het kabinet heeft een positieve grondhouding ten aanzien van het onder voorbehoud sluiten van dit hoofdstuk, nu de Commissie bevestigt dat Montenegro aan alle gestelde benchmarks voldaan heeft, en verdere ontwikkelingen op het gebied van openbare aanbestedingen ook na voorlopige sluiting van het hoofdstuk zal blijven monitoren. Het krachtenveld in de Raad lijkt zich te bewegen richting unanieme steun voor deze stap. Afhankelijk van instemming van EU-lidstaten zal en marge van de RAZ een Intergouvernementele Conferentie met Montenegro worden georganiseerd. </w:t>
      </w:r>
    </w:p>
    <w:p w:rsidR="0096050D" w:rsidRDefault="0096050D" w14:paraId="631E08EA" w14:textId="4375EF9A">
      <w:pPr>
        <w:rPr>
          <w:b/>
          <w:bCs/>
        </w:rPr>
      </w:pPr>
    </w:p>
    <w:p w:rsidRPr="006349AB" w:rsidR="000F2124" w:rsidRDefault="008B0456" w14:paraId="50E1BA02" w14:textId="102EE1A2">
      <w:pPr>
        <w:rPr>
          <w:b/>
          <w:bCs/>
        </w:rPr>
      </w:pPr>
      <w:r>
        <w:rPr>
          <w:b/>
          <w:bCs/>
        </w:rPr>
        <w:t xml:space="preserve"> </w:t>
      </w:r>
      <w:r w:rsidRPr="000D4301" w:rsidR="000D4301">
        <w:rPr>
          <w:b/>
          <w:bCs/>
        </w:rPr>
        <w:t xml:space="preserve"> </w:t>
      </w:r>
    </w:p>
    <w:sectPr w:rsidRPr="006349AB" w:rsidR="000F212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CDE8" w14:textId="77777777" w:rsidR="006244DA" w:rsidRDefault="006244DA" w:rsidP="006244DA">
      <w:pPr>
        <w:spacing w:after="0" w:line="240" w:lineRule="auto"/>
      </w:pPr>
      <w:r>
        <w:separator/>
      </w:r>
    </w:p>
  </w:endnote>
  <w:endnote w:type="continuationSeparator" w:id="0">
    <w:p w14:paraId="573997D3" w14:textId="77777777" w:rsidR="006244DA" w:rsidRDefault="006244DA" w:rsidP="006244DA">
      <w:pPr>
        <w:spacing w:after="0" w:line="240" w:lineRule="auto"/>
      </w:pPr>
      <w:r>
        <w:continuationSeparator/>
      </w:r>
    </w:p>
  </w:endnote>
  <w:endnote w:type="continuationNotice" w:id="1">
    <w:p w14:paraId="4075FBAB" w14:textId="77777777" w:rsidR="00C81D4E" w:rsidRDefault="00C81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7B4C" w14:textId="77777777" w:rsidR="006244DA" w:rsidRDefault="006244DA" w:rsidP="006244DA">
      <w:pPr>
        <w:spacing w:after="0" w:line="240" w:lineRule="auto"/>
      </w:pPr>
      <w:r>
        <w:separator/>
      </w:r>
    </w:p>
  </w:footnote>
  <w:footnote w:type="continuationSeparator" w:id="0">
    <w:p w14:paraId="20246B05" w14:textId="77777777" w:rsidR="006244DA" w:rsidRDefault="006244DA" w:rsidP="006244DA">
      <w:pPr>
        <w:spacing w:after="0" w:line="240" w:lineRule="auto"/>
      </w:pPr>
      <w:r>
        <w:continuationSeparator/>
      </w:r>
    </w:p>
  </w:footnote>
  <w:footnote w:type="continuationNotice" w:id="1">
    <w:p w14:paraId="653BDB0B" w14:textId="77777777" w:rsidR="00C81D4E" w:rsidRDefault="00C81D4E">
      <w:pPr>
        <w:spacing w:after="0" w:line="240" w:lineRule="auto"/>
      </w:pPr>
    </w:p>
  </w:footnote>
  <w:footnote w:id="2">
    <w:p w14:paraId="409BA86C" w14:textId="1C0D6D58" w:rsidR="008160DE" w:rsidRPr="00061EFA" w:rsidRDefault="008160DE">
      <w:pPr>
        <w:pStyle w:val="FootnoteText"/>
        <w:rPr>
          <w:lang w:val="nl-NL"/>
        </w:rPr>
      </w:pPr>
      <w:r>
        <w:rPr>
          <w:rStyle w:val="FootnoteReference"/>
        </w:rPr>
        <w:footnoteRef/>
      </w:r>
      <w:r w:rsidRPr="00061EFA">
        <w:rPr>
          <w:lang w:val="nl-NL"/>
        </w:rPr>
        <w:t xml:space="preserve"> Kamerstuk </w:t>
      </w:r>
      <w:hyperlink r:id="rId1" w:tgtFrame="21501-02-3161" w:history="1">
        <w:r w:rsidRPr="008160DE">
          <w:rPr>
            <w:rStyle w:val="Hyperlink"/>
            <w:lang w:val="nl-NL"/>
          </w:rPr>
          <w:t>21501</w:t>
        </w:r>
        <w:r>
          <w:rPr>
            <w:rStyle w:val="Hyperlink"/>
            <w:lang w:val="nl-NL"/>
          </w:rPr>
          <w:t xml:space="preserve"> </w:t>
        </w:r>
        <w:r w:rsidRPr="008160DE">
          <w:rPr>
            <w:rStyle w:val="Hyperlink"/>
            <w:lang w:val="nl-NL"/>
          </w:rPr>
          <w:t>02</w:t>
        </w:r>
        <w:r>
          <w:rPr>
            <w:rStyle w:val="Hyperlink"/>
            <w:lang w:val="nl-NL"/>
          </w:rPr>
          <w:t xml:space="preserve">, nr. </w:t>
        </w:r>
        <w:r w:rsidRPr="008160DE">
          <w:rPr>
            <w:rStyle w:val="Hyperlink"/>
            <w:lang w:val="nl-NL"/>
          </w:rPr>
          <w:t>3161</w:t>
        </w:r>
      </w:hyperlink>
      <w:r w:rsidRPr="00061EFA">
        <w:rPr>
          <w:lang w:val="nl-NL"/>
        </w:rPr>
        <w:t>.</w:t>
      </w:r>
    </w:p>
  </w:footnote>
  <w:footnote w:id="3">
    <w:p w14:paraId="22D2083A" w14:textId="165B97C5" w:rsidR="0058308D" w:rsidRPr="00BF2CAF" w:rsidRDefault="0058308D" w:rsidP="0058308D">
      <w:pPr>
        <w:pStyle w:val="FootnoteText"/>
        <w:rPr>
          <w:rFonts w:ascii="Calibri" w:hAnsi="Calibri" w:cs="Calibri"/>
          <w:lang w:val="nl-NL"/>
        </w:rPr>
      </w:pPr>
      <w:r w:rsidRPr="00BF2CAF">
        <w:rPr>
          <w:rStyle w:val="FootnoteReference"/>
          <w:rFonts w:ascii="Calibri" w:hAnsi="Calibri" w:cs="Calibri"/>
        </w:rPr>
        <w:footnoteRef/>
      </w:r>
      <w:r w:rsidRPr="00BF2CAF">
        <w:rPr>
          <w:rFonts w:ascii="Calibri" w:hAnsi="Calibri" w:cs="Calibri"/>
          <w:lang w:val="nl-NL"/>
        </w:rPr>
        <w:t xml:space="preserve"> Voor de appreciatie zie Kamerstuk 21 501-02, nr. 2953. Het </w:t>
      </w:r>
      <w:hyperlink r:id="rId2" w:history="1">
        <w:r w:rsidRPr="007A7DA4">
          <w:rPr>
            <w:rStyle w:val="Hyperlink"/>
            <w:rFonts w:ascii="Calibri" w:hAnsi="Calibri" w:cs="Calibri"/>
            <w:lang w:val="nl-NL"/>
          </w:rPr>
          <w:t>Commissierechtsstaatrapport 2024</w:t>
        </w:r>
      </w:hyperlink>
      <w:r w:rsidRPr="006C05B4">
        <w:rPr>
          <w:rFonts w:ascii="Calibri" w:hAnsi="Calibri" w:cs="Calibri"/>
          <w:lang w:val="nl-NL"/>
        </w:rPr>
        <w:t xml:space="preserve"> is hier te vinden.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5D"/>
    <w:rsid w:val="000007AE"/>
    <w:rsid w:val="00006391"/>
    <w:rsid w:val="00026493"/>
    <w:rsid w:val="000274D0"/>
    <w:rsid w:val="000524D9"/>
    <w:rsid w:val="00061EFA"/>
    <w:rsid w:val="00082BAD"/>
    <w:rsid w:val="000931CA"/>
    <w:rsid w:val="000A1CB5"/>
    <w:rsid w:val="000D4301"/>
    <w:rsid w:val="000D58C2"/>
    <w:rsid w:val="000D6933"/>
    <w:rsid w:val="000E1C27"/>
    <w:rsid w:val="000F2124"/>
    <w:rsid w:val="000F3EA4"/>
    <w:rsid w:val="00125E91"/>
    <w:rsid w:val="00165746"/>
    <w:rsid w:val="00180E02"/>
    <w:rsid w:val="00193CF3"/>
    <w:rsid w:val="001A1FBB"/>
    <w:rsid w:val="001B539C"/>
    <w:rsid w:val="002203FA"/>
    <w:rsid w:val="00237164"/>
    <w:rsid w:val="00243AB7"/>
    <w:rsid w:val="0027326E"/>
    <w:rsid w:val="0028102D"/>
    <w:rsid w:val="00287E5A"/>
    <w:rsid w:val="002968CB"/>
    <w:rsid w:val="002D56CC"/>
    <w:rsid w:val="00316E76"/>
    <w:rsid w:val="00317962"/>
    <w:rsid w:val="00334B1E"/>
    <w:rsid w:val="00376A89"/>
    <w:rsid w:val="003A6D67"/>
    <w:rsid w:val="003D0829"/>
    <w:rsid w:val="003F1642"/>
    <w:rsid w:val="004214B0"/>
    <w:rsid w:val="004245EC"/>
    <w:rsid w:val="0043031B"/>
    <w:rsid w:val="00432BD9"/>
    <w:rsid w:val="00433508"/>
    <w:rsid w:val="00441428"/>
    <w:rsid w:val="00464EB9"/>
    <w:rsid w:val="00481149"/>
    <w:rsid w:val="004A1D69"/>
    <w:rsid w:val="004B24AB"/>
    <w:rsid w:val="004B2B1D"/>
    <w:rsid w:val="004D217F"/>
    <w:rsid w:val="004D4638"/>
    <w:rsid w:val="004D7AB2"/>
    <w:rsid w:val="004F153B"/>
    <w:rsid w:val="00500A86"/>
    <w:rsid w:val="0051314A"/>
    <w:rsid w:val="00572F06"/>
    <w:rsid w:val="00573D41"/>
    <w:rsid w:val="0058308D"/>
    <w:rsid w:val="005D0667"/>
    <w:rsid w:val="00615114"/>
    <w:rsid w:val="006244DA"/>
    <w:rsid w:val="006349AB"/>
    <w:rsid w:val="0067051D"/>
    <w:rsid w:val="006A67EE"/>
    <w:rsid w:val="006B2BEC"/>
    <w:rsid w:val="006B7972"/>
    <w:rsid w:val="006C05B4"/>
    <w:rsid w:val="006C2959"/>
    <w:rsid w:val="006E3D31"/>
    <w:rsid w:val="006F19DA"/>
    <w:rsid w:val="00716FD2"/>
    <w:rsid w:val="00723459"/>
    <w:rsid w:val="007445C4"/>
    <w:rsid w:val="0075562A"/>
    <w:rsid w:val="00763EA8"/>
    <w:rsid w:val="007707E9"/>
    <w:rsid w:val="00780FA3"/>
    <w:rsid w:val="007A2424"/>
    <w:rsid w:val="007A7DA4"/>
    <w:rsid w:val="007C4550"/>
    <w:rsid w:val="007C5C6A"/>
    <w:rsid w:val="007D5FD7"/>
    <w:rsid w:val="007E77CD"/>
    <w:rsid w:val="007F0AEC"/>
    <w:rsid w:val="007F0B7E"/>
    <w:rsid w:val="008160DE"/>
    <w:rsid w:val="00817B9D"/>
    <w:rsid w:val="00822A13"/>
    <w:rsid w:val="00867DF2"/>
    <w:rsid w:val="008B0456"/>
    <w:rsid w:val="008C4C5D"/>
    <w:rsid w:val="008F02E3"/>
    <w:rsid w:val="008F33EB"/>
    <w:rsid w:val="009039E7"/>
    <w:rsid w:val="00905E26"/>
    <w:rsid w:val="0096050D"/>
    <w:rsid w:val="009719F3"/>
    <w:rsid w:val="0097524A"/>
    <w:rsid w:val="009973F4"/>
    <w:rsid w:val="009D380C"/>
    <w:rsid w:val="009E1B55"/>
    <w:rsid w:val="00A15792"/>
    <w:rsid w:val="00A335DF"/>
    <w:rsid w:val="00A36015"/>
    <w:rsid w:val="00A6797F"/>
    <w:rsid w:val="00A8198C"/>
    <w:rsid w:val="00A91F0D"/>
    <w:rsid w:val="00AA401C"/>
    <w:rsid w:val="00AC6A3C"/>
    <w:rsid w:val="00B05CB6"/>
    <w:rsid w:val="00B12D6F"/>
    <w:rsid w:val="00B252E2"/>
    <w:rsid w:val="00B4789C"/>
    <w:rsid w:val="00B56BB4"/>
    <w:rsid w:val="00B8654F"/>
    <w:rsid w:val="00BB6417"/>
    <w:rsid w:val="00BC6E65"/>
    <w:rsid w:val="00BD1957"/>
    <w:rsid w:val="00BD37E6"/>
    <w:rsid w:val="00BE5EC5"/>
    <w:rsid w:val="00C24301"/>
    <w:rsid w:val="00C26017"/>
    <w:rsid w:val="00C34DB4"/>
    <w:rsid w:val="00C54779"/>
    <w:rsid w:val="00C6203C"/>
    <w:rsid w:val="00C63587"/>
    <w:rsid w:val="00C81D4E"/>
    <w:rsid w:val="00C83BA7"/>
    <w:rsid w:val="00C879B4"/>
    <w:rsid w:val="00C91D6E"/>
    <w:rsid w:val="00CA5213"/>
    <w:rsid w:val="00CB21C1"/>
    <w:rsid w:val="00CC2290"/>
    <w:rsid w:val="00D00F44"/>
    <w:rsid w:val="00D25EC3"/>
    <w:rsid w:val="00D27D75"/>
    <w:rsid w:val="00D30911"/>
    <w:rsid w:val="00D735CF"/>
    <w:rsid w:val="00D74BF9"/>
    <w:rsid w:val="00DE5D09"/>
    <w:rsid w:val="00E02FB9"/>
    <w:rsid w:val="00E0670E"/>
    <w:rsid w:val="00E52006"/>
    <w:rsid w:val="00E63742"/>
    <w:rsid w:val="00E70B2A"/>
    <w:rsid w:val="00EA67BF"/>
    <w:rsid w:val="00EB78CC"/>
    <w:rsid w:val="00ED673C"/>
    <w:rsid w:val="00F2233F"/>
    <w:rsid w:val="00F24B19"/>
    <w:rsid w:val="00F3127A"/>
    <w:rsid w:val="00F431F1"/>
    <w:rsid w:val="00F62AF6"/>
    <w:rsid w:val="00F7596C"/>
    <w:rsid w:val="00F93332"/>
    <w:rsid w:val="00FA0811"/>
    <w:rsid w:val="00FA7E49"/>
    <w:rsid w:val="00FB5059"/>
    <w:rsid w:val="00FC2C3B"/>
    <w:rsid w:val="00FC49BC"/>
    <w:rsid w:val="00FD0A5E"/>
    <w:rsid w:val="00FE07D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5BB4"/>
  <w15:chartTrackingRefBased/>
  <w15:docId w15:val="{B87CFD18-EE1E-4148-ADBA-C6778A3E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C5D"/>
    <w:rPr>
      <w:rFonts w:eastAsiaTheme="majorEastAsia" w:cstheme="majorBidi"/>
      <w:color w:val="272727" w:themeColor="text1" w:themeTint="D8"/>
    </w:rPr>
  </w:style>
  <w:style w:type="paragraph" w:styleId="Title">
    <w:name w:val="Title"/>
    <w:basedOn w:val="Normal"/>
    <w:next w:val="Normal"/>
    <w:link w:val="TitleChar"/>
    <w:uiPriority w:val="10"/>
    <w:qFormat/>
    <w:rsid w:val="008C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C5D"/>
    <w:pPr>
      <w:spacing w:before="160"/>
      <w:jc w:val="center"/>
    </w:pPr>
    <w:rPr>
      <w:i/>
      <w:iCs/>
      <w:color w:val="404040" w:themeColor="text1" w:themeTint="BF"/>
    </w:rPr>
  </w:style>
  <w:style w:type="character" w:customStyle="1" w:styleId="QuoteChar">
    <w:name w:val="Quote Char"/>
    <w:basedOn w:val="DefaultParagraphFont"/>
    <w:link w:val="Quote"/>
    <w:uiPriority w:val="29"/>
    <w:rsid w:val="008C4C5D"/>
    <w:rPr>
      <w:i/>
      <w:iCs/>
      <w:color w:val="404040" w:themeColor="text1" w:themeTint="BF"/>
    </w:rPr>
  </w:style>
  <w:style w:type="paragraph" w:styleId="ListParagraph">
    <w:name w:val="List Paragraph"/>
    <w:basedOn w:val="Normal"/>
    <w:uiPriority w:val="34"/>
    <w:qFormat/>
    <w:rsid w:val="008C4C5D"/>
    <w:pPr>
      <w:ind w:left="720"/>
      <w:contextualSpacing/>
    </w:pPr>
  </w:style>
  <w:style w:type="character" w:styleId="IntenseEmphasis">
    <w:name w:val="Intense Emphasis"/>
    <w:basedOn w:val="DefaultParagraphFont"/>
    <w:uiPriority w:val="21"/>
    <w:qFormat/>
    <w:rsid w:val="008C4C5D"/>
    <w:rPr>
      <w:i/>
      <w:iCs/>
      <w:color w:val="2F5496" w:themeColor="accent1" w:themeShade="BF"/>
    </w:rPr>
  </w:style>
  <w:style w:type="paragraph" w:styleId="IntenseQuote">
    <w:name w:val="Intense Quote"/>
    <w:basedOn w:val="Normal"/>
    <w:next w:val="Normal"/>
    <w:link w:val="IntenseQuoteChar"/>
    <w:uiPriority w:val="30"/>
    <w:qFormat/>
    <w:rsid w:val="008C4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C5D"/>
    <w:rPr>
      <w:i/>
      <w:iCs/>
      <w:color w:val="2F5496" w:themeColor="accent1" w:themeShade="BF"/>
    </w:rPr>
  </w:style>
  <w:style w:type="character" w:styleId="IntenseReference">
    <w:name w:val="Intense Reference"/>
    <w:basedOn w:val="DefaultParagraphFont"/>
    <w:uiPriority w:val="32"/>
    <w:qFormat/>
    <w:rsid w:val="008C4C5D"/>
    <w:rPr>
      <w:b/>
      <w:bCs/>
      <w:smallCaps/>
      <w:color w:val="2F5496" w:themeColor="accent1" w:themeShade="BF"/>
      <w:spacing w:val="5"/>
    </w:rPr>
  </w:style>
  <w:style w:type="paragraph" w:styleId="FootnoteText">
    <w:name w:val="footnote text"/>
    <w:basedOn w:val="Normal"/>
    <w:link w:val="FootnoteTextChar"/>
    <w:uiPriority w:val="99"/>
    <w:unhideWhenUsed/>
    <w:rsid w:val="006244D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244DA"/>
    <w:rPr>
      <w:sz w:val="20"/>
      <w:szCs w:val="20"/>
      <w:lang w:val="en-US"/>
    </w:rPr>
  </w:style>
  <w:style w:type="character" w:styleId="FootnoteReference">
    <w:name w:val="footnote reference"/>
    <w:basedOn w:val="DefaultParagraphFont"/>
    <w:uiPriority w:val="99"/>
    <w:semiHidden/>
    <w:unhideWhenUsed/>
    <w:rsid w:val="006244DA"/>
    <w:rPr>
      <w:vertAlign w:val="superscript"/>
    </w:rPr>
  </w:style>
  <w:style w:type="character" w:styleId="Hyperlink">
    <w:name w:val="Hyperlink"/>
    <w:basedOn w:val="DefaultParagraphFont"/>
    <w:uiPriority w:val="99"/>
    <w:unhideWhenUsed/>
    <w:rsid w:val="006244DA"/>
    <w:rPr>
      <w:color w:val="0563C1" w:themeColor="hyperlink"/>
      <w:u w:val="single"/>
    </w:rPr>
  </w:style>
  <w:style w:type="character" w:styleId="CommentReference">
    <w:name w:val="annotation reference"/>
    <w:basedOn w:val="DefaultParagraphFont"/>
    <w:uiPriority w:val="99"/>
    <w:semiHidden/>
    <w:unhideWhenUsed/>
    <w:rsid w:val="006244DA"/>
    <w:rPr>
      <w:sz w:val="16"/>
      <w:szCs w:val="16"/>
    </w:rPr>
  </w:style>
  <w:style w:type="paragraph" w:styleId="CommentText">
    <w:name w:val="annotation text"/>
    <w:basedOn w:val="Normal"/>
    <w:link w:val="CommentTextChar"/>
    <w:uiPriority w:val="99"/>
    <w:unhideWhenUsed/>
    <w:rsid w:val="006244DA"/>
    <w:pPr>
      <w:spacing w:line="240" w:lineRule="auto"/>
    </w:pPr>
    <w:rPr>
      <w:sz w:val="20"/>
      <w:szCs w:val="20"/>
    </w:rPr>
  </w:style>
  <w:style w:type="character" w:customStyle="1" w:styleId="CommentTextChar">
    <w:name w:val="Comment Text Char"/>
    <w:basedOn w:val="DefaultParagraphFont"/>
    <w:link w:val="CommentText"/>
    <w:uiPriority w:val="99"/>
    <w:rsid w:val="006244DA"/>
    <w:rPr>
      <w:sz w:val="20"/>
      <w:szCs w:val="20"/>
    </w:rPr>
  </w:style>
  <w:style w:type="paragraph" w:styleId="CommentSubject">
    <w:name w:val="annotation subject"/>
    <w:basedOn w:val="CommentText"/>
    <w:next w:val="CommentText"/>
    <w:link w:val="CommentSubjectChar"/>
    <w:uiPriority w:val="99"/>
    <w:semiHidden/>
    <w:unhideWhenUsed/>
    <w:rsid w:val="006244DA"/>
    <w:rPr>
      <w:b/>
      <w:bCs/>
    </w:rPr>
  </w:style>
  <w:style w:type="character" w:customStyle="1" w:styleId="CommentSubjectChar">
    <w:name w:val="Comment Subject Char"/>
    <w:basedOn w:val="CommentTextChar"/>
    <w:link w:val="CommentSubject"/>
    <w:uiPriority w:val="99"/>
    <w:semiHidden/>
    <w:rsid w:val="006244DA"/>
    <w:rPr>
      <w:b/>
      <w:bCs/>
      <w:sz w:val="20"/>
      <w:szCs w:val="20"/>
    </w:rPr>
  </w:style>
  <w:style w:type="paragraph" w:styleId="Header">
    <w:name w:val="header"/>
    <w:basedOn w:val="Normal"/>
    <w:link w:val="HeaderChar"/>
    <w:uiPriority w:val="99"/>
    <w:semiHidden/>
    <w:unhideWhenUsed/>
    <w:rsid w:val="00C81D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1D4E"/>
  </w:style>
  <w:style w:type="paragraph" w:styleId="Footer">
    <w:name w:val="footer"/>
    <w:basedOn w:val="Normal"/>
    <w:link w:val="FooterChar"/>
    <w:uiPriority w:val="99"/>
    <w:semiHidden/>
    <w:unhideWhenUsed/>
    <w:rsid w:val="00C81D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1D4E"/>
  </w:style>
  <w:style w:type="character" w:styleId="UnresolvedMention">
    <w:name w:val="Unresolved Mention"/>
    <w:basedOn w:val="DefaultParagraphFont"/>
    <w:uiPriority w:val="99"/>
    <w:semiHidden/>
    <w:unhideWhenUsed/>
    <w:rsid w:val="00C81D4E"/>
    <w:rPr>
      <w:color w:val="605E5C"/>
      <w:shd w:val="clear" w:color="auto" w:fill="E1DFDD"/>
    </w:rPr>
  </w:style>
  <w:style w:type="paragraph" w:styleId="Revision">
    <w:name w:val="Revision"/>
    <w:hidden/>
    <w:uiPriority w:val="99"/>
    <w:semiHidden/>
    <w:rsid w:val="00D74BF9"/>
    <w:pPr>
      <w:spacing w:after="0" w:line="240" w:lineRule="auto"/>
    </w:pPr>
  </w:style>
  <w:style w:type="character" w:styleId="FollowedHyperlink">
    <w:name w:val="FollowedHyperlink"/>
    <w:basedOn w:val="DefaultParagraphFont"/>
    <w:uiPriority w:val="99"/>
    <w:semiHidden/>
    <w:unhideWhenUsed/>
    <w:rsid w:val="00061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080">
      <w:bodyDiv w:val="1"/>
      <w:marLeft w:val="0"/>
      <w:marRight w:val="0"/>
      <w:marTop w:val="0"/>
      <w:marBottom w:val="0"/>
      <w:divBdr>
        <w:top w:val="none" w:sz="0" w:space="0" w:color="auto"/>
        <w:left w:val="none" w:sz="0" w:space="0" w:color="auto"/>
        <w:bottom w:val="none" w:sz="0" w:space="0" w:color="auto"/>
        <w:right w:val="none" w:sz="0" w:space="0" w:color="auto"/>
      </w:divBdr>
    </w:div>
    <w:div w:id="174538585">
      <w:bodyDiv w:val="1"/>
      <w:marLeft w:val="0"/>
      <w:marRight w:val="0"/>
      <w:marTop w:val="0"/>
      <w:marBottom w:val="0"/>
      <w:divBdr>
        <w:top w:val="none" w:sz="0" w:space="0" w:color="auto"/>
        <w:left w:val="none" w:sz="0" w:space="0" w:color="auto"/>
        <w:bottom w:val="none" w:sz="0" w:space="0" w:color="auto"/>
        <w:right w:val="none" w:sz="0" w:space="0" w:color="auto"/>
      </w:divBdr>
    </w:div>
    <w:div w:id="754278079">
      <w:bodyDiv w:val="1"/>
      <w:marLeft w:val="0"/>
      <w:marRight w:val="0"/>
      <w:marTop w:val="0"/>
      <w:marBottom w:val="0"/>
      <w:divBdr>
        <w:top w:val="none" w:sz="0" w:space="0" w:color="auto"/>
        <w:left w:val="none" w:sz="0" w:space="0" w:color="auto"/>
        <w:bottom w:val="none" w:sz="0" w:space="0" w:color="auto"/>
        <w:right w:val="none" w:sz="0" w:space="0" w:color="auto"/>
      </w:divBdr>
    </w:div>
    <w:div w:id="1016080387">
      <w:bodyDiv w:val="1"/>
      <w:marLeft w:val="0"/>
      <w:marRight w:val="0"/>
      <w:marTop w:val="0"/>
      <w:marBottom w:val="0"/>
      <w:divBdr>
        <w:top w:val="none" w:sz="0" w:space="0" w:color="auto"/>
        <w:left w:val="none" w:sz="0" w:space="0" w:color="auto"/>
        <w:bottom w:val="none" w:sz="0" w:space="0" w:color="auto"/>
        <w:right w:val="none" w:sz="0" w:space="0" w:color="auto"/>
      </w:divBdr>
    </w:div>
    <w:div w:id="1305887789">
      <w:bodyDiv w:val="1"/>
      <w:marLeft w:val="0"/>
      <w:marRight w:val="0"/>
      <w:marTop w:val="0"/>
      <w:marBottom w:val="0"/>
      <w:divBdr>
        <w:top w:val="none" w:sz="0" w:space="0" w:color="auto"/>
        <w:left w:val="none" w:sz="0" w:space="0" w:color="auto"/>
        <w:bottom w:val="none" w:sz="0" w:space="0" w:color="auto"/>
        <w:right w:val="none" w:sz="0" w:space="0" w:color="auto"/>
      </w:divBdr>
    </w:div>
    <w:div w:id="1853520884">
      <w:bodyDiv w:val="1"/>
      <w:marLeft w:val="0"/>
      <w:marRight w:val="0"/>
      <w:marTop w:val="0"/>
      <w:marBottom w:val="0"/>
      <w:divBdr>
        <w:top w:val="none" w:sz="0" w:space="0" w:color="auto"/>
        <w:left w:val="none" w:sz="0" w:space="0" w:color="auto"/>
        <w:bottom w:val="none" w:sz="0" w:space="0" w:color="auto"/>
        <w:right w:val="none" w:sz="0" w:space="0" w:color="auto"/>
      </w:divBdr>
    </w:div>
    <w:div w:id="2032603320">
      <w:bodyDiv w:val="1"/>
      <w:marLeft w:val="0"/>
      <w:marRight w:val="0"/>
      <w:marTop w:val="0"/>
      <w:marBottom w:val="0"/>
      <w:divBdr>
        <w:top w:val="none" w:sz="0" w:space="0" w:color="auto"/>
        <w:left w:val="none" w:sz="0" w:space="0" w:color="auto"/>
        <w:bottom w:val="none" w:sz="0" w:space="0" w:color="auto"/>
        <w:right w:val="none" w:sz="0" w:space="0" w:color="auto"/>
      </w:divBdr>
    </w:div>
    <w:div w:id="20815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4-rule-law-report-communication-and-country-chapters_nl" TargetMode="External"/><Relationship Id="rId1" Type="http://schemas.openxmlformats.org/officeDocument/2006/relationships/hyperlink" Target="https://www.tweedekamer.nl/zoeken?qry=21501-02-3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830</ap:Words>
  <ap:Characters>4571</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2025-06-11T13:30:00.0000000Z</dcterms:created>
  <dcterms:modified xsi:type="dcterms:W3CDTF">2025-06-11T13:30:00.0000000Z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0x0101009C7CE436063D44E9BE7DC0259EF7C32F006EB9F9836A634AE58B6169785FD3936F003FD5B2F9E986EC4490E3A24B9BD4DE1C</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6e877fe5-aee7-4f91-888c-92964a48fc60</vt:lpwstr>
  </property>
  <property fmtid="{D5CDD505-2E9C-101B-9397-08002B2CF9AE}" pid="8" name="BZClassification">
    <vt:lpwstr>4;#UNCLASSIFIED (U)|284e6a62-15ab-4017-be27-a1e965f4e940</vt:lpwstr>
  </property>
</Properties>
</file>