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6B8E4A6" w14:textId="77777777">
        <w:tc>
          <w:tcPr>
            <w:tcW w:w="6733" w:type="dxa"/>
            <w:gridSpan w:val="2"/>
            <w:tcBorders>
              <w:top w:val="nil"/>
              <w:left w:val="nil"/>
              <w:bottom w:val="nil"/>
              <w:right w:val="nil"/>
            </w:tcBorders>
            <w:vAlign w:val="center"/>
          </w:tcPr>
          <w:p w:rsidR="00997775" w:rsidP="00710A7A" w:rsidRDefault="00997775" w14:paraId="141F35D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C612AF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71279E0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E287544" w14:textId="77777777">
            <w:r w:rsidRPr="008B0CC5">
              <w:t xml:space="preserve">Vergaderjaar </w:t>
            </w:r>
            <w:r w:rsidR="00AC6B87">
              <w:t>2024-2025</w:t>
            </w:r>
          </w:p>
        </w:tc>
      </w:tr>
      <w:tr w:rsidR="00997775" w14:paraId="1991A6D3" w14:textId="77777777">
        <w:trPr>
          <w:cantSplit/>
        </w:trPr>
        <w:tc>
          <w:tcPr>
            <w:tcW w:w="10985" w:type="dxa"/>
            <w:gridSpan w:val="3"/>
            <w:tcBorders>
              <w:top w:val="nil"/>
              <w:left w:val="nil"/>
              <w:bottom w:val="nil"/>
              <w:right w:val="nil"/>
            </w:tcBorders>
          </w:tcPr>
          <w:p w:rsidR="00997775" w:rsidRDefault="00997775" w14:paraId="17E72561" w14:textId="77777777"/>
        </w:tc>
      </w:tr>
      <w:tr w:rsidR="00997775" w14:paraId="03B0FE9F" w14:textId="77777777">
        <w:trPr>
          <w:cantSplit/>
        </w:trPr>
        <w:tc>
          <w:tcPr>
            <w:tcW w:w="10985" w:type="dxa"/>
            <w:gridSpan w:val="3"/>
            <w:tcBorders>
              <w:top w:val="nil"/>
              <w:left w:val="nil"/>
              <w:bottom w:val="single" w:color="auto" w:sz="4" w:space="0"/>
              <w:right w:val="nil"/>
            </w:tcBorders>
          </w:tcPr>
          <w:p w:rsidR="00997775" w:rsidRDefault="00997775" w14:paraId="03B9A30E" w14:textId="77777777"/>
        </w:tc>
      </w:tr>
      <w:tr w:rsidR="00997775" w14:paraId="096E20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24C585" w14:textId="77777777"/>
        </w:tc>
        <w:tc>
          <w:tcPr>
            <w:tcW w:w="7654" w:type="dxa"/>
            <w:gridSpan w:val="2"/>
          </w:tcPr>
          <w:p w:rsidR="00997775" w:rsidRDefault="00997775" w14:paraId="75BA5C26" w14:textId="77777777"/>
        </w:tc>
      </w:tr>
      <w:tr w:rsidR="00997775" w14:paraId="1604AA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332000" w14:paraId="60CFA10E" w14:textId="5C1CDFBF">
            <w:pPr>
              <w:rPr>
                <w:b/>
              </w:rPr>
            </w:pPr>
            <w:r>
              <w:rPr>
                <w:b/>
              </w:rPr>
              <w:t>36 600 VII</w:t>
            </w:r>
          </w:p>
        </w:tc>
        <w:tc>
          <w:tcPr>
            <w:tcW w:w="7654" w:type="dxa"/>
            <w:gridSpan w:val="2"/>
          </w:tcPr>
          <w:p w:rsidRPr="00332000" w:rsidR="00997775" w:rsidP="00A07C71" w:rsidRDefault="00332000" w14:paraId="1862813C" w14:textId="28574674">
            <w:pPr>
              <w:rPr>
                <w:b/>
                <w:bCs/>
              </w:rPr>
            </w:pPr>
            <w:r w:rsidRPr="00332000">
              <w:rPr>
                <w:b/>
                <w:bCs/>
                <w:szCs w:val="24"/>
              </w:rPr>
              <w:t>Vaststelling van de begrotingsstaten van het Ministerie van Binnenlandse Zaken en Koninkrijksrelaties (VII) voor het jaar 2025</w:t>
            </w:r>
          </w:p>
        </w:tc>
      </w:tr>
      <w:tr w:rsidR="00997775" w14:paraId="4AFC60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1CF3B3" w14:textId="77777777"/>
        </w:tc>
        <w:tc>
          <w:tcPr>
            <w:tcW w:w="7654" w:type="dxa"/>
            <w:gridSpan w:val="2"/>
          </w:tcPr>
          <w:p w:rsidR="00997775" w:rsidRDefault="00997775" w14:paraId="0DBDF212" w14:textId="77777777"/>
        </w:tc>
      </w:tr>
      <w:tr w:rsidR="00997775" w14:paraId="613288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0BFECD" w14:textId="77777777"/>
        </w:tc>
        <w:tc>
          <w:tcPr>
            <w:tcW w:w="7654" w:type="dxa"/>
            <w:gridSpan w:val="2"/>
          </w:tcPr>
          <w:p w:rsidR="00997775" w:rsidRDefault="00997775" w14:paraId="1A3AEA13" w14:textId="77777777"/>
        </w:tc>
      </w:tr>
      <w:tr w:rsidR="00997775" w14:paraId="0C4E7A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9B7BC5" w14:textId="68D049EA">
            <w:pPr>
              <w:rPr>
                <w:b/>
              </w:rPr>
            </w:pPr>
            <w:r>
              <w:rPr>
                <w:b/>
              </w:rPr>
              <w:t xml:space="preserve">Nr. </w:t>
            </w:r>
            <w:r w:rsidR="00332000">
              <w:rPr>
                <w:b/>
              </w:rPr>
              <w:t>139</w:t>
            </w:r>
          </w:p>
        </w:tc>
        <w:tc>
          <w:tcPr>
            <w:tcW w:w="7654" w:type="dxa"/>
            <w:gridSpan w:val="2"/>
          </w:tcPr>
          <w:p w:rsidR="00997775" w:rsidRDefault="00997775" w14:paraId="69E83537" w14:textId="06BF7946">
            <w:pPr>
              <w:rPr>
                <w:b/>
              </w:rPr>
            </w:pPr>
            <w:r>
              <w:rPr>
                <w:b/>
              </w:rPr>
              <w:t xml:space="preserve">MOTIE VAN </w:t>
            </w:r>
            <w:r w:rsidR="00332000">
              <w:rPr>
                <w:b/>
              </w:rPr>
              <w:t>HET LID SIX DIJKSTRA</w:t>
            </w:r>
          </w:p>
        </w:tc>
      </w:tr>
      <w:tr w:rsidR="00997775" w14:paraId="1F07B2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BCE7E5" w14:textId="77777777"/>
        </w:tc>
        <w:tc>
          <w:tcPr>
            <w:tcW w:w="7654" w:type="dxa"/>
            <w:gridSpan w:val="2"/>
          </w:tcPr>
          <w:p w:rsidR="00997775" w:rsidP="00280D6A" w:rsidRDefault="00997775" w14:paraId="1F190CAB" w14:textId="5577378D">
            <w:r>
              <w:t>Voorgesteld</w:t>
            </w:r>
            <w:r w:rsidR="00280D6A">
              <w:t xml:space="preserve"> </w:t>
            </w:r>
            <w:r w:rsidR="00332000">
              <w:t>12 juni 2025</w:t>
            </w:r>
          </w:p>
        </w:tc>
      </w:tr>
      <w:tr w:rsidR="00997775" w14:paraId="64235A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610CD3" w14:textId="77777777"/>
        </w:tc>
        <w:tc>
          <w:tcPr>
            <w:tcW w:w="7654" w:type="dxa"/>
            <w:gridSpan w:val="2"/>
          </w:tcPr>
          <w:p w:rsidR="00997775" w:rsidRDefault="00997775" w14:paraId="7735C068" w14:textId="77777777"/>
        </w:tc>
      </w:tr>
      <w:tr w:rsidR="00997775" w14:paraId="26B0D8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448F42" w14:textId="77777777"/>
        </w:tc>
        <w:tc>
          <w:tcPr>
            <w:tcW w:w="7654" w:type="dxa"/>
            <w:gridSpan w:val="2"/>
          </w:tcPr>
          <w:p w:rsidR="00997775" w:rsidRDefault="00997775" w14:paraId="50389B76" w14:textId="77777777">
            <w:r>
              <w:t>De Kamer,</w:t>
            </w:r>
          </w:p>
        </w:tc>
      </w:tr>
      <w:tr w:rsidR="00997775" w14:paraId="2750FC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6CCB21" w14:textId="77777777"/>
        </w:tc>
        <w:tc>
          <w:tcPr>
            <w:tcW w:w="7654" w:type="dxa"/>
            <w:gridSpan w:val="2"/>
          </w:tcPr>
          <w:p w:rsidR="00997775" w:rsidRDefault="00997775" w14:paraId="0DB9ADE6" w14:textId="77777777"/>
        </w:tc>
      </w:tr>
      <w:tr w:rsidR="00997775" w14:paraId="3E33AA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E6A628" w14:textId="77777777"/>
        </w:tc>
        <w:tc>
          <w:tcPr>
            <w:tcW w:w="7654" w:type="dxa"/>
            <w:gridSpan w:val="2"/>
          </w:tcPr>
          <w:p w:rsidR="00997775" w:rsidRDefault="00997775" w14:paraId="738130A2" w14:textId="77777777">
            <w:r>
              <w:t>gehoord de beraadslaging,</w:t>
            </w:r>
          </w:p>
        </w:tc>
      </w:tr>
      <w:tr w:rsidR="00997775" w14:paraId="40EE86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1F7B8F" w14:textId="77777777"/>
        </w:tc>
        <w:tc>
          <w:tcPr>
            <w:tcW w:w="7654" w:type="dxa"/>
            <w:gridSpan w:val="2"/>
          </w:tcPr>
          <w:p w:rsidR="00997775" w:rsidRDefault="00997775" w14:paraId="55D3FF1B" w14:textId="77777777"/>
        </w:tc>
      </w:tr>
      <w:tr w:rsidR="00997775" w14:paraId="08A971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B25D57" w14:textId="77777777"/>
        </w:tc>
        <w:tc>
          <w:tcPr>
            <w:tcW w:w="7654" w:type="dxa"/>
            <w:gridSpan w:val="2"/>
          </w:tcPr>
          <w:p w:rsidR="00332000" w:rsidP="00332000" w:rsidRDefault="00332000" w14:paraId="1D5F474F" w14:textId="77777777">
            <w:pPr>
              <w:pStyle w:val="Geenafstand"/>
            </w:pPr>
            <w:r>
              <w:t>constaterende dat Nederland het enige land in de Europese Unie is waar de Grondwet burgers geen enkele vorm van rechtsbescherming biedt tegen spijkerharde wetten;</w:t>
            </w:r>
          </w:p>
          <w:p w:rsidR="00332000" w:rsidP="00332000" w:rsidRDefault="00332000" w14:paraId="1C5E875C" w14:textId="77777777">
            <w:pPr>
              <w:pStyle w:val="Geenafstand"/>
            </w:pPr>
          </w:p>
          <w:p w:rsidR="00332000" w:rsidP="00332000" w:rsidRDefault="00332000" w14:paraId="6B3F57DF" w14:textId="77777777">
            <w:pPr>
              <w:pStyle w:val="Geenafstand"/>
            </w:pPr>
            <w:r>
              <w:t>constaterende dat er binnen én buiten de politiek al jarenlang brede consensus bestaat over de noodzaak om de Grondwet toetsbaar te maken, zie daarvoor de talloze voorbeelden:</w:t>
            </w:r>
          </w:p>
          <w:p w:rsidR="00332000" w:rsidP="00332000" w:rsidRDefault="00332000" w14:paraId="781AEC5C" w14:textId="77777777">
            <w:pPr>
              <w:pStyle w:val="Geenafstand"/>
              <w:numPr>
                <w:ilvl w:val="0"/>
                <w:numId w:val="2"/>
              </w:numPr>
            </w:pPr>
            <w:r>
              <w:t>in 2000 - de commissie-Franken;</w:t>
            </w:r>
          </w:p>
          <w:p w:rsidR="00332000" w:rsidP="00332000" w:rsidRDefault="00332000" w14:paraId="3BEA8A6C" w14:textId="77777777">
            <w:pPr>
              <w:pStyle w:val="Geenafstand"/>
              <w:numPr>
                <w:ilvl w:val="0"/>
                <w:numId w:val="2"/>
              </w:numPr>
            </w:pPr>
            <w:r>
              <w:t>in 2006 - de Nationale Conventie;</w:t>
            </w:r>
          </w:p>
          <w:p w:rsidR="00332000" w:rsidP="00332000" w:rsidRDefault="00332000" w14:paraId="2FCD1499" w14:textId="77777777">
            <w:pPr>
              <w:pStyle w:val="Geenafstand"/>
              <w:numPr>
                <w:ilvl w:val="0"/>
                <w:numId w:val="2"/>
              </w:numPr>
            </w:pPr>
            <w:r>
              <w:t>in 2010 - de staatscommissie-Thomassen;</w:t>
            </w:r>
          </w:p>
          <w:p w:rsidR="00332000" w:rsidP="00332000" w:rsidRDefault="00332000" w14:paraId="699BF05F" w14:textId="77777777">
            <w:pPr>
              <w:pStyle w:val="Geenafstand"/>
              <w:numPr>
                <w:ilvl w:val="0"/>
                <w:numId w:val="2"/>
              </w:numPr>
            </w:pPr>
            <w:r>
              <w:t>in 2018 - de staatscommissie-Remkes;</w:t>
            </w:r>
          </w:p>
          <w:p w:rsidR="00332000" w:rsidP="00332000" w:rsidRDefault="00332000" w14:paraId="1E614E98" w14:textId="77777777">
            <w:pPr>
              <w:pStyle w:val="Geenafstand"/>
              <w:numPr>
                <w:ilvl w:val="0"/>
                <w:numId w:val="2"/>
              </w:numPr>
            </w:pPr>
            <w:r>
              <w:t>in 2021 - de Venetië-Commissie;</w:t>
            </w:r>
          </w:p>
          <w:p w:rsidR="00332000" w:rsidP="00332000" w:rsidRDefault="00332000" w14:paraId="1610EE25" w14:textId="77777777">
            <w:pPr>
              <w:pStyle w:val="Geenafstand"/>
              <w:numPr>
                <w:ilvl w:val="0"/>
                <w:numId w:val="2"/>
              </w:numPr>
            </w:pPr>
            <w:r>
              <w:t>in 2024 - de Staatscommissie rechtsstaat;</w:t>
            </w:r>
          </w:p>
          <w:p w:rsidR="00332000" w:rsidP="00332000" w:rsidRDefault="00332000" w14:paraId="228CBB83" w14:textId="77777777">
            <w:pPr>
              <w:pStyle w:val="Geenafstand"/>
              <w:numPr>
                <w:ilvl w:val="0"/>
                <w:numId w:val="2"/>
              </w:numPr>
            </w:pPr>
            <w:r>
              <w:t>in 2024 - de parlementaire enquêtecommissie "Blind voor mens en recht", mede naar aanleiding van het toeslagenschandaal;</w:t>
            </w:r>
          </w:p>
          <w:p w:rsidR="00332000" w:rsidP="00332000" w:rsidRDefault="00332000" w14:paraId="2B7DEFB4" w14:textId="77777777">
            <w:pPr>
              <w:pStyle w:val="Geenafstand"/>
            </w:pPr>
          </w:p>
          <w:p w:rsidR="00332000" w:rsidP="00332000" w:rsidRDefault="00332000" w14:paraId="0C0261AA" w14:textId="77777777">
            <w:pPr>
              <w:pStyle w:val="Geenafstand"/>
            </w:pPr>
            <w:r>
              <w:t>constaterende dat het kabinet al een contourennota heeft opgesteld, waarover brede afstemming heeft plaatsgevonden met de gerechtelijke colleges, en dat deze colleges het kabinet hebben aangespoord om vaart te maken;</w:t>
            </w:r>
          </w:p>
          <w:p w:rsidR="00332000" w:rsidP="00332000" w:rsidRDefault="00332000" w14:paraId="4DC66A0F" w14:textId="77777777">
            <w:pPr>
              <w:pStyle w:val="Geenafstand"/>
            </w:pPr>
          </w:p>
          <w:p w:rsidR="00332000" w:rsidP="00332000" w:rsidRDefault="00332000" w14:paraId="52697EC3" w14:textId="77777777">
            <w:pPr>
              <w:pStyle w:val="Geenafstand"/>
            </w:pPr>
            <w:r>
              <w:t>overwegende dat bij een grondwetswijziging op een later moment een tweede lezing zal plaatsvinden, waarin het wijzigingsvoorstel verder wordt behandeld en in stemming wordt gebracht;</w:t>
            </w:r>
          </w:p>
          <w:p w:rsidR="00332000" w:rsidP="00332000" w:rsidRDefault="00332000" w14:paraId="522122DD" w14:textId="77777777">
            <w:pPr>
              <w:pStyle w:val="Geenafstand"/>
            </w:pPr>
          </w:p>
          <w:p w:rsidR="00332000" w:rsidP="00332000" w:rsidRDefault="00332000" w14:paraId="3430EE09" w14:textId="77777777">
            <w:pPr>
              <w:pStyle w:val="Geenafstand"/>
            </w:pPr>
            <w:r>
              <w:t>spreekt uit om de eerste lezing van het wetsvoorstel tot gedeeltelijke opheffing van het toetsingsverbod in artikel 120 Grondwet ten aanzien van de klassieke grondrechten uiterlijk vóór het verkiezingsreces af te ronden, zodat na de verkiezingen de tweede lezing kan plaatsvinden,</w:t>
            </w:r>
          </w:p>
          <w:p w:rsidR="00332000" w:rsidP="00332000" w:rsidRDefault="00332000" w14:paraId="1C8D347E" w14:textId="77777777">
            <w:pPr>
              <w:pStyle w:val="Geenafstand"/>
            </w:pPr>
          </w:p>
          <w:p w:rsidR="00332000" w:rsidP="00332000" w:rsidRDefault="00332000" w14:paraId="54289806" w14:textId="77777777">
            <w:pPr>
              <w:pStyle w:val="Geenafstand"/>
            </w:pPr>
            <w:r>
              <w:t>en gaat over tot de orde van de dag.</w:t>
            </w:r>
          </w:p>
          <w:p w:rsidR="00332000" w:rsidP="00332000" w:rsidRDefault="00332000" w14:paraId="1B9EE18C" w14:textId="77777777">
            <w:pPr>
              <w:pStyle w:val="Geenafstand"/>
            </w:pPr>
          </w:p>
          <w:p w:rsidR="00997775" w:rsidP="00332000" w:rsidRDefault="00332000" w14:paraId="6AB3A40D" w14:textId="393F6B56">
            <w:pPr>
              <w:pStyle w:val="Geenafstand"/>
            </w:pPr>
            <w:r>
              <w:lastRenderedPageBreak/>
              <w:t>Six Dijkstra</w:t>
            </w:r>
          </w:p>
        </w:tc>
      </w:tr>
    </w:tbl>
    <w:p w:rsidR="00997775" w:rsidRDefault="00997775" w14:paraId="6776C8A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7DEC3" w14:textId="77777777" w:rsidR="00332000" w:rsidRDefault="00332000">
      <w:pPr>
        <w:spacing w:line="20" w:lineRule="exact"/>
      </w:pPr>
    </w:p>
  </w:endnote>
  <w:endnote w:type="continuationSeparator" w:id="0">
    <w:p w14:paraId="683E4AE8" w14:textId="77777777" w:rsidR="00332000" w:rsidRDefault="00332000">
      <w:pPr>
        <w:pStyle w:val="Amendement"/>
      </w:pPr>
      <w:r>
        <w:rPr>
          <w:b w:val="0"/>
        </w:rPr>
        <w:t xml:space="preserve"> </w:t>
      </w:r>
    </w:p>
  </w:endnote>
  <w:endnote w:type="continuationNotice" w:id="1">
    <w:p w14:paraId="18AF5330" w14:textId="77777777" w:rsidR="00332000" w:rsidRDefault="003320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7BC72" w14:textId="77777777" w:rsidR="00332000" w:rsidRDefault="00332000">
      <w:pPr>
        <w:pStyle w:val="Amendement"/>
      </w:pPr>
      <w:r>
        <w:rPr>
          <w:b w:val="0"/>
        </w:rPr>
        <w:separator/>
      </w:r>
    </w:p>
  </w:footnote>
  <w:footnote w:type="continuationSeparator" w:id="0">
    <w:p w14:paraId="29A16E15" w14:textId="77777777" w:rsidR="00332000" w:rsidRDefault="00332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BC046F58"/>
    <w:lvl w:ilvl="0" w:tplc="DE785BC6">
      <w:start w:val="1"/>
      <w:numFmt w:val="bullet"/>
      <w:lvlText w:val="·"/>
      <w:lvlJc w:val="left"/>
      <w:pPr>
        <w:tabs>
          <w:tab w:val="num" w:pos="720"/>
        </w:tabs>
        <w:ind w:left="720" w:hanging="360"/>
      </w:pPr>
      <w:rPr>
        <w:rFonts w:ascii="Symbol" w:hAnsi="Symbol" w:hint="default"/>
      </w:rPr>
    </w:lvl>
    <w:lvl w:ilvl="1" w:tplc="4B54510C">
      <w:start w:val="1"/>
      <w:numFmt w:val="bullet"/>
      <w:lvlText w:val="·"/>
      <w:lvlJc w:val="left"/>
      <w:pPr>
        <w:tabs>
          <w:tab w:val="num" w:pos="1440"/>
        </w:tabs>
        <w:ind w:left="1440" w:hanging="360"/>
      </w:pPr>
      <w:rPr>
        <w:rFonts w:ascii="Symbol" w:hAnsi="Symbol" w:hint="default"/>
      </w:rPr>
    </w:lvl>
    <w:lvl w:ilvl="2" w:tplc="959867F0">
      <w:start w:val="1"/>
      <w:numFmt w:val="bullet"/>
      <w:lvlText w:val="·"/>
      <w:lvlJc w:val="left"/>
      <w:pPr>
        <w:tabs>
          <w:tab w:val="num" w:pos="2160"/>
        </w:tabs>
        <w:ind w:left="2160" w:hanging="360"/>
      </w:pPr>
      <w:rPr>
        <w:rFonts w:ascii="Symbol" w:hAnsi="Symbol" w:hint="default"/>
      </w:rPr>
    </w:lvl>
    <w:lvl w:ilvl="3" w:tplc="C82011E4">
      <w:start w:val="1"/>
      <w:numFmt w:val="bullet"/>
      <w:lvlText w:val="·"/>
      <w:lvlJc w:val="left"/>
      <w:pPr>
        <w:tabs>
          <w:tab w:val="num" w:pos="2880"/>
        </w:tabs>
        <w:ind w:left="2880" w:hanging="360"/>
      </w:pPr>
      <w:rPr>
        <w:rFonts w:ascii="Symbol" w:hAnsi="Symbol" w:hint="default"/>
      </w:rPr>
    </w:lvl>
    <w:lvl w:ilvl="4" w:tplc="DAA82078">
      <w:start w:val="1"/>
      <w:numFmt w:val="bullet"/>
      <w:lvlText w:val="·"/>
      <w:lvlJc w:val="left"/>
      <w:pPr>
        <w:tabs>
          <w:tab w:val="num" w:pos="3600"/>
        </w:tabs>
        <w:ind w:left="3600" w:hanging="360"/>
      </w:pPr>
      <w:rPr>
        <w:rFonts w:ascii="Symbol" w:hAnsi="Symbol" w:hint="default"/>
      </w:rPr>
    </w:lvl>
    <w:lvl w:ilvl="5" w:tplc="E3363548">
      <w:start w:val="1"/>
      <w:numFmt w:val="bullet"/>
      <w:lvlText w:val="·"/>
      <w:lvlJc w:val="left"/>
      <w:pPr>
        <w:tabs>
          <w:tab w:val="num" w:pos="4320"/>
        </w:tabs>
        <w:ind w:left="4320" w:hanging="360"/>
      </w:pPr>
      <w:rPr>
        <w:rFonts w:ascii="Symbol" w:hAnsi="Symbol" w:hint="default"/>
      </w:rPr>
    </w:lvl>
    <w:lvl w:ilvl="6" w:tplc="863C3228">
      <w:start w:val="1"/>
      <w:numFmt w:val="bullet"/>
      <w:lvlText w:val="·"/>
      <w:lvlJc w:val="left"/>
      <w:pPr>
        <w:tabs>
          <w:tab w:val="num" w:pos="5040"/>
        </w:tabs>
        <w:ind w:left="5040" w:hanging="360"/>
      </w:pPr>
      <w:rPr>
        <w:rFonts w:ascii="Symbol" w:hAnsi="Symbol" w:hint="default"/>
      </w:rPr>
    </w:lvl>
    <w:lvl w:ilvl="7" w:tplc="AAF0587E">
      <w:start w:val="1"/>
      <w:numFmt w:val="bullet"/>
      <w:lvlText w:val="·"/>
      <w:lvlJc w:val="left"/>
      <w:pPr>
        <w:tabs>
          <w:tab w:val="num" w:pos="5760"/>
        </w:tabs>
        <w:ind w:left="5760" w:hanging="360"/>
      </w:pPr>
      <w:rPr>
        <w:rFonts w:ascii="Symbol" w:hAnsi="Symbol" w:hint="default"/>
      </w:rPr>
    </w:lvl>
    <w:lvl w:ilvl="8" w:tplc="6BEEF280">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A5915E8"/>
    <w:multiLevelType w:val="hybridMultilevel"/>
    <w:tmpl w:val="22D4A6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2728773">
    <w:abstractNumId w:val="0"/>
  </w:num>
  <w:num w:numId="2" w16cid:durableId="2557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00"/>
    <w:rsid w:val="00133FCE"/>
    <w:rsid w:val="001E482C"/>
    <w:rsid w:val="001E4877"/>
    <w:rsid w:val="0021105A"/>
    <w:rsid w:val="00280D6A"/>
    <w:rsid w:val="002B78E9"/>
    <w:rsid w:val="002C5406"/>
    <w:rsid w:val="00330D60"/>
    <w:rsid w:val="00332000"/>
    <w:rsid w:val="00345A5C"/>
    <w:rsid w:val="003F71A1"/>
    <w:rsid w:val="00476415"/>
    <w:rsid w:val="00546F8D"/>
    <w:rsid w:val="00560113"/>
    <w:rsid w:val="00621F64"/>
    <w:rsid w:val="00644DED"/>
    <w:rsid w:val="006765BC"/>
    <w:rsid w:val="00695EDA"/>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3243"/>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CE9FE"/>
  <w15:docId w15:val="{0A7D7C07-D0D6-4C48-830D-B5A56F40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33200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251</ap:Words>
  <ap:Characters>1494</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2025-06-13T09:41:00.0000000Z</dcterms:created>
  <dcterms:modified xsi:type="dcterms:W3CDTF">2025-06-13T10:28:00.0000000Z</dcterms:modified>
  <dc:description>------------------------</dc:description>
  <dc:subject/>
  <keywords/>
  <version/>
  <category/>
</coreProperties>
</file>