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00BC6789" w:rsidTr="002E7769" w14:paraId="623A3071" w14:textId="77777777">
        <w:trPr>
          <w:trHeight w:val="200"/>
        </w:trPr>
        <w:tc>
          <w:tcPr>
            <w:tcW w:w="2440" w:type="dxa"/>
            <w:tcBorders>
              <w:bottom w:val="dotted" w:color="000000" w:sz="6" w:space="0"/>
            </w:tcBorders>
          </w:tcPr>
          <w:p w:rsidR="00BC6789" w:rsidRDefault="00BC6789" w14:paraId="727F9B4F" w14:textId="77777777"/>
        </w:tc>
        <w:tc>
          <w:tcPr>
            <w:tcW w:w="5240" w:type="dxa"/>
            <w:tcBorders>
              <w:bottom w:val="dotted" w:color="000000" w:sz="6" w:space="0"/>
            </w:tcBorders>
          </w:tcPr>
          <w:p w:rsidR="00BC6789" w:rsidRDefault="00BC6789" w14:paraId="24761CC3" w14:textId="77777777"/>
        </w:tc>
      </w:tr>
      <w:tr w:rsidR="00BC6789" w:rsidTr="002E7769" w14:paraId="210EDE8D" w14:textId="77777777">
        <w:trPr>
          <w:trHeight w:val="200"/>
        </w:trPr>
        <w:tc>
          <w:tcPr>
            <w:tcW w:w="2440" w:type="dxa"/>
            <w:tcBorders>
              <w:top w:val="dotted" w:color="000000" w:sz="6" w:space="0"/>
            </w:tcBorders>
          </w:tcPr>
          <w:p w:rsidR="00BC6789" w:rsidRDefault="00BC6789" w14:paraId="6D614374" w14:textId="77777777"/>
        </w:tc>
        <w:tc>
          <w:tcPr>
            <w:tcW w:w="5240" w:type="dxa"/>
            <w:tcBorders>
              <w:top w:val="dotted" w:color="000000" w:sz="6" w:space="0"/>
            </w:tcBorders>
          </w:tcPr>
          <w:p w:rsidR="00BC6789" w:rsidRDefault="00BC6789" w14:paraId="4765A244" w14:textId="77777777"/>
        </w:tc>
      </w:tr>
      <w:tr w:rsidR="00BC6789" w:rsidTr="002E7769" w14:paraId="78BC3A17" w14:textId="77777777">
        <w:trPr>
          <w:trHeight w:val="240"/>
        </w:trPr>
        <w:tc>
          <w:tcPr>
            <w:tcW w:w="2440" w:type="dxa"/>
          </w:tcPr>
          <w:p w:rsidR="00BC6789" w:rsidRDefault="008438E2" w14:paraId="527C8483" w14:textId="77777777">
            <w:pPr>
              <w:pStyle w:val="Referentiegegevens"/>
            </w:pPr>
            <w:r>
              <w:t>Bijlage nummer</w:t>
            </w:r>
          </w:p>
        </w:tc>
        <w:tc>
          <w:tcPr>
            <w:tcW w:w="5240" w:type="dxa"/>
          </w:tcPr>
          <w:p w:rsidR="00BC6789" w:rsidRDefault="00B7568E" w14:paraId="0DF485C3" w14:textId="0C26A6EB">
            <w:r>
              <w:t>4</w:t>
            </w:r>
          </w:p>
        </w:tc>
      </w:tr>
      <w:tr w:rsidR="00BC6789" w:rsidTr="002E7769" w14:paraId="09B61D56" w14:textId="77777777">
        <w:trPr>
          <w:trHeight w:val="240"/>
        </w:trPr>
        <w:tc>
          <w:tcPr>
            <w:tcW w:w="2440" w:type="dxa"/>
          </w:tcPr>
          <w:p w:rsidR="00BC6789" w:rsidRDefault="008438E2" w14:paraId="680D83A8" w14:textId="77777777">
            <w:pPr>
              <w:pStyle w:val="Referentiegegevens"/>
            </w:pPr>
            <w:r>
              <w:t>Horend bij</w:t>
            </w:r>
          </w:p>
        </w:tc>
        <w:tc>
          <w:tcPr>
            <w:tcW w:w="5240" w:type="dxa"/>
          </w:tcPr>
          <w:p w:rsidR="00BC6789" w:rsidRDefault="008438E2" w14:paraId="6980B53F" w14:textId="742D0808">
            <w:r>
              <w:t xml:space="preserve">Eerste </w:t>
            </w:r>
            <w:r w:rsidR="003C0168">
              <w:t>h</w:t>
            </w:r>
            <w:r>
              <w:t>alfjaarbericht</w:t>
            </w:r>
            <w:r w:rsidR="002E7769">
              <w:t xml:space="preserve"> </w:t>
            </w:r>
            <w:r w:rsidR="003C0168">
              <w:t>p</w:t>
            </w:r>
            <w:r w:rsidR="002E7769">
              <w:t>olitie</w:t>
            </w:r>
            <w:r>
              <w:t xml:space="preserve"> 2025</w:t>
            </w:r>
          </w:p>
        </w:tc>
      </w:tr>
      <w:tr w:rsidR="00BC6789" w:rsidTr="002E7769" w14:paraId="1671B565" w14:textId="77777777">
        <w:trPr>
          <w:trHeight w:val="200"/>
        </w:trPr>
        <w:tc>
          <w:tcPr>
            <w:tcW w:w="2440" w:type="dxa"/>
            <w:tcBorders>
              <w:bottom w:val="dotted" w:color="000000" w:sz="6" w:space="0"/>
            </w:tcBorders>
          </w:tcPr>
          <w:p w:rsidR="00BC6789" w:rsidRDefault="00BC6789" w14:paraId="09171CBA" w14:textId="77777777"/>
        </w:tc>
        <w:tc>
          <w:tcPr>
            <w:tcW w:w="5240" w:type="dxa"/>
            <w:tcBorders>
              <w:bottom w:val="dotted" w:color="000000" w:sz="6" w:space="0"/>
            </w:tcBorders>
          </w:tcPr>
          <w:p w:rsidR="00BC6789" w:rsidRDefault="00BC6789" w14:paraId="56B5C5CA" w14:textId="77777777"/>
        </w:tc>
      </w:tr>
      <w:tr w:rsidR="00BC6789" w:rsidTr="002E7769" w14:paraId="669ED2B4" w14:textId="77777777">
        <w:trPr>
          <w:trHeight w:val="200"/>
        </w:trPr>
        <w:tc>
          <w:tcPr>
            <w:tcW w:w="2440" w:type="dxa"/>
          </w:tcPr>
          <w:p w:rsidR="00BC6789" w:rsidRDefault="00BC6789" w14:paraId="2348A375" w14:textId="77777777"/>
        </w:tc>
        <w:tc>
          <w:tcPr>
            <w:tcW w:w="5240" w:type="dxa"/>
          </w:tcPr>
          <w:p w:rsidR="00BC6789" w:rsidRDefault="00BC6789" w14:paraId="34B38916" w14:textId="77777777"/>
        </w:tc>
      </w:tr>
    </w:tbl>
    <w:p w:rsidRPr="002E7769" w:rsidR="002E7769" w:rsidP="002E7769" w:rsidRDefault="002E7769" w14:paraId="6D4FC3C9" w14:textId="77777777">
      <w:pPr>
        <w:pStyle w:val="WitregelW1bodytekst"/>
      </w:pPr>
    </w:p>
    <w:p w:rsidRPr="002E7769" w:rsidR="002E7769" w:rsidP="002E7769" w:rsidRDefault="002E7769" w14:paraId="2816DE52" w14:textId="2C1980AD">
      <w:pPr>
        <w:pStyle w:val="WitregelW1bodytekst"/>
      </w:pPr>
      <w:r w:rsidRPr="002E7769">
        <w:rPr>
          <w:b/>
          <w:bCs/>
        </w:rPr>
        <w:t xml:space="preserve">Inleiding </w:t>
      </w:r>
    </w:p>
    <w:p w:rsidR="00BC6789" w:rsidP="002E7769" w:rsidRDefault="002E7769" w14:paraId="760628B1" w14:textId="504667DD">
      <w:pPr>
        <w:pStyle w:val="WitregelW1bodytekst"/>
      </w:pPr>
      <w:r w:rsidRPr="002E7769">
        <w:t>Criminele</w:t>
      </w:r>
      <w:r w:rsidR="00DA5A4C">
        <w:t>n en hun</w:t>
      </w:r>
      <w:r w:rsidRPr="002E7769">
        <w:t xml:space="preserve"> activiteiten stoppen niet bij de fysieke grenzen van Nederland. Daarom werkt de politie ook op internationaal niveau aan het bestrijden van verschillende criminaliteitsfenomenen zoals mensenhandel, cybercriminaliteit en drugshandel.</w:t>
      </w:r>
      <w:r>
        <w:t xml:space="preserve"> </w:t>
      </w:r>
      <w:r w:rsidRPr="002E7769">
        <w:t>In deze bijlage geef ik een uiteenzetting van de belangrijkste ontwikkelingen</w:t>
      </w:r>
      <w:r w:rsidR="00D26202">
        <w:t xml:space="preserve"> van het afgelopen half jaar </w:t>
      </w:r>
      <w:r w:rsidRPr="002E7769">
        <w:t>binnen het instrumentarium ten behoeve van de internationale</w:t>
      </w:r>
      <w:r w:rsidR="00DA5A4C">
        <w:t xml:space="preserve"> </w:t>
      </w:r>
      <w:r w:rsidRPr="002E7769">
        <w:t>politiesamenwerking.</w:t>
      </w:r>
    </w:p>
    <w:p w:rsidR="00BC6789" w:rsidRDefault="00BC6789" w14:paraId="6553FE51" w14:textId="77777777"/>
    <w:p w:rsidRPr="002E7769" w:rsidR="00B7568E" w:rsidP="00B7568E" w:rsidRDefault="00B7568E" w14:paraId="243132AF" w14:textId="77777777">
      <w:pPr>
        <w:rPr>
          <w:b/>
          <w:bCs/>
        </w:rPr>
      </w:pPr>
      <w:r w:rsidRPr="002E7769">
        <w:rPr>
          <w:b/>
          <w:bCs/>
        </w:rPr>
        <w:t>Politiesamenwerking met en binnen het Caribisch deel van het Koninkrijk</w:t>
      </w:r>
    </w:p>
    <w:p w:rsidRPr="00597388" w:rsidR="00B7568E" w:rsidP="00B7568E" w:rsidRDefault="00B7568E" w14:paraId="0E72236B" w14:textId="7AA546DA">
      <w:r w:rsidRPr="00597388">
        <w:t xml:space="preserve">De intensieve samenwerking tussen de vijf politiekorpsen in het </w:t>
      </w:r>
      <w:r>
        <w:t>K</w:t>
      </w:r>
      <w:r w:rsidRPr="00597388">
        <w:t xml:space="preserve">oninkrijk en het Recherche Samenwerkingsteam (RST) spitst zich voor een belangrijk deel toe op informatie-uitwisseling en intelligence. Het betreft een strategisch project dat </w:t>
      </w:r>
      <w:r>
        <w:t>in</w:t>
      </w:r>
      <w:r w:rsidRPr="00597388">
        <w:t xml:space="preserve"> april plaatsvond onder leiding van het Interinsulair Informatie Coördinatie Platform (IICP).</w:t>
      </w:r>
      <w:r>
        <w:t xml:space="preserve"> </w:t>
      </w:r>
      <w:r w:rsidRPr="00597388">
        <w:t xml:space="preserve">Deze samenwerking kwam weer een grote stap verder met de organisatie van een </w:t>
      </w:r>
      <w:r>
        <w:t xml:space="preserve">zogeheten </w:t>
      </w:r>
      <w:r w:rsidRPr="00597388">
        <w:t xml:space="preserve">War Room in Curaçao. In </w:t>
      </w:r>
      <w:r>
        <w:t>dit project (vooralsnog een pilot)</w:t>
      </w:r>
      <w:r w:rsidRPr="00597388">
        <w:t xml:space="preserve"> bundel</w:t>
      </w:r>
      <w:r>
        <w:t>d</w:t>
      </w:r>
      <w:r w:rsidRPr="00597388">
        <w:t>en naast de politiekorpsen en RST, ook de Koninklijke Marechaussee (</w:t>
      </w:r>
      <w:proofErr w:type="spellStart"/>
      <w:r w:rsidRPr="00597388">
        <w:t>KMar</w:t>
      </w:r>
      <w:proofErr w:type="spellEnd"/>
      <w:r w:rsidRPr="00597388">
        <w:t>) en de Kustwacht hun krachten in de strijd tegen grensoverschrijdende criminaliteit.</w:t>
      </w:r>
      <w:r>
        <w:t xml:space="preserve"> </w:t>
      </w:r>
      <w:r w:rsidRPr="00597388">
        <w:t>De War Room was een fysiek centrum waar informatie-experts en analisten gedurende twee intensieve weken samenwerkten met als doel criminele netwerken die binnen het Koninkrijk opereren te identificeren.</w:t>
      </w:r>
      <w:r>
        <w:t xml:space="preserve"> </w:t>
      </w:r>
      <w:r w:rsidRPr="00597388">
        <w:t>De verzamelde informatie vormt de basis voor interventies of strafrechtelijke onderzoeken. Het project markeert een belangrijke stap naar structurele en duurzame samenwerking in de strijd tegen criminaliteit die de samenleving ondermijnt.</w:t>
      </w:r>
    </w:p>
    <w:p w:rsidR="00B7568E" w:rsidP="00396EAC" w:rsidRDefault="00B7568E" w14:paraId="6DF576FB" w14:textId="77777777">
      <w:pPr>
        <w:rPr>
          <w:b/>
          <w:bCs/>
        </w:rPr>
      </w:pPr>
    </w:p>
    <w:p w:rsidRPr="00977107" w:rsidR="00977107" w:rsidP="00977107" w:rsidRDefault="00977107" w14:paraId="421EB88D" w14:textId="77777777">
      <w:pPr>
        <w:rPr>
          <w:i/>
          <w:iCs/>
        </w:rPr>
      </w:pPr>
      <w:r w:rsidRPr="00977107">
        <w:rPr>
          <w:i/>
          <w:iCs/>
        </w:rPr>
        <w:t>Reactie op bericht “Politie op Bonaire kan 24/7-noodhulp niet meer garanderen”</w:t>
      </w:r>
    </w:p>
    <w:p w:rsidR="00977107" w:rsidP="00977107" w:rsidRDefault="00977107" w14:paraId="2F9ACCFE" w14:textId="77777777">
      <w:r>
        <w:t xml:space="preserve">De vaste commissie voor Justitie en Veiligheid heeft mij op 22 mei 2025 verzocht om een reactie op het bericht “Politie op Bonaire kan 24/7-noodhulp niet meer garanderen”.  </w:t>
      </w:r>
    </w:p>
    <w:p w:rsidR="00977107" w:rsidP="00977107" w:rsidRDefault="00977107" w14:paraId="45D91A43" w14:textId="77777777"/>
    <w:p w:rsidR="00977107" w:rsidP="00977107" w:rsidRDefault="00977107" w14:paraId="60B708F5" w14:textId="78EC5478">
      <w:r>
        <w:t xml:space="preserve">In het mondelinge vragenuur van 20 mei 2025 is door de staatssecretaris Rechtsbescherming op de vragen van het lid </w:t>
      </w:r>
      <w:proofErr w:type="spellStart"/>
      <w:r>
        <w:t>Bruyning</w:t>
      </w:r>
      <w:proofErr w:type="spellEnd"/>
      <w:r>
        <w:t xml:space="preserve"> van uw Kamer naar aanleiding van het genoemde bericht geantwoord. Zoals hij toen namens mij aangaf, herken ik het beeld dat in het artikel geschetst wordt wat betreft de problemen in de structurele bezetting van de afdeling van het Korps Politie Caribisch Nederland (KPCN) die op Bonaire de noodhulp biedt. Deze problematiek is door de Raad voor de Rechtshandhaving gesignaleerd in haar rapporten over de Staat van de rechtshandhaving 2023 en 2024. Als korpsbeheerder van het KPCN sta ik in nauw contact met de korpsleiding. Mijn ministerie onderhoudt dit contact </w:t>
      </w:r>
      <w:r>
        <w:lastRenderedPageBreak/>
        <w:t>permanent en regelmatig houd ik ook zelf de vinger aan de pols. Ik heb tijdens mijn werkbezoek aan KPCN in januari van dit jaar met de korpschef gesproken over de maatregelen die er worden getroffen voor de korte en de lange termijn. Ik ga hierna in op die maatregelen. Met het treffen van deze maatregelen wordt er voor gezorgd dat de noodhulpvoorziening op Bonaire bemenst bleef, ook al was en is de afdeling noodhulp basispolitiezorg zelf onderbezet. Dat laat evenwel onverlet dat de bezetting van het korps onder het gewenste niveau is en dat die omhoog moet. De lange termijnmaatregelen dragen daaraan bij en ik blijf mij ervoor inzetten dat ook in Caribisch Nederland adequate politiezorg wordt geboden. In de Staat van de rechtshandhaving CN 2024 houdt de Raad de hele rechtshandhavingsketen tegen het licht. Ik zal in mijn beleidsreactie op het hele rapport uiteraard ook ingaan op de rol van KPCN in de keten in Caribisch Nederland.</w:t>
      </w:r>
    </w:p>
    <w:p w:rsidR="00977107" w:rsidP="00977107" w:rsidRDefault="00977107" w14:paraId="3D567FE6" w14:textId="77777777"/>
    <w:p w:rsidR="00977107" w:rsidP="00977107" w:rsidRDefault="00977107" w14:paraId="64227A7D" w14:textId="7B4BA923">
      <w:r>
        <w:t xml:space="preserve">Voor de korte termijn wordt voorzien in bemensing voor de noodhulp door mensen van andere afdelingen daarvoor in te zetten. Sinds begin februari </w:t>
      </w:r>
      <w:r w:rsidR="003C0168">
        <w:t xml:space="preserve">van </w:t>
      </w:r>
      <w:r>
        <w:t xml:space="preserve">dit jaar is de basispolitiezorg op Bonaire versterkt met </w:t>
      </w:r>
      <w:r w:rsidR="003C0168">
        <w:t>zeven</w:t>
      </w:r>
      <w:r>
        <w:t xml:space="preserve"> collega’s van de Nederlandse politie en 2 fte van de Koninklijke Marechaussee. Tegelijkertijd zijn </w:t>
      </w:r>
      <w:r w:rsidR="003C0168">
        <w:t>drie</w:t>
      </w:r>
      <w:r>
        <w:t xml:space="preserve"> collega’s van de Nederlandse politie de afdeling opsporing komen versterken. Op deze manier is het aantal mensen dat inzetbaar is voor de noodhulp vergroot en kunnen tevens de negatieve effecten op de mate van overwerk en de capaciteit voor de opsporing worden verminderd. De afspraken over de versterking vanuit de Nederlandse politie betreft vooralsnog de periode februari 2025 tot april 2026 en wordt geleverd in twee clusters van steeds </w:t>
      </w:r>
      <w:r w:rsidR="003C0168">
        <w:t>tien</w:t>
      </w:r>
      <w:r>
        <w:t xml:space="preserve"> politiemensen. De afspraken over de versterking vanuit de Koninklijke Marechaussee betreffen de periode februari 2025 tot februari 2026, waarbij KPCN de Koninklijke Marechaussee op Sint Eustatius en Saba assisteert bij de werkzaamheden aldaar die met name zien op de afhandeling van de grensbewaking tijdens aankomst en afvaart van de ferry. Ik ben verheugd dat de diensten elkaar ondersteunen wanneer de situatie daarom vraagt, wat in de context van Caribisch Nederland ook belangrijk is.</w:t>
      </w:r>
    </w:p>
    <w:p w:rsidR="00977107" w:rsidP="00977107" w:rsidRDefault="00977107" w14:paraId="19C1E9E0" w14:textId="77777777"/>
    <w:p w:rsidR="00977107" w:rsidP="00977107" w:rsidRDefault="00977107" w14:paraId="3F35EF65" w14:textId="1962BCAD">
      <w:r>
        <w:t xml:space="preserve">Reeds in 2023 is een begin gemaakt met de lange termijnoplossingen om de bezetting te verhogen door de werving te intensiveren. Zowel via de weg van directe </w:t>
      </w:r>
      <w:proofErr w:type="spellStart"/>
      <w:r>
        <w:t>zij-instroom</w:t>
      </w:r>
      <w:proofErr w:type="spellEnd"/>
      <w:r>
        <w:t xml:space="preserve"> als door het opleiden van nieuwe politiemensen met de basispolitieopleiding. De klas die in september 2023 op Bonaire gestart is, rondt in september van dit jaar de opleiding af waarmee naar verwachting 20 politiemensen het korps versterken. In 2024 is besloten de opleiding te intensiveren door elk jaar een klas op te leiden. Dit jaar is in februari samen met het Korps Politie Sint Maarten (KPSM) een gecombineerde klas gestart waarin </w:t>
      </w:r>
      <w:r w:rsidR="003C0168">
        <w:t>elf</w:t>
      </w:r>
      <w:r>
        <w:t xml:space="preserve"> aspiranten van KPCN aan hun opleiding zijn begonnen. Begin 2026 is de start van de volgende klas voorzien. Met enige regelmaat worden vacatures ingevuld met reeds ervaren politiemensen, maar het aantal is niet groot. Daar speelt mee dat de arbeidsmarkt voor middelbaar en hoger opgeleiden in Caribisch Nederland in zijn algemeenheid krap is en er in het Caribisch deel van het Koninkrijk een grote vraag is naar mensen in het veiligheidsdomein. Ook de door de Raad aangehaalde lagere arbeidsvoorwaarden van het politiepersoneel in Caribisch Nederland ten opzichte van die van politiepersoneel in Europees Nederland spe</w:t>
      </w:r>
      <w:r w:rsidR="003C0168">
        <w:t>len</w:t>
      </w:r>
      <w:r>
        <w:t xml:space="preserve"> hierbij een rol. Dit vraagstuk heeft de aandacht van de voor de arbeidsvoorwaarden van de Rijksambtenaren BES – waaronder ook de medewerkers van KPCN vallen – </w:t>
      </w:r>
      <w:r>
        <w:lastRenderedPageBreak/>
        <w:t xml:space="preserve">verantwoordelijke Staatssecretaris van Binnenlandse Zaken en Koninkrijksrelaties. Onder begeleiding van de onder hem ressorterende Directeur van de Rijksdienst Caribisch Nederland, die de facto als de formele werkgever van alle Rijksambtenaren BES fungeert, wordt door KPCN, Koninklijke Marechaussee, Brandweerkorps Caribisch Nederland, Justitiële Inrichting Caribisch Nederland en Douane Caribisch Nederland gesproken over verdere samenwerking op Bonaire, Sint Eustatius en Saba.  </w:t>
      </w:r>
    </w:p>
    <w:p w:rsidR="00977107" w:rsidP="00396EAC" w:rsidRDefault="00977107" w14:paraId="2A5143EF" w14:textId="77777777">
      <w:pPr>
        <w:rPr>
          <w:b/>
          <w:bCs/>
        </w:rPr>
      </w:pPr>
    </w:p>
    <w:p w:rsidRPr="00396EAC" w:rsidR="00396EAC" w:rsidP="00396EAC" w:rsidRDefault="00396EAC" w14:paraId="21C6EF88" w14:textId="7D4C2A08">
      <w:pPr>
        <w:rPr>
          <w:b/>
          <w:bCs/>
        </w:rPr>
      </w:pPr>
      <w:r w:rsidRPr="00396EAC">
        <w:rPr>
          <w:b/>
          <w:bCs/>
        </w:rPr>
        <w:t xml:space="preserve">Politiesamenwerking in </w:t>
      </w:r>
      <w:r w:rsidR="00BC4DF5">
        <w:rPr>
          <w:b/>
          <w:bCs/>
        </w:rPr>
        <w:t>EU</w:t>
      </w:r>
      <w:r w:rsidRPr="00396EAC">
        <w:rPr>
          <w:b/>
          <w:bCs/>
        </w:rPr>
        <w:t xml:space="preserve"> verband</w:t>
      </w:r>
    </w:p>
    <w:p w:rsidRPr="00396EAC" w:rsidR="00396EAC" w:rsidP="00396EAC" w:rsidRDefault="00B7568E" w14:paraId="4B8634F7" w14:textId="29E4DCDD">
      <w:r>
        <w:t>Het ministerie van Justitie en Veiligheid</w:t>
      </w:r>
      <w:r w:rsidR="00DA5A4C">
        <w:t xml:space="preserve"> en d</w:t>
      </w:r>
      <w:r w:rsidRPr="00396EAC" w:rsidR="00396EAC">
        <w:t>e politie he</w:t>
      </w:r>
      <w:r w:rsidR="00DA5A4C">
        <w:t>bben</w:t>
      </w:r>
      <w:r w:rsidRPr="00396EAC" w:rsidR="00396EAC">
        <w:t xml:space="preserve"> het afgelopen half jaar in nauwe samenwerking met </w:t>
      </w:r>
      <w:r w:rsidR="00DA5A4C">
        <w:t>(keten)</w:t>
      </w:r>
      <w:r w:rsidRPr="00396EAC" w:rsidR="00396EAC">
        <w:t>partners</w:t>
      </w:r>
      <w:r w:rsidR="00396EAC">
        <w:t xml:space="preserve"> </w:t>
      </w:r>
      <w:r w:rsidRPr="00396EAC" w:rsidR="00396EAC">
        <w:t xml:space="preserve">gewerkt aan inbreng van het politiebelang op de Europese wet- en regelgeving op verschillende dossiers, o.a. informatie-uitwisseling, het tegengaan van pyrotechnische explosieven (zwaar vuurwerk), en andere vormen van grensoverschrijdende samenwerking. </w:t>
      </w:r>
    </w:p>
    <w:p w:rsidRPr="00396EAC" w:rsidR="00396EAC" w:rsidP="00396EAC" w:rsidRDefault="00396EAC" w14:paraId="76AAB9EC" w14:textId="77777777"/>
    <w:p w:rsidRPr="00396EAC" w:rsidR="00396EAC" w:rsidP="00396EAC" w:rsidRDefault="00396EAC" w14:paraId="0EAB9CE8" w14:textId="5CC712F6">
      <w:r w:rsidRPr="00396EAC">
        <w:t xml:space="preserve">In het kader van tegengaan pyrotechnische explosieven heeft de Nederlandse politie een internationale vuurwerkconferentie georganiseerd bij Europol, om de Europese aanpak verder te stimuleren. Daartoe is er eerder een gezamenlijke non-paper met </w:t>
      </w:r>
      <w:r w:rsidR="00F01F2B">
        <w:t xml:space="preserve">Frankrijk </w:t>
      </w:r>
      <w:r w:rsidRPr="00396EAC">
        <w:t>opgesteld</w:t>
      </w:r>
      <w:r w:rsidR="00D26202">
        <w:t xml:space="preserve">, </w:t>
      </w:r>
      <w:r w:rsidRPr="00396EAC">
        <w:t xml:space="preserve">waardoor deze problematiek nu op de Europese agenda staat </w:t>
      </w:r>
      <w:r w:rsidR="00D26202">
        <w:t>e</w:t>
      </w:r>
      <w:r w:rsidRPr="00396EAC">
        <w:t>n in de nieuwe EU Interne Veiligheidsstrategie als prioriteit is aangemerkt</w:t>
      </w:r>
      <w:r>
        <w:t>.</w:t>
      </w:r>
    </w:p>
    <w:p w:rsidRPr="00396EAC" w:rsidR="00396EAC" w:rsidP="00396EAC" w:rsidRDefault="00396EAC" w14:paraId="68AF21A8" w14:textId="77777777"/>
    <w:p w:rsidR="0056029D" w:rsidP="00396EAC" w:rsidRDefault="0056029D" w14:paraId="30EBEF81" w14:textId="63C14B11">
      <w:r>
        <w:t xml:space="preserve">De politie heeft daarnaast in de eerste helft van 2025 een </w:t>
      </w:r>
      <w:r w:rsidRPr="0056029D">
        <w:t xml:space="preserve">strategische plaatsing van een politiefunctionaris bij het DG Migration &amp; Home </w:t>
      </w:r>
      <w:proofErr w:type="spellStart"/>
      <w:r w:rsidRPr="0056029D">
        <w:t>Affairs</w:t>
      </w:r>
      <w:proofErr w:type="spellEnd"/>
      <w:r w:rsidRPr="0056029D">
        <w:t xml:space="preserve"> (DG</w:t>
      </w:r>
      <w:r>
        <w:t xml:space="preserve"> </w:t>
      </w:r>
      <w:r w:rsidRPr="0056029D">
        <w:t>HOME) van de Europese Commissie</w:t>
      </w:r>
      <w:r>
        <w:t xml:space="preserve"> gerealiseerd.</w:t>
      </w:r>
    </w:p>
    <w:p w:rsidR="000C670B" w:rsidP="00396EAC" w:rsidRDefault="000C670B" w14:paraId="4778AF1F" w14:textId="77777777"/>
    <w:p w:rsidR="000C670B" w:rsidP="000C670B" w:rsidRDefault="000C670B" w14:paraId="3A0CC947" w14:textId="77777777">
      <w:r w:rsidRPr="000C670B">
        <w:rPr>
          <w:i/>
          <w:iCs/>
        </w:rPr>
        <w:t>Schengeninformatiesysteem</w:t>
      </w:r>
    </w:p>
    <w:p w:rsidR="000C670B" w:rsidP="000C670B" w:rsidRDefault="000C670B" w14:paraId="17926A82" w14:textId="50224025">
      <w:r>
        <w:t xml:space="preserve">De politie werkt, samen met andere Schengenlanden, hard aan de doorontwikkeling van het Schengeninformatiesysteem (SIS). Het SIS beoogt de afwezigheid van toezicht aan de binnengrenzen van Schengenlanden te ondervangen. Grens-, immigratie-, politie-, douane- en gerechtelijke autoriteiten in (geassocieerde) Schengenlanden kunnen signaleringen van personen en voorwerpen in het Schengeninformatiesysteem invoeren. Deze personen en voorwerpen kunnen vervolgens, wanneer het systeem (geautomatiseerd) wordt geraadpleegd, aangetroffen worden bij grens-, politie- of andersoortige controles. </w:t>
      </w:r>
    </w:p>
    <w:p w:rsidR="000C670B" w:rsidP="000C670B" w:rsidRDefault="000C670B" w14:paraId="670CBC2A" w14:textId="77777777"/>
    <w:p w:rsidR="000C670B" w:rsidP="000C670B" w:rsidRDefault="000C670B" w14:paraId="6E9B8746" w14:textId="1DF9F629">
      <w:r>
        <w:t xml:space="preserve">De invloed van het SIS bij het borgen van veiligheid kan niet overschat worden. Het systeem is </w:t>
      </w:r>
      <w:proofErr w:type="spellStart"/>
      <w:r>
        <w:t>Schengenbreed</w:t>
      </w:r>
      <w:proofErr w:type="spellEnd"/>
      <w:r>
        <w:t xml:space="preserve"> liefst vijftien miljard keer bevraagd in 2024. Nederland is de grootste </w:t>
      </w:r>
      <w:proofErr w:type="spellStart"/>
      <w:r>
        <w:t>bevrager</w:t>
      </w:r>
      <w:proofErr w:type="spellEnd"/>
      <w:r>
        <w:t xml:space="preserve"> van het systeem, met meer dan vier miljard bevragingen. Een groot deel hiervan zijn (geautomatiseerde) bevragingen in het kader van het Automatic </w:t>
      </w:r>
      <w:proofErr w:type="spellStart"/>
      <w:r>
        <w:t>Number</w:t>
      </w:r>
      <w:proofErr w:type="spellEnd"/>
      <w:r>
        <w:t xml:space="preserve"> Plate </w:t>
      </w:r>
      <w:proofErr w:type="spellStart"/>
      <w:r>
        <w:t>Recognition</w:t>
      </w:r>
      <w:proofErr w:type="spellEnd"/>
      <w:r>
        <w:t xml:space="preserve"> (ANPR) systeem. Er zijn in totaal 93,1 miljoen signaleringen ingevoerd in het Schengeninformatiesysteem. Nederland staat met 4,9 miljoen signaleringen op de zesde plek in het rijtje met Schengen (geassocieerde) landen. Er zijn in 2024 </w:t>
      </w:r>
      <w:proofErr w:type="spellStart"/>
      <w:r>
        <w:t>Schengenbreed</w:t>
      </w:r>
      <w:proofErr w:type="spellEnd"/>
      <w:r>
        <w:t xml:space="preserve"> 397.804 hits gerapporteerd. 103.901 hits </w:t>
      </w:r>
      <w:proofErr w:type="spellStart"/>
      <w:r>
        <w:t>i.h.k.v</w:t>
      </w:r>
      <w:proofErr w:type="spellEnd"/>
      <w:r>
        <w:t xml:space="preserve">. een signalering terugkeerbesluit, 73.067 hits </w:t>
      </w:r>
      <w:proofErr w:type="spellStart"/>
      <w:r>
        <w:t>i.h.k.v</w:t>
      </w:r>
      <w:proofErr w:type="spellEnd"/>
      <w:r>
        <w:t xml:space="preserve">. een signalering inreisverbod, 12.212 hits </w:t>
      </w:r>
      <w:proofErr w:type="spellStart"/>
      <w:r>
        <w:t>i.h.k.v</w:t>
      </w:r>
      <w:proofErr w:type="spellEnd"/>
      <w:r>
        <w:t xml:space="preserve">. signalering Europees arrestatiebevel en 13.869 hits </w:t>
      </w:r>
      <w:proofErr w:type="spellStart"/>
      <w:r>
        <w:t>i.h.k.v</w:t>
      </w:r>
      <w:proofErr w:type="spellEnd"/>
      <w:r>
        <w:t xml:space="preserve">. signalering vermiste kinderen en vermiste volwassenen. Dat resulteert in gemiddeld 41 miljoen bevragingen van het systeem per dag, die 1.090 hits per dag opleverden, wat neerkomt op 45 hits per uur. </w:t>
      </w:r>
    </w:p>
    <w:p w:rsidR="000C670B" w:rsidP="000C670B" w:rsidRDefault="000C670B" w14:paraId="5FA17779" w14:textId="77777777"/>
    <w:p w:rsidRPr="00396EAC" w:rsidR="000C670B" w:rsidP="000C670B" w:rsidRDefault="000C670B" w14:paraId="4F2F18A7" w14:textId="247D4188">
      <w:r>
        <w:t xml:space="preserve">Ik blijf me, samen met de politie, in internationaal verband inzetten voor het versterken van de uitwisseling van informatie uit het politie- en grensdomein tussen </w:t>
      </w:r>
      <w:r w:rsidR="001C33A7">
        <w:t>EU</w:t>
      </w:r>
      <w:r>
        <w:t xml:space="preserve"> lidstaten en Schengenlanden.</w:t>
      </w:r>
    </w:p>
    <w:p w:rsidR="00D26202" w:rsidP="00597388" w:rsidRDefault="00D26202" w14:paraId="3F82BCB4" w14:textId="72DE2B81"/>
    <w:p w:rsidRPr="002E7769" w:rsidR="002E7769" w:rsidP="002E7769" w:rsidRDefault="00977107" w14:paraId="5B287C38" w14:textId="69CFBB63">
      <w:pPr>
        <w:rPr>
          <w:b/>
          <w:bCs/>
        </w:rPr>
      </w:pPr>
      <w:r>
        <w:rPr>
          <w:b/>
          <w:bCs/>
        </w:rPr>
        <w:t>Bilaterale en multilaterale</w:t>
      </w:r>
      <w:r w:rsidRPr="002E7769" w:rsidR="002E7769">
        <w:rPr>
          <w:b/>
          <w:bCs/>
        </w:rPr>
        <w:t xml:space="preserve"> politiesamenwerking</w:t>
      </w:r>
    </w:p>
    <w:p w:rsidR="0029723B" w:rsidP="002E7769" w:rsidRDefault="0029723B" w14:paraId="615EA9DF" w14:textId="77777777">
      <w:pPr>
        <w:rPr>
          <w:i/>
          <w:iCs/>
        </w:rPr>
      </w:pPr>
    </w:p>
    <w:p w:rsidRPr="00F54274" w:rsidR="002E7769" w:rsidP="002E7769" w:rsidRDefault="00F54274" w14:paraId="5A9DF032" w14:textId="371FFDF6">
      <w:pPr>
        <w:rPr>
          <w:i/>
          <w:iCs/>
        </w:rPr>
      </w:pPr>
      <w:r>
        <w:rPr>
          <w:i/>
          <w:iCs/>
        </w:rPr>
        <w:t>Memorandum of Understanding V</w:t>
      </w:r>
      <w:r w:rsidR="00F811D3">
        <w:rPr>
          <w:i/>
          <w:iCs/>
        </w:rPr>
        <w:t>erenigd Koninkrijk</w:t>
      </w:r>
    </w:p>
    <w:p w:rsidR="009B28AA" w:rsidP="002E7769" w:rsidRDefault="00817004" w14:paraId="7AC0F4F8" w14:textId="47492B61">
      <w:r w:rsidRPr="00817004">
        <w:t xml:space="preserve">Tijdens het strategische bezoek van de korpschef van de politie en de politiechef van de eenheid Rotterdam (tevens relatiebeheerder VK) aan het VK op 7 </w:t>
      </w:r>
      <w:r>
        <w:t>en</w:t>
      </w:r>
      <w:r w:rsidRPr="00817004">
        <w:t xml:space="preserve"> 8 april werd o.a. een </w:t>
      </w:r>
      <w:r w:rsidRPr="00D26202">
        <w:rPr>
          <w:i/>
          <w:iCs/>
        </w:rPr>
        <w:t>Memorandum of Understanding</w:t>
      </w:r>
      <w:r>
        <w:t xml:space="preserve"> (</w:t>
      </w:r>
      <w:proofErr w:type="spellStart"/>
      <w:r>
        <w:t>MoU</w:t>
      </w:r>
      <w:proofErr w:type="spellEnd"/>
      <w:r>
        <w:t>)</w:t>
      </w:r>
      <w:r w:rsidRPr="00817004">
        <w:t xml:space="preserve"> getekend met de NPCC (National </w:t>
      </w:r>
      <w:proofErr w:type="spellStart"/>
      <w:r w:rsidRPr="00817004">
        <w:t>Police</w:t>
      </w:r>
      <w:proofErr w:type="spellEnd"/>
      <w:r w:rsidRPr="00817004">
        <w:t xml:space="preserve"> </w:t>
      </w:r>
      <w:proofErr w:type="spellStart"/>
      <w:r w:rsidRPr="00817004">
        <w:t>Chief</w:t>
      </w:r>
      <w:r>
        <w:t>s</w:t>
      </w:r>
      <w:proofErr w:type="spellEnd"/>
      <w:r w:rsidRPr="00817004">
        <w:t xml:space="preserve">’ Council). </w:t>
      </w:r>
      <w:r w:rsidRPr="00421C5C">
        <w:rPr>
          <w:lang w:val="en-US"/>
        </w:rPr>
        <w:t xml:space="preserve">Het </w:t>
      </w:r>
      <w:r w:rsidRPr="00396EAC">
        <w:rPr>
          <w:i/>
          <w:iCs/>
          <w:lang w:val="en-GB"/>
        </w:rPr>
        <w:t>MoU for Scientific and Technological Cooperation on advancements to enhance the effectiveness of law enforcement and the security of citizens while safeguarding democratic values, individual freedoms and human rights</w:t>
      </w:r>
      <w:r w:rsidRPr="00421C5C">
        <w:rPr>
          <w:lang w:val="en-US"/>
        </w:rPr>
        <w:t xml:space="preserve"> </w:t>
      </w:r>
      <w:r w:rsidRPr="001C3F19">
        <w:rPr>
          <w:lang w:val="en-US"/>
        </w:rPr>
        <w:t xml:space="preserve">is opgesteld om de (strategische) samenwerking tussen de NL en Britse politie op het gebied van innovatie te consolideren en verder te versterken. </w:t>
      </w:r>
      <w:r w:rsidRPr="001D5124">
        <w:t xml:space="preserve">Het </w:t>
      </w:r>
      <w:proofErr w:type="spellStart"/>
      <w:r w:rsidRPr="001D5124">
        <w:t>MoU</w:t>
      </w:r>
      <w:proofErr w:type="spellEnd"/>
      <w:r w:rsidRPr="001D5124">
        <w:t xml:space="preserve"> vormt het fundament voor een continuering van de reeds bestaande samenwerking.</w:t>
      </w:r>
    </w:p>
    <w:p w:rsidR="00F54274" w:rsidP="002E7769" w:rsidRDefault="00F54274" w14:paraId="2C56C514" w14:textId="77777777"/>
    <w:p w:rsidRPr="00421C5C" w:rsidR="00F54274" w:rsidP="00F54274" w:rsidRDefault="00DD2877" w14:paraId="5FB60D7B" w14:textId="3F2530ED">
      <w:pPr>
        <w:rPr>
          <w:i/>
          <w:iCs/>
          <w:lang w:val="en-US"/>
        </w:rPr>
      </w:pPr>
      <w:proofErr w:type="spellStart"/>
      <w:r w:rsidRPr="00421C5C">
        <w:rPr>
          <w:i/>
          <w:iCs/>
          <w:lang w:val="en-US"/>
        </w:rPr>
        <w:t>Verlenging</w:t>
      </w:r>
      <w:proofErr w:type="spellEnd"/>
      <w:r w:rsidRPr="00421C5C">
        <w:rPr>
          <w:i/>
          <w:iCs/>
          <w:lang w:val="en-US"/>
        </w:rPr>
        <w:t xml:space="preserve"> </w:t>
      </w:r>
      <w:r w:rsidRPr="00421C5C" w:rsidR="00F54274">
        <w:rPr>
          <w:i/>
          <w:iCs/>
          <w:lang w:val="en-US"/>
        </w:rPr>
        <w:t xml:space="preserve">Memorandum of Understanding </w:t>
      </w:r>
      <w:r w:rsidRPr="00421C5C">
        <w:rPr>
          <w:i/>
          <w:iCs/>
          <w:lang w:val="en-US"/>
        </w:rPr>
        <w:t>New York Police Department</w:t>
      </w:r>
    </w:p>
    <w:p w:rsidRPr="00F811D3" w:rsidR="00F811D3" w:rsidP="00F811D3" w:rsidRDefault="00F811D3" w14:paraId="10EEDE0E" w14:textId="3C000A3B">
      <w:r w:rsidRPr="00F811D3">
        <w:t xml:space="preserve">Op 7 maart jl. ondertekenden </w:t>
      </w:r>
      <w:r w:rsidR="00F01F2B">
        <w:t xml:space="preserve">de Nederlandse </w:t>
      </w:r>
      <w:r w:rsidR="00D26202">
        <w:t>k</w:t>
      </w:r>
      <w:r w:rsidRPr="00F811D3">
        <w:t xml:space="preserve">orpschef en </w:t>
      </w:r>
      <w:r w:rsidR="00D26202">
        <w:t>k</w:t>
      </w:r>
      <w:r w:rsidRPr="00F811D3">
        <w:t xml:space="preserve">orpschef van New York </w:t>
      </w:r>
      <w:proofErr w:type="spellStart"/>
      <w:r w:rsidRPr="00F811D3">
        <w:t>Police</w:t>
      </w:r>
      <w:proofErr w:type="spellEnd"/>
      <w:r w:rsidRPr="00F811D3">
        <w:t xml:space="preserve"> </w:t>
      </w:r>
      <w:proofErr w:type="spellStart"/>
      <w:r w:rsidRPr="00F811D3">
        <w:t>Department</w:t>
      </w:r>
      <w:proofErr w:type="spellEnd"/>
      <w:r w:rsidR="00F01F2B">
        <w:t>,</w:t>
      </w:r>
      <w:r w:rsidRPr="00F811D3">
        <w:t xml:space="preserve"> </w:t>
      </w:r>
      <w:r w:rsidR="00F01F2B">
        <w:t xml:space="preserve">mevr. </w:t>
      </w:r>
      <w:proofErr w:type="spellStart"/>
      <w:r w:rsidRPr="00F811D3">
        <w:t>Tisch</w:t>
      </w:r>
      <w:proofErr w:type="spellEnd"/>
      <w:r w:rsidR="00F01F2B">
        <w:t>,</w:t>
      </w:r>
      <w:r w:rsidRPr="00F811D3">
        <w:t xml:space="preserve"> gezamenlijk de verlenging van het al bestaande </w:t>
      </w:r>
      <w:proofErr w:type="spellStart"/>
      <w:r w:rsidRPr="00F811D3">
        <w:t>MoU</w:t>
      </w:r>
      <w:proofErr w:type="spellEnd"/>
      <w:r w:rsidRPr="00F811D3">
        <w:t xml:space="preserve"> om vanuit beide partijen de goede samenwerking en de bereidheid om wederzijds operationele informatie- en kennisuitwisseling te onderstrepen. Op basis van dit </w:t>
      </w:r>
      <w:proofErr w:type="spellStart"/>
      <w:r w:rsidRPr="00F811D3">
        <w:t>MoU</w:t>
      </w:r>
      <w:proofErr w:type="spellEnd"/>
      <w:r w:rsidRPr="00F811D3">
        <w:t xml:space="preserve"> werkt de politie</w:t>
      </w:r>
      <w:r w:rsidR="00D26202">
        <w:t xml:space="preserve"> al</w:t>
      </w:r>
      <w:r w:rsidRPr="00F811D3">
        <w:t xml:space="preserve"> ruim zes jaar samen in de bestrijding van georganiseerde criminaliteit en terrorisme. Het originele </w:t>
      </w:r>
      <w:proofErr w:type="spellStart"/>
      <w:r w:rsidRPr="00F811D3">
        <w:t>MoU</w:t>
      </w:r>
      <w:proofErr w:type="spellEnd"/>
      <w:r w:rsidRPr="00F811D3">
        <w:t xml:space="preserve"> liep in november 2023 af.</w:t>
      </w:r>
    </w:p>
    <w:p w:rsidR="00307046" w:rsidP="002E7769" w:rsidRDefault="00307046" w14:paraId="4B465BAA" w14:textId="77777777"/>
    <w:p w:rsidRPr="00F54274" w:rsidR="00307046" w:rsidP="002E7769" w:rsidRDefault="00F54274" w14:paraId="006C73A0" w14:textId="245DBE19">
      <w:pPr>
        <w:rPr>
          <w:i/>
          <w:iCs/>
        </w:rPr>
      </w:pPr>
      <w:r>
        <w:rPr>
          <w:i/>
          <w:iCs/>
        </w:rPr>
        <w:t xml:space="preserve">Samenwerking </w:t>
      </w:r>
      <w:r w:rsidR="003F4905">
        <w:rPr>
          <w:i/>
          <w:iCs/>
        </w:rPr>
        <w:t>binnen Europa</w:t>
      </w:r>
      <w:r>
        <w:rPr>
          <w:i/>
          <w:iCs/>
        </w:rPr>
        <w:t xml:space="preserve"> bij</w:t>
      </w:r>
      <w:r w:rsidR="003F4905">
        <w:rPr>
          <w:i/>
          <w:iCs/>
        </w:rPr>
        <w:t xml:space="preserve"> de</w:t>
      </w:r>
      <w:r>
        <w:rPr>
          <w:i/>
          <w:iCs/>
        </w:rPr>
        <w:t xml:space="preserve"> aanpak </w:t>
      </w:r>
      <w:r w:rsidR="003F4905">
        <w:rPr>
          <w:i/>
          <w:iCs/>
        </w:rPr>
        <w:t xml:space="preserve">van </w:t>
      </w:r>
      <w:r>
        <w:rPr>
          <w:i/>
          <w:iCs/>
        </w:rPr>
        <w:t>ondermijnende criminaliteit</w:t>
      </w:r>
    </w:p>
    <w:p w:rsidR="009345F5" w:rsidP="002E7769" w:rsidRDefault="00597388" w14:paraId="3B07F89F" w14:textId="221CCC7D">
      <w:r>
        <w:t xml:space="preserve">Ik ga hierbij </w:t>
      </w:r>
      <w:r w:rsidR="003F4905">
        <w:t>specifiek</w:t>
      </w:r>
      <w:r>
        <w:t xml:space="preserve"> in op de samenwerking met buurlanden Duitsland en België bij de aanpak van ondermijnende criminaliteit, naar aanleiding van de toezegging gedaan tijdens het Vragenuur d.d. 11 maart 2025.</w:t>
      </w:r>
      <w:r w:rsidR="00F01F2B">
        <w:rPr>
          <w:rStyle w:val="Voetnootmarkering"/>
        </w:rPr>
        <w:footnoteReference w:id="1"/>
      </w:r>
    </w:p>
    <w:p w:rsidR="003F4905" w:rsidP="00597388" w:rsidRDefault="003F4905" w14:paraId="6AEF9DAE" w14:textId="77777777"/>
    <w:p w:rsidR="003F4905" w:rsidP="003F4905" w:rsidRDefault="003F4905" w14:paraId="4ABC56B6" w14:textId="77777777">
      <w:pPr>
        <w:rPr>
          <w:color w:val="auto"/>
        </w:rPr>
      </w:pPr>
      <w:r>
        <w:rPr>
          <w:color w:val="auto"/>
        </w:rPr>
        <w:t>Met Duitsland en België wordt intensief operationeel samengewerkt. S</w:t>
      </w:r>
      <w:r w:rsidRPr="00307046">
        <w:rPr>
          <w:color w:val="auto"/>
        </w:rPr>
        <w:t xml:space="preserve">tructureel door </w:t>
      </w:r>
      <w:r>
        <w:rPr>
          <w:color w:val="auto"/>
        </w:rPr>
        <w:t xml:space="preserve">de inzet van </w:t>
      </w:r>
      <w:r w:rsidRPr="00307046">
        <w:rPr>
          <w:color w:val="auto"/>
        </w:rPr>
        <w:t xml:space="preserve">grensoverschrijdende politieteams </w:t>
      </w:r>
      <w:r>
        <w:rPr>
          <w:color w:val="auto"/>
        </w:rPr>
        <w:t xml:space="preserve">met Duitsland en gezamenlijke patrouilles en controles met België </w:t>
      </w:r>
      <w:r w:rsidRPr="00307046">
        <w:rPr>
          <w:color w:val="auto"/>
        </w:rPr>
        <w:t>en</w:t>
      </w:r>
      <w:r>
        <w:rPr>
          <w:color w:val="auto"/>
        </w:rPr>
        <w:t xml:space="preserve"> </w:t>
      </w:r>
      <w:r w:rsidRPr="00307046">
        <w:rPr>
          <w:color w:val="auto"/>
        </w:rPr>
        <w:t xml:space="preserve">in </w:t>
      </w:r>
      <w:r>
        <w:rPr>
          <w:color w:val="auto"/>
        </w:rPr>
        <w:t xml:space="preserve">het Euregionaal </w:t>
      </w:r>
      <w:r w:rsidRPr="00307046">
        <w:rPr>
          <w:color w:val="auto"/>
        </w:rPr>
        <w:t xml:space="preserve">politie-informatie-uitwisselingscentrum </w:t>
      </w:r>
      <w:r>
        <w:rPr>
          <w:color w:val="auto"/>
        </w:rPr>
        <w:t>(</w:t>
      </w:r>
      <w:r w:rsidRPr="00307046">
        <w:rPr>
          <w:color w:val="auto"/>
        </w:rPr>
        <w:t>EPICC</w:t>
      </w:r>
      <w:r>
        <w:rPr>
          <w:color w:val="auto"/>
        </w:rPr>
        <w:t xml:space="preserve">). Met België, Frankrijk en Luxemburg (de zgn. </w:t>
      </w:r>
      <w:proofErr w:type="spellStart"/>
      <w:r>
        <w:rPr>
          <w:color w:val="auto"/>
        </w:rPr>
        <w:t>Hazeldonksamenwerking</w:t>
      </w:r>
      <w:proofErr w:type="spellEnd"/>
      <w:r>
        <w:rPr>
          <w:color w:val="auto"/>
        </w:rPr>
        <w:t xml:space="preserve">) worden gezamenlijk drugscontroles uitgevoerd langs de hoofdinfrastructuur en constant gewerkt aan een gezamenlijk </w:t>
      </w:r>
      <w:proofErr w:type="spellStart"/>
      <w:r>
        <w:rPr>
          <w:color w:val="auto"/>
        </w:rPr>
        <w:t>intell</w:t>
      </w:r>
      <w:proofErr w:type="spellEnd"/>
      <w:r>
        <w:rPr>
          <w:color w:val="auto"/>
        </w:rPr>
        <w:t xml:space="preserve">-beeld bij grensoverschrijdende drugsnetwerken. </w:t>
      </w:r>
    </w:p>
    <w:p w:rsidR="003F4905" w:rsidP="003F4905" w:rsidRDefault="003F4905" w14:paraId="365773FC" w14:textId="77777777">
      <w:pPr>
        <w:rPr>
          <w:color w:val="auto"/>
        </w:rPr>
      </w:pPr>
    </w:p>
    <w:p w:rsidR="003F4905" w:rsidP="003F4905" w:rsidRDefault="003F4905" w14:paraId="5DDC94FF" w14:textId="27B0972A">
      <w:pPr>
        <w:rPr>
          <w:color w:val="auto"/>
        </w:rPr>
      </w:pPr>
      <w:r w:rsidRPr="00307046">
        <w:rPr>
          <w:color w:val="auto"/>
        </w:rPr>
        <w:t>De operationele politiesamenwerking met Duitsland is geregeld in het Verdrag van Enschede uit 200</w:t>
      </w:r>
      <w:r>
        <w:rPr>
          <w:color w:val="auto"/>
        </w:rPr>
        <w:t>5</w:t>
      </w:r>
      <w:r w:rsidRPr="00307046">
        <w:rPr>
          <w:color w:val="auto"/>
        </w:rPr>
        <w:t xml:space="preserve">. Hoewel het verdrag voldoet aan de (destijds geformuleerde) operationele benodigdheden voor samenwerking, </w:t>
      </w:r>
      <w:r w:rsidR="00464C60">
        <w:rPr>
          <w:color w:val="auto"/>
        </w:rPr>
        <w:t>heb ik o</w:t>
      </w:r>
      <w:r w:rsidRPr="00307046" w:rsidR="00464C60">
        <w:rPr>
          <w:color w:val="auto"/>
        </w:rPr>
        <w:t xml:space="preserve">p 12 december 2024 </w:t>
      </w:r>
      <w:r w:rsidR="00464C60">
        <w:rPr>
          <w:color w:val="auto"/>
        </w:rPr>
        <w:t xml:space="preserve">met de Duitse minister van Binnenlandse Zaken de intentie uitgesproken om te onderzoeken of </w:t>
      </w:r>
      <w:r>
        <w:rPr>
          <w:color w:val="auto"/>
        </w:rPr>
        <w:t xml:space="preserve">er een </w:t>
      </w:r>
      <w:r w:rsidR="00464C60">
        <w:rPr>
          <w:color w:val="auto"/>
        </w:rPr>
        <w:t xml:space="preserve">noodzaak is </w:t>
      </w:r>
      <w:r>
        <w:rPr>
          <w:color w:val="auto"/>
        </w:rPr>
        <w:t xml:space="preserve">om het verdrag aan te passen aan de huidige </w:t>
      </w:r>
      <w:r>
        <w:rPr>
          <w:color w:val="auto"/>
        </w:rPr>
        <w:lastRenderedPageBreak/>
        <w:t>tijd en de samenwerking te vereenvoudigen.</w:t>
      </w:r>
      <w:r w:rsidR="004711D6">
        <w:rPr>
          <w:rStyle w:val="Voetnootmarkering"/>
          <w:color w:val="auto"/>
        </w:rPr>
        <w:footnoteReference w:id="2"/>
      </w:r>
      <w:r>
        <w:rPr>
          <w:color w:val="auto"/>
        </w:rPr>
        <w:t xml:space="preserve"> De opgedane ervaring voor samenwerking met aangrenzende landen binnen het Benelux-politieverdrag geldt hiervoor als inspiratie.</w:t>
      </w:r>
    </w:p>
    <w:p w:rsidR="003F4905" w:rsidP="003F4905" w:rsidRDefault="003F4905" w14:paraId="724CED33" w14:textId="77777777">
      <w:pPr>
        <w:rPr>
          <w:color w:val="auto"/>
        </w:rPr>
      </w:pPr>
    </w:p>
    <w:p w:rsidR="003F4905" w:rsidP="003F4905" w:rsidRDefault="003F4905" w14:paraId="0C34B351" w14:textId="38B17C45">
      <w:pPr>
        <w:rPr>
          <w:color w:val="auto"/>
        </w:rPr>
      </w:pPr>
      <w:r>
        <w:rPr>
          <w:color w:val="auto"/>
        </w:rPr>
        <w:t xml:space="preserve">Ook </w:t>
      </w:r>
      <w:r w:rsidRPr="00307046">
        <w:rPr>
          <w:color w:val="auto"/>
        </w:rPr>
        <w:t xml:space="preserve">voorziet het </w:t>
      </w:r>
      <w:r>
        <w:rPr>
          <w:color w:val="auto"/>
        </w:rPr>
        <w:t xml:space="preserve">huidige verdrag van Enschede </w:t>
      </w:r>
      <w:r w:rsidRPr="00307046">
        <w:rPr>
          <w:color w:val="auto"/>
        </w:rPr>
        <w:t xml:space="preserve">niet in een grondslag voor grensoverschrijdende inzet van onze speciale interventie-eenheden. </w:t>
      </w:r>
      <w:r>
        <w:rPr>
          <w:color w:val="auto"/>
        </w:rPr>
        <w:t xml:space="preserve">Vanwege de gevoelde urgentie, </w:t>
      </w:r>
      <w:r w:rsidR="00464C60">
        <w:rPr>
          <w:color w:val="auto"/>
        </w:rPr>
        <w:t xml:space="preserve">heb ik in voorgenoemde intentieverklaring </w:t>
      </w:r>
      <w:r>
        <w:rPr>
          <w:color w:val="auto"/>
        </w:rPr>
        <w:t xml:space="preserve">in gezamenlijkheid met Duitsland de intentie uitgesproken om </w:t>
      </w:r>
      <w:r w:rsidR="00464C60">
        <w:rPr>
          <w:color w:val="auto"/>
        </w:rPr>
        <w:t xml:space="preserve">vooruitlopend op een eventuele </w:t>
      </w:r>
      <w:r>
        <w:rPr>
          <w:color w:val="auto"/>
        </w:rPr>
        <w:t xml:space="preserve">brede herziening van het verdrag van Enschede, te komen tot </w:t>
      </w:r>
      <w:r w:rsidRPr="00307046">
        <w:rPr>
          <w:color w:val="auto"/>
        </w:rPr>
        <w:t xml:space="preserve">een verdrag </w:t>
      </w:r>
      <w:r>
        <w:rPr>
          <w:color w:val="auto"/>
        </w:rPr>
        <w:t xml:space="preserve">omtrent </w:t>
      </w:r>
      <w:r w:rsidRPr="00307046">
        <w:rPr>
          <w:color w:val="auto"/>
        </w:rPr>
        <w:t>grensoverschrijdende inzet van speciale interventie-eenheden</w:t>
      </w:r>
      <w:r>
        <w:rPr>
          <w:color w:val="auto"/>
        </w:rPr>
        <w:t xml:space="preserve">. </w:t>
      </w:r>
    </w:p>
    <w:p w:rsidR="00E32A84" w:rsidP="003F4905" w:rsidRDefault="00E32A84" w14:paraId="39A6CE18" w14:textId="77777777">
      <w:pPr>
        <w:rPr>
          <w:color w:val="auto"/>
        </w:rPr>
      </w:pPr>
    </w:p>
    <w:p w:rsidR="004711D6" w:rsidP="004711D6" w:rsidRDefault="004711D6" w14:paraId="777FC0CD" w14:textId="77777777">
      <w:r>
        <w:t xml:space="preserve">Bij de bestrijding van grensoverschrijdende ondermijnende criminaliteit heeft de politie recentelijk het project HAIFINS afgerond. Dit project is een samenwerking met politiediensten uit België, Duitsland en Spanje en met ondersteuning vanuit EUROPOL, </w:t>
      </w:r>
      <w:r w:rsidRPr="004B1C7D">
        <w:t xml:space="preserve">tegen </w:t>
      </w:r>
      <w:proofErr w:type="spellStart"/>
      <w:r w:rsidRPr="00D26202">
        <w:rPr>
          <w:i/>
          <w:iCs/>
        </w:rPr>
        <w:t>criminal</w:t>
      </w:r>
      <w:proofErr w:type="spellEnd"/>
      <w:r w:rsidRPr="00D26202">
        <w:rPr>
          <w:i/>
          <w:iCs/>
        </w:rPr>
        <w:t xml:space="preserve"> underground banking</w:t>
      </w:r>
      <w:r>
        <w:rPr>
          <w:i/>
          <w:iCs/>
        </w:rPr>
        <w:t xml:space="preserve"> </w:t>
      </w:r>
      <w:r w:rsidRPr="004B1C7D">
        <w:t xml:space="preserve">(of </w:t>
      </w:r>
      <w:proofErr w:type="spellStart"/>
      <w:r w:rsidRPr="004B1C7D">
        <w:t>Hawala</w:t>
      </w:r>
      <w:proofErr w:type="spellEnd"/>
      <w:r w:rsidRPr="004B1C7D">
        <w:t xml:space="preserve"> banki</w:t>
      </w:r>
      <w:r>
        <w:t>eren). Dit project heeft geleid tot betere inzichten in deze netwerken en faciliteert operationele samenwerking richting de toekomst.</w:t>
      </w:r>
    </w:p>
    <w:p w:rsidR="004711D6" w:rsidP="00867CB3" w:rsidRDefault="004711D6" w14:paraId="5AA5BF2F" w14:textId="77777777"/>
    <w:p w:rsidRPr="00396EAC" w:rsidR="00867CB3" w:rsidP="00867CB3" w:rsidRDefault="00867CB3" w14:paraId="24D53990" w14:textId="14DE777B">
      <w:r w:rsidRPr="00396EAC">
        <w:t xml:space="preserve">In de aanpak tegen georganiseerde misdaad werkt de Nederlandse politie samen met België, Duitsland, Frankrijk, Italië, Spanje en Zweden samen middels de coalitie van </w:t>
      </w:r>
      <w:r w:rsidR="002B2F86">
        <w:t>zeven</w:t>
      </w:r>
      <w:r w:rsidRPr="00396EAC">
        <w:t xml:space="preserve"> landen tegen georganiseerde criminaliteit, waar Nederland aanjager van is geweest. De Europese Havenalliantie is voor een belangrijk deel geïnspireerd door de reeds bestaande samenwerking tussen Nederland en België.</w:t>
      </w:r>
    </w:p>
    <w:p w:rsidR="00E32A84" w:rsidP="003F4905" w:rsidRDefault="00867CB3" w14:paraId="7C0A13A5" w14:textId="151DA603">
      <w:r>
        <w:t xml:space="preserve">U bent hier nader over geïnformeerd in </w:t>
      </w:r>
      <w:r w:rsidR="00D26202">
        <w:t>de</w:t>
      </w:r>
      <w:r>
        <w:t xml:space="preserve"> </w:t>
      </w:r>
      <w:r w:rsidR="00E32A84">
        <w:t>Halfjaarbrief georganiseerde, ondermijnende criminaliteit</w:t>
      </w:r>
      <w:r>
        <w:t>.</w:t>
      </w:r>
      <w:r w:rsidR="00E32A84">
        <w:rPr>
          <w:rStyle w:val="Voetnootmarkering"/>
        </w:rPr>
        <w:footnoteReference w:id="3"/>
      </w:r>
    </w:p>
    <w:p w:rsidR="004711D6" w:rsidP="003F4905" w:rsidRDefault="004711D6" w14:paraId="2EE67B1B" w14:textId="77777777"/>
    <w:p w:rsidRPr="00307046" w:rsidR="004711D6" w:rsidP="004711D6" w:rsidRDefault="004711D6" w14:paraId="60EDE18B" w14:textId="77777777">
      <w:pPr>
        <w:rPr>
          <w:color w:val="auto"/>
        </w:rPr>
      </w:pPr>
      <w:r>
        <w:rPr>
          <w:color w:val="auto"/>
        </w:rPr>
        <w:t xml:space="preserve">Bij grote evenementen in het buitenland verleent de politie regelmatig bijstand, bijvoorbeeld vorig jaar bij de Olympische Spelen in Parijs. Tegelijkertijd ontvangt de politie op verzoek ook bijstand vanuit het buitenland, zoals bij </w:t>
      </w:r>
      <w:r w:rsidRPr="00307046">
        <w:rPr>
          <w:color w:val="auto"/>
        </w:rPr>
        <w:t>de komende NAVO-top</w:t>
      </w:r>
      <w:r>
        <w:rPr>
          <w:color w:val="auto"/>
        </w:rPr>
        <w:t xml:space="preserve"> in Den Haag</w:t>
      </w:r>
      <w:r w:rsidRPr="00307046">
        <w:rPr>
          <w:color w:val="auto"/>
        </w:rPr>
        <w:t>.</w:t>
      </w:r>
    </w:p>
    <w:p w:rsidR="003F4905" w:rsidP="003F4905" w:rsidRDefault="003F4905" w14:paraId="729CC062" w14:textId="77777777">
      <w:pPr>
        <w:rPr>
          <w:color w:val="auto"/>
        </w:rPr>
      </w:pPr>
    </w:p>
    <w:p w:rsidRPr="00F54274" w:rsidR="005A5962" w:rsidP="002E7769" w:rsidRDefault="005A5962" w14:paraId="129074BF" w14:textId="417109D5">
      <w:pPr>
        <w:rPr>
          <w:i/>
          <w:iCs/>
        </w:rPr>
      </w:pPr>
      <w:r w:rsidRPr="00F54274">
        <w:rPr>
          <w:i/>
          <w:iCs/>
        </w:rPr>
        <w:t>Strategie Internationale Politiesamenwerking West-Afrika</w:t>
      </w:r>
    </w:p>
    <w:p w:rsidR="003F4905" w:rsidP="003F4905" w:rsidRDefault="00033B2D" w14:paraId="0C518318" w14:textId="3B2C832D">
      <w:r>
        <w:t xml:space="preserve">In december 2024 </w:t>
      </w:r>
      <w:r w:rsidR="00464C60">
        <w:t xml:space="preserve">heb ik, samen met de korpschef van politie, </w:t>
      </w:r>
      <w:r>
        <w:t>de Strategie Internationale Politiesamenwerking (IPS) voor West-Afrika vastgesteld</w:t>
      </w:r>
      <w:r w:rsidR="00464C60">
        <w:t>.</w:t>
      </w:r>
      <w:r>
        <w:t xml:space="preserve"> </w:t>
      </w:r>
      <w:r w:rsidRPr="00033B2D">
        <w:t>Het doel van deze strategie is het effectief terugdringen van zware georganiseerde criminaliteit vanuit de regio West-Afrika die impact heeft op Nederland en het hiertoe verwerven van een optimale informatiepositie.</w:t>
      </w:r>
      <w:r w:rsidR="00D26202">
        <w:t xml:space="preserve"> </w:t>
      </w:r>
      <w:r>
        <w:t xml:space="preserve">In de strategie worden de fenomenen geprioriteerd die de grootste dreiging voor Nederland vormen. Ook is focus aangebracht </w:t>
      </w:r>
      <w:r w:rsidR="00BA1A0D">
        <w:t>met</w:t>
      </w:r>
      <w:r>
        <w:t xml:space="preserve"> welke West-Afrikaanse landen </w:t>
      </w:r>
      <w:r w:rsidR="00781E98">
        <w:t>e</w:t>
      </w:r>
      <w:r>
        <w:t xml:space="preserve">n </w:t>
      </w:r>
      <w:r w:rsidR="00B37321">
        <w:t xml:space="preserve">met welke </w:t>
      </w:r>
      <w:r w:rsidRPr="000E0F00">
        <w:t xml:space="preserve">lokale en Westerse partners en internationale organisaties </w:t>
      </w:r>
      <w:r w:rsidRPr="00033B2D">
        <w:t>de politie het meest effectief samenwerking kan zoeken</w:t>
      </w:r>
      <w:r w:rsidR="00B37321">
        <w:t>.</w:t>
      </w:r>
      <w:r w:rsidRPr="00033B2D">
        <w:t xml:space="preserve"> </w:t>
      </w:r>
      <w:r w:rsidR="00B37321">
        <w:t xml:space="preserve">De strategie geeft ook aan welke niet-operationele instrumenten zoals bijvoorbeeld het uitwisselen van kennis en expertise kunnen worden ingezet. Als eerste uitwerking is per januari 2025 een politie Liaison </w:t>
      </w:r>
      <w:proofErr w:type="spellStart"/>
      <w:r w:rsidR="00B37321">
        <w:t>officer</w:t>
      </w:r>
      <w:proofErr w:type="spellEnd"/>
      <w:r w:rsidR="00B37321">
        <w:t xml:space="preserve"> in Ghana geplaatst. </w:t>
      </w:r>
      <w:r w:rsidR="003F4905">
        <w:t xml:space="preserve">De politie zal deze strategie operationeel uitwerken en haar inzet intensiveren op basis van een verbeterde informatiepositie en operationele samenwerkingsverbanden. </w:t>
      </w:r>
    </w:p>
    <w:p w:rsidR="00BC4DF5" w:rsidP="003F4905" w:rsidRDefault="00BC4DF5" w14:paraId="6DDECBA8" w14:textId="77777777"/>
    <w:p w:rsidRPr="00396EAC" w:rsidR="00BC4DF5" w:rsidP="00BC4DF5" w:rsidRDefault="00BC4DF5" w14:paraId="7052467A" w14:textId="3E65C9E9">
      <w:pPr>
        <w:rPr>
          <w:i/>
          <w:iCs/>
        </w:rPr>
      </w:pPr>
      <w:r w:rsidRPr="00396EAC">
        <w:rPr>
          <w:i/>
          <w:iCs/>
        </w:rPr>
        <w:t>V</w:t>
      </w:r>
      <w:r w:rsidR="00977107">
        <w:rPr>
          <w:i/>
          <w:iCs/>
        </w:rPr>
        <w:t>erenigde Naties</w:t>
      </w:r>
    </w:p>
    <w:p w:rsidRPr="00396EAC" w:rsidR="00BC4DF5" w:rsidP="00BC4DF5" w:rsidRDefault="00BC4DF5" w14:paraId="1F669DCC" w14:textId="2D07D690">
      <w:r w:rsidRPr="00396EAC">
        <w:t>D</w:t>
      </w:r>
      <w:r>
        <w:t>e</w:t>
      </w:r>
      <w:r w:rsidRPr="00396EAC">
        <w:t xml:space="preserve"> </w:t>
      </w:r>
      <w:r w:rsidR="009B60CE">
        <w:t>k</w:t>
      </w:r>
      <w:r w:rsidRPr="00396EAC">
        <w:t xml:space="preserve">orpschef van de politie heeft het co-voorzitterschap van het </w:t>
      </w:r>
      <w:r w:rsidRPr="00396EAC">
        <w:rPr>
          <w:i/>
          <w:iCs/>
        </w:rPr>
        <w:t>High-Level Network on Gender-</w:t>
      </w:r>
      <w:proofErr w:type="spellStart"/>
      <w:r w:rsidRPr="00396EAC">
        <w:rPr>
          <w:i/>
          <w:iCs/>
        </w:rPr>
        <w:t>Responsive</w:t>
      </w:r>
      <w:proofErr w:type="spellEnd"/>
      <w:r w:rsidRPr="00396EAC">
        <w:rPr>
          <w:i/>
          <w:iCs/>
        </w:rPr>
        <w:t xml:space="preserve"> </w:t>
      </w:r>
      <w:proofErr w:type="spellStart"/>
      <w:r w:rsidRPr="00396EAC">
        <w:rPr>
          <w:i/>
          <w:iCs/>
        </w:rPr>
        <w:t>Policing</w:t>
      </w:r>
      <w:proofErr w:type="spellEnd"/>
      <w:r w:rsidR="00977107">
        <w:rPr>
          <w:i/>
          <w:iCs/>
        </w:rPr>
        <w:t xml:space="preserve"> </w:t>
      </w:r>
      <w:r w:rsidR="00977107">
        <w:t>van de Verenigde Naties</w:t>
      </w:r>
      <w:r w:rsidRPr="00396EAC">
        <w:rPr>
          <w:i/>
          <w:iCs/>
        </w:rPr>
        <w:t>.</w:t>
      </w:r>
      <w:r w:rsidRPr="00396EAC">
        <w:t xml:space="preserve"> Andere covoorzitters zijn de ministers van Binnenlandse Zaken (met verantwoordelijkheid voor de politie) van Senegal en Chili. Het netwerk groeit gestaag met inmiddels 16 landen. </w:t>
      </w:r>
    </w:p>
    <w:p w:rsidRPr="00396EAC" w:rsidR="00BC4DF5" w:rsidP="00BC4DF5" w:rsidRDefault="00BC4DF5" w14:paraId="3EC06F1B" w14:textId="77777777">
      <w:pPr>
        <w:rPr>
          <w:u w:val="single"/>
        </w:rPr>
      </w:pPr>
    </w:p>
    <w:p w:rsidRPr="00396EAC" w:rsidR="00BC4DF5" w:rsidP="00BC4DF5" w:rsidRDefault="00BC4DF5" w14:paraId="77732A09" w14:textId="77777777">
      <w:pPr>
        <w:rPr>
          <w:i/>
          <w:iCs/>
        </w:rPr>
      </w:pPr>
      <w:r w:rsidRPr="00396EAC">
        <w:rPr>
          <w:i/>
          <w:iCs/>
        </w:rPr>
        <w:t>Raad van Europa</w:t>
      </w:r>
    </w:p>
    <w:p w:rsidRPr="00396EAC" w:rsidR="00BC4DF5" w:rsidP="00BC4DF5" w:rsidRDefault="00BC4DF5" w14:paraId="18208333" w14:textId="77777777">
      <w:pPr>
        <w:rPr>
          <w:u w:val="single"/>
        </w:rPr>
      </w:pPr>
      <w:r w:rsidRPr="00396EAC">
        <w:t xml:space="preserve">De Nederlandse politie is voorzitter van het </w:t>
      </w:r>
      <w:proofErr w:type="spellStart"/>
      <w:r w:rsidRPr="00396EAC">
        <w:rPr>
          <w:i/>
          <w:iCs/>
        </w:rPr>
        <w:t>police</w:t>
      </w:r>
      <w:proofErr w:type="spellEnd"/>
      <w:r w:rsidRPr="00396EAC">
        <w:rPr>
          <w:i/>
          <w:iCs/>
        </w:rPr>
        <w:t xml:space="preserve"> </w:t>
      </w:r>
      <w:proofErr w:type="spellStart"/>
      <w:r w:rsidRPr="00396EAC">
        <w:rPr>
          <w:i/>
          <w:iCs/>
        </w:rPr>
        <w:t>network</w:t>
      </w:r>
      <w:proofErr w:type="spellEnd"/>
      <w:r w:rsidRPr="00396EAC">
        <w:rPr>
          <w:i/>
          <w:iCs/>
        </w:rPr>
        <w:t xml:space="preserve"> conference</w:t>
      </w:r>
      <w:r w:rsidRPr="00396EAC">
        <w:t xml:space="preserve"> van de Raad van Europa met de thema’s huiselijk geweld en </w:t>
      </w:r>
      <w:proofErr w:type="spellStart"/>
      <w:r w:rsidRPr="00396EAC">
        <w:t>femicide</w:t>
      </w:r>
      <w:proofErr w:type="spellEnd"/>
      <w:r w:rsidRPr="00396EAC">
        <w:t>.</w:t>
      </w:r>
    </w:p>
    <w:p w:rsidRPr="00033B2D" w:rsidR="00BC4DF5" w:rsidP="003F4905" w:rsidRDefault="00BC4DF5" w14:paraId="57298EA5" w14:textId="77777777"/>
    <w:p w:rsidRPr="002E7769" w:rsidR="002E7769" w:rsidP="002E7769" w:rsidRDefault="002E7769" w14:paraId="3156F9AF" w14:textId="4D92F744">
      <w:pPr>
        <w:rPr>
          <w:b/>
          <w:bCs/>
        </w:rPr>
      </w:pPr>
      <w:r w:rsidRPr="002E7769">
        <w:rPr>
          <w:b/>
          <w:bCs/>
        </w:rPr>
        <w:t>Politiële bijdragen aan missies</w:t>
      </w:r>
    </w:p>
    <w:p w:rsidR="00F74237" w:rsidP="0029723B" w:rsidRDefault="00F74237" w14:paraId="05206BF1" w14:textId="6B75E4DD">
      <w:r w:rsidRPr="00DD4307">
        <w:t xml:space="preserve">Samen met de korpschef werk ik aan de </w:t>
      </w:r>
      <w:r>
        <w:t xml:space="preserve">beleidsmatige en operationele </w:t>
      </w:r>
      <w:r w:rsidRPr="00DD4307">
        <w:t xml:space="preserve">doorontwikkeling van </w:t>
      </w:r>
      <w:r>
        <w:t>de</w:t>
      </w:r>
      <w:r w:rsidRPr="00DD4307">
        <w:t xml:space="preserve"> </w:t>
      </w:r>
      <w:r>
        <w:t xml:space="preserve">uitzending van politiefunctionarissen naar conflictgebieden. De Nederlandse politie kan </w:t>
      </w:r>
      <w:r w:rsidR="00977107">
        <w:t>bogen op</w:t>
      </w:r>
      <w:r>
        <w:t xml:space="preserve"> een uitstekende internationale reputatie. Onze kennis, kunde en expertise is internationaal gewild. Die stellen we dan ook graag wereldwijd ter beschikking</w:t>
      </w:r>
      <w:r w:rsidR="00C13967">
        <w:t xml:space="preserve">, in lijn met de </w:t>
      </w:r>
      <w:r w:rsidR="00EA4115">
        <w:t xml:space="preserve">eerder door dit kabinet gestelde </w:t>
      </w:r>
      <w:r w:rsidR="00C13967">
        <w:t>kaders voor internationale inzet van Nederlandse militairen, civiele experts en politiefunctionarissen.</w:t>
      </w:r>
      <w:r w:rsidR="00C13967">
        <w:rPr>
          <w:rStyle w:val="Voetnootmarkering"/>
        </w:rPr>
        <w:footnoteReference w:id="4"/>
      </w:r>
      <w:r>
        <w:t xml:space="preserve"> </w:t>
      </w:r>
      <w:r w:rsidR="00EA4115">
        <w:t>Dit doen we door</w:t>
      </w:r>
      <w:r>
        <w:t xml:space="preserve"> </w:t>
      </w:r>
      <w:r w:rsidR="00337F73">
        <w:t>te trachten bij te dragen aan internationale</w:t>
      </w:r>
      <w:r>
        <w:t xml:space="preserve"> stabiliteit (o.a. in </w:t>
      </w:r>
      <w:r w:rsidR="00BC4DF5">
        <w:t>Georgië</w:t>
      </w:r>
      <w:r>
        <w:t xml:space="preserve">), </w:t>
      </w:r>
      <w:r w:rsidR="00EA4115">
        <w:t>door</w:t>
      </w:r>
      <w:r>
        <w:t xml:space="preserve"> te ondersteunen bij het versterken van de lokale veiligheidssector (o.a. in Oekraïne, </w:t>
      </w:r>
      <w:r w:rsidR="00464C60">
        <w:t xml:space="preserve">Westelijke Balkan, </w:t>
      </w:r>
      <w:r>
        <w:t xml:space="preserve">Irak) en </w:t>
      </w:r>
      <w:r w:rsidR="00EA4115">
        <w:t>door</w:t>
      </w:r>
      <w:r>
        <w:t xml:space="preserve"> lokale politiecapaciteiten te trainen in het kader van (grensoverschrijdende) criminaliteitsbestrijding (o.a. in </w:t>
      </w:r>
      <w:r w:rsidR="00464C60">
        <w:t xml:space="preserve">Libië, </w:t>
      </w:r>
      <w:r>
        <w:t xml:space="preserve">Mali, Ghana). </w:t>
      </w:r>
      <w:r w:rsidRPr="00F3221B" w:rsidR="00406C04">
        <w:rPr>
          <w:bCs/>
        </w:rPr>
        <w:t>Een reguliere uitzending naar een missie duurt in beginsel één jaar. Deze periode kan</w:t>
      </w:r>
      <w:r w:rsidR="00406C04">
        <w:rPr>
          <w:bCs/>
        </w:rPr>
        <w:t xml:space="preserve"> (in beginsel)</w:t>
      </w:r>
      <w:r w:rsidRPr="00F3221B" w:rsidR="00406C04">
        <w:rPr>
          <w:bCs/>
        </w:rPr>
        <w:t xml:space="preserve"> met maximaal één jaar verlengd worden. De uitzending van politiepersoneel naar een missie kan daarnaast ook op basis van kortdurende inzet plaatsvinden.</w:t>
      </w:r>
      <w:r w:rsidR="00406C04">
        <w:rPr>
          <w:bCs/>
        </w:rPr>
        <w:t xml:space="preserve"> Zo is er recentelijk een politiefunctionaris als </w:t>
      </w:r>
      <w:proofErr w:type="spellStart"/>
      <w:r w:rsidR="00406C04">
        <w:rPr>
          <w:bCs/>
          <w:i/>
          <w:iCs/>
        </w:rPr>
        <w:t>Visiting</w:t>
      </w:r>
      <w:proofErr w:type="spellEnd"/>
      <w:r w:rsidR="00406C04">
        <w:rPr>
          <w:bCs/>
          <w:i/>
          <w:iCs/>
        </w:rPr>
        <w:t xml:space="preserve"> Expert </w:t>
      </w:r>
      <w:r w:rsidR="00406C04">
        <w:rPr>
          <w:bCs/>
        </w:rPr>
        <w:t xml:space="preserve">naar Oekraïne afgereisd, om te adviseren over internationale misdrijven tegen cultureel erfgoed. </w:t>
      </w:r>
    </w:p>
    <w:p w:rsidR="00F74237" w:rsidP="0029723B" w:rsidRDefault="00F74237" w14:paraId="47D9C17C" w14:textId="77777777"/>
    <w:p w:rsidR="00F74237" w:rsidP="0029723B" w:rsidRDefault="00406C04" w14:paraId="4D044DE5" w14:textId="532C9DDC">
      <w:r>
        <w:t xml:space="preserve">Steeds nadrukkelijker wordt de verbinding gelegd tussen </w:t>
      </w:r>
      <w:r w:rsidR="00D6313F">
        <w:t xml:space="preserve">de bestrijding van (grensoverschrijdende) criminaliteit, </w:t>
      </w:r>
      <w:r w:rsidR="00F74237">
        <w:t xml:space="preserve">één van de kerntaken van de politie, en het uitzenden van politiefunctionarissen naar conflictgebieden. Deze uitgezonden politiefunctionarissen verkeren bij uitstek in de positie om, binnen de geldende juridische kaders, een brugfunctie te vervullen richting de informatieorganisatie van de politie. Zij zijn immers werkzaam in gebieden waar de politie traditioneel minder ogen en oren heeft. Dat maakt hun positionering van grote waarde. </w:t>
      </w:r>
    </w:p>
    <w:p w:rsidR="00F74237" w:rsidP="0029723B" w:rsidRDefault="00F74237" w14:paraId="392D22FB" w14:textId="77777777"/>
    <w:p w:rsidR="00F74237" w:rsidP="0029723B" w:rsidRDefault="00F74237" w14:paraId="13A3DA64" w14:textId="2880656A">
      <w:r>
        <w:t>Ik maak me daarom sterk voor het versterken van de samenhang tussen de bestrijding van (grensoverschrijdende) criminaliteit en de uitzending van politiepersoneel, onder andere door uitzendingen</w:t>
      </w:r>
      <w:r w:rsidR="00EA4115">
        <w:t xml:space="preserve"> in toenemende mate</w:t>
      </w:r>
      <w:r>
        <w:t xml:space="preserve"> te prioriteren in conflictgebieden waar een criminaliteitsrelatie met Nederland bestaat en door modulaire capaciteit aan missies ter beschikking te stellen op voor Nederland prioritaire criminaliteitsfenomenen.</w:t>
      </w:r>
      <w:r>
        <w:rPr>
          <w:rStyle w:val="Voetnootmarkering"/>
        </w:rPr>
        <w:footnoteReference w:id="5"/>
      </w:r>
    </w:p>
    <w:p w:rsidR="00F74237" w:rsidP="0029723B" w:rsidRDefault="00F74237" w14:paraId="0FFDF4B0" w14:textId="77777777"/>
    <w:p w:rsidRPr="00DD4307" w:rsidR="00F74237" w:rsidP="0029723B" w:rsidRDefault="00F74237" w14:paraId="1CA0CCEC" w14:textId="72C5B4F3">
      <w:r>
        <w:lastRenderedPageBreak/>
        <w:t>Het uitzenden van politiefunctionarissen blijft tegelijkertijd een internationaal instrument. Het is derhalve van belang om ook dat andere belangrijke</w:t>
      </w:r>
      <w:r w:rsidR="00464C60">
        <w:t xml:space="preserve">, </w:t>
      </w:r>
      <w:r w:rsidR="00977107">
        <w:t>g</w:t>
      </w:r>
      <w:r w:rsidR="00464C60">
        <w:t>rondwettelijk vastgelegde</w:t>
      </w:r>
      <w:r>
        <w:t xml:space="preserve"> doel waar de uitzending van politiefunctionarissen aan bijdraagt niet uit het oog te verliezen: het bevorderen van de internationale rechtsorde. Deze staat meer dan ooit onder druk. De oorlog in Oekraïne, de </w:t>
      </w:r>
      <w:r w:rsidR="001D5124">
        <w:t xml:space="preserve">zorgelijke situatie </w:t>
      </w:r>
      <w:r>
        <w:t xml:space="preserve">in de Palestijnse gebieden en toenemende spanningen op de Westelijke Balkan zijn wat dat betreft illustratief en onderstrepen het belang van </w:t>
      </w:r>
      <w:r>
        <w:rPr>
          <w:i/>
          <w:iCs/>
        </w:rPr>
        <w:t>commitment</w:t>
      </w:r>
      <w:r>
        <w:t xml:space="preserve">. Dit </w:t>
      </w:r>
      <w:r>
        <w:rPr>
          <w:i/>
          <w:iCs/>
        </w:rPr>
        <w:t xml:space="preserve">commitment </w:t>
      </w:r>
      <w:r>
        <w:t xml:space="preserve">blijven wij de aankomende tijd wereldwijd uitdragen, door middel van bescheiden bijdragen, binnen de mogelijkheden die de politieorganisatie ons biedt. </w:t>
      </w:r>
    </w:p>
    <w:p w:rsidR="004F05FF" w:rsidP="0022476B" w:rsidRDefault="004F05FF" w14:paraId="22CB69A6" w14:textId="77777777"/>
    <w:p w:rsidR="00AD2A70" w:rsidP="00F74237" w:rsidRDefault="00AD2A70" w14:paraId="2A16ED1A" w14:textId="277B9B0C">
      <w:pPr>
        <w:rPr>
          <w:i/>
          <w:iCs/>
        </w:rPr>
      </w:pPr>
      <w:r>
        <w:rPr>
          <w:i/>
          <w:iCs/>
        </w:rPr>
        <w:t xml:space="preserve">Overzicht uitgezonden politiefunctionarissen (peildatum </w:t>
      </w:r>
      <w:r w:rsidR="0021709F">
        <w:rPr>
          <w:i/>
          <w:iCs/>
        </w:rPr>
        <w:t>14 mei</w:t>
      </w:r>
      <w:r>
        <w:rPr>
          <w:i/>
          <w:iCs/>
        </w:rPr>
        <w:t xml:space="preserve"> 2025)</w:t>
      </w:r>
    </w:p>
    <w:p w:rsidR="00AD2A70" w:rsidP="00F74237" w:rsidRDefault="00AD2A70" w14:paraId="29BD856F" w14:textId="77777777">
      <w:pPr>
        <w:rPr>
          <w:i/>
          <w:iCs/>
        </w:rPr>
      </w:pPr>
    </w:p>
    <w:tbl>
      <w:tblPr>
        <w:tblStyle w:val="Tabelraster"/>
        <w:tblW w:w="0" w:type="auto"/>
        <w:tblInd w:w="0" w:type="dxa"/>
        <w:tblLook w:val="04A0" w:firstRow="1" w:lastRow="0" w:firstColumn="1" w:lastColumn="0" w:noHBand="0" w:noVBand="1"/>
      </w:tblPr>
      <w:tblGrid>
        <w:gridCol w:w="3765"/>
        <w:gridCol w:w="3766"/>
      </w:tblGrid>
      <w:tr w:rsidR="00AD2A70" w:rsidTr="00AD2A70" w14:paraId="506B0AE0" w14:textId="77777777">
        <w:tc>
          <w:tcPr>
            <w:tcW w:w="3765" w:type="dxa"/>
          </w:tcPr>
          <w:p w:rsidRPr="00F46B62" w:rsidR="00AD2A70" w:rsidP="00F74237" w:rsidRDefault="00AD2A70" w14:paraId="2BE54E9D" w14:textId="0206EA81">
            <w:pPr>
              <w:rPr>
                <w:b/>
                <w:bCs/>
              </w:rPr>
            </w:pPr>
            <w:r w:rsidRPr="00F46B62">
              <w:rPr>
                <w:b/>
                <w:bCs/>
              </w:rPr>
              <w:t>Missienaam</w:t>
            </w:r>
          </w:p>
        </w:tc>
        <w:tc>
          <w:tcPr>
            <w:tcW w:w="3766" w:type="dxa"/>
          </w:tcPr>
          <w:p w:rsidRPr="00F46B62" w:rsidR="00AD2A70" w:rsidP="00F74237" w:rsidRDefault="00F46B62" w14:paraId="1705B12F" w14:textId="2760D2FE">
            <w:pPr>
              <w:rPr>
                <w:b/>
                <w:bCs/>
              </w:rPr>
            </w:pPr>
            <w:r>
              <w:rPr>
                <w:b/>
                <w:bCs/>
              </w:rPr>
              <w:t>Aantal uitgezonden politiefunctionarissen</w:t>
            </w:r>
          </w:p>
        </w:tc>
      </w:tr>
      <w:tr w:rsidR="00AD2A70" w:rsidTr="00AD2A70" w14:paraId="0CD2CB88" w14:textId="77777777">
        <w:tc>
          <w:tcPr>
            <w:tcW w:w="3765" w:type="dxa"/>
          </w:tcPr>
          <w:p w:rsidRPr="00F46B62" w:rsidR="00AD2A70" w:rsidP="00F74237" w:rsidRDefault="00AD2A70" w14:paraId="358D130F" w14:textId="45B4D8DC">
            <w:r w:rsidRPr="00F46B62">
              <w:t>OVSE Westelijke Balkan</w:t>
            </w:r>
          </w:p>
        </w:tc>
        <w:tc>
          <w:tcPr>
            <w:tcW w:w="3766" w:type="dxa"/>
          </w:tcPr>
          <w:p w:rsidRPr="00F46B62" w:rsidR="00AD2A70" w:rsidP="00F74237" w:rsidRDefault="00AD2A70" w14:paraId="0020FE92" w14:textId="4847EDD8">
            <w:r w:rsidRPr="00F46B62">
              <w:t>1</w:t>
            </w:r>
          </w:p>
        </w:tc>
      </w:tr>
      <w:tr w:rsidR="00AD2A70" w:rsidTr="00AD2A70" w14:paraId="0A5782D3" w14:textId="77777777">
        <w:tc>
          <w:tcPr>
            <w:tcW w:w="3765" w:type="dxa"/>
          </w:tcPr>
          <w:p w:rsidRPr="00F46B62" w:rsidR="00AD2A70" w:rsidP="00F74237" w:rsidRDefault="00AD2A70" w14:paraId="0DD6E57F" w14:textId="2232D928">
            <w:r w:rsidRPr="00F46B62">
              <w:t>EULEX Kosovo</w:t>
            </w:r>
          </w:p>
        </w:tc>
        <w:tc>
          <w:tcPr>
            <w:tcW w:w="3766" w:type="dxa"/>
          </w:tcPr>
          <w:p w:rsidRPr="00F46B62" w:rsidR="00AD2A70" w:rsidP="00F74237" w:rsidRDefault="00AD2A70" w14:paraId="082EE6C3" w14:textId="051B2887">
            <w:r w:rsidRPr="00F46B62">
              <w:t>3</w:t>
            </w:r>
          </w:p>
        </w:tc>
      </w:tr>
      <w:tr w:rsidR="00AD2A70" w:rsidTr="00AD2A70" w14:paraId="348A763C" w14:textId="77777777">
        <w:tc>
          <w:tcPr>
            <w:tcW w:w="3765" w:type="dxa"/>
          </w:tcPr>
          <w:p w:rsidRPr="00F46B62" w:rsidR="00AD2A70" w:rsidP="00F74237" w:rsidRDefault="00AD2A70" w14:paraId="5A42886B" w14:textId="3D4D0C72">
            <w:r w:rsidRPr="00F46B62">
              <w:t>EUMM Georgië</w:t>
            </w:r>
          </w:p>
        </w:tc>
        <w:tc>
          <w:tcPr>
            <w:tcW w:w="3766" w:type="dxa"/>
          </w:tcPr>
          <w:p w:rsidRPr="00F46B62" w:rsidR="00AD2A70" w:rsidP="00F74237" w:rsidRDefault="0021709F" w14:paraId="45785610" w14:textId="102B7DF8">
            <w:r>
              <w:t>4</w:t>
            </w:r>
          </w:p>
        </w:tc>
      </w:tr>
      <w:tr w:rsidR="00AD2A70" w:rsidTr="00AD2A70" w14:paraId="2D2E23CA" w14:textId="77777777">
        <w:tc>
          <w:tcPr>
            <w:tcW w:w="3765" w:type="dxa"/>
          </w:tcPr>
          <w:p w:rsidRPr="00F46B62" w:rsidR="00AD2A70" w:rsidP="00F74237" w:rsidRDefault="00AD2A70" w14:paraId="3EE6AE25" w14:textId="351DADC9">
            <w:r w:rsidRPr="00F46B62">
              <w:t>EUMA Armenië</w:t>
            </w:r>
          </w:p>
        </w:tc>
        <w:tc>
          <w:tcPr>
            <w:tcW w:w="3766" w:type="dxa"/>
          </w:tcPr>
          <w:p w:rsidRPr="00F46B62" w:rsidR="00AD2A70" w:rsidP="00F74237" w:rsidRDefault="00F811D3" w14:paraId="32B38CD2" w14:textId="73DA7292">
            <w:r>
              <w:t>6</w:t>
            </w:r>
          </w:p>
        </w:tc>
      </w:tr>
      <w:tr w:rsidR="00F46B62" w:rsidTr="00AD2A70" w14:paraId="016B7906" w14:textId="77777777">
        <w:tc>
          <w:tcPr>
            <w:tcW w:w="3765" w:type="dxa"/>
          </w:tcPr>
          <w:p w:rsidRPr="00F46B62" w:rsidR="00F46B62" w:rsidP="00F74237" w:rsidRDefault="00F46B62" w14:paraId="1E9F5589" w14:textId="6DA66951">
            <w:r w:rsidRPr="00F46B62">
              <w:t>EUAM Oekraïne</w:t>
            </w:r>
          </w:p>
        </w:tc>
        <w:tc>
          <w:tcPr>
            <w:tcW w:w="3766" w:type="dxa"/>
          </w:tcPr>
          <w:p w:rsidRPr="00F46B62" w:rsidR="00F46B62" w:rsidP="00F74237" w:rsidRDefault="00F46B62" w14:paraId="61A13B44" w14:textId="1B226B5D">
            <w:r w:rsidRPr="00F46B62">
              <w:t>3</w:t>
            </w:r>
          </w:p>
        </w:tc>
      </w:tr>
      <w:tr w:rsidR="00F46B62" w:rsidTr="00AD2A70" w14:paraId="61013408" w14:textId="77777777">
        <w:tc>
          <w:tcPr>
            <w:tcW w:w="3765" w:type="dxa"/>
          </w:tcPr>
          <w:p w:rsidRPr="00F46B62" w:rsidR="00F46B62" w:rsidP="00F74237" w:rsidRDefault="00F46B62" w14:paraId="38DEE2E9" w14:textId="1C6A1EAB">
            <w:r w:rsidRPr="00F46B62">
              <w:t>EUCAP Somalië</w:t>
            </w:r>
          </w:p>
        </w:tc>
        <w:tc>
          <w:tcPr>
            <w:tcW w:w="3766" w:type="dxa"/>
          </w:tcPr>
          <w:p w:rsidRPr="00F46B62" w:rsidR="00F46B62" w:rsidP="00F74237" w:rsidRDefault="00F46B62" w14:paraId="59B3C7B4" w14:textId="6A713219">
            <w:r w:rsidRPr="00F46B62">
              <w:t>3</w:t>
            </w:r>
          </w:p>
        </w:tc>
      </w:tr>
      <w:tr w:rsidR="00F46B62" w:rsidTr="00AD2A70" w14:paraId="1B20C94B" w14:textId="77777777">
        <w:tc>
          <w:tcPr>
            <w:tcW w:w="3765" w:type="dxa"/>
          </w:tcPr>
          <w:p w:rsidRPr="00F46B62" w:rsidR="00F46B62" w:rsidP="00F74237" w:rsidRDefault="00F46B62" w14:paraId="326F20BE" w14:textId="40599662">
            <w:r w:rsidRPr="00F46B62">
              <w:t>EUBAM Libië</w:t>
            </w:r>
          </w:p>
        </w:tc>
        <w:tc>
          <w:tcPr>
            <w:tcW w:w="3766" w:type="dxa"/>
          </w:tcPr>
          <w:p w:rsidRPr="00F46B62" w:rsidR="00F46B62" w:rsidP="00F74237" w:rsidRDefault="00F46B62" w14:paraId="6C47D770" w14:textId="08A8BF17">
            <w:r w:rsidRPr="00F46B62">
              <w:t>2</w:t>
            </w:r>
          </w:p>
        </w:tc>
      </w:tr>
      <w:tr w:rsidR="00F46B62" w:rsidTr="00AD2A70" w14:paraId="4E923EBC" w14:textId="77777777">
        <w:tc>
          <w:tcPr>
            <w:tcW w:w="3765" w:type="dxa"/>
          </w:tcPr>
          <w:p w:rsidRPr="00F46B62" w:rsidR="00F46B62" w:rsidP="00F74237" w:rsidRDefault="00F46B62" w14:paraId="0E2FF8C4" w14:textId="7C55D2AF">
            <w:r w:rsidRPr="00F46B62">
              <w:t xml:space="preserve">EUCAP </w:t>
            </w:r>
            <w:proofErr w:type="spellStart"/>
            <w:r w:rsidRPr="00F46B62">
              <w:t>Sahel</w:t>
            </w:r>
            <w:proofErr w:type="spellEnd"/>
            <w:r w:rsidRPr="00F46B62">
              <w:t xml:space="preserve"> Mali</w:t>
            </w:r>
          </w:p>
        </w:tc>
        <w:tc>
          <w:tcPr>
            <w:tcW w:w="3766" w:type="dxa"/>
          </w:tcPr>
          <w:p w:rsidRPr="00F46B62" w:rsidR="00F46B62" w:rsidP="00F74237" w:rsidRDefault="0021709F" w14:paraId="61672F66" w14:textId="7647E081">
            <w:r>
              <w:t>3</w:t>
            </w:r>
          </w:p>
        </w:tc>
      </w:tr>
      <w:tr w:rsidR="00F46B62" w:rsidTr="00AD2A70" w14:paraId="58841980" w14:textId="77777777">
        <w:tc>
          <w:tcPr>
            <w:tcW w:w="3765" w:type="dxa"/>
          </w:tcPr>
          <w:p w:rsidRPr="00F46B62" w:rsidR="00F46B62" w:rsidP="00F74237" w:rsidRDefault="00F46B62" w14:paraId="733FA1F1" w14:textId="455A101C">
            <w:r w:rsidRPr="00F46B62">
              <w:t>EUPOL COPPS (Palestijnse gebieden)</w:t>
            </w:r>
          </w:p>
        </w:tc>
        <w:tc>
          <w:tcPr>
            <w:tcW w:w="3766" w:type="dxa"/>
          </w:tcPr>
          <w:p w:rsidRPr="00F46B62" w:rsidR="00F46B62" w:rsidP="00F74237" w:rsidRDefault="00F46B62" w14:paraId="6B3482A0" w14:textId="56CBDEB6">
            <w:r w:rsidRPr="00F46B62">
              <w:t>3</w:t>
            </w:r>
          </w:p>
        </w:tc>
      </w:tr>
      <w:tr w:rsidR="00F46B62" w:rsidTr="00AD2A70" w14:paraId="75CE94A8" w14:textId="77777777">
        <w:tc>
          <w:tcPr>
            <w:tcW w:w="3765" w:type="dxa"/>
          </w:tcPr>
          <w:p w:rsidRPr="00F46B62" w:rsidR="00F46B62" w:rsidP="00F74237" w:rsidRDefault="00F46B62" w14:paraId="68B6CAFF" w14:textId="0006667A">
            <w:r w:rsidRPr="00F46B62">
              <w:t>OSC (Israël en Palestijnse gebieden)</w:t>
            </w:r>
          </w:p>
        </w:tc>
        <w:tc>
          <w:tcPr>
            <w:tcW w:w="3766" w:type="dxa"/>
          </w:tcPr>
          <w:p w:rsidRPr="00F46B62" w:rsidR="00F46B62" w:rsidP="00F74237" w:rsidRDefault="00F46B62" w14:paraId="47968DE6" w14:textId="16D8D358">
            <w:r w:rsidRPr="00F46B62">
              <w:t>1</w:t>
            </w:r>
          </w:p>
        </w:tc>
      </w:tr>
      <w:tr w:rsidR="00F46B62" w:rsidTr="00AD2A70" w14:paraId="6787A666" w14:textId="77777777">
        <w:tc>
          <w:tcPr>
            <w:tcW w:w="3765" w:type="dxa"/>
          </w:tcPr>
          <w:p w:rsidRPr="00F46B62" w:rsidR="00F46B62" w:rsidP="00F74237" w:rsidRDefault="00F46B62" w14:paraId="3CC9D8B9" w14:textId="36B1CA2C">
            <w:r w:rsidRPr="00F46B62">
              <w:t>EUAM Irak</w:t>
            </w:r>
          </w:p>
        </w:tc>
        <w:tc>
          <w:tcPr>
            <w:tcW w:w="3766" w:type="dxa"/>
          </w:tcPr>
          <w:p w:rsidRPr="00F46B62" w:rsidR="00F46B62" w:rsidP="00F74237" w:rsidRDefault="0021709F" w14:paraId="268C1829" w14:textId="529F8EE3">
            <w:r>
              <w:t>4</w:t>
            </w:r>
          </w:p>
        </w:tc>
      </w:tr>
      <w:tr w:rsidR="00F46B62" w:rsidTr="00F46B62" w14:paraId="6285A3E1" w14:textId="77777777">
        <w:trPr>
          <w:trHeight w:val="77"/>
        </w:trPr>
        <w:tc>
          <w:tcPr>
            <w:tcW w:w="3765" w:type="dxa"/>
          </w:tcPr>
          <w:p w:rsidRPr="00F46B62" w:rsidR="00F46B62" w:rsidP="00F74237" w:rsidRDefault="00F46B62" w14:paraId="3E80E59A" w14:textId="44ADAB26">
            <w:pPr>
              <w:rPr>
                <w:b/>
                <w:bCs/>
              </w:rPr>
            </w:pPr>
            <w:r w:rsidRPr="00F46B62">
              <w:rPr>
                <w:b/>
                <w:bCs/>
              </w:rPr>
              <w:t>Totaal</w:t>
            </w:r>
          </w:p>
        </w:tc>
        <w:tc>
          <w:tcPr>
            <w:tcW w:w="3766" w:type="dxa"/>
          </w:tcPr>
          <w:p w:rsidRPr="00F46B62" w:rsidR="00F46B62" w:rsidP="00F74237" w:rsidRDefault="00F46B62" w14:paraId="71F51724" w14:textId="0C524FF8">
            <w:pPr>
              <w:rPr>
                <w:b/>
                <w:bCs/>
              </w:rPr>
            </w:pPr>
            <w:r w:rsidRPr="00F46B62">
              <w:rPr>
                <w:b/>
                <w:bCs/>
              </w:rPr>
              <w:t>3</w:t>
            </w:r>
            <w:r w:rsidR="0021709F">
              <w:rPr>
                <w:b/>
                <w:bCs/>
              </w:rPr>
              <w:t>3</w:t>
            </w:r>
          </w:p>
        </w:tc>
      </w:tr>
    </w:tbl>
    <w:p w:rsidR="00AD2A70" w:rsidP="00F74237" w:rsidRDefault="00AD2A70" w14:paraId="1DFB1BB7" w14:textId="77777777">
      <w:pPr>
        <w:rPr>
          <w:i/>
          <w:iCs/>
        </w:rPr>
      </w:pPr>
    </w:p>
    <w:p w:rsidRPr="00F46B62" w:rsidR="00AD2A70" w:rsidP="00F74237" w:rsidRDefault="00AD2A70" w14:paraId="32186C5B" w14:textId="1F626D7C"/>
    <w:sectPr w:rsidRPr="00F46B62" w:rsidR="00AD2A70">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2D9E" w14:textId="77777777" w:rsidR="00A31007" w:rsidRDefault="00A31007">
      <w:pPr>
        <w:spacing w:line="240" w:lineRule="auto"/>
      </w:pPr>
      <w:r>
        <w:separator/>
      </w:r>
    </w:p>
  </w:endnote>
  <w:endnote w:type="continuationSeparator" w:id="0">
    <w:p w14:paraId="40152308" w14:textId="77777777" w:rsidR="00A31007" w:rsidRDefault="00A31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6E43" w14:textId="77777777" w:rsidR="00A31007" w:rsidRDefault="00A31007">
      <w:pPr>
        <w:spacing w:line="240" w:lineRule="auto"/>
      </w:pPr>
      <w:r>
        <w:separator/>
      </w:r>
    </w:p>
  </w:footnote>
  <w:footnote w:type="continuationSeparator" w:id="0">
    <w:p w14:paraId="625C11C4" w14:textId="77777777" w:rsidR="00A31007" w:rsidRDefault="00A31007">
      <w:pPr>
        <w:spacing w:line="240" w:lineRule="auto"/>
      </w:pPr>
      <w:r>
        <w:continuationSeparator/>
      </w:r>
    </w:p>
  </w:footnote>
  <w:footnote w:id="1">
    <w:p w14:paraId="45DD9095" w14:textId="04841B6D" w:rsidR="00F01F2B" w:rsidRDefault="00F01F2B">
      <w:pPr>
        <w:pStyle w:val="Voetnoottekst"/>
      </w:pPr>
      <w:r w:rsidRPr="004C6E65">
        <w:rPr>
          <w:rStyle w:val="Voetnootmarkering"/>
          <w:sz w:val="16"/>
          <w:szCs w:val="16"/>
        </w:rPr>
        <w:footnoteRef/>
      </w:r>
      <w:r w:rsidRPr="004C6E65">
        <w:rPr>
          <w:sz w:val="16"/>
          <w:szCs w:val="16"/>
        </w:rPr>
        <w:t xml:space="preserve"> </w:t>
      </w:r>
      <w:r w:rsidR="00233F75">
        <w:rPr>
          <w:sz w:val="16"/>
          <w:szCs w:val="16"/>
        </w:rPr>
        <w:t>Handelingen Tweede Kamer, 11 maart 2025, toezegging Staatssecretaris van Justitie en Veiligheid betreffende intensivering samenwerking buurlanden met betrekking tot de aanpak van ondermijnende criminaliteit</w:t>
      </w:r>
    </w:p>
  </w:footnote>
  <w:footnote w:id="2">
    <w:p w14:paraId="3CA3F250" w14:textId="3CD37F64" w:rsidR="004711D6" w:rsidRPr="004711D6" w:rsidRDefault="004711D6">
      <w:pPr>
        <w:pStyle w:val="Voetnoottekst"/>
        <w:rPr>
          <w:sz w:val="16"/>
          <w:szCs w:val="16"/>
        </w:rPr>
      </w:pPr>
      <w:r w:rsidRPr="004711D6">
        <w:rPr>
          <w:rStyle w:val="Voetnootmarkering"/>
          <w:sz w:val="16"/>
          <w:szCs w:val="16"/>
        </w:rPr>
        <w:footnoteRef/>
      </w:r>
      <w:r w:rsidRPr="004711D6">
        <w:rPr>
          <w:sz w:val="16"/>
          <w:szCs w:val="16"/>
        </w:rPr>
        <w:t xml:space="preserve"> Zoals gemeld in de Kamerbrief bij het verslag van de JBZ-Raad d.d. 12 en 13 december 2024.</w:t>
      </w:r>
    </w:p>
  </w:footnote>
  <w:footnote w:id="3">
    <w:p w14:paraId="02A05FB0" w14:textId="11128D7A" w:rsidR="00E32A84" w:rsidRDefault="00E32A84">
      <w:pPr>
        <w:pStyle w:val="Voetnoottekst"/>
      </w:pPr>
      <w:r w:rsidRPr="004711D6">
        <w:rPr>
          <w:rStyle w:val="Voetnootmarkering"/>
          <w:sz w:val="16"/>
          <w:szCs w:val="16"/>
        </w:rPr>
        <w:footnoteRef/>
      </w:r>
      <w:r w:rsidRPr="004711D6">
        <w:rPr>
          <w:sz w:val="16"/>
          <w:szCs w:val="16"/>
        </w:rPr>
        <w:t xml:space="preserve"> </w:t>
      </w:r>
      <w:r w:rsidR="003E63CB">
        <w:rPr>
          <w:sz w:val="16"/>
          <w:szCs w:val="16"/>
        </w:rPr>
        <w:t>Kamerstukken</w:t>
      </w:r>
      <w:r w:rsidR="009660EE">
        <w:rPr>
          <w:sz w:val="16"/>
          <w:szCs w:val="16"/>
        </w:rPr>
        <w:t xml:space="preserve"> II, </w:t>
      </w:r>
      <w:r w:rsidR="009660EE" w:rsidRPr="009660EE">
        <w:rPr>
          <w:sz w:val="16"/>
          <w:szCs w:val="16"/>
        </w:rPr>
        <w:t>2024</w:t>
      </w:r>
      <w:r w:rsidR="003E63CB">
        <w:rPr>
          <w:sz w:val="16"/>
          <w:szCs w:val="16"/>
        </w:rPr>
        <w:t>/25</w:t>
      </w:r>
      <w:r w:rsidR="009660EE" w:rsidRPr="009660EE">
        <w:rPr>
          <w:sz w:val="16"/>
          <w:szCs w:val="16"/>
        </w:rPr>
        <w:t>, 29 911, nr. 454</w:t>
      </w:r>
    </w:p>
  </w:footnote>
  <w:footnote w:id="4">
    <w:p w14:paraId="6629C3AE" w14:textId="2DC034BF" w:rsidR="00C13967" w:rsidRDefault="00C13967">
      <w:pPr>
        <w:pStyle w:val="Voetnoottekst"/>
      </w:pPr>
      <w:r w:rsidRPr="009B60CE">
        <w:rPr>
          <w:rStyle w:val="Voetnootmarkering"/>
          <w:sz w:val="16"/>
          <w:szCs w:val="16"/>
        </w:rPr>
        <w:footnoteRef/>
      </w:r>
      <w:r w:rsidRPr="009B60CE">
        <w:rPr>
          <w:sz w:val="16"/>
          <w:szCs w:val="16"/>
        </w:rPr>
        <w:t xml:space="preserve"> K</w:t>
      </w:r>
      <w:r w:rsidRPr="008054E0">
        <w:rPr>
          <w:sz w:val="16"/>
          <w:szCs w:val="16"/>
        </w:rPr>
        <w:t>amerstukken II</w:t>
      </w:r>
      <w:r w:rsidRPr="003A4E46">
        <w:rPr>
          <w:sz w:val="16"/>
          <w:szCs w:val="16"/>
        </w:rPr>
        <w:t xml:space="preserve"> 2024/25, </w:t>
      </w:r>
      <w:r>
        <w:rPr>
          <w:sz w:val="16"/>
          <w:szCs w:val="16"/>
        </w:rPr>
        <w:t>29521 nr. 493</w:t>
      </w:r>
    </w:p>
  </w:footnote>
  <w:footnote w:id="5">
    <w:p w14:paraId="5FE22A10" w14:textId="77777777" w:rsidR="00F74237" w:rsidRPr="00406C04" w:rsidRDefault="00F74237" w:rsidP="00F74237">
      <w:pPr>
        <w:pStyle w:val="Voetnoottekst"/>
      </w:pPr>
      <w:r w:rsidRPr="003A4E46">
        <w:rPr>
          <w:rStyle w:val="Voetnootmarkering"/>
          <w:sz w:val="16"/>
          <w:szCs w:val="16"/>
        </w:rPr>
        <w:footnoteRef/>
      </w:r>
      <w:r w:rsidRPr="003A4E46">
        <w:rPr>
          <w:sz w:val="16"/>
          <w:szCs w:val="16"/>
        </w:rPr>
        <w:t xml:space="preserve"> </w:t>
      </w:r>
      <w:r w:rsidRPr="008054E0">
        <w:rPr>
          <w:sz w:val="16"/>
          <w:szCs w:val="16"/>
        </w:rPr>
        <w:t>Kamerstukken II</w:t>
      </w:r>
      <w:r w:rsidRPr="003A4E46">
        <w:rPr>
          <w:sz w:val="16"/>
          <w:szCs w:val="16"/>
        </w:rPr>
        <w:t xml:space="preserve"> 2024/25, </w:t>
      </w:r>
      <w:r>
        <w:rPr>
          <w:sz w:val="16"/>
          <w:szCs w:val="16"/>
        </w:rPr>
        <w:t xml:space="preserve">29521 nr. 493, p.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BA27" w14:textId="77777777" w:rsidR="00BC6789" w:rsidRDefault="008438E2">
    <w:r>
      <w:rPr>
        <w:noProof/>
      </w:rPr>
      <mc:AlternateContent>
        <mc:Choice Requires="wps">
          <w:drawing>
            <wp:anchor distT="0" distB="0" distL="0" distR="0" simplePos="0" relativeHeight="251652096" behindDoc="0" locked="1" layoutInCell="1" allowOverlap="1" wp14:anchorId="0523E9F0" wp14:editId="4DD249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F07D95" w14:textId="77777777" w:rsidR="00BC6789" w:rsidRDefault="008438E2">
                          <w:pPr>
                            <w:pStyle w:val="Referentiegegevensbold"/>
                          </w:pPr>
                          <w:r>
                            <w:t>Directoraat-Generaal Politie en Veiligheidsregio's</w:t>
                          </w:r>
                        </w:p>
                        <w:p w14:paraId="420E8E93" w14:textId="77777777" w:rsidR="00BC6789" w:rsidRDefault="008438E2">
                          <w:pPr>
                            <w:pStyle w:val="Referentiegegevens"/>
                          </w:pPr>
                          <w:r>
                            <w:t>Portefeuille Politieel Beleid en Taakuitvoering</w:t>
                          </w:r>
                        </w:p>
                        <w:p w14:paraId="43808840" w14:textId="77777777" w:rsidR="00BC6789" w:rsidRDefault="008438E2">
                          <w:pPr>
                            <w:pStyle w:val="Referentiegegevens"/>
                          </w:pPr>
                          <w:r>
                            <w:t>Internationale en Caribische aangelegenheden</w:t>
                          </w:r>
                        </w:p>
                        <w:p w14:paraId="34F7D9D7" w14:textId="77777777" w:rsidR="00BC6789" w:rsidRDefault="00BC6789">
                          <w:pPr>
                            <w:pStyle w:val="WitregelW2"/>
                          </w:pPr>
                        </w:p>
                        <w:p w14:paraId="2FAD352B" w14:textId="77777777" w:rsidR="00BC6789" w:rsidRDefault="008438E2">
                          <w:pPr>
                            <w:pStyle w:val="Referentiegegevensbold"/>
                          </w:pPr>
                          <w:r>
                            <w:t>Onze referentie</w:t>
                          </w:r>
                        </w:p>
                        <w:p w14:paraId="22DD705D" w14:textId="77777777" w:rsidR="00BC6789" w:rsidRDefault="008438E2">
                          <w:pPr>
                            <w:pStyle w:val="Referentiegegevens"/>
                          </w:pPr>
                          <w:r>
                            <w:t>6404644</w:t>
                          </w:r>
                        </w:p>
                      </w:txbxContent>
                    </wps:txbx>
                    <wps:bodyPr vert="horz" wrap="square" lIns="0" tIns="0" rIns="0" bIns="0" anchor="t" anchorCtr="0"/>
                  </wps:wsp>
                </a:graphicData>
              </a:graphic>
            </wp:anchor>
          </w:drawing>
        </mc:Choice>
        <mc:Fallback>
          <w:pict>
            <v:shapetype w14:anchorId="0523E9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1F07D95" w14:textId="77777777" w:rsidR="00BC6789" w:rsidRDefault="008438E2">
                    <w:pPr>
                      <w:pStyle w:val="Referentiegegevensbold"/>
                    </w:pPr>
                    <w:r>
                      <w:t>Directoraat-Generaal Politie en Veiligheidsregio's</w:t>
                    </w:r>
                  </w:p>
                  <w:p w14:paraId="420E8E93" w14:textId="77777777" w:rsidR="00BC6789" w:rsidRDefault="008438E2">
                    <w:pPr>
                      <w:pStyle w:val="Referentiegegevens"/>
                    </w:pPr>
                    <w:r>
                      <w:t>Portefeuille Politieel Beleid en Taakuitvoering</w:t>
                    </w:r>
                  </w:p>
                  <w:p w14:paraId="43808840" w14:textId="77777777" w:rsidR="00BC6789" w:rsidRDefault="008438E2">
                    <w:pPr>
                      <w:pStyle w:val="Referentiegegevens"/>
                    </w:pPr>
                    <w:r>
                      <w:t>Internationale en Caribische aangelegenheden</w:t>
                    </w:r>
                  </w:p>
                  <w:p w14:paraId="34F7D9D7" w14:textId="77777777" w:rsidR="00BC6789" w:rsidRDefault="00BC6789">
                    <w:pPr>
                      <w:pStyle w:val="WitregelW2"/>
                    </w:pPr>
                  </w:p>
                  <w:p w14:paraId="2FAD352B" w14:textId="77777777" w:rsidR="00BC6789" w:rsidRDefault="008438E2">
                    <w:pPr>
                      <w:pStyle w:val="Referentiegegevensbold"/>
                    </w:pPr>
                    <w:r>
                      <w:t>Onze referentie</w:t>
                    </w:r>
                  </w:p>
                  <w:p w14:paraId="22DD705D" w14:textId="77777777" w:rsidR="00BC6789" w:rsidRDefault="008438E2">
                    <w:pPr>
                      <w:pStyle w:val="Referentiegegevens"/>
                    </w:pPr>
                    <w:r>
                      <w:t>6404644</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6108C7" wp14:editId="009A841A">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75FD686" w14:textId="77777777" w:rsidR="008438E2" w:rsidRDefault="008438E2"/>
                      </w:txbxContent>
                    </wps:txbx>
                    <wps:bodyPr vert="horz" wrap="square" lIns="0" tIns="0" rIns="0" bIns="0" anchor="t" anchorCtr="0"/>
                  </wps:wsp>
                </a:graphicData>
              </a:graphic>
            </wp:anchor>
          </w:drawing>
        </mc:Choice>
        <mc:Fallback>
          <w:pict>
            <v:shape w14:anchorId="176108C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75FD686" w14:textId="77777777" w:rsidR="008438E2" w:rsidRDefault="008438E2"/>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CA89B3" wp14:editId="6F1170F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DBF9A9" w14:textId="51B8C685" w:rsidR="00BC6789" w:rsidRDefault="008438E2">
                          <w:pPr>
                            <w:pStyle w:val="Referentiegegevens"/>
                          </w:pPr>
                          <w:r>
                            <w:t xml:space="preserve">Pagina </w:t>
                          </w:r>
                          <w:r>
                            <w:fldChar w:fldCharType="begin"/>
                          </w:r>
                          <w:r>
                            <w:instrText>PAGE</w:instrText>
                          </w:r>
                          <w:r>
                            <w:fldChar w:fldCharType="separate"/>
                          </w:r>
                          <w:r w:rsidR="00033B2D">
                            <w:rPr>
                              <w:noProof/>
                            </w:rPr>
                            <w:t>2</w:t>
                          </w:r>
                          <w:r>
                            <w:fldChar w:fldCharType="end"/>
                          </w:r>
                          <w:r>
                            <w:t xml:space="preserve"> van </w:t>
                          </w:r>
                          <w:r>
                            <w:fldChar w:fldCharType="begin"/>
                          </w:r>
                          <w:r>
                            <w:instrText>NUMPAGES</w:instrText>
                          </w:r>
                          <w:r>
                            <w:fldChar w:fldCharType="separate"/>
                          </w:r>
                          <w:r w:rsidR="002E7769">
                            <w:rPr>
                              <w:noProof/>
                            </w:rPr>
                            <w:t>1</w:t>
                          </w:r>
                          <w:r>
                            <w:fldChar w:fldCharType="end"/>
                          </w:r>
                        </w:p>
                      </w:txbxContent>
                    </wps:txbx>
                    <wps:bodyPr vert="horz" wrap="square" lIns="0" tIns="0" rIns="0" bIns="0" anchor="t" anchorCtr="0"/>
                  </wps:wsp>
                </a:graphicData>
              </a:graphic>
            </wp:anchor>
          </w:drawing>
        </mc:Choice>
        <mc:Fallback>
          <w:pict>
            <v:shape w14:anchorId="42CA89B3"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EDBF9A9" w14:textId="51B8C685" w:rsidR="00BC6789" w:rsidRDefault="008438E2">
                    <w:pPr>
                      <w:pStyle w:val="Referentiegegevens"/>
                    </w:pPr>
                    <w:r>
                      <w:t xml:space="preserve">Pagina </w:t>
                    </w:r>
                    <w:r>
                      <w:fldChar w:fldCharType="begin"/>
                    </w:r>
                    <w:r>
                      <w:instrText>PAGE</w:instrText>
                    </w:r>
                    <w:r>
                      <w:fldChar w:fldCharType="separate"/>
                    </w:r>
                    <w:r w:rsidR="00033B2D">
                      <w:rPr>
                        <w:noProof/>
                      </w:rPr>
                      <w:t>2</w:t>
                    </w:r>
                    <w:r>
                      <w:fldChar w:fldCharType="end"/>
                    </w:r>
                    <w:r>
                      <w:t xml:space="preserve"> van </w:t>
                    </w:r>
                    <w:r>
                      <w:fldChar w:fldCharType="begin"/>
                    </w:r>
                    <w:r>
                      <w:instrText>NUMPAGES</w:instrText>
                    </w:r>
                    <w:r>
                      <w:fldChar w:fldCharType="separate"/>
                    </w:r>
                    <w:r w:rsidR="002E776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27B057" wp14:editId="0CA4AFC8">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B7E25D9" w14:textId="77777777" w:rsidR="008438E2" w:rsidRDefault="008438E2"/>
                      </w:txbxContent>
                    </wps:txbx>
                    <wps:bodyPr vert="horz" wrap="square" lIns="0" tIns="0" rIns="0" bIns="0" anchor="t" anchorCtr="0"/>
                  </wps:wsp>
                </a:graphicData>
              </a:graphic>
            </wp:anchor>
          </w:drawing>
        </mc:Choice>
        <mc:Fallback>
          <w:pict>
            <v:shape w14:anchorId="0B27B057"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4B7E25D9" w14:textId="77777777" w:rsidR="008438E2" w:rsidRDefault="008438E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3598" w14:textId="77777777" w:rsidR="00BC6789" w:rsidRDefault="008438E2">
    <w:pPr>
      <w:spacing w:after="4835" w:line="14" w:lineRule="exact"/>
    </w:pPr>
    <w:r>
      <w:rPr>
        <w:noProof/>
      </w:rPr>
      <mc:AlternateContent>
        <mc:Choice Requires="wps">
          <w:drawing>
            <wp:anchor distT="0" distB="0" distL="0" distR="0" simplePos="0" relativeHeight="251656192" behindDoc="0" locked="1" layoutInCell="1" allowOverlap="1" wp14:anchorId="24F84BA6" wp14:editId="647AD76D">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38D50C73" w14:textId="77777777" w:rsidR="008438E2" w:rsidRDefault="008438E2"/>
                      </w:txbxContent>
                    </wps:txbx>
                    <wps:bodyPr vert="horz" wrap="square" lIns="0" tIns="0" rIns="0" bIns="0" anchor="t" anchorCtr="0"/>
                  </wps:wsp>
                </a:graphicData>
              </a:graphic>
            </wp:anchor>
          </w:drawing>
        </mc:Choice>
        <mc:Fallback>
          <w:pict>
            <v:shapetype w14:anchorId="24F84BA6"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38D50C73" w14:textId="77777777" w:rsidR="008438E2" w:rsidRDefault="008438E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A74C4F" wp14:editId="48275920">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9AE87EE" w14:textId="20BB08C8" w:rsidR="00BC6789" w:rsidRDefault="008438E2">
                          <w:r>
                            <w:t>Internationaal</w:t>
                          </w:r>
                          <w:r w:rsidR="00977107">
                            <w:t xml:space="preserve"> en Caribisch</w:t>
                          </w:r>
                        </w:p>
                      </w:txbxContent>
                    </wps:txbx>
                    <wps:bodyPr vert="horz" wrap="square" lIns="0" tIns="0" rIns="0" bIns="0" anchor="t" anchorCtr="0"/>
                  </wps:wsp>
                </a:graphicData>
              </a:graphic>
            </wp:anchor>
          </w:drawing>
        </mc:Choice>
        <mc:Fallback>
          <w:pict>
            <v:shape w14:anchorId="57A74C4F"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9AE87EE" w14:textId="20BB08C8" w:rsidR="00BC6789" w:rsidRDefault="008438E2">
                    <w:r>
                      <w:t>Internationaal</w:t>
                    </w:r>
                    <w:r w:rsidR="00977107">
                      <w:t xml:space="preserve"> en Caribisch</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930614" wp14:editId="2B5D04DC">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2DEA2D" w14:textId="77777777" w:rsidR="00BC6789" w:rsidRDefault="008438E2">
                          <w:pPr>
                            <w:pStyle w:val="Referentiegegevensbold"/>
                          </w:pPr>
                          <w:r>
                            <w:t>Directoraat-Generaal Politie en Veiligheidsregio's</w:t>
                          </w:r>
                        </w:p>
                        <w:p w14:paraId="3F7D8E80" w14:textId="77777777" w:rsidR="00BC6789" w:rsidRDefault="008438E2">
                          <w:pPr>
                            <w:pStyle w:val="Referentiegegevens"/>
                          </w:pPr>
                          <w:r>
                            <w:t>Portefeuille Politieel Beleid en Taakuitvoering</w:t>
                          </w:r>
                        </w:p>
                        <w:p w14:paraId="4ED08949" w14:textId="77777777" w:rsidR="00BC6789" w:rsidRDefault="008438E2">
                          <w:pPr>
                            <w:pStyle w:val="Referentiegegevens"/>
                          </w:pPr>
                          <w:r>
                            <w:t>Internationale en Caribische aangelegenheden</w:t>
                          </w:r>
                        </w:p>
                        <w:p w14:paraId="312F859E" w14:textId="77777777" w:rsidR="00BC6789" w:rsidRDefault="00BC6789">
                          <w:pPr>
                            <w:pStyle w:val="WitregelW1"/>
                          </w:pPr>
                        </w:p>
                        <w:p w14:paraId="68353426" w14:textId="77777777" w:rsidR="00BC6789" w:rsidRDefault="00BC6789">
                          <w:pPr>
                            <w:pStyle w:val="WitregelW2"/>
                          </w:pPr>
                        </w:p>
                        <w:p w14:paraId="5C1E83F3" w14:textId="77777777" w:rsidR="00BC6789" w:rsidRDefault="008438E2">
                          <w:pPr>
                            <w:pStyle w:val="Referentiegegevensbold"/>
                          </w:pPr>
                          <w:r>
                            <w:t>Onze referentie</w:t>
                          </w:r>
                        </w:p>
                        <w:p w14:paraId="19B8DB92" w14:textId="77777777" w:rsidR="00BC6789" w:rsidRDefault="008438E2">
                          <w:pPr>
                            <w:pStyle w:val="Referentiegegevens"/>
                          </w:pPr>
                          <w:r>
                            <w:t>6404644</w:t>
                          </w:r>
                        </w:p>
                      </w:txbxContent>
                    </wps:txbx>
                    <wps:bodyPr vert="horz" wrap="square" lIns="0" tIns="0" rIns="0" bIns="0" anchor="t" anchorCtr="0"/>
                  </wps:wsp>
                </a:graphicData>
              </a:graphic>
            </wp:anchor>
          </w:drawing>
        </mc:Choice>
        <mc:Fallback>
          <w:pict>
            <v:shape w14:anchorId="28930614"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F2DEA2D" w14:textId="77777777" w:rsidR="00BC6789" w:rsidRDefault="008438E2">
                    <w:pPr>
                      <w:pStyle w:val="Referentiegegevensbold"/>
                    </w:pPr>
                    <w:r>
                      <w:t>Directoraat-Generaal Politie en Veiligheidsregio's</w:t>
                    </w:r>
                  </w:p>
                  <w:p w14:paraId="3F7D8E80" w14:textId="77777777" w:rsidR="00BC6789" w:rsidRDefault="008438E2">
                    <w:pPr>
                      <w:pStyle w:val="Referentiegegevens"/>
                    </w:pPr>
                    <w:r>
                      <w:t>Portefeuille Politieel Beleid en Taakuitvoering</w:t>
                    </w:r>
                  </w:p>
                  <w:p w14:paraId="4ED08949" w14:textId="77777777" w:rsidR="00BC6789" w:rsidRDefault="008438E2">
                    <w:pPr>
                      <w:pStyle w:val="Referentiegegevens"/>
                    </w:pPr>
                    <w:r>
                      <w:t>Internationale en Caribische aangelegenheden</w:t>
                    </w:r>
                  </w:p>
                  <w:p w14:paraId="312F859E" w14:textId="77777777" w:rsidR="00BC6789" w:rsidRDefault="00BC6789">
                    <w:pPr>
                      <w:pStyle w:val="WitregelW1"/>
                    </w:pPr>
                  </w:p>
                  <w:p w14:paraId="68353426" w14:textId="77777777" w:rsidR="00BC6789" w:rsidRDefault="00BC6789">
                    <w:pPr>
                      <w:pStyle w:val="WitregelW2"/>
                    </w:pPr>
                  </w:p>
                  <w:p w14:paraId="5C1E83F3" w14:textId="77777777" w:rsidR="00BC6789" w:rsidRDefault="008438E2">
                    <w:pPr>
                      <w:pStyle w:val="Referentiegegevensbold"/>
                    </w:pPr>
                    <w:r>
                      <w:t>Onze referentie</w:t>
                    </w:r>
                  </w:p>
                  <w:p w14:paraId="19B8DB92" w14:textId="77777777" w:rsidR="00BC6789" w:rsidRDefault="008438E2">
                    <w:pPr>
                      <w:pStyle w:val="Referentiegegevens"/>
                    </w:pPr>
                    <w:r>
                      <w:t>6404644</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902C5D" wp14:editId="7802A75A">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8C638C6" w14:textId="77777777" w:rsidR="008438E2" w:rsidRDefault="008438E2"/>
                      </w:txbxContent>
                    </wps:txbx>
                    <wps:bodyPr vert="horz" wrap="square" lIns="0" tIns="0" rIns="0" bIns="0" anchor="t" anchorCtr="0"/>
                  </wps:wsp>
                </a:graphicData>
              </a:graphic>
            </wp:anchor>
          </w:drawing>
        </mc:Choice>
        <mc:Fallback>
          <w:pict>
            <v:shape w14:anchorId="2A902C5D"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8C638C6" w14:textId="77777777" w:rsidR="008438E2" w:rsidRDefault="008438E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DB110C" wp14:editId="2729BBD3">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ED5067" w14:textId="77777777" w:rsidR="00BC6789" w:rsidRDefault="008438E2">
                          <w:pPr>
                            <w:pStyle w:val="Referentiegegevens"/>
                          </w:pPr>
                          <w:r>
                            <w:t xml:space="preserve">Pagina </w:t>
                          </w:r>
                          <w:r>
                            <w:fldChar w:fldCharType="begin"/>
                          </w:r>
                          <w:r>
                            <w:instrText>PAGE</w:instrText>
                          </w:r>
                          <w:r>
                            <w:fldChar w:fldCharType="separate"/>
                          </w:r>
                          <w:r w:rsidR="002E7769">
                            <w:rPr>
                              <w:noProof/>
                            </w:rPr>
                            <w:t>1</w:t>
                          </w:r>
                          <w:r>
                            <w:fldChar w:fldCharType="end"/>
                          </w:r>
                          <w:r>
                            <w:t xml:space="preserve"> van </w:t>
                          </w:r>
                          <w:r>
                            <w:fldChar w:fldCharType="begin"/>
                          </w:r>
                          <w:r>
                            <w:instrText>NUMPAGES</w:instrText>
                          </w:r>
                          <w:r>
                            <w:fldChar w:fldCharType="separate"/>
                          </w:r>
                          <w:r w:rsidR="002E7769">
                            <w:rPr>
                              <w:noProof/>
                            </w:rPr>
                            <w:t>1</w:t>
                          </w:r>
                          <w:r>
                            <w:fldChar w:fldCharType="end"/>
                          </w:r>
                        </w:p>
                      </w:txbxContent>
                    </wps:txbx>
                    <wps:bodyPr vert="horz" wrap="square" lIns="0" tIns="0" rIns="0" bIns="0" anchor="t" anchorCtr="0"/>
                  </wps:wsp>
                </a:graphicData>
              </a:graphic>
            </wp:anchor>
          </w:drawing>
        </mc:Choice>
        <mc:Fallback>
          <w:pict>
            <v:shape w14:anchorId="18DB110C"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6AED5067" w14:textId="77777777" w:rsidR="00BC6789" w:rsidRDefault="008438E2">
                    <w:pPr>
                      <w:pStyle w:val="Referentiegegevens"/>
                    </w:pPr>
                    <w:r>
                      <w:t xml:space="preserve">Pagina </w:t>
                    </w:r>
                    <w:r>
                      <w:fldChar w:fldCharType="begin"/>
                    </w:r>
                    <w:r>
                      <w:instrText>PAGE</w:instrText>
                    </w:r>
                    <w:r>
                      <w:fldChar w:fldCharType="separate"/>
                    </w:r>
                    <w:r w:rsidR="002E7769">
                      <w:rPr>
                        <w:noProof/>
                      </w:rPr>
                      <w:t>1</w:t>
                    </w:r>
                    <w:r>
                      <w:fldChar w:fldCharType="end"/>
                    </w:r>
                    <w:r>
                      <w:t xml:space="preserve"> van </w:t>
                    </w:r>
                    <w:r>
                      <w:fldChar w:fldCharType="begin"/>
                    </w:r>
                    <w:r>
                      <w:instrText>NUMPAGES</w:instrText>
                    </w:r>
                    <w:r>
                      <w:fldChar w:fldCharType="separate"/>
                    </w:r>
                    <w:r w:rsidR="002E776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17458D" wp14:editId="22D3F908">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FB4F1B" w14:textId="77777777" w:rsidR="00BC6789" w:rsidRDefault="008438E2">
                          <w:pPr>
                            <w:spacing w:line="240" w:lineRule="auto"/>
                          </w:pPr>
                          <w:r>
                            <w:rPr>
                              <w:noProof/>
                            </w:rPr>
                            <w:drawing>
                              <wp:inline distT="0" distB="0" distL="0" distR="0" wp14:anchorId="1770605B" wp14:editId="4D2D4ED0">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7458D"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1FB4F1B" w14:textId="77777777" w:rsidR="00BC6789" w:rsidRDefault="008438E2">
                    <w:pPr>
                      <w:spacing w:line="240" w:lineRule="auto"/>
                    </w:pPr>
                    <w:r>
                      <w:rPr>
                        <w:noProof/>
                      </w:rPr>
                      <w:drawing>
                        <wp:inline distT="0" distB="0" distL="0" distR="0" wp14:anchorId="1770605B" wp14:editId="4D2D4ED0">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057455" wp14:editId="214CC536">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C94514" w14:textId="77777777" w:rsidR="00BC6789" w:rsidRDefault="008438E2">
                          <w:pPr>
                            <w:spacing w:line="240" w:lineRule="auto"/>
                          </w:pPr>
                          <w:r>
                            <w:rPr>
                              <w:noProof/>
                            </w:rPr>
                            <w:drawing>
                              <wp:inline distT="0" distB="0" distL="0" distR="0" wp14:anchorId="5E354D8A" wp14:editId="3DEC8804">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057455"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5C94514" w14:textId="77777777" w:rsidR="00BC6789" w:rsidRDefault="008438E2">
                    <w:pPr>
                      <w:spacing w:line="240" w:lineRule="auto"/>
                    </w:pPr>
                    <w:r>
                      <w:rPr>
                        <w:noProof/>
                      </w:rPr>
                      <w:drawing>
                        <wp:inline distT="0" distB="0" distL="0" distR="0" wp14:anchorId="5E354D8A" wp14:editId="3DEC8804">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36646A" wp14:editId="56B6E809">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5BE9328C" w14:textId="77777777" w:rsidR="00BC6789" w:rsidRDefault="008438E2">
                          <w:pPr>
                            <w:spacing w:line="240" w:lineRule="auto"/>
                          </w:pPr>
                          <w:r>
                            <w:rPr>
                              <w:noProof/>
                            </w:rPr>
                            <w:drawing>
                              <wp:inline distT="0" distB="0" distL="0" distR="0" wp14:anchorId="362AD5F9" wp14:editId="245F871A">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36646A"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5BE9328C" w14:textId="77777777" w:rsidR="00BC6789" w:rsidRDefault="008438E2">
                    <w:pPr>
                      <w:spacing w:line="240" w:lineRule="auto"/>
                    </w:pPr>
                    <w:r>
                      <w:rPr>
                        <w:noProof/>
                      </w:rPr>
                      <w:drawing>
                        <wp:inline distT="0" distB="0" distL="0" distR="0" wp14:anchorId="362AD5F9" wp14:editId="245F871A">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20531"/>
    <w:multiLevelType w:val="multilevel"/>
    <w:tmpl w:val="7D26C54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38001F"/>
    <w:multiLevelType w:val="multilevel"/>
    <w:tmpl w:val="DE08F9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97AE8D7"/>
    <w:multiLevelType w:val="multilevel"/>
    <w:tmpl w:val="B74E3A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1B7D14D"/>
    <w:multiLevelType w:val="multilevel"/>
    <w:tmpl w:val="F4DBBA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281009E"/>
    <w:multiLevelType w:val="multilevel"/>
    <w:tmpl w:val="436EEA0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C140D98"/>
    <w:multiLevelType w:val="multilevel"/>
    <w:tmpl w:val="B7AE9F5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76B1687"/>
    <w:multiLevelType w:val="hybridMultilevel"/>
    <w:tmpl w:val="47C82DF4"/>
    <w:lvl w:ilvl="0" w:tplc="63D67E7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0875990">
    <w:abstractNumId w:val="4"/>
  </w:num>
  <w:num w:numId="2" w16cid:durableId="1280378490">
    <w:abstractNumId w:val="0"/>
  </w:num>
  <w:num w:numId="3" w16cid:durableId="566261350">
    <w:abstractNumId w:val="2"/>
  </w:num>
  <w:num w:numId="4" w16cid:durableId="1254048526">
    <w:abstractNumId w:val="1"/>
  </w:num>
  <w:num w:numId="5" w16cid:durableId="738091441">
    <w:abstractNumId w:val="5"/>
  </w:num>
  <w:num w:numId="6" w16cid:durableId="200483542">
    <w:abstractNumId w:val="3"/>
  </w:num>
  <w:num w:numId="7" w16cid:durableId="676732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69"/>
    <w:rsid w:val="00020A6F"/>
    <w:rsid w:val="000249EF"/>
    <w:rsid w:val="00033B2D"/>
    <w:rsid w:val="00082F87"/>
    <w:rsid w:val="000C670B"/>
    <w:rsid w:val="000E0F00"/>
    <w:rsid w:val="00111CA4"/>
    <w:rsid w:val="00134460"/>
    <w:rsid w:val="0015436F"/>
    <w:rsid w:val="001A54A6"/>
    <w:rsid w:val="001C33A7"/>
    <w:rsid w:val="001C3F19"/>
    <w:rsid w:val="001D5124"/>
    <w:rsid w:val="00201C22"/>
    <w:rsid w:val="0021709F"/>
    <w:rsid w:val="00223671"/>
    <w:rsid w:val="0022476B"/>
    <w:rsid w:val="00233F75"/>
    <w:rsid w:val="00243F5F"/>
    <w:rsid w:val="00262EB4"/>
    <w:rsid w:val="0029723B"/>
    <w:rsid w:val="002B2F86"/>
    <w:rsid w:val="002E7769"/>
    <w:rsid w:val="002F5273"/>
    <w:rsid w:val="00307046"/>
    <w:rsid w:val="00331F71"/>
    <w:rsid w:val="003363F5"/>
    <w:rsid w:val="00337F73"/>
    <w:rsid w:val="00366A18"/>
    <w:rsid w:val="00396EAC"/>
    <w:rsid w:val="003C0168"/>
    <w:rsid w:val="003E63CB"/>
    <w:rsid w:val="003F12FB"/>
    <w:rsid w:val="003F1509"/>
    <w:rsid w:val="003F4905"/>
    <w:rsid w:val="00406C04"/>
    <w:rsid w:val="00421C5C"/>
    <w:rsid w:val="00464B1E"/>
    <w:rsid w:val="00464C60"/>
    <w:rsid w:val="004711D6"/>
    <w:rsid w:val="0049617C"/>
    <w:rsid w:val="004A0A40"/>
    <w:rsid w:val="004A1C47"/>
    <w:rsid w:val="004C6E65"/>
    <w:rsid w:val="004F05FF"/>
    <w:rsid w:val="004F2EB4"/>
    <w:rsid w:val="005328AA"/>
    <w:rsid w:val="00547EA9"/>
    <w:rsid w:val="0056029D"/>
    <w:rsid w:val="005621C3"/>
    <w:rsid w:val="00566408"/>
    <w:rsid w:val="00597388"/>
    <w:rsid w:val="005A5962"/>
    <w:rsid w:val="005D221C"/>
    <w:rsid w:val="00616785"/>
    <w:rsid w:val="00621C57"/>
    <w:rsid w:val="00645F97"/>
    <w:rsid w:val="006636D8"/>
    <w:rsid w:val="00685A22"/>
    <w:rsid w:val="006B75AA"/>
    <w:rsid w:val="006F4609"/>
    <w:rsid w:val="00781E98"/>
    <w:rsid w:val="007B53C4"/>
    <w:rsid w:val="007D7323"/>
    <w:rsid w:val="007F56BB"/>
    <w:rsid w:val="008054E0"/>
    <w:rsid w:val="0081328F"/>
    <w:rsid w:val="00817004"/>
    <w:rsid w:val="008438E2"/>
    <w:rsid w:val="00852E1D"/>
    <w:rsid w:val="00867CB3"/>
    <w:rsid w:val="00880489"/>
    <w:rsid w:val="0089758A"/>
    <w:rsid w:val="008A7B98"/>
    <w:rsid w:val="008B41B9"/>
    <w:rsid w:val="008B6EE2"/>
    <w:rsid w:val="0090075D"/>
    <w:rsid w:val="009345F5"/>
    <w:rsid w:val="009537EB"/>
    <w:rsid w:val="009660EE"/>
    <w:rsid w:val="00977107"/>
    <w:rsid w:val="009B28AA"/>
    <w:rsid w:val="009B60CE"/>
    <w:rsid w:val="009D2921"/>
    <w:rsid w:val="00A31007"/>
    <w:rsid w:val="00A90473"/>
    <w:rsid w:val="00AA1784"/>
    <w:rsid w:val="00AC184E"/>
    <w:rsid w:val="00AD2A70"/>
    <w:rsid w:val="00B00533"/>
    <w:rsid w:val="00B13D36"/>
    <w:rsid w:val="00B37321"/>
    <w:rsid w:val="00B7568E"/>
    <w:rsid w:val="00B7712E"/>
    <w:rsid w:val="00BA1A0D"/>
    <w:rsid w:val="00BC4DF5"/>
    <w:rsid w:val="00BC6789"/>
    <w:rsid w:val="00BE2450"/>
    <w:rsid w:val="00C13967"/>
    <w:rsid w:val="00C17689"/>
    <w:rsid w:val="00C17C59"/>
    <w:rsid w:val="00C43ADA"/>
    <w:rsid w:val="00CA3B8E"/>
    <w:rsid w:val="00D03ECF"/>
    <w:rsid w:val="00D26202"/>
    <w:rsid w:val="00D6313F"/>
    <w:rsid w:val="00D831E1"/>
    <w:rsid w:val="00DA5A4C"/>
    <w:rsid w:val="00DD0B27"/>
    <w:rsid w:val="00DD2877"/>
    <w:rsid w:val="00DD59A2"/>
    <w:rsid w:val="00E0517F"/>
    <w:rsid w:val="00E32A84"/>
    <w:rsid w:val="00E53ABB"/>
    <w:rsid w:val="00E56033"/>
    <w:rsid w:val="00EA4115"/>
    <w:rsid w:val="00EB4D77"/>
    <w:rsid w:val="00EB619A"/>
    <w:rsid w:val="00F01F2B"/>
    <w:rsid w:val="00F36D1A"/>
    <w:rsid w:val="00F40EC3"/>
    <w:rsid w:val="00F46B62"/>
    <w:rsid w:val="00F54274"/>
    <w:rsid w:val="00F74237"/>
    <w:rsid w:val="00F80365"/>
    <w:rsid w:val="00F811D3"/>
    <w:rsid w:val="00F85DC9"/>
    <w:rsid w:val="00FD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77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7769"/>
    <w:rPr>
      <w:rFonts w:ascii="Verdana" w:hAnsi="Verdana"/>
      <w:color w:val="000000"/>
      <w:sz w:val="18"/>
      <w:szCs w:val="18"/>
    </w:rPr>
  </w:style>
  <w:style w:type="paragraph" w:styleId="Lijstalinea">
    <w:name w:val="List Paragraph"/>
    <w:basedOn w:val="Standaard"/>
    <w:uiPriority w:val="34"/>
    <w:qFormat/>
    <w:rsid w:val="009345F5"/>
    <w:pPr>
      <w:autoSpaceDN/>
      <w:spacing w:line="240" w:lineRule="auto"/>
      <w:ind w:left="720"/>
      <w:textAlignment w:val="auto"/>
    </w:pPr>
    <w:rPr>
      <w:rFonts w:ascii="Aptos" w:eastAsiaTheme="minorHAnsi" w:hAnsi="Aptos" w:cs="Aptos"/>
      <w:color w:val="auto"/>
      <w:sz w:val="22"/>
      <w:szCs w:val="22"/>
      <w:lang w:eastAsia="en-US"/>
      <w14:ligatures w14:val="standardContextual"/>
    </w:rPr>
  </w:style>
  <w:style w:type="paragraph" w:styleId="Geenafstand">
    <w:name w:val="No Spacing"/>
    <w:uiPriority w:val="1"/>
    <w:qFormat/>
    <w:rsid w:val="00F74237"/>
    <w:pPr>
      <w:autoSpaceDN/>
      <w:textAlignment w:val="auto"/>
    </w:pPr>
    <w:rPr>
      <w:rFonts w:ascii="Verdana" w:eastAsiaTheme="minorHAnsi" w:hAnsi="Verdana" w:cs="Times New Roman"/>
      <w:kern w:val="2"/>
      <w:sz w:val="18"/>
      <w:szCs w:val="18"/>
      <w:lang w:eastAsia="en-US"/>
      <w14:ligatures w14:val="standardContextual"/>
    </w:rPr>
  </w:style>
  <w:style w:type="paragraph" w:styleId="Voetnoottekst">
    <w:name w:val="footnote text"/>
    <w:basedOn w:val="Standaard"/>
    <w:link w:val="VoetnoottekstChar"/>
    <w:uiPriority w:val="99"/>
    <w:semiHidden/>
    <w:unhideWhenUsed/>
    <w:rsid w:val="00F74237"/>
    <w:pPr>
      <w:autoSpaceDN/>
      <w:spacing w:line="240" w:lineRule="auto"/>
      <w:textAlignment w:val="auto"/>
    </w:pPr>
    <w:rPr>
      <w:rFonts w:eastAsiaTheme="minorHAns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74237"/>
    <w:rPr>
      <w:rFonts w:ascii="Verdana" w:eastAsiaTheme="minorHAnsi" w:hAnsi="Verdana" w:cs="Times New Roman"/>
      <w:kern w:val="2"/>
      <w:lang w:eastAsia="en-US"/>
      <w14:ligatures w14:val="standardContextual"/>
    </w:rPr>
  </w:style>
  <w:style w:type="character" w:styleId="Voetnootmarkering">
    <w:name w:val="footnote reference"/>
    <w:basedOn w:val="Standaardalinea-lettertype"/>
    <w:uiPriority w:val="99"/>
    <w:semiHidden/>
    <w:unhideWhenUsed/>
    <w:rsid w:val="00F74237"/>
    <w:rPr>
      <w:vertAlign w:val="superscript"/>
    </w:rPr>
  </w:style>
  <w:style w:type="paragraph" w:styleId="Revisie">
    <w:name w:val="Revision"/>
    <w:hidden/>
    <w:uiPriority w:val="99"/>
    <w:semiHidden/>
    <w:rsid w:val="00E5603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249EF"/>
    <w:rPr>
      <w:sz w:val="16"/>
      <w:szCs w:val="16"/>
    </w:rPr>
  </w:style>
  <w:style w:type="paragraph" w:styleId="Tekstopmerking">
    <w:name w:val="annotation text"/>
    <w:basedOn w:val="Standaard"/>
    <w:link w:val="TekstopmerkingChar"/>
    <w:uiPriority w:val="99"/>
    <w:unhideWhenUsed/>
    <w:rsid w:val="000249EF"/>
    <w:pPr>
      <w:spacing w:line="240" w:lineRule="auto"/>
    </w:pPr>
    <w:rPr>
      <w:sz w:val="20"/>
      <w:szCs w:val="20"/>
    </w:rPr>
  </w:style>
  <w:style w:type="character" w:customStyle="1" w:styleId="TekstopmerkingChar">
    <w:name w:val="Tekst opmerking Char"/>
    <w:basedOn w:val="Standaardalinea-lettertype"/>
    <w:link w:val="Tekstopmerking"/>
    <w:uiPriority w:val="99"/>
    <w:rsid w:val="000249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249EF"/>
    <w:rPr>
      <w:b/>
      <w:bCs/>
    </w:rPr>
  </w:style>
  <w:style w:type="character" w:customStyle="1" w:styleId="OnderwerpvanopmerkingChar">
    <w:name w:val="Onderwerp van opmerking Char"/>
    <w:basedOn w:val="TekstopmerkingChar"/>
    <w:link w:val="Onderwerpvanopmerking"/>
    <w:uiPriority w:val="99"/>
    <w:semiHidden/>
    <w:rsid w:val="000249E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6836">
      <w:bodyDiv w:val="1"/>
      <w:marLeft w:val="0"/>
      <w:marRight w:val="0"/>
      <w:marTop w:val="0"/>
      <w:marBottom w:val="0"/>
      <w:divBdr>
        <w:top w:val="none" w:sz="0" w:space="0" w:color="auto"/>
        <w:left w:val="none" w:sz="0" w:space="0" w:color="auto"/>
        <w:bottom w:val="none" w:sz="0" w:space="0" w:color="auto"/>
        <w:right w:val="none" w:sz="0" w:space="0" w:color="auto"/>
      </w:divBdr>
    </w:div>
    <w:div w:id="1306859556">
      <w:bodyDiv w:val="1"/>
      <w:marLeft w:val="0"/>
      <w:marRight w:val="0"/>
      <w:marTop w:val="0"/>
      <w:marBottom w:val="0"/>
      <w:divBdr>
        <w:top w:val="none" w:sz="0" w:space="0" w:color="auto"/>
        <w:left w:val="none" w:sz="0" w:space="0" w:color="auto"/>
        <w:bottom w:val="none" w:sz="0" w:space="0" w:color="auto"/>
        <w:right w:val="none" w:sz="0" w:space="0" w:color="auto"/>
      </w:divBdr>
    </w:div>
    <w:div w:id="1448544309">
      <w:bodyDiv w:val="1"/>
      <w:marLeft w:val="0"/>
      <w:marRight w:val="0"/>
      <w:marTop w:val="0"/>
      <w:marBottom w:val="0"/>
      <w:divBdr>
        <w:top w:val="none" w:sz="0" w:space="0" w:color="auto"/>
        <w:left w:val="none" w:sz="0" w:space="0" w:color="auto"/>
        <w:bottom w:val="none" w:sz="0" w:space="0" w:color="auto"/>
        <w:right w:val="none" w:sz="0" w:space="0" w:color="auto"/>
      </w:divBdr>
    </w:div>
    <w:div w:id="1661422741">
      <w:bodyDiv w:val="1"/>
      <w:marLeft w:val="0"/>
      <w:marRight w:val="0"/>
      <w:marTop w:val="0"/>
      <w:marBottom w:val="0"/>
      <w:divBdr>
        <w:top w:val="none" w:sz="0" w:space="0" w:color="auto"/>
        <w:left w:val="none" w:sz="0" w:space="0" w:color="auto"/>
        <w:bottom w:val="none" w:sz="0" w:space="0" w:color="auto"/>
        <w:right w:val="none" w:sz="0" w:space="0" w:color="auto"/>
      </w:divBdr>
    </w:div>
    <w:div w:id="1733770610">
      <w:bodyDiv w:val="1"/>
      <w:marLeft w:val="0"/>
      <w:marRight w:val="0"/>
      <w:marTop w:val="0"/>
      <w:marBottom w:val="0"/>
      <w:divBdr>
        <w:top w:val="none" w:sz="0" w:space="0" w:color="auto"/>
        <w:left w:val="none" w:sz="0" w:space="0" w:color="auto"/>
        <w:bottom w:val="none" w:sz="0" w:space="0" w:color="auto"/>
        <w:right w:val="none" w:sz="0" w:space="0" w:color="auto"/>
      </w:divBdr>
    </w:div>
    <w:div w:id="1903325273">
      <w:bodyDiv w:val="1"/>
      <w:marLeft w:val="0"/>
      <w:marRight w:val="0"/>
      <w:marTop w:val="0"/>
      <w:marBottom w:val="0"/>
      <w:divBdr>
        <w:top w:val="none" w:sz="0" w:space="0" w:color="auto"/>
        <w:left w:val="none" w:sz="0" w:space="0" w:color="auto"/>
        <w:bottom w:val="none" w:sz="0" w:space="0" w:color="auto"/>
        <w:right w:val="none" w:sz="0" w:space="0" w:color="auto"/>
      </w:divBdr>
    </w:div>
    <w:div w:id="2038433794">
      <w:bodyDiv w:val="1"/>
      <w:marLeft w:val="0"/>
      <w:marRight w:val="0"/>
      <w:marTop w:val="0"/>
      <w:marBottom w:val="0"/>
      <w:divBdr>
        <w:top w:val="none" w:sz="0" w:space="0" w:color="auto"/>
        <w:left w:val="none" w:sz="0" w:space="0" w:color="auto"/>
        <w:bottom w:val="none" w:sz="0" w:space="0" w:color="auto"/>
        <w:right w:val="none" w:sz="0" w:space="0" w:color="auto"/>
      </w:divBdr>
    </w:div>
    <w:div w:id="210935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2908</ap:Words>
  <ap:Characters>15995</ap:Characters>
  <ap:DocSecurity>0</ap:DocSecurity>
  <ap:Lines>133</ap:Lines>
  <ap:Paragraphs>37</ap:Paragraphs>
  <ap:ScaleCrop>false</ap:ScaleCrop>
  <ap:LinksUpToDate>false</ap:LinksUpToDate>
  <ap:CharactersWithSpaces>18866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2025-06-12T08:52:00.0000000Z</dcterms:created>
  <dcterms:modified xsi:type="dcterms:W3CDTF">2025-06-12T08:52:00.0000000Z</dcterms:modified>
  <dc:description>------------------------</dc:description>
  <version/>
  <category/>
</coreProperties>
</file>