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2025Z12005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juni 2025)</w:t>
        <w:br/>
      </w:r>
    </w:p>
    <w:p>
      <w:r>
        <w:t xml:space="preserve">Vragen van het lid Rep (PVV) aan de minister van Financiën over aanbesteding Exportkredietverzekeringen (EKV)</w:t>
      </w:r>
      <w:r>
        <w:br/>
      </w:r>
    </w:p>
    <w:p>
      <w:pPr>
        <w:pStyle w:val="ListParagraph"/>
        <w:numPr>
          <w:ilvl w:val="0"/>
          <w:numId w:val="100480780"/>
        </w:numPr>
        <w:ind w:left="360"/>
      </w:pPr>
      <w:r>
        <w:t>Kunt u uitsluitsel geven over de aanbesteding van de EKV’s?</w:t>
      </w:r>
      <w:r>
        <w:br/>
      </w:r>
    </w:p>
    <w:p>
      <w:pPr>
        <w:pStyle w:val="ListParagraph"/>
        <w:numPr>
          <w:ilvl w:val="0"/>
          <w:numId w:val="100480780"/>
        </w:numPr>
        <w:ind w:left="360"/>
      </w:pPr>
      <w:r>
        <w:t>Hebben zich naast Atradius DSB, Invest International en Invest-NL nog andere partijen aangemeld voor deze aanbesteding? Zo ja, welke?</w:t>
      </w:r>
      <w:r>
        <w:br/>
      </w:r>
    </w:p>
    <w:p>
      <w:pPr>
        <w:pStyle w:val="ListParagraph"/>
        <w:numPr>
          <w:ilvl w:val="0"/>
          <w:numId w:val="100480780"/>
        </w:numPr>
        <w:ind w:left="360"/>
      </w:pPr>
      <w:r>
        <w:t>Welke stakeholders worden betrokken bij de voorbereiding van deze aanbesteding?</w:t>
      </w:r>
      <w:r>
        <w:br/>
      </w:r>
    </w:p>
    <w:p>
      <w:pPr>
        <w:pStyle w:val="ListParagraph"/>
        <w:numPr>
          <w:ilvl w:val="0"/>
          <w:numId w:val="100480780"/>
        </w:numPr>
        <w:ind w:left="360"/>
      </w:pPr>
      <w:r>
        <w:t>Welke onderwerpen worden meegenomen in de aanbestedingsvoorbereiding?</w:t>
      </w:r>
      <w:r>
        <w:br/>
      </w:r>
    </w:p>
    <w:p>
      <w:pPr>
        <w:pStyle w:val="ListParagraph"/>
        <w:numPr>
          <w:ilvl w:val="0"/>
          <w:numId w:val="100480780"/>
        </w:numPr>
        <w:ind w:left="360"/>
      </w:pPr>
      <w:r>
        <w:t>Wanneer wordt de Kamer over het verloop van aanbesteding geïnformeerd?</w:t>
      </w:r>
      <w:r>
        <w:br/>
      </w:r>
    </w:p>
    <w:p>
      <w:pPr>
        <w:pStyle w:val="ListParagraph"/>
        <w:numPr>
          <w:ilvl w:val="0"/>
          <w:numId w:val="100480780"/>
        </w:numPr>
        <w:ind w:left="360"/>
      </w:pPr>
      <w:r>
        <w:t>Welke invloed heeft deze ontwikkeling op bedrijven die gebruikmaken van een EKV?</w:t>
      </w:r>
      <w:r>
        <w:br/>
      </w:r>
    </w:p>
    <w:p>
      <w:pPr>
        <w:pStyle w:val="ListParagraph"/>
        <w:numPr>
          <w:ilvl w:val="0"/>
          <w:numId w:val="100480780"/>
        </w:numPr>
        <w:ind w:left="360"/>
      </w:pPr>
      <w:r>
        <w:t>Wat zijn de mogelijke langetermijngevolgen van de aanbesteding voor de uitvoeringspraktijk?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