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2025Z12009</w:t>
        <w:br/>
      </w:r>
      <w:proofErr w:type="spellEnd"/>
    </w:p>
    <w:p>
      <w:pPr>
        <w:pStyle w:val="Normal"/>
        <w:rPr>
          <w:b w:val="1"/>
          <w:bCs w:val="1"/>
        </w:rPr>
      </w:pPr>
      <w:r w:rsidR="250AE766">
        <w:rPr>
          <w:b w:val="0"/>
          <w:bCs w:val="0"/>
        </w:rPr>
        <w:t>(ingezonden 12 juni 2025)</w:t>
        <w:br/>
      </w:r>
    </w:p>
    <w:p>
      <w:r>
        <w:t xml:space="preserve">Vragen van het lid Kouwenhoven (Nieuw Sociaal Contract) aan de staatsssecretaris van Financiën over de evaluatie van de gebruikelijkloonregeling voor directeuren-grootaandeelhouders (dga's)</w:t>
      </w:r>
      <w:r>
        <w:br/>
      </w:r>
    </w:p>
    <w:p>
      <w:r>
        <w:t xml:space="preserve"> </w:t>
      </w:r>
      <w:r>
        <w:br/>
      </w:r>
    </w:p>
    <w:p>
      <w:r>
        <w:t xml:space="preserve"> </w:t>
      </w:r>
      <w:r>
        <w:br/>
      </w:r>
    </w:p>
    <w:p>
      <w:pPr>
        <w:pStyle w:val="ListParagraph"/>
        <w:numPr>
          <w:ilvl w:val="0"/>
          <w:numId w:val="100480800"/>
        </w:numPr>
        <w:ind w:left="360"/>
      </w:pPr>
      <w:r>
        <w:t>Bent u bekend met het rapport van SEO Economisch Onderzoek "Draagt de dga zijn steentje bij?" 1), waarin de werking van de gebruikelijkloonregeling voor dga's wordt geëvalueerd?</w:t>
      </w:r>
      <w:r>
        <w:br/>
      </w:r>
    </w:p>
    <w:p>
      <w:pPr>
        <w:pStyle w:val="ListParagraph"/>
        <w:numPr>
          <w:ilvl w:val="0"/>
          <w:numId w:val="100480800"/>
        </w:numPr>
        <w:ind w:left="360"/>
      </w:pPr>
      <w:r>
        <w:t>Hoe beoordeelt u de conclusie dat de belastbare loonsom van dga's in 2023 21,3 miljard euro bedroeg, terwijl op basis van het gedrag van andere belastingplichtigen 26,2 miljard euro verwacht mocht worden (p. 53)? Welke belastinginkomsten dreigt de Belastingdienst op deze manier mis te lopen?</w:t>
      </w:r>
      <w:r>
        <w:br/>
      </w:r>
    </w:p>
    <w:p>
      <w:pPr>
        <w:pStyle w:val="ListParagraph"/>
        <w:numPr>
          <w:ilvl w:val="0"/>
          <w:numId w:val="100480800"/>
        </w:numPr>
        <w:ind w:left="360"/>
      </w:pPr>
      <w:r>
        <w:t>Wanneer ontvangt de Kamer de kabinetsreactie op dit rapport?</w:t>
      </w:r>
      <w:r>
        <w:br/>
      </w:r>
    </w:p>
    <w:p>
      <w:pPr>
        <w:pStyle w:val="ListParagraph"/>
        <w:numPr>
          <w:ilvl w:val="0"/>
          <w:numId w:val="100480800"/>
        </w:numPr>
        <w:ind w:left="360"/>
      </w:pPr>
      <w:r>
        <w:t>Hoe beoordeelt u de constatering dat het gebruikelijk loon vaak wordt vastgesteld op de ondergrens (p. 23)?</w:t>
      </w:r>
      <w:r>
        <w:br/>
      </w:r>
    </w:p>
    <w:p>
      <w:pPr>
        <w:pStyle w:val="ListParagraph"/>
        <w:numPr>
          <w:ilvl w:val="0"/>
          <w:numId w:val="100480800"/>
        </w:numPr>
        <w:ind w:left="360"/>
      </w:pPr>
      <w:r>
        <w:t>Hoe beoordeelt u de constatering dat circa 40 procent van de dga's een loon rapporteert dat onder de ondergrens ligt (p. 23)?</w:t>
      </w:r>
      <w:r>
        <w:br/>
      </w:r>
    </w:p>
    <w:p>
      <w:pPr>
        <w:pStyle w:val="ListParagraph"/>
        <w:numPr>
          <w:ilvl w:val="0"/>
          <w:numId w:val="100480800"/>
        </w:numPr>
        <w:ind w:left="360"/>
      </w:pPr>
      <w:r>
        <w:t>Hoe beoordeelt u de constatering op pagina 33 dat dga’s met een loon onder de ondergrens weliswaar vaker in deeltijd werken of starter zijn, maar dat het loonmodel deze factoren reeds meeneemt, zodat deze verschillen geen verklaring vormen voor het relatief lage loon dat dga’s tot een gebruikelijk niveau van 70.000 euro gemiddeld vaststellen?</w:t>
      </w:r>
      <w:r>
        <w:br/>
      </w:r>
    </w:p>
    <w:p>
      <w:pPr>
        <w:pStyle w:val="ListParagraph"/>
        <w:numPr>
          <w:ilvl w:val="0"/>
          <w:numId w:val="100480800"/>
        </w:numPr>
        <w:ind w:left="360"/>
      </w:pPr>
      <w:r>
        <w:t>Hoe beoordeelt u de constatering in het rapport dat het beoordelen van het gebruikelijk loon, in vergelijking met andere waarderingen, arbeidsintensief is (p. 64)? Zijn er methoden om dit minder arbeidsintensief te maken?</w:t>
      </w:r>
      <w:r>
        <w:br/>
      </w:r>
    </w:p>
    <w:p>
      <w:pPr>
        <w:pStyle w:val="ListParagraph"/>
        <w:numPr>
          <w:ilvl w:val="0"/>
          <w:numId w:val="100480800"/>
        </w:numPr>
        <w:ind w:left="360"/>
      </w:pPr>
      <w:r>
        <w:t>Hoe beoordeelt u de constatering dat de handhaving op het gebruikelijk loon door de Belastingdienst niet als strikt wordt ervaren. Waardoor ruimte ontstaat voor strategisch gedrag (p. 6)?</w:t>
      </w:r>
      <w:r>
        <w:br/>
      </w:r>
    </w:p>
    <w:p>
      <w:pPr>
        <w:pStyle w:val="ListParagraph"/>
        <w:numPr>
          <w:ilvl w:val="0"/>
          <w:numId w:val="100480800"/>
        </w:numPr>
        <w:ind w:left="360"/>
      </w:pPr>
      <w:r>
        <w:t>Wat is uw reactie op de constatering dat de pieken in de loonverdeling wijzen op strategisch gedrag (p. 23)?</w:t>
      </w:r>
      <w:r>
        <w:br/>
      </w:r>
    </w:p>
    <w:p>
      <w:pPr>
        <w:pStyle w:val="ListParagraph"/>
        <w:numPr>
          <w:ilvl w:val="0"/>
          <w:numId w:val="100480800"/>
        </w:numPr>
        <w:ind w:left="360"/>
      </w:pPr>
      <w:r>
        <w:t>Bent u bereid het aantal vooroverleggen over de gebruikelijkloonregeling, zoals genoemd op p. 47, in kaart te brengen en met de Kamer te delen?</w:t>
      </w:r>
      <w:r>
        <w:br/>
      </w:r>
    </w:p>
    <w:p>
      <w:pPr>
        <w:pStyle w:val="ListParagraph"/>
        <w:numPr>
          <w:ilvl w:val="0"/>
          <w:numId w:val="100480800"/>
        </w:numPr>
        <w:ind w:left="360"/>
      </w:pPr>
      <w:r>
        <w:t>Welke concrete beleidsopties ziet u binnen het huidige wettelijke kader om de naleving van de gebruikelijkloonregeling beter te garanderen, zoals gerichte steekproefsgewijze controle, automatische signalering bij afwijkend loon of herijking van de criteria voor onderbouwing van uitzonderingen? Hoeveel zouden deze maatregelen volgens u bijdragen aan de belastinginkomsten?</w:t>
      </w:r>
      <w:r>
        <w:br/>
      </w:r>
    </w:p>
    <w:p>
      <w:pPr>
        <w:pStyle w:val="ListParagraph"/>
        <w:numPr>
          <w:ilvl w:val="0"/>
          <w:numId w:val="100480800"/>
        </w:numPr>
        <w:ind w:left="360"/>
      </w:pPr>
      <w:r>
        <w:t>Ziet u aanleiding om de gebruikelijkloonregeling te herzien, bijvoorbeeld door deze minder gevoelig te maken voor strategisch gedrag en beter aan te laten sluiten bij de economische realiteit van kleine en middelgrote ondernemingen?</w:t>
      </w:r>
      <w:r>
        <w:br/>
      </w:r>
    </w:p>
    <w:p>
      <w:r>
        <w:t xml:space="preserve">1) SEO, april 2025, https://www.seo.nl/wp-content/uploads/2025/05/2025-76-Draagt-de-DGA-zijn-steentje-bij.pdf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