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2025Z12237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juni 2025)</w:t>
        <w:br/>
      </w:r>
    </w:p>
    <w:p>
      <w:r>
        <w:t xml:space="preserve">Vragen van het lid Van Houwelingen (FVD) aan de minister van Asiel en Migratie over de Europese Raad over vreemdelingen- en asielbeleid op 12 en 13 juni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Welke verplichting heeft u ervan weerhouden zélf bij de belangrijke JBZ-Raad over vreemdelingen- en asielbeleid op 12 en 13 juni 2025 in Luxemburg namens Nederland aanwezig te zijn?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Waar was u en met welk doel op 12 juni 2025?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Waar was u en met welk doel op 13 juni 2025?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Waarom beoordeelde u uw verplichting (of verplichtingen) op 12 en 13 juni 2025 blijkbaar als belangrijker en urgenter dan uw aanwezigheid namens Nederland bij de JBZ-Raad in Luxemburg?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Op welke dagen was u dit jaar aanwezig op de Bilderbergconferentie in Stockholm en waarom was u daar?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Kunt u de bovenstaande vragen afzonderlijk beantwoorden? Zo nee, waarom niet?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81080"/>
        </w:numPr>
        <w:ind w:left="360"/>
      </w:pPr>
      <w:r>
        <w:t>Kunt u de bovenstaande vragen binnen de gebruikelijke termijn van drie weken beantwoorden?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0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080">
    <w:abstractNumId w:val="1004810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