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2025Z12240</w:t>
        <w:br/>
      </w:r>
      <w:proofErr w:type="spellEnd"/>
    </w:p>
    <w:p>
      <w:pPr>
        <w:pStyle w:val="Normal"/>
        <w:rPr>
          <w:b w:val="1"/>
          <w:bCs w:val="1"/>
        </w:rPr>
      </w:pPr>
      <w:r w:rsidR="250AE766">
        <w:rPr>
          <w:b w:val="0"/>
          <w:bCs w:val="0"/>
        </w:rPr>
        <w:t>(ingezonden 16 juni 2025)</w:t>
        <w:br/>
      </w:r>
    </w:p>
    <w:p>
      <w:r>
        <w:t xml:space="preserve">Vragen van het lid Eerdmans (JA21) aan de ministers van Binnenlandse Zaken en Koninkrijksrelaties en van Onderwijs, Cultuur en Wetenschap over subsidies voor het slavernijverleden.</w:t>
      </w:r>
      <w:r>
        <w:br/>
      </w:r>
    </w:p>
    <w:p>
      <w:pPr>
        <w:pStyle w:val="ListParagraph"/>
        <w:numPr>
          <w:ilvl w:val="0"/>
          <w:numId w:val="100481120"/>
        </w:numPr>
        <w:ind w:left="360"/>
      </w:pPr>
      <w:r>
        <w:t>Bent u op de hoogte van het bijgevoegde overzicht 'subsidieregelingen Herdenkingsjaar Slavernijverleden'? [1]</w:t>
      </w:r>
      <w:r>
        <w:br/>
      </w:r>
    </w:p>
    <w:p>
      <w:pPr>
        <w:pStyle w:val="ListParagraph"/>
        <w:numPr>
          <w:ilvl w:val="0"/>
          <w:numId w:val="100481120"/>
        </w:numPr>
        <w:ind w:left="360"/>
      </w:pPr>
      <w:r>
        <w:t>Het project “Joss Umuganwa” had tot doel om de Rwanda Dancers Group, bestaande uit twaalf personen, naar Nederland te halen om hier de dans ter ere van de Rwandese koning Rwabugiri uit te voeren; kunt u duiden of en welk verband deze besteding houdt met het Nederlandse slavernijverleden?  </w:t>
      </w:r>
      <w:r>
        <w:br/>
      </w:r>
    </w:p>
    <w:p>
      <w:pPr>
        <w:pStyle w:val="ListParagraph"/>
        <w:numPr>
          <w:ilvl w:val="0"/>
          <w:numId w:val="100481120"/>
        </w:numPr>
        <w:ind w:left="360"/>
      </w:pPr>
      <w:r>
        <w:t>Vanuit het ministerie van Financiën is eerder gewezen op het risico dat voor subsidieaanvragen vanuit stichtingen lastig na te gaan is of het geld doelmatig wordt besteed; hoe is de subsidieverstrekking voor deze 189 projecten uit het herdenkingsjaar gecontroleerd? [2]</w:t>
      </w:r>
      <w:r>
        <w:br/>
      </w:r>
    </w:p>
    <w:p>
      <w:pPr>
        <w:pStyle w:val="ListParagraph"/>
        <w:numPr>
          <w:ilvl w:val="0"/>
          <w:numId w:val="100481120"/>
        </w:numPr>
        <w:ind w:left="360"/>
      </w:pPr>
      <w:r>
        <w:t>Kunt een complete lijst van subsidiebestedingen aanleveren, naar voorbeeld van het overzicht “subsidieregelingen Herdenkingsjaar Slavernijverleden”, voor alle gehonoreerde aanvragen tot 1 januari 2025 in zowel Europees Nederland als het Caribische deel van het Koninkrijk?</w:t>
      </w:r>
      <w:r>
        <w:br/>
      </w:r>
    </w:p>
    <w:p>
      <w:pPr>
        <w:pStyle w:val="ListParagraph"/>
        <w:numPr>
          <w:ilvl w:val="0"/>
          <w:numId w:val="100481120"/>
        </w:numPr>
        <w:ind w:left="360"/>
      </w:pPr>
      <w:r>
        <w:t>Zijn er op voorhand signalen bekend die al wijzen op onderuitputting vanuit de originele toespitsing van het slavernijverledenfonds van 200 miljoen euro?</w:t>
      </w:r>
      <w:r>
        <w:br/>
      </w:r>
    </w:p>
    <w:p>
      <w:pPr>
        <w:pStyle w:val="ListParagraph"/>
        <w:numPr>
          <w:ilvl w:val="0"/>
          <w:numId w:val="100481120"/>
        </w:numPr>
        <w:ind w:left="360"/>
      </w:pPr>
      <w:r>
        <w:t>Deelt u de mening dat in het geval van onderuitputting van het Slavernijverledenfonds in zowel Europees Nederland als het Caribische deel van het Koninkrijk of Suriname het prudent is dit bedrag terug te laten vloeien naar de staatskas?</w:t>
      </w:r>
      <w:r>
        <w:br/>
      </w:r>
    </w:p>
    <w:p>
      <w:r>
        <w:t xml:space="preserve"> </w:t>
      </w:r>
      <w:r>
        <w:br/>
      </w:r>
    </w:p>
    <w:p>
      <w:r>
        <w:t xml:space="preserve">[1] Bijlage bij Kamerstuk 36284, nr. 39</w:t>
      </w:r>
      <w:r>
        <w:br/>
      </w:r>
    </w:p>
    <w:p>
      <w:r>
        <w:t xml:space="preserve">[2] RTL Nieuws, 12 september 2024, 'Topambtenaren Financiën zeer kritisch over slavernijfonds van 200 miljoen euro: 'Heel fors' en 'gering onderbouwd', https://www.rtl.nl/nieuws/artikel/5470181/topambtenaren-financien-kritisch-slavernijfonds-200-miljoen-euro-excuses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080">
    <w:abstractNumId w:val="100481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