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190B" w:rsidRDefault="00EB190B" w14:paraId="13D7CC8B" w14:textId="77777777"/>
    <w:p w:rsidR="00EB190B" w:rsidRDefault="00EB190B" w14:paraId="6D20575C" w14:textId="77777777"/>
    <w:p w:rsidR="00EB190B" w:rsidRDefault="00EB190B" w14:paraId="5509A102" w14:textId="24758225">
      <w:r>
        <w:t xml:space="preserve">Geachte </w:t>
      </w:r>
      <w:r w:rsidR="00F46542">
        <w:t>v</w:t>
      </w:r>
      <w:r>
        <w:t>oorzitter,</w:t>
      </w:r>
    </w:p>
    <w:p w:rsidR="00EB190B" w:rsidRDefault="00EB190B" w14:paraId="1221F289" w14:textId="77777777"/>
    <w:p w:rsidR="002F0896" w:rsidRDefault="00300C79" w14:paraId="43DE851B" w14:textId="521531BD">
      <w:r>
        <w:t>Hierbij bied ik u de antwoorden aan op de schriftelijke vragen gesteld door de leden Van der Burg (VVD), Van Campen (VVD) en Boswijk (CDA) over het gevaar van Russische inmenging bij de aanstaande verkiezingen in Moldavië.</w:t>
      </w:r>
    </w:p>
    <w:p w:rsidR="002F0896" w:rsidRDefault="00300C79" w14:paraId="43DE851C" w14:textId="77777777">
      <w:r>
        <w:t>Deze vragen werden ingezonden op 28 mei 2025 met kenmerk 2025Z10837.</w:t>
      </w:r>
    </w:p>
    <w:p w:rsidR="002F0896" w:rsidRDefault="002F0896" w14:paraId="43DE8521" w14:textId="77777777"/>
    <w:p w:rsidR="002F0896" w:rsidRDefault="00300C79" w14:paraId="43DE8522" w14:textId="77777777">
      <w:r>
        <w:t>De minister van Buitenlandse Zaken,</w:t>
      </w:r>
      <w:r>
        <w:br/>
      </w:r>
      <w:r>
        <w:br/>
      </w:r>
      <w:r>
        <w:br/>
      </w:r>
      <w:r>
        <w:br/>
      </w:r>
      <w:r>
        <w:br/>
      </w:r>
      <w:r>
        <w:br/>
        <w:t>Caspar Veldkamp</w:t>
      </w:r>
    </w:p>
    <w:p w:rsidR="002F0896" w:rsidRDefault="00300C79" w14:paraId="43DE8523" w14:textId="77777777">
      <w:pPr>
        <w:pStyle w:val="WitregelW1bodytekst"/>
      </w:pPr>
      <w:r>
        <w:br w:type="page"/>
      </w:r>
    </w:p>
    <w:p w:rsidR="002F0896" w:rsidRDefault="00300C79" w14:paraId="43DE8524" w14:textId="70200081">
      <w:r>
        <w:rPr>
          <w:b/>
        </w:rPr>
        <w:lastRenderedPageBreak/>
        <w:t xml:space="preserve">Antwoorden van de </w:t>
      </w:r>
      <w:r w:rsidR="00EB190B">
        <w:rPr>
          <w:b/>
        </w:rPr>
        <w:t>m</w:t>
      </w:r>
      <w:r>
        <w:rPr>
          <w:b/>
        </w:rPr>
        <w:t>inister van Buitenlandse Zaken op vragen van de leden Van der Burg (VVD), Van Campen (VVD) en Boswijk (CDA) over het gevaar van Russische inmenging bij de aanstaande verkiezingen in Moldavië.</w:t>
      </w:r>
    </w:p>
    <w:p w:rsidRPr="005748D3" w:rsidR="00300C79" w:rsidP="00E951BC" w:rsidRDefault="00300C79" w14:paraId="5C46AF32" w14:textId="066D4141"/>
    <w:p w:rsidR="00E951BC" w:rsidP="00E951BC" w:rsidRDefault="00E951BC" w14:paraId="1337566D" w14:textId="77777777">
      <w:pPr>
        <w:rPr>
          <w:rFonts w:ascii="Aptos" w:hAnsi="Aptos"/>
          <w:b/>
          <w:bCs/>
          <w:color w:val="auto"/>
          <w:sz w:val="24"/>
          <w:szCs w:val="24"/>
          <w:lang w:eastAsia="en-US"/>
        </w:rPr>
      </w:pPr>
      <w:r>
        <w:rPr>
          <w:b/>
          <w:bCs/>
          <w:lang w:eastAsia="en-US"/>
        </w:rPr>
        <w:t>Vraag 1</w:t>
      </w:r>
    </w:p>
    <w:p w:rsidR="00E951BC" w:rsidP="00E951BC" w:rsidRDefault="00E951BC" w14:paraId="604125CB" w14:textId="56616D19">
      <w:pPr>
        <w:rPr>
          <w:lang w:eastAsia="en-US"/>
        </w:rPr>
      </w:pPr>
      <w:r w:rsidRPr="00E951BC">
        <w:rPr>
          <w:lang w:eastAsia="en-US"/>
        </w:rPr>
        <w:t>Deelt u de zorgen over Russische inmenging in de aanloop naar en tijdens de verkiezingen in Moldavië in september 2025?</w:t>
      </w:r>
    </w:p>
    <w:p w:rsidR="00E951BC" w:rsidP="00E951BC" w:rsidRDefault="00E951BC" w14:paraId="75452FEF" w14:textId="77777777">
      <w:pPr>
        <w:rPr>
          <w:lang w:eastAsia="en-US"/>
        </w:rPr>
      </w:pPr>
    </w:p>
    <w:p w:rsidR="00E951BC" w:rsidP="00E951BC" w:rsidRDefault="00E951BC" w14:paraId="3E53D874" w14:textId="77777777">
      <w:pPr>
        <w:rPr>
          <w:b/>
          <w:bCs/>
          <w:lang w:eastAsia="en-US"/>
        </w:rPr>
      </w:pPr>
      <w:r>
        <w:rPr>
          <w:b/>
          <w:bCs/>
          <w:lang w:eastAsia="en-US"/>
        </w:rPr>
        <w:t>Antwoord</w:t>
      </w:r>
    </w:p>
    <w:p w:rsidR="00E951BC" w:rsidP="00E951BC" w:rsidRDefault="00E951BC" w14:paraId="5D91C022" w14:textId="458F2F62">
      <w:pPr>
        <w:rPr>
          <w:lang w:eastAsia="en-US"/>
        </w:rPr>
      </w:pPr>
      <w:r>
        <w:rPr>
          <w:lang w:eastAsia="en-US"/>
        </w:rPr>
        <w:t>Ja</w:t>
      </w:r>
      <w:r w:rsidR="00F46542">
        <w:rPr>
          <w:lang w:eastAsia="en-US"/>
        </w:rPr>
        <w:t>.</w:t>
      </w:r>
    </w:p>
    <w:p w:rsidRPr="00E951BC" w:rsidR="00E951BC" w:rsidP="00E951BC" w:rsidRDefault="00E951BC" w14:paraId="0747992A" w14:textId="77777777">
      <w:pPr>
        <w:rPr>
          <w:lang w:eastAsia="en-US"/>
        </w:rPr>
      </w:pPr>
    </w:p>
    <w:p w:rsidR="00300C79" w:rsidP="00E951BC" w:rsidRDefault="00E951BC" w14:paraId="1EBBF14D" w14:textId="4F11C3BF">
      <w:pPr>
        <w:autoSpaceDN/>
        <w:spacing w:after="160" w:line="259" w:lineRule="auto"/>
        <w:textAlignment w:val="auto"/>
      </w:pPr>
      <w:r>
        <w:rPr>
          <w:b/>
          <w:bCs/>
        </w:rPr>
        <w:t xml:space="preserve">Vraag 2 </w:t>
      </w:r>
      <w:r>
        <w:rPr>
          <w:b/>
          <w:bCs/>
        </w:rPr>
        <w:br/>
      </w:r>
      <w:r w:rsidRPr="00E951BC" w:rsidR="00300C79">
        <w:t>In hoeverre signaleert u al Russische pogingen tot destabilisatie in Moldavië met als doel om de verkiezingen te beïnvloeden?</w:t>
      </w:r>
    </w:p>
    <w:p w:rsidRPr="00E951BC" w:rsidR="00E951BC" w:rsidP="00E951BC" w:rsidRDefault="00E951BC" w14:paraId="6640783D" w14:textId="0836B372">
      <w:pPr>
        <w:autoSpaceDN/>
        <w:spacing w:after="160" w:line="259" w:lineRule="auto"/>
        <w:textAlignment w:val="auto"/>
      </w:pPr>
      <w:r>
        <w:rPr>
          <w:b/>
          <w:bCs/>
        </w:rPr>
        <w:t>Antwoord</w:t>
      </w:r>
      <w:r>
        <w:rPr>
          <w:b/>
          <w:bCs/>
        </w:rPr>
        <w:br/>
      </w:r>
      <w:r w:rsidR="00300C79">
        <w:t xml:space="preserve">In januari 2025 heeft Rusland onrechtmatig de gasleveranties aan Moldavië stopgezet, met </w:t>
      </w:r>
      <w:r w:rsidRPr="00B869E8" w:rsidR="00300C79">
        <w:t xml:space="preserve">ernstig ontwrichtende sociale en economische </w:t>
      </w:r>
      <w:r w:rsidR="00300C79">
        <w:t>gevolgen. Deze vorm van destabilisatie was een duidelijke poging om de aankomende verkiezingen te beïnvloeden. Het kabinet beschouwt deze vorm van beïnvloeding als</w:t>
      </w:r>
      <w:r w:rsidRPr="00044CBC" w:rsidR="00300C79">
        <w:t xml:space="preserve"> onderdeel van een bredere, langer</w:t>
      </w:r>
      <w:r w:rsidR="00300C79">
        <w:t xml:space="preserve"> l</w:t>
      </w:r>
      <w:r w:rsidRPr="00044CBC" w:rsidR="00300C79">
        <w:t>opende trend. Al tijdens de presidentsverkiezingen en het EU-referendum in het najaar van 2024 was</w:t>
      </w:r>
      <w:r w:rsidR="00300C79">
        <w:t xml:space="preserve"> er</w:t>
      </w:r>
      <w:r w:rsidRPr="00044CBC" w:rsidR="00300C79">
        <w:t xml:space="preserve"> sprake van </w:t>
      </w:r>
      <w:r w:rsidR="00300C79">
        <w:t>grootschalige Russische beïnvloeding</w:t>
      </w:r>
      <w:r w:rsidRPr="00044CBC" w:rsidR="00300C79">
        <w:t>, waaronder cyberaanvallen, desinformatiecampagnes</w:t>
      </w:r>
      <w:r w:rsidR="00300C79">
        <w:t>, het falsificeren en vervolgens publiceren van overheidsdocumenten,</w:t>
      </w:r>
      <w:r w:rsidRPr="00044CBC" w:rsidR="00300C79">
        <w:t xml:space="preserve"> </w:t>
      </w:r>
      <w:r w:rsidRPr="00F46542" w:rsidR="00300C79">
        <w:rPr>
          <w:i/>
          <w:iCs/>
        </w:rPr>
        <w:t>deep-fake</w:t>
      </w:r>
      <w:r w:rsidR="00300C79">
        <w:t xml:space="preserve"> video’s </w:t>
      </w:r>
      <w:r w:rsidRPr="00044CBC" w:rsidR="00300C79">
        <w:t>en het illegaal kopen van stemmen. Deze trend zet zich voort in de aanloop naar de komende parlementsverkiezingen.</w:t>
      </w:r>
      <w:r w:rsidDel="006D0EA9" w:rsidR="00300C79">
        <w:t xml:space="preserve"> </w:t>
      </w:r>
    </w:p>
    <w:p w:rsidR="00300C79" w:rsidP="00E951BC" w:rsidRDefault="00E951BC" w14:paraId="3DB98C7A" w14:textId="134CD823">
      <w:pPr>
        <w:autoSpaceDN/>
        <w:spacing w:after="160" w:line="259" w:lineRule="auto"/>
        <w:textAlignment w:val="auto"/>
      </w:pPr>
      <w:r>
        <w:rPr>
          <w:b/>
          <w:bCs/>
        </w:rPr>
        <w:t>Vraag 3</w:t>
      </w:r>
      <w:r>
        <w:rPr>
          <w:b/>
          <w:bCs/>
        </w:rPr>
        <w:br/>
      </w:r>
      <w:r w:rsidRPr="00E951BC" w:rsidR="00300C79">
        <w:t>Welke maatregelen neemt u al om Moldavië te ondersteunen om Russische inmenging tegen te gaan?</w:t>
      </w:r>
    </w:p>
    <w:p w:rsidRPr="00E951BC" w:rsidR="00300C79" w:rsidP="00E951BC" w:rsidRDefault="00E951BC" w14:paraId="124EEBA8" w14:textId="636C2B77">
      <w:pPr>
        <w:autoSpaceDN/>
        <w:spacing w:after="160" w:line="259" w:lineRule="auto"/>
        <w:textAlignment w:val="auto"/>
        <w:rPr>
          <w:b/>
          <w:bCs/>
        </w:rPr>
      </w:pPr>
      <w:r>
        <w:rPr>
          <w:b/>
          <w:bCs/>
        </w:rPr>
        <w:t>Antwoord</w:t>
      </w:r>
      <w:r>
        <w:rPr>
          <w:b/>
          <w:bCs/>
        </w:rPr>
        <w:br/>
      </w:r>
      <w:r w:rsidR="00300C79">
        <w:t xml:space="preserve">De afgelopen jaren heeft Nederland zijn inzet in Moldavië geïntensiveerd. </w:t>
      </w:r>
      <w:r w:rsidRPr="00D91E41" w:rsidR="00300C79">
        <w:t>In 2023 opende Nederland een ambassade in Chisinau. De focus van de bilaterale samenwerking ligt op het versterken van de rechtstaat en weerstand tegen hybride dreigingen met name op cyber</w:t>
      </w:r>
      <w:r w:rsidR="00300C79">
        <w:t>gebied</w:t>
      </w:r>
      <w:r w:rsidRPr="00D91E41" w:rsidR="00300C79">
        <w:t>.</w:t>
      </w:r>
      <w:r w:rsidR="00300C79">
        <w:t xml:space="preserve"> Zo steunt Nederland via de</w:t>
      </w:r>
      <w:r w:rsidRPr="00375F2C" w:rsidR="00300C79">
        <w:t xml:space="preserve"> </w:t>
      </w:r>
      <w:r w:rsidRPr="00C5396D" w:rsidR="00300C79">
        <w:rPr>
          <w:i/>
          <w:iCs/>
        </w:rPr>
        <w:t>European Union Partnership Mission</w:t>
      </w:r>
      <w:r w:rsidRPr="00375F2C" w:rsidR="00300C79">
        <w:t xml:space="preserve"> voor Moldavië </w:t>
      </w:r>
      <w:r w:rsidR="00300C79">
        <w:t>de cyberweerbaarheid in Moldavië</w:t>
      </w:r>
      <w:r w:rsidRPr="009E04E7" w:rsidR="00300C79">
        <w:t xml:space="preserve"> </w:t>
      </w:r>
      <w:r w:rsidR="00300C79">
        <w:t xml:space="preserve">met </w:t>
      </w:r>
      <w:r w:rsidR="00F46542">
        <w:t xml:space="preserve">EUR </w:t>
      </w:r>
      <w:r w:rsidR="00300C79">
        <w:t>4 miljoen en heeft Nederland in 2024 een cyberexpert gedetacheerd in Moldavië om de Moldavische cyberinfrastructuur te versterken. Nederland steunt daarnaast  Moldavische</w:t>
      </w:r>
      <w:r w:rsidRPr="009E04E7" w:rsidR="00300C79">
        <w:t xml:space="preserve"> instanties</w:t>
      </w:r>
      <w:r w:rsidR="00300C79">
        <w:t xml:space="preserve"> zoals de Centrale Electorale Commissie, de Audiovisuele Raad en het Stratcom Centrum, die</w:t>
      </w:r>
      <w:r w:rsidRPr="009E04E7" w:rsidR="00300C79">
        <w:t xml:space="preserve"> zien op </w:t>
      </w:r>
      <w:r w:rsidR="00300C79">
        <w:t xml:space="preserve">het </w:t>
      </w:r>
      <w:r w:rsidRPr="009E04E7" w:rsidR="00300C79">
        <w:t>ve</w:t>
      </w:r>
      <w:r w:rsidR="00300C79">
        <w:t xml:space="preserve">rsterken van de weerbaarheid in aanloop naar de verkiezingen. </w:t>
      </w:r>
    </w:p>
    <w:p w:rsidRPr="00E951BC" w:rsidR="00300C79" w:rsidP="00300C79" w:rsidRDefault="00E951BC" w14:paraId="11522239" w14:textId="6F64EA56">
      <w:pPr>
        <w:rPr>
          <w:b/>
          <w:bCs/>
        </w:rPr>
      </w:pPr>
      <w:r>
        <w:rPr>
          <w:b/>
          <w:bCs/>
        </w:rPr>
        <w:t>Vraag 4</w:t>
      </w:r>
    </w:p>
    <w:p w:rsidRPr="00E951BC" w:rsidR="00300C79" w:rsidP="00E951BC" w:rsidRDefault="00300C79" w14:paraId="78B33C82" w14:textId="6374726D">
      <w:pPr>
        <w:autoSpaceDN/>
        <w:spacing w:after="160" w:line="259" w:lineRule="auto"/>
        <w:textAlignment w:val="auto"/>
      </w:pPr>
      <w:r w:rsidRPr="00E951BC">
        <w:t>Bent u het ermee eens dat maatregelen om Moldavië tegen Russische inmenging te beschermen opgeschaald moeten worden? Welke concrete stappen gaat u hiervoor op korte termijn zetten?</w:t>
      </w:r>
    </w:p>
    <w:p w:rsidR="00E951BC" w:rsidP="00F46542" w:rsidRDefault="00E951BC" w14:paraId="0D5E81EE" w14:textId="5F06224E">
      <w:r>
        <w:rPr>
          <w:b/>
          <w:bCs/>
        </w:rPr>
        <w:t>Antwoord</w:t>
      </w:r>
      <w:r>
        <w:rPr>
          <w:b/>
          <w:bCs/>
        </w:rPr>
        <w:br/>
      </w:r>
      <w:r w:rsidR="00300C79">
        <w:t xml:space="preserve">Het kabinet is de steun aan Moldavië om zich tegen Russische inmenging te beschermen aan het opschalen in aanloop naar de verkiezingen, net als is gedaan bij de verkiezingen in 2024. Samen met bondgenoten en partners zal Nederland zich inzetten voor het verhogen van cyberweerbaarheid en hybride weerbaarheid. </w:t>
      </w:r>
      <w:r w:rsidRPr="001B1B6B" w:rsidR="00300C79">
        <w:lastRenderedPageBreak/>
        <w:t xml:space="preserve">Concreet zal dit kabinet met een nieuwe bijdrage van </w:t>
      </w:r>
      <w:r w:rsidRPr="001B1B6B" w:rsidR="00F46542">
        <w:t xml:space="preserve">EUR </w:t>
      </w:r>
      <w:r w:rsidRPr="001B1B6B" w:rsidR="00300C79">
        <w:t>1,5 miljoen  geven aan het versterken van de institutionele weerbaarheid tegen hybride dreigingen en politieke corruptie via o.a. het Nationale Anticorruptie Centrum en de Financiële Inlichtingen Eenheid van Moldavië, alsmede het versterken van de weerbaarheid en toegankelijkheid van electorale processen en onafhankelijke media in de strijd tegen Russische desinformatie via het Moldavische Stratcom centrum en verschillende onafhankelijke media organisaties.</w:t>
      </w:r>
      <w:r w:rsidR="00300C79">
        <w:t xml:space="preserve">  </w:t>
      </w:r>
    </w:p>
    <w:p w:rsidRPr="00F46542" w:rsidR="00F46542" w:rsidP="00F46542" w:rsidRDefault="00F46542" w14:paraId="43F46C79" w14:textId="77777777"/>
    <w:p w:rsidR="00300C79" w:rsidP="00E951BC" w:rsidRDefault="00E951BC" w14:paraId="278A40C6" w14:textId="7813AD44">
      <w:pPr>
        <w:autoSpaceDN/>
        <w:spacing w:after="160" w:line="259" w:lineRule="auto"/>
        <w:textAlignment w:val="auto"/>
      </w:pPr>
      <w:r>
        <w:rPr>
          <w:b/>
          <w:bCs/>
        </w:rPr>
        <w:t>Vraag 5</w:t>
      </w:r>
      <w:r>
        <w:rPr>
          <w:b/>
          <w:bCs/>
        </w:rPr>
        <w:br/>
      </w:r>
      <w:r w:rsidRPr="00E951BC" w:rsidR="00300C79">
        <w:t>In hoeverre kunt u defensiesamenwerking met Moldavië, met name om hybride dreigingen tegen te gaan, via de Europese Unie (EU) uitbreiden? Zet Nederland zich in de EU in om een Permanent Structured Cooperation (PESCO)-projectteam gespecialiseerd in hybride dreigingen op te zetten zodat die bij de verkiezingen in Moldavië kan ondersteunen?</w:t>
      </w:r>
    </w:p>
    <w:p w:rsidRPr="00E951BC" w:rsidR="00300C79" w:rsidP="00E951BC" w:rsidRDefault="00E951BC" w14:paraId="7DE3A2D9" w14:textId="60933AA2">
      <w:pPr>
        <w:autoSpaceDN/>
        <w:spacing w:after="160" w:line="259" w:lineRule="auto"/>
        <w:textAlignment w:val="auto"/>
        <w:rPr>
          <w:b/>
          <w:bCs/>
        </w:rPr>
      </w:pPr>
      <w:r>
        <w:rPr>
          <w:b/>
          <w:bCs/>
        </w:rPr>
        <w:t>Antwoord</w:t>
      </w:r>
      <w:r>
        <w:rPr>
          <w:b/>
          <w:bCs/>
        </w:rPr>
        <w:br/>
      </w:r>
      <w:r w:rsidRPr="00BB465B" w:rsidR="00300C79">
        <w:t xml:space="preserve">Samen met </w:t>
      </w:r>
      <w:r w:rsidR="00300C79">
        <w:t>de EU en andere bondgenoten</w:t>
      </w:r>
      <w:r w:rsidRPr="00BB465B" w:rsidR="00300C79">
        <w:t xml:space="preserve"> steunt Nederland Moldavië in het versterken van zijn weerbaarheid.</w:t>
      </w:r>
      <w:r w:rsidR="00300C79">
        <w:t xml:space="preserve"> Het kabinet heeft zich in Europees verband ingezet voor het versterken van de </w:t>
      </w:r>
      <w:r w:rsidRPr="00AB7D56" w:rsidR="00300C79">
        <w:rPr>
          <w:i/>
          <w:iCs/>
        </w:rPr>
        <w:t>EU-Partnership Mission</w:t>
      </w:r>
      <w:r w:rsidR="00300C79">
        <w:t xml:space="preserve"> voor Moldavië, die ziet op het versterken van de Moldavische weerbaarheid tegen hybride dreigingen.</w:t>
      </w:r>
      <w:r w:rsidRPr="00C556A3" w:rsidR="00300C79">
        <w:t xml:space="preserve"> </w:t>
      </w:r>
      <w:r w:rsidR="00300C79">
        <w:t xml:space="preserve">Bovendien kijkt het kabinet bij aanvragen van Moldavië voor de inzet van speciale </w:t>
      </w:r>
      <w:r w:rsidRPr="00DB38F5" w:rsidR="00300C79">
        <w:rPr>
          <w:i/>
          <w:iCs/>
        </w:rPr>
        <w:t>rapid respons teams</w:t>
      </w:r>
      <w:r w:rsidR="00300C79">
        <w:rPr>
          <w:i/>
          <w:iCs/>
        </w:rPr>
        <w:t xml:space="preserve">, </w:t>
      </w:r>
      <w:r w:rsidR="00300C79">
        <w:t>waaronder PESCO, altijd constructief naar het leveren van de gevraagde specialistische capaciteit, indien Nederland deze beschikbaar heeft.</w:t>
      </w:r>
    </w:p>
    <w:p w:rsidR="00300C79" w:rsidP="00300C79" w:rsidRDefault="00300C79" w14:paraId="20EB6482" w14:textId="561A882F">
      <w:r w:rsidRPr="000D2AF9">
        <w:t xml:space="preserve">In 2023 heeft het kabinet ten behoeve van landen die kwetsbaar zijn voor Russische inmenging (Georgië, Bosnië en Herzegovina en Moldavië) een nieuwe bijdrage van EUR 8 miljoen gedaan aan het </w:t>
      </w:r>
      <w:r w:rsidRPr="00AB7D56">
        <w:rPr>
          <w:i/>
          <w:iCs/>
        </w:rPr>
        <w:t>Defence and Related Security Capacity Building Initiative</w:t>
      </w:r>
      <w:r w:rsidRPr="000D2AF9">
        <w:t xml:space="preserve"> (DCB) van de NAVO. Via een deel van deze bijdrage wordt in Moldavië gewerkt aan het versterken van de defensiecapaciteiten en nationale (cyber)weerbaarheid.</w:t>
      </w:r>
      <w:r>
        <w:t xml:space="preserve"> Daarnaast wordt er via de</w:t>
      </w:r>
      <w:r w:rsidRPr="000D2AF9">
        <w:t xml:space="preserve"> EU en de NAVO de </w:t>
      </w:r>
      <w:r>
        <w:t>veiligheids</w:t>
      </w:r>
      <w:r w:rsidRPr="000D2AF9">
        <w:t xml:space="preserve">samenwerking verder uitgebreid, onder meer door steunpakketten ter waarde van </w:t>
      </w:r>
      <w:r w:rsidR="00F46542">
        <w:t xml:space="preserve">EUR </w:t>
      </w:r>
      <w:r w:rsidRPr="000D2AF9">
        <w:t xml:space="preserve">197 miljoen vanuit de Europese Vredesfaciliteit. </w:t>
      </w:r>
      <w:r>
        <w:t>Het meest recente militaire hulppakket van</w:t>
      </w:r>
      <w:r w:rsidR="00F46542">
        <w:t xml:space="preserve"> EUR</w:t>
      </w:r>
      <w:r>
        <w:t xml:space="preserve"> 60 miljoen werd in </w:t>
      </w:r>
      <w:r w:rsidRPr="000D2AF9">
        <w:t>april jl.</w:t>
      </w:r>
      <w:r>
        <w:t xml:space="preserve"> goedgekeurd. </w:t>
      </w:r>
      <w:r w:rsidRPr="000D2AF9">
        <w:t xml:space="preserve"> Nederland speelt hierin een actieve rol en pleit nadrukkelijk voor het ophogen van militaire steun. </w:t>
      </w:r>
    </w:p>
    <w:p w:rsidRPr="00300C79" w:rsidR="00300C79" w:rsidP="00300C79" w:rsidRDefault="00300C79" w14:paraId="017B8481" w14:textId="77777777">
      <w:pPr>
        <w:rPr>
          <w:b/>
          <w:bCs/>
        </w:rPr>
      </w:pPr>
    </w:p>
    <w:p w:rsidR="00300C79" w:rsidP="00E951BC" w:rsidRDefault="00E951BC" w14:paraId="7A9701F5" w14:textId="65256F5C">
      <w:pPr>
        <w:autoSpaceDN/>
        <w:spacing w:after="160" w:line="259" w:lineRule="auto"/>
        <w:textAlignment w:val="auto"/>
      </w:pPr>
      <w:r>
        <w:rPr>
          <w:b/>
          <w:bCs/>
        </w:rPr>
        <w:t>Vraag 6</w:t>
      </w:r>
      <w:r>
        <w:rPr>
          <w:b/>
          <w:bCs/>
        </w:rPr>
        <w:br/>
      </w:r>
      <w:r w:rsidRPr="00E951BC" w:rsidR="00300C79">
        <w:t>Wilt u zich inzetten om de bilaterale veiligheidssamenwerking met Moldavië uit te breiden? Zo ja, hoe gaat u zich hier concreet voor inzetten?</w:t>
      </w:r>
    </w:p>
    <w:p w:rsidRPr="0094586C" w:rsidR="00300C79" w:rsidP="00F46542" w:rsidRDefault="00E951BC" w14:paraId="5536F998" w14:textId="06868027">
      <w:pPr>
        <w:autoSpaceDN/>
        <w:spacing w:after="160" w:line="259" w:lineRule="auto"/>
        <w:textAlignment w:val="auto"/>
      </w:pPr>
      <w:r w:rsidRPr="00E951BC">
        <w:rPr>
          <w:b/>
          <w:bCs/>
        </w:rPr>
        <w:t>Antwoord</w:t>
      </w:r>
      <w:r>
        <w:br/>
      </w:r>
      <w:r w:rsidR="00300C79">
        <w:t xml:space="preserve">Nederland heeft de afgelopen jaren de bilaterale veiligheidssamenwerking met Moldavië uitgebreid. </w:t>
      </w:r>
      <w:r w:rsidRPr="0047400D" w:rsidR="00300C79">
        <w:t>In lijn met motie Paternotte</w:t>
      </w:r>
      <w:r w:rsidR="00300C79">
        <w:t>/</w:t>
      </w:r>
      <w:r w:rsidRPr="0047400D" w:rsidR="00300C79">
        <w:t>Brekelman</w:t>
      </w:r>
      <w:r w:rsidR="00300C79">
        <w:t>s</w:t>
      </w:r>
      <w:r w:rsidDel="00564EF7" w:rsidR="00300C79">
        <w:t xml:space="preserve"> (</w:t>
      </w:r>
      <w:r w:rsidR="00300C79">
        <w:t xml:space="preserve">motienr </w:t>
      </w:r>
      <w:r w:rsidRPr="00564EF7" w:rsidR="00300C79">
        <w:t>21501-02-2854</w:t>
      </w:r>
      <w:r w:rsidRPr="00AB7D56" w:rsidR="00300C79">
        <w:t xml:space="preserve">) </w:t>
      </w:r>
      <w:r w:rsidRPr="00E16EFE" w:rsidR="00300C79">
        <w:t xml:space="preserve">blijft het kabinet de verschillende opties om nadere veiligheidssamenwerking met Moldavië te vergroten bezien. Nederland tekende in dit licht in april 2024 een intentieverklaring met Moldavië ter uitbreiding van de veiligheidssamenwerking. De samenwerking op het gebied van cyberveiligheid is verder geïntensiveerd door het houden van bilaterale cyberconsultaties tussen Nederland en Moldavië in januari jl. </w:t>
      </w:r>
    </w:p>
    <w:p w:rsidR="00300C79" w:rsidP="00E951BC" w:rsidRDefault="00E951BC" w14:paraId="39122C76" w14:textId="1AF6E902">
      <w:pPr>
        <w:autoSpaceDN/>
        <w:spacing w:after="160" w:line="259" w:lineRule="auto"/>
        <w:textAlignment w:val="auto"/>
        <w:rPr>
          <w:b/>
          <w:bCs/>
        </w:rPr>
      </w:pPr>
      <w:bookmarkStart w:name="_Hlk200447391" w:id="0"/>
      <w:r>
        <w:rPr>
          <w:b/>
          <w:bCs/>
        </w:rPr>
        <w:t>Vraag 7</w:t>
      </w:r>
      <w:r>
        <w:rPr>
          <w:b/>
          <w:bCs/>
        </w:rPr>
        <w:br/>
      </w:r>
      <w:r w:rsidRPr="00E951BC" w:rsidR="00300C79">
        <w:t>Klopt het dat er weer een EU-verkiezingswaarnemingsmissie in Moldavië zal zijn? Hoe zet Nederland zich in om deze missie extra te steunen?</w:t>
      </w:r>
      <w:r w:rsidRPr="00300C79" w:rsidR="00300C79">
        <w:rPr>
          <w:b/>
          <w:bCs/>
        </w:rPr>
        <w:br/>
      </w:r>
    </w:p>
    <w:p w:rsidRPr="00F46542" w:rsidR="00300C79" w:rsidP="00F46542" w:rsidRDefault="00E951BC" w14:paraId="18B4AD1B" w14:textId="38501562">
      <w:pPr>
        <w:autoSpaceDN/>
        <w:spacing w:after="160" w:line="259" w:lineRule="auto"/>
        <w:textAlignment w:val="auto"/>
        <w:rPr>
          <w:b/>
          <w:bCs/>
        </w:rPr>
      </w:pPr>
      <w:r>
        <w:rPr>
          <w:b/>
          <w:bCs/>
        </w:rPr>
        <w:lastRenderedPageBreak/>
        <w:t>Antwoord</w:t>
      </w:r>
      <w:r>
        <w:rPr>
          <w:b/>
          <w:bCs/>
        </w:rPr>
        <w:br/>
      </w:r>
      <w:r w:rsidRPr="000D2AF9" w:rsidR="00300C79">
        <w:t xml:space="preserve">De EU en de OVSE houden in beginsel een werkverdeling aan om dubbele missies en daarmee gepaard gaande kosten te vermijden: de OVSE neemt in beginsel verkiezingen waar in de OVSE-regio en de EU doet dit daarbuiten. Nederland </w:t>
      </w:r>
      <w:r w:rsidR="00300C79">
        <w:t>zal</w:t>
      </w:r>
      <w:r w:rsidRPr="000D2AF9" w:rsidR="00300C79">
        <w:t xml:space="preserve"> Nederlandse experts leveren aan de verkiezingswaarnemingsmissie van het </w:t>
      </w:r>
      <w:r w:rsidRPr="00AB7D56" w:rsidR="00300C79">
        <w:rPr>
          <w:i/>
          <w:iCs/>
        </w:rPr>
        <w:t xml:space="preserve">Office for Democratic Institutions and Human Rights </w:t>
      </w:r>
      <w:r w:rsidRPr="000D2AF9" w:rsidR="00300C79">
        <w:t>(ODHIR) van de Organisatie voor Veiligheid en Samenwerking in Europa voor de parlementaire verkiezingen van Moldavië</w:t>
      </w:r>
      <w:r w:rsidR="00300C79">
        <w:t xml:space="preserve"> als een uitnodiging daartoe ontvangen wordt</w:t>
      </w:r>
      <w:r w:rsidRPr="000D2AF9" w:rsidR="00300C79">
        <w:t xml:space="preserve">. </w:t>
      </w:r>
      <w:bookmarkEnd w:id="0"/>
    </w:p>
    <w:p w:rsidR="00300C79" w:rsidP="00E951BC" w:rsidRDefault="00E951BC" w14:paraId="0BBF9EF7" w14:textId="4B1470C5">
      <w:pPr>
        <w:autoSpaceDN/>
        <w:spacing w:after="160" w:line="259" w:lineRule="auto"/>
        <w:textAlignment w:val="auto"/>
      </w:pPr>
      <w:r>
        <w:rPr>
          <w:b/>
          <w:bCs/>
        </w:rPr>
        <w:t>Vraag 8</w:t>
      </w:r>
      <w:r>
        <w:rPr>
          <w:b/>
          <w:bCs/>
        </w:rPr>
        <w:br/>
      </w:r>
      <w:r w:rsidRPr="00E951BC" w:rsidR="00300C79">
        <w:t>Kunt u zich inzetten in de EU om de sancties tegen Moldavische pro-Russische oligarchen uit te breiden?</w:t>
      </w:r>
    </w:p>
    <w:p w:rsidRPr="00F46542" w:rsidR="00300C79" w:rsidP="00F46542" w:rsidRDefault="00E951BC" w14:paraId="6E33E545" w14:textId="31D0C11D">
      <w:pPr>
        <w:autoSpaceDN/>
        <w:spacing w:after="160" w:line="259" w:lineRule="auto"/>
        <w:textAlignment w:val="auto"/>
        <w:rPr>
          <w:b/>
          <w:bCs/>
        </w:rPr>
      </w:pPr>
      <w:r w:rsidRPr="00E951BC">
        <w:rPr>
          <w:b/>
          <w:bCs/>
        </w:rPr>
        <w:t>Antwoord</w:t>
      </w:r>
      <w:r>
        <w:rPr>
          <w:b/>
          <w:bCs/>
        </w:rPr>
        <w:br/>
      </w:r>
      <w:r w:rsidRPr="0081648F" w:rsidR="00300C79">
        <w:t xml:space="preserve">Nederland zet zich in EU verband in voor sancties tegen personen die verantwoordelijk zijn voor acties gericht op het destabiliseren, ondermijnen of bedreigen van de soevereiniteit en onafhankelijkheid van de Republiek Moldavië. Deze beperkende maatregelen zijn momenteel van toepassing op in totaal 16 </w:t>
      </w:r>
      <w:r w:rsidR="00300C79">
        <w:t xml:space="preserve">Moldavische </w:t>
      </w:r>
      <w:r w:rsidRPr="0081648F" w:rsidR="00300C79">
        <w:t xml:space="preserve">personen en 2 </w:t>
      </w:r>
      <w:r w:rsidR="00300C79">
        <w:t xml:space="preserve">Moldavische </w:t>
      </w:r>
      <w:r w:rsidRPr="0081648F" w:rsidR="00300C79">
        <w:t>entiteiten. Deze sancties bestaan uit een tegoedenbevriezing en een verbod om, direct of indirect, middelen of economische hulpbronnen aan hen ter beschikking te stellen. Daarnaast geldt voor de natuurlijke personen een inreisverbod.</w:t>
      </w:r>
      <w:r w:rsidR="00300C79">
        <w:t xml:space="preserve"> Nederland blijft zich hier onverminderd voor inzetten. </w:t>
      </w:r>
    </w:p>
    <w:p w:rsidR="00300C79" w:rsidP="00E951BC" w:rsidRDefault="00E951BC" w14:paraId="57EF89EA" w14:textId="70B64406">
      <w:pPr>
        <w:autoSpaceDN/>
        <w:spacing w:after="160" w:line="259" w:lineRule="auto"/>
        <w:textAlignment w:val="auto"/>
      </w:pPr>
      <w:r>
        <w:rPr>
          <w:b/>
          <w:bCs/>
        </w:rPr>
        <w:t>Vraag 9</w:t>
      </w:r>
      <w:r>
        <w:rPr>
          <w:b/>
          <w:bCs/>
        </w:rPr>
        <w:br/>
      </w:r>
      <w:r w:rsidRPr="00E951BC" w:rsidR="00300C79">
        <w:t>Kunt u de Kamer blijvend informeren over significante Russische pogingen tot beïnvloeding van de verkiezingen in Moldavië, indien u inschat dat deze pogingen een wezenlijk en mogelijk verstorend effect op het verkiezingsproces kunnen hebben?</w:t>
      </w:r>
    </w:p>
    <w:p w:rsidRPr="00E951BC" w:rsidR="00300C79" w:rsidP="00E951BC" w:rsidRDefault="00E951BC" w14:paraId="1B8ACDF8" w14:textId="56EA5936">
      <w:pPr>
        <w:autoSpaceDN/>
        <w:spacing w:after="160" w:line="259" w:lineRule="auto"/>
        <w:textAlignment w:val="auto"/>
        <w:rPr>
          <w:b/>
          <w:bCs/>
        </w:rPr>
      </w:pPr>
      <w:r>
        <w:rPr>
          <w:b/>
          <w:bCs/>
        </w:rPr>
        <w:t>Antwoord</w:t>
      </w:r>
      <w:r>
        <w:rPr>
          <w:b/>
          <w:bCs/>
        </w:rPr>
        <w:br/>
      </w:r>
      <w:r w:rsidR="00300C79">
        <w:t>Ja</w:t>
      </w:r>
      <w:r w:rsidR="00F46542">
        <w:t>.</w:t>
      </w:r>
    </w:p>
    <w:p w:rsidR="002F0896" w:rsidP="00300C79" w:rsidRDefault="002F0896" w14:paraId="43DE8542" w14:textId="42DAE224"/>
    <w:sectPr w:rsidR="002F0896">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E854B" w14:textId="77777777" w:rsidR="00300C79" w:rsidRDefault="00300C79">
      <w:pPr>
        <w:spacing w:line="240" w:lineRule="auto"/>
      </w:pPr>
      <w:r>
        <w:separator/>
      </w:r>
    </w:p>
  </w:endnote>
  <w:endnote w:type="continuationSeparator" w:id="0">
    <w:p w14:paraId="43DE854D" w14:textId="77777777" w:rsidR="00300C79" w:rsidRDefault="0030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F5F5" w14:textId="77777777" w:rsidR="00EB190B" w:rsidRDefault="00EB1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7078" w14:textId="77777777" w:rsidR="00EB190B" w:rsidRDefault="00EB19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84BD" w14:textId="77777777" w:rsidR="00EB190B" w:rsidRDefault="00EB1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E8547" w14:textId="77777777" w:rsidR="00300C79" w:rsidRDefault="00300C79">
      <w:pPr>
        <w:spacing w:line="240" w:lineRule="auto"/>
      </w:pPr>
      <w:r>
        <w:separator/>
      </w:r>
    </w:p>
  </w:footnote>
  <w:footnote w:type="continuationSeparator" w:id="0">
    <w:p w14:paraId="43DE8549" w14:textId="77777777" w:rsidR="00300C79" w:rsidRDefault="0030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F51" w14:textId="77777777" w:rsidR="00EB190B" w:rsidRDefault="00EB1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8543" w14:textId="688AF18A" w:rsidR="002F0896" w:rsidRDefault="00300C79">
    <w:r>
      <w:rPr>
        <w:noProof/>
      </w:rPr>
      <mc:AlternateContent>
        <mc:Choice Requires="wps">
          <w:drawing>
            <wp:anchor distT="0" distB="0" distL="0" distR="0" simplePos="0" relativeHeight="251652608" behindDoc="0" locked="1" layoutInCell="1" allowOverlap="1" wp14:anchorId="43DE8547" wp14:editId="43DE8548">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DE8576" w14:textId="77777777" w:rsidR="002F0896" w:rsidRDefault="00300C79">
                          <w:pPr>
                            <w:pStyle w:val="Referentiegegevensbold"/>
                          </w:pPr>
                          <w:r>
                            <w:t>Ministerie van Buitenlandse Zaken</w:t>
                          </w:r>
                        </w:p>
                        <w:p w14:paraId="43DE8577" w14:textId="77777777" w:rsidR="002F0896" w:rsidRDefault="002F0896">
                          <w:pPr>
                            <w:pStyle w:val="WitregelW2"/>
                          </w:pPr>
                        </w:p>
                        <w:p w14:paraId="43DE8578" w14:textId="77777777" w:rsidR="002F0896" w:rsidRDefault="00300C79">
                          <w:pPr>
                            <w:pStyle w:val="Referentiegegevensbold"/>
                          </w:pPr>
                          <w:r>
                            <w:t>Onze referentie</w:t>
                          </w:r>
                        </w:p>
                        <w:p w14:paraId="43DE8579" w14:textId="77777777" w:rsidR="002F0896" w:rsidRDefault="00300C79">
                          <w:pPr>
                            <w:pStyle w:val="Referentiegegevens"/>
                          </w:pPr>
                          <w:r>
                            <w:t>BZ2516828</w:t>
                          </w:r>
                        </w:p>
                      </w:txbxContent>
                    </wps:txbx>
                    <wps:bodyPr vert="horz" wrap="square" lIns="0" tIns="0" rIns="0" bIns="0" anchor="t" anchorCtr="0"/>
                  </wps:wsp>
                </a:graphicData>
              </a:graphic>
            </wp:anchor>
          </w:drawing>
        </mc:Choice>
        <mc:Fallback>
          <w:pict>
            <v:shapetype w14:anchorId="43DE8547"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3DE8576" w14:textId="77777777" w:rsidR="002F0896" w:rsidRDefault="00300C79">
                    <w:pPr>
                      <w:pStyle w:val="Referentiegegevensbold"/>
                    </w:pPr>
                    <w:r>
                      <w:t>Ministerie van Buitenlandse Zaken</w:t>
                    </w:r>
                  </w:p>
                  <w:p w14:paraId="43DE8577" w14:textId="77777777" w:rsidR="002F0896" w:rsidRDefault="002F0896">
                    <w:pPr>
                      <w:pStyle w:val="WitregelW2"/>
                    </w:pPr>
                  </w:p>
                  <w:p w14:paraId="43DE8578" w14:textId="77777777" w:rsidR="002F0896" w:rsidRDefault="00300C79">
                    <w:pPr>
                      <w:pStyle w:val="Referentiegegevensbold"/>
                    </w:pPr>
                    <w:r>
                      <w:t>Onze referentie</w:t>
                    </w:r>
                  </w:p>
                  <w:p w14:paraId="43DE8579" w14:textId="77777777" w:rsidR="002F0896" w:rsidRDefault="00300C79">
                    <w:pPr>
                      <w:pStyle w:val="Referentiegegevens"/>
                    </w:pPr>
                    <w:r>
                      <w:t>BZ2516828</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3DE854B" wp14:editId="3561332B">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DE857B" w14:textId="616625CF" w:rsidR="002F0896" w:rsidRDefault="00300C79">
                          <w:pPr>
                            <w:pStyle w:val="Referentiegegevens"/>
                          </w:pPr>
                          <w:r>
                            <w:t xml:space="preserve">Pagina </w:t>
                          </w:r>
                          <w:r>
                            <w:fldChar w:fldCharType="begin"/>
                          </w:r>
                          <w:r>
                            <w:instrText>=</w:instrText>
                          </w:r>
                          <w:r>
                            <w:fldChar w:fldCharType="begin"/>
                          </w:r>
                          <w:r>
                            <w:instrText>PAGE</w:instrText>
                          </w:r>
                          <w:r>
                            <w:fldChar w:fldCharType="separate"/>
                          </w:r>
                          <w:r w:rsidR="00A6686E">
                            <w:rPr>
                              <w:noProof/>
                            </w:rPr>
                            <w:instrText>2</w:instrText>
                          </w:r>
                          <w:r>
                            <w:fldChar w:fldCharType="end"/>
                          </w:r>
                          <w:r>
                            <w:instrText>-1</w:instrText>
                          </w:r>
                          <w:r>
                            <w:fldChar w:fldCharType="separate"/>
                          </w:r>
                          <w:r w:rsidR="00A6686E">
                            <w:rPr>
                              <w:noProof/>
                            </w:rPr>
                            <w:t>1</w:t>
                          </w:r>
                          <w:r>
                            <w:fldChar w:fldCharType="end"/>
                          </w:r>
                          <w:r>
                            <w:t xml:space="preserve"> van </w:t>
                          </w:r>
                          <w:r>
                            <w:fldChar w:fldCharType="begin"/>
                          </w:r>
                          <w:r>
                            <w:instrText>=</w:instrText>
                          </w:r>
                          <w:r>
                            <w:fldChar w:fldCharType="begin"/>
                          </w:r>
                          <w:r>
                            <w:instrText>NUMPAGES</w:instrText>
                          </w:r>
                          <w:r>
                            <w:fldChar w:fldCharType="separate"/>
                          </w:r>
                          <w:r w:rsidR="00A6686E">
                            <w:rPr>
                              <w:noProof/>
                            </w:rPr>
                            <w:instrText>4</w:instrText>
                          </w:r>
                          <w:r>
                            <w:fldChar w:fldCharType="end"/>
                          </w:r>
                          <w:r>
                            <w:instrText>-1</w:instrText>
                          </w:r>
                          <w:r>
                            <w:fldChar w:fldCharType="separate"/>
                          </w:r>
                          <w:r w:rsidR="00A6686E">
                            <w:rPr>
                              <w:noProof/>
                            </w:rPr>
                            <w:t>3</w:t>
                          </w:r>
                          <w:r>
                            <w:fldChar w:fldCharType="end"/>
                          </w:r>
                        </w:p>
                      </w:txbxContent>
                    </wps:txbx>
                    <wps:bodyPr vert="horz" wrap="square" lIns="0" tIns="0" rIns="0" bIns="0" anchor="t" anchorCtr="0"/>
                  </wps:wsp>
                </a:graphicData>
              </a:graphic>
            </wp:anchor>
          </w:drawing>
        </mc:Choice>
        <mc:Fallback>
          <w:pict>
            <v:shape w14:anchorId="43DE854B"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3DE857B" w14:textId="616625CF" w:rsidR="002F0896" w:rsidRDefault="00300C79">
                    <w:pPr>
                      <w:pStyle w:val="Referentiegegevens"/>
                    </w:pPr>
                    <w:r>
                      <w:t xml:space="preserve">Pagina </w:t>
                    </w:r>
                    <w:r>
                      <w:fldChar w:fldCharType="begin"/>
                    </w:r>
                    <w:r>
                      <w:instrText>=</w:instrText>
                    </w:r>
                    <w:r>
                      <w:fldChar w:fldCharType="begin"/>
                    </w:r>
                    <w:r>
                      <w:instrText>PAGE</w:instrText>
                    </w:r>
                    <w:r>
                      <w:fldChar w:fldCharType="separate"/>
                    </w:r>
                    <w:r w:rsidR="00A6686E">
                      <w:rPr>
                        <w:noProof/>
                      </w:rPr>
                      <w:instrText>2</w:instrText>
                    </w:r>
                    <w:r>
                      <w:fldChar w:fldCharType="end"/>
                    </w:r>
                    <w:r>
                      <w:instrText>-1</w:instrText>
                    </w:r>
                    <w:r>
                      <w:fldChar w:fldCharType="separate"/>
                    </w:r>
                    <w:r w:rsidR="00A6686E">
                      <w:rPr>
                        <w:noProof/>
                      </w:rPr>
                      <w:t>1</w:t>
                    </w:r>
                    <w:r>
                      <w:fldChar w:fldCharType="end"/>
                    </w:r>
                    <w:r>
                      <w:t xml:space="preserve"> van </w:t>
                    </w:r>
                    <w:r>
                      <w:fldChar w:fldCharType="begin"/>
                    </w:r>
                    <w:r>
                      <w:instrText>=</w:instrText>
                    </w:r>
                    <w:r>
                      <w:fldChar w:fldCharType="begin"/>
                    </w:r>
                    <w:r>
                      <w:instrText>NUMPAGES</w:instrText>
                    </w:r>
                    <w:r>
                      <w:fldChar w:fldCharType="separate"/>
                    </w:r>
                    <w:r w:rsidR="00A6686E">
                      <w:rPr>
                        <w:noProof/>
                      </w:rPr>
                      <w:instrText>4</w:instrText>
                    </w:r>
                    <w:r>
                      <w:fldChar w:fldCharType="end"/>
                    </w:r>
                    <w:r>
                      <w:instrText>-1</w:instrText>
                    </w:r>
                    <w:r>
                      <w:fldChar w:fldCharType="separate"/>
                    </w:r>
                    <w:r w:rsidR="00A6686E">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8545" w14:textId="6D8AAC82" w:rsidR="002F0896" w:rsidRDefault="00300C79">
    <w:pPr>
      <w:spacing w:after="7131" w:line="14" w:lineRule="exact"/>
    </w:pPr>
    <w:r>
      <w:rPr>
        <w:noProof/>
      </w:rPr>
      <mc:AlternateContent>
        <mc:Choice Requires="wps">
          <w:drawing>
            <wp:anchor distT="0" distB="0" distL="0" distR="0" simplePos="0" relativeHeight="251655680" behindDoc="0" locked="1" layoutInCell="1" allowOverlap="1" wp14:anchorId="43DE854D" wp14:editId="43DE854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3DE857C" w14:textId="77777777" w:rsidR="00300C79" w:rsidRDefault="00300C79"/>
                      </w:txbxContent>
                    </wps:txbx>
                    <wps:bodyPr vert="horz" wrap="square" lIns="0" tIns="0" rIns="0" bIns="0" anchor="t" anchorCtr="0"/>
                  </wps:wsp>
                </a:graphicData>
              </a:graphic>
            </wp:anchor>
          </w:drawing>
        </mc:Choice>
        <mc:Fallback>
          <w:pict>
            <v:shapetype w14:anchorId="43DE854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3DE857C" w14:textId="77777777" w:rsidR="00300C79" w:rsidRDefault="00300C79"/>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3DE854F" wp14:editId="43DE855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7BB691C" w14:textId="31C12A3C" w:rsidR="00EB190B" w:rsidRDefault="00EB190B" w:rsidP="00EB190B">
                          <w:r>
                            <w:t xml:space="preserve">Aan de Voorzitter van de </w:t>
                          </w:r>
                        </w:p>
                        <w:p w14:paraId="4B11A0FB" w14:textId="30040C30" w:rsidR="00EB190B" w:rsidRDefault="00EB190B" w:rsidP="00EB190B">
                          <w:r>
                            <w:t>Tweede Kamer der Staten-Generaal</w:t>
                          </w:r>
                        </w:p>
                        <w:p w14:paraId="033B6E67" w14:textId="217576BA" w:rsidR="00EB190B" w:rsidRDefault="00EB190B" w:rsidP="00EB190B">
                          <w:r>
                            <w:t>Prinses Irenestraat 6</w:t>
                          </w:r>
                        </w:p>
                        <w:p w14:paraId="22AAC002" w14:textId="761F8091" w:rsidR="00EB190B" w:rsidRPr="00EB190B" w:rsidRDefault="00EB190B" w:rsidP="00EB190B">
                          <w:r>
                            <w:t>Den Haag</w:t>
                          </w:r>
                        </w:p>
                      </w:txbxContent>
                    </wps:txbx>
                    <wps:bodyPr vert="horz" wrap="square" lIns="0" tIns="0" rIns="0" bIns="0" anchor="t" anchorCtr="0"/>
                  </wps:wsp>
                </a:graphicData>
              </a:graphic>
            </wp:anchor>
          </w:drawing>
        </mc:Choice>
        <mc:Fallback>
          <w:pict>
            <v:shape w14:anchorId="43DE854F"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7BB691C" w14:textId="31C12A3C" w:rsidR="00EB190B" w:rsidRDefault="00EB190B" w:rsidP="00EB190B">
                    <w:r>
                      <w:t xml:space="preserve">Aan de Voorzitter van de </w:t>
                    </w:r>
                  </w:p>
                  <w:p w14:paraId="4B11A0FB" w14:textId="30040C30" w:rsidR="00EB190B" w:rsidRDefault="00EB190B" w:rsidP="00EB190B">
                    <w:r>
                      <w:t>Tweede Kamer der Staten-Generaal</w:t>
                    </w:r>
                  </w:p>
                  <w:p w14:paraId="033B6E67" w14:textId="217576BA" w:rsidR="00EB190B" w:rsidRDefault="00EB190B" w:rsidP="00EB190B">
                    <w:r>
                      <w:t>Prinses Irenestraat 6</w:t>
                    </w:r>
                  </w:p>
                  <w:p w14:paraId="22AAC002" w14:textId="761F8091" w:rsidR="00EB190B" w:rsidRPr="00EB190B" w:rsidRDefault="00EB190B" w:rsidP="00EB190B">
                    <w: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3DE8551" wp14:editId="237D0D0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2F0896" w14:paraId="43DE8560" w14:textId="77777777">
                            <w:tc>
                              <w:tcPr>
                                <w:tcW w:w="903" w:type="dxa"/>
                              </w:tcPr>
                              <w:p w14:paraId="43DE855E" w14:textId="77777777" w:rsidR="002F0896" w:rsidRDefault="00300C79">
                                <w:r>
                                  <w:t>Datum</w:t>
                                </w:r>
                              </w:p>
                            </w:tc>
                            <w:tc>
                              <w:tcPr>
                                <w:tcW w:w="6626" w:type="dxa"/>
                              </w:tcPr>
                              <w:p w14:paraId="43DE855F" w14:textId="61FF92B6" w:rsidR="002F0896" w:rsidRDefault="00A6686E">
                                <w:r>
                                  <w:t xml:space="preserve">16 </w:t>
                                </w:r>
                                <w:r w:rsidR="00300C79">
                                  <w:t>juni 2025</w:t>
                                </w:r>
                              </w:p>
                            </w:tc>
                          </w:tr>
                          <w:tr w:rsidR="002F0896" w14:paraId="43DE8565" w14:textId="77777777">
                            <w:tc>
                              <w:tcPr>
                                <w:tcW w:w="678" w:type="dxa"/>
                              </w:tcPr>
                              <w:p w14:paraId="43DE8561" w14:textId="77777777" w:rsidR="002F0896" w:rsidRDefault="00300C79">
                                <w:r>
                                  <w:t>Betreft</w:t>
                                </w:r>
                              </w:p>
                              <w:p w14:paraId="43DE8562" w14:textId="77777777" w:rsidR="002F0896" w:rsidRDefault="002F0896"/>
                            </w:tc>
                            <w:tc>
                              <w:tcPr>
                                <w:tcW w:w="6851" w:type="dxa"/>
                              </w:tcPr>
                              <w:p w14:paraId="43DE8563" w14:textId="47A055EA" w:rsidR="002F0896" w:rsidRDefault="00300C79">
                                <w:r>
                                  <w:t>Beantwoording vragen van de leden Van der Burg (VVD), Van Campen (VVD) en Boswijk (CDA) over het gevaar van Russische inmenging bij de aanstaande verkiezingen in Moldavië</w:t>
                                </w:r>
                              </w:p>
                              <w:p w14:paraId="43DE8564" w14:textId="77777777" w:rsidR="002F0896" w:rsidRDefault="002F0896"/>
                            </w:tc>
                          </w:tr>
                        </w:tbl>
                        <w:p w14:paraId="43DE8566" w14:textId="77777777" w:rsidR="002F0896" w:rsidRDefault="002F0896"/>
                      </w:txbxContent>
                    </wps:txbx>
                    <wps:bodyPr vert="horz" wrap="square" lIns="0" tIns="0" rIns="0" bIns="0" anchor="t" anchorCtr="0"/>
                  </wps:wsp>
                </a:graphicData>
              </a:graphic>
            </wp:anchor>
          </w:drawing>
        </mc:Choice>
        <mc:Fallback>
          <w:pict>
            <v:shape w14:anchorId="43DE8551"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2F0896" w14:paraId="43DE8560" w14:textId="77777777">
                      <w:tc>
                        <w:tcPr>
                          <w:tcW w:w="903" w:type="dxa"/>
                        </w:tcPr>
                        <w:p w14:paraId="43DE855E" w14:textId="77777777" w:rsidR="002F0896" w:rsidRDefault="00300C79">
                          <w:r>
                            <w:t>Datum</w:t>
                          </w:r>
                        </w:p>
                      </w:tc>
                      <w:tc>
                        <w:tcPr>
                          <w:tcW w:w="6626" w:type="dxa"/>
                        </w:tcPr>
                        <w:p w14:paraId="43DE855F" w14:textId="61FF92B6" w:rsidR="002F0896" w:rsidRDefault="00A6686E">
                          <w:r>
                            <w:t xml:space="preserve">16 </w:t>
                          </w:r>
                          <w:r w:rsidR="00300C79">
                            <w:t>juni 2025</w:t>
                          </w:r>
                        </w:p>
                      </w:tc>
                    </w:tr>
                    <w:tr w:rsidR="002F0896" w14:paraId="43DE8565" w14:textId="77777777">
                      <w:tc>
                        <w:tcPr>
                          <w:tcW w:w="678" w:type="dxa"/>
                        </w:tcPr>
                        <w:p w14:paraId="43DE8561" w14:textId="77777777" w:rsidR="002F0896" w:rsidRDefault="00300C79">
                          <w:r>
                            <w:t>Betreft</w:t>
                          </w:r>
                        </w:p>
                        <w:p w14:paraId="43DE8562" w14:textId="77777777" w:rsidR="002F0896" w:rsidRDefault="002F0896"/>
                      </w:tc>
                      <w:tc>
                        <w:tcPr>
                          <w:tcW w:w="6851" w:type="dxa"/>
                        </w:tcPr>
                        <w:p w14:paraId="43DE8563" w14:textId="47A055EA" w:rsidR="002F0896" w:rsidRDefault="00300C79">
                          <w:r>
                            <w:t>Beantwoording vragen van de leden Van der Burg (VVD), Van Campen (VVD) en Boswijk (CDA) over het gevaar van Russische inmenging bij de aanstaande verkiezingen in Moldavië</w:t>
                          </w:r>
                        </w:p>
                        <w:p w14:paraId="43DE8564" w14:textId="77777777" w:rsidR="002F0896" w:rsidRDefault="002F0896"/>
                      </w:tc>
                    </w:tr>
                  </w:tbl>
                  <w:p w14:paraId="43DE8566" w14:textId="77777777" w:rsidR="002F0896" w:rsidRDefault="002F0896"/>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3DE8553" wp14:editId="43DE8554">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DE8567" w14:textId="77777777" w:rsidR="002F0896" w:rsidRDefault="00300C79">
                          <w:pPr>
                            <w:pStyle w:val="Referentiegegevensbold"/>
                          </w:pPr>
                          <w:r>
                            <w:t>Ministerie van Buitenlandse Zaken</w:t>
                          </w:r>
                        </w:p>
                        <w:p w14:paraId="43DE8568" w14:textId="77777777" w:rsidR="002F0896" w:rsidRDefault="002F0896">
                          <w:pPr>
                            <w:pStyle w:val="WitregelW1"/>
                          </w:pPr>
                        </w:p>
                        <w:p w14:paraId="43DE8569" w14:textId="79882FB6" w:rsidR="002F0896" w:rsidRPr="00EB190B" w:rsidRDefault="00EB190B" w:rsidP="00EB190B">
                          <w:pPr>
                            <w:pStyle w:val="Referentiegegevens"/>
                            <w:spacing w:line="360" w:lineRule="auto"/>
                          </w:pPr>
                          <w:r w:rsidRPr="00EB190B">
                            <w:t>Rijnstraat 8</w:t>
                          </w:r>
                        </w:p>
                        <w:p w14:paraId="170EFFF9" w14:textId="0551D3CC" w:rsidR="00EB190B" w:rsidRPr="00F46542" w:rsidRDefault="00EB190B" w:rsidP="00EB190B">
                          <w:pPr>
                            <w:spacing w:line="360" w:lineRule="auto"/>
                            <w:rPr>
                              <w:sz w:val="13"/>
                              <w:szCs w:val="13"/>
                              <w:lang w:val="da-DK"/>
                            </w:rPr>
                          </w:pPr>
                          <w:r w:rsidRPr="00F46542">
                            <w:rPr>
                              <w:sz w:val="13"/>
                              <w:szCs w:val="13"/>
                              <w:lang w:val="da-DK"/>
                            </w:rPr>
                            <w:t>2515XP Den Haag</w:t>
                          </w:r>
                        </w:p>
                        <w:p w14:paraId="09A9BC34" w14:textId="6363F152" w:rsidR="00EB190B" w:rsidRPr="00F46542" w:rsidRDefault="00EB190B" w:rsidP="00EB190B">
                          <w:pPr>
                            <w:spacing w:line="360" w:lineRule="auto"/>
                            <w:rPr>
                              <w:sz w:val="13"/>
                              <w:szCs w:val="13"/>
                              <w:lang w:val="da-DK"/>
                            </w:rPr>
                          </w:pPr>
                          <w:r w:rsidRPr="00F46542">
                            <w:rPr>
                              <w:sz w:val="13"/>
                              <w:szCs w:val="13"/>
                              <w:lang w:val="da-DK"/>
                            </w:rPr>
                            <w:t>Postbus 20061</w:t>
                          </w:r>
                        </w:p>
                        <w:p w14:paraId="1EB16838" w14:textId="09809F6A" w:rsidR="00EB190B" w:rsidRPr="00F46542" w:rsidRDefault="00EB190B" w:rsidP="00EB190B">
                          <w:pPr>
                            <w:spacing w:line="360" w:lineRule="auto"/>
                            <w:rPr>
                              <w:sz w:val="13"/>
                              <w:szCs w:val="13"/>
                              <w:lang w:val="da-DK"/>
                            </w:rPr>
                          </w:pPr>
                          <w:r w:rsidRPr="00F46542">
                            <w:rPr>
                              <w:sz w:val="13"/>
                              <w:szCs w:val="13"/>
                              <w:lang w:val="da-DK"/>
                            </w:rPr>
                            <w:t>Nederland</w:t>
                          </w:r>
                        </w:p>
                        <w:p w14:paraId="43DE856A" w14:textId="77777777" w:rsidR="002F0896" w:rsidRPr="00F46542" w:rsidRDefault="00300C79" w:rsidP="00EB190B">
                          <w:pPr>
                            <w:pStyle w:val="Referentiegegevens"/>
                            <w:spacing w:line="360" w:lineRule="auto"/>
                            <w:rPr>
                              <w:lang w:val="da-DK"/>
                            </w:rPr>
                          </w:pPr>
                          <w:r w:rsidRPr="00F46542">
                            <w:rPr>
                              <w:lang w:val="da-DK"/>
                            </w:rPr>
                            <w:t>www.minbuza.nl</w:t>
                          </w:r>
                        </w:p>
                        <w:p w14:paraId="43DE856B" w14:textId="77777777" w:rsidR="002F0896" w:rsidRPr="00F46542" w:rsidRDefault="002F0896">
                          <w:pPr>
                            <w:pStyle w:val="WitregelW2"/>
                            <w:rPr>
                              <w:lang w:val="da-DK"/>
                            </w:rPr>
                          </w:pPr>
                        </w:p>
                        <w:p w14:paraId="43DE856C" w14:textId="77777777" w:rsidR="002F0896" w:rsidRPr="00A6686E" w:rsidRDefault="00300C79">
                          <w:pPr>
                            <w:pStyle w:val="Referentiegegevensbold"/>
                          </w:pPr>
                          <w:r w:rsidRPr="00A6686E">
                            <w:t>Onze referentie</w:t>
                          </w:r>
                        </w:p>
                        <w:p w14:paraId="43DE856D" w14:textId="77777777" w:rsidR="002F0896" w:rsidRDefault="00300C79">
                          <w:pPr>
                            <w:pStyle w:val="Referentiegegevens"/>
                          </w:pPr>
                          <w:r>
                            <w:t>BZ2516828</w:t>
                          </w:r>
                        </w:p>
                        <w:p w14:paraId="43DE856E" w14:textId="77777777" w:rsidR="002F0896" w:rsidRDefault="002F0896">
                          <w:pPr>
                            <w:pStyle w:val="WitregelW1"/>
                          </w:pPr>
                        </w:p>
                        <w:p w14:paraId="43DE856F" w14:textId="77777777" w:rsidR="002F0896" w:rsidRDefault="00300C79">
                          <w:pPr>
                            <w:pStyle w:val="Referentiegegevensbold"/>
                          </w:pPr>
                          <w:r>
                            <w:t>Uw referentie</w:t>
                          </w:r>
                        </w:p>
                        <w:p w14:paraId="43DE8570" w14:textId="77777777" w:rsidR="002F0896" w:rsidRDefault="00300C79">
                          <w:pPr>
                            <w:pStyle w:val="Referentiegegevens"/>
                          </w:pPr>
                          <w:r>
                            <w:t>2025Z10837</w:t>
                          </w:r>
                        </w:p>
                        <w:p w14:paraId="43DE8571" w14:textId="77777777" w:rsidR="002F0896" w:rsidRDefault="002F0896">
                          <w:pPr>
                            <w:pStyle w:val="WitregelW1"/>
                          </w:pPr>
                        </w:p>
                        <w:p w14:paraId="43DE8572" w14:textId="77777777" w:rsidR="002F0896" w:rsidRDefault="00300C79">
                          <w:pPr>
                            <w:pStyle w:val="Referentiegegevensbold"/>
                          </w:pPr>
                          <w:r>
                            <w:t>Bijlage(n)</w:t>
                          </w:r>
                        </w:p>
                        <w:p w14:paraId="43DE8573" w14:textId="77777777" w:rsidR="002F0896" w:rsidRDefault="00300C79">
                          <w:pPr>
                            <w:pStyle w:val="Referentiegegevens"/>
                          </w:pPr>
                          <w:r>
                            <w:t>-</w:t>
                          </w:r>
                        </w:p>
                      </w:txbxContent>
                    </wps:txbx>
                    <wps:bodyPr vert="horz" wrap="square" lIns="0" tIns="0" rIns="0" bIns="0" anchor="t" anchorCtr="0"/>
                  </wps:wsp>
                </a:graphicData>
              </a:graphic>
            </wp:anchor>
          </w:drawing>
        </mc:Choice>
        <mc:Fallback>
          <w:pict>
            <v:shape w14:anchorId="43DE8553"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3DE8567" w14:textId="77777777" w:rsidR="002F0896" w:rsidRDefault="00300C79">
                    <w:pPr>
                      <w:pStyle w:val="Referentiegegevensbold"/>
                    </w:pPr>
                    <w:r>
                      <w:t>Ministerie van Buitenlandse Zaken</w:t>
                    </w:r>
                  </w:p>
                  <w:p w14:paraId="43DE8568" w14:textId="77777777" w:rsidR="002F0896" w:rsidRDefault="002F0896">
                    <w:pPr>
                      <w:pStyle w:val="WitregelW1"/>
                    </w:pPr>
                  </w:p>
                  <w:p w14:paraId="43DE8569" w14:textId="79882FB6" w:rsidR="002F0896" w:rsidRPr="00EB190B" w:rsidRDefault="00EB190B" w:rsidP="00EB190B">
                    <w:pPr>
                      <w:pStyle w:val="Referentiegegevens"/>
                      <w:spacing w:line="360" w:lineRule="auto"/>
                    </w:pPr>
                    <w:r w:rsidRPr="00EB190B">
                      <w:t>Rijnstraat 8</w:t>
                    </w:r>
                  </w:p>
                  <w:p w14:paraId="170EFFF9" w14:textId="0551D3CC" w:rsidR="00EB190B" w:rsidRPr="00F46542" w:rsidRDefault="00EB190B" w:rsidP="00EB190B">
                    <w:pPr>
                      <w:spacing w:line="360" w:lineRule="auto"/>
                      <w:rPr>
                        <w:sz w:val="13"/>
                        <w:szCs w:val="13"/>
                        <w:lang w:val="da-DK"/>
                      </w:rPr>
                    </w:pPr>
                    <w:r w:rsidRPr="00F46542">
                      <w:rPr>
                        <w:sz w:val="13"/>
                        <w:szCs w:val="13"/>
                        <w:lang w:val="da-DK"/>
                      </w:rPr>
                      <w:t>2515XP Den Haag</w:t>
                    </w:r>
                  </w:p>
                  <w:p w14:paraId="09A9BC34" w14:textId="6363F152" w:rsidR="00EB190B" w:rsidRPr="00F46542" w:rsidRDefault="00EB190B" w:rsidP="00EB190B">
                    <w:pPr>
                      <w:spacing w:line="360" w:lineRule="auto"/>
                      <w:rPr>
                        <w:sz w:val="13"/>
                        <w:szCs w:val="13"/>
                        <w:lang w:val="da-DK"/>
                      </w:rPr>
                    </w:pPr>
                    <w:r w:rsidRPr="00F46542">
                      <w:rPr>
                        <w:sz w:val="13"/>
                        <w:szCs w:val="13"/>
                        <w:lang w:val="da-DK"/>
                      </w:rPr>
                      <w:t>Postbus 20061</w:t>
                    </w:r>
                  </w:p>
                  <w:p w14:paraId="1EB16838" w14:textId="09809F6A" w:rsidR="00EB190B" w:rsidRPr="00F46542" w:rsidRDefault="00EB190B" w:rsidP="00EB190B">
                    <w:pPr>
                      <w:spacing w:line="360" w:lineRule="auto"/>
                      <w:rPr>
                        <w:sz w:val="13"/>
                        <w:szCs w:val="13"/>
                        <w:lang w:val="da-DK"/>
                      </w:rPr>
                    </w:pPr>
                    <w:r w:rsidRPr="00F46542">
                      <w:rPr>
                        <w:sz w:val="13"/>
                        <w:szCs w:val="13"/>
                        <w:lang w:val="da-DK"/>
                      </w:rPr>
                      <w:t>Nederland</w:t>
                    </w:r>
                  </w:p>
                  <w:p w14:paraId="43DE856A" w14:textId="77777777" w:rsidR="002F0896" w:rsidRPr="00F46542" w:rsidRDefault="00300C79" w:rsidP="00EB190B">
                    <w:pPr>
                      <w:pStyle w:val="Referentiegegevens"/>
                      <w:spacing w:line="360" w:lineRule="auto"/>
                      <w:rPr>
                        <w:lang w:val="da-DK"/>
                      </w:rPr>
                    </w:pPr>
                    <w:r w:rsidRPr="00F46542">
                      <w:rPr>
                        <w:lang w:val="da-DK"/>
                      </w:rPr>
                      <w:t>www.minbuza.nl</w:t>
                    </w:r>
                  </w:p>
                  <w:p w14:paraId="43DE856B" w14:textId="77777777" w:rsidR="002F0896" w:rsidRPr="00F46542" w:rsidRDefault="002F0896">
                    <w:pPr>
                      <w:pStyle w:val="WitregelW2"/>
                      <w:rPr>
                        <w:lang w:val="da-DK"/>
                      </w:rPr>
                    </w:pPr>
                  </w:p>
                  <w:p w14:paraId="43DE856C" w14:textId="77777777" w:rsidR="002F0896" w:rsidRPr="00A6686E" w:rsidRDefault="00300C79">
                    <w:pPr>
                      <w:pStyle w:val="Referentiegegevensbold"/>
                    </w:pPr>
                    <w:r w:rsidRPr="00A6686E">
                      <w:t>Onze referentie</w:t>
                    </w:r>
                  </w:p>
                  <w:p w14:paraId="43DE856D" w14:textId="77777777" w:rsidR="002F0896" w:rsidRDefault="00300C79">
                    <w:pPr>
                      <w:pStyle w:val="Referentiegegevens"/>
                    </w:pPr>
                    <w:r>
                      <w:t>BZ2516828</w:t>
                    </w:r>
                  </w:p>
                  <w:p w14:paraId="43DE856E" w14:textId="77777777" w:rsidR="002F0896" w:rsidRDefault="002F0896">
                    <w:pPr>
                      <w:pStyle w:val="WitregelW1"/>
                    </w:pPr>
                  </w:p>
                  <w:p w14:paraId="43DE856F" w14:textId="77777777" w:rsidR="002F0896" w:rsidRDefault="00300C79">
                    <w:pPr>
                      <w:pStyle w:val="Referentiegegevensbold"/>
                    </w:pPr>
                    <w:r>
                      <w:t>Uw referentie</w:t>
                    </w:r>
                  </w:p>
                  <w:p w14:paraId="43DE8570" w14:textId="77777777" w:rsidR="002F0896" w:rsidRDefault="00300C79">
                    <w:pPr>
                      <w:pStyle w:val="Referentiegegevens"/>
                    </w:pPr>
                    <w:r>
                      <w:t>2025Z10837</w:t>
                    </w:r>
                  </w:p>
                  <w:p w14:paraId="43DE8571" w14:textId="77777777" w:rsidR="002F0896" w:rsidRDefault="002F0896">
                    <w:pPr>
                      <w:pStyle w:val="WitregelW1"/>
                    </w:pPr>
                  </w:p>
                  <w:p w14:paraId="43DE8572" w14:textId="77777777" w:rsidR="002F0896" w:rsidRDefault="00300C79">
                    <w:pPr>
                      <w:pStyle w:val="Referentiegegevensbold"/>
                    </w:pPr>
                    <w:r>
                      <w:t>Bijlage(n)</w:t>
                    </w:r>
                  </w:p>
                  <w:p w14:paraId="43DE8573" w14:textId="77777777" w:rsidR="002F0896" w:rsidRDefault="00300C7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3DE8557" wp14:editId="7C08E53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3DE8582" w14:textId="77777777" w:rsidR="00300C79" w:rsidRDefault="00300C79"/>
                      </w:txbxContent>
                    </wps:txbx>
                    <wps:bodyPr vert="horz" wrap="square" lIns="0" tIns="0" rIns="0" bIns="0" anchor="t" anchorCtr="0"/>
                  </wps:wsp>
                </a:graphicData>
              </a:graphic>
            </wp:anchor>
          </w:drawing>
        </mc:Choice>
        <mc:Fallback>
          <w:pict>
            <v:shape w14:anchorId="43DE8557"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3DE8582" w14:textId="77777777" w:rsidR="00300C79" w:rsidRDefault="00300C79"/>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3DE8559" wp14:editId="43DE855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3DE8584" w14:textId="77777777" w:rsidR="00300C79" w:rsidRDefault="00300C79"/>
                      </w:txbxContent>
                    </wps:txbx>
                    <wps:bodyPr vert="horz" wrap="square" lIns="0" tIns="0" rIns="0" bIns="0" anchor="t" anchorCtr="0"/>
                  </wps:wsp>
                </a:graphicData>
              </a:graphic>
            </wp:anchor>
          </w:drawing>
        </mc:Choice>
        <mc:Fallback>
          <w:pict>
            <v:shape w14:anchorId="43DE8559"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3DE8584" w14:textId="77777777" w:rsidR="00300C79" w:rsidRDefault="00300C79"/>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3DE855B" wp14:editId="43DE855C">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3DE8575" w14:textId="77777777" w:rsidR="002F0896" w:rsidRDefault="00300C79">
                          <w:pPr>
                            <w:spacing w:line="240" w:lineRule="auto"/>
                          </w:pPr>
                          <w:r>
                            <w:rPr>
                              <w:noProof/>
                            </w:rPr>
                            <w:drawing>
                              <wp:inline distT="0" distB="0" distL="0" distR="0" wp14:anchorId="43DE857C" wp14:editId="43DE857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DE855B"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3DE8575" w14:textId="77777777" w:rsidR="002F0896" w:rsidRDefault="00300C79">
                    <w:pPr>
                      <w:spacing w:line="240" w:lineRule="auto"/>
                    </w:pPr>
                    <w:r>
                      <w:rPr>
                        <w:noProof/>
                      </w:rPr>
                      <w:drawing>
                        <wp:inline distT="0" distB="0" distL="0" distR="0" wp14:anchorId="43DE857C" wp14:editId="43DE857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EB3BE0"/>
    <w:multiLevelType w:val="multilevel"/>
    <w:tmpl w:val="D254C4F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B1EF69C"/>
    <w:multiLevelType w:val="multilevel"/>
    <w:tmpl w:val="74A8173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F61AAC02"/>
    <w:multiLevelType w:val="multilevel"/>
    <w:tmpl w:val="67239AA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CB0F54"/>
    <w:multiLevelType w:val="multilevel"/>
    <w:tmpl w:val="9B8A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56B24"/>
    <w:multiLevelType w:val="multilevel"/>
    <w:tmpl w:val="83F4703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DDD4EA0"/>
    <w:multiLevelType w:val="multilevel"/>
    <w:tmpl w:val="D2F1247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8EF6279"/>
    <w:multiLevelType w:val="hybridMultilevel"/>
    <w:tmpl w:val="0FC079AC"/>
    <w:lvl w:ilvl="0" w:tplc="5E5E9B76">
      <w:start w:val="1"/>
      <w:numFmt w:val="decimal"/>
      <w:lvlText w:val="%1."/>
      <w:lvlJc w:val="left"/>
      <w:pPr>
        <w:ind w:left="720" w:hanging="360"/>
      </w:pPr>
    </w:lvl>
    <w:lvl w:ilvl="1" w:tplc="7B143212">
      <w:start w:val="1"/>
      <w:numFmt w:val="lowerLetter"/>
      <w:lvlText w:val="%2."/>
      <w:lvlJc w:val="left"/>
      <w:pPr>
        <w:ind w:left="1440" w:hanging="360"/>
      </w:pPr>
    </w:lvl>
    <w:lvl w:ilvl="2" w:tplc="41167AA8">
      <w:start w:val="1"/>
      <w:numFmt w:val="lowerRoman"/>
      <w:lvlText w:val="%3."/>
      <w:lvlJc w:val="right"/>
      <w:pPr>
        <w:ind w:left="2160" w:hanging="180"/>
      </w:pPr>
    </w:lvl>
    <w:lvl w:ilvl="3" w:tplc="02B06934">
      <w:start w:val="1"/>
      <w:numFmt w:val="decimal"/>
      <w:lvlText w:val="%4."/>
      <w:lvlJc w:val="left"/>
      <w:pPr>
        <w:ind w:left="2880" w:hanging="360"/>
      </w:pPr>
    </w:lvl>
    <w:lvl w:ilvl="4" w:tplc="8CE22926">
      <w:start w:val="1"/>
      <w:numFmt w:val="lowerLetter"/>
      <w:lvlText w:val="%5."/>
      <w:lvlJc w:val="left"/>
      <w:pPr>
        <w:ind w:left="3600" w:hanging="360"/>
      </w:pPr>
    </w:lvl>
    <w:lvl w:ilvl="5" w:tplc="1B0885B4">
      <w:start w:val="1"/>
      <w:numFmt w:val="lowerRoman"/>
      <w:lvlText w:val="%6."/>
      <w:lvlJc w:val="right"/>
      <w:pPr>
        <w:ind w:left="4320" w:hanging="180"/>
      </w:pPr>
    </w:lvl>
    <w:lvl w:ilvl="6" w:tplc="E334075C">
      <w:start w:val="1"/>
      <w:numFmt w:val="decimal"/>
      <w:lvlText w:val="%7."/>
      <w:lvlJc w:val="left"/>
      <w:pPr>
        <w:ind w:left="5040" w:hanging="360"/>
      </w:pPr>
    </w:lvl>
    <w:lvl w:ilvl="7" w:tplc="B5A049B6">
      <w:start w:val="1"/>
      <w:numFmt w:val="lowerLetter"/>
      <w:lvlText w:val="%8."/>
      <w:lvlJc w:val="left"/>
      <w:pPr>
        <w:ind w:left="5760" w:hanging="360"/>
      </w:pPr>
    </w:lvl>
    <w:lvl w:ilvl="8" w:tplc="523E7438">
      <w:start w:val="1"/>
      <w:numFmt w:val="lowerRoman"/>
      <w:lvlText w:val="%9."/>
      <w:lvlJc w:val="right"/>
      <w:pPr>
        <w:ind w:left="6480" w:hanging="180"/>
      </w:pPr>
    </w:lvl>
  </w:abstractNum>
  <w:num w:numId="1" w16cid:durableId="42410394">
    <w:abstractNumId w:val="1"/>
  </w:num>
  <w:num w:numId="2" w16cid:durableId="406194410">
    <w:abstractNumId w:val="5"/>
  </w:num>
  <w:num w:numId="3" w16cid:durableId="1987927055">
    <w:abstractNumId w:val="4"/>
  </w:num>
  <w:num w:numId="4" w16cid:durableId="1818106244">
    <w:abstractNumId w:val="0"/>
  </w:num>
  <w:num w:numId="5" w16cid:durableId="226648779">
    <w:abstractNumId w:val="2"/>
  </w:num>
  <w:num w:numId="6" w16cid:durableId="1408725281">
    <w:abstractNumId w:val="6"/>
  </w:num>
  <w:num w:numId="7" w16cid:durableId="602765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896"/>
    <w:rsid w:val="001A019E"/>
    <w:rsid w:val="001A1B38"/>
    <w:rsid w:val="001B1B6B"/>
    <w:rsid w:val="002F0896"/>
    <w:rsid w:val="00300C79"/>
    <w:rsid w:val="00313BC0"/>
    <w:rsid w:val="003275E6"/>
    <w:rsid w:val="003D5EE8"/>
    <w:rsid w:val="007E4E9F"/>
    <w:rsid w:val="00857069"/>
    <w:rsid w:val="00A6686E"/>
    <w:rsid w:val="00C50E2D"/>
    <w:rsid w:val="00DA62CD"/>
    <w:rsid w:val="00E455C9"/>
    <w:rsid w:val="00E951BC"/>
    <w:rsid w:val="00EB190B"/>
    <w:rsid w:val="00F46542"/>
    <w:rsid w:val="00F975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3DE851B"/>
  <w15:docId w15:val="{C6D9FB34-B1BF-4130-B93E-80C6CBD6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00C79"/>
    <w:pPr>
      <w:tabs>
        <w:tab w:val="center" w:pos="4513"/>
        <w:tab w:val="right" w:pos="9026"/>
      </w:tabs>
      <w:spacing w:line="240" w:lineRule="auto"/>
    </w:pPr>
  </w:style>
  <w:style w:type="character" w:customStyle="1" w:styleId="HeaderChar">
    <w:name w:val="Header Char"/>
    <w:basedOn w:val="DefaultParagraphFont"/>
    <w:link w:val="Header"/>
    <w:uiPriority w:val="99"/>
    <w:rsid w:val="00300C79"/>
    <w:rPr>
      <w:rFonts w:ascii="Verdana" w:hAnsi="Verdana"/>
      <w:color w:val="000000"/>
      <w:sz w:val="18"/>
      <w:szCs w:val="18"/>
    </w:rPr>
  </w:style>
  <w:style w:type="paragraph" w:styleId="Footer">
    <w:name w:val="footer"/>
    <w:basedOn w:val="Normal"/>
    <w:link w:val="FooterChar"/>
    <w:uiPriority w:val="99"/>
    <w:unhideWhenUsed/>
    <w:rsid w:val="00300C79"/>
    <w:pPr>
      <w:tabs>
        <w:tab w:val="center" w:pos="4513"/>
        <w:tab w:val="right" w:pos="9026"/>
      </w:tabs>
      <w:spacing w:line="240" w:lineRule="auto"/>
    </w:pPr>
  </w:style>
  <w:style w:type="character" w:customStyle="1" w:styleId="FooterChar">
    <w:name w:val="Footer Char"/>
    <w:basedOn w:val="DefaultParagraphFont"/>
    <w:link w:val="Footer"/>
    <w:uiPriority w:val="99"/>
    <w:rsid w:val="00300C79"/>
    <w:rPr>
      <w:rFonts w:ascii="Verdana" w:hAnsi="Verdana"/>
      <w:color w:val="000000"/>
      <w:sz w:val="18"/>
      <w:szCs w:val="18"/>
    </w:rPr>
  </w:style>
  <w:style w:type="paragraph" w:styleId="FootnoteText">
    <w:name w:val="footnote text"/>
    <w:basedOn w:val="Normal"/>
    <w:link w:val="FootnoteTextChar"/>
    <w:uiPriority w:val="99"/>
    <w:unhideWhenUsed/>
    <w:rsid w:val="00300C79"/>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rsid w:val="00300C79"/>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44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1168</ap:Words>
  <ap:Characters>6428</ap:Characters>
  <ap:DocSecurity>0</ap:DocSecurity>
  <ap:Lines>53</ap:Lines>
  <ap:Paragraphs>15</ap:Paragraphs>
  <ap:ScaleCrop>false</ap:ScaleCrop>
  <ap:LinksUpToDate>false</ap:LinksUpToDate>
  <ap:CharactersWithSpaces>7581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2025-06-16T11:02:00.0000000Z</dcterms:created>
  <dcterms:modified xsi:type="dcterms:W3CDTF">2025-06-16T11:02:00.0000000Z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f2cb719d-e3af-4f05-a144-df0bc2832882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ies>
</file>