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228" w:rsidP="00F74228" w:rsidRDefault="00F74228" w14:paraId="2A2947F3" w14:textId="77777777">
      <w:pPr>
        <w:rPr>
          <w:b/>
        </w:rPr>
      </w:pPr>
      <w:r>
        <w:rPr>
          <w:b/>
        </w:rPr>
        <w:t>AH 2461</w:t>
      </w:r>
    </w:p>
    <w:p w:rsidR="00F74228" w:rsidP="00F74228" w:rsidRDefault="00F74228" w14:paraId="5DAA93B5" w14:textId="77777777">
      <w:pPr>
        <w:rPr>
          <w:b/>
        </w:rPr>
      </w:pPr>
      <w:r>
        <w:rPr>
          <w:b/>
        </w:rPr>
        <w:t>2025Z10848</w:t>
      </w:r>
    </w:p>
    <w:p w:rsidR="00F74228" w:rsidP="00F74228" w:rsidRDefault="00F74228" w14:paraId="2CF076D3" w14:textId="77777777">
      <w:pPr>
        <w:rPr>
          <w:b/>
          <w:sz w:val="24"/>
          <w:szCs w:val="24"/>
        </w:rPr>
      </w:pPr>
      <w:r w:rsidRPr="00F74228">
        <w:rPr>
          <w:b/>
          <w:sz w:val="24"/>
          <w:szCs w:val="24"/>
        </w:rPr>
        <w:t>Antwoord van minister Hermans (Klimaat en Groene Groei) (ontvangen</w:t>
      </w:r>
      <w:r>
        <w:rPr>
          <w:b/>
          <w:sz w:val="24"/>
          <w:szCs w:val="24"/>
        </w:rPr>
        <w:t xml:space="preserve"> 17 juni 2025)</w:t>
      </w:r>
    </w:p>
    <w:p w:rsidRPr="00747885" w:rsidR="00F74228" w:rsidP="00F74228" w:rsidRDefault="00F74228" w14:paraId="76E96F71" w14:textId="3CEB60E1">
      <w:pPr>
        <w:rPr>
          <w:b/>
        </w:rPr>
      </w:pPr>
      <w:r>
        <w:rPr>
          <w:b/>
        </w:rPr>
        <w:br/>
      </w:r>
      <w:r w:rsidRPr="006B7A36">
        <w:rPr>
          <w:rStyle w:val="Zwaar"/>
        </w:rPr>
        <w:t>1</w:t>
      </w:r>
      <w:r>
        <w:rPr>
          <w:rStyle w:val="Zwaar"/>
        </w:rPr>
        <w:br/>
      </w:r>
      <w:r>
        <w:t>Bent u bekend met het artikel ‘</w:t>
      </w:r>
      <w:proofErr w:type="spellStart"/>
      <w:r>
        <w:t>Uniper</w:t>
      </w:r>
      <w:proofErr w:type="spellEnd"/>
      <w:r>
        <w:t xml:space="preserve"> stopt met veel investeringen in Nederland vanwege onduidelijk beleid’?</w:t>
      </w:r>
    </w:p>
    <w:p w:rsidR="00F74228" w:rsidP="00F74228" w:rsidRDefault="00F74228" w14:paraId="74654240" w14:textId="77777777">
      <w:pPr>
        <w:rPr>
          <w:rStyle w:val="Zwaar"/>
          <w:b w:val="0"/>
          <w:bCs w:val="0"/>
        </w:rPr>
      </w:pPr>
    </w:p>
    <w:p w:rsidRPr="006B7A36" w:rsidR="00F74228" w:rsidP="00F74228" w:rsidRDefault="00F74228" w14:paraId="6BAB895C" w14:textId="77777777">
      <w:pPr>
        <w:rPr>
          <w:b/>
          <w:bCs/>
        </w:rPr>
      </w:pPr>
      <w:r w:rsidRPr="006B7A36">
        <w:rPr>
          <w:rStyle w:val="Zwaar"/>
        </w:rPr>
        <w:t>Antwoord</w:t>
      </w:r>
    </w:p>
    <w:p w:rsidR="00F74228" w:rsidP="00F74228" w:rsidRDefault="00F74228" w14:paraId="2EC16EDB" w14:textId="77777777">
      <w:r>
        <w:t>Ja.</w:t>
      </w:r>
    </w:p>
    <w:p w:rsidR="00F74228" w:rsidP="00F74228" w:rsidRDefault="00F74228" w14:paraId="4DC698B5" w14:textId="77777777"/>
    <w:p w:rsidR="00F74228" w:rsidP="00F74228" w:rsidRDefault="00F74228" w14:paraId="56DD26BA" w14:textId="77777777">
      <w:r>
        <w:t>2</w:t>
      </w:r>
    </w:p>
    <w:p w:rsidR="00F74228" w:rsidP="00F74228" w:rsidRDefault="00F74228" w14:paraId="7D2398A4" w14:textId="77777777">
      <w:r>
        <w:t xml:space="preserve">Kunt u toelichten welke specifieke projecten van </w:t>
      </w:r>
      <w:proofErr w:type="spellStart"/>
      <w:r>
        <w:t>Uniper</w:t>
      </w:r>
      <w:proofErr w:type="spellEnd"/>
      <w:r>
        <w:t xml:space="preserve"> niet doorgaan als gevolg van deze investeringsbeslissing? Hoeveel miljoen aan investeringen zet </w:t>
      </w:r>
      <w:proofErr w:type="spellStart"/>
      <w:r>
        <w:t>Uniper</w:t>
      </w:r>
      <w:proofErr w:type="spellEnd"/>
      <w:r>
        <w:t xml:space="preserve"> stop?</w:t>
      </w:r>
    </w:p>
    <w:p w:rsidR="00F74228" w:rsidP="00F74228" w:rsidRDefault="00F74228" w14:paraId="59A3BB12" w14:textId="77777777"/>
    <w:p w:rsidR="00F74228" w:rsidP="00F74228" w:rsidRDefault="00F74228" w14:paraId="794C862A" w14:textId="77777777">
      <w:r>
        <w:t>Antwoord</w:t>
      </w:r>
    </w:p>
    <w:p w:rsidR="00F74228" w:rsidP="00F74228" w:rsidRDefault="00F74228" w14:paraId="07C3F74A" w14:textId="77777777">
      <w:r>
        <w:t xml:space="preserve">Het kabinet beschikt niet over details met betrekking tot de betreffende projecten van </w:t>
      </w:r>
      <w:proofErr w:type="spellStart"/>
      <w:r>
        <w:t>Uniper</w:t>
      </w:r>
      <w:proofErr w:type="spellEnd"/>
      <w:r>
        <w:t xml:space="preserve"> of de omvang van de hiermee gepaard gaande investeringen. </w:t>
      </w:r>
      <w:proofErr w:type="spellStart"/>
      <w:r>
        <w:t>Uniper</w:t>
      </w:r>
      <w:proofErr w:type="spellEnd"/>
      <w:r>
        <w:t xml:space="preserve"> heeft geen officiële mededelingen hierover gedaan. In het artikel uit vraag 1 worden een groengasfabriek in Amsterdam en een project in Limburg voor het omzetten van biomassa in een gas voor de productie van waterstof (</w:t>
      </w:r>
      <w:proofErr w:type="spellStart"/>
      <w:r>
        <w:t>CarbHyGreen</w:t>
      </w:r>
      <w:proofErr w:type="spellEnd"/>
      <w:r>
        <w:t xml:space="preserve">) genoemd. </w:t>
      </w:r>
    </w:p>
    <w:p w:rsidR="00F74228" w:rsidP="00F74228" w:rsidRDefault="00F74228" w14:paraId="03F29971" w14:textId="77777777">
      <w:r>
        <w:br/>
        <w:t>3</w:t>
      </w:r>
    </w:p>
    <w:p w:rsidR="00F74228" w:rsidP="00F74228" w:rsidRDefault="00F74228" w14:paraId="0CF54970" w14:textId="77777777">
      <w:r>
        <w:t xml:space="preserve">Wat zijn de bredere economische effecten heeft deze beslissing van </w:t>
      </w:r>
      <w:proofErr w:type="spellStart"/>
      <w:r>
        <w:t>Uniper</w:t>
      </w:r>
      <w:proofErr w:type="spellEnd"/>
      <w:r>
        <w:t>? Wat voor effect heeft dit op investeringsbeslissingen van andere bedrijven?</w:t>
      </w:r>
    </w:p>
    <w:p w:rsidR="00F74228" w:rsidP="00F74228" w:rsidRDefault="00F74228" w14:paraId="390F08CF" w14:textId="77777777"/>
    <w:p w:rsidR="00F74228" w:rsidP="00F74228" w:rsidRDefault="00F74228" w14:paraId="10D1ACBE" w14:textId="77777777">
      <w:r>
        <w:t>4</w:t>
      </w:r>
    </w:p>
    <w:p w:rsidR="00F74228" w:rsidP="00F74228" w:rsidRDefault="00F74228" w14:paraId="56DCA9B2" w14:textId="77777777">
      <w:r>
        <w:t>Wat is de regionale impact van deze investeringsbeslissing? Kunt u daarbij in ieder geval ingaan op de economische impact van deze beslissing voor Amsterdam, Rotterdam en Limburg.</w:t>
      </w:r>
      <w:r>
        <w:br/>
      </w:r>
    </w:p>
    <w:p w:rsidR="00F74228" w:rsidP="00F74228" w:rsidRDefault="00F74228" w14:paraId="6A67061A" w14:textId="77777777">
      <w:r>
        <w:t>Antwoord op vraag 3 en 4</w:t>
      </w:r>
    </w:p>
    <w:p w:rsidR="00F74228" w:rsidP="00F74228" w:rsidRDefault="00F74228" w14:paraId="0D61F7A1" w14:textId="77777777">
      <w:r>
        <w:lastRenderedPageBreak/>
        <w:t xml:space="preserve">Het is van belang om te onderstrepen dat </w:t>
      </w:r>
      <w:proofErr w:type="spellStart"/>
      <w:r>
        <w:t>Uniper</w:t>
      </w:r>
      <w:proofErr w:type="spellEnd"/>
      <w:r>
        <w:t xml:space="preserve"> heeft aangegeven dat het doorgaat met zijn groene waterstofproject op de Maasvlakte en vasthoudt aan de vier bestaande elektriciteitscentrales in Nederland. </w:t>
      </w:r>
    </w:p>
    <w:p w:rsidR="00F74228" w:rsidP="00F74228" w:rsidRDefault="00F74228" w14:paraId="02658959" w14:textId="77777777"/>
    <w:p w:rsidR="00F74228" w:rsidP="00F74228" w:rsidRDefault="00F74228" w14:paraId="0C52D51B" w14:textId="77777777">
      <w:pPr>
        <w:rPr>
          <w:rFonts w:cs="Calibri"/>
        </w:rPr>
      </w:pPr>
      <w:r>
        <w:t xml:space="preserve">Omdat </w:t>
      </w:r>
      <w:proofErr w:type="spellStart"/>
      <w:r>
        <w:t>Uniper</w:t>
      </w:r>
      <w:proofErr w:type="spellEnd"/>
      <w:r>
        <w:t xml:space="preserve"> geen mededeling heeft gedaan over details van genoemde investeringsbeslissing, zijn de bredere economische effecten hiervan nog niet bekend. Een inschatting van de regionale impact is daarmee ook lastig te maken. </w:t>
      </w:r>
      <w:r w:rsidRPr="259178B9">
        <w:rPr>
          <w:rFonts w:cs="Calibri"/>
        </w:rPr>
        <w:t>Het kabinet</w:t>
      </w:r>
      <w:r>
        <w:rPr>
          <w:rFonts w:cs="Calibri"/>
        </w:rPr>
        <w:t xml:space="preserve"> hecht aan een goed investeringsklimaat in Nederland. Daarom is h</w:t>
      </w:r>
      <w:r w:rsidRPr="259178B9">
        <w:rPr>
          <w:rFonts w:cs="Calibri"/>
        </w:rPr>
        <w:t xml:space="preserve">et </w:t>
      </w:r>
      <w:r>
        <w:rPr>
          <w:rFonts w:cs="Calibri"/>
        </w:rPr>
        <w:t xml:space="preserve">kabinet blijvend </w:t>
      </w:r>
      <w:r w:rsidRPr="259178B9">
        <w:rPr>
          <w:rFonts w:cs="Calibri"/>
        </w:rPr>
        <w:t xml:space="preserve">in gesprek met </w:t>
      </w:r>
      <w:proofErr w:type="spellStart"/>
      <w:r w:rsidRPr="259178B9">
        <w:rPr>
          <w:rFonts w:cs="Calibri"/>
        </w:rPr>
        <w:t>Uniper</w:t>
      </w:r>
      <w:proofErr w:type="spellEnd"/>
      <w:r w:rsidRPr="259178B9">
        <w:rPr>
          <w:rFonts w:cs="Calibri"/>
        </w:rPr>
        <w:t xml:space="preserve"> en andere bedrijven</w:t>
      </w:r>
      <w:r>
        <w:rPr>
          <w:rFonts w:cs="Calibri"/>
        </w:rPr>
        <w:t xml:space="preserve"> en zet het zich maximaal in om belemmeringen voor het vestigingsklimaat te adresseren.</w:t>
      </w:r>
    </w:p>
    <w:p w:rsidR="00F74228" w:rsidP="00F74228" w:rsidRDefault="00F74228" w14:paraId="60C62202" w14:textId="77777777">
      <w:pPr>
        <w:rPr>
          <w:rFonts w:cs="Calibri"/>
        </w:rPr>
      </w:pPr>
    </w:p>
    <w:p w:rsidR="00F74228" w:rsidP="00F74228" w:rsidRDefault="00F74228" w14:paraId="2C139636" w14:textId="77777777">
      <w:pPr>
        <w:rPr>
          <w:rFonts w:cs="Calibri"/>
        </w:rPr>
      </w:pPr>
      <w:r>
        <w:rPr>
          <w:rFonts w:cs="Calibri"/>
        </w:rPr>
        <w:t>5</w:t>
      </w:r>
    </w:p>
    <w:p w:rsidR="00F74228" w:rsidP="00F74228" w:rsidRDefault="00F74228" w14:paraId="06766AF7" w14:textId="77777777">
      <w:pPr>
        <w:rPr>
          <w:rFonts w:cs="Calibri"/>
        </w:rPr>
      </w:pPr>
      <w:r>
        <w:t>Wat voor impact heeft deze investeringsbeslissing op het gebied van de ontwikkeling waterstof, groen gas en het realiseren CO2-reductie?</w:t>
      </w:r>
    </w:p>
    <w:p w:rsidR="00F74228" w:rsidP="00F74228" w:rsidRDefault="00F74228" w14:paraId="07F234F0" w14:textId="77777777"/>
    <w:p w:rsidR="00F74228" w:rsidP="00F74228" w:rsidRDefault="00F74228" w14:paraId="71E59F4B" w14:textId="77777777">
      <w:r>
        <w:br w:type="page"/>
      </w:r>
    </w:p>
    <w:p w:rsidR="00F74228" w:rsidP="00F74228" w:rsidRDefault="00F74228" w14:paraId="111D04B9" w14:textId="77777777">
      <w:r>
        <w:lastRenderedPageBreak/>
        <w:t>Antwoord</w:t>
      </w:r>
    </w:p>
    <w:p w:rsidR="00F74228" w:rsidP="00F74228" w:rsidRDefault="00F74228" w14:paraId="214AE614" w14:textId="77777777">
      <w:pPr>
        <w:rPr>
          <w:rFonts w:cs="Calibri"/>
        </w:rPr>
      </w:pPr>
      <w:r>
        <w:rPr>
          <w:rFonts w:cs="Calibri"/>
        </w:rPr>
        <w:t xml:space="preserve">De in het artikel genoemde projecten zijn beide </w:t>
      </w:r>
      <w:r w:rsidRPr="006D4953">
        <w:rPr>
          <w:rFonts w:cs="Calibri"/>
        </w:rPr>
        <w:t xml:space="preserve">relevant </w:t>
      </w:r>
      <w:r>
        <w:rPr>
          <w:rFonts w:cs="Calibri"/>
        </w:rPr>
        <w:t>v</w:t>
      </w:r>
      <w:r w:rsidRPr="006D4953">
        <w:rPr>
          <w:rFonts w:cs="Calibri"/>
        </w:rPr>
        <w:t xml:space="preserve">oor de ontwikkeling van groen gas en waterstof. Dit zou </w:t>
      </w:r>
      <w:r>
        <w:rPr>
          <w:rFonts w:cs="Calibri"/>
        </w:rPr>
        <w:t>mogelijk</w:t>
      </w:r>
      <w:r w:rsidRPr="006D4953">
        <w:rPr>
          <w:rFonts w:cs="Calibri"/>
        </w:rPr>
        <w:t xml:space="preserve"> een negatieve invloed</w:t>
      </w:r>
      <w:r>
        <w:rPr>
          <w:rFonts w:cs="Calibri"/>
        </w:rPr>
        <w:t xml:space="preserve"> kunnen</w:t>
      </w:r>
      <w:r w:rsidRPr="006D4953">
        <w:rPr>
          <w:rFonts w:cs="Calibri"/>
        </w:rPr>
        <w:t xml:space="preserve"> hebben op innovaties en CO₂-reductie. </w:t>
      </w:r>
      <w:r>
        <w:rPr>
          <w:rFonts w:cs="Calibri"/>
        </w:rPr>
        <w:t xml:space="preserve">Dit is echter niet eenduidig omdat, zoals ook aangegeven in het antwoord op vraag 2, </w:t>
      </w:r>
      <w:proofErr w:type="spellStart"/>
      <w:r>
        <w:rPr>
          <w:rFonts w:cs="Calibri"/>
        </w:rPr>
        <w:t>Uniper</w:t>
      </w:r>
      <w:proofErr w:type="spellEnd"/>
      <w:r>
        <w:rPr>
          <w:rFonts w:cs="Calibri"/>
        </w:rPr>
        <w:t xml:space="preserve"> geen details heeft vrijgegeven. </w:t>
      </w:r>
    </w:p>
    <w:p w:rsidR="00F74228" w:rsidP="00F74228" w:rsidRDefault="00F74228" w14:paraId="516961EF" w14:textId="77777777">
      <w:pPr>
        <w:rPr>
          <w:rFonts w:cs="Calibri"/>
        </w:rPr>
      </w:pPr>
    </w:p>
    <w:p w:rsidR="00F74228" w:rsidP="00F74228" w:rsidRDefault="00F74228" w14:paraId="52DEF167" w14:textId="77777777">
      <w:pPr>
        <w:rPr>
          <w:rFonts w:cs="Calibri"/>
        </w:rPr>
      </w:pPr>
      <w:r>
        <w:rPr>
          <w:rFonts w:cs="Calibri"/>
        </w:rPr>
        <w:t>6</w:t>
      </w:r>
    </w:p>
    <w:p w:rsidR="00F74228" w:rsidP="00F74228" w:rsidRDefault="00F74228" w14:paraId="4DDFE59E" w14:textId="77777777">
      <w:pPr>
        <w:rPr>
          <w:rFonts w:cs="Calibri"/>
        </w:rPr>
      </w:pPr>
      <w:r>
        <w:t xml:space="preserve">Kunt u daarbij specifiek ingaan op de effecten van het stoppen van de groengasfabriek in Amsterdam, het </w:t>
      </w:r>
      <w:proofErr w:type="spellStart"/>
      <w:r>
        <w:t>Hydrogen</w:t>
      </w:r>
      <w:proofErr w:type="spellEnd"/>
      <w:r>
        <w:t xml:space="preserve"> </w:t>
      </w:r>
      <w:proofErr w:type="spellStart"/>
      <w:r>
        <w:t>to</w:t>
      </w:r>
      <w:proofErr w:type="spellEnd"/>
      <w:r>
        <w:t xml:space="preserve"> Maasvlakte (H2M)-project op de Maasvlakte en de </w:t>
      </w:r>
      <w:proofErr w:type="spellStart"/>
      <w:r>
        <w:t>Syngasfabriek</w:t>
      </w:r>
      <w:proofErr w:type="spellEnd"/>
      <w:r>
        <w:t xml:space="preserve"> in Limburg?</w:t>
      </w:r>
    </w:p>
    <w:p w:rsidR="00F74228" w:rsidP="00F74228" w:rsidRDefault="00F74228" w14:paraId="2178B924" w14:textId="77777777">
      <w:pPr>
        <w:rPr>
          <w:rFonts w:cs="Calibri"/>
        </w:rPr>
      </w:pPr>
    </w:p>
    <w:p w:rsidR="00F74228" w:rsidP="00F74228" w:rsidRDefault="00F74228" w14:paraId="2F634C48" w14:textId="77777777">
      <w:r>
        <w:t>Antwoord</w:t>
      </w:r>
    </w:p>
    <w:p w:rsidR="00F74228" w:rsidP="00F74228" w:rsidRDefault="00F74228" w14:paraId="0F723476" w14:textId="77777777">
      <w:pPr>
        <w:rPr>
          <w:rFonts w:cs="Calibri"/>
        </w:rPr>
      </w:pPr>
      <w:r>
        <w:t xml:space="preserve">Zoals aangegeven in het antwoord op vraag 3 t/m 5 zijn de details van de beslissing door </w:t>
      </w:r>
      <w:proofErr w:type="spellStart"/>
      <w:r>
        <w:t>Uniper</w:t>
      </w:r>
      <w:proofErr w:type="spellEnd"/>
      <w:r>
        <w:t xml:space="preserve"> niet bekend en is het hierdoor niet mogelijk om een eenduidig beeld te krijgen van de effecten. Daarbij zij aangetekend dat in het genoemde artikel uit vraag 1 is aangegeven dat </w:t>
      </w:r>
      <w:proofErr w:type="spellStart"/>
      <w:r>
        <w:t>Uniper</w:t>
      </w:r>
      <w:proofErr w:type="spellEnd"/>
      <w:r>
        <w:t xml:space="preserve"> doorgaat met zijn groene waterstofproject op de Maasvlakte.</w:t>
      </w:r>
    </w:p>
    <w:p w:rsidR="00F74228" w:rsidP="00F74228" w:rsidRDefault="00F74228" w14:paraId="2B533F3A" w14:textId="77777777">
      <w:pPr>
        <w:rPr>
          <w:rFonts w:cs="Calibri"/>
        </w:rPr>
      </w:pPr>
    </w:p>
    <w:p w:rsidR="00F74228" w:rsidP="00F74228" w:rsidRDefault="00F74228" w14:paraId="33AD5BED" w14:textId="77777777">
      <w:pPr>
        <w:rPr>
          <w:rFonts w:cs="Calibri"/>
        </w:rPr>
      </w:pPr>
      <w:r>
        <w:rPr>
          <w:rFonts w:cs="Calibri"/>
        </w:rPr>
        <w:t>7</w:t>
      </w:r>
    </w:p>
    <w:p w:rsidR="00F74228" w:rsidP="00F74228" w:rsidRDefault="00F74228" w14:paraId="1CAC745B" w14:textId="77777777">
      <w:pPr>
        <w:rPr>
          <w:rFonts w:cs="Calibri"/>
        </w:rPr>
      </w:pPr>
      <w:r>
        <w:t>Onderkent u dat er te veel onduidelijkheid is over het energiebeleid voor energiebedrijven en overige betrokkenen om te investeren en te verduurzamen?</w:t>
      </w:r>
    </w:p>
    <w:p w:rsidR="00F74228" w:rsidP="00F74228" w:rsidRDefault="00F74228" w14:paraId="1EF8980F" w14:textId="77777777">
      <w:pPr>
        <w:rPr>
          <w:rFonts w:cs="Calibri"/>
        </w:rPr>
      </w:pPr>
    </w:p>
    <w:p w:rsidR="00F74228" w:rsidP="00F74228" w:rsidRDefault="00F74228" w14:paraId="41EE387D" w14:textId="77777777">
      <w:r>
        <w:t>Antwoord</w:t>
      </w:r>
    </w:p>
    <w:p w:rsidR="00F74228" w:rsidP="00F74228" w:rsidRDefault="00F74228" w14:paraId="6AF9E05C" w14:textId="77777777">
      <w:r>
        <w:t xml:space="preserve">Het kabinet erkent dat voorspelbaarheid en duidelijkheid essentieel zijn voor energiebedrijven om te kunnen investeren en verduurzamen. Hoewel het energiebeleid complex is en zich onder invloed van wisselende omstandigheden ontwikkelt, zet het kabinet zich actief in om onduidelijkheden zoveel mogelijk te verminderen en het investeringsklimaat zo stabiel mogelijk te maken. Daarbij investeert het kabinet in mogelijkheden om meer zekerheid te creëren en consistentie van het beleid te versterken. Zo werkt het kabinet aan concrete maatregelen zoals de bijmengverplichting voor </w:t>
      </w:r>
      <w:r>
        <w:rPr>
          <w:rFonts w:cs="Calibri"/>
        </w:rPr>
        <w:t xml:space="preserve">groen gas, de ontwikkeling van de waterstofketen en het stimuleren van </w:t>
      </w:r>
      <w:r w:rsidRPr="69875D92">
        <w:rPr>
          <w:rFonts w:cs="Calibri"/>
        </w:rPr>
        <w:t xml:space="preserve">duurzame </w:t>
      </w:r>
      <w:proofErr w:type="spellStart"/>
      <w:r w:rsidRPr="69875D92">
        <w:rPr>
          <w:rFonts w:cs="Calibri"/>
        </w:rPr>
        <w:t>koolstofketens</w:t>
      </w:r>
      <w:proofErr w:type="spellEnd"/>
      <w:r w:rsidRPr="69875D92">
        <w:rPr>
          <w:rFonts w:cs="Calibri"/>
        </w:rPr>
        <w:t xml:space="preserve"> en innovatieve (klimaat)technologieën.</w:t>
      </w:r>
      <w:r>
        <w:rPr>
          <w:rFonts w:cs="Calibri"/>
        </w:rPr>
        <w:t xml:space="preserve"> Deze stappen dragen bij aan een stabieler en voorspelbaarder energiebeleid voor betrokken partijen. </w:t>
      </w:r>
    </w:p>
    <w:p w:rsidR="00F74228" w:rsidP="00F74228" w:rsidRDefault="00F74228" w14:paraId="0F21182B" w14:textId="77777777">
      <w:pPr>
        <w:rPr>
          <w:rFonts w:cs="Calibri"/>
        </w:rPr>
      </w:pPr>
    </w:p>
    <w:p w:rsidR="00F74228" w:rsidP="00F74228" w:rsidRDefault="00F74228" w14:paraId="03A8EF15" w14:textId="77777777">
      <w:pPr>
        <w:rPr>
          <w:rFonts w:cs="Calibri"/>
        </w:rPr>
      </w:pPr>
      <w:r>
        <w:rPr>
          <w:rFonts w:cs="Calibri"/>
        </w:rPr>
        <w:t>8</w:t>
      </w:r>
    </w:p>
    <w:p w:rsidR="00F74228" w:rsidP="00F74228" w:rsidRDefault="00F74228" w14:paraId="02E8BAB8" w14:textId="77777777">
      <w:r>
        <w:lastRenderedPageBreak/>
        <w:t>Welke mogelijkheden ziet u in brede zin om meer duidelijkheid te geven over de toekomst van het energiesysteem?</w:t>
      </w:r>
    </w:p>
    <w:p w:rsidR="00F74228" w:rsidP="00F74228" w:rsidRDefault="00F74228" w14:paraId="354FE043" w14:textId="77777777"/>
    <w:p w:rsidR="00F74228" w:rsidP="00F74228" w:rsidRDefault="00F74228" w14:paraId="545B45C1" w14:textId="77777777">
      <w:pPr>
        <w:rPr>
          <w:rFonts w:cs="Calibri"/>
        </w:rPr>
      </w:pPr>
      <w:r>
        <w:rPr>
          <w:rFonts w:cs="Calibri"/>
        </w:rPr>
        <w:t>9</w:t>
      </w:r>
    </w:p>
    <w:p w:rsidR="00F74228" w:rsidP="00F74228" w:rsidRDefault="00F74228" w14:paraId="4C8FDEAB" w14:textId="77777777">
      <w:r>
        <w:t>Bent u voornemens om bij de actualisatie van het Nationaal Plan Energie in 2026 ook een concreet implementatieplan te maken?</w:t>
      </w:r>
    </w:p>
    <w:p w:rsidR="00F74228" w:rsidP="00F74228" w:rsidRDefault="00F74228" w14:paraId="465E32FE" w14:textId="77777777">
      <w:pPr>
        <w:rPr>
          <w:rFonts w:cs="Calibri"/>
        </w:rPr>
      </w:pPr>
    </w:p>
    <w:p w:rsidR="00F74228" w:rsidP="00F74228" w:rsidRDefault="00F74228" w14:paraId="26D71131" w14:textId="77777777">
      <w:r>
        <w:t>Antwoord op vraag 8 en 9</w:t>
      </w:r>
    </w:p>
    <w:p w:rsidR="00F74228" w:rsidP="00F74228" w:rsidRDefault="00F74228" w14:paraId="23BB5341" w14:textId="77777777">
      <w:pPr>
        <w:rPr>
          <w:rFonts w:eastAsia="Verdana" w:cs="Verdana"/>
          <w:szCs w:val="18"/>
        </w:rPr>
      </w:pPr>
      <w:r w:rsidRPr="259178B9">
        <w:rPr>
          <w:rFonts w:eastAsia="Verdana" w:cs="Verdana"/>
          <w:szCs w:val="18"/>
        </w:rPr>
        <w:t>Het kabinet geeft met het</w:t>
      </w:r>
      <w:r>
        <w:rPr>
          <w:rFonts w:eastAsia="Verdana" w:cs="Verdana"/>
          <w:szCs w:val="18"/>
        </w:rPr>
        <w:t xml:space="preserve"> </w:t>
      </w:r>
      <w:r w:rsidRPr="259178B9">
        <w:rPr>
          <w:rFonts w:eastAsia="Verdana" w:cs="Verdana"/>
          <w:szCs w:val="18"/>
        </w:rPr>
        <w:t xml:space="preserve">Nationaal </w:t>
      </w:r>
      <w:r>
        <w:rPr>
          <w:rFonts w:eastAsia="Verdana" w:cs="Verdana"/>
          <w:szCs w:val="18"/>
        </w:rPr>
        <w:t>P</w:t>
      </w:r>
      <w:r w:rsidRPr="259178B9">
        <w:rPr>
          <w:rFonts w:eastAsia="Verdana" w:cs="Verdana"/>
          <w:szCs w:val="18"/>
        </w:rPr>
        <w:t xml:space="preserve">lan </w:t>
      </w:r>
      <w:r>
        <w:rPr>
          <w:rFonts w:eastAsia="Verdana" w:cs="Verdana"/>
          <w:szCs w:val="18"/>
        </w:rPr>
        <w:t>E</w:t>
      </w:r>
      <w:r w:rsidRPr="259178B9">
        <w:rPr>
          <w:rFonts w:eastAsia="Verdana" w:cs="Verdana"/>
          <w:szCs w:val="18"/>
        </w:rPr>
        <w:t xml:space="preserve">nergiesysteem </w:t>
      </w:r>
      <w:r>
        <w:rPr>
          <w:rFonts w:eastAsia="Verdana" w:cs="Verdana"/>
          <w:szCs w:val="18"/>
        </w:rPr>
        <w:t xml:space="preserve">(NPE) </w:t>
      </w:r>
      <w:r w:rsidRPr="259178B9">
        <w:rPr>
          <w:rFonts w:eastAsia="Verdana" w:cs="Verdana"/>
          <w:szCs w:val="18"/>
        </w:rPr>
        <w:t xml:space="preserve">zoveel mogelijk duidelijkheid over de toekomst van het energiesysteem en de route ernaartoe. </w:t>
      </w:r>
      <w:r>
        <w:rPr>
          <w:rFonts w:eastAsia="Verdana" w:cs="Verdana"/>
          <w:szCs w:val="18"/>
        </w:rPr>
        <w:t xml:space="preserve">Dit plan wordt conform de oorspronkelijke planning in 2026 geactualiseerd, waarbij actuele ontwikkelingen en </w:t>
      </w:r>
      <w:r w:rsidRPr="259178B9">
        <w:rPr>
          <w:rFonts w:eastAsia="Verdana" w:cs="Verdana"/>
          <w:szCs w:val="18"/>
        </w:rPr>
        <w:t xml:space="preserve">de laatste inzichten </w:t>
      </w:r>
      <w:r>
        <w:rPr>
          <w:rFonts w:eastAsia="Verdana" w:cs="Verdana"/>
          <w:szCs w:val="18"/>
        </w:rPr>
        <w:t xml:space="preserve">worden </w:t>
      </w:r>
      <w:r w:rsidRPr="259178B9">
        <w:rPr>
          <w:rFonts w:eastAsia="Verdana" w:cs="Verdana"/>
          <w:szCs w:val="18"/>
        </w:rPr>
        <w:t>mee</w:t>
      </w:r>
      <w:r>
        <w:rPr>
          <w:rFonts w:eastAsia="Verdana" w:cs="Verdana"/>
          <w:szCs w:val="18"/>
        </w:rPr>
        <w:t>genomen</w:t>
      </w:r>
      <w:r w:rsidRPr="259178B9">
        <w:rPr>
          <w:rFonts w:eastAsia="Verdana" w:cs="Verdana"/>
          <w:szCs w:val="18"/>
        </w:rPr>
        <w:t>.</w:t>
      </w:r>
      <w:r>
        <w:rPr>
          <w:rFonts w:eastAsia="Verdana" w:cs="Verdana"/>
          <w:szCs w:val="18"/>
        </w:rPr>
        <w:t xml:space="preserve"> Daarnaast biedt het kabinet ook tussentijds inzicht in de voortgang van beleid. Op 24 oktober 2024 is met de Energienota het actuele beleid toegelicht in de bijbehorende beleidsagenda</w:t>
      </w:r>
      <w:r w:rsidRPr="44A819B4">
        <w:rPr>
          <w:rStyle w:val="Voetnootmarkering"/>
          <w:rFonts w:cs="Calibri"/>
        </w:rPr>
        <w:footnoteReference w:id="1"/>
      </w:r>
      <w:r>
        <w:rPr>
          <w:rFonts w:eastAsia="Verdana" w:cs="Verdana"/>
          <w:szCs w:val="18"/>
        </w:rPr>
        <w:t xml:space="preserve">. Later dit jaar, met Prinsjesdag, zal de Klimaat- en Energienota verschijnen waarin de voortgang en actualiteit van het energiebeleid nader worden geduid. In de actualisatie van het NPE in 2026 wordt dan vervolgens richting gegeven aan het energiesysteem van de toekomst en de concrete uitvoering daarvan. </w:t>
      </w:r>
    </w:p>
    <w:p w:rsidR="00F74228" w:rsidP="00F74228" w:rsidRDefault="00F74228" w14:paraId="64759EE8" w14:textId="77777777">
      <w:pPr>
        <w:rPr>
          <w:rFonts w:cs="Calibri"/>
        </w:rPr>
      </w:pPr>
    </w:p>
    <w:p w:rsidR="00F74228" w:rsidP="00F74228" w:rsidRDefault="00F74228" w14:paraId="0F5E1043" w14:textId="77777777">
      <w:pPr>
        <w:rPr>
          <w:rFonts w:cs="Calibri"/>
        </w:rPr>
      </w:pPr>
      <w:r>
        <w:rPr>
          <w:rFonts w:cs="Calibri"/>
        </w:rPr>
        <w:t>10</w:t>
      </w:r>
    </w:p>
    <w:p w:rsidR="00F74228" w:rsidP="00F74228" w:rsidRDefault="00F74228" w14:paraId="26A295FC" w14:textId="77777777">
      <w:r>
        <w:t>Wat voor effect heeft dit investeringsbesluit voor de leveringszekerheid van energie in Nederland voor de komende vijf jaar en na 2030?</w:t>
      </w:r>
    </w:p>
    <w:p w:rsidR="00F74228" w:rsidP="00F74228" w:rsidRDefault="00F74228" w14:paraId="4660AE80" w14:textId="77777777">
      <w:pPr>
        <w:rPr>
          <w:rFonts w:cs="Calibri"/>
        </w:rPr>
      </w:pPr>
    </w:p>
    <w:p w:rsidR="00F74228" w:rsidP="00F74228" w:rsidRDefault="00F74228" w14:paraId="0613490F" w14:textId="77777777">
      <w:r>
        <w:t>Antwoord</w:t>
      </w:r>
    </w:p>
    <w:p w:rsidR="00F74228" w:rsidP="00F74228" w:rsidRDefault="00F74228" w14:paraId="2CE66EC9" w14:textId="77777777">
      <w:r>
        <w:t>Over de leveringszekerheid van elektriciteit heeft het kabinet de Tweede Kamer op 15 mei 2025 geïnformeerd.</w:t>
      </w:r>
      <w:r w:rsidRPr="44A819B4">
        <w:rPr>
          <w:rStyle w:val="Voetnootmarkering"/>
        </w:rPr>
        <w:footnoteReference w:id="2"/>
      </w:r>
      <w:r>
        <w:t xml:space="preserve"> </w:t>
      </w:r>
      <w:r w:rsidRPr="002C315B">
        <w:t xml:space="preserve">De monitor leveringszekerheid van </w:t>
      </w:r>
      <w:proofErr w:type="spellStart"/>
      <w:r w:rsidRPr="002C315B">
        <w:t>TenneT</w:t>
      </w:r>
      <w:proofErr w:type="spellEnd"/>
      <w:r w:rsidRPr="002C315B">
        <w:t xml:space="preserve"> geeft inzicht in </w:t>
      </w:r>
      <w:r>
        <w:t xml:space="preserve">de </w:t>
      </w:r>
      <w:r w:rsidRPr="002C315B">
        <w:t xml:space="preserve">verwachte </w:t>
      </w:r>
      <w:r>
        <w:t>leveringszekerheid in de jaren 2030, 2033 en 2035.</w:t>
      </w:r>
      <w:r w:rsidRPr="002C315B">
        <w:t xml:space="preserve"> </w:t>
      </w:r>
      <w:r>
        <w:t xml:space="preserve">In het artikel staat dat </w:t>
      </w:r>
      <w:proofErr w:type="spellStart"/>
      <w:r>
        <w:t>Uniper</w:t>
      </w:r>
      <w:proofErr w:type="spellEnd"/>
      <w:r>
        <w:t xml:space="preserve"> vasthoudt aan de bestaande centrales in Nederland. Op basis hiervan is er geen aanleiding om aan te nemen dat het geschetste beeld in de monitor leveringszekerheid van </w:t>
      </w:r>
      <w:proofErr w:type="spellStart"/>
      <w:r>
        <w:t>TenneT</w:t>
      </w:r>
      <w:proofErr w:type="spellEnd"/>
      <w:r>
        <w:t xml:space="preserve"> zal veranderen. </w:t>
      </w:r>
    </w:p>
    <w:p w:rsidR="00F74228" w:rsidP="00F74228" w:rsidRDefault="00F74228" w14:paraId="1F34E08D" w14:textId="77777777">
      <w:pPr>
        <w:rPr>
          <w:rFonts w:cs="Calibri"/>
        </w:rPr>
      </w:pPr>
    </w:p>
    <w:p w:rsidR="00F74228" w:rsidP="00F74228" w:rsidRDefault="00F74228" w14:paraId="4A97384B" w14:textId="77777777">
      <w:pPr>
        <w:rPr>
          <w:rFonts w:cs="Calibri"/>
        </w:rPr>
      </w:pPr>
      <w:r>
        <w:rPr>
          <w:rFonts w:cs="Calibri"/>
        </w:rPr>
        <w:t>11</w:t>
      </w:r>
    </w:p>
    <w:p w:rsidR="00F74228" w:rsidP="00F74228" w:rsidRDefault="00F74228" w14:paraId="2657827E" w14:textId="77777777">
      <w:r>
        <w:lastRenderedPageBreak/>
        <w:t>Kunt u in beeld brengen of, en zo ja hoeveel, opgesteld vermogen in de jaren tot 2030 en de jaren 2030-2033 al uit de markt gaat, of zou kunnen gaan, vanwege het ontbreken van economische levensvatbaarheid?</w:t>
      </w:r>
    </w:p>
    <w:p w:rsidR="00F74228" w:rsidP="00F74228" w:rsidRDefault="00F74228" w14:paraId="0635EF2C" w14:textId="77777777">
      <w:pPr>
        <w:rPr>
          <w:rFonts w:cs="Calibri"/>
        </w:rPr>
      </w:pPr>
    </w:p>
    <w:p w:rsidR="00F74228" w:rsidP="00F74228" w:rsidRDefault="00F74228" w14:paraId="5E2524D4" w14:textId="77777777">
      <w:r>
        <w:t>Antwoord</w:t>
      </w:r>
    </w:p>
    <w:p w:rsidRPr="007F62AD" w:rsidR="00F74228" w:rsidP="00F74228" w:rsidRDefault="00F74228" w14:paraId="5202BB8C" w14:textId="77777777">
      <w:r>
        <w:t xml:space="preserve">De monitor leveringszekerheid (MLZ) van </w:t>
      </w:r>
      <w:proofErr w:type="spellStart"/>
      <w:r>
        <w:t>TenneT</w:t>
      </w:r>
      <w:proofErr w:type="spellEnd"/>
      <w:r>
        <w:t xml:space="preserve"> van 2025</w:t>
      </w:r>
      <w:r w:rsidRPr="44A819B4">
        <w:rPr>
          <w:rStyle w:val="Voetnootmarkering"/>
        </w:rPr>
        <w:footnoteReference w:id="3"/>
      </w:r>
      <w:r>
        <w:t xml:space="preserve">, waarover het kabinet de Tweede Kamer op 15 mei 2025 heeft geïnformeerd, geeft inzicht in het verwachte vermogen in de jaren 2030 en 2033. Dit betreft 14,4 respectievelijk 12,7 GW aan gasvermogen. Volgens deze monitor is het grootste deel hiervan ‘waarschijnlijk levensvatbaar’ of ‘zeer waarschijnlijk levensvatbaar’. Voor ongeveer 1,7 GW aan gascentrales geldt dat er een risico is voor de levensvatbaarheid. Dit betreft met name oudere centrales met een lagere efficiëntie. Van deze laatstgenoemde elektriciteitscentrales wordt niet verwacht dat ze de investeringskosten van periodiek groot onderhoud kunnen terugverdienen. Hierdoor bestaat de mogelijkheid dat energiebedrijven deze centrales uit bedrijf zullen nemen </w:t>
      </w:r>
      <w:r w:rsidRPr="44A819B4">
        <w:rPr>
          <w:rFonts w:cs="Calibri"/>
        </w:rPr>
        <w:t xml:space="preserve">wanneer groot onderhoud nodig is. Voor sommige van deze centrales zijn </w:t>
      </w:r>
      <w:r>
        <w:rPr>
          <w:rFonts w:cs="Calibri"/>
        </w:rPr>
        <w:t xml:space="preserve">daarom </w:t>
      </w:r>
      <w:r w:rsidRPr="44A819B4">
        <w:rPr>
          <w:rFonts w:cs="Calibri"/>
        </w:rPr>
        <w:t>sluitingen aangekondigd tussen 2030 en 2033.</w:t>
      </w:r>
      <w:r>
        <w:rPr>
          <w:rFonts w:cs="Calibri"/>
        </w:rPr>
        <w:t xml:space="preserve"> Specifiek gaat het dan volgens de MLZ 2025 om een afname van 1,7 GW tussen 2030 ( 14,4 GW gasgestookt regelbaar vermogen) en 2033 (12,7 GW gasgestookt regelbaar vermogen). </w:t>
      </w:r>
    </w:p>
    <w:p w:rsidR="00F74228" w:rsidP="00F74228" w:rsidRDefault="00F74228" w14:paraId="4DE1BE3A" w14:textId="77777777">
      <w:pPr>
        <w:rPr>
          <w:rFonts w:cs="Calibri"/>
        </w:rPr>
      </w:pPr>
    </w:p>
    <w:p w:rsidR="00F74228" w:rsidP="00F74228" w:rsidRDefault="00F74228" w14:paraId="684BA523" w14:textId="77777777">
      <w:pPr>
        <w:rPr>
          <w:rFonts w:cs="Calibri"/>
        </w:rPr>
      </w:pPr>
    </w:p>
    <w:p w:rsidR="00F74228" w:rsidP="00F74228" w:rsidRDefault="00F74228" w14:paraId="390B2966" w14:textId="77777777">
      <w:pPr>
        <w:rPr>
          <w:rFonts w:cs="Calibri"/>
        </w:rPr>
      </w:pPr>
    </w:p>
    <w:p w:rsidR="00F74228" w:rsidP="00F74228" w:rsidRDefault="00F74228" w14:paraId="7C40074A" w14:textId="77777777">
      <w:pPr>
        <w:rPr>
          <w:rFonts w:cs="Calibri"/>
        </w:rPr>
      </w:pPr>
      <w:r>
        <w:rPr>
          <w:rFonts w:cs="Calibri"/>
        </w:rPr>
        <w:t>12</w:t>
      </w:r>
    </w:p>
    <w:p w:rsidR="00F74228" w:rsidP="00F74228" w:rsidRDefault="00F74228" w14:paraId="3F64AEE6" w14:textId="77777777">
      <w:r>
        <w:t>Deelt u de mening dat het zeer onwenselijk is dat juist investeringen in duurzaam regelbaar vermogen geschrapt wordt?</w:t>
      </w:r>
    </w:p>
    <w:p w:rsidR="00F74228" w:rsidP="00F74228" w:rsidRDefault="00F74228" w14:paraId="149681B4" w14:textId="77777777">
      <w:pPr>
        <w:rPr>
          <w:rFonts w:cs="Calibri"/>
        </w:rPr>
      </w:pPr>
    </w:p>
    <w:p w:rsidR="00F74228" w:rsidP="00F74228" w:rsidRDefault="00F74228" w14:paraId="6CFA8931" w14:textId="77777777">
      <w:r>
        <w:t>Antwoord</w:t>
      </w:r>
    </w:p>
    <w:p w:rsidR="00F74228" w:rsidP="00F74228" w:rsidRDefault="00F74228" w14:paraId="626DFC7C" w14:textId="77777777">
      <w:pPr>
        <w:rPr>
          <w:rFonts w:cs="Calibri"/>
        </w:rPr>
      </w:pPr>
      <w:r w:rsidRPr="44A819B4">
        <w:rPr>
          <w:rFonts w:cs="Calibri"/>
        </w:rPr>
        <w:t xml:space="preserve">Het kabinet </w:t>
      </w:r>
      <w:r>
        <w:rPr>
          <w:rFonts w:cs="Calibri"/>
        </w:rPr>
        <w:t>onderschrijft de noodzaak van duurzaam regelbaar vermogen.</w:t>
      </w:r>
      <w:r w:rsidRPr="44A819B4">
        <w:rPr>
          <w:rFonts w:cs="Calibri"/>
        </w:rPr>
        <w:t xml:space="preserve"> </w:t>
      </w:r>
      <w:r>
        <w:rPr>
          <w:rFonts w:cs="Calibri"/>
        </w:rPr>
        <w:t xml:space="preserve">Daarom blijft het kabinet steeds in </w:t>
      </w:r>
      <w:r w:rsidRPr="44A819B4">
        <w:rPr>
          <w:rFonts w:cs="Calibri"/>
        </w:rPr>
        <w:t xml:space="preserve">gesprek met </w:t>
      </w:r>
      <w:proofErr w:type="spellStart"/>
      <w:r w:rsidRPr="44A819B4">
        <w:rPr>
          <w:rFonts w:cs="Calibri"/>
        </w:rPr>
        <w:t>Uniper</w:t>
      </w:r>
      <w:proofErr w:type="spellEnd"/>
      <w:r w:rsidRPr="44A819B4">
        <w:rPr>
          <w:rFonts w:cs="Calibri"/>
        </w:rPr>
        <w:t xml:space="preserve"> en andere energiebedrijven</w:t>
      </w:r>
      <w:r>
        <w:rPr>
          <w:rFonts w:cs="Calibri"/>
        </w:rPr>
        <w:t xml:space="preserve"> om </w:t>
      </w:r>
      <w:r w:rsidRPr="44A819B4">
        <w:rPr>
          <w:rFonts w:cs="Calibri"/>
        </w:rPr>
        <w:t>investeringen in duurzaam regelbaar vermogen</w:t>
      </w:r>
      <w:r>
        <w:rPr>
          <w:rFonts w:cs="Calibri"/>
        </w:rPr>
        <w:t xml:space="preserve"> te stimuleren</w:t>
      </w:r>
      <w:r w:rsidRPr="44A819B4">
        <w:rPr>
          <w:rFonts w:cs="Calibri"/>
        </w:rPr>
        <w:t>.</w:t>
      </w:r>
    </w:p>
    <w:p w:rsidR="00F74228" w:rsidP="00F74228" w:rsidRDefault="00F74228" w14:paraId="307BF93D" w14:textId="77777777">
      <w:pPr>
        <w:rPr>
          <w:rFonts w:cs="Calibri"/>
        </w:rPr>
      </w:pPr>
    </w:p>
    <w:p w:rsidR="00F74228" w:rsidP="00F74228" w:rsidRDefault="00F74228" w14:paraId="1F156AFC" w14:textId="77777777">
      <w:pPr>
        <w:rPr>
          <w:rFonts w:cs="Calibri"/>
        </w:rPr>
      </w:pPr>
      <w:r>
        <w:rPr>
          <w:rFonts w:cs="Calibri"/>
        </w:rPr>
        <w:t>13</w:t>
      </w:r>
    </w:p>
    <w:p w:rsidR="00F74228" w:rsidP="00F74228" w:rsidRDefault="00F74228" w14:paraId="13B60683" w14:textId="77777777">
      <w:r>
        <w:lastRenderedPageBreak/>
        <w:t>Wat gaat u doen om voldoende duurzaam regelbaar vermogen in Nederland te behouden?</w:t>
      </w:r>
    </w:p>
    <w:p w:rsidR="00F74228" w:rsidP="00F74228" w:rsidRDefault="00F74228" w14:paraId="49249593" w14:textId="77777777">
      <w:pPr>
        <w:rPr>
          <w:rFonts w:cs="Calibri"/>
        </w:rPr>
      </w:pPr>
    </w:p>
    <w:p w:rsidR="00F74228" w:rsidP="00F74228" w:rsidRDefault="00F74228" w14:paraId="1B8AF4E8" w14:textId="77777777">
      <w:r>
        <w:t>Antwoord</w:t>
      </w:r>
    </w:p>
    <w:p w:rsidR="00F74228" w:rsidP="00F74228" w:rsidRDefault="00F74228" w14:paraId="3CE22D37" w14:textId="77777777">
      <w:pPr>
        <w:rPr>
          <w:rFonts w:cs="Calibri"/>
        </w:rPr>
      </w:pPr>
      <w:r>
        <w:t xml:space="preserve">In de brief over de leveringszekerheid van elektriciteit heeft het kabinet onder andere aangegeven dat wordt gewerkt aan </w:t>
      </w:r>
      <w:r w:rsidRPr="259178B9">
        <w:t>een wettelijke basis voor bredere vormen van capaciteitsmechanismen</w:t>
      </w:r>
      <w:r>
        <w:t xml:space="preserve">. Ook laat </w:t>
      </w:r>
      <w:r w:rsidRPr="259178B9">
        <w:t xml:space="preserve">het kabinet </w:t>
      </w:r>
      <w:r>
        <w:t xml:space="preserve">onderzoeken uitvoeren naar </w:t>
      </w:r>
      <w:r w:rsidRPr="259178B9">
        <w:t xml:space="preserve">capaciteitsmechanismen en </w:t>
      </w:r>
      <w:r>
        <w:t xml:space="preserve">mogelijkheden naar </w:t>
      </w:r>
      <w:r w:rsidRPr="259178B9">
        <w:t xml:space="preserve">vraagrespons. </w:t>
      </w:r>
      <w:r>
        <w:t xml:space="preserve">In de genoemde brief is ook aangegeven dat gestreefd wordt </w:t>
      </w:r>
      <w:r w:rsidRPr="259178B9">
        <w:rPr>
          <w:rFonts w:cs="Calibri"/>
        </w:rPr>
        <w:t xml:space="preserve">in de eerste helft van 2026 een besluit </w:t>
      </w:r>
      <w:r>
        <w:rPr>
          <w:rFonts w:cs="Calibri"/>
        </w:rPr>
        <w:t xml:space="preserve">te </w:t>
      </w:r>
      <w:r w:rsidRPr="259178B9">
        <w:rPr>
          <w:rFonts w:cs="Calibri"/>
        </w:rPr>
        <w:t>nemen hoe instrumenten vorm</w:t>
      </w:r>
      <w:r>
        <w:rPr>
          <w:rFonts w:cs="Calibri"/>
        </w:rPr>
        <w:t xml:space="preserve"> </w:t>
      </w:r>
      <w:r w:rsidRPr="259178B9">
        <w:rPr>
          <w:rFonts w:cs="Calibri"/>
        </w:rPr>
        <w:t xml:space="preserve">gegeven kunnen worden die </w:t>
      </w:r>
      <w:r>
        <w:rPr>
          <w:rFonts w:cs="Calibri"/>
        </w:rPr>
        <w:t xml:space="preserve">de </w:t>
      </w:r>
      <w:r w:rsidRPr="259178B9">
        <w:rPr>
          <w:rFonts w:cs="Calibri"/>
        </w:rPr>
        <w:t xml:space="preserve">leveringszekerheid op de langere termijn </w:t>
      </w:r>
      <w:r>
        <w:rPr>
          <w:rFonts w:cs="Calibri"/>
        </w:rPr>
        <w:t xml:space="preserve">blijven </w:t>
      </w:r>
      <w:r w:rsidRPr="259178B9">
        <w:rPr>
          <w:rFonts w:cs="Calibri"/>
        </w:rPr>
        <w:t>borgen.</w:t>
      </w:r>
    </w:p>
    <w:p w:rsidR="00F74228" w:rsidP="00F74228" w:rsidRDefault="00F74228" w14:paraId="4BED7504" w14:textId="77777777">
      <w:pPr>
        <w:rPr>
          <w:rFonts w:cs="Calibri"/>
        </w:rPr>
      </w:pPr>
    </w:p>
    <w:p w:rsidR="00F74228" w:rsidP="00F74228" w:rsidRDefault="00F74228" w14:paraId="6FAEF2B7" w14:textId="77777777">
      <w:r>
        <w:rPr>
          <w:rFonts w:cs="Calibri"/>
        </w:rPr>
        <w:t>14</w:t>
      </w:r>
      <w:r>
        <w:t xml:space="preserve"> </w:t>
      </w:r>
    </w:p>
    <w:p w:rsidR="00F74228" w:rsidP="00F74228" w:rsidRDefault="00F74228" w14:paraId="25A255A3" w14:textId="77777777">
      <w:r>
        <w:t xml:space="preserve">Hoe kijkt u naar de suggestie van onder andere </w:t>
      </w:r>
      <w:proofErr w:type="spellStart"/>
      <w:r>
        <w:t>Uniper</w:t>
      </w:r>
      <w:proofErr w:type="spellEnd"/>
      <w:r>
        <w:t xml:space="preserve"> dat een </w:t>
      </w:r>
      <w:proofErr w:type="spellStart"/>
      <w:r>
        <w:t>capaciteitsme-chanisme</w:t>
      </w:r>
      <w:proofErr w:type="spellEnd"/>
      <w:r>
        <w:t xml:space="preserve"> voor regelbaar vermogen noodzakelijk is?</w:t>
      </w:r>
    </w:p>
    <w:p w:rsidR="00F74228" w:rsidP="00F74228" w:rsidRDefault="00F74228" w14:paraId="5FBC0B21" w14:textId="77777777"/>
    <w:p w:rsidR="00F74228" w:rsidP="00F74228" w:rsidRDefault="00F74228" w14:paraId="4C03E4AD" w14:textId="77777777">
      <w:r>
        <w:t>Antwoord</w:t>
      </w:r>
    </w:p>
    <w:p w:rsidR="00F74228" w:rsidP="00F74228" w:rsidRDefault="00F74228" w14:paraId="4C68AC12" w14:textId="77777777">
      <w:r>
        <w:rPr>
          <w:rFonts w:cs="Calibri"/>
        </w:rPr>
        <w:t>D</w:t>
      </w:r>
      <w:r w:rsidRPr="259178B9">
        <w:rPr>
          <w:rFonts w:cs="Calibri"/>
        </w:rPr>
        <w:t xml:space="preserve">e laatste monitor van </w:t>
      </w:r>
      <w:proofErr w:type="spellStart"/>
      <w:r w:rsidRPr="259178B9">
        <w:rPr>
          <w:rFonts w:cs="Calibri"/>
        </w:rPr>
        <w:t>TenneT</w:t>
      </w:r>
      <w:proofErr w:type="spellEnd"/>
      <w:r w:rsidRPr="259178B9">
        <w:rPr>
          <w:rFonts w:cs="Calibri"/>
        </w:rPr>
        <w:t xml:space="preserve"> </w:t>
      </w:r>
      <w:r>
        <w:rPr>
          <w:rFonts w:cs="Calibri"/>
        </w:rPr>
        <w:t>laat zien</w:t>
      </w:r>
      <w:r w:rsidRPr="259178B9">
        <w:rPr>
          <w:rFonts w:cs="Calibri"/>
        </w:rPr>
        <w:t xml:space="preserve"> dat de leveringszekerheid vanaf 2033 naar alle waarschijnlijkheid onder de streefwaarde komt</w:t>
      </w:r>
      <w:r>
        <w:rPr>
          <w:rFonts w:cs="Calibri"/>
        </w:rPr>
        <w:t>. Het kabinet onderzoekt daarom</w:t>
      </w:r>
      <w:r w:rsidRPr="259178B9">
        <w:rPr>
          <w:rFonts w:cs="Calibri"/>
        </w:rPr>
        <w:t xml:space="preserve"> </w:t>
      </w:r>
      <w:r>
        <w:rPr>
          <w:rFonts w:cs="Calibri"/>
        </w:rPr>
        <w:t>welk</w:t>
      </w:r>
      <w:r w:rsidRPr="259178B9">
        <w:rPr>
          <w:rFonts w:cs="Calibri"/>
        </w:rPr>
        <w:t xml:space="preserve"> aanvullend beleid </w:t>
      </w:r>
      <w:r>
        <w:rPr>
          <w:rFonts w:cs="Calibri"/>
        </w:rPr>
        <w:t>nodig is</w:t>
      </w:r>
      <w:r w:rsidRPr="259178B9">
        <w:rPr>
          <w:rFonts w:cs="Calibri"/>
        </w:rPr>
        <w:t xml:space="preserve"> om de leveringszekerheid ook in de toekomst te borgen. E</w:t>
      </w:r>
      <w:r>
        <w:t xml:space="preserve">en capaciteitsmechanisme voor regelbaar vermogen is een van de mogelijkheden voor aanvullend beleid, maar er </w:t>
      </w:r>
      <w:r w:rsidRPr="259178B9">
        <w:rPr>
          <w:rFonts w:cs="Calibri"/>
        </w:rPr>
        <w:t xml:space="preserve">zijn ook andere opties om de leveringszekerheid te borgen zoals het bevorderen van vraagrespons of </w:t>
      </w:r>
      <w:r>
        <w:rPr>
          <w:rFonts w:cs="Calibri"/>
        </w:rPr>
        <w:t xml:space="preserve">het </w:t>
      </w:r>
      <w:r w:rsidRPr="259178B9">
        <w:rPr>
          <w:rFonts w:cs="Calibri"/>
        </w:rPr>
        <w:t>stimuleren van middellange en lange termijn energieopslag</w:t>
      </w:r>
      <w:r>
        <w:rPr>
          <w:rFonts w:cs="Calibri"/>
        </w:rPr>
        <w:t xml:space="preserve">. Zoals aangegeven in het antwoord op vraag 13 is het streven in de eerste helft van 2026 een besluit te nemen </w:t>
      </w:r>
      <w:r w:rsidRPr="259178B9">
        <w:rPr>
          <w:rFonts w:cs="Calibri"/>
        </w:rPr>
        <w:t>hoe instrumenten vorm</w:t>
      </w:r>
      <w:r>
        <w:rPr>
          <w:rFonts w:cs="Calibri"/>
        </w:rPr>
        <w:t xml:space="preserve"> </w:t>
      </w:r>
      <w:r w:rsidRPr="259178B9">
        <w:rPr>
          <w:rFonts w:cs="Calibri"/>
        </w:rPr>
        <w:t xml:space="preserve">gegeven kunnen worden die </w:t>
      </w:r>
      <w:r>
        <w:rPr>
          <w:rFonts w:cs="Calibri"/>
        </w:rPr>
        <w:t xml:space="preserve">de </w:t>
      </w:r>
      <w:r w:rsidRPr="259178B9">
        <w:rPr>
          <w:rFonts w:cs="Calibri"/>
        </w:rPr>
        <w:t xml:space="preserve">leveringszekerheid op de langere termijn </w:t>
      </w:r>
      <w:r>
        <w:rPr>
          <w:rFonts w:cs="Calibri"/>
        </w:rPr>
        <w:t xml:space="preserve">blijven </w:t>
      </w:r>
      <w:r w:rsidRPr="259178B9">
        <w:rPr>
          <w:rFonts w:cs="Calibri"/>
        </w:rPr>
        <w:t>borgen</w:t>
      </w:r>
      <w:r>
        <w:rPr>
          <w:rFonts w:cs="Calibri"/>
        </w:rPr>
        <w:t xml:space="preserve">. </w:t>
      </w:r>
    </w:p>
    <w:p w:rsidR="00500902" w:rsidRDefault="00500902" w14:paraId="669E059B" w14:textId="77777777"/>
    <w:sectPr w:rsidR="00500902" w:rsidSect="00F7422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5A76D" w14:textId="77777777" w:rsidR="00F74228" w:rsidRDefault="00F74228" w:rsidP="00F74228">
      <w:pPr>
        <w:spacing w:after="0" w:line="240" w:lineRule="auto"/>
      </w:pPr>
      <w:r>
        <w:separator/>
      </w:r>
    </w:p>
  </w:endnote>
  <w:endnote w:type="continuationSeparator" w:id="0">
    <w:p w14:paraId="0A2815EF" w14:textId="77777777" w:rsidR="00F74228" w:rsidRDefault="00F74228" w:rsidP="00F7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162C" w14:textId="77777777" w:rsidR="00F74228" w:rsidRPr="00F74228" w:rsidRDefault="00F74228" w:rsidP="00F742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39B4" w14:textId="77777777" w:rsidR="00F74228" w:rsidRPr="00F74228" w:rsidRDefault="00F74228" w:rsidP="00F742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68BB" w14:textId="77777777" w:rsidR="00F74228" w:rsidRPr="00F74228" w:rsidRDefault="00F74228" w:rsidP="00F742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B0DB4" w14:textId="77777777" w:rsidR="00F74228" w:rsidRDefault="00F74228" w:rsidP="00F74228">
      <w:pPr>
        <w:spacing w:after="0" w:line="240" w:lineRule="auto"/>
      </w:pPr>
      <w:r>
        <w:separator/>
      </w:r>
    </w:p>
  </w:footnote>
  <w:footnote w:type="continuationSeparator" w:id="0">
    <w:p w14:paraId="2D114B0E" w14:textId="77777777" w:rsidR="00F74228" w:rsidRDefault="00F74228" w:rsidP="00F74228">
      <w:pPr>
        <w:spacing w:after="0" w:line="240" w:lineRule="auto"/>
      </w:pPr>
      <w:r>
        <w:continuationSeparator/>
      </w:r>
    </w:p>
  </w:footnote>
  <w:footnote w:id="1">
    <w:p w14:paraId="3484420A" w14:textId="77777777" w:rsidR="00F74228" w:rsidRPr="009B4873" w:rsidRDefault="00F74228" w:rsidP="00F74228">
      <w:pPr>
        <w:pStyle w:val="Voetnoottekst"/>
        <w:rPr>
          <w:szCs w:val="13"/>
        </w:rPr>
      </w:pPr>
      <w:r w:rsidRPr="009B4873">
        <w:rPr>
          <w:rStyle w:val="Voetnootmarkering"/>
          <w:szCs w:val="13"/>
        </w:rPr>
        <w:footnoteRef/>
      </w:r>
      <w:r w:rsidRPr="009B4873">
        <w:rPr>
          <w:szCs w:val="13"/>
        </w:rPr>
        <w:t xml:space="preserve"> Kamerstukken II 2024/25, 32813, nr. 1416</w:t>
      </w:r>
    </w:p>
  </w:footnote>
  <w:footnote w:id="2">
    <w:p w14:paraId="50E642C3" w14:textId="77777777" w:rsidR="00F74228" w:rsidRPr="009B4873" w:rsidRDefault="00F74228" w:rsidP="00F74228">
      <w:pPr>
        <w:pStyle w:val="Voetnoottekst"/>
        <w:rPr>
          <w:szCs w:val="13"/>
        </w:rPr>
      </w:pPr>
      <w:r w:rsidRPr="009B4873">
        <w:rPr>
          <w:rStyle w:val="Voetnootmarkering"/>
          <w:szCs w:val="13"/>
        </w:rPr>
        <w:footnoteRef/>
      </w:r>
      <w:r w:rsidRPr="009B4873">
        <w:rPr>
          <w:szCs w:val="13"/>
        </w:rPr>
        <w:t xml:space="preserve"> Kamerstukken II 2024/25, 29023, nr. 570</w:t>
      </w:r>
    </w:p>
  </w:footnote>
  <w:footnote w:id="3">
    <w:p w14:paraId="2C9C1778" w14:textId="77777777" w:rsidR="00F74228" w:rsidRPr="009B4873" w:rsidRDefault="00F74228" w:rsidP="00F74228">
      <w:pPr>
        <w:pStyle w:val="Voetnoottekst"/>
        <w:spacing w:after="160" w:line="257" w:lineRule="auto"/>
        <w:rPr>
          <w:szCs w:val="13"/>
        </w:rPr>
      </w:pPr>
      <w:r w:rsidRPr="009B4873">
        <w:rPr>
          <w:rStyle w:val="Voetnootmarkering"/>
          <w:szCs w:val="13"/>
        </w:rPr>
        <w:footnoteRef/>
      </w:r>
      <w:r w:rsidRPr="009B4873">
        <w:rPr>
          <w:szCs w:val="13"/>
        </w:rPr>
        <w:t xml:space="preserve"> </w:t>
      </w:r>
      <w:hyperlink r:id="rId1">
        <w:r w:rsidRPr="009B4873">
          <w:rPr>
            <w:rStyle w:val="Hyperlink"/>
            <w:rFonts w:eastAsia="Aptos" w:cs="Aptos"/>
            <w:szCs w:val="13"/>
          </w:rPr>
          <w:t>https://www.tennet.eu/nl/over-tennet/publicaties/rapport-monitoring-leveringszekerheid</w:t>
        </w:r>
      </w:hyperlink>
    </w:p>
    <w:p w14:paraId="7B3D2E42" w14:textId="77777777" w:rsidR="00F74228" w:rsidRPr="009B4873" w:rsidRDefault="00F74228" w:rsidP="00F74228">
      <w:pPr>
        <w:pStyle w:val="Voetnoottekst"/>
        <w:rPr>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D0C8" w14:textId="77777777" w:rsidR="00F74228" w:rsidRPr="00F74228" w:rsidRDefault="00F74228" w:rsidP="00F742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17B2" w14:textId="77777777" w:rsidR="00F74228" w:rsidRPr="00F74228" w:rsidRDefault="00F74228" w:rsidP="00F742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47FF" w14:textId="77777777" w:rsidR="00F74228" w:rsidRPr="00F74228" w:rsidRDefault="00F74228" w:rsidP="00F742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28"/>
    <w:rsid w:val="00500902"/>
    <w:rsid w:val="00514347"/>
    <w:rsid w:val="00F742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D1A5"/>
  <w15:chartTrackingRefBased/>
  <w15:docId w15:val="{BC6D4980-F4E6-4205-901C-677BF38F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4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74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7422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7422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7422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742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42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42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42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422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7422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7422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7422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7422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742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42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42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4228"/>
    <w:rPr>
      <w:rFonts w:eastAsiaTheme="majorEastAsia" w:cstheme="majorBidi"/>
      <w:color w:val="272727" w:themeColor="text1" w:themeTint="D8"/>
    </w:rPr>
  </w:style>
  <w:style w:type="paragraph" w:styleId="Titel">
    <w:name w:val="Title"/>
    <w:basedOn w:val="Standaard"/>
    <w:next w:val="Standaard"/>
    <w:link w:val="TitelChar"/>
    <w:uiPriority w:val="10"/>
    <w:qFormat/>
    <w:rsid w:val="00F74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42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42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42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42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4228"/>
    <w:rPr>
      <w:i/>
      <w:iCs/>
      <w:color w:val="404040" w:themeColor="text1" w:themeTint="BF"/>
    </w:rPr>
  </w:style>
  <w:style w:type="paragraph" w:styleId="Lijstalinea">
    <w:name w:val="List Paragraph"/>
    <w:basedOn w:val="Standaard"/>
    <w:uiPriority w:val="34"/>
    <w:qFormat/>
    <w:rsid w:val="00F74228"/>
    <w:pPr>
      <w:ind w:left="720"/>
      <w:contextualSpacing/>
    </w:pPr>
  </w:style>
  <w:style w:type="character" w:styleId="Intensievebenadrukking">
    <w:name w:val="Intense Emphasis"/>
    <w:basedOn w:val="Standaardalinea-lettertype"/>
    <w:uiPriority w:val="21"/>
    <w:qFormat/>
    <w:rsid w:val="00F74228"/>
    <w:rPr>
      <w:i/>
      <w:iCs/>
      <w:color w:val="2F5496" w:themeColor="accent1" w:themeShade="BF"/>
    </w:rPr>
  </w:style>
  <w:style w:type="paragraph" w:styleId="Duidelijkcitaat">
    <w:name w:val="Intense Quote"/>
    <w:basedOn w:val="Standaard"/>
    <w:next w:val="Standaard"/>
    <w:link w:val="DuidelijkcitaatChar"/>
    <w:uiPriority w:val="30"/>
    <w:qFormat/>
    <w:rsid w:val="00F74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74228"/>
    <w:rPr>
      <w:i/>
      <w:iCs/>
      <w:color w:val="2F5496" w:themeColor="accent1" w:themeShade="BF"/>
    </w:rPr>
  </w:style>
  <w:style w:type="character" w:styleId="Intensieveverwijzing">
    <w:name w:val="Intense Reference"/>
    <w:basedOn w:val="Standaardalinea-lettertype"/>
    <w:uiPriority w:val="32"/>
    <w:qFormat/>
    <w:rsid w:val="00F74228"/>
    <w:rPr>
      <w:b/>
      <w:bCs/>
      <w:smallCaps/>
      <w:color w:val="2F5496" w:themeColor="accent1" w:themeShade="BF"/>
      <w:spacing w:val="5"/>
    </w:rPr>
  </w:style>
  <w:style w:type="paragraph" w:styleId="Koptekst">
    <w:name w:val="header"/>
    <w:basedOn w:val="Standaard"/>
    <w:link w:val="KoptekstChar"/>
    <w:rsid w:val="00F742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7422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742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7422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7422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74228"/>
    <w:rPr>
      <w:rFonts w:ascii="Verdana" w:hAnsi="Verdana"/>
      <w:noProof/>
      <w:sz w:val="13"/>
      <w:szCs w:val="24"/>
      <w:lang w:eastAsia="nl-NL"/>
    </w:rPr>
  </w:style>
  <w:style w:type="paragraph" w:customStyle="1" w:styleId="Huisstijl-Gegeven">
    <w:name w:val="Huisstijl-Gegeven"/>
    <w:basedOn w:val="Standaard"/>
    <w:link w:val="Huisstijl-GegevenCharChar"/>
    <w:rsid w:val="00F7422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7422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7422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74228"/>
    <w:rPr>
      <w:color w:val="0000FF"/>
      <w:u w:val="single"/>
    </w:rPr>
  </w:style>
  <w:style w:type="paragraph" w:customStyle="1" w:styleId="Huisstijl-Retouradres">
    <w:name w:val="Huisstijl-Retouradres"/>
    <w:basedOn w:val="Standaard"/>
    <w:rsid w:val="00F7422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74228"/>
    <w:pPr>
      <w:spacing w:after="0"/>
    </w:pPr>
    <w:rPr>
      <w:b/>
    </w:rPr>
  </w:style>
  <w:style w:type="paragraph" w:customStyle="1" w:styleId="Huisstijl-Paginanummering">
    <w:name w:val="Huisstijl-Paginanummering"/>
    <w:basedOn w:val="Standaard"/>
    <w:rsid w:val="00F7422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7422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7422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74228"/>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F74228"/>
    <w:rPr>
      <w:b/>
      <w:bCs/>
    </w:rPr>
  </w:style>
  <w:style w:type="character" w:styleId="Voetnootmarkering">
    <w:name w:val="footnote reference"/>
    <w:basedOn w:val="Standaardalinea-lettertype"/>
    <w:uiPriority w:val="99"/>
    <w:semiHidden/>
    <w:unhideWhenUsed/>
    <w:rsid w:val="00F742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nnet.eu/nl/over-tennet/publicaties/rapport-monitoring-leveringszeker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1326</ap:Words>
  <ap:Characters>7295</ap:Characters>
  <ap:DocSecurity>0</ap:DocSecurity>
  <ap:Lines>60</ap:Lines>
  <ap:Paragraphs>17</ap:Paragraphs>
  <ap:ScaleCrop>false</ap:ScaleCrop>
  <ap:LinksUpToDate>false</ap:LinksUpToDate>
  <ap:CharactersWithSpaces>8604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2025-06-17T10:54:00.0000000Z</dcterms:created>
  <dcterms:modified xsi:type="dcterms:W3CDTF">2025-06-17T10:55:00.0000000Z</dcterms:modified>
  <version/>
  <category/>
</coreProperties>
</file>