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2025Z12378</w:t>
        <w:br/>
      </w:r>
      <w:proofErr w:type="spellEnd"/>
    </w:p>
    <w:p>
      <w:pPr>
        <w:pStyle w:val="Normal"/>
        <w:rPr>
          <w:b w:val="1"/>
          <w:bCs w:val="1"/>
        </w:rPr>
      </w:pPr>
      <w:r w:rsidR="250AE766">
        <w:rPr>
          <w:b w:val="0"/>
          <w:bCs w:val="0"/>
        </w:rPr>
        <w:t>(ingezonden 17 juni 2025)</w:t>
        <w:br/>
      </w:r>
    </w:p>
    <w:p>
      <w:r>
        <w:t xml:space="preserve">Vragen van het lid Joseph (Nieuw Sociaal Contract) aan de minister van Sociale Zaken en Werkgelegenheid over het bericht ‘Fondsen mogen operationele buffer toch aanvullen vanuit solidariteitsreserve’</w:t>
      </w:r>
      <w:r>
        <w:br/>
      </w:r>
    </w:p>
    <w:p>
      <w:pPr>
        <w:pStyle w:val="ListParagraph"/>
        <w:numPr>
          <w:ilvl w:val="0"/>
          <w:numId w:val="100481310"/>
        </w:numPr>
        <w:ind w:left="360"/>
      </w:pPr>
      <w:r>
        <w:t>Bent u bekend met het bericht ‘Fondsen mogen operationele buffer toch aanvullen vanuit solidariteitsreserve’? 1)</w:t>
      </w:r>
      <w:r>
        <w:br/>
      </w:r>
    </w:p>
    <w:p>
      <w:pPr>
        <w:pStyle w:val="ListParagraph"/>
        <w:numPr>
          <w:ilvl w:val="0"/>
          <w:numId w:val="100481310"/>
        </w:numPr>
        <w:ind w:left="360"/>
      </w:pPr>
      <w:r>
        <w:t>Kunt u bevestigen dat in de Wet toekomst pensioenen expliciet staat dat de solidariteitsreserve niet mag worden gebruikt voor deling van operationele kosten?</w:t>
      </w:r>
      <w:r>
        <w:br/>
      </w:r>
    </w:p>
    <w:p>
      <w:pPr>
        <w:pStyle w:val="ListParagraph"/>
        <w:numPr>
          <w:ilvl w:val="0"/>
          <w:numId w:val="100481310"/>
        </w:numPr>
        <w:ind w:left="360"/>
      </w:pPr>
      <w:r>
        <w:t>Klopt het dat pensioenfonds APG is ingevaren terwijl in hun transitie- en implementatieplan staat dat ze de solidariteitsreserve willen kunnen inzetten om operationele tekorten aan te vullen? Zo ja, kunt u dan bevestigen dat dit in strijd is met de huidige Wet toekomst pensioenen?</w:t>
      </w:r>
      <w:r>
        <w:br/>
      </w:r>
    </w:p>
    <w:p>
      <w:pPr>
        <w:pStyle w:val="ListParagraph"/>
        <w:numPr>
          <w:ilvl w:val="0"/>
          <w:numId w:val="100481310"/>
        </w:numPr>
        <w:ind w:left="360"/>
      </w:pPr>
      <w:r>
        <w:t>Wat zijn de beweegredenen om het wettelijk mogelijk te maken dat de operationele buffer mag worden aangevuld vanuit de solidariteitsreserve, ondanks dat dit uitgebreid is besproken tijdens de wetsbehandeling van de Wet toekomst pensioenen?</w:t>
      </w:r>
      <w:r>
        <w:br/>
      </w:r>
    </w:p>
    <w:p>
      <w:pPr>
        <w:pStyle w:val="ListParagraph"/>
        <w:numPr>
          <w:ilvl w:val="0"/>
          <w:numId w:val="100481310"/>
        </w:numPr>
        <w:ind w:left="360"/>
      </w:pPr>
      <w:r>
        <w:t>Kunt u bevestigen dat een aantal pensioenuitvoerders een niet-toegestane rekenmethode bij het toedelen van overrendement gebruikt? 2)</w:t>
      </w:r>
      <w:r>
        <w:br/>
      </w:r>
    </w:p>
    <w:p>
      <w:pPr>
        <w:pStyle w:val="ListParagraph"/>
        <w:numPr>
          <w:ilvl w:val="0"/>
          <w:numId w:val="100481310"/>
        </w:numPr>
        <w:ind w:left="360"/>
      </w:pPr>
      <w:r>
        <w:t>Wat zegt het volgens u over de betrouwbaarheid van de pensioenwet- en regelgeving dat fondsen gewoon mogen invaren als het niet mogelijk blijkt te zijn om de rekenmethode voor het invaren aan te passen terwijl dit volgens De Nederlandsche Bank een overtreding van de geldende wet- en regelgeving is?</w:t>
      </w:r>
      <w:r>
        <w:br/>
      </w:r>
    </w:p>
    <w:p>
      <w:pPr>
        <w:pStyle w:val="ListParagraph"/>
        <w:numPr>
          <w:ilvl w:val="0"/>
          <w:numId w:val="100481310"/>
        </w:numPr>
        <w:ind w:left="360"/>
      </w:pPr>
      <w:r>
        <w:t>Herkent u een patroon in de overgang naar het nieuwe pensioenstelsel waarin weeffouten in de wetgeving steeds vaker naar voren komen? Zo niet, waarom niet?</w:t>
      </w:r>
      <w:r>
        <w:br/>
      </w:r>
    </w:p>
    <w:p>
      <w:pPr>
        <w:pStyle w:val="ListParagraph"/>
        <w:numPr>
          <w:ilvl w:val="0"/>
          <w:numId w:val="100481310"/>
        </w:numPr>
        <w:ind w:left="360"/>
      </w:pPr>
      <w:r>
        <w:t>Deelt u de mening dat pensioenwet- en regelgeving betrouwbaar moet zijn én moet aansluiten op de werkelijkheid in de praktijk? Zo niet, waarom niet?</w:t>
      </w:r>
      <w:r>
        <w:br/>
      </w:r>
    </w:p>
    <w:p>
      <w:pPr>
        <w:pStyle w:val="ListParagraph"/>
        <w:numPr>
          <w:ilvl w:val="0"/>
          <w:numId w:val="100481310"/>
        </w:numPr>
        <w:ind w:left="360"/>
      </w:pPr>
      <w:r>
        <w:t>Hoe wenselijk acht u het dat er invaarbesluiten worden gegeven door DNB aan pensioenfondsen die feitelijk gezien niet aan de wet voldoen?</w:t>
      </w:r>
      <w:r>
        <w:br/>
      </w:r>
    </w:p>
    <w:p>
      <w:r>
        <w:t xml:space="preserve">1) Pensioen Pro, 16 juni 2025, 'Fondsen mogen operationale buffer toch aanvullen vanuit solidariteitsreserve' (pensioenpro.nl/pensioenfondsen-mogen-solidariteitsreserve-toch-gebruiken-voor-aanvullen-operationele-buffer/).</w:t>
      </w:r>
      <w:r>
        <w:br/>
      </w:r>
    </w:p>
    <w:p>
      <w:r>
        <w:t xml:space="preserve">2) Pensioen Pro, 1 mei 2025, 'Uitvoerder moet van DNB sleutelen aan toedeling rendementen' (pensioenpro.nl/uitvoerders-moeten-van-dnb-opnieuw-sleutelen-aan-rendementstoedeling/).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2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250">
    <w:abstractNumId w:val="1004812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