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 w:type="dxa"/>
        <w:tblLayout w:type="fixed"/>
        <w:tblLook w:val="06A0" w:firstRow="1" w:lastRow="0" w:firstColumn="1" w:lastColumn="0" w:noHBand="1" w:noVBand="1"/>
      </w:tblPr>
      <w:tblGrid>
        <w:gridCol w:w="3353"/>
        <w:gridCol w:w="5896"/>
        <w:gridCol w:w="1897"/>
      </w:tblGrid>
      <w:tr w:rsidR="7163F28C" w:rsidTr="7163F28C" w14:paraId="5DFD201F" w14:textId="77777777">
        <w:trPr>
          <w:trHeight w:val="300"/>
        </w:trPr>
        <w:tc>
          <w:tcPr>
            <w:tcW w:w="9249" w:type="dxa"/>
            <w:gridSpan w:val="2"/>
            <w:tcBorders>
              <w:top w:val="nil"/>
              <w:left w:val="nil"/>
              <w:bottom w:val="nil"/>
              <w:right w:val="nil"/>
            </w:tcBorders>
            <w:tcMar>
              <w:left w:w="70" w:type="dxa"/>
              <w:right w:w="70" w:type="dxa"/>
            </w:tcMar>
            <w:vAlign w:val="center"/>
          </w:tcPr>
          <w:p w:rsidR="7163F28C" w:rsidP="7163F28C" w:rsidRDefault="7163F28C" w14:paraId="584F5457" w14:textId="392446DC">
            <w:pPr>
              <w:tabs>
                <w:tab w:val="left" w:pos="708"/>
              </w:tabs>
            </w:pPr>
            <w:r w:rsidRPr="7163F28C">
              <w:rPr>
                <w:rFonts w:ascii="Times New Roman" w:hAnsi="Times New Roman"/>
                <w:b/>
                <w:bCs/>
                <w:sz w:val="30"/>
                <w:szCs w:val="30"/>
              </w:rPr>
              <w:t>T</w:t>
            </w:r>
            <w:r w:rsidRPr="7163F28C">
              <w:rPr>
                <w:rFonts w:ascii="Times New Roman" w:hAnsi="Times New Roman"/>
                <w:b/>
                <w:bCs/>
                <w:sz w:val="22"/>
                <w:szCs w:val="22"/>
              </w:rPr>
              <w:t xml:space="preserve">WEEDE </w:t>
            </w:r>
            <w:r w:rsidRPr="7163F28C">
              <w:rPr>
                <w:rFonts w:ascii="Times New Roman" w:hAnsi="Times New Roman"/>
                <w:b/>
                <w:bCs/>
                <w:sz w:val="30"/>
                <w:szCs w:val="30"/>
              </w:rPr>
              <w:t>K</w:t>
            </w:r>
            <w:r w:rsidRPr="7163F28C">
              <w:rPr>
                <w:rFonts w:ascii="Times New Roman" w:hAnsi="Times New Roman"/>
                <w:b/>
                <w:bCs/>
                <w:sz w:val="22"/>
                <w:szCs w:val="22"/>
              </w:rPr>
              <w:t>AMER DER</w:t>
            </w:r>
            <w:r w:rsidRPr="7163F28C">
              <w:rPr>
                <w:rFonts w:ascii="Times New Roman" w:hAnsi="Times New Roman"/>
                <w:b/>
                <w:bCs/>
                <w:sz w:val="30"/>
                <w:szCs w:val="30"/>
              </w:rPr>
              <w:t xml:space="preserve"> S</w:t>
            </w:r>
            <w:r w:rsidRPr="7163F28C">
              <w:rPr>
                <w:rFonts w:ascii="Times New Roman" w:hAnsi="Times New Roman"/>
                <w:b/>
                <w:bCs/>
                <w:sz w:val="22"/>
                <w:szCs w:val="22"/>
              </w:rPr>
              <w:t>TATEN-</w:t>
            </w:r>
            <w:r w:rsidRPr="7163F28C">
              <w:rPr>
                <w:rFonts w:ascii="Times New Roman" w:hAnsi="Times New Roman"/>
                <w:b/>
                <w:bCs/>
                <w:sz w:val="30"/>
                <w:szCs w:val="30"/>
              </w:rPr>
              <w:t>G</w:t>
            </w:r>
            <w:r w:rsidRPr="7163F28C">
              <w:rPr>
                <w:rFonts w:ascii="Times New Roman" w:hAnsi="Times New Roman"/>
                <w:b/>
                <w:bCs/>
                <w:sz w:val="22"/>
                <w:szCs w:val="22"/>
              </w:rPr>
              <w:t>ENERAAL</w:t>
            </w:r>
          </w:p>
        </w:tc>
        <w:tc>
          <w:tcPr>
            <w:tcW w:w="1897" w:type="dxa"/>
            <w:tcBorders>
              <w:top w:val="nil"/>
              <w:left w:val="nil"/>
              <w:bottom w:val="nil"/>
              <w:right w:val="nil"/>
            </w:tcBorders>
            <w:tcMar>
              <w:left w:w="70" w:type="dxa"/>
              <w:right w:w="70" w:type="dxa"/>
            </w:tcMar>
          </w:tcPr>
          <w:p w:rsidR="7163F28C" w:rsidP="7163F28C" w:rsidRDefault="7163F28C" w14:paraId="55375419" w14:textId="1E575BE0">
            <w:pPr>
              <w:tabs>
                <w:tab w:val="left" w:pos="708"/>
              </w:tabs>
              <w:jc w:val="right"/>
            </w:pPr>
            <w:r w:rsidRPr="7163F28C">
              <w:rPr>
                <w:rFonts w:ascii="Times New Roman" w:hAnsi="Times New Roman"/>
                <w:b/>
                <w:bCs/>
                <w:sz w:val="88"/>
                <w:szCs w:val="88"/>
              </w:rPr>
              <w:t>2</w:t>
            </w:r>
          </w:p>
        </w:tc>
      </w:tr>
      <w:tr w:rsidR="7163F28C" w:rsidTr="7163F28C" w14:paraId="361C4F9B" w14:textId="77777777">
        <w:trPr>
          <w:trHeight w:val="300"/>
        </w:trPr>
        <w:tc>
          <w:tcPr>
            <w:tcW w:w="11146" w:type="dxa"/>
            <w:gridSpan w:val="3"/>
            <w:tcBorders>
              <w:top w:val="single" w:color="auto" w:sz="8" w:space="0"/>
              <w:left w:val="nil"/>
              <w:bottom w:val="nil"/>
              <w:right w:val="nil"/>
            </w:tcBorders>
            <w:tcMar>
              <w:left w:w="70" w:type="dxa"/>
              <w:right w:w="70" w:type="dxa"/>
            </w:tcMar>
          </w:tcPr>
          <w:p w:rsidR="7163F28C" w:rsidP="7163F28C" w:rsidRDefault="7163F28C" w14:paraId="2066159C" w14:textId="03619DAB">
            <w:pPr>
              <w:tabs>
                <w:tab w:val="left" w:pos="708"/>
              </w:tabs>
            </w:pPr>
            <w:r w:rsidRPr="7163F28C">
              <w:rPr>
                <w:rFonts w:ascii="Times New Roman" w:hAnsi="Times New Roman"/>
                <w:szCs w:val="24"/>
              </w:rPr>
              <w:t>Vergaderjaar 2024-2025</w:t>
            </w:r>
          </w:p>
        </w:tc>
      </w:tr>
      <w:tr w:rsidR="7163F28C" w:rsidTr="7163F28C" w14:paraId="6464721F"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6B03F3A4" w14:textId="2B1D3223">
            <w:pPr>
              <w:tabs>
                <w:tab w:val="left" w:pos="708"/>
              </w:tabs>
            </w:pPr>
            <w:r w:rsidRPr="7163F28C">
              <w:rPr>
                <w:rFonts w:ascii="Times New Roman" w:hAnsi="Times New Roman"/>
                <w:szCs w:val="24"/>
              </w:rPr>
              <w:t xml:space="preserve"> </w:t>
            </w:r>
          </w:p>
        </w:tc>
      </w:tr>
      <w:tr w:rsidR="7163F28C" w:rsidTr="7163F28C" w14:paraId="14C5318E" w14:textId="77777777">
        <w:trPr>
          <w:trHeight w:val="300"/>
        </w:trPr>
        <w:tc>
          <w:tcPr>
            <w:tcW w:w="11146" w:type="dxa"/>
            <w:gridSpan w:val="3"/>
            <w:tcBorders>
              <w:top w:val="nil"/>
              <w:left w:val="nil"/>
              <w:bottom w:val="single" w:color="auto" w:sz="8" w:space="0"/>
              <w:right w:val="nil"/>
            </w:tcBorders>
            <w:tcMar>
              <w:left w:w="70" w:type="dxa"/>
              <w:right w:w="70" w:type="dxa"/>
            </w:tcMar>
          </w:tcPr>
          <w:p w:rsidR="7163F28C" w:rsidP="7163F28C" w:rsidRDefault="7163F28C" w14:paraId="72AC4435" w14:textId="6B0CF87B">
            <w:pPr>
              <w:tabs>
                <w:tab w:val="left" w:pos="708"/>
              </w:tabs>
            </w:pPr>
            <w:r w:rsidRPr="7163F28C">
              <w:rPr>
                <w:rFonts w:ascii="Times New Roman" w:hAnsi="Times New Roman"/>
                <w:b/>
                <w:bCs/>
                <w:szCs w:val="24"/>
              </w:rPr>
              <w:t xml:space="preserve"> </w:t>
            </w:r>
          </w:p>
        </w:tc>
      </w:tr>
      <w:tr w:rsidR="7163F28C" w:rsidTr="7163F28C" w14:paraId="51C12143" w14:textId="77777777">
        <w:trPr>
          <w:trHeight w:val="300"/>
        </w:trPr>
        <w:tc>
          <w:tcPr>
            <w:tcW w:w="3353" w:type="dxa"/>
            <w:tcBorders>
              <w:top w:val="single" w:color="auto" w:sz="8" w:space="0"/>
              <w:left w:val="nil"/>
              <w:bottom w:val="nil"/>
              <w:right w:val="nil"/>
            </w:tcBorders>
            <w:tcMar>
              <w:left w:w="70" w:type="dxa"/>
              <w:right w:w="70" w:type="dxa"/>
            </w:tcMar>
          </w:tcPr>
          <w:p w:rsidR="7163F28C" w:rsidP="7163F28C" w:rsidRDefault="7163F28C" w14:paraId="7E56A285" w14:textId="54A3EF00">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19871C0C" w14:textId="6D8D4AB3">
            <w:r w:rsidRPr="7163F28C">
              <w:rPr>
                <w:rFonts w:ascii="Times New Roman" w:hAnsi="Times New Roman"/>
                <w:b/>
                <w:bCs/>
                <w:szCs w:val="24"/>
              </w:rPr>
              <w:t xml:space="preserve"> </w:t>
            </w:r>
          </w:p>
        </w:tc>
      </w:tr>
      <w:tr w:rsidR="7163F28C" w:rsidTr="7163F28C" w14:paraId="13A77FAE"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D3215E4" w14:textId="626B3570">
            <w:pPr>
              <w:tabs>
                <w:tab w:val="left" w:pos="708"/>
              </w:tabs>
            </w:pPr>
            <w:r w:rsidRPr="7163F28C">
              <w:rPr>
                <w:rFonts w:ascii="Times New Roman" w:hAnsi="Times New Roman"/>
                <w:b/>
                <w:bCs/>
                <w:szCs w:val="24"/>
              </w:rPr>
              <w:t>36 725 VIII</w:t>
            </w:r>
          </w:p>
        </w:tc>
        <w:tc>
          <w:tcPr>
            <w:tcW w:w="7793" w:type="dxa"/>
            <w:gridSpan w:val="2"/>
            <w:tcBorders>
              <w:top w:val="nil"/>
              <w:left w:val="nil"/>
              <w:bottom w:val="nil"/>
              <w:right w:val="nil"/>
            </w:tcBorders>
            <w:tcMar>
              <w:left w:w="70" w:type="dxa"/>
              <w:right w:w="70" w:type="dxa"/>
            </w:tcMar>
          </w:tcPr>
          <w:p w:rsidR="7163F28C" w:rsidP="7163F28C" w:rsidRDefault="7163F28C" w14:paraId="3475DA27" w14:textId="63818DE9">
            <w:r w:rsidRPr="7163F28C">
              <w:rPr>
                <w:rFonts w:ascii="Times New Roman" w:hAnsi="Times New Roman"/>
                <w:b/>
                <w:bCs/>
                <w:szCs w:val="24"/>
              </w:rPr>
              <w:t>Wijziging van de begrotingsstaten van het Ministerie van Onderwijs, Cultuur en Wetenschap (VIII) voor het jaar 2025 (wijziging samenhangende met de Voorjaarsnota)</w:t>
            </w:r>
          </w:p>
        </w:tc>
      </w:tr>
      <w:tr w:rsidR="7163F28C" w:rsidTr="7163F28C" w14:paraId="664D3148"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1B445064" w14:textId="301F98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636FA25" w14:textId="7505A1F9">
            <w:pPr>
              <w:tabs>
                <w:tab w:val="left" w:pos="708"/>
              </w:tabs>
            </w:pPr>
            <w:r w:rsidRPr="7163F28C">
              <w:rPr>
                <w:rFonts w:ascii="Times New Roman" w:hAnsi="Times New Roman"/>
                <w:b/>
                <w:bCs/>
                <w:szCs w:val="24"/>
              </w:rPr>
              <w:t xml:space="preserve"> </w:t>
            </w:r>
          </w:p>
        </w:tc>
      </w:tr>
      <w:tr w:rsidR="7163F28C" w:rsidTr="7163F28C" w14:paraId="60D3B32A"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5D9B49FE" w14:textId="2C862357">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7052B05" w14:textId="26D7939B">
            <w:pPr>
              <w:tabs>
                <w:tab w:val="left" w:pos="708"/>
              </w:tabs>
            </w:pPr>
            <w:r w:rsidRPr="7163F28C">
              <w:rPr>
                <w:rFonts w:ascii="Times New Roman" w:hAnsi="Times New Roman"/>
                <w:b/>
                <w:bCs/>
                <w:szCs w:val="24"/>
              </w:rPr>
              <w:t xml:space="preserve"> </w:t>
            </w:r>
          </w:p>
        </w:tc>
      </w:tr>
      <w:tr w:rsidR="7163F28C" w:rsidTr="7163F28C" w14:paraId="5D5B93B7"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FB09BBE" w14:textId="34CD9CD4">
            <w:pPr>
              <w:tabs>
                <w:tab w:val="left" w:pos="708"/>
              </w:tabs>
            </w:pPr>
            <w:r w:rsidRPr="7163F28C">
              <w:rPr>
                <w:rFonts w:ascii="Times New Roman" w:hAnsi="Times New Roman"/>
                <w:b/>
                <w:bCs/>
                <w:szCs w:val="24"/>
              </w:rPr>
              <w:t xml:space="preserve">Nr. </w:t>
            </w:r>
            <w:r w:rsidR="00FF2C26">
              <w:rPr>
                <w:rFonts w:ascii="Times New Roman" w:hAnsi="Times New Roman"/>
                <w:b/>
                <w:bCs/>
                <w:caps/>
                <w:szCs w:val="24"/>
              </w:rPr>
              <w:t>10</w:t>
            </w:r>
          </w:p>
        </w:tc>
        <w:tc>
          <w:tcPr>
            <w:tcW w:w="7793" w:type="dxa"/>
            <w:gridSpan w:val="2"/>
            <w:tcBorders>
              <w:top w:val="nil"/>
              <w:left w:val="nil"/>
              <w:bottom w:val="nil"/>
              <w:right w:val="nil"/>
            </w:tcBorders>
            <w:tcMar>
              <w:left w:w="70" w:type="dxa"/>
              <w:right w:w="70" w:type="dxa"/>
            </w:tcMar>
          </w:tcPr>
          <w:p w:rsidRPr="00171E72" w:rsidR="7163F28C" w:rsidP="7163F28C" w:rsidRDefault="7163F28C" w14:paraId="05979F1B" w14:textId="50DE8B62">
            <w:pPr>
              <w:tabs>
                <w:tab w:val="left" w:pos="708"/>
              </w:tabs>
              <w:rPr>
                <w:rFonts w:ascii="Times New Roman" w:hAnsi="Times New Roman"/>
                <w:b/>
                <w:bCs/>
                <w:caps/>
                <w:szCs w:val="24"/>
              </w:rPr>
            </w:pPr>
            <w:r w:rsidRPr="00171E72">
              <w:rPr>
                <w:rFonts w:ascii="Times New Roman" w:hAnsi="Times New Roman"/>
                <w:b/>
                <w:bCs/>
                <w:caps/>
                <w:szCs w:val="24"/>
              </w:rPr>
              <w:t xml:space="preserve">AMENDEMENT VAN </w:t>
            </w:r>
            <w:r w:rsidRPr="00171E72" w:rsidR="00171E72">
              <w:rPr>
                <w:rFonts w:ascii="Times New Roman" w:hAnsi="Times New Roman"/>
                <w:b/>
                <w:bCs/>
                <w:caps/>
                <w:szCs w:val="24"/>
              </w:rPr>
              <w:t xml:space="preserve">het lid </w:t>
            </w:r>
            <w:r w:rsidRPr="00171E72" w:rsidR="00171E72">
              <w:rPr>
                <w:rFonts w:ascii="Times New Roman" w:hAnsi="Times New Roman"/>
                <w:b/>
                <w:bCs/>
                <w:caps/>
              </w:rPr>
              <w:t>Kostiç</w:t>
            </w:r>
            <w:r w:rsidRPr="00171E72" w:rsidR="00171E72">
              <w:rPr>
                <w:rFonts w:ascii="Times New Roman" w:hAnsi="Times New Roman"/>
                <w:b/>
                <w:bCs/>
                <w:caps/>
                <w:szCs w:val="24"/>
              </w:rPr>
              <w:t xml:space="preserve"> </w:t>
            </w:r>
            <w:r w:rsidRPr="00171E72" w:rsidR="7D2D3627">
              <w:rPr>
                <w:rFonts w:ascii="Times New Roman" w:hAnsi="Times New Roman"/>
                <w:b/>
                <w:bCs/>
                <w:caps/>
                <w:szCs w:val="24"/>
              </w:rPr>
              <w:t>c.s.</w:t>
            </w:r>
            <w:r w:rsidR="00CB3A54">
              <w:rPr>
                <w:rFonts w:ascii="Times New Roman" w:hAnsi="Times New Roman"/>
                <w:b/>
                <w:bCs/>
                <w:caps/>
                <w:szCs w:val="24"/>
              </w:rPr>
              <w:t xml:space="preserve"> ter vervanging van dat gedrukt onder nr. 9</w:t>
            </w:r>
            <w:r w:rsidR="00CB3A54">
              <w:rPr>
                <w:rStyle w:val="Voetnootmarkering"/>
                <w:rFonts w:ascii="Times New Roman" w:hAnsi="Times New Roman"/>
                <w:b/>
                <w:bCs/>
                <w:caps/>
                <w:szCs w:val="24"/>
              </w:rPr>
              <w:footnoteReference w:id="1"/>
            </w:r>
          </w:p>
        </w:tc>
      </w:tr>
      <w:tr w:rsidR="7163F28C" w:rsidTr="7163F28C" w14:paraId="272D6A35" w14:textId="77777777">
        <w:trPr>
          <w:trHeight w:val="405"/>
        </w:trPr>
        <w:tc>
          <w:tcPr>
            <w:tcW w:w="3353" w:type="dxa"/>
            <w:tcBorders>
              <w:top w:val="nil"/>
              <w:left w:val="nil"/>
              <w:bottom w:val="nil"/>
              <w:right w:val="nil"/>
            </w:tcBorders>
            <w:tcMar>
              <w:left w:w="70" w:type="dxa"/>
              <w:right w:w="70" w:type="dxa"/>
            </w:tcMar>
          </w:tcPr>
          <w:p w:rsidR="7163F28C" w:rsidP="7163F28C" w:rsidRDefault="7163F28C" w14:paraId="34344A2E" w14:textId="198012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13862BC" w14:textId="0B990C3A">
            <w:pPr>
              <w:tabs>
                <w:tab w:val="left" w:pos="708"/>
              </w:tabs>
            </w:pPr>
            <w:r w:rsidRPr="7163F28C">
              <w:rPr>
                <w:rFonts w:ascii="Times New Roman" w:hAnsi="Times New Roman"/>
                <w:szCs w:val="24"/>
              </w:rPr>
              <w:t xml:space="preserve">Ontvangen </w:t>
            </w:r>
            <w:r w:rsidR="00171E72">
              <w:rPr>
                <w:rFonts w:ascii="Times New Roman" w:hAnsi="Times New Roman"/>
                <w:szCs w:val="24"/>
              </w:rPr>
              <w:t>18 juni 2025</w:t>
            </w:r>
          </w:p>
        </w:tc>
      </w:tr>
      <w:tr w:rsidR="7163F28C" w:rsidTr="7163F28C" w14:paraId="70B78315"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4F6E4DC8" w14:textId="027CB41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808E6DB" w14:textId="507C2CBB">
            <w:pPr>
              <w:tabs>
                <w:tab w:val="left" w:pos="708"/>
              </w:tabs>
            </w:pPr>
            <w:r w:rsidRPr="7163F28C">
              <w:rPr>
                <w:rFonts w:ascii="Times New Roman" w:hAnsi="Times New Roman"/>
                <w:szCs w:val="24"/>
              </w:rPr>
              <w:t xml:space="preserve"> </w:t>
            </w:r>
          </w:p>
        </w:tc>
      </w:tr>
      <w:tr w:rsidR="7163F28C" w:rsidTr="7163F28C" w14:paraId="419FBD2C"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070CF2F6" w14:textId="3ADCEA36">
            <w:pPr>
              <w:tabs>
                <w:tab w:val="left" w:pos="708"/>
              </w:tabs>
              <w:ind w:firstLine="284"/>
            </w:pPr>
            <w:r w:rsidRPr="7163F28C">
              <w:rPr>
                <w:rFonts w:ascii="Times New Roman" w:hAnsi="Times New Roman"/>
                <w:szCs w:val="24"/>
              </w:rPr>
              <w:t>De ondergetekenden stellen het volgende amendement voor:</w:t>
            </w:r>
          </w:p>
        </w:tc>
      </w:tr>
      <w:tr w:rsidR="7163F28C" w:rsidTr="7163F28C" w14:paraId="3EBC661F"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0416E92D" w14:textId="3A4494D5">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6362F725" w14:textId="6C672413">
            <w:pPr>
              <w:tabs>
                <w:tab w:val="left" w:pos="708"/>
              </w:tabs>
            </w:pPr>
            <w:r w:rsidRPr="7163F28C">
              <w:rPr>
                <w:rFonts w:ascii="Times New Roman" w:hAnsi="Times New Roman"/>
                <w:szCs w:val="24"/>
              </w:rPr>
              <w:t xml:space="preserve"> </w:t>
            </w:r>
          </w:p>
        </w:tc>
      </w:tr>
      <w:tr w:rsidR="7163F28C" w:rsidTr="7163F28C" w14:paraId="5825DC4E" w14:textId="77777777">
        <w:trPr>
          <w:trHeight w:val="300"/>
        </w:trPr>
        <w:tc>
          <w:tcPr>
            <w:tcW w:w="3353" w:type="dxa"/>
            <w:tcBorders>
              <w:top w:val="nil"/>
              <w:left w:val="nil"/>
              <w:bottom w:val="nil"/>
              <w:right w:val="nil"/>
            </w:tcBorders>
            <w:vAlign w:val="center"/>
          </w:tcPr>
          <w:p w:rsidR="7163F28C" w:rsidRDefault="7163F28C" w14:paraId="2EB106D3" w14:textId="790A7E8A"/>
        </w:tc>
        <w:tc>
          <w:tcPr>
            <w:tcW w:w="5896" w:type="dxa"/>
            <w:tcBorders>
              <w:top w:val="nil"/>
              <w:left w:val="nil"/>
              <w:bottom w:val="nil"/>
              <w:right w:val="nil"/>
            </w:tcBorders>
            <w:vAlign w:val="center"/>
          </w:tcPr>
          <w:p w:rsidR="7163F28C" w:rsidRDefault="7163F28C" w14:paraId="35603D7E" w14:textId="28CF39DE"/>
        </w:tc>
        <w:tc>
          <w:tcPr>
            <w:tcW w:w="1897" w:type="dxa"/>
            <w:tcBorders>
              <w:top w:val="nil"/>
              <w:left w:val="nil"/>
              <w:bottom w:val="nil"/>
              <w:right w:val="nil"/>
            </w:tcBorders>
            <w:vAlign w:val="center"/>
          </w:tcPr>
          <w:p w:rsidR="7163F28C" w:rsidRDefault="7163F28C" w14:paraId="4F0EB04E" w14:textId="5B9D39AB"/>
        </w:tc>
      </w:tr>
    </w:tbl>
    <w:p w:rsidR="2B8BF28F" w:rsidP="0025572F" w:rsidRDefault="2B8BF28F" w14:paraId="744D71C9" w14:textId="32AD6F32">
      <w:r w:rsidRPr="7163F28C">
        <w:rPr>
          <w:rFonts w:ascii="Times New Roman" w:hAnsi="Times New Roman"/>
          <w:szCs w:val="24"/>
        </w:rPr>
        <w:t>De departementale begrotingsstaat wordt als volgt gewijzigd:</w:t>
      </w:r>
    </w:p>
    <w:p w:rsidR="2B8BF28F" w:rsidP="7163F28C" w:rsidRDefault="2B8BF28F" w14:paraId="1C150887" w14:textId="0C832770">
      <w:r w:rsidRPr="7163F28C">
        <w:rPr>
          <w:rFonts w:ascii="Times New Roman" w:hAnsi="Times New Roman"/>
          <w:szCs w:val="24"/>
        </w:rPr>
        <w:t xml:space="preserve"> </w:t>
      </w:r>
    </w:p>
    <w:p w:rsidR="2B8BF28F" w:rsidP="7163F28C" w:rsidRDefault="2B8BF28F" w14:paraId="06C2517F" w14:textId="008ADC98">
      <w:r w:rsidRPr="7163F28C">
        <w:rPr>
          <w:rFonts w:ascii="Times New Roman" w:hAnsi="Times New Roman"/>
          <w:szCs w:val="24"/>
        </w:rPr>
        <w:t>I</w:t>
      </w:r>
    </w:p>
    <w:p w:rsidR="2B8BF28F" w:rsidP="7163F28C" w:rsidRDefault="2B8BF28F" w14:paraId="7D447735" w14:textId="2802A62D">
      <w:r w:rsidRPr="7163F28C">
        <w:rPr>
          <w:rFonts w:ascii="Times New Roman" w:hAnsi="Times New Roman"/>
          <w:szCs w:val="24"/>
        </w:rPr>
        <w:t xml:space="preserve"> </w:t>
      </w:r>
    </w:p>
    <w:p w:rsidR="2B8BF28F" w:rsidP="7163F28C" w:rsidRDefault="2B8BF28F" w14:paraId="55BEE641" w14:textId="7CAB41B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verlaagd</w:t>
      </w:r>
      <w:r w:rsidRPr="7163F28C">
        <w:rPr>
          <w:rFonts w:ascii="Times New Roman" w:hAnsi="Times New Roman"/>
          <w:szCs w:val="24"/>
        </w:rPr>
        <w:t xml:space="preserve"> met</w:t>
      </w:r>
      <w:r w:rsidRPr="7163F28C">
        <w:rPr>
          <w:rFonts w:ascii="Times New Roman" w:hAnsi="Times New Roman"/>
          <w:b/>
          <w:bCs/>
          <w:szCs w:val="24"/>
        </w:rPr>
        <w:t xml:space="preserve"> € 2.500</w:t>
      </w:r>
      <w:r w:rsidRPr="7163F28C">
        <w:rPr>
          <w:rFonts w:ascii="Times New Roman" w:hAnsi="Times New Roman"/>
          <w:szCs w:val="24"/>
        </w:rPr>
        <w:t xml:space="preserve"> (x € 1.000).</w:t>
      </w:r>
    </w:p>
    <w:p w:rsidR="2B8BF28F" w:rsidP="7163F28C" w:rsidRDefault="2B8BF28F" w14:paraId="0CD1A451" w14:textId="129CB765">
      <w:r w:rsidRPr="7163F28C">
        <w:rPr>
          <w:rFonts w:ascii="Times New Roman" w:hAnsi="Times New Roman"/>
          <w:szCs w:val="24"/>
        </w:rPr>
        <w:t xml:space="preserve"> </w:t>
      </w:r>
    </w:p>
    <w:p w:rsidR="2B8BF28F" w:rsidP="7163F28C" w:rsidRDefault="2B8BF28F" w14:paraId="27E93392" w14:textId="7C82FE00">
      <w:r w:rsidRPr="7163F28C">
        <w:rPr>
          <w:rFonts w:ascii="Times New Roman" w:hAnsi="Times New Roman"/>
          <w:szCs w:val="24"/>
        </w:rPr>
        <w:t>II</w:t>
      </w:r>
    </w:p>
    <w:p w:rsidR="2B8BF28F" w:rsidP="7163F28C" w:rsidRDefault="2B8BF28F" w14:paraId="6783BE37" w14:textId="6AD548E1">
      <w:r w:rsidRPr="7163F28C">
        <w:rPr>
          <w:rFonts w:ascii="Times New Roman" w:hAnsi="Times New Roman"/>
          <w:szCs w:val="24"/>
        </w:rPr>
        <w:t xml:space="preserve"> </w:t>
      </w:r>
    </w:p>
    <w:p w:rsidR="2B8BF28F" w:rsidP="7163F28C" w:rsidRDefault="2B8BF28F" w14:paraId="4926A347" w14:textId="644030E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verhoogd</w:t>
      </w:r>
      <w:r w:rsidRPr="7163F28C">
        <w:rPr>
          <w:rFonts w:ascii="Times New Roman" w:hAnsi="Times New Roman"/>
          <w:szCs w:val="24"/>
        </w:rPr>
        <w:t xml:space="preserve"> met </w:t>
      </w:r>
      <w:r w:rsidRPr="7163F28C">
        <w:rPr>
          <w:rFonts w:ascii="Times New Roman" w:hAnsi="Times New Roman"/>
          <w:b/>
          <w:bCs/>
          <w:szCs w:val="24"/>
        </w:rPr>
        <w:t>€ 2.500</w:t>
      </w:r>
      <w:r w:rsidRPr="7163F28C">
        <w:rPr>
          <w:rFonts w:ascii="Times New Roman" w:hAnsi="Times New Roman"/>
          <w:szCs w:val="24"/>
        </w:rPr>
        <w:t xml:space="preserve"> (x € 1.000).</w:t>
      </w:r>
    </w:p>
    <w:p w:rsidR="2B8BF28F" w:rsidP="7163F28C" w:rsidRDefault="2B8BF28F" w14:paraId="40A9094A" w14:textId="7F4EBFC4">
      <w:r w:rsidRPr="7163F28C">
        <w:rPr>
          <w:rFonts w:ascii="Times New Roman" w:hAnsi="Times New Roman"/>
          <w:szCs w:val="24"/>
        </w:rPr>
        <w:t xml:space="preserve"> </w:t>
      </w:r>
    </w:p>
    <w:p w:rsidR="2B8BF28F" w:rsidP="7163F28C" w:rsidRDefault="2B8BF28F" w14:paraId="58D7A79B" w14:textId="3881C728">
      <w:r w:rsidRPr="7163F28C">
        <w:rPr>
          <w:rFonts w:ascii="Times New Roman" w:hAnsi="Times New Roman"/>
          <w:b/>
          <w:bCs/>
          <w:szCs w:val="24"/>
        </w:rPr>
        <w:t>Toelichting</w:t>
      </w:r>
    </w:p>
    <w:p w:rsidR="2B8BF28F" w:rsidP="7163F28C" w:rsidRDefault="2B8BF28F" w14:paraId="426E0AFD" w14:textId="75E38540">
      <w:r w:rsidRPr="7163F28C">
        <w:rPr>
          <w:rFonts w:ascii="Times New Roman" w:hAnsi="Times New Roman"/>
          <w:szCs w:val="24"/>
        </w:rPr>
        <w:t xml:space="preserve"> </w:t>
      </w:r>
    </w:p>
    <w:p w:rsidR="2B8BF28F" w:rsidP="7163F28C" w:rsidRDefault="2B8BF28F" w14:paraId="21170B10" w14:textId="789AAFFD">
      <w:r w:rsidRPr="7163F28C">
        <w:rPr>
          <w:rFonts w:ascii="Times New Roman" w:hAnsi="Times New Roman"/>
          <w:szCs w:val="24"/>
        </w:rPr>
        <w:t xml:space="preserve">In het </w:t>
      </w:r>
      <w:proofErr w:type="spellStart"/>
      <w:r w:rsidRPr="7163F28C">
        <w:rPr>
          <w:rFonts w:ascii="Times New Roman" w:hAnsi="Times New Roman"/>
          <w:szCs w:val="24"/>
        </w:rPr>
        <w:t>Biomedical</w:t>
      </w:r>
      <w:proofErr w:type="spellEnd"/>
      <w:r w:rsidRPr="7163F28C">
        <w:rPr>
          <w:rFonts w:ascii="Times New Roman" w:hAnsi="Times New Roman"/>
          <w:szCs w:val="24"/>
        </w:rPr>
        <w:t xml:space="preserve"> </w:t>
      </w:r>
      <w:proofErr w:type="spellStart"/>
      <w:r w:rsidRPr="7163F28C">
        <w:rPr>
          <w:rFonts w:ascii="Times New Roman" w:hAnsi="Times New Roman"/>
          <w:szCs w:val="24"/>
        </w:rPr>
        <w:t>Primate</w:t>
      </w:r>
      <w:proofErr w:type="spellEnd"/>
      <w:r w:rsidRPr="7163F28C">
        <w:rPr>
          <w:rFonts w:ascii="Times New Roman" w:hAnsi="Times New Roman"/>
          <w:szCs w:val="24"/>
        </w:rPr>
        <w:t xml:space="preserve"> Research Centre (BPRC) worden nog altijd zo'n 1.000 apen gehouden voor dierproeven. De Tweede Kamer wil al jaren van deze dierproeven af. In 2016 werd de motie van </w:t>
      </w:r>
      <w:proofErr w:type="spellStart"/>
      <w:r w:rsidRPr="7163F28C">
        <w:rPr>
          <w:rFonts w:ascii="Times New Roman" w:hAnsi="Times New Roman"/>
          <w:szCs w:val="24"/>
        </w:rPr>
        <w:t>Van</w:t>
      </w:r>
      <w:proofErr w:type="spellEnd"/>
      <w:r w:rsidRPr="7163F28C">
        <w:rPr>
          <w:rFonts w:ascii="Times New Roman" w:hAnsi="Times New Roman"/>
          <w:szCs w:val="24"/>
        </w:rPr>
        <w:t xml:space="preserve"> Dekken en </w:t>
      </w:r>
      <w:proofErr w:type="spellStart"/>
      <w:r w:rsidRPr="7163F28C">
        <w:rPr>
          <w:rFonts w:ascii="Times New Roman" w:hAnsi="Times New Roman"/>
          <w:szCs w:val="24"/>
        </w:rPr>
        <w:t>Rudmer</w:t>
      </w:r>
      <w:proofErr w:type="spellEnd"/>
      <w:r w:rsidRPr="7163F28C">
        <w:rPr>
          <w:rFonts w:ascii="Times New Roman" w:hAnsi="Times New Roman"/>
          <w:szCs w:val="24"/>
        </w:rPr>
        <w:t xml:space="preserve"> Heerema (Kamerstukken II 2015/16, 32 336, nr. 57) unaniem aangenomen waarmee de regering werd verzocht om het aantal proeven op niet-humane primaten zo snel mogelijk, en veilig, naar nul af te bouwen. Naar aanleiding hiervan kondigde oud-minister van Onderwijs, Cultuur en Wetenschap Van </w:t>
      </w:r>
      <w:proofErr w:type="spellStart"/>
      <w:r w:rsidRPr="7163F28C">
        <w:rPr>
          <w:rFonts w:ascii="Times New Roman" w:hAnsi="Times New Roman"/>
          <w:szCs w:val="24"/>
        </w:rPr>
        <w:t>Engelshoven</w:t>
      </w:r>
      <w:proofErr w:type="spellEnd"/>
      <w:r w:rsidRPr="7163F28C">
        <w:rPr>
          <w:rFonts w:ascii="Times New Roman" w:hAnsi="Times New Roman"/>
          <w:szCs w:val="24"/>
        </w:rPr>
        <w:t xml:space="preserve"> in 2018 aan om het aantal proeven met apen </w:t>
      </w:r>
      <w:r w:rsidRPr="7163F28C">
        <w:rPr>
          <w:rFonts w:ascii="Times New Roman" w:hAnsi="Times New Roman"/>
          <w:i/>
          <w:iCs/>
          <w:szCs w:val="24"/>
        </w:rPr>
        <w:t xml:space="preserve">als eerste stap </w:t>
      </w:r>
      <w:r w:rsidRPr="7163F28C">
        <w:rPr>
          <w:rFonts w:ascii="Times New Roman" w:hAnsi="Times New Roman"/>
          <w:szCs w:val="24"/>
        </w:rPr>
        <w:t xml:space="preserve">met 40% te reduceren. </w:t>
      </w:r>
    </w:p>
    <w:p w:rsidR="2B8BF28F" w:rsidP="7163F28C" w:rsidRDefault="2B8BF28F" w14:paraId="16026C92" w14:textId="168E88F1">
      <w:r w:rsidRPr="7163F28C">
        <w:rPr>
          <w:rFonts w:ascii="Times New Roman" w:hAnsi="Times New Roman"/>
          <w:szCs w:val="24"/>
        </w:rPr>
        <w:t xml:space="preserve"> </w:t>
      </w:r>
    </w:p>
    <w:p w:rsidR="2B8BF28F" w:rsidP="7163F28C" w:rsidRDefault="2B8BF28F" w14:paraId="27C74864" w14:textId="0D843B8F">
      <w:r w:rsidRPr="7163F28C">
        <w:rPr>
          <w:rFonts w:ascii="Times New Roman" w:hAnsi="Times New Roman"/>
          <w:szCs w:val="24"/>
        </w:rPr>
        <w:t>In 2022 nam de Tweede Kamer, opnieuw unaniem, een motie aan waarmee de regering werd verzocht om onderzoek te laten doen naar de mogelijkheid om het aantal proeven op niet-humane primaten ook na de 40%-reductie verder te verlagen, zo snel mogelijk naar nul (Kamerstukken II 2022/23, 36200 VIII, nr. 113). Ter uitvoering van deze motie werd de Commissie-Bijker opgezet.</w:t>
      </w:r>
    </w:p>
    <w:p w:rsidR="2B8BF28F" w:rsidP="7163F28C" w:rsidRDefault="2B8BF28F" w14:paraId="3C8161BF" w14:textId="2A3DE3CA">
      <w:r w:rsidRPr="7163F28C">
        <w:rPr>
          <w:rFonts w:ascii="Times New Roman" w:hAnsi="Times New Roman"/>
          <w:szCs w:val="24"/>
        </w:rPr>
        <w:t xml:space="preserve"> </w:t>
      </w:r>
    </w:p>
    <w:p w:rsidR="2B8BF28F" w:rsidP="7163F28C" w:rsidRDefault="2B8BF28F" w14:paraId="14D4D267" w14:textId="3AC24DF7">
      <w:r w:rsidRPr="7163F28C">
        <w:rPr>
          <w:rFonts w:ascii="Times New Roman" w:hAnsi="Times New Roman"/>
          <w:szCs w:val="24"/>
        </w:rPr>
        <w:t xml:space="preserve">In 2024 nam de Kamer een motie aan waarmee de regering werd verzocht om zo snel mogelijk een jaarlijks toenemend deel van het onderzoeksbudget voor het BPRC te oormerken als geld dat bestemd is voor proefdiervrije onderzoeks- en testmethoden (Kamerstukken II 2023/24, 36410 VIII, nr. 96). Oud-minister Dijkgraaf liet weten dat hij ter uitvoering van deze motie, </w:t>
      </w:r>
      <w:r w:rsidRPr="7163F28C">
        <w:rPr>
          <w:rFonts w:ascii="Times New Roman" w:hAnsi="Times New Roman"/>
          <w:i/>
          <w:iCs/>
          <w:szCs w:val="24"/>
        </w:rPr>
        <w:t>als eerste stap</w:t>
      </w:r>
      <w:r w:rsidRPr="7163F28C">
        <w:rPr>
          <w:rFonts w:ascii="Times New Roman" w:hAnsi="Times New Roman"/>
          <w:szCs w:val="24"/>
        </w:rPr>
        <w:t xml:space="preserve">, het BPRC bereid heeft gevonden om in 2024 en 2025 het percentage van de subsidie dat zij besteden aan proefdiervrije onderzoeks- en </w:t>
      </w:r>
      <w:r w:rsidRPr="7163F28C">
        <w:rPr>
          <w:rFonts w:ascii="Times New Roman" w:hAnsi="Times New Roman"/>
          <w:szCs w:val="24"/>
        </w:rPr>
        <w:lastRenderedPageBreak/>
        <w:t>testmethoden minimaal gelijk te houden op 17% (Kamerstukken II 2023/24, 32 336, nr. 152).</w:t>
      </w:r>
    </w:p>
    <w:p w:rsidR="2B8BF28F" w:rsidP="7163F28C" w:rsidRDefault="2B8BF28F" w14:paraId="6AC95767" w14:textId="0E7835CD">
      <w:r w:rsidRPr="7163F28C">
        <w:rPr>
          <w:rFonts w:ascii="Times New Roman" w:hAnsi="Times New Roman"/>
          <w:szCs w:val="24"/>
        </w:rPr>
        <w:t xml:space="preserve"> </w:t>
      </w:r>
    </w:p>
    <w:p w:rsidR="2B8BF28F" w:rsidP="7163F28C" w:rsidRDefault="2B8BF28F" w14:paraId="5E999694" w14:textId="09E9EDD2">
      <w:r w:rsidRPr="7163F28C">
        <w:rPr>
          <w:rFonts w:ascii="Times New Roman" w:hAnsi="Times New Roman"/>
          <w:szCs w:val="24"/>
        </w:rPr>
        <w:t>Eind 2024 gaf de huidige Minister van Onderwijs, Cultuur en Wetenschap Bruins aan “geen aanleiding” te zien om een jaarlijks toenemend deel van het onderzoeksbudget te oormerken voor proefdiervrij onderzoek en het aantal apenproeven verder af te bouwen, hoewel de Kamer hier expliciet om had gevraagd (Kamerstukken II 2024/25, 31288, nr. 1157). Begin april '25 werden de resultaten van Commissie-Bijker gepubliceerd. De onderzoekers hebben vier scenario's geschetst en benadrukt dat ze “geen eigen voorkeur voor een van de beleidsscenario's” uitspreekt:</w:t>
      </w:r>
    </w:p>
    <w:p w:rsidR="2B8BF28F" w:rsidP="7163F28C" w:rsidRDefault="2B8BF28F" w14:paraId="6240C6F2" w14:textId="79F19FA7">
      <w:r w:rsidRPr="7163F28C">
        <w:rPr>
          <w:rFonts w:ascii="Times New Roman" w:hAnsi="Times New Roman"/>
          <w:szCs w:val="24"/>
        </w:rPr>
        <w:t xml:space="preserve"> </w:t>
      </w:r>
    </w:p>
    <w:p w:rsidR="2B8BF28F" w:rsidP="7163F28C" w:rsidRDefault="2B8BF28F" w14:paraId="2527E43A" w14:textId="0103D882">
      <w:r w:rsidRPr="7163F28C">
        <w:rPr>
          <w:rFonts w:ascii="Times New Roman" w:hAnsi="Times New Roman"/>
          <w:szCs w:val="24"/>
        </w:rPr>
        <w:t>Scenario 1: afbouw van apenproeven naar nul.</w:t>
      </w:r>
      <w:r>
        <w:br/>
      </w:r>
      <w:r w:rsidRPr="7163F28C">
        <w:rPr>
          <w:rFonts w:ascii="Times New Roman" w:hAnsi="Times New Roman"/>
          <w:szCs w:val="24"/>
        </w:rPr>
        <w:t>Scenario 2: vermindering van apenproeven.</w:t>
      </w:r>
    </w:p>
    <w:p w:rsidR="2B8BF28F" w:rsidP="7163F28C" w:rsidRDefault="2B8BF28F" w14:paraId="16BBC1A4" w14:textId="5F548936">
      <w:r w:rsidRPr="7163F28C">
        <w:rPr>
          <w:rFonts w:ascii="Times New Roman" w:hAnsi="Times New Roman"/>
          <w:szCs w:val="24"/>
        </w:rPr>
        <w:t>Scenario 3: behoud van het huidige niveau van apenproeven.</w:t>
      </w:r>
    </w:p>
    <w:p w:rsidR="2B8BF28F" w:rsidP="7163F28C" w:rsidRDefault="2B8BF28F" w14:paraId="4385271D" w14:textId="7BA4C872">
      <w:r w:rsidRPr="7163F28C">
        <w:rPr>
          <w:rFonts w:ascii="Times New Roman" w:hAnsi="Times New Roman"/>
          <w:szCs w:val="24"/>
        </w:rPr>
        <w:t>Scenario 4: mogelijke toename van apenproeven.</w:t>
      </w:r>
    </w:p>
    <w:p w:rsidR="2B8BF28F" w:rsidP="7163F28C" w:rsidRDefault="2B8BF28F" w14:paraId="505A8779" w14:textId="29033756">
      <w:r w:rsidRPr="7163F28C">
        <w:rPr>
          <w:rFonts w:ascii="Times New Roman" w:hAnsi="Times New Roman"/>
          <w:szCs w:val="24"/>
        </w:rPr>
        <w:t xml:space="preserve"> </w:t>
      </w:r>
    </w:p>
    <w:p w:rsidR="2B8BF28F" w:rsidP="7163F28C" w:rsidRDefault="2B8BF28F" w14:paraId="1C7DC6F6" w14:textId="094B6760">
      <w:r w:rsidRPr="7163F28C">
        <w:rPr>
          <w:rFonts w:ascii="Times New Roman" w:hAnsi="Times New Roman"/>
          <w:szCs w:val="24"/>
        </w:rPr>
        <w:t xml:space="preserve">In tegenstelling tot de wens van de Tweede Kamer liet de Minister van het Ministerie van Onderwijs, Cultuur en Wetenschap weten te kiezen voor scenario 3 en het BPRC de ruimte te geven om door te gaan met het huidige niveau van apenproeven (RTL Nieuws, 9 april 2025, “Minister wil doorgaan met dierproeven op apen, Kamer ‘zwaar teleurgesteld’”). </w:t>
      </w:r>
    </w:p>
    <w:p w:rsidR="2B8BF28F" w:rsidP="7163F28C" w:rsidRDefault="2B8BF28F" w14:paraId="06309B5E" w14:textId="796591F7">
      <w:r w:rsidRPr="7163F28C">
        <w:rPr>
          <w:rFonts w:ascii="Times New Roman" w:hAnsi="Times New Roman"/>
          <w:szCs w:val="24"/>
        </w:rPr>
        <w:t xml:space="preserve"> </w:t>
      </w:r>
    </w:p>
    <w:p w:rsidR="2B8BF28F" w:rsidP="7163F28C" w:rsidRDefault="2B8BF28F" w14:paraId="4FCD219E" w14:textId="53790F41">
      <w:r w:rsidRPr="7163F28C">
        <w:rPr>
          <w:rFonts w:ascii="Times New Roman" w:hAnsi="Times New Roman"/>
          <w:szCs w:val="24"/>
        </w:rPr>
        <w:t>Middels dit amendement stellen de indieners voor om te kiezen voor scenario 2 en alsnog uitvoering gegeven aan de wens van de Tweede Kamer om het aantal proeven op apen zo snel mogelijk, en veilig, af te bouwen. Op dit moment gaat er jaarlijks € 12,5 miljoen aan subsidie naar het BPRC, waarvan zo’n € 2,2 miljoen wordt besteed aan alternatieven voor dierproeven. De totale hoogte van de subsidie aan het BPRC blijft met dit amendement behouden. Wel wordt een jaarlijks toenemend deel geoormerkt voor proefdiervrije onderzoeks- en testmethoden en de ontwikkeling van alternatieven voor dierproeven. Deze oormerking is budgetneutraal vormgegeven. In 2025 wordt € 2,5 miljoen geoormerkt voor alternatieven, in 2026 € 4,5 miljoen, in 2027 € 6,5 miljoen, in 2028 € 8,6 miljoen, in 2029 € 10,5 miljoen en in 2030 € 12,5 miljoen. Indieners beogen derhalve meerjarige verwerking van dit amendement. Hiermee wordt een enorme impuls gegeven aan innovatief proefdiervrij onderzoek en een toonaangevend en toekomstbestendig BPRC.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 Dit sluit aan bij wens van de Tweede Kamer, zoals verwoord in de unaniem aangenomen moties Kamerstukken II 2015/16, 32 336, nr. 57 en Kamerstukken II 2022/23, 36200 VIII, nr. 113.</w:t>
      </w:r>
    </w:p>
    <w:p w:rsidR="2B8BF28F" w:rsidP="7163F28C" w:rsidRDefault="2B8BF28F" w14:paraId="3D855704" w14:textId="1D2F940A">
      <w:r w:rsidRPr="7163F28C">
        <w:rPr>
          <w:rFonts w:ascii="Times New Roman" w:hAnsi="Times New Roman"/>
          <w:szCs w:val="24"/>
        </w:rPr>
        <w:t xml:space="preserve"> </w:t>
      </w:r>
    </w:p>
    <w:p w:rsidR="7163F28C" w:rsidP="0FF6BE84" w:rsidRDefault="2B8BF28F" w14:paraId="3B3FC08B" w14:textId="36C20EEF">
      <w:pPr>
        <w:rPr>
          <w:rFonts w:ascii="Times New Roman" w:hAnsi="Times New Roman"/>
          <w:szCs w:val="24"/>
        </w:rPr>
      </w:pPr>
      <w:proofErr w:type="spellStart"/>
      <w:r w:rsidRPr="0FF6BE84">
        <w:rPr>
          <w:rFonts w:ascii="Times New Roman" w:hAnsi="Times New Roman"/>
          <w:szCs w:val="24"/>
        </w:rPr>
        <w:t>Kostić</w:t>
      </w:r>
      <w:proofErr w:type="spellEnd"/>
      <w:r w:rsidR="7163F28C">
        <w:br/>
      </w:r>
      <w:proofErr w:type="spellStart"/>
      <w:r w:rsidRPr="0FF6BE84" w:rsidR="13682B73">
        <w:rPr>
          <w:rFonts w:ascii="Times New Roman" w:hAnsi="Times New Roman"/>
          <w:szCs w:val="24"/>
        </w:rPr>
        <w:t>Graus</w:t>
      </w:r>
      <w:proofErr w:type="spellEnd"/>
      <w:r w:rsidR="7163F28C">
        <w:br/>
      </w:r>
      <w:r w:rsidRPr="0FF6BE84" w:rsidR="757ECB66">
        <w:rPr>
          <w:rFonts w:ascii="Times New Roman" w:hAnsi="Times New Roman"/>
          <w:szCs w:val="24"/>
        </w:rPr>
        <w:t>Bromet</w:t>
      </w:r>
      <w:r w:rsidR="7163F28C">
        <w:br/>
      </w:r>
      <w:r w:rsidRPr="0FF6BE84" w:rsidR="552FAA16">
        <w:rPr>
          <w:rFonts w:ascii="Times New Roman" w:hAnsi="Times New Roman"/>
          <w:szCs w:val="24"/>
        </w:rPr>
        <w:t>Beckerman</w:t>
      </w:r>
    </w:p>
    <w:p w:rsidR="295FC19F" w:rsidP="0FF6BE84" w:rsidRDefault="295FC19F" w14:paraId="7CD0376D" w14:textId="3717A4F7">
      <w:pPr>
        <w:rPr>
          <w:rFonts w:ascii="Times New Roman" w:hAnsi="Times New Roman"/>
          <w:szCs w:val="24"/>
        </w:rPr>
      </w:pPr>
      <w:r w:rsidRPr="0FF6BE84">
        <w:rPr>
          <w:rFonts w:ascii="Times New Roman" w:hAnsi="Times New Roman"/>
          <w:szCs w:val="24"/>
        </w:rPr>
        <w:t>Dassen</w:t>
      </w:r>
    </w:p>
    <w:p w:rsidR="00CB3A54" w:rsidP="0FF6BE84" w:rsidRDefault="00CB3A54" w14:paraId="28F7186D" w14:textId="592E85BB">
      <w:pPr>
        <w:rPr>
          <w:rFonts w:ascii="Times New Roman" w:hAnsi="Times New Roman"/>
          <w:szCs w:val="24"/>
        </w:rPr>
      </w:pPr>
      <w:proofErr w:type="spellStart"/>
      <w:r>
        <w:rPr>
          <w:rFonts w:ascii="Times New Roman" w:hAnsi="Times New Roman"/>
          <w:szCs w:val="24"/>
        </w:rPr>
        <w:t>Ergin</w:t>
      </w:r>
      <w:proofErr w:type="spellEnd"/>
    </w:p>
    <w:sectPr w:rsidR="00CB3A5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C2D" w14:textId="77777777" w:rsidR="005A656B" w:rsidRDefault="005A656B">
      <w:pPr>
        <w:spacing w:line="20" w:lineRule="exact"/>
      </w:pPr>
    </w:p>
  </w:endnote>
  <w:endnote w:type="continuationSeparator" w:id="0">
    <w:p w14:paraId="12FBD2C5" w14:textId="77777777" w:rsidR="005A656B" w:rsidRDefault="005A656B">
      <w:pPr>
        <w:pStyle w:val="Amendement"/>
      </w:pPr>
      <w:r>
        <w:rPr>
          <w:b w:val="0"/>
        </w:rPr>
        <w:t xml:space="preserve"> </w:t>
      </w:r>
    </w:p>
  </w:endnote>
  <w:endnote w:type="continuationNotice" w:id="1">
    <w:p w14:paraId="412C45AC" w14:textId="77777777" w:rsidR="005A656B" w:rsidRDefault="005A6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57B" w14:textId="77777777" w:rsidR="005A656B" w:rsidRDefault="005A656B">
      <w:pPr>
        <w:pStyle w:val="Amendement"/>
      </w:pPr>
      <w:r>
        <w:rPr>
          <w:b w:val="0"/>
        </w:rPr>
        <w:separator/>
      </w:r>
    </w:p>
  </w:footnote>
  <w:footnote w:type="continuationSeparator" w:id="0">
    <w:p w14:paraId="4F79795B" w14:textId="77777777" w:rsidR="005A656B" w:rsidRDefault="005A656B">
      <w:r>
        <w:continuationSeparator/>
      </w:r>
    </w:p>
  </w:footnote>
  <w:footnote w:id="1">
    <w:p w14:paraId="04961BDA" w14:textId="44C8D00E" w:rsidR="00CB3A54" w:rsidRPr="00CB3A54" w:rsidRDefault="00CB3A54">
      <w:pPr>
        <w:pStyle w:val="Voetnoottekst"/>
        <w:rPr>
          <w:rFonts w:ascii="Times New Roman" w:hAnsi="Times New Roman"/>
          <w:sz w:val="20"/>
        </w:rPr>
      </w:pPr>
      <w:r w:rsidRPr="00CB3A54">
        <w:rPr>
          <w:rStyle w:val="Voetnootmarkering"/>
          <w:rFonts w:ascii="Times New Roman" w:hAnsi="Times New Roman"/>
          <w:sz w:val="20"/>
        </w:rPr>
        <w:footnoteRef/>
      </w:r>
      <w:r w:rsidRPr="00CB3A54">
        <w:rPr>
          <w:rFonts w:ascii="Times New Roman" w:hAnsi="Times New Roman"/>
          <w:sz w:val="20"/>
        </w:rPr>
        <w:t xml:space="preserve"> Vervanging in verband met</w:t>
      </w:r>
      <w:r>
        <w:rPr>
          <w:rFonts w:ascii="Times New Roman" w:hAnsi="Times New Roman"/>
          <w:sz w:val="20"/>
        </w:rPr>
        <w:t xml:space="preserve"> </w:t>
      </w:r>
      <w:r w:rsidRPr="00CB3A54">
        <w:rPr>
          <w:rFonts w:ascii="Times New Roman" w:hAnsi="Times New Roman"/>
          <w:sz w:val="20"/>
        </w:rPr>
        <w:t xml:space="preserve">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2"/>
    <w:rsid w:val="0003016F"/>
    <w:rsid w:val="000C6F39"/>
    <w:rsid w:val="0011770C"/>
    <w:rsid w:val="00120827"/>
    <w:rsid w:val="00146E70"/>
    <w:rsid w:val="00171E72"/>
    <w:rsid w:val="00173380"/>
    <w:rsid w:val="001A2A63"/>
    <w:rsid w:val="001A5AFF"/>
    <w:rsid w:val="001A6B5A"/>
    <w:rsid w:val="001C562D"/>
    <w:rsid w:val="001E2226"/>
    <w:rsid w:val="001F7334"/>
    <w:rsid w:val="0025572F"/>
    <w:rsid w:val="002569BB"/>
    <w:rsid w:val="003050FF"/>
    <w:rsid w:val="003D4FB9"/>
    <w:rsid w:val="003E5927"/>
    <w:rsid w:val="00417365"/>
    <w:rsid w:val="00470846"/>
    <w:rsid w:val="0047650D"/>
    <w:rsid w:val="004B2AE2"/>
    <w:rsid w:val="004C2A57"/>
    <w:rsid w:val="004D4BCF"/>
    <w:rsid w:val="005A656B"/>
    <w:rsid w:val="005B535E"/>
    <w:rsid w:val="005C554B"/>
    <w:rsid w:val="005E482A"/>
    <w:rsid w:val="00646211"/>
    <w:rsid w:val="006602A3"/>
    <w:rsid w:val="007039FC"/>
    <w:rsid w:val="00720914"/>
    <w:rsid w:val="00736284"/>
    <w:rsid w:val="007416B9"/>
    <w:rsid w:val="00741EB2"/>
    <w:rsid w:val="007763DA"/>
    <w:rsid w:val="007958E0"/>
    <w:rsid w:val="00811932"/>
    <w:rsid w:val="00833C90"/>
    <w:rsid w:val="008467BE"/>
    <w:rsid w:val="00854DAE"/>
    <w:rsid w:val="00867688"/>
    <w:rsid w:val="008819B7"/>
    <w:rsid w:val="008C2D85"/>
    <w:rsid w:val="00926C70"/>
    <w:rsid w:val="009347C2"/>
    <w:rsid w:val="009E6185"/>
    <w:rsid w:val="00A1221C"/>
    <w:rsid w:val="00B24FC7"/>
    <w:rsid w:val="00B37F45"/>
    <w:rsid w:val="00B6508A"/>
    <w:rsid w:val="00B65AA5"/>
    <w:rsid w:val="00BD6436"/>
    <w:rsid w:val="00BE1B3C"/>
    <w:rsid w:val="00C26FAB"/>
    <w:rsid w:val="00C370AE"/>
    <w:rsid w:val="00C51BD3"/>
    <w:rsid w:val="00C5415C"/>
    <w:rsid w:val="00C74FE3"/>
    <w:rsid w:val="00C850D6"/>
    <w:rsid w:val="00CB3A54"/>
    <w:rsid w:val="00CC0433"/>
    <w:rsid w:val="00CE2DB4"/>
    <w:rsid w:val="00D43ADE"/>
    <w:rsid w:val="00D733D3"/>
    <w:rsid w:val="00D818D9"/>
    <w:rsid w:val="00D961CF"/>
    <w:rsid w:val="00DB5D3B"/>
    <w:rsid w:val="00DD08D8"/>
    <w:rsid w:val="00DF28C5"/>
    <w:rsid w:val="00E47054"/>
    <w:rsid w:val="00E96167"/>
    <w:rsid w:val="00F06146"/>
    <w:rsid w:val="00F2239C"/>
    <w:rsid w:val="00F37F6D"/>
    <w:rsid w:val="00F410B4"/>
    <w:rsid w:val="00F466C1"/>
    <w:rsid w:val="00F8109A"/>
    <w:rsid w:val="00F9022B"/>
    <w:rsid w:val="00FA10B5"/>
    <w:rsid w:val="00FB349A"/>
    <w:rsid w:val="00FD6C76"/>
    <w:rsid w:val="00FF2C26"/>
    <w:rsid w:val="02BD77C1"/>
    <w:rsid w:val="03B31F01"/>
    <w:rsid w:val="08E9DDD5"/>
    <w:rsid w:val="0FF6BE84"/>
    <w:rsid w:val="11E8619A"/>
    <w:rsid w:val="13682B73"/>
    <w:rsid w:val="277AD14B"/>
    <w:rsid w:val="295FC19F"/>
    <w:rsid w:val="2B8BF28F"/>
    <w:rsid w:val="3A733C35"/>
    <w:rsid w:val="3C31C836"/>
    <w:rsid w:val="534E1150"/>
    <w:rsid w:val="552FAA16"/>
    <w:rsid w:val="61BD7C05"/>
    <w:rsid w:val="7163F28C"/>
    <w:rsid w:val="757ECB66"/>
    <w:rsid w:val="7D2D3627"/>
    <w:rsid w:val="7D9C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682"/>
  <w15:docId w15:val="{3EE7BB80-888C-4940-A02A-700E22E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11932"/>
    <w:rPr>
      <w:rFonts w:ascii="Courier New" w:hAnsi="Courier New"/>
      <w:sz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etnootmarkering">
    <w:name w:val="footnote reference"/>
    <w:basedOn w:val="Standaardalinea-lettertype"/>
    <w:semiHidden/>
    <w:unhideWhenUsed/>
    <w:rsid w:val="00CB3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8879">
      <w:bodyDiv w:val="1"/>
      <w:marLeft w:val="0"/>
      <w:marRight w:val="0"/>
      <w:marTop w:val="0"/>
      <w:marBottom w:val="0"/>
      <w:divBdr>
        <w:top w:val="none" w:sz="0" w:space="0" w:color="auto"/>
        <w:left w:val="none" w:sz="0" w:space="0" w:color="auto"/>
        <w:bottom w:val="none" w:sz="0" w:space="0" w:color="auto"/>
        <w:right w:val="none" w:sz="0" w:space="0" w:color="auto"/>
      </w:divBdr>
    </w:div>
    <w:div w:id="18063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794</ap:Words>
  <ap:Characters>4469</ap:Characters>
  <ap:DocSecurity>4</ap:DocSecurity>
  <ap:Lines>37</ap:Lines>
  <ap:Paragraphs>10</ap:Paragraphs>
  <ap:ScaleCrop>false</ap:ScaleCrop>
  <ap:LinksUpToDate>false</ap:LinksUpToDate>
  <ap:CharactersWithSpaces>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2025-06-18T15:00:00.0000000Z</dcterms:created>
  <dcterms:modified xsi:type="dcterms:W3CDTF">2025-06-18T15:00:00.0000000Z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