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5A82" w:rsidR="00C504D2" w:rsidP="00C504D2" w:rsidRDefault="00DB2F02" w14:paraId="288D99FA" w14:textId="788CC2CF">
      <w:pPr>
        <w:ind w:left="1416" w:hanging="1416"/>
        <w:rPr>
          <w:rFonts w:ascii="Calibri" w:hAnsi="Calibri" w:cs="Calibri"/>
        </w:rPr>
      </w:pPr>
      <w:r w:rsidRPr="00F45A82">
        <w:rPr>
          <w:rFonts w:ascii="Calibri" w:hAnsi="Calibri" w:cs="Calibri"/>
        </w:rPr>
        <w:t>36740</w:t>
      </w:r>
      <w:r w:rsidRPr="00F45A82" w:rsidR="00C504D2">
        <w:rPr>
          <w:rFonts w:ascii="Calibri" w:hAnsi="Calibri" w:cs="Calibri"/>
        </w:rPr>
        <w:t xml:space="preserve"> </w:t>
      </w:r>
      <w:r w:rsidRPr="00F45A82">
        <w:rPr>
          <w:rFonts w:ascii="Calibri" w:hAnsi="Calibri" w:cs="Calibri"/>
        </w:rPr>
        <w:t>XVII</w:t>
      </w:r>
      <w:r w:rsidRPr="00F45A82" w:rsidR="00C504D2">
        <w:rPr>
          <w:rFonts w:ascii="Calibri" w:hAnsi="Calibri" w:cs="Calibri"/>
        </w:rPr>
        <w:tab/>
        <w:t xml:space="preserve">Jaarverslag en </w:t>
      </w:r>
      <w:proofErr w:type="spellStart"/>
      <w:r w:rsidRPr="00F45A82" w:rsidR="00C504D2">
        <w:rPr>
          <w:rFonts w:ascii="Calibri" w:hAnsi="Calibri" w:cs="Calibri"/>
        </w:rPr>
        <w:t>slotwet</w:t>
      </w:r>
      <w:proofErr w:type="spellEnd"/>
      <w:r w:rsidRPr="00F45A82" w:rsidR="00C504D2">
        <w:rPr>
          <w:rFonts w:ascii="Calibri" w:hAnsi="Calibri" w:cs="Calibri"/>
        </w:rPr>
        <w:t xml:space="preserve"> Buitenlandse Handel en Ontwikkelingssamenwerking 2024</w:t>
      </w:r>
    </w:p>
    <w:p w:rsidRPr="00F45A82" w:rsidR="00C504D2" w:rsidP="00C504D2" w:rsidRDefault="00C504D2" w14:paraId="78286082" w14:textId="77E47CE8">
      <w:pPr>
        <w:rPr>
          <w:rFonts w:ascii="Calibri" w:hAnsi="Calibri" w:cs="Calibri"/>
        </w:rPr>
      </w:pPr>
      <w:r w:rsidRPr="00F45A82">
        <w:rPr>
          <w:rFonts w:ascii="Calibri" w:hAnsi="Calibri" w:cs="Calibri"/>
        </w:rPr>
        <w:t xml:space="preserve">Nr. </w:t>
      </w:r>
      <w:r w:rsidRPr="00F45A82">
        <w:rPr>
          <w:rFonts w:ascii="Calibri" w:hAnsi="Calibri" w:cs="Calibri"/>
        </w:rPr>
        <w:t>9</w:t>
      </w:r>
      <w:r w:rsidRPr="00F45A82">
        <w:rPr>
          <w:rFonts w:ascii="Calibri" w:hAnsi="Calibri" w:cs="Calibri"/>
        </w:rPr>
        <w:tab/>
      </w:r>
      <w:r w:rsidRPr="00F45A82">
        <w:rPr>
          <w:rFonts w:ascii="Calibri" w:hAnsi="Calibri" w:cs="Calibri"/>
        </w:rPr>
        <w:tab/>
      </w:r>
      <w:r w:rsidRPr="00F45A82" w:rsidR="00594258">
        <w:rPr>
          <w:rFonts w:ascii="Calibri" w:hAnsi="Calibri" w:cs="Calibri"/>
        </w:rPr>
        <w:t>Brief van de Algemene Rekenkamer</w:t>
      </w:r>
    </w:p>
    <w:p w:rsidRPr="00F45A82" w:rsidR="00594258" w:rsidP="00C504D2" w:rsidRDefault="00594258" w14:paraId="690FD061" w14:textId="46CAD638">
      <w:pPr>
        <w:rPr>
          <w:rFonts w:ascii="Calibri" w:hAnsi="Calibri" w:cs="Calibri"/>
        </w:rPr>
      </w:pPr>
      <w:r w:rsidRPr="00F45A82">
        <w:rPr>
          <w:rFonts w:ascii="Calibri" w:hAnsi="Calibri" w:cs="Calibri"/>
        </w:rPr>
        <w:t>Aan de Voorzitter van de Tweede Kamer der Staten-Generaal</w:t>
      </w:r>
    </w:p>
    <w:p w:rsidRPr="00F45A82" w:rsidR="00594258" w:rsidP="00C504D2" w:rsidRDefault="00594258" w14:paraId="15CFA4D0" w14:textId="4F517052">
      <w:pPr>
        <w:rPr>
          <w:rFonts w:ascii="Calibri" w:hAnsi="Calibri" w:cs="Calibri"/>
        </w:rPr>
      </w:pPr>
      <w:r w:rsidRPr="00F45A82">
        <w:rPr>
          <w:rFonts w:ascii="Calibri" w:hAnsi="Calibri" w:cs="Calibri"/>
        </w:rPr>
        <w:t>Den Haag, 19 juni 2025</w:t>
      </w:r>
    </w:p>
    <w:p w:rsidRPr="00F45A82" w:rsidR="00DB2F02" w:rsidP="002B4307" w:rsidRDefault="00DB2F02" w14:paraId="649D89A2" w14:textId="77777777">
      <w:pPr>
        <w:rPr>
          <w:rFonts w:ascii="Calibri" w:hAnsi="Calibri" w:cs="Calibri"/>
        </w:rPr>
      </w:pPr>
    </w:p>
    <w:p w:rsidRPr="00F45A82" w:rsidR="002B4307" w:rsidP="002B4307" w:rsidRDefault="002B4307" w14:paraId="23333F38" w14:textId="59531D72">
      <w:pPr>
        <w:rPr>
          <w:rFonts w:ascii="Calibri" w:hAnsi="Calibri" w:cs="Calibri"/>
        </w:rPr>
      </w:pPr>
      <w:r w:rsidRPr="00F45A82">
        <w:rPr>
          <w:rFonts w:ascii="Calibri" w:hAnsi="Calibri" w:cs="Calibri"/>
        </w:rPr>
        <w:t xml:space="preserve">Tijdens de technische briefing over het op 5 juni 2025 over het </w:t>
      </w:r>
      <w:r w:rsidRPr="00F45A82">
        <w:rPr>
          <w:rFonts w:ascii="Calibri" w:hAnsi="Calibri" w:cs="Calibri"/>
          <w:i/>
        </w:rPr>
        <w:t xml:space="preserve">Verantwoordingsonderzoek Ministerie voor Buitenlandse Handel en </w:t>
      </w:r>
      <w:proofErr w:type="spellStart"/>
      <w:r w:rsidRPr="00F45A82">
        <w:rPr>
          <w:rFonts w:ascii="Calibri" w:hAnsi="Calibri" w:cs="Calibri"/>
          <w:i/>
        </w:rPr>
        <w:t>Ontwikkelings-samenwerking</w:t>
      </w:r>
      <w:proofErr w:type="spellEnd"/>
      <w:r w:rsidRPr="00F45A82">
        <w:rPr>
          <w:rFonts w:ascii="Calibri" w:hAnsi="Calibri" w:cs="Calibri"/>
          <w:i/>
        </w:rPr>
        <w:t xml:space="preserve"> (XVII), Rapport bij het Jaarverslag 2024 </w:t>
      </w:r>
      <w:r w:rsidRPr="00F45A82">
        <w:rPr>
          <w:rFonts w:ascii="Calibri" w:hAnsi="Calibri" w:cs="Calibri"/>
        </w:rPr>
        <w:t xml:space="preserve">heeft de Vaste Commissie voor Buitenlandse Handel en Ontwikkelingshulp (BHO) ons enkele mondelinge vragen gesteld. Deze vragen hebben betrekking op de herstelde koppeling van het ODA-budget aan het bruto binnenlands inkomen en op de financiële effecten van de lagere kosten voor de eerstejaarsopvang van asielzoekers aan Nederland. De commissie verzocht ons te reageren voor het Wetgevingsoverleg van 25 juni 2025. </w:t>
      </w:r>
    </w:p>
    <w:p w:rsidRPr="00F45A82" w:rsidR="002B4307" w:rsidP="002B4307" w:rsidRDefault="002B4307" w14:paraId="000CFAC0" w14:textId="77777777">
      <w:pPr>
        <w:rPr>
          <w:rFonts w:ascii="Calibri" w:hAnsi="Calibri" w:cs="Calibri"/>
        </w:rPr>
      </w:pPr>
    </w:p>
    <w:p w:rsidRPr="00F45A82" w:rsidR="002B4307" w:rsidP="002B4307" w:rsidRDefault="002B4307" w14:paraId="0CFC4798" w14:textId="77777777">
      <w:pPr>
        <w:rPr>
          <w:rFonts w:ascii="Calibri" w:hAnsi="Calibri" w:cs="Calibri"/>
        </w:rPr>
      </w:pPr>
      <w:r w:rsidRPr="00F45A82">
        <w:rPr>
          <w:rFonts w:ascii="Calibri" w:hAnsi="Calibri" w:cs="Calibri"/>
        </w:rPr>
        <w:t xml:space="preserve">Hierbij bieden wij u onze reactie op deze vragen aan. </w:t>
      </w:r>
    </w:p>
    <w:p w:rsidRPr="00F45A82" w:rsidR="00D77D5C" w:rsidP="00D77D5C" w:rsidRDefault="00D77D5C" w14:paraId="7AFDD9AB" w14:textId="77777777">
      <w:pPr>
        <w:pStyle w:val="Default"/>
        <w:rPr>
          <w:rFonts w:ascii="Calibri" w:hAnsi="Calibri" w:cs="Calibri"/>
          <w:sz w:val="22"/>
          <w:szCs w:val="22"/>
        </w:rPr>
      </w:pPr>
    </w:p>
    <w:p w:rsidRPr="00F45A82" w:rsidR="00D77D5C" w:rsidP="00D77D5C" w:rsidRDefault="00D77D5C" w14:paraId="7CFE8442" w14:textId="51BDD76A">
      <w:pPr>
        <w:pStyle w:val="Default"/>
        <w:rPr>
          <w:rFonts w:ascii="Calibri" w:hAnsi="Calibri" w:cs="Calibri"/>
          <w:sz w:val="22"/>
          <w:szCs w:val="22"/>
        </w:rPr>
      </w:pPr>
      <w:r w:rsidRPr="00F45A82">
        <w:rPr>
          <w:rFonts w:ascii="Calibri" w:hAnsi="Calibri" w:cs="Calibri"/>
          <w:sz w:val="22"/>
          <w:szCs w:val="22"/>
        </w:rPr>
        <w:t xml:space="preserve">Algemene Rekenkamer </w:t>
      </w:r>
    </w:p>
    <w:p w:rsidRPr="00F45A82" w:rsidR="00D77D5C" w:rsidP="00D77D5C" w:rsidRDefault="00D77D5C" w14:paraId="4B24CA8B" w14:textId="77777777">
      <w:pPr>
        <w:pStyle w:val="Default"/>
        <w:rPr>
          <w:rFonts w:ascii="Calibri" w:hAnsi="Calibri" w:cs="Calibri"/>
          <w:sz w:val="22"/>
          <w:szCs w:val="22"/>
        </w:rPr>
      </w:pPr>
    </w:p>
    <w:p w:rsidRPr="00F45A82" w:rsidR="00D77D5C" w:rsidP="00D77D5C" w:rsidRDefault="00D77D5C" w14:paraId="5D7B05FE" w14:textId="77777777">
      <w:pPr>
        <w:pStyle w:val="Default"/>
        <w:rPr>
          <w:rFonts w:ascii="Calibri" w:hAnsi="Calibri" w:cs="Calibri"/>
          <w:sz w:val="22"/>
          <w:szCs w:val="22"/>
        </w:rPr>
      </w:pPr>
      <w:r w:rsidRPr="00F45A82">
        <w:rPr>
          <w:rFonts w:ascii="Calibri" w:hAnsi="Calibri" w:cs="Calibri"/>
          <w:sz w:val="22"/>
          <w:szCs w:val="22"/>
        </w:rPr>
        <w:t xml:space="preserve">drs. E. (Ewout) </w:t>
      </w:r>
      <w:proofErr w:type="spellStart"/>
      <w:r w:rsidRPr="00F45A82">
        <w:rPr>
          <w:rFonts w:ascii="Calibri" w:hAnsi="Calibri" w:cs="Calibri"/>
          <w:sz w:val="22"/>
          <w:szCs w:val="22"/>
        </w:rPr>
        <w:t>Irrgang</w:t>
      </w:r>
      <w:proofErr w:type="spellEnd"/>
      <w:r w:rsidRPr="00F45A82">
        <w:rPr>
          <w:rFonts w:ascii="Calibri" w:hAnsi="Calibri" w:cs="Calibri"/>
          <w:sz w:val="22"/>
          <w:szCs w:val="22"/>
        </w:rPr>
        <w:t>,</w:t>
      </w:r>
    </w:p>
    <w:p w:rsidRPr="00F45A82" w:rsidR="00D77D5C" w:rsidP="00D77D5C" w:rsidRDefault="00D77D5C" w14:paraId="53A1D6C3" w14:textId="77777777">
      <w:pPr>
        <w:pStyle w:val="Default"/>
        <w:rPr>
          <w:rFonts w:ascii="Calibri" w:hAnsi="Calibri" w:cs="Calibri"/>
          <w:sz w:val="22"/>
          <w:szCs w:val="22"/>
        </w:rPr>
      </w:pPr>
      <w:r w:rsidRPr="00F45A82">
        <w:rPr>
          <w:rFonts w:ascii="Calibri" w:hAnsi="Calibri" w:cs="Calibri"/>
          <w:sz w:val="22"/>
          <w:szCs w:val="22"/>
        </w:rPr>
        <w:t xml:space="preserve">wnd. president </w:t>
      </w:r>
    </w:p>
    <w:p w:rsidRPr="00F45A82" w:rsidR="00D77D5C" w:rsidP="00D77D5C" w:rsidRDefault="00D77D5C" w14:paraId="02B8C97D" w14:textId="77777777">
      <w:pPr>
        <w:pStyle w:val="Default"/>
        <w:rPr>
          <w:rFonts w:ascii="Calibri" w:hAnsi="Calibri" w:cs="Calibri"/>
          <w:sz w:val="22"/>
          <w:szCs w:val="22"/>
        </w:rPr>
      </w:pPr>
    </w:p>
    <w:p w:rsidRPr="00F45A82" w:rsidR="00D77D5C" w:rsidP="00D77D5C" w:rsidRDefault="00D77D5C" w14:paraId="0616814D" w14:textId="77777777">
      <w:pPr>
        <w:pStyle w:val="Default"/>
        <w:rPr>
          <w:rFonts w:ascii="Calibri" w:hAnsi="Calibri" w:cs="Calibri"/>
          <w:sz w:val="22"/>
          <w:szCs w:val="22"/>
        </w:rPr>
      </w:pPr>
      <w:r w:rsidRPr="00F45A82">
        <w:rPr>
          <w:rFonts w:ascii="Calibri" w:hAnsi="Calibri" w:cs="Calibri"/>
          <w:sz w:val="22"/>
          <w:szCs w:val="22"/>
        </w:rPr>
        <w:t>drs. C. (Cornelis) van der Werf,</w:t>
      </w:r>
    </w:p>
    <w:p w:rsidRPr="00F45A82" w:rsidR="00D77D5C" w:rsidP="00D77D5C" w:rsidRDefault="00D77D5C" w14:paraId="286B25FE" w14:textId="77777777">
      <w:pPr>
        <w:pStyle w:val="Default"/>
        <w:rPr>
          <w:rFonts w:ascii="Calibri" w:hAnsi="Calibri" w:cs="Calibri"/>
          <w:sz w:val="22"/>
          <w:szCs w:val="22"/>
        </w:rPr>
      </w:pPr>
      <w:r w:rsidRPr="00F45A82">
        <w:rPr>
          <w:rFonts w:ascii="Calibri" w:hAnsi="Calibri" w:cs="Calibri"/>
          <w:sz w:val="22"/>
          <w:szCs w:val="22"/>
        </w:rPr>
        <w:t xml:space="preserve">secretaris </w:t>
      </w:r>
    </w:p>
    <w:p w:rsidRPr="00F45A82" w:rsidR="00D77D5C" w:rsidP="00D77D5C" w:rsidRDefault="00D77D5C" w14:paraId="319D4287" w14:textId="77777777">
      <w:pPr>
        <w:rPr>
          <w:rFonts w:ascii="Calibri" w:hAnsi="Calibri" w:cs="Calibri"/>
        </w:rPr>
      </w:pPr>
    </w:p>
    <w:p w:rsidRPr="00F45A82" w:rsidR="002B4307" w:rsidP="002B4307" w:rsidRDefault="002B4307" w14:paraId="1D2C6013" w14:textId="77777777">
      <w:pPr>
        <w:rPr>
          <w:rFonts w:ascii="Calibri" w:hAnsi="Calibri" w:cs="Calibri"/>
        </w:rPr>
      </w:pPr>
    </w:p>
    <w:p w:rsidRPr="00F45A82" w:rsidR="002B4307" w:rsidP="002B4307" w:rsidRDefault="002B4307" w14:paraId="4A6E7A04" w14:textId="77777777">
      <w:pPr>
        <w:spacing w:line="240" w:lineRule="auto"/>
        <w:rPr>
          <w:rFonts w:ascii="Calibri" w:hAnsi="Calibri" w:cs="Calibri"/>
        </w:rPr>
      </w:pPr>
      <w:r w:rsidRPr="00F45A82">
        <w:rPr>
          <w:rFonts w:ascii="Calibri" w:hAnsi="Calibri" w:cs="Calibri"/>
        </w:rPr>
        <w:br w:type="page"/>
      </w:r>
    </w:p>
    <w:p w:rsidRPr="00F45A82" w:rsidR="002B4307" w:rsidP="002B4307" w:rsidRDefault="002B4307" w14:paraId="0B4BBF60" w14:textId="77777777">
      <w:pPr>
        <w:rPr>
          <w:rFonts w:ascii="Calibri" w:hAnsi="Calibri" w:cs="Calibri"/>
          <w:b/>
        </w:rPr>
      </w:pPr>
      <w:r w:rsidRPr="00F45A82">
        <w:rPr>
          <w:rFonts w:ascii="Calibri" w:hAnsi="Calibri" w:cs="Calibri"/>
          <w:b/>
        </w:rPr>
        <w:lastRenderedPageBreak/>
        <w:t>Reactie Algemene Rekenkamer bij mondelinge vragen van de Tweede Kamer over de herstelde koppeling van het ODA-budget aan het bruto binnenlands inkomen (</w:t>
      </w:r>
      <w:proofErr w:type="spellStart"/>
      <w:r w:rsidRPr="00F45A82">
        <w:rPr>
          <w:rFonts w:ascii="Calibri" w:hAnsi="Calibri" w:cs="Calibri"/>
          <w:b/>
        </w:rPr>
        <w:t>bni</w:t>
      </w:r>
      <w:proofErr w:type="spellEnd"/>
      <w:r w:rsidRPr="00F45A82">
        <w:rPr>
          <w:rFonts w:ascii="Calibri" w:hAnsi="Calibri" w:cs="Calibri"/>
          <w:b/>
        </w:rPr>
        <w:t>)</w:t>
      </w:r>
    </w:p>
    <w:p w:rsidRPr="00F45A82" w:rsidR="002B4307" w:rsidP="002B4307" w:rsidRDefault="002B4307" w14:paraId="73F98A22" w14:textId="77777777">
      <w:pPr>
        <w:rPr>
          <w:rFonts w:ascii="Calibri" w:hAnsi="Calibri" w:cs="Calibri"/>
          <w:b/>
        </w:rPr>
      </w:pPr>
    </w:p>
    <w:p w:rsidRPr="00F45A82" w:rsidR="002B4307" w:rsidP="002B4307" w:rsidRDefault="002B4307" w14:paraId="47352666" w14:textId="77777777">
      <w:pPr>
        <w:rPr>
          <w:rFonts w:ascii="Calibri" w:hAnsi="Calibri" w:cs="Calibri"/>
        </w:rPr>
      </w:pPr>
      <w:r w:rsidRPr="00F45A82">
        <w:rPr>
          <w:rFonts w:ascii="Calibri" w:hAnsi="Calibri" w:cs="Calibri"/>
        </w:rPr>
        <w:t>Bij de technische briefing op 5 juni 2025 presenteerden wij onderstaande tabel.</w:t>
      </w:r>
    </w:p>
    <w:p w:rsidRPr="00F45A82" w:rsidR="002B4307" w:rsidP="002B4307" w:rsidRDefault="002B4307" w14:paraId="5D0EEE32" w14:textId="77777777">
      <w:pPr>
        <w:rPr>
          <w:rFonts w:ascii="Calibri" w:hAnsi="Calibri" w:cs="Calibri"/>
        </w:rPr>
      </w:pPr>
    </w:p>
    <w:p w:rsidRPr="00F45A82" w:rsidR="002B4307" w:rsidP="002B4307" w:rsidRDefault="002B4307" w14:paraId="20D4D785" w14:textId="77777777">
      <w:pPr>
        <w:rPr>
          <w:rFonts w:ascii="Calibri" w:hAnsi="Calibri" w:cs="Calibri"/>
          <w:b/>
        </w:rPr>
      </w:pPr>
      <w:r w:rsidRPr="00F45A82">
        <w:rPr>
          <w:rFonts w:ascii="Calibri" w:hAnsi="Calibri" w:cs="Calibri"/>
          <w:b/>
        </w:rPr>
        <w:t xml:space="preserve">Tabel 1 Verwachte ODA-percentages en de relatie tot het </w:t>
      </w:r>
      <w:proofErr w:type="spellStart"/>
      <w:r w:rsidRPr="00F45A82">
        <w:rPr>
          <w:rFonts w:ascii="Calibri" w:hAnsi="Calibri" w:cs="Calibri"/>
          <w:b/>
        </w:rPr>
        <w:t>bni</w:t>
      </w:r>
      <w:proofErr w:type="spellEnd"/>
    </w:p>
    <w:p w:rsidRPr="00F45A82" w:rsidR="002B4307" w:rsidP="002B4307" w:rsidRDefault="002B4307" w14:paraId="205CDD9D" w14:textId="77777777">
      <w:pPr>
        <w:rPr>
          <w:rFonts w:ascii="Calibri" w:hAnsi="Calibri" w:cs="Calibri"/>
        </w:rPr>
      </w:pPr>
    </w:p>
    <w:tbl>
      <w:tblPr>
        <w:tblStyle w:val="Tabelraster"/>
        <w:tblW w:w="0" w:type="auto"/>
        <w:tblLook w:val="04A0" w:firstRow="1" w:lastRow="0" w:firstColumn="1" w:lastColumn="0" w:noHBand="0" w:noVBand="1"/>
      </w:tblPr>
      <w:tblGrid>
        <w:gridCol w:w="1321"/>
        <w:gridCol w:w="1321"/>
        <w:gridCol w:w="1321"/>
        <w:gridCol w:w="1321"/>
        <w:gridCol w:w="1322"/>
        <w:gridCol w:w="1322"/>
      </w:tblGrid>
      <w:tr w:rsidRPr="00F45A82" w:rsidR="002B4307" w:rsidTr="00ED6ABC" w14:paraId="75202B60" w14:textId="77777777">
        <w:tc>
          <w:tcPr>
            <w:tcW w:w="1321" w:type="dxa"/>
            <w:shd w:val="clear" w:color="auto" w:fill="C1E4F5" w:themeFill="accent1" w:themeFillTint="33"/>
          </w:tcPr>
          <w:p w:rsidRPr="00F45A82" w:rsidR="002B4307" w:rsidP="00ED6ABC" w:rsidRDefault="002B4307" w14:paraId="25AE90C6" w14:textId="77777777">
            <w:pPr>
              <w:rPr>
                <w:rFonts w:ascii="Calibri" w:hAnsi="Calibri" w:cs="Calibri"/>
                <w:sz w:val="22"/>
                <w:szCs w:val="22"/>
              </w:rPr>
            </w:pPr>
          </w:p>
        </w:tc>
        <w:tc>
          <w:tcPr>
            <w:tcW w:w="1321" w:type="dxa"/>
            <w:shd w:val="clear" w:color="auto" w:fill="C1E4F5" w:themeFill="accent1" w:themeFillTint="33"/>
          </w:tcPr>
          <w:p w:rsidRPr="00F45A82" w:rsidR="002B4307" w:rsidP="00ED6ABC" w:rsidRDefault="002B4307" w14:paraId="34F4D35F" w14:textId="77777777">
            <w:pPr>
              <w:rPr>
                <w:rFonts w:ascii="Calibri" w:hAnsi="Calibri" w:cs="Calibri"/>
                <w:sz w:val="22"/>
                <w:szCs w:val="22"/>
              </w:rPr>
            </w:pPr>
            <w:r w:rsidRPr="00F45A82">
              <w:rPr>
                <w:rFonts w:ascii="Calibri" w:hAnsi="Calibri" w:cs="Calibri"/>
                <w:sz w:val="22"/>
                <w:szCs w:val="22"/>
              </w:rPr>
              <w:t>2025</w:t>
            </w:r>
          </w:p>
        </w:tc>
        <w:tc>
          <w:tcPr>
            <w:tcW w:w="1321" w:type="dxa"/>
            <w:shd w:val="clear" w:color="auto" w:fill="C1E4F5" w:themeFill="accent1" w:themeFillTint="33"/>
          </w:tcPr>
          <w:p w:rsidRPr="00F45A82" w:rsidR="002B4307" w:rsidP="00ED6ABC" w:rsidRDefault="002B4307" w14:paraId="2F5DBC61" w14:textId="77777777">
            <w:pPr>
              <w:rPr>
                <w:rFonts w:ascii="Calibri" w:hAnsi="Calibri" w:cs="Calibri"/>
                <w:sz w:val="22"/>
                <w:szCs w:val="22"/>
              </w:rPr>
            </w:pPr>
            <w:r w:rsidRPr="00F45A82">
              <w:rPr>
                <w:rFonts w:ascii="Calibri" w:hAnsi="Calibri" w:cs="Calibri"/>
                <w:sz w:val="22"/>
                <w:szCs w:val="22"/>
              </w:rPr>
              <w:t>2026</w:t>
            </w:r>
          </w:p>
        </w:tc>
        <w:tc>
          <w:tcPr>
            <w:tcW w:w="1321" w:type="dxa"/>
            <w:shd w:val="clear" w:color="auto" w:fill="C1E4F5" w:themeFill="accent1" w:themeFillTint="33"/>
          </w:tcPr>
          <w:p w:rsidRPr="00F45A82" w:rsidR="002B4307" w:rsidP="00ED6ABC" w:rsidRDefault="002B4307" w14:paraId="3A10990D" w14:textId="77777777">
            <w:pPr>
              <w:rPr>
                <w:rFonts w:ascii="Calibri" w:hAnsi="Calibri" w:cs="Calibri"/>
                <w:sz w:val="22"/>
                <w:szCs w:val="22"/>
              </w:rPr>
            </w:pPr>
            <w:r w:rsidRPr="00F45A82">
              <w:rPr>
                <w:rFonts w:ascii="Calibri" w:hAnsi="Calibri" w:cs="Calibri"/>
                <w:sz w:val="22"/>
                <w:szCs w:val="22"/>
              </w:rPr>
              <w:t>2027</w:t>
            </w:r>
          </w:p>
        </w:tc>
        <w:tc>
          <w:tcPr>
            <w:tcW w:w="1322" w:type="dxa"/>
            <w:shd w:val="clear" w:color="auto" w:fill="C1E4F5" w:themeFill="accent1" w:themeFillTint="33"/>
          </w:tcPr>
          <w:p w:rsidRPr="00F45A82" w:rsidR="002B4307" w:rsidP="00ED6ABC" w:rsidRDefault="002B4307" w14:paraId="29CC49F6" w14:textId="77777777">
            <w:pPr>
              <w:rPr>
                <w:rFonts w:ascii="Calibri" w:hAnsi="Calibri" w:cs="Calibri"/>
                <w:sz w:val="22"/>
                <w:szCs w:val="22"/>
              </w:rPr>
            </w:pPr>
            <w:r w:rsidRPr="00F45A82">
              <w:rPr>
                <w:rFonts w:ascii="Calibri" w:hAnsi="Calibri" w:cs="Calibri"/>
                <w:sz w:val="22"/>
                <w:szCs w:val="22"/>
              </w:rPr>
              <w:t>2028</w:t>
            </w:r>
          </w:p>
        </w:tc>
        <w:tc>
          <w:tcPr>
            <w:tcW w:w="1322" w:type="dxa"/>
            <w:shd w:val="clear" w:color="auto" w:fill="C1E4F5" w:themeFill="accent1" w:themeFillTint="33"/>
          </w:tcPr>
          <w:p w:rsidRPr="00F45A82" w:rsidR="002B4307" w:rsidP="00ED6ABC" w:rsidRDefault="002B4307" w14:paraId="1D3E2BB9" w14:textId="77777777">
            <w:pPr>
              <w:rPr>
                <w:rFonts w:ascii="Calibri" w:hAnsi="Calibri" w:cs="Calibri"/>
                <w:sz w:val="22"/>
                <w:szCs w:val="22"/>
              </w:rPr>
            </w:pPr>
            <w:r w:rsidRPr="00F45A82">
              <w:rPr>
                <w:rFonts w:ascii="Calibri" w:hAnsi="Calibri" w:cs="Calibri"/>
                <w:sz w:val="22"/>
                <w:szCs w:val="22"/>
              </w:rPr>
              <w:t>2029</w:t>
            </w:r>
          </w:p>
        </w:tc>
      </w:tr>
      <w:tr w:rsidRPr="00F45A82" w:rsidR="002B4307" w:rsidTr="00ED6ABC" w14:paraId="0D99F883" w14:textId="77777777">
        <w:tc>
          <w:tcPr>
            <w:tcW w:w="1321" w:type="dxa"/>
          </w:tcPr>
          <w:p w:rsidRPr="00F45A82" w:rsidR="002B4307" w:rsidP="00ED6ABC" w:rsidRDefault="002B4307" w14:paraId="6E2CF38A" w14:textId="77777777">
            <w:pPr>
              <w:rPr>
                <w:rFonts w:ascii="Calibri" w:hAnsi="Calibri" w:cs="Calibri"/>
                <w:sz w:val="22"/>
                <w:szCs w:val="22"/>
              </w:rPr>
            </w:pPr>
            <w:r w:rsidRPr="00F45A82">
              <w:rPr>
                <w:rFonts w:ascii="Calibri" w:hAnsi="Calibri" w:cs="Calibri"/>
                <w:sz w:val="22"/>
                <w:szCs w:val="22"/>
              </w:rPr>
              <w:t>ODA</w:t>
            </w:r>
          </w:p>
        </w:tc>
        <w:tc>
          <w:tcPr>
            <w:tcW w:w="1321" w:type="dxa"/>
          </w:tcPr>
          <w:p w:rsidRPr="00F45A82" w:rsidR="002B4307" w:rsidP="00ED6ABC" w:rsidRDefault="002B4307" w14:paraId="4D87E41A" w14:textId="77777777">
            <w:pPr>
              <w:rPr>
                <w:rFonts w:ascii="Calibri" w:hAnsi="Calibri" w:cs="Calibri"/>
                <w:sz w:val="22"/>
                <w:szCs w:val="22"/>
              </w:rPr>
            </w:pPr>
            <w:r w:rsidRPr="00F45A82">
              <w:rPr>
                <w:rFonts w:ascii="Calibri" w:hAnsi="Calibri" w:cs="Calibri"/>
                <w:sz w:val="22"/>
                <w:szCs w:val="22"/>
              </w:rPr>
              <w:t>0,61%</w:t>
            </w:r>
          </w:p>
        </w:tc>
        <w:tc>
          <w:tcPr>
            <w:tcW w:w="1321" w:type="dxa"/>
          </w:tcPr>
          <w:p w:rsidRPr="00F45A82" w:rsidR="002B4307" w:rsidP="00ED6ABC" w:rsidRDefault="002B4307" w14:paraId="714693BB" w14:textId="77777777">
            <w:pPr>
              <w:rPr>
                <w:rFonts w:ascii="Calibri" w:hAnsi="Calibri" w:cs="Calibri"/>
                <w:sz w:val="22"/>
                <w:szCs w:val="22"/>
              </w:rPr>
            </w:pPr>
            <w:r w:rsidRPr="00F45A82">
              <w:rPr>
                <w:rFonts w:ascii="Calibri" w:hAnsi="Calibri" w:cs="Calibri"/>
                <w:sz w:val="22"/>
                <w:szCs w:val="22"/>
              </w:rPr>
              <w:t>0,60%</w:t>
            </w:r>
          </w:p>
        </w:tc>
        <w:tc>
          <w:tcPr>
            <w:tcW w:w="1321" w:type="dxa"/>
          </w:tcPr>
          <w:p w:rsidRPr="00F45A82" w:rsidR="002B4307" w:rsidP="00ED6ABC" w:rsidRDefault="002B4307" w14:paraId="3B9E686A" w14:textId="77777777">
            <w:pPr>
              <w:rPr>
                <w:rFonts w:ascii="Calibri" w:hAnsi="Calibri" w:cs="Calibri"/>
                <w:sz w:val="22"/>
                <w:szCs w:val="22"/>
              </w:rPr>
            </w:pPr>
            <w:r w:rsidRPr="00F45A82">
              <w:rPr>
                <w:rFonts w:ascii="Calibri" w:hAnsi="Calibri" w:cs="Calibri"/>
                <w:sz w:val="22"/>
                <w:szCs w:val="22"/>
              </w:rPr>
              <w:t>0,43%</w:t>
            </w:r>
          </w:p>
        </w:tc>
        <w:tc>
          <w:tcPr>
            <w:tcW w:w="1322" w:type="dxa"/>
          </w:tcPr>
          <w:p w:rsidRPr="00F45A82" w:rsidR="002B4307" w:rsidP="00ED6ABC" w:rsidRDefault="002B4307" w14:paraId="47189189" w14:textId="77777777">
            <w:pPr>
              <w:rPr>
                <w:rFonts w:ascii="Calibri" w:hAnsi="Calibri" w:cs="Calibri"/>
                <w:sz w:val="22"/>
                <w:szCs w:val="22"/>
              </w:rPr>
            </w:pPr>
            <w:r w:rsidRPr="00F45A82">
              <w:rPr>
                <w:rFonts w:ascii="Calibri" w:hAnsi="Calibri" w:cs="Calibri"/>
                <w:sz w:val="22"/>
                <w:szCs w:val="22"/>
              </w:rPr>
              <w:t>0,42%</w:t>
            </w:r>
          </w:p>
        </w:tc>
        <w:tc>
          <w:tcPr>
            <w:tcW w:w="1322" w:type="dxa"/>
          </w:tcPr>
          <w:p w:rsidRPr="00F45A82" w:rsidR="002B4307" w:rsidP="00ED6ABC" w:rsidRDefault="002B4307" w14:paraId="1494053F" w14:textId="77777777">
            <w:pPr>
              <w:rPr>
                <w:rFonts w:ascii="Calibri" w:hAnsi="Calibri" w:cs="Calibri"/>
                <w:sz w:val="22"/>
                <w:szCs w:val="22"/>
              </w:rPr>
            </w:pPr>
            <w:r w:rsidRPr="00F45A82">
              <w:rPr>
                <w:rFonts w:ascii="Calibri" w:hAnsi="Calibri" w:cs="Calibri"/>
                <w:sz w:val="22"/>
                <w:szCs w:val="22"/>
              </w:rPr>
              <w:t>0,44%</w:t>
            </w:r>
          </w:p>
        </w:tc>
      </w:tr>
      <w:tr w:rsidRPr="00F45A82" w:rsidR="002B4307" w:rsidTr="00ED6ABC" w14:paraId="5E5B5FCE" w14:textId="77777777">
        <w:tc>
          <w:tcPr>
            <w:tcW w:w="1321" w:type="dxa"/>
          </w:tcPr>
          <w:p w:rsidRPr="00F45A82" w:rsidR="002B4307" w:rsidP="00ED6ABC" w:rsidRDefault="002B4307" w14:paraId="66DF7D06" w14:textId="77777777">
            <w:pPr>
              <w:rPr>
                <w:rFonts w:ascii="Calibri" w:hAnsi="Calibri" w:cs="Calibri"/>
                <w:sz w:val="22"/>
                <w:szCs w:val="22"/>
              </w:rPr>
            </w:pPr>
            <w:r w:rsidRPr="00F45A82">
              <w:rPr>
                <w:rFonts w:ascii="Calibri" w:hAnsi="Calibri" w:cs="Calibri"/>
                <w:sz w:val="22"/>
                <w:szCs w:val="22"/>
              </w:rPr>
              <w:t xml:space="preserve">Koppeling </w:t>
            </w:r>
            <w:proofErr w:type="spellStart"/>
            <w:r w:rsidRPr="00F45A82">
              <w:rPr>
                <w:rFonts w:ascii="Calibri" w:hAnsi="Calibri" w:cs="Calibri"/>
                <w:sz w:val="22"/>
                <w:szCs w:val="22"/>
              </w:rPr>
              <w:t>bni</w:t>
            </w:r>
            <w:proofErr w:type="spellEnd"/>
          </w:p>
        </w:tc>
        <w:tc>
          <w:tcPr>
            <w:tcW w:w="1321" w:type="dxa"/>
          </w:tcPr>
          <w:p w:rsidRPr="00F45A82" w:rsidR="002B4307" w:rsidP="00ED6ABC" w:rsidRDefault="002B4307" w14:paraId="26CC3B4E" w14:textId="77777777">
            <w:pPr>
              <w:rPr>
                <w:rFonts w:ascii="Calibri" w:hAnsi="Calibri" w:cs="Calibri"/>
                <w:sz w:val="22"/>
                <w:szCs w:val="22"/>
              </w:rPr>
            </w:pPr>
            <w:r w:rsidRPr="00F45A82">
              <w:rPr>
                <w:rFonts w:ascii="Calibri" w:hAnsi="Calibri" w:cs="Calibri"/>
                <w:sz w:val="22"/>
                <w:szCs w:val="22"/>
              </w:rPr>
              <w:t>Nee</w:t>
            </w:r>
          </w:p>
        </w:tc>
        <w:tc>
          <w:tcPr>
            <w:tcW w:w="1321" w:type="dxa"/>
          </w:tcPr>
          <w:p w:rsidRPr="00F45A82" w:rsidR="002B4307" w:rsidP="00ED6ABC" w:rsidRDefault="002B4307" w14:paraId="040BD6F0" w14:textId="77777777">
            <w:pPr>
              <w:rPr>
                <w:rFonts w:ascii="Calibri" w:hAnsi="Calibri" w:cs="Calibri"/>
                <w:sz w:val="22"/>
                <w:szCs w:val="22"/>
              </w:rPr>
            </w:pPr>
            <w:r w:rsidRPr="00F45A82">
              <w:rPr>
                <w:rFonts w:ascii="Calibri" w:hAnsi="Calibri" w:cs="Calibri"/>
                <w:sz w:val="22"/>
                <w:szCs w:val="22"/>
              </w:rPr>
              <w:t>Ja</w:t>
            </w:r>
          </w:p>
        </w:tc>
        <w:tc>
          <w:tcPr>
            <w:tcW w:w="1321" w:type="dxa"/>
          </w:tcPr>
          <w:p w:rsidRPr="00F45A82" w:rsidR="002B4307" w:rsidP="00ED6ABC" w:rsidRDefault="002B4307" w14:paraId="5541601F" w14:textId="77777777">
            <w:pPr>
              <w:rPr>
                <w:rFonts w:ascii="Calibri" w:hAnsi="Calibri" w:cs="Calibri"/>
                <w:sz w:val="22"/>
                <w:szCs w:val="22"/>
              </w:rPr>
            </w:pPr>
            <w:r w:rsidRPr="00F45A82">
              <w:rPr>
                <w:rFonts w:ascii="Calibri" w:hAnsi="Calibri" w:cs="Calibri"/>
                <w:sz w:val="22"/>
                <w:szCs w:val="22"/>
              </w:rPr>
              <w:t>Ja</w:t>
            </w:r>
          </w:p>
        </w:tc>
        <w:tc>
          <w:tcPr>
            <w:tcW w:w="1322" w:type="dxa"/>
          </w:tcPr>
          <w:p w:rsidRPr="00F45A82" w:rsidR="002B4307" w:rsidP="00ED6ABC" w:rsidRDefault="002B4307" w14:paraId="4811622C" w14:textId="77777777">
            <w:pPr>
              <w:rPr>
                <w:rFonts w:ascii="Calibri" w:hAnsi="Calibri" w:cs="Calibri"/>
                <w:sz w:val="22"/>
                <w:szCs w:val="22"/>
              </w:rPr>
            </w:pPr>
            <w:r w:rsidRPr="00F45A82">
              <w:rPr>
                <w:rFonts w:ascii="Calibri" w:hAnsi="Calibri" w:cs="Calibri"/>
                <w:sz w:val="22"/>
                <w:szCs w:val="22"/>
              </w:rPr>
              <w:t>Ja</w:t>
            </w:r>
          </w:p>
        </w:tc>
        <w:tc>
          <w:tcPr>
            <w:tcW w:w="1322" w:type="dxa"/>
          </w:tcPr>
          <w:p w:rsidRPr="00F45A82" w:rsidR="002B4307" w:rsidP="00ED6ABC" w:rsidRDefault="002B4307" w14:paraId="5DF014D0" w14:textId="77777777">
            <w:pPr>
              <w:rPr>
                <w:rFonts w:ascii="Calibri" w:hAnsi="Calibri" w:cs="Calibri"/>
                <w:sz w:val="22"/>
                <w:szCs w:val="22"/>
              </w:rPr>
            </w:pPr>
            <w:r w:rsidRPr="00F45A82">
              <w:rPr>
                <w:rFonts w:ascii="Calibri" w:hAnsi="Calibri" w:cs="Calibri"/>
                <w:sz w:val="22"/>
                <w:szCs w:val="22"/>
              </w:rPr>
              <w:t>Ja</w:t>
            </w:r>
          </w:p>
        </w:tc>
      </w:tr>
    </w:tbl>
    <w:p w:rsidRPr="00F45A82" w:rsidR="002B4307" w:rsidP="002B4307" w:rsidRDefault="002B4307" w14:paraId="72773F6B" w14:textId="77777777">
      <w:pPr>
        <w:rPr>
          <w:rFonts w:ascii="Calibri" w:hAnsi="Calibri" w:cs="Calibri"/>
        </w:rPr>
      </w:pPr>
      <w:r w:rsidRPr="00F45A82">
        <w:rPr>
          <w:rFonts w:ascii="Calibri" w:hAnsi="Calibri" w:cs="Calibri"/>
        </w:rPr>
        <w:t xml:space="preserve"> </w:t>
      </w:r>
    </w:p>
    <w:p w:rsidRPr="00F45A82" w:rsidR="002B4307" w:rsidP="002B4307" w:rsidRDefault="002B4307" w14:paraId="63C8E70D" w14:textId="77777777">
      <w:pPr>
        <w:rPr>
          <w:rFonts w:ascii="Calibri" w:hAnsi="Calibri" w:cs="Calibri"/>
        </w:rPr>
      </w:pPr>
      <w:r w:rsidRPr="00F45A82">
        <w:rPr>
          <w:rFonts w:ascii="Calibri" w:hAnsi="Calibri" w:cs="Calibri"/>
        </w:rPr>
        <w:t xml:space="preserve">Naar aanleiding van deze tabel stelde de Vaste Commissie voor BHO de vraag op welke wijze de koppeling met het </w:t>
      </w:r>
      <w:proofErr w:type="spellStart"/>
      <w:r w:rsidRPr="00F45A82">
        <w:rPr>
          <w:rFonts w:ascii="Calibri" w:hAnsi="Calibri" w:cs="Calibri"/>
        </w:rPr>
        <w:t>bni</w:t>
      </w:r>
      <w:proofErr w:type="spellEnd"/>
      <w:r w:rsidRPr="00F45A82">
        <w:rPr>
          <w:rFonts w:ascii="Calibri" w:hAnsi="Calibri" w:cs="Calibri"/>
        </w:rPr>
        <w:t xml:space="preserve"> is hersteld en wat dit betekent voor het ODA-budget.</w:t>
      </w:r>
    </w:p>
    <w:p w:rsidRPr="00F45A82" w:rsidR="002B4307" w:rsidP="002B4307" w:rsidRDefault="002B4307" w14:paraId="2D54CF3E" w14:textId="77777777">
      <w:pPr>
        <w:rPr>
          <w:rFonts w:ascii="Calibri" w:hAnsi="Calibri" w:cs="Calibri"/>
        </w:rPr>
      </w:pPr>
      <w:r w:rsidRPr="00F45A82">
        <w:rPr>
          <w:rFonts w:ascii="Calibri" w:hAnsi="Calibri" w:cs="Calibri"/>
        </w:rPr>
        <w:t xml:space="preserve"> </w:t>
      </w:r>
    </w:p>
    <w:p w:rsidRPr="00F45A82" w:rsidR="002B4307" w:rsidP="002B4307" w:rsidRDefault="002B4307" w14:paraId="299F381E" w14:textId="77777777">
      <w:pPr>
        <w:rPr>
          <w:rFonts w:ascii="Calibri" w:hAnsi="Calibri" w:cs="Calibri"/>
        </w:rPr>
      </w:pPr>
      <w:r w:rsidRPr="00F45A82">
        <w:rPr>
          <w:rFonts w:ascii="Calibri" w:hAnsi="Calibri" w:cs="Calibri"/>
        </w:rPr>
        <w:t xml:space="preserve">Bij de besluitvorming over de Voorjaarnota 2025 heeft het inmiddels demissionaire kabinet-Schoof besloten het ODA-budget met ingang van de begroting 2026 te actualiseren en bij te stellen op basis van de ontwikkeling van het </w:t>
      </w:r>
      <w:proofErr w:type="spellStart"/>
      <w:r w:rsidRPr="00F45A82">
        <w:rPr>
          <w:rFonts w:ascii="Calibri" w:hAnsi="Calibri" w:cs="Calibri"/>
        </w:rPr>
        <w:t>bni</w:t>
      </w:r>
      <w:proofErr w:type="spellEnd"/>
      <w:r w:rsidRPr="00F45A82">
        <w:rPr>
          <w:rFonts w:ascii="Calibri" w:hAnsi="Calibri" w:cs="Calibri"/>
        </w:rPr>
        <w:t>.</w:t>
      </w:r>
      <w:r w:rsidRPr="00F45A82">
        <w:rPr>
          <w:rStyle w:val="Voetnootmarkering"/>
          <w:rFonts w:ascii="Calibri" w:hAnsi="Calibri" w:cs="Calibri"/>
        </w:rPr>
        <w:footnoteReference w:id="1"/>
      </w:r>
      <w:r w:rsidRPr="00F45A82">
        <w:rPr>
          <w:rFonts w:ascii="Calibri" w:hAnsi="Calibri" w:cs="Calibri"/>
        </w:rPr>
        <w:t xml:space="preserve"> Er is voor de werkwijze gekozen om bij een wijziging van </w:t>
      </w:r>
      <w:proofErr w:type="spellStart"/>
      <w:r w:rsidRPr="00F45A82">
        <w:rPr>
          <w:rFonts w:ascii="Calibri" w:hAnsi="Calibri" w:cs="Calibri"/>
        </w:rPr>
        <w:t>bni</w:t>
      </w:r>
      <w:proofErr w:type="spellEnd"/>
      <w:r w:rsidRPr="00F45A82">
        <w:rPr>
          <w:rFonts w:ascii="Calibri" w:hAnsi="Calibri" w:cs="Calibri"/>
        </w:rPr>
        <w:t xml:space="preserve"> met 1%, het ODA-budget met dezelfde 1% aan te passen. De teller (ODA-budget) en noemer (</w:t>
      </w:r>
      <w:proofErr w:type="spellStart"/>
      <w:r w:rsidRPr="00F45A82">
        <w:rPr>
          <w:rFonts w:ascii="Calibri" w:hAnsi="Calibri" w:cs="Calibri"/>
        </w:rPr>
        <w:t>bni</w:t>
      </w:r>
      <w:proofErr w:type="spellEnd"/>
      <w:r w:rsidRPr="00F45A82">
        <w:rPr>
          <w:rFonts w:ascii="Calibri" w:hAnsi="Calibri" w:cs="Calibri"/>
        </w:rPr>
        <w:t xml:space="preserve">) van de ODA-prestatie (zijnde het percentage van het </w:t>
      </w:r>
      <w:proofErr w:type="spellStart"/>
      <w:r w:rsidRPr="00F45A82">
        <w:rPr>
          <w:rFonts w:ascii="Calibri" w:hAnsi="Calibri" w:cs="Calibri"/>
        </w:rPr>
        <w:t>bni</w:t>
      </w:r>
      <w:proofErr w:type="spellEnd"/>
      <w:r w:rsidRPr="00F45A82">
        <w:rPr>
          <w:rFonts w:ascii="Calibri" w:hAnsi="Calibri" w:cs="Calibri"/>
        </w:rPr>
        <w:t xml:space="preserve">) blijven hierdoor relatief gelijk aan elkaar waardoor de ODA-prestatie niet verandert. In de situatie dat er geen koppeling met de ontwikkeling van het </w:t>
      </w:r>
      <w:proofErr w:type="spellStart"/>
      <w:r w:rsidRPr="00F45A82">
        <w:rPr>
          <w:rFonts w:ascii="Calibri" w:hAnsi="Calibri" w:cs="Calibri"/>
        </w:rPr>
        <w:t>bni</w:t>
      </w:r>
      <w:proofErr w:type="spellEnd"/>
      <w:r w:rsidRPr="00F45A82">
        <w:rPr>
          <w:rFonts w:ascii="Calibri" w:hAnsi="Calibri" w:cs="Calibri"/>
        </w:rPr>
        <w:t xml:space="preserve"> is, zou het ODA-percentage dalen bij een stijging van het </w:t>
      </w:r>
      <w:proofErr w:type="spellStart"/>
      <w:r w:rsidRPr="00F45A82">
        <w:rPr>
          <w:rFonts w:ascii="Calibri" w:hAnsi="Calibri" w:cs="Calibri"/>
        </w:rPr>
        <w:t>bni</w:t>
      </w:r>
      <w:proofErr w:type="spellEnd"/>
      <w:r w:rsidRPr="00F45A82">
        <w:rPr>
          <w:rFonts w:ascii="Calibri" w:hAnsi="Calibri" w:cs="Calibri"/>
        </w:rPr>
        <w:t xml:space="preserve"> omdat de teller (ODA-budget) niet meegroeit wanneer de noemer (</w:t>
      </w:r>
      <w:proofErr w:type="spellStart"/>
      <w:r w:rsidRPr="00F45A82">
        <w:rPr>
          <w:rFonts w:ascii="Calibri" w:hAnsi="Calibri" w:cs="Calibri"/>
        </w:rPr>
        <w:t>bni</w:t>
      </w:r>
      <w:proofErr w:type="spellEnd"/>
      <w:r w:rsidRPr="00F45A82">
        <w:rPr>
          <w:rFonts w:ascii="Calibri" w:hAnsi="Calibri" w:cs="Calibri"/>
        </w:rPr>
        <w:t xml:space="preserve">) stijgt. Door met ingang van de begroting 2026 het ODA-budget mee te laten bewegen met de ontwikkeling van het </w:t>
      </w:r>
      <w:proofErr w:type="spellStart"/>
      <w:r w:rsidRPr="00F45A82">
        <w:rPr>
          <w:rFonts w:ascii="Calibri" w:hAnsi="Calibri" w:cs="Calibri"/>
        </w:rPr>
        <w:t>bni</w:t>
      </w:r>
      <w:proofErr w:type="spellEnd"/>
      <w:r w:rsidRPr="00F45A82">
        <w:rPr>
          <w:rFonts w:ascii="Calibri" w:hAnsi="Calibri" w:cs="Calibri"/>
        </w:rPr>
        <w:t xml:space="preserve">, wordt dit voorkomen. De ODA-prestatie blijft hierdoor vanaf 2029 langjarig gelijk op 0,44%. </w:t>
      </w:r>
    </w:p>
    <w:p w:rsidRPr="00F45A82" w:rsidR="002B4307" w:rsidP="002B4307" w:rsidRDefault="002B4307" w14:paraId="5C38B262" w14:textId="77777777">
      <w:pPr>
        <w:rPr>
          <w:rFonts w:ascii="Calibri" w:hAnsi="Calibri" w:cs="Calibri"/>
        </w:rPr>
      </w:pPr>
    </w:p>
    <w:p w:rsidRPr="00F45A82" w:rsidR="002B4307" w:rsidP="002B4307" w:rsidRDefault="002B4307" w14:paraId="0620517E" w14:textId="77777777">
      <w:pPr>
        <w:rPr>
          <w:rFonts w:ascii="Calibri" w:hAnsi="Calibri" w:cs="Calibri"/>
        </w:rPr>
      </w:pPr>
      <w:r w:rsidRPr="00F45A82">
        <w:rPr>
          <w:rFonts w:ascii="Calibri" w:hAnsi="Calibri" w:cs="Calibri"/>
        </w:rPr>
        <w:t xml:space="preserve">Bij de voorgaande kabinetten was er een koppeling tussen het ODA-budget en de streefwaarde van de Verenigd Naties van 0,7% van het </w:t>
      </w:r>
      <w:proofErr w:type="spellStart"/>
      <w:r w:rsidRPr="00F45A82">
        <w:rPr>
          <w:rFonts w:ascii="Calibri" w:hAnsi="Calibri" w:cs="Calibri"/>
        </w:rPr>
        <w:t>bni</w:t>
      </w:r>
      <w:proofErr w:type="spellEnd"/>
      <w:r w:rsidRPr="00F45A82">
        <w:rPr>
          <w:rFonts w:ascii="Calibri" w:hAnsi="Calibri" w:cs="Calibri"/>
        </w:rPr>
        <w:t xml:space="preserve">. Het ODA-budget werd bepaald door 0,7% van het </w:t>
      </w:r>
      <w:proofErr w:type="spellStart"/>
      <w:r w:rsidRPr="00F45A82">
        <w:rPr>
          <w:rFonts w:ascii="Calibri" w:hAnsi="Calibri" w:cs="Calibri"/>
        </w:rPr>
        <w:t>bni</w:t>
      </w:r>
      <w:proofErr w:type="spellEnd"/>
      <w:r w:rsidRPr="00F45A82">
        <w:rPr>
          <w:rFonts w:ascii="Calibri" w:hAnsi="Calibri" w:cs="Calibri"/>
        </w:rPr>
        <w:t xml:space="preserve"> te nemen en op dit bedrag voorgenomen ombuigingen in mindering te brengen en intensiveringen hieraan toe te voegen. Met de voorjaarsbesluitvorming is deze werkwijze dus verlaten en gaat het demissionaire </w:t>
      </w:r>
      <w:r w:rsidRPr="00F45A82">
        <w:rPr>
          <w:rFonts w:ascii="Calibri" w:hAnsi="Calibri" w:cs="Calibri"/>
        </w:rPr>
        <w:lastRenderedPageBreak/>
        <w:t xml:space="preserve">kabinet niet meer uit van het uitgangspunt of ankerpunt van 0,7% van het </w:t>
      </w:r>
      <w:proofErr w:type="spellStart"/>
      <w:r w:rsidRPr="00F45A82">
        <w:rPr>
          <w:rFonts w:ascii="Calibri" w:hAnsi="Calibri" w:cs="Calibri"/>
        </w:rPr>
        <w:t>bni</w:t>
      </w:r>
      <w:proofErr w:type="spellEnd"/>
      <w:r w:rsidRPr="00F45A82">
        <w:rPr>
          <w:rFonts w:ascii="Calibri" w:hAnsi="Calibri" w:cs="Calibri"/>
        </w:rPr>
        <w:t xml:space="preserve"> voor de berekening van het ODA-budget.</w:t>
      </w:r>
      <w:r w:rsidRPr="00F45A82">
        <w:rPr>
          <w:rStyle w:val="Voetnootmarkering"/>
          <w:rFonts w:ascii="Calibri" w:hAnsi="Calibri" w:cs="Calibri"/>
        </w:rPr>
        <w:footnoteReference w:id="2"/>
      </w:r>
      <w:r w:rsidRPr="00F45A82">
        <w:rPr>
          <w:rFonts w:ascii="Calibri" w:hAnsi="Calibri" w:cs="Calibri"/>
        </w:rPr>
        <w:t xml:space="preserve"> </w:t>
      </w:r>
    </w:p>
    <w:p w:rsidRPr="00F45A82" w:rsidR="002B4307" w:rsidP="002B4307" w:rsidRDefault="002B4307" w14:paraId="20E2F3DD" w14:textId="77777777">
      <w:pPr>
        <w:rPr>
          <w:rFonts w:ascii="Calibri" w:hAnsi="Calibri" w:cs="Calibri"/>
        </w:rPr>
      </w:pPr>
    </w:p>
    <w:p w:rsidRPr="00F45A82" w:rsidR="002B4307" w:rsidP="002B4307" w:rsidRDefault="002B4307" w14:paraId="3DB23BC1" w14:textId="77777777">
      <w:pPr>
        <w:rPr>
          <w:rFonts w:ascii="Calibri" w:hAnsi="Calibri" w:cs="Calibri"/>
        </w:rPr>
      </w:pPr>
      <w:r w:rsidRPr="00F45A82">
        <w:rPr>
          <w:rFonts w:ascii="Calibri" w:hAnsi="Calibri" w:cs="Calibri"/>
        </w:rPr>
        <w:t xml:space="preserve">Het effect </w:t>
      </w:r>
      <w:r w:rsidRPr="00F45A82">
        <w:rPr>
          <w:rFonts w:ascii="Calibri" w:hAnsi="Calibri" w:cs="Calibri"/>
          <w:iCs/>
        </w:rPr>
        <w:t xml:space="preserve">van een stijging of daling van het </w:t>
      </w:r>
      <w:proofErr w:type="spellStart"/>
      <w:r w:rsidRPr="00F45A82">
        <w:rPr>
          <w:rFonts w:ascii="Calibri" w:hAnsi="Calibri" w:cs="Calibri"/>
          <w:iCs/>
        </w:rPr>
        <w:t>bni</w:t>
      </w:r>
      <w:proofErr w:type="spellEnd"/>
      <w:r w:rsidRPr="00F45A82">
        <w:rPr>
          <w:rFonts w:ascii="Calibri" w:hAnsi="Calibri" w:cs="Calibri"/>
          <w:i/>
          <w:iCs/>
        </w:rPr>
        <w:t xml:space="preserve"> </w:t>
      </w:r>
      <w:r w:rsidRPr="00F45A82">
        <w:rPr>
          <w:rFonts w:ascii="Calibri" w:hAnsi="Calibri" w:cs="Calibri"/>
        </w:rPr>
        <w:t xml:space="preserve">op het ODA-budget is met deze nieuwe werkwijze kleiner dan wanneer bij de koppeling wordt uitgegaan van de werkwijze van de vorige kabinetten. Dat neemt niet weg dat ook met de nieuwe werkwijze sprake is van een koppeling met het </w:t>
      </w:r>
      <w:proofErr w:type="spellStart"/>
      <w:r w:rsidRPr="00F45A82">
        <w:rPr>
          <w:rFonts w:ascii="Calibri" w:hAnsi="Calibri" w:cs="Calibri"/>
        </w:rPr>
        <w:t>bni</w:t>
      </w:r>
      <w:proofErr w:type="spellEnd"/>
      <w:r w:rsidRPr="00F45A82">
        <w:rPr>
          <w:rFonts w:ascii="Calibri" w:hAnsi="Calibri" w:cs="Calibri"/>
        </w:rPr>
        <w:t xml:space="preserve">, zij het volgens een nieuwe en andere systematiek. </w:t>
      </w:r>
    </w:p>
    <w:p w:rsidRPr="00F45A82" w:rsidR="002B4307" w:rsidP="002B4307" w:rsidRDefault="002B4307" w14:paraId="79AB261D" w14:textId="77777777">
      <w:pPr>
        <w:rPr>
          <w:rFonts w:ascii="Calibri" w:hAnsi="Calibri" w:cs="Calibri"/>
        </w:rPr>
      </w:pPr>
      <w:r w:rsidRPr="00F45A82">
        <w:rPr>
          <w:rFonts w:ascii="Calibri" w:hAnsi="Calibri" w:cs="Calibri"/>
        </w:rPr>
        <w:t xml:space="preserve"> </w:t>
      </w:r>
    </w:p>
    <w:p w:rsidRPr="00F45A82" w:rsidR="002B4307" w:rsidP="002B4307" w:rsidRDefault="002B4307" w14:paraId="35E21FEC" w14:textId="77777777">
      <w:pPr>
        <w:rPr>
          <w:rFonts w:ascii="Calibri" w:hAnsi="Calibri" w:cs="Calibri"/>
        </w:rPr>
      </w:pPr>
      <w:r w:rsidRPr="00F45A82">
        <w:rPr>
          <w:rFonts w:ascii="Calibri" w:hAnsi="Calibri" w:cs="Calibri"/>
        </w:rPr>
        <w:t xml:space="preserve">Hieronder geven wij in tabel 2 de mutatie van het ODA-budget weer bij </w:t>
      </w:r>
      <w:r w:rsidRPr="00F45A82">
        <w:rPr>
          <w:rFonts w:ascii="Calibri" w:hAnsi="Calibri" w:cs="Calibri"/>
          <w:u w:val="single"/>
        </w:rPr>
        <w:t>een fictieve</w:t>
      </w:r>
      <w:r w:rsidRPr="00F45A82">
        <w:rPr>
          <w:rFonts w:ascii="Calibri" w:hAnsi="Calibri" w:cs="Calibri"/>
        </w:rPr>
        <w:t xml:space="preserve"> </w:t>
      </w:r>
      <w:r w:rsidRPr="00F45A82">
        <w:rPr>
          <w:rFonts w:ascii="Calibri" w:hAnsi="Calibri" w:cs="Calibri"/>
          <w:u w:val="single"/>
        </w:rPr>
        <w:t>bijstelling</w:t>
      </w:r>
      <w:r w:rsidRPr="00F45A82">
        <w:rPr>
          <w:rFonts w:ascii="Calibri" w:hAnsi="Calibri" w:cs="Calibri"/>
        </w:rPr>
        <w:t xml:space="preserve"> van het </w:t>
      </w:r>
      <w:proofErr w:type="spellStart"/>
      <w:r w:rsidRPr="00F45A82">
        <w:rPr>
          <w:rFonts w:ascii="Calibri" w:hAnsi="Calibri" w:cs="Calibri"/>
        </w:rPr>
        <w:t>bni</w:t>
      </w:r>
      <w:proofErr w:type="spellEnd"/>
      <w:r w:rsidRPr="00F45A82">
        <w:rPr>
          <w:rFonts w:ascii="Calibri" w:hAnsi="Calibri" w:cs="Calibri"/>
        </w:rPr>
        <w:t xml:space="preserve"> met 1% in de periode 2026 tot en met 2029. Bij onze berekening zijn we uitgegaan van de </w:t>
      </w:r>
      <w:proofErr w:type="spellStart"/>
      <w:r w:rsidRPr="00F45A82">
        <w:rPr>
          <w:rFonts w:ascii="Calibri" w:hAnsi="Calibri" w:cs="Calibri"/>
        </w:rPr>
        <w:t>bni</w:t>
      </w:r>
      <w:proofErr w:type="spellEnd"/>
      <w:r w:rsidRPr="00F45A82">
        <w:rPr>
          <w:rFonts w:ascii="Calibri" w:hAnsi="Calibri" w:cs="Calibri"/>
        </w:rPr>
        <w:t xml:space="preserve"> bedragen en ODA-percentages zoals opgenomen in de bijlage met de meerjarige uitsplitsing van het ODA-budget bij de beantwoording van de Kamervragen over de Voorjaarsnota 2025.</w:t>
      </w:r>
      <w:r w:rsidRPr="00F45A82">
        <w:rPr>
          <w:rStyle w:val="Voetnootmarkering"/>
          <w:rFonts w:ascii="Calibri" w:hAnsi="Calibri" w:cs="Calibri"/>
        </w:rPr>
        <w:footnoteReference w:id="3"/>
      </w:r>
      <w:r w:rsidRPr="00F45A82">
        <w:rPr>
          <w:rFonts w:ascii="Calibri" w:hAnsi="Calibri" w:cs="Calibri"/>
        </w:rPr>
        <w:t xml:space="preserve"> Door de nieuwe ramingen van het </w:t>
      </w:r>
      <w:proofErr w:type="spellStart"/>
      <w:r w:rsidRPr="00F45A82">
        <w:rPr>
          <w:rFonts w:ascii="Calibri" w:hAnsi="Calibri" w:cs="Calibri"/>
        </w:rPr>
        <w:t>bni</w:t>
      </w:r>
      <w:proofErr w:type="spellEnd"/>
      <w:r w:rsidRPr="00F45A82">
        <w:rPr>
          <w:rFonts w:ascii="Calibri" w:hAnsi="Calibri" w:cs="Calibri"/>
        </w:rPr>
        <w:t xml:space="preserve"> wijken de percentages van de ODA-prestatie in tabel 2 af van de percentages die wij in onze briefing hebben gebruikt. Deze waren nog gebaseerd op de HGIS-nota 2025. Het demissionaire kabinet-Schoof heeft in de zomer van 2025 er voor gekozen om het ODA-budget niet te actualiseren naar aanleiding van de hogere </w:t>
      </w:r>
      <w:proofErr w:type="spellStart"/>
      <w:r w:rsidRPr="00F45A82">
        <w:rPr>
          <w:rFonts w:ascii="Calibri" w:hAnsi="Calibri" w:cs="Calibri"/>
        </w:rPr>
        <w:t>bni</w:t>
      </w:r>
      <w:proofErr w:type="spellEnd"/>
      <w:r w:rsidRPr="00F45A82">
        <w:rPr>
          <w:rFonts w:ascii="Calibri" w:hAnsi="Calibri" w:cs="Calibri"/>
        </w:rPr>
        <w:t xml:space="preserve">-ramingen in de Macro Economische Verkenningen (MEV) 2025. Doordat de ramingen van het </w:t>
      </w:r>
      <w:proofErr w:type="spellStart"/>
      <w:r w:rsidRPr="00F45A82">
        <w:rPr>
          <w:rFonts w:ascii="Calibri" w:hAnsi="Calibri" w:cs="Calibri"/>
        </w:rPr>
        <w:t>bni</w:t>
      </w:r>
      <w:proofErr w:type="spellEnd"/>
      <w:r w:rsidRPr="00F45A82">
        <w:rPr>
          <w:rFonts w:ascii="Calibri" w:hAnsi="Calibri" w:cs="Calibri"/>
        </w:rPr>
        <w:t xml:space="preserve"> zijn gestegen - maar het ODA-budget niet - stijgt de noemer, maar niet de teller. De ODA-prestatie valt hierdoor lager uit.</w:t>
      </w:r>
    </w:p>
    <w:p w:rsidRPr="00F45A82" w:rsidR="002B4307" w:rsidP="002B4307" w:rsidRDefault="002B4307" w14:paraId="3EEF5E1A" w14:textId="77777777">
      <w:pPr>
        <w:rPr>
          <w:rFonts w:ascii="Calibri" w:hAnsi="Calibri" w:cs="Calibri"/>
        </w:rPr>
      </w:pPr>
    </w:p>
    <w:p w:rsidRPr="00F45A82" w:rsidR="002B4307" w:rsidP="002B4307" w:rsidRDefault="002B4307" w14:paraId="7FF9DC37" w14:textId="77777777">
      <w:pPr>
        <w:rPr>
          <w:rFonts w:ascii="Calibri" w:hAnsi="Calibri" w:cs="Calibri"/>
          <w:b/>
        </w:rPr>
      </w:pPr>
      <w:r w:rsidRPr="00F45A82">
        <w:rPr>
          <w:rFonts w:ascii="Calibri" w:hAnsi="Calibri" w:cs="Calibri"/>
          <w:b/>
        </w:rPr>
        <w:t xml:space="preserve">Tabel 2 Mutatie van het ODA-budget bij de fictieve bijstelling van het </w:t>
      </w:r>
      <w:proofErr w:type="spellStart"/>
      <w:r w:rsidRPr="00F45A82">
        <w:rPr>
          <w:rFonts w:ascii="Calibri" w:hAnsi="Calibri" w:cs="Calibri"/>
          <w:b/>
        </w:rPr>
        <w:t>bni</w:t>
      </w:r>
      <w:proofErr w:type="spellEnd"/>
      <w:r w:rsidRPr="00F45A82">
        <w:rPr>
          <w:rFonts w:ascii="Calibri" w:hAnsi="Calibri" w:cs="Calibri"/>
          <w:b/>
        </w:rPr>
        <w:t xml:space="preserve"> met +1%</w:t>
      </w:r>
    </w:p>
    <w:p w:rsidRPr="00F45A82" w:rsidR="002B4307" w:rsidP="002B4307" w:rsidRDefault="002B4307" w14:paraId="2F8222D7" w14:textId="77777777">
      <w:pPr>
        <w:rPr>
          <w:rFonts w:ascii="Calibri" w:hAnsi="Calibri" w:cs="Calibri"/>
        </w:rPr>
      </w:pPr>
    </w:p>
    <w:tbl>
      <w:tblPr>
        <w:tblW w:w="7914" w:type="dxa"/>
        <w:tblLayout w:type="fixed"/>
        <w:tblCellMar>
          <w:left w:w="0" w:type="dxa"/>
          <w:right w:w="0" w:type="dxa"/>
        </w:tblCellMar>
        <w:tblLook w:val="04A0" w:firstRow="1" w:lastRow="0" w:firstColumn="1" w:lastColumn="0" w:noHBand="0" w:noVBand="1"/>
      </w:tblPr>
      <w:tblGrid>
        <w:gridCol w:w="2258"/>
        <w:gridCol w:w="1136"/>
        <w:gridCol w:w="1132"/>
        <w:gridCol w:w="1134"/>
        <w:gridCol w:w="1134"/>
        <w:gridCol w:w="1120"/>
      </w:tblGrid>
      <w:tr w:rsidRPr="00F45A82" w:rsidR="002B4307" w:rsidTr="00ED6ABC" w14:paraId="4836B1F4" w14:textId="77777777">
        <w:tc>
          <w:tcPr>
            <w:tcW w:w="2258" w:type="dxa"/>
            <w:tcBorders>
              <w:top w:val="single" w:color="auto" w:sz="8" w:space="0"/>
              <w:left w:val="single" w:color="auto" w:sz="8" w:space="0"/>
              <w:bottom w:val="single" w:color="auto" w:sz="8" w:space="0"/>
              <w:right w:val="single" w:color="auto" w:sz="8" w:space="0"/>
            </w:tcBorders>
            <w:shd w:val="clear" w:color="auto" w:fill="C1E4F5" w:themeFill="accent1" w:themeFillTint="33"/>
            <w:tcMar>
              <w:top w:w="0" w:type="dxa"/>
              <w:left w:w="108" w:type="dxa"/>
              <w:bottom w:w="0" w:type="dxa"/>
              <w:right w:w="108" w:type="dxa"/>
            </w:tcMar>
          </w:tcPr>
          <w:p w:rsidRPr="00F45A82" w:rsidR="002B4307" w:rsidP="00ED6ABC" w:rsidRDefault="002B4307" w14:paraId="2E7F6B7F" w14:textId="77777777">
            <w:pPr>
              <w:rPr>
                <w:rFonts w:ascii="Calibri" w:hAnsi="Calibri" w:cs="Calibri"/>
              </w:rPr>
            </w:pPr>
          </w:p>
        </w:tc>
        <w:tc>
          <w:tcPr>
            <w:tcW w:w="1136" w:type="dxa"/>
            <w:tcBorders>
              <w:top w:val="single" w:color="auto" w:sz="8" w:space="0"/>
              <w:left w:val="nil"/>
              <w:bottom w:val="single" w:color="auto" w:sz="8" w:space="0"/>
              <w:right w:val="single" w:color="auto" w:sz="8" w:space="0"/>
            </w:tcBorders>
            <w:shd w:val="clear" w:color="auto" w:fill="C1E4F5" w:themeFill="accent1" w:themeFillTint="33"/>
            <w:tcMar>
              <w:top w:w="0" w:type="dxa"/>
              <w:left w:w="108" w:type="dxa"/>
              <w:bottom w:w="0" w:type="dxa"/>
              <w:right w:w="108" w:type="dxa"/>
            </w:tcMar>
            <w:hideMark/>
          </w:tcPr>
          <w:p w:rsidRPr="00F45A82" w:rsidR="002B4307" w:rsidP="00ED6ABC" w:rsidRDefault="002B4307" w14:paraId="694BB55C" w14:textId="77777777">
            <w:pPr>
              <w:jc w:val="center"/>
              <w:rPr>
                <w:rFonts w:ascii="Calibri" w:hAnsi="Calibri" w:cs="Calibri"/>
              </w:rPr>
            </w:pPr>
            <w:r w:rsidRPr="00F45A82">
              <w:rPr>
                <w:rFonts w:ascii="Calibri" w:hAnsi="Calibri" w:cs="Calibri"/>
              </w:rPr>
              <w:t>2026</w:t>
            </w:r>
          </w:p>
        </w:tc>
        <w:tc>
          <w:tcPr>
            <w:tcW w:w="1132" w:type="dxa"/>
            <w:tcBorders>
              <w:top w:val="single" w:color="auto" w:sz="8" w:space="0"/>
              <w:left w:val="nil"/>
              <w:bottom w:val="single" w:color="auto" w:sz="8" w:space="0"/>
              <w:right w:val="single" w:color="auto" w:sz="8" w:space="0"/>
            </w:tcBorders>
            <w:shd w:val="clear" w:color="auto" w:fill="C1E4F5" w:themeFill="accent1" w:themeFillTint="33"/>
            <w:tcMar>
              <w:top w:w="0" w:type="dxa"/>
              <w:left w:w="108" w:type="dxa"/>
              <w:bottom w:w="0" w:type="dxa"/>
              <w:right w:w="108" w:type="dxa"/>
            </w:tcMar>
            <w:hideMark/>
          </w:tcPr>
          <w:p w:rsidRPr="00F45A82" w:rsidR="002B4307" w:rsidP="00ED6ABC" w:rsidRDefault="002B4307" w14:paraId="18797C8A" w14:textId="77777777">
            <w:pPr>
              <w:jc w:val="center"/>
              <w:rPr>
                <w:rFonts w:ascii="Calibri" w:hAnsi="Calibri" w:cs="Calibri"/>
              </w:rPr>
            </w:pPr>
            <w:r w:rsidRPr="00F45A82">
              <w:rPr>
                <w:rFonts w:ascii="Calibri" w:hAnsi="Calibri" w:cs="Calibri"/>
              </w:rPr>
              <w:t>2027</w:t>
            </w:r>
          </w:p>
        </w:tc>
        <w:tc>
          <w:tcPr>
            <w:tcW w:w="1134" w:type="dxa"/>
            <w:tcBorders>
              <w:top w:val="single" w:color="auto" w:sz="8" w:space="0"/>
              <w:left w:val="nil"/>
              <w:bottom w:val="single" w:color="auto" w:sz="8" w:space="0"/>
              <w:right w:val="single" w:color="auto" w:sz="8" w:space="0"/>
            </w:tcBorders>
            <w:shd w:val="clear" w:color="auto" w:fill="C1E4F5" w:themeFill="accent1" w:themeFillTint="33"/>
            <w:tcMar>
              <w:top w:w="0" w:type="dxa"/>
              <w:left w:w="108" w:type="dxa"/>
              <w:bottom w:w="0" w:type="dxa"/>
              <w:right w:w="108" w:type="dxa"/>
            </w:tcMar>
            <w:hideMark/>
          </w:tcPr>
          <w:p w:rsidRPr="00F45A82" w:rsidR="002B4307" w:rsidP="00ED6ABC" w:rsidRDefault="002B4307" w14:paraId="07AB861D" w14:textId="77777777">
            <w:pPr>
              <w:jc w:val="center"/>
              <w:rPr>
                <w:rFonts w:ascii="Calibri" w:hAnsi="Calibri" w:cs="Calibri"/>
              </w:rPr>
            </w:pPr>
            <w:r w:rsidRPr="00F45A82">
              <w:rPr>
                <w:rFonts w:ascii="Calibri" w:hAnsi="Calibri" w:cs="Calibri"/>
              </w:rPr>
              <w:t>2028</w:t>
            </w:r>
          </w:p>
        </w:tc>
        <w:tc>
          <w:tcPr>
            <w:tcW w:w="1134" w:type="dxa"/>
            <w:tcBorders>
              <w:top w:val="single" w:color="auto" w:sz="8" w:space="0"/>
              <w:left w:val="nil"/>
              <w:bottom w:val="single" w:color="auto" w:sz="8" w:space="0"/>
              <w:right w:val="single" w:color="auto" w:sz="8" w:space="0"/>
            </w:tcBorders>
            <w:shd w:val="clear" w:color="auto" w:fill="C1E4F5" w:themeFill="accent1" w:themeFillTint="33"/>
            <w:tcMar>
              <w:top w:w="0" w:type="dxa"/>
              <w:left w:w="108" w:type="dxa"/>
              <w:bottom w:w="0" w:type="dxa"/>
              <w:right w:w="108" w:type="dxa"/>
            </w:tcMar>
            <w:hideMark/>
          </w:tcPr>
          <w:p w:rsidRPr="00F45A82" w:rsidR="002B4307" w:rsidP="00ED6ABC" w:rsidRDefault="002B4307" w14:paraId="5A44C10E" w14:textId="77777777">
            <w:pPr>
              <w:jc w:val="center"/>
              <w:rPr>
                <w:rFonts w:ascii="Calibri" w:hAnsi="Calibri" w:cs="Calibri"/>
              </w:rPr>
            </w:pPr>
            <w:r w:rsidRPr="00F45A82">
              <w:rPr>
                <w:rFonts w:ascii="Calibri" w:hAnsi="Calibri" w:cs="Calibri"/>
              </w:rPr>
              <w:t>2029</w:t>
            </w:r>
          </w:p>
        </w:tc>
        <w:tc>
          <w:tcPr>
            <w:tcW w:w="1120" w:type="dxa"/>
            <w:tcBorders>
              <w:top w:val="single" w:color="auto" w:sz="8" w:space="0"/>
              <w:left w:val="nil"/>
              <w:bottom w:val="single" w:color="auto" w:sz="8" w:space="0"/>
              <w:right w:val="single" w:color="auto" w:sz="8" w:space="0"/>
            </w:tcBorders>
            <w:shd w:val="clear" w:color="auto" w:fill="C1E4F5" w:themeFill="accent1" w:themeFillTint="33"/>
          </w:tcPr>
          <w:p w:rsidRPr="00F45A82" w:rsidR="002B4307" w:rsidP="00ED6ABC" w:rsidRDefault="002B4307" w14:paraId="1AAF0A9C" w14:textId="77777777">
            <w:pPr>
              <w:jc w:val="center"/>
              <w:rPr>
                <w:rFonts w:ascii="Calibri" w:hAnsi="Calibri" w:cs="Calibri"/>
              </w:rPr>
            </w:pPr>
            <w:r w:rsidRPr="00F45A82">
              <w:rPr>
                <w:rFonts w:ascii="Calibri" w:hAnsi="Calibri" w:cs="Calibri"/>
              </w:rPr>
              <w:t>2030</w:t>
            </w:r>
          </w:p>
        </w:tc>
      </w:tr>
      <w:tr w:rsidRPr="00F45A82" w:rsidR="002B4307" w:rsidTr="00ED6ABC" w14:paraId="70222C79"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45A82" w:rsidR="002B4307" w:rsidP="00ED6ABC" w:rsidRDefault="002B4307" w14:paraId="7555A8B7" w14:textId="77777777">
            <w:pPr>
              <w:rPr>
                <w:rFonts w:ascii="Calibri" w:hAnsi="Calibri" w:cs="Calibri"/>
              </w:rPr>
            </w:pPr>
            <w:r w:rsidRPr="00F45A82">
              <w:rPr>
                <w:rFonts w:ascii="Calibri" w:hAnsi="Calibri" w:cs="Calibri"/>
              </w:rPr>
              <w:t xml:space="preserve">Omvang </w:t>
            </w:r>
            <w:proofErr w:type="spellStart"/>
            <w:r w:rsidRPr="00F45A82">
              <w:rPr>
                <w:rFonts w:ascii="Calibri" w:hAnsi="Calibri" w:cs="Calibri"/>
              </w:rPr>
              <w:t>bni</w:t>
            </w:r>
            <w:proofErr w:type="spellEnd"/>
            <w:r w:rsidRPr="00F45A82">
              <w:rPr>
                <w:rFonts w:ascii="Calibri" w:hAnsi="Calibri" w:cs="Calibri"/>
              </w:rPr>
              <w:t xml:space="preserve"> </w:t>
            </w:r>
          </w:p>
        </w:tc>
        <w:tc>
          <w:tcPr>
            <w:tcW w:w="1136" w:type="dxa"/>
            <w:tcBorders>
              <w:top w:val="nil"/>
              <w:left w:val="nil"/>
              <w:bottom w:val="single" w:color="auto" w:sz="8" w:space="0"/>
              <w:right w:val="single" w:color="auto" w:sz="8" w:space="0"/>
            </w:tcBorders>
            <w:tcMar>
              <w:top w:w="0" w:type="dxa"/>
              <w:left w:w="108" w:type="dxa"/>
              <w:bottom w:w="0" w:type="dxa"/>
              <w:right w:w="108" w:type="dxa"/>
            </w:tcMar>
          </w:tcPr>
          <w:p w:rsidRPr="00F45A82" w:rsidR="002B4307" w:rsidP="00ED6ABC" w:rsidRDefault="002B4307" w14:paraId="723674D4" w14:textId="77777777">
            <w:pPr>
              <w:jc w:val="center"/>
              <w:rPr>
                <w:rFonts w:ascii="Calibri" w:hAnsi="Calibri" w:cs="Calibri"/>
              </w:rPr>
            </w:pPr>
            <w:r w:rsidRPr="00F45A82">
              <w:rPr>
                <w:rFonts w:ascii="Calibri" w:hAnsi="Calibri" w:cs="Calibri"/>
              </w:rPr>
              <w:t>1.234.241</w:t>
            </w:r>
          </w:p>
        </w:tc>
        <w:tc>
          <w:tcPr>
            <w:tcW w:w="1132" w:type="dxa"/>
            <w:tcBorders>
              <w:top w:val="nil"/>
              <w:left w:val="nil"/>
              <w:bottom w:val="single" w:color="auto" w:sz="8" w:space="0"/>
              <w:right w:val="single" w:color="auto" w:sz="8" w:space="0"/>
            </w:tcBorders>
            <w:tcMar>
              <w:top w:w="0" w:type="dxa"/>
              <w:left w:w="108" w:type="dxa"/>
              <w:bottom w:w="0" w:type="dxa"/>
              <w:right w:w="108" w:type="dxa"/>
            </w:tcMar>
          </w:tcPr>
          <w:p w:rsidRPr="00F45A82" w:rsidR="002B4307" w:rsidP="00ED6ABC" w:rsidRDefault="002B4307" w14:paraId="2E2CEF10" w14:textId="77777777">
            <w:pPr>
              <w:jc w:val="center"/>
              <w:rPr>
                <w:rFonts w:ascii="Calibri" w:hAnsi="Calibri" w:cs="Calibri"/>
              </w:rPr>
            </w:pPr>
            <w:r w:rsidRPr="00F45A82">
              <w:rPr>
                <w:rFonts w:ascii="Calibri" w:hAnsi="Calibri" w:cs="Calibri"/>
              </w:rPr>
              <w:t>1.283.499</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rsidRPr="00F45A82" w:rsidR="002B4307" w:rsidP="00ED6ABC" w:rsidRDefault="002B4307" w14:paraId="0CDC1102" w14:textId="77777777">
            <w:pPr>
              <w:jc w:val="center"/>
              <w:rPr>
                <w:rFonts w:ascii="Calibri" w:hAnsi="Calibri" w:cs="Calibri"/>
              </w:rPr>
            </w:pPr>
            <w:r w:rsidRPr="00F45A82">
              <w:rPr>
                <w:rFonts w:ascii="Calibri" w:hAnsi="Calibri" w:cs="Calibri"/>
              </w:rPr>
              <w:t>1.335.993</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rsidRPr="00F45A82" w:rsidR="002B4307" w:rsidP="00ED6ABC" w:rsidRDefault="002B4307" w14:paraId="7185252F" w14:textId="77777777">
            <w:pPr>
              <w:jc w:val="center"/>
              <w:rPr>
                <w:rFonts w:ascii="Calibri" w:hAnsi="Calibri" w:cs="Calibri"/>
              </w:rPr>
            </w:pPr>
            <w:r w:rsidRPr="00F45A82">
              <w:rPr>
                <w:rFonts w:ascii="Calibri" w:hAnsi="Calibri" w:cs="Calibri"/>
              </w:rPr>
              <w:t>1.384.850</w:t>
            </w:r>
          </w:p>
        </w:tc>
        <w:tc>
          <w:tcPr>
            <w:tcW w:w="1120" w:type="dxa"/>
            <w:tcBorders>
              <w:top w:val="nil"/>
              <w:left w:val="nil"/>
              <w:bottom w:val="single" w:color="auto" w:sz="8" w:space="0"/>
              <w:right w:val="single" w:color="auto" w:sz="8" w:space="0"/>
            </w:tcBorders>
          </w:tcPr>
          <w:p w:rsidRPr="00F45A82" w:rsidR="002B4307" w:rsidDel="006039D7" w:rsidP="00ED6ABC" w:rsidRDefault="002B4307" w14:paraId="1BF06367" w14:textId="77777777">
            <w:pPr>
              <w:jc w:val="center"/>
              <w:rPr>
                <w:rFonts w:ascii="Calibri" w:hAnsi="Calibri" w:cs="Calibri"/>
              </w:rPr>
            </w:pPr>
            <w:r w:rsidRPr="00F45A82">
              <w:rPr>
                <w:rFonts w:ascii="Calibri" w:hAnsi="Calibri" w:cs="Calibri"/>
              </w:rPr>
              <w:t>1.435.494</w:t>
            </w:r>
          </w:p>
        </w:tc>
      </w:tr>
      <w:tr w:rsidRPr="00F45A82" w:rsidR="002B4307" w:rsidTr="00ED6ABC" w14:paraId="687C6CD2"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45A82" w:rsidR="002B4307" w:rsidP="00ED6ABC" w:rsidRDefault="002B4307" w14:paraId="6A1117CA" w14:textId="77777777">
            <w:pPr>
              <w:rPr>
                <w:rFonts w:ascii="Calibri" w:hAnsi="Calibri" w:cs="Calibri"/>
              </w:rPr>
            </w:pPr>
            <w:r w:rsidRPr="00F45A82">
              <w:rPr>
                <w:rFonts w:ascii="Calibri" w:hAnsi="Calibri" w:cs="Calibri"/>
              </w:rPr>
              <w:t xml:space="preserve">ODA-prestatie </w:t>
            </w:r>
          </w:p>
        </w:tc>
        <w:tc>
          <w:tcPr>
            <w:tcW w:w="1136" w:type="dxa"/>
            <w:tcBorders>
              <w:top w:val="nil"/>
              <w:left w:val="nil"/>
              <w:bottom w:val="single" w:color="auto" w:sz="8" w:space="0"/>
              <w:right w:val="single" w:color="auto" w:sz="8" w:space="0"/>
            </w:tcBorders>
            <w:tcMar>
              <w:top w:w="0" w:type="dxa"/>
              <w:left w:w="108" w:type="dxa"/>
              <w:bottom w:w="0" w:type="dxa"/>
              <w:right w:w="108" w:type="dxa"/>
            </w:tcMar>
            <w:hideMark/>
          </w:tcPr>
          <w:p w:rsidRPr="00F45A82" w:rsidR="002B4307" w:rsidP="00ED6ABC" w:rsidRDefault="002B4307" w14:paraId="2CCA87B6" w14:textId="77777777">
            <w:pPr>
              <w:jc w:val="center"/>
              <w:rPr>
                <w:rFonts w:ascii="Calibri" w:hAnsi="Calibri" w:cs="Calibri"/>
              </w:rPr>
            </w:pPr>
            <w:r w:rsidRPr="00F45A82">
              <w:rPr>
                <w:rFonts w:ascii="Calibri" w:hAnsi="Calibri" w:cs="Calibri"/>
              </w:rPr>
              <w:t>0,55%</w:t>
            </w:r>
          </w:p>
        </w:tc>
        <w:tc>
          <w:tcPr>
            <w:tcW w:w="1132" w:type="dxa"/>
            <w:tcBorders>
              <w:top w:val="nil"/>
              <w:left w:val="nil"/>
              <w:bottom w:val="single" w:color="auto" w:sz="8" w:space="0"/>
              <w:right w:val="single" w:color="auto" w:sz="8" w:space="0"/>
            </w:tcBorders>
            <w:tcMar>
              <w:top w:w="0" w:type="dxa"/>
              <w:left w:w="108" w:type="dxa"/>
              <w:bottom w:w="0" w:type="dxa"/>
              <w:right w:w="108" w:type="dxa"/>
            </w:tcMar>
            <w:hideMark/>
          </w:tcPr>
          <w:p w:rsidRPr="00F45A82" w:rsidR="002B4307" w:rsidP="00ED6ABC" w:rsidRDefault="002B4307" w14:paraId="70C51719" w14:textId="77777777">
            <w:pPr>
              <w:jc w:val="center"/>
              <w:rPr>
                <w:rFonts w:ascii="Calibri" w:hAnsi="Calibri" w:cs="Calibri"/>
              </w:rPr>
            </w:pPr>
            <w:r w:rsidRPr="00F45A82">
              <w:rPr>
                <w:rFonts w:ascii="Calibri" w:hAnsi="Calibri" w:cs="Calibri"/>
              </w:rPr>
              <w:t>0,45%</w:t>
            </w:r>
          </w:p>
        </w:tc>
        <w:tc>
          <w:tcPr>
            <w:tcW w:w="1134" w:type="dxa"/>
            <w:tcBorders>
              <w:top w:val="nil"/>
              <w:left w:val="nil"/>
              <w:bottom w:val="single" w:color="auto" w:sz="8" w:space="0"/>
              <w:right w:val="single" w:color="auto" w:sz="8" w:space="0"/>
            </w:tcBorders>
            <w:tcMar>
              <w:top w:w="0" w:type="dxa"/>
              <w:left w:w="108" w:type="dxa"/>
              <w:bottom w:w="0" w:type="dxa"/>
              <w:right w:w="108" w:type="dxa"/>
            </w:tcMar>
            <w:hideMark/>
          </w:tcPr>
          <w:p w:rsidRPr="00F45A82" w:rsidR="002B4307" w:rsidP="00ED6ABC" w:rsidRDefault="002B4307" w14:paraId="54140CF2" w14:textId="77777777">
            <w:pPr>
              <w:jc w:val="center"/>
              <w:rPr>
                <w:rFonts w:ascii="Calibri" w:hAnsi="Calibri" w:cs="Calibri"/>
              </w:rPr>
            </w:pPr>
            <w:r w:rsidRPr="00F45A82">
              <w:rPr>
                <w:rFonts w:ascii="Calibri" w:hAnsi="Calibri" w:cs="Calibri"/>
              </w:rPr>
              <w:t>0,43%</w:t>
            </w:r>
          </w:p>
        </w:tc>
        <w:tc>
          <w:tcPr>
            <w:tcW w:w="1134" w:type="dxa"/>
            <w:tcBorders>
              <w:top w:val="nil"/>
              <w:left w:val="nil"/>
              <w:bottom w:val="single" w:color="auto" w:sz="8" w:space="0"/>
              <w:right w:val="single" w:color="auto" w:sz="8" w:space="0"/>
            </w:tcBorders>
            <w:tcMar>
              <w:top w:w="0" w:type="dxa"/>
              <w:left w:w="108" w:type="dxa"/>
              <w:bottom w:w="0" w:type="dxa"/>
              <w:right w:w="108" w:type="dxa"/>
            </w:tcMar>
            <w:hideMark/>
          </w:tcPr>
          <w:p w:rsidRPr="00F45A82" w:rsidR="002B4307" w:rsidP="00ED6ABC" w:rsidRDefault="002B4307" w14:paraId="20418B4A" w14:textId="77777777">
            <w:pPr>
              <w:jc w:val="center"/>
              <w:rPr>
                <w:rFonts w:ascii="Calibri" w:hAnsi="Calibri" w:cs="Calibri"/>
              </w:rPr>
            </w:pPr>
            <w:r w:rsidRPr="00F45A82">
              <w:rPr>
                <w:rFonts w:ascii="Calibri" w:hAnsi="Calibri" w:cs="Calibri"/>
              </w:rPr>
              <w:t>0,44%</w:t>
            </w:r>
          </w:p>
        </w:tc>
        <w:tc>
          <w:tcPr>
            <w:tcW w:w="1120" w:type="dxa"/>
            <w:tcBorders>
              <w:top w:val="nil"/>
              <w:left w:val="nil"/>
              <w:bottom w:val="single" w:color="auto" w:sz="8" w:space="0"/>
              <w:right w:val="single" w:color="auto" w:sz="8" w:space="0"/>
            </w:tcBorders>
          </w:tcPr>
          <w:p w:rsidRPr="00F45A82" w:rsidR="002B4307" w:rsidP="00ED6ABC" w:rsidRDefault="002B4307" w14:paraId="0D895487" w14:textId="77777777">
            <w:pPr>
              <w:jc w:val="center"/>
              <w:rPr>
                <w:rFonts w:ascii="Calibri" w:hAnsi="Calibri" w:cs="Calibri"/>
              </w:rPr>
            </w:pPr>
            <w:r w:rsidRPr="00F45A82">
              <w:rPr>
                <w:rFonts w:ascii="Calibri" w:hAnsi="Calibri" w:cs="Calibri"/>
              </w:rPr>
              <w:t>0,44%</w:t>
            </w:r>
          </w:p>
        </w:tc>
      </w:tr>
      <w:tr w:rsidRPr="00F45A82" w:rsidR="002B4307" w:rsidTr="00ED6ABC" w14:paraId="1A55472A"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45A82" w:rsidR="002B4307" w:rsidP="00ED6ABC" w:rsidRDefault="002B4307" w14:paraId="0867B3D2" w14:textId="77777777">
            <w:pPr>
              <w:rPr>
                <w:rFonts w:ascii="Calibri" w:hAnsi="Calibri" w:cs="Calibri"/>
              </w:rPr>
            </w:pPr>
            <w:r w:rsidRPr="00F45A82">
              <w:rPr>
                <w:rFonts w:ascii="Calibri" w:hAnsi="Calibri" w:cs="Calibri"/>
              </w:rPr>
              <w:t xml:space="preserve">Stijging ODA-budget bij mutatie </w:t>
            </w:r>
            <w:proofErr w:type="spellStart"/>
            <w:r w:rsidRPr="00F45A82">
              <w:rPr>
                <w:rFonts w:ascii="Calibri" w:hAnsi="Calibri" w:cs="Calibri"/>
              </w:rPr>
              <w:t>bni</w:t>
            </w:r>
            <w:proofErr w:type="spellEnd"/>
            <w:r w:rsidRPr="00F45A82">
              <w:rPr>
                <w:rFonts w:ascii="Calibri" w:hAnsi="Calibri" w:cs="Calibri"/>
              </w:rPr>
              <w:t xml:space="preserve"> met +1%</w:t>
            </w:r>
          </w:p>
        </w:tc>
        <w:tc>
          <w:tcPr>
            <w:tcW w:w="1136" w:type="dxa"/>
            <w:tcBorders>
              <w:top w:val="nil"/>
              <w:left w:val="nil"/>
              <w:bottom w:val="single" w:color="auto" w:sz="8" w:space="0"/>
              <w:right w:val="single" w:color="auto" w:sz="8" w:space="0"/>
            </w:tcBorders>
            <w:tcMar>
              <w:top w:w="0" w:type="dxa"/>
              <w:left w:w="108" w:type="dxa"/>
              <w:bottom w:w="0" w:type="dxa"/>
              <w:right w:w="108" w:type="dxa"/>
            </w:tcMar>
          </w:tcPr>
          <w:p w:rsidRPr="00F45A82" w:rsidR="002B4307" w:rsidP="00ED6ABC" w:rsidRDefault="002B4307" w14:paraId="0D6A389D" w14:textId="77777777">
            <w:pPr>
              <w:jc w:val="center"/>
              <w:rPr>
                <w:rFonts w:ascii="Calibri" w:hAnsi="Calibri" w:cs="Calibri"/>
              </w:rPr>
            </w:pPr>
          </w:p>
        </w:tc>
        <w:tc>
          <w:tcPr>
            <w:tcW w:w="1132" w:type="dxa"/>
            <w:tcBorders>
              <w:top w:val="nil"/>
              <w:left w:val="nil"/>
              <w:bottom w:val="single" w:color="auto" w:sz="8" w:space="0"/>
              <w:right w:val="single" w:color="auto" w:sz="8" w:space="0"/>
            </w:tcBorders>
            <w:tcMar>
              <w:top w:w="0" w:type="dxa"/>
              <w:left w:w="108" w:type="dxa"/>
              <w:bottom w:w="0" w:type="dxa"/>
              <w:right w:w="108" w:type="dxa"/>
            </w:tcMar>
          </w:tcPr>
          <w:p w:rsidRPr="00F45A82" w:rsidR="002B4307" w:rsidP="00ED6ABC" w:rsidRDefault="002B4307" w14:paraId="3F0A90CA" w14:textId="77777777">
            <w:pPr>
              <w:jc w:val="center"/>
              <w:rPr>
                <w:rFonts w:ascii="Calibri" w:hAnsi="Calibri" w:cs="Calibri"/>
              </w:rPr>
            </w:pP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rsidRPr="00F45A82" w:rsidR="002B4307" w:rsidP="00ED6ABC" w:rsidRDefault="002B4307" w14:paraId="1361603D" w14:textId="77777777">
            <w:pPr>
              <w:jc w:val="center"/>
              <w:rPr>
                <w:rFonts w:ascii="Calibri" w:hAnsi="Calibri" w:cs="Calibri"/>
              </w:rPr>
            </w:pP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rsidRPr="00F45A82" w:rsidR="002B4307" w:rsidP="00ED6ABC" w:rsidRDefault="002B4307" w14:paraId="19B5C93F" w14:textId="77777777">
            <w:pPr>
              <w:jc w:val="center"/>
              <w:rPr>
                <w:rFonts w:ascii="Calibri" w:hAnsi="Calibri" w:cs="Calibri"/>
              </w:rPr>
            </w:pPr>
          </w:p>
        </w:tc>
        <w:tc>
          <w:tcPr>
            <w:tcW w:w="1120" w:type="dxa"/>
            <w:tcBorders>
              <w:top w:val="nil"/>
              <w:left w:val="nil"/>
              <w:bottom w:val="single" w:color="auto" w:sz="8" w:space="0"/>
              <w:right w:val="single" w:color="auto" w:sz="8" w:space="0"/>
            </w:tcBorders>
          </w:tcPr>
          <w:p w:rsidRPr="00F45A82" w:rsidR="002B4307" w:rsidP="00ED6ABC" w:rsidRDefault="002B4307" w14:paraId="6DF63B7E" w14:textId="77777777">
            <w:pPr>
              <w:jc w:val="center"/>
              <w:rPr>
                <w:rFonts w:ascii="Calibri" w:hAnsi="Calibri" w:cs="Calibri"/>
              </w:rPr>
            </w:pPr>
          </w:p>
        </w:tc>
      </w:tr>
      <w:tr w:rsidRPr="00F45A82" w:rsidR="002B4307" w:rsidTr="00ED6ABC" w14:paraId="74E77AFC"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45A82" w:rsidR="002B4307" w:rsidP="002B4307" w:rsidRDefault="002B4307" w14:paraId="5497C96F" w14:textId="77777777">
            <w:pPr>
              <w:pStyle w:val="Lijstalinea"/>
              <w:numPr>
                <w:ilvl w:val="0"/>
                <w:numId w:val="2"/>
              </w:numPr>
              <w:autoSpaceDN w:val="0"/>
              <w:spacing w:after="0" w:line="320" w:lineRule="exact"/>
              <w:textAlignment w:val="baseline"/>
              <w:rPr>
                <w:rFonts w:ascii="Calibri" w:hAnsi="Calibri" w:cs="Calibri"/>
              </w:rPr>
            </w:pPr>
            <w:r w:rsidRPr="00F45A82">
              <w:rPr>
                <w:rFonts w:ascii="Calibri" w:hAnsi="Calibri" w:cs="Calibri"/>
              </w:rPr>
              <w:t>Koppeling van 0,7%</w:t>
            </w:r>
          </w:p>
        </w:tc>
        <w:tc>
          <w:tcPr>
            <w:tcW w:w="1136" w:type="dxa"/>
            <w:tcBorders>
              <w:top w:val="nil"/>
              <w:left w:val="nil"/>
              <w:bottom w:val="single" w:color="auto" w:sz="8" w:space="0"/>
              <w:right w:val="single" w:color="auto" w:sz="8" w:space="0"/>
            </w:tcBorders>
            <w:tcMar>
              <w:top w:w="0" w:type="dxa"/>
              <w:left w:w="108" w:type="dxa"/>
              <w:bottom w:w="0" w:type="dxa"/>
              <w:right w:w="108" w:type="dxa"/>
            </w:tcMar>
            <w:vAlign w:val="bottom"/>
          </w:tcPr>
          <w:p w:rsidRPr="00F45A82" w:rsidR="002B4307" w:rsidP="00ED6ABC" w:rsidRDefault="002B4307" w14:paraId="5E17837C" w14:textId="77777777">
            <w:pPr>
              <w:jc w:val="center"/>
              <w:rPr>
                <w:rFonts w:ascii="Calibri" w:hAnsi="Calibri" w:cs="Calibri"/>
              </w:rPr>
            </w:pPr>
            <w:r w:rsidRPr="00F45A82">
              <w:rPr>
                <w:rFonts w:ascii="Calibri" w:hAnsi="Calibri" w:cs="Calibri"/>
              </w:rPr>
              <w:t>86</w:t>
            </w:r>
          </w:p>
        </w:tc>
        <w:tc>
          <w:tcPr>
            <w:tcW w:w="1132" w:type="dxa"/>
            <w:tcBorders>
              <w:top w:val="nil"/>
              <w:left w:val="nil"/>
              <w:bottom w:val="single" w:color="auto" w:sz="8" w:space="0"/>
              <w:right w:val="single" w:color="auto" w:sz="8" w:space="0"/>
            </w:tcBorders>
            <w:tcMar>
              <w:top w:w="0" w:type="dxa"/>
              <w:left w:w="108" w:type="dxa"/>
              <w:bottom w:w="0" w:type="dxa"/>
              <w:right w:w="108" w:type="dxa"/>
            </w:tcMar>
            <w:vAlign w:val="bottom"/>
          </w:tcPr>
          <w:p w:rsidRPr="00F45A82" w:rsidR="002B4307" w:rsidP="00ED6ABC" w:rsidRDefault="002B4307" w14:paraId="471C15EC" w14:textId="77777777">
            <w:pPr>
              <w:jc w:val="center"/>
              <w:rPr>
                <w:rFonts w:ascii="Calibri" w:hAnsi="Calibri" w:cs="Calibri"/>
              </w:rPr>
            </w:pPr>
            <w:r w:rsidRPr="00F45A82">
              <w:rPr>
                <w:rFonts w:ascii="Calibri" w:hAnsi="Calibri" w:cs="Calibri"/>
              </w:rPr>
              <w:t>90</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rsidRPr="00F45A82" w:rsidR="002B4307" w:rsidP="00ED6ABC" w:rsidRDefault="002B4307" w14:paraId="1B81CB77" w14:textId="77777777">
            <w:pPr>
              <w:jc w:val="center"/>
              <w:rPr>
                <w:rFonts w:ascii="Calibri" w:hAnsi="Calibri" w:cs="Calibri"/>
              </w:rPr>
            </w:pPr>
            <w:r w:rsidRPr="00F45A82">
              <w:rPr>
                <w:rFonts w:ascii="Calibri" w:hAnsi="Calibri" w:cs="Calibri"/>
              </w:rPr>
              <w:t>94</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rsidRPr="00F45A82" w:rsidR="002B4307" w:rsidP="00ED6ABC" w:rsidRDefault="002B4307" w14:paraId="5D6747B4" w14:textId="77777777">
            <w:pPr>
              <w:jc w:val="center"/>
              <w:rPr>
                <w:rFonts w:ascii="Calibri" w:hAnsi="Calibri" w:cs="Calibri"/>
              </w:rPr>
            </w:pPr>
            <w:r w:rsidRPr="00F45A82">
              <w:rPr>
                <w:rFonts w:ascii="Calibri" w:hAnsi="Calibri" w:cs="Calibri"/>
              </w:rPr>
              <w:t>97</w:t>
            </w:r>
          </w:p>
        </w:tc>
        <w:tc>
          <w:tcPr>
            <w:tcW w:w="1120" w:type="dxa"/>
            <w:tcBorders>
              <w:top w:val="nil"/>
              <w:left w:val="nil"/>
              <w:bottom w:val="single" w:color="auto" w:sz="8" w:space="0"/>
              <w:right w:val="single" w:color="auto" w:sz="8" w:space="0"/>
            </w:tcBorders>
            <w:vAlign w:val="bottom"/>
          </w:tcPr>
          <w:p w:rsidRPr="00F45A82" w:rsidR="002B4307" w:rsidP="00ED6ABC" w:rsidRDefault="002B4307" w14:paraId="5E36BC6D" w14:textId="77777777">
            <w:pPr>
              <w:jc w:val="center"/>
              <w:rPr>
                <w:rFonts w:ascii="Calibri" w:hAnsi="Calibri" w:cs="Calibri"/>
              </w:rPr>
            </w:pPr>
            <w:r w:rsidRPr="00F45A82">
              <w:rPr>
                <w:rFonts w:ascii="Calibri" w:hAnsi="Calibri" w:cs="Calibri"/>
              </w:rPr>
              <w:t>100</w:t>
            </w:r>
          </w:p>
        </w:tc>
      </w:tr>
      <w:tr w:rsidRPr="00F45A82" w:rsidR="002B4307" w:rsidTr="00ED6ABC" w14:paraId="4C47A76C"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45A82" w:rsidR="002B4307" w:rsidP="002B4307" w:rsidRDefault="002B4307" w14:paraId="6F660A22" w14:textId="77777777">
            <w:pPr>
              <w:pStyle w:val="Lijstalinea"/>
              <w:numPr>
                <w:ilvl w:val="0"/>
                <w:numId w:val="2"/>
              </w:numPr>
              <w:autoSpaceDN w:val="0"/>
              <w:spacing w:after="0" w:line="320" w:lineRule="exact"/>
              <w:textAlignment w:val="baseline"/>
              <w:rPr>
                <w:rFonts w:ascii="Calibri" w:hAnsi="Calibri" w:cs="Calibri"/>
              </w:rPr>
            </w:pPr>
            <w:r w:rsidRPr="00F45A82">
              <w:rPr>
                <w:rFonts w:ascii="Calibri" w:hAnsi="Calibri" w:cs="Calibri"/>
              </w:rPr>
              <w:lastRenderedPageBreak/>
              <w:t>Geen koppeling</w:t>
            </w:r>
          </w:p>
        </w:tc>
        <w:tc>
          <w:tcPr>
            <w:tcW w:w="1136" w:type="dxa"/>
            <w:tcBorders>
              <w:top w:val="nil"/>
              <w:left w:val="nil"/>
              <w:bottom w:val="single" w:color="auto" w:sz="8" w:space="0"/>
              <w:right w:val="single" w:color="auto" w:sz="8" w:space="0"/>
            </w:tcBorders>
            <w:tcMar>
              <w:top w:w="0" w:type="dxa"/>
              <w:left w:w="108" w:type="dxa"/>
              <w:bottom w:w="0" w:type="dxa"/>
              <w:right w:w="108" w:type="dxa"/>
            </w:tcMar>
            <w:hideMark/>
          </w:tcPr>
          <w:p w:rsidRPr="00F45A82" w:rsidR="002B4307" w:rsidP="00ED6ABC" w:rsidRDefault="002B4307" w14:paraId="389FAC78" w14:textId="77777777">
            <w:pPr>
              <w:jc w:val="center"/>
              <w:rPr>
                <w:rFonts w:ascii="Calibri" w:hAnsi="Calibri" w:cs="Calibri"/>
              </w:rPr>
            </w:pPr>
            <w:r w:rsidRPr="00F45A82">
              <w:rPr>
                <w:rFonts w:ascii="Calibri" w:hAnsi="Calibri" w:cs="Calibri"/>
              </w:rPr>
              <w:t>0</w:t>
            </w:r>
          </w:p>
        </w:tc>
        <w:tc>
          <w:tcPr>
            <w:tcW w:w="1132" w:type="dxa"/>
            <w:tcBorders>
              <w:top w:val="nil"/>
              <w:left w:val="nil"/>
              <w:bottom w:val="single" w:color="auto" w:sz="8" w:space="0"/>
              <w:right w:val="single" w:color="auto" w:sz="8" w:space="0"/>
            </w:tcBorders>
            <w:tcMar>
              <w:top w:w="0" w:type="dxa"/>
              <w:left w:w="108" w:type="dxa"/>
              <w:bottom w:w="0" w:type="dxa"/>
              <w:right w:w="108" w:type="dxa"/>
            </w:tcMar>
            <w:hideMark/>
          </w:tcPr>
          <w:p w:rsidRPr="00F45A82" w:rsidR="002B4307" w:rsidP="00ED6ABC" w:rsidRDefault="002B4307" w14:paraId="60A843A5" w14:textId="77777777">
            <w:pPr>
              <w:jc w:val="center"/>
              <w:rPr>
                <w:rFonts w:ascii="Calibri" w:hAnsi="Calibri" w:cs="Calibri"/>
              </w:rPr>
            </w:pPr>
            <w:r w:rsidRPr="00F45A82">
              <w:rPr>
                <w:rFonts w:ascii="Calibri" w:hAnsi="Calibri" w:cs="Calibri"/>
              </w:rPr>
              <w:t>0</w:t>
            </w:r>
          </w:p>
        </w:tc>
        <w:tc>
          <w:tcPr>
            <w:tcW w:w="1134" w:type="dxa"/>
            <w:tcBorders>
              <w:top w:val="nil"/>
              <w:left w:val="nil"/>
              <w:bottom w:val="single" w:color="auto" w:sz="8" w:space="0"/>
              <w:right w:val="single" w:color="auto" w:sz="8" w:space="0"/>
            </w:tcBorders>
            <w:tcMar>
              <w:top w:w="0" w:type="dxa"/>
              <w:left w:w="108" w:type="dxa"/>
              <w:bottom w:w="0" w:type="dxa"/>
              <w:right w:w="108" w:type="dxa"/>
            </w:tcMar>
            <w:hideMark/>
          </w:tcPr>
          <w:p w:rsidRPr="00F45A82" w:rsidR="002B4307" w:rsidP="00ED6ABC" w:rsidRDefault="002B4307" w14:paraId="3237F8CB" w14:textId="77777777">
            <w:pPr>
              <w:jc w:val="center"/>
              <w:rPr>
                <w:rFonts w:ascii="Calibri" w:hAnsi="Calibri" w:cs="Calibri"/>
              </w:rPr>
            </w:pPr>
            <w:r w:rsidRPr="00F45A82">
              <w:rPr>
                <w:rFonts w:ascii="Calibri" w:hAnsi="Calibri" w:cs="Calibri"/>
              </w:rPr>
              <w:t>0</w:t>
            </w:r>
          </w:p>
        </w:tc>
        <w:tc>
          <w:tcPr>
            <w:tcW w:w="1134" w:type="dxa"/>
            <w:tcBorders>
              <w:top w:val="nil"/>
              <w:left w:val="nil"/>
              <w:bottom w:val="single" w:color="auto" w:sz="8" w:space="0"/>
              <w:right w:val="single" w:color="auto" w:sz="8" w:space="0"/>
            </w:tcBorders>
            <w:tcMar>
              <w:top w:w="0" w:type="dxa"/>
              <w:left w:w="108" w:type="dxa"/>
              <w:bottom w:w="0" w:type="dxa"/>
              <w:right w:w="108" w:type="dxa"/>
            </w:tcMar>
            <w:hideMark/>
          </w:tcPr>
          <w:p w:rsidRPr="00F45A82" w:rsidR="002B4307" w:rsidP="00ED6ABC" w:rsidRDefault="002B4307" w14:paraId="28505425" w14:textId="77777777">
            <w:pPr>
              <w:jc w:val="center"/>
              <w:rPr>
                <w:rFonts w:ascii="Calibri" w:hAnsi="Calibri" w:cs="Calibri"/>
              </w:rPr>
            </w:pPr>
            <w:r w:rsidRPr="00F45A82">
              <w:rPr>
                <w:rFonts w:ascii="Calibri" w:hAnsi="Calibri" w:cs="Calibri"/>
              </w:rPr>
              <w:t>0</w:t>
            </w:r>
          </w:p>
        </w:tc>
        <w:tc>
          <w:tcPr>
            <w:tcW w:w="1120" w:type="dxa"/>
            <w:tcBorders>
              <w:top w:val="nil"/>
              <w:left w:val="nil"/>
              <w:bottom w:val="single" w:color="auto" w:sz="8" w:space="0"/>
              <w:right w:val="single" w:color="auto" w:sz="8" w:space="0"/>
            </w:tcBorders>
          </w:tcPr>
          <w:p w:rsidRPr="00F45A82" w:rsidR="002B4307" w:rsidP="00ED6ABC" w:rsidRDefault="002B4307" w14:paraId="2CB8E576" w14:textId="77777777">
            <w:pPr>
              <w:jc w:val="center"/>
              <w:rPr>
                <w:rFonts w:ascii="Calibri" w:hAnsi="Calibri" w:cs="Calibri"/>
              </w:rPr>
            </w:pPr>
            <w:r w:rsidRPr="00F45A82">
              <w:rPr>
                <w:rFonts w:ascii="Calibri" w:hAnsi="Calibri" w:cs="Calibri"/>
              </w:rPr>
              <w:t>0</w:t>
            </w:r>
          </w:p>
        </w:tc>
      </w:tr>
      <w:tr w:rsidRPr="00F45A82" w:rsidR="002B4307" w:rsidTr="00ED6ABC" w14:paraId="11542A42"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45A82" w:rsidR="002B4307" w:rsidP="002B4307" w:rsidRDefault="002B4307" w14:paraId="73EEC5FA" w14:textId="77777777">
            <w:pPr>
              <w:pStyle w:val="Lijstalinea"/>
              <w:numPr>
                <w:ilvl w:val="0"/>
                <w:numId w:val="2"/>
              </w:numPr>
              <w:autoSpaceDN w:val="0"/>
              <w:spacing w:after="0" w:line="320" w:lineRule="exact"/>
              <w:textAlignment w:val="baseline"/>
              <w:rPr>
                <w:rFonts w:ascii="Calibri" w:hAnsi="Calibri" w:cs="Calibri"/>
              </w:rPr>
            </w:pPr>
            <w:r w:rsidRPr="00F45A82">
              <w:rPr>
                <w:rFonts w:ascii="Calibri" w:hAnsi="Calibri" w:cs="Calibri"/>
              </w:rPr>
              <w:t>Koppeling o.b.v. besluitvorming Voorjaarsnota 2025</w:t>
            </w:r>
          </w:p>
        </w:tc>
        <w:tc>
          <w:tcPr>
            <w:tcW w:w="113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45A82" w:rsidR="002B4307" w:rsidP="00ED6ABC" w:rsidRDefault="002B4307" w14:paraId="2A2E0FAB" w14:textId="77777777">
            <w:pPr>
              <w:jc w:val="center"/>
              <w:rPr>
                <w:rFonts w:ascii="Calibri" w:hAnsi="Calibri" w:cs="Calibri"/>
              </w:rPr>
            </w:pPr>
            <w:r w:rsidRPr="00F45A82">
              <w:rPr>
                <w:rFonts w:ascii="Calibri" w:hAnsi="Calibri" w:cs="Calibri"/>
              </w:rPr>
              <w:t>68</w:t>
            </w:r>
          </w:p>
        </w:tc>
        <w:tc>
          <w:tcPr>
            <w:tcW w:w="113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45A82" w:rsidR="002B4307" w:rsidP="00ED6ABC" w:rsidRDefault="002B4307" w14:paraId="441BD2BC" w14:textId="77777777">
            <w:pPr>
              <w:jc w:val="center"/>
              <w:rPr>
                <w:rFonts w:ascii="Calibri" w:hAnsi="Calibri" w:cs="Calibri"/>
              </w:rPr>
            </w:pPr>
            <w:r w:rsidRPr="00F45A82">
              <w:rPr>
                <w:rFonts w:ascii="Calibri" w:hAnsi="Calibri" w:cs="Calibri"/>
              </w:rPr>
              <w:t>58</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45A82" w:rsidR="002B4307" w:rsidP="00ED6ABC" w:rsidRDefault="002B4307" w14:paraId="7A70584D" w14:textId="77777777">
            <w:pPr>
              <w:jc w:val="center"/>
              <w:rPr>
                <w:rFonts w:ascii="Calibri" w:hAnsi="Calibri" w:cs="Calibri"/>
              </w:rPr>
            </w:pPr>
            <w:r w:rsidRPr="00F45A82">
              <w:rPr>
                <w:rFonts w:ascii="Calibri" w:hAnsi="Calibri" w:cs="Calibri"/>
              </w:rPr>
              <w:t>57</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45A82" w:rsidR="002B4307" w:rsidP="00ED6ABC" w:rsidRDefault="002B4307" w14:paraId="42F8724A" w14:textId="77777777">
            <w:pPr>
              <w:jc w:val="center"/>
              <w:rPr>
                <w:rFonts w:ascii="Calibri" w:hAnsi="Calibri" w:cs="Calibri"/>
              </w:rPr>
            </w:pPr>
            <w:r w:rsidRPr="00F45A82">
              <w:rPr>
                <w:rFonts w:ascii="Calibri" w:hAnsi="Calibri" w:cs="Calibri"/>
              </w:rPr>
              <w:t>61</w:t>
            </w:r>
          </w:p>
        </w:tc>
        <w:tc>
          <w:tcPr>
            <w:tcW w:w="1120" w:type="dxa"/>
            <w:tcBorders>
              <w:top w:val="nil"/>
              <w:left w:val="nil"/>
              <w:bottom w:val="single" w:color="auto" w:sz="8" w:space="0"/>
              <w:right w:val="single" w:color="auto" w:sz="8" w:space="0"/>
            </w:tcBorders>
            <w:vAlign w:val="bottom"/>
          </w:tcPr>
          <w:p w:rsidRPr="00F45A82" w:rsidR="002B4307" w:rsidP="00ED6ABC" w:rsidRDefault="002B4307" w14:paraId="50456583" w14:textId="77777777">
            <w:pPr>
              <w:jc w:val="center"/>
              <w:rPr>
                <w:rFonts w:ascii="Calibri" w:hAnsi="Calibri" w:cs="Calibri"/>
              </w:rPr>
            </w:pPr>
            <w:r w:rsidRPr="00F45A82">
              <w:rPr>
                <w:rFonts w:ascii="Calibri" w:hAnsi="Calibri" w:cs="Calibri"/>
              </w:rPr>
              <w:t>63</w:t>
            </w:r>
          </w:p>
        </w:tc>
      </w:tr>
    </w:tbl>
    <w:p w:rsidRPr="00F45A82" w:rsidR="002B4307" w:rsidP="002B4307" w:rsidRDefault="002B4307" w14:paraId="64E5ED62" w14:textId="77777777">
      <w:pPr>
        <w:rPr>
          <w:rFonts w:ascii="Calibri" w:hAnsi="Calibri" w:cs="Calibri"/>
        </w:rPr>
      </w:pPr>
      <w:r w:rsidRPr="00F45A82">
        <w:rPr>
          <w:rFonts w:ascii="Calibri" w:hAnsi="Calibri" w:cs="Calibri"/>
        </w:rPr>
        <w:t>Bedragen in € miljoen</w:t>
      </w:r>
    </w:p>
    <w:p w:rsidRPr="00F45A82" w:rsidR="002B4307" w:rsidP="002B4307" w:rsidRDefault="002B4307" w14:paraId="63D0A669" w14:textId="77777777">
      <w:pPr>
        <w:rPr>
          <w:rFonts w:ascii="Calibri" w:hAnsi="Calibri" w:cs="Calibri"/>
        </w:rPr>
      </w:pPr>
      <w:r w:rsidRPr="00F45A82">
        <w:rPr>
          <w:rFonts w:ascii="Calibri" w:hAnsi="Calibri" w:cs="Calibri"/>
          <w:color w:val="FF0000"/>
        </w:rPr>
        <w:br w:type="column"/>
      </w:r>
      <w:r w:rsidRPr="00F45A82">
        <w:rPr>
          <w:rFonts w:ascii="Calibri" w:hAnsi="Calibri" w:cs="Calibri"/>
        </w:rPr>
        <w:lastRenderedPageBreak/>
        <w:t>Toelichting op de 3 uitgewerkte varianten:</w:t>
      </w:r>
    </w:p>
    <w:p w:rsidRPr="00F45A82" w:rsidR="002B4307" w:rsidP="002B4307" w:rsidRDefault="002B4307" w14:paraId="568CF3DE" w14:textId="77777777">
      <w:pPr>
        <w:rPr>
          <w:rFonts w:ascii="Calibri" w:hAnsi="Calibri" w:cs="Calibri"/>
        </w:rPr>
      </w:pPr>
    </w:p>
    <w:p w:rsidRPr="00F45A82" w:rsidR="002B4307" w:rsidP="002B4307" w:rsidRDefault="002B4307" w14:paraId="787470CC" w14:textId="77777777">
      <w:pPr>
        <w:pStyle w:val="Lijstalinea"/>
        <w:numPr>
          <w:ilvl w:val="0"/>
          <w:numId w:val="3"/>
        </w:numPr>
        <w:autoSpaceDN w:val="0"/>
        <w:spacing w:after="0" w:line="320" w:lineRule="exact"/>
        <w:textAlignment w:val="baseline"/>
        <w:rPr>
          <w:rFonts w:ascii="Calibri" w:hAnsi="Calibri" w:cs="Calibri"/>
        </w:rPr>
      </w:pPr>
      <w:r w:rsidRPr="00F45A82">
        <w:rPr>
          <w:rFonts w:ascii="Calibri" w:hAnsi="Calibri" w:cs="Calibri"/>
        </w:rPr>
        <w:t xml:space="preserve">Bij een koppeling o.b.v. 0,7% stijgt het ODA-budget altijd met 0,7% van de stijging van het </w:t>
      </w:r>
      <w:proofErr w:type="spellStart"/>
      <w:r w:rsidRPr="00F45A82">
        <w:rPr>
          <w:rFonts w:ascii="Calibri" w:hAnsi="Calibri" w:cs="Calibri"/>
        </w:rPr>
        <w:t>bni</w:t>
      </w:r>
      <w:proofErr w:type="spellEnd"/>
      <w:r w:rsidRPr="00F45A82">
        <w:rPr>
          <w:rFonts w:ascii="Calibri" w:hAnsi="Calibri" w:cs="Calibri"/>
        </w:rPr>
        <w:t>, onafhankelijk van het ODA-percentage van dat jaar;</w:t>
      </w:r>
    </w:p>
    <w:p w:rsidRPr="00F45A82" w:rsidR="002B4307" w:rsidP="002B4307" w:rsidRDefault="002B4307" w14:paraId="26184A8E" w14:textId="77777777">
      <w:pPr>
        <w:pStyle w:val="Lijstalinea"/>
        <w:numPr>
          <w:ilvl w:val="0"/>
          <w:numId w:val="3"/>
        </w:numPr>
        <w:autoSpaceDN w:val="0"/>
        <w:spacing w:after="0" w:line="320" w:lineRule="exact"/>
        <w:textAlignment w:val="baseline"/>
        <w:rPr>
          <w:rFonts w:ascii="Calibri" w:hAnsi="Calibri" w:cs="Calibri"/>
        </w:rPr>
      </w:pPr>
      <w:r w:rsidRPr="00F45A82">
        <w:rPr>
          <w:rFonts w:ascii="Calibri" w:hAnsi="Calibri" w:cs="Calibri"/>
        </w:rPr>
        <w:t xml:space="preserve">Zonder koppeling blijft het ODA-budget onveranderd bij een stijging van het </w:t>
      </w:r>
      <w:proofErr w:type="spellStart"/>
      <w:r w:rsidRPr="00F45A82">
        <w:rPr>
          <w:rFonts w:ascii="Calibri" w:hAnsi="Calibri" w:cs="Calibri"/>
        </w:rPr>
        <w:t>bni</w:t>
      </w:r>
      <w:proofErr w:type="spellEnd"/>
      <w:r w:rsidRPr="00F45A82">
        <w:rPr>
          <w:rFonts w:ascii="Calibri" w:hAnsi="Calibri" w:cs="Calibri"/>
        </w:rPr>
        <w:t xml:space="preserve">; </w:t>
      </w:r>
    </w:p>
    <w:p w:rsidRPr="00F45A82" w:rsidR="002B4307" w:rsidP="002B4307" w:rsidRDefault="002B4307" w14:paraId="0CF0FA96" w14:textId="77777777">
      <w:pPr>
        <w:pStyle w:val="Lijstalinea"/>
        <w:numPr>
          <w:ilvl w:val="0"/>
          <w:numId w:val="3"/>
        </w:numPr>
        <w:autoSpaceDN w:val="0"/>
        <w:spacing w:after="0" w:line="320" w:lineRule="exact"/>
        <w:textAlignment w:val="baseline"/>
        <w:rPr>
          <w:rFonts w:ascii="Calibri" w:hAnsi="Calibri" w:cs="Calibri"/>
        </w:rPr>
      </w:pPr>
      <w:r w:rsidRPr="00F45A82">
        <w:rPr>
          <w:rFonts w:ascii="Calibri" w:hAnsi="Calibri" w:cs="Calibri"/>
        </w:rPr>
        <w:t xml:space="preserve">Bij een koppeling o.b.v. de voorjaarsbesluitvorming stijgt het ODA-budget met hetzelfde percentage als dat het </w:t>
      </w:r>
      <w:proofErr w:type="spellStart"/>
      <w:r w:rsidRPr="00F45A82">
        <w:rPr>
          <w:rFonts w:ascii="Calibri" w:hAnsi="Calibri" w:cs="Calibri"/>
        </w:rPr>
        <w:t>bni</w:t>
      </w:r>
      <w:proofErr w:type="spellEnd"/>
      <w:r w:rsidRPr="00F45A82">
        <w:rPr>
          <w:rFonts w:ascii="Calibri" w:hAnsi="Calibri" w:cs="Calibri"/>
        </w:rPr>
        <w:t xml:space="preserve"> stijgt. </w:t>
      </w:r>
    </w:p>
    <w:p w:rsidRPr="00F45A82" w:rsidR="002B4307" w:rsidP="002B4307" w:rsidRDefault="002B4307" w14:paraId="13CA0D88" w14:textId="77777777">
      <w:pPr>
        <w:pStyle w:val="Lijstalinea"/>
        <w:spacing w:line="276" w:lineRule="auto"/>
        <w:contextualSpacing w:val="0"/>
        <w:rPr>
          <w:rFonts w:ascii="Calibri" w:hAnsi="Calibri" w:cs="Calibri"/>
        </w:rPr>
      </w:pPr>
    </w:p>
    <w:p w:rsidRPr="00F45A82" w:rsidR="002B4307" w:rsidP="002B4307" w:rsidRDefault="002B4307" w14:paraId="4975E75B" w14:textId="77777777">
      <w:pPr>
        <w:rPr>
          <w:rFonts w:ascii="Calibri" w:hAnsi="Calibri" w:cs="Calibri"/>
        </w:rPr>
      </w:pPr>
      <w:r w:rsidRPr="00F45A82">
        <w:rPr>
          <w:rFonts w:ascii="Calibri" w:hAnsi="Calibri" w:cs="Calibri"/>
        </w:rPr>
        <w:t xml:space="preserve">Uit bovenstaand fictief voorbeeld blijkt dat het ODA-budget in geval van een koppeling zoals in de vorige kabinetten gebruikelijk was, meer stijgt of daalt bij een verandering van de raming van het </w:t>
      </w:r>
      <w:proofErr w:type="spellStart"/>
      <w:r w:rsidRPr="00F45A82">
        <w:rPr>
          <w:rFonts w:ascii="Calibri" w:hAnsi="Calibri" w:cs="Calibri"/>
        </w:rPr>
        <w:t>bni</w:t>
      </w:r>
      <w:proofErr w:type="spellEnd"/>
      <w:r w:rsidRPr="00F45A82">
        <w:rPr>
          <w:rFonts w:ascii="Calibri" w:hAnsi="Calibri" w:cs="Calibri"/>
        </w:rPr>
        <w:t xml:space="preserve"> dan bij de koppeling waartoe het demissionaire kabinet-Schoof besloten heeft in de voorjaarsbesluitvorming.</w:t>
      </w:r>
      <w:r w:rsidRPr="00F45A82">
        <w:rPr>
          <w:rStyle w:val="Voetnootmarkering"/>
          <w:rFonts w:ascii="Calibri" w:hAnsi="Calibri" w:cs="Calibri"/>
        </w:rPr>
        <w:footnoteReference w:id="4"/>
      </w:r>
      <w:r w:rsidRPr="00F45A82">
        <w:rPr>
          <w:rFonts w:ascii="Calibri" w:hAnsi="Calibri" w:cs="Calibri"/>
        </w:rPr>
        <w:t xml:space="preserve"> </w:t>
      </w:r>
    </w:p>
    <w:p w:rsidRPr="00F45A82" w:rsidR="002B4307" w:rsidP="002B4307" w:rsidRDefault="002B4307" w14:paraId="4B397CCD" w14:textId="77777777">
      <w:pPr>
        <w:rPr>
          <w:rFonts w:ascii="Calibri" w:hAnsi="Calibri" w:cs="Calibri"/>
        </w:rPr>
      </w:pPr>
    </w:p>
    <w:p w:rsidRPr="00F45A82" w:rsidR="002B4307" w:rsidP="002B4307" w:rsidRDefault="002B4307" w14:paraId="7775B024" w14:textId="77777777">
      <w:pPr>
        <w:rPr>
          <w:rFonts w:ascii="Calibri" w:hAnsi="Calibri" w:cs="Calibri"/>
        </w:rPr>
      </w:pPr>
      <w:r w:rsidRPr="00F45A82">
        <w:rPr>
          <w:rFonts w:ascii="Calibri" w:hAnsi="Calibri" w:cs="Calibri"/>
        </w:rPr>
        <w:t xml:space="preserve">In tabel 2 zijn we uitgegaan van een fictieve bijstelling van het </w:t>
      </w:r>
      <w:proofErr w:type="spellStart"/>
      <w:r w:rsidRPr="00F45A82">
        <w:rPr>
          <w:rFonts w:ascii="Calibri" w:hAnsi="Calibri" w:cs="Calibri"/>
        </w:rPr>
        <w:t>bni</w:t>
      </w:r>
      <w:proofErr w:type="spellEnd"/>
      <w:r w:rsidRPr="00F45A82">
        <w:rPr>
          <w:rFonts w:ascii="Calibri" w:hAnsi="Calibri" w:cs="Calibri"/>
        </w:rPr>
        <w:t xml:space="preserve"> met +1%. In reactie op vraag 89 (en de vragen 3, 20, 91, 92 en 93) van de Vaste Commissie voor BHO over de Voorjaarsnota 2025 schetst de voormalige minister voor BHO eveneens verschillende scenario’s. Zij geeft aan wat de uitwerking van de verschillende </w:t>
      </w:r>
      <w:proofErr w:type="spellStart"/>
      <w:r w:rsidRPr="00F45A82">
        <w:rPr>
          <w:rFonts w:ascii="Calibri" w:hAnsi="Calibri" w:cs="Calibri"/>
        </w:rPr>
        <w:t>systematieken</w:t>
      </w:r>
      <w:proofErr w:type="spellEnd"/>
      <w:r w:rsidRPr="00F45A82">
        <w:rPr>
          <w:rFonts w:ascii="Calibri" w:hAnsi="Calibri" w:cs="Calibri"/>
        </w:rPr>
        <w:t xml:space="preserve"> betekent voor het werkelijke ODA-budget.</w:t>
      </w:r>
      <w:r w:rsidRPr="00F45A82">
        <w:rPr>
          <w:rStyle w:val="Voetnootmarkering"/>
          <w:rFonts w:ascii="Calibri" w:hAnsi="Calibri" w:cs="Calibri"/>
        </w:rPr>
        <w:footnoteReference w:id="5"/>
      </w:r>
      <w:r w:rsidRPr="00F45A82">
        <w:rPr>
          <w:rFonts w:ascii="Calibri" w:hAnsi="Calibri" w:cs="Calibri"/>
        </w:rPr>
        <w:t xml:space="preserve"> Waar wij in tabel 2 uit zijn gegaan van een fictieve bijstelling van het </w:t>
      </w:r>
      <w:proofErr w:type="spellStart"/>
      <w:r w:rsidRPr="00F45A82">
        <w:rPr>
          <w:rFonts w:ascii="Calibri" w:hAnsi="Calibri" w:cs="Calibri"/>
        </w:rPr>
        <w:t>bni</w:t>
      </w:r>
      <w:proofErr w:type="spellEnd"/>
      <w:r w:rsidRPr="00F45A82">
        <w:rPr>
          <w:rFonts w:ascii="Calibri" w:hAnsi="Calibri" w:cs="Calibri"/>
        </w:rPr>
        <w:t xml:space="preserve"> laat het antwoord op vraag 89 zien wat het effect van de feitelijke bijstelling op het ODA-budget is voor 3 door de minister geschetste scenario’s:</w:t>
      </w:r>
    </w:p>
    <w:p w:rsidRPr="00F45A82" w:rsidR="002B4307" w:rsidP="002B4307" w:rsidRDefault="002B4307" w14:paraId="78F355F4" w14:textId="77777777">
      <w:pPr>
        <w:rPr>
          <w:rFonts w:ascii="Calibri" w:hAnsi="Calibri" w:cs="Calibri"/>
        </w:rPr>
      </w:pPr>
    </w:p>
    <w:p w:rsidRPr="00F45A82" w:rsidR="002B4307" w:rsidP="002B4307" w:rsidRDefault="002B4307" w14:paraId="2A355BAA" w14:textId="77777777">
      <w:pPr>
        <w:pStyle w:val="Lijstalinea"/>
        <w:numPr>
          <w:ilvl w:val="0"/>
          <w:numId w:val="1"/>
        </w:numPr>
        <w:autoSpaceDN w:val="0"/>
        <w:spacing w:after="0" w:line="320" w:lineRule="exact"/>
        <w:textAlignment w:val="baseline"/>
        <w:rPr>
          <w:rFonts w:ascii="Calibri" w:hAnsi="Calibri" w:cs="Calibri"/>
        </w:rPr>
      </w:pPr>
      <w:r w:rsidRPr="00F45A82">
        <w:rPr>
          <w:rFonts w:ascii="Calibri" w:hAnsi="Calibri" w:cs="Calibri"/>
        </w:rPr>
        <w:t xml:space="preserve">Scenario A is conform de besluitvorming van het demissionaire kabinet-Schoof. Dus de nieuwe systematiek, waarbij de actualisatie van het ODA-budget naar aanleiding van de MEV 2025 niet is meegenomen. Dit laatste is conform de besluitvorming van het demissionaire kabinet-Schoof bij de begroting 2025; </w:t>
      </w:r>
    </w:p>
    <w:p w:rsidRPr="00F45A82" w:rsidR="002B4307" w:rsidP="002B4307" w:rsidRDefault="002B4307" w14:paraId="5C0A637F" w14:textId="77777777">
      <w:pPr>
        <w:pStyle w:val="Lijstalinea"/>
        <w:numPr>
          <w:ilvl w:val="0"/>
          <w:numId w:val="1"/>
        </w:numPr>
        <w:autoSpaceDN w:val="0"/>
        <w:spacing w:after="0" w:line="320" w:lineRule="exact"/>
        <w:textAlignment w:val="baseline"/>
        <w:rPr>
          <w:rFonts w:ascii="Calibri" w:hAnsi="Calibri" w:cs="Calibri"/>
        </w:rPr>
      </w:pPr>
      <w:r w:rsidRPr="00F45A82">
        <w:rPr>
          <w:rFonts w:ascii="Calibri" w:hAnsi="Calibri" w:cs="Calibri"/>
        </w:rPr>
        <w:t xml:space="preserve">Scenario B betreft de werkwijze van de vorige kabinetten waarbij ook de aanpassing van de </w:t>
      </w:r>
      <w:proofErr w:type="spellStart"/>
      <w:r w:rsidRPr="00F45A82">
        <w:rPr>
          <w:rFonts w:ascii="Calibri" w:hAnsi="Calibri" w:cs="Calibri"/>
        </w:rPr>
        <w:t>bni</w:t>
      </w:r>
      <w:proofErr w:type="spellEnd"/>
      <w:r w:rsidRPr="00F45A82">
        <w:rPr>
          <w:rFonts w:ascii="Calibri" w:hAnsi="Calibri" w:cs="Calibri"/>
        </w:rPr>
        <w:t xml:space="preserve"> cijfers uit de MEV 2025 zijn meegenomen;</w:t>
      </w:r>
    </w:p>
    <w:p w:rsidRPr="00F45A82" w:rsidR="002B4307" w:rsidP="002B4307" w:rsidRDefault="002B4307" w14:paraId="1597D7B4" w14:textId="77777777">
      <w:pPr>
        <w:pStyle w:val="Lijstalinea"/>
        <w:numPr>
          <w:ilvl w:val="0"/>
          <w:numId w:val="1"/>
        </w:numPr>
        <w:autoSpaceDN w:val="0"/>
        <w:spacing w:after="0" w:line="320" w:lineRule="exact"/>
        <w:textAlignment w:val="baseline"/>
        <w:rPr>
          <w:rFonts w:ascii="Calibri" w:hAnsi="Calibri" w:cs="Calibri"/>
        </w:rPr>
      </w:pPr>
      <w:r w:rsidRPr="00F45A82">
        <w:rPr>
          <w:rFonts w:ascii="Calibri" w:hAnsi="Calibri" w:cs="Calibri"/>
        </w:rPr>
        <w:t xml:space="preserve">Scenario C betreft de werkwijze van de vorige kabinetten, maar waarbij de aanpassing van de </w:t>
      </w:r>
      <w:proofErr w:type="spellStart"/>
      <w:r w:rsidRPr="00F45A82">
        <w:rPr>
          <w:rFonts w:ascii="Calibri" w:hAnsi="Calibri" w:cs="Calibri"/>
        </w:rPr>
        <w:t>bni</w:t>
      </w:r>
      <w:proofErr w:type="spellEnd"/>
      <w:r w:rsidRPr="00F45A82">
        <w:rPr>
          <w:rFonts w:ascii="Calibri" w:hAnsi="Calibri" w:cs="Calibri"/>
        </w:rPr>
        <w:t xml:space="preserve"> cijfers uit de MEV 2025 niet zijn meegenomen.  </w:t>
      </w:r>
    </w:p>
    <w:p w:rsidRPr="00F45A82" w:rsidR="002B4307" w:rsidP="002B4307" w:rsidRDefault="002B4307" w14:paraId="7D3AE2B0" w14:textId="77777777">
      <w:pPr>
        <w:pStyle w:val="Lijstalinea"/>
        <w:rPr>
          <w:rFonts w:ascii="Calibri" w:hAnsi="Calibri" w:cs="Calibri"/>
        </w:rPr>
      </w:pPr>
    </w:p>
    <w:p w:rsidRPr="00F45A82" w:rsidR="002B4307" w:rsidP="002B4307" w:rsidRDefault="002B4307" w14:paraId="57177305" w14:textId="77777777">
      <w:pPr>
        <w:rPr>
          <w:rFonts w:ascii="Calibri" w:hAnsi="Calibri" w:cs="Calibri"/>
        </w:rPr>
      </w:pPr>
      <w:r w:rsidRPr="00F45A82">
        <w:rPr>
          <w:rFonts w:ascii="Calibri" w:hAnsi="Calibri" w:cs="Calibri"/>
        </w:rPr>
        <w:t xml:space="preserve">Door het ODA-budget te koppelen aan de </w:t>
      </w:r>
      <w:proofErr w:type="spellStart"/>
      <w:r w:rsidRPr="00F45A82">
        <w:rPr>
          <w:rFonts w:ascii="Calibri" w:hAnsi="Calibri" w:cs="Calibri"/>
        </w:rPr>
        <w:t>bni</w:t>
      </w:r>
      <w:proofErr w:type="spellEnd"/>
      <w:r w:rsidRPr="00F45A82">
        <w:rPr>
          <w:rFonts w:ascii="Calibri" w:hAnsi="Calibri" w:cs="Calibri"/>
        </w:rPr>
        <w:t xml:space="preserve">-ontwikkeling wordt het ODA-budget automatisch gecompenseerd voor prijsontwikkelingen. Uit het antwoorden op Kamervraag 79 (en ook de antwoorden op de vragen 27 en 28) viel ons op dat het prijseffect als gevolg van de </w:t>
      </w:r>
      <w:proofErr w:type="spellStart"/>
      <w:r w:rsidRPr="00F45A82">
        <w:rPr>
          <w:rFonts w:ascii="Calibri" w:hAnsi="Calibri" w:cs="Calibri"/>
        </w:rPr>
        <w:t>rijksbrede</w:t>
      </w:r>
      <w:proofErr w:type="spellEnd"/>
      <w:r w:rsidRPr="00F45A82">
        <w:rPr>
          <w:rFonts w:ascii="Calibri" w:hAnsi="Calibri" w:cs="Calibri"/>
        </w:rPr>
        <w:t xml:space="preserve"> taakstelling op de prijsbijstellingstrance 2025, </w:t>
      </w:r>
      <w:r w:rsidRPr="00F45A82">
        <w:rPr>
          <w:rFonts w:ascii="Calibri" w:hAnsi="Calibri" w:cs="Calibri"/>
        </w:rPr>
        <w:lastRenderedPageBreak/>
        <w:t>slechts gedeeltelijk gecompenseerd is in het ODA-budget. Door deze bezuinigingsmaatregel is de koppeling dus niet volledig. Als dit vaker gebeurt, heeft dit een negatief effect op de ODA-prestatie. Dit negatieve effect is niet expliciet vermeld in de toelichting op de Voorjaarsnota 2025.</w:t>
      </w:r>
    </w:p>
    <w:p w:rsidRPr="00F45A82" w:rsidR="002B4307" w:rsidP="002B4307" w:rsidRDefault="002B4307" w14:paraId="39A47509" w14:textId="77777777">
      <w:pPr>
        <w:rPr>
          <w:rFonts w:ascii="Calibri" w:hAnsi="Calibri" w:cs="Calibri"/>
        </w:rPr>
      </w:pPr>
    </w:p>
    <w:p w:rsidRPr="00F45A82" w:rsidR="002B4307" w:rsidP="002B4307" w:rsidRDefault="002B4307" w14:paraId="752ABB86" w14:textId="77777777">
      <w:pPr>
        <w:rPr>
          <w:rFonts w:ascii="Calibri" w:hAnsi="Calibri" w:cs="Calibri"/>
        </w:rPr>
      </w:pPr>
      <w:r w:rsidRPr="00F45A82">
        <w:rPr>
          <w:rFonts w:ascii="Calibri" w:hAnsi="Calibri" w:cs="Calibri"/>
        </w:rPr>
        <w:t xml:space="preserve">In het </w:t>
      </w:r>
      <w:r w:rsidRPr="00F45A82">
        <w:rPr>
          <w:rFonts w:ascii="Calibri" w:hAnsi="Calibri" w:cs="Calibri"/>
          <w:i/>
        </w:rPr>
        <w:t xml:space="preserve">Verantwoordingsonderzoek Ministerie voor Buitenlandse Handel en </w:t>
      </w:r>
      <w:proofErr w:type="spellStart"/>
      <w:r w:rsidRPr="00F45A82">
        <w:rPr>
          <w:rFonts w:ascii="Calibri" w:hAnsi="Calibri" w:cs="Calibri"/>
          <w:i/>
        </w:rPr>
        <w:t>Ontwikkelings-samenwerking</w:t>
      </w:r>
      <w:proofErr w:type="spellEnd"/>
      <w:r w:rsidRPr="00F45A82">
        <w:rPr>
          <w:rFonts w:ascii="Calibri" w:hAnsi="Calibri" w:cs="Calibri"/>
          <w:i/>
        </w:rPr>
        <w:t xml:space="preserve"> (XVII), Rapport bij het Jaarverslag 2024</w:t>
      </w:r>
      <w:r w:rsidRPr="00F45A82">
        <w:rPr>
          <w:rFonts w:ascii="Calibri" w:hAnsi="Calibri" w:cs="Calibri"/>
        </w:rPr>
        <w:t xml:space="preserve"> hebben wij expliciet aandacht gevraagd voor het inzichtelijk maken van de effecten van bezuinigingen op ontwikkelingshulp. Dit onderwerp heeft onze belangstelling. </w:t>
      </w:r>
    </w:p>
    <w:p w:rsidRPr="00F45A82" w:rsidR="002B4307" w:rsidP="002B4307" w:rsidRDefault="002B4307" w14:paraId="0368FB0B" w14:textId="77777777">
      <w:pPr>
        <w:rPr>
          <w:rFonts w:ascii="Calibri" w:hAnsi="Calibri" w:cs="Calibri"/>
        </w:rPr>
      </w:pPr>
    </w:p>
    <w:p w:rsidRPr="00F45A82" w:rsidR="002B4307" w:rsidP="002B4307" w:rsidRDefault="002B4307" w14:paraId="6D73961B" w14:textId="77777777">
      <w:pPr>
        <w:rPr>
          <w:rFonts w:ascii="Calibri" w:hAnsi="Calibri" w:cs="Calibri"/>
        </w:rPr>
      </w:pPr>
      <w:r w:rsidRPr="00F45A82">
        <w:rPr>
          <w:rFonts w:ascii="Calibri" w:hAnsi="Calibri" w:cs="Calibri"/>
        </w:rPr>
        <w:t xml:space="preserve">In onze brief met aandachtspunten bij de ontwerpbegroting 2026 BHO die op 23 september 2025 verschijnt, gaan we in op de belangrijkste uitgavenmutaties met een beleidsmatige oorzaak ten opzichte van de laatst vastgestelde stand van de begroting. Dit is de eerste suppletoire begroting naar aanleiding van de Voorjaarsnota 2025.  </w:t>
      </w:r>
    </w:p>
    <w:p w:rsidRPr="00F45A82" w:rsidR="002B4307" w:rsidP="002B4307" w:rsidRDefault="002B4307" w14:paraId="06528418" w14:textId="77777777">
      <w:pPr>
        <w:rPr>
          <w:rFonts w:ascii="Calibri" w:hAnsi="Calibri" w:cs="Calibri"/>
        </w:rPr>
      </w:pPr>
    </w:p>
    <w:p w:rsidRPr="00F45A82" w:rsidR="002B4307" w:rsidP="002B4307" w:rsidRDefault="002B4307" w14:paraId="26A250FB" w14:textId="77777777">
      <w:pPr>
        <w:rPr>
          <w:rFonts w:ascii="Calibri" w:hAnsi="Calibri" w:cs="Calibri"/>
          <w:b/>
        </w:rPr>
      </w:pPr>
      <w:r w:rsidRPr="00F45A82">
        <w:rPr>
          <w:rFonts w:ascii="Calibri" w:hAnsi="Calibri" w:cs="Calibri"/>
          <w:b/>
        </w:rPr>
        <w:t>Reactie Algemene Rekenkamer bij mondelinge vragen van de Tweede Kamer over</w:t>
      </w:r>
      <w:r w:rsidRPr="00F45A82">
        <w:rPr>
          <w:rFonts w:ascii="Calibri" w:hAnsi="Calibri" w:cs="Calibri"/>
        </w:rPr>
        <w:t xml:space="preserve"> </w:t>
      </w:r>
      <w:r w:rsidRPr="00F45A82">
        <w:rPr>
          <w:rFonts w:ascii="Calibri" w:hAnsi="Calibri" w:cs="Calibri"/>
          <w:b/>
        </w:rPr>
        <w:t>de financiële effecten van de lagere kosten voor de eerstejaarsopvang van asielzoekers aan Nederland</w:t>
      </w:r>
    </w:p>
    <w:p w:rsidRPr="00F45A82" w:rsidR="002B4307" w:rsidP="002B4307" w:rsidRDefault="002B4307" w14:paraId="3C0972DE" w14:textId="77777777">
      <w:pPr>
        <w:rPr>
          <w:rFonts w:ascii="Calibri" w:hAnsi="Calibri" w:cs="Calibri"/>
          <w:b/>
        </w:rPr>
      </w:pPr>
    </w:p>
    <w:p w:rsidRPr="00F45A82" w:rsidR="002B4307" w:rsidP="002B4307" w:rsidRDefault="002B4307" w14:paraId="518885A4" w14:textId="77777777">
      <w:pPr>
        <w:rPr>
          <w:rFonts w:ascii="Calibri" w:hAnsi="Calibri" w:cs="Calibri"/>
        </w:rPr>
      </w:pPr>
      <w:r w:rsidRPr="00F45A82">
        <w:rPr>
          <w:rFonts w:ascii="Calibri" w:hAnsi="Calibri" w:cs="Calibri"/>
        </w:rPr>
        <w:t xml:space="preserve">Zoals bekend mogen onder meer de kosten van de eerstejaarsopvang van asielzoekers in Nederland aan het ODA-budget worden toegerekend. Wat overblijft na aftrek van deze toerekeningen is beschikbaar voor uitgaven voor ontwikkelingshulp onder de verantwoordelijkheid van de minister voor BHO. Dit betekent dat sprake is van een directe relatie tussen deze uitgaven en de toerekeningen (communicerende vaten). Deze asieltoerekening fluctueerde in het (recente) verleden sterk. Dit kwam mede doordat de definitieve asieltoerekening vaak behoorlijk afweek van waar in de begroting op was gerekend. Dit hebben wij eerder vastgesteld in ons onderzoek </w:t>
      </w:r>
      <w:r w:rsidRPr="00F45A82">
        <w:rPr>
          <w:rFonts w:ascii="Calibri" w:hAnsi="Calibri" w:cs="Calibri"/>
          <w:i/>
        </w:rPr>
        <w:t>Focus op opvangcapaciteit voor asielzoekers</w:t>
      </w:r>
      <w:r w:rsidRPr="00F45A82">
        <w:rPr>
          <w:rFonts w:ascii="Calibri" w:hAnsi="Calibri" w:cs="Calibri"/>
        </w:rPr>
        <w:t xml:space="preserve"> (2023) waaruit bleek dat de uitgaven aan asielopvang in 23 jaar maar liefst 21 keer te laag waren begroot. </w:t>
      </w:r>
    </w:p>
    <w:p w:rsidRPr="00F45A82" w:rsidR="002B4307" w:rsidP="002B4307" w:rsidRDefault="002B4307" w14:paraId="7D7BB9FE" w14:textId="77777777">
      <w:pPr>
        <w:rPr>
          <w:rFonts w:ascii="Calibri" w:hAnsi="Calibri" w:cs="Calibri"/>
        </w:rPr>
      </w:pPr>
    </w:p>
    <w:p w:rsidRPr="00F45A82" w:rsidR="002B4307" w:rsidP="002B4307" w:rsidRDefault="002B4307" w14:paraId="0E9B482D" w14:textId="77777777">
      <w:pPr>
        <w:rPr>
          <w:rFonts w:ascii="Calibri" w:hAnsi="Calibri" w:cs="Calibri"/>
        </w:rPr>
      </w:pPr>
      <w:r w:rsidRPr="00F45A82">
        <w:rPr>
          <w:rFonts w:ascii="Calibri" w:hAnsi="Calibri" w:cs="Calibri"/>
        </w:rPr>
        <w:t xml:space="preserve">In het </w:t>
      </w:r>
      <w:r w:rsidRPr="00F45A82">
        <w:rPr>
          <w:rFonts w:ascii="Calibri" w:hAnsi="Calibri" w:cs="Calibri"/>
          <w:i/>
        </w:rPr>
        <w:t>Hoofdlijnenakkoord 2024 - 2028</w:t>
      </w:r>
      <w:r w:rsidRPr="00F45A82">
        <w:rPr>
          <w:rFonts w:ascii="Calibri" w:hAnsi="Calibri" w:cs="Calibri"/>
        </w:rPr>
        <w:t xml:space="preserve"> van het demissionaire kabinet-Schoof is afgesproken dat vanaf 2027 aan de kosten van eerstejaarsopvang van asielvluchtelingen een plafond zit die ten laste kunnen worden gebracht aan het ODA-budget. Uitgaven boven de 10% van het totale ODA-budget komen niet meer ten laste van dit budget. Dit om te voorkomen dat door hoge kosten de BHO-begroting wordt uitgehold. Uit de kabinetsreactie op het briefadvies van de Adviesraad Internationale Vraagstukken van 28 </w:t>
      </w:r>
      <w:r w:rsidRPr="00F45A82">
        <w:rPr>
          <w:rFonts w:ascii="Calibri" w:hAnsi="Calibri" w:cs="Calibri"/>
        </w:rPr>
        <w:lastRenderedPageBreak/>
        <w:t xml:space="preserve">mei 2025 blijkt dat eventuele fluctuaties onder de limiet van 10% wel worden opgevangen binnen het ODA-budget.  </w:t>
      </w:r>
    </w:p>
    <w:p w:rsidRPr="00F45A82" w:rsidR="002B4307" w:rsidP="002B4307" w:rsidRDefault="002B4307" w14:paraId="762CA669" w14:textId="77777777">
      <w:pPr>
        <w:rPr>
          <w:rFonts w:ascii="Calibri" w:hAnsi="Calibri" w:cs="Calibri"/>
        </w:rPr>
      </w:pPr>
    </w:p>
    <w:p w:rsidRPr="00F45A82" w:rsidR="002B4307" w:rsidP="002B4307" w:rsidRDefault="002B4307" w14:paraId="29F8EF99" w14:textId="77777777">
      <w:pPr>
        <w:rPr>
          <w:rFonts w:ascii="Calibri" w:hAnsi="Calibri" w:cs="Calibri"/>
        </w:rPr>
      </w:pPr>
      <w:r w:rsidRPr="00F45A82">
        <w:rPr>
          <w:rFonts w:ascii="Calibri" w:hAnsi="Calibri" w:cs="Calibri"/>
        </w:rPr>
        <w:t>In reactie op de vragen 9, 26, 73, 75, 78, 87 en 96 van de Vaste Commissie voor BHO over de Voorjaarsnota 2025 geeft de voormalige minister voor BHO aan op welke wijze de middelen - die vrijkomen als gevolg van de bijstelling van de asielramingen - worden ingezet.</w:t>
      </w:r>
      <w:r w:rsidRPr="00F45A82">
        <w:rPr>
          <w:rStyle w:val="Voetnootmarkering"/>
          <w:rFonts w:ascii="Calibri" w:hAnsi="Calibri" w:cs="Calibri"/>
        </w:rPr>
        <w:footnoteReference w:id="6"/>
      </w:r>
      <w:r w:rsidRPr="00F45A82">
        <w:rPr>
          <w:rFonts w:ascii="Calibri" w:hAnsi="Calibri" w:cs="Calibri"/>
        </w:rPr>
        <w:t xml:space="preserve"> Voor zover wij hebben kunnen nagaan, worden deze middelen ingezet binnen de BHO-begroting. Voor een deel is dat als intensiveringen, bijvoorbeeld ten behoeve van de inzet op handel en economie (€ 10 miljoen) en voor een deel ter dekking van taakstellingen en andere knelpunten. Daarnaast wordt vanaf 2027 jaarlijks een buffer op het ODA verdeelartikel 5.4 van het BHO-begroting aangehouden voor fluctuaties in de hiervoor genoemde ramingen voor de asieluitgaven (tot maximaal 10% van het ODA-budget). Een deel van de vrijkomende middelen voor 2027 en de jaren erna resteert op artikel 5.4. Het gehele budget op dit artikel zal, zo blijkt uit het antwoord op vraag 96, worden gealloceerd aan ODA-activiteiten. Over de inzet van dit budget wordt uw Kamer bij volgende begrotingsmomenten geïnformeerd. Het is aan uw Kamer om de demissionaire minister van BZ hierop te bevragen.  </w:t>
      </w:r>
    </w:p>
    <w:p w:rsidRPr="00F45A82" w:rsidR="002B4307" w:rsidP="002B4307" w:rsidRDefault="002B4307" w14:paraId="4E0C9853" w14:textId="77777777">
      <w:pPr>
        <w:rPr>
          <w:rFonts w:ascii="Calibri" w:hAnsi="Calibri" w:cs="Calibri"/>
        </w:rPr>
      </w:pPr>
    </w:p>
    <w:p w:rsidRPr="00F45A82" w:rsidR="002B4307" w:rsidP="002B4307" w:rsidRDefault="002B4307" w14:paraId="543C7687" w14:textId="77777777">
      <w:pPr>
        <w:rPr>
          <w:rFonts w:ascii="Calibri" w:hAnsi="Calibri" w:cs="Calibri"/>
        </w:rPr>
      </w:pPr>
    </w:p>
    <w:p w:rsidRPr="00F45A82" w:rsidR="002B4307" w:rsidP="002B4307" w:rsidRDefault="002B4307" w14:paraId="2E9BF2BC" w14:textId="77777777">
      <w:pPr>
        <w:rPr>
          <w:rFonts w:ascii="Calibri" w:hAnsi="Calibri" w:cs="Calibri"/>
        </w:rPr>
      </w:pPr>
    </w:p>
    <w:p w:rsidRPr="00F45A82" w:rsidR="00FE0FA3" w:rsidRDefault="00FE0FA3" w14:paraId="2FBBDA09" w14:textId="77777777">
      <w:pPr>
        <w:rPr>
          <w:rFonts w:ascii="Calibri" w:hAnsi="Calibri" w:cs="Calibri"/>
        </w:rPr>
      </w:pPr>
    </w:p>
    <w:sectPr w:rsidRPr="00F45A82" w:rsidR="00FE0FA3" w:rsidSect="009916CC">
      <w:headerReference w:type="even" r:id="rId7"/>
      <w:headerReference w:type="default" r:id="rId8"/>
      <w:footerReference w:type="even" r:id="rId9"/>
      <w:footerReference w:type="default" r:id="rId10"/>
      <w:headerReference w:type="first" r:id="rId11"/>
      <w:footerReference w:type="first" r:id="rId12"/>
      <w:pgSz w:w="11905" w:h="16837"/>
      <w:pgMar w:top="2834" w:right="1133" w:bottom="1530" w:left="283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70D8" w14:textId="77777777" w:rsidR="002B4307" w:rsidRDefault="002B4307" w:rsidP="002B4307">
      <w:pPr>
        <w:spacing w:after="0" w:line="240" w:lineRule="auto"/>
      </w:pPr>
      <w:r>
        <w:separator/>
      </w:r>
    </w:p>
  </w:endnote>
  <w:endnote w:type="continuationSeparator" w:id="0">
    <w:p w14:paraId="5AA8D05F" w14:textId="77777777" w:rsidR="002B4307" w:rsidRDefault="002B4307" w:rsidP="002B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DINKL D+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8EC4" w14:textId="77777777" w:rsidR="002B4307" w:rsidRPr="002B4307" w:rsidRDefault="002B4307" w:rsidP="002B43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2B3F" w14:textId="77777777" w:rsidR="00614466" w:rsidRPr="002B4307" w:rsidRDefault="00614466" w:rsidP="002B43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88A8" w14:textId="77777777" w:rsidR="002B4307" w:rsidRPr="002B4307" w:rsidRDefault="002B4307" w:rsidP="002B43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8C3F" w14:textId="77777777" w:rsidR="002B4307" w:rsidRDefault="002B4307" w:rsidP="002B4307">
      <w:pPr>
        <w:spacing w:after="0" w:line="240" w:lineRule="auto"/>
      </w:pPr>
      <w:r>
        <w:separator/>
      </w:r>
    </w:p>
  </w:footnote>
  <w:footnote w:type="continuationSeparator" w:id="0">
    <w:p w14:paraId="5F311159" w14:textId="77777777" w:rsidR="002B4307" w:rsidRDefault="002B4307" w:rsidP="002B4307">
      <w:pPr>
        <w:spacing w:after="0" w:line="240" w:lineRule="auto"/>
      </w:pPr>
      <w:r>
        <w:continuationSeparator/>
      </w:r>
    </w:p>
  </w:footnote>
  <w:footnote w:id="1">
    <w:p w14:paraId="7C98235E" w14:textId="77777777" w:rsidR="002B4307" w:rsidRPr="00F45A82" w:rsidRDefault="002B4307" w:rsidP="002B4307">
      <w:pPr>
        <w:pStyle w:val="Voetnoottekst"/>
        <w:rPr>
          <w:rFonts w:ascii="Calibri" w:hAnsi="Calibri" w:cs="Calibri"/>
        </w:rPr>
      </w:pPr>
      <w:r w:rsidRPr="00F45A82">
        <w:rPr>
          <w:rStyle w:val="Voetnootmarkering"/>
          <w:rFonts w:ascii="Calibri" w:hAnsi="Calibri" w:cs="Calibri"/>
        </w:rPr>
        <w:footnoteRef/>
      </w:r>
      <w:r w:rsidRPr="00F45A82">
        <w:rPr>
          <w:rFonts w:ascii="Calibri" w:hAnsi="Calibri" w:cs="Calibri"/>
        </w:rPr>
        <w:t xml:space="preserve"> Tweede Kamer, vergaderjaar 2024-2025, 36 725, nr. 1.</w:t>
      </w:r>
    </w:p>
  </w:footnote>
  <w:footnote w:id="2">
    <w:p w14:paraId="7391B97E" w14:textId="77777777" w:rsidR="002B4307" w:rsidRPr="00F45A82" w:rsidRDefault="002B4307" w:rsidP="002B4307">
      <w:pPr>
        <w:pStyle w:val="Voetnoottekst"/>
        <w:rPr>
          <w:rFonts w:ascii="Calibri" w:hAnsi="Calibri" w:cs="Calibri"/>
        </w:rPr>
      </w:pPr>
      <w:r w:rsidRPr="00F45A82">
        <w:rPr>
          <w:rStyle w:val="Voetnootmarkering"/>
          <w:rFonts w:ascii="Calibri" w:hAnsi="Calibri" w:cs="Calibri"/>
        </w:rPr>
        <w:footnoteRef/>
      </w:r>
      <w:r w:rsidRPr="00F45A82">
        <w:rPr>
          <w:rFonts w:ascii="Calibri" w:hAnsi="Calibri" w:cs="Calibri"/>
        </w:rPr>
        <w:t xml:space="preserve"> Ibid.</w:t>
      </w:r>
    </w:p>
  </w:footnote>
  <w:footnote w:id="3">
    <w:p w14:paraId="388609CA" w14:textId="77777777" w:rsidR="002B4307" w:rsidRPr="00F45A82" w:rsidRDefault="002B4307" w:rsidP="002B4307">
      <w:pPr>
        <w:pStyle w:val="Voetnoottekst"/>
        <w:rPr>
          <w:rFonts w:ascii="Calibri" w:hAnsi="Calibri" w:cs="Calibri"/>
        </w:rPr>
      </w:pPr>
      <w:r w:rsidRPr="00F45A82">
        <w:rPr>
          <w:rStyle w:val="Voetnootmarkering"/>
          <w:rFonts w:ascii="Calibri" w:hAnsi="Calibri" w:cs="Calibri"/>
        </w:rPr>
        <w:footnoteRef/>
      </w:r>
      <w:r w:rsidRPr="00F45A82">
        <w:rPr>
          <w:rFonts w:ascii="Calibri" w:hAnsi="Calibri" w:cs="Calibri"/>
        </w:rPr>
        <w:t xml:space="preserve"> Tweede Kamer, vergaderjaar 2024-2025, 36 725 XVII, nr. 3. Lijst van vragen en antwoorden over de Voorjaarsnota 2025.</w:t>
      </w:r>
    </w:p>
  </w:footnote>
  <w:footnote w:id="4">
    <w:p w14:paraId="09325D55" w14:textId="77777777" w:rsidR="002B4307" w:rsidRPr="00F45A82" w:rsidRDefault="002B4307" w:rsidP="002B4307">
      <w:pPr>
        <w:pStyle w:val="Voetnoottekst"/>
        <w:rPr>
          <w:rFonts w:ascii="Calibri" w:hAnsi="Calibri" w:cs="Calibri"/>
        </w:rPr>
      </w:pPr>
      <w:r w:rsidRPr="00F45A82">
        <w:rPr>
          <w:rStyle w:val="Voetnootmarkering"/>
          <w:rFonts w:ascii="Calibri" w:hAnsi="Calibri" w:cs="Calibri"/>
        </w:rPr>
        <w:footnoteRef/>
      </w:r>
      <w:r w:rsidRPr="00F45A82">
        <w:rPr>
          <w:rFonts w:ascii="Calibri" w:hAnsi="Calibri" w:cs="Calibri"/>
        </w:rPr>
        <w:t xml:space="preserve"> Tweede Kamer, vergaderjaar 2024-2025, 36 725, nr. 1.</w:t>
      </w:r>
    </w:p>
  </w:footnote>
  <w:footnote w:id="5">
    <w:p w14:paraId="6C333C46" w14:textId="77777777" w:rsidR="002B4307" w:rsidRPr="00F45A82" w:rsidRDefault="002B4307" w:rsidP="002B4307">
      <w:pPr>
        <w:pStyle w:val="Voetnoottekst"/>
        <w:rPr>
          <w:rFonts w:ascii="Calibri" w:hAnsi="Calibri" w:cs="Calibri"/>
        </w:rPr>
      </w:pPr>
      <w:r w:rsidRPr="00F45A82">
        <w:rPr>
          <w:rStyle w:val="Voetnootmarkering"/>
          <w:rFonts w:ascii="Calibri" w:hAnsi="Calibri" w:cs="Calibri"/>
        </w:rPr>
        <w:footnoteRef/>
      </w:r>
      <w:r w:rsidRPr="00F45A82">
        <w:rPr>
          <w:rFonts w:ascii="Calibri" w:hAnsi="Calibri" w:cs="Calibri"/>
        </w:rPr>
        <w:t xml:space="preserve"> Ibid. </w:t>
      </w:r>
    </w:p>
  </w:footnote>
  <w:footnote w:id="6">
    <w:p w14:paraId="049C44B1" w14:textId="77777777" w:rsidR="002B4307" w:rsidRPr="00F45A82" w:rsidRDefault="002B4307" w:rsidP="002B4307">
      <w:pPr>
        <w:pStyle w:val="Voetnoottekst"/>
        <w:rPr>
          <w:rFonts w:ascii="Calibri" w:hAnsi="Calibri" w:cs="Calibri"/>
        </w:rPr>
      </w:pPr>
      <w:r w:rsidRPr="00F45A82">
        <w:rPr>
          <w:rStyle w:val="Voetnootmarkering"/>
          <w:rFonts w:ascii="Calibri" w:hAnsi="Calibri" w:cs="Calibri"/>
        </w:rPr>
        <w:footnoteRef/>
      </w:r>
      <w:r w:rsidRPr="00F45A82">
        <w:rPr>
          <w:rFonts w:ascii="Calibri" w:hAnsi="Calibri" w:cs="Calibri"/>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7930" w14:textId="77777777" w:rsidR="002B4307" w:rsidRPr="002B4307" w:rsidRDefault="002B4307" w:rsidP="002B43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0296" w14:textId="77777777" w:rsidR="00614466" w:rsidRPr="002B4307" w:rsidRDefault="00614466" w:rsidP="002B43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DFF5" w14:textId="77777777" w:rsidR="00614466" w:rsidRPr="002B4307" w:rsidRDefault="00614466" w:rsidP="002B43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B7E"/>
    <w:multiLevelType w:val="hybridMultilevel"/>
    <w:tmpl w:val="4264870A"/>
    <w:lvl w:ilvl="0" w:tplc="5192C4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8E03D9"/>
    <w:multiLevelType w:val="hybridMultilevel"/>
    <w:tmpl w:val="9E8255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E7E5CC5"/>
    <w:multiLevelType w:val="hybridMultilevel"/>
    <w:tmpl w:val="C92E5E1E"/>
    <w:lvl w:ilvl="0" w:tplc="5192C49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68046768">
    <w:abstractNumId w:val="2"/>
  </w:num>
  <w:num w:numId="2" w16cid:durableId="1076781216">
    <w:abstractNumId w:val="1"/>
  </w:num>
  <w:num w:numId="3" w16cid:durableId="167668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07"/>
    <w:rsid w:val="002B4307"/>
    <w:rsid w:val="002E3E61"/>
    <w:rsid w:val="00310955"/>
    <w:rsid w:val="00594258"/>
    <w:rsid w:val="009916CC"/>
    <w:rsid w:val="00A4510D"/>
    <w:rsid w:val="00C504D2"/>
    <w:rsid w:val="00D77D5C"/>
    <w:rsid w:val="00DB2F02"/>
    <w:rsid w:val="00DE2A3D"/>
    <w:rsid w:val="00EC7131"/>
    <w:rsid w:val="00F45A82"/>
    <w:rsid w:val="00FE0FA3"/>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4CF7"/>
  <w15:chartTrackingRefBased/>
  <w15:docId w15:val="{B2F21193-5D74-4B62-AB41-ACB4F15F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43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43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43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43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43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43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43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43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43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43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43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43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43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43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43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4307"/>
    <w:rPr>
      <w:rFonts w:eastAsiaTheme="majorEastAsia" w:cstheme="majorBidi"/>
      <w:color w:val="272727" w:themeColor="text1" w:themeTint="D8"/>
    </w:rPr>
  </w:style>
  <w:style w:type="paragraph" w:styleId="Titel">
    <w:name w:val="Title"/>
    <w:basedOn w:val="Standaard"/>
    <w:next w:val="Standaard"/>
    <w:link w:val="TitelChar"/>
    <w:uiPriority w:val="10"/>
    <w:qFormat/>
    <w:rsid w:val="002B4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43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43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43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43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4307"/>
    <w:rPr>
      <w:i/>
      <w:iCs/>
      <w:color w:val="404040" w:themeColor="text1" w:themeTint="BF"/>
    </w:rPr>
  </w:style>
  <w:style w:type="paragraph" w:styleId="Lijstalinea">
    <w:name w:val="List Paragraph"/>
    <w:basedOn w:val="Standaard"/>
    <w:uiPriority w:val="34"/>
    <w:qFormat/>
    <w:rsid w:val="002B4307"/>
    <w:pPr>
      <w:ind w:left="720"/>
      <w:contextualSpacing/>
    </w:pPr>
  </w:style>
  <w:style w:type="character" w:styleId="Intensievebenadrukking">
    <w:name w:val="Intense Emphasis"/>
    <w:basedOn w:val="Standaardalinea-lettertype"/>
    <w:uiPriority w:val="21"/>
    <w:qFormat/>
    <w:rsid w:val="002B4307"/>
    <w:rPr>
      <w:i/>
      <w:iCs/>
      <w:color w:val="0F4761" w:themeColor="accent1" w:themeShade="BF"/>
    </w:rPr>
  </w:style>
  <w:style w:type="paragraph" w:styleId="Duidelijkcitaat">
    <w:name w:val="Intense Quote"/>
    <w:basedOn w:val="Standaard"/>
    <w:next w:val="Standaard"/>
    <w:link w:val="DuidelijkcitaatChar"/>
    <w:uiPriority w:val="30"/>
    <w:qFormat/>
    <w:rsid w:val="002B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4307"/>
    <w:rPr>
      <w:i/>
      <w:iCs/>
      <w:color w:val="0F4761" w:themeColor="accent1" w:themeShade="BF"/>
    </w:rPr>
  </w:style>
  <w:style w:type="character" w:styleId="Intensieveverwijzing">
    <w:name w:val="Intense Reference"/>
    <w:basedOn w:val="Standaardalinea-lettertype"/>
    <w:uiPriority w:val="32"/>
    <w:qFormat/>
    <w:rsid w:val="002B430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B4307"/>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B4307"/>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B4307"/>
    <w:rPr>
      <w:vertAlign w:val="superscript"/>
    </w:rPr>
  </w:style>
  <w:style w:type="table" w:styleId="Tabelraster">
    <w:name w:val="Table Grid"/>
    <w:basedOn w:val="Standaardtabel"/>
    <w:uiPriority w:val="39"/>
    <w:rsid w:val="002B4307"/>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B43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4307"/>
  </w:style>
  <w:style w:type="paragraph" w:styleId="Voettekst">
    <w:name w:val="footer"/>
    <w:basedOn w:val="Standaard"/>
    <w:link w:val="VoettekstChar"/>
    <w:uiPriority w:val="99"/>
    <w:unhideWhenUsed/>
    <w:rsid w:val="002B43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4307"/>
  </w:style>
  <w:style w:type="paragraph" w:customStyle="1" w:styleId="Default">
    <w:name w:val="Default"/>
    <w:rsid w:val="00D77D5C"/>
    <w:pPr>
      <w:autoSpaceDE w:val="0"/>
      <w:autoSpaceDN w:val="0"/>
      <w:adjustRightInd w:val="0"/>
      <w:spacing w:after="0" w:line="240" w:lineRule="auto"/>
    </w:pPr>
    <w:rPr>
      <w:rFonts w:ascii="DINKL D+ Univers" w:hAnsi="DINKL D+ Univers" w:cs="DINKL D+ Univer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1627</ap:Words>
  <ap:Characters>8953</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2025-06-23T08:54:00.0000000Z</dcterms:created>
  <dcterms:modified xsi:type="dcterms:W3CDTF">2025-06-23T08:54:00.0000000Z</dcterms:modified>
  <version/>
  <category/>
</coreProperties>
</file>