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4DCB7A" w14:textId="77777777">
        <w:tc>
          <w:tcPr>
            <w:tcW w:w="6379" w:type="dxa"/>
            <w:gridSpan w:val="2"/>
            <w:tcBorders>
              <w:top w:val="nil"/>
              <w:left w:val="nil"/>
              <w:bottom w:val="nil"/>
              <w:right w:val="nil"/>
            </w:tcBorders>
            <w:vAlign w:val="center"/>
          </w:tcPr>
          <w:p w:rsidR="004330ED" w:rsidP="00EA1CE4" w:rsidRDefault="004330ED" w14:paraId="2B8D6B9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6492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B64063" w14:textId="77777777">
        <w:trPr>
          <w:cantSplit/>
        </w:trPr>
        <w:tc>
          <w:tcPr>
            <w:tcW w:w="10348" w:type="dxa"/>
            <w:gridSpan w:val="3"/>
            <w:tcBorders>
              <w:top w:val="single" w:color="auto" w:sz="4" w:space="0"/>
              <w:left w:val="nil"/>
              <w:bottom w:val="nil"/>
              <w:right w:val="nil"/>
            </w:tcBorders>
          </w:tcPr>
          <w:p w:rsidR="004330ED" w:rsidP="004A1E29" w:rsidRDefault="004330ED" w14:paraId="1F83B4A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6190F5" w14:textId="77777777">
        <w:trPr>
          <w:cantSplit/>
        </w:trPr>
        <w:tc>
          <w:tcPr>
            <w:tcW w:w="10348" w:type="dxa"/>
            <w:gridSpan w:val="3"/>
            <w:tcBorders>
              <w:top w:val="nil"/>
              <w:left w:val="nil"/>
              <w:bottom w:val="nil"/>
              <w:right w:val="nil"/>
            </w:tcBorders>
          </w:tcPr>
          <w:p w:rsidR="004330ED" w:rsidP="00BF623B" w:rsidRDefault="004330ED" w14:paraId="5CD0E803" w14:textId="77777777">
            <w:pPr>
              <w:pStyle w:val="Amendement"/>
              <w:tabs>
                <w:tab w:val="clear" w:pos="3310"/>
                <w:tab w:val="clear" w:pos="3600"/>
              </w:tabs>
              <w:rPr>
                <w:rFonts w:ascii="Times New Roman" w:hAnsi="Times New Roman"/>
                <w:b w:val="0"/>
              </w:rPr>
            </w:pPr>
          </w:p>
        </w:tc>
      </w:tr>
      <w:tr w:rsidR="004330ED" w:rsidTr="00EA1CE4" w14:paraId="59644589" w14:textId="77777777">
        <w:trPr>
          <w:cantSplit/>
        </w:trPr>
        <w:tc>
          <w:tcPr>
            <w:tcW w:w="10348" w:type="dxa"/>
            <w:gridSpan w:val="3"/>
            <w:tcBorders>
              <w:top w:val="nil"/>
              <w:left w:val="nil"/>
              <w:bottom w:val="single" w:color="auto" w:sz="4" w:space="0"/>
              <w:right w:val="nil"/>
            </w:tcBorders>
          </w:tcPr>
          <w:p w:rsidR="004330ED" w:rsidP="00BF623B" w:rsidRDefault="004330ED" w14:paraId="1B02E6FD" w14:textId="77777777">
            <w:pPr>
              <w:pStyle w:val="Amendement"/>
              <w:tabs>
                <w:tab w:val="clear" w:pos="3310"/>
                <w:tab w:val="clear" w:pos="3600"/>
              </w:tabs>
              <w:rPr>
                <w:rFonts w:ascii="Times New Roman" w:hAnsi="Times New Roman"/>
              </w:rPr>
            </w:pPr>
          </w:p>
        </w:tc>
      </w:tr>
      <w:tr w:rsidR="004330ED" w:rsidTr="00EA1CE4" w14:paraId="3CA9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6CC79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5E1073" w14:textId="77777777">
            <w:pPr>
              <w:suppressAutoHyphens/>
              <w:ind w:left="-70"/>
              <w:rPr>
                <w:b/>
              </w:rPr>
            </w:pPr>
          </w:p>
        </w:tc>
      </w:tr>
      <w:tr w:rsidR="003C21AC" w:rsidTr="00EA1CE4" w14:paraId="0A2D4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1884" w14:paraId="57BBEB0B" w14:textId="575CA84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961884" w:rsidR="003C21AC" w:rsidP="00961884" w:rsidRDefault="00961884" w14:paraId="5F34DDC9" w14:textId="12DA6C34">
            <w:pPr>
              <w:rPr>
                <w:b/>
                <w:bCs/>
              </w:rPr>
            </w:pPr>
            <w:r w:rsidRPr="009618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91A8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ABB6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8262F2" w14:textId="77777777">
            <w:pPr>
              <w:pStyle w:val="Amendement"/>
              <w:tabs>
                <w:tab w:val="clear" w:pos="3310"/>
                <w:tab w:val="clear" w:pos="3600"/>
              </w:tabs>
              <w:ind w:left="-70"/>
              <w:rPr>
                <w:rFonts w:ascii="Times New Roman" w:hAnsi="Times New Roman"/>
              </w:rPr>
            </w:pPr>
          </w:p>
        </w:tc>
      </w:tr>
      <w:tr w:rsidR="003C21AC" w:rsidTr="00EA1CE4" w14:paraId="102F0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CFC06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628FA" w14:textId="77777777">
            <w:pPr>
              <w:pStyle w:val="Amendement"/>
              <w:tabs>
                <w:tab w:val="clear" w:pos="3310"/>
                <w:tab w:val="clear" w:pos="3600"/>
              </w:tabs>
              <w:ind w:left="-70"/>
              <w:rPr>
                <w:rFonts w:ascii="Times New Roman" w:hAnsi="Times New Roman"/>
              </w:rPr>
            </w:pPr>
          </w:p>
        </w:tc>
      </w:tr>
      <w:tr w:rsidR="003C21AC" w:rsidTr="00EA1CE4" w14:paraId="19A5C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7A0E7FD" w14:textId="429C130A">
            <w:pPr>
              <w:pStyle w:val="Amendement"/>
              <w:tabs>
                <w:tab w:val="clear" w:pos="3310"/>
                <w:tab w:val="clear" w:pos="3600"/>
              </w:tabs>
              <w:rPr>
                <w:rFonts w:ascii="Times New Roman" w:hAnsi="Times New Roman"/>
              </w:rPr>
            </w:pPr>
            <w:r w:rsidRPr="00C035D4">
              <w:rPr>
                <w:rFonts w:ascii="Times New Roman" w:hAnsi="Times New Roman"/>
              </w:rPr>
              <w:t xml:space="preserve">Nr. </w:t>
            </w:r>
            <w:r w:rsidR="000C7452">
              <w:rPr>
                <w:rFonts w:ascii="Times New Roman" w:hAnsi="Times New Roman"/>
                <w:caps/>
              </w:rPr>
              <w:t>34</w:t>
            </w:r>
          </w:p>
        </w:tc>
        <w:tc>
          <w:tcPr>
            <w:tcW w:w="7371" w:type="dxa"/>
            <w:gridSpan w:val="2"/>
          </w:tcPr>
          <w:p w:rsidRPr="00C035D4" w:rsidR="003C21AC" w:rsidP="006E0971" w:rsidRDefault="003C21AC" w14:paraId="72F0C440" w14:textId="1145CE6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6714">
              <w:rPr>
                <w:rFonts w:ascii="Times New Roman" w:hAnsi="Times New Roman"/>
                <w:caps/>
              </w:rPr>
              <w:t>flach</w:t>
            </w:r>
            <w:r w:rsidR="00A91AFE">
              <w:rPr>
                <w:rFonts w:ascii="Times New Roman" w:hAnsi="Times New Roman"/>
                <w:caps/>
              </w:rPr>
              <w:t xml:space="preserve"> ter vervanging van dat gedrukt onder nr. 22</w:t>
            </w:r>
            <w:r w:rsidR="00A91AFE">
              <w:rPr>
                <w:rStyle w:val="Voetnootmarkering"/>
                <w:rFonts w:ascii="Times New Roman" w:hAnsi="Times New Roman"/>
                <w:caps/>
              </w:rPr>
              <w:footnoteReference w:id="1"/>
            </w:r>
          </w:p>
        </w:tc>
      </w:tr>
      <w:tr w:rsidR="003C21AC" w:rsidTr="00EA1CE4" w14:paraId="6852B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07F81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4332" w14:textId="5FBF43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6970">
              <w:rPr>
                <w:rFonts w:ascii="Times New Roman" w:hAnsi="Times New Roman"/>
                <w:b w:val="0"/>
              </w:rPr>
              <w:t>19 juni 2025</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Pr="004B5B90" w:rsidR="00830081">
              <w:rPr>
                <w:rFonts w:ascii="Times New Roman" w:hAnsi="Times New Roman"/>
                <w:b w:val="0"/>
              </w:rPr>
              <w:fldChar w:fldCharType="end"/>
            </w:r>
          </w:p>
        </w:tc>
      </w:tr>
      <w:tr w:rsidR="00B01BA6" w:rsidTr="00EA1CE4" w14:paraId="12BE6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35BD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0E282" w14:textId="77777777">
            <w:pPr>
              <w:pStyle w:val="Amendement"/>
              <w:tabs>
                <w:tab w:val="clear" w:pos="3310"/>
                <w:tab w:val="clear" w:pos="3600"/>
              </w:tabs>
              <w:ind w:left="-70"/>
              <w:rPr>
                <w:rFonts w:ascii="Times New Roman" w:hAnsi="Times New Roman"/>
                <w:b w:val="0"/>
              </w:rPr>
            </w:pPr>
          </w:p>
        </w:tc>
      </w:tr>
      <w:tr w:rsidRPr="00EA69AC" w:rsidR="00B01BA6" w:rsidTr="00EA1CE4" w14:paraId="36D9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F46527" w14:textId="77777777">
            <w:pPr>
              <w:ind w:firstLine="284"/>
            </w:pPr>
            <w:r w:rsidRPr="00EA69AC">
              <w:t>De ondergetekende stelt het volgende amendement voor:</w:t>
            </w:r>
          </w:p>
        </w:tc>
      </w:tr>
    </w:tbl>
    <w:p w:rsidR="00EA1CE4" w:rsidP="00EA1CE4" w:rsidRDefault="00EA1CE4" w14:paraId="60BB5BD1" w14:textId="77777777"/>
    <w:p w:rsidR="00556714" w:rsidP="00EA1CE4" w:rsidRDefault="00556714" w14:paraId="3F550F55" w14:textId="3D39F6B0">
      <w:r>
        <w:t>I</w:t>
      </w:r>
    </w:p>
    <w:p w:rsidR="00556714" w:rsidP="00EA1CE4" w:rsidRDefault="00556714" w14:paraId="33706E6A" w14:textId="77777777"/>
    <w:p w:rsidR="00556714" w:rsidP="00EA1CE4" w:rsidRDefault="00556714" w14:paraId="2A93842F" w14:textId="4923050F">
      <w:r>
        <w:tab/>
        <w:t xml:space="preserve">In artikel III, onderdeel B, wordt in het voorgestelde artikel 2.33, tweede lid, onderdeel e, </w:t>
      </w:r>
      <w:r w:rsidR="004D3F6D">
        <w:t>voor</w:t>
      </w:r>
      <w:r w:rsidR="00FB5BD1">
        <w:t xml:space="preserve"> “als dat</w:t>
      </w:r>
      <w:r w:rsidR="004D3F6D">
        <w:t xml:space="preserve"> nodig is</w:t>
      </w:r>
      <w:r w:rsidR="00FB5BD1">
        <w:t>” ingevoegd “</w:t>
      </w:r>
      <w:r w:rsidRPr="004D3F6D" w:rsidR="004D3F6D">
        <w:t>na op overeenstemming gericht overleg, als dat deugdelijk gemotiveerd wordt gedaan en</w:t>
      </w:r>
      <w:r w:rsidR="00FB5BD1">
        <w:t>”.</w:t>
      </w:r>
    </w:p>
    <w:p w:rsidR="004D3F6D" w:rsidP="00EA1CE4" w:rsidRDefault="004D3F6D" w14:paraId="37E51AD4" w14:textId="77777777"/>
    <w:p w:rsidR="00FB5BD1" w:rsidP="00EA1CE4" w:rsidRDefault="00FB5BD1" w14:paraId="2C06F586" w14:textId="5447A697">
      <w:r>
        <w:t>II</w:t>
      </w:r>
    </w:p>
    <w:p w:rsidR="00FB5BD1" w:rsidP="00EA1CE4" w:rsidRDefault="00FB5BD1" w14:paraId="2618D04C" w14:textId="77777777"/>
    <w:p w:rsidR="00FB5BD1" w:rsidP="00FB5BD1" w:rsidRDefault="00FB5BD1" w14:paraId="3000B5F5" w14:textId="449CCA6A">
      <w:r>
        <w:tab/>
        <w:t xml:space="preserve">In artikel III, onderdeel C, wordt in de </w:t>
      </w:r>
      <w:r w:rsidR="00586F5A">
        <w:t xml:space="preserve">in </w:t>
      </w:r>
      <w:r>
        <w:t>artikel 2.34, tweede lid,</w:t>
      </w:r>
      <w:r w:rsidR="00586F5A">
        <w:t xml:space="preserve"> voorgestelde</w:t>
      </w:r>
      <w:r>
        <w:t xml:space="preserve"> onderdelen f, g en h, steeds </w:t>
      </w:r>
      <w:r w:rsidR="004D3F6D">
        <w:t>voor “als dat nodig is” ingevoegd “</w:t>
      </w:r>
      <w:r w:rsidRPr="004D3F6D" w:rsidR="004D3F6D">
        <w:t>na op overeenstemming gericht overleg, als dat deugdelijk gemotiveerd wordt gedaan en</w:t>
      </w:r>
      <w:r w:rsidR="004D3F6D">
        <w:t>”.</w:t>
      </w:r>
    </w:p>
    <w:p w:rsidR="00556714" w:rsidP="00EA1CE4" w:rsidRDefault="00FB5BD1" w14:paraId="73E7C71C" w14:textId="0DD942C4">
      <w:r>
        <w:t xml:space="preserve"> </w:t>
      </w:r>
    </w:p>
    <w:p w:rsidRPr="00EA69AC" w:rsidR="003C21AC" w:rsidP="00EA1CE4" w:rsidRDefault="003C21AC" w14:paraId="0EBE51B2" w14:textId="77777777">
      <w:pPr>
        <w:rPr>
          <w:b/>
        </w:rPr>
      </w:pPr>
      <w:r w:rsidRPr="00EA69AC">
        <w:rPr>
          <w:b/>
        </w:rPr>
        <w:t>Toelichting</w:t>
      </w:r>
    </w:p>
    <w:p w:rsidRPr="00EA69AC" w:rsidR="003C21AC" w:rsidP="00BF623B" w:rsidRDefault="003C21AC" w14:paraId="3650DB4D" w14:textId="77777777"/>
    <w:p w:rsidRPr="00556714" w:rsidR="00556714" w:rsidP="00556714" w:rsidRDefault="00556714" w14:paraId="7D7DF832" w14:textId="4E6A9819">
      <w:r w:rsidRPr="00556714">
        <w:t>De Wet versterking regie volkshuisvesting biedt het Rijk en de Provincies de mogelijkheid om instructies te geven aan gemeenten over het volkshuisvestingsprogramma. Concreet gaat het dan om de mogelijkheden die de voorgestelde artikelen 2.33 lid 2 sub a en 2.34 lid 2 sub f, g, en h bieden.</w:t>
      </w:r>
    </w:p>
    <w:p w:rsidR="00556714" w:rsidP="00556714" w:rsidRDefault="00556714" w14:paraId="23BFBBEC" w14:textId="77777777"/>
    <w:p w:rsidRPr="00556714" w:rsidR="00556714" w:rsidP="00556714" w:rsidRDefault="00556714" w14:paraId="64A781FC" w14:textId="6A59C9E0">
      <w:r w:rsidRPr="00556714">
        <w:t>In de Memorie van Toelichting wordt aangegeven dat ‘met instructieregels en instructies kan worden gezorgd voor een effectieve juridisch bindende doorwerking van beleid naar decentrale overheden.’ Ook wordt benoemd dat ‘met een instructie heel specifieke opdrachten [kunnen] worden gegeven aan een individuele gemeente.’ De instructies kunnen dus vergaand voorschrijven wat gemeenten in hun lokale volkshuisvestingsprogramma moeten opnemen.</w:t>
      </w:r>
    </w:p>
    <w:p w:rsidR="00556714" w:rsidP="00556714" w:rsidRDefault="00556714" w14:paraId="41E64693" w14:textId="77777777"/>
    <w:p w:rsidRPr="00556714" w:rsidR="00556714" w:rsidP="00556714" w:rsidRDefault="00556714" w14:paraId="09328913" w14:textId="21A53D27">
      <w:r w:rsidRPr="00556714">
        <w:t>De indiener begrijpt het doel van de instructies met het oog op het verstevigen van de regierol van het Rijk. Daarvoor is het soms nodig om, met het oog op een evenwichtige samenstelling van de woningvoorraad, instructies te geven. Tegelijk acht de indiener het wenselijk dat de positie van gemeenten niet onnodig ondermijnd wordt. Met dit amendement wordt beoogd de positie van gemeenten te borgen, indien er overgegaan wordt tot het geven van instructies gericht op gemeentelijke volkshuisvestingprogramma’s.</w:t>
      </w:r>
    </w:p>
    <w:p w:rsidR="00556714" w:rsidP="00556714" w:rsidRDefault="00556714" w14:paraId="1C1900EA" w14:textId="77777777"/>
    <w:p w:rsidRPr="00556714" w:rsidR="00556714" w:rsidP="00556714" w:rsidRDefault="00556714" w14:paraId="72C16049" w14:textId="7155A0C5">
      <w:r w:rsidRPr="00556714">
        <w:t xml:space="preserve">Concreet wordt met dit amendement formeel geregeld dat de instructies gepaard moeten gaan met een </w:t>
      </w:r>
      <w:r w:rsidRPr="00556714">
        <w:lastRenderedPageBreak/>
        <w:t xml:space="preserve">deugdelijke motivering vanuit het Rijk dan wel de Provincie. Daarnaast wordt de eis gesteld dat, voordat een instructie gegeven wordt, er een op overeenstemming gericht overleg moet zijn geweest tussen de gemeente waar de instructie aan gericht is en het Rijk dan wel de Provincie. </w:t>
      </w:r>
    </w:p>
    <w:p w:rsidRPr="00556714" w:rsidR="00556714" w:rsidP="00556714" w:rsidRDefault="00556714" w14:paraId="7F97CE2C" w14:textId="7D05A5FD">
      <w:r w:rsidRPr="00556714">
        <w:t>In artikelen 2.33 en 2.34 Omgevingswet wordt reeds aangegeven dat bij het geven van instructie de grenzen van artikel 2.3 Omgevingswet in acht genomen moeten worden. Daarin wordt echter niet gesproken over een deugdelijke motivering en is ook niet formeel vastgesteld dat er vooraf overleg moet zijn gevoerd.</w:t>
      </w:r>
    </w:p>
    <w:p w:rsidR="00556714" w:rsidP="00556714" w:rsidRDefault="00556714" w14:paraId="1B404C09" w14:textId="77777777"/>
    <w:p w:rsidRPr="00556714" w:rsidR="00556714" w:rsidP="00556714" w:rsidRDefault="00556714" w14:paraId="7DCD5F59" w14:textId="7C7A2309">
      <w:r w:rsidRPr="00556714">
        <w:t>In de praktijk zal het veelal voorkomen dat voorafgaand aan een instructie reeds overleg is gevoerd en dat de instructie gemotiveerd wordt. Met dit amendement wordt deze werkwijze formeel vastgelegd en worden deze twee vereisten voortaan wettelijk verplicht. Daardoor wordt de gemeentelijke betrokkenheid beter geborgd en hun positie verstevigd.</w:t>
      </w:r>
    </w:p>
    <w:p w:rsidR="00556714" w:rsidP="00556714" w:rsidRDefault="00556714" w14:paraId="3C16A17D" w14:textId="77777777"/>
    <w:p w:rsidRPr="00556714" w:rsidR="00556714" w:rsidP="00556714" w:rsidRDefault="00556714" w14:paraId="4ACFD2CA" w14:textId="48889DB2">
      <w:r w:rsidRPr="00556714">
        <w:t>Flach</w:t>
      </w:r>
    </w:p>
    <w:p w:rsidRPr="00EA69AC" w:rsidR="00B4708A" w:rsidP="00556714" w:rsidRDefault="00B4708A" w14:paraId="3A0893A0" w14:textId="7C9F11E2"/>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02F0" w14:textId="77777777" w:rsidR="003531EA" w:rsidRDefault="003531EA">
      <w:pPr>
        <w:spacing w:line="20" w:lineRule="exact"/>
      </w:pPr>
    </w:p>
  </w:endnote>
  <w:endnote w:type="continuationSeparator" w:id="0">
    <w:p w14:paraId="100FFCF6" w14:textId="77777777" w:rsidR="003531EA" w:rsidRDefault="003531EA">
      <w:pPr>
        <w:pStyle w:val="Amendement"/>
      </w:pPr>
      <w:r>
        <w:rPr>
          <w:b w:val="0"/>
        </w:rPr>
        <w:t xml:space="preserve"> </w:t>
      </w:r>
    </w:p>
  </w:endnote>
  <w:endnote w:type="continuationNotice" w:id="1">
    <w:p w14:paraId="46F62752" w14:textId="77777777" w:rsidR="003531EA" w:rsidRDefault="003531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1E28" w14:textId="77777777" w:rsidR="003531EA" w:rsidRDefault="003531EA">
      <w:pPr>
        <w:pStyle w:val="Amendement"/>
      </w:pPr>
      <w:r>
        <w:rPr>
          <w:b w:val="0"/>
        </w:rPr>
        <w:separator/>
      </w:r>
    </w:p>
  </w:footnote>
  <w:footnote w:type="continuationSeparator" w:id="0">
    <w:p w14:paraId="3996599E" w14:textId="77777777" w:rsidR="003531EA" w:rsidRDefault="003531EA">
      <w:r>
        <w:continuationSeparator/>
      </w:r>
    </w:p>
  </w:footnote>
  <w:footnote w:id="1">
    <w:p w14:paraId="3E0D054A" w14:textId="7C96F070" w:rsidR="00A91AFE" w:rsidRDefault="00A91AFE">
      <w:pPr>
        <w:pStyle w:val="Voetnoottekst"/>
      </w:pPr>
      <w:r w:rsidRPr="00A91AFE">
        <w:rPr>
          <w:rStyle w:val="Voetnootmarkering"/>
          <w:sz w:val="20"/>
          <w:szCs w:val="16"/>
        </w:rPr>
        <w:footnoteRef/>
      </w:r>
      <w:r w:rsidRPr="00A91AFE">
        <w:rPr>
          <w:sz w:val="20"/>
          <w:szCs w:val="16"/>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4"/>
    <w:rsid w:val="0007471A"/>
    <w:rsid w:val="000C7452"/>
    <w:rsid w:val="000D17BF"/>
    <w:rsid w:val="00116D5C"/>
    <w:rsid w:val="00142E8A"/>
    <w:rsid w:val="00157CAF"/>
    <w:rsid w:val="001656EE"/>
    <w:rsid w:val="0016653D"/>
    <w:rsid w:val="001D56AF"/>
    <w:rsid w:val="001E0E21"/>
    <w:rsid w:val="00212E0A"/>
    <w:rsid w:val="002153B0"/>
    <w:rsid w:val="00215D9F"/>
    <w:rsid w:val="0021777F"/>
    <w:rsid w:val="00241DD0"/>
    <w:rsid w:val="00277FC7"/>
    <w:rsid w:val="00293E1A"/>
    <w:rsid w:val="002A0713"/>
    <w:rsid w:val="00325147"/>
    <w:rsid w:val="003531E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3F6D"/>
    <w:rsid w:val="00501109"/>
    <w:rsid w:val="00503610"/>
    <w:rsid w:val="00556714"/>
    <w:rsid w:val="005703C9"/>
    <w:rsid w:val="00586F5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C7EE8"/>
    <w:rsid w:val="007D2608"/>
    <w:rsid w:val="008164E5"/>
    <w:rsid w:val="00830081"/>
    <w:rsid w:val="008467D7"/>
    <w:rsid w:val="00852541"/>
    <w:rsid w:val="00865D47"/>
    <w:rsid w:val="0088452C"/>
    <w:rsid w:val="008D7DCB"/>
    <w:rsid w:val="008E2302"/>
    <w:rsid w:val="009055DB"/>
    <w:rsid w:val="00905ECB"/>
    <w:rsid w:val="0096165D"/>
    <w:rsid w:val="00961884"/>
    <w:rsid w:val="00993E91"/>
    <w:rsid w:val="009A409F"/>
    <w:rsid w:val="009B5845"/>
    <w:rsid w:val="009C0C1F"/>
    <w:rsid w:val="00A10505"/>
    <w:rsid w:val="00A1288B"/>
    <w:rsid w:val="00A53203"/>
    <w:rsid w:val="00A772EB"/>
    <w:rsid w:val="00A91AFE"/>
    <w:rsid w:val="00B01BA6"/>
    <w:rsid w:val="00B4708A"/>
    <w:rsid w:val="00BC4BB8"/>
    <w:rsid w:val="00BC6970"/>
    <w:rsid w:val="00BF623B"/>
    <w:rsid w:val="00C035D4"/>
    <w:rsid w:val="00C679BF"/>
    <w:rsid w:val="00C81BBD"/>
    <w:rsid w:val="00CC6541"/>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273F"/>
    <w:rsid w:val="00FA5BBE"/>
    <w:rsid w:val="00FB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0ADA"/>
  <w15:docId w15:val="{DC47B06B-78E0-4FD4-8B93-4ED5311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E2302"/>
    <w:rPr>
      <w:sz w:val="16"/>
      <w:szCs w:val="16"/>
    </w:rPr>
  </w:style>
  <w:style w:type="paragraph" w:styleId="Tekstopmerking">
    <w:name w:val="annotation text"/>
    <w:basedOn w:val="Standaard"/>
    <w:link w:val="TekstopmerkingChar"/>
    <w:unhideWhenUsed/>
    <w:rsid w:val="008E2302"/>
    <w:rPr>
      <w:sz w:val="20"/>
    </w:rPr>
  </w:style>
  <w:style w:type="character" w:customStyle="1" w:styleId="TekstopmerkingChar">
    <w:name w:val="Tekst opmerking Char"/>
    <w:basedOn w:val="Standaardalinea-lettertype"/>
    <w:link w:val="Tekstopmerking"/>
    <w:rsid w:val="008E2302"/>
  </w:style>
  <w:style w:type="paragraph" w:styleId="Onderwerpvanopmerking">
    <w:name w:val="annotation subject"/>
    <w:basedOn w:val="Tekstopmerking"/>
    <w:next w:val="Tekstopmerking"/>
    <w:link w:val="OnderwerpvanopmerkingChar"/>
    <w:semiHidden/>
    <w:unhideWhenUsed/>
    <w:rsid w:val="008E2302"/>
    <w:rPr>
      <w:b/>
      <w:bCs/>
    </w:rPr>
  </w:style>
  <w:style w:type="character" w:customStyle="1" w:styleId="OnderwerpvanopmerkingChar">
    <w:name w:val="Onderwerp van opmerking Char"/>
    <w:basedOn w:val="TekstopmerkingChar"/>
    <w:link w:val="Onderwerpvanopmerking"/>
    <w:semiHidden/>
    <w:rsid w:val="008E2302"/>
    <w:rPr>
      <w:b/>
      <w:bCs/>
    </w:rPr>
  </w:style>
  <w:style w:type="character" w:styleId="Hyperlink">
    <w:name w:val="Hyperlink"/>
    <w:basedOn w:val="Standaardalinea-lettertype"/>
    <w:unhideWhenUsed/>
    <w:rsid w:val="008E2302"/>
    <w:rPr>
      <w:color w:val="0000FF" w:themeColor="hyperlink"/>
      <w:u w:val="single"/>
    </w:rPr>
  </w:style>
  <w:style w:type="character" w:styleId="Onopgelostemelding">
    <w:name w:val="Unresolved Mention"/>
    <w:basedOn w:val="Standaardalinea-lettertype"/>
    <w:uiPriority w:val="99"/>
    <w:semiHidden/>
    <w:unhideWhenUsed/>
    <w:rsid w:val="008E2302"/>
    <w:rPr>
      <w:color w:val="605E5C"/>
      <w:shd w:val="clear" w:color="auto" w:fill="E1DFDD"/>
    </w:rPr>
  </w:style>
  <w:style w:type="paragraph" w:styleId="Revisie">
    <w:name w:val="Revision"/>
    <w:hidden/>
    <w:uiPriority w:val="99"/>
    <w:semiHidden/>
    <w:rsid w:val="00CC6541"/>
    <w:rPr>
      <w:sz w:val="24"/>
    </w:rPr>
  </w:style>
  <w:style w:type="character" w:styleId="Voetnootmarkering">
    <w:name w:val="footnote reference"/>
    <w:basedOn w:val="Standaardalinea-lettertype"/>
    <w:semiHidden/>
    <w:unhideWhenUsed/>
    <w:rsid w:val="00A91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07725">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596358050">
      <w:bodyDiv w:val="1"/>
      <w:marLeft w:val="0"/>
      <w:marRight w:val="0"/>
      <w:marTop w:val="0"/>
      <w:marBottom w:val="0"/>
      <w:divBdr>
        <w:top w:val="none" w:sz="0" w:space="0" w:color="auto"/>
        <w:left w:val="none" w:sz="0" w:space="0" w:color="auto"/>
        <w:bottom w:val="none" w:sz="0" w:space="0" w:color="auto"/>
        <w:right w:val="none" w:sz="0" w:space="0" w:color="auto"/>
      </w:divBdr>
    </w:div>
    <w:div w:id="21381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496</ap:Words>
  <ap:Characters>2876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2025-06-19T14:07:00.0000000Z</dcterms:created>
  <dcterms:modified xsi:type="dcterms:W3CDTF">2025-06-19T14:07:00.0000000Z</dcterms:modified>
  <dc:description>------------------------</dc:description>
  <dc:subject/>
  <keywords/>
  <version/>
  <category/>
</coreProperties>
</file>