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270B07F" w14:textId="77777777">
        <w:tc>
          <w:tcPr>
            <w:tcW w:w="6379" w:type="dxa"/>
            <w:gridSpan w:val="2"/>
            <w:tcBorders>
              <w:top w:val="nil"/>
              <w:left w:val="nil"/>
              <w:bottom w:val="nil"/>
              <w:right w:val="nil"/>
            </w:tcBorders>
            <w:vAlign w:val="center"/>
          </w:tcPr>
          <w:p w:rsidR="004330ED" w:rsidP="00EA1CE4" w:rsidRDefault="004330ED" w14:paraId="765948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36C6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A13130" w14:textId="77777777">
        <w:trPr>
          <w:cantSplit/>
        </w:trPr>
        <w:tc>
          <w:tcPr>
            <w:tcW w:w="10348" w:type="dxa"/>
            <w:gridSpan w:val="3"/>
            <w:tcBorders>
              <w:top w:val="single" w:color="auto" w:sz="4" w:space="0"/>
              <w:left w:val="nil"/>
              <w:bottom w:val="nil"/>
              <w:right w:val="nil"/>
            </w:tcBorders>
          </w:tcPr>
          <w:p w:rsidR="004330ED" w:rsidP="004A1E29" w:rsidRDefault="004330ED" w14:paraId="382F9CD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4DFE04" w14:textId="77777777">
        <w:trPr>
          <w:cantSplit/>
        </w:trPr>
        <w:tc>
          <w:tcPr>
            <w:tcW w:w="10348" w:type="dxa"/>
            <w:gridSpan w:val="3"/>
            <w:tcBorders>
              <w:top w:val="nil"/>
              <w:left w:val="nil"/>
              <w:bottom w:val="nil"/>
              <w:right w:val="nil"/>
            </w:tcBorders>
          </w:tcPr>
          <w:p w:rsidR="004330ED" w:rsidP="00BF623B" w:rsidRDefault="004330ED" w14:paraId="63E8CEAF" w14:textId="77777777">
            <w:pPr>
              <w:pStyle w:val="Amendement"/>
              <w:tabs>
                <w:tab w:val="clear" w:pos="3310"/>
                <w:tab w:val="clear" w:pos="3600"/>
              </w:tabs>
              <w:rPr>
                <w:rFonts w:ascii="Times New Roman" w:hAnsi="Times New Roman"/>
                <w:b w:val="0"/>
              </w:rPr>
            </w:pPr>
          </w:p>
        </w:tc>
      </w:tr>
      <w:tr w:rsidR="004330ED" w:rsidTr="00EA1CE4" w14:paraId="230DD31C" w14:textId="77777777">
        <w:trPr>
          <w:cantSplit/>
        </w:trPr>
        <w:tc>
          <w:tcPr>
            <w:tcW w:w="10348" w:type="dxa"/>
            <w:gridSpan w:val="3"/>
            <w:tcBorders>
              <w:top w:val="nil"/>
              <w:left w:val="nil"/>
              <w:bottom w:val="single" w:color="auto" w:sz="4" w:space="0"/>
              <w:right w:val="nil"/>
            </w:tcBorders>
          </w:tcPr>
          <w:p w:rsidR="004330ED" w:rsidP="00BF623B" w:rsidRDefault="004330ED" w14:paraId="4C16D59D" w14:textId="77777777">
            <w:pPr>
              <w:pStyle w:val="Amendement"/>
              <w:tabs>
                <w:tab w:val="clear" w:pos="3310"/>
                <w:tab w:val="clear" w:pos="3600"/>
              </w:tabs>
              <w:rPr>
                <w:rFonts w:ascii="Times New Roman" w:hAnsi="Times New Roman"/>
              </w:rPr>
            </w:pPr>
          </w:p>
        </w:tc>
      </w:tr>
      <w:tr w:rsidR="004330ED" w:rsidTr="00EA1CE4" w14:paraId="07191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68A24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27489B" w14:textId="77777777">
            <w:pPr>
              <w:suppressAutoHyphens/>
              <w:ind w:left="-70"/>
              <w:rPr>
                <w:b/>
              </w:rPr>
            </w:pPr>
          </w:p>
        </w:tc>
      </w:tr>
      <w:tr w:rsidR="003C21AC" w:rsidTr="00EA1CE4" w14:paraId="13B59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83C20" w14:paraId="68123571" w14:textId="0E0790E4">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083C20" w:rsidR="003C21AC" w:rsidP="00083C20" w:rsidRDefault="00083C20" w14:paraId="1D990DDD" w14:textId="4F6AB77D">
            <w:pPr>
              <w:rPr>
                <w:b/>
                <w:bCs/>
              </w:rPr>
            </w:pPr>
            <w:r w:rsidRPr="00083C20">
              <w:rPr>
                <w:b/>
                <w:bCs/>
              </w:rPr>
              <w:t>Regels omtrent productie, transport en levering van warmte (Wet collectieve warmte)</w:t>
            </w:r>
          </w:p>
        </w:tc>
      </w:tr>
      <w:tr w:rsidR="003C21AC" w:rsidTr="00EA1CE4" w14:paraId="4B0CB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FA911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9D27CC" w14:textId="77777777">
            <w:pPr>
              <w:pStyle w:val="Amendement"/>
              <w:tabs>
                <w:tab w:val="clear" w:pos="3310"/>
                <w:tab w:val="clear" w:pos="3600"/>
              </w:tabs>
              <w:ind w:left="-70"/>
              <w:rPr>
                <w:rFonts w:ascii="Times New Roman" w:hAnsi="Times New Roman"/>
              </w:rPr>
            </w:pPr>
          </w:p>
        </w:tc>
      </w:tr>
      <w:tr w:rsidR="003C21AC" w:rsidTr="00EA1CE4" w14:paraId="01CA2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71672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8E07B3" w14:textId="77777777">
            <w:pPr>
              <w:pStyle w:val="Amendement"/>
              <w:tabs>
                <w:tab w:val="clear" w:pos="3310"/>
                <w:tab w:val="clear" w:pos="3600"/>
              </w:tabs>
              <w:ind w:left="-70"/>
              <w:rPr>
                <w:rFonts w:ascii="Times New Roman" w:hAnsi="Times New Roman"/>
              </w:rPr>
            </w:pPr>
          </w:p>
        </w:tc>
      </w:tr>
      <w:tr w:rsidR="003C21AC" w:rsidTr="00EA1CE4" w14:paraId="3DCD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321F01A" w14:textId="66D8AD39">
            <w:pPr>
              <w:pStyle w:val="Amendement"/>
              <w:tabs>
                <w:tab w:val="clear" w:pos="3310"/>
                <w:tab w:val="clear" w:pos="3600"/>
              </w:tabs>
              <w:rPr>
                <w:rFonts w:ascii="Times New Roman" w:hAnsi="Times New Roman"/>
              </w:rPr>
            </w:pPr>
            <w:r w:rsidRPr="00C035D4">
              <w:rPr>
                <w:rFonts w:ascii="Times New Roman" w:hAnsi="Times New Roman"/>
              </w:rPr>
              <w:t xml:space="preserve">Nr. </w:t>
            </w:r>
            <w:r w:rsidR="008B29B8">
              <w:rPr>
                <w:rFonts w:ascii="Times New Roman" w:hAnsi="Times New Roman"/>
                <w:caps/>
              </w:rPr>
              <w:t>75</w:t>
            </w:r>
          </w:p>
        </w:tc>
        <w:tc>
          <w:tcPr>
            <w:tcW w:w="7371" w:type="dxa"/>
            <w:gridSpan w:val="2"/>
          </w:tcPr>
          <w:p w:rsidRPr="00C035D4" w:rsidR="003C21AC" w:rsidP="006E0971" w:rsidRDefault="0001044F" w14:paraId="0804DE35" w14:textId="7789AF0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601F95">
              <w:rPr>
                <w:rFonts w:ascii="Times New Roman" w:hAnsi="Times New Roman"/>
                <w:caps/>
              </w:rPr>
              <w:t>de leden</w:t>
            </w:r>
            <w:r w:rsidRPr="00C035D4" w:rsidR="003C21AC">
              <w:rPr>
                <w:rFonts w:ascii="Times New Roman" w:hAnsi="Times New Roman"/>
                <w:caps/>
              </w:rPr>
              <w:t xml:space="preserve"> </w:t>
            </w:r>
            <w:r w:rsidR="00083C20">
              <w:rPr>
                <w:rFonts w:ascii="Times New Roman" w:hAnsi="Times New Roman"/>
                <w:caps/>
              </w:rPr>
              <w:t>grinwis</w:t>
            </w:r>
            <w:r>
              <w:rPr>
                <w:rFonts w:ascii="Times New Roman" w:hAnsi="Times New Roman"/>
                <w:caps/>
              </w:rPr>
              <w:t xml:space="preserve"> </w:t>
            </w:r>
            <w:r w:rsidR="00601F95">
              <w:rPr>
                <w:rFonts w:ascii="Times New Roman" w:hAnsi="Times New Roman"/>
                <w:caps/>
              </w:rPr>
              <w:t xml:space="preserve">en erkens </w:t>
            </w:r>
            <w:r>
              <w:rPr>
                <w:rFonts w:ascii="Times New Roman" w:hAnsi="Times New Roman"/>
                <w:caps/>
              </w:rPr>
              <w:t>ter vervanging van dat gedrukt onder nr. 48</w:t>
            </w:r>
          </w:p>
        </w:tc>
      </w:tr>
      <w:tr w:rsidR="003C21AC" w:rsidTr="00EA1CE4" w14:paraId="1B866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7907B6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CDB7E3A" w14:textId="77BE150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26C5D">
              <w:rPr>
                <w:rFonts w:ascii="Times New Roman" w:hAnsi="Times New Roman"/>
                <w:b w:val="0"/>
              </w:rPr>
              <w:t>1</w:t>
            </w:r>
            <w:r w:rsidR="0001044F">
              <w:rPr>
                <w:rFonts w:ascii="Times New Roman" w:hAnsi="Times New Roman"/>
                <w:b w:val="0"/>
              </w:rPr>
              <w:t xml:space="preserve">9 </w:t>
            </w:r>
            <w:r w:rsidR="00626C5D">
              <w:rPr>
                <w:rFonts w:ascii="Times New Roman" w:hAnsi="Times New Roman"/>
                <w:b w:val="0"/>
              </w:rPr>
              <w:t>juni 2025</w:t>
            </w:r>
          </w:p>
        </w:tc>
      </w:tr>
      <w:tr w:rsidR="00B01BA6" w:rsidTr="00EA1CE4" w14:paraId="1D9BC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13C7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CDCF70" w14:textId="77777777">
            <w:pPr>
              <w:pStyle w:val="Amendement"/>
              <w:tabs>
                <w:tab w:val="clear" w:pos="3310"/>
                <w:tab w:val="clear" w:pos="3600"/>
              </w:tabs>
              <w:ind w:left="-70"/>
              <w:rPr>
                <w:rFonts w:ascii="Times New Roman" w:hAnsi="Times New Roman"/>
                <w:b w:val="0"/>
              </w:rPr>
            </w:pPr>
          </w:p>
        </w:tc>
      </w:tr>
      <w:tr w:rsidRPr="00EA69AC" w:rsidR="00B01BA6" w:rsidTr="00EA1CE4" w14:paraId="4E22F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7B8ED2" w14:textId="4AC3A3E4">
            <w:pPr>
              <w:ind w:firstLine="284"/>
            </w:pPr>
            <w:r w:rsidRPr="00EA69AC">
              <w:t>De ondergetekende</w:t>
            </w:r>
            <w:r w:rsidR="004F7F1F">
              <w:t xml:space="preserve">n </w:t>
            </w:r>
            <w:r w:rsidRPr="00EA69AC">
              <w:t xml:space="preserve"> stel</w:t>
            </w:r>
            <w:r w:rsidR="004F7F1F">
              <w:t>len</w:t>
            </w:r>
            <w:r w:rsidRPr="00EA69AC">
              <w:t xml:space="preserve"> het volgende amendement voor:</w:t>
            </w:r>
          </w:p>
        </w:tc>
      </w:tr>
      <w:tr w:rsidRPr="00EA69AC" w:rsidR="006850B4" w:rsidTr="00EA1CE4" w14:paraId="2A581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6850B4" w:rsidP="0088452C" w:rsidRDefault="006850B4" w14:paraId="782E7C00" w14:textId="77777777">
            <w:pPr>
              <w:ind w:firstLine="284"/>
            </w:pPr>
          </w:p>
        </w:tc>
      </w:tr>
    </w:tbl>
    <w:p w:rsidR="00485A3B" w:rsidP="002B0AA3" w:rsidRDefault="006850B4" w14:paraId="5C82D698" w14:textId="4F6EF187">
      <w:r>
        <w:t xml:space="preserve">I </w:t>
      </w:r>
    </w:p>
    <w:p w:rsidR="006850B4" w:rsidP="00EA1CE4" w:rsidRDefault="006850B4" w14:paraId="2FFB5FC7" w14:textId="77777777"/>
    <w:p w:rsidR="001F211B" w:rsidP="00EA1CE4" w:rsidRDefault="00450960" w14:paraId="5D422675" w14:textId="523A020A">
      <w:pPr>
        <w:rPr>
          <w:b/>
          <w:bCs/>
          <w:i/>
          <w:iCs/>
        </w:rPr>
      </w:pPr>
      <w:r>
        <w:tab/>
        <w:t xml:space="preserve">In artikel 1.2, eerste lid, onderdeel d, wordt “ten hoogste 10” vervangen door “ten hoogste </w:t>
      </w:r>
      <w:r w:rsidR="002F4175">
        <w:t>20</w:t>
      </w:r>
      <w:r>
        <w:t>”</w:t>
      </w:r>
      <w:r w:rsidR="001F211B">
        <w:br/>
      </w:r>
    </w:p>
    <w:p w:rsidR="00450960" w:rsidP="00450960" w:rsidRDefault="00450960" w14:paraId="6D4F1F10" w14:textId="6EE614C2">
      <w:pPr>
        <w:rPr>
          <w:rFonts w:eastAsia="Aptos" w:cs="Aptos"/>
        </w:rPr>
      </w:pPr>
      <w:r w:rsidRPr="00125A2B">
        <w:rPr>
          <w:rFonts w:eastAsia="Aptos" w:cs="Aptos"/>
        </w:rPr>
        <w:t xml:space="preserve"> </w:t>
      </w:r>
      <w:r w:rsidR="00966191">
        <w:rPr>
          <w:rFonts w:eastAsia="Aptos" w:cs="Aptos"/>
        </w:rPr>
        <w:t>II</w:t>
      </w:r>
    </w:p>
    <w:p w:rsidR="00966191" w:rsidP="00450960" w:rsidRDefault="00966191" w14:paraId="7FB1A099" w14:textId="77777777">
      <w:pPr>
        <w:rPr>
          <w:rFonts w:eastAsia="Aptos" w:cs="Aptos"/>
        </w:rPr>
      </w:pPr>
    </w:p>
    <w:p w:rsidR="00966191" w:rsidP="00450960" w:rsidRDefault="00966191" w14:paraId="58768F15" w14:textId="2E7BD71E">
      <w:pPr>
        <w:rPr>
          <w:rFonts w:eastAsia="Aptos" w:cs="Aptos"/>
        </w:rPr>
      </w:pPr>
      <w:r>
        <w:rPr>
          <w:rFonts w:eastAsia="Aptos" w:cs="Aptos"/>
        </w:rPr>
        <w:tab/>
        <w:t>Artikel 4.2 wordt als volgt gewijzigd:</w:t>
      </w:r>
    </w:p>
    <w:p w:rsidR="00966191" w:rsidP="00450960" w:rsidRDefault="00966191" w14:paraId="0ACCB473" w14:textId="77777777">
      <w:pPr>
        <w:rPr>
          <w:rFonts w:eastAsia="Aptos" w:cs="Aptos"/>
        </w:rPr>
      </w:pPr>
    </w:p>
    <w:p w:rsidRPr="00966191" w:rsidR="00966191" w:rsidP="00450960" w:rsidRDefault="00966191" w14:paraId="0C38866C" w14:textId="4FE6F4BC">
      <w:pPr>
        <w:rPr>
          <w:rFonts w:eastAsia="Aptos" w:cs="Aptos"/>
        </w:rPr>
      </w:pPr>
      <w:r>
        <w:rPr>
          <w:rFonts w:eastAsia="Aptos" w:cs="Aptos"/>
        </w:rPr>
        <w:tab/>
        <w:t xml:space="preserve">1. Aan het vijfde lid worden, onder vervanging van de punt aan het slot van onderdeel b door een </w:t>
      </w:r>
      <w:r w:rsidRPr="00966191">
        <w:rPr>
          <w:rFonts w:eastAsia="Aptos" w:cs="Aptos"/>
        </w:rPr>
        <w:t>puntkomma, twee onderdelen toegevoegd, luidende:</w:t>
      </w:r>
    </w:p>
    <w:p w:rsidR="00450960" w:rsidP="00966191" w:rsidRDefault="00450960" w14:paraId="0452DE66" w14:textId="69FFDCB3">
      <w:pPr>
        <w:spacing w:line="276" w:lineRule="auto"/>
        <w:ind w:left="284"/>
      </w:pPr>
      <w:r w:rsidRPr="00BE5976">
        <w:t>c.</w:t>
      </w:r>
      <w:r w:rsidRPr="00966191">
        <w:t xml:space="preserve"> de afwijzingsgronden, bedoeld in het tweede en derde lid; </w:t>
      </w:r>
      <w:r w:rsidRPr="00966191">
        <w:br/>
      </w:r>
      <w:r w:rsidRPr="00BE5976">
        <w:t>d.</w:t>
      </w:r>
      <w:r w:rsidRPr="00966191">
        <w:t xml:space="preserve"> de </w:t>
      </w:r>
      <w:r w:rsidRPr="00125A2B">
        <w:t>voorschriften en beperkingen, bedoeld in het vierde lid.</w:t>
      </w:r>
    </w:p>
    <w:p w:rsidR="00966191" w:rsidP="00966191" w:rsidRDefault="00966191" w14:paraId="1A011C4B" w14:textId="77777777">
      <w:pPr>
        <w:spacing w:line="276" w:lineRule="auto"/>
        <w:ind w:left="284"/>
      </w:pPr>
    </w:p>
    <w:p w:rsidRPr="00225BC0" w:rsidR="00966191" w:rsidP="00BE5976" w:rsidRDefault="00966191" w14:paraId="7EA0DF33" w14:textId="7268F968">
      <w:pPr>
        <w:spacing w:line="276" w:lineRule="auto"/>
        <w:ind w:left="284"/>
      </w:pPr>
      <w:r>
        <w:t>2. Het zesde lid vervalt.</w:t>
      </w:r>
    </w:p>
    <w:p w:rsidR="001F211B" w:rsidP="00EA1CE4" w:rsidRDefault="001F211B" w14:paraId="3C62B94D" w14:textId="77777777">
      <w:pPr>
        <w:rPr>
          <w:b/>
          <w:i/>
        </w:rPr>
      </w:pPr>
    </w:p>
    <w:p w:rsidR="00966191" w:rsidP="00EA1CE4" w:rsidRDefault="00966191" w14:paraId="4E29DD08" w14:textId="3248CA56">
      <w:pPr>
        <w:rPr>
          <w:bCs/>
          <w:iCs/>
        </w:rPr>
      </w:pPr>
      <w:r w:rsidRPr="00BE5976">
        <w:rPr>
          <w:bCs/>
          <w:iCs/>
        </w:rPr>
        <w:t>III</w:t>
      </w:r>
    </w:p>
    <w:p w:rsidR="00966191" w:rsidP="00EA1CE4" w:rsidRDefault="00966191" w14:paraId="1DD441D9" w14:textId="77777777">
      <w:pPr>
        <w:rPr>
          <w:bCs/>
          <w:iCs/>
        </w:rPr>
      </w:pPr>
    </w:p>
    <w:p w:rsidRPr="00BE5976" w:rsidR="00966191" w:rsidP="00EA1CE4" w:rsidRDefault="00966191" w14:paraId="6E6A47C6" w14:textId="1AE991C2">
      <w:pPr>
        <w:rPr>
          <w:bCs/>
          <w:iCs/>
        </w:rPr>
      </w:pPr>
      <w:r>
        <w:rPr>
          <w:bCs/>
          <w:iCs/>
        </w:rPr>
        <w:tab/>
        <w:t>In artikel 4.3, vijfde lid, wordt “zesde lid” vervangen door “vijfde lid”.</w:t>
      </w:r>
    </w:p>
    <w:p w:rsidRPr="00FA5FFB" w:rsidR="00450960" w:rsidP="00EA1CE4" w:rsidRDefault="00450960" w14:paraId="6B0DF3CE" w14:textId="77777777">
      <w:pPr>
        <w:rPr>
          <w:b/>
          <w:i/>
        </w:rPr>
      </w:pPr>
    </w:p>
    <w:p w:rsidRPr="00325234" w:rsidR="00325234" w:rsidP="00325234" w:rsidRDefault="00325234" w14:paraId="547743D9" w14:textId="77777777">
      <w:pPr>
        <w:rPr>
          <w:b/>
          <w:bCs/>
        </w:rPr>
      </w:pPr>
      <w:r w:rsidRPr="00325234">
        <w:rPr>
          <w:b/>
          <w:bCs/>
        </w:rPr>
        <w:t>Toelichting</w:t>
      </w:r>
    </w:p>
    <w:p w:rsidRPr="00325234" w:rsidR="00325234" w:rsidP="00325234" w:rsidRDefault="00325234" w14:paraId="7E72B2AC" w14:textId="77777777">
      <w:pPr>
        <w:rPr>
          <w:bCs/>
        </w:rPr>
      </w:pPr>
    </w:p>
    <w:p w:rsidR="00450960" w:rsidP="00450960" w:rsidRDefault="00450960" w14:paraId="1CDB8870" w14:textId="166D1892">
      <w:pPr>
        <w:rPr>
          <w:bCs/>
        </w:rPr>
      </w:pPr>
      <w:r w:rsidRPr="00450960">
        <w:rPr>
          <w:bCs/>
        </w:rPr>
        <w:t xml:space="preserve">Dit amendement regelt dat Verenigingen van Eigenaars (VvE’s) en verhuurders bij panden met hoogstens </w:t>
      </w:r>
      <w:r w:rsidR="002F4175">
        <w:rPr>
          <w:bCs/>
        </w:rPr>
        <w:t>twintig</w:t>
      </w:r>
      <w:r w:rsidRPr="00450960" w:rsidR="002F4175">
        <w:rPr>
          <w:bCs/>
        </w:rPr>
        <w:t xml:space="preserve"> </w:t>
      </w:r>
      <w:r w:rsidRPr="00450960">
        <w:rPr>
          <w:bCs/>
        </w:rPr>
        <w:t xml:space="preserve">aansluitingen de vrijheid hebben om te kiezen voor een eigen, alternatieve warmtevoorziening, zonder dat ze hiervoor verplicht zijn om een ontheffing bij de gemeente aan te vragen. In het huidig wetsvoorstel wordt de grens op ten hoogste tien aansluitingen gesteld. Hiermee wordt de vrijheid voor VvE’s en verhuurders vergroot, zonder dat het maatschappelijke belang, namelijk de groei van het aantal aansluitingen op een collectieve warmtevoorziening, in het geding komt. </w:t>
      </w:r>
    </w:p>
    <w:p w:rsidRPr="00450960" w:rsidR="00450960" w:rsidP="00450960" w:rsidRDefault="00450960" w14:paraId="4C8774A7" w14:textId="77777777">
      <w:pPr>
        <w:rPr>
          <w:bCs/>
        </w:rPr>
      </w:pPr>
    </w:p>
    <w:p w:rsidR="00450960" w:rsidP="00450960" w:rsidRDefault="00450960" w14:paraId="2D0DF34D" w14:textId="1F0933E0">
      <w:pPr>
        <w:rPr>
          <w:bCs/>
        </w:rPr>
      </w:pPr>
      <w:r w:rsidRPr="00450960">
        <w:rPr>
          <w:bCs/>
        </w:rPr>
        <w:t xml:space="preserve">In het wetsvoorstel hebben huishoudens in wijken waarvoor de gemeente een einddatum voor de levering van aardgas heeft bepaald (op grond van de Wet Gemeentelijke instrumenten warmte) de mogelijkheid om te kiezen voor een ‘opt-out’ en, in plaats van aansluiting op een collectieve warmtevoorziening, te kiezen voor een alternatieve warmtevoorziening in plaats van aardgas. Ook VvE’s en verhuurders hebben deze opt-out, maar daarbij wordt wel een grens gesteld. Voor verhuurders met meer dan tien eigen huurders of een VvE met meer dan tien eigen leden moet er een ontheffing worden aangevraagd bij de gemeente (artikel 4.2). Het college kan de ontheffing afwijzen als het warmtebedrijf hierdoor geen redelijk rendement </w:t>
      </w:r>
      <w:r w:rsidRPr="00450960">
        <w:rPr>
          <w:bCs/>
        </w:rPr>
        <w:lastRenderedPageBreak/>
        <w:t xml:space="preserve">kan halen of tarieven significant moet verhogen. Bij weigering van de ontheffing heeft de VvE geen andere keuze dan een aansluiting op de collectieve warmtevoorziening. Dit beperkt de keuzevrijheid voor VvE’s en verhuurders. </w:t>
      </w:r>
    </w:p>
    <w:p w:rsidRPr="00450960" w:rsidR="00450960" w:rsidP="00450960" w:rsidRDefault="00450960" w14:paraId="21788322" w14:textId="77777777">
      <w:pPr>
        <w:rPr>
          <w:bCs/>
        </w:rPr>
      </w:pPr>
    </w:p>
    <w:p w:rsidR="003F7167" w:rsidP="00450960" w:rsidRDefault="00450960" w14:paraId="3FDFBE0D" w14:textId="03F3491A">
      <w:pPr>
        <w:rPr>
          <w:bCs/>
        </w:rPr>
      </w:pPr>
      <w:r w:rsidRPr="00450960">
        <w:rPr>
          <w:bCs/>
        </w:rPr>
        <w:t>Indiener</w:t>
      </w:r>
      <w:r w:rsidR="00601F95">
        <w:rPr>
          <w:bCs/>
        </w:rPr>
        <w:t xml:space="preserve">s kiezen </w:t>
      </w:r>
      <w:r w:rsidRPr="00450960">
        <w:rPr>
          <w:bCs/>
        </w:rPr>
        <w:t xml:space="preserve">ervoor om deze keuzevrijheid te vergroten. Hierbij </w:t>
      </w:r>
      <w:r w:rsidR="00601F95">
        <w:rPr>
          <w:bCs/>
        </w:rPr>
        <w:t>beseffen</w:t>
      </w:r>
      <w:r w:rsidRPr="00450960">
        <w:rPr>
          <w:bCs/>
        </w:rPr>
        <w:t xml:space="preserve"> indiener</w:t>
      </w:r>
      <w:r w:rsidR="00601F95">
        <w:rPr>
          <w:bCs/>
        </w:rPr>
        <w:t>s</w:t>
      </w:r>
      <w:r w:rsidRPr="00450960">
        <w:rPr>
          <w:bCs/>
        </w:rPr>
        <w:t xml:space="preserve"> dat er een groot maatschappelijk belang is om in wijken waar de collectieve warmtevoorziening de warmte-oplossing is met de laagste nationale kosten, ook daadwerkelijk deze voorziening aan te kunnen leggen. Deze moet niet in het geding komen door de keuze van grote appartementencomplexen. Ook komt hiermee indirect de keuzevrijheid van andere bewoners in de wijk in het geding. Als een zeer grote VvE (of verhuurder) besluit om niet mee te doen aan het warmtenet dan kan dat de realisatie van een collectieve warmtevoorziening immers in gevaar brengen. Om die reden wordt de grens van tien aansluitingen niet simpelweg geschrapt, maar op ten hoogste </w:t>
      </w:r>
      <w:r w:rsidR="002F4175">
        <w:rPr>
          <w:bCs/>
        </w:rPr>
        <w:t>twintig</w:t>
      </w:r>
      <w:r w:rsidRPr="00450960" w:rsidR="002F4175">
        <w:rPr>
          <w:bCs/>
        </w:rPr>
        <w:t xml:space="preserve"> </w:t>
      </w:r>
      <w:r w:rsidRPr="00450960">
        <w:rPr>
          <w:bCs/>
        </w:rPr>
        <w:t>aansluitingen gesteld</w:t>
      </w:r>
      <w:r w:rsidRPr="00450960" w:rsidR="00E237C2">
        <w:rPr>
          <w:bCs/>
        </w:rPr>
        <w:t xml:space="preserve">, in lijn met de </w:t>
      </w:r>
      <w:r w:rsidR="00E237C2">
        <w:rPr>
          <w:bCs/>
        </w:rPr>
        <w:t>benadering</w:t>
      </w:r>
      <w:r w:rsidRPr="00450960" w:rsidR="00E237C2">
        <w:rPr>
          <w:bCs/>
        </w:rPr>
        <w:t xml:space="preserve"> van het Centraal Bureau voor de Statistiek (CBS) dat spreekt van een grote VvE indien deze uit meer dan </w:t>
      </w:r>
      <w:r w:rsidR="00E237C2">
        <w:rPr>
          <w:bCs/>
        </w:rPr>
        <w:t>20</w:t>
      </w:r>
      <w:r w:rsidRPr="00450960" w:rsidR="00E237C2">
        <w:rPr>
          <w:bCs/>
        </w:rPr>
        <w:t xml:space="preserve"> adressen bestaat.</w:t>
      </w:r>
      <w:r w:rsidRPr="00450960" w:rsidR="00E237C2">
        <w:rPr>
          <w:bCs/>
          <w:vertAlign w:val="superscript"/>
        </w:rPr>
        <w:footnoteReference w:id="2"/>
      </w:r>
      <w:r w:rsidR="00E237C2">
        <w:rPr>
          <w:bCs/>
        </w:rPr>
        <w:t xml:space="preserve"> Bovendien, d</w:t>
      </w:r>
      <w:r w:rsidR="003F7167">
        <w:rPr>
          <w:bCs/>
        </w:rPr>
        <w:t xml:space="preserve">e huidige bepaling van 10 raakt in potentie ruim 21.000 VvE’s van de in totaal 135.000 VvE’s in Nederland. Met de in dit amendement voorgestelde 20 </w:t>
      </w:r>
      <w:r w:rsidR="00E237C2">
        <w:rPr>
          <w:bCs/>
        </w:rPr>
        <w:t>d</w:t>
      </w:r>
      <w:r w:rsidR="003F7167">
        <w:rPr>
          <w:bCs/>
        </w:rPr>
        <w:t>aalt dit aantal naar minder dan 11.000 VvE’s.</w:t>
      </w:r>
      <w:r w:rsidR="00E237C2">
        <w:rPr>
          <w:rStyle w:val="Voetnootmarkering"/>
          <w:bCs/>
        </w:rPr>
        <w:footnoteReference w:id="3"/>
      </w:r>
    </w:p>
    <w:p w:rsidR="00450960" w:rsidP="00450960" w:rsidRDefault="00450960" w14:paraId="460AE87F" w14:textId="2CB4ABCA">
      <w:pPr>
        <w:rPr>
          <w:bCs/>
        </w:rPr>
      </w:pPr>
    </w:p>
    <w:p w:rsidRPr="00450960" w:rsidR="00450960" w:rsidP="00450960" w:rsidRDefault="00450960" w14:paraId="0B3B96CF" w14:textId="30E7C204">
      <w:pPr>
        <w:rPr>
          <w:bCs/>
        </w:rPr>
      </w:pPr>
      <w:r w:rsidRPr="00450960">
        <w:rPr>
          <w:bCs/>
        </w:rPr>
        <w:t xml:space="preserve"> </w:t>
      </w:r>
    </w:p>
    <w:p w:rsidR="00FA5FFB" w:rsidP="00450960" w:rsidRDefault="00450960" w14:paraId="1FB88F7C" w14:textId="18032B4B">
      <w:pPr>
        <w:rPr>
          <w:bCs/>
        </w:rPr>
      </w:pPr>
      <w:r w:rsidRPr="00450960">
        <w:rPr>
          <w:bCs/>
        </w:rPr>
        <w:t>Verder acht</w:t>
      </w:r>
      <w:r w:rsidR="00601F95">
        <w:rPr>
          <w:bCs/>
        </w:rPr>
        <w:t>en</w:t>
      </w:r>
      <w:r w:rsidRPr="00450960">
        <w:rPr>
          <w:bCs/>
        </w:rPr>
        <w:t xml:space="preserve"> indiener</w:t>
      </w:r>
      <w:r w:rsidR="00601F95">
        <w:rPr>
          <w:bCs/>
        </w:rPr>
        <w:t>s</w:t>
      </w:r>
      <w:r w:rsidRPr="00450960">
        <w:rPr>
          <w:bCs/>
        </w:rPr>
        <w:t xml:space="preserve"> het wenselijk dat het, in het kader van een fatsoenlijke rechtsbescherming, ook voor grote VvE’s (dus met meer dan </w:t>
      </w:r>
      <w:r w:rsidR="002F4175">
        <w:rPr>
          <w:bCs/>
        </w:rPr>
        <w:t>20</w:t>
      </w:r>
      <w:r w:rsidRPr="00450960" w:rsidR="002F4175">
        <w:rPr>
          <w:bCs/>
        </w:rPr>
        <w:t xml:space="preserve"> </w:t>
      </w:r>
      <w:r w:rsidRPr="00450960">
        <w:rPr>
          <w:bCs/>
        </w:rPr>
        <w:t>adressen) duidelijk moet zijn op basis van welke gronden een gemeente ontheffing mag weigeren. In een algemene maatregel van bestuur moeten daarom nadere invulling worden gegeven aan ‘geen redelijk rendement’ en ‘significante verhoging van tarieven’. Daartoe worden sub a en b van het zesde lid van artikel 4.2 (een ‘kan-bepaling’) toegevoegd als sub c en d van het vijfde lid (een ‘zal-bepaling’).</w:t>
      </w:r>
    </w:p>
    <w:p w:rsidR="00450960" w:rsidP="00450960" w:rsidRDefault="00450960" w14:paraId="59FD9DC6" w14:textId="77777777">
      <w:pPr>
        <w:rPr>
          <w:bCs/>
        </w:rPr>
      </w:pPr>
    </w:p>
    <w:p w:rsidR="00FA5FFB" w:rsidP="00917E15" w:rsidRDefault="00FA5FFB" w14:paraId="71289646" w14:textId="477C768F">
      <w:pPr>
        <w:rPr>
          <w:bCs/>
        </w:rPr>
      </w:pPr>
      <w:r>
        <w:rPr>
          <w:bCs/>
        </w:rPr>
        <w:t>Grinwis</w:t>
      </w:r>
    </w:p>
    <w:p w:rsidR="00601F95" w:rsidP="00917E15" w:rsidRDefault="00601F95" w14:paraId="2C30441B" w14:textId="4AF1D89F">
      <w:pPr>
        <w:rPr>
          <w:bCs/>
        </w:rPr>
      </w:pPr>
      <w:r>
        <w:rPr>
          <w:bCs/>
        </w:rPr>
        <w:t>Erkens</w:t>
      </w:r>
    </w:p>
    <w:p w:rsidR="00FA5FFB" w:rsidP="00917E15" w:rsidRDefault="00FA5FFB" w14:paraId="467424D1" w14:textId="77777777">
      <w:pPr>
        <w:rPr>
          <w:bCs/>
        </w:rPr>
      </w:pPr>
    </w:p>
    <w:p w:rsidRPr="00EA69AC" w:rsidR="00FA5FFB" w:rsidP="00917E15" w:rsidRDefault="00FA5FFB" w14:paraId="75F17006" w14:textId="77777777"/>
    <w:sectPr w:rsidRPr="00EA69AC" w:rsidR="00FA5FFB" w:rsidSect="00EA1CE4">
      <w:footerReference w:type="even"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C5F1" w14:textId="77777777" w:rsidR="00CC4BAF" w:rsidRDefault="00CC4BAF">
      <w:pPr>
        <w:spacing w:line="20" w:lineRule="exact"/>
      </w:pPr>
    </w:p>
  </w:endnote>
  <w:endnote w:type="continuationSeparator" w:id="0">
    <w:p w14:paraId="5B8934E8" w14:textId="77777777" w:rsidR="00CC4BAF" w:rsidRDefault="00CC4BAF">
      <w:pPr>
        <w:pStyle w:val="Amendement"/>
      </w:pPr>
      <w:r>
        <w:rPr>
          <w:b w:val="0"/>
        </w:rPr>
        <w:t xml:space="preserve"> </w:t>
      </w:r>
    </w:p>
  </w:endnote>
  <w:endnote w:type="continuationNotice" w:id="1">
    <w:p w14:paraId="06BE2519" w14:textId="77777777" w:rsidR="00CC4BAF" w:rsidRDefault="00CC4B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7C59" w14:textId="0A16FE9A" w:rsidR="00B66E4E" w:rsidRDefault="00B66E4E">
    <w:pPr>
      <w:pStyle w:val="Voettekst"/>
    </w:pPr>
    <w:r>
      <w:rPr>
        <w:noProof/>
      </w:rPr>
      <mc:AlternateContent>
        <mc:Choice Requires="wps">
          <w:drawing>
            <wp:anchor distT="0" distB="0" distL="0" distR="0" simplePos="0" relativeHeight="251659264" behindDoc="0" locked="0" layoutInCell="1" allowOverlap="1" wp14:anchorId="2F320422" wp14:editId="6A29335F">
              <wp:simplePos x="635" y="635"/>
              <wp:positionH relativeFrom="page">
                <wp:align>left</wp:align>
              </wp:positionH>
              <wp:positionV relativeFrom="page">
                <wp:align>bottom</wp:align>
              </wp:positionV>
              <wp:extent cx="986155" cy="345440"/>
              <wp:effectExtent l="0" t="0" r="4445" b="0"/>
              <wp:wrapNone/>
              <wp:docPr id="15689712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3B10591" w14:textId="192F661E"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320422"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3B10591" w14:textId="192F661E"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EADA" w14:textId="539E9A40" w:rsidR="00B66E4E" w:rsidRDefault="00B66E4E">
    <w:pPr>
      <w:pStyle w:val="Voettekst"/>
    </w:pPr>
    <w:r>
      <w:rPr>
        <w:noProof/>
      </w:rPr>
      <mc:AlternateContent>
        <mc:Choice Requires="wps">
          <w:drawing>
            <wp:anchor distT="0" distB="0" distL="0" distR="0" simplePos="0" relativeHeight="251658240" behindDoc="0" locked="0" layoutInCell="1" allowOverlap="1" wp14:anchorId="069069FC" wp14:editId="44166DC2">
              <wp:simplePos x="635" y="635"/>
              <wp:positionH relativeFrom="page">
                <wp:align>left</wp:align>
              </wp:positionH>
              <wp:positionV relativeFrom="page">
                <wp:align>bottom</wp:align>
              </wp:positionV>
              <wp:extent cx="986155" cy="345440"/>
              <wp:effectExtent l="0" t="0" r="4445" b="0"/>
              <wp:wrapNone/>
              <wp:docPr id="69519143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3CAF5C8" w14:textId="0C43BB4C"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9069FC"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33CAF5C8" w14:textId="0C43BB4C"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038E" w14:textId="77777777" w:rsidR="00CC4BAF" w:rsidRDefault="00CC4BAF">
      <w:pPr>
        <w:pStyle w:val="Amendement"/>
      </w:pPr>
      <w:r>
        <w:rPr>
          <w:b w:val="0"/>
        </w:rPr>
        <w:separator/>
      </w:r>
    </w:p>
  </w:footnote>
  <w:footnote w:type="continuationSeparator" w:id="0">
    <w:p w14:paraId="2992F66C" w14:textId="77777777" w:rsidR="00CC4BAF" w:rsidRDefault="00CC4BAF">
      <w:r>
        <w:continuationSeparator/>
      </w:r>
    </w:p>
  </w:footnote>
  <w:footnote w:type="continuationNotice" w:id="1">
    <w:p w14:paraId="6D75494D" w14:textId="77777777" w:rsidR="00CC4BAF" w:rsidRDefault="00CC4BAF"/>
  </w:footnote>
  <w:footnote w:id="2">
    <w:p w14:paraId="5DAAA7B5" w14:textId="6E2FE378" w:rsidR="00E237C2" w:rsidRPr="0001044F" w:rsidRDefault="00E237C2" w:rsidP="00E237C2">
      <w:pPr>
        <w:pStyle w:val="Voetnoottekst"/>
        <w:rPr>
          <w:sz w:val="20"/>
        </w:rPr>
      </w:pPr>
      <w:r w:rsidRPr="0001044F">
        <w:rPr>
          <w:rStyle w:val="Voetnootmarkering"/>
          <w:sz w:val="20"/>
        </w:rPr>
        <w:footnoteRef/>
      </w:r>
      <w:r w:rsidRPr="0001044F">
        <w:rPr>
          <w:sz w:val="20"/>
        </w:rPr>
        <w:t xml:space="preserve"> Centraal Bureau voor de Statistiek, </w:t>
      </w:r>
      <w:hyperlink r:id="rId1" w:history="1">
        <w:r w:rsidRPr="0001044F">
          <w:rPr>
            <w:rStyle w:val="Hyperlink"/>
            <w:rFonts w:eastAsia="Aptos"/>
            <w:sz w:val="20"/>
          </w:rPr>
          <w:t>https://www.cbs.nl/nl-nl/nieuws/2024/14/1-4-miljoen-woningen-onderdeel-van-vereniging-van-eigenaren</w:t>
        </w:r>
      </w:hyperlink>
      <w:r w:rsidR="0001044F" w:rsidRPr="0001044F">
        <w:rPr>
          <w:sz w:val="20"/>
        </w:rPr>
        <w:t>.</w:t>
      </w:r>
    </w:p>
  </w:footnote>
  <w:footnote w:id="3">
    <w:p w14:paraId="2537F400" w14:textId="3E3668AE" w:rsidR="00E237C2" w:rsidRDefault="00E237C2">
      <w:pPr>
        <w:pStyle w:val="Voetnoottekst"/>
      </w:pPr>
      <w:r w:rsidRPr="0001044F">
        <w:rPr>
          <w:rStyle w:val="Voetnootmarkering"/>
          <w:sz w:val="20"/>
        </w:rPr>
        <w:footnoteRef/>
      </w:r>
      <w:r w:rsidRPr="0001044F">
        <w:rPr>
          <w:sz w:val="20"/>
        </w:rPr>
        <w:t xml:space="preserve"> Centraal Bureau voor de Statistiek, </w:t>
      </w:r>
      <w:hyperlink r:id="rId2" w:history="1">
        <w:r w:rsidRPr="0001044F">
          <w:rPr>
            <w:rStyle w:val="Hyperlink"/>
            <w:sz w:val="20"/>
          </w:rPr>
          <w:t>www.cbs.nl/nl-nl/maatwerk/2023/51/aantallen-en-kenmerken-van-verenigingen-van-eigenaren-2022</w:t>
        </w:r>
      </w:hyperlink>
      <w:r w:rsidR="0001044F" w:rsidRPr="0001044F">
        <w:rPr>
          <w:sz w:val="20"/>
        </w:rPr>
        <w:t>.</w:t>
      </w:r>
      <w:r w:rsidRPr="00E237C2">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D2B"/>
    <w:multiLevelType w:val="hybridMultilevel"/>
    <w:tmpl w:val="488225CA"/>
    <w:lvl w:ilvl="0" w:tplc="2312F19E">
      <w:start w:val="1"/>
      <w:numFmt w:val="decimal"/>
      <w:lvlText w:val="%1."/>
      <w:lvlJc w:val="left"/>
      <w:pPr>
        <w:ind w:left="1020" w:hanging="360"/>
      </w:pPr>
    </w:lvl>
    <w:lvl w:ilvl="1" w:tplc="FF864FB6">
      <w:start w:val="1"/>
      <w:numFmt w:val="decimal"/>
      <w:lvlText w:val="%2."/>
      <w:lvlJc w:val="left"/>
      <w:pPr>
        <w:ind w:left="1020" w:hanging="360"/>
      </w:pPr>
    </w:lvl>
    <w:lvl w:ilvl="2" w:tplc="7B0E4F30">
      <w:start w:val="1"/>
      <w:numFmt w:val="decimal"/>
      <w:lvlText w:val="%3."/>
      <w:lvlJc w:val="left"/>
      <w:pPr>
        <w:ind w:left="1020" w:hanging="360"/>
      </w:pPr>
    </w:lvl>
    <w:lvl w:ilvl="3" w:tplc="450C6C9C">
      <w:start w:val="1"/>
      <w:numFmt w:val="decimal"/>
      <w:lvlText w:val="%4."/>
      <w:lvlJc w:val="left"/>
      <w:pPr>
        <w:ind w:left="1020" w:hanging="360"/>
      </w:pPr>
    </w:lvl>
    <w:lvl w:ilvl="4" w:tplc="30209C52">
      <w:start w:val="1"/>
      <w:numFmt w:val="decimal"/>
      <w:lvlText w:val="%5."/>
      <w:lvlJc w:val="left"/>
      <w:pPr>
        <w:ind w:left="1020" w:hanging="360"/>
      </w:pPr>
    </w:lvl>
    <w:lvl w:ilvl="5" w:tplc="8AC08F30">
      <w:start w:val="1"/>
      <w:numFmt w:val="decimal"/>
      <w:lvlText w:val="%6."/>
      <w:lvlJc w:val="left"/>
      <w:pPr>
        <w:ind w:left="1020" w:hanging="360"/>
      </w:pPr>
    </w:lvl>
    <w:lvl w:ilvl="6" w:tplc="BC965DE0">
      <w:start w:val="1"/>
      <w:numFmt w:val="decimal"/>
      <w:lvlText w:val="%7."/>
      <w:lvlJc w:val="left"/>
      <w:pPr>
        <w:ind w:left="1020" w:hanging="360"/>
      </w:pPr>
    </w:lvl>
    <w:lvl w:ilvl="7" w:tplc="EB3E3430">
      <w:start w:val="1"/>
      <w:numFmt w:val="decimal"/>
      <w:lvlText w:val="%8."/>
      <w:lvlJc w:val="left"/>
      <w:pPr>
        <w:ind w:left="1020" w:hanging="360"/>
      </w:pPr>
    </w:lvl>
    <w:lvl w:ilvl="8" w:tplc="8C82F51E">
      <w:start w:val="1"/>
      <w:numFmt w:val="decimal"/>
      <w:lvlText w:val="%9."/>
      <w:lvlJc w:val="left"/>
      <w:pPr>
        <w:ind w:left="1020" w:hanging="360"/>
      </w:pPr>
    </w:lvl>
  </w:abstractNum>
  <w:abstractNum w:abstractNumId="1" w15:restartNumberingAfterBreak="0">
    <w:nsid w:val="21F6210D"/>
    <w:multiLevelType w:val="hybridMultilevel"/>
    <w:tmpl w:val="8C3422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EA6102"/>
    <w:multiLevelType w:val="hybridMultilevel"/>
    <w:tmpl w:val="57F84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2533EF"/>
    <w:multiLevelType w:val="hybridMultilevel"/>
    <w:tmpl w:val="A7A60C62"/>
    <w:lvl w:ilvl="0" w:tplc="52FAA24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80842195">
    <w:abstractNumId w:val="0"/>
  </w:num>
  <w:num w:numId="2" w16cid:durableId="1518540261">
    <w:abstractNumId w:val="3"/>
  </w:num>
  <w:num w:numId="3" w16cid:durableId="877011830">
    <w:abstractNumId w:val="2"/>
  </w:num>
  <w:num w:numId="4" w16cid:durableId="45483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20"/>
    <w:rsid w:val="0001044F"/>
    <w:rsid w:val="000646FD"/>
    <w:rsid w:val="0007471A"/>
    <w:rsid w:val="00083C20"/>
    <w:rsid w:val="000A0506"/>
    <w:rsid w:val="000B74FF"/>
    <w:rsid w:val="000D17BF"/>
    <w:rsid w:val="00103A1B"/>
    <w:rsid w:val="00157CAF"/>
    <w:rsid w:val="001656EE"/>
    <w:rsid w:val="0016653D"/>
    <w:rsid w:val="001742DA"/>
    <w:rsid w:val="001A0E58"/>
    <w:rsid w:val="001D56AF"/>
    <w:rsid w:val="001E0E21"/>
    <w:rsid w:val="001F0689"/>
    <w:rsid w:val="001F211B"/>
    <w:rsid w:val="00212E0A"/>
    <w:rsid w:val="002153B0"/>
    <w:rsid w:val="0021777F"/>
    <w:rsid w:val="00241DD0"/>
    <w:rsid w:val="0025317E"/>
    <w:rsid w:val="00262C3F"/>
    <w:rsid w:val="002A0713"/>
    <w:rsid w:val="002B0AA3"/>
    <w:rsid w:val="002F4175"/>
    <w:rsid w:val="00300E29"/>
    <w:rsid w:val="00311864"/>
    <w:rsid w:val="00325234"/>
    <w:rsid w:val="003878B3"/>
    <w:rsid w:val="003C21AC"/>
    <w:rsid w:val="003C5218"/>
    <w:rsid w:val="003C7876"/>
    <w:rsid w:val="003E1D06"/>
    <w:rsid w:val="003E2308"/>
    <w:rsid w:val="003E2F98"/>
    <w:rsid w:val="003F7167"/>
    <w:rsid w:val="0042574B"/>
    <w:rsid w:val="004330ED"/>
    <w:rsid w:val="0043576D"/>
    <w:rsid w:val="00450960"/>
    <w:rsid w:val="00454370"/>
    <w:rsid w:val="00481C91"/>
    <w:rsid w:val="00485A3B"/>
    <w:rsid w:val="004911E3"/>
    <w:rsid w:val="00497D57"/>
    <w:rsid w:val="004A1E29"/>
    <w:rsid w:val="004A7DD4"/>
    <w:rsid w:val="004B50D8"/>
    <w:rsid w:val="004B5B90"/>
    <w:rsid w:val="004F2A56"/>
    <w:rsid w:val="004F7F1F"/>
    <w:rsid w:val="00501109"/>
    <w:rsid w:val="00510948"/>
    <w:rsid w:val="005703C9"/>
    <w:rsid w:val="005767CB"/>
    <w:rsid w:val="00597703"/>
    <w:rsid w:val="005A6097"/>
    <w:rsid w:val="005B07DD"/>
    <w:rsid w:val="005B1DCC"/>
    <w:rsid w:val="005B3CDF"/>
    <w:rsid w:val="005B7323"/>
    <w:rsid w:val="005C25B9"/>
    <w:rsid w:val="005F6C31"/>
    <w:rsid w:val="00601F95"/>
    <w:rsid w:val="00611B83"/>
    <w:rsid w:val="006267E6"/>
    <w:rsid w:val="00626C5D"/>
    <w:rsid w:val="00637983"/>
    <w:rsid w:val="00642FAA"/>
    <w:rsid w:val="006558D2"/>
    <w:rsid w:val="00672D25"/>
    <w:rsid w:val="006738BC"/>
    <w:rsid w:val="006850B4"/>
    <w:rsid w:val="006C13F4"/>
    <w:rsid w:val="006D3E69"/>
    <w:rsid w:val="006E0971"/>
    <w:rsid w:val="006E2E39"/>
    <w:rsid w:val="006F576D"/>
    <w:rsid w:val="00735D54"/>
    <w:rsid w:val="007603B9"/>
    <w:rsid w:val="0076601B"/>
    <w:rsid w:val="007709F6"/>
    <w:rsid w:val="00783215"/>
    <w:rsid w:val="00783AEE"/>
    <w:rsid w:val="007965FC"/>
    <w:rsid w:val="007A50E3"/>
    <w:rsid w:val="007D2608"/>
    <w:rsid w:val="008164E5"/>
    <w:rsid w:val="00822300"/>
    <w:rsid w:val="00830081"/>
    <w:rsid w:val="00845CA5"/>
    <w:rsid w:val="008467D7"/>
    <w:rsid w:val="0085017A"/>
    <w:rsid w:val="00852541"/>
    <w:rsid w:val="008543BE"/>
    <w:rsid w:val="008563F0"/>
    <w:rsid w:val="00865D47"/>
    <w:rsid w:val="0088452C"/>
    <w:rsid w:val="008855D1"/>
    <w:rsid w:val="008B29B8"/>
    <w:rsid w:val="008B5053"/>
    <w:rsid w:val="008D7DCB"/>
    <w:rsid w:val="008E6480"/>
    <w:rsid w:val="00903EFA"/>
    <w:rsid w:val="009055DB"/>
    <w:rsid w:val="00905ECB"/>
    <w:rsid w:val="00914DED"/>
    <w:rsid w:val="00917E15"/>
    <w:rsid w:val="0096165D"/>
    <w:rsid w:val="00966191"/>
    <w:rsid w:val="00993935"/>
    <w:rsid w:val="00993E91"/>
    <w:rsid w:val="009A1F3F"/>
    <w:rsid w:val="009A409F"/>
    <w:rsid w:val="009B4316"/>
    <w:rsid w:val="009B5845"/>
    <w:rsid w:val="009B64AB"/>
    <w:rsid w:val="009C0C1F"/>
    <w:rsid w:val="009D0089"/>
    <w:rsid w:val="00A10505"/>
    <w:rsid w:val="00A1288B"/>
    <w:rsid w:val="00A53203"/>
    <w:rsid w:val="00A61DE0"/>
    <w:rsid w:val="00A63827"/>
    <w:rsid w:val="00A772EB"/>
    <w:rsid w:val="00AF1868"/>
    <w:rsid w:val="00B01BA6"/>
    <w:rsid w:val="00B10C6D"/>
    <w:rsid w:val="00B41863"/>
    <w:rsid w:val="00B4708A"/>
    <w:rsid w:val="00B557BA"/>
    <w:rsid w:val="00B62F1A"/>
    <w:rsid w:val="00B66E4E"/>
    <w:rsid w:val="00B74D2B"/>
    <w:rsid w:val="00B9466F"/>
    <w:rsid w:val="00BE5976"/>
    <w:rsid w:val="00BF623B"/>
    <w:rsid w:val="00C035D4"/>
    <w:rsid w:val="00C07719"/>
    <w:rsid w:val="00C2424B"/>
    <w:rsid w:val="00C679BF"/>
    <w:rsid w:val="00C81BBD"/>
    <w:rsid w:val="00CC4BAF"/>
    <w:rsid w:val="00CD3132"/>
    <w:rsid w:val="00CE27CD"/>
    <w:rsid w:val="00D133B9"/>
    <w:rsid w:val="00D134F3"/>
    <w:rsid w:val="00D20299"/>
    <w:rsid w:val="00D2465E"/>
    <w:rsid w:val="00D441C6"/>
    <w:rsid w:val="00D47D01"/>
    <w:rsid w:val="00D66682"/>
    <w:rsid w:val="00D774B3"/>
    <w:rsid w:val="00DD35A5"/>
    <w:rsid w:val="00DE2948"/>
    <w:rsid w:val="00DE6309"/>
    <w:rsid w:val="00DE7C1F"/>
    <w:rsid w:val="00DF2ABE"/>
    <w:rsid w:val="00DF68BE"/>
    <w:rsid w:val="00DF712A"/>
    <w:rsid w:val="00E12706"/>
    <w:rsid w:val="00E237C2"/>
    <w:rsid w:val="00E25DF4"/>
    <w:rsid w:val="00E3485D"/>
    <w:rsid w:val="00E6335D"/>
    <w:rsid w:val="00E6619B"/>
    <w:rsid w:val="00E908D7"/>
    <w:rsid w:val="00EA1CE4"/>
    <w:rsid w:val="00EA69AC"/>
    <w:rsid w:val="00EB40A1"/>
    <w:rsid w:val="00EB4355"/>
    <w:rsid w:val="00EC3112"/>
    <w:rsid w:val="00ED5E57"/>
    <w:rsid w:val="00EE1BD8"/>
    <w:rsid w:val="00F179E8"/>
    <w:rsid w:val="00F45DC1"/>
    <w:rsid w:val="00F66C1C"/>
    <w:rsid w:val="00F67939"/>
    <w:rsid w:val="00F962D3"/>
    <w:rsid w:val="00FA1C0A"/>
    <w:rsid w:val="00FA5BBE"/>
    <w:rsid w:val="00FA5FFB"/>
    <w:rsid w:val="00FA6689"/>
    <w:rsid w:val="00FC311E"/>
    <w:rsid w:val="00FD68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1319A"/>
  <w15:docId w15:val="{0FA4E7F7-9975-498F-A272-CA651013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543BE"/>
    <w:rPr>
      <w:sz w:val="24"/>
    </w:rPr>
  </w:style>
  <w:style w:type="paragraph" w:styleId="Lijstalinea">
    <w:name w:val="List Paragraph"/>
    <w:basedOn w:val="Standaard"/>
    <w:uiPriority w:val="34"/>
    <w:qFormat/>
    <w:rsid w:val="00FC311E"/>
    <w:pPr>
      <w:ind w:left="720"/>
      <w:contextualSpacing/>
    </w:pPr>
  </w:style>
  <w:style w:type="character" w:styleId="Verwijzingopmerking">
    <w:name w:val="annotation reference"/>
    <w:basedOn w:val="Standaardalinea-lettertype"/>
    <w:semiHidden/>
    <w:unhideWhenUsed/>
    <w:rsid w:val="00454370"/>
    <w:rPr>
      <w:sz w:val="16"/>
      <w:szCs w:val="16"/>
    </w:rPr>
  </w:style>
  <w:style w:type="paragraph" w:styleId="Tekstopmerking">
    <w:name w:val="annotation text"/>
    <w:basedOn w:val="Standaard"/>
    <w:link w:val="TekstopmerkingChar"/>
    <w:unhideWhenUsed/>
    <w:rsid w:val="00454370"/>
    <w:rPr>
      <w:sz w:val="20"/>
    </w:rPr>
  </w:style>
  <w:style w:type="character" w:customStyle="1" w:styleId="TekstopmerkingChar">
    <w:name w:val="Tekst opmerking Char"/>
    <w:basedOn w:val="Standaardalinea-lettertype"/>
    <w:link w:val="Tekstopmerking"/>
    <w:rsid w:val="00454370"/>
  </w:style>
  <w:style w:type="paragraph" w:styleId="Onderwerpvanopmerking">
    <w:name w:val="annotation subject"/>
    <w:basedOn w:val="Tekstopmerking"/>
    <w:next w:val="Tekstopmerking"/>
    <w:link w:val="OnderwerpvanopmerkingChar"/>
    <w:semiHidden/>
    <w:unhideWhenUsed/>
    <w:rsid w:val="00454370"/>
    <w:rPr>
      <w:b/>
      <w:bCs/>
    </w:rPr>
  </w:style>
  <w:style w:type="character" w:customStyle="1" w:styleId="OnderwerpvanopmerkingChar">
    <w:name w:val="Onderwerp van opmerking Char"/>
    <w:basedOn w:val="TekstopmerkingChar"/>
    <w:link w:val="Onderwerpvanopmerking"/>
    <w:semiHidden/>
    <w:rsid w:val="00454370"/>
    <w:rPr>
      <w:b/>
      <w:bCs/>
    </w:rPr>
  </w:style>
  <w:style w:type="character" w:styleId="Hyperlink">
    <w:name w:val="Hyperlink"/>
    <w:basedOn w:val="Standaardalinea-lettertype"/>
    <w:uiPriority w:val="99"/>
    <w:unhideWhenUsed/>
    <w:rsid w:val="00450960"/>
    <w:rPr>
      <w:color w:val="0000FF" w:themeColor="hyperlink"/>
      <w:u w:val="single"/>
    </w:rPr>
  </w:style>
  <w:style w:type="character" w:styleId="Voetnootmarkering">
    <w:name w:val="footnote reference"/>
    <w:basedOn w:val="Standaardalinea-lettertype"/>
    <w:uiPriority w:val="99"/>
    <w:semiHidden/>
    <w:unhideWhenUsed/>
    <w:rsid w:val="00450960"/>
    <w:rPr>
      <w:vertAlign w:val="superscript"/>
    </w:rPr>
  </w:style>
  <w:style w:type="character" w:styleId="GevolgdeHyperlink">
    <w:name w:val="FollowedHyperlink"/>
    <w:basedOn w:val="Standaardalinea-lettertype"/>
    <w:semiHidden/>
    <w:unhideWhenUsed/>
    <w:rsid w:val="002F4175"/>
    <w:rPr>
      <w:color w:val="800080" w:themeColor="followedHyperlink"/>
      <w:u w:val="single"/>
    </w:rPr>
  </w:style>
  <w:style w:type="character" w:styleId="Onopgelostemelding">
    <w:name w:val="Unresolved Mention"/>
    <w:basedOn w:val="Standaardalinea-lettertype"/>
    <w:uiPriority w:val="99"/>
    <w:semiHidden/>
    <w:unhideWhenUsed/>
    <w:rsid w:val="00E23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1884">
      <w:bodyDiv w:val="1"/>
      <w:marLeft w:val="0"/>
      <w:marRight w:val="0"/>
      <w:marTop w:val="0"/>
      <w:marBottom w:val="0"/>
      <w:divBdr>
        <w:top w:val="none" w:sz="0" w:space="0" w:color="auto"/>
        <w:left w:val="none" w:sz="0" w:space="0" w:color="auto"/>
        <w:bottom w:val="none" w:sz="0" w:space="0" w:color="auto"/>
        <w:right w:val="none" w:sz="0" w:space="0" w:color="auto"/>
      </w:divBdr>
    </w:div>
    <w:div w:id="166097177">
      <w:bodyDiv w:val="1"/>
      <w:marLeft w:val="0"/>
      <w:marRight w:val="0"/>
      <w:marTop w:val="0"/>
      <w:marBottom w:val="0"/>
      <w:divBdr>
        <w:top w:val="none" w:sz="0" w:space="0" w:color="auto"/>
        <w:left w:val="none" w:sz="0" w:space="0" w:color="auto"/>
        <w:bottom w:val="none" w:sz="0" w:space="0" w:color="auto"/>
        <w:right w:val="none" w:sz="0" w:space="0" w:color="auto"/>
      </w:divBdr>
    </w:div>
    <w:div w:id="627585467">
      <w:bodyDiv w:val="1"/>
      <w:marLeft w:val="0"/>
      <w:marRight w:val="0"/>
      <w:marTop w:val="0"/>
      <w:marBottom w:val="0"/>
      <w:divBdr>
        <w:top w:val="none" w:sz="0" w:space="0" w:color="auto"/>
        <w:left w:val="none" w:sz="0" w:space="0" w:color="auto"/>
        <w:bottom w:val="none" w:sz="0" w:space="0" w:color="auto"/>
        <w:right w:val="none" w:sz="0" w:space="0" w:color="auto"/>
      </w:divBdr>
    </w:div>
    <w:div w:id="1243763087">
      <w:bodyDiv w:val="1"/>
      <w:marLeft w:val="0"/>
      <w:marRight w:val="0"/>
      <w:marTop w:val="0"/>
      <w:marBottom w:val="0"/>
      <w:divBdr>
        <w:top w:val="none" w:sz="0" w:space="0" w:color="auto"/>
        <w:left w:val="none" w:sz="0" w:space="0" w:color="auto"/>
        <w:bottom w:val="none" w:sz="0" w:space="0" w:color="auto"/>
        <w:right w:val="none" w:sz="0" w:space="0" w:color="auto"/>
      </w:divBdr>
    </w:div>
    <w:div w:id="1354572710">
      <w:bodyDiv w:val="1"/>
      <w:marLeft w:val="0"/>
      <w:marRight w:val="0"/>
      <w:marTop w:val="0"/>
      <w:marBottom w:val="0"/>
      <w:divBdr>
        <w:top w:val="none" w:sz="0" w:space="0" w:color="auto"/>
        <w:left w:val="none" w:sz="0" w:space="0" w:color="auto"/>
        <w:bottom w:val="none" w:sz="0" w:space="0" w:color="auto"/>
        <w:right w:val="none" w:sz="0" w:space="0" w:color="auto"/>
      </w:divBdr>
    </w:div>
    <w:div w:id="1637838101">
      <w:bodyDiv w:val="1"/>
      <w:marLeft w:val="0"/>
      <w:marRight w:val="0"/>
      <w:marTop w:val="0"/>
      <w:marBottom w:val="0"/>
      <w:divBdr>
        <w:top w:val="none" w:sz="0" w:space="0" w:color="auto"/>
        <w:left w:val="none" w:sz="0" w:space="0" w:color="auto"/>
        <w:bottom w:val="none" w:sz="0" w:space="0" w:color="auto"/>
        <w:right w:val="none" w:sz="0" w:space="0" w:color="auto"/>
      </w:divBdr>
    </w:div>
    <w:div w:id="18131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cbs.nl/nl-nl/maatwerk/2023/51/aantallen-en-kenmerken-van-verenigingen-van-eigenaren-2022" TargetMode="External"/><Relationship Id="rId1" Type="http://schemas.openxmlformats.org/officeDocument/2006/relationships/hyperlink" Target="https://www.cbs.nl/nl-nl/nieuws/2024/14/1-4-miljoen-woningen-onderdeel-van-vereniging-van-eigena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628</ap:Words>
  <ap:Characters>3493</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2025-06-06T13:32:00.0000000Z</lastPrinted>
  <dcterms:created xsi:type="dcterms:W3CDTF">2025-06-19T17:32:00.0000000Z</dcterms:created>
  <dcterms:modified xsi:type="dcterms:W3CDTF">2025-06-19T17:33:00.0000000Z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296fc787,5d8499e5,6a19b00a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