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416E" w:rsidP="006E1AE7" w:rsidRDefault="00E30C19" w14:paraId="28630DBA" w14:textId="3A3EECA9">
      <w:pPr>
        <w:spacing w:line="276" w:lineRule="auto"/>
      </w:pPr>
      <w:r>
        <w:t>Geachte voorzitter,</w:t>
      </w:r>
    </w:p>
    <w:p w:rsidR="00E30C19" w:rsidP="006E1AE7" w:rsidRDefault="00E30C19" w14:paraId="6D4672A5" w14:textId="77777777">
      <w:pPr>
        <w:spacing w:line="276" w:lineRule="auto"/>
      </w:pPr>
    </w:p>
    <w:p w:rsidR="00E30C19" w:rsidP="006E1AE7" w:rsidRDefault="00AA13C4" w14:paraId="14E51536" w14:textId="63D13E71">
      <w:pPr>
        <w:spacing w:line="276" w:lineRule="auto"/>
      </w:pPr>
      <w:r>
        <w:t xml:space="preserve">Graag informeer ik </w:t>
      </w:r>
      <w:r w:rsidR="00E30C19">
        <w:t xml:space="preserve">uw Kamer over twee </w:t>
      </w:r>
      <w:r w:rsidR="0018200C">
        <w:t>concept-</w:t>
      </w:r>
      <w:r w:rsidR="00E30C19">
        <w:t>Raadsbesluit</w:t>
      </w:r>
      <w:r w:rsidR="0018200C">
        <w:t>en</w:t>
      </w:r>
      <w:r w:rsidR="0010128E">
        <w:rPr>
          <w:rStyle w:val="FootnoteReference"/>
        </w:rPr>
        <w:footnoteReference w:id="1"/>
      </w:r>
      <w:r w:rsidR="00E30C19">
        <w:t xml:space="preserve"> </w:t>
      </w:r>
      <w:r>
        <w:t xml:space="preserve">die zien op de ondertekening </w:t>
      </w:r>
      <w:r w:rsidR="00DF5642">
        <w:t xml:space="preserve">door de EU respectievelijk Euratom </w:t>
      </w:r>
      <w:r>
        <w:t xml:space="preserve">van een </w:t>
      </w:r>
      <w:r w:rsidRPr="00240F9C">
        <w:t xml:space="preserve">juridisch bindende overeenkomst betreffende de interpretatie en toepassing </w:t>
      </w:r>
      <w:r w:rsidR="00EB62CC">
        <w:t xml:space="preserve">binnen de EU </w:t>
      </w:r>
      <w:r w:rsidRPr="00240F9C">
        <w:t xml:space="preserve">van het </w:t>
      </w:r>
      <w:r w:rsidR="0018200C">
        <w:t xml:space="preserve">Energiehandvestverdrag </w:t>
      </w:r>
      <w:r w:rsidR="001E7311">
        <w:t>(</w:t>
      </w:r>
      <w:r w:rsidR="001E7311">
        <w:rPr>
          <w:i/>
          <w:iCs/>
        </w:rPr>
        <w:t xml:space="preserve">Energy Charter </w:t>
      </w:r>
      <w:proofErr w:type="spellStart"/>
      <w:r w:rsidR="001E7311">
        <w:rPr>
          <w:i/>
          <w:iCs/>
        </w:rPr>
        <w:t>Treaty</w:t>
      </w:r>
      <w:proofErr w:type="spellEnd"/>
      <w:r w:rsidR="001E7311">
        <w:rPr>
          <w:i/>
          <w:iCs/>
        </w:rPr>
        <w:t xml:space="preserve">, </w:t>
      </w:r>
      <w:r w:rsidRPr="00A35B20" w:rsidR="001E7311">
        <w:t>het</w:t>
      </w:r>
      <w:r w:rsidR="001E7311">
        <w:rPr>
          <w:i/>
          <w:iCs/>
        </w:rPr>
        <w:t xml:space="preserve"> “</w:t>
      </w:r>
      <w:r w:rsidRPr="00A35B20" w:rsidR="001E7311">
        <w:t>ECT</w:t>
      </w:r>
      <w:r w:rsidR="001E7311">
        <w:rPr>
          <w:i/>
          <w:iCs/>
        </w:rPr>
        <w:t>”</w:t>
      </w:r>
      <w:r>
        <w:t xml:space="preserve">). </w:t>
      </w:r>
      <w:r w:rsidR="00DF5642">
        <w:t xml:space="preserve">In deze brief wordt ingegaan op de achtergrond en inhoud van de voorstellen, appreciatie, en het standpunt dat het kabinet zal innemen bij besluitvorming in de Raad. </w:t>
      </w:r>
    </w:p>
    <w:p w:rsidR="00E30C19" w:rsidP="006E1AE7" w:rsidRDefault="00E30C19" w14:paraId="729A3C94" w14:textId="77777777">
      <w:pPr>
        <w:spacing w:line="276" w:lineRule="auto"/>
      </w:pPr>
    </w:p>
    <w:p w:rsidRPr="00E30C19" w:rsidR="00E30C19" w:rsidP="006E1AE7" w:rsidRDefault="00E30C19" w14:paraId="4D9C2A60" w14:textId="1D2FFB79">
      <w:pPr>
        <w:spacing w:line="276" w:lineRule="auto"/>
        <w:rPr>
          <w:u w:val="single"/>
        </w:rPr>
      </w:pPr>
      <w:r w:rsidRPr="00E30C19">
        <w:rPr>
          <w:u w:val="single"/>
        </w:rPr>
        <w:t xml:space="preserve">Achtergrond </w:t>
      </w:r>
      <w:r w:rsidR="00990383">
        <w:rPr>
          <w:u w:val="single"/>
        </w:rPr>
        <w:t xml:space="preserve">en inhoud </w:t>
      </w:r>
    </w:p>
    <w:p w:rsidR="00E30C19" w:rsidP="006E1AE7" w:rsidRDefault="00E30C19" w14:paraId="72781E55" w14:textId="77777777">
      <w:pPr>
        <w:spacing w:line="276" w:lineRule="auto"/>
      </w:pPr>
    </w:p>
    <w:p w:rsidRPr="00240F9C" w:rsidR="00367817" w:rsidP="006E1AE7" w:rsidRDefault="0018200C" w14:paraId="7BF44FFF" w14:textId="2146C20B">
      <w:pPr>
        <w:spacing w:line="276" w:lineRule="auto"/>
      </w:pPr>
      <w:r>
        <w:t>Deze concept-Raadsbesluiten volgen op eerdere uitspraken van h</w:t>
      </w:r>
      <w:r w:rsidR="00222B30">
        <w:t xml:space="preserve">et </w:t>
      </w:r>
      <w:r w:rsidRPr="00240F9C" w:rsidR="00367817">
        <w:t>Europees Hof van Justitie</w:t>
      </w:r>
      <w:r>
        <w:t>.</w:t>
      </w:r>
      <w:r w:rsidRPr="00A52EFD" w:rsidR="00163741">
        <w:rPr>
          <w:rStyle w:val="FootnoteReference"/>
        </w:rPr>
        <w:footnoteReference w:id="2"/>
      </w:r>
      <w:r w:rsidR="00163741">
        <w:t xml:space="preserve"> </w:t>
      </w:r>
      <w:r>
        <w:t>Het Hof</w:t>
      </w:r>
      <w:r w:rsidRPr="00240F9C" w:rsidR="00367817">
        <w:t xml:space="preserve"> </w:t>
      </w:r>
      <w:r>
        <w:t xml:space="preserve">oordeelde </w:t>
      </w:r>
      <w:r w:rsidRPr="00240F9C" w:rsidR="00367817">
        <w:t>dat intra-EU</w:t>
      </w:r>
      <w:r>
        <w:t>-</w:t>
      </w:r>
      <w:r w:rsidRPr="00240F9C" w:rsidR="00367817">
        <w:t>arbitrage tussen een investeerder uit een EU-lidstaat </w:t>
      </w:r>
      <w:r w:rsidR="00EB62CC">
        <w:t xml:space="preserve">enerzijds </w:t>
      </w:r>
      <w:r w:rsidRPr="00240F9C" w:rsidR="00367817">
        <w:t>en een andere EU</w:t>
      </w:r>
      <w:r>
        <w:t>-</w:t>
      </w:r>
      <w:r w:rsidRPr="00240F9C" w:rsidR="00367817">
        <w:t>lidstaat </w:t>
      </w:r>
      <w:r w:rsidR="00EB62CC">
        <w:t xml:space="preserve">anderzijds </w:t>
      </w:r>
      <w:r w:rsidRPr="00240F9C" w:rsidR="00367817">
        <w:t>in strijd is met Europees recht</w:t>
      </w:r>
      <w:r w:rsidR="00A35B20">
        <w:t xml:space="preserve">. Ook </w:t>
      </w:r>
      <w:r>
        <w:t xml:space="preserve">oordeelde </w:t>
      </w:r>
      <w:r w:rsidR="00A35B20">
        <w:t xml:space="preserve">het </w:t>
      </w:r>
      <w:r>
        <w:t>H</w:t>
      </w:r>
      <w:r w:rsidR="00A35B20">
        <w:t xml:space="preserve">of </w:t>
      </w:r>
      <w:r w:rsidRPr="00240F9C" w:rsidR="00367817">
        <w:t>dat de arbitragebepaling (artikel 26</w:t>
      </w:r>
      <w:r w:rsidR="00305C27">
        <w:t>(2)(c)</w:t>
      </w:r>
      <w:r w:rsidRPr="00240F9C" w:rsidR="00367817">
        <w:t xml:space="preserve">) uit het </w:t>
      </w:r>
      <w:r w:rsidRPr="00A35B20" w:rsidR="00A35B20">
        <w:t>ECT</w:t>
      </w:r>
      <w:r w:rsidRPr="00240F9C" w:rsidR="00367817">
        <w:t xml:space="preserve"> niet van toepassing is op intra-EU geschillen</w:t>
      </w:r>
      <w:r w:rsidR="005D7A0C">
        <w:t xml:space="preserve">. Desondanks </w:t>
      </w:r>
      <w:r w:rsidRPr="00240F9C" w:rsidR="00367817">
        <w:t xml:space="preserve">zijn er nog steeds arbitragetribunalen die deze jurisprudentie naast zich neerleggen en </w:t>
      </w:r>
      <w:r w:rsidR="00C70BB6">
        <w:t xml:space="preserve">EU-investeerders die een </w:t>
      </w:r>
      <w:r w:rsidRPr="00240F9C" w:rsidR="00367817">
        <w:t>intra-EU</w:t>
      </w:r>
      <w:r>
        <w:t>-</w:t>
      </w:r>
      <w:r w:rsidRPr="00240F9C" w:rsidR="00367817">
        <w:t xml:space="preserve">geschil </w:t>
      </w:r>
      <w:r w:rsidR="00C70BB6">
        <w:t xml:space="preserve">starten </w:t>
      </w:r>
      <w:r w:rsidR="005B3498">
        <w:t xml:space="preserve">tegen een EU-lidstaat </w:t>
      </w:r>
      <w:r w:rsidR="00C70BB6">
        <w:t>op grond van</w:t>
      </w:r>
      <w:r w:rsidRPr="00240F9C" w:rsidR="00C70BB6">
        <w:t xml:space="preserve"> </w:t>
      </w:r>
      <w:r w:rsidRPr="00240F9C" w:rsidR="00367817">
        <w:t>het ECT ontvankelijk verklaren. </w:t>
      </w:r>
    </w:p>
    <w:p w:rsidRPr="00240F9C" w:rsidR="00E30C19" w:rsidP="006E1AE7" w:rsidRDefault="00E30C19" w14:paraId="3AE1F36D" w14:textId="77777777">
      <w:pPr>
        <w:spacing w:line="276" w:lineRule="auto"/>
      </w:pPr>
    </w:p>
    <w:p w:rsidR="00367817" w:rsidP="006E1AE7" w:rsidRDefault="0059436C" w14:paraId="66ADDBAD" w14:textId="162C0771">
      <w:pPr>
        <w:spacing w:line="276" w:lineRule="auto"/>
      </w:pPr>
      <w:r>
        <w:t>Tegen deze achtergrond</w:t>
      </w:r>
      <w:r w:rsidRPr="00240F9C" w:rsidR="00367817">
        <w:t xml:space="preserve"> hebben de EU</w:t>
      </w:r>
      <w:r w:rsidR="0018200C">
        <w:t>-</w:t>
      </w:r>
      <w:r w:rsidRPr="00240F9C" w:rsidR="00367817">
        <w:t>lidstaten en de</w:t>
      </w:r>
      <w:r w:rsidR="00CC48DB">
        <w:t xml:space="preserve"> Europese</w:t>
      </w:r>
      <w:r w:rsidRPr="00240F9C" w:rsidR="00367817">
        <w:t xml:space="preserve"> Commissie onderhandeld over een juridisch bindend</w:t>
      </w:r>
      <w:r w:rsidR="00CC48DB">
        <w:t xml:space="preserve"> instrument</w:t>
      </w:r>
      <w:r w:rsidR="00B57D16">
        <w:t xml:space="preserve"> dat de jurisprudentie </w:t>
      </w:r>
      <w:r w:rsidR="00E84507">
        <w:t xml:space="preserve">van het Europees Hof van Justitie </w:t>
      </w:r>
      <w:r w:rsidR="00B57D16">
        <w:t>bevestigt.</w:t>
      </w:r>
      <w:r w:rsidR="00B84543">
        <w:rPr>
          <w:rStyle w:val="FootnoteReference"/>
        </w:rPr>
        <w:footnoteReference w:id="3"/>
      </w:r>
      <w:r w:rsidR="00CC48DB">
        <w:t xml:space="preserve"> </w:t>
      </w:r>
      <w:r w:rsidR="00B57D16">
        <w:t>D</w:t>
      </w:r>
      <w:r w:rsidR="00CC48DB">
        <w:t xml:space="preserve">at heeft geleid tot </w:t>
      </w:r>
      <w:r w:rsidR="00EB62CC">
        <w:t>een o</w:t>
      </w:r>
      <w:r w:rsidR="00CC48DB">
        <w:t xml:space="preserve">vereenkomst. </w:t>
      </w:r>
      <w:r w:rsidRPr="00240F9C" w:rsidR="00240F9C">
        <w:t xml:space="preserve">Hierin bevestigen de </w:t>
      </w:r>
      <w:r w:rsidRPr="00240F9C" w:rsidR="00367817">
        <w:t xml:space="preserve">partijen hun gemeenschappelijke interpretatie dat artikel 26 ECT niet van toepassing is en nooit had mogen worden toegepast als </w:t>
      </w:r>
      <w:r w:rsidR="00C70BB6">
        <w:t>grondslag</w:t>
      </w:r>
      <w:r w:rsidRPr="00240F9C" w:rsidR="00C70BB6">
        <w:t xml:space="preserve"> </w:t>
      </w:r>
      <w:r w:rsidRPr="00240F9C" w:rsidR="00367817">
        <w:t>voor intra-EU</w:t>
      </w:r>
      <w:r w:rsidR="0018200C">
        <w:t>-</w:t>
      </w:r>
      <w:r w:rsidRPr="00240F9C" w:rsidR="00367817">
        <w:t>arbitrageprocedures. </w:t>
      </w:r>
    </w:p>
    <w:p w:rsidR="006E1AE7" w:rsidP="006E1AE7" w:rsidRDefault="006E1AE7" w14:paraId="14241EAC" w14:textId="77777777">
      <w:pPr>
        <w:spacing w:line="276" w:lineRule="auto"/>
      </w:pPr>
    </w:p>
    <w:p w:rsidR="002A16FA" w:rsidP="006E1AE7" w:rsidRDefault="00A35B20" w14:paraId="4F3F1AFF" w14:textId="06B6D28E">
      <w:pPr>
        <w:spacing w:line="276" w:lineRule="auto"/>
      </w:pPr>
      <w:r>
        <w:lastRenderedPageBreak/>
        <w:t>De</w:t>
      </w:r>
      <w:r w:rsidR="00990383">
        <w:t xml:space="preserve"> </w:t>
      </w:r>
      <w:r>
        <w:t xml:space="preserve">onderhandelingen </w:t>
      </w:r>
      <w:r w:rsidR="00990383">
        <w:t xml:space="preserve">over </w:t>
      </w:r>
      <w:r w:rsidR="00EB62CC">
        <w:t>deze overeenkomst</w:t>
      </w:r>
      <w:r w:rsidR="00990383">
        <w:t xml:space="preserve"> </w:t>
      </w:r>
      <w:r>
        <w:t>zijn in juni 2024 afgerond.</w:t>
      </w:r>
      <w:r w:rsidR="00A80EF7">
        <w:t xml:space="preserve"> Om toe te treden tot de </w:t>
      </w:r>
      <w:r w:rsidR="00EB62CC">
        <w:t>o</w:t>
      </w:r>
      <w:r w:rsidR="00A80EF7">
        <w:t>vereenkomst zullen de EU-lidstaten afzonderlijk hun gebruikelijke nationale goedkeuringsprocedures voor toetreding doorlopen.</w:t>
      </w:r>
      <w:r>
        <w:t xml:space="preserve"> </w:t>
      </w:r>
      <w:r w:rsidR="002A16FA">
        <w:t>Aangezien de EU en Euratom ook partij zijn bij het ECT</w:t>
      </w:r>
      <w:r w:rsidR="00B704A7">
        <w:t>,</w:t>
      </w:r>
      <w:r w:rsidR="00AA76F5">
        <w:rPr>
          <w:rStyle w:val="FootnoteReference"/>
        </w:rPr>
        <w:footnoteReference w:id="4"/>
      </w:r>
      <w:r w:rsidR="002A16FA">
        <w:t xml:space="preserve"> </w:t>
      </w:r>
      <w:r w:rsidR="00EB62CC">
        <w:t>zullen</w:t>
      </w:r>
      <w:r w:rsidR="002A16FA">
        <w:t xml:space="preserve"> zij </w:t>
      </w:r>
      <w:r w:rsidR="00C70BB6">
        <w:t xml:space="preserve">ook </w:t>
      </w:r>
      <w:r w:rsidR="002A16FA">
        <w:t>partij worden bij de</w:t>
      </w:r>
      <w:r w:rsidR="00EB62CC">
        <w:t>ze</w:t>
      </w:r>
      <w:r w:rsidR="002A16FA">
        <w:t xml:space="preserve"> </w:t>
      </w:r>
      <w:r w:rsidR="00EB62CC">
        <w:t>intra-EU o</w:t>
      </w:r>
      <w:r w:rsidR="002A16FA">
        <w:t>vereenkomst</w:t>
      </w:r>
      <w:r w:rsidR="00EB62CC">
        <w:t xml:space="preserve"> over de toepassing van het ECT binnen de EU</w:t>
      </w:r>
      <w:r w:rsidR="002A16FA">
        <w:t xml:space="preserve">. </w:t>
      </w:r>
      <w:r w:rsidR="001B628F">
        <w:t xml:space="preserve">De Commissie heeft </w:t>
      </w:r>
      <w:r w:rsidR="002A16FA">
        <w:t xml:space="preserve">daarom </w:t>
      </w:r>
      <w:r w:rsidR="001B628F">
        <w:t xml:space="preserve">twee </w:t>
      </w:r>
      <w:r w:rsidR="00E84507">
        <w:t xml:space="preserve">voorstellen voor </w:t>
      </w:r>
      <w:r w:rsidR="001B628F">
        <w:t>Raadsbesluit</w:t>
      </w:r>
      <w:r w:rsidR="00E84507">
        <w:t>en</w:t>
      </w:r>
      <w:r w:rsidR="001B628F">
        <w:t xml:space="preserve"> gedeeld die zien op de </w:t>
      </w:r>
      <w:r w:rsidR="00B325AD">
        <w:t>ondertekening en goedkeuring</w:t>
      </w:r>
      <w:r w:rsidR="001B628F">
        <w:t xml:space="preserve"> van de Overeenkomst door de EU respectievelijk Euratom</w:t>
      </w:r>
      <w:r w:rsidR="00921CF8">
        <w:t>.</w:t>
      </w:r>
      <w:r w:rsidR="00B325AD">
        <w:t xml:space="preserve"> </w:t>
      </w:r>
    </w:p>
    <w:p w:rsidRPr="00D35754" w:rsidR="006E1AE7" w:rsidP="006E1AE7" w:rsidRDefault="006E1AE7" w14:paraId="7A56813B" w14:textId="77777777">
      <w:pPr>
        <w:pStyle w:val="paragraph"/>
        <w:spacing w:before="0" w:beforeAutospacing="0" w:after="0" w:afterAutospacing="0" w:line="276" w:lineRule="auto"/>
        <w:jc w:val="both"/>
        <w:textAlignment w:val="baseline"/>
        <w:rPr>
          <w:rFonts w:ascii="Verdana" w:hAnsi="Verdana" w:eastAsia="DejaVu Sans" w:cs="Lohit Hindi"/>
          <w:color w:val="000000"/>
          <w:sz w:val="18"/>
          <w:szCs w:val="18"/>
        </w:rPr>
      </w:pPr>
    </w:p>
    <w:p w:rsidRPr="00D35754" w:rsidR="00D35754" w:rsidP="006E1AE7" w:rsidRDefault="00990383" w14:paraId="130B7F65" w14:textId="4407E7E4">
      <w:pPr>
        <w:pStyle w:val="paragraph"/>
        <w:spacing w:before="0" w:beforeAutospacing="0" w:after="0" w:afterAutospacing="0" w:line="276" w:lineRule="auto"/>
        <w:jc w:val="both"/>
        <w:textAlignment w:val="baseline"/>
        <w:rPr>
          <w:rFonts w:ascii="Verdana" w:hAnsi="Verdana" w:eastAsia="DejaVu Sans" w:cs="Lohit Hindi"/>
          <w:color w:val="000000"/>
          <w:sz w:val="18"/>
          <w:szCs w:val="18"/>
          <w:u w:val="single"/>
        </w:rPr>
      </w:pPr>
      <w:r>
        <w:rPr>
          <w:rFonts w:ascii="Verdana" w:hAnsi="Verdana" w:eastAsia="DejaVu Sans" w:cs="Lohit Hindi"/>
          <w:color w:val="000000"/>
          <w:sz w:val="18"/>
          <w:szCs w:val="18"/>
          <w:u w:val="single"/>
        </w:rPr>
        <w:t>Kabinetsappreciatie</w:t>
      </w:r>
      <w:r w:rsidRPr="00D35754" w:rsidR="00D35754">
        <w:rPr>
          <w:rFonts w:ascii="Verdana" w:hAnsi="Verdana" w:eastAsia="DejaVu Sans" w:cs="Lohit Hindi"/>
          <w:color w:val="000000"/>
          <w:sz w:val="18"/>
          <w:szCs w:val="18"/>
          <w:u w:val="single"/>
        </w:rPr>
        <w:t xml:space="preserve"> </w:t>
      </w:r>
      <w:r>
        <w:rPr>
          <w:rFonts w:ascii="Verdana" w:hAnsi="Verdana" w:eastAsia="DejaVu Sans" w:cs="Lohit Hindi"/>
          <w:color w:val="000000"/>
          <w:sz w:val="18"/>
          <w:szCs w:val="18"/>
          <w:u w:val="single"/>
        </w:rPr>
        <w:t xml:space="preserve">van de </w:t>
      </w:r>
      <w:r w:rsidR="00E84507">
        <w:rPr>
          <w:rFonts w:ascii="Verdana" w:hAnsi="Verdana" w:eastAsia="DejaVu Sans" w:cs="Lohit Hindi"/>
          <w:color w:val="000000"/>
          <w:sz w:val="18"/>
          <w:szCs w:val="18"/>
          <w:u w:val="single"/>
        </w:rPr>
        <w:t xml:space="preserve">voorstellen voor </w:t>
      </w:r>
      <w:r>
        <w:rPr>
          <w:rFonts w:ascii="Verdana" w:hAnsi="Verdana" w:eastAsia="DejaVu Sans" w:cs="Lohit Hindi"/>
          <w:color w:val="000000"/>
          <w:sz w:val="18"/>
          <w:szCs w:val="18"/>
          <w:u w:val="single"/>
        </w:rPr>
        <w:t xml:space="preserve">Raadsbesluit en verdere besluitvorming </w:t>
      </w:r>
    </w:p>
    <w:p w:rsidR="00552D72" w:rsidP="006E1AE7" w:rsidRDefault="00552D72" w14:paraId="51663723" w14:textId="77777777">
      <w:pPr>
        <w:pStyle w:val="paragraph"/>
        <w:spacing w:before="0" w:beforeAutospacing="0" w:after="0" w:afterAutospacing="0" w:line="276" w:lineRule="auto"/>
        <w:jc w:val="both"/>
        <w:textAlignment w:val="baseline"/>
        <w:rPr>
          <w:rFonts w:ascii="Verdana" w:hAnsi="Verdana" w:eastAsia="DejaVu Sans" w:cs="Lohit Hindi"/>
          <w:color w:val="000000"/>
          <w:sz w:val="18"/>
          <w:szCs w:val="18"/>
        </w:rPr>
      </w:pPr>
    </w:p>
    <w:p w:rsidRPr="000F2B78" w:rsidR="008B25E7" w:rsidP="008B25E7" w:rsidRDefault="008B25E7" w14:paraId="4D885B54" w14:textId="1D73AC91">
      <w:pPr>
        <w:pStyle w:val="paragraph"/>
        <w:spacing w:before="0" w:beforeAutospacing="0" w:after="0" w:afterAutospacing="0" w:line="276" w:lineRule="auto"/>
        <w:textAlignment w:val="baseline"/>
        <w:rPr>
          <w:rFonts w:ascii="Verdana" w:hAnsi="Verdana" w:eastAsia="DejaVu Sans" w:cs="Lohit Hindi"/>
          <w:color w:val="000000"/>
          <w:sz w:val="18"/>
          <w:szCs w:val="18"/>
        </w:rPr>
      </w:pPr>
      <w:r>
        <w:rPr>
          <w:rFonts w:ascii="Verdana" w:hAnsi="Verdana" w:eastAsia="DejaVu Sans" w:cs="Lohit Hindi"/>
          <w:color w:val="000000"/>
          <w:sz w:val="18"/>
          <w:szCs w:val="18"/>
        </w:rPr>
        <w:t xml:space="preserve">Het kabinet verwelkomt de </w:t>
      </w:r>
      <w:r w:rsidR="00EB62CC">
        <w:rPr>
          <w:rFonts w:ascii="Verdana" w:hAnsi="Verdana" w:eastAsia="DejaVu Sans" w:cs="Lohit Hindi"/>
          <w:color w:val="000000"/>
          <w:sz w:val="18"/>
          <w:szCs w:val="18"/>
        </w:rPr>
        <w:t>o</w:t>
      </w:r>
      <w:r>
        <w:rPr>
          <w:rFonts w:ascii="Verdana" w:hAnsi="Verdana" w:eastAsia="DejaVu Sans" w:cs="Lohit Hindi"/>
          <w:color w:val="000000"/>
          <w:sz w:val="18"/>
          <w:szCs w:val="18"/>
        </w:rPr>
        <w:t xml:space="preserve">vereenkomst. Nederland onderschrijft de interpretatie die in de </w:t>
      </w:r>
      <w:r w:rsidR="00EB62CC">
        <w:rPr>
          <w:rFonts w:ascii="Verdana" w:hAnsi="Verdana" w:eastAsia="DejaVu Sans" w:cs="Lohit Hindi"/>
          <w:color w:val="000000"/>
          <w:sz w:val="18"/>
          <w:szCs w:val="18"/>
        </w:rPr>
        <w:t>o</w:t>
      </w:r>
      <w:r>
        <w:rPr>
          <w:rFonts w:ascii="Verdana" w:hAnsi="Verdana" w:eastAsia="DejaVu Sans" w:cs="Lohit Hindi"/>
          <w:color w:val="000000"/>
          <w:sz w:val="18"/>
          <w:szCs w:val="18"/>
        </w:rPr>
        <w:t xml:space="preserve">vereenkomst wordt gegeven aan het ECT, en in het bijzonder aan artikel 26 ECT. Ook Nederland meent dat, in lijn met de EU rechtspraak, dit artikel geen grondslag kan bieden voor arbitrage van een intra-EU geschil. </w:t>
      </w:r>
      <w:r w:rsidRPr="00A80EF7">
        <w:rPr>
          <w:rFonts w:ascii="Verdana" w:hAnsi="Verdana" w:eastAsia="DejaVu Sans" w:cs="Lohit Hindi"/>
          <w:color w:val="000000"/>
          <w:sz w:val="18"/>
          <w:szCs w:val="18"/>
        </w:rPr>
        <w:t xml:space="preserve">Met de </w:t>
      </w:r>
      <w:r w:rsidR="00EB62CC">
        <w:rPr>
          <w:rFonts w:ascii="Verdana" w:hAnsi="Verdana" w:eastAsia="DejaVu Sans" w:cs="Lohit Hindi"/>
          <w:color w:val="000000"/>
          <w:sz w:val="18"/>
          <w:szCs w:val="18"/>
        </w:rPr>
        <w:t>o</w:t>
      </w:r>
      <w:r w:rsidRPr="00A80EF7">
        <w:rPr>
          <w:rFonts w:ascii="Verdana" w:hAnsi="Verdana" w:eastAsia="DejaVu Sans" w:cs="Lohit Hindi"/>
          <w:color w:val="000000"/>
          <w:sz w:val="18"/>
          <w:szCs w:val="18"/>
        </w:rPr>
        <w:t xml:space="preserve">vereenkomst wordt de uitleg van artikel 26 ECT van de EU en de lidstaten </w:t>
      </w:r>
      <w:r>
        <w:rPr>
          <w:rFonts w:ascii="Verdana" w:hAnsi="Verdana" w:eastAsia="DejaVu Sans" w:cs="Lohit Hindi"/>
          <w:color w:val="000000"/>
          <w:sz w:val="18"/>
          <w:szCs w:val="18"/>
        </w:rPr>
        <w:t>herbevestigd in een verdrag</w:t>
      </w:r>
      <w:r w:rsidRPr="00A80EF7">
        <w:rPr>
          <w:rFonts w:ascii="Verdana" w:hAnsi="Verdana" w:eastAsia="DejaVu Sans" w:cs="Lohit Hindi"/>
          <w:color w:val="000000"/>
          <w:sz w:val="18"/>
          <w:szCs w:val="18"/>
        </w:rPr>
        <w:t>.</w:t>
      </w:r>
      <w:r>
        <w:rPr>
          <w:rFonts w:ascii="Verdana" w:hAnsi="Verdana" w:eastAsia="DejaVu Sans" w:cs="Lohit Hindi"/>
          <w:color w:val="000000"/>
          <w:sz w:val="18"/>
          <w:szCs w:val="18"/>
        </w:rPr>
        <w:t xml:space="preserve"> </w:t>
      </w:r>
    </w:p>
    <w:p w:rsidR="00B46F9D" w:rsidP="006E1AE7" w:rsidRDefault="00B46F9D" w14:paraId="3C636BF8" w14:textId="77777777">
      <w:pPr>
        <w:pStyle w:val="paragraph"/>
        <w:spacing w:before="0" w:beforeAutospacing="0" w:after="0" w:afterAutospacing="0" w:line="276" w:lineRule="auto"/>
        <w:textAlignment w:val="baseline"/>
        <w:rPr>
          <w:rStyle w:val="eop"/>
          <w:rFonts w:ascii="Verdana" w:hAnsi="Verdana" w:eastAsia="DejaVu Sans" w:cs="Lohit Hindi"/>
          <w:color w:val="000000"/>
          <w:sz w:val="18"/>
          <w:szCs w:val="18"/>
        </w:rPr>
      </w:pPr>
    </w:p>
    <w:p w:rsidR="008B25E7" w:rsidP="008B25E7" w:rsidRDefault="008B25E7" w14:paraId="7DD015D1" w14:textId="2EA85F04">
      <w:pPr>
        <w:pStyle w:val="paragraph"/>
        <w:spacing w:before="0" w:beforeAutospacing="0" w:after="0" w:afterAutospacing="0" w:line="276" w:lineRule="auto"/>
        <w:textAlignment w:val="baseline"/>
        <w:rPr>
          <w:rFonts w:ascii="Verdana" w:hAnsi="Verdana"/>
          <w:sz w:val="18"/>
          <w:szCs w:val="18"/>
        </w:rPr>
      </w:pPr>
      <w:r>
        <w:rPr>
          <w:rStyle w:val="eop"/>
          <w:rFonts w:ascii="Verdana" w:hAnsi="Verdana"/>
          <w:sz w:val="18"/>
          <w:szCs w:val="18"/>
        </w:rPr>
        <w:t xml:space="preserve">Het kabinet verwelkomt de voorstellen voor de Raadsbesluiten, die de EU en Euratom in staat stellen om de Overeenkomst te ondertekenen en goed te keuren. </w:t>
      </w:r>
      <w:r>
        <w:rPr>
          <w:rFonts w:ascii="Verdana" w:hAnsi="Verdana" w:eastAsia="DejaVu Sans" w:cs="Lohit Hindi"/>
          <w:color w:val="000000"/>
          <w:sz w:val="18"/>
          <w:szCs w:val="18"/>
        </w:rPr>
        <w:t xml:space="preserve">De verwachting is dat de voorstellen </w:t>
      </w:r>
      <w:r w:rsidR="00EB62CC">
        <w:rPr>
          <w:rFonts w:ascii="Verdana" w:hAnsi="Verdana" w:eastAsia="DejaVu Sans" w:cs="Lohit Hindi"/>
          <w:color w:val="000000"/>
          <w:sz w:val="18"/>
          <w:szCs w:val="18"/>
        </w:rPr>
        <w:t>binnenkort</w:t>
      </w:r>
      <w:r>
        <w:rPr>
          <w:rFonts w:ascii="Verdana" w:hAnsi="Verdana" w:eastAsia="DejaVu Sans" w:cs="Lohit Hindi"/>
          <w:color w:val="000000"/>
          <w:sz w:val="18"/>
          <w:szCs w:val="18"/>
        </w:rPr>
        <w:t xml:space="preserve"> worden behandeld in COREPER en vervolgens ter besluitvorming worden aangeboden aan de Raad. </w:t>
      </w:r>
      <w:r>
        <w:rPr>
          <w:rStyle w:val="eop"/>
          <w:rFonts w:ascii="Verdana" w:hAnsi="Verdana"/>
          <w:sz w:val="18"/>
          <w:szCs w:val="18"/>
        </w:rPr>
        <w:t xml:space="preserve">Het kabinet is voornemens om met de besluiten in te stemmen. </w:t>
      </w:r>
    </w:p>
    <w:p w:rsidR="00D35754" w:rsidP="006E1AE7" w:rsidRDefault="00D35754" w14:paraId="4BCE497A" w14:textId="454FD6A5">
      <w:pPr>
        <w:pStyle w:val="paragraph"/>
        <w:spacing w:before="0" w:beforeAutospacing="0" w:after="0" w:afterAutospacing="0" w:line="276" w:lineRule="auto"/>
        <w:jc w:val="both"/>
        <w:textAlignment w:val="baseline"/>
        <w:rPr>
          <w:rFonts w:ascii="Verdana" w:hAnsi="Verdana" w:eastAsia="DejaVu Sans" w:cs="Lohit Hindi"/>
          <w:color w:val="000000"/>
          <w:sz w:val="18"/>
          <w:szCs w:val="18"/>
        </w:rPr>
      </w:pPr>
    </w:p>
    <w:p w:rsidR="002A16FA" w:rsidP="00FC11CD" w:rsidRDefault="00B84543" w14:paraId="59906176" w14:textId="3DFDFCF4">
      <w:pPr>
        <w:pStyle w:val="paragraph"/>
        <w:spacing w:before="0" w:beforeAutospacing="0" w:after="0" w:afterAutospacing="0" w:line="276" w:lineRule="auto"/>
        <w:textAlignment w:val="baseline"/>
        <w:rPr>
          <w:rFonts w:ascii="Verdana" w:hAnsi="Verdana" w:eastAsia="DejaVu Sans" w:cs="Lohit Hindi"/>
          <w:color w:val="000000"/>
          <w:sz w:val="18"/>
          <w:szCs w:val="18"/>
        </w:rPr>
      </w:pPr>
      <w:r>
        <w:rPr>
          <w:rFonts w:ascii="Verdana" w:hAnsi="Verdana" w:eastAsia="DejaVu Sans" w:cs="Lohit Hindi"/>
          <w:color w:val="000000"/>
          <w:sz w:val="18"/>
          <w:szCs w:val="18"/>
        </w:rPr>
        <w:t>Tevens</w:t>
      </w:r>
      <w:r w:rsidR="00B46F9D">
        <w:rPr>
          <w:rFonts w:ascii="Verdana" w:hAnsi="Verdana" w:eastAsia="DejaVu Sans" w:cs="Lohit Hindi"/>
          <w:color w:val="000000"/>
          <w:sz w:val="18"/>
          <w:szCs w:val="18"/>
        </w:rPr>
        <w:t xml:space="preserve"> informeer ik uw Kamer hierbij</w:t>
      </w:r>
      <w:r w:rsidR="00AA4AD4">
        <w:rPr>
          <w:rFonts w:ascii="Verdana" w:hAnsi="Verdana" w:eastAsia="DejaVu Sans" w:cs="Lohit Hindi"/>
          <w:color w:val="000000"/>
          <w:sz w:val="18"/>
          <w:szCs w:val="18"/>
        </w:rPr>
        <w:t xml:space="preserve"> </w:t>
      </w:r>
      <w:r w:rsidR="00B46F9D">
        <w:rPr>
          <w:rFonts w:ascii="Verdana" w:hAnsi="Verdana" w:eastAsia="DejaVu Sans" w:cs="Lohit Hindi"/>
          <w:color w:val="000000"/>
          <w:sz w:val="18"/>
          <w:szCs w:val="18"/>
        </w:rPr>
        <w:t>dat het kabinet wenst dat</w:t>
      </w:r>
      <w:r w:rsidR="003260FC">
        <w:rPr>
          <w:rFonts w:ascii="Verdana" w:hAnsi="Verdana" w:eastAsia="DejaVu Sans" w:cs="Lohit Hindi"/>
          <w:color w:val="000000"/>
          <w:sz w:val="18"/>
          <w:szCs w:val="18"/>
        </w:rPr>
        <w:t xml:space="preserve"> ook</w:t>
      </w:r>
      <w:r w:rsidR="00B46F9D">
        <w:rPr>
          <w:rFonts w:ascii="Verdana" w:hAnsi="Verdana" w:eastAsia="DejaVu Sans" w:cs="Lohit Hindi"/>
          <w:color w:val="000000"/>
          <w:sz w:val="18"/>
          <w:szCs w:val="18"/>
        </w:rPr>
        <w:t xml:space="preserve"> Nederland </w:t>
      </w:r>
      <w:r w:rsidR="003260FC">
        <w:rPr>
          <w:rFonts w:ascii="Verdana" w:hAnsi="Verdana" w:eastAsia="DejaVu Sans" w:cs="Lohit Hindi"/>
          <w:color w:val="000000"/>
          <w:sz w:val="18"/>
          <w:szCs w:val="18"/>
        </w:rPr>
        <w:t xml:space="preserve">partij wordt </w:t>
      </w:r>
      <w:r w:rsidRPr="003260FC" w:rsidR="003260FC">
        <w:rPr>
          <w:rFonts w:ascii="Verdana" w:hAnsi="Verdana" w:eastAsia="DejaVu Sans" w:cs="Lohit Hindi"/>
          <w:color w:val="000000"/>
          <w:sz w:val="18"/>
          <w:szCs w:val="18"/>
        </w:rPr>
        <w:t>bi</w:t>
      </w:r>
      <w:r w:rsidR="003260FC">
        <w:rPr>
          <w:rFonts w:ascii="Verdana" w:hAnsi="Verdana" w:eastAsia="DejaVu Sans" w:cs="Lohit Hindi"/>
          <w:color w:val="000000"/>
          <w:sz w:val="18"/>
          <w:szCs w:val="18"/>
        </w:rPr>
        <w:t xml:space="preserve">j </w:t>
      </w:r>
      <w:r w:rsidR="00B46F9D">
        <w:rPr>
          <w:rFonts w:ascii="Verdana" w:hAnsi="Verdana" w:eastAsia="DejaVu Sans" w:cs="Lohit Hindi"/>
          <w:color w:val="000000"/>
          <w:sz w:val="18"/>
          <w:szCs w:val="18"/>
        </w:rPr>
        <w:t xml:space="preserve">de </w:t>
      </w:r>
      <w:r w:rsidR="00EB62CC">
        <w:rPr>
          <w:rFonts w:ascii="Verdana" w:hAnsi="Verdana" w:eastAsia="DejaVu Sans" w:cs="Lohit Hindi"/>
          <w:color w:val="000000"/>
          <w:sz w:val="18"/>
          <w:szCs w:val="18"/>
        </w:rPr>
        <w:t>o</w:t>
      </w:r>
      <w:r w:rsidR="00B46F9D">
        <w:rPr>
          <w:rFonts w:ascii="Verdana" w:hAnsi="Verdana" w:eastAsia="DejaVu Sans" w:cs="Lohit Hindi"/>
          <w:color w:val="000000"/>
          <w:sz w:val="18"/>
          <w:szCs w:val="18"/>
        </w:rPr>
        <w:t xml:space="preserve">vereenkomst. De </w:t>
      </w:r>
      <w:r w:rsidR="00B57D16">
        <w:rPr>
          <w:rFonts w:ascii="Verdana" w:hAnsi="Verdana" w:eastAsia="DejaVu Sans" w:cs="Lohit Hindi"/>
          <w:color w:val="000000"/>
          <w:sz w:val="18"/>
          <w:szCs w:val="18"/>
        </w:rPr>
        <w:t xml:space="preserve">parlementaire </w:t>
      </w:r>
      <w:r w:rsidR="00B46F9D">
        <w:rPr>
          <w:rFonts w:ascii="Verdana" w:hAnsi="Verdana" w:eastAsia="DejaVu Sans" w:cs="Lohit Hindi"/>
          <w:color w:val="000000"/>
          <w:sz w:val="18"/>
          <w:szCs w:val="18"/>
        </w:rPr>
        <w:t xml:space="preserve">goedkeuringsstukken hiervoor </w:t>
      </w:r>
      <w:r w:rsidR="00AA4AD4">
        <w:rPr>
          <w:rFonts w:ascii="Verdana" w:hAnsi="Verdana" w:eastAsia="DejaVu Sans" w:cs="Lohit Hindi"/>
          <w:color w:val="000000"/>
          <w:sz w:val="18"/>
          <w:szCs w:val="18"/>
        </w:rPr>
        <w:t>zijn</w:t>
      </w:r>
      <w:r w:rsidR="00B46F9D">
        <w:rPr>
          <w:rFonts w:ascii="Verdana" w:hAnsi="Verdana" w:eastAsia="DejaVu Sans" w:cs="Lohit Hindi"/>
          <w:color w:val="000000"/>
          <w:sz w:val="18"/>
          <w:szCs w:val="18"/>
        </w:rPr>
        <w:t xml:space="preserve"> momenteel </w:t>
      </w:r>
      <w:r w:rsidR="00AA4AD4">
        <w:rPr>
          <w:rFonts w:ascii="Verdana" w:hAnsi="Verdana" w:eastAsia="DejaVu Sans" w:cs="Lohit Hindi"/>
          <w:color w:val="000000"/>
          <w:sz w:val="18"/>
          <w:szCs w:val="18"/>
        </w:rPr>
        <w:t>in voorbereiding</w:t>
      </w:r>
      <w:r w:rsidR="00B46F9D">
        <w:rPr>
          <w:rFonts w:ascii="Verdana" w:hAnsi="Verdana" w:eastAsia="DejaVu Sans" w:cs="Lohit Hindi"/>
          <w:color w:val="000000"/>
          <w:sz w:val="18"/>
          <w:szCs w:val="18"/>
        </w:rPr>
        <w:t xml:space="preserve">. </w:t>
      </w:r>
    </w:p>
    <w:p w:rsidR="005F416E" w:rsidP="006E1AE7" w:rsidRDefault="005F416E" w14:paraId="28630DBD" w14:textId="77777777">
      <w:pPr>
        <w:spacing w:line="276" w:lineRule="auto"/>
      </w:pPr>
    </w:p>
    <w:p w:rsidR="00EB62CC" w:rsidP="006E1AE7" w:rsidRDefault="00EB62CC" w14:paraId="6A4E3D2C" w14:textId="77777777">
      <w:pPr>
        <w:spacing w:line="276" w:lineRule="auto"/>
      </w:pPr>
    </w:p>
    <w:tbl>
      <w:tblPr>
        <w:tblStyle w:val="Tabelondertekening"/>
        <w:tblW w:w="7714" w:type="dxa"/>
        <w:tblInd w:w="0" w:type="dxa"/>
        <w:tblLayout w:type="fixed"/>
        <w:tblLook w:val="07E0" w:firstRow="1" w:lastRow="1" w:firstColumn="1" w:lastColumn="1" w:noHBand="1" w:noVBand="1"/>
      </w:tblPr>
      <w:tblGrid>
        <w:gridCol w:w="3703"/>
        <w:gridCol w:w="4011"/>
      </w:tblGrid>
      <w:tr w:rsidR="005F416E" w:rsidTr="00C63ACC" w14:paraId="28630DC0" w14:textId="77777777">
        <w:trPr>
          <w:trHeight w:val="1440"/>
        </w:trPr>
        <w:tc>
          <w:tcPr>
            <w:tcW w:w="3703" w:type="dxa"/>
          </w:tcPr>
          <w:p w:rsidR="00EB62CC" w:rsidP="006E1AE7" w:rsidRDefault="00FA30D0" w14:paraId="2F687EDC" w14:textId="7E4254E9">
            <w:pPr>
              <w:spacing w:line="276" w:lineRule="auto"/>
            </w:pPr>
            <w:r w:rsidRPr="00FA30D0">
              <w:t>Staatssecretaris Buitenlandse Handel</w:t>
            </w:r>
            <w:r w:rsidR="00EB62CC">
              <w:t>,</w:t>
            </w:r>
            <w:r w:rsidR="00E30C19">
              <w:br/>
            </w:r>
          </w:p>
          <w:p w:rsidR="00FC11CD" w:rsidP="00FC11CD" w:rsidRDefault="00FC11CD" w14:paraId="55C8EDE4" w14:textId="77777777">
            <w:pPr>
              <w:tabs>
                <w:tab w:val="center" w:pos="1851"/>
              </w:tabs>
              <w:spacing w:line="276" w:lineRule="auto"/>
            </w:pPr>
            <w:r>
              <w:tab/>
            </w:r>
          </w:p>
          <w:p w:rsidR="00FC11CD" w:rsidP="00FC11CD" w:rsidRDefault="00FC11CD" w14:paraId="795D4880" w14:textId="77777777">
            <w:pPr>
              <w:tabs>
                <w:tab w:val="center" w:pos="1851"/>
              </w:tabs>
              <w:spacing w:line="276" w:lineRule="auto"/>
            </w:pPr>
          </w:p>
          <w:p w:rsidR="005F416E" w:rsidP="00FC11CD" w:rsidRDefault="00E30C19" w14:paraId="28630DBE" w14:textId="3FF0F868">
            <w:pPr>
              <w:tabs>
                <w:tab w:val="center" w:pos="1851"/>
              </w:tabs>
              <w:spacing w:line="276" w:lineRule="auto"/>
            </w:pPr>
            <w:r>
              <w:br/>
            </w:r>
            <w:r w:rsidRPr="00FA30D0" w:rsidR="00FA30D0">
              <w:t>Hanneke Boerma</w:t>
            </w:r>
          </w:p>
        </w:tc>
        <w:tc>
          <w:tcPr>
            <w:tcW w:w="4011" w:type="dxa"/>
          </w:tcPr>
          <w:p w:rsidR="005F416E" w:rsidP="006E1AE7" w:rsidRDefault="005F416E" w14:paraId="28630DBF" w14:textId="77777777">
            <w:pPr>
              <w:spacing w:line="276" w:lineRule="auto"/>
            </w:pPr>
          </w:p>
        </w:tc>
      </w:tr>
    </w:tbl>
    <w:p w:rsidR="005F416E" w:rsidP="00AD409E" w:rsidRDefault="005F416E" w14:paraId="28630DC1" w14:textId="77777777">
      <w:pPr>
        <w:spacing w:line="276" w:lineRule="auto"/>
      </w:pPr>
    </w:p>
    <w:sectPr w:rsidR="005F416E" w:rsidSect="00FC11CD">
      <w:headerReference w:type="default" r:id="rId14"/>
      <w:footerReference w:type="default" r:id="rId15"/>
      <w:headerReference w:type="first" r:id="rId16"/>
      <w:footerReference w:type="first" r:id="rId17"/>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7340A" w14:textId="77777777" w:rsidR="009618F1" w:rsidRDefault="009618F1">
      <w:pPr>
        <w:spacing w:line="240" w:lineRule="auto"/>
      </w:pPr>
      <w:r>
        <w:separator/>
      </w:r>
    </w:p>
  </w:endnote>
  <w:endnote w:type="continuationSeparator" w:id="0">
    <w:p w14:paraId="201994EE" w14:textId="77777777" w:rsidR="009618F1" w:rsidRDefault="00961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239534"/>
      <w:docPartObj>
        <w:docPartGallery w:val="Page Numbers (Bottom of Page)"/>
        <w:docPartUnique/>
      </w:docPartObj>
    </w:sdtPr>
    <w:sdtContent>
      <w:sdt>
        <w:sdtPr>
          <w:id w:val="-1769616900"/>
          <w:docPartObj>
            <w:docPartGallery w:val="Page Numbers (Top of Page)"/>
            <w:docPartUnique/>
          </w:docPartObj>
        </w:sdtPr>
        <w:sdtContent>
          <w:p w14:paraId="351FA1A6" w14:textId="54BBFE1F" w:rsidR="00FC11CD" w:rsidRDefault="00FC11CD">
            <w:pPr>
              <w:pStyle w:val="Footer"/>
              <w:jc w:val="right"/>
            </w:pPr>
            <w:r w:rsidRPr="00FC11CD">
              <w:rPr>
                <w:sz w:val="14"/>
                <w:szCs w:val="14"/>
              </w:rPr>
              <w:t xml:space="preserve">Pagina </w:t>
            </w:r>
            <w:r w:rsidRPr="00FC11CD">
              <w:rPr>
                <w:sz w:val="20"/>
                <w:szCs w:val="20"/>
              </w:rPr>
              <w:fldChar w:fldCharType="begin"/>
            </w:r>
            <w:r w:rsidRPr="00FC11CD">
              <w:rPr>
                <w:sz w:val="14"/>
                <w:szCs w:val="14"/>
              </w:rPr>
              <w:instrText>PAGE</w:instrText>
            </w:r>
            <w:r w:rsidRPr="00FC11CD">
              <w:rPr>
                <w:sz w:val="20"/>
                <w:szCs w:val="20"/>
              </w:rPr>
              <w:fldChar w:fldCharType="separate"/>
            </w:r>
            <w:r w:rsidRPr="00FC11CD">
              <w:rPr>
                <w:sz w:val="14"/>
                <w:szCs w:val="14"/>
              </w:rPr>
              <w:t>2</w:t>
            </w:r>
            <w:r w:rsidRPr="00FC11CD">
              <w:rPr>
                <w:sz w:val="20"/>
                <w:szCs w:val="20"/>
              </w:rPr>
              <w:fldChar w:fldCharType="end"/>
            </w:r>
            <w:r w:rsidRPr="00FC11CD">
              <w:rPr>
                <w:sz w:val="14"/>
                <w:szCs w:val="14"/>
              </w:rPr>
              <w:t xml:space="preserve"> van </w:t>
            </w:r>
            <w:r w:rsidRPr="00FC11CD">
              <w:rPr>
                <w:sz w:val="20"/>
                <w:szCs w:val="20"/>
              </w:rPr>
              <w:fldChar w:fldCharType="begin"/>
            </w:r>
            <w:r w:rsidRPr="00FC11CD">
              <w:rPr>
                <w:sz w:val="14"/>
                <w:szCs w:val="14"/>
              </w:rPr>
              <w:instrText>NUMPAGES</w:instrText>
            </w:r>
            <w:r w:rsidRPr="00FC11CD">
              <w:rPr>
                <w:sz w:val="20"/>
                <w:szCs w:val="20"/>
              </w:rPr>
              <w:fldChar w:fldCharType="separate"/>
            </w:r>
            <w:r w:rsidRPr="00FC11CD">
              <w:rPr>
                <w:sz w:val="14"/>
                <w:szCs w:val="14"/>
              </w:rPr>
              <w:t>2</w:t>
            </w:r>
            <w:r w:rsidRPr="00FC11CD">
              <w:rPr>
                <w:sz w:val="20"/>
                <w:szCs w:val="20"/>
              </w:rPr>
              <w:fldChar w:fldCharType="end"/>
            </w:r>
          </w:p>
        </w:sdtContent>
      </w:sdt>
    </w:sdtContent>
  </w:sdt>
  <w:p w14:paraId="31B8F76F" w14:textId="77777777" w:rsidR="00B30ECE" w:rsidRDefault="00B30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762212"/>
      <w:docPartObj>
        <w:docPartGallery w:val="Page Numbers (Bottom of Page)"/>
        <w:docPartUnique/>
      </w:docPartObj>
    </w:sdtPr>
    <w:sdtContent>
      <w:sdt>
        <w:sdtPr>
          <w:id w:val="1712224792"/>
          <w:docPartObj>
            <w:docPartGallery w:val="Page Numbers (Top of Page)"/>
            <w:docPartUnique/>
          </w:docPartObj>
        </w:sdtPr>
        <w:sdtContent>
          <w:p w14:paraId="1A7F59F6" w14:textId="5759AB7E" w:rsidR="00FC11CD" w:rsidRPr="00FC11CD" w:rsidRDefault="00FC11CD">
            <w:pPr>
              <w:pStyle w:val="Footer"/>
              <w:jc w:val="right"/>
            </w:pPr>
            <w:r w:rsidRPr="00FC11CD">
              <w:rPr>
                <w:sz w:val="14"/>
                <w:szCs w:val="14"/>
              </w:rPr>
              <w:t xml:space="preserve">Pagina </w:t>
            </w:r>
            <w:r w:rsidRPr="00FC11CD">
              <w:rPr>
                <w:sz w:val="20"/>
                <w:szCs w:val="20"/>
              </w:rPr>
              <w:fldChar w:fldCharType="begin"/>
            </w:r>
            <w:r w:rsidRPr="00FC11CD">
              <w:rPr>
                <w:sz w:val="14"/>
                <w:szCs w:val="14"/>
              </w:rPr>
              <w:instrText>PAGE</w:instrText>
            </w:r>
            <w:r w:rsidRPr="00FC11CD">
              <w:rPr>
                <w:sz w:val="20"/>
                <w:szCs w:val="20"/>
              </w:rPr>
              <w:fldChar w:fldCharType="separate"/>
            </w:r>
            <w:r w:rsidRPr="00FC11CD">
              <w:rPr>
                <w:sz w:val="14"/>
                <w:szCs w:val="14"/>
              </w:rPr>
              <w:t>2</w:t>
            </w:r>
            <w:r w:rsidRPr="00FC11CD">
              <w:rPr>
                <w:sz w:val="20"/>
                <w:szCs w:val="20"/>
              </w:rPr>
              <w:fldChar w:fldCharType="end"/>
            </w:r>
            <w:r w:rsidRPr="00FC11CD">
              <w:rPr>
                <w:sz w:val="14"/>
                <w:szCs w:val="14"/>
              </w:rPr>
              <w:t xml:space="preserve"> van </w:t>
            </w:r>
            <w:r w:rsidRPr="00FC11CD">
              <w:rPr>
                <w:sz w:val="20"/>
                <w:szCs w:val="20"/>
              </w:rPr>
              <w:fldChar w:fldCharType="begin"/>
            </w:r>
            <w:r w:rsidRPr="00FC11CD">
              <w:rPr>
                <w:sz w:val="14"/>
                <w:szCs w:val="14"/>
              </w:rPr>
              <w:instrText>NUMPAGES</w:instrText>
            </w:r>
            <w:r w:rsidRPr="00FC11CD">
              <w:rPr>
                <w:sz w:val="20"/>
                <w:szCs w:val="20"/>
              </w:rPr>
              <w:fldChar w:fldCharType="separate"/>
            </w:r>
            <w:r w:rsidRPr="00FC11CD">
              <w:rPr>
                <w:sz w:val="14"/>
                <w:szCs w:val="14"/>
              </w:rPr>
              <w:t>2</w:t>
            </w:r>
            <w:r w:rsidRPr="00FC11CD">
              <w:rPr>
                <w:sz w:val="20"/>
                <w:szCs w:val="20"/>
              </w:rPr>
              <w:fldChar w:fldCharType="end"/>
            </w:r>
          </w:p>
        </w:sdtContent>
      </w:sdt>
    </w:sdtContent>
  </w:sdt>
  <w:p w14:paraId="088523BF" w14:textId="77777777" w:rsidR="00B30ECE" w:rsidRDefault="00B3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C9CAD" w14:textId="77777777" w:rsidR="009618F1" w:rsidRDefault="009618F1">
      <w:pPr>
        <w:spacing w:line="240" w:lineRule="auto"/>
      </w:pPr>
      <w:r>
        <w:separator/>
      </w:r>
    </w:p>
  </w:footnote>
  <w:footnote w:type="continuationSeparator" w:id="0">
    <w:p w14:paraId="7409063A" w14:textId="77777777" w:rsidR="009618F1" w:rsidRDefault="009618F1">
      <w:pPr>
        <w:spacing w:line="240" w:lineRule="auto"/>
      </w:pPr>
      <w:r>
        <w:continuationSeparator/>
      </w:r>
    </w:p>
  </w:footnote>
  <w:footnote w:id="1">
    <w:p w14:paraId="2C37AD27" w14:textId="7E492D9E" w:rsidR="0010128E" w:rsidRPr="00B704A7" w:rsidRDefault="0010128E" w:rsidP="00B704A7">
      <w:pPr>
        <w:pStyle w:val="FootnoteText"/>
        <w:rPr>
          <w:rFonts w:ascii="Verdana" w:hAnsi="Verdana"/>
          <w:sz w:val="14"/>
          <w:szCs w:val="14"/>
        </w:rPr>
      </w:pPr>
      <w:r w:rsidRPr="00B704A7">
        <w:rPr>
          <w:rStyle w:val="FootnoteReference"/>
          <w:rFonts w:ascii="Verdana" w:hAnsi="Verdana"/>
          <w:sz w:val="14"/>
          <w:szCs w:val="14"/>
        </w:rPr>
        <w:footnoteRef/>
      </w:r>
      <w:r w:rsidRPr="00B704A7">
        <w:rPr>
          <w:rFonts w:ascii="Verdana" w:hAnsi="Verdana"/>
          <w:sz w:val="14"/>
          <w:szCs w:val="14"/>
        </w:rPr>
        <w:t xml:space="preserve"> </w:t>
      </w:r>
      <w:r w:rsidR="00A75FDE" w:rsidRPr="00B704A7">
        <w:rPr>
          <w:rFonts w:ascii="Verdana" w:hAnsi="Verdana"/>
          <w:sz w:val="14"/>
          <w:szCs w:val="14"/>
        </w:rPr>
        <w:t>Voorstel voor een Besluit van de Raad, ST_11929_2024 en Voorstel voor een Besluit van</w:t>
      </w:r>
      <w:r w:rsidR="00BA785B" w:rsidRPr="00B704A7">
        <w:rPr>
          <w:rFonts w:ascii="Verdana" w:hAnsi="Verdana"/>
          <w:sz w:val="14"/>
          <w:szCs w:val="14"/>
        </w:rPr>
        <w:t xml:space="preserve"> het Europees Parlement en van</w:t>
      </w:r>
      <w:r w:rsidR="00A75FDE" w:rsidRPr="00B704A7">
        <w:rPr>
          <w:rFonts w:ascii="Verdana" w:hAnsi="Verdana"/>
          <w:sz w:val="14"/>
          <w:szCs w:val="14"/>
        </w:rPr>
        <w:t xml:space="preserve"> de Raad </w:t>
      </w:r>
      <w:r w:rsidR="0009112E" w:rsidRPr="00B704A7">
        <w:rPr>
          <w:rFonts w:ascii="Verdana" w:hAnsi="Verdana"/>
          <w:sz w:val="14"/>
          <w:szCs w:val="14"/>
        </w:rPr>
        <w:t>ST_12521_2024</w:t>
      </w:r>
      <w:r w:rsidR="00921CF8" w:rsidRPr="00B704A7">
        <w:rPr>
          <w:rFonts w:ascii="Verdana" w:hAnsi="Verdana"/>
          <w:sz w:val="14"/>
          <w:szCs w:val="14"/>
        </w:rPr>
        <w:t xml:space="preserve">. </w:t>
      </w:r>
      <w:r w:rsidR="00A75FDE" w:rsidRPr="00B704A7">
        <w:rPr>
          <w:rFonts w:ascii="Verdana" w:hAnsi="Verdana"/>
          <w:sz w:val="14"/>
          <w:szCs w:val="14"/>
        </w:rPr>
        <w:t xml:space="preserve">Beide zijn openbaar. </w:t>
      </w:r>
    </w:p>
  </w:footnote>
  <w:footnote w:id="2">
    <w:p w14:paraId="0EF5F3EC" w14:textId="77777777" w:rsidR="00163741" w:rsidRPr="00B704A7" w:rsidRDefault="00163741" w:rsidP="00B704A7">
      <w:pPr>
        <w:pStyle w:val="FootnoteText"/>
        <w:rPr>
          <w:rFonts w:ascii="Verdana" w:hAnsi="Verdana"/>
          <w:sz w:val="14"/>
          <w:szCs w:val="14"/>
        </w:rPr>
      </w:pPr>
      <w:r w:rsidRPr="00B704A7">
        <w:rPr>
          <w:rStyle w:val="FootnoteReference"/>
          <w:rFonts w:ascii="Verdana" w:hAnsi="Verdana"/>
          <w:sz w:val="14"/>
          <w:szCs w:val="14"/>
        </w:rPr>
        <w:footnoteRef/>
      </w:r>
      <w:r w:rsidRPr="00B704A7">
        <w:rPr>
          <w:rFonts w:ascii="Verdana" w:hAnsi="Verdana"/>
          <w:sz w:val="14"/>
          <w:szCs w:val="14"/>
        </w:rPr>
        <w:t xml:space="preserve"> Arrest van het Hof van Justitie van 6 maart 2018, zaak C-284/16, </w:t>
      </w:r>
      <w:r w:rsidRPr="00B704A7">
        <w:rPr>
          <w:rFonts w:ascii="Verdana" w:hAnsi="Verdana"/>
          <w:i/>
          <w:iCs/>
          <w:sz w:val="14"/>
          <w:szCs w:val="14"/>
        </w:rPr>
        <w:t>Slowakije/Achmea</w:t>
      </w:r>
      <w:r w:rsidRPr="00B704A7">
        <w:rPr>
          <w:rFonts w:ascii="Verdana" w:hAnsi="Verdana"/>
          <w:sz w:val="14"/>
          <w:szCs w:val="14"/>
        </w:rPr>
        <w:t xml:space="preserve"> (EU:C:2018:158) en Arrest van het Hof van Justitie van 2 september 2021, zaak C-714/19, </w:t>
      </w:r>
      <w:r w:rsidRPr="00B704A7">
        <w:rPr>
          <w:rFonts w:ascii="Verdana" w:hAnsi="Verdana"/>
          <w:i/>
          <w:iCs/>
          <w:sz w:val="14"/>
          <w:szCs w:val="14"/>
        </w:rPr>
        <w:t>Republiek Moldavië/</w:t>
      </w:r>
      <w:proofErr w:type="spellStart"/>
      <w:r w:rsidRPr="00B704A7">
        <w:rPr>
          <w:rFonts w:ascii="Verdana" w:hAnsi="Verdana"/>
          <w:i/>
          <w:iCs/>
          <w:sz w:val="14"/>
          <w:szCs w:val="14"/>
        </w:rPr>
        <w:t>Komstroy</w:t>
      </w:r>
      <w:proofErr w:type="spellEnd"/>
      <w:r w:rsidRPr="00B704A7">
        <w:rPr>
          <w:rFonts w:ascii="Verdana" w:hAnsi="Verdana"/>
          <w:sz w:val="14"/>
          <w:szCs w:val="14"/>
        </w:rPr>
        <w:t xml:space="preserve"> (EU:C:2021:655).</w:t>
      </w:r>
    </w:p>
  </w:footnote>
  <w:footnote w:id="3">
    <w:p w14:paraId="3C917C35" w14:textId="72D04703" w:rsidR="00B84543" w:rsidRPr="00B84543" w:rsidRDefault="00B84543" w:rsidP="00B704A7">
      <w:pPr>
        <w:pStyle w:val="FootnoteText"/>
      </w:pPr>
      <w:r w:rsidRPr="00DE03D2">
        <w:rPr>
          <w:rStyle w:val="FootnoteReference"/>
          <w:rFonts w:ascii="Verdana" w:hAnsi="Verdana"/>
          <w:sz w:val="14"/>
          <w:szCs w:val="14"/>
        </w:rPr>
        <w:footnoteRef/>
      </w:r>
      <w:r w:rsidRPr="00DE03D2">
        <w:rPr>
          <w:rFonts w:ascii="Verdana" w:hAnsi="Verdana"/>
          <w:sz w:val="14"/>
          <w:szCs w:val="14"/>
        </w:rPr>
        <w:t xml:space="preserve"> </w:t>
      </w:r>
      <w:r w:rsidRPr="00B704A7">
        <w:rPr>
          <w:rFonts w:ascii="Verdana" w:hAnsi="Verdana"/>
          <w:sz w:val="14"/>
          <w:szCs w:val="14"/>
        </w:rPr>
        <w:t>De</w:t>
      </w:r>
      <w:r w:rsidR="0066104A" w:rsidRPr="00B704A7">
        <w:rPr>
          <w:rFonts w:ascii="Verdana" w:hAnsi="Verdana"/>
          <w:sz w:val="14"/>
          <w:szCs w:val="14"/>
        </w:rPr>
        <w:t xml:space="preserve"> Overeenkomst</w:t>
      </w:r>
      <w:r w:rsidR="00C63ACC" w:rsidRPr="00B704A7">
        <w:rPr>
          <w:rFonts w:ascii="Verdana" w:hAnsi="Verdana"/>
          <w:sz w:val="14"/>
          <w:szCs w:val="14"/>
        </w:rPr>
        <w:t>onderhandelingen</w:t>
      </w:r>
      <w:r w:rsidRPr="00B704A7">
        <w:rPr>
          <w:rFonts w:ascii="Verdana" w:hAnsi="Verdana"/>
          <w:sz w:val="14"/>
          <w:szCs w:val="14"/>
        </w:rPr>
        <w:t xml:space="preserve"> zijn gestart </w:t>
      </w:r>
      <w:r w:rsidR="00614D4B" w:rsidRPr="00B704A7">
        <w:rPr>
          <w:rFonts w:ascii="Verdana" w:hAnsi="Verdana"/>
          <w:sz w:val="14"/>
          <w:szCs w:val="14"/>
        </w:rPr>
        <w:t>na afronding van de modernisering</w:t>
      </w:r>
      <w:r w:rsidR="0066104A" w:rsidRPr="00B704A7">
        <w:rPr>
          <w:rFonts w:ascii="Verdana" w:hAnsi="Verdana"/>
          <w:sz w:val="14"/>
          <w:szCs w:val="14"/>
        </w:rPr>
        <w:t>sonderhandelingen van het ECT</w:t>
      </w:r>
      <w:r w:rsidR="00614D4B" w:rsidRPr="00B704A7">
        <w:rPr>
          <w:rFonts w:ascii="Verdana" w:hAnsi="Verdana"/>
          <w:sz w:val="14"/>
          <w:szCs w:val="14"/>
        </w:rPr>
        <w:t xml:space="preserve"> in 2022. De modernisering </w:t>
      </w:r>
      <w:r w:rsidR="006815E0" w:rsidRPr="00B704A7">
        <w:rPr>
          <w:rFonts w:ascii="Verdana" w:hAnsi="Verdana"/>
          <w:sz w:val="14"/>
          <w:szCs w:val="14"/>
        </w:rPr>
        <w:t xml:space="preserve">van het ECT </w:t>
      </w:r>
      <w:r w:rsidR="00614D4B" w:rsidRPr="00B704A7">
        <w:rPr>
          <w:rFonts w:ascii="Verdana" w:hAnsi="Verdana"/>
          <w:sz w:val="14"/>
          <w:szCs w:val="14"/>
        </w:rPr>
        <w:t xml:space="preserve">is door de ECT Conferentie aangenomen in december 2024. </w:t>
      </w:r>
      <w:r w:rsidR="006815E0" w:rsidRPr="00B704A7">
        <w:rPr>
          <w:rFonts w:ascii="Verdana" w:hAnsi="Verdana"/>
          <w:sz w:val="14"/>
          <w:szCs w:val="14"/>
        </w:rPr>
        <w:t>M</w:t>
      </w:r>
      <w:r w:rsidR="00614D4B" w:rsidRPr="00B704A7">
        <w:rPr>
          <w:rFonts w:ascii="Verdana" w:hAnsi="Verdana"/>
          <w:sz w:val="14"/>
          <w:szCs w:val="14"/>
        </w:rPr>
        <w:t>otie 35 668 nr. 33</w:t>
      </w:r>
      <w:r w:rsidR="006815E0" w:rsidRPr="00B704A7">
        <w:rPr>
          <w:rFonts w:ascii="Verdana" w:hAnsi="Verdana"/>
          <w:sz w:val="14"/>
          <w:szCs w:val="14"/>
        </w:rPr>
        <w:t xml:space="preserve">, </w:t>
      </w:r>
      <w:r w:rsidR="005B3C5B" w:rsidRPr="00B704A7">
        <w:rPr>
          <w:rFonts w:ascii="Verdana" w:hAnsi="Verdana"/>
          <w:sz w:val="14"/>
          <w:szCs w:val="14"/>
        </w:rPr>
        <w:t xml:space="preserve">Lid </w:t>
      </w:r>
      <w:r w:rsidR="006815E0" w:rsidRPr="00B704A7">
        <w:rPr>
          <w:rFonts w:ascii="Verdana" w:hAnsi="Verdana"/>
          <w:sz w:val="14"/>
          <w:szCs w:val="14"/>
        </w:rPr>
        <w:t>Agnes Mulder c.s., is</w:t>
      </w:r>
      <w:r w:rsidR="00614D4B" w:rsidRPr="00B704A7">
        <w:rPr>
          <w:rFonts w:ascii="Verdana" w:hAnsi="Verdana"/>
          <w:sz w:val="14"/>
          <w:szCs w:val="14"/>
        </w:rPr>
        <w:t xml:space="preserve"> </w:t>
      </w:r>
      <w:r w:rsidR="004F7E9A" w:rsidRPr="00B704A7">
        <w:rPr>
          <w:rFonts w:ascii="Verdana" w:hAnsi="Verdana"/>
          <w:sz w:val="14"/>
          <w:szCs w:val="14"/>
        </w:rPr>
        <w:t>afgedaan</w:t>
      </w:r>
      <w:r w:rsidR="00614D4B" w:rsidRPr="00B704A7">
        <w:rPr>
          <w:rFonts w:ascii="Verdana" w:hAnsi="Verdana"/>
          <w:sz w:val="14"/>
          <w:szCs w:val="14"/>
        </w:rPr>
        <w:t xml:space="preserve">. </w:t>
      </w:r>
      <w:r w:rsidR="004F7E9A" w:rsidRPr="00DE03D2">
        <w:rPr>
          <w:rFonts w:ascii="Verdana" w:hAnsi="Verdana"/>
          <w:sz w:val="14"/>
          <w:szCs w:val="14"/>
        </w:rPr>
        <w:t xml:space="preserve">Tevens </w:t>
      </w:r>
      <w:r w:rsidR="00C90838" w:rsidRPr="00DE03D2">
        <w:rPr>
          <w:rFonts w:ascii="Verdana" w:hAnsi="Verdana"/>
          <w:sz w:val="14"/>
          <w:szCs w:val="14"/>
        </w:rPr>
        <w:t xml:space="preserve">is Motie </w:t>
      </w:r>
      <w:r w:rsidR="005B3C5B" w:rsidRPr="00DE03D2">
        <w:rPr>
          <w:rFonts w:ascii="Verdana" w:hAnsi="Verdana"/>
          <w:sz w:val="14"/>
          <w:szCs w:val="14"/>
        </w:rPr>
        <w:t xml:space="preserve">36 200 XVII, nr. 33, Leden Teunissen en Van </w:t>
      </w:r>
      <w:proofErr w:type="spellStart"/>
      <w:r w:rsidR="005B3C5B" w:rsidRPr="00DE03D2">
        <w:rPr>
          <w:rFonts w:ascii="Verdana" w:hAnsi="Verdana"/>
          <w:sz w:val="14"/>
          <w:szCs w:val="14"/>
        </w:rPr>
        <w:t>Raan</w:t>
      </w:r>
      <w:proofErr w:type="spellEnd"/>
      <w:r w:rsidR="005B3C5B" w:rsidRPr="00DE03D2">
        <w:rPr>
          <w:rFonts w:ascii="Verdana" w:hAnsi="Verdana"/>
          <w:sz w:val="14"/>
          <w:szCs w:val="14"/>
        </w:rPr>
        <w:t xml:space="preserve"> afgedaan.</w:t>
      </w:r>
      <w:r w:rsidR="005B3C5B">
        <w:rPr>
          <w:rFonts w:ascii="Verdana" w:hAnsi="Verdana"/>
          <w:sz w:val="14"/>
          <w:szCs w:val="14"/>
        </w:rPr>
        <w:t xml:space="preserve"> </w:t>
      </w:r>
    </w:p>
  </w:footnote>
  <w:footnote w:id="4">
    <w:p w14:paraId="28EB610E" w14:textId="0423076C" w:rsidR="00AA76F5" w:rsidRPr="00AA76F5" w:rsidRDefault="00AA76F5">
      <w:pPr>
        <w:pStyle w:val="FootnoteText"/>
        <w:rPr>
          <w:rFonts w:ascii="Verdana" w:hAnsi="Verdana"/>
          <w:sz w:val="14"/>
          <w:szCs w:val="14"/>
        </w:rPr>
      </w:pPr>
      <w:r w:rsidRPr="00AA76F5">
        <w:rPr>
          <w:rStyle w:val="FootnoteReference"/>
          <w:rFonts w:ascii="Verdana" w:hAnsi="Verdana"/>
          <w:sz w:val="14"/>
          <w:szCs w:val="14"/>
        </w:rPr>
        <w:footnoteRef/>
      </w:r>
      <w:r w:rsidRPr="00AA76F5">
        <w:rPr>
          <w:rFonts w:ascii="Verdana" w:hAnsi="Verdana"/>
          <w:sz w:val="14"/>
          <w:szCs w:val="14"/>
        </w:rPr>
        <w:t xml:space="preserve"> Net als Nederland zullen de EU en Euratom per 28 juni 2025 niet langer partij zijn bij het ECT. Door de werking van de </w:t>
      </w:r>
      <w:proofErr w:type="spellStart"/>
      <w:r w:rsidRPr="00AA76F5">
        <w:rPr>
          <w:rFonts w:ascii="Verdana" w:hAnsi="Verdana"/>
          <w:sz w:val="14"/>
          <w:szCs w:val="14"/>
        </w:rPr>
        <w:t>sunset</w:t>
      </w:r>
      <w:proofErr w:type="spellEnd"/>
      <w:r>
        <w:rPr>
          <w:rFonts w:ascii="Verdana" w:hAnsi="Verdana"/>
          <w:sz w:val="14"/>
          <w:szCs w:val="14"/>
        </w:rPr>
        <w:t>-</w:t>
      </w:r>
      <w:r w:rsidRPr="00AA76F5">
        <w:rPr>
          <w:rFonts w:ascii="Verdana" w:hAnsi="Verdana"/>
          <w:sz w:val="14"/>
          <w:szCs w:val="14"/>
        </w:rPr>
        <w:t>clausule van artikel 47</w:t>
      </w:r>
      <w:r w:rsidR="00DD024A">
        <w:rPr>
          <w:rFonts w:ascii="Verdana" w:hAnsi="Verdana"/>
          <w:sz w:val="14"/>
          <w:szCs w:val="14"/>
        </w:rPr>
        <w:t>,</w:t>
      </w:r>
      <w:r w:rsidRPr="00AA76F5">
        <w:rPr>
          <w:rFonts w:ascii="Verdana" w:hAnsi="Verdana"/>
          <w:sz w:val="14"/>
          <w:szCs w:val="14"/>
        </w:rPr>
        <w:t xml:space="preserve"> lid 3</w:t>
      </w:r>
      <w:r w:rsidR="00DD024A">
        <w:rPr>
          <w:rFonts w:ascii="Verdana" w:hAnsi="Verdana"/>
          <w:sz w:val="14"/>
          <w:szCs w:val="14"/>
        </w:rPr>
        <w:t>,</w:t>
      </w:r>
      <w:r w:rsidRPr="00AA76F5">
        <w:rPr>
          <w:rFonts w:ascii="Verdana" w:hAnsi="Verdana"/>
          <w:sz w:val="14"/>
          <w:szCs w:val="14"/>
        </w:rPr>
        <w:t xml:space="preserve"> ECT blijven de </w:t>
      </w:r>
      <w:r w:rsidR="00DD024A">
        <w:rPr>
          <w:rFonts w:ascii="Verdana" w:hAnsi="Verdana"/>
          <w:sz w:val="14"/>
          <w:szCs w:val="14"/>
        </w:rPr>
        <w:t>staten die het ECT hebben opgezegd</w:t>
      </w:r>
      <w:r w:rsidRPr="00AA76F5">
        <w:rPr>
          <w:rFonts w:ascii="Verdana" w:hAnsi="Verdana"/>
          <w:sz w:val="14"/>
          <w:szCs w:val="14"/>
        </w:rPr>
        <w:t xml:space="preserve"> wel nog voor een periode van 20 jaar gebonden aan het ECT, voor wat betreft de bescherming van investeringen die zijn gedaan vóór</w:t>
      </w:r>
      <w:r>
        <w:rPr>
          <w:rFonts w:ascii="Verdana" w:hAnsi="Verdana"/>
          <w:sz w:val="14"/>
          <w:szCs w:val="14"/>
        </w:rPr>
        <w:t xml:space="preserve">dat de opzegging van kracht 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0DC2" w14:textId="6D81D950" w:rsidR="005F416E" w:rsidRDefault="00E30C19">
    <w:r>
      <w:rPr>
        <w:noProof/>
      </w:rPr>
      <mc:AlternateContent>
        <mc:Choice Requires="wps">
          <w:drawing>
            <wp:anchor distT="0" distB="0" distL="0" distR="0" simplePos="0" relativeHeight="251652608" behindDoc="0" locked="1" layoutInCell="1" allowOverlap="1" wp14:anchorId="28630DC6" wp14:editId="298256F9">
              <wp:simplePos x="0" y="0"/>
              <wp:positionH relativeFrom="page">
                <wp:posOffset>5924550</wp:posOffset>
              </wp:positionH>
              <wp:positionV relativeFrom="page">
                <wp:posOffset>1968500</wp:posOffset>
              </wp:positionV>
              <wp:extent cx="14033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28630DF6" w14:textId="77777777" w:rsidR="005F416E" w:rsidRDefault="00E30C19">
                          <w:pPr>
                            <w:pStyle w:val="Referentiegegevensbold"/>
                          </w:pPr>
                          <w:r>
                            <w:t>Ministerie van Buitenlandse Zaken</w:t>
                          </w:r>
                        </w:p>
                        <w:p w14:paraId="28630DF7" w14:textId="77777777" w:rsidR="005F416E" w:rsidRDefault="005F416E">
                          <w:pPr>
                            <w:pStyle w:val="WitregelW2"/>
                          </w:pPr>
                        </w:p>
                        <w:p w14:paraId="28630DF8" w14:textId="77777777" w:rsidR="005F416E" w:rsidRDefault="00E30C19">
                          <w:pPr>
                            <w:pStyle w:val="Referentiegegevensbold"/>
                          </w:pPr>
                          <w:r>
                            <w:t>Onze referentie</w:t>
                          </w:r>
                        </w:p>
                        <w:p w14:paraId="28630DF9" w14:textId="77777777" w:rsidR="005F416E" w:rsidRDefault="00E30C19">
                          <w:pPr>
                            <w:pStyle w:val="Referentiegegevens"/>
                          </w:pPr>
                          <w:r>
                            <w:t>BZ2513685</w:t>
                          </w:r>
                        </w:p>
                      </w:txbxContent>
                    </wps:txbx>
                    <wps:bodyPr vert="horz" wrap="square" lIns="0" tIns="0" rIns="0" bIns="0" anchor="t" anchorCtr="0"/>
                  </wps:wsp>
                </a:graphicData>
              </a:graphic>
              <wp14:sizeRelH relativeFrom="margin">
                <wp14:pctWidth>0</wp14:pctWidth>
              </wp14:sizeRelH>
            </wp:anchor>
          </w:drawing>
        </mc:Choice>
        <mc:Fallback>
          <w:pict>
            <v:shapetype w14:anchorId="28630DC6" id="_x0000_t202" coordsize="21600,21600" o:spt="202" path="m,l,21600r21600,l21600,xe">
              <v:stroke joinstyle="miter"/>
              <v:path gradientshapeok="t" o:connecttype="rect"/>
            </v:shapetype>
            <v:shape id="41b1110a-80a4-11ea-b356-6230a4311406" o:spid="_x0000_s1026" type="#_x0000_t202" style="position:absolute;margin-left:466.5pt;margin-top:155pt;width:110.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" filled="f" stroked="f">
              <v:textbox inset="0,0,0,0">
                <w:txbxContent>
                  <w:p w14:paraId="28630DF6" w14:textId="77777777" w:rsidR="005F416E" w:rsidRDefault="00E30C19">
                    <w:pPr>
                      <w:pStyle w:val="Referentiegegevensbold"/>
                    </w:pPr>
                    <w:r>
                      <w:t>Ministerie van Buitenlandse Zaken</w:t>
                    </w:r>
                  </w:p>
                  <w:p w14:paraId="28630DF7" w14:textId="77777777" w:rsidR="005F416E" w:rsidRDefault="005F416E">
                    <w:pPr>
                      <w:pStyle w:val="WitregelW2"/>
                    </w:pPr>
                  </w:p>
                  <w:p w14:paraId="28630DF8" w14:textId="77777777" w:rsidR="005F416E" w:rsidRDefault="00E30C19">
                    <w:pPr>
                      <w:pStyle w:val="Referentiegegevensbold"/>
                    </w:pPr>
                    <w:r>
                      <w:t>Onze referentie</w:t>
                    </w:r>
                  </w:p>
                  <w:p w14:paraId="28630DF9" w14:textId="77777777" w:rsidR="005F416E" w:rsidRDefault="00E30C19">
                    <w:pPr>
                      <w:pStyle w:val="Referentiegegevens"/>
                    </w:pPr>
                    <w:r>
                      <w:t>BZ2513685</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8630DCA" wp14:editId="297ABAA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630E08" w14:textId="77777777" w:rsidR="00E30C19" w:rsidRDefault="00E30C19"/>
                      </w:txbxContent>
                    </wps:txbx>
                    <wps:bodyPr vert="horz" wrap="square" lIns="0" tIns="0" rIns="0" bIns="0" anchor="t" anchorCtr="0"/>
                  </wps:wsp>
                </a:graphicData>
              </a:graphic>
            </wp:anchor>
          </w:drawing>
        </mc:Choice>
        <mc:Fallback>
          <w:pict>
            <v:shape w14:anchorId="28630DCA"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8630E08" w14:textId="77777777" w:rsidR="00E30C19" w:rsidRDefault="00E30C19"/>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0DC4" w14:textId="532BAEA0" w:rsidR="005F416E" w:rsidRDefault="00E30C19">
    <w:pPr>
      <w:spacing w:after="7131" w:line="14" w:lineRule="exact"/>
    </w:pPr>
    <w:r>
      <w:rPr>
        <w:noProof/>
      </w:rPr>
      <mc:AlternateContent>
        <mc:Choice Requires="wps">
          <w:drawing>
            <wp:anchor distT="0" distB="0" distL="0" distR="0" simplePos="0" relativeHeight="251655680" behindDoc="0" locked="1" layoutInCell="1" allowOverlap="1" wp14:anchorId="28630DCC" wp14:editId="28630DC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8630DFB" w14:textId="77777777" w:rsidR="00E30C19" w:rsidRDefault="00E30C19"/>
                      </w:txbxContent>
                    </wps:txbx>
                    <wps:bodyPr vert="horz" wrap="square" lIns="0" tIns="0" rIns="0" bIns="0" anchor="t" anchorCtr="0"/>
                  </wps:wsp>
                </a:graphicData>
              </a:graphic>
            </wp:anchor>
          </w:drawing>
        </mc:Choice>
        <mc:Fallback>
          <w:pict>
            <v:shapetype w14:anchorId="28630DC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8630DFB" w14:textId="77777777" w:rsidR="00E30C19" w:rsidRDefault="00E30C1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8630DCE" wp14:editId="28630DC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630DDD" w14:textId="77777777" w:rsidR="005F416E" w:rsidRDefault="00E30C1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8630DCE"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8630DDD" w14:textId="77777777" w:rsidR="005F416E" w:rsidRDefault="00E30C1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8630DD0" wp14:editId="3FBCFDC7">
              <wp:simplePos x="0" y="0"/>
              <wp:positionH relativeFrom="page">
                <wp:posOffset>1007110</wp:posOffset>
              </wp:positionH>
              <wp:positionV relativeFrom="page">
                <wp:posOffset>3767455</wp:posOffset>
              </wp:positionV>
              <wp:extent cx="4780915" cy="52451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524510"/>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F416E" w14:paraId="28630DE0" w14:textId="77777777">
                            <w:tc>
                              <w:tcPr>
                                <w:tcW w:w="678" w:type="dxa"/>
                              </w:tcPr>
                              <w:p w14:paraId="28630DDE" w14:textId="77777777" w:rsidR="005F416E" w:rsidRDefault="00E30C19">
                                <w:r>
                                  <w:t>Datum</w:t>
                                </w:r>
                              </w:p>
                            </w:tc>
                            <w:tc>
                              <w:tcPr>
                                <w:tcW w:w="6851" w:type="dxa"/>
                              </w:tcPr>
                              <w:p w14:paraId="28630DDF" w14:textId="4ED34194" w:rsidR="005F416E" w:rsidRDefault="00FA30D0">
                                <w:r>
                                  <w:t>20</w:t>
                                </w:r>
                                <w:r w:rsidR="00635FED">
                                  <w:t xml:space="preserve"> juni</w:t>
                                </w:r>
                                <w:r w:rsidR="00E30C19">
                                  <w:t xml:space="preserve"> 2025</w:t>
                                </w:r>
                              </w:p>
                            </w:tc>
                          </w:tr>
                          <w:tr w:rsidR="005F416E" w14:paraId="28630DE5" w14:textId="77777777">
                            <w:tc>
                              <w:tcPr>
                                <w:tcW w:w="678" w:type="dxa"/>
                              </w:tcPr>
                              <w:p w14:paraId="28630DE1" w14:textId="77777777" w:rsidR="005F416E" w:rsidRDefault="00E30C19">
                                <w:r>
                                  <w:t>Betreft</w:t>
                                </w:r>
                              </w:p>
                              <w:p w14:paraId="28630DE2" w14:textId="77777777" w:rsidR="005F416E" w:rsidRDefault="005F416E"/>
                            </w:tc>
                            <w:tc>
                              <w:tcPr>
                                <w:tcW w:w="6851" w:type="dxa"/>
                              </w:tcPr>
                              <w:p w14:paraId="28630DE4" w14:textId="4AC1A770" w:rsidR="005F416E" w:rsidRDefault="00635FED">
                                <w:r>
                                  <w:t>Voorgestelde Raad</w:t>
                                </w:r>
                                <w:r w:rsidR="00E30C19">
                                  <w:t>sbesluit</w:t>
                                </w:r>
                                <w:r>
                                  <w:t>en</w:t>
                                </w:r>
                                <w:r w:rsidR="00E30C19">
                                  <w:t xml:space="preserve"> - overeenkomst inzake de interpretatie van het Energiehandvestverdrag</w:t>
                                </w:r>
                                <w:r w:rsidR="0018200C">
                                  <w:t xml:space="preserve"> (ECT)</w:t>
                                </w:r>
                              </w:p>
                            </w:tc>
                          </w:tr>
                        </w:tbl>
                        <w:p w14:paraId="28630DE6" w14:textId="77777777" w:rsidR="005F416E" w:rsidRDefault="005F416E"/>
                        <w:p w14:paraId="28630DE7" w14:textId="77777777" w:rsidR="005F416E" w:rsidRDefault="005F416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8630DD0" id="41b10c7e-80a4-11ea-b356-6230a4311406" o:spid="_x0000_s1030" type="#_x0000_t202" style="position:absolute;margin-left:79.3pt;margin-top:296.65pt;width:376.45pt;height:41.3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F416E" w14:paraId="28630DE0" w14:textId="77777777">
                      <w:tc>
                        <w:tcPr>
                          <w:tcW w:w="678" w:type="dxa"/>
                        </w:tcPr>
                        <w:p w14:paraId="28630DDE" w14:textId="77777777" w:rsidR="005F416E" w:rsidRDefault="00E30C19">
                          <w:r>
                            <w:t>Datum</w:t>
                          </w:r>
                        </w:p>
                      </w:tc>
                      <w:tc>
                        <w:tcPr>
                          <w:tcW w:w="6851" w:type="dxa"/>
                        </w:tcPr>
                        <w:p w14:paraId="28630DDF" w14:textId="4ED34194" w:rsidR="005F416E" w:rsidRDefault="00FA30D0">
                          <w:r>
                            <w:t>20</w:t>
                          </w:r>
                          <w:r w:rsidR="00635FED">
                            <w:t xml:space="preserve"> juni</w:t>
                          </w:r>
                          <w:r w:rsidR="00E30C19">
                            <w:t xml:space="preserve"> 2025</w:t>
                          </w:r>
                        </w:p>
                      </w:tc>
                    </w:tr>
                    <w:tr w:rsidR="005F416E" w14:paraId="28630DE5" w14:textId="77777777">
                      <w:tc>
                        <w:tcPr>
                          <w:tcW w:w="678" w:type="dxa"/>
                        </w:tcPr>
                        <w:p w14:paraId="28630DE1" w14:textId="77777777" w:rsidR="005F416E" w:rsidRDefault="00E30C19">
                          <w:r>
                            <w:t>Betreft</w:t>
                          </w:r>
                        </w:p>
                        <w:p w14:paraId="28630DE2" w14:textId="77777777" w:rsidR="005F416E" w:rsidRDefault="005F416E"/>
                      </w:tc>
                      <w:tc>
                        <w:tcPr>
                          <w:tcW w:w="6851" w:type="dxa"/>
                        </w:tcPr>
                        <w:p w14:paraId="28630DE4" w14:textId="4AC1A770" w:rsidR="005F416E" w:rsidRDefault="00635FED">
                          <w:r>
                            <w:t>Voorgestelde Raad</w:t>
                          </w:r>
                          <w:r w:rsidR="00E30C19">
                            <w:t>sbesluit</w:t>
                          </w:r>
                          <w:r>
                            <w:t>en</w:t>
                          </w:r>
                          <w:r w:rsidR="00E30C19">
                            <w:t xml:space="preserve"> - overeenkomst inzake de interpretatie van het Energiehandvestverdrag</w:t>
                          </w:r>
                          <w:r w:rsidR="0018200C">
                            <w:t xml:space="preserve"> (ECT)</w:t>
                          </w:r>
                        </w:p>
                      </w:tc>
                    </w:tr>
                  </w:tbl>
                  <w:p w14:paraId="28630DE6" w14:textId="77777777" w:rsidR="005F416E" w:rsidRDefault="005F416E"/>
                  <w:p w14:paraId="28630DE7" w14:textId="77777777" w:rsidR="005F416E" w:rsidRDefault="005F416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8630DD2" wp14:editId="7F513551">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28630DE8" w14:textId="77777777" w:rsidR="005F416E" w:rsidRDefault="00E30C19">
                          <w:pPr>
                            <w:pStyle w:val="Referentiegegevensbold"/>
                          </w:pPr>
                          <w:r>
                            <w:t>Ministerie van Buitenlandse Zaken</w:t>
                          </w:r>
                        </w:p>
                        <w:p w14:paraId="28630DE9" w14:textId="77777777" w:rsidR="005F416E" w:rsidRDefault="005F416E">
                          <w:pPr>
                            <w:pStyle w:val="WitregelW1"/>
                          </w:pPr>
                        </w:p>
                        <w:p w14:paraId="28630DEA" w14:textId="77777777" w:rsidR="005F416E" w:rsidRPr="00B30ECE" w:rsidRDefault="00E30C19">
                          <w:pPr>
                            <w:pStyle w:val="Referentiegegevens"/>
                          </w:pPr>
                          <w:r w:rsidRPr="00B30ECE">
                            <w:t>Rijnstraat 8</w:t>
                          </w:r>
                        </w:p>
                        <w:p w14:paraId="28630DEB" w14:textId="38B5EA49" w:rsidR="005F416E" w:rsidRPr="00FA30D0" w:rsidRDefault="00B30ECE" w:rsidP="00B30ECE">
                          <w:pPr>
                            <w:rPr>
                              <w:sz w:val="13"/>
                              <w:szCs w:val="13"/>
                              <w:lang w:val="da-DK"/>
                            </w:rPr>
                          </w:pPr>
                          <w:r w:rsidRPr="00FA30D0">
                            <w:rPr>
                              <w:sz w:val="13"/>
                              <w:szCs w:val="13"/>
                              <w:lang w:val="da-DK"/>
                            </w:rPr>
                            <w:t xml:space="preserve">2515XP </w:t>
                          </w:r>
                          <w:r w:rsidR="00E30C19" w:rsidRPr="00FA30D0">
                            <w:rPr>
                              <w:sz w:val="13"/>
                              <w:szCs w:val="13"/>
                              <w:lang w:val="da-DK"/>
                            </w:rPr>
                            <w:t>Den Haag</w:t>
                          </w:r>
                        </w:p>
                        <w:p w14:paraId="664EABB6" w14:textId="6297BA0E" w:rsidR="00B30ECE" w:rsidRPr="00FA30D0" w:rsidRDefault="00B30ECE" w:rsidP="00B30ECE">
                          <w:pPr>
                            <w:rPr>
                              <w:sz w:val="13"/>
                              <w:szCs w:val="13"/>
                              <w:lang w:val="da-DK"/>
                            </w:rPr>
                          </w:pPr>
                          <w:r w:rsidRPr="00FA30D0">
                            <w:rPr>
                              <w:sz w:val="13"/>
                              <w:szCs w:val="13"/>
                              <w:lang w:val="da-DK"/>
                            </w:rPr>
                            <w:t>Postbus 20061</w:t>
                          </w:r>
                        </w:p>
                        <w:p w14:paraId="28630DEC" w14:textId="2548656D" w:rsidR="005F416E" w:rsidRPr="00FA30D0" w:rsidRDefault="00B30ECE" w:rsidP="00B30ECE">
                          <w:pPr>
                            <w:rPr>
                              <w:sz w:val="13"/>
                              <w:szCs w:val="13"/>
                              <w:lang w:val="da-DK"/>
                            </w:rPr>
                          </w:pPr>
                          <w:r w:rsidRPr="00FA30D0">
                            <w:rPr>
                              <w:sz w:val="13"/>
                              <w:szCs w:val="13"/>
                              <w:lang w:val="da-DK"/>
                            </w:rPr>
                            <w:t>Nederland</w:t>
                          </w:r>
                        </w:p>
                        <w:p w14:paraId="28630DED" w14:textId="77777777" w:rsidR="005F416E" w:rsidRPr="00FA30D0" w:rsidRDefault="00E30C19">
                          <w:pPr>
                            <w:pStyle w:val="Referentiegegevens"/>
                            <w:rPr>
                              <w:lang w:val="da-DK"/>
                            </w:rPr>
                          </w:pPr>
                          <w:r w:rsidRPr="00FA30D0">
                            <w:rPr>
                              <w:lang w:val="da-DK"/>
                            </w:rPr>
                            <w:t>www.minbuza.nl</w:t>
                          </w:r>
                        </w:p>
                        <w:p w14:paraId="28630DEE" w14:textId="77777777" w:rsidR="005F416E" w:rsidRPr="00FA30D0" w:rsidRDefault="005F416E">
                          <w:pPr>
                            <w:pStyle w:val="WitregelW2"/>
                            <w:rPr>
                              <w:lang w:val="da-DK"/>
                            </w:rPr>
                          </w:pPr>
                        </w:p>
                        <w:p w14:paraId="28630DEF" w14:textId="77777777" w:rsidR="005F416E" w:rsidRDefault="00E30C19">
                          <w:pPr>
                            <w:pStyle w:val="Referentiegegevensbold"/>
                          </w:pPr>
                          <w:r>
                            <w:t>Onze referentie</w:t>
                          </w:r>
                        </w:p>
                        <w:p w14:paraId="28630DF0" w14:textId="77777777" w:rsidR="005F416E" w:rsidRDefault="00E30C19">
                          <w:pPr>
                            <w:pStyle w:val="Referentiegegevens"/>
                          </w:pPr>
                          <w:r>
                            <w:t>BZ2513685</w:t>
                          </w:r>
                        </w:p>
                        <w:p w14:paraId="28630DF1" w14:textId="77777777" w:rsidR="005F416E" w:rsidRDefault="005F416E">
                          <w:pPr>
                            <w:pStyle w:val="WitregelW1"/>
                          </w:pPr>
                        </w:p>
                        <w:p w14:paraId="28630DF2" w14:textId="77777777" w:rsidR="005F416E" w:rsidRDefault="00E30C19">
                          <w:pPr>
                            <w:pStyle w:val="Referentiegegevensbold"/>
                          </w:pPr>
                          <w:r>
                            <w:t>Bijlage(n)</w:t>
                          </w:r>
                        </w:p>
                        <w:p w14:paraId="28630DF3" w14:textId="1016586F" w:rsidR="005F416E" w:rsidRDefault="00E30C19">
                          <w:pPr>
                            <w:pStyle w:val="Referentiegegevens"/>
                          </w:pPr>
                          <w:r>
                            <w:t xml:space="preserve">- </w:t>
                          </w:r>
                        </w:p>
                      </w:txbxContent>
                    </wps:txbx>
                    <wps:bodyPr vert="horz" wrap="square" lIns="0" tIns="0" rIns="0" bIns="0" anchor="t" anchorCtr="0"/>
                  </wps:wsp>
                </a:graphicData>
              </a:graphic>
              <wp14:sizeRelH relativeFrom="margin">
                <wp14:pctWidth>0</wp14:pctWidth>
              </wp14:sizeRelH>
            </wp:anchor>
          </w:drawing>
        </mc:Choice>
        <mc:Fallback>
          <w:pict>
            <v:shape w14:anchorId="28630DD2" id="41b10cd4-80a4-11ea-b356-6230a4311406" o:spid="_x0000_s1031" type="#_x0000_t202" style="position:absolute;margin-left:466.5pt;margin-top:155pt;width:108.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Dcpx4JkwEAABUDAAAO&#10;AAAAAAAAAAAAAAAAAC4CAABkcnMvZTJvRG9jLnhtbFBLAQItABQABgAIAAAAIQD3zMSL4AAAAA0B&#10;AAAPAAAAAAAAAAAAAAAAAO0DAABkcnMvZG93bnJldi54bWxQSwUGAAAAAAQABADzAAAA+gQAAAAA&#10;" filled="f" stroked="f">
              <v:textbox inset="0,0,0,0">
                <w:txbxContent>
                  <w:p w14:paraId="28630DE8" w14:textId="77777777" w:rsidR="005F416E" w:rsidRDefault="00E30C19">
                    <w:pPr>
                      <w:pStyle w:val="Referentiegegevensbold"/>
                    </w:pPr>
                    <w:r>
                      <w:t>Ministerie van Buitenlandse Zaken</w:t>
                    </w:r>
                  </w:p>
                  <w:p w14:paraId="28630DE9" w14:textId="77777777" w:rsidR="005F416E" w:rsidRDefault="005F416E">
                    <w:pPr>
                      <w:pStyle w:val="WitregelW1"/>
                    </w:pPr>
                  </w:p>
                  <w:p w14:paraId="28630DEA" w14:textId="77777777" w:rsidR="005F416E" w:rsidRPr="00B30ECE" w:rsidRDefault="00E30C19">
                    <w:pPr>
                      <w:pStyle w:val="Referentiegegevens"/>
                    </w:pPr>
                    <w:r w:rsidRPr="00B30ECE">
                      <w:t>Rijnstraat 8</w:t>
                    </w:r>
                  </w:p>
                  <w:p w14:paraId="28630DEB" w14:textId="38B5EA49" w:rsidR="005F416E" w:rsidRPr="00FA30D0" w:rsidRDefault="00B30ECE" w:rsidP="00B30ECE">
                    <w:pPr>
                      <w:rPr>
                        <w:sz w:val="13"/>
                        <w:szCs w:val="13"/>
                        <w:lang w:val="da-DK"/>
                      </w:rPr>
                    </w:pPr>
                    <w:r w:rsidRPr="00FA30D0">
                      <w:rPr>
                        <w:sz w:val="13"/>
                        <w:szCs w:val="13"/>
                        <w:lang w:val="da-DK"/>
                      </w:rPr>
                      <w:t xml:space="preserve">2515XP </w:t>
                    </w:r>
                    <w:r w:rsidR="00E30C19" w:rsidRPr="00FA30D0">
                      <w:rPr>
                        <w:sz w:val="13"/>
                        <w:szCs w:val="13"/>
                        <w:lang w:val="da-DK"/>
                      </w:rPr>
                      <w:t>Den Haag</w:t>
                    </w:r>
                  </w:p>
                  <w:p w14:paraId="664EABB6" w14:textId="6297BA0E" w:rsidR="00B30ECE" w:rsidRPr="00FA30D0" w:rsidRDefault="00B30ECE" w:rsidP="00B30ECE">
                    <w:pPr>
                      <w:rPr>
                        <w:sz w:val="13"/>
                        <w:szCs w:val="13"/>
                        <w:lang w:val="da-DK"/>
                      </w:rPr>
                    </w:pPr>
                    <w:r w:rsidRPr="00FA30D0">
                      <w:rPr>
                        <w:sz w:val="13"/>
                        <w:szCs w:val="13"/>
                        <w:lang w:val="da-DK"/>
                      </w:rPr>
                      <w:t>Postbus 20061</w:t>
                    </w:r>
                  </w:p>
                  <w:p w14:paraId="28630DEC" w14:textId="2548656D" w:rsidR="005F416E" w:rsidRPr="00FA30D0" w:rsidRDefault="00B30ECE" w:rsidP="00B30ECE">
                    <w:pPr>
                      <w:rPr>
                        <w:sz w:val="13"/>
                        <w:szCs w:val="13"/>
                        <w:lang w:val="da-DK"/>
                      </w:rPr>
                    </w:pPr>
                    <w:r w:rsidRPr="00FA30D0">
                      <w:rPr>
                        <w:sz w:val="13"/>
                        <w:szCs w:val="13"/>
                        <w:lang w:val="da-DK"/>
                      </w:rPr>
                      <w:t>Nederland</w:t>
                    </w:r>
                  </w:p>
                  <w:p w14:paraId="28630DED" w14:textId="77777777" w:rsidR="005F416E" w:rsidRPr="00FA30D0" w:rsidRDefault="00E30C19">
                    <w:pPr>
                      <w:pStyle w:val="Referentiegegevens"/>
                      <w:rPr>
                        <w:lang w:val="da-DK"/>
                      </w:rPr>
                    </w:pPr>
                    <w:r w:rsidRPr="00FA30D0">
                      <w:rPr>
                        <w:lang w:val="da-DK"/>
                      </w:rPr>
                      <w:t>www.minbuza.nl</w:t>
                    </w:r>
                  </w:p>
                  <w:p w14:paraId="28630DEE" w14:textId="77777777" w:rsidR="005F416E" w:rsidRPr="00FA30D0" w:rsidRDefault="005F416E">
                    <w:pPr>
                      <w:pStyle w:val="WitregelW2"/>
                      <w:rPr>
                        <w:lang w:val="da-DK"/>
                      </w:rPr>
                    </w:pPr>
                  </w:p>
                  <w:p w14:paraId="28630DEF" w14:textId="77777777" w:rsidR="005F416E" w:rsidRDefault="00E30C19">
                    <w:pPr>
                      <w:pStyle w:val="Referentiegegevensbold"/>
                    </w:pPr>
                    <w:r>
                      <w:t>Onze referentie</w:t>
                    </w:r>
                  </w:p>
                  <w:p w14:paraId="28630DF0" w14:textId="77777777" w:rsidR="005F416E" w:rsidRDefault="00E30C19">
                    <w:pPr>
                      <w:pStyle w:val="Referentiegegevens"/>
                    </w:pPr>
                    <w:r>
                      <w:t>BZ2513685</w:t>
                    </w:r>
                  </w:p>
                  <w:p w14:paraId="28630DF1" w14:textId="77777777" w:rsidR="005F416E" w:rsidRDefault="005F416E">
                    <w:pPr>
                      <w:pStyle w:val="WitregelW1"/>
                    </w:pPr>
                  </w:p>
                  <w:p w14:paraId="28630DF2" w14:textId="77777777" w:rsidR="005F416E" w:rsidRDefault="00E30C19">
                    <w:pPr>
                      <w:pStyle w:val="Referentiegegevensbold"/>
                    </w:pPr>
                    <w:r>
                      <w:t>Bijlage(n)</w:t>
                    </w:r>
                  </w:p>
                  <w:p w14:paraId="28630DF3" w14:textId="1016586F" w:rsidR="005F416E" w:rsidRDefault="00E30C19">
                    <w:pPr>
                      <w:pStyle w:val="Referentie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8630DD6" wp14:editId="4DD7173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630E01" w14:textId="77777777" w:rsidR="00E30C19" w:rsidRDefault="00E30C19"/>
                      </w:txbxContent>
                    </wps:txbx>
                    <wps:bodyPr vert="horz" wrap="square" lIns="0" tIns="0" rIns="0" bIns="0" anchor="t" anchorCtr="0"/>
                  </wps:wsp>
                </a:graphicData>
              </a:graphic>
            </wp:anchor>
          </w:drawing>
        </mc:Choice>
        <mc:Fallback>
          <w:pict>
            <v:shape w14:anchorId="28630DD6"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8630E01" w14:textId="77777777" w:rsidR="00E30C19" w:rsidRDefault="00E30C19"/>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630DD8" wp14:editId="28630DD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8630E03" w14:textId="77777777" w:rsidR="00E30C19" w:rsidRDefault="00E30C19"/>
                      </w:txbxContent>
                    </wps:txbx>
                    <wps:bodyPr vert="horz" wrap="square" lIns="0" tIns="0" rIns="0" bIns="0" anchor="t" anchorCtr="0"/>
                  </wps:wsp>
                </a:graphicData>
              </a:graphic>
            </wp:anchor>
          </w:drawing>
        </mc:Choice>
        <mc:Fallback>
          <w:pict>
            <v:shape w14:anchorId="28630DD8"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8630E03" w14:textId="77777777" w:rsidR="00E30C19" w:rsidRDefault="00E30C19"/>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8630DDA" wp14:editId="28630DD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630DF5" w14:textId="77777777" w:rsidR="005F416E" w:rsidRDefault="00E30C19">
                          <w:pPr>
                            <w:spacing w:line="240" w:lineRule="auto"/>
                          </w:pPr>
                          <w:r>
                            <w:rPr>
                              <w:noProof/>
                            </w:rPr>
                            <w:drawing>
                              <wp:inline distT="0" distB="0" distL="0" distR="0" wp14:anchorId="28630DFB" wp14:editId="28630DF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630DDA"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8630DF5" w14:textId="77777777" w:rsidR="005F416E" w:rsidRDefault="00E30C19">
                    <w:pPr>
                      <w:spacing w:line="240" w:lineRule="auto"/>
                    </w:pPr>
                    <w:r>
                      <w:rPr>
                        <w:noProof/>
                      </w:rPr>
                      <w:drawing>
                        <wp:inline distT="0" distB="0" distL="0" distR="0" wp14:anchorId="28630DFB" wp14:editId="28630DF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457D4A"/>
    <w:multiLevelType w:val="multilevel"/>
    <w:tmpl w:val="E245F9B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4F2B8DF"/>
    <w:multiLevelType w:val="multilevel"/>
    <w:tmpl w:val="B808AC7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0936DD"/>
    <w:multiLevelType w:val="multilevel"/>
    <w:tmpl w:val="E090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C23B60"/>
    <w:multiLevelType w:val="multilevel"/>
    <w:tmpl w:val="035A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74351"/>
    <w:multiLevelType w:val="multilevel"/>
    <w:tmpl w:val="B660BD8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34BB299C"/>
    <w:multiLevelType w:val="multilevel"/>
    <w:tmpl w:val="1492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79CEBF"/>
    <w:multiLevelType w:val="multilevel"/>
    <w:tmpl w:val="73F2E4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7211DE3"/>
    <w:multiLevelType w:val="multilevel"/>
    <w:tmpl w:val="17E5E44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37951446">
    <w:abstractNumId w:val="4"/>
  </w:num>
  <w:num w:numId="2" w16cid:durableId="1589845990">
    <w:abstractNumId w:val="7"/>
  </w:num>
  <w:num w:numId="3" w16cid:durableId="1659772087">
    <w:abstractNumId w:val="6"/>
  </w:num>
  <w:num w:numId="4" w16cid:durableId="1292783614">
    <w:abstractNumId w:val="0"/>
  </w:num>
  <w:num w:numId="5" w16cid:durableId="1058406671">
    <w:abstractNumId w:val="1"/>
  </w:num>
  <w:num w:numId="6" w16cid:durableId="1957633223">
    <w:abstractNumId w:val="2"/>
  </w:num>
  <w:num w:numId="7" w16cid:durableId="1755584357">
    <w:abstractNumId w:val="3"/>
  </w:num>
  <w:num w:numId="8" w16cid:durableId="118497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16E"/>
    <w:rsid w:val="00015544"/>
    <w:rsid w:val="00024E97"/>
    <w:rsid w:val="000419DA"/>
    <w:rsid w:val="00050377"/>
    <w:rsid w:val="000726FD"/>
    <w:rsid w:val="00087299"/>
    <w:rsid w:val="0009112E"/>
    <w:rsid w:val="000A1170"/>
    <w:rsid w:val="000A5513"/>
    <w:rsid w:val="0010128E"/>
    <w:rsid w:val="00125B8D"/>
    <w:rsid w:val="00157D61"/>
    <w:rsid w:val="00163741"/>
    <w:rsid w:val="0018200C"/>
    <w:rsid w:val="001A3652"/>
    <w:rsid w:val="001B628F"/>
    <w:rsid w:val="001D5CA0"/>
    <w:rsid w:val="001D69F3"/>
    <w:rsid w:val="001E7311"/>
    <w:rsid w:val="00205216"/>
    <w:rsid w:val="00222B30"/>
    <w:rsid w:val="002409DF"/>
    <w:rsid w:val="00240F9C"/>
    <w:rsid w:val="00242F25"/>
    <w:rsid w:val="002A16FA"/>
    <w:rsid w:val="002A49E9"/>
    <w:rsid w:val="002D07D3"/>
    <w:rsid w:val="002E4D6A"/>
    <w:rsid w:val="00305C27"/>
    <w:rsid w:val="003133A2"/>
    <w:rsid w:val="003260FC"/>
    <w:rsid w:val="00330F05"/>
    <w:rsid w:val="00332172"/>
    <w:rsid w:val="00367817"/>
    <w:rsid w:val="003B48B1"/>
    <w:rsid w:val="004364BC"/>
    <w:rsid w:val="00456762"/>
    <w:rsid w:val="00471E1D"/>
    <w:rsid w:val="004B0C3A"/>
    <w:rsid w:val="004B5F2C"/>
    <w:rsid w:val="004F7E9A"/>
    <w:rsid w:val="00532233"/>
    <w:rsid w:val="00552D72"/>
    <w:rsid w:val="0059436C"/>
    <w:rsid w:val="005B3498"/>
    <w:rsid w:val="005B3C5B"/>
    <w:rsid w:val="005D7A0C"/>
    <w:rsid w:val="005D7BDC"/>
    <w:rsid w:val="005F416E"/>
    <w:rsid w:val="00614D4B"/>
    <w:rsid w:val="00630EFC"/>
    <w:rsid w:val="00635FED"/>
    <w:rsid w:val="0066104A"/>
    <w:rsid w:val="00665DA5"/>
    <w:rsid w:val="006815E0"/>
    <w:rsid w:val="006E1AE7"/>
    <w:rsid w:val="006F1DA2"/>
    <w:rsid w:val="00737BB4"/>
    <w:rsid w:val="008172C7"/>
    <w:rsid w:val="00835F2C"/>
    <w:rsid w:val="008625CF"/>
    <w:rsid w:val="008A317D"/>
    <w:rsid w:val="008B25E7"/>
    <w:rsid w:val="009211CB"/>
    <w:rsid w:val="00921CF8"/>
    <w:rsid w:val="009618F1"/>
    <w:rsid w:val="00990383"/>
    <w:rsid w:val="009953B3"/>
    <w:rsid w:val="009B65BA"/>
    <w:rsid w:val="009D7191"/>
    <w:rsid w:val="00A35B20"/>
    <w:rsid w:val="00A55D68"/>
    <w:rsid w:val="00A702DB"/>
    <w:rsid w:val="00A75FDE"/>
    <w:rsid w:val="00A80EF7"/>
    <w:rsid w:val="00AA13C4"/>
    <w:rsid w:val="00AA4AD4"/>
    <w:rsid w:val="00AA5444"/>
    <w:rsid w:val="00AA76F5"/>
    <w:rsid w:val="00AB7F5E"/>
    <w:rsid w:val="00AC346F"/>
    <w:rsid w:val="00AD409E"/>
    <w:rsid w:val="00AE19FA"/>
    <w:rsid w:val="00AE7A7A"/>
    <w:rsid w:val="00B30ECE"/>
    <w:rsid w:val="00B325AD"/>
    <w:rsid w:val="00B46F9D"/>
    <w:rsid w:val="00B57D16"/>
    <w:rsid w:val="00B704A7"/>
    <w:rsid w:val="00B80263"/>
    <w:rsid w:val="00B82A66"/>
    <w:rsid w:val="00B84543"/>
    <w:rsid w:val="00B85A43"/>
    <w:rsid w:val="00B97D84"/>
    <w:rsid w:val="00BA785B"/>
    <w:rsid w:val="00BA7A72"/>
    <w:rsid w:val="00C027D6"/>
    <w:rsid w:val="00C23CF0"/>
    <w:rsid w:val="00C5755D"/>
    <w:rsid w:val="00C63ACC"/>
    <w:rsid w:val="00C66F7A"/>
    <w:rsid w:val="00C70BB6"/>
    <w:rsid w:val="00C90838"/>
    <w:rsid w:val="00CC1949"/>
    <w:rsid w:val="00CC48DB"/>
    <w:rsid w:val="00CF070C"/>
    <w:rsid w:val="00D23839"/>
    <w:rsid w:val="00D35754"/>
    <w:rsid w:val="00DB155E"/>
    <w:rsid w:val="00DC5DD6"/>
    <w:rsid w:val="00DD024A"/>
    <w:rsid w:val="00DE03D2"/>
    <w:rsid w:val="00DF5642"/>
    <w:rsid w:val="00E30C19"/>
    <w:rsid w:val="00E50836"/>
    <w:rsid w:val="00E54791"/>
    <w:rsid w:val="00E84507"/>
    <w:rsid w:val="00EB62CC"/>
    <w:rsid w:val="00EE27E1"/>
    <w:rsid w:val="00F50879"/>
    <w:rsid w:val="00FA297A"/>
    <w:rsid w:val="00FA30D0"/>
    <w:rsid w:val="00FC11CD"/>
    <w:rsid w:val="00FF42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0DBA"/>
  <w15:docId w15:val="{146D8652-6363-4189-8CAB-E8AC5A11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customStyle="1" w:styleId="paragraph">
    <w:name w:val="paragraph"/>
    <w:basedOn w:val="Normal"/>
    <w:rsid w:val="0036781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67817"/>
  </w:style>
  <w:style w:type="character" w:customStyle="1" w:styleId="scxw77896896">
    <w:name w:val="scxw77896896"/>
    <w:basedOn w:val="DefaultParagraphFont"/>
    <w:rsid w:val="00367817"/>
  </w:style>
  <w:style w:type="character" w:customStyle="1" w:styleId="eop">
    <w:name w:val="eop"/>
    <w:basedOn w:val="DefaultParagraphFont"/>
    <w:rsid w:val="00367817"/>
  </w:style>
  <w:style w:type="character" w:customStyle="1" w:styleId="spellingerror">
    <w:name w:val="spellingerror"/>
    <w:basedOn w:val="DefaultParagraphFont"/>
    <w:rsid w:val="00367817"/>
  </w:style>
  <w:style w:type="paragraph" w:styleId="Header">
    <w:name w:val="header"/>
    <w:basedOn w:val="Normal"/>
    <w:link w:val="HeaderChar"/>
    <w:uiPriority w:val="99"/>
    <w:unhideWhenUsed/>
    <w:rsid w:val="00367817"/>
    <w:pPr>
      <w:tabs>
        <w:tab w:val="center" w:pos="4513"/>
        <w:tab w:val="right" w:pos="9026"/>
      </w:tabs>
      <w:spacing w:line="240" w:lineRule="auto"/>
    </w:pPr>
  </w:style>
  <w:style w:type="character" w:customStyle="1" w:styleId="HeaderChar">
    <w:name w:val="Header Char"/>
    <w:basedOn w:val="DefaultParagraphFont"/>
    <w:link w:val="Header"/>
    <w:uiPriority w:val="99"/>
    <w:rsid w:val="00367817"/>
    <w:rPr>
      <w:rFonts w:ascii="Verdana" w:hAnsi="Verdana"/>
      <w:color w:val="000000"/>
      <w:sz w:val="18"/>
      <w:szCs w:val="18"/>
    </w:rPr>
  </w:style>
  <w:style w:type="paragraph" w:styleId="Footer">
    <w:name w:val="footer"/>
    <w:basedOn w:val="Normal"/>
    <w:link w:val="FooterChar"/>
    <w:uiPriority w:val="99"/>
    <w:unhideWhenUsed/>
    <w:rsid w:val="00367817"/>
    <w:pPr>
      <w:tabs>
        <w:tab w:val="center" w:pos="4513"/>
        <w:tab w:val="right" w:pos="9026"/>
      </w:tabs>
      <w:spacing w:line="240" w:lineRule="auto"/>
    </w:pPr>
  </w:style>
  <w:style w:type="character" w:customStyle="1" w:styleId="FooterChar">
    <w:name w:val="Footer Char"/>
    <w:basedOn w:val="DefaultParagraphFont"/>
    <w:link w:val="Footer"/>
    <w:uiPriority w:val="99"/>
    <w:rsid w:val="00367817"/>
    <w:rPr>
      <w:rFonts w:ascii="Verdana" w:hAnsi="Verdana"/>
      <w:color w:val="000000"/>
      <w:sz w:val="18"/>
      <w:szCs w:val="18"/>
    </w:rPr>
  </w:style>
  <w:style w:type="paragraph" w:styleId="FootnoteText">
    <w:name w:val="footnote text"/>
    <w:basedOn w:val="Normal"/>
    <w:link w:val="FootnoteTextChar"/>
    <w:uiPriority w:val="99"/>
    <w:semiHidden/>
    <w:unhideWhenUsed/>
    <w:rsid w:val="00532233"/>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53223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2233"/>
    <w:rPr>
      <w:vertAlign w:val="superscript"/>
    </w:rPr>
  </w:style>
  <w:style w:type="paragraph" w:styleId="Revision">
    <w:name w:val="Revision"/>
    <w:hidden/>
    <w:uiPriority w:val="99"/>
    <w:semiHidden/>
    <w:rsid w:val="0018200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70BB6"/>
    <w:rPr>
      <w:sz w:val="16"/>
      <w:szCs w:val="16"/>
    </w:rPr>
  </w:style>
  <w:style w:type="paragraph" w:styleId="CommentText">
    <w:name w:val="annotation text"/>
    <w:basedOn w:val="Normal"/>
    <w:link w:val="CommentTextChar"/>
    <w:uiPriority w:val="99"/>
    <w:unhideWhenUsed/>
    <w:rsid w:val="00C70BB6"/>
    <w:pPr>
      <w:spacing w:line="240" w:lineRule="auto"/>
    </w:pPr>
    <w:rPr>
      <w:sz w:val="20"/>
      <w:szCs w:val="20"/>
    </w:rPr>
  </w:style>
  <w:style w:type="character" w:customStyle="1" w:styleId="CommentTextChar">
    <w:name w:val="Comment Text Char"/>
    <w:basedOn w:val="DefaultParagraphFont"/>
    <w:link w:val="CommentText"/>
    <w:uiPriority w:val="99"/>
    <w:rsid w:val="00C70BB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70BB6"/>
    <w:rPr>
      <w:b/>
      <w:bCs/>
    </w:rPr>
  </w:style>
  <w:style w:type="character" w:customStyle="1" w:styleId="CommentSubjectChar">
    <w:name w:val="Comment Subject Char"/>
    <w:basedOn w:val="CommentTextChar"/>
    <w:link w:val="CommentSubject"/>
    <w:uiPriority w:val="99"/>
    <w:semiHidden/>
    <w:rsid w:val="00C70BB6"/>
    <w:rPr>
      <w:rFonts w:ascii="Verdana" w:hAnsi="Verdana"/>
      <w:b/>
      <w:bCs/>
      <w:color w:val="000000"/>
    </w:rPr>
  </w:style>
  <w:style w:type="character" w:styleId="UnresolvedMention">
    <w:name w:val="Unresolved Mention"/>
    <w:basedOn w:val="DefaultParagraphFont"/>
    <w:uiPriority w:val="99"/>
    <w:semiHidden/>
    <w:unhideWhenUsed/>
    <w:rsid w:val="00EB62CC"/>
    <w:rPr>
      <w:color w:val="605E5C"/>
      <w:shd w:val="clear" w:color="auto" w:fill="E1DFDD"/>
    </w:rPr>
  </w:style>
  <w:style w:type="character" w:styleId="FollowedHyperlink">
    <w:name w:val="FollowedHyperlink"/>
    <w:basedOn w:val="DefaultParagraphFont"/>
    <w:uiPriority w:val="99"/>
    <w:semiHidden/>
    <w:unhideWhenUsed/>
    <w:rsid w:val="00B97D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365747">
      <w:bodyDiv w:val="1"/>
      <w:marLeft w:val="0"/>
      <w:marRight w:val="0"/>
      <w:marTop w:val="0"/>
      <w:marBottom w:val="0"/>
      <w:divBdr>
        <w:top w:val="none" w:sz="0" w:space="0" w:color="auto"/>
        <w:left w:val="none" w:sz="0" w:space="0" w:color="auto"/>
        <w:bottom w:val="none" w:sz="0" w:space="0" w:color="auto"/>
        <w:right w:val="none" w:sz="0" w:space="0" w:color="auto"/>
      </w:divBdr>
      <w:divsChild>
        <w:div w:id="805970657">
          <w:marLeft w:val="0"/>
          <w:marRight w:val="0"/>
          <w:marTop w:val="0"/>
          <w:marBottom w:val="0"/>
          <w:divBdr>
            <w:top w:val="none" w:sz="0" w:space="0" w:color="auto"/>
            <w:left w:val="none" w:sz="0" w:space="0" w:color="auto"/>
            <w:bottom w:val="none" w:sz="0" w:space="0" w:color="auto"/>
            <w:right w:val="none" w:sz="0" w:space="0" w:color="auto"/>
          </w:divBdr>
        </w:div>
        <w:div w:id="4242258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492</ap:Words>
  <ap:Characters>2707</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Raadsbesluitvoorstel - overeenkomst inzake de interpretatie van het Energiehandvestverdrag</vt:lpstr>
    </vt:vector>
  </ap:TitlesOfParts>
  <ap:LinksUpToDate>false</ap:LinksUpToDate>
  <ap:CharactersWithSpaces>3193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2025-06-18T09:48:00.0000000Z</lastPrinted>
  <dcterms:created xsi:type="dcterms:W3CDTF">2025-06-20T15:05:00.0000000Z</dcterms:created>
  <dcterms:modified xsi:type="dcterms:W3CDTF">2025-06-20T15:26:00.0000000Z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a4dda110-6b40-4a78-9af1-19cdad837035</vt:lpwstr>
  </property>
  <property fmtid="{D5CDD505-2E9C-101B-9397-08002B2CF9AE}" pid="4" name="BZForumOrganisation">
    <vt:lpwstr>284;#European Council|f36517e7-399f-4fdc-9f55-1e9ddb149884</vt:lpwstr>
  </property>
  <property fmtid="{D5CDD505-2E9C-101B-9397-08002B2CF9AE}" pid="5" name="gc2efd3bfea04f7f8169be07009f5536">
    <vt:lpwstr/>
  </property>
  <property fmtid="{D5CDD505-2E9C-101B-9397-08002B2CF9AE}" pid="6" name="BZTheme">
    <vt:lpwstr>282;#Treaties|8a1dd4c5-caad-4d1b-bea2-6ffaeed10bdd</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