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05CA6" w:rsidR="00405CA6" w:rsidRDefault="00955D6D" w14:paraId="0CC1FDF5" w14:textId="53C7463F">
      <w:pPr>
        <w:rPr>
          <w:rFonts w:ascii="Calibri" w:hAnsi="Calibri" w:cs="Calibri"/>
        </w:rPr>
      </w:pPr>
      <w:r w:rsidRPr="00405CA6">
        <w:rPr>
          <w:rFonts w:ascii="Calibri" w:hAnsi="Calibri" w:cs="Calibri"/>
        </w:rPr>
        <w:t>33</w:t>
      </w:r>
      <w:r w:rsidRPr="00405CA6" w:rsidR="00405CA6">
        <w:rPr>
          <w:rFonts w:ascii="Calibri" w:hAnsi="Calibri" w:cs="Calibri"/>
        </w:rPr>
        <w:t xml:space="preserve"> </w:t>
      </w:r>
      <w:r w:rsidRPr="00405CA6">
        <w:rPr>
          <w:rFonts w:ascii="Calibri" w:hAnsi="Calibri" w:cs="Calibri"/>
        </w:rPr>
        <w:t>118</w:t>
      </w:r>
      <w:r w:rsidRPr="00405CA6" w:rsidR="00405CA6">
        <w:rPr>
          <w:rFonts w:ascii="Calibri" w:hAnsi="Calibri" w:cs="Calibri"/>
        </w:rPr>
        <w:tab/>
      </w:r>
      <w:r w:rsidRPr="00405CA6" w:rsidR="00405CA6">
        <w:rPr>
          <w:rFonts w:ascii="Calibri" w:hAnsi="Calibri" w:cs="Calibri"/>
        </w:rPr>
        <w:tab/>
        <w:t>Omgevingsrecht</w:t>
      </w:r>
    </w:p>
    <w:p w:rsidRPr="00405CA6" w:rsidR="00405CA6" w:rsidP="00405CA6" w:rsidRDefault="00405CA6" w14:paraId="7A887FB3" w14:textId="4DCE46CC">
      <w:pPr>
        <w:pStyle w:val="WitregelW1bodytekst"/>
        <w:spacing w:after="160"/>
        <w:ind w:left="1416" w:hanging="1416"/>
        <w:rPr>
          <w:rFonts w:ascii="Calibri" w:hAnsi="Calibri" w:cs="Calibri"/>
          <w:sz w:val="22"/>
          <w:szCs w:val="22"/>
        </w:rPr>
      </w:pPr>
      <w:r w:rsidRPr="00405CA6">
        <w:rPr>
          <w:rFonts w:ascii="Calibri" w:hAnsi="Calibri" w:cs="Calibri"/>
          <w:sz w:val="22"/>
          <w:szCs w:val="22"/>
        </w:rPr>
        <w:t xml:space="preserve">Nr. </w:t>
      </w:r>
      <w:r w:rsidRPr="00405CA6" w:rsidR="00955D6D">
        <w:rPr>
          <w:rFonts w:ascii="Calibri" w:hAnsi="Calibri" w:cs="Calibri"/>
          <w:sz w:val="22"/>
          <w:szCs w:val="22"/>
        </w:rPr>
        <w:t>297</w:t>
      </w:r>
      <w:r w:rsidRPr="00405CA6">
        <w:rPr>
          <w:rFonts w:ascii="Calibri" w:hAnsi="Calibri" w:cs="Calibri"/>
          <w:sz w:val="22"/>
          <w:szCs w:val="22"/>
        </w:rPr>
        <w:tab/>
        <w:t>Brief van de minister van Volkshuisvesting en Ruimtelijke Ordening</w:t>
      </w:r>
    </w:p>
    <w:p w:rsidRPr="00405CA6" w:rsidR="00405CA6" w:rsidP="00405CA6" w:rsidRDefault="00405CA6" w14:paraId="3DA9B839" w14:textId="77777777">
      <w:pPr>
        <w:pStyle w:val="WitregelW1bodytekst"/>
        <w:spacing w:after="160"/>
        <w:rPr>
          <w:rFonts w:ascii="Calibri" w:hAnsi="Calibri" w:cs="Calibri"/>
          <w:sz w:val="22"/>
          <w:szCs w:val="22"/>
        </w:rPr>
      </w:pPr>
      <w:r w:rsidRPr="00405CA6">
        <w:rPr>
          <w:rFonts w:ascii="Calibri" w:hAnsi="Calibri" w:cs="Calibri"/>
          <w:sz w:val="22"/>
          <w:szCs w:val="22"/>
        </w:rPr>
        <w:t>Aan de Voorzitter van de Tweede Kamer der Staten-Generaal</w:t>
      </w:r>
    </w:p>
    <w:p w:rsidRPr="00405CA6" w:rsidR="00955D6D" w:rsidP="00405CA6" w:rsidRDefault="00405CA6" w14:paraId="1F4749C9" w14:textId="43850D81">
      <w:pPr>
        <w:pStyle w:val="WitregelW1bodytekst"/>
        <w:spacing w:after="160"/>
        <w:rPr>
          <w:rFonts w:ascii="Calibri" w:hAnsi="Calibri" w:cs="Calibri"/>
          <w:sz w:val="22"/>
          <w:szCs w:val="22"/>
        </w:rPr>
      </w:pPr>
      <w:r w:rsidRPr="00405CA6">
        <w:rPr>
          <w:rFonts w:ascii="Calibri" w:hAnsi="Calibri" w:cs="Calibri"/>
          <w:sz w:val="22"/>
          <w:szCs w:val="22"/>
        </w:rPr>
        <w:t>Den Haag, 23 juni 2025</w:t>
      </w:r>
      <w:r w:rsidRPr="00405CA6" w:rsidR="00955D6D">
        <w:rPr>
          <w:rFonts w:ascii="Calibri" w:hAnsi="Calibri" w:cs="Calibri"/>
          <w:sz w:val="22"/>
          <w:szCs w:val="22"/>
        </w:rPr>
        <w:br/>
      </w:r>
      <w:r w:rsidRPr="00405CA6" w:rsidR="00955D6D">
        <w:rPr>
          <w:rFonts w:ascii="Calibri" w:hAnsi="Calibri" w:cs="Calibri"/>
          <w:sz w:val="22"/>
          <w:szCs w:val="22"/>
        </w:rPr>
        <w:br/>
        <w:t xml:space="preserve">Hierbij bied ik u het rapport van de Rijksuniversiteit Groningen (RUG) over ‘Voor- en nadelen van het beperken van het bestuursrechtelijke hoger beroep in omgevingsrechtelijke zaken door invoering van een verlofstelsel’ aan. </w:t>
      </w:r>
    </w:p>
    <w:p w:rsidRPr="00405CA6" w:rsidR="00955D6D" w:rsidP="00405CA6" w:rsidRDefault="00955D6D" w14:paraId="0CE67864" w14:textId="77777777">
      <w:pPr>
        <w:rPr>
          <w:rFonts w:ascii="Calibri" w:hAnsi="Calibri" w:cs="Calibri"/>
        </w:rPr>
      </w:pPr>
    </w:p>
    <w:p w:rsidRPr="00405CA6" w:rsidR="00955D6D" w:rsidP="00955D6D" w:rsidRDefault="00955D6D" w14:paraId="00A55C0A" w14:textId="77777777">
      <w:pPr>
        <w:spacing w:after="0" w:line="276" w:lineRule="auto"/>
        <w:rPr>
          <w:rFonts w:ascii="Calibri" w:hAnsi="Calibri" w:cs="Calibri"/>
        </w:rPr>
      </w:pPr>
      <w:r w:rsidRPr="00405CA6">
        <w:rPr>
          <w:rFonts w:ascii="Calibri" w:hAnsi="Calibri" w:cs="Calibri"/>
        </w:rPr>
        <w:t>Het onderzoek van de RUG richt zich op de wijze waarop een stelsel van verlof voor het instellen van hoger beroep (verlofstelsel) zou kunnen worden geïntroduceerd in de bestuursrechtspraak om beroep in omgevingsrechtelijke zaken te versnellen. Naast het verlofstelsel worden in het rapport andere mogelijke instrumenten besproken om het hoger beroep in omgevingsrechtelijk geschillen te beperken. Het gaat hierbij om rechtsbescherming in één instantie, bij de Afdeling bestuursrechtspraak dan wel de rechtbank, het verkort of ongemotiveerd afdoen van een uitspraak en een prejudiciële vraagprocedure, al dan niet gecombineerd met hoger beroep. Het rapport van de RUG bespreekt de effecten en voor- en nadelen van een verlofstelsel, ook in relatie tot de andere genoemde instrumenten.</w:t>
      </w:r>
    </w:p>
    <w:p w:rsidRPr="00405CA6" w:rsidR="00405CA6" w:rsidP="00405CA6" w:rsidRDefault="00405CA6" w14:paraId="251C39C5" w14:textId="77777777">
      <w:pPr>
        <w:rPr>
          <w:rFonts w:ascii="Calibri" w:hAnsi="Calibri" w:cs="Calibri"/>
        </w:rPr>
      </w:pPr>
    </w:p>
    <w:p w:rsidRPr="00405CA6" w:rsidR="00955D6D" w:rsidP="00955D6D" w:rsidRDefault="00955D6D" w14:paraId="4AC734D6" w14:textId="0681E95E">
      <w:pPr>
        <w:spacing w:after="0"/>
        <w:rPr>
          <w:rFonts w:ascii="Calibri" w:hAnsi="Calibri" w:cs="Calibri"/>
        </w:rPr>
      </w:pPr>
      <w:r w:rsidRPr="00405CA6">
        <w:rPr>
          <w:rFonts w:ascii="Calibri" w:hAnsi="Calibri" w:cs="Calibri"/>
        </w:rPr>
        <w:t>Met het instellen van dit onderzoek ben ik mijn toezegging nagekomen, die ik heb gedaan naar aanleiding van het advies ‘Met recht balanceren, Juridisering in de leefomgeving’ van de Raad voor de leefomgeving en infrastructuur.</w:t>
      </w:r>
      <w:r w:rsidRPr="00405CA6">
        <w:rPr>
          <w:rStyle w:val="Voetnootmarkering"/>
          <w:rFonts w:ascii="Calibri" w:hAnsi="Calibri" w:cs="Calibri"/>
        </w:rPr>
        <w:footnoteReference w:id="1"/>
      </w:r>
      <w:r w:rsidRPr="00405CA6">
        <w:rPr>
          <w:rFonts w:ascii="Calibri" w:hAnsi="Calibri" w:cs="Calibri"/>
        </w:rPr>
        <w:t xml:space="preserve"> Het uitvoeren van dit onderzoek is ook onderdeel van de woontopafspraken over de woningbouw die ik heb gemaakt op 11 december jl. Met het instellen van dit onderzoek heb ik ook uitvoering gegeven aan de op 5 november 2024 door uw Kamer aanvaarde motie van de leden Grinwis en Meulenkamp, waarin wordt verzocht de juridische haalbaarheid te toetsen van een experiment met een zogenaamde voortoets naar Duits model.</w:t>
      </w:r>
      <w:r w:rsidRPr="00405CA6">
        <w:rPr>
          <w:rFonts w:ascii="Calibri" w:hAnsi="Calibri" w:cs="Calibri"/>
          <w:vertAlign w:val="superscript"/>
        </w:rPr>
        <w:footnoteReference w:id="2"/>
      </w:r>
      <w:r w:rsidRPr="00405CA6">
        <w:rPr>
          <w:rFonts w:ascii="Calibri" w:hAnsi="Calibri" w:cs="Calibri"/>
        </w:rPr>
        <w:t xml:space="preserve"> </w:t>
      </w:r>
    </w:p>
    <w:p w:rsidRPr="00405CA6" w:rsidR="00405CA6" w:rsidP="00405CA6" w:rsidRDefault="00405CA6" w14:paraId="46E0F276" w14:textId="77777777">
      <w:pPr>
        <w:rPr>
          <w:rFonts w:ascii="Calibri" w:hAnsi="Calibri" w:cs="Calibri"/>
        </w:rPr>
      </w:pPr>
    </w:p>
    <w:p w:rsidRPr="00405CA6" w:rsidR="00955D6D" w:rsidP="00955D6D" w:rsidRDefault="00955D6D" w14:paraId="370E90BA" w14:textId="77777777">
      <w:pPr>
        <w:spacing w:after="0"/>
        <w:rPr>
          <w:rFonts w:ascii="Calibri" w:hAnsi="Calibri" w:cs="Calibri"/>
        </w:rPr>
      </w:pPr>
      <w:r w:rsidRPr="00405CA6">
        <w:rPr>
          <w:rFonts w:ascii="Calibri" w:hAnsi="Calibri" w:cs="Calibri"/>
        </w:rPr>
        <w:t xml:space="preserve">Ik zal de bevindingen in het rapport betrekken bij de kabinetsreactie die na de zomer zal worden uitgebracht naar aanleiding van het advies in tweede fase van de adviesgroep STOER over versnelling van procedures voor woningbouw. </w:t>
      </w:r>
    </w:p>
    <w:p w:rsidRPr="00405CA6" w:rsidR="00405CA6" w:rsidP="00405CA6" w:rsidRDefault="00405CA6" w14:paraId="3EC2860A" w14:textId="77777777">
      <w:pPr>
        <w:rPr>
          <w:rFonts w:ascii="Calibri" w:hAnsi="Calibri" w:cs="Calibri"/>
        </w:rPr>
      </w:pPr>
    </w:p>
    <w:p w:rsidRPr="00405CA6" w:rsidR="00955D6D" w:rsidP="00955D6D" w:rsidRDefault="00955D6D" w14:paraId="6E50BBFF" w14:textId="77777777">
      <w:pPr>
        <w:spacing w:after="0"/>
        <w:rPr>
          <w:rFonts w:ascii="Calibri" w:hAnsi="Calibri" w:cs="Calibri"/>
        </w:rPr>
      </w:pPr>
      <w:r w:rsidRPr="00405CA6">
        <w:rPr>
          <w:rFonts w:ascii="Calibri" w:hAnsi="Calibri" w:cs="Calibri"/>
        </w:rPr>
        <w:lastRenderedPageBreak/>
        <w:t xml:space="preserve">In die reactie zal ook worden ingegaan op de andere voorstellen die de adviesgroep STOER over versnellingen in bezwaar en beroep heeft gedaan, zoals een voorstel tot verhoging van griffierecht. </w:t>
      </w:r>
    </w:p>
    <w:p w:rsidRPr="00405CA6" w:rsidR="00955D6D" w:rsidP="00955D6D" w:rsidRDefault="00955D6D" w14:paraId="2A491714" w14:textId="77777777">
      <w:pPr>
        <w:spacing w:after="0"/>
        <w:rPr>
          <w:rFonts w:ascii="Calibri" w:hAnsi="Calibri" w:cs="Calibri"/>
        </w:rPr>
      </w:pPr>
    </w:p>
    <w:p w:rsidRPr="00405CA6" w:rsidR="00955D6D" w:rsidP="00955D6D" w:rsidRDefault="00955D6D" w14:paraId="51073467" w14:textId="77777777">
      <w:pPr>
        <w:pStyle w:val="Geenafstand"/>
        <w:rPr>
          <w:rFonts w:cs="Calibri"/>
        </w:rPr>
      </w:pPr>
    </w:p>
    <w:p w:rsidRPr="00405CA6" w:rsidR="00955D6D" w:rsidP="00955D6D" w:rsidRDefault="00955D6D" w14:paraId="1C7240F7" w14:textId="77777777">
      <w:pPr>
        <w:pStyle w:val="Geenafstand"/>
        <w:rPr>
          <w:rFonts w:cs="Calibri"/>
        </w:rPr>
      </w:pPr>
      <w:r w:rsidRPr="00405CA6">
        <w:rPr>
          <w:rFonts w:cs="Calibri"/>
        </w:rPr>
        <w:t>De minister van Volkshuisvesting en Ruimtelijke Ordening,</w:t>
      </w:r>
    </w:p>
    <w:p w:rsidRPr="00405CA6" w:rsidR="00955D6D" w:rsidP="00955D6D" w:rsidRDefault="00955D6D" w14:paraId="60901337" w14:textId="77777777">
      <w:pPr>
        <w:pStyle w:val="Geenafstand"/>
        <w:rPr>
          <w:rFonts w:cs="Calibri"/>
        </w:rPr>
      </w:pPr>
      <w:r w:rsidRPr="00405CA6">
        <w:rPr>
          <w:rFonts w:cs="Calibri"/>
        </w:rPr>
        <w:t>M.C.G. Keijzer</w:t>
      </w:r>
    </w:p>
    <w:p w:rsidRPr="00405CA6" w:rsidR="00955D6D" w:rsidP="00955D6D" w:rsidRDefault="00955D6D" w14:paraId="123E11A1" w14:textId="77777777">
      <w:pPr>
        <w:pStyle w:val="Geenafstand"/>
        <w:rPr>
          <w:rFonts w:cs="Calibri"/>
        </w:rPr>
      </w:pPr>
    </w:p>
    <w:p w:rsidRPr="00405CA6" w:rsidR="00955D6D" w:rsidP="00955D6D" w:rsidRDefault="00955D6D" w14:paraId="72370F7F" w14:textId="77777777">
      <w:pPr>
        <w:pStyle w:val="Geenafstand"/>
        <w:rPr>
          <w:rFonts w:cs="Calibri"/>
        </w:rPr>
      </w:pPr>
    </w:p>
    <w:p w:rsidRPr="00405CA6" w:rsidR="00955D6D" w:rsidP="00955D6D" w:rsidRDefault="00955D6D" w14:paraId="455A7C50" w14:textId="77777777">
      <w:pPr>
        <w:pStyle w:val="Geenafstand"/>
        <w:rPr>
          <w:rFonts w:cs="Calibri"/>
        </w:rPr>
      </w:pPr>
    </w:p>
    <w:p w:rsidRPr="00405CA6" w:rsidR="00955D6D" w:rsidP="00955D6D" w:rsidRDefault="00955D6D" w14:paraId="48E2AEEF" w14:textId="77777777">
      <w:pPr>
        <w:pStyle w:val="Geenafstand"/>
        <w:rPr>
          <w:rFonts w:cs="Calibri"/>
        </w:rPr>
      </w:pPr>
    </w:p>
    <w:p w:rsidRPr="00405CA6" w:rsidR="00955D6D" w:rsidP="00955D6D" w:rsidRDefault="00955D6D" w14:paraId="3B5DF186" w14:textId="77777777">
      <w:pPr>
        <w:pStyle w:val="Geenafstand"/>
        <w:rPr>
          <w:rFonts w:cs="Calibri"/>
        </w:rPr>
      </w:pPr>
    </w:p>
    <w:p w:rsidRPr="00405CA6" w:rsidR="00955D6D" w:rsidP="00955D6D" w:rsidRDefault="00955D6D" w14:paraId="1E076E55" w14:textId="77777777">
      <w:pPr>
        <w:pStyle w:val="Geenafstand"/>
        <w:rPr>
          <w:rFonts w:cs="Calibri"/>
        </w:rPr>
      </w:pPr>
    </w:p>
    <w:p w:rsidRPr="00405CA6" w:rsidR="00955D6D" w:rsidP="00955D6D" w:rsidRDefault="00955D6D" w14:paraId="1E2085C1" w14:textId="77777777">
      <w:pPr>
        <w:pStyle w:val="Geenafstand"/>
        <w:rPr>
          <w:rFonts w:cs="Calibri"/>
        </w:rPr>
      </w:pPr>
    </w:p>
    <w:p w:rsidRPr="00405CA6" w:rsidR="00955D6D" w:rsidP="00955D6D" w:rsidRDefault="00955D6D" w14:paraId="60B7EC8B" w14:textId="77777777">
      <w:pPr>
        <w:pStyle w:val="Geenafstand"/>
        <w:rPr>
          <w:rFonts w:cs="Calibri"/>
        </w:rPr>
      </w:pPr>
    </w:p>
    <w:p w:rsidRPr="00405CA6" w:rsidR="00955D6D" w:rsidP="00955D6D" w:rsidRDefault="00955D6D" w14:paraId="0AFA6984" w14:textId="77777777">
      <w:pPr>
        <w:pStyle w:val="Geenafstand"/>
        <w:rPr>
          <w:rFonts w:cs="Calibri"/>
        </w:rPr>
      </w:pPr>
      <w:r w:rsidRPr="00405CA6">
        <w:rPr>
          <w:rFonts w:cs="Calibri"/>
        </w:rPr>
        <w:t>Bijlagen</w:t>
      </w:r>
    </w:p>
    <w:tbl>
      <w:tblPr>
        <w:tblStyle w:val="TabelRijkshuisstijl"/>
        <w:tblW w:w="7541" w:type="dxa"/>
        <w:tblInd w:w="0" w:type="dxa"/>
        <w:tblLayout w:type="fixed"/>
        <w:tblLook w:val="07E0" w:firstRow="1" w:lastRow="1" w:firstColumn="1" w:lastColumn="1" w:noHBand="1" w:noVBand="1"/>
      </w:tblPr>
      <w:tblGrid>
        <w:gridCol w:w="1509"/>
        <w:gridCol w:w="3016"/>
        <w:gridCol w:w="3016"/>
      </w:tblGrid>
      <w:tr w:rsidRPr="00405CA6" w:rsidR="00955D6D" w:rsidTr="009C0D39" w14:paraId="146477DA" w14:textId="77777777">
        <w:trPr>
          <w:cnfStyle w:val="100000000000" w:firstRow="1" w:lastRow="0" w:firstColumn="0" w:lastColumn="0" w:oddVBand="0" w:evenVBand="0" w:oddHBand="0" w:evenHBand="0" w:firstRowFirstColumn="0" w:firstRowLastColumn="0" w:lastRowFirstColumn="0" w:lastRowLastColumn="0"/>
        </w:trPr>
        <w:tc>
          <w:tcPr>
            <w:tcW w:w="1508" w:type="dxa"/>
          </w:tcPr>
          <w:p w:rsidRPr="00405CA6" w:rsidR="00955D6D" w:rsidP="00955D6D" w:rsidRDefault="00955D6D" w14:paraId="43AE9856" w14:textId="77777777">
            <w:pPr>
              <w:rPr>
                <w:rFonts w:ascii="Calibri" w:hAnsi="Calibri" w:cs="Calibri"/>
                <w:sz w:val="22"/>
                <w:szCs w:val="22"/>
              </w:rPr>
            </w:pPr>
            <w:r w:rsidRPr="00405CA6">
              <w:rPr>
                <w:rFonts w:ascii="Calibri" w:hAnsi="Calibri" w:cs="Calibri"/>
                <w:sz w:val="22"/>
                <w:szCs w:val="22"/>
              </w:rPr>
              <w:t>Volgnummer</w:t>
            </w:r>
          </w:p>
        </w:tc>
        <w:tc>
          <w:tcPr>
            <w:tcW w:w="3016" w:type="dxa"/>
          </w:tcPr>
          <w:p w:rsidRPr="00405CA6" w:rsidR="00955D6D" w:rsidP="00955D6D" w:rsidRDefault="00955D6D" w14:paraId="1C16FB9A" w14:textId="77777777">
            <w:pPr>
              <w:rPr>
                <w:rFonts w:ascii="Calibri" w:hAnsi="Calibri" w:cs="Calibri"/>
                <w:sz w:val="22"/>
                <w:szCs w:val="22"/>
              </w:rPr>
            </w:pPr>
            <w:r w:rsidRPr="00405CA6">
              <w:rPr>
                <w:rFonts w:ascii="Calibri" w:hAnsi="Calibri" w:cs="Calibri"/>
                <w:sz w:val="22"/>
                <w:szCs w:val="22"/>
              </w:rPr>
              <w:t>Naam</w:t>
            </w:r>
          </w:p>
        </w:tc>
        <w:tc>
          <w:tcPr>
            <w:tcW w:w="360" w:type="dxa"/>
          </w:tcPr>
          <w:p w:rsidRPr="00405CA6" w:rsidR="00955D6D" w:rsidP="00955D6D" w:rsidRDefault="00955D6D" w14:paraId="38BF0D0D" w14:textId="77777777">
            <w:pPr>
              <w:rPr>
                <w:rFonts w:ascii="Calibri" w:hAnsi="Calibri" w:cs="Calibri"/>
                <w:sz w:val="22"/>
                <w:szCs w:val="22"/>
              </w:rPr>
            </w:pPr>
            <w:r w:rsidRPr="00405CA6">
              <w:rPr>
                <w:rFonts w:ascii="Calibri" w:hAnsi="Calibri" w:cs="Calibri"/>
                <w:sz w:val="22"/>
                <w:szCs w:val="22"/>
              </w:rPr>
              <w:t>Classificatie</w:t>
            </w:r>
          </w:p>
        </w:tc>
      </w:tr>
      <w:tr w:rsidRPr="00405CA6" w:rsidR="00955D6D" w:rsidTr="009C0D39" w14:paraId="752E1479" w14:textId="77777777">
        <w:tc>
          <w:tcPr>
            <w:tcW w:w="1508" w:type="dxa"/>
          </w:tcPr>
          <w:p w:rsidRPr="00405CA6" w:rsidR="00955D6D" w:rsidP="00955D6D" w:rsidRDefault="00955D6D" w14:paraId="6D56AEA6" w14:textId="77777777">
            <w:pPr>
              <w:rPr>
                <w:rFonts w:ascii="Calibri" w:hAnsi="Calibri" w:cs="Calibri"/>
                <w:sz w:val="22"/>
                <w:szCs w:val="22"/>
              </w:rPr>
            </w:pPr>
            <w:r w:rsidRPr="00405CA6">
              <w:rPr>
                <w:rFonts w:ascii="Calibri" w:hAnsi="Calibri" w:cs="Calibri"/>
                <w:sz w:val="22"/>
                <w:szCs w:val="22"/>
              </w:rPr>
              <w:t>1</w:t>
            </w:r>
          </w:p>
        </w:tc>
        <w:tc>
          <w:tcPr>
            <w:tcW w:w="3016" w:type="dxa"/>
          </w:tcPr>
          <w:p w:rsidRPr="00405CA6" w:rsidR="00955D6D" w:rsidP="00955D6D" w:rsidRDefault="00955D6D" w14:paraId="317708F2" w14:textId="77777777">
            <w:pPr>
              <w:rPr>
                <w:rFonts w:ascii="Calibri" w:hAnsi="Calibri" w:cs="Calibri"/>
                <w:sz w:val="22"/>
                <w:szCs w:val="22"/>
              </w:rPr>
            </w:pPr>
            <w:r w:rsidRPr="00405CA6">
              <w:rPr>
                <w:rFonts w:ascii="Calibri" w:hAnsi="Calibri" w:cs="Calibri"/>
                <w:sz w:val="22"/>
                <w:szCs w:val="22"/>
              </w:rPr>
              <w:t>Onderzoek verlofstelsel Rijksuniversiteit Groningen</w:t>
            </w:r>
          </w:p>
        </w:tc>
        <w:tc>
          <w:tcPr>
            <w:tcW w:w="3016" w:type="dxa"/>
          </w:tcPr>
          <w:p w:rsidRPr="00405CA6" w:rsidR="00955D6D" w:rsidP="00955D6D" w:rsidRDefault="00955D6D" w14:paraId="3E9F0275" w14:textId="77777777">
            <w:pPr>
              <w:rPr>
                <w:rFonts w:ascii="Calibri" w:hAnsi="Calibri" w:cs="Calibri"/>
                <w:sz w:val="22"/>
                <w:szCs w:val="22"/>
              </w:rPr>
            </w:pPr>
          </w:p>
        </w:tc>
      </w:tr>
    </w:tbl>
    <w:p w:rsidRPr="00405CA6" w:rsidR="00955D6D" w:rsidP="00955D6D" w:rsidRDefault="00955D6D" w14:paraId="03D45B39" w14:textId="77777777">
      <w:pPr>
        <w:spacing w:after="0"/>
        <w:rPr>
          <w:rFonts w:ascii="Calibri" w:hAnsi="Calibri" w:cs="Calibri"/>
        </w:rPr>
      </w:pPr>
    </w:p>
    <w:p w:rsidRPr="00405CA6" w:rsidR="00F80165" w:rsidP="00955D6D" w:rsidRDefault="00F80165" w14:paraId="04BC5787" w14:textId="77777777">
      <w:pPr>
        <w:spacing w:after="0"/>
        <w:rPr>
          <w:rFonts w:ascii="Calibri" w:hAnsi="Calibri" w:cs="Calibri"/>
        </w:rPr>
      </w:pPr>
    </w:p>
    <w:sectPr w:rsidRPr="00405CA6" w:rsidR="00F80165" w:rsidSect="00955D6D">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61E8EF" w14:textId="77777777" w:rsidR="00955D6D" w:rsidRDefault="00955D6D" w:rsidP="00955D6D">
      <w:pPr>
        <w:spacing w:after="0" w:line="240" w:lineRule="auto"/>
      </w:pPr>
      <w:r>
        <w:separator/>
      </w:r>
    </w:p>
  </w:endnote>
  <w:endnote w:type="continuationSeparator" w:id="0">
    <w:p w14:paraId="5754A22D" w14:textId="77777777" w:rsidR="00955D6D" w:rsidRDefault="00955D6D" w:rsidP="00955D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BD409" w14:textId="77777777" w:rsidR="00955D6D" w:rsidRPr="00955D6D" w:rsidRDefault="00955D6D" w:rsidP="00955D6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98CF14" w14:textId="77777777" w:rsidR="00955D6D" w:rsidRPr="00955D6D" w:rsidRDefault="00955D6D" w:rsidP="00955D6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A0DFA" w14:textId="77777777" w:rsidR="00955D6D" w:rsidRPr="00955D6D" w:rsidRDefault="00955D6D" w:rsidP="00955D6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9F673" w14:textId="77777777" w:rsidR="00955D6D" w:rsidRDefault="00955D6D" w:rsidP="00955D6D">
      <w:pPr>
        <w:spacing w:after="0" w:line="240" w:lineRule="auto"/>
      </w:pPr>
      <w:r>
        <w:separator/>
      </w:r>
    </w:p>
  </w:footnote>
  <w:footnote w:type="continuationSeparator" w:id="0">
    <w:p w14:paraId="66EDCBDF" w14:textId="77777777" w:rsidR="00955D6D" w:rsidRDefault="00955D6D" w:rsidP="00955D6D">
      <w:pPr>
        <w:spacing w:after="0" w:line="240" w:lineRule="auto"/>
      </w:pPr>
      <w:r>
        <w:continuationSeparator/>
      </w:r>
    </w:p>
  </w:footnote>
  <w:footnote w:id="1">
    <w:p w14:paraId="05A8DAEE" w14:textId="77777777" w:rsidR="00955D6D" w:rsidRPr="00405CA6" w:rsidRDefault="00955D6D" w:rsidP="00955D6D">
      <w:pPr>
        <w:pStyle w:val="Voetnoottekst"/>
        <w:spacing w:line="276" w:lineRule="auto"/>
        <w:rPr>
          <w:rFonts w:ascii="Calibri" w:hAnsi="Calibri" w:cs="Calibri"/>
        </w:rPr>
      </w:pPr>
      <w:r w:rsidRPr="00405CA6">
        <w:rPr>
          <w:rStyle w:val="Voetnootmarkering"/>
          <w:rFonts w:ascii="Calibri" w:hAnsi="Calibri" w:cs="Calibri"/>
        </w:rPr>
        <w:footnoteRef/>
      </w:r>
      <w:r w:rsidRPr="00405CA6">
        <w:rPr>
          <w:rFonts w:ascii="Calibri" w:hAnsi="Calibri" w:cs="Calibri"/>
        </w:rPr>
        <w:t xml:space="preserve"> Brief van 21 februari 2025 met de kabinetsreactie op het Rli-advies ‘Met recht balanceren, Juridisering in de leefomgeving’, Kamerstukken II 2024/25</w:t>
      </w:r>
      <w:r w:rsidRPr="00405CA6">
        <w:rPr>
          <w:rFonts w:ascii="Calibri" w:hAnsi="Calibri" w:cs="Calibri"/>
          <w:color w:val="211D1F"/>
        </w:rPr>
        <w:t>, 33 118, nr. 289. Tweede Kamer, vergaderjaar 2024–2025, 33 118, nr. 289.</w:t>
      </w:r>
    </w:p>
  </w:footnote>
  <w:footnote w:id="2">
    <w:p w14:paraId="39E37EA1" w14:textId="40E2639C" w:rsidR="00955D6D" w:rsidRPr="00405CA6" w:rsidRDefault="00955D6D" w:rsidP="00955D6D">
      <w:pPr>
        <w:pStyle w:val="Voetnoottekst"/>
        <w:spacing w:line="276" w:lineRule="auto"/>
        <w:rPr>
          <w:rFonts w:ascii="Calibri" w:hAnsi="Calibri" w:cs="Calibri"/>
        </w:rPr>
      </w:pPr>
      <w:r w:rsidRPr="00405CA6">
        <w:rPr>
          <w:rStyle w:val="Voetnootmarkering"/>
          <w:rFonts w:ascii="Calibri" w:hAnsi="Calibri" w:cs="Calibri"/>
        </w:rPr>
        <w:footnoteRef/>
      </w:r>
      <w:r w:rsidRPr="00405CA6">
        <w:rPr>
          <w:rFonts w:ascii="Calibri" w:hAnsi="Calibri" w:cs="Calibri"/>
        </w:rPr>
        <w:t xml:space="preserve"> Kamerstukken II 2024/25, 36 600 XXII, nr. 50.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562C3" w14:textId="77777777" w:rsidR="00955D6D" w:rsidRPr="00955D6D" w:rsidRDefault="00955D6D" w:rsidP="00955D6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406C1" w14:textId="77777777" w:rsidR="00955D6D" w:rsidRPr="00955D6D" w:rsidRDefault="00955D6D" w:rsidP="00955D6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E95383" w14:textId="77777777" w:rsidR="00955D6D" w:rsidRPr="00955D6D" w:rsidRDefault="00955D6D" w:rsidP="00955D6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5D6D"/>
    <w:rsid w:val="00405CA6"/>
    <w:rsid w:val="004C7AA6"/>
    <w:rsid w:val="006A4CDB"/>
    <w:rsid w:val="00955D6D"/>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FAC5C5"/>
  <w15:chartTrackingRefBased/>
  <w15:docId w15:val="{46B70E0D-CD60-4B48-AF41-F8D753003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55D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55D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55D6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55D6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55D6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55D6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55D6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55D6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55D6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55D6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55D6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55D6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55D6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55D6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55D6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55D6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55D6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55D6D"/>
    <w:rPr>
      <w:rFonts w:eastAsiaTheme="majorEastAsia" w:cstheme="majorBidi"/>
      <w:color w:val="272727" w:themeColor="text1" w:themeTint="D8"/>
    </w:rPr>
  </w:style>
  <w:style w:type="paragraph" w:styleId="Titel">
    <w:name w:val="Title"/>
    <w:basedOn w:val="Standaard"/>
    <w:next w:val="Standaard"/>
    <w:link w:val="TitelChar"/>
    <w:uiPriority w:val="10"/>
    <w:qFormat/>
    <w:rsid w:val="00955D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55D6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55D6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55D6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55D6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55D6D"/>
    <w:rPr>
      <w:i/>
      <w:iCs/>
      <w:color w:val="404040" w:themeColor="text1" w:themeTint="BF"/>
    </w:rPr>
  </w:style>
  <w:style w:type="paragraph" w:styleId="Lijstalinea">
    <w:name w:val="List Paragraph"/>
    <w:basedOn w:val="Standaard"/>
    <w:uiPriority w:val="34"/>
    <w:qFormat/>
    <w:rsid w:val="00955D6D"/>
    <w:pPr>
      <w:ind w:left="720"/>
      <w:contextualSpacing/>
    </w:pPr>
  </w:style>
  <w:style w:type="character" w:styleId="Intensievebenadrukking">
    <w:name w:val="Intense Emphasis"/>
    <w:basedOn w:val="Standaardalinea-lettertype"/>
    <w:uiPriority w:val="21"/>
    <w:qFormat/>
    <w:rsid w:val="00955D6D"/>
    <w:rPr>
      <w:i/>
      <w:iCs/>
      <w:color w:val="0F4761" w:themeColor="accent1" w:themeShade="BF"/>
    </w:rPr>
  </w:style>
  <w:style w:type="paragraph" w:styleId="Duidelijkcitaat">
    <w:name w:val="Intense Quote"/>
    <w:basedOn w:val="Standaard"/>
    <w:next w:val="Standaard"/>
    <w:link w:val="DuidelijkcitaatChar"/>
    <w:uiPriority w:val="30"/>
    <w:qFormat/>
    <w:rsid w:val="00955D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55D6D"/>
    <w:rPr>
      <w:i/>
      <w:iCs/>
      <w:color w:val="0F4761" w:themeColor="accent1" w:themeShade="BF"/>
    </w:rPr>
  </w:style>
  <w:style w:type="character" w:styleId="Intensieveverwijzing">
    <w:name w:val="Intense Reference"/>
    <w:basedOn w:val="Standaardalinea-lettertype"/>
    <w:uiPriority w:val="32"/>
    <w:qFormat/>
    <w:rsid w:val="00955D6D"/>
    <w:rPr>
      <w:b/>
      <w:bCs/>
      <w:smallCaps/>
      <w:color w:val="0F4761" w:themeColor="accent1" w:themeShade="BF"/>
      <w:spacing w:val="5"/>
    </w:rPr>
  </w:style>
  <w:style w:type="table" w:customStyle="1" w:styleId="TabelRijkshuisstijl">
    <w:name w:val="Tabel Rijkshuisstijl"/>
    <w:rsid w:val="00955D6D"/>
    <w:pPr>
      <w:autoSpaceDN w:val="0"/>
      <w:spacing w:after="0" w:line="240" w:lineRule="auto"/>
      <w:textAlignment w:val="baseline"/>
    </w:pPr>
    <w:rPr>
      <w:rFonts w:ascii="Verdana" w:eastAsia="DejaVu Sans" w:hAnsi="Verdana" w:cs="Lohit Hindi"/>
      <w:kern w:val="0"/>
      <w:sz w:val="18"/>
      <w:szCs w:val="18"/>
      <w:lang w:eastAsia="nl-NL"/>
      <w14:ligatures w14:val="none"/>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paragraph" w:customStyle="1" w:styleId="WitregelW1bodytekst">
    <w:name w:val="Witregel W1 (bodytekst)"/>
    <w:basedOn w:val="Standaard"/>
    <w:next w:val="Standaard"/>
    <w:rsid w:val="00955D6D"/>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955D6D"/>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955D6D"/>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955D6D"/>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955D6D"/>
    <w:rPr>
      <w:rFonts w:ascii="Verdana" w:eastAsia="DejaVu Sans" w:hAnsi="Verdana" w:cs="Lohit Hindi"/>
      <w:color w:val="000000"/>
      <w:kern w:val="0"/>
      <w:sz w:val="18"/>
      <w:szCs w:val="18"/>
      <w:lang w:eastAsia="nl-NL"/>
      <w14:ligatures w14:val="none"/>
    </w:rPr>
  </w:style>
  <w:style w:type="paragraph" w:styleId="Voetnoottekst">
    <w:name w:val="footnote text"/>
    <w:aliases w:val="Voetnootverwijzing_par,Voetnoottekst Char2 Char,Voetnoottekst Char1 Char Char,Voetnoottekst Char3 Char Char Char,Voetnoottekst Char2 Char Char Char Char,Voetnoottekst Char1 Char Char Char Char Char,Voetnoottekst Char2"/>
    <w:basedOn w:val="Standaard"/>
    <w:link w:val="VoetnoottekstChar"/>
    <w:uiPriority w:val="99"/>
    <w:unhideWhenUsed/>
    <w:qFormat/>
    <w:rsid w:val="00955D6D"/>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aliases w:val="Voetnootverwijzing_par Char,Voetnoottekst Char2 Char Char,Voetnoottekst Char1 Char Char Char,Voetnoottekst Char3 Char Char Char Char,Voetnoottekst Char2 Char Char Char Char Char,Voetnoottekst Char1 Char Char Char Char Char Char"/>
    <w:basedOn w:val="Standaardalinea-lettertype"/>
    <w:link w:val="Voetnoottekst"/>
    <w:uiPriority w:val="99"/>
    <w:qFormat/>
    <w:rsid w:val="00955D6D"/>
    <w:rPr>
      <w:rFonts w:ascii="Verdana" w:eastAsia="DejaVu Sans" w:hAnsi="Verdana" w:cs="Lohit Hindi"/>
      <w:color w:val="000000"/>
      <w:kern w:val="0"/>
      <w:sz w:val="20"/>
      <w:szCs w:val="20"/>
      <w:lang w:eastAsia="nl-NL"/>
      <w14:ligatures w14:val="none"/>
    </w:rPr>
  </w:style>
  <w:style w:type="character" w:styleId="Voetnootmarkering">
    <w:name w:val="footnote reference"/>
    <w:aliases w:val="Footnote reference Rebel,Char2,Footnote Reference Superscript,BVI fnr,Footnote symbol,Footnote call,SUPERS,(Footnote Reference),Footnote,Voetnootverwijzing,Times 10 Point,Exposant 3 Point,Footnote reference number,note TESI, Char2"/>
    <w:basedOn w:val="Standaardalinea-lettertype"/>
    <w:link w:val="FootnoteReferenceCharChar1Char"/>
    <w:uiPriority w:val="99"/>
    <w:unhideWhenUsed/>
    <w:qFormat/>
    <w:rsid w:val="00955D6D"/>
    <w:rPr>
      <w:vertAlign w:val="superscript"/>
    </w:rPr>
  </w:style>
  <w:style w:type="paragraph" w:customStyle="1" w:styleId="FootnoteReferenceCharChar1Char">
    <w:name w:val="Footnote Reference Char Char1 Char"/>
    <w:aliases w:val="Footnote Reference Char Char Char Char Char Char,Car Char Car Char Car Char Char Char1 Char Char Char Char,Car Char Car Char Car Char Char Char Char Char Char Char Char Char Char Char Char Char"/>
    <w:basedOn w:val="Standaard"/>
    <w:link w:val="Voetnootmarkering"/>
    <w:uiPriority w:val="99"/>
    <w:qFormat/>
    <w:rsid w:val="00955D6D"/>
    <w:pPr>
      <w:autoSpaceDE w:val="0"/>
      <w:autoSpaceDN w:val="0"/>
      <w:spacing w:after="0" w:line="240" w:lineRule="exact"/>
      <w:jc w:val="both"/>
    </w:pPr>
    <w:rPr>
      <w:vertAlign w:val="superscript"/>
    </w:rPr>
  </w:style>
  <w:style w:type="paragraph" w:styleId="Geenafstand">
    <w:name w:val="No Spacing"/>
    <w:uiPriority w:val="1"/>
    <w:qFormat/>
    <w:rsid w:val="00955D6D"/>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376</ap:Words>
  <ap:Characters>2068</ap:Characters>
  <ap:DocSecurity>0</ap:DocSecurity>
  <ap:Lines>17</ap:Lines>
  <ap:Paragraphs>4</ap:Paragraphs>
  <ap:ScaleCrop>false</ap:ScaleCrop>
  <ap:LinksUpToDate>false</ap:LinksUpToDate>
  <ap:CharactersWithSpaces>2440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2025-06-25T10:40:00.0000000Z</dcterms:created>
  <dcterms:modified xsi:type="dcterms:W3CDTF">2025-06-25T10:40:00.0000000Z</dcterms:modified>
  <version/>
  <category/>
</coreProperties>
</file>