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E0ADC" w:rsidR="00BF7B77" w:rsidP="00BF7B77" w:rsidRDefault="00BF7B77" w14:paraId="55686D79" w14:textId="77777777">
      <w:pPr>
        <w:autoSpaceDE w:val="0"/>
        <w:autoSpaceDN w:val="0"/>
        <w:adjustRightInd w:val="0"/>
        <w:spacing w:after="0" w:line="240" w:lineRule="auto"/>
        <w:rPr>
          <w:rFonts w:ascii="Verdana" w:hAnsi="Verdana" w:eastAsia="DejaVuSerifCondensed-Bold" w:cs="DejaVuSerifCondensed-Bold"/>
          <w:b/>
          <w:bCs/>
          <w:kern w:val="0"/>
          <w:sz w:val="18"/>
          <w:szCs w:val="18"/>
        </w:rPr>
      </w:pPr>
      <w:r w:rsidRPr="008E0ADC">
        <w:rPr>
          <w:rFonts w:ascii="Verdana" w:hAnsi="Verdana" w:eastAsia="DejaVuSerifCondensed-Bold" w:cs="DejaVuSerifCondensed-Bold"/>
          <w:b/>
          <w:bCs/>
          <w:kern w:val="0"/>
          <w:sz w:val="18"/>
          <w:szCs w:val="18"/>
        </w:rPr>
        <w:t>2025Z09095</w:t>
      </w:r>
    </w:p>
    <w:p w:rsidRPr="008E0ADC" w:rsidR="00BF7B77" w:rsidP="00BF7B77" w:rsidRDefault="00BF7B77" w14:paraId="223CAE20" w14:textId="77777777">
      <w:p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w:t>
      </w:r>
      <w:proofErr w:type="gramStart"/>
      <w:r w:rsidRPr="008E0ADC">
        <w:rPr>
          <w:rFonts w:ascii="Verdana" w:hAnsi="Verdana" w:eastAsia="DejaVuSerifCondensed" w:cs="DejaVuSerifCondensed"/>
          <w:kern w:val="0"/>
          <w:sz w:val="18"/>
          <w:szCs w:val="18"/>
        </w:rPr>
        <w:t>ingezonden</w:t>
      </w:r>
      <w:proofErr w:type="gramEnd"/>
      <w:r w:rsidRPr="008E0ADC">
        <w:rPr>
          <w:rFonts w:ascii="Verdana" w:hAnsi="Verdana" w:eastAsia="DejaVuSerifCondensed" w:cs="DejaVuSerifCondensed"/>
          <w:kern w:val="0"/>
          <w:sz w:val="18"/>
          <w:szCs w:val="18"/>
        </w:rPr>
        <w:t xml:space="preserve"> 13 mei 2025)</w:t>
      </w:r>
    </w:p>
    <w:p w:rsidRPr="008E0ADC" w:rsidR="00BF7B77" w:rsidP="00BF7B77" w:rsidRDefault="00BF7B77" w14:paraId="6481681E" w14:textId="0DFA1E26">
      <w:p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Vragen van de leden Omtzigt en Joseph (beiden Nieuw Sociaal Contract) aan de minister van Sociale Zaken en Werkgelegenheid over het havenpensioenfonds Optas en Aegon en de voortdurende juridische strijd, waarbij miljarden pensioengeld in verkeerde zakken beland is.</w:t>
      </w:r>
      <w:r w:rsidRPr="008E0ADC">
        <w:rPr>
          <w:rFonts w:ascii="Verdana" w:hAnsi="Verdana" w:eastAsia="DejaVuSerifCondensed" w:cs="DejaVuSerifCondensed"/>
          <w:kern w:val="0"/>
          <w:sz w:val="18"/>
          <w:szCs w:val="18"/>
        </w:rPr>
        <w:br/>
      </w:r>
    </w:p>
    <w:p w:rsidRPr="008E0ADC" w:rsidR="00041A08" w:rsidP="00AB4B8F" w:rsidRDefault="00BF7B77" w14:paraId="2AEF4969" w14:textId="071DDE88">
      <w:pPr>
        <w:pStyle w:val="Lijstalinea"/>
        <w:numPr>
          <w:ilvl w:val="0"/>
          <w:numId w:val="21"/>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Tahoma" w:hAnsi="Tahoma" w:eastAsia="DejaVuSerifCondensed" w:cs="Tahoma"/>
          <w:kern w:val="0"/>
          <w:sz w:val="18"/>
          <w:szCs w:val="18"/>
        </w:rPr>
        <w:t>⁠</w:t>
      </w:r>
      <w:r w:rsidRPr="008E0ADC">
        <w:rPr>
          <w:rFonts w:ascii="Verdana" w:hAnsi="Verdana" w:eastAsia="DejaVuSerifCondensed" w:cs="DejaVuSerifCondensed"/>
          <w:kern w:val="0"/>
          <w:sz w:val="18"/>
          <w:szCs w:val="18"/>
        </w:rPr>
        <w:t>Bent u bekend met de geschiedenis rondom het havenpensioenfonds Optas, waar door wat slinkse manoeuvres miljarden aan pensioengeld bestemd werd voor culturele doelen en voor de winst van Aegon? 1)</w:t>
      </w:r>
    </w:p>
    <w:p w:rsidRPr="008E0ADC" w:rsidR="00041A08" w:rsidP="00BF7B77" w:rsidRDefault="00041A08" w14:paraId="07B49004"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8E0ADC" w:rsidR="006636A0" w:rsidP="006636A0" w:rsidRDefault="00041A08" w14:paraId="2339B82A" w14:textId="09FCDBAD">
      <w:p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 xml:space="preserve">Antwoord: Ja, </w:t>
      </w:r>
      <w:r w:rsidRPr="008E0ADC" w:rsidR="006636A0">
        <w:rPr>
          <w:rFonts w:ascii="Verdana" w:hAnsi="Verdana" w:eastAsia="DejaVuSerifCondensed" w:cs="DejaVuSerifCondensed"/>
          <w:kern w:val="0"/>
          <w:sz w:val="18"/>
          <w:szCs w:val="18"/>
        </w:rPr>
        <w:t xml:space="preserve">ik ben bekend met de geschiedenis van het Pensioenfonds Vervoer- en Havenbedrijven, stichting Optas en de latere fusie met Aegon Levensverzekeringen. </w:t>
      </w:r>
    </w:p>
    <w:p w:rsidRPr="008E0ADC" w:rsidR="00BF7B77" w:rsidP="00BF7B77" w:rsidRDefault="00BF7B77" w14:paraId="1263DC3E" w14:textId="08717A9A">
      <w:pPr>
        <w:autoSpaceDE w:val="0"/>
        <w:autoSpaceDN w:val="0"/>
        <w:adjustRightInd w:val="0"/>
        <w:spacing w:after="0" w:line="240" w:lineRule="auto"/>
        <w:rPr>
          <w:rFonts w:ascii="Verdana" w:hAnsi="Verdana" w:eastAsia="DejaVuSerifCondensed" w:cs="DejaVuSerifCondensed"/>
          <w:kern w:val="0"/>
          <w:sz w:val="18"/>
          <w:szCs w:val="18"/>
        </w:rPr>
      </w:pPr>
    </w:p>
    <w:p w:rsidRPr="008E0ADC" w:rsidR="0065184D" w:rsidP="00AB4B8F" w:rsidRDefault="00BF7B77" w14:paraId="60C91DF6" w14:textId="017C8ED9">
      <w:pPr>
        <w:pStyle w:val="Lijstalinea"/>
        <w:numPr>
          <w:ilvl w:val="0"/>
          <w:numId w:val="21"/>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Tahoma" w:hAnsi="Tahoma" w:eastAsia="DejaVuSerifCondensed" w:cs="Tahoma"/>
          <w:kern w:val="0"/>
          <w:sz w:val="18"/>
          <w:szCs w:val="18"/>
        </w:rPr>
        <w:t>⁠</w:t>
      </w:r>
      <w:r w:rsidRPr="008E0ADC">
        <w:rPr>
          <w:rFonts w:ascii="Verdana" w:hAnsi="Verdana" w:eastAsia="DejaVuSerifCondensed" w:cs="DejaVuSerifCondensed"/>
          <w:kern w:val="0"/>
          <w:sz w:val="18"/>
          <w:szCs w:val="18"/>
        </w:rPr>
        <w:t>Bent u ervan op de hoogte dat hier al bijna twintig jaar Kamervragen over worden gesteld, er een bemiddelingspoging gevraagd is die faalde in 2008 en talloze andere zaken? 2)</w:t>
      </w:r>
    </w:p>
    <w:p w:rsidRPr="008E0ADC" w:rsidR="0065184D" w:rsidP="00BF7B77" w:rsidRDefault="0065184D" w14:paraId="79B8B640"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8E0ADC" w:rsidR="00BF7B77" w:rsidP="00BF7B77" w:rsidRDefault="0065184D" w14:paraId="0785A627" w14:textId="2C5F3D50">
      <w:p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 xml:space="preserve">Antwoord: </w:t>
      </w:r>
      <w:r w:rsidRPr="008E0ADC" w:rsidR="00D97E69">
        <w:rPr>
          <w:rFonts w:ascii="Verdana" w:hAnsi="Verdana" w:eastAsia="DejaVuSerifCondensed" w:cs="DejaVuSerifCondensed"/>
          <w:kern w:val="0"/>
          <w:sz w:val="18"/>
          <w:szCs w:val="18"/>
        </w:rPr>
        <w:t xml:space="preserve">In grote lijnen ben ik bekend met deze geschiedenis. </w:t>
      </w:r>
      <w:r w:rsidRPr="008E0ADC" w:rsidR="00BF7B77">
        <w:rPr>
          <w:rFonts w:ascii="Verdana" w:hAnsi="Verdana" w:eastAsia="DejaVuSerifCondensed" w:cs="DejaVuSerifCondensed"/>
          <w:kern w:val="0"/>
          <w:sz w:val="18"/>
          <w:szCs w:val="18"/>
        </w:rPr>
        <w:br/>
      </w:r>
    </w:p>
    <w:p w:rsidRPr="008E0ADC" w:rsidR="00BF7B77" w:rsidP="00AB4B8F" w:rsidRDefault="00BF7B77" w14:paraId="200414FA" w14:textId="5D908C97">
      <w:pPr>
        <w:pStyle w:val="Lijstalinea"/>
        <w:numPr>
          <w:ilvl w:val="0"/>
          <w:numId w:val="21"/>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Kunt u aangeven via een tijdlijn welke Kamervragen, procedures, juridische verzoeken en uitspraken en andere relevante gebeurtenissen de afgelopen twintig jaar gedaan zijn?</w:t>
      </w:r>
      <w:r w:rsidRPr="008E0ADC">
        <w:rPr>
          <w:rFonts w:ascii="Verdana" w:hAnsi="Verdana" w:eastAsia="DejaVuSerifCondensed" w:cs="DejaVuSerifCondensed"/>
          <w:kern w:val="0"/>
          <w:sz w:val="18"/>
          <w:szCs w:val="18"/>
        </w:rPr>
        <w:br/>
      </w:r>
    </w:p>
    <w:p w:rsidRPr="008E0ADC" w:rsidR="0065184D" w:rsidP="00BF7B77" w:rsidRDefault="0065184D" w14:paraId="58D25F00" w14:textId="3CAFF47E">
      <w:p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Antwoord:</w:t>
      </w:r>
      <w:r w:rsidRPr="008E0ADC" w:rsidR="00D97E69">
        <w:rPr>
          <w:rFonts w:ascii="Verdana" w:hAnsi="Verdana" w:eastAsia="DejaVuSerifCondensed" w:cs="DejaVuSerifCondensed"/>
          <w:kern w:val="0"/>
          <w:sz w:val="18"/>
          <w:szCs w:val="18"/>
        </w:rPr>
        <w:t xml:space="preserve"> </w:t>
      </w:r>
      <w:r w:rsidRPr="008E0ADC" w:rsidR="00C77132">
        <w:rPr>
          <w:rFonts w:ascii="Verdana" w:hAnsi="Verdana" w:eastAsia="DejaVuSerifCondensed" w:cs="DejaVuSerifCondensed"/>
          <w:kern w:val="0"/>
          <w:sz w:val="18"/>
          <w:szCs w:val="18"/>
        </w:rPr>
        <w:t xml:space="preserve">Op basis van de mij beschikbare informatie </w:t>
      </w:r>
      <w:r w:rsidRPr="008E0ADC" w:rsidR="00D00F84">
        <w:rPr>
          <w:rFonts w:ascii="Verdana" w:hAnsi="Verdana" w:eastAsia="DejaVuSerifCondensed" w:cs="DejaVuSerifCondensed"/>
          <w:kern w:val="0"/>
          <w:sz w:val="18"/>
          <w:szCs w:val="18"/>
        </w:rPr>
        <w:t>ziet de tijdlijn er o</w:t>
      </w:r>
      <w:r w:rsidRPr="008E0ADC" w:rsidR="00D97E69">
        <w:rPr>
          <w:rFonts w:ascii="Verdana" w:hAnsi="Verdana" w:eastAsia="DejaVuSerifCondensed" w:cs="DejaVuSerifCondensed"/>
          <w:kern w:val="0"/>
          <w:sz w:val="18"/>
          <w:szCs w:val="18"/>
        </w:rPr>
        <w:t xml:space="preserve">p hoofdlijnen </w:t>
      </w:r>
      <w:r w:rsidRPr="008E0ADC" w:rsidR="00D00F84">
        <w:rPr>
          <w:rFonts w:ascii="Verdana" w:hAnsi="Verdana" w:eastAsia="DejaVuSerifCondensed" w:cs="DejaVuSerifCondensed"/>
          <w:kern w:val="0"/>
          <w:sz w:val="18"/>
          <w:szCs w:val="18"/>
        </w:rPr>
        <w:t>a</w:t>
      </w:r>
      <w:r w:rsidRPr="008E0ADC" w:rsidR="00D97E69">
        <w:rPr>
          <w:rFonts w:ascii="Verdana" w:hAnsi="Verdana" w:eastAsia="DejaVuSerifCondensed" w:cs="DejaVuSerifCondensed"/>
          <w:kern w:val="0"/>
          <w:sz w:val="18"/>
          <w:szCs w:val="18"/>
        </w:rPr>
        <w:t xml:space="preserve">ls volgt uit: </w:t>
      </w:r>
    </w:p>
    <w:p w:rsidRPr="008E0ADC" w:rsidR="00C77132" w:rsidP="00C77132" w:rsidRDefault="00C77132" w14:paraId="298C62A5" w14:textId="77777777">
      <w:pPr>
        <w:autoSpaceDE w:val="0"/>
        <w:autoSpaceDN w:val="0"/>
        <w:adjustRightInd w:val="0"/>
        <w:spacing w:after="0" w:line="240" w:lineRule="auto"/>
        <w:rPr>
          <w:rFonts w:ascii="Verdana" w:hAnsi="Verdana" w:eastAsia="DejaVuSerifCondensed" w:cs="DejaVuSerifCondensed"/>
          <w:b/>
          <w:bCs/>
          <w:kern w:val="0"/>
          <w:sz w:val="18"/>
          <w:szCs w:val="18"/>
        </w:rPr>
      </w:pPr>
    </w:p>
    <w:p w:rsidRPr="008E0ADC" w:rsidR="00B31240" w:rsidP="00C77132" w:rsidRDefault="00B31240" w14:paraId="16DCB2BF" w14:textId="7A57F663">
      <w:pPr>
        <w:autoSpaceDE w:val="0"/>
        <w:autoSpaceDN w:val="0"/>
        <w:adjustRightInd w:val="0"/>
        <w:spacing w:after="0" w:line="240" w:lineRule="auto"/>
        <w:rPr>
          <w:rFonts w:ascii="Verdana" w:hAnsi="Verdana" w:eastAsia="DejaVuSerifCondensed" w:cs="DejaVuSerifCondensed"/>
          <w:b/>
          <w:bCs/>
          <w:kern w:val="0"/>
          <w:sz w:val="18"/>
          <w:szCs w:val="18"/>
        </w:rPr>
      </w:pPr>
      <w:r w:rsidRPr="008E0ADC">
        <w:rPr>
          <w:rFonts w:ascii="Verdana" w:hAnsi="Verdana" w:eastAsia="DejaVuSerifCondensed" w:cs="DejaVuSerifCondensed"/>
          <w:b/>
          <w:bCs/>
          <w:kern w:val="0"/>
          <w:sz w:val="18"/>
          <w:szCs w:val="18"/>
        </w:rPr>
        <w:t>Tot 1999</w:t>
      </w:r>
    </w:p>
    <w:p w:rsidRPr="008E0ADC" w:rsidR="00C77132" w:rsidP="00C77132" w:rsidRDefault="00C77132" w14:paraId="46297FAE" w14:textId="57E3EDA1">
      <w:pPr>
        <w:pStyle w:val="Lijstalinea"/>
        <w:numPr>
          <w:ilvl w:val="0"/>
          <w:numId w:val="16"/>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 xml:space="preserve">Stichting Pensioenfonds Vervoer- en Havenbedrijven (PVH) beheert het havenpensioenfonds voor havenarbeiders. </w:t>
      </w:r>
    </w:p>
    <w:p w:rsidRPr="008E0ADC" w:rsidR="00C77132" w:rsidP="00C77132" w:rsidRDefault="00C77132" w14:paraId="741F208F" w14:textId="1E73F863">
      <w:pPr>
        <w:pStyle w:val="Lijstalinea"/>
        <w:numPr>
          <w:ilvl w:val="0"/>
          <w:numId w:val="16"/>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In 1997 wordt PVH opgeheven en omgezet in OPTAS Pensioenen (II) NV. Hierbij ontstaat een beklemd vermogen</w:t>
      </w:r>
      <w:r w:rsidRPr="008E0ADC" w:rsidR="004B4CE3">
        <w:rPr>
          <w:rFonts w:ascii="Verdana" w:hAnsi="Verdana" w:eastAsia="DejaVuSerifCondensed" w:cs="DejaVuSerifCondensed"/>
          <w:kern w:val="0"/>
          <w:sz w:val="18"/>
          <w:szCs w:val="18"/>
        </w:rPr>
        <w:t xml:space="preserve"> dat juridisch gezien alleen kon worden besteed aan de pensioenen van polishouders, maar er was tegelijkertijd geen juridische verplichting om dat te doen. Daarnaast werden in deze periode nieuwe indexatie-afspraken gemaakt die achteraf onvoldoende bleken om de inflatie bij te houden.</w:t>
      </w:r>
    </w:p>
    <w:p w:rsidRPr="008E0ADC" w:rsidR="003354CA" w:rsidP="003354CA" w:rsidRDefault="003354CA" w14:paraId="40BD4411" w14:textId="52008ED8">
      <w:pPr>
        <w:pStyle w:val="Lijstalinea"/>
        <w:numPr>
          <w:ilvl w:val="0"/>
          <w:numId w:val="16"/>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 xml:space="preserve">Sociale partners richten een nieuwe stichting op, de Stichting Optas. Deze nieuwe stichting </w:t>
      </w:r>
      <w:r w:rsidRPr="008E0ADC" w:rsidR="000F78BA">
        <w:rPr>
          <w:rFonts w:ascii="Verdana" w:hAnsi="Verdana" w:eastAsia="DejaVuSerifCondensed" w:cs="DejaVuSerifCondensed"/>
          <w:kern w:val="0"/>
          <w:sz w:val="18"/>
          <w:szCs w:val="18"/>
        </w:rPr>
        <w:t>gaat</w:t>
      </w:r>
      <w:r w:rsidRPr="008E0ADC">
        <w:rPr>
          <w:rFonts w:ascii="Verdana" w:hAnsi="Verdana" w:eastAsia="DejaVuSerifCondensed" w:cs="DejaVuSerifCondensed"/>
          <w:kern w:val="0"/>
          <w:sz w:val="18"/>
          <w:szCs w:val="18"/>
        </w:rPr>
        <w:t xml:space="preserve"> alle aandelen in OPTAS Pensioenen (II) NV houden. </w:t>
      </w:r>
    </w:p>
    <w:p w:rsidRPr="008E0ADC" w:rsidR="000F78BA" w:rsidP="000F78BA" w:rsidRDefault="003354CA" w14:paraId="4D424E34" w14:textId="77777777">
      <w:pPr>
        <w:pStyle w:val="Lijstalinea"/>
        <w:numPr>
          <w:ilvl w:val="0"/>
          <w:numId w:val="16"/>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 xml:space="preserve">OPTAS Pensioenen (II) NV fuseert in 1998 met verzekeraar </w:t>
      </w:r>
      <w:r w:rsidRPr="008E0ADC" w:rsidR="000F78BA">
        <w:rPr>
          <w:rFonts w:ascii="Verdana" w:hAnsi="Verdana" w:eastAsia="DejaVuSerifCondensed" w:cs="DejaVuSerifCondensed"/>
          <w:kern w:val="0"/>
          <w:sz w:val="18"/>
          <w:szCs w:val="18"/>
        </w:rPr>
        <w:t>Optas</w:t>
      </w:r>
      <w:r w:rsidRPr="008E0ADC">
        <w:rPr>
          <w:rFonts w:ascii="Verdana" w:hAnsi="Verdana" w:eastAsia="DejaVuSerifCondensed" w:cs="DejaVuSerifCondensed"/>
          <w:kern w:val="0"/>
          <w:sz w:val="18"/>
          <w:szCs w:val="18"/>
        </w:rPr>
        <w:t xml:space="preserve"> NV. </w:t>
      </w:r>
      <w:r w:rsidRPr="008E0ADC" w:rsidR="000F78BA">
        <w:rPr>
          <w:rFonts w:ascii="Verdana" w:hAnsi="Verdana" w:eastAsia="DejaVuSerifCondensed" w:cs="DejaVuSerifCondensed"/>
          <w:kern w:val="0"/>
          <w:sz w:val="18"/>
          <w:szCs w:val="18"/>
        </w:rPr>
        <w:t xml:space="preserve">Op dat moment bestaan de entiteiten; </w:t>
      </w:r>
      <w:r w:rsidRPr="008E0ADC">
        <w:rPr>
          <w:rFonts w:ascii="Verdana" w:hAnsi="Verdana" w:eastAsia="DejaVuSerifCondensed" w:cs="DejaVuSerifCondensed"/>
          <w:kern w:val="0"/>
          <w:sz w:val="18"/>
          <w:szCs w:val="18"/>
        </w:rPr>
        <w:t xml:space="preserve">Stichting Optas en de </w:t>
      </w:r>
      <w:r w:rsidRPr="008E0ADC" w:rsidR="000F78BA">
        <w:rPr>
          <w:rFonts w:ascii="Verdana" w:hAnsi="Verdana" w:eastAsia="DejaVuSerifCondensed" w:cs="DejaVuSerifCondensed"/>
          <w:kern w:val="0"/>
          <w:sz w:val="18"/>
          <w:szCs w:val="18"/>
        </w:rPr>
        <w:t>v</w:t>
      </w:r>
      <w:r w:rsidRPr="008E0ADC">
        <w:rPr>
          <w:rFonts w:ascii="Verdana" w:hAnsi="Verdana" w:eastAsia="DejaVuSerifCondensed" w:cs="DejaVuSerifCondensed"/>
          <w:kern w:val="0"/>
          <w:sz w:val="18"/>
          <w:szCs w:val="18"/>
        </w:rPr>
        <w:t>erzekeraar Optas NV.</w:t>
      </w:r>
      <w:r w:rsidRPr="008E0ADC" w:rsidR="000F78BA">
        <w:rPr>
          <w:rFonts w:ascii="Verdana" w:hAnsi="Verdana" w:eastAsia="DejaVuSerifCondensed" w:cs="DejaVuSerifCondensed"/>
          <w:kern w:val="0"/>
          <w:sz w:val="18"/>
          <w:szCs w:val="18"/>
        </w:rPr>
        <w:t xml:space="preserve"> </w:t>
      </w:r>
      <w:r w:rsidRPr="008E0ADC" w:rsidR="00C77132">
        <w:rPr>
          <w:rFonts w:ascii="Verdana" w:hAnsi="Verdana" w:eastAsia="DejaVuSerifCondensed" w:cs="DejaVuSerifCondensed"/>
          <w:kern w:val="0"/>
          <w:sz w:val="18"/>
          <w:szCs w:val="18"/>
        </w:rPr>
        <w:t>Stichting Optas houdt de aandelen.</w:t>
      </w:r>
      <w:r w:rsidRPr="008E0ADC" w:rsidR="000F78BA">
        <w:rPr>
          <w:rFonts w:ascii="Verdana" w:hAnsi="Verdana" w:eastAsia="DejaVuSerifCondensed" w:cs="DejaVuSerifCondensed"/>
          <w:kern w:val="0"/>
          <w:sz w:val="18"/>
          <w:szCs w:val="18"/>
        </w:rPr>
        <w:t xml:space="preserve"> Door deze constructie is er geen </w:t>
      </w:r>
      <w:proofErr w:type="spellStart"/>
      <w:r w:rsidRPr="008E0ADC" w:rsidR="000F78BA">
        <w:rPr>
          <w:rFonts w:ascii="Verdana" w:hAnsi="Verdana" w:eastAsia="DejaVuSerifCondensed" w:cs="DejaVuSerifCondensed"/>
          <w:kern w:val="0"/>
          <w:sz w:val="18"/>
          <w:szCs w:val="18"/>
        </w:rPr>
        <w:t>verplichtgestelde</w:t>
      </w:r>
      <w:proofErr w:type="spellEnd"/>
      <w:r w:rsidRPr="008E0ADC" w:rsidR="000F78BA">
        <w:rPr>
          <w:rFonts w:ascii="Verdana" w:hAnsi="Verdana" w:eastAsia="DejaVuSerifCondensed" w:cs="DejaVuSerifCondensed"/>
          <w:kern w:val="0"/>
          <w:sz w:val="18"/>
          <w:szCs w:val="18"/>
        </w:rPr>
        <w:t xml:space="preserve"> regeling voor de havenarbeiders meer.</w:t>
      </w:r>
    </w:p>
    <w:p w:rsidRPr="008E0ADC" w:rsidR="00B31240" w:rsidP="00B31240" w:rsidRDefault="00B31240" w14:paraId="1D7A4033" w14:textId="5F22B2BF">
      <w:pPr>
        <w:autoSpaceDE w:val="0"/>
        <w:autoSpaceDN w:val="0"/>
        <w:adjustRightInd w:val="0"/>
        <w:spacing w:after="0" w:line="240" w:lineRule="auto"/>
        <w:rPr>
          <w:rFonts w:ascii="Verdana" w:hAnsi="Verdana" w:eastAsia="DejaVuSerifCondensed" w:cs="DejaVuSerifCondensed"/>
          <w:b/>
          <w:bCs/>
          <w:kern w:val="0"/>
          <w:sz w:val="18"/>
          <w:szCs w:val="18"/>
        </w:rPr>
      </w:pPr>
      <w:r w:rsidRPr="008E0ADC">
        <w:rPr>
          <w:rFonts w:ascii="Verdana" w:hAnsi="Verdana" w:eastAsia="DejaVuSerifCondensed" w:cs="DejaVuSerifCondensed"/>
          <w:b/>
          <w:bCs/>
          <w:kern w:val="0"/>
          <w:sz w:val="18"/>
          <w:szCs w:val="18"/>
        </w:rPr>
        <w:t>2007-2009</w:t>
      </w:r>
    </w:p>
    <w:p w:rsidRPr="008E0ADC" w:rsidR="000F78BA" w:rsidP="000F78BA" w:rsidRDefault="00C77132" w14:paraId="1720E820" w14:textId="0AE47438">
      <w:pPr>
        <w:pStyle w:val="Lijstalinea"/>
        <w:numPr>
          <w:ilvl w:val="0"/>
          <w:numId w:val="16"/>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 xml:space="preserve">Aegon koopt </w:t>
      </w:r>
      <w:r w:rsidRPr="008E0ADC" w:rsidR="000F78BA">
        <w:rPr>
          <w:rFonts w:ascii="Verdana" w:hAnsi="Verdana" w:eastAsia="DejaVuSerifCondensed" w:cs="DejaVuSerifCondensed"/>
          <w:kern w:val="0"/>
          <w:sz w:val="18"/>
          <w:szCs w:val="18"/>
        </w:rPr>
        <w:t xml:space="preserve">in 2007 </w:t>
      </w:r>
      <w:r w:rsidRPr="008E0ADC">
        <w:rPr>
          <w:rFonts w:ascii="Verdana" w:hAnsi="Verdana" w:eastAsia="DejaVuSerifCondensed" w:cs="DejaVuSerifCondensed"/>
          <w:kern w:val="0"/>
          <w:sz w:val="18"/>
          <w:szCs w:val="18"/>
        </w:rPr>
        <w:t xml:space="preserve">verzekeraar </w:t>
      </w:r>
      <w:r w:rsidRPr="008E0ADC" w:rsidR="000F4C2C">
        <w:rPr>
          <w:rFonts w:ascii="Verdana" w:hAnsi="Verdana" w:eastAsia="DejaVuSerifCondensed" w:cs="DejaVuSerifCondensed"/>
          <w:kern w:val="0"/>
          <w:sz w:val="18"/>
          <w:szCs w:val="18"/>
        </w:rPr>
        <w:t>Optas</w:t>
      </w:r>
      <w:r w:rsidRPr="008E0ADC">
        <w:rPr>
          <w:rFonts w:ascii="Verdana" w:hAnsi="Verdana" w:eastAsia="DejaVuSerifCondensed" w:cs="DejaVuSerifCondensed"/>
          <w:kern w:val="0"/>
          <w:sz w:val="18"/>
          <w:szCs w:val="18"/>
        </w:rPr>
        <w:t xml:space="preserve"> NV. </w:t>
      </w:r>
      <w:r w:rsidRPr="008E0ADC" w:rsidR="000F78BA">
        <w:rPr>
          <w:rFonts w:ascii="Verdana" w:hAnsi="Verdana" w:eastAsia="DejaVuSerifCondensed" w:cs="DejaVuSerifCondensed"/>
          <w:kern w:val="0"/>
          <w:sz w:val="18"/>
          <w:szCs w:val="18"/>
        </w:rPr>
        <w:t xml:space="preserve">Daarvoor betaalde AEGON een koopprijs van 1,5 miljard euro aan Stichting Optas. </w:t>
      </w:r>
      <w:r w:rsidRPr="008E0ADC">
        <w:rPr>
          <w:rFonts w:ascii="Verdana" w:hAnsi="Verdana" w:eastAsia="DejaVuSerifCondensed" w:cs="DejaVuSerifCondensed"/>
          <w:kern w:val="0"/>
          <w:sz w:val="18"/>
          <w:szCs w:val="18"/>
        </w:rPr>
        <w:t xml:space="preserve">Stichting Optas blijft bestaan en beheert het vermogen. </w:t>
      </w:r>
    </w:p>
    <w:p w:rsidRPr="008E0ADC" w:rsidR="000F78BA" w:rsidP="000F78BA" w:rsidRDefault="00C77132" w14:paraId="34F6C602" w14:textId="53A797F8">
      <w:pPr>
        <w:pStyle w:val="Lijstalinea"/>
        <w:numPr>
          <w:ilvl w:val="0"/>
          <w:numId w:val="16"/>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Kamervragen (19 oktober 2007) door Pieter Omtzigt (CDA) en Mariëtte Hamer (PvdA) over de verkoop van Optas aan Aegon, de wijzigingen in de statuten en het toezicht.</w:t>
      </w:r>
      <w:r w:rsidRPr="008E0ADC" w:rsidR="00BE4F9D">
        <w:rPr>
          <w:rStyle w:val="Voetnootmarkering"/>
          <w:rFonts w:ascii="Verdana" w:hAnsi="Verdana" w:eastAsia="DejaVuSerifCondensed" w:cs="DejaVuSerifCondensed"/>
          <w:kern w:val="0"/>
          <w:sz w:val="18"/>
          <w:szCs w:val="18"/>
        </w:rPr>
        <w:footnoteReference w:id="1"/>
      </w:r>
    </w:p>
    <w:p w:rsidRPr="008E0ADC" w:rsidR="003500BB" w:rsidP="003500BB" w:rsidRDefault="000F78BA" w14:paraId="23C083C0" w14:textId="6E4E9039">
      <w:pPr>
        <w:pStyle w:val="Lijstalinea"/>
        <w:numPr>
          <w:ilvl w:val="0"/>
          <w:numId w:val="16"/>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S</w:t>
      </w:r>
      <w:r w:rsidRPr="008E0ADC" w:rsidR="00C77132">
        <w:rPr>
          <w:rFonts w:ascii="Verdana" w:hAnsi="Verdana" w:eastAsia="DejaVuSerifCondensed" w:cs="DejaVuSerifCondensed"/>
          <w:kern w:val="0"/>
          <w:sz w:val="18"/>
          <w:szCs w:val="18"/>
        </w:rPr>
        <w:t>chriftelijk overleg (10 maart 2008) met vragen vanuit de vaste commissie SZW.</w:t>
      </w:r>
      <w:r w:rsidRPr="008E0ADC" w:rsidR="00BE4F9D">
        <w:rPr>
          <w:rStyle w:val="Voetnootmarkering"/>
          <w:rFonts w:ascii="Verdana" w:hAnsi="Verdana" w:eastAsia="DejaVuSerifCondensed" w:cs="DejaVuSerifCondensed"/>
          <w:kern w:val="0"/>
          <w:sz w:val="18"/>
          <w:szCs w:val="18"/>
        </w:rPr>
        <w:footnoteReference w:id="2"/>
      </w:r>
    </w:p>
    <w:p w:rsidRPr="008E0ADC" w:rsidR="00B31240" w:rsidP="00B31240" w:rsidRDefault="003500BB" w14:paraId="4AA934FA" w14:textId="77777777">
      <w:pPr>
        <w:pStyle w:val="Lijstalinea"/>
        <w:numPr>
          <w:ilvl w:val="0"/>
          <w:numId w:val="16"/>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Op verzoek van de regering deed oud-minister Elco Brinkman vanaf juni 2008 een bemiddelingspoging om met alle partijen tot een oplossing te komen. Eind oktober 2008 stopte de heer Brinkman zijn poging en gaf de opdracht terug aan de regering. De bemiddeling tussen Stichting Belangenbehartiging Pensioengerechtigden van de Vervoeren Havenbedrijven (BPVH), Aegon en Stichting Optas is niet geslaagd.</w:t>
      </w:r>
    </w:p>
    <w:p w:rsidRPr="008E0ADC" w:rsidR="00C77132" w:rsidP="00B31240" w:rsidRDefault="00C77132" w14:paraId="3CE0550C" w14:textId="03248E4F">
      <w:pPr>
        <w:pStyle w:val="Lijstalinea"/>
        <w:numPr>
          <w:ilvl w:val="0"/>
          <w:numId w:val="16"/>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 xml:space="preserve">Paul </w:t>
      </w:r>
      <w:proofErr w:type="spellStart"/>
      <w:r w:rsidRPr="008E0ADC">
        <w:rPr>
          <w:rFonts w:ascii="Verdana" w:hAnsi="Verdana" w:eastAsia="DejaVuSerifCondensed" w:cs="DejaVuSerifCondensed"/>
          <w:kern w:val="0"/>
          <w:sz w:val="18"/>
          <w:szCs w:val="18"/>
        </w:rPr>
        <w:t>Ulenbelt</w:t>
      </w:r>
      <w:proofErr w:type="spellEnd"/>
      <w:r w:rsidRPr="008E0ADC">
        <w:rPr>
          <w:rFonts w:ascii="Verdana" w:hAnsi="Verdana" w:eastAsia="DejaVuSerifCondensed" w:cs="DejaVuSerifCondensed"/>
          <w:kern w:val="0"/>
          <w:sz w:val="18"/>
          <w:szCs w:val="18"/>
        </w:rPr>
        <w:t xml:space="preserve"> (SP) dient een motie in om de overheid commissarissen bij Aegon opdracht te geven het vermogen van Optas ten goede te laten komen aan de pensioenen van de havenwerkers.</w:t>
      </w:r>
      <w:r w:rsidRPr="008E0ADC" w:rsidR="00B31240">
        <w:rPr>
          <w:rStyle w:val="Voetnootmarkering"/>
          <w:rFonts w:ascii="Verdana" w:hAnsi="Verdana" w:eastAsia="DejaVuSerifCondensed" w:cs="DejaVuSerifCondensed"/>
          <w:kern w:val="0"/>
          <w:sz w:val="18"/>
          <w:szCs w:val="18"/>
        </w:rPr>
        <w:footnoteReference w:id="3"/>
      </w:r>
      <w:r w:rsidRPr="008E0ADC" w:rsidR="00B31240">
        <w:rPr>
          <w:rFonts w:ascii="Verdana" w:hAnsi="Verdana" w:eastAsia="DejaVuSerifCondensed" w:cs="DejaVuSerifCondensed"/>
          <w:kern w:val="0"/>
          <w:sz w:val="18"/>
          <w:szCs w:val="18"/>
        </w:rPr>
        <w:t xml:space="preserve"> De motie wordt verworpen. </w:t>
      </w:r>
    </w:p>
    <w:p w:rsidRPr="008E0ADC" w:rsidR="000F4C2C" w:rsidP="000F4C2C" w:rsidRDefault="000F4C2C" w14:paraId="70A19FBD" w14:textId="73F2BEE7">
      <w:p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b/>
          <w:bCs/>
          <w:kern w:val="0"/>
          <w:sz w:val="18"/>
          <w:szCs w:val="18"/>
        </w:rPr>
        <w:t>2010–2015</w:t>
      </w:r>
    </w:p>
    <w:p w:rsidRPr="008E0ADC" w:rsidR="000F4C2C" w:rsidP="000F4C2C" w:rsidRDefault="000F4C2C" w14:paraId="766DD45E" w14:textId="6E79116F">
      <w:pPr>
        <w:pStyle w:val="Lijstalinea"/>
        <w:numPr>
          <w:ilvl w:val="0"/>
          <w:numId w:val="16"/>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Tussen 2010 en 2014 zijn geschillen beslecht met verscheidene schikkingen, waarbij de Stichting Optas EUR 500 miljoen en Aegon EUR 188 miljoen ter beschikking hebben gesteld voor de pensioenen van de havenwerkers. DNB was geen partij bij deze afspraken.</w:t>
      </w:r>
    </w:p>
    <w:p w:rsidRPr="008E0ADC" w:rsidR="000F4C2C" w:rsidP="000F4C2C" w:rsidRDefault="000F4C2C" w14:paraId="59EDEA60" w14:textId="1F37F225">
      <w:pPr>
        <w:numPr>
          <w:ilvl w:val="0"/>
          <w:numId w:val="16"/>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De Hoge Raad oordeelt in 2011 dat het beklemde vermogen Aegons eigendom is.</w:t>
      </w:r>
      <w:r w:rsidRPr="008E0ADC">
        <w:rPr>
          <w:rFonts w:ascii="Verdana" w:hAnsi="Verdana" w:eastAsia="DejaVuSerifCondensed" w:cs="DejaVuSerifCondensed"/>
          <w:kern w:val="0"/>
          <w:sz w:val="18"/>
          <w:szCs w:val="18"/>
          <w:vertAlign w:val="superscript"/>
        </w:rPr>
        <w:footnoteReference w:id="4"/>
      </w:r>
    </w:p>
    <w:p w:rsidRPr="008E0ADC" w:rsidR="000F4C2C" w:rsidP="000F4C2C" w:rsidRDefault="000F4C2C" w14:paraId="236CFE5D" w14:textId="3E261AFF">
      <w:pPr>
        <w:numPr>
          <w:ilvl w:val="0"/>
          <w:numId w:val="16"/>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Kamervragen op 10 mei 2011 door Pieter Omtzigt (CDA) over de uitkering van havenpensioenen door Aegon, en het gebruik van beklemd vermogen.</w:t>
      </w:r>
      <w:r w:rsidRPr="008E0ADC">
        <w:rPr>
          <w:rFonts w:ascii="Verdana" w:hAnsi="Verdana" w:eastAsia="DejaVuSerifCondensed" w:cs="DejaVuSerifCondensed"/>
          <w:kern w:val="0"/>
          <w:sz w:val="18"/>
          <w:szCs w:val="18"/>
          <w:vertAlign w:val="superscript"/>
        </w:rPr>
        <w:footnoteReference w:id="5"/>
      </w:r>
    </w:p>
    <w:p w:rsidRPr="008E0ADC" w:rsidR="000F4C2C" w:rsidP="000F4C2C" w:rsidRDefault="000F4C2C" w14:paraId="416850BB" w14:textId="56FFCCE6">
      <w:pPr>
        <w:pStyle w:val="Lijstalinea"/>
        <w:numPr>
          <w:ilvl w:val="0"/>
          <w:numId w:val="16"/>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lastRenderedPageBreak/>
        <w:t>Havenarbeiders demonstreren bij Aegon-hoofdkantoor (2012)</w:t>
      </w:r>
      <w:r w:rsidRPr="008E0ADC" w:rsidR="00BE4F9D">
        <w:rPr>
          <w:rFonts w:ascii="Verdana" w:hAnsi="Verdana" w:eastAsia="DejaVuSerifCondensed" w:cs="DejaVuSerifCondensed"/>
          <w:kern w:val="0"/>
          <w:sz w:val="18"/>
          <w:szCs w:val="18"/>
        </w:rPr>
        <w:t>.</w:t>
      </w:r>
      <w:r w:rsidRPr="008E0ADC">
        <w:rPr>
          <w:rFonts w:ascii="Verdana" w:hAnsi="Verdana" w:eastAsia="DejaVuSerifCondensed" w:cs="DejaVuSerifCondensed"/>
          <w:kern w:val="0"/>
          <w:sz w:val="18"/>
          <w:szCs w:val="18"/>
          <w:vertAlign w:val="superscript"/>
        </w:rPr>
        <w:footnoteReference w:id="6"/>
      </w:r>
    </w:p>
    <w:p w:rsidRPr="008E0ADC" w:rsidR="004B4CE3" w:rsidP="004B4CE3" w:rsidRDefault="004B4CE3" w14:paraId="63D73047" w14:textId="64DC89C9">
      <w:pPr>
        <w:pStyle w:val="Lijstalinea"/>
        <w:numPr>
          <w:ilvl w:val="0"/>
          <w:numId w:val="16"/>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In 2014 wordt, mede naar aanleiding van de geschiedenis in deze casus, de wet aangepast. Hierdoor moet DNB op basis van artikel 114 van de Pensioenwet voortaan een verklaring van geen bezwaar afgeven bij een omzetting van een pensioenfonds naar een verzekeraar. Hiervoor moet DNB toetsen of de belangen van deelnemers, gewezen deelnemers, andere aanspraakgerechtigden, de pensioengerechtigden en de werkgever voldoende gewaarborgd zijn.</w:t>
      </w:r>
    </w:p>
    <w:p w:rsidRPr="008E0ADC" w:rsidR="00C77132" w:rsidP="000F4C2C" w:rsidRDefault="00C77132" w14:paraId="1E879DB8" w14:textId="2A9F6EBF">
      <w:pPr>
        <w:pStyle w:val="Lijstalinea"/>
        <w:numPr>
          <w:ilvl w:val="0"/>
          <w:numId w:val="16"/>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 xml:space="preserve">In 2015 beslist de rechtbank Rotterdam dat het beklemd vermogen wordt </w:t>
      </w:r>
      <w:proofErr w:type="spellStart"/>
      <w:r w:rsidRPr="008E0ADC">
        <w:rPr>
          <w:rFonts w:ascii="Verdana" w:hAnsi="Verdana" w:eastAsia="DejaVuSerifCondensed" w:cs="DejaVuSerifCondensed"/>
          <w:kern w:val="0"/>
          <w:sz w:val="18"/>
          <w:szCs w:val="18"/>
        </w:rPr>
        <w:t>ontklemd</w:t>
      </w:r>
      <w:proofErr w:type="spellEnd"/>
      <w:r w:rsidRPr="008E0ADC">
        <w:rPr>
          <w:rFonts w:ascii="Verdana" w:hAnsi="Verdana" w:eastAsia="DejaVuSerifCondensed" w:cs="DejaVuSerifCondensed"/>
          <w:kern w:val="0"/>
          <w:sz w:val="18"/>
          <w:szCs w:val="18"/>
        </w:rPr>
        <w:t xml:space="preserve"> en dus beschikbaar komt voor Aegon.</w:t>
      </w:r>
      <w:r w:rsidRPr="008E0ADC">
        <w:rPr>
          <w:rFonts w:ascii="Verdana" w:hAnsi="Verdana"/>
          <w:sz w:val="18"/>
          <w:szCs w:val="18"/>
          <w:vertAlign w:val="superscript"/>
        </w:rPr>
        <w:footnoteReference w:id="7"/>
      </w:r>
    </w:p>
    <w:p w:rsidRPr="008E0ADC" w:rsidR="000F4C2C" w:rsidP="000F4C2C" w:rsidRDefault="000F4C2C" w14:paraId="47E491E1" w14:textId="289C4FB5">
      <w:p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b/>
          <w:bCs/>
          <w:kern w:val="0"/>
          <w:sz w:val="18"/>
          <w:szCs w:val="18"/>
        </w:rPr>
        <w:t>2018-2019</w:t>
      </w:r>
    </w:p>
    <w:p w:rsidRPr="008E0ADC" w:rsidR="004B4CE3" w:rsidP="004B4CE3" w:rsidRDefault="004B4CE3" w14:paraId="383E58CB" w14:textId="5BCC2E49">
      <w:pPr>
        <w:pStyle w:val="Lijstalinea"/>
        <w:numPr>
          <w:ilvl w:val="0"/>
          <w:numId w:val="16"/>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 xml:space="preserve">Verzekeraar Optas NV fuseert met Aegon Levensverzekering NV. De Nederlandsche Bank (DNB) stemt in met de overgang van de portefeuille levensverzekeringen. Enkele tientallen polishouders, een aantal ondernemingen (werkgevers in de havens) en FNV Havens maken bezwaar tegen het instemmingsbesluit van DNB. DNB merkt de polishouders van Optas niet aan als belanghebbende in zin de van de Algemene wet bestuursrecht. </w:t>
      </w:r>
    </w:p>
    <w:p w:rsidRPr="008E0ADC" w:rsidR="004B4CE3" w:rsidP="004B4CE3" w:rsidRDefault="004B4CE3" w14:paraId="7FF0140E" w14:textId="4ECF539F">
      <w:pPr>
        <w:pStyle w:val="Lijstalinea"/>
        <w:numPr>
          <w:ilvl w:val="0"/>
          <w:numId w:val="16"/>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De voorzieningenrechter draagt DNB op het instemmingsbesluit te verstrekken aan de polishouders die bezwaar hebben gemaakt.</w:t>
      </w:r>
    </w:p>
    <w:p w:rsidRPr="008E0ADC" w:rsidR="00BF33BE" w:rsidP="00BF33BE" w:rsidRDefault="00BF33BE" w14:paraId="4739FB50" w14:textId="6E6C6999">
      <w:pPr>
        <w:autoSpaceDE w:val="0"/>
        <w:autoSpaceDN w:val="0"/>
        <w:adjustRightInd w:val="0"/>
        <w:spacing w:after="0" w:line="240" w:lineRule="auto"/>
        <w:rPr>
          <w:rFonts w:ascii="Verdana" w:hAnsi="Verdana" w:eastAsia="DejaVuSerifCondensed" w:cs="DejaVuSerifCondensed"/>
          <w:b/>
          <w:bCs/>
          <w:kern w:val="0"/>
          <w:sz w:val="18"/>
          <w:szCs w:val="18"/>
        </w:rPr>
      </w:pPr>
      <w:r w:rsidRPr="008E0ADC">
        <w:rPr>
          <w:rFonts w:ascii="Verdana" w:hAnsi="Verdana" w:eastAsia="DejaVuSerifCondensed" w:cs="DejaVuSerifCondensed"/>
          <w:b/>
          <w:bCs/>
          <w:kern w:val="0"/>
          <w:sz w:val="18"/>
          <w:szCs w:val="18"/>
        </w:rPr>
        <w:t>2020-2021</w:t>
      </w:r>
    </w:p>
    <w:p w:rsidRPr="008E0ADC" w:rsidR="00BF33BE" w:rsidP="00BF33BE" w:rsidRDefault="00C77132" w14:paraId="43114F44" w14:textId="77777777">
      <w:pPr>
        <w:pStyle w:val="Lijstalinea"/>
        <w:numPr>
          <w:ilvl w:val="0"/>
          <w:numId w:val="16"/>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Kamervragen op 3 februari 2020 door Pieter Omtzigt (CDA) over de rol van DNB, de bescherming van polishouders en de transparantie rond het instemmingsbesluit.</w:t>
      </w:r>
      <w:r w:rsidRPr="008E0ADC">
        <w:rPr>
          <w:rFonts w:ascii="Verdana" w:hAnsi="Verdana"/>
          <w:sz w:val="18"/>
          <w:szCs w:val="18"/>
          <w:vertAlign w:val="superscript"/>
        </w:rPr>
        <w:footnoteReference w:id="8"/>
      </w:r>
    </w:p>
    <w:p w:rsidRPr="008E0ADC" w:rsidR="00BF33BE" w:rsidP="00BF33BE" w:rsidRDefault="00C77132" w14:paraId="02D65CA1" w14:textId="0000EEB2">
      <w:pPr>
        <w:pStyle w:val="Lijstalinea"/>
        <w:numPr>
          <w:ilvl w:val="0"/>
          <w:numId w:val="16"/>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 xml:space="preserve">De rechtbank </w:t>
      </w:r>
      <w:r w:rsidRPr="008E0ADC" w:rsidR="00BF33BE">
        <w:rPr>
          <w:rFonts w:ascii="Verdana" w:hAnsi="Verdana" w:eastAsia="DejaVuSerifCondensed" w:cs="DejaVuSerifCondensed"/>
          <w:kern w:val="0"/>
          <w:sz w:val="18"/>
          <w:szCs w:val="18"/>
        </w:rPr>
        <w:t xml:space="preserve">Den Haag </w:t>
      </w:r>
      <w:r w:rsidRPr="008E0ADC">
        <w:rPr>
          <w:rFonts w:ascii="Verdana" w:hAnsi="Verdana" w:eastAsia="DejaVuSerifCondensed" w:cs="DejaVuSerifCondensed"/>
          <w:kern w:val="0"/>
          <w:sz w:val="18"/>
          <w:szCs w:val="18"/>
        </w:rPr>
        <w:t xml:space="preserve">oordeelt dat </w:t>
      </w:r>
      <w:r w:rsidRPr="008E0ADC" w:rsidR="00BF33BE">
        <w:rPr>
          <w:rFonts w:ascii="Verdana" w:hAnsi="Verdana" w:eastAsia="DejaVuSerifCondensed" w:cs="DejaVuSerifCondensed"/>
          <w:kern w:val="0"/>
          <w:sz w:val="18"/>
          <w:szCs w:val="18"/>
        </w:rPr>
        <w:t xml:space="preserve">de </w:t>
      </w:r>
      <w:r w:rsidRPr="008E0ADC">
        <w:rPr>
          <w:rFonts w:ascii="Verdana" w:hAnsi="Verdana" w:eastAsia="DejaVuSerifCondensed" w:cs="DejaVuSerifCondensed"/>
          <w:kern w:val="0"/>
          <w:sz w:val="18"/>
          <w:szCs w:val="18"/>
        </w:rPr>
        <w:t xml:space="preserve">fusie tussen Optas Pensioenen N.V. en Aegon Levensverzekeringen N.V. rechtsgeldig </w:t>
      </w:r>
      <w:r w:rsidRPr="008E0ADC" w:rsidR="00BF33BE">
        <w:rPr>
          <w:rFonts w:ascii="Verdana" w:hAnsi="Verdana" w:eastAsia="DejaVuSerifCondensed" w:cs="DejaVuSerifCondensed"/>
          <w:kern w:val="0"/>
          <w:sz w:val="18"/>
          <w:szCs w:val="18"/>
        </w:rPr>
        <w:t>is</w:t>
      </w:r>
      <w:r w:rsidRPr="008E0ADC">
        <w:rPr>
          <w:rFonts w:ascii="Verdana" w:hAnsi="Verdana" w:eastAsia="DejaVuSerifCondensed" w:cs="DejaVuSerifCondensed"/>
          <w:kern w:val="0"/>
          <w:sz w:val="18"/>
          <w:szCs w:val="18"/>
        </w:rPr>
        <w:t>.</w:t>
      </w:r>
      <w:r w:rsidRPr="008E0ADC" w:rsidR="00BF33BE">
        <w:rPr>
          <w:rFonts w:ascii="Verdana" w:hAnsi="Verdana" w:eastAsia="DejaVuSerifCondensed" w:cs="DejaVuSerifCondensed"/>
          <w:kern w:val="0"/>
          <w:sz w:val="18"/>
          <w:szCs w:val="18"/>
        </w:rPr>
        <w:t xml:space="preserve"> </w:t>
      </w:r>
      <w:r w:rsidRPr="008E0ADC">
        <w:rPr>
          <w:rFonts w:ascii="Verdana" w:hAnsi="Verdana" w:eastAsia="DejaVuSerifCondensed" w:cs="DejaVuSerifCondensed"/>
          <w:kern w:val="0"/>
          <w:sz w:val="18"/>
          <w:szCs w:val="18"/>
        </w:rPr>
        <w:t xml:space="preserve">De rechter wijst de vordering tot </w:t>
      </w:r>
      <w:proofErr w:type="spellStart"/>
      <w:r w:rsidRPr="008E0ADC">
        <w:rPr>
          <w:rFonts w:ascii="Verdana" w:hAnsi="Verdana" w:eastAsia="DejaVuSerifCondensed" w:cs="DejaVuSerifCondensed"/>
          <w:kern w:val="0"/>
          <w:sz w:val="18"/>
          <w:szCs w:val="18"/>
        </w:rPr>
        <w:t>ongedaanmaking</w:t>
      </w:r>
      <w:proofErr w:type="spellEnd"/>
      <w:r w:rsidRPr="008E0ADC">
        <w:rPr>
          <w:rFonts w:ascii="Verdana" w:hAnsi="Verdana" w:eastAsia="DejaVuSerifCondensed" w:cs="DejaVuSerifCondensed"/>
          <w:kern w:val="0"/>
          <w:sz w:val="18"/>
          <w:szCs w:val="18"/>
        </w:rPr>
        <w:t xml:space="preserve"> van de fusie af.</w:t>
      </w:r>
      <w:r w:rsidRPr="008E0ADC">
        <w:rPr>
          <w:rFonts w:ascii="Verdana" w:hAnsi="Verdana"/>
          <w:sz w:val="18"/>
          <w:szCs w:val="18"/>
          <w:vertAlign w:val="superscript"/>
        </w:rPr>
        <w:footnoteReference w:id="9"/>
      </w:r>
    </w:p>
    <w:p w:rsidRPr="008E0ADC" w:rsidR="00E408B1" w:rsidP="00E408B1" w:rsidRDefault="00C77132" w14:paraId="5AD74BCB" w14:textId="01113B59">
      <w:pPr>
        <w:pStyle w:val="Lijstalinea"/>
        <w:numPr>
          <w:ilvl w:val="0"/>
          <w:numId w:val="16"/>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Het College van Beroep voor het bedrijfsleven oordeelt dat DNB het belanghebbendenbegrip te eng heeft geïnterpreteerd. DNB past daarop haar werkwijze aan</w:t>
      </w:r>
      <w:r w:rsidRPr="008E0ADC" w:rsidR="00E408B1">
        <w:rPr>
          <w:rFonts w:ascii="Verdana" w:hAnsi="Verdana" w:eastAsia="DejaVuSerifCondensed" w:cs="DejaVuSerifCondensed"/>
          <w:kern w:val="0"/>
          <w:sz w:val="18"/>
          <w:szCs w:val="18"/>
        </w:rPr>
        <w:t xml:space="preserve"> door polishouders eerder als belanghebbenden in de zin van de Algemene wet bestuursrecht aan te merken</w:t>
      </w:r>
      <w:r w:rsidRPr="008E0ADC">
        <w:rPr>
          <w:rFonts w:ascii="Verdana" w:hAnsi="Verdana" w:eastAsia="DejaVuSerifCondensed" w:cs="DejaVuSerifCondensed"/>
          <w:kern w:val="0"/>
          <w:sz w:val="18"/>
          <w:szCs w:val="18"/>
        </w:rPr>
        <w:t>.</w:t>
      </w:r>
      <w:r w:rsidRPr="008E0ADC">
        <w:rPr>
          <w:rFonts w:ascii="Verdana" w:hAnsi="Verdana"/>
          <w:sz w:val="18"/>
          <w:szCs w:val="18"/>
          <w:vertAlign w:val="superscript"/>
        </w:rPr>
        <w:footnoteReference w:id="10"/>
      </w:r>
    </w:p>
    <w:p w:rsidRPr="008E0ADC" w:rsidR="00BF33BE" w:rsidP="00BF33BE" w:rsidRDefault="00BF33BE" w14:paraId="5C625F81" w14:textId="5FF8BBFE">
      <w:pPr>
        <w:autoSpaceDE w:val="0"/>
        <w:autoSpaceDN w:val="0"/>
        <w:adjustRightInd w:val="0"/>
        <w:spacing w:after="0" w:line="240" w:lineRule="auto"/>
        <w:rPr>
          <w:rFonts w:ascii="Verdana" w:hAnsi="Verdana" w:eastAsia="DejaVuSerifCondensed" w:cs="DejaVuSerifCondensed"/>
          <w:b/>
          <w:bCs/>
          <w:kern w:val="0"/>
          <w:sz w:val="18"/>
          <w:szCs w:val="18"/>
        </w:rPr>
      </w:pPr>
      <w:r w:rsidRPr="008E0ADC">
        <w:rPr>
          <w:rFonts w:ascii="Verdana" w:hAnsi="Verdana" w:eastAsia="DejaVuSerifCondensed" w:cs="DejaVuSerifCondensed"/>
          <w:b/>
          <w:bCs/>
          <w:kern w:val="0"/>
          <w:sz w:val="18"/>
          <w:szCs w:val="18"/>
        </w:rPr>
        <w:t>2023-2024</w:t>
      </w:r>
    </w:p>
    <w:p w:rsidRPr="008E0ADC" w:rsidR="00BF33BE" w:rsidP="00BF33BE" w:rsidRDefault="00C77132" w14:paraId="10F3FF64" w14:textId="6BD07FE3">
      <w:pPr>
        <w:pStyle w:val="Lijstalinea"/>
        <w:numPr>
          <w:ilvl w:val="0"/>
          <w:numId w:val="16"/>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 xml:space="preserve">De rechtbank </w:t>
      </w:r>
      <w:r w:rsidRPr="008E0ADC" w:rsidR="00BF33BE">
        <w:rPr>
          <w:rFonts w:ascii="Verdana" w:hAnsi="Verdana" w:eastAsia="DejaVuSerifCondensed" w:cs="DejaVuSerifCondensed"/>
          <w:kern w:val="0"/>
          <w:sz w:val="18"/>
          <w:szCs w:val="18"/>
        </w:rPr>
        <w:t>Rotterdam</w:t>
      </w:r>
      <w:r w:rsidRPr="008E0ADC">
        <w:rPr>
          <w:rFonts w:ascii="Verdana" w:hAnsi="Verdana" w:eastAsia="DejaVuSerifCondensed" w:cs="DejaVuSerifCondensed"/>
          <w:kern w:val="0"/>
          <w:sz w:val="18"/>
          <w:szCs w:val="18"/>
        </w:rPr>
        <w:t xml:space="preserve"> vernietigt het instemmingsbesluit van DNB over de fusie van Optas en Aegon. De rechtbank oordeelt dat DNB met de opdracht aan Optas/Aegon om de portefeuilleovergang in de Staatscourant en drie landelijke dagbladen te publiceren onvoldoende rekening heeft gehouden met het belang van de polishouders en daarmee artikel 3:119, eerste lid, van de </w:t>
      </w:r>
      <w:proofErr w:type="spellStart"/>
      <w:r w:rsidRPr="008E0ADC">
        <w:rPr>
          <w:rFonts w:ascii="Verdana" w:hAnsi="Verdana" w:eastAsia="DejaVuSerifCondensed" w:cs="DejaVuSerifCondensed"/>
          <w:kern w:val="0"/>
          <w:sz w:val="18"/>
          <w:szCs w:val="18"/>
        </w:rPr>
        <w:t>Wft</w:t>
      </w:r>
      <w:proofErr w:type="spellEnd"/>
      <w:r w:rsidRPr="008E0ADC">
        <w:rPr>
          <w:rFonts w:ascii="Verdana" w:hAnsi="Verdana" w:eastAsia="DejaVuSerifCondensed" w:cs="DejaVuSerifCondensed"/>
          <w:kern w:val="0"/>
          <w:sz w:val="18"/>
          <w:szCs w:val="18"/>
        </w:rPr>
        <w:t xml:space="preserve"> onjuist heeft toegepast.</w:t>
      </w:r>
      <w:r w:rsidRPr="008E0ADC">
        <w:rPr>
          <w:rFonts w:ascii="Verdana" w:hAnsi="Verdana"/>
          <w:sz w:val="18"/>
          <w:szCs w:val="18"/>
          <w:vertAlign w:val="superscript"/>
        </w:rPr>
        <w:footnoteReference w:id="11"/>
      </w:r>
      <w:r w:rsidRPr="008E0ADC" w:rsidR="00651E2B">
        <w:rPr>
          <w:rFonts w:ascii="Verdana" w:hAnsi="Verdana" w:eastAsia="DejaVuSerifCondensed" w:cs="DejaVuSerifCondensed"/>
          <w:sz w:val="18"/>
          <w:szCs w:val="18"/>
        </w:rPr>
        <w:t xml:space="preserve"> </w:t>
      </w:r>
      <w:r w:rsidRPr="008E0ADC" w:rsidR="00651E2B">
        <w:rPr>
          <w:rFonts w:ascii="Verdana" w:hAnsi="Verdana" w:eastAsia="DejaVuSerifCondensed" w:cs="DejaVuSerifCondensed"/>
          <w:kern w:val="0"/>
          <w:sz w:val="18"/>
          <w:szCs w:val="18"/>
        </w:rPr>
        <w:t>DNB hanteert sindsdien als uitgangspunt dat verzekeraars polishouders voortaan vooraf individueel aanschrijven over een voorgenomen fusie en dat verzekeraars daar expliciet het verzetsrecht noemen dat polishouders hebben bij DNB.</w:t>
      </w:r>
    </w:p>
    <w:p w:rsidRPr="008E0ADC" w:rsidR="00651E2B" w:rsidP="00651E2B" w:rsidRDefault="00C77132" w14:paraId="5BFB25CE" w14:textId="77777777">
      <w:pPr>
        <w:pStyle w:val="Lijstalinea"/>
        <w:numPr>
          <w:ilvl w:val="0"/>
          <w:numId w:val="16"/>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 xml:space="preserve">Het </w:t>
      </w:r>
      <w:r w:rsidRPr="008E0ADC" w:rsidR="00651E2B">
        <w:rPr>
          <w:rFonts w:ascii="Verdana" w:hAnsi="Verdana" w:eastAsia="DejaVuSerifCondensed" w:cs="DejaVuSerifCondensed"/>
          <w:kern w:val="0"/>
          <w:sz w:val="18"/>
          <w:szCs w:val="18"/>
        </w:rPr>
        <w:t>g</w:t>
      </w:r>
      <w:r w:rsidRPr="008E0ADC">
        <w:rPr>
          <w:rFonts w:ascii="Verdana" w:hAnsi="Verdana" w:eastAsia="DejaVuSerifCondensed" w:cs="DejaVuSerifCondensed"/>
          <w:kern w:val="0"/>
          <w:sz w:val="18"/>
          <w:szCs w:val="18"/>
        </w:rPr>
        <w:t>erechtshof Den Haag bevestigt dat de fusie rechtsgeldig was en dat het vermogen van Optas niet toebehoort aan polishouders. Zij hebben geen eigendomsrechten op het beklemd vermogen.</w:t>
      </w:r>
      <w:r w:rsidRPr="008E0ADC" w:rsidR="00BF33BE">
        <w:rPr>
          <w:rFonts w:ascii="Verdana" w:hAnsi="Verdana" w:eastAsia="DejaVuSerifCondensed" w:cs="DejaVuSerifCondensed"/>
          <w:kern w:val="0"/>
          <w:sz w:val="18"/>
          <w:szCs w:val="18"/>
        </w:rPr>
        <w:t xml:space="preserve"> Beroep polishouders verworpen.</w:t>
      </w:r>
      <w:r w:rsidRPr="008E0ADC">
        <w:rPr>
          <w:rFonts w:ascii="Verdana" w:hAnsi="Verdana"/>
          <w:sz w:val="18"/>
          <w:szCs w:val="18"/>
          <w:vertAlign w:val="superscript"/>
        </w:rPr>
        <w:footnoteReference w:id="12"/>
      </w:r>
    </w:p>
    <w:p w:rsidRPr="008E0ADC" w:rsidR="00651E2B" w:rsidP="00BF33BE" w:rsidRDefault="00651E2B" w14:paraId="323FE0F7" w14:textId="244E8353">
      <w:pPr>
        <w:pStyle w:val="Lijstalinea"/>
        <w:numPr>
          <w:ilvl w:val="0"/>
          <w:numId w:val="16"/>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De rechtbank Den Haag concludeert dat de eisers geen rechten hebben op de gevorderde onvoorwaardelijke indexering van hun pensioenen aan de hand van de stijging van de consumentenprijsindex.</w:t>
      </w:r>
      <w:r w:rsidRPr="008E0ADC">
        <w:rPr>
          <w:rStyle w:val="Voetnootmarkering"/>
          <w:rFonts w:ascii="Verdana" w:hAnsi="Verdana" w:eastAsia="DejaVuSerifCondensed" w:cs="DejaVuSerifCondensed"/>
          <w:kern w:val="0"/>
          <w:sz w:val="18"/>
          <w:szCs w:val="18"/>
        </w:rPr>
        <w:footnoteReference w:id="13"/>
      </w:r>
    </w:p>
    <w:p w:rsidRPr="008E0ADC" w:rsidR="00BF33BE" w:rsidP="00BF33BE" w:rsidRDefault="00BF33BE" w14:paraId="6A076777" w14:textId="7A9E9ED2">
      <w:pPr>
        <w:autoSpaceDE w:val="0"/>
        <w:autoSpaceDN w:val="0"/>
        <w:adjustRightInd w:val="0"/>
        <w:spacing w:after="0" w:line="240" w:lineRule="auto"/>
        <w:rPr>
          <w:rFonts w:ascii="Verdana" w:hAnsi="Verdana" w:eastAsia="DejaVuSerifCondensed" w:cs="DejaVuSerifCondensed"/>
          <w:b/>
          <w:bCs/>
          <w:kern w:val="0"/>
          <w:sz w:val="18"/>
          <w:szCs w:val="18"/>
        </w:rPr>
      </w:pPr>
      <w:r w:rsidRPr="008E0ADC">
        <w:rPr>
          <w:rFonts w:ascii="Verdana" w:hAnsi="Verdana" w:eastAsia="DejaVuSerifCondensed" w:cs="DejaVuSerifCondensed"/>
          <w:b/>
          <w:bCs/>
          <w:kern w:val="0"/>
          <w:sz w:val="18"/>
          <w:szCs w:val="18"/>
        </w:rPr>
        <w:t>2025</w:t>
      </w:r>
    </w:p>
    <w:p w:rsidRPr="008E0ADC" w:rsidR="00EE79EA" w:rsidP="007F5B81" w:rsidRDefault="00BF33BE" w14:paraId="02BC409D" w14:textId="77777777">
      <w:pPr>
        <w:pStyle w:val="Lijstalinea"/>
        <w:numPr>
          <w:ilvl w:val="0"/>
          <w:numId w:val="16"/>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Kamervragen van Pieter Omtzigt en Agnes Joseph (Nieuw Sociaal Contract)</w:t>
      </w:r>
      <w:r w:rsidRPr="008E0ADC">
        <w:rPr>
          <w:rFonts w:ascii="Verdana" w:hAnsi="Verdana" w:eastAsia="DejaVuSerifCondensed" w:cs="DejaVuSerifCondensed"/>
          <w:kern w:val="0"/>
          <w:sz w:val="18"/>
          <w:szCs w:val="18"/>
          <w:vertAlign w:val="superscript"/>
        </w:rPr>
        <w:footnoteReference w:id="14"/>
      </w:r>
      <w:r w:rsidRPr="008E0ADC">
        <w:rPr>
          <w:rFonts w:ascii="Verdana" w:hAnsi="Verdana" w:eastAsia="DejaVuSerifCondensed" w:cs="DejaVuSerifCondensed"/>
          <w:kern w:val="0"/>
          <w:sz w:val="18"/>
          <w:szCs w:val="18"/>
        </w:rPr>
        <w:t xml:space="preserve"> naar aanleiding van NRC-artikel </w:t>
      </w:r>
      <w:r w:rsidRPr="008E0ADC" w:rsidR="00C77132">
        <w:rPr>
          <w:rFonts w:ascii="Verdana" w:hAnsi="Verdana" w:eastAsia="DejaVuSerifCondensed" w:cs="DejaVuSerifCondensed"/>
          <w:kern w:val="0"/>
          <w:sz w:val="18"/>
          <w:szCs w:val="18"/>
        </w:rPr>
        <w:t>“De toegeëigende pensioenmiljarden van havenarbeiders en de rol van DNB: wie houdt toezicht op de toezichthouder?”</w:t>
      </w:r>
      <w:r w:rsidRPr="008E0ADC" w:rsidR="004F41AB">
        <w:rPr>
          <w:rFonts w:ascii="Verdana" w:hAnsi="Verdana" w:eastAsia="DejaVuSerifCondensed" w:cs="DejaVuSerifCondensed"/>
          <w:kern w:val="0"/>
          <w:sz w:val="18"/>
          <w:szCs w:val="18"/>
        </w:rPr>
        <w:t>.</w:t>
      </w:r>
      <w:r w:rsidRPr="008E0ADC" w:rsidR="00C77132">
        <w:rPr>
          <w:rFonts w:ascii="Verdana" w:hAnsi="Verdana"/>
          <w:sz w:val="18"/>
          <w:szCs w:val="18"/>
          <w:vertAlign w:val="superscript"/>
        </w:rPr>
        <w:footnoteReference w:id="15"/>
      </w:r>
    </w:p>
    <w:p w:rsidRPr="008E0ADC" w:rsidR="00EE79EA" w:rsidP="00EE79EA" w:rsidRDefault="00EE79EA" w14:paraId="287D142D" w14:textId="03D37E65">
      <w:pPr>
        <w:pStyle w:val="Lijstalinea"/>
        <w:numPr>
          <w:ilvl w:val="0"/>
          <w:numId w:val="16"/>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De advocaat-generaal ziet geen reden om de fusie tussen Aegon en Optas nietig te verklaren. De Hoge raad doet waarschijnlijk eind dit jaar uitspraak.</w:t>
      </w:r>
      <w:r w:rsidRPr="008E0ADC">
        <w:rPr>
          <w:rFonts w:ascii="Verdana" w:hAnsi="Verdana"/>
          <w:vertAlign w:val="superscript"/>
        </w:rPr>
        <w:footnoteReference w:id="16"/>
      </w:r>
    </w:p>
    <w:p w:rsidRPr="008E0ADC" w:rsidR="00D97E69" w:rsidP="00BF7B77" w:rsidRDefault="00D97E69" w14:paraId="660B224B"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8E0ADC" w:rsidR="00BF7B77" w:rsidP="00735D10" w:rsidRDefault="00BF7B77" w14:paraId="025C9613" w14:textId="559EB235">
      <w:pPr>
        <w:pStyle w:val="Lijstalinea"/>
        <w:numPr>
          <w:ilvl w:val="0"/>
          <w:numId w:val="21"/>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lastRenderedPageBreak/>
        <w:t>Hoeveel pensioengeld van de havenarbeiders heeft uiteindelijk de bestemming pensioen verloren en is nu geld voor goede doelen (kunst) en voor winst (Aegon)?</w:t>
      </w:r>
      <w:r w:rsidRPr="008E0ADC">
        <w:rPr>
          <w:rFonts w:ascii="Verdana" w:hAnsi="Verdana" w:eastAsia="DejaVuSerifCondensed" w:cs="DejaVuSerifCondensed"/>
          <w:kern w:val="0"/>
          <w:sz w:val="18"/>
          <w:szCs w:val="18"/>
        </w:rPr>
        <w:br/>
      </w:r>
    </w:p>
    <w:p w:rsidRPr="008E0ADC" w:rsidR="00045C52" w:rsidP="00BF7B77" w:rsidRDefault="0065184D" w14:paraId="530840C2" w14:textId="407D5941">
      <w:p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Antwoord:</w:t>
      </w:r>
      <w:r w:rsidRPr="008E0ADC" w:rsidR="00DF5103">
        <w:rPr>
          <w:rFonts w:ascii="Verdana" w:hAnsi="Verdana" w:eastAsia="DejaVuSerifCondensed" w:cs="DejaVuSerifCondensed"/>
          <w:kern w:val="0"/>
          <w:sz w:val="18"/>
          <w:szCs w:val="18"/>
        </w:rPr>
        <w:t xml:space="preserve"> </w:t>
      </w:r>
      <w:r w:rsidRPr="008E0ADC" w:rsidR="00045C52">
        <w:rPr>
          <w:rFonts w:ascii="Verdana" w:hAnsi="Verdana" w:eastAsia="DejaVuSerifCondensed" w:cs="DejaVuSerifCondensed"/>
          <w:kern w:val="0"/>
          <w:sz w:val="18"/>
          <w:szCs w:val="18"/>
        </w:rPr>
        <w:t xml:space="preserve">In het verleden is de pensioenregeling </w:t>
      </w:r>
      <w:r w:rsidRPr="008E0ADC" w:rsidR="00B00751">
        <w:rPr>
          <w:rFonts w:ascii="Verdana" w:hAnsi="Verdana" w:eastAsia="DejaVuSerifCondensed" w:cs="DejaVuSerifCondensed"/>
          <w:kern w:val="0"/>
          <w:sz w:val="18"/>
          <w:szCs w:val="18"/>
        </w:rPr>
        <w:t xml:space="preserve">door de betrokken sociale partners </w:t>
      </w:r>
      <w:r w:rsidRPr="008E0ADC" w:rsidR="00045C52">
        <w:rPr>
          <w:rFonts w:ascii="Verdana" w:hAnsi="Verdana" w:eastAsia="DejaVuSerifCondensed" w:cs="DejaVuSerifCondensed"/>
          <w:kern w:val="0"/>
          <w:sz w:val="18"/>
          <w:szCs w:val="18"/>
        </w:rPr>
        <w:t xml:space="preserve">gewijzigd, met als gevolg – met de kennis van nu </w:t>
      </w:r>
      <w:r w:rsidRPr="008E0ADC" w:rsidR="00B00751">
        <w:rPr>
          <w:rFonts w:ascii="Verdana" w:hAnsi="Verdana" w:eastAsia="DejaVuSerifCondensed" w:cs="DejaVuSerifCondensed"/>
          <w:kern w:val="0"/>
          <w:sz w:val="18"/>
          <w:szCs w:val="18"/>
        </w:rPr>
        <w:t>–</w:t>
      </w:r>
      <w:r w:rsidRPr="008E0ADC" w:rsidR="00045C52">
        <w:rPr>
          <w:rFonts w:ascii="Verdana" w:hAnsi="Verdana" w:eastAsia="DejaVuSerifCondensed" w:cs="DejaVuSerifCondensed"/>
          <w:kern w:val="0"/>
          <w:sz w:val="18"/>
          <w:szCs w:val="18"/>
        </w:rPr>
        <w:t xml:space="preserve"> dat de betreffende deelnemers</w:t>
      </w:r>
      <w:r w:rsidRPr="008E0ADC" w:rsidR="00F46423">
        <w:rPr>
          <w:rFonts w:ascii="Verdana" w:hAnsi="Verdana" w:eastAsia="DejaVuSerifCondensed" w:cs="DejaVuSerifCondensed"/>
          <w:kern w:val="0"/>
          <w:sz w:val="18"/>
          <w:szCs w:val="18"/>
        </w:rPr>
        <w:t xml:space="preserve"> mogelijk</w:t>
      </w:r>
      <w:r w:rsidRPr="008E0ADC" w:rsidR="00045C52">
        <w:rPr>
          <w:rFonts w:ascii="Verdana" w:hAnsi="Verdana" w:eastAsia="DejaVuSerifCondensed" w:cs="DejaVuSerifCondensed"/>
          <w:kern w:val="0"/>
          <w:sz w:val="18"/>
          <w:szCs w:val="18"/>
        </w:rPr>
        <w:t xml:space="preserve"> minder pensioen hebben dan wanneer de pensioenregeling niet op die manier zou zijn gewijzigd. Er zijn diverse gerechtelijke procedures gevoerd waarin eisers hebben gesteld recht te hebben op het ‘Optas-vermogen’ ten behoeve van hun pensioen. De uitspraken in deze procedures hebben</w:t>
      </w:r>
      <w:r w:rsidRPr="008E0ADC" w:rsidR="00F46423">
        <w:rPr>
          <w:rFonts w:ascii="Verdana" w:hAnsi="Verdana" w:eastAsia="DejaVuSerifCondensed" w:cs="DejaVuSerifCondensed"/>
          <w:kern w:val="0"/>
          <w:sz w:val="18"/>
          <w:szCs w:val="18"/>
        </w:rPr>
        <w:t xml:space="preserve"> tot nu toe</w:t>
      </w:r>
      <w:r w:rsidRPr="008E0ADC" w:rsidR="00045C52">
        <w:rPr>
          <w:rFonts w:ascii="Verdana" w:hAnsi="Verdana" w:eastAsia="DejaVuSerifCondensed" w:cs="DejaVuSerifCondensed"/>
          <w:kern w:val="0"/>
          <w:sz w:val="18"/>
          <w:szCs w:val="18"/>
        </w:rPr>
        <w:t xml:space="preserve"> </w:t>
      </w:r>
      <w:r w:rsidRPr="008E0ADC" w:rsidR="00A12F3A">
        <w:rPr>
          <w:rFonts w:ascii="Verdana" w:hAnsi="Verdana" w:eastAsia="DejaVuSerifCondensed" w:cs="DejaVuSerifCondensed"/>
          <w:kern w:val="0"/>
          <w:sz w:val="18"/>
          <w:szCs w:val="18"/>
        </w:rPr>
        <w:t xml:space="preserve">uitgewezen dat de gewijzigde pensioenregeling en de overgang/fusie rechtsgeldig tot stand zijn gekomen. Het gevoel van de betreffende deelnemers hierbij is echter goed te begrijpen. </w:t>
      </w:r>
    </w:p>
    <w:p w:rsidRPr="008E0ADC" w:rsidR="0065184D" w:rsidP="00BF7B77" w:rsidRDefault="0065184D" w14:paraId="7FF840E6"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8E0ADC" w:rsidR="00BF7B77" w:rsidP="00735D10" w:rsidRDefault="00BF7B77" w14:paraId="0C4DFE44" w14:textId="011D2B2A">
      <w:pPr>
        <w:pStyle w:val="Lijstalinea"/>
        <w:numPr>
          <w:ilvl w:val="0"/>
          <w:numId w:val="21"/>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Hoe beoordeelt u de rol van De Nederlandsche Bank (DNB) als toezichthouder, o.a. bij het niet aanmerken van polishouders als belanghebbenden, bij het niet openbaar maken van het fusiebesluit, bij het niet goed controleren van bezwaarmakers?</w:t>
      </w:r>
      <w:r w:rsidRPr="008E0ADC">
        <w:rPr>
          <w:rFonts w:ascii="Verdana" w:hAnsi="Verdana" w:eastAsia="DejaVuSerifCondensed" w:cs="DejaVuSerifCondensed"/>
          <w:kern w:val="0"/>
          <w:sz w:val="18"/>
          <w:szCs w:val="18"/>
        </w:rPr>
        <w:br/>
      </w:r>
    </w:p>
    <w:p w:rsidRPr="008E0ADC" w:rsidR="00F46423" w:rsidP="00FE4B64" w:rsidRDefault="0065184D" w14:paraId="5ED78717" w14:textId="77777777">
      <w:p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Antwoord:</w:t>
      </w:r>
      <w:r w:rsidRPr="008E0ADC" w:rsidR="00D97E69">
        <w:rPr>
          <w:rFonts w:ascii="Verdana" w:hAnsi="Verdana" w:eastAsia="DejaVuSerifCondensed" w:cs="DejaVuSerifCondensed"/>
          <w:kern w:val="0"/>
          <w:sz w:val="18"/>
          <w:szCs w:val="18"/>
        </w:rPr>
        <w:t xml:space="preserve"> </w:t>
      </w:r>
    </w:p>
    <w:p w:rsidRPr="008E0ADC" w:rsidR="00F46423" w:rsidP="00FE4B64" w:rsidRDefault="00F46423" w14:paraId="66FE013C" w14:textId="045E9C88">
      <w:p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De beoordeling van het handelen door DNB kan niet los worden gezien van</w:t>
      </w:r>
      <w:r w:rsidRPr="008E0ADC" w:rsidR="002557CA">
        <w:rPr>
          <w:rFonts w:ascii="Verdana" w:hAnsi="Verdana" w:eastAsia="DejaVuSerifCondensed" w:cs="DejaVuSerifCondensed"/>
          <w:kern w:val="0"/>
          <w:sz w:val="18"/>
          <w:szCs w:val="18"/>
        </w:rPr>
        <w:t xml:space="preserve"> de vormgeving van het toenmalige</w:t>
      </w:r>
      <w:r w:rsidRPr="008E0ADC">
        <w:rPr>
          <w:rFonts w:ascii="Verdana" w:hAnsi="Verdana" w:eastAsia="DejaVuSerifCondensed" w:cs="DejaVuSerifCondensed"/>
          <w:kern w:val="0"/>
          <w:sz w:val="18"/>
          <w:szCs w:val="18"/>
        </w:rPr>
        <w:t xml:space="preserve"> juridisch kader waarbinnen DNB destijds het toezichtmandaat uitvoer</w:t>
      </w:r>
      <w:r w:rsidRPr="008E0ADC" w:rsidR="002557CA">
        <w:rPr>
          <w:rFonts w:ascii="Verdana" w:hAnsi="Verdana" w:eastAsia="DejaVuSerifCondensed" w:cs="DejaVuSerifCondensed"/>
          <w:kern w:val="0"/>
          <w:sz w:val="18"/>
          <w:szCs w:val="18"/>
        </w:rPr>
        <w:t>de</w:t>
      </w:r>
      <w:r w:rsidRPr="008E0ADC">
        <w:rPr>
          <w:rFonts w:ascii="Verdana" w:hAnsi="Verdana" w:eastAsia="DejaVuSerifCondensed" w:cs="DejaVuSerifCondensed"/>
          <w:kern w:val="0"/>
          <w:sz w:val="18"/>
          <w:szCs w:val="18"/>
        </w:rPr>
        <w:t>. Dat neemt niet weg dat er, met de kennis van nu, op onderdelen een andere opstelling of benaderingswijze had kunnen worden gekozen. DNB heeft hieruit lering getrokken en dat onderschrijf ik.</w:t>
      </w:r>
    </w:p>
    <w:p w:rsidRPr="008E0ADC" w:rsidR="00F46423" w:rsidP="00FE4B64" w:rsidRDefault="00F46423" w14:paraId="2C09155F"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8E0ADC" w:rsidR="00FE4B64" w:rsidP="00FE4B64" w:rsidRDefault="00FE4B64" w14:paraId="33CFC3EB" w14:textId="0D6663A3">
      <w:p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 xml:space="preserve">Van DNB heb ik begrepen dat zij goed begrijpt dat er emoties spelen bij de (gewezen) polishouders van Optas en dat zij zich goed kan voorstellen dat de geschiedenis vragen oproept. In feite ziet DNB dat de naweeën van een aantal beslissingen eind jaren </w:t>
      </w:r>
      <w:r w:rsidRPr="008E0ADC" w:rsidR="00490719">
        <w:rPr>
          <w:rFonts w:ascii="Verdana" w:hAnsi="Verdana" w:eastAsia="DejaVuSerifCondensed" w:cs="DejaVuSerifCondensed"/>
          <w:kern w:val="0"/>
          <w:sz w:val="18"/>
          <w:szCs w:val="18"/>
        </w:rPr>
        <w:t>’</w:t>
      </w:r>
      <w:r w:rsidRPr="008E0ADC">
        <w:rPr>
          <w:rFonts w:ascii="Verdana" w:hAnsi="Verdana" w:eastAsia="DejaVuSerifCondensed" w:cs="DejaVuSerifCondensed"/>
          <w:kern w:val="0"/>
          <w:sz w:val="18"/>
          <w:szCs w:val="18"/>
        </w:rPr>
        <w:t xml:space="preserve">90 (nieuwe indexatie-afspraken, omzetting van pensioenfonds in verzekeraar) van de destijds betrokken </w:t>
      </w:r>
      <w:r w:rsidRPr="008E0ADC" w:rsidR="00490719">
        <w:rPr>
          <w:rFonts w:ascii="Verdana" w:hAnsi="Verdana" w:eastAsia="DejaVuSerifCondensed" w:cs="DejaVuSerifCondensed"/>
          <w:kern w:val="0"/>
          <w:sz w:val="18"/>
          <w:szCs w:val="18"/>
        </w:rPr>
        <w:t xml:space="preserve">sociale partners en pensioenfonds </w:t>
      </w:r>
      <w:r w:rsidRPr="008E0ADC">
        <w:rPr>
          <w:rFonts w:ascii="Verdana" w:hAnsi="Verdana" w:eastAsia="DejaVuSerifCondensed" w:cs="DejaVuSerifCondensed"/>
          <w:kern w:val="0"/>
          <w:sz w:val="18"/>
          <w:szCs w:val="18"/>
        </w:rPr>
        <w:t xml:space="preserve">doorwerken tot op de dag van vandaag. Hierdoor is in de maatschappij een </w:t>
      </w:r>
      <w:r w:rsidRPr="008E0ADC" w:rsidR="00516486">
        <w:rPr>
          <w:rFonts w:ascii="Verdana" w:hAnsi="Verdana" w:eastAsia="DejaVuSerifCondensed" w:cs="DejaVuSerifCondensed"/>
          <w:kern w:val="0"/>
          <w:sz w:val="18"/>
          <w:szCs w:val="18"/>
        </w:rPr>
        <w:t>verwachting</w:t>
      </w:r>
      <w:r w:rsidRPr="008E0ADC">
        <w:rPr>
          <w:rFonts w:ascii="Verdana" w:hAnsi="Verdana" w:eastAsia="DejaVuSerifCondensed" w:cs="DejaVuSerifCondensed"/>
          <w:kern w:val="0"/>
          <w:sz w:val="18"/>
          <w:szCs w:val="18"/>
        </w:rPr>
        <w:t xml:space="preserve"> ontstaan dat de polishouders recht </w:t>
      </w:r>
      <w:r w:rsidRPr="008E0ADC" w:rsidR="00516486">
        <w:rPr>
          <w:rFonts w:ascii="Verdana" w:hAnsi="Verdana" w:eastAsia="DejaVuSerifCondensed" w:cs="DejaVuSerifCondensed"/>
          <w:kern w:val="0"/>
          <w:sz w:val="18"/>
          <w:szCs w:val="18"/>
        </w:rPr>
        <w:t>zouden hebben</w:t>
      </w:r>
      <w:r w:rsidRPr="008E0ADC">
        <w:rPr>
          <w:rFonts w:ascii="Verdana" w:hAnsi="Verdana" w:eastAsia="DejaVuSerifCondensed" w:cs="DejaVuSerifCondensed"/>
          <w:kern w:val="0"/>
          <w:sz w:val="18"/>
          <w:szCs w:val="18"/>
        </w:rPr>
        <w:t xml:space="preserve"> op een deel van het vermogen van Optas en de eigenaar van Optas, ook al was dat juridisch gezien niet afdwingbaar. Die tegenstelling tussen enerzijds wat in de maatschappij als rechtvaardig werd (en wordt) gezien en anderzijds wat juridisch kon en mocht gegeven de eerder gemaakte afspraken maakt dit een heel lastige casus voor iedereen. Dat alles neemt niet weg dat we met zijn allen – maatschappij, wetgever en DNB – ook geleerd hebben van deze casus. Overigens is door schikkingen in 2010 en 2014 uiteindelijk EURO 688 miljoen van Stichting Optas en Aegon ten goede gekomen aan de pensioenen van de polishouders.</w:t>
      </w:r>
    </w:p>
    <w:p w:rsidRPr="008E0ADC" w:rsidR="002E0549" w:rsidP="002E0549" w:rsidRDefault="002E0549" w14:paraId="458637CC"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8E0ADC" w:rsidR="00FE4B64" w:rsidP="002E0549" w:rsidRDefault="00F46423" w14:paraId="48C12863" w14:textId="1DA124E8">
      <w:p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V</w:t>
      </w:r>
      <w:r w:rsidRPr="008E0ADC" w:rsidR="00516486">
        <w:rPr>
          <w:rFonts w:ascii="Verdana" w:hAnsi="Verdana" w:eastAsia="DejaVuSerifCondensed" w:cs="DejaVuSerifCondensed"/>
          <w:kern w:val="0"/>
          <w:sz w:val="18"/>
          <w:szCs w:val="18"/>
        </w:rPr>
        <w:t>oor DNB</w:t>
      </w:r>
      <w:r w:rsidRPr="008E0ADC">
        <w:rPr>
          <w:rFonts w:ascii="Verdana" w:hAnsi="Verdana" w:eastAsia="DejaVuSerifCondensed" w:cs="DejaVuSerifCondensed"/>
          <w:kern w:val="0"/>
          <w:sz w:val="18"/>
          <w:szCs w:val="18"/>
        </w:rPr>
        <w:t xml:space="preserve"> zijn er</w:t>
      </w:r>
      <w:r w:rsidRPr="008E0ADC" w:rsidR="00516486">
        <w:rPr>
          <w:rFonts w:ascii="Verdana" w:hAnsi="Verdana" w:eastAsia="DejaVuSerifCondensed" w:cs="DejaVuSerifCondensed"/>
          <w:kern w:val="0"/>
          <w:sz w:val="18"/>
          <w:szCs w:val="18"/>
        </w:rPr>
        <w:t xml:space="preserve"> lessen te trekken uit deze casus. </w:t>
      </w:r>
      <w:r w:rsidRPr="008E0ADC" w:rsidR="00FE4B64">
        <w:rPr>
          <w:rFonts w:ascii="Verdana" w:hAnsi="Verdana" w:eastAsia="DejaVuSerifCondensed" w:cs="DejaVuSerifCondensed"/>
          <w:kern w:val="0"/>
          <w:sz w:val="18"/>
          <w:szCs w:val="18"/>
        </w:rPr>
        <w:t xml:space="preserve">DNB heeft geleerd van de uitspraken van de rechter over het instemmingsbesluit in het kader van de fusie tussen Optas en Aegon </w:t>
      </w:r>
      <w:r w:rsidRPr="008E0ADC" w:rsidR="000E7BC9">
        <w:rPr>
          <w:rFonts w:ascii="Verdana" w:hAnsi="Verdana" w:eastAsia="DejaVuSerifCondensed" w:cs="DejaVuSerifCondensed"/>
          <w:kern w:val="0"/>
          <w:sz w:val="18"/>
          <w:szCs w:val="18"/>
        </w:rPr>
        <w:t xml:space="preserve">Levensverzekering </w:t>
      </w:r>
      <w:r w:rsidRPr="008E0ADC" w:rsidR="00FE4B64">
        <w:rPr>
          <w:rFonts w:ascii="Verdana" w:hAnsi="Verdana" w:eastAsia="DejaVuSerifCondensed" w:cs="DejaVuSerifCondensed"/>
          <w:kern w:val="0"/>
          <w:sz w:val="18"/>
          <w:szCs w:val="18"/>
        </w:rPr>
        <w:t>in 2019. DNB hanteert inmiddels als uitgangspunt dat verzekeraars polishouders voortaan vooraf individueel aanschrijven over een voorgenomen fusie en dat verzekeraars daar expliciet het verzetsrecht noemen dat polishouders hebben bij DNB. DNB besluit sindsdien ook eerder om polishouders als belanghebbenden te zien. DNB neemt ook mee dat de rechter heeft geoordeeld dat DNB de geheimhoudingsplicht bij een aantal documenten te streng heeft geïnterpreteerd.</w:t>
      </w:r>
    </w:p>
    <w:p w:rsidRPr="008E0ADC" w:rsidR="002E0549" w:rsidP="002E0549" w:rsidRDefault="002E0549" w14:paraId="2FDDB205"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8E0ADC" w:rsidR="00FE4B64" w:rsidP="00BF7B77" w:rsidRDefault="00516486" w14:paraId="41771D9C" w14:textId="218C1C3C">
      <w:p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 xml:space="preserve">Ook door de wetgever zijn er lessen uit deze casus getrokken. </w:t>
      </w:r>
      <w:r w:rsidRPr="008E0ADC" w:rsidR="00FE4B64">
        <w:rPr>
          <w:rFonts w:ascii="Verdana" w:hAnsi="Verdana" w:eastAsia="DejaVuSerifCondensed" w:cs="DejaVuSerifCondensed"/>
          <w:kern w:val="0"/>
          <w:sz w:val="18"/>
          <w:szCs w:val="18"/>
        </w:rPr>
        <w:t xml:space="preserve">Hoewel de keuzes die destijds door de sociale partners gemaakt zijn rond de aanpassing van de indexatieafspraken en het ontstaan van het beklemde vermogen een cruciale rol spelen, konden die keuzes op basis van het toen </w:t>
      </w:r>
      <w:proofErr w:type="gramStart"/>
      <w:r w:rsidRPr="008E0ADC" w:rsidR="00FE4B64">
        <w:rPr>
          <w:rFonts w:ascii="Verdana" w:hAnsi="Verdana" w:eastAsia="DejaVuSerifCondensed" w:cs="DejaVuSerifCondensed"/>
          <w:kern w:val="0"/>
          <w:sz w:val="18"/>
          <w:szCs w:val="18"/>
        </w:rPr>
        <w:t>geldende</w:t>
      </w:r>
      <w:proofErr w:type="gramEnd"/>
      <w:r w:rsidRPr="008E0ADC" w:rsidR="00FE4B64">
        <w:rPr>
          <w:rFonts w:ascii="Verdana" w:hAnsi="Verdana" w:eastAsia="DejaVuSerifCondensed" w:cs="DejaVuSerifCondensed"/>
          <w:kern w:val="0"/>
          <w:sz w:val="18"/>
          <w:szCs w:val="18"/>
        </w:rPr>
        <w:t xml:space="preserve"> wettelijke kader juridisch gezien geen onderdeel zijn van de wettelijke toets door DNB. Mijn ambtsvoorganger heeft </w:t>
      </w:r>
      <w:r w:rsidRPr="008E0ADC">
        <w:rPr>
          <w:rFonts w:ascii="Verdana" w:hAnsi="Verdana" w:eastAsia="DejaVuSerifCondensed" w:cs="DejaVuSerifCondensed"/>
          <w:kern w:val="0"/>
          <w:sz w:val="18"/>
          <w:szCs w:val="18"/>
        </w:rPr>
        <w:t xml:space="preserve">daarom </w:t>
      </w:r>
      <w:r w:rsidRPr="008E0ADC" w:rsidR="00FE4B64">
        <w:rPr>
          <w:rFonts w:ascii="Verdana" w:hAnsi="Verdana" w:eastAsia="DejaVuSerifCondensed" w:cs="DejaVuSerifCondensed"/>
          <w:kern w:val="0"/>
          <w:sz w:val="18"/>
          <w:szCs w:val="18"/>
        </w:rPr>
        <w:t xml:space="preserve">in 2014 de wet aangepast. DNB kan (en moet) hierdoor vanaf dat moment als extra waarborg voor deelnemers een verklaring van geen bezwaar afgeven bij de omzetting van een pensioenfonds naar een verzekeraar. Door deze wetswijziging toetst DNB of de belangen van deelnemers en de werkgever voldoende gewaarborgd zijn bij zo’n omzetting. </w:t>
      </w:r>
      <w:bookmarkStart w:name="_Hlk201237620" w:id="0"/>
      <w:r w:rsidRPr="008E0ADC" w:rsidR="00FE4B64">
        <w:rPr>
          <w:rFonts w:ascii="Verdana" w:hAnsi="Verdana" w:eastAsia="DejaVuSerifCondensed" w:cs="DejaVuSerifCondensed"/>
          <w:kern w:val="0"/>
          <w:sz w:val="18"/>
          <w:szCs w:val="18"/>
        </w:rPr>
        <w:t xml:space="preserve">Als DNB dit mandaat in 1998 had gehad, dan had DNB nadrukkelijker kunnen kijken of de belangen van de deelnemers voldoende gewaarborgd waren met extra aandacht voor de rol van het beklemde vermogen dat gecreëerd werd met de omzetting. </w:t>
      </w:r>
    </w:p>
    <w:bookmarkEnd w:id="0"/>
    <w:p w:rsidRPr="008E0ADC" w:rsidR="006636A0" w:rsidP="00BF7B77" w:rsidRDefault="006636A0" w14:paraId="7B1AE157"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8E0ADC" w:rsidR="00BF7B77" w:rsidP="00735D10" w:rsidRDefault="00BF7B77" w14:paraId="27203652" w14:textId="2790834F">
      <w:pPr>
        <w:pStyle w:val="Lijstalinea"/>
        <w:numPr>
          <w:ilvl w:val="0"/>
          <w:numId w:val="21"/>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Als u de rol van DNB niet wilt controleren, wie houdt dan toezicht op DNB?</w:t>
      </w:r>
      <w:r w:rsidRPr="008E0ADC">
        <w:rPr>
          <w:rFonts w:ascii="Verdana" w:hAnsi="Verdana" w:eastAsia="DejaVuSerifCondensed" w:cs="DejaVuSerifCondensed"/>
          <w:kern w:val="0"/>
          <w:sz w:val="18"/>
          <w:szCs w:val="18"/>
        </w:rPr>
        <w:br/>
      </w:r>
    </w:p>
    <w:p w:rsidR="00E10F2B" w:rsidP="004F1F39" w:rsidRDefault="0065184D" w14:paraId="5DBE583C" w14:textId="77777777">
      <w:p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Antwoord:</w:t>
      </w:r>
      <w:r w:rsidRPr="008E0ADC" w:rsidR="00D97E69">
        <w:rPr>
          <w:rFonts w:ascii="Verdana" w:hAnsi="Verdana" w:eastAsia="DejaVuSerifCondensed" w:cs="DejaVuSerifCondensed"/>
          <w:kern w:val="0"/>
          <w:sz w:val="18"/>
          <w:szCs w:val="18"/>
        </w:rPr>
        <w:t xml:space="preserve"> </w:t>
      </w:r>
      <w:r w:rsidRPr="008E0ADC" w:rsidR="00F42E58">
        <w:rPr>
          <w:rFonts w:ascii="Verdana" w:hAnsi="Verdana" w:eastAsia="DejaVuSerifCondensed" w:cs="DejaVuSerifCondensed"/>
          <w:kern w:val="0"/>
          <w:sz w:val="18"/>
          <w:szCs w:val="18"/>
        </w:rPr>
        <w:t xml:space="preserve">Er wordt toezicht gehouden op DNB. </w:t>
      </w:r>
      <w:r w:rsidRPr="008E0ADC" w:rsidR="00D97E69">
        <w:rPr>
          <w:rFonts w:ascii="Verdana" w:hAnsi="Verdana" w:eastAsia="DejaVuSerifCondensed" w:cs="DejaVuSerifCondensed"/>
          <w:kern w:val="0"/>
          <w:sz w:val="18"/>
          <w:szCs w:val="18"/>
        </w:rPr>
        <w:t>DNB is een zelfstandig bestuursorgaan (ZBO) en ontleent haar bevoegdheden rechtstreeks aan de wet.</w:t>
      </w:r>
      <w:r w:rsidRPr="008E0ADC" w:rsidR="004F1F39">
        <w:rPr>
          <w:rFonts w:ascii="Verdana" w:hAnsi="Verdana" w:eastAsia="DejaVuSerifCondensed" w:cs="DejaVuSerifCondensed"/>
          <w:kern w:val="0"/>
          <w:sz w:val="18"/>
          <w:szCs w:val="18"/>
        </w:rPr>
        <w:t xml:space="preserve"> Het Ministerie van Financiën is systeemverantwoordelijk</w:t>
      </w:r>
      <w:r w:rsidRPr="008E0ADC" w:rsidR="00F42E58">
        <w:rPr>
          <w:rFonts w:ascii="Verdana" w:hAnsi="Verdana" w:eastAsia="DejaVuSerifCondensed" w:cs="DejaVuSerifCondensed"/>
          <w:kern w:val="0"/>
          <w:sz w:val="18"/>
          <w:szCs w:val="18"/>
        </w:rPr>
        <w:t xml:space="preserve"> voor het toezicht op ZBO’s</w:t>
      </w:r>
      <w:r w:rsidRPr="008E0ADC" w:rsidR="004F1F39">
        <w:rPr>
          <w:rFonts w:ascii="Verdana" w:hAnsi="Verdana" w:eastAsia="DejaVuSerifCondensed" w:cs="DejaVuSerifCondensed"/>
          <w:kern w:val="0"/>
          <w:sz w:val="18"/>
          <w:szCs w:val="18"/>
        </w:rPr>
        <w:t xml:space="preserve">, het zogenaamde </w:t>
      </w:r>
      <w:r w:rsidRPr="008E0ADC" w:rsidR="00D97E69">
        <w:rPr>
          <w:rFonts w:ascii="Verdana" w:hAnsi="Verdana" w:eastAsia="DejaVuSerifCondensed" w:cs="DejaVuSerifCondensed"/>
          <w:kern w:val="0"/>
          <w:sz w:val="18"/>
          <w:szCs w:val="18"/>
        </w:rPr>
        <w:t>uitvoeringstoezicht.</w:t>
      </w:r>
      <w:r w:rsidRPr="008E0ADC" w:rsidR="004F1F39">
        <w:rPr>
          <w:rFonts w:ascii="Verdana" w:hAnsi="Verdana" w:eastAsia="DejaVuSerifCondensed" w:cs="DejaVuSerifCondensed"/>
          <w:kern w:val="0"/>
          <w:sz w:val="18"/>
          <w:szCs w:val="18"/>
        </w:rPr>
        <w:t xml:space="preserve"> Uitvoeringstoezicht bestaat uit interne en externe </w:t>
      </w:r>
      <w:proofErr w:type="spellStart"/>
      <w:r w:rsidRPr="008E0ADC" w:rsidR="004F1F39">
        <w:rPr>
          <w:rFonts w:ascii="Verdana" w:hAnsi="Verdana" w:eastAsia="DejaVuSerifCondensed" w:cs="DejaVuSerifCondensed"/>
          <w:kern w:val="0"/>
          <w:sz w:val="18"/>
          <w:szCs w:val="18"/>
        </w:rPr>
        <w:t>governance</w:t>
      </w:r>
      <w:proofErr w:type="spellEnd"/>
      <w:r w:rsidRPr="008E0ADC" w:rsidR="004F1F39">
        <w:rPr>
          <w:rFonts w:ascii="Verdana" w:hAnsi="Verdana" w:eastAsia="DejaVuSerifCondensed" w:cs="DejaVuSerifCondensed"/>
          <w:kern w:val="0"/>
          <w:sz w:val="18"/>
          <w:szCs w:val="18"/>
        </w:rPr>
        <w:t xml:space="preserve">. </w:t>
      </w:r>
    </w:p>
    <w:p w:rsidR="00727DA0" w:rsidP="004F1F39" w:rsidRDefault="004F1F39" w14:paraId="5037844B" w14:textId="3A9E15FD">
      <w:p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lastRenderedPageBreak/>
        <w:t xml:space="preserve">Bij interne </w:t>
      </w:r>
      <w:proofErr w:type="spellStart"/>
      <w:r w:rsidRPr="008E0ADC">
        <w:rPr>
          <w:rFonts w:ascii="Verdana" w:hAnsi="Verdana" w:eastAsia="DejaVuSerifCondensed" w:cs="DejaVuSerifCondensed"/>
          <w:kern w:val="0"/>
          <w:sz w:val="18"/>
          <w:szCs w:val="18"/>
        </w:rPr>
        <w:t>governance</w:t>
      </w:r>
      <w:proofErr w:type="spellEnd"/>
      <w:r w:rsidRPr="008E0ADC">
        <w:rPr>
          <w:rFonts w:ascii="Verdana" w:hAnsi="Verdana" w:eastAsia="DejaVuSerifCondensed" w:cs="DejaVuSerifCondensed"/>
          <w:kern w:val="0"/>
          <w:sz w:val="18"/>
          <w:szCs w:val="18"/>
        </w:rPr>
        <w:t xml:space="preserve"> moet gedacht worden aan </w:t>
      </w:r>
      <w:r w:rsidRPr="008E0ADC" w:rsidR="00D97E69">
        <w:rPr>
          <w:rFonts w:ascii="Verdana" w:hAnsi="Verdana" w:eastAsia="DejaVuSerifCondensed" w:cs="DejaVuSerifCondensed"/>
          <w:kern w:val="0"/>
          <w:sz w:val="18"/>
          <w:szCs w:val="18"/>
        </w:rPr>
        <w:t xml:space="preserve">de verhouding tussen de organen die het bestuur en het interne toezicht uitoefenen, op de wijze waarop zij elkaar controleren en corrigeren (checks </w:t>
      </w:r>
      <w:proofErr w:type="spellStart"/>
      <w:r w:rsidRPr="008E0ADC" w:rsidR="00D97E69">
        <w:rPr>
          <w:rFonts w:ascii="Verdana" w:hAnsi="Verdana" w:eastAsia="DejaVuSerifCondensed" w:cs="DejaVuSerifCondensed"/>
          <w:kern w:val="0"/>
          <w:sz w:val="18"/>
          <w:szCs w:val="18"/>
        </w:rPr>
        <w:t>and</w:t>
      </w:r>
      <w:proofErr w:type="spellEnd"/>
      <w:r w:rsidRPr="008E0ADC" w:rsidR="00D97E69">
        <w:rPr>
          <w:rFonts w:ascii="Verdana" w:hAnsi="Verdana" w:eastAsia="DejaVuSerifCondensed" w:cs="DejaVuSerifCondensed"/>
          <w:kern w:val="0"/>
          <w:sz w:val="18"/>
          <w:szCs w:val="18"/>
        </w:rPr>
        <w:t xml:space="preserve"> </w:t>
      </w:r>
      <w:proofErr w:type="spellStart"/>
      <w:r w:rsidRPr="008E0ADC" w:rsidR="00D97E69">
        <w:rPr>
          <w:rFonts w:ascii="Verdana" w:hAnsi="Verdana" w:eastAsia="DejaVuSerifCondensed" w:cs="DejaVuSerifCondensed"/>
          <w:kern w:val="0"/>
          <w:sz w:val="18"/>
          <w:szCs w:val="18"/>
        </w:rPr>
        <w:t>balances</w:t>
      </w:r>
      <w:proofErr w:type="spellEnd"/>
      <w:r w:rsidRPr="008E0ADC" w:rsidR="00D97E69">
        <w:rPr>
          <w:rFonts w:ascii="Verdana" w:hAnsi="Verdana" w:eastAsia="DejaVuSerifCondensed" w:cs="DejaVuSerifCondensed"/>
          <w:kern w:val="0"/>
          <w:sz w:val="18"/>
          <w:szCs w:val="18"/>
        </w:rPr>
        <w:t xml:space="preserve">), </w:t>
      </w:r>
    </w:p>
    <w:p w:rsidRPr="008E0ADC" w:rsidR="004F1F39" w:rsidP="004F1F39" w:rsidRDefault="00D97E69" w14:paraId="06AC9156" w14:textId="3390AC87">
      <w:pPr>
        <w:autoSpaceDE w:val="0"/>
        <w:autoSpaceDN w:val="0"/>
        <w:adjustRightInd w:val="0"/>
        <w:spacing w:after="0" w:line="240" w:lineRule="auto"/>
        <w:rPr>
          <w:rFonts w:ascii="Verdana" w:hAnsi="Verdana" w:eastAsia="DejaVuSerifCondensed" w:cs="DejaVuSerifCondensed"/>
          <w:kern w:val="0"/>
          <w:sz w:val="18"/>
          <w:szCs w:val="18"/>
        </w:rPr>
      </w:pPr>
      <w:proofErr w:type="gramStart"/>
      <w:r w:rsidRPr="008E0ADC">
        <w:rPr>
          <w:rFonts w:ascii="Verdana" w:hAnsi="Verdana" w:eastAsia="DejaVuSerifCondensed" w:cs="DejaVuSerifCondensed"/>
          <w:kern w:val="0"/>
          <w:sz w:val="18"/>
          <w:szCs w:val="18"/>
        </w:rPr>
        <w:t>alsmede</w:t>
      </w:r>
      <w:proofErr w:type="gramEnd"/>
      <w:r w:rsidRPr="008E0ADC">
        <w:rPr>
          <w:rFonts w:ascii="Verdana" w:hAnsi="Verdana" w:eastAsia="DejaVuSerifCondensed" w:cs="DejaVuSerifCondensed"/>
          <w:kern w:val="0"/>
          <w:sz w:val="18"/>
          <w:szCs w:val="18"/>
        </w:rPr>
        <w:t xml:space="preserve"> op de wijze waarop de regels die daar betrekking op hebben, worden toegepast en nageleefd. Denk aan </w:t>
      </w:r>
      <w:r w:rsidRPr="008E0ADC" w:rsidR="004F1F39">
        <w:rPr>
          <w:rFonts w:ascii="Verdana" w:hAnsi="Verdana" w:eastAsia="DejaVuSerifCondensed" w:cs="DejaVuSerifCondensed"/>
          <w:kern w:val="0"/>
          <w:sz w:val="18"/>
          <w:szCs w:val="18"/>
        </w:rPr>
        <w:t xml:space="preserve">het </w:t>
      </w:r>
      <w:r w:rsidRPr="008E0ADC">
        <w:rPr>
          <w:rFonts w:ascii="Verdana" w:hAnsi="Verdana" w:eastAsia="DejaVuSerifCondensed" w:cs="DejaVuSerifCondensed"/>
          <w:kern w:val="0"/>
          <w:sz w:val="18"/>
          <w:szCs w:val="18"/>
        </w:rPr>
        <w:t xml:space="preserve">vaststellen </w:t>
      </w:r>
      <w:r w:rsidRPr="008E0ADC" w:rsidR="004F1F39">
        <w:rPr>
          <w:rFonts w:ascii="Verdana" w:hAnsi="Verdana" w:eastAsia="DejaVuSerifCondensed" w:cs="DejaVuSerifCondensed"/>
          <w:kern w:val="0"/>
          <w:sz w:val="18"/>
          <w:szCs w:val="18"/>
        </w:rPr>
        <w:t xml:space="preserve">van </w:t>
      </w:r>
      <w:r w:rsidRPr="008E0ADC">
        <w:rPr>
          <w:rFonts w:ascii="Verdana" w:hAnsi="Verdana" w:eastAsia="DejaVuSerifCondensed" w:cs="DejaVuSerifCondensed"/>
          <w:kern w:val="0"/>
          <w:sz w:val="18"/>
          <w:szCs w:val="18"/>
        </w:rPr>
        <w:t>profielen,</w:t>
      </w:r>
      <w:r w:rsidRPr="008E0ADC" w:rsidR="004F1F39">
        <w:rPr>
          <w:rFonts w:ascii="Verdana" w:hAnsi="Verdana" w:eastAsia="DejaVuSerifCondensed" w:cs="DejaVuSerifCondensed"/>
          <w:kern w:val="0"/>
          <w:sz w:val="18"/>
          <w:szCs w:val="18"/>
        </w:rPr>
        <w:t xml:space="preserve"> het </w:t>
      </w:r>
      <w:r w:rsidRPr="008E0ADC">
        <w:rPr>
          <w:rFonts w:ascii="Verdana" w:hAnsi="Verdana" w:eastAsia="DejaVuSerifCondensed" w:cs="DejaVuSerifCondensed"/>
          <w:kern w:val="0"/>
          <w:sz w:val="18"/>
          <w:szCs w:val="18"/>
        </w:rPr>
        <w:t xml:space="preserve">voordragen </w:t>
      </w:r>
      <w:r w:rsidRPr="008E0ADC" w:rsidR="004F1F39">
        <w:rPr>
          <w:rFonts w:ascii="Verdana" w:hAnsi="Verdana" w:eastAsia="DejaVuSerifCondensed" w:cs="DejaVuSerifCondensed"/>
          <w:kern w:val="0"/>
          <w:sz w:val="18"/>
          <w:szCs w:val="18"/>
        </w:rPr>
        <w:t xml:space="preserve">van </w:t>
      </w:r>
      <w:r w:rsidRPr="008E0ADC">
        <w:rPr>
          <w:rFonts w:ascii="Verdana" w:hAnsi="Verdana" w:eastAsia="DejaVuSerifCondensed" w:cs="DejaVuSerifCondensed"/>
          <w:kern w:val="0"/>
          <w:sz w:val="18"/>
          <w:szCs w:val="18"/>
        </w:rPr>
        <w:t xml:space="preserve">leden </w:t>
      </w:r>
      <w:r w:rsidRPr="008E0ADC" w:rsidR="004F1F39">
        <w:rPr>
          <w:rFonts w:ascii="Verdana" w:hAnsi="Verdana" w:eastAsia="DejaVuSerifCondensed" w:cs="DejaVuSerifCondensed"/>
          <w:kern w:val="0"/>
          <w:sz w:val="18"/>
          <w:szCs w:val="18"/>
        </w:rPr>
        <w:t xml:space="preserve">van de Raden van Toezicht en </w:t>
      </w:r>
      <w:r w:rsidRPr="008E0ADC">
        <w:rPr>
          <w:rFonts w:ascii="Verdana" w:hAnsi="Verdana" w:eastAsia="DejaVuSerifCondensed" w:cs="DejaVuSerifCondensed"/>
          <w:kern w:val="0"/>
          <w:sz w:val="18"/>
          <w:szCs w:val="18"/>
        </w:rPr>
        <w:t>bestuur</w:t>
      </w:r>
      <w:r w:rsidRPr="008E0ADC" w:rsidR="004F1F39">
        <w:rPr>
          <w:rFonts w:ascii="Verdana" w:hAnsi="Verdana" w:eastAsia="DejaVuSerifCondensed" w:cs="DejaVuSerifCondensed"/>
          <w:kern w:val="0"/>
          <w:sz w:val="18"/>
          <w:szCs w:val="18"/>
        </w:rPr>
        <w:t xml:space="preserve"> of het </w:t>
      </w:r>
      <w:r w:rsidRPr="008E0ADC">
        <w:rPr>
          <w:rFonts w:ascii="Verdana" w:hAnsi="Verdana" w:eastAsia="DejaVuSerifCondensed" w:cs="DejaVuSerifCondensed"/>
          <w:kern w:val="0"/>
          <w:sz w:val="18"/>
          <w:szCs w:val="18"/>
        </w:rPr>
        <w:t xml:space="preserve">vaststellen </w:t>
      </w:r>
      <w:r w:rsidRPr="008E0ADC" w:rsidR="004F1F39">
        <w:rPr>
          <w:rFonts w:ascii="Verdana" w:hAnsi="Verdana" w:eastAsia="DejaVuSerifCondensed" w:cs="DejaVuSerifCondensed"/>
          <w:kern w:val="0"/>
          <w:sz w:val="18"/>
          <w:szCs w:val="18"/>
        </w:rPr>
        <w:t xml:space="preserve">van de </w:t>
      </w:r>
      <w:r w:rsidRPr="008E0ADC">
        <w:rPr>
          <w:rFonts w:ascii="Verdana" w:hAnsi="Verdana" w:eastAsia="DejaVuSerifCondensed" w:cs="DejaVuSerifCondensed"/>
          <w:kern w:val="0"/>
          <w:sz w:val="18"/>
          <w:szCs w:val="18"/>
        </w:rPr>
        <w:t>jaarrekening</w:t>
      </w:r>
      <w:r w:rsidRPr="008E0ADC" w:rsidR="004F1F39">
        <w:rPr>
          <w:rFonts w:ascii="Verdana" w:hAnsi="Verdana" w:eastAsia="DejaVuSerifCondensed" w:cs="DejaVuSerifCondensed"/>
          <w:kern w:val="0"/>
          <w:sz w:val="18"/>
          <w:szCs w:val="18"/>
        </w:rPr>
        <w:t>.</w:t>
      </w:r>
      <w:r w:rsidRPr="008E0ADC">
        <w:rPr>
          <w:rFonts w:ascii="Verdana" w:hAnsi="Verdana" w:eastAsia="DejaVuSerifCondensed" w:cs="DejaVuSerifCondensed"/>
          <w:kern w:val="0"/>
          <w:sz w:val="18"/>
          <w:szCs w:val="18"/>
        </w:rPr>
        <w:t xml:space="preserve"> </w:t>
      </w:r>
      <w:r w:rsidRPr="008E0ADC" w:rsidR="004F1F39">
        <w:rPr>
          <w:rFonts w:ascii="Verdana" w:hAnsi="Verdana" w:eastAsia="DejaVuSerifCondensed" w:cs="DejaVuSerifCondensed"/>
          <w:kern w:val="0"/>
          <w:sz w:val="18"/>
          <w:szCs w:val="18"/>
        </w:rPr>
        <w:t>De e</w:t>
      </w:r>
      <w:r w:rsidRPr="008E0ADC">
        <w:rPr>
          <w:rFonts w:ascii="Verdana" w:hAnsi="Verdana" w:eastAsia="DejaVuSerifCondensed" w:cs="DejaVuSerifCondensed"/>
          <w:kern w:val="0"/>
          <w:sz w:val="18"/>
          <w:szCs w:val="18"/>
        </w:rPr>
        <w:t xml:space="preserve">xterne </w:t>
      </w:r>
      <w:proofErr w:type="spellStart"/>
      <w:r w:rsidRPr="008E0ADC">
        <w:rPr>
          <w:rFonts w:ascii="Verdana" w:hAnsi="Verdana" w:eastAsia="DejaVuSerifCondensed" w:cs="DejaVuSerifCondensed"/>
          <w:kern w:val="0"/>
          <w:sz w:val="18"/>
          <w:szCs w:val="18"/>
        </w:rPr>
        <w:t>governance</w:t>
      </w:r>
      <w:proofErr w:type="spellEnd"/>
      <w:r w:rsidRPr="008E0ADC">
        <w:rPr>
          <w:rFonts w:ascii="Verdana" w:hAnsi="Verdana" w:eastAsia="DejaVuSerifCondensed" w:cs="DejaVuSerifCondensed"/>
          <w:kern w:val="0"/>
          <w:sz w:val="18"/>
          <w:szCs w:val="18"/>
        </w:rPr>
        <w:t xml:space="preserve"> </w:t>
      </w:r>
      <w:r w:rsidRPr="008E0ADC" w:rsidR="004F1F39">
        <w:rPr>
          <w:rFonts w:ascii="Verdana" w:hAnsi="Verdana" w:eastAsia="DejaVuSerifCondensed" w:cs="DejaVuSerifCondensed"/>
          <w:kern w:val="0"/>
          <w:sz w:val="18"/>
          <w:szCs w:val="18"/>
        </w:rPr>
        <w:t xml:space="preserve">wordt ingevuld door een </w:t>
      </w:r>
      <w:r w:rsidRPr="008E0ADC">
        <w:rPr>
          <w:rFonts w:ascii="Verdana" w:hAnsi="Verdana" w:eastAsia="DejaVuSerifCondensed" w:cs="DejaVuSerifCondensed"/>
          <w:kern w:val="0"/>
          <w:sz w:val="18"/>
          <w:szCs w:val="18"/>
        </w:rPr>
        <w:t xml:space="preserve">uitgebreide overlegstructuur </w:t>
      </w:r>
      <w:r w:rsidRPr="008E0ADC" w:rsidR="004F1F39">
        <w:rPr>
          <w:rFonts w:ascii="Verdana" w:hAnsi="Verdana" w:eastAsia="DejaVuSerifCondensed" w:cs="DejaVuSerifCondensed"/>
          <w:kern w:val="0"/>
          <w:sz w:val="18"/>
          <w:szCs w:val="18"/>
        </w:rPr>
        <w:t xml:space="preserve">tussen ministerie en </w:t>
      </w:r>
      <w:r w:rsidRPr="008E0ADC">
        <w:rPr>
          <w:rFonts w:ascii="Verdana" w:hAnsi="Verdana" w:eastAsia="DejaVuSerifCondensed" w:cs="DejaVuSerifCondensed"/>
          <w:kern w:val="0"/>
          <w:sz w:val="18"/>
          <w:szCs w:val="18"/>
        </w:rPr>
        <w:t xml:space="preserve">DNB </w:t>
      </w:r>
      <w:r w:rsidRPr="008E0ADC" w:rsidR="004F1F39">
        <w:rPr>
          <w:rFonts w:ascii="Verdana" w:hAnsi="Verdana" w:eastAsia="DejaVuSerifCondensed" w:cs="DejaVuSerifCondensed"/>
          <w:kern w:val="0"/>
          <w:sz w:val="18"/>
          <w:szCs w:val="18"/>
        </w:rPr>
        <w:t>(overreding). Daarnaast zijn er zachte en harde wettelijke bevoegdheden. Hierbij kan gedacht worden aan het in de plaats stellen van een</w:t>
      </w:r>
      <w:r w:rsidRPr="008E0ADC">
        <w:rPr>
          <w:rFonts w:ascii="Verdana" w:hAnsi="Verdana" w:eastAsia="DejaVuSerifCondensed" w:cs="DejaVuSerifCondensed"/>
          <w:kern w:val="0"/>
          <w:sz w:val="18"/>
          <w:szCs w:val="18"/>
        </w:rPr>
        <w:t xml:space="preserve"> ministeriële regeling</w:t>
      </w:r>
      <w:r w:rsidRPr="008E0ADC" w:rsidR="004F1F39">
        <w:rPr>
          <w:rFonts w:ascii="Verdana" w:hAnsi="Verdana" w:eastAsia="DejaVuSerifCondensed" w:cs="DejaVuSerifCondensed"/>
          <w:kern w:val="0"/>
          <w:sz w:val="18"/>
          <w:szCs w:val="18"/>
        </w:rPr>
        <w:t xml:space="preserve">, het kostenkader, onthouding van goedkeuring van de begroting of optreden tegen </w:t>
      </w:r>
      <w:r w:rsidRPr="008E0ADC">
        <w:rPr>
          <w:rFonts w:ascii="Verdana" w:hAnsi="Verdana" w:eastAsia="DejaVuSerifCondensed" w:cs="DejaVuSerifCondensed"/>
          <w:kern w:val="0"/>
          <w:sz w:val="18"/>
          <w:szCs w:val="18"/>
        </w:rPr>
        <w:t>taakverwaarlozing</w:t>
      </w:r>
      <w:r w:rsidRPr="008E0ADC" w:rsidR="004F1F39">
        <w:rPr>
          <w:rFonts w:ascii="Verdana" w:hAnsi="Verdana" w:eastAsia="DejaVuSerifCondensed" w:cs="DejaVuSerifCondensed"/>
          <w:kern w:val="0"/>
          <w:sz w:val="18"/>
          <w:szCs w:val="18"/>
        </w:rPr>
        <w:t>. Voor een totaaloverzicht wordt verwezen naar de begin dit jaar geactualiseerde “Visie toezicht op afstand” en “toezichtarrangement DNB en AFM” (en bijlagen)”.</w:t>
      </w:r>
      <w:r w:rsidRPr="008E0ADC" w:rsidR="00BE4F9D">
        <w:rPr>
          <w:rStyle w:val="Voetnootmarkering"/>
          <w:rFonts w:ascii="Verdana" w:hAnsi="Verdana" w:eastAsia="DejaVuSerifCondensed" w:cs="DejaVuSerifCondensed"/>
          <w:kern w:val="0"/>
          <w:sz w:val="18"/>
          <w:szCs w:val="18"/>
        </w:rPr>
        <w:footnoteReference w:id="17"/>
      </w:r>
    </w:p>
    <w:p w:rsidRPr="008E0ADC" w:rsidR="0065184D" w:rsidP="00BF7B77" w:rsidRDefault="0065184D" w14:paraId="77466E24"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8E0ADC" w:rsidR="00BF7B77" w:rsidP="00735D10" w:rsidRDefault="00BF7B77" w14:paraId="741AA347" w14:textId="3AD89C48">
      <w:pPr>
        <w:pStyle w:val="Lijstalinea"/>
        <w:numPr>
          <w:ilvl w:val="0"/>
          <w:numId w:val="21"/>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 xml:space="preserve">Bent u bereid een bemiddelaar aan te stellen om, na de mislukte poging van dhr. Brinkman in 2008, wel tot een oplossing te komen waarbij pensioengeld </w:t>
      </w:r>
      <w:proofErr w:type="spellStart"/>
      <w:r w:rsidRPr="008E0ADC">
        <w:rPr>
          <w:rFonts w:ascii="Verdana" w:hAnsi="Verdana" w:eastAsia="DejaVuSerifCondensed" w:cs="DejaVuSerifCondensed"/>
          <w:kern w:val="0"/>
          <w:sz w:val="18"/>
          <w:szCs w:val="18"/>
        </w:rPr>
        <w:t>pensioengeld</w:t>
      </w:r>
      <w:proofErr w:type="spellEnd"/>
      <w:r w:rsidRPr="008E0ADC">
        <w:rPr>
          <w:rFonts w:ascii="Verdana" w:hAnsi="Verdana" w:eastAsia="DejaVuSerifCondensed" w:cs="DejaVuSerifCondensed"/>
          <w:kern w:val="0"/>
          <w:sz w:val="18"/>
          <w:szCs w:val="18"/>
        </w:rPr>
        <w:t xml:space="preserve"> blijft?</w:t>
      </w:r>
    </w:p>
    <w:p w:rsidRPr="008E0ADC" w:rsidR="00BF7B77" w:rsidP="00BF7B77" w:rsidRDefault="00BF7B77" w14:paraId="344783F6"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8E0ADC" w:rsidR="0065184D" w:rsidP="00BF7B77" w:rsidRDefault="0065184D" w14:paraId="723EF439" w14:textId="60825762">
      <w:p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Antwoord:</w:t>
      </w:r>
      <w:r w:rsidRPr="008E0ADC" w:rsidR="004F1F39">
        <w:rPr>
          <w:rFonts w:ascii="Verdana" w:hAnsi="Verdana" w:eastAsia="DejaVuSerifCondensed" w:cs="DejaVuSerifCondensed"/>
          <w:kern w:val="0"/>
          <w:sz w:val="18"/>
          <w:szCs w:val="18"/>
        </w:rPr>
        <w:t xml:space="preserve"> </w:t>
      </w:r>
      <w:r w:rsidRPr="008E0ADC" w:rsidR="00B07B19">
        <w:rPr>
          <w:rFonts w:ascii="Verdana" w:hAnsi="Verdana" w:eastAsia="DejaVuSerifCondensed" w:cs="DejaVuSerifCondensed"/>
          <w:kern w:val="0"/>
          <w:sz w:val="18"/>
          <w:szCs w:val="18"/>
        </w:rPr>
        <w:t>Ik zie geen reden opnieuw een bemiddelaar in te stellen, mede op basis van de</w:t>
      </w:r>
      <w:r w:rsidRPr="008E0ADC" w:rsidR="00DC273F">
        <w:rPr>
          <w:rFonts w:ascii="Verdana" w:hAnsi="Verdana" w:eastAsia="DejaVuSerifCondensed" w:cs="DejaVuSerifCondensed"/>
          <w:kern w:val="0"/>
          <w:sz w:val="18"/>
          <w:szCs w:val="18"/>
        </w:rPr>
        <w:t xml:space="preserve"> reeds bereikte schikkingen en</w:t>
      </w:r>
      <w:r w:rsidRPr="008E0ADC" w:rsidR="00B07B19">
        <w:rPr>
          <w:rFonts w:ascii="Verdana" w:hAnsi="Verdana" w:eastAsia="DejaVuSerifCondensed" w:cs="DejaVuSerifCondensed"/>
          <w:kern w:val="0"/>
          <w:sz w:val="18"/>
          <w:szCs w:val="18"/>
        </w:rPr>
        <w:t xml:space="preserve"> (recente) juridische uitspraken. </w:t>
      </w:r>
    </w:p>
    <w:p w:rsidRPr="008E0ADC" w:rsidR="0065184D" w:rsidP="00BF7B77" w:rsidRDefault="0065184D" w14:paraId="5EABAB68"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8E0ADC" w:rsidR="00BF7B77" w:rsidP="00735D10" w:rsidRDefault="00BF7B77" w14:paraId="3CF6BF59" w14:textId="61ABA604">
      <w:pPr>
        <w:pStyle w:val="Lijstalinea"/>
        <w:numPr>
          <w:ilvl w:val="0"/>
          <w:numId w:val="21"/>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Tahoma" w:hAnsi="Tahoma" w:eastAsia="DejaVuSerifCondensed" w:cs="Tahoma"/>
          <w:kern w:val="0"/>
          <w:sz w:val="18"/>
          <w:szCs w:val="18"/>
        </w:rPr>
        <w:t>⁠</w:t>
      </w:r>
      <w:r w:rsidRPr="008E0ADC">
        <w:rPr>
          <w:rFonts w:ascii="Verdana" w:hAnsi="Verdana" w:eastAsia="DejaVuSerifCondensed" w:cs="DejaVuSerifCondensed"/>
          <w:kern w:val="0"/>
          <w:sz w:val="18"/>
          <w:szCs w:val="18"/>
        </w:rPr>
        <w:t>Hoe schat u het risico in dat, nu er verplicht ingevaren dreigt te worden bij de Wet toekomst</w:t>
      </w:r>
    </w:p>
    <w:p w:rsidRPr="008E0ADC" w:rsidR="00BF7B77" w:rsidP="00BF7B77" w:rsidRDefault="00BF7B77" w14:paraId="5F1CE02C" w14:textId="207CD46A">
      <w:pPr>
        <w:autoSpaceDE w:val="0"/>
        <w:autoSpaceDN w:val="0"/>
        <w:adjustRightInd w:val="0"/>
        <w:spacing w:after="0" w:line="240" w:lineRule="auto"/>
        <w:rPr>
          <w:rFonts w:ascii="Verdana" w:hAnsi="Verdana" w:eastAsia="DejaVuSerifCondensed" w:cs="DejaVuSerifCondensed"/>
          <w:kern w:val="0"/>
          <w:sz w:val="18"/>
          <w:szCs w:val="18"/>
        </w:rPr>
      </w:pPr>
      <w:proofErr w:type="gramStart"/>
      <w:r w:rsidRPr="008E0ADC">
        <w:rPr>
          <w:rFonts w:ascii="Verdana" w:hAnsi="Verdana" w:eastAsia="DejaVuSerifCondensed" w:cs="DejaVuSerifCondensed"/>
          <w:kern w:val="0"/>
          <w:sz w:val="18"/>
          <w:szCs w:val="18"/>
        </w:rPr>
        <w:t>pensioenen</w:t>
      </w:r>
      <w:proofErr w:type="gramEnd"/>
      <w:r w:rsidRPr="008E0ADC">
        <w:rPr>
          <w:rFonts w:ascii="Verdana" w:hAnsi="Verdana" w:eastAsia="DejaVuSerifCondensed" w:cs="DejaVuSerifCondensed"/>
          <w:kern w:val="0"/>
          <w:sz w:val="18"/>
          <w:szCs w:val="18"/>
        </w:rPr>
        <w:t xml:space="preserve"> en er geen maximumkosten zijn voor pensioenfondsen omdat het amendement dat dat beoogde verworpen is, er de komende twintig jaar massaal rechtszaken gevoerd gaan worden?</w:t>
      </w:r>
      <w:r w:rsidRPr="008E0ADC">
        <w:rPr>
          <w:rFonts w:ascii="Verdana" w:hAnsi="Verdana" w:eastAsia="DejaVuSerifCondensed" w:cs="DejaVuSerifCondensed"/>
          <w:kern w:val="0"/>
          <w:sz w:val="18"/>
          <w:szCs w:val="18"/>
        </w:rPr>
        <w:br/>
      </w:r>
    </w:p>
    <w:p w:rsidRPr="008E0ADC" w:rsidR="004F1F39" w:rsidP="00F86EB8" w:rsidRDefault="0065184D" w14:paraId="603CDB2C" w14:textId="4DFF6090">
      <w:pPr>
        <w:spacing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Antwoord:</w:t>
      </w:r>
      <w:r w:rsidRPr="008E0ADC" w:rsidR="004F1F39">
        <w:rPr>
          <w:rFonts w:ascii="Verdana" w:hAnsi="Verdana" w:eastAsia="DejaVuSerifCondensed" w:cs="DejaVuSerifCondensed"/>
          <w:kern w:val="0"/>
          <w:sz w:val="18"/>
          <w:szCs w:val="18"/>
        </w:rPr>
        <w:t xml:space="preserve"> </w:t>
      </w:r>
      <w:bookmarkStart w:name="_Hlk201237697" w:id="1"/>
      <w:r w:rsidRPr="008E0ADC" w:rsidR="003B2CE3">
        <w:rPr>
          <w:rFonts w:ascii="Verdana" w:hAnsi="Verdana" w:eastAsia="DejaVuSerifCondensed" w:cs="DejaVuSerifCondensed"/>
          <w:kern w:val="0"/>
          <w:sz w:val="18"/>
          <w:szCs w:val="18"/>
        </w:rPr>
        <w:t>D</w:t>
      </w:r>
      <w:r w:rsidRPr="008E0ADC" w:rsidR="004F1F39">
        <w:rPr>
          <w:rFonts w:ascii="Verdana" w:hAnsi="Verdana" w:eastAsia="DejaVuSerifCondensed" w:cs="DejaVuSerifCondensed"/>
          <w:kern w:val="0"/>
          <w:sz w:val="18"/>
          <w:szCs w:val="18"/>
        </w:rPr>
        <w:t xml:space="preserve">e vergelijking met de </w:t>
      </w:r>
      <w:proofErr w:type="spellStart"/>
      <w:r w:rsidRPr="008E0ADC" w:rsidR="004F1F39">
        <w:rPr>
          <w:rFonts w:ascii="Verdana" w:hAnsi="Verdana" w:eastAsia="DejaVuSerifCondensed" w:cs="DejaVuSerifCondensed"/>
          <w:kern w:val="0"/>
          <w:sz w:val="18"/>
          <w:szCs w:val="18"/>
        </w:rPr>
        <w:t>Wtp</w:t>
      </w:r>
      <w:proofErr w:type="spellEnd"/>
      <w:r w:rsidRPr="008E0ADC" w:rsidR="004F1F39">
        <w:rPr>
          <w:rFonts w:ascii="Verdana" w:hAnsi="Verdana" w:eastAsia="DejaVuSerifCondensed" w:cs="DejaVuSerifCondensed"/>
          <w:kern w:val="0"/>
          <w:sz w:val="18"/>
          <w:szCs w:val="18"/>
        </w:rPr>
        <w:t xml:space="preserve"> is </w:t>
      </w:r>
      <w:r w:rsidRPr="008E0ADC" w:rsidR="00A10AA7">
        <w:rPr>
          <w:rFonts w:ascii="Verdana" w:hAnsi="Verdana" w:eastAsia="DejaVuSerifCondensed" w:cs="DejaVuSerifCondensed"/>
          <w:kern w:val="0"/>
          <w:sz w:val="18"/>
          <w:szCs w:val="18"/>
        </w:rPr>
        <w:t xml:space="preserve">wat mij betreft </w:t>
      </w:r>
      <w:r w:rsidRPr="008E0ADC" w:rsidR="004F1F39">
        <w:rPr>
          <w:rFonts w:ascii="Verdana" w:hAnsi="Verdana" w:eastAsia="DejaVuSerifCondensed" w:cs="DejaVuSerifCondensed"/>
          <w:kern w:val="0"/>
          <w:sz w:val="18"/>
          <w:szCs w:val="18"/>
        </w:rPr>
        <w:t xml:space="preserve">niet aan de orde. </w:t>
      </w:r>
      <w:bookmarkEnd w:id="1"/>
      <w:r w:rsidRPr="008E0ADC" w:rsidR="003B2CE3">
        <w:rPr>
          <w:rFonts w:ascii="Verdana" w:hAnsi="Verdana" w:eastAsia="DejaVuSerifCondensed" w:cs="DejaVuSerifCondensed"/>
          <w:kern w:val="0"/>
          <w:sz w:val="18"/>
          <w:szCs w:val="18"/>
        </w:rPr>
        <w:t xml:space="preserve">Sinds </w:t>
      </w:r>
      <w:r w:rsidRPr="008E0ADC" w:rsidR="004F1F39">
        <w:rPr>
          <w:rFonts w:ascii="Verdana" w:hAnsi="Verdana" w:eastAsia="DejaVuSerifCondensed" w:cs="DejaVuSerifCondensed"/>
          <w:kern w:val="0"/>
          <w:sz w:val="18"/>
          <w:szCs w:val="18"/>
        </w:rPr>
        <w:t xml:space="preserve">Optas </w:t>
      </w:r>
      <w:r w:rsidRPr="008E0ADC" w:rsidR="003B2CE3">
        <w:rPr>
          <w:rFonts w:ascii="Verdana" w:hAnsi="Verdana" w:eastAsia="DejaVuSerifCondensed" w:cs="DejaVuSerifCondensed"/>
          <w:kern w:val="0"/>
          <w:sz w:val="18"/>
          <w:szCs w:val="18"/>
        </w:rPr>
        <w:t xml:space="preserve">en met de </w:t>
      </w:r>
      <w:proofErr w:type="spellStart"/>
      <w:r w:rsidRPr="008E0ADC" w:rsidR="003B2CE3">
        <w:rPr>
          <w:rFonts w:ascii="Verdana" w:hAnsi="Verdana" w:eastAsia="DejaVuSerifCondensed" w:cs="DejaVuSerifCondensed"/>
          <w:kern w:val="0"/>
          <w:sz w:val="18"/>
          <w:szCs w:val="18"/>
        </w:rPr>
        <w:t>Wtp</w:t>
      </w:r>
      <w:proofErr w:type="spellEnd"/>
      <w:r w:rsidRPr="008E0ADC" w:rsidR="003B2CE3">
        <w:rPr>
          <w:rFonts w:ascii="Verdana" w:hAnsi="Verdana" w:eastAsia="DejaVuSerifCondensed" w:cs="DejaVuSerifCondensed"/>
          <w:kern w:val="0"/>
          <w:sz w:val="18"/>
          <w:szCs w:val="18"/>
        </w:rPr>
        <w:t xml:space="preserve"> is wetgeving ten aanzien van waardeoverdrachten aanzienlijk aangescherpt</w:t>
      </w:r>
      <w:r w:rsidRPr="008E0ADC" w:rsidR="004F1F39">
        <w:rPr>
          <w:rFonts w:ascii="Verdana" w:hAnsi="Verdana" w:eastAsia="DejaVuSerifCondensed" w:cs="DejaVuSerifCondensed"/>
          <w:kern w:val="0"/>
          <w:sz w:val="18"/>
          <w:szCs w:val="18"/>
        </w:rPr>
        <w:t xml:space="preserve">. Pensioenvermogen dient ook pensioenvermogen als bestemming te behouden. Invaren in het kader van de </w:t>
      </w:r>
      <w:proofErr w:type="spellStart"/>
      <w:r w:rsidRPr="008E0ADC" w:rsidR="003B2CE3">
        <w:rPr>
          <w:rFonts w:ascii="Verdana" w:hAnsi="Verdana" w:eastAsia="DejaVuSerifCondensed" w:cs="DejaVuSerifCondensed"/>
          <w:kern w:val="0"/>
          <w:sz w:val="18"/>
          <w:szCs w:val="18"/>
        </w:rPr>
        <w:t>Wtp</w:t>
      </w:r>
      <w:proofErr w:type="spellEnd"/>
      <w:r w:rsidRPr="008E0ADC" w:rsidR="004F1F39">
        <w:rPr>
          <w:rFonts w:ascii="Verdana" w:hAnsi="Verdana" w:eastAsia="DejaVuSerifCondensed" w:cs="DejaVuSerifCondensed"/>
          <w:kern w:val="0"/>
          <w:sz w:val="18"/>
          <w:szCs w:val="18"/>
        </w:rPr>
        <w:t xml:space="preserve"> is een hele andere kwestie. Daarbij gaan, onder st</w:t>
      </w:r>
      <w:r w:rsidRPr="008E0ADC" w:rsidR="00F86EB8">
        <w:rPr>
          <w:rFonts w:ascii="Verdana" w:hAnsi="Verdana" w:eastAsia="DejaVuSerifCondensed" w:cs="DejaVuSerifCondensed"/>
          <w:kern w:val="0"/>
          <w:sz w:val="18"/>
          <w:szCs w:val="18"/>
        </w:rPr>
        <w:t>r</w:t>
      </w:r>
      <w:r w:rsidRPr="008E0ADC" w:rsidR="004F1F39">
        <w:rPr>
          <w:rFonts w:ascii="Verdana" w:hAnsi="Verdana" w:eastAsia="DejaVuSerifCondensed" w:cs="DejaVuSerifCondensed"/>
          <w:kern w:val="0"/>
          <w:sz w:val="18"/>
          <w:szCs w:val="18"/>
        </w:rPr>
        <w:t xml:space="preserve">ikte voorwaarden en checks </w:t>
      </w:r>
      <w:proofErr w:type="spellStart"/>
      <w:r w:rsidRPr="008E0ADC" w:rsidR="004F1F39">
        <w:rPr>
          <w:rFonts w:ascii="Verdana" w:hAnsi="Verdana" w:eastAsia="DejaVuSerifCondensed" w:cs="DejaVuSerifCondensed"/>
          <w:kern w:val="0"/>
          <w:sz w:val="18"/>
          <w:szCs w:val="18"/>
        </w:rPr>
        <w:t>and</w:t>
      </w:r>
      <w:proofErr w:type="spellEnd"/>
      <w:r w:rsidRPr="008E0ADC" w:rsidR="004F1F39">
        <w:rPr>
          <w:rFonts w:ascii="Verdana" w:hAnsi="Verdana" w:eastAsia="DejaVuSerifCondensed" w:cs="DejaVuSerifCondensed"/>
          <w:kern w:val="0"/>
          <w:sz w:val="18"/>
          <w:szCs w:val="18"/>
        </w:rPr>
        <w:t xml:space="preserve"> </w:t>
      </w:r>
      <w:proofErr w:type="spellStart"/>
      <w:r w:rsidRPr="008E0ADC" w:rsidR="004F1F39">
        <w:rPr>
          <w:rFonts w:ascii="Verdana" w:hAnsi="Verdana" w:eastAsia="DejaVuSerifCondensed" w:cs="DejaVuSerifCondensed"/>
          <w:kern w:val="0"/>
          <w:sz w:val="18"/>
          <w:szCs w:val="18"/>
        </w:rPr>
        <w:t>balances</w:t>
      </w:r>
      <w:proofErr w:type="spellEnd"/>
      <w:r w:rsidRPr="008E0ADC" w:rsidR="004F1F39">
        <w:rPr>
          <w:rFonts w:ascii="Verdana" w:hAnsi="Verdana" w:eastAsia="DejaVuSerifCondensed" w:cs="DejaVuSerifCondensed"/>
          <w:kern w:val="0"/>
          <w:sz w:val="18"/>
          <w:szCs w:val="18"/>
        </w:rPr>
        <w:t>, de pensioenaanspraken en -rechten over naar de nieuwe regeling, maar wel bij dezelfde uitvoerder.</w:t>
      </w:r>
      <w:r w:rsidRPr="008E0ADC" w:rsidR="00F86EB8">
        <w:rPr>
          <w:rFonts w:ascii="Verdana" w:hAnsi="Verdana" w:eastAsia="DejaVuSerifCondensed" w:cs="DejaVuSerifCondensed"/>
          <w:kern w:val="0"/>
          <w:sz w:val="18"/>
          <w:szCs w:val="18"/>
        </w:rPr>
        <w:t xml:space="preserve"> Bij het invaren zijn eisen gesteld aan besluitvorming en onderliggende berekeningen (denk aan het inzichtelijk maken van generatie-effecten) die waarborgen dat in de besluitvorming rekening gehouden wordt met verschillende toekomstscenario’s. </w:t>
      </w:r>
      <w:r w:rsidRPr="008E0ADC" w:rsidR="003B2CE3">
        <w:rPr>
          <w:rFonts w:ascii="Verdana" w:hAnsi="Verdana" w:eastAsia="DejaVuSerifCondensed" w:cs="DejaVuSerifCondensed"/>
          <w:kern w:val="0"/>
          <w:sz w:val="18"/>
          <w:szCs w:val="18"/>
        </w:rPr>
        <w:t xml:space="preserve">Denk </w:t>
      </w:r>
      <w:r w:rsidRPr="008E0ADC" w:rsidR="00F86EB8">
        <w:rPr>
          <w:rFonts w:ascii="Verdana" w:hAnsi="Verdana" w:eastAsia="DejaVuSerifCondensed" w:cs="DejaVuSerifCondensed"/>
          <w:kern w:val="0"/>
          <w:sz w:val="18"/>
          <w:szCs w:val="18"/>
        </w:rPr>
        <w:t xml:space="preserve">daarnaast </w:t>
      </w:r>
      <w:r w:rsidRPr="008E0ADC" w:rsidR="003B2CE3">
        <w:rPr>
          <w:rFonts w:ascii="Verdana" w:hAnsi="Verdana" w:eastAsia="DejaVuSerifCondensed" w:cs="DejaVuSerifCondensed"/>
          <w:kern w:val="0"/>
          <w:sz w:val="18"/>
          <w:szCs w:val="18"/>
        </w:rPr>
        <w:t xml:space="preserve">bij de checks </w:t>
      </w:r>
      <w:proofErr w:type="spellStart"/>
      <w:r w:rsidRPr="008E0ADC" w:rsidR="003B2CE3">
        <w:rPr>
          <w:rFonts w:ascii="Verdana" w:hAnsi="Verdana" w:eastAsia="DejaVuSerifCondensed" w:cs="DejaVuSerifCondensed"/>
          <w:kern w:val="0"/>
          <w:sz w:val="18"/>
          <w:szCs w:val="18"/>
        </w:rPr>
        <w:t>and</w:t>
      </w:r>
      <w:proofErr w:type="spellEnd"/>
      <w:r w:rsidRPr="008E0ADC" w:rsidR="003B2CE3">
        <w:rPr>
          <w:rFonts w:ascii="Verdana" w:hAnsi="Verdana" w:eastAsia="DejaVuSerifCondensed" w:cs="DejaVuSerifCondensed"/>
          <w:kern w:val="0"/>
          <w:sz w:val="18"/>
          <w:szCs w:val="18"/>
        </w:rPr>
        <w:t xml:space="preserve"> </w:t>
      </w:r>
      <w:proofErr w:type="spellStart"/>
      <w:r w:rsidRPr="008E0ADC" w:rsidR="003B2CE3">
        <w:rPr>
          <w:rFonts w:ascii="Verdana" w:hAnsi="Verdana" w:eastAsia="DejaVuSerifCondensed" w:cs="DejaVuSerifCondensed"/>
          <w:kern w:val="0"/>
          <w:sz w:val="18"/>
          <w:szCs w:val="18"/>
        </w:rPr>
        <w:t>balances</w:t>
      </w:r>
      <w:proofErr w:type="spellEnd"/>
      <w:r w:rsidRPr="008E0ADC" w:rsidR="00F86EB8">
        <w:rPr>
          <w:rFonts w:ascii="Verdana" w:hAnsi="Verdana" w:eastAsia="DejaVuSerifCondensed" w:cs="DejaVuSerifCondensed"/>
          <w:kern w:val="0"/>
          <w:sz w:val="18"/>
          <w:szCs w:val="18"/>
        </w:rPr>
        <w:t xml:space="preserve"> </w:t>
      </w:r>
      <w:r w:rsidRPr="008E0ADC" w:rsidR="003B2CE3">
        <w:rPr>
          <w:rFonts w:ascii="Verdana" w:hAnsi="Verdana" w:eastAsia="DejaVuSerifCondensed" w:cs="DejaVuSerifCondensed"/>
          <w:kern w:val="0"/>
          <w:sz w:val="18"/>
          <w:szCs w:val="18"/>
        </w:rPr>
        <w:t xml:space="preserve">aan de wettelijk voorgeschreven verdeelregels en methoden, het evenwichtigheidsvereiste, de te maken plannen (transitie-, implementatie- en communicatieplan), het </w:t>
      </w:r>
      <w:proofErr w:type="spellStart"/>
      <w:r w:rsidRPr="008E0ADC" w:rsidR="003B2CE3">
        <w:rPr>
          <w:rFonts w:ascii="Verdana" w:hAnsi="Verdana" w:eastAsia="DejaVuSerifCondensed" w:cs="DejaVuSerifCondensed"/>
          <w:kern w:val="0"/>
          <w:sz w:val="18"/>
          <w:szCs w:val="18"/>
        </w:rPr>
        <w:t>hoorrecht</w:t>
      </w:r>
      <w:proofErr w:type="spellEnd"/>
      <w:r w:rsidRPr="008E0ADC" w:rsidR="003B2CE3">
        <w:rPr>
          <w:rFonts w:ascii="Verdana" w:hAnsi="Verdana" w:eastAsia="DejaVuSerifCondensed" w:cs="DejaVuSerifCondensed"/>
          <w:kern w:val="0"/>
          <w:sz w:val="18"/>
          <w:szCs w:val="18"/>
        </w:rPr>
        <w:t>, de versterkte rol van fondsorganen etc.</w:t>
      </w:r>
      <w:r w:rsidRPr="008E0ADC" w:rsidR="004F1F39">
        <w:rPr>
          <w:rFonts w:ascii="Verdana" w:hAnsi="Verdana" w:eastAsia="DejaVuSerifCondensed" w:cs="DejaVuSerifCondensed"/>
          <w:kern w:val="0"/>
          <w:sz w:val="18"/>
          <w:szCs w:val="18"/>
        </w:rPr>
        <w:t xml:space="preserve"> </w:t>
      </w:r>
      <w:r w:rsidRPr="008E0ADC" w:rsidR="00F86EB8">
        <w:rPr>
          <w:rFonts w:ascii="Verdana" w:hAnsi="Verdana" w:eastAsia="DejaVuSerifCondensed" w:cs="DejaVuSerifCondensed"/>
          <w:kern w:val="0"/>
          <w:sz w:val="18"/>
          <w:szCs w:val="18"/>
        </w:rPr>
        <w:t>Tot slot</w:t>
      </w:r>
      <w:r w:rsidRPr="008E0ADC" w:rsidR="004F1F39">
        <w:rPr>
          <w:rFonts w:ascii="Verdana" w:hAnsi="Verdana" w:eastAsia="DejaVuSerifCondensed" w:cs="DejaVuSerifCondensed"/>
          <w:kern w:val="0"/>
          <w:sz w:val="18"/>
          <w:szCs w:val="18"/>
        </w:rPr>
        <w:t xml:space="preserve"> wordt de transitie uitgebreid gemonitord met periodieke terugkoppeling aan uw Kamer. </w:t>
      </w:r>
    </w:p>
    <w:p w:rsidRPr="008E0ADC" w:rsidR="00257000" w:rsidP="00BF7B77" w:rsidRDefault="00257000" w14:paraId="446A1AC6" w14:textId="77777777">
      <w:pPr>
        <w:autoSpaceDE w:val="0"/>
        <w:autoSpaceDN w:val="0"/>
        <w:adjustRightInd w:val="0"/>
        <w:spacing w:after="0" w:line="240" w:lineRule="auto"/>
        <w:rPr>
          <w:rFonts w:ascii="Verdana" w:hAnsi="Verdana" w:eastAsia="DejaVuSerifCondensed" w:cs="DejaVuSerifCondensed"/>
          <w:kern w:val="0"/>
          <w:sz w:val="18"/>
          <w:szCs w:val="18"/>
        </w:rPr>
      </w:pPr>
    </w:p>
    <w:p w:rsidR="008E0ADC" w:rsidP="00735D10" w:rsidRDefault="00BF7B77" w14:paraId="48B318ED" w14:textId="77777777">
      <w:pPr>
        <w:pStyle w:val="Lijstalinea"/>
        <w:numPr>
          <w:ilvl w:val="0"/>
          <w:numId w:val="21"/>
        </w:num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Tahoma" w:hAnsi="Tahoma" w:eastAsia="DejaVuSerifCondensed" w:cs="Tahoma"/>
          <w:kern w:val="0"/>
          <w:sz w:val="18"/>
          <w:szCs w:val="18"/>
        </w:rPr>
        <w:t>⁠</w:t>
      </w:r>
      <w:r w:rsidRPr="008E0ADC">
        <w:rPr>
          <w:rFonts w:ascii="Verdana" w:hAnsi="Verdana" w:eastAsia="DejaVuSerifCondensed" w:cs="DejaVuSerifCondensed"/>
          <w:kern w:val="0"/>
          <w:sz w:val="18"/>
          <w:szCs w:val="18"/>
        </w:rPr>
        <w:t>Wilt u deze vragen een voor een en binnen drie weken beantwoorden?</w:t>
      </w:r>
    </w:p>
    <w:p w:rsidR="008E0ADC" w:rsidP="008E0ADC" w:rsidRDefault="008E0ADC" w14:paraId="279DDEF0"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8E0ADC" w:rsidR="00BF7B77" w:rsidP="008E0ADC" w:rsidRDefault="0065184D" w14:paraId="71D0F38A" w14:textId="0280F0AD">
      <w:p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Antwoord: Bijgaand treft u de antwoorden</w:t>
      </w:r>
      <w:r w:rsidRPr="008E0ADC" w:rsidR="00803091">
        <w:rPr>
          <w:rFonts w:ascii="Verdana" w:hAnsi="Verdana" w:eastAsia="DejaVuSerifCondensed" w:cs="DejaVuSerifCondensed"/>
          <w:kern w:val="0"/>
          <w:sz w:val="18"/>
          <w:szCs w:val="18"/>
        </w:rPr>
        <w:t>, na de uitstelbrief van 2 juni jl.,</w:t>
      </w:r>
      <w:r w:rsidRPr="008E0ADC">
        <w:rPr>
          <w:rFonts w:ascii="Verdana" w:hAnsi="Verdana" w:eastAsia="DejaVuSerifCondensed" w:cs="DejaVuSerifCondensed"/>
          <w:kern w:val="0"/>
          <w:sz w:val="18"/>
          <w:szCs w:val="18"/>
        </w:rPr>
        <w:t xml:space="preserve"> aan. </w:t>
      </w:r>
    </w:p>
    <w:p w:rsidRPr="008E0ADC" w:rsidR="0065184D" w:rsidP="00BF7B77" w:rsidRDefault="0065184D" w14:paraId="5DAF2C02"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8E0ADC" w:rsidR="0065184D" w:rsidP="00BF7B77" w:rsidRDefault="0065184D" w14:paraId="1895C639"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8E0ADC" w:rsidR="00BF7B77" w:rsidP="00BF7B77" w:rsidRDefault="00BF7B77" w14:paraId="60E53557" w14:textId="003E5B86">
      <w:p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1) NRC, 11 mei 2025, 'De toegeëigende pensioenmiljarden van havenarbeiders en de rol van DNB: wie houdt toezicht op de toezichthouder?'</w:t>
      </w:r>
    </w:p>
    <w:p w:rsidRPr="008E0ADC" w:rsidR="00BF7B77" w:rsidP="00BF7B77" w:rsidRDefault="00BF7B77" w14:paraId="22D8F4E1" w14:textId="18F853A9">
      <w:p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w:t>
      </w:r>
      <w:hyperlink w:history="1" r:id="rId8">
        <w:r w:rsidRPr="008E0ADC">
          <w:rPr>
            <w:rStyle w:val="Hyperlink"/>
            <w:rFonts w:ascii="Verdana" w:hAnsi="Verdana" w:eastAsia="DejaVuSerifCondensed" w:cs="DejaVuSerifCondensed"/>
            <w:color w:val="auto"/>
            <w:kern w:val="0"/>
            <w:sz w:val="18"/>
            <w:szCs w:val="18"/>
          </w:rPr>
          <w:t>https://www.nrc.nl/nieuws/2025/05/11/de-toegeeigende-pensioenmiljarden-van-havenarbeiders-en-de-rol-van-dnb-wie-houdt-toezicht-op-de-toezichthouder-a4892891</w:t>
        </w:r>
      </w:hyperlink>
      <w:r w:rsidRPr="008E0ADC">
        <w:rPr>
          <w:rFonts w:ascii="Verdana" w:hAnsi="Verdana" w:eastAsia="DejaVuSerifCondensed" w:cs="DejaVuSerifCondensed"/>
          <w:kern w:val="0"/>
          <w:sz w:val="18"/>
          <w:szCs w:val="18"/>
        </w:rPr>
        <w:t>).</w:t>
      </w:r>
      <w:r w:rsidRPr="008E0ADC">
        <w:rPr>
          <w:rFonts w:ascii="Verdana" w:hAnsi="Verdana" w:eastAsia="DejaVuSerifCondensed" w:cs="DejaVuSerifCondensed"/>
          <w:kern w:val="0"/>
          <w:sz w:val="18"/>
          <w:szCs w:val="18"/>
        </w:rPr>
        <w:br/>
      </w:r>
    </w:p>
    <w:p w:rsidRPr="008E0ADC" w:rsidR="00BF7B77" w:rsidP="00BF7B77" w:rsidRDefault="00BF7B77" w14:paraId="78372F21" w14:textId="77777777">
      <w:p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2) Aanhangsel Handelingen II, vergaderjaar 2010-2011, nr. 2788 (vragen over uitkering van</w:t>
      </w:r>
    </w:p>
    <w:p w:rsidRPr="008E0ADC" w:rsidR="00BF7B77" w:rsidP="00BF7B77" w:rsidRDefault="00BF7B77" w14:paraId="78180B8E" w14:textId="401AFB66">
      <w:pPr>
        <w:autoSpaceDE w:val="0"/>
        <w:autoSpaceDN w:val="0"/>
        <w:adjustRightInd w:val="0"/>
        <w:spacing w:after="0" w:line="240" w:lineRule="auto"/>
        <w:rPr>
          <w:rFonts w:ascii="Verdana" w:hAnsi="Verdana" w:eastAsia="DejaVuSerifCondensed" w:cs="DejaVuSerifCondensed"/>
          <w:kern w:val="0"/>
          <w:sz w:val="18"/>
          <w:szCs w:val="18"/>
        </w:rPr>
      </w:pPr>
      <w:proofErr w:type="gramStart"/>
      <w:r w:rsidRPr="008E0ADC">
        <w:rPr>
          <w:rFonts w:ascii="Verdana" w:hAnsi="Verdana" w:eastAsia="DejaVuSerifCondensed" w:cs="DejaVuSerifCondensed"/>
          <w:kern w:val="0"/>
          <w:sz w:val="18"/>
          <w:szCs w:val="18"/>
        </w:rPr>
        <w:t>havenpensioenen</w:t>
      </w:r>
      <w:proofErr w:type="gramEnd"/>
      <w:r w:rsidRPr="008E0ADC">
        <w:rPr>
          <w:rFonts w:ascii="Verdana" w:hAnsi="Verdana" w:eastAsia="DejaVuSerifCondensed" w:cs="DejaVuSerifCondensed"/>
          <w:kern w:val="0"/>
          <w:sz w:val="18"/>
          <w:szCs w:val="18"/>
        </w:rPr>
        <w:t xml:space="preserve"> door Aegon (2011D23812)).</w:t>
      </w:r>
      <w:r w:rsidRPr="008E0ADC">
        <w:rPr>
          <w:rFonts w:ascii="Verdana" w:hAnsi="Verdana" w:eastAsia="DejaVuSerifCondensed" w:cs="DejaVuSerifCondensed"/>
          <w:kern w:val="0"/>
          <w:sz w:val="18"/>
          <w:szCs w:val="18"/>
        </w:rPr>
        <w:br/>
      </w:r>
    </w:p>
    <w:p w:rsidRPr="008E0ADC" w:rsidR="00BF7B77" w:rsidP="00BF7B77" w:rsidRDefault="00BF7B77" w14:paraId="4E75F621" w14:textId="662B441B">
      <w:p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Aanhangsel Handelingen II, vergaderjaar 2019-2020, nr. 2274 (vragen over de toestemming van DNB voor de fusie tussen Optas en Aegon (2020D04008)).</w:t>
      </w:r>
      <w:r w:rsidRPr="008E0ADC">
        <w:rPr>
          <w:rFonts w:ascii="Verdana" w:hAnsi="Verdana" w:eastAsia="DejaVuSerifCondensed" w:cs="DejaVuSerifCondensed"/>
          <w:kern w:val="0"/>
          <w:sz w:val="18"/>
          <w:szCs w:val="18"/>
        </w:rPr>
        <w:br/>
      </w:r>
    </w:p>
    <w:p w:rsidRPr="008E0ADC" w:rsidR="00BF7B77" w:rsidP="00BF7B77" w:rsidRDefault="00BF7B77" w14:paraId="4E552EF5" w14:textId="24E0A7A9">
      <w:p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Aanhangsel Handelingen II, vergaderjaar 2009-2010, nr. 2773 (vragen over de deal tussen de vereniging SBPVH en de stichting OPTAS (2010D23696)).</w:t>
      </w:r>
      <w:r w:rsidRPr="008E0ADC">
        <w:rPr>
          <w:rFonts w:ascii="Verdana" w:hAnsi="Verdana" w:eastAsia="DejaVuSerifCondensed" w:cs="DejaVuSerifCondensed"/>
          <w:kern w:val="0"/>
          <w:sz w:val="18"/>
          <w:szCs w:val="18"/>
        </w:rPr>
        <w:br/>
      </w:r>
    </w:p>
    <w:p w:rsidRPr="008E0ADC" w:rsidR="00BF7B77" w:rsidP="00BF7B77" w:rsidRDefault="00BF7B77" w14:paraId="0D5CFE88" w14:textId="598CCECB">
      <w:p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Aanhangsel Handelingen II, vergaderjaar 2011-2012, nr. 2977 (vragen over het toezicht op pensioenen (2012D25289)).</w:t>
      </w:r>
      <w:r w:rsidRPr="008E0ADC">
        <w:rPr>
          <w:rFonts w:ascii="Verdana" w:hAnsi="Verdana" w:eastAsia="DejaVuSerifCondensed" w:cs="DejaVuSerifCondensed"/>
          <w:kern w:val="0"/>
          <w:sz w:val="18"/>
          <w:szCs w:val="18"/>
        </w:rPr>
        <w:br/>
      </w:r>
    </w:p>
    <w:p w:rsidRPr="008E0ADC" w:rsidR="003451A0" w:rsidP="00BF7B77" w:rsidRDefault="00BF7B77" w14:paraId="5CEA0161" w14:textId="37E3FAD8">
      <w:pPr>
        <w:autoSpaceDE w:val="0"/>
        <w:autoSpaceDN w:val="0"/>
        <w:adjustRightInd w:val="0"/>
        <w:spacing w:after="0" w:line="240" w:lineRule="auto"/>
        <w:rPr>
          <w:rFonts w:ascii="Verdana" w:hAnsi="Verdana" w:eastAsia="DejaVuSerifCondensed" w:cs="DejaVuSerifCondensed"/>
          <w:kern w:val="0"/>
          <w:sz w:val="18"/>
          <w:szCs w:val="18"/>
        </w:rPr>
      </w:pPr>
      <w:r w:rsidRPr="008E0ADC">
        <w:rPr>
          <w:rFonts w:ascii="Verdana" w:hAnsi="Verdana" w:eastAsia="DejaVuSerifCondensed" w:cs="DejaVuSerifCondensed"/>
          <w:kern w:val="0"/>
          <w:sz w:val="18"/>
          <w:szCs w:val="18"/>
        </w:rPr>
        <w:t>Aanhangsel Handelingen II, vergaderjaar 2007-2008, nr. 3 (vragen over pensioengelden in de havens (2060720540)).</w:t>
      </w:r>
    </w:p>
    <w:sectPr w:rsidRPr="008E0ADC" w:rsidR="003451A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BE131" w14:textId="77777777" w:rsidR="00C77132" w:rsidRDefault="00C77132" w:rsidP="00C77132">
      <w:pPr>
        <w:spacing w:after="0" w:line="240" w:lineRule="auto"/>
      </w:pPr>
      <w:r>
        <w:separator/>
      </w:r>
    </w:p>
  </w:endnote>
  <w:endnote w:type="continuationSeparator" w:id="0">
    <w:p w14:paraId="07FDFB98" w14:textId="77777777" w:rsidR="00C77132" w:rsidRDefault="00C77132" w:rsidP="00C77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66E76" w14:textId="77777777" w:rsidR="00727DA0" w:rsidRDefault="00727D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DDECC" w14:textId="77777777" w:rsidR="00727DA0" w:rsidRDefault="00727DA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3991B" w14:textId="77777777" w:rsidR="00727DA0" w:rsidRDefault="00727D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E476C" w14:textId="77777777" w:rsidR="00C77132" w:rsidRDefault="00C77132" w:rsidP="00C77132">
      <w:pPr>
        <w:spacing w:after="0" w:line="240" w:lineRule="auto"/>
      </w:pPr>
      <w:r>
        <w:separator/>
      </w:r>
    </w:p>
  </w:footnote>
  <w:footnote w:type="continuationSeparator" w:id="0">
    <w:p w14:paraId="39A07577" w14:textId="77777777" w:rsidR="00C77132" w:rsidRDefault="00C77132" w:rsidP="00C77132">
      <w:pPr>
        <w:spacing w:after="0" w:line="240" w:lineRule="auto"/>
      </w:pPr>
      <w:r>
        <w:continuationSeparator/>
      </w:r>
    </w:p>
  </w:footnote>
  <w:footnote w:id="1">
    <w:p w14:paraId="5DD695CB" w14:textId="227DEADB" w:rsidR="00BE4F9D" w:rsidRDefault="00BE4F9D">
      <w:pPr>
        <w:pStyle w:val="Voetnoottekst"/>
      </w:pPr>
      <w:r>
        <w:rPr>
          <w:rStyle w:val="Voetnootmarkering"/>
        </w:rPr>
        <w:footnoteRef/>
      </w:r>
      <w:r>
        <w:t xml:space="preserve"> </w:t>
      </w:r>
      <w:hyperlink r:id="rId1" w:history="1">
        <w:r w:rsidRPr="00BE4F9D">
          <w:rPr>
            <w:rFonts w:ascii="Verdana" w:eastAsia="Times New Roman" w:hAnsi="Verdana" w:cs="Times New Roman"/>
            <w:color w:val="0000FF"/>
            <w:kern w:val="0"/>
            <w:sz w:val="16"/>
            <w:szCs w:val="16"/>
            <w:u w:val="single"/>
            <w:lang w:eastAsia="nl-NL"/>
            <w14:ligatures w14:val="none"/>
          </w:rPr>
          <w:t>https://zoek.officielebekendmakingen.nl/kst-28294-32.html</w:t>
        </w:r>
      </w:hyperlink>
      <w:r w:rsidRPr="00BE4F9D">
        <w:rPr>
          <w:rFonts w:ascii="Verdana" w:eastAsia="Times New Roman" w:hAnsi="Verdana" w:cs="Times New Roman"/>
          <w:kern w:val="0"/>
          <w:sz w:val="16"/>
          <w:szCs w:val="16"/>
          <w:lang w:eastAsia="nl-NL"/>
          <w14:ligatures w14:val="none"/>
        </w:rPr>
        <w:t xml:space="preserve"> (Kamerstuk: 28294, nr. 32)</w:t>
      </w:r>
    </w:p>
  </w:footnote>
  <w:footnote w:id="2">
    <w:p w14:paraId="6B0C4D96" w14:textId="17929AEF" w:rsidR="00BE4F9D" w:rsidRDefault="00BE4F9D">
      <w:pPr>
        <w:pStyle w:val="Voetnoottekst"/>
      </w:pPr>
      <w:r>
        <w:rPr>
          <w:rStyle w:val="Voetnootmarkering"/>
        </w:rPr>
        <w:footnoteRef/>
      </w:r>
      <w:r>
        <w:t xml:space="preserve"> </w:t>
      </w:r>
      <w:hyperlink r:id="rId2" w:history="1">
        <w:r w:rsidRPr="00BE4F9D">
          <w:rPr>
            <w:rFonts w:ascii="Verdana" w:eastAsia="Times New Roman" w:hAnsi="Verdana" w:cs="Times New Roman"/>
            <w:color w:val="0000FF"/>
            <w:kern w:val="0"/>
            <w:sz w:val="16"/>
            <w:szCs w:val="16"/>
            <w:u w:val="single"/>
            <w:lang w:eastAsia="nl-NL"/>
            <w14:ligatures w14:val="none"/>
          </w:rPr>
          <w:t>https://zoek.officielebekendmakingen.nl/kst-28294-33.html</w:t>
        </w:r>
      </w:hyperlink>
      <w:r w:rsidRPr="00BE4F9D">
        <w:rPr>
          <w:rFonts w:ascii="Verdana" w:eastAsia="Times New Roman" w:hAnsi="Verdana" w:cs="Times New Roman"/>
          <w:kern w:val="0"/>
          <w:sz w:val="16"/>
          <w:szCs w:val="16"/>
          <w:lang w:eastAsia="nl-NL"/>
          <w14:ligatures w14:val="none"/>
        </w:rPr>
        <w:t xml:space="preserve"> (Kamerstuk: 28294, nr. 33)</w:t>
      </w:r>
    </w:p>
  </w:footnote>
  <w:footnote w:id="3">
    <w:p w14:paraId="1D810879" w14:textId="2D5CE178" w:rsidR="00B31240" w:rsidRPr="00BE4F9D" w:rsidRDefault="00B31240">
      <w:pPr>
        <w:pStyle w:val="Voetnoottekst"/>
        <w:rPr>
          <w:rFonts w:ascii="Verdana" w:hAnsi="Verdana"/>
          <w:sz w:val="16"/>
          <w:szCs w:val="16"/>
        </w:rPr>
      </w:pPr>
      <w:r w:rsidRPr="00BE4F9D">
        <w:rPr>
          <w:rStyle w:val="Voetnootmarkering"/>
          <w:rFonts w:ascii="Verdana" w:hAnsi="Verdana"/>
          <w:sz w:val="16"/>
          <w:szCs w:val="16"/>
        </w:rPr>
        <w:footnoteRef/>
      </w:r>
      <w:r w:rsidRPr="00BE4F9D">
        <w:rPr>
          <w:rFonts w:ascii="Verdana" w:hAnsi="Verdana"/>
          <w:sz w:val="16"/>
          <w:szCs w:val="16"/>
        </w:rPr>
        <w:t xml:space="preserve"> </w:t>
      </w:r>
      <w:hyperlink r:id="rId3" w:history="1">
        <w:r w:rsidRPr="00BE4F9D">
          <w:rPr>
            <w:rStyle w:val="Hyperlink"/>
            <w:rFonts w:ascii="Verdana" w:hAnsi="Verdana"/>
            <w:sz w:val="16"/>
            <w:szCs w:val="16"/>
          </w:rPr>
          <w:t xml:space="preserve">Motie </w:t>
        </w:r>
        <w:proofErr w:type="spellStart"/>
        <w:r w:rsidRPr="00BE4F9D">
          <w:rPr>
            <w:rStyle w:val="Hyperlink"/>
            <w:rFonts w:ascii="Verdana" w:hAnsi="Verdana"/>
            <w:sz w:val="16"/>
            <w:szCs w:val="16"/>
          </w:rPr>
          <w:t>Ulenbelt</w:t>
        </w:r>
        <w:proofErr w:type="spellEnd"/>
        <w:r w:rsidRPr="00BE4F9D">
          <w:rPr>
            <w:rStyle w:val="Hyperlink"/>
            <w:rFonts w:ascii="Verdana" w:hAnsi="Verdana"/>
            <w:sz w:val="16"/>
            <w:szCs w:val="16"/>
          </w:rPr>
          <w:t xml:space="preserve"> over aanwending van het vermogen van OPTAS voor de pensioenen van havenwerkers (1).pdf</w:t>
        </w:r>
      </w:hyperlink>
    </w:p>
  </w:footnote>
  <w:footnote w:id="4">
    <w:p w14:paraId="174559EA" w14:textId="77777777" w:rsidR="000F4C2C" w:rsidRPr="00BE4F9D" w:rsidRDefault="000F4C2C" w:rsidP="000F4C2C">
      <w:pPr>
        <w:pStyle w:val="Voetnoottekst"/>
        <w:rPr>
          <w:rFonts w:ascii="Verdana" w:hAnsi="Verdana" w:cs="Times New Roman"/>
          <w:sz w:val="16"/>
          <w:szCs w:val="16"/>
        </w:rPr>
      </w:pPr>
      <w:r w:rsidRPr="00BE4F9D">
        <w:rPr>
          <w:rStyle w:val="Voetnootmarkering"/>
          <w:rFonts w:ascii="Verdana" w:hAnsi="Verdana" w:cs="Times New Roman"/>
          <w:sz w:val="16"/>
          <w:szCs w:val="16"/>
        </w:rPr>
        <w:footnoteRef/>
      </w:r>
      <w:r w:rsidRPr="00BE4F9D">
        <w:rPr>
          <w:rFonts w:ascii="Verdana" w:hAnsi="Verdana" w:cs="Times New Roman"/>
          <w:sz w:val="16"/>
          <w:szCs w:val="16"/>
        </w:rPr>
        <w:t xml:space="preserve"> </w:t>
      </w:r>
      <w:hyperlink r:id="rId4" w:history="1">
        <w:r w:rsidRPr="00BE4F9D">
          <w:rPr>
            <w:rStyle w:val="Hyperlink"/>
            <w:rFonts w:ascii="Verdana" w:hAnsi="Verdana" w:cs="Times New Roman"/>
            <w:sz w:val="16"/>
            <w:szCs w:val="16"/>
          </w:rPr>
          <w:t>ECLI:NL:HR:2011:BN8852, voorheen LJN BN8852, Hoge Raad, 09/04463</w:t>
        </w:r>
      </w:hyperlink>
      <w:r w:rsidRPr="00BE4F9D">
        <w:rPr>
          <w:rFonts w:ascii="Verdana" w:hAnsi="Verdana" w:cs="Times New Roman"/>
          <w:sz w:val="16"/>
          <w:szCs w:val="16"/>
        </w:rPr>
        <w:t xml:space="preserve"> </w:t>
      </w:r>
    </w:p>
  </w:footnote>
  <w:footnote w:id="5">
    <w:p w14:paraId="2766FCAB" w14:textId="77777777" w:rsidR="000F4C2C" w:rsidRPr="001F7458" w:rsidRDefault="000F4C2C" w:rsidP="000F4C2C">
      <w:pPr>
        <w:pStyle w:val="Voetnoottekst"/>
        <w:rPr>
          <w:rFonts w:ascii="Times New Roman" w:hAnsi="Times New Roman" w:cs="Times New Roman"/>
        </w:rPr>
      </w:pPr>
      <w:r w:rsidRPr="00BE4F9D">
        <w:rPr>
          <w:rStyle w:val="Voetnootmarkering"/>
          <w:rFonts w:ascii="Verdana" w:hAnsi="Verdana" w:cs="Times New Roman"/>
          <w:sz w:val="16"/>
          <w:szCs w:val="16"/>
        </w:rPr>
        <w:footnoteRef/>
      </w:r>
      <w:r w:rsidRPr="00BE4F9D">
        <w:rPr>
          <w:rFonts w:ascii="Verdana" w:hAnsi="Verdana" w:cs="Times New Roman"/>
          <w:sz w:val="16"/>
          <w:szCs w:val="16"/>
        </w:rPr>
        <w:t xml:space="preserve"> </w:t>
      </w:r>
      <w:hyperlink r:id="rId5" w:history="1">
        <w:r w:rsidRPr="00BE4F9D">
          <w:rPr>
            <w:rFonts w:ascii="Verdana" w:eastAsia="Times New Roman" w:hAnsi="Verdana" w:cs="Times New Roman"/>
            <w:color w:val="0000FF"/>
            <w:kern w:val="0"/>
            <w:sz w:val="16"/>
            <w:szCs w:val="16"/>
            <w:u w:val="single"/>
            <w:lang w:eastAsia="nl-NL"/>
            <w14:ligatures w14:val="none"/>
          </w:rPr>
          <w:t>https://zoek.officielebekendmakingen.nl/ah-tk-20102011-2788.html</w:t>
        </w:r>
      </w:hyperlink>
      <w:r w:rsidRPr="00BE4F9D">
        <w:rPr>
          <w:rFonts w:ascii="Verdana" w:eastAsia="Times New Roman" w:hAnsi="Verdana" w:cs="Times New Roman"/>
          <w:kern w:val="0"/>
          <w:sz w:val="16"/>
          <w:szCs w:val="16"/>
          <w:lang w:eastAsia="nl-NL"/>
          <w14:ligatures w14:val="none"/>
        </w:rPr>
        <w:t xml:space="preserve"> (Kamerstuk: Aanhangsel Handelingen II, 2010–2011, nr. 2788)</w:t>
      </w:r>
      <w:r w:rsidRPr="001F7458">
        <w:rPr>
          <w:rFonts w:ascii="Times New Roman" w:eastAsia="Times New Roman" w:hAnsi="Times New Roman" w:cs="Times New Roman"/>
          <w:kern w:val="0"/>
          <w:lang w:eastAsia="nl-NL"/>
          <w14:ligatures w14:val="none"/>
        </w:rPr>
        <w:t xml:space="preserve"> </w:t>
      </w:r>
    </w:p>
  </w:footnote>
  <w:footnote w:id="6">
    <w:p w14:paraId="14FE189A" w14:textId="77777777" w:rsidR="000F4C2C" w:rsidRDefault="000F4C2C" w:rsidP="000F4C2C">
      <w:pPr>
        <w:pStyle w:val="Voetnoottekst"/>
      </w:pPr>
      <w:r>
        <w:rPr>
          <w:rStyle w:val="Voetnootmarkering"/>
        </w:rPr>
        <w:footnoteRef/>
      </w:r>
      <w:r>
        <w:t xml:space="preserve"> </w:t>
      </w:r>
      <w:hyperlink r:id="rId6" w:history="1">
        <w:r w:rsidRPr="002E326E">
          <w:rPr>
            <w:rStyle w:val="Hyperlink"/>
          </w:rPr>
          <w:t xml:space="preserve">Havenarbeiders eisen miljoenen van verzekeraar | </w:t>
        </w:r>
        <w:proofErr w:type="spellStart"/>
        <w:r w:rsidRPr="002E326E">
          <w:rPr>
            <w:rStyle w:val="Hyperlink"/>
          </w:rPr>
          <w:t>EenVandaag</w:t>
        </w:r>
        <w:proofErr w:type="spellEnd"/>
      </w:hyperlink>
      <w:r>
        <w:t xml:space="preserve"> </w:t>
      </w:r>
    </w:p>
  </w:footnote>
  <w:footnote w:id="7">
    <w:p w14:paraId="757CA68D" w14:textId="77777777" w:rsidR="00C77132" w:rsidRPr="00BE4F9D" w:rsidRDefault="00C77132" w:rsidP="00C77132">
      <w:pPr>
        <w:pStyle w:val="Voetnoottekst"/>
        <w:rPr>
          <w:rFonts w:ascii="Verdana" w:hAnsi="Verdana"/>
          <w:sz w:val="16"/>
          <w:szCs w:val="16"/>
        </w:rPr>
      </w:pPr>
      <w:r w:rsidRPr="00BE4F9D">
        <w:rPr>
          <w:rStyle w:val="Voetnootmarkering"/>
          <w:rFonts w:ascii="Verdana" w:hAnsi="Verdana"/>
          <w:sz w:val="16"/>
          <w:szCs w:val="16"/>
        </w:rPr>
        <w:footnoteRef/>
      </w:r>
      <w:r w:rsidRPr="00BE4F9D">
        <w:rPr>
          <w:rFonts w:ascii="Verdana" w:hAnsi="Verdana"/>
          <w:sz w:val="16"/>
          <w:szCs w:val="16"/>
        </w:rPr>
        <w:t xml:space="preserve"> </w:t>
      </w:r>
      <w:hyperlink r:id="rId7" w:history="1">
        <w:r w:rsidRPr="00BE4F9D">
          <w:rPr>
            <w:rStyle w:val="Hyperlink"/>
            <w:rFonts w:ascii="Verdana" w:hAnsi="Verdana"/>
            <w:sz w:val="16"/>
            <w:szCs w:val="16"/>
          </w:rPr>
          <w:t>ECLI:</w:t>
        </w:r>
        <w:proofErr w:type="gramStart"/>
        <w:r w:rsidRPr="00BE4F9D">
          <w:rPr>
            <w:rStyle w:val="Hyperlink"/>
            <w:rFonts w:ascii="Verdana" w:hAnsi="Verdana"/>
            <w:sz w:val="16"/>
            <w:szCs w:val="16"/>
          </w:rPr>
          <w:t>NL:RBROT</w:t>
        </w:r>
        <w:proofErr w:type="gramEnd"/>
        <w:r w:rsidRPr="00BE4F9D">
          <w:rPr>
            <w:rStyle w:val="Hyperlink"/>
            <w:rFonts w:ascii="Verdana" w:hAnsi="Verdana"/>
            <w:sz w:val="16"/>
            <w:szCs w:val="16"/>
          </w:rPr>
          <w:t>:2015:191, Rechtbank Rotterdam, C/10/459646 / HA RK 14-759</w:t>
        </w:r>
      </w:hyperlink>
      <w:r w:rsidRPr="00BE4F9D">
        <w:rPr>
          <w:rFonts w:ascii="Verdana" w:hAnsi="Verdana"/>
          <w:sz w:val="16"/>
          <w:szCs w:val="16"/>
        </w:rPr>
        <w:t xml:space="preserve"> </w:t>
      </w:r>
    </w:p>
  </w:footnote>
  <w:footnote w:id="8">
    <w:p w14:paraId="0C583D1F" w14:textId="77777777" w:rsidR="00C77132" w:rsidRPr="00BE4F9D" w:rsidRDefault="00C77132" w:rsidP="00C77132">
      <w:pPr>
        <w:pStyle w:val="Voetnoottekst"/>
        <w:rPr>
          <w:rFonts w:ascii="Verdana" w:hAnsi="Verdana" w:cs="Times New Roman"/>
          <w:sz w:val="16"/>
          <w:szCs w:val="16"/>
        </w:rPr>
      </w:pPr>
      <w:r w:rsidRPr="00BE4F9D">
        <w:rPr>
          <w:rStyle w:val="Voetnootmarkering"/>
          <w:rFonts w:ascii="Verdana" w:hAnsi="Verdana" w:cs="Times New Roman"/>
          <w:sz w:val="16"/>
          <w:szCs w:val="16"/>
        </w:rPr>
        <w:footnoteRef/>
      </w:r>
      <w:r w:rsidRPr="00BE4F9D">
        <w:rPr>
          <w:rFonts w:ascii="Verdana" w:hAnsi="Verdana" w:cs="Times New Roman"/>
          <w:sz w:val="16"/>
          <w:szCs w:val="16"/>
        </w:rPr>
        <w:t xml:space="preserve"> </w:t>
      </w:r>
      <w:hyperlink r:id="rId8" w:history="1">
        <w:r w:rsidRPr="00BE4F9D">
          <w:rPr>
            <w:rFonts w:ascii="Verdana" w:eastAsia="Times New Roman" w:hAnsi="Verdana" w:cs="Times New Roman"/>
            <w:color w:val="0000FF"/>
            <w:kern w:val="0"/>
            <w:sz w:val="16"/>
            <w:szCs w:val="16"/>
            <w:u w:val="single"/>
            <w:lang w:eastAsia="nl-NL"/>
            <w14:ligatures w14:val="none"/>
          </w:rPr>
          <w:t>https://zoek.officielebekendmakingen.nl/ah-tk-20192020-2274.html</w:t>
        </w:r>
      </w:hyperlink>
      <w:r w:rsidRPr="00BE4F9D">
        <w:rPr>
          <w:rFonts w:ascii="Verdana" w:eastAsia="Times New Roman" w:hAnsi="Verdana" w:cs="Times New Roman"/>
          <w:kern w:val="0"/>
          <w:sz w:val="16"/>
          <w:szCs w:val="16"/>
          <w:lang w:eastAsia="nl-NL"/>
          <w14:ligatures w14:val="none"/>
        </w:rPr>
        <w:t xml:space="preserve"> (Kamerstuk: Aanhangsel Handelingen II, 2019–2020, nr. 2274) </w:t>
      </w:r>
    </w:p>
  </w:footnote>
  <w:footnote w:id="9">
    <w:p w14:paraId="5B6711E2" w14:textId="77777777" w:rsidR="00C77132" w:rsidRPr="00BE4F9D" w:rsidRDefault="00C77132" w:rsidP="00C77132">
      <w:pPr>
        <w:pStyle w:val="Voetnoottekst"/>
        <w:rPr>
          <w:rFonts w:ascii="Verdana" w:hAnsi="Verdana"/>
          <w:sz w:val="16"/>
          <w:szCs w:val="16"/>
        </w:rPr>
      </w:pPr>
      <w:r w:rsidRPr="00BE4F9D">
        <w:rPr>
          <w:rStyle w:val="Voetnootmarkering"/>
          <w:rFonts w:ascii="Verdana" w:hAnsi="Verdana"/>
          <w:sz w:val="16"/>
          <w:szCs w:val="16"/>
        </w:rPr>
        <w:footnoteRef/>
      </w:r>
      <w:r w:rsidRPr="00BE4F9D">
        <w:rPr>
          <w:rFonts w:ascii="Verdana" w:hAnsi="Verdana"/>
          <w:sz w:val="16"/>
          <w:szCs w:val="16"/>
        </w:rPr>
        <w:t xml:space="preserve"> </w:t>
      </w:r>
      <w:hyperlink r:id="rId9" w:history="1">
        <w:r w:rsidRPr="00BE4F9D">
          <w:rPr>
            <w:rStyle w:val="Hyperlink"/>
            <w:rFonts w:ascii="Verdana" w:hAnsi="Verdana"/>
            <w:sz w:val="16"/>
            <w:szCs w:val="16"/>
          </w:rPr>
          <w:t>ECLI:</w:t>
        </w:r>
        <w:proofErr w:type="gramStart"/>
        <w:r w:rsidRPr="00BE4F9D">
          <w:rPr>
            <w:rStyle w:val="Hyperlink"/>
            <w:rFonts w:ascii="Verdana" w:hAnsi="Verdana"/>
            <w:sz w:val="16"/>
            <w:szCs w:val="16"/>
          </w:rPr>
          <w:t>NL:RBDHA</w:t>
        </w:r>
        <w:proofErr w:type="gramEnd"/>
        <w:r w:rsidRPr="00BE4F9D">
          <w:rPr>
            <w:rStyle w:val="Hyperlink"/>
            <w:rFonts w:ascii="Verdana" w:hAnsi="Verdana"/>
            <w:sz w:val="16"/>
            <w:szCs w:val="16"/>
          </w:rPr>
          <w:t>:2021:10377, Rechtbank Den Haag, C-09-570739-HA ZA 19-304</w:t>
        </w:r>
      </w:hyperlink>
      <w:r w:rsidRPr="00BE4F9D">
        <w:rPr>
          <w:rFonts w:ascii="Verdana" w:hAnsi="Verdana"/>
          <w:sz w:val="16"/>
          <w:szCs w:val="16"/>
        </w:rPr>
        <w:t xml:space="preserve"> </w:t>
      </w:r>
    </w:p>
  </w:footnote>
  <w:footnote w:id="10">
    <w:p w14:paraId="1C260144" w14:textId="77777777" w:rsidR="00C77132" w:rsidRPr="00BE4F9D" w:rsidRDefault="00C77132" w:rsidP="00C77132">
      <w:pPr>
        <w:pStyle w:val="Voetnoottekst"/>
        <w:rPr>
          <w:rFonts w:ascii="Verdana" w:hAnsi="Verdana"/>
          <w:sz w:val="16"/>
          <w:szCs w:val="16"/>
        </w:rPr>
      </w:pPr>
      <w:r w:rsidRPr="00BE4F9D">
        <w:rPr>
          <w:rStyle w:val="Voetnootmarkering"/>
          <w:rFonts w:ascii="Verdana" w:hAnsi="Verdana"/>
          <w:sz w:val="16"/>
          <w:szCs w:val="16"/>
        </w:rPr>
        <w:footnoteRef/>
      </w:r>
      <w:r w:rsidRPr="00BE4F9D">
        <w:rPr>
          <w:rFonts w:ascii="Verdana" w:hAnsi="Verdana"/>
          <w:sz w:val="16"/>
          <w:szCs w:val="16"/>
        </w:rPr>
        <w:t xml:space="preserve"> </w:t>
      </w:r>
      <w:hyperlink r:id="rId10" w:history="1">
        <w:r w:rsidRPr="00BE4F9D">
          <w:rPr>
            <w:rStyle w:val="Hyperlink"/>
            <w:rFonts w:ascii="Verdana" w:hAnsi="Verdana"/>
            <w:sz w:val="16"/>
            <w:szCs w:val="16"/>
          </w:rPr>
          <w:t>ECLI:</w:t>
        </w:r>
        <w:proofErr w:type="gramStart"/>
        <w:r w:rsidRPr="00BE4F9D">
          <w:rPr>
            <w:rStyle w:val="Hyperlink"/>
            <w:rFonts w:ascii="Verdana" w:hAnsi="Verdana"/>
            <w:sz w:val="16"/>
            <w:szCs w:val="16"/>
          </w:rPr>
          <w:t>NL:CBB</w:t>
        </w:r>
        <w:proofErr w:type="gramEnd"/>
        <w:r w:rsidRPr="00BE4F9D">
          <w:rPr>
            <w:rStyle w:val="Hyperlink"/>
            <w:rFonts w:ascii="Verdana" w:hAnsi="Verdana"/>
            <w:sz w:val="16"/>
            <w:szCs w:val="16"/>
          </w:rPr>
          <w:t>:2021:1063, College van Beroep voor het bedrijfsleven, 21/446, 21/447, 21/448 en 21/449</w:t>
        </w:r>
      </w:hyperlink>
      <w:r w:rsidRPr="00BE4F9D">
        <w:rPr>
          <w:rFonts w:ascii="Verdana" w:hAnsi="Verdana"/>
          <w:sz w:val="16"/>
          <w:szCs w:val="16"/>
        </w:rPr>
        <w:t xml:space="preserve"> </w:t>
      </w:r>
    </w:p>
  </w:footnote>
  <w:footnote w:id="11">
    <w:p w14:paraId="426295C4" w14:textId="77777777" w:rsidR="00C77132" w:rsidRPr="00BE4F9D" w:rsidRDefault="00C77132" w:rsidP="00C77132">
      <w:pPr>
        <w:pStyle w:val="Voetnoottekst"/>
        <w:rPr>
          <w:rFonts w:ascii="Verdana" w:hAnsi="Verdana"/>
          <w:sz w:val="16"/>
          <w:szCs w:val="16"/>
        </w:rPr>
      </w:pPr>
      <w:r w:rsidRPr="00BE4F9D">
        <w:rPr>
          <w:rStyle w:val="Voetnootmarkering"/>
          <w:rFonts w:ascii="Verdana" w:hAnsi="Verdana"/>
          <w:sz w:val="16"/>
          <w:szCs w:val="16"/>
        </w:rPr>
        <w:footnoteRef/>
      </w:r>
      <w:r w:rsidRPr="00BE4F9D">
        <w:rPr>
          <w:rFonts w:ascii="Verdana" w:hAnsi="Verdana"/>
          <w:sz w:val="16"/>
          <w:szCs w:val="16"/>
        </w:rPr>
        <w:t xml:space="preserve"> </w:t>
      </w:r>
      <w:hyperlink r:id="rId11" w:history="1">
        <w:r w:rsidRPr="00BE4F9D">
          <w:rPr>
            <w:rStyle w:val="Hyperlink"/>
            <w:rFonts w:ascii="Verdana" w:hAnsi="Verdana" w:cs="Times New Roman"/>
            <w:sz w:val="16"/>
            <w:szCs w:val="16"/>
          </w:rPr>
          <w:t>ECLI:</w:t>
        </w:r>
        <w:proofErr w:type="gramStart"/>
        <w:r w:rsidRPr="00BE4F9D">
          <w:rPr>
            <w:rStyle w:val="Hyperlink"/>
            <w:rFonts w:ascii="Verdana" w:hAnsi="Verdana" w:cs="Times New Roman"/>
            <w:sz w:val="16"/>
            <w:szCs w:val="16"/>
          </w:rPr>
          <w:t>NL:RBROT</w:t>
        </w:r>
        <w:proofErr w:type="gramEnd"/>
        <w:r w:rsidRPr="00BE4F9D">
          <w:rPr>
            <w:rStyle w:val="Hyperlink"/>
            <w:rFonts w:ascii="Verdana" w:hAnsi="Verdana" w:cs="Times New Roman"/>
            <w:sz w:val="16"/>
            <w:szCs w:val="16"/>
          </w:rPr>
          <w:t>:2023:914, Rechtbank Rotterdam, ROT 22/883 en ROT 22/884</w:t>
        </w:r>
      </w:hyperlink>
      <w:r w:rsidRPr="00BE4F9D">
        <w:rPr>
          <w:rFonts w:ascii="Verdana" w:hAnsi="Verdana" w:cs="Times New Roman"/>
          <w:sz w:val="16"/>
          <w:szCs w:val="16"/>
        </w:rPr>
        <w:t xml:space="preserve"> </w:t>
      </w:r>
    </w:p>
  </w:footnote>
  <w:footnote w:id="12">
    <w:p w14:paraId="5B186907" w14:textId="77777777" w:rsidR="00C77132" w:rsidRPr="00BE4F9D" w:rsidRDefault="00C77132" w:rsidP="00C77132">
      <w:pPr>
        <w:pStyle w:val="Voetnoottekst"/>
        <w:rPr>
          <w:rFonts w:ascii="Verdana" w:hAnsi="Verdana" w:cs="Times New Roman"/>
          <w:sz w:val="16"/>
          <w:szCs w:val="16"/>
        </w:rPr>
      </w:pPr>
      <w:r w:rsidRPr="00BE4F9D">
        <w:rPr>
          <w:rStyle w:val="Voetnootmarkering"/>
          <w:rFonts w:ascii="Verdana" w:hAnsi="Verdana" w:cs="Times New Roman"/>
          <w:sz w:val="16"/>
          <w:szCs w:val="16"/>
        </w:rPr>
        <w:footnoteRef/>
      </w:r>
      <w:r w:rsidRPr="00BE4F9D">
        <w:rPr>
          <w:rFonts w:ascii="Verdana" w:hAnsi="Verdana" w:cs="Times New Roman"/>
          <w:sz w:val="16"/>
          <w:szCs w:val="16"/>
        </w:rPr>
        <w:t xml:space="preserve"> </w:t>
      </w:r>
      <w:hyperlink r:id="rId12" w:history="1">
        <w:r w:rsidRPr="00BE4F9D">
          <w:rPr>
            <w:rStyle w:val="Hyperlink"/>
            <w:rFonts w:ascii="Verdana" w:hAnsi="Verdana" w:cs="Times New Roman"/>
            <w:sz w:val="16"/>
            <w:szCs w:val="16"/>
          </w:rPr>
          <w:t>ECLI:</w:t>
        </w:r>
        <w:proofErr w:type="gramStart"/>
        <w:r w:rsidRPr="00BE4F9D">
          <w:rPr>
            <w:rStyle w:val="Hyperlink"/>
            <w:rFonts w:ascii="Verdana" w:hAnsi="Verdana" w:cs="Times New Roman"/>
            <w:sz w:val="16"/>
            <w:szCs w:val="16"/>
          </w:rPr>
          <w:t>NL:GHDHA</w:t>
        </w:r>
        <w:proofErr w:type="gramEnd"/>
        <w:r w:rsidRPr="00BE4F9D">
          <w:rPr>
            <w:rStyle w:val="Hyperlink"/>
            <w:rFonts w:ascii="Verdana" w:hAnsi="Verdana" w:cs="Times New Roman"/>
            <w:sz w:val="16"/>
            <w:szCs w:val="16"/>
          </w:rPr>
          <w:t>:2024:490, Gerechtshof Den Haag, 200.304.447/01</w:t>
        </w:r>
      </w:hyperlink>
      <w:r w:rsidRPr="00BE4F9D">
        <w:rPr>
          <w:rFonts w:ascii="Verdana" w:hAnsi="Verdana" w:cs="Times New Roman"/>
          <w:sz w:val="16"/>
          <w:szCs w:val="16"/>
        </w:rPr>
        <w:t xml:space="preserve"> </w:t>
      </w:r>
    </w:p>
  </w:footnote>
  <w:footnote w:id="13">
    <w:p w14:paraId="55F8E7A5" w14:textId="77777777" w:rsidR="00651E2B" w:rsidRPr="00156659" w:rsidRDefault="00651E2B" w:rsidP="00651E2B">
      <w:pPr>
        <w:pStyle w:val="Voetnoottekst"/>
      </w:pPr>
      <w:r>
        <w:rPr>
          <w:rStyle w:val="Voetnootmarkering"/>
        </w:rPr>
        <w:footnoteRef/>
      </w:r>
      <w:r>
        <w:t xml:space="preserve"> </w:t>
      </w:r>
      <w:hyperlink r:id="rId13" w:history="1">
        <w:r w:rsidRPr="00156659">
          <w:rPr>
            <w:rStyle w:val="Hyperlink"/>
          </w:rPr>
          <w:t>ECLI:</w:t>
        </w:r>
        <w:proofErr w:type="gramStart"/>
        <w:r w:rsidRPr="00156659">
          <w:rPr>
            <w:rStyle w:val="Hyperlink"/>
          </w:rPr>
          <w:t>NL:RBDHA</w:t>
        </w:r>
        <w:proofErr w:type="gramEnd"/>
        <w:r w:rsidRPr="00156659">
          <w:rPr>
            <w:rStyle w:val="Hyperlink"/>
          </w:rPr>
          <w:t>:2024:19847, Rechtbank Den Haag, C/09/661565</w:t>
        </w:r>
      </w:hyperlink>
    </w:p>
  </w:footnote>
  <w:footnote w:id="14">
    <w:p w14:paraId="34A85E9C" w14:textId="77777777" w:rsidR="00BF33BE" w:rsidRPr="00BE4F9D" w:rsidRDefault="00BF33BE" w:rsidP="00BF33BE">
      <w:pPr>
        <w:pStyle w:val="Voetnoottekst"/>
        <w:rPr>
          <w:rFonts w:ascii="Verdana" w:hAnsi="Verdana"/>
          <w:sz w:val="16"/>
          <w:szCs w:val="16"/>
        </w:rPr>
      </w:pPr>
      <w:r w:rsidRPr="00BE4F9D">
        <w:rPr>
          <w:rStyle w:val="Voetnootmarkering"/>
          <w:rFonts w:ascii="Verdana" w:hAnsi="Verdana" w:cs="Times New Roman"/>
          <w:sz w:val="16"/>
          <w:szCs w:val="16"/>
        </w:rPr>
        <w:footnoteRef/>
      </w:r>
      <w:r w:rsidRPr="00BE4F9D">
        <w:rPr>
          <w:rFonts w:ascii="Verdana" w:hAnsi="Verdana" w:cs="Times New Roman"/>
          <w:sz w:val="16"/>
          <w:szCs w:val="16"/>
        </w:rPr>
        <w:t xml:space="preserve"> </w:t>
      </w:r>
      <w:hyperlink r:id="rId14" w:history="1">
        <w:r w:rsidRPr="00BE4F9D">
          <w:rPr>
            <w:rStyle w:val="Hyperlink"/>
            <w:rFonts w:ascii="Verdana" w:hAnsi="Verdana" w:cs="Times New Roman"/>
            <w:sz w:val="16"/>
            <w:szCs w:val="16"/>
          </w:rPr>
          <w:t>Kamervragen zonder antwoord nr. 2025Z09095 | Overheid.nl &gt; Officiële bekendmakingen</w:t>
        </w:r>
      </w:hyperlink>
      <w:r w:rsidRPr="00BE4F9D">
        <w:rPr>
          <w:rFonts w:ascii="Verdana" w:eastAsia="Times New Roman" w:hAnsi="Verdana" w:cs="Times New Roman"/>
          <w:kern w:val="0"/>
          <w:sz w:val="16"/>
          <w:szCs w:val="16"/>
          <w:lang w:eastAsia="nl-NL"/>
          <w14:ligatures w14:val="none"/>
        </w:rPr>
        <w:t xml:space="preserve">  </w:t>
      </w:r>
    </w:p>
  </w:footnote>
  <w:footnote w:id="15">
    <w:p w14:paraId="52820FCD" w14:textId="77777777" w:rsidR="00C77132" w:rsidRPr="00BE4F9D" w:rsidRDefault="00C77132" w:rsidP="00C77132">
      <w:pPr>
        <w:pStyle w:val="Voetnoottekst"/>
        <w:rPr>
          <w:rFonts w:ascii="Verdana" w:hAnsi="Verdana" w:cs="Times New Roman"/>
          <w:sz w:val="16"/>
          <w:szCs w:val="16"/>
        </w:rPr>
      </w:pPr>
      <w:r w:rsidRPr="00BE4F9D">
        <w:rPr>
          <w:rStyle w:val="Voetnootmarkering"/>
          <w:rFonts w:ascii="Verdana" w:hAnsi="Verdana" w:cs="Times New Roman"/>
          <w:sz w:val="16"/>
          <w:szCs w:val="16"/>
        </w:rPr>
        <w:footnoteRef/>
      </w:r>
      <w:r w:rsidRPr="00BE4F9D">
        <w:rPr>
          <w:rFonts w:ascii="Verdana" w:hAnsi="Verdana" w:cs="Times New Roman"/>
          <w:sz w:val="16"/>
          <w:szCs w:val="16"/>
        </w:rPr>
        <w:t xml:space="preserve"> </w:t>
      </w:r>
      <w:hyperlink r:id="rId15" w:history="1">
        <w:r w:rsidRPr="00BE4F9D">
          <w:rPr>
            <w:rFonts w:ascii="Verdana" w:eastAsia="Times New Roman" w:hAnsi="Verdana" w:cs="Times New Roman"/>
            <w:color w:val="0000FF"/>
            <w:kern w:val="0"/>
            <w:sz w:val="16"/>
            <w:szCs w:val="16"/>
            <w:u w:val="single"/>
            <w:lang w:eastAsia="nl-NL"/>
            <w14:ligatures w14:val="none"/>
          </w:rPr>
          <w:t>https://www.nrc.nl/nieuws/2025/05/11/de-toegeeigende-pensioenmiljarden-van-havenarbeiders-en-de-rol-van-dnb-wie-houdt-toezicht-op-de-toezichthouder-a4892891</w:t>
        </w:r>
      </w:hyperlink>
      <w:r w:rsidRPr="00BE4F9D">
        <w:rPr>
          <w:rFonts w:ascii="Verdana" w:eastAsia="Times New Roman" w:hAnsi="Verdana" w:cs="Times New Roman"/>
          <w:kern w:val="0"/>
          <w:sz w:val="16"/>
          <w:szCs w:val="16"/>
          <w:lang w:eastAsia="nl-NL"/>
          <w14:ligatures w14:val="none"/>
        </w:rPr>
        <w:t xml:space="preserve"> </w:t>
      </w:r>
    </w:p>
  </w:footnote>
  <w:footnote w:id="16">
    <w:p w14:paraId="5F00B39F" w14:textId="77777777" w:rsidR="00EE79EA" w:rsidRDefault="00EE79EA" w:rsidP="00EE79EA">
      <w:pPr>
        <w:pStyle w:val="Voetnoottekst"/>
      </w:pPr>
      <w:r>
        <w:rPr>
          <w:rStyle w:val="Voetnootmarkering"/>
        </w:rPr>
        <w:footnoteRef/>
      </w:r>
      <w:r>
        <w:t xml:space="preserve"> </w:t>
      </w:r>
      <w:hyperlink r:id="rId16" w:history="1">
        <w:r w:rsidRPr="008723FD">
          <w:rPr>
            <w:rStyle w:val="Hyperlink"/>
          </w:rPr>
          <w:t>ECLI:</w:t>
        </w:r>
        <w:proofErr w:type="gramStart"/>
        <w:r w:rsidRPr="008723FD">
          <w:rPr>
            <w:rStyle w:val="Hyperlink"/>
          </w:rPr>
          <w:t>NL:PHR</w:t>
        </w:r>
        <w:proofErr w:type="gramEnd"/>
        <w:r w:rsidRPr="008723FD">
          <w:rPr>
            <w:rStyle w:val="Hyperlink"/>
          </w:rPr>
          <w:t>:2025:557, Parket bij de Hoge Raad, 24/02595</w:t>
        </w:r>
      </w:hyperlink>
      <w:r>
        <w:t xml:space="preserve"> </w:t>
      </w:r>
    </w:p>
  </w:footnote>
  <w:footnote w:id="17">
    <w:p w14:paraId="579D8371" w14:textId="7C0DC18C" w:rsidR="00BE4F9D" w:rsidRPr="00BE4F9D" w:rsidRDefault="00BE4F9D">
      <w:pPr>
        <w:pStyle w:val="Voetnoottekst"/>
        <w:rPr>
          <w:rFonts w:ascii="Verdana" w:hAnsi="Verdana"/>
          <w:sz w:val="16"/>
          <w:szCs w:val="16"/>
        </w:rPr>
      </w:pPr>
      <w:r w:rsidRPr="00BE4F9D">
        <w:rPr>
          <w:rStyle w:val="Voetnootmarkering"/>
          <w:rFonts w:ascii="Verdana" w:hAnsi="Verdana"/>
          <w:sz w:val="16"/>
          <w:szCs w:val="16"/>
        </w:rPr>
        <w:footnoteRef/>
      </w:r>
      <w:r w:rsidRPr="00BE4F9D">
        <w:rPr>
          <w:rFonts w:ascii="Verdana" w:hAnsi="Verdana"/>
          <w:sz w:val="16"/>
          <w:szCs w:val="16"/>
        </w:rPr>
        <w:t xml:space="preserve"> </w:t>
      </w:r>
      <w:hyperlink r:id="rId17" w:history="1">
        <w:r w:rsidRPr="00BE4F9D">
          <w:rPr>
            <w:rStyle w:val="Hyperlink"/>
            <w:rFonts w:ascii="Verdana" w:hAnsi="Verdana"/>
            <w:sz w:val="16"/>
            <w:szCs w:val="16"/>
          </w:rPr>
          <w:t>Aanbiedingsbrief bij actualisatie visie toezicht op afstand en onderliggende bijlagen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4AAAF" w14:textId="77777777" w:rsidR="00727DA0" w:rsidRDefault="00727D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20F29" w14:textId="77777777" w:rsidR="00727DA0" w:rsidRDefault="00727DA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92173" w14:textId="77777777" w:rsidR="00727DA0" w:rsidRDefault="00727DA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C778B"/>
    <w:multiLevelType w:val="multilevel"/>
    <w:tmpl w:val="B0BC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D1A1F"/>
    <w:multiLevelType w:val="multilevel"/>
    <w:tmpl w:val="BBF2E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E7D39"/>
    <w:multiLevelType w:val="hybridMultilevel"/>
    <w:tmpl w:val="6C0EF3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8E642B4"/>
    <w:multiLevelType w:val="hybridMultilevel"/>
    <w:tmpl w:val="69C054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FBC7428"/>
    <w:multiLevelType w:val="multilevel"/>
    <w:tmpl w:val="CA3AC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F504DD"/>
    <w:multiLevelType w:val="multilevel"/>
    <w:tmpl w:val="957A0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FB59F6"/>
    <w:multiLevelType w:val="hybridMultilevel"/>
    <w:tmpl w:val="3BB615B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8E7299F"/>
    <w:multiLevelType w:val="hybridMultilevel"/>
    <w:tmpl w:val="9A8C6172"/>
    <w:lvl w:ilvl="0" w:tplc="15663056">
      <w:start w:val="5"/>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3E7F4D6D"/>
    <w:multiLevelType w:val="hybridMultilevel"/>
    <w:tmpl w:val="1C6A93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71364BE"/>
    <w:multiLevelType w:val="multilevel"/>
    <w:tmpl w:val="2BC4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A17AE1"/>
    <w:multiLevelType w:val="hybridMultilevel"/>
    <w:tmpl w:val="D9F88D9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51706F4A"/>
    <w:multiLevelType w:val="multilevel"/>
    <w:tmpl w:val="7BE8D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4D517F"/>
    <w:multiLevelType w:val="multilevel"/>
    <w:tmpl w:val="8AF66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A87E79"/>
    <w:multiLevelType w:val="multilevel"/>
    <w:tmpl w:val="8CD2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1D0851"/>
    <w:multiLevelType w:val="hybridMultilevel"/>
    <w:tmpl w:val="52C26B2E"/>
    <w:lvl w:ilvl="0" w:tplc="C31A416C">
      <w:start w:val="5"/>
      <w:numFmt w:val="bullet"/>
      <w:lvlText w:val="-"/>
      <w:lvlJc w:val="left"/>
      <w:pPr>
        <w:ind w:left="720" w:hanging="360"/>
      </w:pPr>
      <w:rPr>
        <w:rFonts w:ascii="Verdana" w:eastAsia="DejaVuSerifCondensed" w:hAnsi="Verdana" w:cs="DejaVuSerifCondensed"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62AD3F7F"/>
    <w:multiLevelType w:val="multilevel"/>
    <w:tmpl w:val="32E25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A17308"/>
    <w:multiLevelType w:val="multilevel"/>
    <w:tmpl w:val="8E143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E56FF7"/>
    <w:multiLevelType w:val="multilevel"/>
    <w:tmpl w:val="646E5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C21EA0"/>
    <w:multiLevelType w:val="multilevel"/>
    <w:tmpl w:val="492A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EE4885"/>
    <w:multiLevelType w:val="multilevel"/>
    <w:tmpl w:val="B56EF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454990"/>
    <w:multiLevelType w:val="hybridMultilevel"/>
    <w:tmpl w:val="CB0AF640"/>
    <w:lvl w:ilvl="0" w:tplc="6D06E748">
      <w:start w:val="2"/>
      <w:numFmt w:val="bullet"/>
      <w:lvlText w:val=""/>
      <w:lvlJc w:val="left"/>
      <w:pPr>
        <w:ind w:left="36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354814422">
    <w:abstractNumId w:val="20"/>
  </w:num>
  <w:num w:numId="2" w16cid:durableId="521477187">
    <w:abstractNumId w:val="18"/>
  </w:num>
  <w:num w:numId="3" w16cid:durableId="818496772">
    <w:abstractNumId w:val="15"/>
  </w:num>
  <w:num w:numId="4" w16cid:durableId="1891115987">
    <w:abstractNumId w:val="16"/>
  </w:num>
  <w:num w:numId="5" w16cid:durableId="1189952644">
    <w:abstractNumId w:val="1"/>
  </w:num>
  <w:num w:numId="6" w16cid:durableId="382757686">
    <w:abstractNumId w:val="13"/>
  </w:num>
  <w:num w:numId="7" w16cid:durableId="2111467487">
    <w:abstractNumId w:val="12"/>
  </w:num>
  <w:num w:numId="8" w16cid:durableId="1867714698">
    <w:abstractNumId w:val="0"/>
  </w:num>
  <w:num w:numId="9" w16cid:durableId="731344915">
    <w:abstractNumId w:val="4"/>
  </w:num>
  <w:num w:numId="10" w16cid:durableId="234440107">
    <w:abstractNumId w:val="17"/>
  </w:num>
  <w:num w:numId="11" w16cid:durableId="1809130779">
    <w:abstractNumId w:val="19"/>
  </w:num>
  <w:num w:numId="12" w16cid:durableId="1615819294">
    <w:abstractNumId w:val="5"/>
  </w:num>
  <w:num w:numId="13" w16cid:durableId="1157308433">
    <w:abstractNumId w:val="9"/>
  </w:num>
  <w:num w:numId="14" w16cid:durableId="2111582777">
    <w:abstractNumId w:val="11"/>
  </w:num>
  <w:num w:numId="15" w16cid:durableId="1870529729">
    <w:abstractNumId w:val="2"/>
  </w:num>
  <w:num w:numId="16" w16cid:durableId="567427244">
    <w:abstractNumId w:val="8"/>
  </w:num>
  <w:num w:numId="17" w16cid:durableId="1960258843">
    <w:abstractNumId w:val="3"/>
  </w:num>
  <w:num w:numId="18" w16cid:durableId="1761751896">
    <w:abstractNumId w:val="10"/>
  </w:num>
  <w:num w:numId="19" w16cid:durableId="1103574230">
    <w:abstractNumId w:val="7"/>
  </w:num>
  <w:num w:numId="20" w16cid:durableId="212936461">
    <w:abstractNumId w:val="14"/>
  </w:num>
  <w:num w:numId="21" w16cid:durableId="12885826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B77"/>
    <w:rsid w:val="00041A08"/>
    <w:rsid w:val="00045C52"/>
    <w:rsid w:val="00051BCB"/>
    <w:rsid w:val="000E7BC9"/>
    <w:rsid w:val="000F4C2C"/>
    <w:rsid w:val="000F78BA"/>
    <w:rsid w:val="001F61AD"/>
    <w:rsid w:val="002557CA"/>
    <w:rsid w:val="00257000"/>
    <w:rsid w:val="002E0549"/>
    <w:rsid w:val="002F7B99"/>
    <w:rsid w:val="003354CA"/>
    <w:rsid w:val="003451A0"/>
    <w:rsid w:val="003500BB"/>
    <w:rsid w:val="00365E2F"/>
    <w:rsid w:val="003B2CE3"/>
    <w:rsid w:val="00490719"/>
    <w:rsid w:val="004B4CE3"/>
    <w:rsid w:val="004F1F39"/>
    <w:rsid w:val="004F41AB"/>
    <w:rsid w:val="005053A0"/>
    <w:rsid w:val="00516486"/>
    <w:rsid w:val="0065184D"/>
    <w:rsid w:val="00651E2B"/>
    <w:rsid w:val="00652423"/>
    <w:rsid w:val="006636A0"/>
    <w:rsid w:val="00671219"/>
    <w:rsid w:val="006773B7"/>
    <w:rsid w:val="0070088A"/>
    <w:rsid w:val="00727DA0"/>
    <w:rsid w:val="00735D10"/>
    <w:rsid w:val="00794594"/>
    <w:rsid w:val="007A1724"/>
    <w:rsid w:val="007A3211"/>
    <w:rsid w:val="007F0008"/>
    <w:rsid w:val="00803091"/>
    <w:rsid w:val="008E0ADC"/>
    <w:rsid w:val="008F03ED"/>
    <w:rsid w:val="009457F9"/>
    <w:rsid w:val="009B1162"/>
    <w:rsid w:val="009B6B88"/>
    <w:rsid w:val="00A10AA7"/>
    <w:rsid w:val="00A12F3A"/>
    <w:rsid w:val="00A7727B"/>
    <w:rsid w:val="00AB4B8F"/>
    <w:rsid w:val="00AE3AD7"/>
    <w:rsid w:val="00B00751"/>
    <w:rsid w:val="00B07B19"/>
    <w:rsid w:val="00B16F35"/>
    <w:rsid w:val="00B31240"/>
    <w:rsid w:val="00B3276A"/>
    <w:rsid w:val="00BE3D40"/>
    <w:rsid w:val="00BE4F9D"/>
    <w:rsid w:val="00BF33BE"/>
    <w:rsid w:val="00BF7B77"/>
    <w:rsid w:val="00C1093C"/>
    <w:rsid w:val="00C557CD"/>
    <w:rsid w:val="00C77132"/>
    <w:rsid w:val="00C8356E"/>
    <w:rsid w:val="00D00F84"/>
    <w:rsid w:val="00D30CC0"/>
    <w:rsid w:val="00D632F9"/>
    <w:rsid w:val="00D97B6C"/>
    <w:rsid w:val="00D97E69"/>
    <w:rsid w:val="00DA5C5D"/>
    <w:rsid w:val="00DC273F"/>
    <w:rsid w:val="00DF5103"/>
    <w:rsid w:val="00E02076"/>
    <w:rsid w:val="00E10F2B"/>
    <w:rsid w:val="00E408B1"/>
    <w:rsid w:val="00EE1CEA"/>
    <w:rsid w:val="00EE79EA"/>
    <w:rsid w:val="00EF386D"/>
    <w:rsid w:val="00F42E58"/>
    <w:rsid w:val="00F46423"/>
    <w:rsid w:val="00F86EB8"/>
    <w:rsid w:val="00F96832"/>
    <w:rsid w:val="00FE4B64"/>
    <w:rsid w:val="00FF5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5C3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F7B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F7B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F7B7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F7B7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F7B7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F7B7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F7B7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F7B7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F7B7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7B7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F7B7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F7B7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F7B7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F7B7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F7B7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F7B7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F7B7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F7B77"/>
    <w:rPr>
      <w:rFonts w:eastAsiaTheme="majorEastAsia" w:cstheme="majorBidi"/>
      <w:color w:val="272727" w:themeColor="text1" w:themeTint="D8"/>
    </w:rPr>
  </w:style>
  <w:style w:type="paragraph" w:styleId="Titel">
    <w:name w:val="Title"/>
    <w:basedOn w:val="Standaard"/>
    <w:next w:val="Standaard"/>
    <w:link w:val="TitelChar"/>
    <w:uiPriority w:val="10"/>
    <w:qFormat/>
    <w:rsid w:val="00BF7B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7B7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7B7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F7B7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F7B7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F7B77"/>
    <w:rPr>
      <w:i/>
      <w:iCs/>
      <w:color w:val="404040" w:themeColor="text1" w:themeTint="BF"/>
    </w:rPr>
  </w:style>
  <w:style w:type="paragraph" w:styleId="Lijstalinea">
    <w:name w:val="List Paragraph"/>
    <w:basedOn w:val="Standaard"/>
    <w:uiPriority w:val="34"/>
    <w:qFormat/>
    <w:rsid w:val="00BF7B77"/>
    <w:pPr>
      <w:ind w:left="720"/>
      <w:contextualSpacing/>
    </w:pPr>
  </w:style>
  <w:style w:type="character" w:styleId="Intensievebenadrukking">
    <w:name w:val="Intense Emphasis"/>
    <w:basedOn w:val="Standaardalinea-lettertype"/>
    <w:uiPriority w:val="21"/>
    <w:qFormat/>
    <w:rsid w:val="00BF7B77"/>
    <w:rPr>
      <w:i/>
      <w:iCs/>
      <w:color w:val="0F4761" w:themeColor="accent1" w:themeShade="BF"/>
    </w:rPr>
  </w:style>
  <w:style w:type="paragraph" w:styleId="Duidelijkcitaat">
    <w:name w:val="Intense Quote"/>
    <w:basedOn w:val="Standaard"/>
    <w:next w:val="Standaard"/>
    <w:link w:val="DuidelijkcitaatChar"/>
    <w:uiPriority w:val="30"/>
    <w:qFormat/>
    <w:rsid w:val="00BF7B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F7B77"/>
    <w:rPr>
      <w:i/>
      <w:iCs/>
      <w:color w:val="0F4761" w:themeColor="accent1" w:themeShade="BF"/>
    </w:rPr>
  </w:style>
  <w:style w:type="character" w:styleId="Intensieveverwijzing">
    <w:name w:val="Intense Reference"/>
    <w:basedOn w:val="Standaardalinea-lettertype"/>
    <w:uiPriority w:val="32"/>
    <w:qFormat/>
    <w:rsid w:val="00BF7B77"/>
    <w:rPr>
      <w:b/>
      <w:bCs/>
      <w:smallCaps/>
      <w:color w:val="0F4761" w:themeColor="accent1" w:themeShade="BF"/>
      <w:spacing w:val="5"/>
    </w:rPr>
  </w:style>
  <w:style w:type="character" w:styleId="Hyperlink">
    <w:name w:val="Hyperlink"/>
    <w:basedOn w:val="Standaardalinea-lettertype"/>
    <w:uiPriority w:val="99"/>
    <w:unhideWhenUsed/>
    <w:rsid w:val="00BF7B77"/>
    <w:rPr>
      <w:color w:val="467886" w:themeColor="hyperlink"/>
      <w:u w:val="single"/>
    </w:rPr>
  </w:style>
  <w:style w:type="character" w:styleId="Onopgelostemelding">
    <w:name w:val="Unresolved Mention"/>
    <w:basedOn w:val="Standaardalinea-lettertype"/>
    <w:uiPriority w:val="99"/>
    <w:semiHidden/>
    <w:unhideWhenUsed/>
    <w:rsid w:val="00BF7B77"/>
    <w:rPr>
      <w:color w:val="605E5C"/>
      <w:shd w:val="clear" w:color="auto" w:fill="E1DFDD"/>
    </w:rPr>
  </w:style>
  <w:style w:type="character" w:styleId="GevolgdeHyperlink">
    <w:name w:val="FollowedHyperlink"/>
    <w:basedOn w:val="Standaardalinea-lettertype"/>
    <w:uiPriority w:val="99"/>
    <w:semiHidden/>
    <w:unhideWhenUsed/>
    <w:rsid w:val="00BF7B77"/>
    <w:rPr>
      <w:color w:val="96607D" w:themeColor="followedHyperlink"/>
      <w:u w:val="single"/>
    </w:rPr>
  </w:style>
  <w:style w:type="paragraph" w:styleId="Voetnoottekst">
    <w:name w:val="footnote text"/>
    <w:basedOn w:val="Standaard"/>
    <w:link w:val="VoetnoottekstChar"/>
    <w:uiPriority w:val="99"/>
    <w:semiHidden/>
    <w:unhideWhenUsed/>
    <w:rsid w:val="00C7713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77132"/>
    <w:rPr>
      <w:sz w:val="20"/>
      <w:szCs w:val="20"/>
    </w:rPr>
  </w:style>
  <w:style w:type="character" w:styleId="Voetnootmarkering">
    <w:name w:val="footnote reference"/>
    <w:basedOn w:val="Standaardalinea-lettertype"/>
    <w:uiPriority w:val="99"/>
    <w:semiHidden/>
    <w:unhideWhenUsed/>
    <w:rsid w:val="00C77132"/>
    <w:rPr>
      <w:vertAlign w:val="superscript"/>
    </w:rPr>
  </w:style>
  <w:style w:type="paragraph" w:styleId="Revisie">
    <w:name w:val="Revision"/>
    <w:hidden/>
    <w:uiPriority w:val="99"/>
    <w:semiHidden/>
    <w:rsid w:val="00652423"/>
    <w:pPr>
      <w:spacing w:after="0" w:line="240" w:lineRule="auto"/>
    </w:pPr>
  </w:style>
  <w:style w:type="character" w:styleId="Verwijzingopmerking">
    <w:name w:val="annotation reference"/>
    <w:basedOn w:val="Standaardalinea-lettertype"/>
    <w:uiPriority w:val="99"/>
    <w:semiHidden/>
    <w:unhideWhenUsed/>
    <w:rsid w:val="006773B7"/>
    <w:rPr>
      <w:sz w:val="16"/>
      <w:szCs w:val="16"/>
    </w:rPr>
  </w:style>
  <w:style w:type="paragraph" w:styleId="Tekstopmerking">
    <w:name w:val="annotation text"/>
    <w:basedOn w:val="Standaard"/>
    <w:link w:val="TekstopmerkingChar"/>
    <w:uiPriority w:val="99"/>
    <w:unhideWhenUsed/>
    <w:rsid w:val="006773B7"/>
    <w:pPr>
      <w:spacing w:line="240" w:lineRule="auto"/>
    </w:pPr>
    <w:rPr>
      <w:sz w:val="20"/>
      <w:szCs w:val="20"/>
    </w:rPr>
  </w:style>
  <w:style w:type="character" w:customStyle="1" w:styleId="TekstopmerkingChar">
    <w:name w:val="Tekst opmerking Char"/>
    <w:basedOn w:val="Standaardalinea-lettertype"/>
    <w:link w:val="Tekstopmerking"/>
    <w:uiPriority w:val="99"/>
    <w:rsid w:val="006773B7"/>
    <w:rPr>
      <w:sz w:val="20"/>
      <w:szCs w:val="20"/>
    </w:rPr>
  </w:style>
  <w:style w:type="paragraph" w:styleId="Onderwerpvanopmerking">
    <w:name w:val="annotation subject"/>
    <w:basedOn w:val="Tekstopmerking"/>
    <w:next w:val="Tekstopmerking"/>
    <w:link w:val="OnderwerpvanopmerkingChar"/>
    <w:uiPriority w:val="99"/>
    <w:semiHidden/>
    <w:unhideWhenUsed/>
    <w:rsid w:val="006773B7"/>
    <w:rPr>
      <w:b/>
      <w:bCs/>
    </w:rPr>
  </w:style>
  <w:style w:type="character" w:customStyle="1" w:styleId="OnderwerpvanopmerkingChar">
    <w:name w:val="Onderwerp van opmerking Char"/>
    <w:basedOn w:val="TekstopmerkingChar"/>
    <w:link w:val="Onderwerpvanopmerking"/>
    <w:uiPriority w:val="99"/>
    <w:semiHidden/>
    <w:rsid w:val="006773B7"/>
    <w:rPr>
      <w:b/>
      <w:bCs/>
      <w:sz w:val="20"/>
      <w:szCs w:val="20"/>
    </w:rPr>
  </w:style>
  <w:style w:type="paragraph" w:styleId="Koptekst">
    <w:name w:val="header"/>
    <w:basedOn w:val="Standaard"/>
    <w:link w:val="KoptekstChar"/>
    <w:uiPriority w:val="99"/>
    <w:unhideWhenUsed/>
    <w:rsid w:val="00727DA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27DA0"/>
  </w:style>
  <w:style w:type="paragraph" w:styleId="Voettekst">
    <w:name w:val="footer"/>
    <w:basedOn w:val="Standaard"/>
    <w:link w:val="VoettekstChar"/>
    <w:uiPriority w:val="99"/>
    <w:unhideWhenUsed/>
    <w:rsid w:val="00727DA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27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44733">
      <w:bodyDiv w:val="1"/>
      <w:marLeft w:val="0"/>
      <w:marRight w:val="0"/>
      <w:marTop w:val="0"/>
      <w:marBottom w:val="0"/>
      <w:divBdr>
        <w:top w:val="none" w:sz="0" w:space="0" w:color="auto"/>
        <w:left w:val="none" w:sz="0" w:space="0" w:color="auto"/>
        <w:bottom w:val="none" w:sz="0" w:space="0" w:color="auto"/>
        <w:right w:val="none" w:sz="0" w:space="0" w:color="auto"/>
      </w:divBdr>
    </w:div>
    <w:div w:id="169491719">
      <w:bodyDiv w:val="1"/>
      <w:marLeft w:val="0"/>
      <w:marRight w:val="0"/>
      <w:marTop w:val="0"/>
      <w:marBottom w:val="0"/>
      <w:divBdr>
        <w:top w:val="none" w:sz="0" w:space="0" w:color="auto"/>
        <w:left w:val="none" w:sz="0" w:space="0" w:color="auto"/>
        <w:bottom w:val="none" w:sz="0" w:space="0" w:color="auto"/>
        <w:right w:val="none" w:sz="0" w:space="0" w:color="auto"/>
      </w:divBdr>
    </w:div>
    <w:div w:id="476535557">
      <w:bodyDiv w:val="1"/>
      <w:marLeft w:val="0"/>
      <w:marRight w:val="0"/>
      <w:marTop w:val="0"/>
      <w:marBottom w:val="0"/>
      <w:divBdr>
        <w:top w:val="none" w:sz="0" w:space="0" w:color="auto"/>
        <w:left w:val="none" w:sz="0" w:space="0" w:color="auto"/>
        <w:bottom w:val="none" w:sz="0" w:space="0" w:color="auto"/>
        <w:right w:val="none" w:sz="0" w:space="0" w:color="auto"/>
      </w:divBdr>
    </w:div>
    <w:div w:id="592519039">
      <w:bodyDiv w:val="1"/>
      <w:marLeft w:val="0"/>
      <w:marRight w:val="0"/>
      <w:marTop w:val="0"/>
      <w:marBottom w:val="0"/>
      <w:divBdr>
        <w:top w:val="none" w:sz="0" w:space="0" w:color="auto"/>
        <w:left w:val="none" w:sz="0" w:space="0" w:color="auto"/>
        <w:bottom w:val="none" w:sz="0" w:space="0" w:color="auto"/>
        <w:right w:val="none" w:sz="0" w:space="0" w:color="auto"/>
      </w:divBdr>
    </w:div>
    <w:div w:id="753598532">
      <w:bodyDiv w:val="1"/>
      <w:marLeft w:val="0"/>
      <w:marRight w:val="0"/>
      <w:marTop w:val="0"/>
      <w:marBottom w:val="0"/>
      <w:divBdr>
        <w:top w:val="none" w:sz="0" w:space="0" w:color="auto"/>
        <w:left w:val="none" w:sz="0" w:space="0" w:color="auto"/>
        <w:bottom w:val="none" w:sz="0" w:space="0" w:color="auto"/>
        <w:right w:val="none" w:sz="0" w:space="0" w:color="auto"/>
      </w:divBdr>
    </w:div>
    <w:div w:id="775448258">
      <w:bodyDiv w:val="1"/>
      <w:marLeft w:val="0"/>
      <w:marRight w:val="0"/>
      <w:marTop w:val="0"/>
      <w:marBottom w:val="0"/>
      <w:divBdr>
        <w:top w:val="none" w:sz="0" w:space="0" w:color="auto"/>
        <w:left w:val="none" w:sz="0" w:space="0" w:color="auto"/>
        <w:bottom w:val="none" w:sz="0" w:space="0" w:color="auto"/>
        <w:right w:val="none" w:sz="0" w:space="0" w:color="auto"/>
      </w:divBdr>
    </w:div>
    <w:div w:id="988284949">
      <w:bodyDiv w:val="1"/>
      <w:marLeft w:val="0"/>
      <w:marRight w:val="0"/>
      <w:marTop w:val="0"/>
      <w:marBottom w:val="0"/>
      <w:divBdr>
        <w:top w:val="none" w:sz="0" w:space="0" w:color="auto"/>
        <w:left w:val="none" w:sz="0" w:space="0" w:color="auto"/>
        <w:bottom w:val="none" w:sz="0" w:space="0" w:color="auto"/>
        <w:right w:val="none" w:sz="0" w:space="0" w:color="auto"/>
      </w:divBdr>
    </w:div>
    <w:div w:id="1118331596">
      <w:bodyDiv w:val="1"/>
      <w:marLeft w:val="0"/>
      <w:marRight w:val="0"/>
      <w:marTop w:val="0"/>
      <w:marBottom w:val="0"/>
      <w:divBdr>
        <w:top w:val="none" w:sz="0" w:space="0" w:color="auto"/>
        <w:left w:val="none" w:sz="0" w:space="0" w:color="auto"/>
        <w:bottom w:val="none" w:sz="0" w:space="0" w:color="auto"/>
        <w:right w:val="none" w:sz="0" w:space="0" w:color="auto"/>
      </w:divBdr>
    </w:div>
    <w:div w:id="1242645715">
      <w:bodyDiv w:val="1"/>
      <w:marLeft w:val="0"/>
      <w:marRight w:val="0"/>
      <w:marTop w:val="0"/>
      <w:marBottom w:val="0"/>
      <w:divBdr>
        <w:top w:val="none" w:sz="0" w:space="0" w:color="auto"/>
        <w:left w:val="none" w:sz="0" w:space="0" w:color="auto"/>
        <w:bottom w:val="none" w:sz="0" w:space="0" w:color="auto"/>
        <w:right w:val="none" w:sz="0" w:space="0" w:color="auto"/>
      </w:divBdr>
    </w:div>
    <w:div w:id="1297029840">
      <w:bodyDiv w:val="1"/>
      <w:marLeft w:val="0"/>
      <w:marRight w:val="0"/>
      <w:marTop w:val="0"/>
      <w:marBottom w:val="0"/>
      <w:divBdr>
        <w:top w:val="none" w:sz="0" w:space="0" w:color="auto"/>
        <w:left w:val="none" w:sz="0" w:space="0" w:color="auto"/>
        <w:bottom w:val="none" w:sz="0" w:space="0" w:color="auto"/>
        <w:right w:val="none" w:sz="0" w:space="0" w:color="auto"/>
      </w:divBdr>
    </w:div>
    <w:div w:id="1415014097">
      <w:bodyDiv w:val="1"/>
      <w:marLeft w:val="0"/>
      <w:marRight w:val="0"/>
      <w:marTop w:val="0"/>
      <w:marBottom w:val="0"/>
      <w:divBdr>
        <w:top w:val="none" w:sz="0" w:space="0" w:color="auto"/>
        <w:left w:val="none" w:sz="0" w:space="0" w:color="auto"/>
        <w:bottom w:val="none" w:sz="0" w:space="0" w:color="auto"/>
        <w:right w:val="none" w:sz="0" w:space="0" w:color="auto"/>
      </w:divBdr>
    </w:div>
    <w:div w:id="1425803170">
      <w:bodyDiv w:val="1"/>
      <w:marLeft w:val="0"/>
      <w:marRight w:val="0"/>
      <w:marTop w:val="0"/>
      <w:marBottom w:val="0"/>
      <w:divBdr>
        <w:top w:val="none" w:sz="0" w:space="0" w:color="auto"/>
        <w:left w:val="none" w:sz="0" w:space="0" w:color="auto"/>
        <w:bottom w:val="none" w:sz="0" w:space="0" w:color="auto"/>
        <w:right w:val="none" w:sz="0" w:space="0" w:color="auto"/>
      </w:divBdr>
    </w:div>
    <w:div w:id="1733458958">
      <w:bodyDiv w:val="1"/>
      <w:marLeft w:val="0"/>
      <w:marRight w:val="0"/>
      <w:marTop w:val="0"/>
      <w:marBottom w:val="0"/>
      <w:divBdr>
        <w:top w:val="none" w:sz="0" w:space="0" w:color="auto"/>
        <w:left w:val="none" w:sz="0" w:space="0" w:color="auto"/>
        <w:bottom w:val="none" w:sz="0" w:space="0" w:color="auto"/>
        <w:right w:val="none" w:sz="0" w:space="0" w:color="auto"/>
      </w:divBdr>
    </w:div>
    <w:div w:id="1843472108">
      <w:bodyDiv w:val="1"/>
      <w:marLeft w:val="0"/>
      <w:marRight w:val="0"/>
      <w:marTop w:val="0"/>
      <w:marBottom w:val="0"/>
      <w:divBdr>
        <w:top w:val="none" w:sz="0" w:space="0" w:color="auto"/>
        <w:left w:val="none" w:sz="0" w:space="0" w:color="auto"/>
        <w:bottom w:val="none" w:sz="0" w:space="0" w:color="auto"/>
        <w:right w:val="none" w:sz="0" w:space="0" w:color="auto"/>
      </w:divBdr>
    </w:div>
    <w:div w:id="1866794656">
      <w:bodyDiv w:val="1"/>
      <w:marLeft w:val="0"/>
      <w:marRight w:val="0"/>
      <w:marTop w:val="0"/>
      <w:marBottom w:val="0"/>
      <w:divBdr>
        <w:top w:val="none" w:sz="0" w:space="0" w:color="auto"/>
        <w:left w:val="none" w:sz="0" w:space="0" w:color="auto"/>
        <w:bottom w:val="none" w:sz="0" w:space="0" w:color="auto"/>
        <w:right w:val="none" w:sz="0" w:space="0" w:color="auto"/>
      </w:divBdr>
    </w:div>
    <w:div w:id="2119794430">
      <w:bodyDiv w:val="1"/>
      <w:marLeft w:val="0"/>
      <w:marRight w:val="0"/>
      <w:marTop w:val="0"/>
      <w:marBottom w:val="0"/>
      <w:divBdr>
        <w:top w:val="none" w:sz="0" w:space="0" w:color="auto"/>
        <w:left w:val="none" w:sz="0" w:space="0" w:color="auto"/>
        <w:bottom w:val="none" w:sz="0" w:space="0" w:color="auto"/>
        <w:right w:val="none" w:sz="0" w:space="0" w:color="auto"/>
      </w:divBdr>
    </w:div>
    <w:div w:id="213629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nrc.nl/nieuws/2025/05/11/de-toegeeigende-pensioenmiljarden-van-havenarbeiders-en-de-rol-van-dnb-wie-houdt-toezicht-op-de-toezichthouder-a4892891"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zoek.officielebekendmakingen.nl/ah-tk-20192020-2274.html" TargetMode="External"/><Relationship Id="rId13" Type="http://schemas.openxmlformats.org/officeDocument/2006/relationships/hyperlink" Target="https://uitspraken.rechtspraak.nl/details?id=ECLI:NL:RBDHA:2024:19847" TargetMode="External"/><Relationship Id="rId3" Type="http://schemas.openxmlformats.org/officeDocument/2006/relationships/hyperlink" Target="file:///H:\Downloads\Motie%20Ulenbelt%20over%20aanwending%20van%20het%20vermogen%20van%20OPTAS%20voor%20de%20pensioenen%20van%20havenwerkers%20%20(1).pdf" TargetMode="External"/><Relationship Id="rId7" Type="http://schemas.openxmlformats.org/officeDocument/2006/relationships/hyperlink" Target="https://uitspraken.rechtspraak.nl/details?id=ECLI:NL:RBROT:2015:191" TargetMode="External"/><Relationship Id="rId12" Type="http://schemas.openxmlformats.org/officeDocument/2006/relationships/hyperlink" Target="https://uitspraken.rechtspraak.nl/details?id=ECLI:NL:GHDHA:2024:490" TargetMode="External"/><Relationship Id="rId17" Type="http://schemas.openxmlformats.org/officeDocument/2006/relationships/hyperlink" Target="https://www.rijksoverheid.nl/documenten/kamerstukken/2025/01/30/aanbieding-actualisatie-visie-toezicht-op-afstand-en-onderliggende-bijlagen" TargetMode="External"/><Relationship Id="rId2" Type="http://schemas.openxmlformats.org/officeDocument/2006/relationships/hyperlink" Target="https://zoek.officielebekendmakingen.nl/kst-28294-33.html" TargetMode="External"/><Relationship Id="rId16" Type="http://schemas.openxmlformats.org/officeDocument/2006/relationships/hyperlink" Target="https://uitspraken.rechtspraak.nl/details?id=ECLI:NL:PHR:2025:557" TargetMode="External"/><Relationship Id="rId1" Type="http://schemas.openxmlformats.org/officeDocument/2006/relationships/hyperlink" Target="https://zoek.officielebekendmakingen.nl/kst-28294-32.html" TargetMode="External"/><Relationship Id="rId6" Type="http://schemas.openxmlformats.org/officeDocument/2006/relationships/hyperlink" Target="https://eenvandaag.avrotros.nl/artikelen/havenarbeiders-eisen-miljoenen-van-verzekeraar-39950" TargetMode="External"/><Relationship Id="rId11" Type="http://schemas.openxmlformats.org/officeDocument/2006/relationships/hyperlink" Target="https://uitspraken.rechtspraak.nl/details?id=ECLI:NL:RBROT:2023:914" TargetMode="External"/><Relationship Id="rId5" Type="http://schemas.openxmlformats.org/officeDocument/2006/relationships/hyperlink" Target="https://zoek.officielebekendmakingen.nl/ah-tk-20102011-2788.html" TargetMode="External"/><Relationship Id="rId15" Type="http://schemas.openxmlformats.org/officeDocument/2006/relationships/hyperlink" Target="https://www.nrc.nl/nieuws/2025/05/11/de-toegeeigende-pensioenmiljarden-van-havenarbeiders-en-de-rol-van-dnb-wie-houdt-toezicht-op-de-toezichthouder-a4892891" TargetMode="External"/><Relationship Id="rId10" Type="http://schemas.openxmlformats.org/officeDocument/2006/relationships/hyperlink" Target="https://uitspraken.rechtspraak.nl/details?id=ECLI:NL:CBB:2021:1063" TargetMode="External"/><Relationship Id="rId4" Type="http://schemas.openxmlformats.org/officeDocument/2006/relationships/hyperlink" Target="https://uitspraken.rechtspraak.nl/details?id=ECLI:NL:HR:2011:BN8852" TargetMode="External"/><Relationship Id="rId9" Type="http://schemas.openxmlformats.org/officeDocument/2006/relationships/hyperlink" Target="https://uitspraken.rechtspraak.nl/details?id=ECLI:NL:RBDHA:2021:10377" TargetMode="External"/><Relationship Id="rId14" Type="http://schemas.openxmlformats.org/officeDocument/2006/relationships/hyperlink" Target="https://zoek.officielebekendmakingen.nl/kv-tk-2025Z09095.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2366</ap:Words>
  <ap:Characters>13018</ap:Characters>
  <ap:DocSecurity>0</ap:DocSecurity>
  <ap:Lines>108</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15354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2025-06-24T07:32:00.0000000Z</dcterms:created>
  <dcterms:modified xsi:type="dcterms:W3CDTF">2025-06-24T07:32:00.0000000Z</dcterms:modified>
  <version/>
  <category/>
</coreProperties>
</file>