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186DD1B">
            <w:pPr>
              <w:pStyle w:val="Amendement"/>
              <w:tabs>
                <w:tab w:val="clear" w:pos="3310"/>
                <w:tab w:val="clear" w:pos="3600"/>
              </w:tabs>
              <w:rPr>
                <w:rFonts w:ascii="Times New Roman" w:hAnsi="Times New Roman"/>
              </w:rPr>
            </w:pPr>
            <w:r w:rsidRPr="00C035D4">
              <w:rPr>
                <w:rFonts w:ascii="Times New Roman" w:hAnsi="Times New Roman"/>
              </w:rPr>
              <w:t xml:space="preserve">Nr. </w:t>
            </w:r>
            <w:r w:rsidR="001D77C9">
              <w:rPr>
                <w:rFonts w:ascii="Times New Roman" w:hAnsi="Times New Roman"/>
                <w:caps/>
              </w:rPr>
              <w:t>99</w:t>
            </w:r>
          </w:p>
        </w:tc>
        <w:tc>
          <w:tcPr>
            <w:tcW w:w="7371" w:type="dxa"/>
            <w:gridSpan w:val="2"/>
          </w:tcPr>
          <w:p w:rsidRPr="00C035D4" w:rsidR="003C21AC" w:rsidP="006E0971" w:rsidRDefault="00855DF6" w14:paraId="79580B86" w14:textId="0DDD334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CD044B">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sidR="00CD044B">
              <w:rPr>
                <w:rFonts w:ascii="Times New Roman" w:hAnsi="Times New Roman"/>
                <w:caps/>
              </w:rPr>
              <w:t xml:space="preserve"> </w:t>
            </w:r>
            <w:r w:rsidRPr="000D2F8B" w:rsidR="00CD044B">
              <w:rPr>
                <w:rFonts w:ascii="Times New Roman" w:hAnsi="Times New Roman"/>
                <w:bCs/>
                <w:caps/>
                <w:szCs w:val="24"/>
              </w:rPr>
              <w:t>TER VERVANGING VAN DAT GEDRUKT ONDER NR.</w:t>
            </w:r>
            <w:r w:rsidRPr="00CD044B" w:rsidR="00CD044B">
              <w:rPr>
                <w:rFonts w:ascii="Times New Roman" w:hAnsi="Times New Roman"/>
                <w:bCs/>
                <w:caps/>
              </w:rPr>
              <w:t xml:space="preserve"> </w:t>
            </w:r>
            <w:r>
              <w:rPr>
                <w:rFonts w:ascii="Times New Roman" w:hAnsi="Times New Roman"/>
                <w:caps/>
              </w:rPr>
              <w:t>59</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45B3D8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1312A">
              <w:rPr>
                <w:rFonts w:ascii="Times New Roman" w:hAnsi="Times New Roman"/>
                <w:b w:val="0"/>
              </w:rPr>
              <w:t>24</w:t>
            </w:r>
            <w:r w:rsidR="000D2F8B">
              <w:rPr>
                <w:rFonts w:ascii="Times New Roman" w:hAnsi="Times New Roman"/>
                <w:b w:val="0"/>
              </w:rPr>
              <w:t xml:space="preserve"> 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A7FF7" w:rsidP="00D774B3" w:rsidRDefault="00FA7FF7" w14:paraId="6C45E659" w14:textId="41CDC294">
      <w:r>
        <w:t>I</w:t>
      </w:r>
    </w:p>
    <w:p w:rsidR="00FA7FF7" w:rsidP="00D774B3" w:rsidRDefault="00FA7FF7" w14:paraId="0F80230F" w14:textId="77777777"/>
    <w:p w:rsidR="00926A2C" w:rsidP="000C396C" w:rsidRDefault="00CF26D6" w14:paraId="05EC7344" w14:textId="672A45B4">
      <w:pPr>
        <w:rPr>
          <w:b/>
          <w:bCs/>
          <w:i/>
          <w:iCs/>
        </w:rPr>
      </w:pPr>
      <w:r>
        <w:tab/>
      </w:r>
      <w:r w:rsidR="00FA7FF7">
        <w:t xml:space="preserve">In artikel 1.1 wordt in de begripsbepaling van hernieuwbare bron na “niet-fossiele bron” toegevoegd “, </w:t>
      </w:r>
      <w:r w:rsidR="000345C6">
        <w:t xml:space="preserve">niet zijnde </w:t>
      </w:r>
      <w:r w:rsidR="00FA7FF7">
        <w:t>houtige biomassa,</w:t>
      </w:r>
      <w:r w:rsidR="00787E94">
        <w:t xml:space="preserve"> met uitzondering van het gebruik van houtige biomassa </w:t>
      </w:r>
      <w:r w:rsidR="001166BD">
        <w:t>als de primaire warmtebron wegvalt of als de warmtebron onvoldoende warmte levert om te voldoen aan de tijdelijke hoge vraag om warmte</w:t>
      </w:r>
      <w:r w:rsidR="00246C91">
        <w:t>,</w:t>
      </w:r>
      <w:r w:rsidR="00FA7FF7">
        <w:t>”.</w:t>
      </w:r>
      <w:r w:rsidR="00787E94">
        <w:t xml:space="preserve"> </w:t>
      </w:r>
      <w:r w:rsidR="00787E94">
        <w:br/>
      </w:r>
    </w:p>
    <w:p w:rsidR="00FA7FF7" w:rsidP="000C396C" w:rsidRDefault="00FA7FF7" w14:paraId="3DBE6E29" w14:textId="427D3E72">
      <w:r>
        <w:t>II</w:t>
      </w:r>
    </w:p>
    <w:p w:rsidR="000345C6" w:rsidP="000C396C" w:rsidRDefault="000345C6" w14:paraId="53E4B9CA" w14:textId="03E864C5"/>
    <w:p w:rsidR="00CF26D6" w:rsidP="00FA7FF7" w:rsidRDefault="00FA7FF7" w14:paraId="2E18E17A" w14:textId="5BC0E92C">
      <w:pPr>
        <w:ind w:firstLine="284"/>
      </w:pPr>
      <w:r>
        <w:t>In artikel 6.3 wordt in de begripsbepaling van hernieuwbare bron</w:t>
      </w:r>
      <w:r w:rsidR="00855DF6">
        <w:t>nen</w:t>
      </w:r>
      <w:r>
        <w:t xml:space="preserve"> na “niet-fossiele bron</w:t>
      </w:r>
      <w:r w:rsidR="004637C4">
        <w:t>nen</w:t>
      </w:r>
      <w:r>
        <w:t xml:space="preserve">” toegevoegd “, </w:t>
      </w:r>
      <w:r w:rsidR="000345C6">
        <w:t xml:space="preserve">niet zijnde </w:t>
      </w:r>
      <w:r>
        <w:t>houtige biomassa,</w:t>
      </w:r>
      <w:r w:rsidR="00787E94">
        <w:t xml:space="preserve"> </w:t>
      </w:r>
      <w:r w:rsidRPr="00787E94" w:rsidR="00787E94">
        <w:t xml:space="preserve">met uitzondering van het gebruik van houtige biomassa </w:t>
      </w:r>
      <w:r w:rsidRPr="001166BD" w:rsidR="001166BD">
        <w:t>als de primaire warmtebron wegvalt of als de warmtebron onvoldoende warmte levert om te voldoen aan de tijdelijke hoge vraag om warmte</w:t>
      </w:r>
      <w:r w:rsidR="00246C91">
        <w:t>,</w:t>
      </w:r>
      <w:r>
        <w:t>”.</w:t>
      </w:r>
    </w:p>
    <w:p w:rsidR="0044755F" w:rsidP="0044755F" w:rsidRDefault="0044755F" w14:paraId="0D9FE38C" w14:textId="77777777"/>
    <w:p w:rsidR="0044755F" w:rsidP="0044755F" w:rsidRDefault="0044755F" w14:paraId="7A22C799" w14:textId="5918223A">
      <w:r>
        <w:t>III</w:t>
      </w:r>
    </w:p>
    <w:p w:rsidR="0044755F" w:rsidP="0044755F" w:rsidRDefault="0044755F" w14:paraId="02E61315" w14:textId="77777777"/>
    <w:p w:rsidR="0044755F" w:rsidP="0044755F" w:rsidRDefault="0044755F" w14:paraId="6FAED488" w14:textId="087F58EC">
      <w:r>
        <w:tab/>
      </w:r>
      <w:r w:rsidR="00787E94">
        <w:t>Na artikel 12.14a wordt een artikel ingevoegd</w:t>
      </w:r>
      <w:r>
        <w:t>, luidende:</w:t>
      </w:r>
    </w:p>
    <w:p w:rsidR="0044755F" w:rsidP="0044755F" w:rsidRDefault="00787E94" w14:paraId="60906519" w14:textId="605B9CCE">
      <w:r>
        <w:br/>
      </w:r>
      <w:r w:rsidRPr="00926A2C">
        <w:rPr>
          <w:b/>
          <w:bCs/>
        </w:rPr>
        <w:t>Artikel 12.14</w:t>
      </w:r>
      <w:r w:rsidR="006D7C9D">
        <w:rPr>
          <w:b/>
          <w:bCs/>
        </w:rPr>
        <w:t>aa</w:t>
      </w:r>
      <w:r w:rsidRPr="00926A2C">
        <w:rPr>
          <w:b/>
          <w:bCs/>
        </w:rPr>
        <w:t xml:space="preserve"> hernieuwbare bron </w:t>
      </w:r>
      <w:r w:rsidRPr="00926A2C">
        <w:rPr>
          <w:b/>
          <w:bCs/>
        </w:rPr>
        <w:br/>
      </w:r>
      <w:r>
        <w:br/>
      </w:r>
      <w:r w:rsidR="0044755F">
        <w:tab/>
        <w:t xml:space="preserve">Ten aanzien van een warmtebedrijf </w:t>
      </w:r>
      <w:r>
        <w:t>dat op grond van artikel 12.2 of 12.3 is aangewezen of dat op grond van artikel 12.11, eerste lid, een ontheffing heeft verkregen,</w:t>
      </w:r>
      <w:r w:rsidR="0044755F">
        <w:t xml:space="preserve"> geldt </w:t>
      </w:r>
      <w:r w:rsidRPr="00787E94">
        <w:t>in afwijking van de definitie van hernieuwbare bron in artikel 1.1</w:t>
      </w:r>
      <w:r>
        <w:t>,</w:t>
      </w:r>
      <w:r w:rsidR="00855DF6">
        <w:t xml:space="preserve"> en de definitie van hernieuwbare bronnen in artikel 6.3,</w:t>
      </w:r>
      <w:r w:rsidRPr="00787E94">
        <w:t xml:space="preserve"> </w:t>
      </w:r>
      <w:r w:rsidR="0044755F">
        <w:t>niet de eis dat houtige biomassa niet is toegestaan als hernieuwbare bron.</w:t>
      </w:r>
    </w:p>
    <w:p w:rsidR="00926A2C" w:rsidP="0044755F" w:rsidRDefault="00926A2C" w14:paraId="7C8EA849"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Pr="001166BD" w:rsidR="001166BD" w:rsidP="001166BD" w:rsidRDefault="001166BD" w14:paraId="04BC2C97" w14:textId="6F3E417C">
      <w:r w:rsidRPr="001166BD">
        <w:t xml:space="preserve">De definitie van biomassa staat in de </w:t>
      </w:r>
      <w:r w:rsidR="00855DF6">
        <w:t>ri</w:t>
      </w:r>
      <w:r w:rsidRPr="001166BD">
        <w:t xml:space="preserve">chtlijn </w:t>
      </w:r>
      <w:r w:rsidR="00855DF6">
        <w:t>2018/2001 ter bevordering van het gebruik van energie uit hernieuwbare bronnen</w:t>
      </w:r>
      <w:r w:rsidRPr="001166BD">
        <w:t>: "De biologisch afbreekbare fractie van producten, afvalstoffen en restanten van de landbouw (met inbegrip van plantaardige en dierlijke stoffen), de bosbouw, de visserij- en aquacultuursector en aanverwante bedrijfstakken en ook de biologisch afbreekbare fractie van industrieel en huishoudelijk afval."</w:t>
      </w:r>
    </w:p>
    <w:p w:rsidRPr="001166BD" w:rsidR="001166BD" w:rsidP="001166BD" w:rsidRDefault="001166BD" w14:paraId="42075D38" w14:textId="77777777">
      <w:r w:rsidRPr="001166BD">
        <w:t>De meeste biomassa die verbrand wordt is vaste (houtige) biomassa. De definitie in het Activiteitenbesluit is:</w:t>
      </w:r>
    </w:p>
    <w:p w:rsidRPr="001166BD" w:rsidR="001166BD" w:rsidP="001166BD" w:rsidRDefault="001166BD" w14:paraId="2F90084F" w14:textId="77777777">
      <w:pPr>
        <w:numPr>
          <w:ilvl w:val="0"/>
          <w:numId w:val="5"/>
        </w:numPr>
      </w:pPr>
      <w:r w:rsidRPr="001166BD">
        <w:t xml:space="preserve">Plantaardig landbouw- of bosbouwmateriaal. Vers hout is hout dat vrijkomt bij snoei-, kap- en </w:t>
      </w:r>
      <w:r w:rsidRPr="001166BD">
        <w:lastRenderedPageBreak/>
        <w:t xml:space="preserve">rooiwerkzaamheden. Bijvoorbeeld in bossen, in het landschap, in groenvoorzieningen en bij boomkwekers. Vers hout kan bestaan uit hele bomen, kapafval, tak- en </w:t>
      </w:r>
      <w:proofErr w:type="spellStart"/>
      <w:r w:rsidRPr="001166BD">
        <w:t>tophout</w:t>
      </w:r>
      <w:proofErr w:type="spellEnd"/>
      <w:r w:rsidRPr="001166BD">
        <w:t>, stobben of rondhout. Ook hout dat vooral wordt geteeld voor biomassa en andere toepassingen, valt onder deze categorie. Dat gebeurt bijvoorbeeld op een wilgenplantage.</w:t>
      </w:r>
    </w:p>
    <w:p w:rsidRPr="001166BD" w:rsidR="001166BD" w:rsidP="001166BD" w:rsidRDefault="001166BD" w14:paraId="439B85CE" w14:textId="77777777">
      <w:pPr>
        <w:numPr>
          <w:ilvl w:val="0"/>
          <w:numId w:val="5"/>
        </w:numPr>
      </w:pPr>
      <w:r w:rsidRPr="001166BD">
        <w:t>Afvalstoffen uit land- en bosbouw, papierindustrie, kurk- en houtindustrie.</w:t>
      </w:r>
    </w:p>
    <w:p w:rsidRPr="001166BD" w:rsidR="001166BD" w:rsidP="001166BD" w:rsidRDefault="001166BD" w14:paraId="40691823" w14:textId="77777777"/>
    <w:p w:rsidRPr="001166BD" w:rsidR="001166BD" w:rsidP="001166BD" w:rsidRDefault="001166BD" w14:paraId="1ACFCA90" w14:textId="34C1F230">
      <w:r w:rsidRPr="001166BD">
        <w:t xml:space="preserve">We hebben alle bronnen nodig in de transitie waarbij de pieklast het lastigst is om duurzaam in te vullen. Door meerdere ontwikkelingen kan in de toekomst blijken dat het wenselijk of zelfs noodzakelijk is om een deel van de piekvoorziening (al dan niet als tijdelijke transitiebron) met biomassaketels in te vullen. Technisch en economisch is dit mogelijk totdat een beter en rendabel alternatief voor de pieklast inzetbaar is zoals groen gas of waterstof. De constatering dat biomassa voor flexibele warmtevoorziening in ieder geval tijdelijk een hoogwaardige en wenselijke oplossing is, is in lijn met het adviesrapport van de SER dat stelt dat ‘de inzet van </w:t>
      </w:r>
      <w:proofErr w:type="spellStart"/>
      <w:r w:rsidRPr="001166BD">
        <w:t>biogrondstoffen</w:t>
      </w:r>
      <w:proofErr w:type="spellEnd"/>
      <w:r w:rsidRPr="001166BD">
        <w:t xml:space="preserve"> voor flexibel </w:t>
      </w:r>
      <w:r w:rsidRPr="000D2F8B">
        <w:t>vermogen, voor warmte via bestaande warmtenetten en pieklast mogelijke overbruggingstoepassingen (kunnen) zijn’.</w:t>
      </w:r>
      <w:r w:rsidR="000D2F8B">
        <w:rPr>
          <w:rStyle w:val="Voetnootmarkering"/>
        </w:rPr>
        <w:footnoteReference w:id="1"/>
      </w:r>
      <w:r w:rsidRPr="000D2F8B">
        <w:t xml:space="preserve"> (</w:t>
      </w:r>
      <w:hyperlink w:history="1" r:id="rId8">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 xml:space="preserve">). Vanuit het duurzaamheidskader </w:t>
      </w:r>
      <w:proofErr w:type="spellStart"/>
      <w:r w:rsidRPr="000D2F8B">
        <w:t>biogrondstoffen</w:t>
      </w:r>
      <w:proofErr w:type="spellEnd"/>
      <w:r w:rsidRPr="000D2F8B">
        <w:t xml:space="preserve"> en het NPE is het onwenselijk om houtige biomassa nog langdurig in te zetten als basislast (en daar past afbouw van de subsidiëring dus ook bij). </w:t>
      </w:r>
      <w:r w:rsidRPr="001166BD">
        <w:t xml:space="preserve">Het uitsluiten van houtige biomassa in zijn geheel is onwenselijk, het beperken van de inzet ervan zou dan wenselijker zijn. Met dit amendement wordt de inzet van houtige biomassa beperkt. </w:t>
      </w:r>
    </w:p>
    <w:p w:rsidRPr="00DB019B" w:rsidR="000345C6" w:rsidP="005A2BEE" w:rsidRDefault="000345C6" w14:paraId="446C1BCB" w14:textId="336E263B"/>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9"/>
      <w:footerReference w:type="first" r:id="rId10"/>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F192" w14:textId="4F86C46A" w:rsidR="00F31A8F" w:rsidRDefault="00F31A8F">
    <w:pPr>
      <w:pStyle w:val="Voettekst"/>
    </w:pPr>
    <w:r>
      <w:rPr>
        <w:noProof/>
      </w:rPr>
      <mc:AlternateContent>
        <mc:Choice Requires="wps">
          <w:drawing>
            <wp:anchor distT="0" distB="0" distL="0" distR="0" simplePos="0" relativeHeight="251659264" behindDoc="0" locked="0" layoutInCell="1" allowOverlap="1" wp14:anchorId="002A07BB" wp14:editId="2329857F">
              <wp:simplePos x="635" y="635"/>
              <wp:positionH relativeFrom="page">
                <wp:align>left</wp:align>
              </wp:positionH>
              <wp:positionV relativeFrom="page">
                <wp:align>bottom</wp:align>
              </wp:positionV>
              <wp:extent cx="986155" cy="345440"/>
              <wp:effectExtent l="0" t="0" r="4445" b="0"/>
              <wp:wrapNone/>
              <wp:docPr id="3806327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A07B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2EF7" w14:textId="3F0769EB" w:rsidR="00F31A8F" w:rsidRDefault="00F31A8F">
    <w:pPr>
      <w:pStyle w:val="Voettekst"/>
    </w:pPr>
    <w:r>
      <w:rPr>
        <w:noProof/>
      </w:rPr>
      <mc:AlternateContent>
        <mc:Choice Requires="wps">
          <w:drawing>
            <wp:anchor distT="0" distB="0" distL="0" distR="0" simplePos="0" relativeHeight="251658240" behindDoc="0" locked="0" layoutInCell="1" allowOverlap="1" wp14:anchorId="1A773CBB" wp14:editId="7C810884">
              <wp:simplePos x="635" y="635"/>
              <wp:positionH relativeFrom="page">
                <wp:align>left</wp:align>
              </wp:positionH>
              <wp:positionV relativeFrom="page">
                <wp:align>bottom</wp:align>
              </wp:positionV>
              <wp:extent cx="986155" cy="345440"/>
              <wp:effectExtent l="0" t="0" r="4445" b="0"/>
              <wp:wrapNone/>
              <wp:docPr id="137721725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73CBB"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0F74EE89" w14:textId="6D54679A" w:rsidR="000D2F8B" w:rsidRDefault="000D2F8B">
      <w:pPr>
        <w:pStyle w:val="Voetnoottekst"/>
      </w:pPr>
      <w:r>
        <w:rPr>
          <w:rStyle w:val="Voetnootmarkering"/>
        </w:rPr>
        <w:footnoteRef/>
      </w:r>
      <w:r>
        <w:t xml:space="preserve"> </w:t>
      </w:r>
      <w:r w:rsidRPr="000D2F8B">
        <w:t>(</w:t>
      </w:r>
      <w:hyperlink r:id="rId1" w:history="1">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D9D1813"/>
    <w:multiLevelType w:val="hybridMultilevel"/>
    <w:tmpl w:val="2FAAF768"/>
    <w:lvl w:ilvl="0" w:tplc="4D7E380A">
      <w:start w:val="1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ED14CE6"/>
    <w:multiLevelType w:val="multilevel"/>
    <w:tmpl w:val="938A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F1E9C"/>
    <w:multiLevelType w:val="multilevel"/>
    <w:tmpl w:val="DB667C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4140617">
    <w:abstractNumId w:val="2"/>
  </w:num>
  <w:num w:numId="2" w16cid:durableId="1727026907">
    <w:abstractNumId w:val="0"/>
  </w:num>
  <w:num w:numId="3" w16cid:durableId="963580540">
    <w:abstractNumId w:val="1"/>
  </w:num>
  <w:num w:numId="4" w16cid:durableId="160437987">
    <w:abstractNumId w:val="3"/>
  </w:num>
  <w:num w:numId="5" w16cid:durableId="684983693">
    <w:abstractNumId w:val="5"/>
  </w:num>
  <w:num w:numId="6" w16cid:durableId="214034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32C37"/>
    <w:rsid w:val="000345C6"/>
    <w:rsid w:val="0007471A"/>
    <w:rsid w:val="000B2CED"/>
    <w:rsid w:val="000C396C"/>
    <w:rsid w:val="000D17BF"/>
    <w:rsid w:val="000D2F8B"/>
    <w:rsid w:val="001166BD"/>
    <w:rsid w:val="001425FB"/>
    <w:rsid w:val="0014444B"/>
    <w:rsid w:val="00157CAF"/>
    <w:rsid w:val="001656EE"/>
    <w:rsid w:val="0016653D"/>
    <w:rsid w:val="0017025C"/>
    <w:rsid w:val="001D2033"/>
    <w:rsid w:val="001D56AF"/>
    <w:rsid w:val="001D77C9"/>
    <w:rsid w:val="001E0E21"/>
    <w:rsid w:val="00206F2E"/>
    <w:rsid w:val="00212E0A"/>
    <w:rsid w:val="002153B0"/>
    <w:rsid w:val="0021777F"/>
    <w:rsid w:val="002348DC"/>
    <w:rsid w:val="00241DD0"/>
    <w:rsid w:val="00242558"/>
    <w:rsid w:val="00246C91"/>
    <w:rsid w:val="0026755E"/>
    <w:rsid w:val="002A0713"/>
    <w:rsid w:val="002A2A86"/>
    <w:rsid w:val="002B22D9"/>
    <w:rsid w:val="002C41A6"/>
    <w:rsid w:val="00382232"/>
    <w:rsid w:val="003868E3"/>
    <w:rsid w:val="003B3541"/>
    <w:rsid w:val="003C21AC"/>
    <w:rsid w:val="003C5218"/>
    <w:rsid w:val="003C7876"/>
    <w:rsid w:val="003E2308"/>
    <w:rsid w:val="003E2F98"/>
    <w:rsid w:val="004221EC"/>
    <w:rsid w:val="0042574B"/>
    <w:rsid w:val="004330ED"/>
    <w:rsid w:val="0044755F"/>
    <w:rsid w:val="004522C3"/>
    <w:rsid w:val="004637C4"/>
    <w:rsid w:val="00474344"/>
    <w:rsid w:val="00481C91"/>
    <w:rsid w:val="004911E3"/>
    <w:rsid w:val="00497D57"/>
    <w:rsid w:val="004A1E29"/>
    <w:rsid w:val="004A7DD4"/>
    <w:rsid w:val="004B50D8"/>
    <w:rsid w:val="004B5B90"/>
    <w:rsid w:val="00501109"/>
    <w:rsid w:val="00511F66"/>
    <w:rsid w:val="00535D93"/>
    <w:rsid w:val="00537388"/>
    <w:rsid w:val="00554CE3"/>
    <w:rsid w:val="005703C9"/>
    <w:rsid w:val="00597703"/>
    <w:rsid w:val="005A2BEE"/>
    <w:rsid w:val="005A6097"/>
    <w:rsid w:val="005B1DCC"/>
    <w:rsid w:val="005B5CD4"/>
    <w:rsid w:val="005B7323"/>
    <w:rsid w:val="005C06CE"/>
    <w:rsid w:val="005C25B9"/>
    <w:rsid w:val="005D5AAD"/>
    <w:rsid w:val="005D658E"/>
    <w:rsid w:val="00624293"/>
    <w:rsid w:val="006267E6"/>
    <w:rsid w:val="006558D2"/>
    <w:rsid w:val="00662C46"/>
    <w:rsid w:val="00672D25"/>
    <w:rsid w:val="006738BC"/>
    <w:rsid w:val="006A5CF4"/>
    <w:rsid w:val="006D3E69"/>
    <w:rsid w:val="006D7C9D"/>
    <w:rsid w:val="006E0971"/>
    <w:rsid w:val="007709F6"/>
    <w:rsid w:val="00783215"/>
    <w:rsid w:val="00787E94"/>
    <w:rsid w:val="007965FC"/>
    <w:rsid w:val="007D2608"/>
    <w:rsid w:val="0081312A"/>
    <w:rsid w:val="008164E5"/>
    <w:rsid w:val="00830081"/>
    <w:rsid w:val="008467D7"/>
    <w:rsid w:val="00852541"/>
    <w:rsid w:val="00855DF6"/>
    <w:rsid w:val="00865D47"/>
    <w:rsid w:val="0088452C"/>
    <w:rsid w:val="008D7DCB"/>
    <w:rsid w:val="009055DB"/>
    <w:rsid w:val="00905ECB"/>
    <w:rsid w:val="00922A00"/>
    <w:rsid w:val="00926A2C"/>
    <w:rsid w:val="00951302"/>
    <w:rsid w:val="0096165D"/>
    <w:rsid w:val="0097019A"/>
    <w:rsid w:val="00970E7E"/>
    <w:rsid w:val="0098078E"/>
    <w:rsid w:val="0098469A"/>
    <w:rsid w:val="00993E91"/>
    <w:rsid w:val="009A409F"/>
    <w:rsid w:val="009B5845"/>
    <w:rsid w:val="009B6602"/>
    <w:rsid w:val="009B6B35"/>
    <w:rsid w:val="009C0C1F"/>
    <w:rsid w:val="009F2F5E"/>
    <w:rsid w:val="00A10505"/>
    <w:rsid w:val="00A1288B"/>
    <w:rsid w:val="00A161F6"/>
    <w:rsid w:val="00A2699F"/>
    <w:rsid w:val="00A45BC2"/>
    <w:rsid w:val="00A53203"/>
    <w:rsid w:val="00A772EB"/>
    <w:rsid w:val="00A817EB"/>
    <w:rsid w:val="00AA4B77"/>
    <w:rsid w:val="00B01BA6"/>
    <w:rsid w:val="00B4708A"/>
    <w:rsid w:val="00B50268"/>
    <w:rsid w:val="00B61BC0"/>
    <w:rsid w:val="00BF623B"/>
    <w:rsid w:val="00C035D4"/>
    <w:rsid w:val="00C24618"/>
    <w:rsid w:val="00C61A8A"/>
    <w:rsid w:val="00C62C8F"/>
    <w:rsid w:val="00C679BF"/>
    <w:rsid w:val="00C75EA9"/>
    <w:rsid w:val="00C81BBD"/>
    <w:rsid w:val="00C904E2"/>
    <w:rsid w:val="00C94918"/>
    <w:rsid w:val="00CB1B8D"/>
    <w:rsid w:val="00CC5A53"/>
    <w:rsid w:val="00CD044B"/>
    <w:rsid w:val="00CD3132"/>
    <w:rsid w:val="00CE27CD"/>
    <w:rsid w:val="00CF26D6"/>
    <w:rsid w:val="00D134F3"/>
    <w:rsid w:val="00D3192C"/>
    <w:rsid w:val="00D47D01"/>
    <w:rsid w:val="00D774B3"/>
    <w:rsid w:val="00D8487B"/>
    <w:rsid w:val="00D879F5"/>
    <w:rsid w:val="00DA61A9"/>
    <w:rsid w:val="00DD35A5"/>
    <w:rsid w:val="00DE2948"/>
    <w:rsid w:val="00DF68BE"/>
    <w:rsid w:val="00DF712A"/>
    <w:rsid w:val="00DF7749"/>
    <w:rsid w:val="00E16E48"/>
    <w:rsid w:val="00E2092B"/>
    <w:rsid w:val="00E25DF4"/>
    <w:rsid w:val="00E3485D"/>
    <w:rsid w:val="00E6619B"/>
    <w:rsid w:val="00E908D7"/>
    <w:rsid w:val="00EA1CE4"/>
    <w:rsid w:val="00EA69AC"/>
    <w:rsid w:val="00EB40A1"/>
    <w:rsid w:val="00EC3112"/>
    <w:rsid w:val="00EC7079"/>
    <w:rsid w:val="00ED5E57"/>
    <w:rsid w:val="00EE1BD8"/>
    <w:rsid w:val="00F30FC5"/>
    <w:rsid w:val="00F31A8F"/>
    <w:rsid w:val="00F36631"/>
    <w:rsid w:val="00F40327"/>
    <w:rsid w:val="00F436DB"/>
    <w:rsid w:val="00FA5BBE"/>
    <w:rsid w:val="00FA7FF7"/>
    <w:rsid w:val="00FB610F"/>
    <w:rsid w:val="00FC3735"/>
    <w:rsid w:val="00FE2621"/>
    <w:rsid w:val="2163103E"/>
    <w:rsid w:val="25BCF358"/>
    <w:rsid w:val="75879015"/>
    <w:rsid w:val="7E708609"/>
    <w:rsid w:val="7FF1355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Hyperlink">
    <w:name w:val="Hyperlink"/>
    <w:basedOn w:val="Standaardalinea-lettertype"/>
    <w:unhideWhenUsed/>
    <w:rsid w:val="0097019A"/>
    <w:rPr>
      <w:color w:val="0000FF" w:themeColor="hyperlink"/>
      <w:u w:val="single"/>
    </w:rPr>
  </w:style>
  <w:style w:type="character" w:styleId="Onopgelostemelding">
    <w:name w:val="Unresolved Mention"/>
    <w:basedOn w:val="Standaardalinea-lettertype"/>
    <w:uiPriority w:val="99"/>
    <w:semiHidden/>
    <w:unhideWhenUsed/>
    <w:rsid w:val="0097019A"/>
    <w:rPr>
      <w:color w:val="605E5C"/>
      <w:shd w:val="clear" w:color="auto" w:fill="E1DFDD"/>
    </w:rPr>
  </w:style>
  <w:style w:type="character" w:styleId="Voetnootmarkering">
    <w:name w:val="footnote reference"/>
    <w:basedOn w:val="Standaardalinea-lettertype"/>
    <w:semiHidden/>
    <w:unhideWhenUsed/>
    <w:rsid w:val="000D2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495">
      <w:bodyDiv w:val="1"/>
      <w:marLeft w:val="0"/>
      <w:marRight w:val="0"/>
      <w:marTop w:val="0"/>
      <w:marBottom w:val="0"/>
      <w:divBdr>
        <w:top w:val="none" w:sz="0" w:space="0" w:color="auto"/>
        <w:left w:val="none" w:sz="0" w:space="0" w:color="auto"/>
        <w:bottom w:val="none" w:sz="0" w:space="0" w:color="auto"/>
        <w:right w:val="none" w:sz="0" w:space="0" w:color="auto"/>
      </w:divBdr>
    </w:div>
    <w:div w:id="229772979">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475222321">
      <w:bodyDiv w:val="1"/>
      <w:marLeft w:val="0"/>
      <w:marRight w:val="0"/>
      <w:marTop w:val="0"/>
      <w:marBottom w:val="0"/>
      <w:divBdr>
        <w:top w:val="none" w:sz="0" w:space="0" w:color="auto"/>
        <w:left w:val="none" w:sz="0" w:space="0" w:color="auto"/>
        <w:bottom w:val="none" w:sz="0" w:space="0" w:color="auto"/>
        <w:right w:val="none" w:sz="0" w:space="0" w:color="auto"/>
      </w:divBdr>
    </w:div>
    <w:div w:id="944579391">
      <w:bodyDiv w:val="1"/>
      <w:marLeft w:val="0"/>
      <w:marRight w:val="0"/>
      <w:marTop w:val="0"/>
      <w:marBottom w:val="0"/>
      <w:divBdr>
        <w:top w:val="none" w:sz="0" w:space="0" w:color="auto"/>
        <w:left w:val="none" w:sz="0" w:space="0" w:color="auto"/>
        <w:bottom w:val="none" w:sz="0" w:space="0" w:color="auto"/>
        <w:right w:val="none" w:sz="0" w:space="0" w:color="auto"/>
      </w:divBdr>
    </w:div>
    <w:div w:id="1041594517">
      <w:bodyDiv w:val="1"/>
      <w:marLeft w:val="0"/>
      <w:marRight w:val="0"/>
      <w:marTop w:val="0"/>
      <w:marBottom w:val="0"/>
      <w:divBdr>
        <w:top w:val="none" w:sz="0" w:space="0" w:color="auto"/>
        <w:left w:val="none" w:sz="0" w:space="0" w:color="auto"/>
        <w:bottom w:val="none" w:sz="0" w:space="0" w:color="auto"/>
        <w:right w:val="none" w:sz="0" w:space="0" w:color="auto"/>
      </w:divBdr>
    </w:div>
    <w:div w:id="1156989840">
      <w:bodyDiv w:val="1"/>
      <w:marLeft w:val="0"/>
      <w:marRight w:val="0"/>
      <w:marTop w:val="0"/>
      <w:marBottom w:val="0"/>
      <w:divBdr>
        <w:top w:val="none" w:sz="0" w:space="0" w:color="auto"/>
        <w:left w:val="none" w:sz="0" w:space="0" w:color="auto"/>
        <w:bottom w:val="none" w:sz="0" w:space="0" w:color="auto"/>
        <w:right w:val="none" w:sz="0" w:space="0" w:color="auto"/>
      </w:divBdr>
    </w:div>
    <w:div w:id="1356954981">
      <w:bodyDiv w:val="1"/>
      <w:marLeft w:val="0"/>
      <w:marRight w:val="0"/>
      <w:marTop w:val="0"/>
      <w:marBottom w:val="0"/>
      <w:divBdr>
        <w:top w:val="none" w:sz="0" w:space="0" w:color="auto"/>
        <w:left w:val="none" w:sz="0" w:space="0" w:color="auto"/>
        <w:bottom w:val="none" w:sz="0" w:space="0" w:color="auto"/>
        <w:right w:val="none" w:sz="0" w:space="0" w:color="auto"/>
      </w:divBdr>
    </w:div>
    <w:div w:id="1558004268">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563</ap:Words>
  <ap:Characters>4049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2025-06-26T08:32:00.0000000Z</dcterms:created>
  <dcterms:modified xsi:type="dcterms:W3CDTF">2025-06-26T08:32:00.0000000Z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5216aae5,16affe99,5600eff9</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